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F921C5" w14:textId="53F2A430" w:rsidR="00B2782B" w:rsidRPr="0086530A" w:rsidRDefault="00B2782B" w:rsidP="00223DFA">
      <w:pPr>
        <w:spacing w:after="0" w:line="240" w:lineRule="auto"/>
        <w:rPr>
          <w:rFonts w:eastAsia="Calibri" w:cs="Times New Roman"/>
          <w:kern w:val="2"/>
          <w:sz w:val="20"/>
          <w:szCs w:val="20"/>
        </w:rPr>
      </w:pPr>
      <w:r w:rsidRPr="0086530A">
        <w:rPr>
          <w:rFonts w:eastAsia="Calibri" w:cs="Times New Roman"/>
          <w:kern w:val="2"/>
          <w:sz w:val="20"/>
          <w:szCs w:val="20"/>
        </w:rPr>
        <w:t>Filed 3/1/24</w:t>
      </w:r>
    </w:p>
    <w:p w14:paraId="65916AF1" w14:textId="77777777" w:rsidR="00B2782B" w:rsidRPr="00E6210C" w:rsidRDefault="00B2782B" w:rsidP="00620DDB">
      <w:pPr>
        <w:spacing w:after="0" w:line="240" w:lineRule="auto"/>
        <w:jc w:val="center"/>
        <w:rPr>
          <w:rFonts w:eastAsia="Calibri" w:cs="Times New Roman"/>
          <w:kern w:val="2"/>
          <w:u w:val="single"/>
        </w:rPr>
      </w:pPr>
      <w:r w:rsidRPr="00E6210C">
        <w:rPr>
          <w:rFonts w:eastAsia="Calibri" w:cs="Times New Roman"/>
          <w:kern w:val="2"/>
          <w:u w:val="single"/>
        </w:rPr>
        <w:t>CERTIFIED FOR PARTIAL PUBLICATION</w:t>
      </w:r>
      <w:r>
        <w:rPr>
          <w:rStyle w:val="FootnoteReference"/>
          <w:rFonts w:ascii="Symbol" w:eastAsia="Calibri" w:hAnsi="Symbol" w:cs="Times New Roman"/>
          <w:kern w:val="2"/>
          <w:u w:val="single"/>
        </w:rPr>
        <w:footnoteReference w:customMarkFollows="1" w:id="1"/>
        <w:sym w:font="Symbol" w:char="F02A"/>
      </w:r>
    </w:p>
    <w:p w14:paraId="16C07A71" w14:textId="77777777" w:rsidR="00B2782B" w:rsidRPr="00FC73A2" w:rsidRDefault="00B2782B" w:rsidP="00620DDB">
      <w:pPr>
        <w:spacing w:after="0" w:line="240" w:lineRule="auto"/>
        <w:jc w:val="center"/>
        <w:rPr>
          <w:rFonts w:eastAsia="Calibri" w:cs="Times New Roman"/>
          <w:kern w:val="2"/>
        </w:rPr>
      </w:pPr>
    </w:p>
    <w:p w14:paraId="71260130" w14:textId="77777777" w:rsidR="00B2782B" w:rsidRPr="00E6210C" w:rsidRDefault="00B2782B" w:rsidP="00620DDB">
      <w:pPr>
        <w:spacing w:after="0" w:line="240" w:lineRule="auto"/>
        <w:jc w:val="center"/>
        <w:rPr>
          <w:rFonts w:eastAsia="Calibri" w:cs="Times New Roman"/>
          <w:kern w:val="2"/>
          <w:u w:val="single"/>
        </w:rPr>
      </w:pPr>
    </w:p>
    <w:p w14:paraId="5A087ADC" w14:textId="77777777" w:rsidR="00B2782B" w:rsidRPr="00E6210C" w:rsidRDefault="00B2782B" w:rsidP="00223DFA">
      <w:pPr>
        <w:spacing w:line="240" w:lineRule="auto"/>
        <w:jc w:val="center"/>
      </w:pPr>
      <w:r w:rsidRPr="00E6210C">
        <w:t>IN THE COURT OF APPEAL OF THE STATE OF CALIFORNIA</w:t>
      </w:r>
    </w:p>
    <w:p w14:paraId="125E1D78" w14:textId="77777777" w:rsidR="00B2782B" w:rsidRPr="00E6210C" w:rsidRDefault="00B2782B" w:rsidP="00223DFA">
      <w:pPr>
        <w:spacing w:line="240" w:lineRule="auto"/>
        <w:jc w:val="center"/>
      </w:pPr>
    </w:p>
    <w:p w14:paraId="3F9D4C60" w14:textId="77777777" w:rsidR="00B2782B" w:rsidRPr="00E6210C" w:rsidRDefault="00B2782B" w:rsidP="00223DFA">
      <w:pPr>
        <w:spacing w:line="240" w:lineRule="auto"/>
        <w:jc w:val="center"/>
      </w:pPr>
      <w:r w:rsidRPr="00E6210C">
        <w:t>SECOND APPELLATE DISTRICT</w:t>
      </w:r>
    </w:p>
    <w:p w14:paraId="1087D92B" w14:textId="77777777" w:rsidR="00B2782B" w:rsidRPr="00E6210C" w:rsidRDefault="00B2782B" w:rsidP="00223DFA">
      <w:pPr>
        <w:spacing w:line="240" w:lineRule="auto"/>
        <w:jc w:val="center"/>
      </w:pPr>
    </w:p>
    <w:p w14:paraId="46A2F560" w14:textId="77777777" w:rsidR="00B2782B" w:rsidRPr="00E6210C" w:rsidRDefault="00B2782B" w:rsidP="00223DFA">
      <w:pPr>
        <w:spacing w:line="240" w:lineRule="auto"/>
        <w:jc w:val="center"/>
      </w:pPr>
      <w:r w:rsidRPr="00E6210C">
        <w:t>DIVISION FOUR</w:t>
      </w:r>
    </w:p>
    <w:p w14:paraId="74AC4AE6" w14:textId="77777777" w:rsidR="00B2782B" w:rsidRPr="00E6210C" w:rsidRDefault="00B2782B" w:rsidP="00620DDB">
      <w:pPr>
        <w:spacing w:after="0" w:line="240" w:lineRule="auto"/>
        <w:jc w:val="center"/>
        <w:rPr>
          <w:rFonts w:eastAsia="Calibri" w:cs="Times New Roman"/>
          <w:kern w:val="2"/>
          <w:u w:val="single"/>
        </w:rPr>
      </w:pPr>
    </w:p>
    <w:p w14:paraId="10C25065" w14:textId="77777777" w:rsidR="00B2782B" w:rsidRPr="00E6210C" w:rsidRDefault="00B2782B" w:rsidP="009C4E1D">
      <w:pPr>
        <w:spacing w:after="0" w:line="240" w:lineRule="auto"/>
        <w:contextualSpacing/>
        <w:jc w:val="center"/>
        <w:rPr>
          <w:spacing w:val="-2"/>
        </w:rPr>
      </w:pPr>
    </w:p>
    <w:tbl>
      <w:tblPr>
        <w:tblW w:w="8136" w:type="dxa"/>
        <w:tblLayout w:type="fixed"/>
        <w:tblLook w:val="0000" w:firstRow="0" w:lastRow="0" w:firstColumn="0" w:lastColumn="0" w:noHBand="0" w:noVBand="0"/>
      </w:tblPr>
      <w:tblGrid>
        <w:gridCol w:w="4230"/>
        <w:gridCol w:w="3906"/>
      </w:tblGrid>
      <w:tr w:rsidR="007A1CCA" w14:paraId="408559CB" w14:textId="77777777" w:rsidTr="00223DFA">
        <w:tc>
          <w:tcPr>
            <w:tcW w:w="4230" w:type="dxa"/>
            <w:tcBorders>
              <w:bottom w:val="single" w:sz="4" w:space="0" w:color="auto"/>
              <w:right w:val="single" w:sz="4" w:space="0" w:color="auto"/>
            </w:tcBorders>
            <w:shd w:val="clear" w:color="auto" w:fill="auto"/>
          </w:tcPr>
          <w:p w14:paraId="0992E978" w14:textId="77777777" w:rsidR="00B2782B" w:rsidRPr="00E6210C" w:rsidRDefault="00B2782B" w:rsidP="00BA5CA7">
            <w:pPr>
              <w:spacing w:after="0" w:line="240" w:lineRule="auto"/>
              <w:contextualSpacing/>
              <w:rPr>
                <w:spacing w:val="-2"/>
              </w:rPr>
            </w:pPr>
            <w:r w:rsidRPr="00E6210C">
              <w:rPr>
                <w:spacing w:val="-2"/>
              </w:rPr>
              <w:t xml:space="preserve">RICHARD C. COLYEAR, </w:t>
            </w:r>
          </w:p>
          <w:p w14:paraId="64134B9A" w14:textId="77777777" w:rsidR="00B2782B" w:rsidRPr="00E6210C" w:rsidRDefault="00B2782B" w:rsidP="00BA5CA7">
            <w:pPr>
              <w:spacing w:after="0" w:line="240" w:lineRule="auto"/>
              <w:contextualSpacing/>
              <w:rPr>
                <w:spacing w:val="-2"/>
              </w:rPr>
            </w:pPr>
          </w:p>
          <w:p w14:paraId="534836D3" w14:textId="77777777" w:rsidR="00B2782B" w:rsidRPr="00E6210C" w:rsidRDefault="00B2782B" w:rsidP="00BA5CA7">
            <w:pPr>
              <w:spacing w:after="0" w:line="240" w:lineRule="auto"/>
              <w:contextualSpacing/>
              <w:rPr>
                <w:spacing w:val="-2"/>
              </w:rPr>
            </w:pPr>
            <w:r w:rsidRPr="00E6210C">
              <w:rPr>
                <w:spacing w:val="-2"/>
              </w:rPr>
              <w:tab/>
              <w:t xml:space="preserve">Petitioner and </w:t>
            </w:r>
          </w:p>
          <w:p w14:paraId="146C1B5D" w14:textId="77777777" w:rsidR="00B2782B" w:rsidRPr="00E6210C" w:rsidRDefault="00B2782B" w:rsidP="00620DDB">
            <w:pPr>
              <w:spacing w:after="0" w:line="240" w:lineRule="auto"/>
              <w:ind w:left="705"/>
              <w:contextualSpacing/>
              <w:rPr>
                <w:spacing w:val="-2"/>
              </w:rPr>
            </w:pPr>
            <w:r w:rsidRPr="00E6210C">
              <w:rPr>
                <w:spacing w:val="-2"/>
              </w:rPr>
              <w:t>Respondent.</w:t>
            </w:r>
          </w:p>
          <w:p w14:paraId="1262890B" w14:textId="77777777" w:rsidR="00B2782B" w:rsidRPr="00E6210C" w:rsidRDefault="00B2782B" w:rsidP="00BA5CA7">
            <w:pPr>
              <w:spacing w:after="0" w:line="240" w:lineRule="auto"/>
              <w:contextualSpacing/>
              <w:rPr>
                <w:spacing w:val="-2"/>
              </w:rPr>
            </w:pPr>
          </w:p>
          <w:p w14:paraId="69301EB2" w14:textId="77777777" w:rsidR="00B2782B" w:rsidRPr="00E6210C" w:rsidRDefault="00B2782B" w:rsidP="00BA5CA7">
            <w:pPr>
              <w:spacing w:after="0" w:line="240" w:lineRule="auto"/>
              <w:contextualSpacing/>
              <w:rPr>
                <w:spacing w:val="-2"/>
              </w:rPr>
            </w:pPr>
            <w:r w:rsidRPr="00E6210C">
              <w:rPr>
                <w:spacing w:val="-2"/>
              </w:rPr>
              <w:tab/>
              <w:t>v.</w:t>
            </w:r>
          </w:p>
          <w:p w14:paraId="7616793D" w14:textId="77777777" w:rsidR="00B2782B" w:rsidRPr="00E6210C" w:rsidRDefault="00B2782B" w:rsidP="00BA5CA7">
            <w:pPr>
              <w:spacing w:after="0" w:line="240" w:lineRule="auto"/>
              <w:contextualSpacing/>
              <w:rPr>
                <w:spacing w:val="-2"/>
              </w:rPr>
            </w:pPr>
          </w:p>
          <w:p w14:paraId="57360C8C" w14:textId="77777777" w:rsidR="00B2782B" w:rsidRPr="00E6210C" w:rsidRDefault="00B2782B" w:rsidP="00BA5CA7">
            <w:pPr>
              <w:spacing w:after="0" w:line="240" w:lineRule="auto"/>
              <w:contextualSpacing/>
              <w:rPr>
                <w:spacing w:val="-2"/>
              </w:rPr>
            </w:pPr>
            <w:r w:rsidRPr="00E6210C">
              <w:rPr>
                <w:spacing w:val="-2"/>
              </w:rPr>
              <w:t xml:space="preserve">ROLLING HILLS COMMUNITY ASSOCIATION OF </w:t>
            </w:r>
            <w:r w:rsidRPr="00E6210C">
              <w:rPr>
                <w:spacing w:val="-2"/>
              </w:rPr>
              <w:t>RANCHO PALOS VERDES</w:t>
            </w:r>
            <w:r w:rsidRPr="00E6210C">
              <w:rPr>
                <w:spacing w:val="-2"/>
              </w:rPr>
              <w:t xml:space="preserve"> </w:t>
            </w:r>
            <w:r w:rsidRPr="00E6210C">
              <w:rPr>
                <w:spacing w:val="-2"/>
              </w:rPr>
              <w:t>et al.</w:t>
            </w:r>
            <w:r w:rsidRPr="00E6210C">
              <w:rPr>
                <w:spacing w:val="-2"/>
              </w:rPr>
              <w:t>,</w:t>
            </w:r>
          </w:p>
          <w:p w14:paraId="4F8C4C92" w14:textId="77777777" w:rsidR="00B2782B" w:rsidRPr="00E6210C" w:rsidRDefault="00B2782B" w:rsidP="00BA5CA7">
            <w:pPr>
              <w:spacing w:after="0" w:line="240" w:lineRule="auto"/>
              <w:contextualSpacing/>
              <w:rPr>
                <w:spacing w:val="-2"/>
              </w:rPr>
            </w:pPr>
          </w:p>
          <w:p w14:paraId="54626497" w14:textId="77777777" w:rsidR="00B2782B" w:rsidRPr="00E6210C" w:rsidRDefault="00B2782B" w:rsidP="00BA5CA7">
            <w:pPr>
              <w:spacing w:after="0" w:line="240" w:lineRule="auto"/>
              <w:contextualSpacing/>
              <w:rPr>
                <w:spacing w:val="-2"/>
              </w:rPr>
            </w:pPr>
            <w:r w:rsidRPr="00E6210C">
              <w:rPr>
                <w:spacing w:val="-2"/>
              </w:rPr>
              <w:tab/>
            </w:r>
            <w:r w:rsidRPr="00E6210C">
              <w:rPr>
                <w:spacing w:val="-2"/>
              </w:rPr>
              <w:t>Plaintiffs</w:t>
            </w:r>
            <w:r w:rsidRPr="00E6210C">
              <w:rPr>
                <w:spacing w:val="-2"/>
              </w:rPr>
              <w:t xml:space="preserve"> </w:t>
            </w:r>
            <w:r w:rsidRPr="00E6210C">
              <w:rPr>
                <w:spacing w:val="-2"/>
              </w:rPr>
              <w:t>and Appellants.</w:t>
            </w:r>
          </w:p>
          <w:p w14:paraId="5DB9CFBE" w14:textId="77777777" w:rsidR="00B2782B" w:rsidRPr="00E6210C" w:rsidRDefault="00B2782B" w:rsidP="00BA5CA7">
            <w:pPr>
              <w:spacing w:after="0" w:line="240" w:lineRule="auto"/>
              <w:contextualSpacing/>
              <w:rPr>
                <w:spacing w:val="-2"/>
              </w:rPr>
            </w:pPr>
          </w:p>
        </w:tc>
        <w:tc>
          <w:tcPr>
            <w:tcW w:w="3906" w:type="dxa"/>
            <w:tcBorders>
              <w:left w:val="single" w:sz="4" w:space="0" w:color="auto"/>
            </w:tcBorders>
            <w:shd w:val="clear" w:color="auto" w:fill="auto"/>
          </w:tcPr>
          <w:p w14:paraId="3C639287" w14:textId="77777777" w:rsidR="00B2782B" w:rsidRPr="00E6210C" w:rsidRDefault="00B2782B" w:rsidP="00BA5CA7">
            <w:pPr>
              <w:spacing w:after="0" w:line="240" w:lineRule="auto"/>
              <w:contextualSpacing/>
              <w:rPr>
                <w:spacing w:val="-2"/>
              </w:rPr>
            </w:pPr>
            <w:r w:rsidRPr="00E6210C">
              <w:rPr>
                <w:spacing w:val="-2"/>
              </w:rPr>
              <w:t xml:space="preserve">   B3</w:t>
            </w:r>
            <w:r w:rsidRPr="00E6210C">
              <w:rPr>
                <w:spacing w:val="-2"/>
              </w:rPr>
              <w:t>08382</w:t>
            </w:r>
            <w:r w:rsidRPr="00E6210C">
              <w:rPr>
                <w:spacing w:val="-2"/>
              </w:rPr>
              <w:t xml:space="preserve"> </w:t>
            </w:r>
          </w:p>
          <w:p w14:paraId="52F90B1A" w14:textId="77777777" w:rsidR="00B2782B" w:rsidRPr="00E6210C" w:rsidRDefault="00B2782B" w:rsidP="00BA5CA7">
            <w:pPr>
              <w:spacing w:after="0" w:line="240" w:lineRule="auto"/>
              <w:contextualSpacing/>
              <w:rPr>
                <w:spacing w:val="-2"/>
              </w:rPr>
            </w:pPr>
          </w:p>
          <w:p w14:paraId="372BB7EB" w14:textId="77777777" w:rsidR="00B2782B" w:rsidRPr="00E6210C" w:rsidRDefault="00B2782B" w:rsidP="00BA5CA7">
            <w:pPr>
              <w:spacing w:after="0" w:line="240" w:lineRule="auto"/>
              <w:contextualSpacing/>
              <w:rPr>
                <w:spacing w:val="-2"/>
              </w:rPr>
            </w:pPr>
            <w:r w:rsidRPr="00E6210C">
              <w:rPr>
                <w:spacing w:val="-2"/>
              </w:rPr>
              <w:t xml:space="preserve">   (Los Angeles County</w:t>
            </w:r>
          </w:p>
          <w:p w14:paraId="233B7330" w14:textId="77777777" w:rsidR="00B2782B" w:rsidRPr="00E6210C" w:rsidRDefault="00B2782B" w:rsidP="00BA5CA7">
            <w:pPr>
              <w:spacing w:after="0" w:line="240" w:lineRule="auto"/>
              <w:contextualSpacing/>
              <w:rPr>
                <w:spacing w:val="-2"/>
              </w:rPr>
            </w:pPr>
            <w:r w:rsidRPr="00E6210C">
              <w:rPr>
                <w:spacing w:val="-2"/>
              </w:rPr>
              <w:t xml:space="preserve">   Super. Ct. No.</w:t>
            </w:r>
            <w:r w:rsidRPr="00E6210C">
              <w:rPr>
                <w:spacing w:val="-2"/>
              </w:rPr>
              <w:t xml:space="preserve"> BS150539</w:t>
            </w:r>
            <w:r w:rsidRPr="00E6210C">
              <w:rPr>
                <w:spacing w:val="-2"/>
              </w:rPr>
              <w:t>)</w:t>
            </w:r>
          </w:p>
          <w:p w14:paraId="3ABEB07C" w14:textId="77777777" w:rsidR="00B2782B" w:rsidRPr="00E6210C" w:rsidRDefault="00B2782B" w:rsidP="00BA5CA7">
            <w:pPr>
              <w:spacing w:after="0" w:line="240" w:lineRule="auto"/>
              <w:contextualSpacing/>
              <w:rPr>
                <w:spacing w:val="-2"/>
              </w:rPr>
            </w:pPr>
          </w:p>
        </w:tc>
      </w:tr>
    </w:tbl>
    <w:p w14:paraId="56D284EE" w14:textId="77777777" w:rsidR="00B2782B" w:rsidRPr="00E6210C" w:rsidRDefault="00B2782B" w:rsidP="00BE65D5">
      <w:pPr>
        <w:spacing w:line="360" w:lineRule="auto"/>
        <w:contextualSpacing/>
        <w:rPr>
          <w:spacing w:val="-2"/>
        </w:rPr>
      </w:pPr>
    </w:p>
    <w:p w14:paraId="6542838A" w14:textId="77777777" w:rsidR="00B2782B" w:rsidRPr="00E6210C" w:rsidRDefault="00B2782B" w:rsidP="00223DFA">
      <w:pPr>
        <w:spacing w:line="288" w:lineRule="auto"/>
        <w:contextualSpacing/>
        <w:rPr>
          <w:spacing w:val="-2"/>
        </w:rPr>
      </w:pPr>
      <w:r w:rsidRPr="00E6210C">
        <w:rPr>
          <w:spacing w:val="-2"/>
        </w:rPr>
        <w:tab/>
        <w:t xml:space="preserve">APPEAL from </w:t>
      </w:r>
      <w:r w:rsidRPr="00E6210C">
        <w:rPr>
          <w:spacing w:val="-2"/>
        </w:rPr>
        <w:t xml:space="preserve">a </w:t>
      </w:r>
      <w:r w:rsidRPr="00E6210C">
        <w:rPr>
          <w:spacing w:val="-2"/>
        </w:rPr>
        <w:t>j</w:t>
      </w:r>
      <w:r w:rsidRPr="00E6210C">
        <w:rPr>
          <w:spacing w:val="-2"/>
        </w:rPr>
        <w:t>udgment</w:t>
      </w:r>
      <w:r w:rsidRPr="00E6210C">
        <w:rPr>
          <w:spacing w:val="-2"/>
        </w:rPr>
        <w:t xml:space="preserve"> of the Superior Court of </w:t>
      </w:r>
      <w:r w:rsidRPr="00E6210C">
        <w:rPr>
          <w:spacing w:val="-2"/>
        </w:rPr>
        <w:t>Los Angeles County</w:t>
      </w:r>
      <w:r w:rsidRPr="00E6210C">
        <w:rPr>
          <w:spacing w:val="-2"/>
        </w:rPr>
        <w:t>,</w:t>
      </w:r>
      <w:r w:rsidRPr="00E6210C">
        <w:rPr>
          <w:spacing w:val="-2"/>
        </w:rPr>
        <w:t xml:space="preserve"> Christopher K. Lui</w:t>
      </w:r>
      <w:r w:rsidRPr="00E6210C">
        <w:rPr>
          <w:spacing w:val="-2"/>
        </w:rPr>
        <w:t>, Judge.</w:t>
      </w:r>
      <w:r w:rsidRPr="00E6210C">
        <w:rPr>
          <w:spacing w:val="-2"/>
        </w:rPr>
        <w:t xml:space="preserve"> </w:t>
      </w:r>
      <w:r w:rsidRPr="00E6210C">
        <w:rPr>
          <w:spacing w:val="-2"/>
        </w:rPr>
        <w:t xml:space="preserve"> Affirmed</w:t>
      </w:r>
      <w:r w:rsidRPr="00E6210C">
        <w:rPr>
          <w:spacing w:val="-2"/>
        </w:rPr>
        <w:t xml:space="preserve"> in part and reversed in part</w:t>
      </w:r>
      <w:r w:rsidRPr="00E6210C">
        <w:rPr>
          <w:spacing w:val="-2"/>
        </w:rPr>
        <w:t>.</w:t>
      </w:r>
    </w:p>
    <w:p w14:paraId="43BD203F" w14:textId="77777777" w:rsidR="00B2782B" w:rsidRPr="00E6210C" w:rsidRDefault="00B2782B" w:rsidP="00223DFA">
      <w:pPr>
        <w:spacing w:line="288" w:lineRule="auto"/>
        <w:contextualSpacing/>
        <w:rPr>
          <w:spacing w:val="-2"/>
        </w:rPr>
      </w:pPr>
      <w:r w:rsidRPr="00E6210C">
        <w:rPr>
          <w:spacing w:val="-2"/>
        </w:rPr>
        <w:lastRenderedPageBreak/>
        <w:tab/>
      </w:r>
      <w:r w:rsidRPr="00E6210C">
        <w:rPr>
          <w:spacing w:val="-2"/>
        </w:rPr>
        <w:t>Horvitz &amp; Levy, David M. Axelrad, John A. Taylor, Jr.</w:t>
      </w:r>
      <w:r w:rsidRPr="00E6210C">
        <w:rPr>
          <w:spacing w:val="-2"/>
        </w:rPr>
        <w:t>;</w:t>
      </w:r>
      <w:r w:rsidRPr="00E6210C">
        <w:rPr>
          <w:spacing w:val="-2"/>
        </w:rPr>
        <w:t xml:space="preserve"> Kaufman, </w:t>
      </w:r>
      <w:proofErr w:type="spellStart"/>
      <w:r w:rsidRPr="00E6210C">
        <w:rPr>
          <w:spacing w:val="-2"/>
        </w:rPr>
        <w:t>Dolowich</w:t>
      </w:r>
      <w:proofErr w:type="spellEnd"/>
      <w:r w:rsidRPr="00E6210C">
        <w:rPr>
          <w:spacing w:val="-2"/>
        </w:rPr>
        <w:t xml:space="preserve"> &amp; </w:t>
      </w:r>
      <w:proofErr w:type="spellStart"/>
      <w:r w:rsidRPr="00E6210C">
        <w:rPr>
          <w:spacing w:val="-2"/>
        </w:rPr>
        <w:t>Voluck</w:t>
      </w:r>
      <w:proofErr w:type="spellEnd"/>
      <w:r w:rsidRPr="00E6210C">
        <w:rPr>
          <w:spacing w:val="-2"/>
        </w:rPr>
        <w:t>, Richard C</w:t>
      </w:r>
      <w:r w:rsidRPr="00E6210C">
        <w:rPr>
          <w:spacing w:val="-2"/>
        </w:rPr>
        <w:t>.</w:t>
      </w:r>
      <w:r w:rsidRPr="00E6210C">
        <w:rPr>
          <w:spacing w:val="-2"/>
        </w:rPr>
        <w:t xml:space="preserve"> Greenberg, Samantha F. Lamberg, and Michael J. Weinberger, for </w:t>
      </w:r>
      <w:r w:rsidRPr="00E6210C">
        <w:rPr>
          <w:spacing w:val="-2"/>
        </w:rPr>
        <w:t>Plaintiffs</w:t>
      </w:r>
      <w:r w:rsidRPr="00E6210C">
        <w:rPr>
          <w:spacing w:val="-2"/>
        </w:rPr>
        <w:t xml:space="preserve"> and Appellants. </w:t>
      </w:r>
    </w:p>
    <w:p w14:paraId="498AE5EE" w14:textId="77777777" w:rsidR="00B2782B" w:rsidRPr="00E6210C" w:rsidRDefault="00B2782B" w:rsidP="00223DFA">
      <w:pPr>
        <w:spacing w:line="288" w:lineRule="auto"/>
        <w:contextualSpacing/>
        <w:rPr>
          <w:spacing w:val="-2"/>
        </w:rPr>
      </w:pPr>
      <w:r w:rsidRPr="00E6210C">
        <w:rPr>
          <w:spacing w:val="-2"/>
        </w:rPr>
        <w:tab/>
        <w:t xml:space="preserve">Greenberg </w:t>
      </w:r>
      <w:proofErr w:type="spellStart"/>
      <w:r w:rsidRPr="00E6210C">
        <w:rPr>
          <w:spacing w:val="-2"/>
        </w:rPr>
        <w:t>Glusker</w:t>
      </w:r>
      <w:proofErr w:type="spellEnd"/>
      <w:r w:rsidRPr="00E6210C">
        <w:rPr>
          <w:spacing w:val="-2"/>
        </w:rPr>
        <w:t xml:space="preserve"> Fields Claman &amp; </w:t>
      </w:r>
      <w:proofErr w:type="spellStart"/>
      <w:r w:rsidRPr="00E6210C">
        <w:rPr>
          <w:spacing w:val="-2"/>
        </w:rPr>
        <w:t>Machtinger</w:t>
      </w:r>
      <w:proofErr w:type="spellEnd"/>
      <w:r w:rsidRPr="00E6210C">
        <w:rPr>
          <w:spacing w:val="-2"/>
        </w:rPr>
        <w:t>, Ricardo P. Cestero</w:t>
      </w:r>
      <w:r w:rsidRPr="00E6210C">
        <w:rPr>
          <w:spacing w:val="-2"/>
        </w:rPr>
        <w:t xml:space="preserve">; </w:t>
      </w:r>
      <w:r w:rsidRPr="00E6210C">
        <w:rPr>
          <w:spacing w:val="-2"/>
        </w:rPr>
        <w:t xml:space="preserve">Chuck &amp; </w:t>
      </w:r>
      <w:proofErr w:type="spellStart"/>
      <w:r w:rsidRPr="00E6210C">
        <w:rPr>
          <w:spacing w:val="-2"/>
        </w:rPr>
        <w:t>Tsoong</w:t>
      </w:r>
      <w:proofErr w:type="spellEnd"/>
      <w:r w:rsidRPr="00E6210C">
        <w:rPr>
          <w:spacing w:val="-2"/>
        </w:rPr>
        <w:t>, Stephen C. Chuck</w:t>
      </w:r>
      <w:r w:rsidRPr="00E6210C">
        <w:rPr>
          <w:spacing w:val="-2"/>
        </w:rPr>
        <w:t>;</w:t>
      </w:r>
      <w:r w:rsidRPr="00E6210C">
        <w:rPr>
          <w:spacing w:val="-2"/>
        </w:rPr>
        <w:t xml:space="preserve"> Greines</w:t>
      </w:r>
      <w:r w:rsidRPr="00E6210C">
        <w:rPr>
          <w:spacing w:val="-2"/>
        </w:rPr>
        <w:t>,</w:t>
      </w:r>
      <w:r w:rsidRPr="00E6210C">
        <w:rPr>
          <w:spacing w:val="-2"/>
        </w:rPr>
        <w:t xml:space="preserve"> Martin, Stein &amp; Richland, Kent L. Richland, David E. </w:t>
      </w:r>
      <w:r w:rsidRPr="00E6210C">
        <w:rPr>
          <w:spacing w:val="-2"/>
        </w:rPr>
        <w:t>Hackett</w:t>
      </w:r>
      <w:r w:rsidRPr="00E6210C">
        <w:rPr>
          <w:spacing w:val="-2"/>
        </w:rPr>
        <w:t>,</w:t>
      </w:r>
      <w:r w:rsidRPr="00E6210C">
        <w:rPr>
          <w:spacing w:val="-2"/>
        </w:rPr>
        <w:t xml:space="preserve"> and Stefan C. Love</w:t>
      </w:r>
      <w:r w:rsidRPr="00E6210C">
        <w:rPr>
          <w:spacing w:val="-2"/>
        </w:rPr>
        <w:t>,</w:t>
      </w:r>
      <w:r w:rsidRPr="00E6210C">
        <w:rPr>
          <w:spacing w:val="-2"/>
        </w:rPr>
        <w:t xml:space="preserve"> for Petitioner and </w:t>
      </w:r>
      <w:r w:rsidRPr="00E6210C">
        <w:rPr>
          <w:spacing w:val="-2"/>
        </w:rPr>
        <w:t>Respondent</w:t>
      </w:r>
      <w:r w:rsidRPr="00E6210C">
        <w:rPr>
          <w:spacing w:val="-2"/>
        </w:rPr>
        <w:t xml:space="preserve">. </w:t>
      </w:r>
    </w:p>
    <w:p w14:paraId="70A3BB84" w14:textId="77777777" w:rsidR="00B2782B" w:rsidRPr="00E6210C" w:rsidRDefault="00B2782B" w:rsidP="00223DFA">
      <w:pPr>
        <w:spacing w:line="288" w:lineRule="auto"/>
        <w:contextualSpacing/>
        <w:rPr>
          <w:spacing w:val="-2"/>
        </w:rPr>
      </w:pPr>
    </w:p>
    <w:p w14:paraId="545DB1E9" w14:textId="77777777" w:rsidR="00B2782B" w:rsidRPr="00E6210C" w:rsidRDefault="00B2782B" w:rsidP="0008222F">
      <w:pPr>
        <w:jc w:val="center"/>
      </w:pPr>
      <w:r w:rsidRPr="00E6210C">
        <w:t>____________________________</w:t>
      </w:r>
    </w:p>
    <w:p w14:paraId="297F1455" w14:textId="77777777" w:rsidR="00B2782B" w:rsidRPr="00E6210C" w:rsidRDefault="00B2782B" w:rsidP="00223DFA">
      <w:pPr>
        <w:spacing w:line="288" w:lineRule="auto"/>
        <w:contextualSpacing/>
        <w:rPr>
          <w:spacing w:val="-2"/>
        </w:rPr>
      </w:pPr>
    </w:p>
    <w:p w14:paraId="0B3BCECF" w14:textId="77777777" w:rsidR="00B2782B" w:rsidRPr="00E6210C" w:rsidRDefault="00B2782B" w:rsidP="00223DFA">
      <w:pPr>
        <w:spacing w:after="0" w:line="288" w:lineRule="auto"/>
        <w:rPr>
          <w:spacing w:val="-2"/>
        </w:rPr>
      </w:pPr>
      <w:r w:rsidRPr="00E6210C">
        <w:rPr>
          <w:spacing w:val="-2"/>
        </w:rPr>
        <w:tab/>
        <w:t xml:space="preserve">The Rolling Hills Community Association of Rancho Palos Verdes (the Association) appeals </w:t>
      </w:r>
      <w:r w:rsidRPr="00E6210C">
        <w:rPr>
          <w:spacing w:val="-2"/>
        </w:rPr>
        <w:t xml:space="preserve">the </w:t>
      </w:r>
      <w:r w:rsidRPr="00E6210C">
        <w:rPr>
          <w:spacing w:val="-2"/>
        </w:rPr>
        <w:t xml:space="preserve">judgment in favor of Richard </w:t>
      </w:r>
      <w:r w:rsidRPr="00E6210C">
        <w:rPr>
          <w:spacing w:val="-2"/>
        </w:rPr>
        <w:t xml:space="preserve">C. </w:t>
      </w:r>
      <w:proofErr w:type="spellStart"/>
      <w:r w:rsidRPr="00E6210C">
        <w:rPr>
          <w:spacing w:val="-2"/>
        </w:rPr>
        <w:t>Colyear</w:t>
      </w:r>
      <w:proofErr w:type="spellEnd"/>
      <w:r w:rsidRPr="00E6210C">
        <w:rPr>
          <w:spacing w:val="-2"/>
        </w:rPr>
        <w:t xml:space="preserve"> </w:t>
      </w:r>
      <w:r w:rsidRPr="00E6210C">
        <w:rPr>
          <w:spacing w:val="-2"/>
        </w:rPr>
        <w:t>on his claim for</w:t>
      </w:r>
      <w:r w:rsidRPr="00E6210C">
        <w:rPr>
          <w:spacing w:val="-2"/>
        </w:rPr>
        <w:t xml:space="preserve"> declaratory</w:t>
      </w:r>
      <w:r w:rsidRPr="00E6210C">
        <w:rPr>
          <w:spacing w:val="-2"/>
        </w:rPr>
        <w:t xml:space="preserve"> relief,</w:t>
      </w:r>
      <w:r w:rsidRPr="00E6210C">
        <w:rPr>
          <w:spacing w:val="-2"/>
        </w:rPr>
        <w:t xml:space="preserve"> an injuncti</w:t>
      </w:r>
      <w:r w:rsidRPr="00E6210C">
        <w:rPr>
          <w:spacing w:val="-2"/>
        </w:rPr>
        <w:t>on</w:t>
      </w:r>
      <w:r w:rsidRPr="00E6210C">
        <w:rPr>
          <w:spacing w:val="-2"/>
        </w:rPr>
        <w:t>,</w:t>
      </w:r>
      <w:r w:rsidRPr="00E6210C">
        <w:rPr>
          <w:spacing w:val="-2"/>
        </w:rPr>
        <w:t xml:space="preserve"> </w:t>
      </w:r>
      <w:r w:rsidRPr="00E6210C">
        <w:rPr>
          <w:spacing w:val="-2"/>
        </w:rPr>
        <w:t>and</w:t>
      </w:r>
      <w:r w:rsidRPr="00E6210C">
        <w:rPr>
          <w:spacing w:val="-2"/>
        </w:rPr>
        <w:t xml:space="preserve"> dam</w:t>
      </w:r>
      <w:r w:rsidRPr="00E6210C">
        <w:rPr>
          <w:spacing w:val="-2"/>
        </w:rPr>
        <w:t>a</w:t>
      </w:r>
      <w:r w:rsidRPr="00E6210C">
        <w:rPr>
          <w:spacing w:val="-2"/>
        </w:rPr>
        <w:t xml:space="preserve">ges for </w:t>
      </w:r>
      <w:r w:rsidRPr="00E6210C">
        <w:rPr>
          <w:spacing w:val="-2"/>
        </w:rPr>
        <w:t xml:space="preserve">breach of </w:t>
      </w:r>
      <w:r w:rsidRPr="00E6210C">
        <w:rPr>
          <w:spacing w:val="-2"/>
        </w:rPr>
        <w:t>fiduciary duty</w:t>
      </w:r>
      <w:r w:rsidRPr="00E6210C">
        <w:rPr>
          <w:spacing w:val="-2"/>
        </w:rPr>
        <w:t xml:space="preserve"> arising out of the Association’s tree-trimming covenant</w:t>
      </w:r>
      <w:r w:rsidRPr="00E6210C">
        <w:rPr>
          <w:spacing w:val="-2"/>
        </w:rPr>
        <w:t xml:space="preserve">. </w:t>
      </w:r>
      <w:r w:rsidRPr="00E6210C">
        <w:rPr>
          <w:spacing w:val="-2"/>
        </w:rPr>
        <w:t xml:space="preserve"> </w:t>
      </w:r>
      <w:proofErr w:type="spellStart"/>
      <w:r w:rsidRPr="00E6210C">
        <w:rPr>
          <w:spacing w:val="-2"/>
        </w:rPr>
        <w:t>Colyear</w:t>
      </w:r>
      <w:proofErr w:type="spellEnd"/>
      <w:r w:rsidRPr="00E6210C">
        <w:rPr>
          <w:spacing w:val="-2"/>
        </w:rPr>
        <w:t xml:space="preserve"> cross-appeals </w:t>
      </w:r>
      <w:r w:rsidRPr="00E6210C">
        <w:rPr>
          <w:spacing w:val="-2"/>
        </w:rPr>
        <w:t xml:space="preserve">the </w:t>
      </w:r>
      <w:r w:rsidRPr="00E6210C">
        <w:rPr>
          <w:spacing w:val="-2"/>
        </w:rPr>
        <w:t xml:space="preserve">denial of his claim for quiet title. </w:t>
      </w:r>
      <w:r w:rsidRPr="00E6210C">
        <w:rPr>
          <w:spacing w:val="-2"/>
        </w:rPr>
        <w:t xml:space="preserve"> </w:t>
      </w:r>
      <w:r w:rsidRPr="00E6210C">
        <w:rPr>
          <w:spacing w:val="-2"/>
        </w:rPr>
        <w:t>In the published portion of this opinion, w</w:t>
      </w:r>
      <w:r w:rsidRPr="00E6210C">
        <w:rPr>
          <w:spacing w:val="-2"/>
        </w:rPr>
        <w:t>e affirm the judgment as to the claim for declaratory relief</w:t>
      </w:r>
      <w:r w:rsidRPr="00E6210C">
        <w:rPr>
          <w:spacing w:val="-2"/>
        </w:rPr>
        <w:t xml:space="preserve">.  In the unpublished portion of the opinion, we affirm the judgment as to </w:t>
      </w:r>
      <w:proofErr w:type="spellStart"/>
      <w:r w:rsidRPr="00E6210C">
        <w:rPr>
          <w:spacing w:val="-2"/>
        </w:rPr>
        <w:t>Colyear’s</w:t>
      </w:r>
      <w:proofErr w:type="spellEnd"/>
      <w:r w:rsidRPr="00E6210C">
        <w:rPr>
          <w:spacing w:val="-2"/>
        </w:rPr>
        <w:t xml:space="preserve"> claim of</w:t>
      </w:r>
      <w:r w:rsidRPr="00E6210C">
        <w:rPr>
          <w:spacing w:val="-2"/>
        </w:rPr>
        <w:t xml:space="preserve"> quiet title</w:t>
      </w:r>
      <w:r w:rsidRPr="00E6210C">
        <w:rPr>
          <w:spacing w:val="-2"/>
        </w:rPr>
        <w:t xml:space="preserve"> and</w:t>
      </w:r>
      <w:r w:rsidRPr="00E6210C">
        <w:rPr>
          <w:spacing w:val="-2"/>
        </w:rPr>
        <w:t xml:space="preserve"> reverse</w:t>
      </w:r>
      <w:r w:rsidRPr="00E6210C">
        <w:rPr>
          <w:spacing w:val="-2"/>
        </w:rPr>
        <w:t xml:space="preserve"> </w:t>
      </w:r>
      <w:r w:rsidRPr="00E6210C">
        <w:rPr>
          <w:spacing w:val="-2"/>
        </w:rPr>
        <w:t>with respect to the claim</w:t>
      </w:r>
      <w:r w:rsidRPr="00E6210C">
        <w:rPr>
          <w:spacing w:val="-2"/>
        </w:rPr>
        <w:t>s</w:t>
      </w:r>
      <w:r w:rsidRPr="00E6210C">
        <w:rPr>
          <w:spacing w:val="-2"/>
        </w:rPr>
        <w:t xml:space="preserve"> for </w:t>
      </w:r>
      <w:r w:rsidRPr="00E6210C">
        <w:rPr>
          <w:spacing w:val="-2"/>
        </w:rPr>
        <w:t>injunctive relief</w:t>
      </w:r>
      <w:r w:rsidRPr="00E6210C">
        <w:rPr>
          <w:spacing w:val="-2"/>
        </w:rPr>
        <w:t>,</w:t>
      </w:r>
      <w:r w:rsidRPr="00E6210C">
        <w:rPr>
          <w:spacing w:val="-2"/>
        </w:rPr>
        <w:t xml:space="preserve"> </w:t>
      </w:r>
      <w:r w:rsidRPr="00E6210C">
        <w:rPr>
          <w:spacing w:val="-2"/>
        </w:rPr>
        <w:t>breach of fiduciary duty against the Association</w:t>
      </w:r>
      <w:r w:rsidRPr="00E6210C">
        <w:rPr>
          <w:spacing w:val="-2"/>
        </w:rPr>
        <w:t>,</w:t>
      </w:r>
      <w:r w:rsidRPr="00E6210C">
        <w:rPr>
          <w:spacing w:val="-2"/>
        </w:rPr>
        <w:t xml:space="preserve"> and the </w:t>
      </w:r>
      <w:r w:rsidRPr="00E6210C">
        <w:rPr>
          <w:spacing w:val="-2"/>
        </w:rPr>
        <w:t>attorney fees</w:t>
      </w:r>
      <w:r w:rsidRPr="00E6210C">
        <w:rPr>
          <w:spacing w:val="-2"/>
        </w:rPr>
        <w:t xml:space="preserve"> award against the </w:t>
      </w:r>
      <w:r w:rsidRPr="00E6210C">
        <w:rPr>
          <w:spacing w:val="-2"/>
        </w:rPr>
        <w:t xml:space="preserve">Association’s </w:t>
      </w:r>
      <w:r w:rsidRPr="00E6210C">
        <w:rPr>
          <w:spacing w:val="-2"/>
        </w:rPr>
        <w:t xml:space="preserve">individual directors. </w:t>
      </w:r>
    </w:p>
    <w:p w14:paraId="10798B15" w14:textId="77777777" w:rsidR="00B2782B" w:rsidRPr="00E6210C" w:rsidRDefault="00B2782B" w:rsidP="00223DFA">
      <w:pPr>
        <w:spacing w:after="0" w:line="288" w:lineRule="auto"/>
        <w:rPr>
          <w:spacing w:val="-2"/>
        </w:rPr>
      </w:pPr>
    </w:p>
    <w:p w14:paraId="21D95ABB" w14:textId="77777777" w:rsidR="00B2782B" w:rsidRPr="00E6210C" w:rsidRDefault="00B2782B" w:rsidP="00223DFA">
      <w:pPr>
        <w:keepNext/>
        <w:spacing w:after="0" w:line="288" w:lineRule="auto"/>
        <w:jc w:val="center"/>
        <w:rPr>
          <w:b/>
          <w:bCs/>
          <w:spacing w:val="-2"/>
        </w:rPr>
      </w:pPr>
      <w:r w:rsidRPr="00E6210C">
        <w:rPr>
          <w:b/>
          <w:bCs/>
          <w:spacing w:val="-2"/>
        </w:rPr>
        <w:t>FACTUAL</w:t>
      </w:r>
      <w:r w:rsidRPr="00E6210C">
        <w:rPr>
          <w:b/>
          <w:bCs/>
          <w:spacing w:val="-2"/>
        </w:rPr>
        <w:t xml:space="preserve"> </w:t>
      </w:r>
      <w:r w:rsidRPr="00E6210C">
        <w:rPr>
          <w:b/>
          <w:bCs/>
          <w:spacing w:val="-2"/>
        </w:rPr>
        <w:t xml:space="preserve">BACKGROUND </w:t>
      </w:r>
    </w:p>
    <w:p w14:paraId="2A7A70F5" w14:textId="77777777" w:rsidR="00B2782B" w:rsidRPr="00E6210C" w:rsidRDefault="00B2782B" w:rsidP="00223DFA">
      <w:pPr>
        <w:spacing w:after="0" w:line="288" w:lineRule="auto"/>
        <w:rPr>
          <w:spacing w:val="-2"/>
        </w:rPr>
      </w:pPr>
      <w:r w:rsidRPr="00E6210C">
        <w:rPr>
          <w:spacing w:val="-2"/>
        </w:rPr>
        <w:tab/>
        <w:t xml:space="preserve">In the mid-1930s, </w:t>
      </w:r>
      <w:r w:rsidRPr="00E6210C">
        <w:rPr>
          <w:spacing w:val="-2"/>
        </w:rPr>
        <w:t xml:space="preserve">the </w:t>
      </w:r>
      <w:r w:rsidRPr="00E6210C">
        <w:rPr>
          <w:spacing w:val="-2"/>
        </w:rPr>
        <w:t xml:space="preserve">Palos Verdes Corporation (PVC) acquired a large portion of the Palos Verdes Peninsula and began subdividing Rolling Hills. </w:t>
      </w:r>
      <w:r w:rsidRPr="00E6210C">
        <w:rPr>
          <w:spacing w:val="-2"/>
        </w:rPr>
        <w:t xml:space="preserve"> </w:t>
      </w:r>
      <w:r w:rsidRPr="00E6210C">
        <w:rPr>
          <w:spacing w:val="-2"/>
        </w:rPr>
        <w:t xml:space="preserve">The community was envisioned as </w:t>
      </w:r>
      <w:r w:rsidRPr="00E6210C">
        <w:rPr>
          <w:spacing w:val="-2"/>
        </w:rPr>
        <w:t xml:space="preserve">a place where residents could enjoy </w:t>
      </w:r>
      <w:r w:rsidRPr="00E6210C">
        <w:rPr>
          <w:spacing w:val="-2"/>
        </w:rPr>
        <w:t xml:space="preserve">country living and </w:t>
      </w:r>
      <w:r w:rsidRPr="00E6210C">
        <w:rPr>
          <w:spacing w:val="-2"/>
        </w:rPr>
        <w:t xml:space="preserve">was </w:t>
      </w:r>
      <w:r w:rsidRPr="00E6210C">
        <w:rPr>
          <w:spacing w:val="-2"/>
        </w:rPr>
        <w:t xml:space="preserve">extolled for its views. </w:t>
      </w:r>
      <w:r w:rsidRPr="00E6210C">
        <w:rPr>
          <w:spacing w:val="-2"/>
        </w:rPr>
        <w:t xml:space="preserve"> </w:t>
      </w:r>
      <w:r w:rsidRPr="00E6210C">
        <w:rPr>
          <w:spacing w:val="-2"/>
        </w:rPr>
        <w:t xml:space="preserve">Beginning in 1936, PVC carved out its first tract and </w:t>
      </w:r>
      <w:r w:rsidRPr="00E6210C">
        <w:rPr>
          <w:spacing w:val="-2"/>
        </w:rPr>
        <w:lastRenderedPageBreak/>
        <w:t xml:space="preserve">recorded a </w:t>
      </w:r>
      <w:r w:rsidRPr="00E6210C">
        <w:rPr>
          <w:spacing w:val="-2"/>
        </w:rPr>
        <w:t>d</w:t>
      </w:r>
      <w:r w:rsidRPr="00E6210C">
        <w:rPr>
          <w:spacing w:val="-2"/>
        </w:rPr>
        <w:t xml:space="preserve">eclaration of covenants and restrictions regarding that section. </w:t>
      </w:r>
      <w:r w:rsidRPr="00E6210C">
        <w:rPr>
          <w:spacing w:val="-2"/>
        </w:rPr>
        <w:t xml:space="preserve"> </w:t>
      </w:r>
      <w:r w:rsidRPr="00E6210C">
        <w:rPr>
          <w:spacing w:val="-2"/>
        </w:rPr>
        <w:t xml:space="preserve">Over the years, PVC annexed </w:t>
      </w:r>
      <w:r w:rsidRPr="00E6210C">
        <w:rPr>
          <w:spacing w:val="-2"/>
        </w:rPr>
        <w:t xml:space="preserve">more </w:t>
      </w:r>
      <w:r w:rsidRPr="00E6210C">
        <w:rPr>
          <w:spacing w:val="-2"/>
        </w:rPr>
        <w:t xml:space="preserve">tracts, each with its own declaration. </w:t>
      </w:r>
      <w:r w:rsidRPr="00E6210C">
        <w:rPr>
          <w:spacing w:val="-2"/>
        </w:rPr>
        <w:t xml:space="preserve"> </w:t>
      </w:r>
      <w:r w:rsidRPr="00E6210C">
        <w:rPr>
          <w:spacing w:val="-2"/>
        </w:rPr>
        <w:t xml:space="preserve">Although the original </w:t>
      </w:r>
      <w:r w:rsidRPr="00E6210C">
        <w:rPr>
          <w:spacing w:val="-2"/>
        </w:rPr>
        <w:t>tract</w:t>
      </w:r>
      <w:r w:rsidRPr="00E6210C">
        <w:rPr>
          <w:spacing w:val="-2"/>
        </w:rPr>
        <w:t xml:space="preserve"> and many subsequent tracts contained co</w:t>
      </w:r>
      <w:r w:rsidRPr="00E6210C">
        <w:rPr>
          <w:spacing w:val="-2"/>
        </w:rPr>
        <w:t>venants permitting the Association to trim trees on propert</w:t>
      </w:r>
      <w:r w:rsidRPr="00E6210C">
        <w:rPr>
          <w:spacing w:val="-2"/>
        </w:rPr>
        <w:t>ies</w:t>
      </w:r>
      <w:r w:rsidRPr="00E6210C">
        <w:rPr>
          <w:spacing w:val="-2"/>
        </w:rPr>
        <w:t xml:space="preserve"> to preserve views, </w:t>
      </w:r>
      <w:r w:rsidRPr="00E6210C">
        <w:rPr>
          <w:spacing w:val="-2"/>
        </w:rPr>
        <w:t>some</w:t>
      </w:r>
      <w:r w:rsidRPr="00E6210C">
        <w:rPr>
          <w:spacing w:val="-2"/>
        </w:rPr>
        <w:t xml:space="preserve"> did not. </w:t>
      </w:r>
    </w:p>
    <w:p w14:paraId="364C233F" w14:textId="77777777" w:rsidR="00B2782B" w:rsidRPr="00E6210C" w:rsidRDefault="00B2782B" w:rsidP="00223DFA">
      <w:pPr>
        <w:spacing w:after="0" w:line="288" w:lineRule="auto"/>
        <w:rPr>
          <w:spacing w:val="-2"/>
        </w:rPr>
      </w:pPr>
      <w:r w:rsidRPr="00E6210C">
        <w:rPr>
          <w:spacing w:val="-2"/>
        </w:rPr>
        <w:tab/>
        <w:t xml:space="preserve">As the years passed, trees grew, and view preservation became an issue in the community. </w:t>
      </w:r>
      <w:r w:rsidRPr="00E6210C">
        <w:rPr>
          <w:spacing w:val="-2"/>
        </w:rPr>
        <w:t xml:space="preserve"> </w:t>
      </w:r>
      <w:r w:rsidRPr="00E6210C">
        <w:rPr>
          <w:spacing w:val="-2"/>
        </w:rPr>
        <w:t xml:space="preserve">Richard </w:t>
      </w:r>
      <w:r w:rsidRPr="00E6210C">
        <w:rPr>
          <w:spacing w:val="-2"/>
        </w:rPr>
        <w:t xml:space="preserve">C. </w:t>
      </w:r>
      <w:proofErr w:type="spellStart"/>
      <w:r w:rsidRPr="00E6210C">
        <w:rPr>
          <w:spacing w:val="-2"/>
        </w:rPr>
        <w:t>Colyear</w:t>
      </w:r>
      <w:proofErr w:type="spellEnd"/>
      <w:r w:rsidRPr="00E6210C">
        <w:rPr>
          <w:spacing w:val="-2"/>
        </w:rPr>
        <w:t xml:space="preserve"> owned two parcels outside the original tract with a large garden containing many </w:t>
      </w:r>
      <w:r w:rsidRPr="00E6210C">
        <w:rPr>
          <w:spacing w:val="-2"/>
        </w:rPr>
        <w:t>mature</w:t>
      </w:r>
      <w:r w:rsidRPr="00E6210C">
        <w:rPr>
          <w:spacing w:val="-2"/>
        </w:rPr>
        <w:t xml:space="preserve"> trees. </w:t>
      </w:r>
      <w:r w:rsidRPr="00E6210C">
        <w:rPr>
          <w:spacing w:val="-2"/>
        </w:rPr>
        <w:t xml:space="preserve"> </w:t>
      </w:r>
      <w:r w:rsidRPr="00E6210C">
        <w:rPr>
          <w:spacing w:val="-2"/>
        </w:rPr>
        <w:t>Because t</w:t>
      </w:r>
      <w:r w:rsidRPr="00E6210C">
        <w:rPr>
          <w:spacing w:val="-2"/>
        </w:rPr>
        <w:t>he annexation declaration covering his property contained</w:t>
      </w:r>
      <w:r w:rsidRPr="00E6210C">
        <w:rPr>
          <w:spacing w:val="-2"/>
        </w:rPr>
        <w:t xml:space="preserve"> </w:t>
      </w:r>
      <w:r w:rsidRPr="00E6210C">
        <w:rPr>
          <w:spacing w:val="-2"/>
        </w:rPr>
        <w:t>no tree</w:t>
      </w:r>
      <w:r w:rsidRPr="00E6210C">
        <w:rPr>
          <w:spacing w:val="-2"/>
        </w:rPr>
        <w:t>-</w:t>
      </w:r>
      <w:r w:rsidRPr="00E6210C">
        <w:rPr>
          <w:spacing w:val="-2"/>
        </w:rPr>
        <w:t xml:space="preserve">trimming covenant, </w:t>
      </w:r>
      <w:proofErr w:type="spellStart"/>
      <w:r w:rsidRPr="00E6210C">
        <w:rPr>
          <w:spacing w:val="-2"/>
        </w:rPr>
        <w:t>Colyear</w:t>
      </w:r>
      <w:proofErr w:type="spellEnd"/>
      <w:r w:rsidRPr="00E6210C">
        <w:rPr>
          <w:spacing w:val="-2"/>
        </w:rPr>
        <w:t xml:space="preserve"> </w:t>
      </w:r>
      <w:r w:rsidRPr="00E6210C">
        <w:rPr>
          <w:spacing w:val="-2"/>
        </w:rPr>
        <w:t xml:space="preserve">preemptively </w:t>
      </w:r>
      <w:r w:rsidRPr="00E6210C">
        <w:rPr>
          <w:spacing w:val="-2"/>
        </w:rPr>
        <w:t xml:space="preserve">initiated this action to obtain, among other things, a declaration and injunction that the trees on his property </w:t>
      </w:r>
      <w:r w:rsidRPr="00E6210C">
        <w:rPr>
          <w:spacing w:val="-2"/>
        </w:rPr>
        <w:t xml:space="preserve">could </w:t>
      </w:r>
      <w:r w:rsidRPr="00E6210C">
        <w:rPr>
          <w:spacing w:val="-2"/>
        </w:rPr>
        <w:t xml:space="preserve">not be cut. </w:t>
      </w:r>
    </w:p>
    <w:p w14:paraId="21F1033A" w14:textId="77777777" w:rsidR="00B2782B" w:rsidRPr="00E6210C" w:rsidRDefault="00B2782B" w:rsidP="00223DFA">
      <w:pPr>
        <w:spacing w:after="0" w:line="288" w:lineRule="auto"/>
        <w:rPr>
          <w:spacing w:val="-2"/>
        </w:rPr>
      </w:pPr>
      <w:r w:rsidRPr="00E6210C">
        <w:rPr>
          <w:spacing w:val="-2"/>
        </w:rPr>
        <w:tab/>
        <w:t xml:space="preserve">The trial court agreed with </w:t>
      </w:r>
      <w:proofErr w:type="spellStart"/>
      <w:r w:rsidRPr="00E6210C">
        <w:rPr>
          <w:spacing w:val="-2"/>
        </w:rPr>
        <w:t>Colyear</w:t>
      </w:r>
      <w:proofErr w:type="spellEnd"/>
      <w:r w:rsidRPr="00E6210C">
        <w:rPr>
          <w:spacing w:val="-2"/>
        </w:rPr>
        <w:t xml:space="preserve">, relying on </w:t>
      </w:r>
      <w:r w:rsidRPr="00E6210C">
        <w:rPr>
          <w:i/>
          <w:iCs/>
          <w:spacing w:val="-2"/>
        </w:rPr>
        <w:t xml:space="preserve">Citizens for Covenant Compliance v. Anderson </w:t>
      </w:r>
      <w:r w:rsidRPr="00E6210C">
        <w:rPr>
          <w:spacing w:val="-2"/>
        </w:rPr>
        <w:t>(1995) 12 Cal.4th 345</w:t>
      </w:r>
      <w:r w:rsidRPr="00E6210C">
        <w:rPr>
          <w:spacing w:val="-2"/>
        </w:rPr>
        <w:t xml:space="preserve"> (</w:t>
      </w:r>
      <w:r w:rsidRPr="00E6210C">
        <w:rPr>
          <w:i/>
          <w:iCs/>
          <w:spacing w:val="-2"/>
        </w:rPr>
        <w:t>Citizens</w:t>
      </w:r>
      <w:r w:rsidRPr="00E6210C">
        <w:rPr>
          <w:spacing w:val="-2"/>
        </w:rPr>
        <w:t>)</w:t>
      </w:r>
      <w:r w:rsidRPr="00E6210C">
        <w:rPr>
          <w:spacing w:val="-2"/>
        </w:rPr>
        <w:t xml:space="preserve">.  In </w:t>
      </w:r>
      <w:r w:rsidRPr="00E6210C">
        <w:rPr>
          <w:i/>
          <w:iCs/>
          <w:spacing w:val="-2"/>
        </w:rPr>
        <w:t>Citizens</w:t>
      </w:r>
      <w:r w:rsidRPr="00E6210C">
        <w:rPr>
          <w:i/>
          <w:iCs/>
          <w:spacing w:val="-2"/>
        </w:rPr>
        <w:t xml:space="preserve">, </w:t>
      </w:r>
      <w:r w:rsidRPr="00E6210C">
        <w:rPr>
          <w:spacing w:val="-2"/>
        </w:rPr>
        <w:t xml:space="preserve">our Supreme Court held </w:t>
      </w:r>
      <w:r w:rsidRPr="00E6210C">
        <w:rPr>
          <w:spacing w:val="-2"/>
        </w:rPr>
        <w:t xml:space="preserve">a </w:t>
      </w:r>
      <w:r w:rsidRPr="00E6210C">
        <w:rPr>
          <w:spacing w:val="-2"/>
        </w:rPr>
        <w:t xml:space="preserve">covenant </w:t>
      </w:r>
      <w:r w:rsidRPr="00E6210C">
        <w:rPr>
          <w:spacing w:val="-2"/>
        </w:rPr>
        <w:t xml:space="preserve">in a declaration </w:t>
      </w:r>
      <w:r w:rsidRPr="00E6210C">
        <w:rPr>
          <w:spacing w:val="-2"/>
        </w:rPr>
        <w:t xml:space="preserve">establishing a general plan </w:t>
      </w:r>
      <w:r w:rsidRPr="00E6210C">
        <w:rPr>
          <w:spacing w:val="-2"/>
        </w:rPr>
        <w:t xml:space="preserve">for a </w:t>
      </w:r>
      <w:r w:rsidRPr="00E6210C">
        <w:rPr>
          <w:spacing w:val="-2"/>
        </w:rPr>
        <w:t xml:space="preserve">subdivision </w:t>
      </w:r>
      <w:r w:rsidRPr="00E6210C">
        <w:rPr>
          <w:spacing w:val="-2"/>
        </w:rPr>
        <w:t>is</w:t>
      </w:r>
      <w:r w:rsidRPr="00E6210C">
        <w:rPr>
          <w:spacing w:val="-2"/>
        </w:rPr>
        <w:t xml:space="preserve"> binding on property within the subdivision</w:t>
      </w:r>
      <w:r w:rsidRPr="00E6210C">
        <w:rPr>
          <w:spacing w:val="-2"/>
        </w:rPr>
        <w:t xml:space="preserve"> if </w:t>
      </w:r>
      <w:r w:rsidRPr="00E6210C">
        <w:rPr>
          <w:spacing w:val="-2"/>
        </w:rPr>
        <w:t>it is</w:t>
      </w:r>
      <w:r w:rsidRPr="00E6210C">
        <w:rPr>
          <w:spacing w:val="-2"/>
        </w:rPr>
        <w:t xml:space="preserve"> recorded before the </w:t>
      </w:r>
      <w:r w:rsidRPr="00E6210C">
        <w:rPr>
          <w:spacing w:val="-2"/>
        </w:rPr>
        <w:t>execution of the contract of sale</w:t>
      </w:r>
      <w:r w:rsidRPr="00E6210C">
        <w:rPr>
          <w:spacing w:val="-2"/>
        </w:rPr>
        <w:t>, describe</w:t>
      </w:r>
      <w:r w:rsidRPr="00E6210C">
        <w:rPr>
          <w:spacing w:val="-2"/>
        </w:rPr>
        <w:t>s</w:t>
      </w:r>
      <w:r w:rsidRPr="00E6210C">
        <w:rPr>
          <w:spacing w:val="-2"/>
        </w:rPr>
        <w:t xml:space="preserve"> the property, and state</w:t>
      </w:r>
      <w:r w:rsidRPr="00E6210C">
        <w:rPr>
          <w:spacing w:val="-2"/>
        </w:rPr>
        <w:t>s</w:t>
      </w:r>
      <w:r w:rsidRPr="00E6210C">
        <w:rPr>
          <w:spacing w:val="-2"/>
        </w:rPr>
        <w:t xml:space="preserve"> that </w:t>
      </w:r>
      <w:r w:rsidRPr="00E6210C">
        <w:rPr>
          <w:spacing w:val="-2"/>
        </w:rPr>
        <w:t xml:space="preserve">it is </w:t>
      </w:r>
      <w:r w:rsidRPr="00E6210C">
        <w:rPr>
          <w:spacing w:val="-2"/>
        </w:rPr>
        <w:t>to bind purchasers</w:t>
      </w:r>
      <w:r w:rsidRPr="00E6210C">
        <w:rPr>
          <w:spacing w:val="-2"/>
        </w:rPr>
        <w:t xml:space="preserve">, even </w:t>
      </w:r>
      <w:r w:rsidRPr="00E6210C">
        <w:rPr>
          <w:spacing w:val="-2"/>
        </w:rPr>
        <w:t>if</w:t>
      </w:r>
      <w:r w:rsidRPr="00E6210C">
        <w:rPr>
          <w:spacing w:val="-2"/>
        </w:rPr>
        <w:t xml:space="preserve"> </w:t>
      </w:r>
      <w:r w:rsidRPr="00E6210C">
        <w:rPr>
          <w:spacing w:val="-2"/>
        </w:rPr>
        <w:t>the covenant</w:t>
      </w:r>
      <w:r w:rsidRPr="00E6210C">
        <w:rPr>
          <w:spacing w:val="-2"/>
        </w:rPr>
        <w:t xml:space="preserve"> is</w:t>
      </w:r>
      <w:r w:rsidRPr="00E6210C">
        <w:rPr>
          <w:spacing w:val="-2"/>
        </w:rPr>
        <w:t xml:space="preserve"> </w:t>
      </w:r>
      <w:r w:rsidRPr="00E6210C">
        <w:rPr>
          <w:spacing w:val="-2"/>
        </w:rPr>
        <w:t xml:space="preserve">not in the </w:t>
      </w:r>
      <w:r w:rsidRPr="00E6210C">
        <w:rPr>
          <w:spacing w:val="-2"/>
        </w:rPr>
        <w:t>deed</w:t>
      </w:r>
      <w:r w:rsidRPr="00E6210C">
        <w:rPr>
          <w:spacing w:val="-2"/>
        </w:rPr>
        <w:t xml:space="preserve">. </w:t>
      </w:r>
      <w:r w:rsidRPr="00E6210C">
        <w:rPr>
          <w:spacing w:val="-2"/>
        </w:rPr>
        <w:t xml:space="preserve"> </w:t>
      </w:r>
      <w:r w:rsidRPr="00E6210C">
        <w:rPr>
          <w:i/>
          <w:iCs/>
          <w:spacing w:val="-2"/>
        </w:rPr>
        <w:t xml:space="preserve">Citizens </w:t>
      </w:r>
      <w:r w:rsidRPr="00E6210C">
        <w:rPr>
          <w:spacing w:val="-2"/>
        </w:rPr>
        <w:t>makes clear, however, that its ruling applies to properties described</w:t>
      </w:r>
      <w:r w:rsidRPr="00E6210C">
        <w:rPr>
          <w:i/>
          <w:iCs/>
          <w:spacing w:val="-2"/>
        </w:rPr>
        <w:t xml:space="preserve"> </w:t>
      </w:r>
      <w:r w:rsidRPr="00E6210C">
        <w:rPr>
          <w:spacing w:val="-2"/>
        </w:rPr>
        <w:t>in th</w:t>
      </w:r>
      <w:r w:rsidRPr="00E6210C">
        <w:rPr>
          <w:spacing w:val="-2"/>
        </w:rPr>
        <w:t xml:space="preserve">e </w:t>
      </w:r>
      <w:r w:rsidRPr="00E6210C">
        <w:rPr>
          <w:spacing w:val="-2"/>
        </w:rPr>
        <w:t xml:space="preserve">declaration at the time of sale </w:t>
      </w:r>
      <w:r w:rsidRPr="00E6210C">
        <w:rPr>
          <w:spacing w:val="-2"/>
        </w:rPr>
        <w:t xml:space="preserve">because </w:t>
      </w:r>
      <w:r w:rsidRPr="00E6210C">
        <w:rPr>
          <w:spacing w:val="-2"/>
        </w:rPr>
        <w:t>the owners</w:t>
      </w:r>
      <w:r w:rsidRPr="00E6210C">
        <w:rPr>
          <w:spacing w:val="-2"/>
        </w:rPr>
        <w:t xml:space="preserve">, by their purchase, impliedly assent to the covenant’s terms. </w:t>
      </w:r>
      <w:r w:rsidRPr="00E6210C">
        <w:rPr>
          <w:spacing w:val="-2"/>
        </w:rPr>
        <w:t xml:space="preserve"> Because the tree</w:t>
      </w:r>
      <w:r w:rsidRPr="00E6210C">
        <w:rPr>
          <w:spacing w:val="-2"/>
        </w:rPr>
        <w:t>-</w:t>
      </w:r>
      <w:r w:rsidRPr="00E6210C">
        <w:rPr>
          <w:spacing w:val="-2"/>
        </w:rPr>
        <w:t xml:space="preserve">trimming covenant was not recorded against </w:t>
      </w:r>
      <w:proofErr w:type="spellStart"/>
      <w:r w:rsidRPr="00E6210C">
        <w:rPr>
          <w:spacing w:val="-2"/>
        </w:rPr>
        <w:t>Colyear’s</w:t>
      </w:r>
      <w:proofErr w:type="spellEnd"/>
      <w:r w:rsidRPr="00E6210C">
        <w:rPr>
          <w:spacing w:val="-2"/>
        </w:rPr>
        <w:t xml:space="preserve"> property when he purchased it, </w:t>
      </w:r>
      <w:r w:rsidRPr="00E6210C">
        <w:rPr>
          <w:spacing w:val="-2"/>
        </w:rPr>
        <w:t xml:space="preserve">the court found </w:t>
      </w:r>
      <w:r w:rsidRPr="00E6210C">
        <w:rPr>
          <w:spacing w:val="-2"/>
        </w:rPr>
        <w:t>he did not impliedly agree to the covenant’s terms.</w:t>
      </w:r>
    </w:p>
    <w:p w14:paraId="36158BA8" w14:textId="77777777" w:rsidR="00B2782B" w:rsidRPr="00E6210C" w:rsidRDefault="00B2782B" w:rsidP="00223DFA">
      <w:pPr>
        <w:spacing w:after="0" w:line="288" w:lineRule="auto"/>
        <w:rPr>
          <w:b/>
          <w:bCs/>
          <w:spacing w:val="-2"/>
        </w:rPr>
      </w:pPr>
    </w:p>
    <w:p w14:paraId="739B7FB9" w14:textId="77777777" w:rsidR="00B2782B" w:rsidRPr="00E6210C" w:rsidRDefault="00B2782B" w:rsidP="00223DFA">
      <w:pPr>
        <w:keepNext/>
        <w:spacing w:after="0" w:line="288" w:lineRule="auto"/>
        <w:rPr>
          <w:b/>
          <w:bCs/>
          <w:spacing w:val="-2"/>
        </w:rPr>
      </w:pPr>
      <w:r w:rsidRPr="00E6210C">
        <w:rPr>
          <w:b/>
          <w:bCs/>
          <w:spacing w:val="-2"/>
        </w:rPr>
        <w:lastRenderedPageBreak/>
        <w:t>A.</w:t>
      </w:r>
      <w:r w:rsidRPr="00E6210C">
        <w:rPr>
          <w:b/>
          <w:bCs/>
          <w:spacing w:val="-2"/>
        </w:rPr>
        <w:tab/>
        <w:t>Background of Rolling Hills Development</w:t>
      </w:r>
    </w:p>
    <w:p w14:paraId="2F7FD84A" w14:textId="77777777" w:rsidR="00B2782B" w:rsidRPr="00E6210C" w:rsidRDefault="00B2782B" w:rsidP="00223DFA">
      <w:pPr>
        <w:spacing w:after="0" w:line="288" w:lineRule="auto"/>
        <w:rPr>
          <w:spacing w:val="-2"/>
        </w:rPr>
      </w:pPr>
      <w:r w:rsidRPr="00E6210C">
        <w:rPr>
          <w:spacing w:val="-2"/>
        </w:rPr>
        <w:tab/>
      </w:r>
      <w:r w:rsidRPr="00E6210C">
        <w:rPr>
          <w:spacing w:val="-2"/>
        </w:rPr>
        <w:t xml:space="preserve">PVC </w:t>
      </w:r>
      <w:r w:rsidRPr="00E6210C">
        <w:rPr>
          <w:spacing w:val="-2"/>
        </w:rPr>
        <w:t>acquired Lot “</w:t>
      </w:r>
      <w:r w:rsidRPr="00E6210C">
        <w:rPr>
          <w:spacing w:val="-2"/>
        </w:rPr>
        <w:t>H,”</w:t>
      </w:r>
      <w:r w:rsidRPr="00E6210C">
        <w:rPr>
          <w:spacing w:val="-2"/>
        </w:rPr>
        <w:t xml:space="preserve"> </w:t>
      </w:r>
      <w:r w:rsidRPr="00E6210C">
        <w:rPr>
          <w:spacing w:val="-2"/>
        </w:rPr>
        <w:t>part</w:t>
      </w:r>
      <w:r w:rsidRPr="00E6210C">
        <w:rPr>
          <w:spacing w:val="-2"/>
        </w:rPr>
        <w:t xml:space="preserve"> of the old Rancho Palos Verdes, in 1926.  Most of the Palos Verdes Peninsula was contained within Lot “H,” including what is now the City of Rolling Hills.   </w:t>
      </w:r>
    </w:p>
    <w:p w14:paraId="569960EE" w14:textId="77777777" w:rsidR="00B2782B" w:rsidRPr="00E6210C" w:rsidRDefault="00B2782B" w:rsidP="00223DFA">
      <w:pPr>
        <w:spacing w:after="0" w:line="288" w:lineRule="auto"/>
        <w:rPr>
          <w:spacing w:val="-2"/>
          <w:sz w:val="28"/>
          <w:szCs w:val="28"/>
        </w:rPr>
      </w:pPr>
      <w:r w:rsidRPr="00E6210C">
        <w:rPr>
          <w:spacing w:val="-2"/>
        </w:rPr>
        <w:tab/>
        <w:t xml:space="preserve">Rolling Hills is a planned community. </w:t>
      </w:r>
      <w:r w:rsidRPr="00E6210C">
        <w:rPr>
          <w:spacing w:val="-2"/>
        </w:rPr>
        <w:t xml:space="preserve"> </w:t>
      </w:r>
      <w:r w:rsidRPr="00E6210C">
        <w:rPr>
          <w:spacing w:val="-2"/>
        </w:rPr>
        <w:t xml:space="preserve">At the time of its inception, there were no trees in Rolling Hills, with every lot enjoying a panoramic view of Santa Monica Bay and the local mountains.  </w:t>
      </w:r>
      <w:r w:rsidRPr="00E6210C">
        <w:rPr>
          <w:spacing w:val="-2"/>
        </w:rPr>
        <w:t>Rolling Hills</w:t>
      </w:r>
      <w:r w:rsidRPr="00E6210C">
        <w:rPr>
          <w:spacing w:val="-2"/>
        </w:rPr>
        <w:t xml:space="preserve"> had </w:t>
      </w:r>
      <w:r w:rsidRPr="00E6210C">
        <w:rPr>
          <w:spacing w:val="-2"/>
        </w:rPr>
        <w:t>large</w:t>
      </w:r>
      <w:r w:rsidRPr="00E6210C">
        <w:rPr>
          <w:spacing w:val="-2"/>
        </w:rPr>
        <w:t xml:space="preserve"> lots which offered the “</w:t>
      </w:r>
      <w:r w:rsidRPr="00E6210C">
        <w:rPr>
          <w:spacing w:val="-2"/>
        </w:rPr>
        <w:t xml:space="preserve">ideal outdoor life, seclusion, privacy, </w:t>
      </w:r>
      <w:r w:rsidRPr="00E6210C">
        <w:rPr>
          <w:spacing w:val="-2"/>
        </w:rPr>
        <w:t xml:space="preserve">recreation, horseback riding, cultivation of fruits and </w:t>
      </w:r>
      <w:proofErr w:type="gramStart"/>
      <w:r w:rsidRPr="00E6210C">
        <w:rPr>
          <w:spacing w:val="-2"/>
        </w:rPr>
        <w:t>vegetables</w:t>
      </w:r>
      <w:r w:rsidRPr="00E6210C">
        <w:rPr>
          <w:spacing w:val="-2"/>
        </w:rPr>
        <w:t>[</w:t>
      </w:r>
      <w:proofErr w:type="gramEnd"/>
      <w:r w:rsidRPr="00E6210C">
        <w:rPr>
          <w:spacing w:val="-2"/>
        </w:rPr>
        <w:t>,]</w:t>
      </w:r>
      <w:r w:rsidRPr="00E6210C">
        <w:rPr>
          <w:spacing w:val="-2"/>
        </w:rPr>
        <w:t xml:space="preserve"> and</w:t>
      </w:r>
      <w:r w:rsidRPr="00E6210C">
        <w:rPr>
          <w:spacing w:val="-2"/>
        </w:rPr>
        <w:t xml:space="preserve"> the</w:t>
      </w:r>
      <w:r w:rsidRPr="00E6210C">
        <w:rPr>
          <w:spacing w:val="-2"/>
        </w:rPr>
        <w:t xml:space="preserve"> enjoyment of</w:t>
      </w:r>
      <w:r w:rsidRPr="00E6210C">
        <w:rPr>
          <w:spacing w:val="-2"/>
        </w:rPr>
        <w:t xml:space="preserve"> </w:t>
      </w:r>
      <w:r w:rsidRPr="00E6210C">
        <w:rPr>
          <w:spacing w:val="-2"/>
        </w:rPr>
        <w:t xml:space="preserve">a </w:t>
      </w:r>
      <w:r w:rsidRPr="00E6210C">
        <w:rPr>
          <w:spacing w:val="-2"/>
        </w:rPr>
        <w:t xml:space="preserve">country </w:t>
      </w:r>
      <w:r w:rsidRPr="00E6210C">
        <w:rPr>
          <w:spacing w:val="-2"/>
        </w:rPr>
        <w:t xml:space="preserve">atmosphere, </w:t>
      </w:r>
      <w:r w:rsidRPr="00E6210C">
        <w:rPr>
          <w:spacing w:val="-2"/>
        </w:rPr>
        <w:t xml:space="preserve">all </w:t>
      </w:r>
      <w:r w:rsidRPr="00E6210C">
        <w:rPr>
          <w:spacing w:val="-2"/>
        </w:rPr>
        <w:t xml:space="preserve">protected by good </w:t>
      </w:r>
      <w:r w:rsidRPr="00E6210C">
        <w:rPr>
          <w:spacing w:val="-2"/>
        </w:rPr>
        <w:t>restrictions</w:t>
      </w:r>
      <w:r w:rsidRPr="00E6210C">
        <w:rPr>
          <w:spacing w:val="-2"/>
        </w:rPr>
        <w:t>.”</w:t>
      </w:r>
      <w:r w:rsidRPr="00E6210C">
        <w:rPr>
          <w:spacing w:val="-2"/>
        </w:rPr>
        <w:t xml:space="preserve"> </w:t>
      </w:r>
      <w:r w:rsidRPr="00E6210C">
        <w:rPr>
          <w:spacing w:val="-2"/>
        </w:rPr>
        <w:t xml:space="preserve"> </w:t>
      </w:r>
      <w:r w:rsidRPr="00E6210C">
        <w:rPr>
          <w:spacing w:val="-2"/>
        </w:rPr>
        <w:t xml:space="preserve">(Hanson, </w:t>
      </w:r>
      <w:r w:rsidRPr="00E6210C">
        <w:rPr>
          <w:i/>
          <w:iCs/>
          <w:spacing w:val="-2"/>
        </w:rPr>
        <w:t xml:space="preserve">Rolling Hills, The Early Years </w:t>
      </w:r>
      <w:r w:rsidRPr="00E6210C">
        <w:rPr>
          <w:spacing w:val="-2"/>
        </w:rPr>
        <w:t xml:space="preserve">(1978) </w:t>
      </w:r>
      <w:r w:rsidRPr="00E6210C">
        <w:rPr>
          <w:spacing w:val="-2"/>
        </w:rPr>
        <w:t>p. 24.)</w:t>
      </w:r>
      <w:r w:rsidRPr="00E6210C">
        <w:rPr>
          <w:spacing w:val="-2"/>
        </w:rPr>
        <w:t xml:space="preserve"> </w:t>
      </w:r>
      <w:r w:rsidRPr="00E6210C">
        <w:rPr>
          <w:spacing w:val="-2"/>
        </w:rPr>
        <w:t xml:space="preserve"> </w:t>
      </w:r>
      <w:r w:rsidRPr="00E6210C">
        <w:rPr>
          <w:spacing w:val="-2"/>
        </w:rPr>
        <w:t xml:space="preserve">As </w:t>
      </w:r>
      <w:r w:rsidRPr="00E6210C">
        <w:rPr>
          <w:spacing w:val="-2"/>
        </w:rPr>
        <w:t xml:space="preserve">further </w:t>
      </w:r>
      <w:r w:rsidRPr="00E6210C">
        <w:rPr>
          <w:spacing w:val="-2"/>
        </w:rPr>
        <w:t xml:space="preserve">described by the </w:t>
      </w:r>
      <w:r w:rsidRPr="00E6210C">
        <w:rPr>
          <w:spacing w:val="-2"/>
        </w:rPr>
        <w:t>Association’s</w:t>
      </w:r>
      <w:r w:rsidRPr="00E6210C">
        <w:rPr>
          <w:spacing w:val="-2"/>
        </w:rPr>
        <w:t xml:space="preserve"> attorney in the 1940s, “</w:t>
      </w:r>
      <w:r w:rsidRPr="00E6210C">
        <w:rPr>
          <w:spacing w:val="-2"/>
        </w:rPr>
        <w:t>[PVC’s] project in these hills contemplate</w:t>
      </w:r>
      <w:r w:rsidRPr="00E6210C">
        <w:rPr>
          <w:spacing w:val="-2"/>
        </w:rPr>
        <w:t>[d]</w:t>
      </w:r>
      <w:r w:rsidRPr="00E6210C">
        <w:rPr>
          <w:spacing w:val="-2"/>
        </w:rPr>
        <w:t xml:space="preserve"> a community </w:t>
      </w:r>
      <w:r w:rsidRPr="00E6210C">
        <w:rPr>
          <w:spacing w:val="-2"/>
        </w:rPr>
        <w:t>development</w:t>
      </w:r>
      <w:r w:rsidRPr="00E6210C">
        <w:rPr>
          <w:spacing w:val="-2"/>
        </w:rPr>
        <w:t xml:space="preserve"> of refinement, contentment, </w:t>
      </w:r>
      <w:r w:rsidRPr="00E6210C">
        <w:rPr>
          <w:spacing w:val="-2"/>
        </w:rPr>
        <w:t>rural</w:t>
      </w:r>
      <w:r w:rsidRPr="00E6210C">
        <w:rPr>
          <w:spacing w:val="-2"/>
        </w:rPr>
        <w:t xml:space="preserve"> composure, security, privacy and </w:t>
      </w:r>
      <w:r w:rsidRPr="00E6210C">
        <w:rPr>
          <w:spacing w:val="-2"/>
        </w:rPr>
        <w:t>isolation</w:t>
      </w:r>
      <w:r w:rsidRPr="00E6210C">
        <w:rPr>
          <w:spacing w:val="-2"/>
        </w:rPr>
        <w:t> </w:t>
      </w:r>
      <w:proofErr w:type="gramStart"/>
      <w:r w:rsidRPr="00E6210C">
        <w:rPr>
          <w:spacing w:val="-2"/>
        </w:rPr>
        <w:t>. . .</w:t>
      </w:r>
      <w:r w:rsidRPr="00E6210C">
        <w:rPr>
          <w:spacing w:val="-2"/>
        </w:rPr>
        <w:t> </w:t>
      </w:r>
      <w:r w:rsidRPr="00E6210C">
        <w:rPr>
          <w:spacing w:val="-2"/>
        </w:rPr>
        <w:t>.</w:t>
      </w:r>
      <w:proofErr w:type="gramEnd"/>
      <w:r w:rsidRPr="00E6210C">
        <w:rPr>
          <w:spacing w:val="-2"/>
        </w:rPr>
        <w:t xml:space="preserve">” </w:t>
      </w:r>
      <w:r w:rsidRPr="00E6210C">
        <w:rPr>
          <w:spacing w:val="-2"/>
        </w:rPr>
        <w:t xml:space="preserve"> </w:t>
      </w:r>
    </w:p>
    <w:p w14:paraId="55286054" w14:textId="77777777" w:rsidR="00B2782B" w:rsidRPr="00E6210C" w:rsidRDefault="00B2782B" w:rsidP="00223DFA">
      <w:pPr>
        <w:spacing w:after="0" w:line="288" w:lineRule="auto"/>
        <w:rPr>
          <w:spacing w:val="-2"/>
        </w:rPr>
      </w:pPr>
      <w:r w:rsidRPr="00E6210C">
        <w:rPr>
          <w:spacing w:val="-2"/>
        </w:rPr>
        <w:tab/>
      </w:r>
      <w:r w:rsidRPr="00E6210C">
        <w:rPr>
          <w:spacing w:val="-2"/>
        </w:rPr>
        <w:t xml:space="preserve">In 1936, the Association was incorporated with five volunteer directors.  </w:t>
      </w:r>
    </w:p>
    <w:p w14:paraId="09045681" w14:textId="77777777" w:rsidR="00B2782B" w:rsidRPr="00E6210C" w:rsidRDefault="00B2782B" w:rsidP="00223DFA">
      <w:pPr>
        <w:spacing w:after="0" w:line="288" w:lineRule="auto"/>
        <w:rPr>
          <w:spacing w:val="-2"/>
        </w:rPr>
      </w:pPr>
    </w:p>
    <w:p w14:paraId="06773A21" w14:textId="77777777" w:rsidR="00B2782B" w:rsidRPr="00E6210C" w:rsidRDefault="00B2782B" w:rsidP="00223DFA">
      <w:pPr>
        <w:keepNext/>
        <w:spacing w:after="0" w:line="288" w:lineRule="auto"/>
        <w:rPr>
          <w:b/>
          <w:bCs/>
          <w:spacing w:val="-2"/>
        </w:rPr>
      </w:pPr>
      <w:r w:rsidRPr="00E6210C">
        <w:rPr>
          <w:b/>
          <w:bCs/>
          <w:spacing w:val="-2"/>
        </w:rPr>
        <w:t>B.</w:t>
      </w:r>
      <w:r w:rsidRPr="00E6210C">
        <w:rPr>
          <w:b/>
          <w:bCs/>
          <w:spacing w:val="-2"/>
        </w:rPr>
        <w:tab/>
        <w:t>Recordation of Declaration</w:t>
      </w:r>
      <w:r w:rsidRPr="00E6210C">
        <w:rPr>
          <w:b/>
          <w:bCs/>
          <w:spacing w:val="-2"/>
        </w:rPr>
        <w:t xml:space="preserve"> </w:t>
      </w:r>
      <w:r w:rsidRPr="00E6210C">
        <w:rPr>
          <w:b/>
          <w:bCs/>
          <w:spacing w:val="-2"/>
        </w:rPr>
        <w:t>150</w:t>
      </w:r>
    </w:p>
    <w:p w14:paraId="26FDBE5C" w14:textId="77777777" w:rsidR="00B2782B" w:rsidRPr="00E6210C" w:rsidRDefault="00B2782B" w:rsidP="00223DFA">
      <w:pPr>
        <w:spacing w:after="0" w:line="288" w:lineRule="auto"/>
        <w:rPr>
          <w:spacing w:val="-2"/>
        </w:rPr>
      </w:pPr>
      <w:r w:rsidRPr="00E6210C">
        <w:rPr>
          <w:spacing w:val="-2"/>
        </w:rPr>
        <w:tab/>
        <w:t>The first phase of the development was initiated with the recordation of Declaration 150 on May</w:t>
      </w:r>
      <w:r w:rsidRPr="00E6210C">
        <w:rPr>
          <w:spacing w:val="-2"/>
        </w:rPr>
        <w:t> </w:t>
      </w:r>
      <w:r w:rsidRPr="00E6210C">
        <w:rPr>
          <w:spacing w:val="-2"/>
        </w:rPr>
        <w:t xml:space="preserve">14, 1936. </w:t>
      </w:r>
      <w:r w:rsidRPr="00E6210C">
        <w:rPr>
          <w:spacing w:val="-2"/>
        </w:rPr>
        <w:t xml:space="preserve"> </w:t>
      </w:r>
      <w:r w:rsidRPr="00E6210C">
        <w:rPr>
          <w:spacing w:val="-2"/>
        </w:rPr>
        <w:t xml:space="preserve">Declaration 150 stated that PVC “certifies and declares that it has established and does hereby establish the General Plan for the protection, maintenance, </w:t>
      </w:r>
      <w:proofErr w:type="gramStart"/>
      <w:r w:rsidRPr="00E6210C">
        <w:rPr>
          <w:spacing w:val="-2"/>
        </w:rPr>
        <w:t>improvement</w:t>
      </w:r>
      <w:r w:rsidRPr="00E6210C">
        <w:rPr>
          <w:spacing w:val="-2"/>
        </w:rPr>
        <w:t>[</w:t>
      </w:r>
      <w:proofErr w:type="gramEnd"/>
      <w:r w:rsidRPr="00E6210C">
        <w:rPr>
          <w:spacing w:val="-2"/>
        </w:rPr>
        <w:t>,]</w:t>
      </w:r>
      <w:r w:rsidRPr="00E6210C">
        <w:rPr>
          <w:spacing w:val="-2"/>
        </w:rPr>
        <w:t xml:space="preserve"> and development” of the land described in it.  The General Plan set forth “the general basic and local restrictions, conditions, covenants, reservations, liens and charges upon and subject to which all lots, parcels and portions of said property shall be held, leased or sold and/or conveyed.”  </w:t>
      </w:r>
      <w:r w:rsidRPr="00E6210C">
        <w:rPr>
          <w:spacing w:val="-2"/>
        </w:rPr>
        <w:lastRenderedPageBreak/>
        <w:t xml:space="preserve">Declaration 150 contained a </w:t>
      </w:r>
      <w:proofErr w:type="gramStart"/>
      <w:r w:rsidRPr="00E6210C">
        <w:rPr>
          <w:spacing w:val="-2"/>
        </w:rPr>
        <w:t>metes</w:t>
      </w:r>
      <w:proofErr w:type="gramEnd"/>
      <w:r w:rsidRPr="00E6210C">
        <w:rPr>
          <w:spacing w:val="-2"/>
        </w:rPr>
        <w:t xml:space="preserve"> </w:t>
      </w:r>
      <w:r w:rsidRPr="00E6210C">
        <w:rPr>
          <w:spacing w:val="-2"/>
        </w:rPr>
        <w:t xml:space="preserve">and bounds description of its boundaries, and </w:t>
      </w:r>
      <w:r w:rsidRPr="00E6210C">
        <w:rPr>
          <w:spacing w:val="-2"/>
        </w:rPr>
        <w:t xml:space="preserve">it </w:t>
      </w:r>
      <w:r w:rsidRPr="00E6210C">
        <w:rPr>
          <w:spacing w:val="-2"/>
        </w:rPr>
        <w:t xml:space="preserve">only covered a portion of Rolling Hills.  </w:t>
      </w:r>
    </w:p>
    <w:p w14:paraId="6F7C9600" w14:textId="77777777" w:rsidR="00B2782B" w:rsidRPr="00E6210C" w:rsidRDefault="00B2782B" w:rsidP="00223DFA">
      <w:pPr>
        <w:spacing w:after="0" w:line="288" w:lineRule="auto"/>
        <w:rPr>
          <w:spacing w:val="-2"/>
        </w:rPr>
      </w:pPr>
      <w:r w:rsidRPr="00E6210C">
        <w:rPr>
          <w:spacing w:val="-2"/>
        </w:rPr>
        <w:tab/>
        <w:t>Declaration 150 authorize</w:t>
      </w:r>
      <w:r w:rsidRPr="00E6210C">
        <w:rPr>
          <w:spacing w:val="-2"/>
        </w:rPr>
        <w:t>d</w:t>
      </w:r>
      <w:r w:rsidRPr="00E6210C">
        <w:rPr>
          <w:spacing w:val="-2"/>
        </w:rPr>
        <w:t xml:space="preserve"> the Association to interpret and enforce its provisions</w:t>
      </w:r>
      <w:r w:rsidRPr="00E6210C">
        <w:rPr>
          <w:spacing w:val="-2"/>
        </w:rPr>
        <w:t xml:space="preserve"> and</w:t>
      </w:r>
      <w:r w:rsidRPr="00E6210C">
        <w:rPr>
          <w:spacing w:val="-2"/>
        </w:rPr>
        <w:t xml:space="preserve"> the provisions of “any subsequent declaration.”  (See</w:t>
      </w:r>
      <w:r w:rsidRPr="00E6210C">
        <w:rPr>
          <w:spacing w:val="-2"/>
        </w:rPr>
        <w:t xml:space="preserve"> Declaration 150 Art.</w:t>
      </w:r>
      <w:r w:rsidRPr="00E6210C">
        <w:rPr>
          <w:spacing w:val="-2"/>
        </w:rPr>
        <w:t> </w:t>
      </w:r>
      <w:r w:rsidRPr="00E6210C">
        <w:rPr>
          <w:spacing w:val="-2"/>
        </w:rPr>
        <w:t xml:space="preserve">I, </w:t>
      </w:r>
      <w:r w:rsidRPr="00E6210C">
        <w:rPr>
          <w:spacing w:val="-2"/>
        </w:rPr>
        <w:t>§</w:t>
      </w:r>
      <w:r w:rsidRPr="00E6210C">
        <w:rPr>
          <w:spacing w:val="-2"/>
        </w:rPr>
        <w:t> </w:t>
      </w:r>
      <w:r w:rsidRPr="00E6210C">
        <w:rPr>
          <w:spacing w:val="-2"/>
        </w:rPr>
        <w:t>4</w:t>
      </w:r>
      <w:r w:rsidRPr="00E6210C">
        <w:rPr>
          <w:spacing w:val="-2"/>
        </w:rPr>
        <w:t>,</w:t>
      </w:r>
      <w:r w:rsidRPr="00E6210C">
        <w:rPr>
          <w:spacing w:val="-2"/>
        </w:rPr>
        <w:t xml:space="preserve"> </w:t>
      </w:r>
      <w:r w:rsidRPr="00E6210C">
        <w:rPr>
          <w:spacing w:val="-2"/>
        </w:rPr>
        <w:t>Art.</w:t>
      </w:r>
      <w:r w:rsidRPr="00E6210C">
        <w:rPr>
          <w:spacing w:val="-2"/>
        </w:rPr>
        <w:t> </w:t>
      </w:r>
      <w:r w:rsidRPr="00E6210C">
        <w:rPr>
          <w:spacing w:val="-2"/>
        </w:rPr>
        <w:t xml:space="preserve">II, </w:t>
      </w:r>
      <w:r w:rsidRPr="00E6210C">
        <w:rPr>
          <w:spacing w:val="-2"/>
        </w:rPr>
        <w:t>§</w:t>
      </w:r>
      <w:r w:rsidRPr="00E6210C">
        <w:rPr>
          <w:spacing w:val="-2"/>
        </w:rPr>
        <w:t> </w:t>
      </w:r>
      <w:r w:rsidRPr="00E6210C">
        <w:rPr>
          <w:spacing w:val="-2"/>
        </w:rPr>
        <w:t xml:space="preserve">2, </w:t>
      </w:r>
      <w:r w:rsidRPr="00E6210C">
        <w:rPr>
          <w:spacing w:val="-2"/>
        </w:rPr>
        <w:t>subd.</w:t>
      </w:r>
      <w:r w:rsidRPr="00E6210C">
        <w:rPr>
          <w:spacing w:val="-2"/>
        </w:rPr>
        <w:t> </w:t>
      </w:r>
      <w:r w:rsidRPr="00E6210C">
        <w:rPr>
          <w:spacing w:val="-2"/>
        </w:rPr>
        <w:t>(p)</w:t>
      </w:r>
      <w:r w:rsidRPr="00E6210C">
        <w:rPr>
          <w:spacing w:val="-2"/>
        </w:rPr>
        <w:t>,</w:t>
      </w:r>
      <w:r w:rsidRPr="00E6210C">
        <w:rPr>
          <w:spacing w:val="-2"/>
        </w:rPr>
        <w:t xml:space="preserve"> </w:t>
      </w:r>
      <w:r w:rsidRPr="00E6210C">
        <w:rPr>
          <w:spacing w:val="-2"/>
        </w:rPr>
        <w:t>Art.</w:t>
      </w:r>
      <w:r w:rsidRPr="00E6210C">
        <w:rPr>
          <w:spacing w:val="-2"/>
        </w:rPr>
        <w:t> </w:t>
      </w:r>
      <w:r w:rsidRPr="00E6210C">
        <w:rPr>
          <w:spacing w:val="-2"/>
        </w:rPr>
        <w:t>IV</w:t>
      </w:r>
      <w:r w:rsidRPr="00E6210C">
        <w:rPr>
          <w:spacing w:val="-2"/>
        </w:rPr>
        <w:t>,</w:t>
      </w:r>
      <w:r w:rsidRPr="00E6210C">
        <w:rPr>
          <w:spacing w:val="-2"/>
        </w:rPr>
        <w:t xml:space="preserve"> </w:t>
      </w:r>
      <w:r w:rsidRPr="00E6210C">
        <w:rPr>
          <w:spacing w:val="-2"/>
        </w:rPr>
        <w:t>§</w:t>
      </w:r>
      <w:r w:rsidRPr="00E6210C">
        <w:rPr>
          <w:spacing w:val="-2"/>
        </w:rPr>
        <w:t> </w:t>
      </w:r>
      <w:r w:rsidRPr="00E6210C">
        <w:rPr>
          <w:spacing w:val="-2"/>
        </w:rPr>
        <w:t xml:space="preserve">11.)  Any landowner likewise </w:t>
      </w:r>
      <w:r w:rsidRPr="00E6210C">
        <w:rPr>
          <w:spacing w:val="-2"/>
        </w:rPr>
        <w:t xml:space="preserve">could </w:t>
      </w:r>
      <w:r w:rsidRPr="00E6210C">
        <w:rPr>
          <w:spacing w:val="-2"/>
        </w:rPr>
        <w:t>enforce the General Plan against other owners</w:t>
      </w:r>
      <w:r w:rsidRPr="00E6210C">
        <w:rPr>
          <w:spacing w:val="-2"/>
        </w:rPr>
        <w:t>.  Declaration 150 stated,</w:t>
      </w:r>
      <w:r w:rsidRPr="00E6210C">
        <w:rPr>
          <w:spacing w:val="-2"/>
        </w:rPr>
        <w:t xml:space="preserve"> “</w:t>
      </w:r>
      <w:r w:rsidRPr="00E6210C">
        <w:rPr>
          <w:spacing w:val="-2"/>
        </w:rPr>
        <w:t>[</w:t>
      </w:r>
      <w:r w:rsidRPr="00E6210C">
        <w:rPr>
          <w:spacing w:val="-2"/>
        </w:rPr>
        <w:t>A</w:t>
      </w:r>
      <w:r w:rsidRPr="00E6210C">
        <w:rPr>
          <w:spacing w:val="-2"/>
        </w:rPr>
        <w:t>]</w:t>
      </w:r>
      <w:proofErr w:type="spellStart"/>
      <w:r w:rsidRPr="00E6210C">
        <w:rPr>
          <w:spacing w:val="-2"/>
        </w:rPr>
        <w:t>ny</w:t>
      </w:r>
      <w:proofErr w:type="spellEnd"/>
      <w:r w:rsidRPr="00E6210C">
        <w:rPr>
          <w:spacing w:val="-2"/>
        </w:rPr>
        <w:t xml:space="preserve"> lot owner subject to the jurisdiction of the Association</w:t>
      </w:r>
      <w:r w:rsidRPr="00E6210C">
        <w:rPr>
          <w:spacing w:val="-2"/>
        </w:rPr>
        <w:t>”</w:t>
      </w:r>
      <w:r w:rsidRPr="00E6210C">
        <w:rPr>
          <w:spacing w:val="-2"/>
        </w:rPr>
        <w:t xml:space="preserve"> may seek an abatement of a violation of any other lot owner of any restrictions, condition</w:t>
      </w:r>
      <w:r w:rsidRPr="00E6210C">
        <w:rPr>
          <w:spacing w:val="-2"/>
        </w:rPr>
        <w:t>,</w:t>
      </w:r>
      <w:r w:rsidRPr="00E6210C">
        <w:rPr>
          <w:spacing w:val="-2"/>
        </w:rPr>
        <w:t xml:space="preserve"> or covenant in this declaration.</w:t>
      </w:r>
      <w:r w:rsidRPr="00E6210C">
        <w:rPr>
          <w:spacing w:val="-2"/>
        </w:rPr>
        <w:t xml:space="preserve"> </w:t>
      </w:r>
      <w:r w:rsidRPr="00E6210C">
        <w:rPr>
          <w:spacing w:val="-2"/>
        </w:rPr>
        <w:t xml:space="preserve"> </w:t>
      </w:r>
      <w:r w:rsidRPr="00E6210C">
        <w:rPr>
          <w:spacing w:val="-2"/>
        </w:rPr>
        <w:t>(Art</w:t>
      </w:r>
      <w:r w:rsidRPr="00E6210C">
        <w:rPr>
          <w:spacing w:val="-2"/>
        </w:rPr>
        <w:t>.</w:t>
      </w:r>
      <w:r w:rsidRPr="00E6210C">
        <w:rPr>
          <w:spacing w:val="-2"/>
        </w:rPr>
        <w:t xml:space="preserve"> IV, </w:t>
      </w:r>
      <w:r w:rsidRPr="00E6210C">
        <w:rPr>
          <w:spacing w:val="-2"/>
        </w:rPr>
        <w:t>§ </w:t>
      </w:r>
      <w:r w:rsidRPr="00E6210C">
        <w:rPr>
          <w:spacing w:val="-2"/>
        </w:rPr>
        <w:t>12</w:t>
      </w:r>
      <w:r w:rsidRPr="00E6210C">
        <w:rPr>
          <w:spacing w:val="-2"/>
        </w:rPr>
        <w:t>.</w:t>
      </w:r>
      <w:r w:rsidRPr="00E6210C">
        <w:rPr>
          <w:spacing w:val="-2"/>
        </w:rPr>
        <w:t xml:space="preserve">)   </w:t>
      </w:r>
    </w:p>
    <w:p w14:paraId="19938240" w14:textId="77777777" w:rsidR="00B2782B" w:rsidRPr="00E6210C" w:rsidRDefault="00B2782B" w:rsidP="00223DFA">
      <w:pPr>
        <w:spacing w:after="0" w:line="288" w:lineRule="auto"/>
        <w:rPr>
          <w:spacing w:val="-2"/>
        </w:rPr>
      </w:pPr>
      <w:r w:rsidRPr="00E6210C">
        <w:rPr>
          <w:spacing w:val="-2"/>
        </w:rPr>
        <w:tab/>
        <w:t xml:space="preserve">Article IV, </w:t>
      </w:r>
      <w:r w:rsidRPr="00E6210C">
        <w:rPr>
          <w:spacing w:val="-2"/>
        </w:rPr>
        <w:t>s</w:t>
      </w:r>
      <w:r w:rsidRPr="00E6210C">
        <w:rPr>
          <w:spacing w:val="-2"/>
        </w:rPr>
        <w:t xml:space="preserve">ection 5 of Declaration 150 provided for the annexation of future tracts.  </w:t>
      </w:r>
      <w:bookmarkStart w:id="0" w:name="_Hlk152315642"/>
      <w:r w:rsidRPr="00E6210C">
        <w:rPr>
          <w:spacing w:val="-2"/>
        </w:rPr>
        <w:t xml:space="preserve">Such annexed tracts would be “subject to restrictions, conditions, covenants, reservations, liens, or charges set forth in a Declaration of Restrictions.”  </w:t>
      </w:r>
      <w:bookmarkEnd w:id="0"/>
      <w:r w:rsidRPr="00E6210C">
        <w:rPr>
          <w:spacing w:val="-2"/>
        </w:rPr>
        <w:t xml:space="preserve">Upon the recording of such declarations, “the Association shall then and thereafter have power to do and perform any and all of the acts, to fix, impose and collect charges, assessments and dues from the owners of said property as therein </w:t>
      </w:r>
      <w:proofErr w:type="gramStart"/>
      <w:r w:rsidRPr="00E6210C">
        <w:rPr>
          <w:spacing w:val="-2"/>
        </w:rPr>
        <w:t>provided</w:t>
      </w:r>
      <w:r w:rsidRPr="00E6210C">
        <w:rPr>
          <w:spacing w:val="-2"/>
        </w:rPr>
        <w:t>[</w:t>
      </w:r>
      <w:proofErr w:type="gramEnd"/>
      <w:r w:rsidRPr="00E6210C">
        <w:rPr>
          <w:spacing w:val="-2"/>
        </w:rPr>
        <w:t>,]</w:t>
      </w:r>
      <w:r w:rsidRPr="00E6210C">
        <w:rPr>
          <w:spacing w:val="-2"/>
        </w:rPr>
        <w:t xml:space="preserve"> and to grant said owners memb</w:t>
      </w:r>
      <w:r w:rsidRPr="00E6210C">
        <w:rPr>
          <w:spacing w:val="-2"/>
        </w:rPr>
        <w:t xml:space="preserve">ership in the Association as therein agreed </w:t>
      </w:r>
      <w:r w:rsidRPr="00E6210C">
        <w:rPr>
          <w:spacing w:val="-2"/>
        </w:rPr>
        <w:t xml:space="preserve">to </w:t>
      </w:r>
      <w:r w:rsidRPr="00E6210C">
        <w:rPr>
          <w:spacing w:val="-2"/>
        </w:rPr>
        <w:t xml:space="preserve">and provided.”   </w:t>
      </w:r>
    </w:p>
    <w:p w14:paraId="4AF89BA7" w14:textId="77777777" w:rsidR="00B2782B" w:rsidRPr="00E6210C" w:rsidRDefault="00B2782B" w:rsidP="00223DFA">
      <w:pPr>
        <w:spacing w:after="0" w:line="288" w:lineRule="auto"/>
        <w:rPr>
          <w:spacing w:val="-2"/>
        </w:rPr>
      </w:pPr>
      <w:r w:rsidRPr="00E6210C">
        <w:rPr>
          <w:spacing w:val="-2"/>
        </w:rPr>
        <w:tab/>
        <w:t xml:space="preserve">Article II, section 2 of Declaration </w:t>
      </w:r>
      <w:proofErr w:type="gramStart"/>
      <w:r w:rsidRPr="00E6210C">
        <w:rPr>
          <w:spacing w:val="-2"/>
        </w:rPr>
        <w:t>150</w:t>
      </w:r>
      <w:proofErr w:type="gramEnd"/>
      <w:r w:rsidRPr="00E6210C">
        <w:rPr>
          <w:spacing w:val="-2"/>
        </w:rPr>
        <w:t xml:space="preserve"> provide</w:t>
      </w:r>
      <w:r w:rsidRPr="00E6210C">
        <w:rPr>
          <w:spacing w:val="-2"/>
        </w:rPr>
        <w:t>d</w:t>
      </w:r>
      <w:r w:rsidRPr="00E6210C">
        <w:rPr>
          <w:spacing w:val="-2"/>
        </w:rPr>
        <w:t xml:space="preserve"> that the Association</w:t>
      </w:r>
      <w:r w:rsidRPr="00E6210C">
        <w:rPr>
          <w:spacing w:val="-2"/>
        </w:rPr>
        <w:t xml:space="preserve">’s </w:t>
      </w:r>
      <w:r w:rsidRPr="00E6210C">
        <w:rPr>
          <w:spacing w:val="-2"/>
        </w:rPr>
        <w:t>powers extend</w:t>
      </w:r>
      <w:r w:rsidRPr="00E6210C">
        <w:rPr>
          <w:spacing w:val="-2"/>
        </w:rPr>
        <w:t>ed</w:t>
      </w:r>
      <w:r w:rsidRPr="00E6210C">
        <w:rPr>
          <w:spacing w:val="-2"/>
        </w:rPr>
        <w:t xml:space="preserve"> to any property and owner in its jurisdiction and, according to appellants, reflects </w:t>
      </w:r>
      <w:r w:rsidRPr="00E6210C">
        <w:rPr>
          <w:spacing w:val="-2"/>
        </w:rPr>
        <w:t xml:space="preserve">PVC’s </w:t>
      </w:r>
      <w:r w:rsidRPr="00E6210C">
        <w:rPr>
          <w:spacing w:val="-2"/>
        </w:rPr>
        <w:t xml:space="preserve">intent to extend the General Plan to the entire Rolling Hills community.  </w:t>
      </w:r>
    </w:p>
    <w:p w14:paraId="3E783DAB" w14:textId="77777777" w:rsidR="00B2782B" w:rsidRPr="00E6210C" w:rsidRDefault="00B2782B" w:rsidP="00223DFA">
      <w:pPr>
        <w:spacing w:after="0" w:line="288" w:lineRule="auto"/>
        <w:rPr>
          <w:spacing w:val="-2"/>
        </w:rPr>
      </w:pPr>
      <w:r w:rsidRPr="00E6210C">
        <w:rPr>
          <w:spacing w:val="-2"/>
        </w:rPr>
        <w:tab/>
        <w:t>The Tree</w:t>
      </w:r>
      <w:r w:rsidRPr="00E6210C">
        <w:rPr>
          <w:spacing w:val="-2"/>
        </w:rPr>
        <w:t>-</w:t>
      </w:r>
      <w:r w:rsidRPr="00E6210C">
        <w:rPr>
          <w:spacing w:val="-2"/>
        </w:rPr>
        <w:t>Cutting Covenant (</w:t>
      </w:r>
      <w:r w:rsidRPr="00E6210C">
        <w:rPr>
          <w:spacing w:val="-2"/>
        </w:rPr>
        <w:t>Tree CC</w:t>
      </w:r>
      <w:r w:rsidRPr="00E6210C">
        <w:rPr>
          <w:spacing w:val="-2"/>
        </w:rPr>
        <w:t>) is contained in Article I, section</w:t>
      </w:r>
      <w:r w:rsidRPr="00E6210C">
        <w:rPr>
          <w:spacing w:val="-2"/>
        </w:rPr>
        <w:t> </w:t>
      </w:r>
      <w:r w:rsidRPr="00E6210C">
        <w:rPr>
          <w:spacing w:val="-2"/>
        </w:rPr>
        <w:t>11 of Declaration 150</w:t>
      </w:r>
      <w:r w:rsidRPr="00E6210C">
        <w:rPr>
          <w:spacing w:val="-2"/>
        </w:rPr>
        <w:t>, which</w:t>
      </w:r>
      <w:r w:rsidRPr="00E6210C">
        <w:rPr>
          <w:spacing w:val="-2"/>
        </w:rPr>
        <w:t xml:space="preserve"> provide</w:t>
      </w:r>
      <w:r w:rsidRPr="00E6210C">
        <w:rPr>
          <w:spacing w:val="-2"/>
        </w:rPr>
        <w:t>d</w:t>
      </w:r>
      <w:r w:rsidRPr="00E6210C">
        <w:rPr>
          <w:spacing w:val="-2"/>
        </w:rPr>
        <w:t xml:space="preserve"> in relevant part: “The Association shall have the right at any time to enter on or upon any part of said property for the purpose of cutting back trees or other plantings which, in the opinion of the Association, is </w:t>
      </w:r>
      <w:r w:rsidRPr="00E6210C">
        <w:rPr>
          <w:spacing w:val="-2"/>
        </w:rPr>
        <w:lastRenderedPageBreak/>
        <w:t xml:space="preserve">warranted to maintain and improve the view of, and protect, adjoining property.”   </w:t>
      </w:r>
    </w:p>
    <w:p w14:paraId="25E2A775" w14:textId="77777777" w:rsidR="00B2782B" w:rsidRPr="00E6210C" w:rsidRDefault="00B2782B" w:rsidP="00223DFA">
      <w:pPr>
        <w:pStyle w:val="Default"/>
        <w:spacing w:line="288" w:lineRule="auto"/>
        <w:rPr>
          <w:spacing w:val="-2"/>
          <w:sz w:val="26"/>
          <w:szCs w:val="26"/>
        </w:rPr>
      </w:pPr>
      <w:r w:rsidRPr="00E6210C">
        <w:rPr>
          <w:spacing w:val="-2"/>
        </w:rPr>
        <w:tab/>
      </w:r>
      <w:r w:rsidRPr="00E6210C">
        <w:rPr>
          <w:spacing w:val="-2"/>
          <w:sz w:val="26"/>
          <w:szCs w:val="26"/>
        </w:rPr>
        <w:t>A.E. Hanson</w:t>
      </w:r>
      <w:r w:rsidRPr="00E6210C">
        <w:rPr>
          <w:spacing w:val="-2"/>
          <w:sz w:val="26"/>
          <w:szCs w:val="26"/>
        </w:rPr>
        <w:t>,</w:t>
      </w:r>
      <w:r w:rsidRPr="00E6210C">
        <w:rPr>
          <w:spacing w:val="-2"/>
          <w:sz w:val="26"/>
          <w:szCs w:val="26"/>
        </w:rPr>
        <w:t xml:space="preserve"> the </w:t>
      </w:r>
      <w:r w:rsidRPr="00E6210C">
        <w:rPr>
          <w:spacing w:val="-2"/>
          <w:sz w:val="26"/>
          <w:szCs w:val="26"/>
        </w:rPr>
        <w:t xml:space="preserve">first </w:t>
      </w:r>
      <w:r w:rsidRPr="00E6210C">
        <w:rPr>
          <w:spacing w:val="-2"/>
          <w:sz w:val="26"/>
          <w:szCs w:val="26"/>
        </w:rPr>
        <w:t xml:space="preserve">general manager of PVC, recalled </w:t>
      </w:r>
      <w:r w:rsidRPr="00E6210C">
        <w:rPr>
          <w:spacing w:val="-2"/>
          <w:sz w:val="26"/>
          <w:szCs w:val="26"/>
        </w:rPr>
        <w:t xml:space="preserve">in his memoir </w:t>
      </w:r>
      <w:r w:rsidRPr="00E6210C">
        <w:rPr>
          <w:i/>
          <w:iCs/>
          <w:spacing w:val="-2"/>
          <w:sz w:val="26"/>
          <w:szCs w:val="26"/>
        </w:rPr>
        <w:t xml:space="preserve">Rolling Hills, The Early Years, </w:t>
      </w:r>
      <w:r w:rsidRPr="00E6210C">
        <w:rPr>
          <w:i/>
          <w:iCs/>
          <w:spacing w:val="-2"/>
          <w:sz w:val="26"/>
          <w:szCs w:val="26"/>
        </w:rPr>
        <w:t xml:space="preserve">supra </w:t>
      </w:r>
      <w:r w:rsidRPr="00E6210C">
        <w:rPr>
          <w:spacing w:val="-2"/>
          <w:sz w:val="26"/>
          <w:szCs w:val="26"/>
        </w:rPr>
        <w:t>at p</w:t>
      </w:r>
      <w:r w:rsidRPr="00E6210C">
        <w:rPr>
          <w:spacing w:val="-2"/>
          <w:sz w:val="26"/>
          <w:szCs w:val="26"/>
        </w:rPr>
        <w:t>age</w:t>
      </w:r>
      <w:r w:rsidRPr="00E6210C">
        <w:rPr>
          <w:spacing w:val="-2"/>
          <w:sz w:val="26"/>
          <w:szCs w:val="26"/>
        </w:rPr>
        <w:t xml:space="preserve"> </w:t>
      </w:r>
      <w:r w:rsidRPr="00E6210C">
        <w:rPr>
          <w:spacing w:val="-2"/>
          <w:sz w:val="26"/>
          <w:szCs w:val="26"/>
        </w:rPr>
        <w:t>five</w:t>
      </w:r>
      <w:r w:rsidRPr="00E6210C">
        <w:rPr>
          <w:spacing w:val="-2"/>
          <w:sz w:val="26"/>
          <w:szCs w:val="26"/>
        </w:rPr>
        <w:t>,</w:t>
      </w:r>
      <w:r w:rsidRPr="00E6210C">
        <w:rPr>
          <w:spacing w:val="-2"/>
          <w:sz w:val="26"/>
          <w:szCs w:val="26"/>
        </w:rPr>
        <w:t xml:space="preserve"> </w:t>
      </w:r>
      <w:r w:rsidRPr="00E6210C">
        <w:rPr>
          <w:spacing w:val="-2"/>
          <w:sz w:val="26"/>
          <w:szCs w:val="26"/>
        </w:rPr>
        <w:t xml:space="preserve">that </w:t>
      </w:r>
      <w:r w:rsidRPr="00E6210C">
        <w:rPr>
          <w:spacing w:val="-2"/>
          <w:sz w:val="26"/>
          <w:szCs w:val="26"/>
        </w:rPr>
        <w:t xml:space="preserve">at the time of development, </w:t>
      </w:r>
      <w:r w:rsidRPr="00E6210C">
        <w:rPr>
          <w:spacing w:val="-2"/>
          <w:sz w:val="26"/>
          <w:szCs w:val="26"/>
        </w:rPr>
        <w:t xml:space="preserve">all of Rolling Hills was put “under general basic restriction” when Declaration 150 was signed. </w:t>
      </w:r>
    </w:p>
    <w:p w14:paraId="033F0149" w14:textId="77777777" w:rsidR="00B2782B" w:rsidRPr="00E6210C" w:rsidRDefault="00B2782B" w:rsidP="00223DFA">
      <w:pPr>
        <w:pStyle w:val="Default"/>
        <w:spacing w:line="288" w:lineRule="auto"/>
        <w:rPr>
          <w:b/>
          <w:bCs/>
          <w:spacing w:val="-2"/>
        </w:rPr>
      </w:pPr>
    </w:p>
    <w:p w14:paraId="2320EF77" w14:textId="77777777" w:rsidR="00B2782B" w:rsidRPr="00E6210C" w:rsidRDefault="00B2782B" w:rsidP="00223DFA">
      <w:pPr>
        <w:keepNext/>
        <w:spacing w:after="0" w:line="288" w:lineRule="auto"/>
        <w:rPr>
          <w:b/>
          <w:bCs/>
          <w:spacing w:val="-2"/>
        </w:rPr>
      </w:pPr>
      <w:r w:rsidRPr="00E6210C">
        <w:rPr>
          <w:b/>
          <w:bCs/>
          <w:spacing w:val="-2"/>
        </w:rPr>
        <w:t>C.</w:t>
      </w:r>
      <w:r w:rsidRPr="00E6210C">
        <w:rPr>
          <w:b/>
          <w:bCs/>
          <w:spacing w:val="-2"/>
        </w:rPr>
        <w:tab/>
        <w:t xml:space="preserve">Annexation of Additional Tracts Under Separate </w:t>
      </w:r>
    </w:p>
    <w:p w14:paraId="418F6693" w14:textId="77777777" w:rsidR="00B2782B" w:rsidRPr="00E6210C" w:rsidRDefault="00B2782B" w:rsidP="00223DFA">
      <w:pPr>
        <w:keepNext/>
        <w:spacing w:after="0" w:line="288" w:lineRule="auto"/>
        <w:ind w:firstLine="720"/>
        <w:rPr>
          <w:b/>
          <w:bCs/>
          <w:spacing w:val="-2"/>
        </w:rPr>
      </w:pPr>
      <w:r w:rsidRPr="00E6210C">
        <w:rPr>
          <w:b/>
          <w:bCs/>
          <w:spacing w:val="-2"/>
        </w:rPr>
        <w:t>Declarations</w:t>
      </w:r>
    </w:p>
    <w:p w14:paraId="355EE4AD" w14:textId="77777777" w:rsidR="00B2782B" w:rsidRPr="00E6210C" w:rsidRDefault="00B2782B" w:rsidP="00223DFA">
      <w:pPr>
        <w:spacing w:after="0" w:line="288" w:lineRule="auto"/>
        <w:rPr>
          <w:spacing w:val="-2"/>
        </w:rPr>
      </w:pPr>
      <w:r w:rsidRPr="00E6210C">
        <w:rPr>
          <w:spacing w:val="-2"/>
        </w:rPr>
        <w:tab/>
      </w:r>
      <w:r w:rsidRPr="00E6210C">
        <w:rPr>
          <w:spacing w:val="-2"/>
        </w:rPr>
        <w:t xml:space="preserve">Over the years, additional tracts were annexed. </w:t>
      </w:r>
      <w:r w:rsidRPr="00E6210C">
        <w:rPr>
          <w:spacing w:val="-2"/>
        </w:rPr>
        <w:t xml:space="preserve"> </w:t>
      </w:r>
      <w:r w:rsidRPr="00E6210C">
        <w:rPr>
          <w:spacing w:val="-2"/>
        </w:rPr>
        <w:t>Today, Rolling Hills consists of 57 tracts, each added by its own numbered declaration and agreement with PVC</w:t>
      </w:r>
      <w:r w:rsidRPr="00E6210C">
        <w:rPr>
          <w:spacing w:val="-2"/>
        </w:rPr>
        <w:t xml:space="preserve">.  </w:t>
      </w:r>
      <w:r w:rsidRPr="00E6210C">
        <w:rPr>
          <w:spacing w:val="-2"/>
        </w:rPr>
        <w:t xml:space="preserve">In 1937, PVC annexed the first additional tract with Declaration 150-A.  </w:t>
      </w:r>
      <w:r w:rsidRPr="00E6210C">
        <w:rPr>
          <w:spacing w:val="-2"/>
        </w:rPr>
        <w:t>Declaration 150-A expressly stated it was subject to the same restrictions and conditions as Declaration 150</w:t>
      </w:r>
      <w:r w:rsidRPr="00E6210C">
        <w:rPr>
          <w:spacing w:val="-2"/>
        </w:rPr>
        <w:t>.</w:t>
      </w:r>
      <w:r w:rsidRPr="00E6210C">
        <w:rPr>
          <w:spacing w:val="-2"/>
        </w:rPr>
        <w:t xml:space="preserve"> </w:t>
      </w:r>
      <w:r w:rsidRPr="00E6210C">
        <w:rPr>
          <w:spacing w:val="-2"/>
        </w:rPr>
        <w:t xml:space="preserve"> </w:t>
      </w:r>
      <w:r w:rsidRPr="00E6210C">
        <w:rPr>
          <w:spacing w:val="-2"/>
        </w:rPr>
        <w:t>Another area, referred to as t</w:t>
      </w:r>
      <w:r w:rsidRPr="00E6210C">
        <w:rPr>
          <w:spacing w:val="-2"/>
        </w:rPr>
        <w:t>he “Flying Triangle</w:t>
      </w:r>
      <w:r w:rsidRPr="00E6210C">
        <w:rPr>
          <w:spacing w:val="-2"/>
        </w:rPr>
        <w:t>,</w:t>
      </w:r>
      <w:r w:rsidRPr="00E6210C">
        <w:rPr>
          <w:spacing w:val="-2"/>
        </w:rPr>
        <w:t xml:space="preserve">” was added in 1939 with Declaration 160.  From 1941 to 1944, additional tracts were added, governed by Declarations 150-B through 150-F. </w:t>
      </w:r>
      <w:r w:rsidRPr="00E6210C">
        <w:rPr>
          <w:spacing w:val="-2"/>
        </w:rPr>
        <w:t xml:space="preserve"> </w:t>
      </w:r>
      <w:r w:rsidRPr="00E6210C">
        <w:rPr>
          <w:spacing w:val="-2"/>
        </w:rPr>
        <w:t xml:space="preserve">These </w:t>
      </w:r>
      <w:r w:rsidRPr="00E6210C">
        <w:rPr>
          <w:spacing w:val="-2"/>
        </w:rPr>
        <w:t>d</w:t>
      </w:r>
      <w:r w:rsidRPr="00E6210C">
        <w:rPr>
          <w:spacing w:val="-2"/>
        </w:rPr>
        <w:t xml:space="preserve">eclarations contained the same </w:t>
      </w:r>
      <w:r w:rsidRPr="00E6210C">
        <w:rPr>
          <w:spacing w:val="-2"/>
        </w:rPr>
        <w:t>Tree CC</w:t>
      </w:r>
      <w:r w:rsidRPr="00E6210C">
        <w:rPr>
          <w:spacing w:val="-2"/>
        </w:rPr>
        <w:t xml:space="preserve"> as Declaration 150. </w:t>
      </w:r>
    </w:p>
    <w:p w14:paraId="1477A16F" w14:textId="77777777" w:rsidR="00B2782B" w:rsidRPr="00E6210C" w:rsidRDefault="00B2782B" w:rsidP="00223DFA">
      <w:pPr>
        <w:spacing w:after="0" w:line="288" w:lineRule="auto"/>
        <w:rPr>
          <w:spacing w:val="-2"/>
        </w:rPr>
      </w:pPr>
      <w:r w:rsidRPr="00E6210C">
        <w:rPr>
          <w:spacing w:val="-2"/>
        </w:rPr>
        <w:tab/>
        <w:t xml:space="preserve">In January 1944, the Board of the Association adopted a Resolution </w:t>
      </w:r>
      <w:r w:rsidRPr="00E6210C">
        <w:rPr>
          <w:spacing w:val="-2"/>
        </w:rPr>
        <w:t>allowing it to record agreements for the declaration of covenants</w:t>
      </w:r>
      <w:r w:rsidRPr="00E6210C">
        <w:rPr>
          <w:spacing w:val="-2"/>
        </w:rPr>
        <w:t xml:space="preserve"> in </w:t>
      </w:r>
      <w:r w:rsidRPr="00E6210C">
        <w:rPr>
          <w:spacing w:val="-2"/>
        </w:rPr>
        <w:t>conformity with Declaration 150.</w:t>
      </w:r>
      <w:r>
        <w:rPr>
          <w:rStyle w:val="FootnoteReference"/>
          <w:spacing w:val="-2"/>
        </w:rPr>
        <w:footnoteReference w:id="2"/>
      </w:r>
      <w:r w:rsidRPr="00E6210C">
        <w:rPr>
          <w:spacing w:val="-2"/>
        </w:rPr>
        <w:t xml:space="preserve"> </w:t>
      </w:r>
      <w:r w:rsidRPr="00E6210C">
        <w:rPr>
          <w:spacing w:val="-2"/>
        </w:rPr>
        <w:t xml:space="preserve"> </w:t>
      </w:r>
      <w:r w:rsidRPr="00E6210C">
        <w:rPr>
          <w:spacing w:val="-2"/>
        </w:rPr>
        <w:t xml:space="preserve">The </w:t>
      </w:r>
      <w:r w:rsidRPr="00E6210C">
        <w:rPr>
          <w:spacing w:val="-2"/>
        </w:rPr>
        <w:t xml:space="preserve">Resolution provided that the </w:t>
      </w:r>
      <w:r w:rsidRPr="00E6210C">
        <w:rPr>
          <w:spacing w:val="-2"/>
        </w:rPr>
        <w:t xml:space="preserve">Association </w:t>
      </w:r>
      <w:r w:rsidRPr="00E6210C">
        <w:rPr>
          <w:spacing w:val="-2"/>
        </w:rPr>
        <w:t xml:space="preserve">could, “from time to time, </w:t>
      </w:r>
      <w:r w:rsidRPr="00E6210C">
        <w:rPr>
          <w:spacing w:val="-2"/>
        </w:rPr>
        <w:t>[ ]</w:t>
      </w:r>
      <w:r w:rsidRPr="00E6210C">
        <w:rPr>
          <w:spacing w:val="-2"/>
        </w:rPr>
        <w:t xml:space="preserve"> execute and deliver, and cause to be recorded in the office of the County Recorder of the County of Los Angeles, an agreement between this [A]</w:t>
      </w:r>
      <w:proofErr w:type="spellStart"/>
      <w:r w:rsidRPr="00E6210C">
        <w:rPr>
          <w:spacing w:val="-2"/>
        </w:rPr>
        <w:t>ssociation</w:t>
      </w:r>
      <w:proofErr w:type="spellEnd"/>
      <w:r w:rsidRPr="00E6210C">
        <w:rPr>
          <w:spacing w:val="-2"/>
        </w:rPr>
        <w:t xml:space="preserve"> and [PVC] for the declaration of establishment of basic restrictions, conditions, covenants, reservations</w:t>
      </w:r>
      <w:r w:rsidRPr="00E6210C">
        <w:rPr>
          <w:spacing w:val="-2"/>
        </w:rPr>
        <w:t>[</w:t>
      </w:r>
      <w:r w:rsidRPr="00E6210C">
        <w:rPr>
          <w:spacing w:val="-2"/>
        </w:rPr>
        <w:t>,</w:t>
      </w:r>
      <w:r w:rsidRPr="00E6210C">
        <w:rPr>
          <w:spacing w:val="-2"/>
        </w:rPr>
        <w:t>]</w:t>
      </w:r>
      <w:r w:rsidRPr="00E6210C">
        <w:rPr>
          <w:spacing w:val="-2"/>
        </w:rPr>
        <w:t xml:space="preserve"> liens, charges and certain local restrictions in conformity with said Declaration No.</w:t>
      </w:r>
      <w:r w:rsidRPr="00E6210C">
        <w:rPr>
          <w:spacing w:val="-2"/>
        </w:rPr>
        <w:t> </w:t>
      </w:r>
      <w:r w:rsidRPr="00E6210C">
        <w:rPr>
          <w:spacing w:val="-2"/>
        </w:rPr>
        <w:t>150,</w:t>
      </w:r>
      <w:r w:rsidRPr="00E6210C">
        <w:rPr>
          <w:spacing w:val="-2"/>
        </w:rPr>
        <w:t> . . .</w:t>
      </w:r>
      <w:r w:rsidRPr="00E6210C">
        <w:rPr>
          <w:spacing w:val="-2"/>
        </w:rPr>
        <w:t> </w:t>
      </w:r>
      <w:r w:rsidRPr="00E6210C">
        <w:rPr>
          <w:spacing w:val="-2"/>
        </w:rPr>
        <w:t>.”</w:t>
      </w:r>
      <w:r w:rsidRPr="00E6210C">
        <w:rPr>
          <w:spacing w:val="-2"/>
        </w:rPr>
        <w:t xml:space="preserve">  </w:t>
      </w:r>
    </w:p>
    <w:p w14:paraId="4C78D7F8" w14:textId="77777777" w:rsidR="00B2782B" w:rsidRPr="00E6210C" w:rsidRDefault="00B2782B" w:rsidP="00223DFA">
      <w:pPr>
        <w:spacing w:after="0" w:line="288" w:lineRule="auto"/>
        <w:rPr>
          <w:spacing w:val="-2"/>
        </w:rPr>
      </w:pPr>
      <w:r w:rsidRPr="00E6210C">
        <w:rPr>
          <w:spacing w:val="-2"/>
        </w:rPr>
        <w:lastRenderedPageBreak/>
        <w:tab/>
      </w:r>
      <w:r w:rsidRPr="00E6210C">
        <w:rPr>
          <w:spacing w:val="-2"/>
        </w:rPr>
        <w:t xml:space="preserve">Declaration 150-M, applicable to </w:t>
      </w:r>
      <w:proofErr w:type="spellStart"/>
      <w:r w:rsidRPr="00E6210C">
        <w:rPr>
          <w:spacing w:val="-2"/>
        </w:rPr>
        <w:t>Coly</w:t>
      </w:r>
      <w:r w:rsidRPr="00E6210C">
        <w:rPr>
          <w:spacing w:val="-2"/>
        </w:rPr>
        <w:t>e</w:t>
      </w:r>
      <w:r w:rsidRPr="00E6210C">
        <w:rPr>
          <w:spacing w:val="-2"/>
        </w:rPr>
        <w:t>a</w:t>
      </w:r>
      <w:r w:rsidRPr="00E6210C">
        <w:rPr>
          <w:spacing w:val="-2"/>
        </w:rPr>
        <w:t>r</w:t>
      </w:r>
      <w:r w:rsidRPr="00E6210C">
        <w:rPr>
          <w:spacing w:val="-2"/>
        </w:rPr>
        <w:t>’s</w:t>
      </w:r>
      <w:proofErr w:type="spellEnd"/>
      <w:r w:rsidRPr="00E6210C">
        <w:rPr>
          <w:spacing w:val="-2"/>
        </w:rPr>
        <w:t xml:space="preserve"> property, was recorded on May 29, 1944</w:t>
      </w:r>
      <w:r w:rsidRPr="00E6210C">
        <w:rPr>
          <w:spacing w:val="-2"/>
        </w:rPr>
        <w:t>, and does not contain the Tree CC</w:t>
      </w:r>
      <w:r w:rsidRPr="00E6210C">
        <w:rPr>
          <w:spacing w:val="-2"/>
        </w:rPr>
        <w:t>.</w:t>
      </w:r>
      <w:r w:rsidRPr="00E6210C">
        <w:rPr>
          <w:spacing w:val="-2"/>
        </w:rPr>
        <w:t xml:space="preserve"> </w:t>
      </w:r>
      <w:r w:rsidRPr="00E6210C">
        <w:rPr>
          <w:spacing w:val="-2"/>
        </w:rPr>
        <w:t xml:space="preserve"> </w:t>
      </w:r>
      <w:r w:rsidRPr="00E6210C">
        <w:rPr>
          <w:spacing w:val="-2"/>
        </w:rPr>
        <w:t xml:space="preserve">In 1967 and 1970, </w:t>
      </w:r>
      <w:proofErr w:type="spellStart"/>
      <w:r w:rsidRPr="00E6210C">
        <w:rPr>
          <w:spacing w:val="-2"/>
        </w:rPr>
        <w:t>Colye</w:t>
      </w:r>
      <w:r w:rsidRPr="00E6210C">
        <w:rPr>
          <w:spacing w:val="-2"/>
        </w:rPr>
        <w:t>a</w:t>
      </w:r>
      <w:r w:rsidRPr="00E6210C">
        <w:rPr>
          <w:spacing w:val="-2"/>
        </w:rPr>
        <w:t>r</w:t>
      </w:r>
      <w:proofErr w:type="spellEnd"/>
      <w:r w:rsidRPr="00E6210C">
        <w:rPr>
          <w:spacing w:val="-2"/>
        </w:rPr>
        <w:t xml:space="preserve"> purchased his parcels at 35 and 37 Crest Drive. </w:t>
      </w:r>
      <w:r w:rsidRPr="00E6210C">
        <w:rPr>
          <w:spacing w:val="-2"/>
        </w:rPr>
        <w:t xml:space="preserve"> </w:t>
      </w:r>
      <w:r w:rsidRPr="00E6210C">
        <w:rPr>
          <w:spacing w:val="-2"/>
        </w:rPr>
        <w:t>This land is not within the boundaries described in Declaration 150</w:t>
      </w:r>
      <w:r w:rsidRPr="00E6210C">
        <w:rPr>
          <w:spacing w:val="-2"/>
        </w:rPr>
        <w:t>.</w:t>
      </w:r>
      <w:r w:rsidRPr="00E6210C">
        <w:rPr>
          <w:spacing w:val="-2"/>
        </w:rPr>
        <w:t xml:space="preserve"> </w:t>
      </w:r>
      <w:r w:rsidRPr="00E6210C">
        <w:rPr>
          <w:spacing w:val="-2"/>
        </w:rPr>
        <w:t xml:space="preserve"> </w:t>
      </w:r>
      <w:r w:rsidRPr="00E6210C">
        <w:rPr>
          <w:spacing w:val="-2"/>
        </w:rPr>
        <w:t xml:space="preserve">Neither </w:t>
      </w:r>
      <w:r w:rsidRPr="00E6210C">
        <w:rPr>
          <w:spacing w:val="-2"/>
        </w:rPr>
        <w:t>Colyer’s title insurance policies</w:t>
      </w:r>
      <w:r w:rsidRPr="00E6210C">
        <w:rPr>
          <w:spacing w:val="-2"/>
        </w:rPr>
        <w:t xml:space="preserve"> nor his deeds </w:t>
      </w:r>
      <w:r w:rsidRPr="00E6210C">
        <w:rPr>
          <w:spacing w:val="-2"/>
        </w:rPr>
        <w:t>contain a reference to Declaration 150</w:t>
      </w:r>
      <w:r w:rsidRPr="00E6210C">
        <w:rPr>
          <w:spacing w:val="-2"/>
        </w:rPr>
        <w:t>; rather</w:t>
      </w:r>
      <w:r w:rsidRPr="00E6210C">
        <w:rPr>
          <w:spacing w:val="-2"/>
        </w:rPr>
        <w:t>, the</w:t>
      </w:r>
      <w:r w:rsidRPr="00E6210C">
        <w:rPr>
          <w:spacing w:val="-2"/>
        </w:rPr>
        <w:t xml:space="preserve"> title insurance reports </w:t>
      </w:r>
      <w:r w:rsidRPr="00E6210C">
        <w:rPr>
          <w:spacing w:val="-2"/>
        </w:rPr>
        <w:t xml:space="preserve">reference Declaration 150-M.  Currently, </w:t>
      </w:r>
      <w:proofErr w:type="spellStart"/>
      <w:r w:rsidRPr="00E6210C">
        <w:rPr>
          <w:spacing w:val="-2"/>
        </w:rPr>
        <w:t>Colyear’s</w:t>
      </w:r>
      <w:proofErr w:type="spellEnd"/>
      <w:r w:rsidRPr="00E6210C">
        <w:rPr>
          <w:spacing w:val="-2"/>
        </w:rPr>
        <w:t xml:space="preserve"> property has many mature trees and a large garden.  </w:t>
      </w:r>
    </w:p>
    <w:p w14:paraId="53022B38" w14:textId="77777777" w:rsidR="00B2782B" w:rsidRPr="00E6210C" w:rsidRDefault="00B2782B" w:rsidP="00223DFA">
      <w:pPr>
        <w:spacing w:after="0" w:line="288" w:lineRule="auto"/>
        <w:rPr>
          <w:spacing w:val="-2"/>
        </w:rPr>
      </w:pPr>
    </w:p>
    <w:p w14:paraId="1540F34A" w14:textId="77777777" w:rsidR="00B2782B" w:rsidRPr="00E6210C" w:rsidRDefault="00B2782B" w:rsidP="00223DFA">
      <w:pPr>
        <w:keepNext/>
        <w:spacing w:after="0" w:line="288" w:lineRule="auto"/>
        <w:rPr>
          <w:b/>
          <w:bCs/>
          <w:spacing w:val="-2"/>
        </w:rPr>
      </w:pPr>
      <w:r w:rsidRPr="00E6210C">
        <w:rPr>
          <w:b/>
          <w:bCs/>
          <w:spacing w:val="-2"/>
        </w:rPr>
        <w:t>D.</w:t>
      </w:r>
      <w:r w:rsidRPr="00E6210C">
        <w:rPr>
          <w:b/>
          <w:bCs/>
          <w:spacing w:val="-2"/>
        </w:rPr>
        <w:tab/>
        <w:t>Inconsistencies Result in the 1947 Swaffield Study</w:t>
      </w:r>
    </w:p>
    <w:p w14:paraId="77C21F98" w14:textId="77777777" w:rsidR="00B2782B" w:rsidRPr="00E6210C" w:rsidRDefault="00B2782B" w:rsidP="00223DFA">
      <w:pPr>
        <w:spacing w:after="0" w:line="288" w:lineRule="auto"/>
        <w:rPr>
          <w:spacing w:val="-2"/>
        </w:rPr>
      </w:pPr>
      <w:r w:rsidRPr="00E6210C">
        <w:rPr>
          <w:b/>
          <w:bCs/>
          <w:spacing w:val="-2"/>
        </w:rPr>
        <w:tab/>
      </w:r>
      <w:r w:rsidRPr="00E6210C">
        <w:rPr>
          <w:spacing w:val="-2"/>
        </w:rPr>
        <w:t xml:space="preserve">Roland Swaffield, an </w:t>
      </w:r>
      <w:proofErr w:type="gramStart"/>
      <w:r w:rsidRPr="00E6210C">
        <w:rPr>
          <w:spacing w:val="-2"/>
        </w:rPr>
        <w:t>attorney</w:t>
      </w:r>
      <w:proofErr w:type="gramEnd"/>
      <w:r w:rsidRPr="00E6210C">
        <w:rPr>
          <w:spacing w:val="-2"/>
        </w:rPr>
        <w:t xml:space="preserve"> and Rolling Hills resident, prepared a study in 1947 regarding </w:t>
      </w:r>
      <w:r w:rsidRPr="00E6210C">
        <w:rPr>
          <w:spacing w:val="-2"/>
        </w:rPr>
        <w:t>in</w:t>
      </w:r>
      <w:r w:rsidRPr="00E6210C">
        <w:rPr>
          <w:spacing w:val="-2"/>
        </w:rPr>
        <w:t>consistenc</w:t>
      </w:r>
      <w:r w:rsidRPr="00E6210C">
        <w:rPr>
          <w:spacing w:val="-2"/>
        </w:rPr>
        <w:t>ies</w:t>
      </w:r>
      <w:r w:rsidRPr="00E6210C">
        <w:rPr>
          <w:spacing w:val="-2"/>
        </w:rPr>
        <w:t xml:space="preserve"> </w:t>
      </w:r>
      <w:r w:rsidRPr="00E6210C">
        <w:rPr>
          <w:spacing w:val="-2"/>
        </w:rPr>
        <w:t>between</w:t>
      </w:r>
      <w:r w:rsidRPr="00E6210C">
        <w:rPr>
          <w:spacing w:val="-2"/>
        </w:rPr>
        <w:t xml:space="preserve"> Declaration 150</w:t>
      </w:r>
      <w:r w:rsidRPr="00E6210C">
        <w:rPr>
          <w:spacing w:val="-2"/>
        </w:rPr>
        <w:t xml:space="preserve"> </w:t>
      </w:r>
      <w:r w:rsidRPr="00E6210C">
        <w:rPr>
          <w:spacing w:val="-2"/>
        </w:rPr>
        <w:t>and</w:t>
      </w:r>
      <w:r w:rsidRPr="00E6210C">
        <w:rPr>
          <w:spacing w:val="-2"/>
        </w:rPr>
        <w:t xml:space="preserve"> the annexation declarations.  Swaffield observed that there were questions concerning the scope and applicability of the various declarations</w:t>
      </w:r>
      <w:r w:rsidRPr="00E6210C">
        <w:rPr>
          <w:spacing w:val="-2"/>
        </w:rPr>
        <w:t>, and ther</w:t>
      </w:r>
      <w:r w:rsidRPr="00E6210C">
        <w:rPr>
          <w:spacing w:val="-2"/>
        </w:rPr>
        <w:t>e</w:t>
      </w:r>
      <w:r w:rsidRPr="00E6210C">
        <w:rPr>
          <w:spacing w:val="-2"/>
        </w:rPr>
        <w:t xml:space="preserve"> was a “wide </w:t>
      </w:r>
      <w:r w:rsidRPr="00E6210C">
        <w:rPr>
          <w:spacing w:val="-2"/>
        </w:rPr>
        <w:t xml:space="preserve">divergence of these restrictions in many instances.” </w:t>
      </w:r>
    </w:p>
    <w:p w14:paraId="6D42EF85" w14:textId="77777777" w:rsidR="00B2782B" w:rsidRPr="00E6210C" w:rsidRDefault="00B2782B" w:rsidP="00223DFA">
      <w:pPr>
        <w:spacing w:after="0" w:line="288" w:lineRule="auto"/>
        <w:rPr>
          <w:spacing w:val="-2"/>
        </w:rPr>
      </w:pPr>
      <w:r w:rsidRPr="00E6210C">
        <w:rPr>
          <w:spacing w:val="-2"/>
        </w:rPr>
        <w:tab/>
        <w:t>In conjunction with this report, Swaffield produced a</w:t>
      </w:r>
      <w:r w:rsidRPr="00E6210C">
        <w:rPr>
          <w:spacing w:val="-2"/>
        </w:rPr>
        <w:t>n analysis</w:t>
      </w:r>
      <w:r w:rsidRPr="00E6210C">
        <w:rPr>
          <w:spacing w:val="-2"/>
        </w:rPr>
        <w:t xml:space="preserve"> of the </w:t>
      </w:r>
      <w:r w:rsidRPr="00E6210C">
        <w:rPr>
          <w:spacing w:val="-2"/>
        </w:rPr>
        <w:t xml:space="preserve">differences in the </w:t>
      </w:r>
      <w:r w:rsidRPr="00E6210C">
        <w:rPr>
          <w:spacing w:val="-2"/>
        </w:rPr>
        <w:t>restrictions</w:t>
      </w:r>
      <w:r w:rsidRPr="00E6210C">
        <w:rPr>
          <w:spacing w:val="-2"/>
        </w:rPr>
        <w:t>, with particular emphasis on Declaration 150-AF</w:t>
      </w:r>
      <w:r w:rsidRPr="00E6210C">
        <w:rPr>
          <w:spacing w:val="-2"/>
        </w:rPr>
        <w:t xml:space="preserve">. </w:t>
      </w:r>
      <w:r w:rsidRPr="00E6210C">
        <w:rPr>
          <w:spacing w:val="-2"/>
        </w:rPr>
        <w:t xml:space="preserve"> </w:t>
      </w:r>
      <w:r w:rsidRPr="00E6210C">
        <w:rPr>
          <w:spacing w:val="-2"/>
        </w:rPr>
        <w:t xml:space="preserve">Declaration 150-AF is identical to Declaration 150-M in its preamble and in its omission of the </w:t>
      </w:r>
      <w:r w:rsidRPr="00E6210C">
        <w:rPr>
          <w:spacing w:val="-2"/>
        </w:rPr>
        <w:t>Tree CC</w:t>
      </w:r>
      <w:r w:rsidRPr="00E6210C">
        <w:rPr>
          <w:spacing w:val="-2"/>
        </w:rPr>
        <w:t xml:space="preserve">. </w:t>
      </w:r>
      <w:r w:rsidRPr="00E6210C">
        <w:rPr>
          <w:spacing w:val="-2"/>
        </w:rPr>
        <w:t xml:space="preserve"> </w:t>
      </w:r>
      <w:r w:rsidRPr="00E6210C">
        <w:rPr>
          <w:spacing w:val="-2"/>
        </w:rPr>
        <w:t>Swaffield’s analysis</w:t>
      </w:r>
      <w:r w:rsidRPr="00E6210C">
        <w:rPr>
          <w:spacing w:val="-2"/>
        </w:rPr>
        <w:t xml:space="preserve"> observed that i</w:t>
      </w:r>
      <w:r w:rsidRPr="00E6210C">
        <w:rPr>
          <w:spacing w:val="-2"/>
        </w:rPr>
        <w:t>n the tract governed by Declaration 150-AF, “the Association would not have the same power concerning these subjects” discussed in the omitted sections “as it possesses in relation to the original Rolling Hills area under Declaration 150.”</w:t>
      </w:r>
      <w:r w:rsidRPr="00E6210C">
        <w:rPr>
          <w:spacing w:val="-2"/>
        </w:rPr>
        <w:t xml:space="preserve"> </w:t>
      </w:r>
      <w:r w:rsidRPr="00E6210C">
        <w:rPr>
          <w:spacing w:val="-2"/>
        </w:rPr>
        <w:t xml:space="preserve"> </w:t>
      </w:r>
      <w:r w:rsidRPr="00E6210C">
        <w:rPr>
          <w:spacing w:val="-2"/>
        </w:rPr>
        <w:t xml:space="preserve">In November 1947, </w:t>
      </w:r>
      <w:r w:rsidRPr="00E6210C">
        <w:rPr>
          <w:spacing w:val="-2"/>
        </w:rPr>
        <w:t>Swaffield asked</w:t>
      </w:r>
      <w:r w:rsidRPr="00E6210C">
        <w:rPr>
          <w:spacing w:val="-2"/>
        </w:rPr>
        <w:t xml:space="preserve"> </w:t>
      </w:r>
      <w:r w:rsidRPr="00E6210C">
        <w:rPr>
          <w:spacing w:val="-2"/>
        </w:rPr>
        <w:t xml:space="preserve">Kelvin Vanderlip, PVC president, </w:t>
      </w:r>
      <w:r w:rsidRPr="00E6210C">
        <w:rPr>
          <w:spacing w:val="-2"/>
        </w:rPr>
        <w:t xml:space="preserve">why the </w:t>
      </w:r>
      <w:r w:rsidRPr="00E6210C">
        <w:rPr>
          <w:spacing w:val="-2"/>
        </w:rPr>
        <w:t>Tree CC</w:t>
      </w:r>
      <w:r w:rsidRPr="00E6210C">
        <w:rPr>
          <w:spacing w:val="-2"/>
        </w:rPr>
        <w:t xml:space="preserve"> (</w:t>
      </w:r>
      <w:r w:rsidRPr="00E6210C">
        <w:rPr>
          <w:spacing w:val="-2"/>
        </w:rPr>
        <w:t xml:space="preserve">codified in </w:t>
      </w:r>
      <w:r w:rsidRPr="00E6210C">
        <w:rPr>
          <w:spacing w:val="-2"/>
        </w:rPr>
        <w:t>s</w:t>
      </w:r>
      <w:r w:rsidRPr="00E6210C">
        <w:rPr>
          <w:spacing w:val="-2"/>
        </w:rPr>
        <w:t>ection 11)</w:t>
      </w:r>
      <w:r w:rsidRPr="00E6210C">
        <w:rPr>
          <w:spacing w:val="-2"/>
        </w:rPr>
        <w:t xml:space="preserve">, among other </w:t>
      </w:r>
      <w:r w:rsidRPr="00E6210C">
        <w:rPr>
          <w:spacing w:val="-2"/>
        </w:rPr>
        <w:t>sections</w:t>
      </w:r>
      <w:r w:rsidRPr="00E6210C">
        <w:rPr>
          <w:spacing w:val="-2"/>
        </w:rPr>
        <w:t>, had been omitted from Declaration 150</w:t>
      </w:r>
      <w:r w:rsidRPr="00E6210C">
        <w:rPr>
          <w:spacing w:val="-2"/>
        </w:rPr>
        <w:t>-</w:t>
      </w:r>
      <w:r w:rsidRPr="00E6210C">
        <w:rPr>
          <w:spacing w:val="-2"/>
        </w:rPr>
        <w:t xml:space="preserve">AF.  </w:t>
      </w:r>
    </w:p>
    <w:p w14:paraId="3BEBB156" w14:textId="77777777" w:rsidR="00B2782B" w:rsidRPr="00E6210C" w:rsidRDefault="00B2782B" w:rsidP="00223DFA">
      <w:pPr>
        <w:spacing w:after="0" w:line="288" w:lineRule="auto"/>
        <w:rPr>
          <w:spacing w:val="-2"/>
        </w:rPr>
      </w:pPr>
      <w:r w:rsidRPr="00E6210C">
        <w:rPr>
          <w:spacing w:val="-2"/>
        </w:rPr>
        <w:tab/>
        <w:t>Vanderlip responded that PVC intentionally removed those provisions: “[P]</w:t>
      </w:r>
      <w:proofErr w:type="spellStart"/>
      <w:r w:rsidRPr="00E6210C">
        <w:rPr>
          <w:spacing w:val="-2"/>
        </w:rPr>
        <w:t>ractically</w:t>
      </w:r>
      <w:proofErr w:type="spellEnd"/>
      <w:r w:rsidRPr="00E6210C">
        <w:rPr>
          <w:spacing w:val="-2"/>
        </w:rPr>
        <w:t xml:space="preserve"> all of the provisions which were contained </w:t>
      </w:r>
      <w:r w:rsidRPr="00E6210C">
        <w:rPr>
          <w:spacing w:val="-2"/>
        </w:rPr>
        <w:lastRenderedPageBreak/>
        <w:t>in Declaration No.</w:t>
      </w:r>
      <w:r w:rsidRPr="00E6210C">
        <w:rPr>
          <w:spacing w:val="-2"/>
        </w:rPr>
        <w:t> </w:t>
      </w:r>
      <w:r w:rsidRPr="00E6210C">
        <w:rPr>
          <w:spacing w:val="-2"/>
        </w:rPr>
        <w:t>150,</w:t>
      </w:r>
      <w:r w:rsidRPr="00E6210C">
        <w:rPr>
          <w:spacing w:val="-2"/>
        </w:rPr>
        <w:t xml:space="preserve"> . . . </w:t>
      </w:r>
      <w:r w:rsidRPr="00E6210C">
        <w:rPr>
          <w:spacing w:val="-2"/>
        </w:rPr>
        <w:t>were removed by our attorneys as far back as the Flying Triangle Declaration [</w:t>
      </w:r>
      <w:r w:rsidRPr="00E6210C">
        <w:rPr>
          <w:spacing w:val="-2"/>
        </w:rPr>
        <w:t xml:space="preserve">(Declaration </w:t>
      </w:r>
      <w:r w:rsidRPr="00E6210C">
        <w:rPr>
          <w:spacing w:val="-2"/>
        </w:rPr>
        <w:t>160</w:t>
      </w:r>
      <w:r w:rsidRPr="00E6210C">
        <w:rPr>
          <w:spacing w:val="-2"/>
        </w:rPr>
        <w:t>)</w:t>
      </w:r>
      <w:r w:rsidRPr="00E6210C">
        <w:rPr>
          <w:spacing w:val="-2"/>
        </w:rPr>
        <w:t>] for the purpose of simplification.”</w:t>
      </w:r>
      <w:r w:rsidRPr="00E6210C">
        <w:rPr>
          <w:spacing w:val="-2"/>
        </w:rPr>
        <w:t xml:space="preserve"> </w:t>
      </w:r>
      <w:r w:rsidRPr="00E6210C">
        <w:rPr>
          <w:spacing w:val="-2"/>
        </w:rPr>
        <w:t xml:space="preserve"> Vanderlip stated that PVC would not “object to the modification of </w:t>
      </w:r>
      <w:r w:rsidRPr="00E6210C">
        <w:rPr>
          <w:spacing w:val="-2"/>
        </w:rPr>
        <w:t xml:space="preserve">[Declaration </w:t>
      </w:r>
      <w:r w:rsidRPr="00E6210C">
        <w:rPr>
          <w:spacing w:val="-2"/>
        </w:rPr>
        <w:t>150-AF</w:t>
      </w:r>
      <w:r w:rsidRPr="00E6210C">
        <w:rPr>
          <w:spacing w:val="-2"/>
        </w:rPr>
        <w:t>]</w:t>
      </w:r>
      <w:r w:rsidRPr="00E6210C">
        <w:rPr>
          <w:spacing w:val="-2"/>
        </w:rPr>
        <w:t xml:space="preserve">” to conform </w:t>
      </w:r>
      <w:r w:rsidRPr="00E6210C">
        <w:rPr>
          <w:spacing w:val="-2"/>
        </w:rPr>
        <w:t xml:space="preserve">it </w:t>
      </w:r>
      <w:r w:rsidRPr="00E6210C">
        <w:rPr>
          <w:spacing w:val="-2"/>
        </w:rPr>
        <w:t xml:space="preserve">to Declaration </w:t>
      </w:r>
      <w:r w:rsidRPr="00E6210C">
        <w:rPr>
          <w:spacing w:val="-2"/>
        </w:rPr>
        <w:t xml:space="preserve">150. </w:t>
      </w:r>
    </w:p>
    <w:p w14:paraId="5BFEF8FF" w14:textId="77777777" w:rsidR="00B2782B" w:rsidRPr="00E6210C" w:rsidRDefault="00B2782B" w:rsidP="00223DFA">
      <w:pPr>
        <w:spacing w:after="0" w:line="288" w:lineRule="auto"/>
        <w:rPr>
          <w:spacing w:val="-2"/>
        </w:rPr>
      </w:pPr>
      <w:r w:rsidRPr="00E6210C">
        <w:rPr>
          <w:spacing w:val="-2"/>
        </w:rPr>
        <w:tab/>
      </w:r>
      <w:r w:rsidRPr="00E6210C">
        <w:rPr>
          <w:spacing w:val="-2"/>
        </w:rPr>
        <w:t xml:space="preserve">In 1948, after </w:t>
      </w:r>
      <w:r w:rsidRPr="00E6210C">
        <w:rPr>
          <w:spacing w:val="-2"/>
        </w:rPr>
        <w:t xml:space="preserve">evaluating possible modifications to the declarations, </w:t>
      </w:r>
      <w:r w:rsidRPr="00E6210C">
        <w:rPr>
          <w:spacing w:val="-2"/>
        </w:rPr>
        <w:t xml:space="preserve">a draft </w:t>
      </w:r>
      <w:r w:rsidRPr="00E6210C">
        <w:rPr>
          <w:spacing w:val="-2"/>
        </w:rPr>
        <w:t>modification</w:t>
      </w:r>
      <w:r w:rsidRPr="00E6210C">
        <w:rPr>
          <w:spacing w:val="-2"/>
        </w:rPr>
        <w:t xml:space="preserve"> was prepared</w:t>
      </w:r>
      <w:r w:rsidRPr="00E6210C">
        <w:rPr>
          <w:spacing w:val="-2"/>
        </w:rPr>
        <w:t>,</w:t>
      </w:r>
      <w:r w:rsidRPr="00E6210C">
        <w:rPr>
          <w:spacing w:val="-2"/>
        </w:rPr>
        <w:t xml:space="preserve"> </w:t>
      </w:r>
      <w:r w:rsidRPr="00E6210C">
        <w:rPr>
          <w:spacing w:val="-2"/>
        </w:rPr>
        <w:t>adding</w:t>
      </w:r>
      <w:r w:rsidRPr="00E6210C">
        <w:rPr>
          <w:spacing w:val="-2"/>
        </w:rPr>
        <w:t xml:space="preserve"> the </w:t>
      </w:r>
      <w:r w:rsidRPr="00E6210C">
        <w:rPr>
          <w:spacing w:val="-2"/>
        </w:rPr>
        <w:t>Tree CC</w:t>
      </w:r>
      <w:r w:rsidRPr="00E6210C">
        <w:rPr>
          <w:spacing w:val="-2"/>
        </w:rPr>
        <w:t xml:space="preserve"> to Declaration 150-AF. </w:t>
      </w:r>
      <w:r w:rsidRPr="00E6210C">
        <w:rPr>
          <w:spacing w:val="-2"/>
        </w:rPr>
        <w:t xml:space="preserve"> </w:t>
      </w:r>
      <w:r w:rsidRPr="00E6210C">
        <w:rPr>
          <w:spacing w:val="-2"/>
        </w:rPr>
        <w:t xml:space="preserve">The parties intended to use this </w:t>
      </w:r>
      <w:r w:rsidRPr="00E6210C">
        <w:rPr>
          <w:spacing w:val="-2"/>
        </w:rPr>
        <w:t>modification</w:t>
      </w:r>
      <w:r w:rsidRPr="00E6210C">
        <w:rPr>
          <w:spacing w:val="-2"/>
        </w:rPr>
        <w:t xml:space="preserve"> as a model </w:t>
      </w:r>
      <w:r w:rsidRPr="00E6210C">
        <w:rPr>
          <w:spacing w:val="-2"/>
        </w:rPr>
        <w:t xml:space="preserve">for other declarations </w:t>
      </w:r>
      <w:proofErr w:type="gramStart"/>
      <w:r w:rsidRPr="00E6210C">
        <w:rPr>
          <w:spacing w:val="-2"/>
        </w:rPr>
        <w:t xml:space="preserve">in </w:t>
      </w:r>
      <w:r w:rsidRPr="00E6210C">
        <w:rPr>
          <w:spacing w:val="-2"/>
        </w:rPr>
        <w:t>order</w:t>
      </w:r>
      <w:r w:rsidRPr="00E6210C">
        <w:rPr>
          <w:spacing w:val="-2"/>
        </w:rPr>
        <w:t xml:space="preserve"> to</w:t>
      </w:r>
      <w:proofErr w:type="gramEnd"/>
      <w:r w:rsidRPr="00E6210C">
        <w:rPr>
          <w:spacing w:val="-2"/>
        </w:rPr>
        <w:t xml:space="preserve"> bring various parcels </w:t>
      </w:r>
      <w:r w:rsidRPr="00E6210C">
        <w:rPr>
          <w:spacing w:val="-2"/>
        </w:rPr>
        <w:t>into</w:t>
      </w:r>
      <w:r w:rsidRPr="00E6210C">
        <w:rPr>
          <w:spacing w:val="-2"/>
        </w:rPr>
        <w:t xml:space="preserve"> conformity with Declaration 150.  </w:t>
      </w:r>
      <w:r w:rsidRPr="00E6210C">
        <w:rPr>
          <w:spacing w:val="-2"/>
        </w:rPr>
        <w:t xml:space="preserve">A Master </w:t>
      </w:r>
      <w:r w:rsidRPr="00E6210C">
        <w:rPr>
          <w:spacing w:val="-2"/>
        </w:rPr>
        <w:t>Agreement</w:t>
      </w:r>
      <w:r w:rsidRPr="00E6210C">
        <w:rPr>
          <w:spacing w:val="-2"/>
        </w:rPr>
        <w:t xml:space="preserve"> </w:t>
      </w:r>
      <w:r w:rsidRPr="00E6210C">
        <w:rPr>
          <w:spacing w:val="-2"/>
        </w:rPr>
        <w:t>was</w:t>
      </w:r>
      <w:r w:rsidRPr="00E6210C">
        <w:rPr>
          <w:spacing w:val="-2"/>
        </w:rPr>
        <w:t xml:space="preserve"> </w:t>
      </w:r>
      <w:r w:rsidRPr="00E6210C">
        <w:rPr>
          <w:spacing w:val="-2"/>
        </w:rPr>
        <w:t>prepared</w:t>
      </w:r>
      <w:r w:rsidRPr="00E6210C">
        <w:rPr>
          <w:spacing w:val="-2"/>
        </w:rPr>
        <w:t xml:space="preserve"> in 1950 </w:t>
      </w:r>
      <w:r w:rsidRPr="00E6210C">
        <w:rPr>
          <w:spacing w:val="-2"/>
        </w:rPr>
        <w:t xml:space="preserve">to update the annexation template.  </w:t>
      </w:r>
      <w:r w:rsidRPr="00E6210C">
        <w:rPr>
          <w:spacing w:val="-2"/>
        </w:rPr>
        <w:t xml:space="preserve">However, the parties realized that </w:t>
      </w:r>
      <w:r w:rsidRPr="00E6210C">
        <w:rPr>
          <w:spacing w:val="-2"/>
        </w:rPr>
        <w:t>modifying</w:t>
      </w:r>
      <w:r w:rsidRPr="00E6210C">
        <w:rPr>
          <w:spacing w:val="-2"/>
        </w:rPr>
        <w:t xml:space="preserve"> the declarations would require 70 percent concurrence of Association members.  </w:t>
      </w:r>
      <w:r w:rsidRPr="00E6210C">
        <w:rPr>
          <w:spacing w:val="-2"/>
        </w:rPr>
        <w:t xml:space="preserve">The </w:t>
      </w:r>
      <w:r w:rsidRPr="00E6210C">
        <w:rPr>
          <w:spacing w:val="-2"/>
        </w:rPr>
        <w:t>modifications never took place</w:t>
      </w:r>
      <w:r w:rsidRPr="00E6210C">
        <w:rPr>
          <w:spacing w:val="-2"/>
        </w:rPr>
        <w:t xml:space="preserve">, and no modified declarations were </w:t>
      </w:r>
      <w:r w:rsidRPr="00E6210C">
        <w:rPr>
          <w:spacing w:val="-2"/>
        </w:rPr>
        <w:t xml:space="preserve">ever </w:t>
      </w:r>
      <w:r w:rsidRPr="00E6210C">
        <w:rPr>
          <w:spacing w:val="-2"/>
        </w:rPr>
        <w:t>recorded</w:t>
      </w:r>
      <w:r w:rsidRPr="00E6210C">
        <w:rPr>
          <w:spacing w:val="-2"/>
        </w:rPr>
        <w:t xml:space="preserve">.  </w:t>
      </w:r>
    </w:p>
    <w:p w14:paraId="5FA336C9" w14:textId="77777777" w:rsidR="00B2782B" w:rsidRPr="00E6210C" w:rsidRDefault="00B2782B" w:rsidP="00223DFA">
      <w:pPr>
        <w:spacing w:after="0" w:line="288" w:lineRule="auto"/>
        <w:rPr>
          <w:spacing w:val="-2"/>
        </w:rPr>
      </w:pPr>
      <w:r w:rsidRPr="00E6210C">
        <w:rPr>
          <w:spacing w:val="-2"/>
        </w:rPr>
        <w:tab/>
        <w:t xml:space="preserve">Later </w:t>
      </w:r>
      <w:r w:rsidRPr="00E6210C">
        <w:rPr>
          <w:spacing w:val="-2"/>
        </w:rPr>
        <w:t>d</w:t>
      </w:r>
      <w:r w:rsidRPr="00E6210C">
        <w:rPr>
          <w:spacing w:val="-2"/>
        </w:rPr>
        <w:t>eclarations, those recorded from 1949 through 1969, includ</w:t>
      </w:r>
      <w:r w:rsidRPr="00E6210C">
        <w:rPr>
          <w:spacing w:val="-2"/>
        </w:rPr>
        <w:t xml:space="preserve">ed </w:t>
      </w:r>
      <w:r w:rsidRPr="00E6210C">
        <w:rPr>
          <w:spacing w:val="-2"/>
        </w:rPr>
        <w:t xml:space="preserve">the Tree CC. </w:t>
      </w:r>
    </w:p>
    <w:p w14:paraId="1379A94B" w14:textId="77777777" w:rsidR="00B2782B" w:rsidRPr="00E6210C" w:rsidRDefault="00B2782B" w:rsidP="00223DFA">
      <w:pPr>
        <w:spacing w:after="0" w:line="288" w:lineRule="auto"/>
        <w:rPr>
          <w:spacing w:val="-2"/>
        </w:rPr>
      </w:pPr>
    </w:p>
    <w:p w14:paraId="3D6067C8" w14:textId="77777777" w:rsidR="00B2782B" w:rsidRPr="00E6210C" w:rsidRDefault="00B2782B" w:rsidP="00223DFA">
      <w:pPr>
        <w:keepNext/>
        <w:spacing w:after="0" w:line="288" w:lineRule="auto"/>
        <w:rPr>
          <w:b/>
          <w:bCs/>
          <w:spacing w:val="-2"/>
        </w:rPr>
      </w:pPr>
      <w:r w:rsidRPr="00E6210C">
        <w:rPr>
          <w:b/>
          <w:bCs/>
          <w:spacing w:val="-2"/>
        </w:rPr>
        <w:t>E.</w:t>
      </w:r>
      <w:r w:rsidRPr="00E6210C">
        <w:rPr>
          <w:b/>
          <w:bCs/>
          <w:spacing w:val="-2"/>
        </w:rPr>
        <w:tab/>
      </w:r>
      <w:r w:rsidRPr="00E6210C">
        <w:rPr>
          <w:b/>
          <w:bCs/>
          <w:i/>
          <w:iCs/>
          <w:spacing w:val="-2"/>
        </w:rPr>
        <w:t xml:space="preserve">Russell v. Palos Verdes Properties </w:t>
      </w:r>
      <w:r w:rsidRPr="00E6210C">
        <w:rPr>
          <w:b/>
          <w:bCs/>
          <w:spacing w:val="-2"/>
        </w:rPr>
        <w:t xml:space="preserve">(1963) 218 </w:t>
      </w:r>
    </w:p>
    <w:p w14:paraId="367A2CB6" w14:textId="77777777" w:rsidR="00B2782B" w:rsidRPr="00E6210C" w:rsidRDefault="00B2782B" w:rsidP="00223DFA">
      <w:pPr>
        <w:keepNext/>
        <w:spacing w:after="0" w:line="288" w:lineRule="auto"/>
        <w:ind w:firstLine="720"/>
        <w:rPr>
          <w:b/>
          <w:bCs/>
          <w:spacing w:val="-2"/>
        </w:rPr>
      </w:pPr>
      <w:r w:rsidRPr="00E6210C">
        <w:rPr>
          <w:b/>
          <w:bCs/>
          <w:spacing w:val="-2"/>
        </w:rPr>
        <w:t xml:space="preserve">Cal.App.2d 754 </w:t>
      </w:r>
      <w:r w:rsidRPr="00E6210C">
        <w:rPr>
          <w:b/>
          <w:bCs/>
          <w:spacing w:val="-2"/>
        </w:rPr>
        <w:t>(</w:t>
      </w:r>
      <w:r w:rsidRPr="00E6210C">
        <w:rPr>
          <w:b/>
          <w:bCs/>
          <w:i/>
          <w:iCs/>
          <w:spacing w:val="-2"/>
        </w:rPr>
        <w:t>Russell</w:t>
      </w:r>
      <w:r w:rsidRPr="00E6210C">
        <w:rPr>
          <w:b/>
          <w:bCs/>
          <w:spacing w:val="-2"/>
        </w:rPr>
        <w:t>)</w:t>
      </w:r>
    </w:p>
    <w:p w14:paraId="08121FC8" w14:textId="77777777" w:rsidR="00B2782B" w:rsidRPr="00E6210C" w:rsidRDefault="00B2782B" w:rsidP="00223DFA">
      <w:pPr>
        <w:spacing w:after="0" w:line="288" w:lineRule="auto"/>
        <w:rPr>
          <w:spacing w:val="-2"/>
        </w:rPr>
      </w:pPr>
      <w:r w:rsidRPr="00E6210C">
        <w:rPr>
          <w:spacing w:val="-2"/>
        </w:rPr>
        <w:tab/>
      </w:r>
      <w:r w:rsidRPr="00E6210C">
        <w:rPr>
          <w:spacing w:val="-2"/>
        </w:rPr>
        <w:t xml:space="preserve">There are </w:t>
      </w:r>
      <w:proofErr w:type="gramStart"/>
      <w:r w:rsidRPr="00E6210C">
        <w:rPr>
          <w:spacing w:val="-2"/>
        </w:rPr>
        <w:t>a number of</w:t>
      </w:r>
      <w:proofErr w:type="gramEnd"/>
      <w:r w:rsidRPr="00E6210C">
        <w:rPr>
          <w:spacing w:val="-2"/>
        </w:rPr>
        <w:t xml:space="preserve"> cases involving covenants, some concerning covenants in Rolling Hills specifically.  </w:t>
      </w:r>
      <w:r w:rsidRPr="00E6210C">
        <w:rPr>
          <w:i/>
          <w:iCs/>
          <w:spacing w:val="-2"/>
        </w:rPr>
        <w:t>Russell</w:t>
      </w:r>
      <w:r w:rsidRPr="00E6210C">
        <w:rPr>
          <w:i/>
          <w:iCs/>
          <w:spacing w:val="-2"/>
        </w:rPr>
        <w:t>,</w:t>
      </w:r>
      <w:r w:rsidRPr="00E6210C">
        <w:rPr>
          <w:i/>
          <w:iCs/>
          <w:spacing w:val="-2"/>
        </w:rPr>
        <w:t xml:space="preserve"> </w:t>
      </w:r>
      <w:r w:rsidRPr="00E6210C">
        <w:rPr>
          <w:spacing w:val="-2"/>
        </w:rPr>
        <w:t xml:space="preserve">a case predating </w:t>
      </w:r>
      <w:r w:rsidRPr="00E6210C">
        <w:rPr>
          <w:i/>
          <w:iCs/>
          <w:spacing w:val="-2"/>
        </w:rPr>
        <w:t>Citizens,</w:t>
      </w:r>
      <w:r w:rsidRPr="00E6210C">
        <w:rPr>
          <w:spacing w:val="-2"/>
        </w:rPr>
        <w:t xml:space="preserve"> </w:t>
      </w:r>
      <w:r w:rsidRPr="00E6210C">
        <w:rPr>
          <w:spacing w:val="-2"/>
        </w:rPr>
        <w:t xml:space="preserve">involved </w:t>
      </w:r>
      <w:r w:rsidRPr="00E6210C">
        <w:rPr>
          <w:spacing w:val="-2"/>
        </w:rPr>
        <w:t xml:space="preserve">Rolling Hills </w:t>
      </w:r>
      <w:r w:rsidRPr="00E6210C">
        <w:rPr>
          <w:spacing w:val="-2"/>
        </w:rPr>
        <w:t xml:space="preserve">subdivision restrictions requiring neighborhood association permission before </w:t>
      </w:r>
      <w:r w:rsidRPr="00E6210C">
        <w:rPr>
          <w:spacing w:val="-2"/>
        </w:rPr>
        <w:t xml:space="preserve">subdividing </w:t>
      </w:r>
      <w:r w:rsidRPr="00E6210C">
        <w:rPr>
          <w:spacing w:val="-2"/>
        </w:rPr>
        <w:t>any parcel</w:t>
      </w:r>
      <w:r w:rsidRPr="00E6210C">
        <w:rPr>
          <w:spacing w:val="-2"/>
        </w:rPr>
        <w:t xml:space="preserve">. </w:t>
      </w:r>
      <w:r w:rsidRPr="00E6210C">
        <w:rPr>
          <w:spacing w:val="-2"/>
        </w:rPr>
        <w:t xml:space="preserve"> </w:t>
      </w:r>
      <w:r w:rsidRPr="00E6210C">
        <w:rPr>
          <w:spacing w:val="-2"/>
        </w:rPr>
        <w:t>(</w:t>
      </w:r>
      <w:r w:rsidRPr="00E6210C">
        <w:rPr>
          <w:i/>
          <w:iCs/>
          <w:spacing w:val="-2"/>
        </w:rPr>
        <w:t>Russell</w:t>
      </w:r>
      <w:r w:rsidRPr="00E6210C">
        <w:rPr>
          <w:spacing w:val="-2"/>
        </w:rPr>
        <w:t xml:space="preserve">, </w:t>
      </w:r>
      <w:r w:rsidRPr="00E6210C">
        <w:rPr>
          <w:i/>
          <w:iCs/>
          <w:spacing w:val="-2"/>
        </w:rPr>
        <w:t>supra</w:t>
      </w:r>
      <w:r w:rsidRPr="00E6210C">
        <w:rPr>
          <w:spacing w:val="-2"/>
        </w:rPr>
        <w:t>, 218 Cal.App.2</w:t>
      </w:r>
      <w:r w:rsidRPr="00E6210C">
        <w:rPr>
          <w:spacing w:val="-2"/>
        </w:rPr>
        <w:t>d</w:t>
      </w:r>
      <w:r w:rsidRPr="00E6210C">
        <w:rPr>
          <w:i/>
          <w:iCs/>
          <w:spacing w:val="-2"/>
        </w:rPr>
        <w:t xml:space="preserve">. </w:t>
      </w:r>
      <w:r w:rsidRPr="00E6210C">
        <w:rPr>
          <w:spacing w:val="-2"/>
        </w:rPr>
        <w:t>at p.</w:t>
      </w:r>
      <w:r w:rsidRPr="00E6210C">
        <w:rPr>
          <w:spacing w:val="-2"/>
        </w:rPr>
        <w:t> </w:t>
      </w:r>
      <w:r w:rsidRPr="00E6210C">
        <w:rPr>
          <w:spacing w:val="-2"/>
        </w:rPr>
        <w:t xml:space="preserve">757.) </w:t>
      </w:r>
      <w:r w:rsidRPr="00E6210C">
        <w:rPr>
          <w:spacing w:val="-2"/>
        </w:rPr>
        <w:t xml:space="preserve"> </w:t>
      </w:r>
      <w:r w:rsidRPr="00E6210C">
        <w:rPr>
          <w:i/>
          <w:iCs/>
          <w:spacing w:val="-2"/>
        </w:rPr>
        <w:t xml:space="preserve">Russell </w:t>
      </w:r>
      <w:r w:rsidRPr="00E6210C">
        <w:rPr>
          <w:spacing w:val="-2"/>
        </w:rPr>
        <w:t xml:space="preserve">held that </w:t>
      </w:r>
      <w:r w:rsidRPr="00E6210C">
        <w:rPr>
          <w:spacing w:val="-2"/>
        </w:rPr>
        <w:t xml:space="preserve">personal </w:t>
      </w:r>
      <w:r w:rsidRPr="00E6210C">
        <w:rPr>
          <w:spacing w:val="-2"/>
        </w:rPr>
        <w:t>covenants</w:t>
      </w:r>
      <w:r w:rsidRPr="00E6210C">
        <w:rPr>
          <w:spacing w:val="-2"/>
        </w:rPr>
        <w:t>,</w:t>
      </w:r>
      <w:r w:rsidRPr="00E6210C">
        <w:rPr>
          <w:spacing w:val="-2"/>
        </w:rPr>
        <w:t xml:space="preserve"> which do not run with the land</w:t>
      </w:r>
      <w:r w:rsidRPr="00E6210C">
        <w:rPr>
          <w:spacing w:val="-2"/>
        </w:rPr>
        <w:t>,</w:t>
      </w:r>
      <w:r w:rsidRPr="00E6210C">
        <w:rPr>
          <w:spacing w:val="-2"/>
        </w:rPr>
        <w:t xml:space="preserve"> may be enforced against transferees acquiring the property with actual or constructive notice</w:t>
      </w:r>
      <w:r>
        <w:rPr>
          <w:rStyle w:val="FootnoteReference"/>
          <w:spacing w:val="-2"/>
        </w:rPr>
        <w:footnoteReference w:id="3"/>
      </w:r>
      <w:r w:rsidRPr="00E6210C">
        <w:rPr>
          <w:spacing w:val="-2"/>
        </w:rPr>
        <w:t xml:space="preserve"> of the restrictions</w:t>
      </w:r>
      <w:r w:rsidRPr="00E6210C">
        <w:rPr>
          <w:spacing w:val="-2"/>
        </w:rPr>
        <w:t xml:space="preserve"> when the property was </w:t>
      </w:r>
      <w:r w:rsidRPr="00E6210C">
        <w:rPr>
          <w:spacing w:val="-2"/>
        </w:rPr>
        <w:lastRenderedPageBreak/>
        <w:t>conveyed to them</w:t>
      </w:r>
      <w:r w:rsidRPr="00E6210C">
        <w:rPr>
          <w:spacing w:val="-2"/>
        </w:rPr>
        <w:t>, when failure to enforce the restrictions would produce an inequitable result.  (</w:t>
      </w:r>
      <w:r w:rsidRPr="00E6210C">
        <w:rPr>
          <w:i/>
          <w:iCs/>
          <w:spacing w:val="-2"/>
        </w:rPr>
        <w:t xml:space="preserve">Id. </w:t>
      </w:r>
      <w:r w:rsidRPr="00E6210C">
        <w:rPr>
          <w:spacing w:val="-2"/>
        </w:rPr>
        <w:t>at pp.</w:t>
      </w:r>
      <w:r w:rsidRPr="00E6210C">
        <w:rPr>
          <w:spacing w:val="-2"/>
        </w:rPr>
        <w:t> </w:t>
      </w:r>
      <w:r w:rsidRPr="00E6210C">
        <w:rPr>
          <w:spacing w:val="-2"/>
        </w:rPr>
        <w:t xml:space="preserve">762–764.) </w:t>
      </w:r>
    </w:p>
    <w:p w14:paraId="3A59F115" w14:textId="77777777" w:rsidR="00B2782B" w:rsidRPr="00E6210C" w:rsidRDefault="00B2782B" w:rsidP="00223DFA">
      <w:pPr>
        <w:spacing w:after="0" w:line="288" w:lineRule="auto"/>
        <w:ind w:firstLine="720"/>
        <w:rPr>
          <w:spacing w:val="-2"/>
        </w:rPr>
      </w:pPr>
      <w:r w:rsidRPr="00E6210C">
        <w:rPr>
          <w:spacing w:val="-2"/>
        </w:rPr>
        <w:t xml:space="preserve">Although its holding is not on point here, </w:t>
      </w:r>
      <w:r w:rsidRPr="00E6210C">
        <w:rPr>
          <w:i/>
          <w:iCs/>
          <w:spacing w:val="-2"/>
        </w:rPr>
        <w:t xml:space="preserve">Russell </w:t>
      </w:r>
      <w:r w:rsidRPr="00E6210C">
        <w:rPr>
          <w:spacing w:val="-2"/>
        </w:rPr>
        <w:t xml:space="preserve">made </w:t>
      </w:r>
      <w:r w:rsidRPr="00E6210C">
        <w:rPr>
          <w:spacing w:val="-2"/>
        </w:rPr>
        <w:t xml:space="preserve">various non-binding </w:t>
      </w:r>
      <w:r w:rsidRPr="00E6210C">
        <w:rPr>
          <w:spacing w:val="-2"/>
        </w:rPr>
        <w:t>observations about the interplay between Declaration 150 and the subsequent annexation declarations</w:t>
      </w:r>
      <w:r w:rsidRPr="00E6210C">
        <w:rPr>
          <w:spacing w:val="-2"/>
        </w:rPr>
        <w:t xml:space="preserve">. </w:t>
      </w:r>
      <w:r w:rsidRPr="00E6210C">
        <w:rPr>
          <w:spacing w:val="-2"/>
        </w:rPr>
        <w:t xml:space="preserve"> </w:t>
      </w:r>
      <w:r w:rsidRPr="00E6210C">
        <w:rPr>
          <w:spacing w:val="-2"/>
        </w:rPr>
        <w:t>A</w:t>
      </w:r>
      <w:r w:rsidRPr="00E6210C">
        <w:rPr>
          <w:spacing w:val="-2"/>
        </w:rPr>
        <w:t xml:space="preserve">t issue in </w:t>
      </w:r>
      <w:r w:rsidRPr="00E6210C">
        <w:rPr>
          <w:i/>
          <w:iCs/>
          <w:spacing w:val="-2"/>
        </w:rPr>
        <w:t xml:space="preserve">Russell </w:t>
      </w:r>
      <w:r w:rsidRPr="00E6210C">
        <w:rPr>
          <w:spacing w:val="-2"/>
        </w:rPr>
        <w:t>was Declaration 150-W.</w:t>
      </w:r>
      <w:r>
        <w:rPr>
          <w:rStyle w:val="FootnoteReference"/>
          <w:spacing w:val="-2"/>
        </w:rPr>
        <w:footnoteReference w:id="4"/>
      </w:r>
      <w:r w:rsidRPr="00E6210C">
        <w:rPr>
          <w:spacing w:val="-2"/>
        </w:rPr>
        <w:t xml:space="preserve"> </w:t>
      </w:r>
      <w:r w:rsidRPr="00E6210C">
        <w:rPr>
          <w:spacing w:val="-2"/>
        </w:rPr>
        <w:t xml:space="preserve"> </w:t>
      </w:r>
      <w:r w:rsidRPr="00E6210C">
        <w:rPr>
          <w:spacing w:val="-2"/>
        </w:rPr>
        <w:t>(</w:t>
      </w:r>
      <w:r w:rsidRPr="00E6210C">
        <w:rPr>
          <w:i/>
          <w:iCs/>
          <w:spacing w:val="-2"/>
        </w:rPr>
        <w:t>Russell</w:t>
      </w:r>
      <w:r w:rsidRPr="00E6210C">
        <w:rPr>
          <w:spacing w:val="-2"/>
        </w:rPr>
        <w:t xml:space="preserve">, </w:t>
      </w:r>
      <w:r w:rsidRPr="00E6210C">
        <w:rPr>
          <w:i/>
          <w:iCs/>
          <w:spacing w:val="-2"/>
        </w:rPr>
        <w:t>supra</w:t>
      </w:r>
      <w:r w:rsidRPr="00E6210C">
        <w:rPr>
          <w:spacing w:val="-2"/>
        </w:rPr>
        <w:t>, 218 Cal.App.2d</w:t>
      </w:r>
      <w:r w:rsidRPr="00E6210C">
        <w:rPr>
          <w:i/>
          <w:iCs/>
          <w:spacing w:val="-2"/>
        </w:rPr>
        <w:t xml:space="preserve"> </w:t>
      </w:r>
      <w:r w:rsidRPr="00E6210C">
        <w:rPr>
          <w:spacing w:val="-2"/>
        </w:rPr>
        <w:t>at p.</w:t>
      </w:r>
      <w:r w:rsidRPr="00E6210C">
        <w:rPr>
          <w:spacing w:val="-2"/>
        </w:rPr>
        <w:t> </w:t>
      </w:r>
      <w:r w:rsidRPr="00E6210C">
        <w:rPr>
          <w:spacing w:val="-2"/>
        </w:rPr>
        <w:t>765.)</w:t>
      </w:r>
      <w:r w:rsidRPr="00E6210C">
        <w:rPr>
          <w:spacing w:val="-2"/>
        </w:rPr>
        <w:t xml:space="preserve"> </w:t>
      </w:r>
      <w:r w:rsidRPr="00E6210C">
        <w:rPr>
          <w:spacing w:val="-2"/>
        </w:rPr>
        <w:t xml:space="preserve"> </w:t>
      </w:r>
      <w:r w:rsidRPr="00E6210C">
        <w:rPr>
          <w:i/>
          <w:iCs/>
          <w:spacing w:val="-2"/>
        </w:rPr>
        <w:t xml:space="preserve">Russell </w:t>
      </w:r>
      <w:r w:rsidRPr="00E6210C">
        <w:rPr>
          <w:spacing w:val="-2"/>
        </w:rPr>
        <w:t>observed that Declaration 150 created “a general plan of restrictions</w:t>
      </w:r>
      <w:r w:rsidRPr="00E6210C">
        <w:rPr>
          <w:spacing w:val="-2"/>
        </w:rPr>
        <w:t>.</w:t>
      </w:r>
      <w:r w:rsidRPr="00E6210C">
        <w:rPr>
          <w:spacing w:val="-2"/>
        </w:rPr>
        <w:t xml:space="preserve">” </w:t>
      </w:r>
      <w:r w:rsidRPr="00E6210C">
        <w:rPr>
          <w:spacing w:val="-2"/>
        </w:rPr>
        <w:t xml:space="preserve"> </w:t>
      </w:r>
      <w:r w:rsidRPr="00E6210C">
        <w:rPr>
          <w:spacing w:val="-2"/>
        </w:rPr>
        <w:t>W</w:t>
      </w:r>
      <w:r w:rsidRPr="00E6210C">
        <w:rPr>
          <w:spacing w:val="-2"/>
        </w:rPr>
        <w:t xml:space="preserve">hen PVC sold subsequent parcels, “before conveying the same and for the future use of the land,” PVC “imposed on each the above restrictions in the form of separate Agreements and Declarations between it and [the] Association.” </w:t>
      </w:r>
      <w:r w:rsidRPr="00E6210C">
        <w:rPr>
          <w:spacing w:val="-2"/>
        </w:rPr>
        <w:t xml:space="preserve"> </w:t>
      </w:r>
      <w:r w:rsidRPr="00E6210C">
        <w:rPr>
          <w:spacing w:val="-2"/>
        </w:rPr>
        <w:t>(</w:t>
      </w:r>
      <w:r w:rsidRPr="00E6210C">
        <w:rPr>
          <w:i/>
          <w:iCs/>
          <w:spacing w:val="-2"/>
        </w:rPr>
        <w:t>Id</w:t>
      </w:r>
      <w:r w:rsidRPr="00E6210C">
        <w:rPr>
          <w:spacing w:val="-2"/>
        </w:rPr>
        <w:t>. at p.</w:t>
      </w:r>
      <w:r w:rsidRPr="00E6210C">
        <w:rPr>
          <w:spacing w:val="-2"/>
        </w:rPr>
        <w:t> </w:t>
      </w:r>
      <w:r w:rsidRPr="00E6210C">
        <w:rPr>
          <w:spacing w:val="-2"/>
        </w:rPr>
        <w:t xml:space="preserve">758.) </w:t>
      </w:r>
      <w:r w:rsidRPr="00E6210C">
        <w:rPr>
          <w:spacing w:val="-2"/>
        </w:rPr>
        <w:t xml:space="preserve"> </w:t>
      </w:r>
      <w:r w:rsidRPr="00E6210C">
        <w:rPr>
          <w:i/>
          <w:iCs/>
          <w:spacing w:val="-2"/>
        </w:rPr>
        <w:t xml:space="preserve">Russell </w:t>
      </w:r>
      <w:r w:rsidRPr="00E6210C">
        <w:rPr>
          <w:spacing w:val="-2"/>
        </w:rPr>
        <w:t>further observed that</w:t>
      </w:r>
      <w:r w:rsidRPr="00E6210C">
        <w:rPr>
          <w:spacing w:val="-2"/>
        </w:rPr>
        <w:t xml:space="preserve"> the declarations applicable to the parcels that were sold</w:t>
      </w:r>
      <w:r w:rsidRPr="00E6210C">
        <w:rPr>
          <w:spacing w:val="-2"/>
        </w:rPr>
        <w:t xml:space="preserve"> (</w:t>
      </w:r>
      <w:r w:rsidRPr="00E6210C">
        <w:rPr>
          <w:spacing w:val="-2"/>
        </w:rPr>
        <w:t>Declarations 150-A through 150-V</w:t>
      </w:r>
      <w:r w:rsidRPr="00E6210C">
        <w:rPr>
          <w:spacing w:val="-2"/>
        </w:rPr>
        <w:t>)</w:t>
      </w:r>
      <w:r w:rsidRPr="00E6210C">
        <w:rPr>
          <w:spacing w:val="-2"/>
        </w:rPr>
        <w:t xml:space="preserve"> were intended</w:t>
      </w:r>
      <w:r w:rsidRPr="00E6210C">
        <w:rPr>
          <w:spacing w:val="-2"/>
        </w:rPr>
        <w:t xml:space="preserve"> to establish a general plan for the development, improvement, and protection of the subdivision.</w:t>
      </w:r>
      <w:r w:rsidRPr="00E6210C">
        <w:rPr>
          <w:spacing w:val="-2"/>
        </w:rPr>
        <w:t xml:space="preserve"> </w:t>
      </w:r>
      <w:r w:rsidRPr="00E6210C">
        <w:rPr>
          <w:spacing w:val="-2"/>
        </w:rPr>
        <w:t xml:space="preserve"> </w:t>
      </w:r>
      <w:r w:rsidRPr="00E6210C">
        <w:rPr>
          <w:spacing w:val="-2"/>
        </w:rPr>
        <w:t>(</w:t>
      </w:r>
      <w:r w:rsidRPr="00E6210C">
        <w:rPr>
          <w:i/>
          <w:iCs/>
          <w:spacing w:val="-2"/>
        </w:rPr>
        <w:t>Id.</w:t>
      </w:r>
      <w:r w:rsidRPr="00E6210C">
        <w:rPr>
          <w:i/>
          <w:iCs/>
          <w:spacing w:val="-2"/>
        </w:rPr>
        <w:t xml:space="preserve"> </w:t>
      </w:r>
      <w:r w:rsidRPr="00E6210C">
        <w:rPr>
          <w:spacing w:val="-2"/>
        </w:rPr>
        <w:t>at p.</w:t>
      </w:r>
      <w:r w:rsidRPr="00E6210C">
        <w:rPr>
          <w:spacing w:val="-2"/>
        </w:rPr>
        <w:t> </w:t>
      </w:r>
      <w:r w:rsidRPr="00E6210C">
        <w:rPr>
          <w:spacing w:val="-2"/>
        </w:rPr>
        <w:t xml:space="preserve">759.) </w:t>
      </w:r>
      <w:r w:rsidRPr="00E6210C">
        <w:rPr>
          <w:spacing w:val="-2"/>
        </w:rPr>
        <w:t xml:space="preserve"> </w:t>
      </w:r>
      <w:r w:rsidRPr="00E6210C">
        <w:rPr>
          <w:spacing w:val="-2"/>
        </w:rPr>
        <w:t xml:space="preserve">With Declaration 150-W’s reference to </w:t>
      </w:r>
      <w:r w:rsidRPr="00E6210C">
        <w:rPr>
          <w:spacing w:val="-2"/>
        </w:rPr>
        <w:t xml:space="preserve">the General Plan in </w:t>
      </w:r>
      <w:r w:rsidRPr="00E6210C">
        <w:rPr>
          <w:spacing w:val="-2"/>
        </w:rPr>
        <w:t xml:space="preserve">Declaration 150, </w:t>
      </w:r>
      <w:r w:rsidRPr="00E6210C">
        <w:rPr>
          <w:i/>
          <w:iCs/>
          <w:spacing w:val="-2"/>
        </w:rPr>
        <w:t xml:space="preserve">Russell </w:t>
      </w:r>
      <w:r w:rsidRPr="00E6210C">
        <w:rPr>
          <w:spacing w:val="-2"/>
        </w:rPr>
        <w:t xml:space="preserve">indicated </w:t>
      </w:r>
      <w:r w:rsidRPr="00E6210C">
        <w:rPr>
          <w:spacing w:val="-2"/>
        </w:rPr>
        <w:t xml:space="preserve">the land it annexed into Rolling Hills became “subject to the same restrictions.” </w:t>
      </w:r>
      <w:r w:rsidRPr="00E6210C">
        <w:rPr>
          <w:spacing w:val="-2"/>
        </w:rPr>
        <w:t xml:space="preserve"> </w:t>
      </w:r>
      <w:r w:rsidRPr="00E6210C">
        <w:rPr>
          <w:spacing w:val="-2"/>
        </w:rPr>
        <w:t>(</w:t>
      </w:r>
      <w:r w:rsidRPr="00E6210C">
        <w:rPr>
          <w:i/>
          <w:iCs/>
          <w:spacing w:val="-2"/>
        </w:rPr>
        <w:t>Id</w:t>
      </w:r>
      <w:r w:rsidRPr="00E6210C">
        <w:rPr>
          <w:spacing w:val="-2"/>
        </w:rPr>
        <w:t>. at p.</w:t>
      </w:r>
      <w:r w:rsidRPr="00E6210C">
        <w:rPr>
          <w:spacing w:val="-2"/>
        </w:rPr>
        <w:t> </w:t>
      </w:r>
      <w:r w:rsidRPr="00E6210C">
        <w:rPr>
          <w:spacing w:val="-2"/>
        </w:rPr>
        <w:t xml:space="preserve">765.) </w:t>
      </w:r>
    </w:p>
    <w:p w14:paraId="278279AA" w14:textId="77777777" w:rsidR="00B2782B" w:rsidRPr="00E6210C" w:rsidRDefault="00B2782B" w:rsidP="00223DFA">
      <w:pPr>
        <w:spacing w:after="0" w:line="288" w:lineRule="auto"/>
        <w:rPr>
          <w:spacing w:val="-2"/>
        </w:rPr>
      </w:pPr>
      <w:r w:rsidRPr="00E6210C">
        <w:rPr>
          <w:spacing w:val="-2"/>
        </w:rPr>
        <w:tab/>
        <w:t xml:space="preserve">William Kinley, the Association’s counsel at the time of the </w:t>
      </w:r>
      <w:r w:rsidRPr="00E6210C">
        <w:rPr>
          <w:i/>
          <w:iCs/>
          <w:spacing w:val="-2"/>
        </w:rPr>
        <w:t xml:space="preserve">Russell </w:t>
      </w:r>
      <w:r w:rsidRPr="00E6210C">
        <w:rPr>
          <w:spacing w:val="-2"/>
        </w:rPr>
        <w:t xml:space="preserve">decision, relied on the decision to assert that “all parcels in Rolling Hills are subject to [Declaration] 150 because of the reasoning in the </w:t>
      </w:r>
      <w:r w:rsidRPr="00E6210C">
        <w:rPr>
          <w:i/>
          <w:iCs/>
          <w:spacing w:val="-2"/>
        </w:rPr>
        <w:t>Russell</w:t>
      </w:r>
      <w:r w:rsidRPr="00E6210C">
        <w:rPr>
          <w:spacing w:val="-2"/>
        </w:rPr>
        <w:t xml:space="preserve"> case” and “everybody was covered” by the </w:t>
      </w:r>
      <w:r w:rsidRPr="00E6210C">
        <w:rPr>
          <w:spacing w:val="-2"/>
        </w:rPr>
        <w:lastRenderedPageBreak/>
        <w:t xml:space="preserve">General Plan.  Kinley believed </w:t>
      </w:r>
      <w:r w:rsidRPr="00E6210C">
        <w:rPr>
          <w:i/>
          <w:iCs/>
          <w:spacing w:val="-2"/>
        </w:rPr>
        <w:t>Russell</w:t>
      </w:r>
      <w:r w:rsidRPr="00E6210C">
        <w:rPr>
          <w:spacing w:val="-2"/>
        </w:rPr>
        <w:t xml:space="preserve"> established that “all of the Declarations of Restrictions were to be considered as a part of Declaration </w:t>
      </w:r>
      <w:proofErr w:type="gramStart"/>
      <w:r w:rsidRPr="00E6210C">
        <w:rPr>
          <w:spacing w:val="-2"/>
        </w:rPr>
        <w:t>[</w:t>
      </w:r>
      <w:r w:rsidRPr="00E6210C">
        <w:rPr>
          <w:spacing w:val="-2"/>
        </w:rPr>
        <w:t> </w:t>
      </w:r>
      <w:r w:rsidRPr="00E6210C">
        <w:rPr>
          <w:spacing w:val="-2"/>
        </w:rPr>
        <w:t>]</w:t>
      </w:r>
      <w:proofErr w:type="gramEnd"/>
      <w:r w:rsidRPr="00E6210C">
        <w:rPr>
          <w:spacing w:val="-2"/>
        </w:rPr>
        <w:t xml:space="preserve"> 150” and “not as separate and independent declarations of restrictions.”  </w:t>
      </w:r>
      <w:r w:rsidRPr="00E6210C">
        <w:rPr>
          <w:spacing w:val="-2"/>
        </w:rPr>
        <w:t xml:space="preserve">Nonetheless, </w:t>
      </w:r>
      <w:r w:rsidRPr="00E6210C">
        <w:rPr>
          <w:spacing w:val="-2"/>
        </w:rPr>
        <w:t>Kinley informed his successor, Si</w:t>
      </w:r>
      <w:r w:rsidRPr="00E6210C">
        <w:rPr>
          <w:spacing w:val="-2"/>
        </w:rPr>
        <w:t>d</w:t>
      </w:r>
      <w:r w:rsidRPr="00E6210C">
        <w:rPr>
          <w:spacing w:val="-2"/>
        </w:rPr>
        <w:t xml:space="preserve">ney Croft, </w:t>
      </w:r>
      <w:r w:rsidRPr="00E6210C">
        <w:rPr>
          <w:spacing w:val="-2"/>
        </w:rPr>
        <w:t>who became the Association’s att</w:t>
      </w:r>
      <w:r w:rsidRPr="00E6210C">
        <w:rPr>
          <w:spacing w:val="-2"/>
        </w:rPr>
        <w:t xml:space="preserve">orney in 1988, </w:t>
      </w:r>
      <w:r w:rsidRPr="00E6210C">
        <w:rPr>
          <w:spacing w:val="-2"/>
        </w:rPr>
        <w:t xml:space="preserve">that different restrictions had been placed on different tracts. </w:t>
      </w:r>
      <w:r w:rsidRPr="00E6210C">
        <w:rPr>
          <w:spacing w:val="-2"/>
        </w:rPr>
        <w:t xml:space="preserve"> </w:t>
      </w:r>
    </w:p>
    <w:p w14:paraId="538229BA" w14:textId="77777777" w:rsidR="00B2782B" w:rsidRPr="00E6210C" w:rsidRDefault="00B2782B" w:rsidP="00223DFA">
      <w:pPr>
        <w:spacing w:after="0" w:line="288" w:lineRule="auto"/>
        <w:rPr>
          <w:spacing w:val="-2"/>
        </w:rPr>
      </w:pPr>
    </w:p>
    <w:p w14:paraId="43879C89" w14:textId="77777777" w:rsidR="00B2782B" w:rsidRPr="00E6210C" w:rsidRDefault="00B2782B" w:rsidP="00223DFA">
      <w:pPr>
        <w:keepNext/>
        <w:spacing w:after="0" w:line="288" w:lineRule="auto"/>
        <w:rPr>
          <w:b/>
          <w:bCs/>
          <w:spacing w:val="-2"/>
        </w:rPr>
      </w:pPr>
      <w:r w:rsidRPr="00E6210C">
        <w:rPr>
          <w:b/>
          <w:bCs/>
          <w:spacing w:val="-2"/>
        </w:rPr>
        <w:t>F.</w:t>
      </w:r>
      <w:r w:rsidRPr="00E6210C">
        <w:rPr>
          <w:b/>
          <w:bCs/>
          <w:spacing w:val="-2"/>
        </w:rPr>
        <w:tab/>
      </w:r>
      <w:r w:rsidRPr="00E6210C">
        <w:rPr>
          <w:b/>
          <w:bCs/>
          <w:i/>
          <w:iCs/>
          <w:spacing w:val="-2"/>
        </w:rPr>
        <w:t xml:space="preserve">Citizens for Covenant Compliance v. Anderson </w:t>
      </w:r>
      <w:r w:rsidRPr="00E6210C">
        <w:rPr>
          <w:b/>
          <w:bCs/>
          <w:spacing w:val="-2"/>
        </w:rPr>
        <w:t xml:space="preserve">(1995) </w:t>
      </w:r>
    </w:p>
    <w:p w14:paraId="448D170D" w14:textId="77777777" w:rsidR="00B2782B" w:rsidRPr="00E6210C" w:rsidRDefault="00B2782B" w:rsidP="00223DFA">
      <w:pPr>
        <w:keepNext/>
        <w:spacing w:after="0" w:line="288" w:lineRule="auto"/>
        <w:ind w:firstLine="720"/>
        <w:rPr>
          <w:b/>
          <w:bCs/>
          <w:spacing w:val="-2"/>
        </w:rPr>
      </w:pPr>
      <w:r w:rsidRPr="00E6210C">
        <w:rPr>
          <w:b/>
          <w:bCs/>
          <w:spacing w:val="-2"/>
        </w:rPr>
        <w:t>12 Cal.4th 345</w:t>
      </w:r>
      <w:r w:rsidRPr="00E6210C">
        <w:rPr>
          <w:b/>
          <w:bCs/>
          <w:spacing w:val="-2"/>
        </w:rPr>
        <w:t xml:space="preserve"> (</w:t>
      </w:r>
      <w:r w:rsidRPr="00E6210C">
        <w:rPr>
          <w:b/>
          <w:bCs/>
          <w:i/>
          <w:iCs/>
          <w:spacing w:val="-2"/>
        </w:rPr>
        <w:t>Citizens</w:t>
      </w:r>
      <w:r w:rsidRPr="00E6210C">
        <w:rPr>
          <w:b/>
          <w:bCs/>
          <w:spacing w:val="-2"/>
        </w:rPr>
        <w:t>)</w:t>
      </w:r>
    </w:p>
    <w:p w14:paraId="73BA1B0C" w14:textId="77777777" w:rsidR="00B2782B" w:rsidRPr="00E6210C" w:rsidRDefault="00B2782B" w:rsidP="00223DFA">
      <w:pPr>
        <w:spacing w:after="0" w:line="288" w:lineRule="auto"/>
        <w:rPr>
          <w:spacing w:val="-2"/>
        </w:rPr>
      </w:pPr>
      <w:r w:rsidRPr="00E6210C">
        <w:rPr>
          <w:b/>
          <w:bCs/>
          <w:i/>
          <w:iCs/>
          <w:spacing w:val="-2"/>
        </w:rPr>
        <w:tab/>
      </w:r>
      <w:r w:rsidRPr="00E6210C">
        <w:rPr>
          <w:spacing w:val="-2"/>
        </w:rPr>
        <w:t xml:space="preserve">In </w:t>
      </w:r>
      <w:r w:rsidRPr="00E6210C">
        <w:rPr>
          <w:i/>
          <w:iCs/>
          <w:spacing w:val="-2"/>
        </w:rPr>
        <w:t>Citizens</w:t>
      </w:r>
      <w:r w:rsidRPr="00E6210C">
        <w:rPr>
          <w:spacing w:val="-2"/>
        </w:rPr>
        <w:t>, our Supreme Court</w:t>
      </w:r>
      <w:r w:rsidRPr="00E6210C">
        <w:rPr>
          <w:i/>
          <w:iCs/>
          <w:spacing w:val="-2"/>
        </w:rPr>
        <w:t xml:space="preserve"> </w:t>
      </w:r>
      <w:r w:rsidRPr="00E6210C">
        <w:rPr>
          <w:spacing w:val="-2"/>
        </w:rPr>
        <w:t xml:space="preserve">held that </w:t>
      </w:r>
      <w:r w:rsidRPr="00E6210C">
        <w:rPr>
          <w:spacing w:val="-2"/>
        </w:rPr>
        <w:t>a declaration of restrictions</w:t>
      </w:r>
      <w:r w:rsidRPr="00E6210C">
        <w:rPr>
          <w:spacing w:val="-2"/>
        </w:rPr>
        <w:t xml:space="preserve"> for a subdivision</w:t>
      </w:r>
      <w:r w:rsidRPr="00E6210C">
        <w:rPr>
          <w:spacing w:val="-2"/>
        </w:rPr>
        <w:t xml:space="preserve"> need</w:t>
      </w:r>
      <w:r w:rsidRPr="00E6210C">
        <w:rPr>
          <w:spacing w:val="-2"/>
        </w:rPr>
        <w:t xml:space="preserve"> not</w:t>
      </w:r>
      <w:r w:rsidRPr="00E6210C">
        <w:rPr>
          <w:spacing w:val="-2"/>
        </w:rPr>
        <w:t xml:space="preserve"> be cited in a </w:t>
      </w:r>
      <w:r w:rsidRPr="00E6210C">
        <w:rPr>
          <w:spacing w:val="-2"/>
        </w:rPr>
        <w:t>parcel</w:t>
      </w:r>
      <w:r w:rsidRPr="00E6210C">
        <w:rPr>
          <w:spacing w:val="-2"/>
        </w:rPr>
        <w:t>’</w:t>
      </w:r>
      <w:r w:rsidRPr="00E6210C">
        <w:rPr>
          <w:spacing w:val="-2"/>
        </w:rPr>
        <w:t>s deed to be effective</w:t>
      </w:r>
      <w:r w:rsidRPr="00E6210C">
        <w:rPr>
          <w:spacing w:val="-2"/>
        </w:rPr>
        <w:t xml:space="preserve"> if certain conditions were met</w:t>
      </w:r>
      <w:r w:rsidRPr="00E6210C">
        <w:rPr>
          <w:spacing w:val="-2"/>
        </w:rPr>
        <w:t xml:space="preserve">. </w:t>
      </w:r>
      <w:r w:rsidRPr="00E6210C">
        <w:rPr>
          <w:spacing w:val="-2"/>
        </w:rPr>
        <w:t xml:space="preserve"> </w:t>
      </w:r>
      <w:r w:rsidRPr="00E6210C">
        <w:rPr>
          <w:spacing w:val="-2"/>
        </w:rPr>
        <w:t>(</w:t>
      </w:r>
      <w:r w:rsidRPr="00E6210C">
        <w:rPr>
          <w:i/>
          <w:iCs/>
          <w:spacing w:val="-2"/>
        </w:rPr>
        <w:t xml:space="preserve">Citizens, supra, </w:t>
      </w:r>
      <w:r w:rsidRPr="00E6210C">
        <w:rPr>
          <w:spacing w:val="-2"/>
        </w:rPr>
        <w:t>12 Cal.4th at p.</w:t>
      </w:r>
      <w:r w:rsidRPr="00E6210C">
        <w:rPr>
          <w:spacing w:val="-2"/>
        </w:rPr>
        <w:t> </w:t>
      </w:r>
      <w:r w:rsidRPr="00E6210C">
        <w:rPr>
          <w:spacing w:val="-2"/>
        </w:rPr>
        <w:t xml:space="preserve">349.) </w:t>
      </w:r>
      <w:r w:rsidRPr="00E6210C">
        <w:rPr>
          <w:spacing w:val="-2"/>
        </w:rPr>
        <w:t xml:space="preserve"> </w:t>
      </w:r>
      <w:r w:rsidRPr="00E6210C">
        <w:rPr>
          <w:i/>
          <w:iCs/>
          <w:spacing w:val="-2"/>
        </w:rPr>
        <w:t xml:space="preserve">Citizens </w:t>
      </w:r>
      <w:r w:rsidRPr="00E6210C">
        <w:rPr>
          <w:spacing w:val="-2"/>
        </w:rPr>
        <w:t xml:space="preserve">required that </w:t>
      </w:r>
      <w:r w:rsidRPr="00E6210C">
        <w:rPr>
          <w:spacing w:val="-2"/>
        </w:rPr>
        <w:t xml:space="preserve">the declaration </w:t>
      </w:r>
      <w:r w:rsidRPr="00E6210C">
        <w:rPr>
          <w:spacing w:val="-2"/>
        </w:rPr>
        <w:t>be</w:t>
      </w:r>
      <w:r w:rsidRPr="00E6210C">
        <w:rPr>
          <w:spacing w:val="-2"/>
        </w:rPr>
        <w:t xml:space="preserve"> recorded before the execution of the contract of sale, </w:t>
      </w:r>
      <w:r w:rsidRPr="00E6210C">
        <w:rPr>
          <w:i/>
          <w:iCs/>
          <w:spacing w:val="-2"/>
        </w:rPr>
        <w:t>describe the property it is to govern</w:t>
      </w:r>
      <w:r w:rsidRPr="00E6210C">
        <w:rPr>
          <w:spacing w:val="-2"/>
        </w:rPr>
        <w:t xml:space="preserve">, and state that it is to bind all </w:t>
      </w:r>
      <w:r w:rsidRPr="00E6210C">
        <w:rPr>
          <w:spacing w:val="-2"/>
        </w:rPr>
        <w:t>purchasers and their successors</w:t>
      </w:r>
      <w:r w:rsidRPr="00E6210C">
        <w:rPr>
          <w:spacing w:val="-2"/>
        </w:rPr>
        <w:t>.</w:t>
      </w:r>
      <w:r w:rsidRPr="00E6210C">
        <w:rPr>
          <w:spacing w:val="-2"/>
        </w:rPr>
        <w:t xml:space="preserve"> </w:t>
      </w:r>
      <w:r w:rsidRPr="00E6210C">
        <w:rPr>
          <w:spacing w:val="-2"/>
        </w:rPr>
        <w:t xml:space="preserve"> </w:t>
      </w:r>
      <w:r w:rsidRPr="00E6210C">
        <w:rPr>
          <w:spacing w:val="-2"/>
        </w:rPr>
        <w:t>(</w:t>
      </w:r>
      <w:r w:rsidRPr="00E6210C">
        <w:rPr>
          <w:i/>
          <w:iCs/>
          <w:spacing w:val="-2"/>
        </w:rPr>
        <w:t>Ibid.</w:t>
      </w:r>
      <w:r w:rsidRPr="00E6210C">
        <w:rPr>
          <w:spacing w:val="-2"/>
        </w:rPr>
        <w:t>, italics</w:t>
      </w:r>
      <w:r w:rsidRPr="00E6210C">
        <w:rPr>
          <w:spacing w:val="-2"/>
        </w:rPr>
        <w:t xml:space="preserve"> added.</w:t>
      </w:r>
      <w:r w:rsidRPr="00E6210C">
        <w:rPr>
          <w:spacing w:val="-2"/>
        </w:rPr>
        <w:t>)</w:t>
      </w:r>
      <w:r w:rsidRPr="00E6210C">
        <w:rPr>
          <w:spacing w:val="-2"/>
        </w:rPr>
        <w:t xml:space="preserve"> </w:t>
      </w:r>
      <w:r w:rsidRPr="00E6210C">
        <w:rPr>
          <w:spacing w:val="-2"/>
        </w:rPr>
        <w:t xml:space="preserve"> </w:t>
      </w:r>
      <w:r w:rsidRPr="00E6210C">
        <w:rPr>
          <w:i/>
          <w:iCs/>
          <w:spacing w:val="-2"/>
        </w:rPr>
        <w:t>Citizens</w:t>
      </w:r>
      <w:r w:rsidRPr="00E6210C">
        <w:rPr>
          <w:spacing w:val="-2"/>
        </w:rPr>
        <w:t xml:space="preserve"> </w:t>
      </w:r>
      <w:r w:rsidRPr="00E6210C">
        <w:rPr>
          <w:spacing w:val="-2"/>
        </w:rPr>
        <w:t xml:space="preserve">denounced </w:t>
      </w:r>
      <w:r w:rsidRPr="00E6210C">
        <w:rPr>
          <w:spacing w:val="-2"/>
        </w:rPr>
        <w:t xml:space="preserve">the “crazy-quilt pattern” of restrictions that </w:t>
      </w:r>
      <w:r w:rsidRPr="00E6210C">
        <w:rPr>
          <w:spacing w:val="-2"/>
        </w:rPr>
        <w:t xml:space="preserve">resulted from a </w:t>
      </w:r>
      <w:r w:rsidRPr="00E6210C">
        <w:rPr>
          <w:spacing w:val="-2"/>
        </w:rPr>
        <w:t>contrary rule</w:t>
      </w:r>
      <w:r w:rsidRPr="00E6210C">
        <w:rPr>
          <w:spacing w:val="-2"/>
        </w:rPr>
        <w:t>, which</w:t>
      </w:r>
      <w:r w:rsidRPr="00E6210C">
        <w:rPr>
          <w:spacing w:val="-2"/>
        </w:rPr>
        <w:t xml:space="preserve"> </w:t>
      </w:r>
      <w:r w:rsidRPr="00E6210C">
        <w:rPr>
          <w:spacing w:val="-2"/>
        </w:rPr>
        <w:t xml:space="preserve">occurred </w:t>
      </w:r>
      <w:r w:rsidRPr="00E6210C">
        <w:rPr>
          <w:spacing w:val="-2"/>
        </w:rPr>
        <w:t xml:space="preserve">when “the developer of a subdivision records a uniform plan of restrictions intended to bind and benefit every parcel alike,” but “implementation of the plan depends upon the vagaries of the actual deeds, and whether they contain at least a ritualistic reference to restrictions of record.” </w:t>
      </w:r>
      <w:r w:rsidRPr="00E6210C">
        <w:rPr>
          <w:spacing w:val="-2"/>
        </w:rPr>
        <w:t xml:space="preserve"> </w:t>
      </w:r>
      <w:r w:rsidRPr="00E6210C">
        <w:rPr>
          <w:spacing w:val="-2"/>
        </w:rPr>
        <w:t>(</w:t>
      </w:r>
      <w:r w:rsidRPr="00E6210C">
        <w:rPr>
          <w:i/>
          <w:iCs/>
          <w:spacing w:val="-2"/>
        </w:rPr>
        <w:t>Id</w:t>
      </w:r>
      <w:r w:rsidRPr="00E6210C">
        <w:rPr>
          <w:spacing w:val="-2"/>
        </w:rPr>
        <w:t>. at p</w:t>
      </w:r>
      <w:r w:rsidRPr="00E6210C">
        <w:rPr>
          <w:spacing w:val="-2"/>
        </w:rPr>
        <w:t>p</w:t>
      </w:r>
      <w:r w:rsidRPr="00E6210C">
        <w:rPr>
          <w:spacing w:val="-2"/>
        </w:rPr>
        <w:t>. 360</w:t>
      </w:r>
      <w:r w:rsidRPr="00E6210C">
        <w:rPr>
          <w:spacing w:val="-2"/>
        </w:rPr>
        <w:t>–363</w:t>
      </w:r>
      <w:r w:rsidRPr="00E6210C">
        <w:rPr>
          <w:spacing w:val="-2"/>
        </w:rPr>
        <w:t xml:space="preserve">.) </w:t>
      </w:r>
      <w:r w:rsidRPr="00E6210C">
        <w:rPr>
          <w:spacing w:val="-2"/>
        </w:rPr>
        <w:t xml:space="preserve"> </w:t>
      </w:r>
      <w:r w:rsidRPr="00E6210C">
        <w:rPr>
          <w:i/>
          <w:iCs/>
          <w:spacing w:val="-2"/>
        </w:rPr>
        <w:t>Citizens</w:t>
      </w:r>
      <w:r w:rsidRPr="00E6210C">
        <w:rPr>
          <w:spacing w:val="-2"/>
        </w:rPr>
        <w:t xml:space="preserve"> reasoned that “if</w:t>
      </w:r>
      <w:r w:rsidRPr="00E6210C">
        <w:rPr>
          <w:spacing w:val="-2"/>
        </w:rPr>
        <w:t xml:space="preserve"> </w:t>
      </w:r>
      <w:r w:rsidRPr="00E6210C">
        <w:rPr>
          <w:spacing w:val="-2"/>
        </w:rPr>
        <w:t>the restrictions are recorded before the sale, the later purchaser is deemed to agree to them</w:t>
      </w:r>
      <w:r w:rsidRPr="00E6210C">
        <w:rPr>
          <w:spacing w:val="-2"/>
        </w:rPr>
        <w:t xml:space="preserve"> . . . </w:t>
      </w:r>
      <w:r w:rsidRPr="00E6210C">
        <w:rPr>
          <w:spacing w:val="-2"/>
        </w:rPr>
        <w:t xml:space="preserve">even if there is no additional reference to them in the deed.” </w:t>
      </w:r>
      <w:r w:rsidRPr="00E6210C">
        <w:rPr>
          <w:spacing w:val="-2"/>
        </w:rPr>
        <w:t xml:space="preserve"> </w:t>
      </w:r>
      <w:r w:rsidRPr="00E6210C">
        <w:rPr>
          <w:spacing w:val="-2"/>
        </w:rPr>
        <w:t>(</w:t>
      </w:r>
      <w:r w:rsidRPr="00E6210C">
        <w:rPr>
          <w:i/>
          <w:iCs/>
          <w:spacing w:val="-2"/>
        </w:rPr>
        <w:t>Id</w:t>
      </w:r>
      <w:r w:rsidRPr="00E6210C">
        <w:rPr>
          <w:spacing w:val="-2"/>
        </w:rPr>
        <w:t>. at p.</w:t>
      </w:r>
      <w:r w:rsidRPr="00E6210C">
        <w:rPr>
          <w:spacing w:val="-2"/>
        </w:rPr>
        <w:t> </w:t>
      </w:r>
      <w:r w:rsidRPr="00E6210C">
        <w:rPr>
          <w:spacing w:val="-2"/>
        </w:rPr>
        <w:t>363.)</w:t>
      </w:r>
    </w:p>
    <w:p w14:paraId="45AC8695" w14:textId="77777777" w:rsidR="00B2782B" w:rsidRPr="00E6210C" w:rsidRDefault="00B2782B" w:rsidP="00223DFA">
      <w:pPr>
        <w:spacing w:after="0" w:line="288" w:lineRule="auto"/>
        <w:rPr>
          <w:spacing w:val="-2"/>
        </w:rPr>
      </w:pPr>
    </w:p>
    <w:p w14:paraId="06B3D946" w14:textId="77777777" w:rsidR="00B2782B" w:rsidRPr="00E6210C" w:rsidRDefault="00B2782B" w:rsidP="00223DFA">
      <w:pPr>
        <w:spacing w:after="0" w:line="288" w:lineRule="auto"/>
        <w:rPr>
          <w:spacing w:val="-2"/>
        </w:rPr>
      </w:pPr>
    </w:p>
    <w:p w14:paraId="3CA30F6C" w14:textId="77777777" w:rsidR="00B2782B" w:rsidRPr="00E6210C" w:rsidRDefault="00B2782B" w:rsidP="00223DFA">
      <w:pPr>
        <w:spacing w:after="0" w:line="288" w:lineRule="auto"/>
        <w:rPr>
          <w:spacing w:val="-2"/>
        </w:rPr>
      </w:pPr>
    </w:p>
    <w:p w14:paraId="56937687" w14:textId="77777777" w:rsidR="00B2782B" w:rsidRPr="00E6210C" w:rsidRDefault="00B2782B" w:rsidP="00223DFA">
      <w:pPr>
        <w:spacing w:after="0" w:line="288" w:lineRule="auto"/>
        <w:rPr>
          <w:b/>
          <w:bCs/>
          <w:i/>
          <w:iCs/>
          <w:spacing w:val="-2"/>
        </w:rPr>
      </w:pPr>
      <w:r w:rsidRPr="00E6210C">
        <w:rPr>
          <w:b/>
          <w:bCs/>
          <w:spacing w:val="-2"/>
        </w:rPr>
        <w:lastRenderedPageBreak/>
        <w:t>G</w:t>
      </w:r>
      <w:r w:rsidRPr="00E6210C">
        <w:rPr>
          <w:b/>
          <w:bCs/>
          <w:spacing w:val="-2"/>
        </w:rPr>
        <w:t>.</w:t>
      </w:r>
      <w:r w:rsidRPr="00E6210C">
        <w:rPr>
          <w:b/>
          <w:bCs/>
          <w:spacing w:val="-2"/>
        </w:rPr>
        <w:tab/>
      </w:r>
      <w:r w:rsidRPr="00E6210C">
        <w:rPr>
          <w:b/>
          <w:bCs/>
          <w:i/>
          <w:iCs/>
          <w:spacing w:val="-2"/>
        </w:rPr>
        <w:t>Nunn</w:t>
      </w:r>
      <w:r w:rsidRPr="00E6210C">
        <w:rPr>
          <w:b/>
          <w:bCs/>
          <w:spacing w:val="-2"/>
        </w:rPr>
        <w:t xml:space="preserve"> </w:t>
      </w:r>
      <w:r w:rsidRPr="00E6210C">
        <w:rPr>
          <w:b/>
          <w:bCs/>
          <w:i/>
          <w:iCs/>
          <w:spacing w:val="-2"/>
        </w:rPr>
        <w:t xml:space="preserve">v. Rolling Hills Community Association </w:t>
      </w:r>
      <w:r w:rsidRPr="00E6210C">
        <w:rPr>
          <w:b/>
          <w:bCs/>
          <w:i/>
          <w:iCs/>
          <w:spacing w:val="-2"/>
        </w:rPr>
        <w:t xml:space="preserve">of </w:t>
      </w:r>
    </w:p>
    <w:p w14:paraId="72370024" w14:textId="77777777" w:rsidR="00B2782B" w:rsidRPr="00E6210C" w:rsidRDefault="00B2782B" w:rsidP="00223DFA">
      <w:pPr>
        <w:spacing w:after="0" w:line="288" w:lineRule="auto"/>
        <w:ind w:firstLine="720"/>
        <w:rPr>
          <w:b/>
          <w:bCs/>
          <w:spacing w:val="-2"/>
        </w:rPr>
      </w:pPr>
      <w:r w:rsidRPr="00E6210C">
        <w:rPr>
          <w:b/>
          <w:bCs/>
          <w:i/>
          <w:iCs/>
          <w:spacing w:val="-2"/>
        </w:rPr>
        <w:t xml:space="preserve">Rancho Palos Verdes </w:t>
      </w:r>
      <w:r w:rsidRPr="00E6210C">
        <w:rPr>
          <w:b/>
          <w:bCs/>
          <w:spacing w:val="-2"/>
        </w:rPr>
        <w:t>(</w:t>
      </w:r>
      <w:r w:rsidRPr="00E6210C">
        <w:rPr>
          <w:b/>
          <w:bCs/>
          <w:spacing w:val="-2"/>
        </w:rPr>
        <w:t xml:space="preserve">Super. Ct. Los Angeles, </w:t>
      </w:r>
      <w:r w:rsidRPr="00E6210C">
        <w:rPr>
          <w:b/>
          <w:bCs/>
          <w:spacing w:val="-2"/>
        </w:rPr>
        <w:t>2004</w:t>
      </w:r>
      <w:r w:rsidRPr="00E6210C">
        <w:rPr>
          <w:b/>
          <w:bCs/>
          <w:spacing w:val="-2"/>
        </w:rPr>
        <w:t xml:space="preserve">, </w:t>
      </w:r>
    </w:p>
    <w:p w14:paraId="430D62E2" w14:textId="77777777" w:rsidR="00B2782B" w:rsidRPr="00E6210C" w:rsidRDefault="00B2782B" w:rsidP="00223DFA">
      <w:pPr>
        <w:spacing w:after="0" w:line="288" w:lineRule="auto"/>
        <w:ind w:firstLine="720"/>
        <w:rPr>
          <w:b/>
          <w:bCs/>
          <w:i/>
          <w:iCs/>
          <w:spacing w:val="-2"/>
        </w:rPr>
      </w:pPr>
      <w:r w:rsidRPr="00E6210C">
        <w:rPr>
          <w:b/>
          <w:bCs/>
          <w:spacing w:val="-2"/>
        </w:rPr>
        <w:t>No.</w:t>
      </w:r>
      <w:r w:rsidRPr="00E6210C">
        <w:rPr>
          <w:b/>
          <w:bCs/>
          <w:i/>
          <w:iCs/>
          <w:spacing w:val="-2"/>
        </w:rPr>
        <w:t xml:space="preserve"> </w:t>
      </w:r>
      <w:r w:rsidRPr="00E6210C">
        <w:rPr>
          <w:b/>
          <w:bCs/>
          <w:spacing w:val="-2"/>
        </w:rPr>
        <w:t>BC314522) (</w:t>
      </w:r>
      <w:r w:rsidRPr="00E6210C">
        <w:rPr>
          <w:b/>
          <w:bCs/>
          <w:i/>
          <w:iCs/>
          <w:spacing w:val="-2"/>
        </w:rPr>
        <w:t>Nunn</w:t>
      </w:r>
      <w:r w:rsidRPr="00E6210C">
        <w:rPr>
          <w:b/>
          <w:bCs/>
          <w:spacing w:val="-2"/>
        </w:rPr>
        <w:t>)</w:t>
      </w:r>
    </w:p>
    <w:p w14:paraId="7397510A" w14:textId="77777777" w:rsidR="00B2782B" w:rsidRPr="00E6210C" w:rsidRDefault="00B2782B" w:rsidP="00223DFA">
      <w:pPr>
        <w:spacing w:after="0" w:line="288" w:lineRule="auto"/>
        <w:rPr>
          <w:spacing w:val="-2"/>
        </w:rPr>
      </w:pPr>
      <w:r w:rsidRPr="00E6210C">
        <w:rPr>
          <w:i/>
          <w:iCs/>
          <w:spacing w:val="-2"/>
        </w:rPr>
        <w:tab/>
      </w:r>
      <w:r w:rsidRPr="00E6210C">
        <w:rPr>
          <w:spacing w:val="-2"/>
        </w:rPr>
        <w:t xml:space="preserve">In </w:t>
      </w:r>
      <w:r w:rsidRPr="00E6210C">
        <w:rPr>
          <w:i/>
          <w:iCs/>
          <w:spacing w:val="-2"/>
        </w:rPr>
        <w:t xml:space="preserve">Nunn, </w:t>
      </w:r>
      <w:r w:rsidRPr="00E6210C">
        <w:rPr>
          <w:spacing w:val="-2"/>
        </w:rPr>
        <w:t xml:space="preserve">the superior court </w:t>
      </w:r>
      <w:r w:rsidRPr="00E6210C">
        <w:rPr>
          <w:spacing w:val="-2"/>
        </w:rPr>
        <w:t>rejected the contention</w:t>
      </w:r>
      <w:r w:rsidRPr="00E6210C">
        <w:rPr>
          <w:spacing w:val="-2"/>
        </w:rPr>
        <w:t xml:space="preserve"> that a parcel subject to Declaration 150 could claim exemption from its </w:t>
      </w:r>
      <w:r w:rsidRPr="00E6210C">
        <w:rPr>
          <w:spacing w:val="-2"/>
        </w:rPr>
        <w:t>Tree CC</w:t>
      </w:r>
      <w:r w:rsidRPr="00E6210C">
        <w:rPr>
          <w:spacing w:val="-2"/>
        </w:rPr>
        <w:t xml:space="preserve"> provisions because the party seeking to enforce those provisions against it was not so encumbered. </w:t>
      </w:r>
    </w:p>
    <w:p w14:paraId="0F0CDDC7" w14:textId="77777777" w:rsidR="00B2782B" w:rsidRPr="00E6210C" w:rsidRDefault="00B2782B" w:rsidP="00223DFA">
      <w:pPr>
        <w:spacing w:after="0" w:line="288" w:lineRule="auto"/>
        <w:rPr>
          <w:spacing w:val="-2"/>
        </w:rPr>
      </w:pPr>
      <w:r w:rsidRPr="00E6210C">
        <w:rPr>
          <w:spacing w:val="-2"/>
        </w:rPr>
        <w:tab/>
      </w:r>
      <w:r w:rsidRPr="00E6210C">
        <w:rPr>
          <w:i/>
          <w:iCs/>
          <w:spacing w:val="-2"/>
        </w:rPr>
        <w:t>Nunn</w:t>
      </w:r>
      <w:r w:rsidRPr="00E6210C">
        <w:rPr>
          <w:i/>
          <w:iCs/>
          <w:spacing w:val="-2"/>
        </w:rPr>
        <w:t xml:space="preserve"> </w:t>
      </w:r>
      <w:r w:rsidRPr="00E6210C">
        <w:rPr>
          <w:spacing w:val="-2"/>
        </w:rPr>
        <w:t>involved</w:t>
      </w:r>
      <w:r w:rsidRPr="00E6210C">
        <w:rPr>
          <w:i/>
          <w:iCs/>
          <w:spacing w:val="-2"/>
        </w:rPr>
        <w:t xml:space="preserve"> </w:t>
      </w:r>
      <w:r w:rsidRPr="00E6210C">
        <w:rPr>
          <w:spacing w:val="-2"/>
        </w:rPr>
        <w:t xml:space="preserve">two adjacent homeowners </w:t>
      </w:r>
      <w:r w:rsidRPr="00E6210C">
        <w:rPr>
          <w:spacing w:val="-2"/>
        </w:rPr>
        <w:t xml:space="preserve">who </w:t>
      </w:r>
      <w:r w:rsidRPr="00E6210C">
        <w:rPr>
          <w:spacing w:val="-2"/>
        </w:rPr>
        <w:t xml:space="preserve">disputed whether the </w:t>
      </w:r>
      <w:r w:rsidRPr="00E6210C">
        <w:rPr>
          <w:spacing w:val="-2"/>
        </w:rPr>
        <w:t>Tree CC</w:t>
      </w:r>
      <w:r w:rsidRPr="00E6210C">
        <w:rPr>
          <w:spacing w:val="-2"/>
        </w:rPr>
        <w:t xml:space="preserve"> applied to their property. </w:t>
      </w:r>
      <w:r w:rsidRPr="00E6210C">
        <w:rPr>
          <w:spacing w:val="-2"/>
        </w:rPr>
        <w:t xml:space="preserve"> </w:t>
      </w:r>
      <w:r w:rsidRPr="00E6210C">
        <w:rPr>
          <w:spacing w:val="-2"/>
        </w:rPr>
        <w:t xml:space="preserve">The </w:t>
      </w:r>
      <w:proofErr w:type="spellStart"/>
      <w:r w:rsidRPr="00E6210C">
        <w:rPr>
          <w:spacing w:val="-2"/>
        </w:rPr>
        <w:t>Lorigs</w:t>
      </w:r>
      <w:proofErr w:type="spellEnd"/>
      <w:r w:rsidRPr="00E6210C">
        <w:rPr>
          <w:spacing w:val="-2"/>
        </w:rPr>
        <w:t xml:space="preserve">, who were uphill to the Nunns, sought to have the Association trim the Nunns’ trees, but the Nunns sought an injunction to prevent the trimming. </w:t>
      </w:r>
      <w:r w:rsidRPr="00E6210C">
        <w:rPr>
          <w:spacing w:val="-2"/>
        </w:rPr>
        <w:t xml:space="preserve"> </w:t>
      </w:r>
      <w:r w:rsidRPr="00E6210C">
        <w:rPr>
          <w:spacing w:val="-2"/>
        </w:rPr>
        <w:t xml:space="preserve">The Nunns’ property was within the original boundaries of Declaration 150, while the </w:t>
      </w:r>
      <w:proofErr w:type="spellStart"/>
      <w:r w:rsidRPr="00E6210C">
        <w:rPr>
          <w:spacing w:val="-2"/>
        </w:rPr>
        <w:t>Lorigs</w:t>
      </w:r>
      <w:proofErr w:type="spellEnd"/>
      <w:r w:rsidRPr="00E6210C">
        <w:rPr>
          <w:spacing w:val="-2"/>
        </w:rPr>
        <w:t xml:space="preserve">’ property was outside the boundaries of Declaration 150 but within Declaration 150-AE.  </w:t>
      </w:r>
      <w:bookmarkStart w:id="1" w:name="_Hlk152667045"/>
      <w:r w:rsidRPr="00E6210C">
        <w:rPr>
          <w:spacing w:val="-2"/>
        </w:rPr>
        <w:t xml:space="preserve">Declaration 150-AE did not contain the </w:t>
      </w:r>
      <w:r w:rsidRPr="00E6210C">
        <w:rPr>
          <w:spacing w:val="-2"/>
        </w:rPr>
        <w:t>Tree CC</w:t>
      </w:r>
      <w:r w:rsidRPr="00E6210C">
        <w:rPr>
          <w:spacing w:val="-2"/>
        </w:rPr>
        <w:t xml:space="preserve">.  </w:t>
      </w:r>
      <w:bookmarkEnd w:id="1"/>
    </w:p>
    <w:p w14:paraId="7BA4D98E" w14:textId="77777777" w:rsidR="00B2782B" w:rsidRPr="00E6210C" w:rsidRDefault="00B2782B" w:rsidP="00223DFA">
      <w:pPr>
        <w:spacing w:after="0" w:line="288" w:lineRule="auto"/>
        <w:rPr>
          <w:spacing w:val="-2"/>
        </w:rPr>
      </w:pPr>
      <w:r w:rsidRPr="00E6210C">
        <w:rPr>
          <w:spacing w:val="-2"/>
        </w:rPr>
        <w:tab/>
        <w:t xml:space="preserve">The court observed that the </w:t>
      </w:r>
      <w:r w:rsidRPr="00E6210C">
        <w:rPr>
          <w:spacing w:val="-2"/>
        </w:rPr>
        <w:t>G</w:t>
      </w:r>
      <w:r w:rsidRPr="00E6210C">
        <w:rPr>
          <w:spacing w:val="-2"/>
        </w:rPr>
        <w:t xml:space="preserve">eneral </w:t>
      </w:r>
      <w:r w:rsidRPr="00E6210C">
        <w:rPr>
          <w:spacing w:val="-2"/>
        </w:rPr>
        <w:t>P</w:t>
      </w:r>
      <w:r w:rsidRPr="00E6210C">
        <w:rPr>
          <w:spacing w:val="-2"/>
        </w:rPr>
        <w:t xml:space="preserve">lan provision authorizing the </w:t>
      </w:r>
      <w:r w:rsidRPr="00E6210C">
        <w:rPr>
          <w:spacing w:val="-2"/>
        </w:rPr>
        <w:t>Tree CC</w:t>
      </w:r>
      <w:r w:rsidRPr="00E6210C">
        <w:rPr>
          <w:spacing w:val="-2"/>
        </w:rPr>
        <w:t xml:space="preserve"> was contained in a declaration by PVC </w:t>
      </w:r>
      <w:r w:rsidRPr="00E6210C">
        <w:rPr>
          <w:spacing w:val="-2"/>
        </w:rPr>
        <w:t xml:space="preserve">(through </w:t>
      </w:r>
      <w:r w:rsidRPr="00E6210C">
        <w:rPr>
          <w:spacing w:val="-2"/>
        </w:rPr>
        <w:t>Declaration 150</w:t>
      </w:r>
      <w:r w:rsidRPr="00E6210C">
        <w:rPr>
          <w:spacing w:val="-2"/>
        </w:rPr>
        <w:t>)</w:t>
      </w:r>
      <w:r w:rsidRPr="00E6210C">
        <w:rPr>
          <w:spacing w:val="-2"/>
        </w:rPr>
        <w:t xml:space="preserve"> when it owned “what is now the Nunn property and the Lorig property.  Said provision is contained in documents in the chain of title of the Nunn property but is not contained in a conveyance or document in the chain of title of the Lorig property.”</w:t>
      </w:r>
    </w:p>
    <w:p w14:paraId="7E3B1A9D" w14:textId="77777777" w:rsidR="00B2782B" w:rsidRPr="00E6210C" w:rsidRDefault="00B2782B" w:rsidP="00223DFA">
      <w:pPr>
        <w:spacing w:after="0" w:line="288" w:lineRule="auto"/>
        <w:rPr>
          <w:spacing w:val="-2"/>
        </w:rPr>
      </w:pPr>
      <w:r w:rsidRPr="00E6210C">
        <w:rPr>
          <w:spacing w:val="-2"/>
        </w:rPr>
        <w:tab/>
        <w:t xml:space="preserve">The Nunns argued that while the </w:t>
      </w:r>
      <w:r w:rsidRPr="00E6210C">
        <w:rPr>
          <w:spacing w:val="-2"/>
        </w:rPr>
        <w:t>Tree CC</w:t>
      </w:r>
      <w:r w:rsidRPr="00E6210C">
        <w:rPr>
          <w:spacing w:val="-2"/>
        </w:rPr>
        <w:t xml:space="preserve"> was in their chain of </w:t>
      </w:r>
      <w:r w:rsidRPr="00E6210C">
        <w:rPr>
          <w:spacing w:val="-2"/>
        </w:rPr>
        <w:t xml:space="preserve">title, </w:t>
      </w:r>
      <w:r w:rsidRPr="00E6210C">
        <w:rPr>
          <w:spacing w:val="-2"/>
        </w:rPr>
        <w:t xml:space="preserve">the </w:t>
      </w:r>
      <w:r w:rsidRPr="00E6210C">
        <w:rPr>
          <w:spacing w:val="-2"/>
        </w:rPr>
        <w:t>Tree CC</w:t>
      </w:r>
      <w:r w:rsidRPr="00E6210C">
        <w:rPr>
          <w:spacing w:val="-2"/>
        </w:rPr>
        <w:t xml:space="preserve"> was not in the </w:t>
      </w:r>
      <w:proofErr w:type="spellStart"/>
      <w:r w:rsidRPr="00E6210C">
        <w:rPr>
          <w:spacing w:val="-2"/>
        </w:rPr>
        <w:t>Lorigs</w:t>
      </w:r>
      <w:proofErr w:type="spellEnd"/>
      <w:r w:rsidRPr="00E6210C">
        <w:rPr>
          <w:spacing w:val="-2"/>
        </w:rPr>
        <w:t>’ chain of title</w:t>
      </w:r>
      <w:r w:rsidRPr="00E6210C">
        <w:rPr>
          <w:spacing w:val="-2"/>
        </w:rPr>
        <w:t xml:space="preserve"> such that</w:t>
      </w:r>
      <w:r w:rsidRPr="00E6210C">
        <w:rPr>
          <w:spacing w:val="-2"/>
        </w:rPr>
        <w:t xml:space="preserve"> the covenant lacked mutuality and could not be enforced against them.  The court </w:t>
      </w:r>
      <w:r w:rsidRPr="00E6210C">
        <w:rPr>
          <w:spacing w:val="-2"/>
        </w:rPr>
        <w:t>disagreed and</w:t>
      </w:r>
      <w:r w:rsidRPr="00E6210C">
        <w:rPr>
          <w:spacing w:val="-2"/>
        </w:rPr>
        <w:t xml:space="preserve"> found the Nunns were bound by the </w:t>
      </w:r>
      <w:r w:rsidRPr="00E6210C">
        <w:rPr>
          <w:spacing w:val="-2"/>
        </w:rPr>
        <w:t>Tree CC</w:t>
      </w:r>
      <w:r w:rsidRPr="00E6210C">
        <w:rPr>
          <w:spacing w:val="-2"/>
        </w:rPr>
        <w:t xml:space="preserve"> because it was “contained in a declaration that describes the Nunn property, was recorded before the Nunn property was sold, states that it is to bind all purchasers and their successors and was recorded to give subsequent purchasers </w:t>
      </w:r>
      <w:r w:rsidRPr="00E6210C">
        <w:rPr>
          <w:spacing w:val="-2"/>
        </w:rPr>
        <w:lastRenderedPageBreak/>
        <w:t>constructive notice of it</w:t>
      </w:r>
      <w:proofErr w:type="gramStart"/>
      <w:r w:rsidRPr="00E6210C">
        <w:rPr>
          <w:spacing w:val="-2"/>
        </w:rPr>
        <w:t>. . . .</w:t>
      </w:r>
      <w:proofErr w:type="gramEnd"/>
      <w:r w:rsidRPr="00E6210C">
        <w:rPr>
          <w:spacing w:val="-2"/>
        </w:rPr>
        <w:t xml:space="preserve"> </w:t>
      </w:r>
      <w:r w:rsidRPr="00E6210C">
        <w:rPr>
          <w:spacing w:val="-2"/>
        </w:rPr>
        <w:t xml:space="preserve"> </w:t>
      </w:r>
      <w:r w:rsidRPr="00E6210C">
        <w:rPr>
          <w:spacing w:val="-2"/>
        </w:rPr>
        <w:t>The Nunns </w:t>
      </w:r>
      <w:r w:rsidRPr="00E6210C">
        <w:rPr>
          <w:spacing w:val="-2"/>
        </w:rPr>
        <w:t xml:space="preserve">. . . had constructive notice that trees upon their property might be trimmed to maintain the view of, and protect, adjoining property.”  As a result, the court denied the Nunns’ request for preliminary injunction.  </w:t>
      </w:r>
      <w:r w:rsidRPr="00E6210C">
        <w:rPr>
          <w:spacing w:val="-2"/>
        </w:rPr>
        <w:t xml:space="preserve">The Nunns’ writ petition </w:t>
      </w:r>
      <w:r w:rsidRPr="00E6210C">
        <w:rPr>
          <w:spacing w:val="-2"/>
        </w:rPr>
        <w:t>was</w:t>
      </w:r>
      <w:r w:rsidRPr="00E6210C">
        <w:rPr>
          <w:spacing w:val="-2"/>
        </w:rPr>
        <w:t xml:space="preserve"> summarily denied by this court. </w:t>
      </w:r>
      <w:r w:rsidRPr="00E6210C">
        <w:rPr>
          <w:spacing w:val="-2"/>
        </w:rPr>
        <w:t xml:space="preserve"> </w:t>
      </w:r>
    </w:p>
    <w:p w14:paraId="3C78E6F5" w14:textId="77777777" w:rsidR="00B2782B" w:rsidRPr="00E6210C" w:rsidRDefault="00B2782B" w:rsidP="00223DFA">
      <w:pPr>
        <w:spacing w:after="0" w:line="288" w:lineRule="auto"/>
        <w:rPr>
          <w:spacing w:val="-2"/>
        </w:rPr>
      </w:pPr>
    </w:p>
    <w:p w14:paraId="05410A77" w14:textId="77777777" w:rsidR="00B2782B" w:rsidRPr="00E6210C" w:rsidRDefault="00B2782B" w:rsidP="00223DFA">
      <w:pPr>
        <w:keepNext/>
        <w:spacing w:after="0" w:line="288" w:lineRule="auto"/>
        <w:rPr>
          <w:b/>
          <w:bCs/>
          <w:spacing w:val="-2"/>
        </w:rPr>
      </w:pPr>
      <w:r w:rsidRPr="00E6210C">
        <w:rPr>
          <w:b/>
          <w:bCs/>
          <w:spacing w:val="-2"/>
        </w:rPr>
        <w:t>H</w:t>
      </w:r>
      <w:r w:rsidRPr="00E6210C">
        <w:rPr>
          <w:b/>
          <w:bCs/>
          <w:spacing w:val="-2"/>
        </w:rPr>
        <w:t>.</w:t>
      </w:r>
      <w:r w:rsidRPr="00E6210C">
        <w:rPr>
          <w:b/>
          <w:bCs/>
          <w:spacing w:val="-2"/>
        </w:rPr>
        <w:tab/>
        <w:t xml:space="preserve">Subsequent Resolutions Attempt to Correct View </w:t>
      </w:r>
    </w:p>
    <w:p w14:paraId="2B3B3952" w14:textId="77777777" w:rsidR="00B2782B" w:rsidRPr="00E6210C" w:rsidRDefault="00B2782B" w:rsidP="00223DFA">
      <w:pPr>
        <w:keepNext/>
        <w:spacing w:after="0" w:line="288" w:lineRule="auto"/>
        <w:ind w:firstLine="720"/>
        <w:rPr>
          <w:b/>
          <w:bCs/>
          <w:spacing w:val="-2"/>
        </w:rPr>
      </w:pPr>
      <w:r w:rsidRPr="00E6210C">
        <w:rPr>
          <w:b/>
          <w:bCs/>
          <w:spacing w:val="-2"/>
        </w:rPr>
        <w:t>Impairment Provisions</w:t>
      </w:r>
    </w:p>
    <w:p w14:paraId="1A12BA36" w14:textId="77777777" w:rsidR="00B2782B" w:rsidRPr="00E6210C" w:rsidRDefault="00B2782B" w:rsidP="00223DFA">
      <w:pPr>
        <w:spacing w:after="0" w:line="288" w:lineRule="auto"/>
        <w:rPr>
          <w:spacing w:val="-2"/>
        </w:rPr>
      </w:pPr>
      <w:r w:rsidRPr="00E6210C">
        <w:rPr>
          <w:spacing w:val="-2"/>
        </w:rPr>
        <w:tab/>
        <w:t xml:space="preserve">Given the inconsistencies and uncertainties regarding </w:t>
      </w:r>
      <w:r w:rsidRPr="00E6210C">
        <w:rPr>
          <w:spacing w:val="-2"/>
        </w:rPr>
        <w:t xml:space="preserve">the </w:t>
      </w:r>
      <w:r w:rsidRPr="00E6210C">
        <w:rPr>
          <w:spacing w:val="-2"/>
        </w:rPr>
        <w:t xml:space="preserve">enforceability of view restrictions, beginning in the 1990s, as trees had matured, residents complained that Rolling Hill’s blank canvas had become an area of “obscene landscaping.” </w:t>
      </w:r>
      <w:r w:rsidRPr="00E6210C">
        <w:rPr>
          <w:spacing w:val="-2"/>
        </w:rPr>
        <w:t xml:space="preserve"> </w:t>
      </w:r>
      <w:r w:rsidRPr="00E6210C">
        <w:rPr>
          <w:spacing w:val="-2"/>
        </w:rPr>
        <w:t>Responding to community s</w:t>
      </w:r>
      <w:r w:rsidRPr="00E6210C">
        <w:rPr>
          <w:spacing w:val="-2"/>
        </w:rPr>
        <w:t>u</w:t>
      </w:r>
      <w:r w:rsidRPr="00E6210C">
        <w:rPr>
          <w:spacing w:val="-2"/>
        </w:rPr>
        <w:t xml:space="preserve">pport for view protection, </w:t>
      </w:r>
      <w:r w:rsidRPr="00E6210C">
        <w:rPr>
          <w:spacing w:val="-2"/>
        </w:rPr>
        <w:t>t</w:t>
      </w:r>
      <w:r w:rsidRPr="00E6210C">
        <w:rPr>
          <w:spacing w:val="-2"/>
        </w:rPr>
        <w:t xml:space="preserve">he Association attempted to create conformity among the divergent declarations.   </w:t>
      </w:r>
    </w:p>
    <w:p w14:paraId="5B7E5EAA" w14:textId="77777777" w:rsidR="00B2782B" w:rsidRPr="00E6210C" w:rsidRDefault="00B2782B" w:rsidP="00223DFA">
      <w:pPr>
        <w:spacing w:after="0" w:line="288" w:lineRule="auto"/>
        <w:rPr>
          <w:spacing w:val="-2"/>
        </w:rPr>
      </w:pPr>
      <w:r w:rsidRPr="00E6210C">
        <w:rPr>
          <w:spacing w:val="-2"/>
        </w:rPr>
        <w:tab/>
      </w:r>
      <w:r w:rsidRPr="00E6210C">
        <w:rPr>
          <w:spacing w:val="-2"/>
        </w:rPr>
        <w:t>The Association adopted several resolutions</w:t>
      </w:r>
      <w:r w:rsidRPr="00E6210C">
        <w:rPr>
          <w:spacing w:val="-2"/>
        </w:rPr>
        <w:t xml:space="preserve"> as follows</w:t>
      </w:r>
      <w:r w:rsidRPr="00E6210C">
        <w:rPr>
          <w:spacing w:val="-2"/>
        </w:rPr>
        <w:t xml:space="preserve">: </w:t>
      </w:r>
    </w:p>
    <w:p w14:paraId="1A0290AD" w14:textId="77777777" w:rsidR="00B2782B" w:rsidRPr="00E6210C" w:rsidRDefault="00B2782B" w:rsidP="00223DFA">
      <w:pPr>
        <w:spacing w:after="0" w:line="288" w:lineRule="auto"/>
        <w:rPr>
          <w:spacing w:val="-2"/>
        </w:rPr>
      </w:pPr>
      <w:r w:rsidRPr="00E6210C">
        <w:rPr>
          <w:spacing w:val="-2"/>
        </w:rPr>
        <w:tab/>
      </w:r>
      <w:r w:rsidRPr="00E6210C">
        <w:rPr>
          <w:spacing w:val="-2"/>
          <w:u w:val="single"/>
        </w:rPr>
        <w:t>Resolution 166.</w:t>
      </w:r>
      <w:r w:rsidRPr="00E6210C">
        <w:rPr>
          <w:spacing w:val="-2"/>
        </w:rPr>
        <w:t xml:space="preserve"> </w:t>
      </w:r>
      <w:r w:rsidRPr="00E6210C">
        <w:rPr>
          <w:spacing w:val="-2"/>
        </w:rPr>
        <w:t xml:space="preserve"> </w:t>
      </w:r>
      <w:r w:rsidRPr="00E6210C">
        <w:rPr>
          <w:spacing w:val="-2"/>
        </w:rPr>
        <w:t>Th</w:t>
      </w:r>
      <w:r w:rsidRPr="00E6210C">
        <w:rPr>
          <w:spacing w:val="-2"/>
        </w:rPr>
        <w:t>is</w:t>
      </w:r>
      <w:r w:rsidRPr="00E6210C">
        <w:rPr>
          <w:spacing w:val="-2"/>
        </w:rPr>
        <w:t xml:space="preserve"> resolution, adopted in 1997</w:t>
      </w:r>
      <w:r w:rsidRPr="00E6210C">
        <w:rPr>
          <w:spacing w:val="-2"/>
        </w:rPr>
        <w:t xml:space="preserve"> and drafted by Croft</w:t>
      </w:r>
      <w:r w:rsidRPr="00E6210C">
        <w:rPr>
          <w:spacing w:val="-2"/>
        </w:rPr>
        <w:t>, permitted any Rolling Hills resident to apply for the Association to exercise its tree</w:t>
      </w:r>
      <w:r w:rsidRPr="00E6210C">
        <w:rPr>
          <w:spacing w:val="-2"/>
        </w:rPr>
        <w:t>-</w:t>
      </w:r>
      <w:r w:rsidRPr="00E6210C">
        <w:rPr>
          <w:spacing w:val="-2"/>
        </w:rPr>
        <w:t xml:space="preserve">trimming authority to correct view impairments. </w:t>
      </w:r>
      <w:r w:rsidRPr="00E6210C">
        <w:rPr>
          <w:spacing w:val="-2"/>
        </w:rPr>
        <w:t xml:space="preserve"> </w:t>
      </w:r>
      <w:r w:rsidRPr="00E6210C">
        <w:rPr>
          <w:spacing w:val="-2"/>
        </w:rPr>
        <w:t xml:space="preserve">Resolution 166 does not distinguish between </w:t>
      </w:r>
      <w:r w:rsidRPr="00E6210C">
        <w:rPr>
          <w:spacing w:val="-2"/>
        </w:rPr>
        <w:t>parcels</w:t>
      </w:r>
      <w:r w:rsidRPr="00E6210C">
        <w:rPr>
          <w:spacing w:val="-2"/>
        </w:rPr>
        <w:t xml:space="preserve"> that have a </w:t>
      </w:r>
      <w:r w:rsidRPr="00E6210C">
        <w:rPr>
          <w:spacing w:val="-2"/>
        </w:rPr>
        <w:t>Tree CC</w:t>
      </w:r>
      <w:r w:rsidRPr="00E6210C">
        <w:rPr>
          <w:spacing w:val="-2"/>
        </w:rPr>
        <w:t xml:space="preserve"> and those that do not. </w:t>
      </w:r>
      <w:r w:rsidRPr="00E6210C">
        <w:rPr>
          <w:spacing w:val="-2"/>
        </w:rPr>
        <w:t xml:space="preserve"> </w:t>
      </w:r>
    </w:p>
    <w:p w14:paraId="6F750C6B" w14:textId="77777777" w:rsidR="00B2782B" w:rsidRPr="00E6210C" w:rsidRDefault="00B2782B" w:rsidP="00223DFA">
      <w:pPr>
        <w:spacing w:after="0" w:line="288" w:lineRule="auto"/>
        <w:rPr>
          <w:spacing w:val="-2"/>
        </w:rPr>
      </w:pPr>
      <w:r w:rsidRPr="00E6210C">
        <w:rPr>
          <w:spacing w:val="-2"/>
        </w:rPr>
        <w:tab/>
      </w:r>
      <w:r w:rsidRPr="00E6210C">
        <w:rPr>
          <w:spacing w:val="-2"/>
          <w:u w:val="single"/>
        </w:rPr>
        <w:t>Resolution 181.</w:t>
      </w:r>
      <w:r w:rsidRPr="00E6210C">
        <w:rPr>
          <w:spacing w:val="-2"/>
        </w:rPr>
        <w:t xml:space="preserve"> </w:t>
      </w:r>
      <w:r w:rsidRPr="00E6210C">
        <w:rPr>
          <w:spacing w:val="-2"/>
        </w:rPr>
        <w:t xml:space="preserve"> </w:t>
      </w:r>
      <w:r w:rsidRPr="00E6210C">
        <w:rPr>
          <w:spacing w:val="-2"/>
        </w:rPr>
        <w:t xml:space="preserve">In 2002, the Association limited view impairment </w:t>
      </w:r>
      <w:r w:rsidRPr="00E6210C">
        <w:rPr>
          <w:spacing w:val="-2"/>
        </w:rPr>
        <w:t>correction to cases involving mutuality of deed restrictions.</w:t>
      </w:r>
      <w:r w:rsidRPr="00E6210C">
        <w:rPr>
          <w:spacing w:val="-2"/>
        </w:rPr>
        <w:t xml:space="preserve"> </w:t>
      </w:r>
      <w:r w:rsidRPr="00E6210C">
        <w:rPr>
          <w:spacing w:val="-2"/>
        </w:rPr>
        <w:t xml:space="preserve"> The resolution adopted a policy accept</w:t>
      </w:r>
      <w:r w:rsidRPr="00E6210C">
        <w:rPr>
          <w:spacing w:val="-2"/>
        </w:rPr>
        <w:t>ing</w:t>
      </w:r>
      <w:r w:rsidRPr="00E6210C">
        <w:rPr>
          <w:spacing w:val="-2"/>
        </w:rPr>
        <w:t xml:space="preserve"> applications only when “the applicant and the affected parcel are subject to the same Deed Restrictions.”</w:t>
      </w:r>
    </w:p>
    <w:p w14:paraId="786A6153" w14:textId="77777777" w:rsidR="00B2782B" w:rsidRPr="00E6210C" w:rsidRDefault="00B2782B" w:rsidP="00013C2E">
      <w:pPr>
        <w:spacing w:after="0" w:line="288" w:lineRule="auto"/>
        <w:ind w:firstLine="720"/>
        <w:rPr>
          <w:spacing w:val="-2"/>
        </w:rPr>
      </w:pPr>
      <w:r w:rsidRPr="00E6210C">
        <w:rPr>
          <w:spacing w:val="-2"/>
        </w:rPr>
        <w:t>The Association opted to require</w:t>
      </w:r>
      <w:r w:rsidRPr="00E6210C">
        <w:rPr>
          <w:spacing w:val="-2"/>
        </w:rPr>
        <w:t xml:space="preserve"> mutuality of deed restrictions to reduce litigation with those who, like </w:t>
      </w:r>
      <w:proofErr w:type="spellStart"/>
      <w:r w:rsidRPr="00E6210C">
        <w:rPr>
          <w:spacing w:val="-2"/>
        </w:rPr>
        <w:t>Colyear</w:t>
      </w:r>
      <w:proofErr w:type="spellEnd"/>
      <w:r w:rsidRPr="00E6210C">
        <w:rPr>
          <w:spacing w:val="-2"/>
        </w:rPr>
        <w:t xml:space="preserve">, objected to having the Tree CC applied to their property.  </w:t>
      </w:r>
      <w:proofErr w:type="spellStart"/>
      <w:r w:rsidRPr="00E6210C">
        <w:rPr>
          <w:spacing w:val="-2"/>
        </w:rPr>
        <w:t>Colyear</w:t>
      </w:r>
      <w:proofErr w:type="spellEnd"/>
      <w:r w:rsidRPr="00E6210C">
        <w:rPr>
          <w:spacing w:val="-2"/>
        </w:rPr>
        <w:t xml:space="preserve"> wrote to the Association in July 2002</w:t>
      </w:r>
      <w:r w:rsidRPr="00E6210C">
        <w:rPr>
          <w:spacing w:val="-2"/>
        </w:rPr>
        <w:t>,</w:t>
      </w:r>
      <w:r w:rsidRPr="00E6210C">
        <w:rPr>
          <w:spacing w:val="-2"/>
        </w:rPr>
        <w:t xml:space="preserve"> </w:t>
      </w:r>
      <w:r w:rsidRPr="00E6210C">
        <w:rPr>
          <w:spacing w:val="-2"/>
        </w:rPr>
        <w:t xml:space="preserve">informing the Association that his property was covered by Declaration 150-M. </w:t>
      </w:r>
      <w:r w:rsidRPr="00E6210C">
        <w:rPr>
          <w:spacing w:val="-2"/>
        </w:rPr>
        <w:t xml:space="preserve"> </w:t>
      </w:r>
      <w:r w:rsidRPr="00E6210C">
        <w:rPr>
          <w:spacing w:val="-2"/>
        </w:rPr>
        <w:t xml:space="preserve">He asked </w:t>
      </w:r>
      <w:r w:rsidRPr="00E6210C">
        <w:rPr>
          <w:spacing w:val="-2"/>
        </w:rPr>
        <w:lastRenderedPageBreak/>
        <w:t xml:space="preserve">whether the Association asserted the </w:t>
      </w:r>
      <w:r w:rsidRPr="00E6210C">
        <w:rPr>
          <w:spacing w:val="-2"/>
        </w:rPr>
        <w:t>Tree CC</w:t>
      </w:r>
      <w:r w:rsidRPr="00E6210C">
        <w:rPr>
          <w:spacing w:val="-2"/>
        </w:rPr>
        <w:t xml:space="preserve"> was enforceable against his property, and t</w:t>
      </w:r>
      <w:r w:rsidRPr="00E6210C">
        <w:rPr>
          <w:spacing w:val="-2"/>
        </w:rPr>
        <w:t>he Association responded, “No.</w:t>
      </w:r>
      <w:r w:rsidRPr="00E6210C">
        <w:rPr>
          <w:spacing w:val="-2"/>
        </w:rPr>
        <w:t xml:space="preserve">  You are one of the few ‘miscellaneous’ parcels who are not protected.</w:t>
      </w:r>
      <w:r w:rsidRPr="00E6210C">
        <w:rPr>
          <w:spacing w:val="-2"/>
        </w:rPr>
        <w:t xml:space="preserve">”  </w:t>
      </w:r>
    </w:p>
    <w:p w14:paraId="2424A21E" w14:textId="77777777" w:rsidR="00B2782B" w:rsidRPr="00E6210C" w:rsidRDefault="00B2782B" w:rsidP="00223DFA">
      <w:pPr>
        <w:spacing w:after="0" w:line="288" w:lineRule="auto"/>
        <w:rPr>
          <w:spacing w:val="-2"/>
        </w:rPr>
      </w:pPr>
      <w:r w:rsidRPr="00E6210C">
        <w:rPr>
          <w:spacing w:val="-2"/>
        </w:rPr>
        <w:tab/>
      </w:r>
      <w:r w:rsidRPr="00E6210C">
        <w:rPr>
          <w:spacing w:val="-2"/>
          <w:u w:val="single"/>
        </w:rPr>
        <w:t>Resolution 193.</w:t>
      </w:r>
      <w:r w:rsidRPr="00E6210C">
        <w:rPr>
          <w:spacing w:val="-2"/>
        </w:rPr>
        <w:t xml:space="preserve"> </w:t>
      </w:r>
      <w:r w:rsidRPr="00E6210C">
        <w:rPr>
          <w:spacing w:val="-2"/>
        </w:rPr>
        <w:t xml:space="preserve"> </w:t>
      </w:r>
      <w:r w:rsidRPr="00E6210C">
        <w:rPr>
          <w:spacing w:val="-2"/>
        </w:rPr>
        <w:t xml:space="preserve">In response to the </w:t>
      </w:r>
      <w:r w:rsidRPr="00E6210C">
        <w:rPr>
          <w:i/>
          <w:iCs/>
          <w:spacing w:val="-2"/>
        </w:rPr>
        <w:t xml:space="preserve">Nunn </w:t>
      </w:r>
      <w:r w:rsidRPr="00E6210C">
        <w:rPr>
          <w:spacing w:val="-2"/>
        </w:rPr>
        <w:t xml:space="preserve">litigation, </w:t>
      </w:r>
      <w:r w:rsidRPr="00E6210C">
        <w:rPr>
          <w:spacing w:val="-2"/>
        </w:rPr>
        <w:t xml:space="preserve">Croft </w:t>
      </w:r>
      <w:r w:rsidRPr="00E6210C">
        <w:rPr>
          <w:spacing w:val="-2"/>
        </w:rPr>
        <w:t>advised</w:t>
      </w:r>
      <w:r w:rsidRPr="00E6210C">
        <w:rPr>
          <w:spacing w:val="-2"/>
        </w:rPr>
        <w:t xml:space="preserve"> that </w:t>
      </w:r>
      <w:r w:rsidRPr="00E6210C">
        <w:rPr>
          <w:spacing w:val="-2"/>
        </w:rPr>
        <w:t>the</w:t>
      </w:r>
      <w:r w:rsidRPr="00E6210C">
        <w:rPr>
          <w:spacing w:val="-2"/>
        </w:rPr>
        <w:t xml:space="preserve"> Tree CC </w:t>
      </w:r>
      <w:r w:rsidRPr="00E6210C">
        <w:rPr>
          <w:spacing w:val="-2"/>
        </w:rPr>
        <w:t>need not be in the chain of title to be binding</w:t>
      </w:r>
      <w:r w:rsidRPr="00E6210C">
        <w:rPr>
          <w:spacing w:val="-2"/>
        </w:rPr>
        <w:t xml:space="preserve">. </w:t>
      </w:r>
      <w:r w:rsidRPr="00E6210C">
        <w:rPr>
          <w:spacing w:val="-2"/>
        </w:rPr>
        <w:t xml:space="preserve"> </w:t>
      </w:r>
      <w:r w:rsidRPr="00E6210C">
        <w:rPr>
          <w:spacing w:val="-2"/>
        </w:rPr>
        <w:t xml:space="preserve">Croft asserted that Declaration 150’s </w:t>
      </w:r>
      <w:r w:rsidRPr="00E6210C">
        <w:rPr>
          <w:spacing w:val="-2"/>
        </w:rPr>
        <w:t>Tree CC</w:t>
      </w:r>
      <w:r w:rsidRPr="00E6210C">
        <w:rPr>
          <w:spacing w:val="-2"/>
        </w:rPr>
        <w:t xml:space="preserve"> applied to all </w:t>
      </w:r>
      <w:r w:rsidRPr="00E6210C">
        <w:rPr>
          <w:spacing w:val="-2"/>
        </w:rPr>
        <w:t>properties in the Association’s boundaries</w:t>
      </w:r>
      <w:r w:rsidRPr="00E6210C">
        <w:rPr>
          <w:spacing w:val="-2"/>
        </w:rPr>
        <w:t xml:space="preserve">.  </w:t>
      </w:r>
    </w:p>
    <w:p w14:paraId="2C6C2135" w14:textId="77777777" w:rsidR="00B2782B" w:rsidRPr="00E6210C" w:rsidRDefault="00B2782B" w:rsidP="008204C1">
      <w:pPr>
        <w:spacing w:after="0" w:line="288" w:lineRule="auto"/>
        <w:ind w:firstLine="720"/>
        <w:rPr>
          <w:spacing w:val="-2"/>
        </w:rPr>
      </w:pPr>
      <w:r w:rsidRPr="00E6210C">
        <w:rPr>
          <w:spacing w:val="-2"/>
        </w:rPr>
        <w:t>I</w:t>
      </w:r>
      <w:r w:rsidRPr="00E6210C">
        <w:rPr>
          <w:spacing w:val="-2"/>
        </w:rPr>
        <w:t>n 2006,</w:t>
      </w:r>
      <w:r w:rsidRPr="00E6210C">
        <w:rPr>
          <w:spacing w:val="-2"/>
        </w:rPr>
        <w:t xml:space="preserve"> </w:t>
      </w:r>
      <w:r w:rsidRPr="00E6210C">
        <w:rPr>
          <w:spacing w:val="-2"/>
        </w:rPr>
        <w:t xml:space="preserve">Resolution 193 was issued.  It </w:t>
      </w:r>
      <w:r w:rsidRPr="00E6210C">
        <w:rPr>
          <w:spacing w:val="-2"/>
        </w:rPr>
        <w:t xml:space="preserve">stated that Declaration 150 applied to “some, if not all” properties in Rolling Hills. </w:t>
      </w:r>
      <w:r w:rsidRPr="00E6210C">
        <w:rPr>
          <w:spacing w:val="-2"/>
        </w:rPr>
        <w:t xml:space="preserve"> </w:t>
      </w:r>
      <w:r w:rsidRPr="00E6210C">
        <w:rPr>
          <w:spacing w:val="-2"/>
        </w:rPr>
        <w:t xml:space="preserve">Resolution 193 required that the object of the view complaint be subject to the </w:t>
      </w:r>
      <w:r w:rsidRPr="00E6210C">
        <w:rPr>
          <w:spacing w:val="-2"/>
        </w:rPr>
        <w:t>Tree CC</w:t>
      </w:r>
      <w:r w:rsidRPr="00E6210C">
        <w:rPr>
          <w:spacing w:val="-2"/>
        </w:rPr>
        <w:t xml:space="preserve">. </w:t>
      </w:r>
      <w:r w:rsidRPr="00E6210C">
        <w:rPr>
          <w:spacing w:val="-2"/>
        </w:rPr>
        <w:t xml:space="preserve"> </w:t>
      </w:r>
      <w:r w:rsidRPr="00E6210C">
        <w:rPr>
          <w:spacing w:val="-2"/>
        </w:rPr>
        <w:t xml:space="preserve">But, as amended in 2009, </w:t>
      </w:r>
      <w:r w:rsidRPr="00E6210C">
        <w:rPr>
          <w:spacing w:val="-2"/>
        </w:rPr>
        <w:t>t</w:t>
      </w:r>
      <w:r w:rsidRPr="00E6210C">
        <w:rPr>
          <w:spacing w:val="-2"/>
        </w:rPr>
        <w:t>his resolution</w:t>
      </w:r>
      <w:r w:rsidRPr="00E6210C">
        <w:rPr>
          <w:spacing w:val="-2"/>
        </w:rPr>
        <w:t xml:space="preserve"> permitted any owner to file a</w:t>
      </w:r>
      <w:r w:rsidRPr="00E6210C">
        <w:rPr>
          <w:spacing w:val="-2"/>
        </w:rPr>
        <w:t>n application</w:t>
      </w:r>
      <w:r w:rsidRPr="00E6210C">
        <w:rPr>
          <w:spacing w:val="-2"/>
        </w:rPr>
        <w:t xml:space="preserve">. </w:t>
      </w:r>
      <w:r w:rsidRPr="00E6210C">
        <w:rPr>
          <w:spacing w:val="-2"/>
        </w:rPr>
        <w:t xml:space="preserve">  </w:t>
      </w:r>
    </w:p>
    <w:p w14:paraId="4B42AC98" w14:textId="77777777" w:rsidR="00B2782B" w:rsidRPr="00E6210C" w:rsidRDefault="00B2782B" w:rsidP="00223DFA">
      <w:pPr>
        <w:spacing w:after="0" w:line="288" w:lineRule="auto"/>
        <w:rPr>
          <w:spacing w:val="-2"/>
        </w:rPr>
      </w:pPr>
      <w:r w:rsidRPr="00E6210C">
        <w:rPr>
          <w:spacing w:val="-2"/>
        </w:rPr>
        <w:tab/>
      </w:r>
      <w:r w:rsidRPr="00E6210C">
        <w:rPr>
          <w:spacing w:val="-2"/>
          <w:u w:val="single"/>
        </w:rPr>
        <w:t>Resolution 220</w:t>
      </w:r>
      <w:r w:rsidRPr="00E6210C">
        <w:rPr>
          <w:spacing w:val="-2"/>
        </w:rPr>
        <w:t xml:space="preserve">. </w:t>
      </w:r>
      <w:r w:rsidRPr="00E6210C">
        <w:rPr>
          <w:spacing w:val="-2"/>
        </w:rPr>
        <w:t xml:space="preserve"> </w:t>
      </w:r>
      <w:r w:rsidRPr="00E6210C">
        <w:rPr>
          <w:spacing w:val="-2"/>
        </w:rPr>
        <w:t xml:space="preserve">This </w:t>
      </w:r>
      <w:r w:rsidRPr="00E6210C">
        <w:rPr>
          <w:spacing w:val="-2"/>
        </w:rPr>
        <w:t xml:space="preserve">June </w:t>
      </w:r>
      <w:r w:rsidRPr="00E6210C">
        <w:rPr>
          <w:spacing w:val="-2"/>
        </w:rPr>
        <w:t xml:space="preserve">2012 </w:t>
      </w:r>
      <w:r w:rsidRPr="00E6210C">
        <w:rPr>
          <w:spacing w:val="-2"/>
        </w:rPr>
        <w:t xml:space="preserve">resolution replaced </w:t>
      </w:r>
      <w:r w:rsidRPr="00E6210C">
        <w:rPr>
          <w:spacing w:val="-2"/>
        </w:rPr>
        <w:t xml:space="preserve">Resolutions 166, 181, and 193. </w:t>
      </w:r>
      <w:r w:rsidRPr="00E6210C">
        <w:rPr>
          <w:spacing w:val="-2"/>
        </w:rPr>
        <w:t xml:space="preserve"> </w:t>
      </w:r>
      <w:r w:rsidRPr="00E6210C">
        <w:rPr>
          <w:spacing w:val="-2"/>
        </w:rPr>
        <w:t xml:space="preserve">Recognizing </w:t>
      </w:r>
      <w:r w:rsidRPr="00E6210C">
        <w:rPr>
          <w:spacing w:val="-2"/>
        </w:rPr>
        <w:t xml:space="preserve">the </w:t>
      </w:r>
      <w:r w:rsidRPr="00E6210C">
        <w:rPr>
          <w:spacing w:val="-2"/>
        </w:rPr>
        <w:t>Tree CC</w:t>
      </w:r>
      <w:r w:rsidRPr="00E6210C">
        <w:rPr>
          <w:spacing w:val="-2"/>
        </w:rPr>
        <w:t xml:space="preserve"> applied to “some, if not all, properties in the City of Rolling Hills,” </w:t>
      </w:r>
      <w:r w:rsidRPr="00E6210C">
        <w:rPr>
          <w:spacing w:val="-2"/>
        </w:rPr>
        <w:t xml:space="preserve">it </w:t>
      </w:r>
      <w:r w:rsidRPr="00E6210C">
        <w:rPr>
          <w:spacing w:val="-2"/>
        </w:rPr>
        <w:t xml:space="preserve">stated it </w:t>
      </w:r>
      <w:r w:rsidRPr="00E6210C">
        <w:rPr>
          <w:spacing w:val="-2"/>
        </w:rPr>
        <w:t xml:space="preserve">was the Association’s “policy to </w:t>
      </w:r>
      <w:r w:rsidRPr="00E6210C">
        <w:rPr>
          <w:spacing w:val="-2"/>
        </w:rPr>
        <w:t>encourage</w:t>
      </w:r>
      <w:r w:rsidRPr="00E6210C">
        <w:rPr>
          <w:spacing w:val="-2"/>
        </w:rPr>
        <w:t xml:space="preserve"> </w:t>
      </w:r>
      <w:r w:rsidRPr="00E6210C">
        <w:rPr>
          <w:spacing w:val="-2"/>
        </w:rPr>
        <w:t>resolution</w:t>
      </w:r>
      <w:r w:rsidRPr="00E6210C">
        <w:rPr>
          <w:spacing w:val="-2"/>
        </w:rPr>
        <w:t xml:space="preserve"> of view impairment issues between the parties who are directly involved</w:t>
      </w:r>
      <w:r w:rsidRPr="00E6210C">
        <w:rPr>
          <w:spacing w:val="-2"/>
        </w:rPr>
        <w:t xml:space="preserve">.” </w:t>
      </w:r>
      <w:r w:rsidRPr="00E6210C">
        <w:rPr>
          <w:spacing w:val="-2"/>
        </w:rPr>
        <w:t xml:space="preserve"> </w:t>
      </w:r>
      <w:r w:rsidRPr="00E6210C">
        <w:rPr>
          <w:spacing w:val="-2"/>
        </w:rPr>
        <w:t>The resolution permitted any property owner to file a view applicatio</w:t>
      </w:r>
      <w:r w:rsidRPr="00E6210C">
        <w:rPr>
          <w:spacing w:val="-2"/>
        </w:rPr>
        <w:t xml:space="preserve">n, </w:t>
      </w:r>
      <w:r w:rsidRPr="00E6210C">
        <w:rPr>
          <w:spacing w:val="-2"/>
        </w:rPr>
        <w:t>regardless</w:t>
      </w:r>
      <w:r w:rsidRPr="00E6210C">
        <w:rPr>
          <w:spacing w:val="-2"/>
        </w:rPr>
        <w:t xml:space="preserve"> of the owner’s governing </w:t>
      </w:r>
      <w:r w:rsidRPr="00E6210C">
        <w:rPr>
          <w:spacing w:val="-2"/>
        </w:rPr>
        <w:t>declaration</w:t>
      </w:r>
      <w:r w:rsidRPr="00E6210C">
        <w:rPr>
          <w:spacing w:val="-2"/>
        </w:rPr>
        <w:t xml:space="preserve">.  </w:t>
      </w:r>
    </w:p>
    <w:p w14:paraId="57E421DA" w14:textId="77777777" w:rsidR="00B2782B" w:rsidRPr="00E6210C" w:rsidRDefault="00B2782B" w:rsidP="00223DFA">
      <w:pPr>
        <w:spacing w:after="0" w:line="288" w:lineRule="auto"/>
        <w:rPr>
          <w:spacing w:val="-2"/>
        </w:rPr>
      </w:pPr>
    </w:p>
    <w:p w14:paraId="65F391D8" w14:textId="77777777" w:rsidR="00B2782B" w:rsidRPr="00E6210C" w:rsidRDefault="00B2782B" w:rsidP="00223DFA">
      <w:pPr>
        <w:keepNext/>
        <w:spacing w:after="0" w:line="288" w:lineRule="auto"/>
        <w:jc w:val="center"/>
        <w:rPr>
          <w:b/>
          <w:bCs/>
          <w:spacing w:val="-2"/>
        </w:rPr>
      </w:pPr>
      <w:r w:rsidRPr="00E6210C">
        <w:rPr>
          <w:b/>
          <w:bCs/>
          <w:spacing w:val="-2"/>
        </w:rPr>
        <w:t xml:space="preserve">PROCEDURAL </w:t>
      </w:r>
      <w:r w:rsidRPr="00E6210C">
        <w:rPr>
          <w:b/>
          <w:bCs/>
          <w:spacing w:val="-2"/>
        </w:rPr>
        <w:t>BACKGROUND</w:t>
      </w:r>
    </w:p>
    <w:p w14:paraId="4C2EE9A7" w14:textId="77777777" w:rsidR="00B2782B" w:rsidRPr="00E6210C" w:rsidRDefault="00B2782B" w:rsidP="00223DFA">
      <w:pPr>
        <w:keepNext/>
        <w:spacing w:after="0" w:line="288" w:lineRule="auto"/>
        <w:rPr>
          <w:b/>
          <w:bCs/>
          <w:spacing w:val="-2"/>
        </w:rPr>
      </w:pPr>
      <w:r w:rsidRPr="00E6210C">
        <w:rPr>
          <w:b/>
          <w:bCs/>
          <w:spacing w:val="-2"/>
        </w:rPr>
        <w:t>A.</w:t>
      </w:r>
      <w:r w:rsidRPr="00E6210C">
        <w:rPr>
          <w:b/>
          <w:bCs/>
          <w:spacing w:val="-2"/>
        </w:rPr>
        <w:tab/>
      </w:r>
      <w:r w:rsidRPr="00E6210C">
        <w:rPr>
          <w:b/>
          <w:bCs/>
          <w:spacing w:val="-2"/>
        </w:rPr>
        <w:t>Petition and Complaint</w:t>
      </w:r>
    </w:p>
    <w:p w14:paraId="3EC691DF" w14:textId="77777777" w:rsidR="00B2782B" w:rsidRPr="00E6210C" w:rsidRDefault="00B2782B" w:rsidP="00223DFA">
      <w:pPr>
        <w:spacing w:after="0" w:line="288" w:lineRule="auto"/>
        <w:rPr>
          <w:spacing w:val="-2"/>
        </w:rPr>
      </w:pPr>
      <w:r w:rsidRPr="00E6210C">
        <w:rPr>
          <w:spacing w:val="-2"/>
        </w:rPr>
        <w:tab/>
      </w:r>
      <w:bookmarkStart w:id="2" w:name="_Hlk152667599"/>
      <w:r w:rsidRPr="00E6210C">
        <w:rPr>
          <w:spacing w:val="-2"/>
        </w:rPr>
        <w:t xml:space="preserve">This action originated in 2015, when a neighbor of </w:t>
      </w:r>
      <w:proofErr w:type="spellStart"/>
      <w:r w:rsidRPr="00E6210C">
        <w:rPr>
          <w:spacing w:val="-2"/>
        </w:rPr>
        <w:t>Colyear</w:t>
      </w:r>
      <w:proofErr w:type="spellEnd"/>
      <w:r w:rsidRPr="00E6210C">
        <w:rPr>
          <w:spacing w:val="-2"/>
        </w:rPr>
        <w:t xml:space="preserve"> filed a view a</w:t>
      </w:r>
      <w:r w:rsidRPr="00E6210C">
        <w:rPr>
          <w:spacing w:val="-2"/>
        </w:rPr>
        <w:t>pplication</w:t>
      </w:r>
      <w:r w:rsidRPr="00E6210C">
        <w:rPr>
          <w:spacing w:val="-2"/>
        </w:rPr>
        <w:t xml:space="preserve"> under Resolution 220 </w:t>
      </w:r>
      <w:r w:rsidRPr="00E6210C">
        <w:rPr>
          <w:spacing w:val="-2"/>
        </w:rPr>
        <w:t xml:space="preserve">against another </w:t>
      </w:r>
      <w:r w:rsidRPr="00E6210C">
        <w:rPr>
          <w:spacing w:val="-2"/>
        </w:rPr>
        <w:t>neighbor.</w:t>
      </w:r>
      <w:r w:rsidRPr="00E6210C">
        <w:rPr>
          <w:spacing w:val="-2"/>
        </w:rPr>
        <w:t xml:space="preserve">  However, two of </w:t>
      </w:r>
      <w:proofErr w:type="spellStart"/>
      <w:r w:rsidRPr="00E6210C">
        <w:rPr>
          <w:spacing w:val="-2"/>
        </w:rPr>
        <w:t>Colyear’s</w:t>
      </w:r>
      <w:proofErr w:type="spellEnd"/>
      <w:r w:rsidRPr="00E6210C">
        <w:rPr>
          <w:spacing w:val="-2"/>
        </w:rPr>
        <w:t xml:space="preserve"> trees appeared in a photograph </w:t>
      </w:r>
      <w:r w:rsidRPr="00E6210C">
        <w:rPr>
          <w:spacing w:val="-2"/>
        </w:rPr>
        <w:t xml:space="preserve">of </w:t>
      </w:r>
      <w:r w:rsidRPr="00E6210C">
        <w:rPr>
          <w:spacing w:val="-2"/>
        </w:rPr>
        <w:t xml:space="preserve">the </w:t>
      </w:r>
      <w:r w:rsidRPr="00E6210C">
        <w:rPr>
          <w:spacing w:val="-2"/>
        </w:rPr>
        <w:t xml:space="preserve">view </w:t>
      </w:r>
      <w:r w:rsidRPr="00E6210C">
        <w:rPr>
          <w:spacing w:val="-2"/>
        </w:rPr>
        <w:t xml:space="preserve">application, so </w:t>
      </w:r>
      <w:proofErr w:type="spellStart"/>
      <w:r w:rsidRPr="00E6210C">
        <w:rPr>
          <w:spacing w:val="-2"/>
        </w:rPr>
        <w:t>Colyear</w:t>
      </w:r>
      <w:proofErr w:type="spellEnd"/>
      <w:r w:rsidRPr="00E6210C">
        <w:rPr>
          <w:spacing w:val="-2"/>
        </w:rPr>
        <w:t xml:space="preserve"> preemptively sued </w:t>
      </w:r>
      <w:r w:rsidRPr="00E6210C">
        <w:rPr>
          <w:spacing w:val="-2"/>
        </w:rPr>
        <w:t xml:space="preserve">the neighbor as well as </w:t>
      </w:r>
      <w:r w:rsidRPr="00E6210C">
        <w:rPr>
          <w:spacing w:val="-2"/>
        </w:rPr>
        <w:t xml:space="preserve">the Association and several of its board members </w:t>
      </w:r>
      <w:bookmarkEnd w:id="2"/>
      <w:r w:rsidRPr="00E6210C">
        <w:rPr>
          <w:spacing w:val="-2"/>
        </w:rPr>
        <w:t xml:space="preserve">to enjoin them from cutting </w:t>
      </w:r>
      <w:r w:rsidRPr="00E6210C">
        <w:rPr>
          <w:spacing w:val="-2"/>
        </w:rPr>
        <w:t>his</w:t>
      </w:r>
      <w:r w:rsidRPr="00E6210C">
        <w:rPr>
          <w:spacing w:val="-2"/>
        </w:rPr>
        <w:t xml:space="preserve"> trees, for declaratory relief that the </w:t>
      </w:r>
      <w:r w:rsidRPr="00E6210C">
        <w:rPr>
          <w:spacing w:val="-2"/>
        </w:rPr>
        <w:t>Tree CC</w:t>
      </w:r>
      <w:r w:rsidRPr="00E6210C">
        <w:rPr>
          <w:spacing w:val="-2"/>
        </w:rPr>
        <w:t xml:space="preserve"> did not apply to his property, </w:t>
      </w:r>
      <w:r w:rsidRPr="00E6210C">
        <w:rPr>
          <w:spacing w:val="-2"/>
        </w:rPr>
        <w:t xml:space="preserve">and </w:t>
      </w:r>
      <w:r w:rsidRPr="00E6210C">
        <w:rPr>
          <w:spacing w:val="-2"/>
        </w:rPr>
        <w:t xml:space="preserve">for quiet title and breach of fiduciary duty against the board and </w:t>
      </w:r>
      <w:r w:rsidRPr="00E6210C">
        <w:rPr>
          <w:spacing w:val="-2"/>
        </w:rPr>
        <w:lastRenderedPageBreak/>
        <w:t xml:space="preserve">Association. </w:t>
      </w:r>
      <w:bookmarkStart w:id="3" w:name="_Hlk152667632"/>
      <w:r w:rsidRPr="00E6210C">
        <w:rPr>
          <w:spacing w:val="-2"/>
        </w:rPr>
        <w:t xml:space="preserve"> </w:t>
      </w:r>
      <w:bookmarkEnd w:id="3"/>
      <w:r w:rsidRPr="00E6210C">
        <w:rPr>
          <w:spacing w:val="-2"/>
        </w:rPr>
        <w:t xml:space="preserve">The neighbor successfully challenged </w:t>
      </w:r>
      <w:proofErr w:type="spellStart"/>
      <w:r w:rsidRPr="00E6210C">
        <w:rPr>
          <w:spacing w:val="-2"/>
        </w:rPr>
        <w:t>Colyear’s</w:t>
      </w:r>
      <w:proofErr w:type="spellEnd"/>
      <w:r w:rsidRPr="00E6210C">
        <w:rPr>
          <w:spacing w:val="-2"/>
        </w:rPr>
        <w:t xml:space="preserve"> lawsuit as a SLAPP action</w:t>
      </w:r>
      <w:r w:rsidRPr="00E6210C">
        <w:rPr>
          <w:spacing w:val="-2"/>
        </w:rPr>
        <w:t>, but the ac</w:t>
      </w:r>
      <w:r w:rsidRPr="00E6210C">
        <w:rPr>
          <w:spacing w:val="-2"/>
        </w:rPr>
        <w:t xml:space="preserve">tion proceeded against </w:t>
      </w:r>
      <w:r w:rsidRPr="00E6210C">
        <w:rPr>
          <w:spacing w:val="-2"/>
        </w:rPr>
        <w:t>the</w:t>
      </w:r>
      <w:r w:rsidRPr="00E6210C">
        <w:rPr>
          <w:spacing w:val="-2"/>
        </w:rPr>
        <w:t xml:space="preserve"> remaining defendants</w:t>
      </w:r>
      <w:r w:rsidRPr="00E6210C">
        <w:rPr>
          <w:spacing w:val="-2"/>
        </w:rPr>
        <w:t xml:space="preserve">. </w:t>
      </w:r>
      <w:r w:rsidRPr="00E6210C">
        <w:rPr>
          <w:spacing w:val="-2"/>
        </w:rPr>
        <w:t xml:space="preserve"> </w:t>
      </w:r>
      <w:r w:rsidRPr="00E6210C">
        <w:rPr>
          <w:spacing w:val="-2"/>
        </w:rPr>
        <w:t>(</w:t>
      </w:r>
      <w:proofErr w:type="spellStart"/>
      <w:r w:rsidRPr="00E6210C">
        <w:rPr>
          <w:i/>
          <w:iCs/>
          <w:spacing w:val="-2"/>
        </w:rPr>
        <w:t>Colyear</w:t>
      </w:r>
      <w:proofErr w:type="spellEnd"/>
      <w:r w:rsidRPr="00E6210C">
        <w:rPr>
          <w:i/>
          <w:iCs/>
          <w:spacing w:val="-2"/>
        </w:rPr>
        <w:t xml:space="preserve"> v. Rolling Hills Community Association of Rancho Palos Verdes </w:t>
      </w:r>
      <w:r w:rsidRPr="00E6210C">
        <w:rPr>
          <w:spacing w:val="-2"/>
        </w:rPr>
        <w:t>(2017) 9 Cal.App.5th 119, 123, 137.)</w:t>
      </w:r>
    </w:p>
    <w:p w14:paraId="62D6E88F" w14:textId="77777777" w:rsidR="00B2782B" w:rsidRPr="00E6210C" w:rsidRDefault="00B2782B" w:rsidP="00223DFA">
      <w:pPr>
        <w:spacing w:after="0" w:line="288" w:lineRule="auto"/>
        <w:rPr>
          <w:spacing w:val="-2"/>
        </w:rPr>
      </w:pPr>
      <w:r w:rsidRPr="00E6210C">
        <w:rPr>
          <w:spacing w:val="-2"/>
        </w:rPr>
        <w:tab/>
        <w:t xml:space="preserve">After </w:t>
      </w:r>
      <w:r w:rsidRPr="00E6210C">
        <w:rPr>
          <w:spacing w:val="-2"/>
        </w:rPr>
        <w:t>several</w:t>
      </w:r>
      <w:r w:rsidRPr="00E6210C">
        <w:rPr>
          <w:spacing w:val="-2"/>
        </w:rPr>
        <w:t xml:space="preserve"> intermediate proceedings, </w:t>
      </w:r>
      <w:proofErr w:type="spellStart"/>
      <w:r w:rsidRPr="00E6210C">
        <w:rPr>
          <w:spacing w:val="-2"/>
        </w:rPr>
        <w:t>Colyear</w:t>
      </w:r>
      <w:proofErr w:type="spellEnd"/>
      <w:r w:rsidRPr="00E6210C">
        <w:rPr>
          <w:spacing w:val="-2"/>
        </w:rPr>
        <w:t xml:space="preserve"> filed his operative Third Amended Petition and Second Amended Complaint in June 2018, stating claims for declaratory relief, injunctive relief, quiet title, slander of title, and breach of fiduciary duty against the Association and the </w:t>
      </w:r>
      <w:r w:rsidRPr="00E6210C">
        <w:rPr>
          <w:spacing w:val="-2"/>
        </w:rPr>
        <w:t>d</w:t>
      </w:r>
      <w:r w:rsidRPr="00E6210C">
        <w:rPr>
          <w:spacing w:val="-2"/>
        </w:rPr>
        <w:t>irector defendants.</w:t>
      </w:r>
      <w:r>
        <w:rPr>
          <w:rStyle w:val="FootnoteReference"/>
          <w:spacing w:val="-2"/>
        </w:rPr>
        <w:footnoteReference w:id="5"/>
      </w:r>
      <w:r w:rsidRPr="00E6210C">
        <w:rPr>
          <w:spacing w:val="-2"/>
        </w:rPr>
        <w:t xml:space="preserve">  </w:t>
      </w:r>
      <w:proofErr w:type="spellStart"/>
      <w:r w:rsidRPr="00E6210C">
        <w:rPr>
          <w:spacing w:val="-2"/>
        </w:rPr>
        <w:t>Colyear</w:t>
      </w:r>
      <w:proofErr w:type="spellEnd"/>
      <w:r w:rsidRPr="00E6210C">
        <w:rPr>
          <w:spacing w:val="-2"/>
        </w:rPr>
        <w:t xml:space="preserve"> sought to enjoin the Association from relying on </w:t>
      </w:r>
      <w:r w:rsidRPr="00E6210C">
        <w:rPr>
          <w:spacing w:val="-2"/>
        </w:rPr>
        <w:t xml:space="preserve">Resolution </w:t>
      </w:r>
      <w:r w:rsidRPr="00E6210C">
        <w:rPr>
          <w:spacing w:val="-2"/>
        </w:rPr>
        <w:t>2</w:t>
      </w:r>
      <w:r w:rsidRPr="00E6210C">
        <w:rPr>
          <w:spacing w:val="-2"/>
        </w:rPr>
        <w:t>2</w:t>
      </w:r>
      <w:r w:rsidRPr="00E6210C">
        <w:rPr>
          <w:spacing w:val="-2"/>
        </w:rPr>
        <w:t xml:space="preserve">0 and </w:t>
      </w:r>
      <w:r w:rsidRPr="00E6210C">
        <w:rPr>
          <w:spacing w:val="-2"/>
        </w:rPr>
        <w:t>Declaration 150 to trim trees on his property</w:t>
      </w:r>
      <w:r w:rsidRPr="00E6210C">
        <w:rPr>
          <w:spacing w:val="-2"/>
        </w:rPr>
        <w:t xml:space="preserve"> </w:t>
      </w:r>
      <w:r w:rsidRPr="00E6210C">
        <w:rPr>
          <w:spacing w:val="-2"/>
        </w:rPr>
        <w:t xml:space="preserve">and a declaration that </w:t>
      </w:r>
      <w:r w:rsidRPr="00E6210C">
        <w:rPr>
          <w:spacing w:val="-2"/>
        </w:rPr>
        <w:t>Declaration 150</w:t>
      </w:r>
      <w:r w:rsidRPr="00E6210C">
        <w:rPr>
          <w:spacing w:val="-2"/>
        </w:rPr>
        <w:t xml:space="preserve"> did not apply to his property. </w:t>
      </w:r>
      <w:r w:rsidRPr="00E6210C">
        <w:rPr>
          <w:spacing w:val="-2"/>
        </w:rPr>
        <w:t xml:space="preserve"> </w:t>
      </w:r>
    </w:p>
    <w:p w14:paraId="69A499E7" w14:textId="77777777" w:rsidR="00B2782B" w:rsidRPr="00E6210C" w:rsidRDefault="00B2782B" w:rsidP="00223DFA">
      <w:pPr>
        <w:spacing w:after="0" w:line="288" w:lineRule="auto"/>
        <w:rPr>
          <w:spacing w:val="-2"/>
        </w:rPr>
      </w:pPr>
    </w:p>
    <w:p w14:paraId="6AB11898" w14:textId="77777777" w:rsidR="00B2782B" w:rsidRPr="00E6210C" w:rsidRDefault="00B2782B" w:rsidP="00223DFA">
      <w:pPr>
        <w:keepNext/>
        <w:spacing w:after="0" w:line="288" w:lineRule="auto"/>
        <w:rPr>
          <w:b/>
          <w:bCs/>
          <w:spacing w:val="-2"/>
        </w:rPr>
      </w:pPr>
      <w:r w:rsidRPr="00E6210C">
        <w:rPr>
          <w:b/>
          <w:bCs/>
          <w:spacing w:val="-2"/>
        </w:rPr>
        <w:t>B.</w:t>
      </w:r>
      <w:r w:rsidRPr="00E6210C">
        <w:rPr>
          <w:b/>
          <w:bCs/>
          <w:spacing w:val="-2"/>
        </w:rPr>
        <w:tab/>
        <w:t>Trial and Statement of Decision</w:t>
      </w:r>
    </w:p>
    <w:p w14:paraId="27096BB7" w14:textId="77777777" w:rsidR="00B2782B" w:rsidRPr="00E6210C" w:rsidRDefault="00B2782B" w:rsidP="00223DFA">
      <w:pPr>
        <w:spacing w:after="0" w:line="288" w:lineRule="auto"/>
        <w:rPr>
          <w:spacing w:val="-2"/>
        </w:rPr>
      </w:pPr>
      <w:r w:rsidRPr="00E6210C">
        <w:rPr>
          <w:spacing w:val="-2"/>
        </w:rPr>
        <w:tab/>
        <w:t xml:space="preserve">After the trial court granted defendants’ </w:t>
      </w:r>
      <w:r w:rsidRPr="00E6210C">
        <w:rPr>
          <w:spacing w:val="-2"/>
        </w:rPr>
        <w:t xml:space="preserve">motion for </w:t>
      </w:r>
      <w:r w:rsidRPr="00E6210C">
        <w:rPr>
          <w:spacing w:val="-2"/>
        </w:rPr>
        <w:t>summary</w:t>
      </w:r>
      <w:r w:rsidRPr="00E6210C">
        <w:rPr>
          <w:spacing w:val="-2"/>
        </w:rPr>
        <w:t xml:space="preserve"> </w:t>
      </w:r>
      <w:r w:rsidRPr="00E6210C">
        <w:rPr>
          <w:spacing w:val="-2"/>
        </w:rPr>
        <w:t>adjudication on the slander of title claim,</w:t>
      </w:r>
      <w:r>
        <w:rPr>
          <w:rStyle w:val="FootnoteReference"/>
          <w:spacing w:val="-2"/>
        </w:rPr>
        <w:footnoteReference w:id="6"/>
      </w:r>
      <w:r w:rsidRPr="00E6210C">
        <w:rPr>
          <w:spacing w:val="-2"/>
        </w:rPr>
        <w:t xml:space="preserve"> the matter proceeded to a 10-day bench trial</w:t>
      </w:r>
      <w:r w:rsidRPr="00E6210C">
        <w:rPr>
          <w:spacing w:val="-2"/>
        </w:rPr>
        <w:t xml:space="preserve"> held in September 2019</w:t>
      </w:r>
      <w:r w:rsidRPr="00E6210C">
        <w:rPr>
          <w:spacing w:val="-2"/>
        </w:rPr>
        <w:t xml:space="preserve">. </w:t>
      </w:r>
    </w:p>
    <w:p w14:paraId="2F7625EC" w14:textId="77777777" w:rsidR="00B2782B" w:rsidRPr="00E6210C" w:rsidRDefault="00B2782B" w:rsidP="00223DFA">
      <w:pPr>
        <w:spacing w:after="0" w:line="288" w:lineRule="auto"/>
        <w:rPr>
          <w:spacing w:val="-2"/>
        </w:rPr>
      </w:pPr>
      <w:r w:rsidRPr="00E6210C">
        <w:rPr>
          <w:spacing w:val="-2"/>
        </w:rPr>
        <w:tab/>
      </w:r>
      <w:proofErr w:type="spellStart"/>
      <w:r w:rsidRPr="00E6210C">
        <w:rPr>
          <w:spacing w:val="-2"/>
        </w:rPr>
        <w:t>Colyear</w:t>
      </w:r>
      <w:proofErr w:type="spellEnd"/>
      <w:r w:rsidRPr="00E6210C">
        <w:rPr>
          <w:spacing w:val="-2"/>
        </w:rPr>
        <w:t xml:space="preserve"> principally</w:t>
      </w:r>
      <w:r w:rsidRPr="00E6210C">
        <w:rPr>
          <w:spacing w:val="-2"/>
        </w:rPr>
        <w:t xml:space="preserve"> argued that </w:t>
      </w:r>
      <w:r w:rsidRPr="00E6210C">
        <w:rPr>
          <w:spacing w:val="-2"/>
        </w:rPr>
        <w:t xml:space="preserve">restrictions </w:t>
      </w:r>
      <w:r w:rsidRPr="00E6210C">
        <w:rPr>
          <w:spacing w:val="-2"/>
        </w:rPr>
        <w:t xml:space="preserve">can </w:t>
      </w:r>
      <w:r w:rsidRPr="00E6210C">
        <w:rPr>
          <w:spacing w:val="-2"/>
        </w:rPr>
        <w:t xml:space="preserve">only </w:t>
      </w:r>
      <w:r w:rsidRPr="00E6210C">
        <w:rPr>
          <w:spacing w:val="-2"/>
        </w:rPr>
        <w:t>burden the property legally described in the restricting document</w:t>
      </w:r>
      <w:r w:rsidRPr="00E6210C">
        <w:rPr>
          <w:spacing w:val="-2"/>
        </w:rPr>
        <w:t>, and</w:t>
      </w:r>
      <w:r w:rsidRPr="00E6210C">
        <w:rPr>
          <w:spacing w:val="-2"/>
        </w:rPr>
        <w:t xml:space="preserve"> because Declaration 150 only described one tract</w:t>
      </w:r>
      <w:r w:rsidRPr="00E6210C">
        <w:rPr>
          <w:spacing w:val="-2"/>
        </w:rPr>
        <w:t xml:space="preserve">, under </w:t>
      </w:r>
      <w:r w:rsidRPr="00E6210C">
        <w:rPr>
          <w:i/>
          <w:iCs/>
          <w:spacing w:val="-2"/>
        </w:rPr>
        <w:t xml:space="preserve">Citizens, </w:t>
      </w:r>
      <w:r w:rsidRPr="00E6210C">
        <w:rPr>
          <w:spacing w:val="-2"/>
        </w:rPr>
        <w:t xml:space="preserve">it did not burden his property. </w:t>
      </w:r>
      <w:r w:rsidRPr="00E6210C">
        <w:rPr>
          <w:spacing w:val="-2"/>
        </w:rPr>
        <w:t xml:space="preserve"> </w:t>
      </w:r>
      <w:r w:rsidRPr="00E6210C">
        <w:rPr>
          <w:spacing w:val="-2"/>
        </w:rPr>
        <w:t xml:space="preserve">The Association argued that </w:t>
      </w:r>
      <w:r w:rsidRPr="00E6210C">
        <w:rPr>
          <w:i/>
          <w:iCs/>
          <w:spacing w:val="-2"/>
        </w:rPr>
        <w:lastRenderedPageBreak/>
        <w:t>Citizens</w:t>
      </w:r>
      <w:r w:rsidRPr="00E6210C">
        <w:rPr>
          <w:i/>
          <w:iCs/>
          <w:spacing w:val="-2"/>
        </w:rPr>
        <w:t xml:space="preserve"> </w:t>
      </w:r>
      <w:r w:rsidRPr="00E6210C">
        <w:rPr>
          <w:spacing w:val="-2"/>
        </w:rPr>
        <w:t xml:space="preserve">supported its </w:t>
      </w:r>
      <w:r w:rsidRPr="00E6210C">
        <w:rPr>
          <w:spacing w:val="-2"/>
        </w:rPr>
        <w:t>position</w:t>
      </w:r>
      <w:r w:rsidRPr="00E6210C">
        <w:rPr>
          <w:spacing w:val="-2"/>
        </w:rPr>
        <w:t xml:space="preserve"> because </w:t>
      </w:r>
      <w:r w:rsidRPr="00E6210C">
        <w:rPr>
          <w:spacing w:val="-2"/>
        </w:rPr>
        <w:t xml:space="preserve">Declaration 150 was in </w:t>
      </w:r>
      <w:proofErr w:type="spellStart"/>
      <w:r w:rsidRPr="00E6210C">
        <w:rPr>
          <w:spacing w:val="-2"/>
        </w:rPr>
        <w:t>Colyear’s</w:t>
      </w:r>
      <w:proofErr w:type="spellEnd"/>
      <w:r w:rsidRPr="00E6210C">
        <w:rPr>
          <w:spacing w:val="-2"/>
        </w:rPr>
        <w:t xml:space="preserve"> </w:t>
      </w:r>
      <w:r w:rsidRPr="00E6210C">
        <w:rPr>
          <w:spacing w:val="-2"/>
        </w:rPr>
        <w:t xml:space="preserve">chain of </w:t>
      </w:r>
      <w:r w:rsidRPr="00E6210C">
        <w:rPr>
          <w:spacing w:val="-2"/>
        </w:rPr>
        <w:t>title through Declaration 150-M</w:t>
      </w:r>
      <w:r w:rsidRPr="00E6210C">
        <w:rPr>
          <w:spacing w:val="-2"/>
        </w:rPr>
        <w:t>, and</w:t>
      </w:r>
      <w:r w:rsidRPr="00E6210C">
        <w:rPr>
          <w:spacing w:val="-2"/>
        </w:rPr>
        <w:t xml:space="preserve"> </w:t>
      </w:r>
      <w:r w:rsidRPr="00E6210C">
        <w:rPr>
          <w:spacing w:val="-2"/>
        </w:rPr>
        <w:t xml:space="preserve">reasonable inquiry would </w:t>
      </w:r>
      <w:r w:rsidRPr="00E6210C">
        <w:rPr>
          <w:spacing w:val="-2"/>
        </w:rPr>
        <w:t>have</w:t>
      </w:r>
      <w:r w:rsidRPr="00E6210C">
        <w:rPr>
          <w:spacing w:val="-2"/>
        </w:rPr>
        <w:t xml:space="preserve"> put </w:t>
      </w:r>
      <w:proofErr w:type="spellStart"/>
      <w:r w:rsidRPr="00E6210C">
        <w:rPr>
          <w:spacing w:val="-2"/>
        </w:rPr>
        <w:t>Colyear</w:t>
      </w:r>
      <w:proofErr w:type="spellEnd"/>
      <w:r w:rsidRPr="00E6210C">
        <w:rPr>
          <w:spacing w:val="-2"/>
        </w:rPr>
        <w:t xml:space="preserve"> on notice that Declaration 150’s </w:t>
      </w:r>
      <w:r w:rsidRPr="00E6210C">
        <w:rPr>
          <w:spacing w:val="-2"/>
        </w:rPr>
        <w:t>g</w:t>
      </w:r>
      <w:r w:rsidRPr="00E6210C">
        <w:rPr>
          <w:spacing w:val="-2"/>
        </w:rPr>
        <w:t xml:space="preserve">eneral </w:t>
      </w:r>
      <w:r w:rsidRPr="00E6210C">
        <w:rPr>
          <w:spacing w:val="-2"/>
        </w:rPr>
        <w:t>restrictions</w:t>
      </w:r>
      <w:r w:rsidRPr="00E6210C">
        <w:rPr>
          <w:spacing w:val="-2"/>
        </w:rPr>
        <w:t xml:space="preserve">, </w:t>
      </w:r>
      <w:r w:rsidRPr="00E6210C">
        <w:rPr>
          <w:spacing w:val="-2"/>
        </w:rPr>
        <w:t>including</w:t>
      </w:r>
      <w:r w:rsidRPr="00E6210C">
        <w:rPr>
          <w:spacing w:val="-2"/>
        </w:rPr>
        <w:t xml:space="preserve"> the view </w:t>
      </w:r>
      <w:r w:rsidRPr="00E6210C">
        <w:rPr>
          <w:spacing w:val="-2"/>
        </w:rPr>
        <w:t>covenant</w:t>
      </w:r>
      <w:r w:rsidRPr="00E6210C">
        <w:rPr>
          <w:spacing w:val="-2"/>
        </w:rPr>
        <w:t xml:space="preserve">, </w:t>
      </w:r>
      <w:r w:rsidRPr="00E6210C">
        <w:rPr>
          <w:spacing w:val="-2"/>
        </w:rPr>
        <w:t>applied</w:t>
      </w:r>
      <w:r w:rsidRPr="00E6210C">
        <w:rPr>
          <w:spacing w:val="-2"/>
        </w:rPr>
        <w:t xml:space="preserve"> to his </w:t>
      </w:r>
      <w:r w:rsidRPr="00E6210C">
        <w:rPr>
          <w:spacing w:val="-2"/>
        </w:rPr>
        <w:t>property</w:t>
      </w:r>
      <w:r w:rsidRPr="00E6210C">
        <w:rPr>
          <w:spacing w:val="-2"/>
        </w:rPr>
        <w:t xml:space="preserve">.  The Association also argued it had </w:t>
      </w:r>
      <w:r w:rsidRPr="00E6210C">
        <w:rPr>
          <w:spacing w:val="-2"/>
        </w:rPr>
        <w:t xml:space="preserve">treated </w:t>
      </w:r>
      <w:r w:rsidRPr="00E6210C">
        <w:rPr>
          <w:spacing w:val="-2"/>
        </w:rPr>
        <w:t xml:space="preserve">Declaration 150 as the </w:t>
      </w:r>
      <w:r w:rsidRPr="00E6210C">
        <w:rPr>
          <w:spacing w:val="-2"/>
        </w:rPr>
        <w:t>G</w:t>
      </w:r>
      <w:r w:rsidRPr="00E6210C">
        <w:rPr>
          <w:spacing w:val="-2"/>
        </w:rPr>
        <w:t xml:space="preserve">eneral </w:t>
      </w:r>
      <w:r w:rsidRPr="00E6210C">
        <w:rPr>
          <w:spacing w:val="-2"/>
        </w:rPr>
        <w:t>P</w:t>
      </w:r>
      <w:r w:rsidRPr="00E6210C">
        <w:rPr>
          <w:spacing w:val="-2"/>
        </w:rPr>
        <w:t xml:space="preserve">lan from the beginning and its </w:t>
      </w:r>
      <w:r w:rsidRPr="00E6210C">
        <w:rPr>
          <w:spacing w:val="-2"/>
        </w:rPr>
        <w:t>interpretation</w:t>
      </w:r>
      <w:r w:rsidRPr="00E6210C">
        <w:rPr>
          <w:spacing w:val="-2"/>
        </w:rPr>
        <w:t xml:space="preserve"> of the </w:t>
      </w:r>
      <w:r w:rsidRPr="00E6210C">
        <w:rPr>
          <w:spacing w:val="-2"/>
        </w:rPr>
        <w:t>G</w:t>
      </w:r>
      <w:r w:rsidRPr="00E6210C">
        <w:rPr>
          <w:spacing w:val="-2"/>
        </w:rPr>
        <w:t xml:space="preserve">eneral </w:t>
      </w:r>
      <w:r w:rsidRPr="00E6210C">
        <w:rPr>
          <w:spacing w:val="-2"/>
        </w:rPr>
        <w:t>P</w:t>
      </w:r>
      <w:r w:rsidRPr="00E6210C">
        <w:rPr>
          <w:spacing w:val="-2"/>
        </w:rPr>
        <w:t xml:space="preserve">lan </w:t>
      </w:r>
      <w:r w:rsidRPr="00E6210C">
        <w:rPr>
          <w:spacing w:val="-2"/>
        </w:rPr>
        <w:t>was</w:t>
      </w:r>
      <w:r w:rsidRPr="00E6210C">
        <w:rPr>
          <w:spacing w:val="-2"/>
        </w:rPr>
        <w:t xml:space="preserve"> conclusive. </w:t>
      </w:r>
      <w:r w:rsidRPr="00E6210C">
        <w:rPr>
          <w:spacing w:val="-2"/>
        </w:rPr>
        <w:t xml:space="preserve"> </w:t>
      </w:r>
    </w:p>
    <w:p w14:paraId="62998B6D" w14:textId="77777777" w:rsidR="00B2782B" w:rsidRPr="00E6210C" w:rsidRDefault="00B2782B" w:rsidP="00223DFA">
      <w:pPr>
        <w:spacing w:after="0" w:line="288" w:lineRule="auto"/>
        <w:rPr>
          <w:spacing w:val="-2"/>
        </w:rPr>
      </w:pPr>
      <w:r w:rsidRPr="00E6210C">
        <w:rPr>
          <w:b/>
          <w:bCs/>
          <w:spacing w:val="-2"/>
        </w:rPr>
        <w:tab/>
      </w:r>
      <w:r w:rsidRPr="00E6210C">
        <w:rPr>
          <w:spacing w:val="-2"/>
        </w:rPr>
        <w:t>The trial court issued its Corrected Statement of Decision</w:t>
      </w:r>
      <w:r w:rsidRPr="00E6210C">
        <w:rPr>
          <w:spacing w:val="-2"/>
        </w:rPr>
        <w:t xml:space="preserve"> and entered judgment</w:t>
      </w:r>
      <w:r w:rsidRPr="00E6210C">
        <w:rPr>
          <w:spacing w:val="-2"/>
        </w:rPr>
        <w:t xml:space="preserve"> on September</w:t>
      </w:r>
      <w:r w:rsidRPr="00E6210C">
        <w:rPr>
          <w:spacing w:val="-2"/>
        </w:rPr>
        <w:t> </w:t>
      </w:r>
      <w:r w:rsidRPr="00E6210C">
        <w:rPr>
          <w:spacing w:val="-2"/>
        </w:rPr>
        <w:t xml:space="preserve">4, 2020. </w:t>
      </w:r>
    </w:p>
    <w:p w14:paraId="3786B362" w14:textId="77777777" w:rsidR="00B2782B" w:rsidRPr="00E6210C" w:rsidRDefault="00B2782B" w:rsidP="00223DFA">
      <w:pPr>
        <w:spacing w:after="0" w:line="288" w:lineRule="auto"/>
        <w:rPr>
          <w:spacing w:val="-2"/>
        </w:rPr>
      </w:pPr>
      <w:r w:rsidRPr="00E6210C">
        <w:rPr>
          <w:spacing w:val="-2"/>
        </w:rPr>
        <w:tab/>
      </w:r>
      <w:r w:rsidRPr="00E6210C">
        <w:rPr>
          <w:spacing w:val="-2"/>
        </w:rPr>
        <w:t xml:space="preserve">In its statement of </w:t>
      </w:r>
      <w:r w:rsidRPr="00E6210C">
        <w:rPr>
          <w:spacing w:val="-2"/>
        </w:rPr>
        <w:t>decision, t</w:t>
      </w:r>
      <w:r w:rsidRPr="00E6210C">
        <w:rPr>
          <w:spacing w:val="-2"/>
        </w:rPr>
        <w:t xml:space="preserve">he court identified the issue as whether Declaration 150 was binding on properties </w:t>
      </w:r>
      <w:r w:rsidRPr="00E6210C">
        <w:rPr>
          <w:i/>
          <w:iCs/>
          <w:spacing w:val="-2"/>
        </w:rPr>
        <w:t xml:space="preserve">other than those </w:t>
      </w:r>
      <w:r w:rsidRPr="00E6210C">
        <w:rPr>
          <w:spacing w:val="-2"/>
        </w:rPr>
        <w:t xml:space="preserve">identified therein. </w:t>
      </w:r>
      <w:r w:rsidRPr="00E6210C">
        <w:rPr>
          <w:spacing w:val="-2"/>
        </w:rPr>
        <w:t xml:space="preserve"> </w:t>
      </w:r>
      <w:r w:rsidRPr="00E6210C">
        <w:rPr>
          <w:spacing w:val="-2"/>
        </w:rPr>
        <w:t xml:space="preserve">The court rejected the Association’s contention that </w:t>
      </w:r>
      <w:r w:rsidRPr="00E6210C">
        <w:rPr>
          <w:i/>
          <w:iCs/>
          <w:spacing w:val="-2"/>
        </w:rPr>
        <w:t xml:space="preserve">Russell </w:t>
      </w:r>
      <w:r w:rsidRPr="00E6210C">
        <w:rPr>
          <w:spacing w:val="-2"/>
        </w:rPr>
        <w:t xml:space="preserve">established the governing effect of Declaration 150 over the entire community.  The court distinguished </w:t>
      </w:r>
      <w:r w:rsidRPr="00E6210C">
        <w:rPr>
          <w:i/>
          <w:iCs/>
          <w:spacing w:val="-2"/>
        </w:rPr>
        <w:t xml:space="preserve">Russell </w:t>
      </w:r>
      <w:r w:rsidRPr="00E6210C">
        <w:rPr>
          <w:spacing w:val="-2"/>
        </w:rPr>
        <w:t xml:space="preserve">on the basis it did not address the </w:t>
      </w:r>
      <w:r w:rsidRPr="00E6210C">
        <w:rPr>
          <w:spacing w:val="-2"/>
        </w:rPr>
        <w:t>Tree CC</w:t>
      </w:r>
      <w:r w:rsidRPr="00E6210C">
        <w:rPr>
          <w:spacing w:val="-2"/>
        </w:rPr>
        <w:t xml:space="preserve">, did </w:t>
      </w:r>
      <w:r w:rsidRPr="00E6210C">
        <w:rPr>
          <w:spacing w:val="-2"/>
        </w:rPr>
        <w:t>not</w:t>
      </w:r>
      <w:r w:rsidRPr="00E6210C">
        <w:rPr>
          <w:spacing w:val="-2"/>
        </w:rPr>
        <w:t xml:space="preserve"> address inconsistent provisions among the various recorded </w:t>
      </w:r>
      <w:r w:rsidRPr="00E6210C">
        <w:rPr>
          <w:spacing w:val="-2"/>
        </w:rPr>
        <w:t>d</w:t>
      </w:r>
      <w:r w:rsidRPr="00E6210C">
        <w:rPr>
          <w:spacing w:val="-2"/>
        </w:rPr>
        <w:t xml:space="preserve">eclarations, and assumed for purposes of the case before </w:t>
      </w:r>
      <w:r w:rsidRPr="00E6210C">
        <w:rPr>
          <w:spacing w:val="-2"/>
        </w:rPr>
        <w:t xml:space="preserve">it </w:t>
      </w:r>
      <w:r w:rsidRPr="00E6210C">
        <w:rPr>
          <w:spacing w:val="-2"/>
        </w:rPr>
        <w:t>the declarations were the same.  A</w:t>
      </w:r>
      <w:r w:rsidRPr="00E6210C">
        <w:rPr>
          <w:spacing w:val="-2"/>
        </w:rPr>
        <w:t xml:space="preserve">s a result, </w:t>
      </w:r>
      <w:r w:rsidRPr="00E6210C">
        <w:rPr>
          <w:spacing w:val="-2"/>
        </w:rPr>
        <w:t xml:space="preserve">the court found </w:t>
      </w:r>
      <w:r w:rsidRPr="00E6210C">
        <w:rPr>
          <w:i/>
          <w:iCs/>
          <w:spacing w:val="-2"/>
        </w:rPr>
        <w:t xml:space="preserve">Russell </w:t>
      </w:r>
      <w:r w:rsidRPr="00E6210C">
        <w:rPr>
          <w:spacing w:val="-2"/>
        </w:rPr>
        <w:t xml:space="preserve">provided no support for the Association’s argument that Declaration 150 was binding across the </w:t>
      </w:r>
      <w:r w:rsidRPr="00E6210C">
        <w:rPr>
          <w:spacing w:val="-2"/>
        </w:rPr>
        <w:t xml:space="preserve">entire </w:t>
      </w:r>
      <w:r w:rsidRPr="00E6210C">
        <w:rPr>
          <w:spacing w:val="-2"/>
        </w:rPr>
        <w:t xml:space="preserve">community. </w:t>
      </w:r>
    </w:p>
    <w:p w14:paraId="459C87D3" w14:textId="77777777" w:rsidR="00B2782B" w:rsidRPr="00E6210C" w:rsidRDefault="00B2782B" w:rsidP="00223DFA">
      <w:pPr>
        <w:spacing w:after="0" w:line="288" w:lineRule="auto"/>
        <w:rPr>
          <w:spacing w:val="-2"/>
        </w:rPr>
      </w:pPr>
      <w:r w:rsidRPr="00E6210C">
        <w:rPr>
          <w:spacing w:val="-2"/>
        </w:rPr>
        <w:tab/>
      </w:r>
      <w:bookmarkStart w:id="4" w:name="_Hlk152667792"/>
      <w:r w:rsidRPr="00E6210C">
        <w:rPr>
          <w:spacing w:val="-2"/>
        </w:rPr>
        <w:t xml:space="preserve">The trial court </w:t>
      </w:r>
      <w:r w:rsidRPr="00E6210C">
        <w:rPr>
          <w:spacing w:val="-2"/>
        </w:rPr>
        <w:t xml:space="preserve">also </w:t>
      </w:r>
      <w:r w:rsidRPr="00E6210C">
        <w:rPr>
          <w:spacing w:val="-2"/>
        </w:rPr>
        <w:t>conducted a linguistic analysis of Declaration 150-M</w:t>
      </w:r>
      <w:r w:rsidRPr="00E6210C">
        <w:rPr>
          <w:spacing w:val="-2"/>
        </w:rPr>
        <w:t>.  The court</w:t>
      </w:r>
      <w:r w:rsidRPr="00E6210C">
        <w:rPr>
          <w:spacing w:val="-2"/>
        </w:rPr>
        <w:t xml:space="preserve"> concluded Declaration 150-</w:t>
      </w:r>
      <w:r w:rsidRPr="00E6210C">
        <w:rPr>
          <w:spacing w:val="-2"/>
        </w:rPr>
        <w:t>M</w:t>
      </w:r>
      <w:r w:rsidRPr="00E6210C">
        <w:rPr>
          <w:spacing w:val="-2"/>
        </w:rPr>
        <w:t xml:space="preserve"> did not incorporate Declaration 150’s terms sufficient</w:t>
      </w:r>
      <w:r w:rsidRPr="00E6210C">
        <w:rPr>
          <w:spacing w:val="-2"/>
        </w:rPr>
        <w:t>ly</w:t>
      </w:r>
      <w:r w:rsidRPr="00E6210C">
        <w:rPr>
          <w:spacing w:val="-2"/>
        </w:rPr>
        <w:t xml:space="preserve"> to impart notice that Declaration 150 applied to properties governed by Declaration 150-M.  Further, extrinsic evidence, including the 1944 resolution, the Swaffield study, as well as the Hanson book, confirmed that Declaration 150 was not drafted to apply clearly and unambiguously outside its boundaries.  Further, the abortive attempts of the Association over the years to modify or amend the </w:t>
      </w:r>
      <w:r w:rsidRPr="00E6210C">
        <w:rPr>
          <w:spacing w:val="-2"/>
        </w:rPr>
        <w:lastRenderedPageBreak/>
        <w:t xml:space="preserve">annexation declarations </w:t>
      </w:r>
      <w:r w:rsidRPr="00E6210C">
        <w:rPr>
          <w:spacing w:val="-2"/>
        </w:rPr>
        <w:t xml:space="preserve">showed that the </w:t>
      </w:r>
      <w:r w:rsidRPr="00E6210C">
        <w:rPr>
          <w:spacing w:val="-2"/>
        </w:rPr>
        <w:t>Association</w:t>
      </w:r>
      <w:r w:rsidRPr="00E6210C">
        <w:rPr>
          <w:spacing w:val="-2"/>
        </w:rPr>
        <w:t xml:space="preserve"> was </w:t>
      </w:r>
      <w:r w:rsidRPr="00E6210C">
        <w:rPr>
          <w:spacing w:val="-2"/>
        </w:rPr>
        <w:t>aware</w:t>
      </w:r>
      <w:r w:rsidRPr="00E6210C">
        <w:rPr>
          <w:spacing w:val="-2"/>
        </w:rPr>
        <w:t xml:space="preserve"> of the inconsistencies.  </w:t>
      </w:r>
      <w:bookmarkEnd w:id="4"/>
    </w:p>
    <w:p w14:paraId="21137F99" w14:textId="77777777" w:rsidR="00B2782B" w:rsidRPr="00E6210C" w:rsidRDefault="00B2782B" w:rsidP="00223DFA">
      <w:pPr>
        <w:spacing w:after="0" w:line="288" w:lineRule="auto"/>
        <w:rPr>
          <w:spacing w:val="-2"/>
        </w:rPr>
      </w:pPr>
      <w:r w:rsidRPr="00E6210C">
        <w:rPr>
          <w:spacing w:val="-2"/>
        </w:rPr>
        <w:tab/>
        <w:t xml:space="preserve">Lastly, the trial court concluded </w:t>
      </w:r>
      <w:r w:rsidRPr="00E6210C">
        <w:rPr>
          <w:i/>
          <w:iCs/>
          <w:spacing w:val="-2"/>
        </w:rPr>
        <w:t xml:space="preserve">Citizens </w:t>
      </w:r>
      <w:r w:rsidRPr="00E6210C">
        <w:rPr>
          <w:spacing w:val="-2"/>
        </w:rPr>
        <w:t xml:space="preserve">did not compel a different result. </w:t>
      </w:r>
      <w:r w:rsidRPr="00E6210C">
        <w:rPr>
          <w:spacing w:val="-2"/>
        </w:rPr>
        <w:t xml:space="preserve"> </w:t>
      </w:r>
      <w:r w:rsidRPr="00E6210C">
        <w:rPr>
          <w:i/>
          <w:iCs/>
          <w:spacing w:val="-2"/>
        </w:rPr>
        <w:t xml:space="preserve">Citizens </w:t>
      </w:r>
      <w:r w:rsidRPr="00E6210C">
        <w:rPr>
          <w:spacing w:val="-2"/>
        </w:rPr>
        <w:t>held that where a common plan for a subdivision is recorded before the properties in a subdivision are sold, all properties in the subdivision are bound</w:t>
      </w:r>
      <w:r w:rsidRPr="00E6210C">
        <w:rPr>
          <w:spacing w:val="-2"/>
        </w:rPr>
        <w:t>,</w:t>
      </w:r>
      <w:r w:rsidRPr="00E6210C">
        <w:rPr>
          <w:spacing w:val="-2"/>
        </w:rPr>
        <w:t xml:space="preserve"> even where the deed or other documents pertaining to the sale do not mention the restrictions</w:t>
      </w:r>
      <w:r w:rsidRPr="00E6210C">
        <w:rPr>
          <w:spacing w:val="-2"/>
        </w:rPr>
        <w:t>.  However</w:t>
      </w:r>
      <w:r w:rsidRPr="00E6210C">
        <w:rPr>
          <w:spacing w:val="-2"/>
        </w:rPr>
        <w:t xml:space="preserve">, Declaration 150 was not a stand-alone plan that expressly applied to all of Rolling Hills at the time </w:t>
      </w:r>
      <w:proofErr w:type="spellStart"/>
      <w:r w:rsidRPr="00E6210C">
        <w:rPr>
          <w:spacing w:val="-2"/>
        </w:rPr>
        <w:t>Colye</w:t>
      </w:r>
      <w:r w:rsidRPr="00E6210C">
        <w:rPr>
          <w:spacing w:val="-2"/>
        </w:rPr>
        <w:t>a</w:t>
      </w:r>
      <w:r w:rsidRPr="00E6210C">
        <w:rPr>
          <w:spacing w:val="-2"/>
        </w:rPr>
        <w:t>r</w:t>
      </w:r>
      <w:proofErr w:type="spellEnd"/>
      <w:r w:rsidRPr="00E6210C">
        <w:rPr>
          <w:spacing w:val="-2"/>
        </w:rPr>
        <w:t xml:space="preserve"> purchased his home. </w:t>
      </w:r>
      <w:r w:rsidRPr="00E6210C">
        <w:rPr>
          <w:spacing w:val="-2"/>
        </w:rPr>
        <w:t xml:space="preserve"> </w:t>
      </w:r>
      <w:r w:rsidRPr="00E6210C">
        <w:rPr>
          <w:spacing w:val="-2"/>
        </w:rPr>
        <w:t>Additionally</w:t>
      </w:r>
      <w:r w:rsidRPr="00E6210C">
        <w:rPr>
          <w:spacing w:val="-2"/>
        </w:rPr>
        <w:t xml:space="preserve">, the CC&amp;Rs in </w:t>
      </w:r>
      <w:r w:rsidRPr="00E6210C">
        <w:rPr>
          <w:i/>
          <w:iCs/>
          <w:spacing w:val="-2"/>
        </w:rPr>
        <w:t xml:space="preserve">Citizens </w:t>
      </w:r>
      <w:r w:rsidRPr="00E6210C">
        <w:rPr>
          <w:spacing w:val="-2"/>
        </w:rPr>
        <w:t>were recorded on the subject pro</w:t>
      </w:r>
      <w:r w:rsidRPr="00E6210C">
        <w:rPr>
          <w:spacing w:val="-2"/>
        </w:rPr>
        <w:t>per</w:t>
      </w:r>
      <w:r w:rsidRPr="00E6210C">
        <w:rPr>
          <w:spacing w:val="-2"/>
        </w:rPr>
        <w:t>t</w:t>
      </w:r>
      <w:r w:rsidRPr="00E6210C">
        <w:rPr>
          <w:spacing w:val="-2"/>
        </w:rPr>
        <w:t xml:space="preserve">y, while Declaration 150 was not recorded on </w:t>
      </w:r>
      <w:proofErr w:type="spellStart"/>
      <w:r w:rsidRPr="00E6210C">
        <w:rPr>
          <w:spacing w:val="-2"/>
        </w:rPr>
        <w:t>Colye</w:t>
      </w:r>
      <w:r w:rsidRPr="00E6210C">
        <w:rPr>
          <w:spacing w:val="-2"/>
        </w:rPr>
        <w:t>a</w:t>
      </w:r>
      <w:r w:rsidRPr="00E6210C">
        <w:rPr>
          <w:spacing w:val="-2"/>
        </w:rPr>
        <w:t>r’s</w:t>
      </w:r>
      <w:proofErr w:type="spellEnd"/>
      <w:r w:rsidRPr="00E6210C">
        <w:rPr>
          <w:spacing w:val="-2"/>
        </w:rPr>
        <w:t xml:space="preserve"> property</w:t>
      </w:r>
      <w:r w:rsidRPr="00E6210C">
        <w:rPr>
          <w:spacing w:val="-2"/>
        </w:rPr>
        <w:t xml:space="preserve">.  </w:t>
      </w:r>
      <w:r w:rsidRPr="00E6210C">
        <w:rPr>
          <w:spacing w:val="-2"/>
        </w:rPr>
        <w:t>Thus</w:t>
      </w:r>
      <w:r w:rsidRPr="00E6210C">
        <w:rPr>
          <w:spacing w:val="-2"/>
        </w:rPr>
        <w:t>, no “uniform plan of CC&amp;Rs was ever imposed during the expansion of the community, as the Swaffield analysis showed years before [</w:t>
      </w:r>
      <w:proofErr w:type="spellStart"/>
      <w:r w:rsidRPr="00E6210C">
        <w:rPr>
          <w:spacing w:val="-2"/>
        </w:rPr>
        <w:t>Colyear</w:t>
      </w:r>
      <w:proofErr w:type="spellEnd"/>
      <w:r w:rsidRPr="00E6210C">
        <w:rPr>
          <w:spacing w:val="-2"/>
        </w:rPr>
        <w:t>] purchased [his property].</w:t>
      </w:r>
      <w:r w:rsidRPr="00E6210C">
        <w:rPr>
          <w:spacing w:val="-2"/>
        </w:rPr>
        <w:t>”  The trial court observed,</w:t>
      </w:r>
      <w:r w:rsidRPr="00E6210C">
        <w:rPr>
          <w:spacing w:val="-2"/>
        </w:rPr>
        <w:t xml:space="preserve"> </w:t>
      </w:r>
      <w:r w:rsidRPr="00E6210C">
        <w:rPr>
          <w:spacing w:val="-2"/>
        </w:rPr>
        <w:t>“</w:t>
      </w:r>
      <w:r w:rsidRPr="00E6210C">
        <w:rPr>
          <w:spacing w:val="-2"/>
        </w:rPr>
        <w:t xml:space="preserve">To the extent a crazy quilt exists, it is a byproduct of the method by which PVC and [the Association] expanded the community.”  </w:t>
      </w:r>
    </w:p>
    <w:p w14:paraId="0412D12D" w14:textId="77777777" w:rsidR="00B2782B" w:rsidRPr="00E6210C" w:rsidRDefault="00B2782B" w:rsidP="00223DFA">
      <w:pPr>
        <w:spacing w:after="0" w:line="288" w:lineRule="auto"/>
        <w:rPr>
          <w:spacing w:val="-2"/>
        </w:rPr>
      </w:pPr>
      <w:r w:rsidRPr="00E6210C">
        <w:rPr>
          <w:spacing w:val="-2"/>
        </w:rPr>
        <w:tab/>
        <w:t>The trial court</w:t>
      </w:r>
      <w:r w:rsidRPr="00E6210C">
        <w:rPr>
          <w:spacing w:val="-2"/>
        </w:rPr>
        <w:t xml:space="preserve"> granted </w:t>
      </w:r>
      <w:proofErr w:type="spellStart"/>
      <w:r w:rsidRPr="00E6210C">
        <w:rPr>
          <w:spacing w:val="-2"/>
        </w:rPr>
        <w:t>Colyear’s</w:t>
      </w:r>
      <w:proofErr w:type="spellEnd"/>
      <w:r w:rsidRPr="00E6210C">
        <w:rPr>
          <w:spacing w:val="-2"/>
        </w:rPr>
        <w:t xml:space="preserve"> request for declaratory relief and an injunction, declaring that </w:t>
      </w:r>
      <w:r w:rsidRPr="00E6210C">
        <w:rPr>
          <w:spacing w:val="-2"/>
        </w:rPr>
        <w:t xml:space="preserve">Declaration 150 </w:t>
      </w:r>
      <w:r w:rsidRPr="00E6210C">
        <w:rPr>
          <w:spacing w:val="-2"/>
        </w:rPr>
        <w:t>was</w:t>
      </w:r>
      <w:r w:rsidRPr="00E6210C">
        <w:rPr>
          <w:spacing w:val="-2"/>
        </w:rPr>
        <w:t xml:space="preserve"> not binding on </w:t>
      </w:r>
      <w:proofErr w:type="spellStart"/>
      <w:r w:rsidRPr="00E6210C">
        <w:rPr>
          <w:spacing w:val="-2"/>
        </w:rPr>
        <w:t>Colyear’s</w:t>
      </w:r>
      <w:proofErr w:type="spellEnd"/>
      <w:r w:rsidRPr="00E6210C">
        <w:rPr>
          <w:spacing w:val="-2"/>
        </w:rPr>
        <w:t xml:space="preserve"> property except to the extent any restrictions were rest</w:t>
      </w:r>
      <w:r w:rsidRPr="00E6210C">
        <w:rPr>
          <w:spacing w:val="-2"/>
        </w:rPr>
        <w:t>ated</w:t>
      </w:r>
      <w:r w:rsidRPr="00E6210C">
        <w:rPr>
          <w:spacing w:val="-2"/>
        </w:rPr>
        <w:t xml:space="preserve"> in Declaration 150-M</w:t>
      </w:r>
      <w:r w:rsidRPr="00E6210C">
        <w:rPr>
          <w:spacing w:val="-2"/>
        </w:rPr>
        <w:t>.  The court</w:t>
      </w:r>
      <w:r w:rsidRPr="00E6210C">
        <w:rPr>
          <w:spacing w:val="-2"/>
        </w:rPr>
        <w:t xml:space="preserve"> </w:t>
      </w:r>
      <w:r w:rsidRPr="00E6210C">
        <w:rPr>
          <w:spacing w:val="-2"/>
        </w:rPr>
        <w:t xml:space="preserve">enjoined the Association from enforcing or attempting to enforce the </w:t>
      </w:r>
      <w:r w:rsidRPr="00E6210C">
        <w:rPr>
          <w:spacing w:val="-2"/>
        </w:rPr>
        <w:t>Tree CC</w:t>
      </w:r>
      <w:r w:rsidRPr="00E6210C">
        <w:rPr>
          <w:spacing w:val="-2"/>
        </w:rPr>
        <w:t xml:space="preserve"> against </w:t>
      </w:r>
      <w:proofErr w:type="spellStart"/>
      <w:r w:rsidRPr="00E6210C">
        <w:rPr>
          <w:spacing w:val="-2"/>
        </w:rPr>
        <w:t>Colyear’s</w:t>
      </w:r>
      <w:proofErr w:type="spellEnd"/>
      <w:r w:rsidRPr="00E6210C">
        <w:rPr>
          <w:spacing w:val="-2"/>
        </w:rPr>
        <w:t xml:space="preserve"> property</w:t>
      </w:r>
      <w:r w:rsidRPr="00E6210C">
        <w:rPr>
          <w:spacing w:val="-2"/>
        </w:rPr>
        <w:t xml:space="preserve"> and from “publishing or disseminating in any statements or documents, including internet website content, indicating that the </w:t>
      </w:r>
      <w:r w:rsidRPr="00E6210C">
        <w:rPr>
          <w:spacing w:val="-2"/>
        </w:rPr>
        <w:t>[</w:t>
      </w:r>
      <w:r w:rsidRPr="00E6210C">
        <w:rPr>
          <w:spacing w:val="-2"/>
        </w:rPr>
        <w:t>Tree</w:t>
      </w:r>
      <w:r w:rsidRPr="00E6210C">
        <w:rPr>
          <w:spacing w:val="-2"/>
        </w:rPr>
        <w:t xml:space="preserve"> CC]</w:t>
      </w:r>
      <w:r w:rsidRPr="00E6210C">
        <w:rPr>
          <w:spacing w:val="-2"/>
        </w:rPr>
        <w:t xml:space="preserve"> applies to or may be enforced against the </w:t>
      </w:r>
      <w:r w:rsidRPr="00E6210C">
        <w:rPr>
          <w:spacing w:val="-2"/>
        </w:rPr>
        <w:t>[s]</w:t>
      </w:r>
      <w:proofErr w:type="spellStart"/>
      <w:r w:rsidRPr="00E6210C">
        <w:rPr>
          <w:spacing w:val="-2"/>
        </w:rPr>
        <w:t>ubject</w:t>
      </w:r>
      <w:proofErr w:type="spellEnd"/>
      <w:r w:rsidRPr="00E6210C">
        <w:rPr>
          <w:spacing w:val="-2"/>
        </w:rPr>
        <w:t xml:space="preserve"> </w:t>
      </w:r>
      <w:r w:rsidRPr="00E6210C">
        <w:rPr>
          <w:spacing w:val="-2"/>
        </w:rPr>
        <w:t>[p]</w:t>
      </w:r>
      <w:proofErr w:type="spellStart"/>
      <w:r w:rsidRPr="00E6210C">
        <w:rPr>
          <w:spacing w:val="-2"/>
        </w:rPr>
        <w:t>roperty</w:t>
      </w:r>
      <w:proofErr w:type="spellEnd"/>
      <w:r w:rsidRPr="00E6210C">
        <w:rPr>
          <w:spacing w:val="-2"/>
        </w:rPr>
        <w:t>.</w:t>
      </w:r>
      <w:r w:rsidRPr="00E6210C">
        <w:rPr>
          <w:spacing w:val="-2"/>
        </w:rPr>
        <w:t>”</w:t>
      </w:r>
      <w:r w:rsidRPr="00E6210C">
        <w:rPr>
          <w:spacing w:val="-2"/>
        </w:rPr>
        <w:t xml:space="preserve"> </w:t>
      </w:r>
      <w:r w:rsidRPr="00E6210C">
        <w:rPr>
          <w:spacing w:val="-2"/>
        </w:rPr>
        <w:t xml:space="preserve"> The court found </w:t>
      </w:r>
      <w:r w:rsidRPr="00E6210C">
        <w:rPr>
          <w:spacing w:val="-2"/>
        </w:rPr>
        <w:t xml:space="preserve">the Association breached its </w:t>
      </w:r>
      <w:r w:rsidRPr="00E6210C">
        <w:rPr>
          <w:spacing w:val="-2"/>
        </w:rPr>
        <w:t>fiduciary</w:t>
      </w:r>
      <w:r w:rsidRPr="00E6210C">
        <w:rPr>
          <w:spacing w:val="-2"/>
        </w:rPr>
        <w:t xml:space="preserve"> duty to </w:t>
      </w:r>
      <w:proofErr w:type="spellStart"/>
      <w:r w:rsidRPr="00E6210C">
        <w:rPr>
          <w:spacing w:val="-2"/>
        </w:rPr>
        <w:t>Colyear</w:t>
      </w:r>
      <w:proofErr w:type="spellEnd"/>
      <w:r w:rsidRPr="00E6210C">
        <w:rPr>
          <w:spacing w:val="-2"/>
        </w:rPr>
        <w:t xml:space="preserve">, but </w:t>
      </w:r>
      <w:r w:rsidRPr="00E6210C">
        <w:rPr>
          <w:spacing w:val="-2"/>
        </w:rPr>
        <w:t xml:space="preserve">denied </w:t>
      </w:r>
      <w:proofErr w:type="spellStart"/>
      <w:r w:rsidRPr="00E6210C">
        <w:rPr>
          <w:spacing w:val="-2"/>
        </w:rPr>
        <w:t>Colyear’s</w:t>
      </w:r>
      <w:proofErr w:type="spellEnd"/>
      <w:r w:rsidRPr="00E6210C">
        <w:rPr>
          <w:spacing w:val="-2"/>
        </w:rPr>
        <w:t xml:space="preserve"> quiet title claim, finding it </w:t>
      </w:r>
      <w:r w:rsidRPr="00E6210C">
        <w:rPr>
          <w:spacing w:val="-2"/>
        </w:rPr>
        <w:t xml:space="preserve">unwarranted and </w:t>
      </w:r>
      <w:r w:rsidRPr="00E6210C">
        <w:rPr>
          <w:spacing w:val="-2"/>
        </w:rPr>
        <w:t>“</w:t>
      </w:r>
      <w:r w:rsidRPr="00E6210C">
        <w:rPr>
          <w:spacing w:val="-2"/>
        </w:rPr>
        <w:t>redundant</w:t>
      </w:r>
      <w:r w:rsidRPr="00E6210C">
        <w:rPr>
          <w:spacing w:val="-2"/>
        </w:rPr>
        <w:t xml:space="preserve">” </w:t>
      </w:r>
      <w:r w:rsidRPr="00E6210C">
        <w:rPr>
          <w:spacing w:val="-2"/>
        </w:rPr>
        <w:t xml:space="preserve">given the injunction and </w:t>
      </w:r>
      <w:r w:rsidRPr="00E6210C">
        <w:rPr>
          <w:spacing w:val="-2"/>
        </w:rPr>
        <w:t>declaratory</w:t>
      </w:r>
      <w:r w:rsidRPr="00E6210C">
        <w:rPr>
          <w:spacing w:val="-2"/>
        </w:rPr>
        <w:t xml:space="preserve"> relief</w:t>
      </w:r>
      <w:r w:rsidRPr="00E6210C">
        <w:rPr>
          <w:spacing w:val="-2"/>
        </w:rPr>
        <w:t xml:space="preserve">. </w:t>
      </w:r>
      <w:r w:rsidRPr="00E6210C">
        <w:rPr>
          <w:spacing w:val="-2"/>
        </w:rPr>
        <w:t xml:space="preserve"> </w:t>
      </w:r>
      <w:r w:rsidRPr="00E6210C">
        <w:rPr>
          <w:spacing w:val="-2"/>
        </w:rPr>
        <w:t>T</w:t>
      </w:r>
      <w:r w:rsidRPr="00E6210C">
        <w:rPr>
          <w:spacing w:val="-2"/>
        </w:rPr>
        <w:t xml:space="preserve">he </w:t>
      </w:r>
      <w:r w:rsidRPr="00E6210C">
        <w:rPr>
          <w:spacing w:val="-2"/>
        </w:rPr>
        <w:t>court</w:t>
      </w:r>
      <w:r w:rsidRPr="00E6210C">
        <w:rPr>
          <w:spacing w:val="-2"/>
        </w:rPr>
        <w:t xml:space="preserve"> </w:t>
      </w:r>
      <w:r w:rsidRPr="00E6210C">
        <w:rPr>
          <w:spacing w:val="-2"/>
        </w:rPr>
        <w:lastRenderedPageBreak/>
        <w:t xml:space="preserve">also entered judgment in </w:t>
      </w:r>
      <w:r w:rsidRPr="00E6210C">
        <w:rPr>
          <w:spacing w:val="-2"/>
        </w:rPr>
        <w:t>favor</w:t>
      </w:r>
      <w:r w:rsidRPr="00E6210C">
        <w:rPr>
          <w:spacing w:val="-2"/>
        </w:rPr>
        <w:t xml:space="preserve"> of the individual </w:t>
      </w:r>
      <w:r w:rsidRPr="00E6210C">
        <w:rPr>
          <w:spacing w:val="-2"/>
        </w:rPr>
        <w:t>defendants on the fiduciary duty claim.</w:t>
      </w:r>
      <w:r>
        <w:rPr>
          <w:rStyle w:val="FootnoteReference"/>
          <w:spacing w:val="-2"/>
        </w:rPr>
        <w:footnoteReference w:id="7"/>
      </w:r>
      <w:r w:rsidRPr="00E6210C">
        <w:rPr>
          <w:spacing w:val="-2"/>
        </w:rPr>
        <w:t xml:space="preserve">   </w:t>
      </w:r>
    </w:p>
    <w:p w14:paraId="60EF4E7D" w14:textId="77777777" w:rsidR="00B2782B" w:rsidRPr="00E6210C" w:rsidRDefault="00B2782B" w:rsidP="00223DFA">
      <w:pPr>
        <w:spacing w:after="0" w:line="288" w:lineRule="auto"/>
        <w:rPr>
          <w:spacing w:val="-2"/>
        </w:rPr>
      </w:pPr>
      <w:r w:rsidRPr="00E6210C">
        <w:rPr>
          <w:spacing w:val="-2"/>
        </w:rPr>
        <w:tab/>
      </w:r>
      <w:r w:rsidRPr="00E6210C">
        <w:rPr>
          <w:spacing w:val="-2"/>
        </w:rPr>
        <w:t xml:space="preserve">On </w:t>
      </w:r>
      <w:r w:rsidRPr="00E6210C">
        <w:rPr>
          <w:spacing w:val="-2"/>
        </w:rPr>
        <w:t>February</w:t>
      </w:r>
      <w:r w:rsidRPr="00E6210C">
        <w:rPr>
          <w:spacing w:val="-2"/>
        </w:rPr>
        <w:t xml:space="preserve"> 25, 2021</w:t>
      </w:r>
      <w:r w:rsidRPr="00E6210C">
        <w:rPr>
          <w:spacing w:val="-2"/>
        </w:rPr>
        <w:t>, the court awarded $1.3</w:t>
      </w:r>
      <w:r w:rsidRPr="00E6210C">
        <w:rPr>
          <w:spacing w:val="-2"/>
        </w:rPr>
        <w:t>28</w:t>
      </w:r>
      <w:r w:rsidRPr="00E6210C">
        <w:rPr>
          <w:spacing w:val="-2"/>
        </w:rPr>
        <w:t xml:space="preserve"> million in </w:t>
      </w:r>
      <w:r w:rsidRPr="00E6210C">
        <w:rPr>
          <w:spacing w:val="-2"/>
        </w:rPr>
        <w:t>attorney</w:t>
      </w:r>
      <w:r w:rsidRPr="00E6210C">
        <w:rPr>
          <w:spacing w:val="-2"/>
        </w:rPr>
        <w:t xml:space="preserve"> fees to </w:t>
      </w:r>
      <w:proofErr w:type="spellStart"/>
      <w:r w:rsidRPr="00E6210C">
        <w:rPr>
          <w:spacing w:val="-2"/>
        </w:rPr>
        <w:t>Colyear</w:t>
      </w:r>
      <w:proofErr w:type="spellEnd"/>
      <w:r w:rsidRPr="00E6210C">
        <w:rPr>
          <w:spacing w:val="-2"/>
        </w:rPr>
        <w:t xml:space="preserve"> under Civil Code </w:t>
      </w:r>
      <w:r w:rsidRPr="00E6210C">
        <w:rPr>
          <w:spacing w:val="-2"/>
        </w:rPr>
        <w:t>section</w:t>
      </w:r>
      <w:r w:rsidRPr="00E6210C">
        <w:rPr>
          <w:spacing w:val="-2"/>
        </w:rPr>
        <w:t> </w:t>
      </w:r>
      <w:r w:rsidRPr="00E6210C">
        <w:rPr>
          <w:spacing w:val="-2"/>
        </w:rPr>
        <w:t xml:space="preserve">5975. </w:t>
      </w:r>
      <w:r w:rsidRPr="00E6210C">
        <w:rPr>
          <w:spacing w:val="-2"/>
        </w:rPr>
        <w:t xml:space="preserve"> </w:t>
      </w:r>
    </w:p>
    <w:p w14:paraId="57A2F284" w14:textId="77777777" w:rsidR="00B2782B" w:rsidRPr="00E6210C" w:rsidRDefault="00B2782B" w:rsidP="00223DFA">
      <w:pPr>
        <w:spacing w:after="0" w:line="288" w:lineRule="auto"/>
        <w:rPr>
          <w:spacing w:val="-2"/>
        </w:rPr>
      </w:pPr>
    </w:p>
    <w:p w14:paraId="213E9B61" w14:textId="77777777" w:rsidR="00B2782B" w:rsidRPr="00E6210C" w:rsidRDefault="00B2782B" w:rsidP="00223DFA">
      <w:pPr>
        <w:keepNext/>
        <w:spacing w:after="0" w:line="288" w:lineRule="auto"/>
        <w:jc w:val="center"/>
        <w:rPr>
          <w:b/>
          <w:bCs/>
          <w:spacing w:val="-2"/>
        </w:rPr>
      </w:pPr>
      <w:r w:rsidRPr="00E6210C">
        <w:rPr>
          <w:b/>
          <w:bCs/>
          <w:spacing w:val="-2"/>
        </w:rPr>
        <w:t>DISCUSSION</w:t>
      </w:r>
    </w:p>
    <w:p w14:paraId="79DBA184" w14:textId="77777777" w:rsidR="00B2782B" w:rsidRPr="00E6210C" w:rsidRDefault="00B2782B" w:rsidP="00223DFA">
      <w:pPr>
        <w:keepNext/>
        <w:spacing w:after="0" w:line="288" w:lineRule="auto"/>
        <w:rPr>
          <w:b/>
          <w:bCs/>
          <w:spacing w:val="-2"/>
        </w:rPr>
      </w:pPr>
      <w:r w:rsidRPr="00E6210C">
        <w:rPr>
          <w:b/>
          <w:bCs/>
          <w:spacing w:val="-2"/>
        </w:rPr>
        <w:t>A.</w:t>
      </w:r>
      <w:r w:rsidRPr="00E6210C">
        <w:rPr>
          <w:b/>
          <w:bCs/>
          <w:spacing w:val="-2"/>
        </w:rPr>
        <w:tab/>
        <w:t xml:space="preserve">Applicability of the Tree </w:t>
      </w:r>
      <w:r w:rsidRPr="00E6210C">
        <w:rPr>
          <w:b/>
          <w:bCs/>
          <w:spacing w:val="-2"/>
        </w:rPr>
        <w:t xml:space="preserve">CC to </w:t>
      </w:r>
      <w:proofErr w:type="spellStart"/>
      <w:r w:rsidRPr="00E6210C">
        <w:rPr>
          <w:b/>
          <w:bCs/>
          <w:spacing w:val="-2"/>
        </w:rPr>
        <w:t>Colyear’s</w:t>
      </w:r>
      <w:proofErr w:type="spellEnd"/>
      <w:r w:rsidRPr="00E6210C">
        <w:rPr>
          <w:b/>
          <w:bCs/>
          <w:spacing w:val="-2"/>
        </w:rPr>
        <w:t xml:space="preserve"> Property</w:t>
      </w:r>
    </w:p>
    <w:p w14:paraId="79D03784" w14:textId="77777777" w:rsidR="00B2782B" w:rsidRPr="00E6210C" w:rsidRDefault="00B2782B" w:rsidP="00223DFA">
      <w:pPr>
        <w:keepNext/>
        <w:spacing w:after="0" w:line="288" w:lineRule="auto"/>
        <w:rPr>
          <w:spacing w:val="-2"/>
        </w:rPr>
      </w:pPr>
      <w:r w:rsidRPr="00E6210C">
        <w:rPr>
          <w:spacing w:val="-2"/>
        </w:rPr>
        <w:tab/>
      </w:r>
      <w:r w:rsidRPr="00E6210C">
        <w:rPr>
          <w:spacing w:val="-2"/>
        </w:rPr>
        <w:t>1.</w:t>
      </w:r>
      <w:r w:rsidRPr="00E6210C">
        <w:rPr>
          <w:spacing w:val="-2"/>
        </w:rPr>
        <w:tab/>
      </w:r>
      <w:r w:rsidRPr="00E6210C">
        <w:rPr>
          <w:i/>
          <w:iCs/>
          <w:spacing w:val="-2"/>
        </w:rPr>
        <w:t>Standard of Review</w:t>
      </w:r>
    </w:p>
    <w:p w14:paraId="43EEB8D1" w14:textId="77777777" w:rsidR="00B2782B" w:rsidRPr="00E6210C" w:rsidRDefault="00B2782B" w:rsidP="00223DFA">
      <w:pPr>
        <w:spacing w:after="0" w:line="288" w:lineRule="auto"/>
        <w:rPr>
          <w:spacing w:val="-2"/>
        </w:rPr>
      </w:pPr>
      <w:r w:rsidRPr="00E6210C">
        <w:rPr>
          <w:spacing w:val="-2"/>
        </w:rPr>
        <w:tab/>
      </w:r>
      <w:r w:rsidRPr="00E6210C">
        <w:rPr>
          <w:spacing w:val="-2"/>
        </w:rPr>
        <w:t xml:space="preserve">We analyze deeds under the same rules applicable to contracts. </w:t>
      </w:r>
      <w:r w:rsidRPr="00E6210C">
        <w:rPr>
          <w:spacing w:val="-2"/>
        </w:rPr>
        <w:t xml:space="preserve"> </w:t>
      </w:r>
      <w:r w:rsidRPr="00E6210C">
        <w:rPr>
          <w:spacing w:val="-2"/>
        </w:rPr>
        <w:t>(</w:t>
      </w:r>
      <w:r w:rsidRPr="00E6210C">
        <w:rPr>
          <w:i/>
          <w:iCs/>
          <w:spacing w:val="-2"/>
        </w:rPr>
        <w:t>Canyon Vineyard Estates I, LLC v. DeJoria</w:t>
      </w:r>
      <w:r w:rsidRPr="00E6210C">
        <w:rPr>
          <w:spacing w:val="-2"/>
        </w:rPr>
        <w:t xml:space="preserve"> (2022) 78 Cal.App.5th 995, 1003.) </w:t>
      </w:r>
      <w:r w:rsidRPr="00E6210C">
        <w:rPr>
          <w:spacing w:val="-2"/>
        </w:rPr>
        <w:t xml:space="preserve"> </w:t>
      </w:r>
      <w:r w:rsidRPr="00E6210C">
        <w:rPr>
          <w:spacing w:val="-2"/>
        </w:rPr>
        <w:t>“Contract interpretation is a question of law.”</w:t>
      </w:r>
      <w:r w:rsidRPr="00E6210C">
        <w:rPr>
          <w:spacing w:val="-2"/>
        </w:rPr>
        <w:t xml:space="preserve"> </w:t>
      </w:r>
      <w:r w:rsidRPr="00E6210C">
        <w:rPr>
          <w:spacing w:val="-2"/>
        </w:rPr>
        <w:t xml:space="preserve"> (</w:t>
      </w:r>
      <w:r w:rsidRPr="00E6210C">
        <w:rPr>
          <w:i/>
          <w:iCs/>
          <w:spacing w:val="-2"/>
        </w:rPr>
        <w:t>Ibid</w:t>
      </w:r>
      <w:r w:rsidRPr="00E6210C">
        <w:rPr>
          <w:spacing w:val="-2"/>
        </w:rPr>
        <w:t xml:space="preserve">.) </w:t>
      </w:r>
      <w:r w:rsidRPr="00E6210C">
        <w:rPr>
          <w:spacing w:val="-2"/>
        </w:rPr>
        <w:t xml:space="preserve"> </w:t>
      </w:r>
      <w:r w:rsidRPr="00E6210C">
        <w:rPr>
          <w:spacing w:val="-2"/>
        </w:rPr>
        <w:t xml:space="preserve">“‘The fundamental goal of contract interpretation is to give effect to the mutual intention of the parties.’” </w:t>
      </w:r>
      <w:r w:rsidRPr="00E6210C">
        <w:rPr>
          <w:spacing w:val="-2"/>
        </w:rPr>
        <w:t xml:space="preserve"> </w:t>
      </w:r>
      <w:r w:rsidRPr="00E6210C">
        <w:rPr>
          <w:spacing w:val="-2"/>
        </w:rPr>
        <w:t>(</w:t>
      </w:r>
      <w:r w:rsidRPr="00E6210C">
        <w:rPr>
          <w:i/>
          <w:iCs/>
          <w:spacing w:val="-2"/>
        </w:rPr>
        <w:t>Ibid</w:t>
      </w:r>
      <w:r w:rsidRPr="00E6210C">
        <w:rPr>
          <w:spacing w:val="-2"/>
        </w:rPr>
        <w:t>;</w:t>
      </w:r>
      <w:r w:rsidRPr="00E6210C">
        <w:rPr>
          <w:i/>
          <w:iCs/>
          <w:spacing w:val="-2"/>
        </w:rPr>
        <w:t xml:space="preserve"> </w:t>
      </w:r>
      <w:r w:rsidRPr="00E6210C">
        <w:rPr>
          <w:spacing w:val="-2"/>
        </w:rPr>
        <w:t>see</w:t>
      </w:r>
      <w:r w:rsidRPr="00E6210C">
        <w:rPr>
          <w:i/>
          <w:iCs/>
          <w:spacing w:val="-2"/>
        </w:rPr>
        <w:t xml:space="preserve"> </w:t>
      </w:r>
      <w:r w:rsidRPr="00E6210C">
        <w:rPr>
          <w:spacing w:val="-2"/>
        </w:rPr>
        <w:t>Civ.</w:t>
      </w:r>
      <w:r w:rsidRPr="00E6210C">
        <w:rPr>
          <w:spacing w:val="-2"/>
        </w:rPr>
        <w:t xml:space="preserve"> </w:t>
      </w:r>
      <w:r w:rsidRPr="00E6210C">
        <w:rPr>
          <w:spacing w:val="-2"/>
        </w:rPr>
        <w:t>Code, §</w:t>
      </w:r>
      <w:r w:rsidRPr="00E6210C">
        <w:rPr>
          <w:spacing w:val="-2"/>
        </w:rPr>
        <w:t> </w:t>
      </w:r>
      <w:r w:rsidRPr="00E6210C">
        <w:rPr>
          <w:spacing w:val="-2"/>
        </w:rPr>
        <w:t xml:space="preserve">1636; </w:t>
      </w:r>
      <w:r w:rsidRPr="00E6210C">
        <w:rPr>
          <w:i/>
          <w:iCs/>
          <w:spacing w:val="-2"/>
        </w:rPr>
        <w:t>Bank of the West v. Superior Court</w:t>
      </w:r>
      <w:r w:rsidRPr="00E6210C">
        <w:rPr>
          <w:spacing w:val="-2"/>
        </w:rPr>
        <w:t xml:space="preserve"> (1992) 2 Cal.4th 1254, 1264.) </w:t>
      </w:r>
      <w:r w:rsidRPr="00E6210C">
        <w:rPr>
          <w:spacing w:val="-2"/>
        </w:rPr>
        <w:t xml:space="preserve"> </w:t>
      </w:r>
      <w:r w:rsidRPr="00E6210C">
        <w:rPr>
          <w:spacing w:val="-2"/>
        </w:rPr>
        <w:t xml:space="preserve">When a contract is reduced to writing, the parties’ intention is determined from the writing alone, if possible. </w:t>
      </w:r>
      <w:r w:rsidRPr="00E6210C">
        <w:rPr>
          <w:spacing w:val="-2"/>
        </w:rPr>
        <w:t xml:space="preserve"> </w:t>
      </w:r>
      <w:r w:rsidRPr="00E6210C">
        <w:rPr>
          <w:spacing w:val="-2"/>
        </w:rPr>
        <w:t>(Civ.</w:t>
      </w:r>
      <w:r w:rsidRPr="00E6210C">
        <w:rPr>
          <w:spacing w:val="-2"/>
        </w:rPr>
        <w:t xml:space="preserve"> </w:t>
      </w:r>
      <w:r w:rsidRPr="00E6210C">
        <w:rPr>
          <w:spacing w:val="-2"/>
        </w:rPr>
        <w:t xml:space="preserve">Code, § 1639.) </w:t>
      </w:r>
      <w:r w:rsidRPr="00E6210C">
        <w:rPr>
          <w:spacing w:val="-2"/>
        </w:rPr>
        <w:t xml:space="preserve"> </w:t>
      </w:r>
      <w:r w:rsidRPr="00E6210C">
        <w:rPr>
          <w:spacing w:val="-2"/>
        </w:rPr>
        <w:t xml:space="preserve">“The words of a contract are to be understood in their ordinary and popular sense.” </w:t>
      </w:r>
      <w:r w:rsidRPr="00E6210C">
        <w:rPr>
          <w:spacing w:val="-2"/>
        </w:rPr>
        <w:t xml:space="preserve"> </w:t>
      </w:r>
      <w:r w:rsidRPr="00E6210C">
        <w:rPr>
          <w:spacing w:val="-2"/>
        </w:rPr>
        <w:t>(</w:t>
      </w:r>
      <w:r w:rsidRPr="00E6210C">
        <w:rPr>
          <w:spacing w:val="-2"/>
        </w:rPr>
        <w:t xml:space="preserve">Civ. Code, </w:t>
      </w:r>
      <w:r w:rsidRPr="00E6210C">
        <w:rPr>
          <w:spacing w:val="-2"/>
        </w:rPr>
        <w:t xml:space="preserve">§ 1644; see </w:t>
      </w:r>
      <w:r w:rsidRPr="00E6210C">
        <w:rPr>
          <w:i/>
          <w:iCs/>
          <w:spacing w:val="-2"/>
        </w:rPr>
        <w:t>Lloyd</w:t>
      </w:r>
      <w:r w:rsidRPr="00E6210C">
        <w:rPr>
          <w:i/>
          <w:iCs/>
          <w:spacing w:val="-2"/>
        </w:rPr>
        <w:t>’</w:t>
      </w:r>
      <w:r w:rsidRPr="00E6210C">
        <w:rPr>
          <w:i/>
          <w:iCs/>
          <w:spacing w:val="-2"/>
        </w:rPr>
        <w:t>s Underwriters v. Craig &amp; Rush, Inc</w:t>
      </w:r>
      <w:r w:rsidRPr="00E6210C">
        <w:rPr>
          <w:spacing w:val="-2"/>
        </w:rPr>
        <w:t>. (1994) 26 Cal.App</w:t>
      </w:r>
      <w:r w:rsidRPr="00E6210C">
        <w:rPr>
          <w:spacing w:val="-2"/>
        </w:rPr>
        <w:t>.4th 1194, 1197–1198 [“We interpret the intent and scope of the agreement by focusing on the usual and ordinary meaning of the language used and the circumstances under which the agreement was made”].)</w:t>
      </w:r>
      <w:r w:rsidRPr="00E6210C">
        <w:rPr>
          <w:spacing w:val="-2"/>
        </w:rPr>
        <w:t xml:space="preserve">  </w:t>
      </w:r>
      <w:r w:rsidRPr="00E6210C">
        <w:rPr>
          <w:spacing w:val="-2"/>
        </w:rPr>
        <w:t xml:space="preserve">The whole of the contract is “‘to be taken together, </w:t>
      </w:r>
      <w:proofErr w:type="gramStart"/>
      <w:r w:rsidRPr="00E6210C">
        <w:rPr>
          <w:spacing w:val="-2"/>
        </w:rPr>
        <w:t>so as to</w:t>
      </w:r>
      <w:proofErr w:type="gramEnd"/>
      <w:r w:rsidRPr="00E6210C">
        <w:rPr>
          <w:spacing w:val="-2"/>
        </w:rPr>
        <w:t xml:space="preserve"> give effect to every part, if reasonably practicable,</w:t>
      </w:r>
      <w:r w:rsidRPr="00E6210C">
        <w:rPr>
          <w:spacing w:val="-2"/>
        </w:rPr>
        <w:t>’”</w:t>
      </w:r>
      <w:r w:rsidRPr="00E6210C">
        <w:rPr>
          <w:spacing w:val="-2"/>
        </w:rPr>
        <w:t xml:space="preserve"> and to avoid a construction “that would render other provisions surplusage.”  (</w:t>
      </w:r>
      <w:r w:rsidRPr="00E6210C">
        <w:rPr>
          <w:i/>
          <w:iCs/>
          <w:spacing w:val="-2"/>
        </w:rPr>
        <w:t>Boghos v. Certain Underwriters of Lloyd</w:t>
      </w:r>
      <w:r w:rsidRPr="00E6210C">
        <w:rPr>
          <w:i/>
          <w:iCs/>
          <w:spacing w:val="-2"/>
        </w:rPr>
        <w:t>’</w:t>
      </w:r>
      <w:r w:rsidRPr="00E6210C">
        <w:rPr>
          <w:i/>
          <w:iCs/>
          <w:spacing w:val="-2"/>
        </w:rPr>
        <w:t xml:space="preserve">s of London </w:t>
      </w:r>
      <w:r w:rsidRPr="00E6210C">
        <w:rPr>
          <w:spacing w:val="-2"/>
        </w:rPr>
        <w:lastRenderedPageBreak/>
        <w:t>(2005) 36 Cal.4th 495, 503 (</w:t>
      </w:r>
      <w:r w:rsidRPr="00E6210C">
        <w:rPr>
          <w:i/>
          <w:iCs/>
          <w:spacing w:val="-2"/>
        </w:rPr>
        <w:t>Boghos</w:t>
      </w:r>
      <w:r w:rsidRPr="00E6210C">
        <w:rPr>
          <w:spacing w:val="-2"/>
        </w:rPr>
        <w:t xml:space="preserve">); see </w:t>
      </w:r>
      <w:r w:rsidRPr="00E6210C">
        <w:rPr>
          <w:i/>
          <w:iCs/>
          <w:spacing w:val="-2"/>
        </w:rPr>
        <w:t xml:space="preserve">R.W.L. </w:t>
      </w:r>
      <w:r w:rsidRPr="00E6210C">
        <w:rPr>
          <w:i/>
          <w:iCs/>
          <w:spacing w:val="-2"/>
        </w:rPr>
        <w:t>Enterprises v. Oldcastle, Inc.</w:t>
      </w:r>
      <w:r w:rsidRPr="00E6210C">
        <w:rPr>
          <w:spacing w:val="-2"/>
        </w:rPr>
        <w:t xml:space="preserve"> (2017) 17 Cal.App.5th 1019, 102</w:t>
      </w:r>
      <w:r w:rsidRPr="00E6210C">
        <w:rPr>
          <w:spacing w:val="-2"/>
        </w:rPr>
        <w:t>6</w:t>
      </w:r>
      <w:r w:rsidRPr="00E6210C">
        <w:rPr>
          <w:spacing w:val="-2"/>
        </w:rPr>
        <w:t xml:space="preserve"> (</w:t>
      </w:r>
      <w:r w:rsidRPr="00E6210C">
        <w:rPr>
          <w:i/>
          <w:iCs/>
          <w:spacing w:val="-2"/>
        </w:rPr>
        <w:t>R.W.L. Enterprises</w:t>
      </w:r>
      <w:r w:rsidRPr="00E6210C">
        <w:rPr>
          <w:spacing w:val="-2"/>
        </w:rPr>
        <w:t xml:space="preserve">) [an interpretation giving “‘effect to all provisions of the contract is preferred to one which renders part of the writing superfluous, </w:t>
      </w:r>
      <w:proofErr w:type="gramStart"/>
      <w:r w:rsidRPr="00E6210C">
        <w:rPr>
          <w:spacing w:val="-2"/>
        </w:rPr>
        <w:t>useless</w:t>
      </w:r>
      <w:proofErr w:type="gramEnd"/>
      <w:r w:rsidRPr="00E6210C">
        <w:rPr>
          <w:spacing w:val="-2"/>
        </w:rPr>
        <w:t xml:space="preserve"> or inexplicable’”].)   </w:t>
      </w:r>
    </w:p>
    <w:p w14:paraId="3834F920" w14:textId="77777777" w:rsidR="00B2782B" w:rsidRPr="00E6210C" w:rsidRDefault="00B2782B" w:rsidP="00223DFA">
      <w:pPr>
        <w:spacing w:after="0" w:line="288" w:lineRule="auto"/>
        <w:rPr>
          <w:spacing w:val="-2"/>
        </w:rPr>
      </w:pPr>
      <w:r w:rsidRPr="00E6210C">
        <w:rPr>
          <w:spacing w:val="-2"/>
        </w:rPr>
        <w:tab/>
        <w:t xml:space="preserve">Extrinsic evidence is admissible to prove a meaning to which the contract is reasonably susceptible. </w:t>
      </w:r>
      <w:r w:rsidRPr="00E6210C">
        <w:rPr>
          <w:spacing w:val="-2"/>
        </w:rPr>
        <w:t xml:space="preserve"> </w:t>
      </w:r>
      <w:r w:rsidRPr="00E6210C">
        <w:rPr>
          <w:spacing w:val="-2"/>
        </w:rPr>
        <w:t>(</w:t>
      </w:r>
      <w:r w:rsidRPr="00E6210C">
        <w:rPr>
          <w:i/>
          <w:iCs/>
          <w:spacing w:val="-2"/>
        </w:rPr>
        <w:t>Powers v. Dickson, Carlson &amp; Campillo</w:t>
      </w:r>
      <w:r w:rsidRPr="00E6210C">
        <w:rPr>
          <w:spacing w:val="-2"/>
        </w:rPr>
        <w:t xml:space="preserve"> (1997) 54 Cal.App.4th 1102, 1111.) </w:t>
      </w:r>
      <w:r w:rsidRPr="00E6210C">
        <w:rPr>
          <w:spacing w:val="-2"/>
        </w:rPr>
        <w:t xml:space="preserve"> </w:t>
      </w:r>
      <w:r w:rsidRPr="00E6210C">
        <w:rPr>
          <w:spacing w:val="-2"/>
        </w:rPr>
        <w:t xml:space="preserve">If the trial court decides, after receiving the extrinsic evidence, the language of the contract is reasonably susceptible to the interpretation urged, the evidence is admitted </w:t>
      </w:r>
      <w:proofErr w:type="gramStart"/>
      <w:r w:rsidRPr="00E6210C">
        <w:rPr>
          <w:spacing w:val="-2"/>
        </w:rPr>
        <w:t>to aid</w:t>
      </w:r>
      <w:proofErr w:type="gramEnd"/>
      <w:r w:rsidRPr="00E6210C">
        <w:rPr>
          <w:spacing w:val="-2"/>
        </w:rPr>
        <w:t xml:space="preserve"> </w:t>
      </w:r>
      <w:r w:rsidRPr="00E6210C">
        <w:rPr>
          <w:spacing w:val="-2"/>
        </w:rPr>
        <w:t>the interpretation</w:t>
      </w:r>
      <w:r w:rsidRPr="00E6210C">
        <w:rPr>
          <w:spacing w:val="-2"/>
        </w:rPr>
        <w:t xml:space="preserve">. </w:t>
      </w:r>
      <w:r w:rsidRPr="00E6210C">
        <w:rPr>
          <w:spacing w:val="-2"/>
        </w:rPr>
        <w:t xml:space="preserve"> </w:t>
      </w:r>
      <w:r w:rsidRPr="00E6210C">
        <w:rPr>
          <w:spacing w:val="-2"/>
        </w:rPr>
        <w:t>(</w:t>
      </w:r>
      <w:r w:rsidRPr="00E6210C">
        <w:rPr>
          <w:i/>
          <w:iCs/>
          <w:spacing w:val="-2"/>
        </w:rPr>
        <w:t>Ibid</w:t>
      </w:r>
      <w:r w:rsidRPr="00E6210C">
        <w:rPr>
          <w:spacing w:val="-2"/>
        </w:rPr>
        <w:t xml:space="preserve">.) </w:t>
      </w:r>
      <w:r w:rsidRPr="00E6210C">
        <w:rPr>
          <w:spacing w:val="-2"/>
        </w:rPr>
        <w:t xml:space="preserve"> </w:t>
      </w:r>
      <w:r w:rsidRPr="00E6210C">
        <w:rPr>
          <w:spacing w:val="-2"/>
        </w:rPr>
        <w:t>Thus, “[t]</w:t>
      </w:r>
      <w:proofErr w:type="gramStart"/>
      <w:r w:rsidRPr="00E6210C">
        <w:rPr>
          <w:spacing w:val="-2"/>
        </w:rPr>
        <w:t>he</w:t>
      </w:r>
      <w:proofErr w:type="gramEnd"/>
      <w:r w:rsidRPr="00E6210C">
        <w:rPr>
          <w:spacing w:val="-2"/>
        </w:rPr>
        <w:t xml:space="preserve"> test of admissibility of extrinsic evidence to explain the meaning of a written instrument is not whether it appears to the court to be plain and unambiguous on its face, but whether the offered evidence is re</w:t>
      </w:r>
      <w:r w:rsidRPr="00E6210C">
        <w:rPr>
          <w:spacing w:val="-2"/>
        </w:rPr>
        <w:t>levant to prove a meaning to which the language of the instrument is reasonably susceptible.”</w:t>
      </w:r>
      <w:r w:rsidRPr="00E6210C">
        <w:rPr>
          <w:spacing w:val="-2"/>
        </w:rPr>
        <w:t xml:space="preserve"> </w:t>
      </w:r>
      <w:r w:rsidRPr="00E6210C">
        <w:rPr>
          <w:spacing w:val="-2"/>
        </w:rPr>
        <w:t xml:space="preserve"> (</w:t>
      </w:r>
      <w:r w:rsidRPr="00E6210C">
        <w:rPr>
          <w:i/>
          <w:iCs/>
          <w:spacing w:val="-2"/>
        </w:rPr>
        <w:t>Pacific Gas &amp; E. Co. v. G.W. Thomas Drayage etc. Co</w:t>
      </w:r>
      <w:r w:rsidRPr="00E6210C">
        <w:rPr>
          <w:spacing w:val="-2"/>
        </w:rPr>
        <w:t>. (1968) 69 Cal.2d 33, 37.)</w:t>
      </w:r>
    </w:p>
    <w:p w14:paraId="63461A3D" w14:textId="77777777" w:rsidR="00B2782B" w:rsidRPr="00E6210C" w:rsidRDefault="00B2782B" w:rsidP="00223DFA">
      <w:pPr>
        <w:spacing w:after="0" w:line="288" w:lineRule="auto"/>
        <w:rPr>
          <w:spacing w:val="-2"/>
        </w:rPr>
      </w:pPr>
      <w:r w:rsidRPr="00E6210C">
        <w:rPr>
          <w:spacing w:val="-2"/>
        </w:rPr>
        <w:tab/>
        <w:t xml:space="preserve">The threshold issue of whether to admit the extrinsic evidence—that is, whether the contract is reasonably susceptible to the interpretation urged—is a question of law subject to de novo review. </w:t>
      </w:r>
      <w:r w:rsidRPr="00E6210C">
        <w:rPr>
          <w:spacing w:val="-2"/>
        </w:rPr>
        <w:t xml:space="preserve"> </w:t>
      </w:r>
      <w:r w:rsidRPr="00E6210C">
        <w:rPr>
          <w:spacing w:val="-2"/>
        </w:rPr>
        <w:t>(</w:t>
      </w:r>
      <w:r w:rsidRPr="00E6210C">
        <w:rPr>
          <w:i/>
          <w:iCs/>
          <w:spacing w:val="-2"/>
        </w:rPr>
        <w:t xml:space="preserve">Appleton v. </w:t>
      </w:r>
      <w:proofErr w:type="spellStart"/>
      <w:r w:rsidRPr="00E6210C">
        <w:rPr>
          <w:i/>
          <w:iCs/>
          <w:spacing w:val="-2"/>
        </w:rPr>
        <w:t>Waessil</w:t>
      </w:r>
      <w:proofErr w:type="spellEnd"/>
      <w:r w:rsidRPr="00E6210C">
        <w:rPr>
          <w:spacing w:val="-2"/>
        </w:rPr>
        <w:t xml:space="preserve"> (1994) 27 Cal.App.4th 551, 554–555.) </w:t>
      </w:r>
      <w:r w:rsidRPr="00E6210C">
        <w:rPr>
          <w:spacing w:val="-2"/>
        </w:rPr>
        <w:t xml:space="preserve"> </w:t>
      </w:r>
      <w:r w:rsidRPr="00E6210C">
        <w:rPr>
          <w:spacing w:val="-2"/>
        </w:rPr>
        <w:t>Here, b</w:t>
      </w:r>
      <w:r w:rsidRPr="00E6210C">
        <w:rPr>
          <w:spacing w:val="-2"/>
        </w:rPr>
        <w:t xml:space="preserve">ecause the material facts are undisputed, the legal significance of those facts presents a question of law which we review de novo. </w:t>
      </w:r>
      <w:r w:rsidRPr="00E6210C">
        <w:rPr>
          <w:spacing w:val="-2"/>
        </w:rPr>
        <w:t xml:space="preserve"> </w:t>
      </w:r>
      <w:r w:rsidRPr="00E6210C">
        <w:rPr>
          <w:spacing w:val="-2"/>
        </w:rPr>
        <w:t>(</w:t>
      </w:r>
      <w:r w:rsidRPr="00E6210C">
        <w:rPr>
          <w:i/>
          <w:iCs/>
          <w:spacing w:val="-2"/>
        </w:rPr>
        <w:t>Hill v. San Jose Family Housing Partners, LLC</w:t>
      </w:r>
      <w:r w:rsidRPr="00E6210C">
        <w:rPr>
          <w:spacing w:val="-2"/>
        </w:rPr>
        <w:t xml:space="preserve"> (2011) 198 Cal.App.4th 764, 774.)</w:t>
      </w:r>
    </w:p>
    <w:p w14:paraId="1369794B" w14:textId="77777777" w:rsidR="00B2782B" w:rsidRPr="00E6210C" w:rsidRDefault="00B2782B" w:rsidP="00223DFA">
      <w:pPr>
        <w:spacing w:after="0" w:line="288" w:lineRule="auto"/>
        <w:rPr>
          <w:spacing w:val="-2"/>
        </w:rPr>
      </w:pPr>
    </w:p>
    <w:p w14:paraId="505EF1A2" w14:textId="77777777" w:rsidR="00B2782B" w:rsidRPr="00E6210C" w:rsidRDefault="00B2782B" w:rsidP="00223DFA">
      <w:pPr>
        <w:keepNext/>
        <w:spacing w:after="0" w:line="288" w:lineRule="auto"/>
        <w:rPr>
          <w:i/>
          <w:iCs/>
          <w:spacing w:val="-2"/>
        </w:rPr>
      </w:pPr>
      <w:r w:rsidRPr="00E6210C">
        <w:rPr>
          <w:b/>
          <w:bCs/>
          <w:spacing w:val="-2"/>
        </w:rPr>
        <w:lastRenderedPageBreak/>
        <w:tab/>
      </w:r>
      <w:r w:rsidRPr="00E6210C">
        <w:rPr>
          <w:spacing w:val="-2"/>
        </w:rPr>
        <w:t>2.</w:t>
      </w:r>
      <w:r w:rsidRPr="00E6210C">
        <w:rPr>
          <w:spacing w:val="-2"/>
        </w:rPr>
        <w:tab/>
      </w:r>
      <w:r w:rsidRPr="00E6210C">
        <w:rPr>
          <w:i/>
          <w:iCs/>
          <w:spacing w:val="-2"/>
        </w:rPr>
        <w:t xml:space="preserve">Declaration 150 </w:t>
      </w:r>
      <w:r w:rsidRPr="00E6210C">
        <w:rPr>
          <w:i/>
          <w:iCs/>
          <w:spacing w:val="-2"/>
        </w:rPr>
        <w:t xml:space="preserve">Does </w:t>
      </w:r>
      <w:r w:rsidRPr="00E6210C">
        <w:rPr>
          <w:i/>
          <w:iCs/>
          <w:spacing w:val="-2"/>
        </w:rPr>
        <w:t xml:space="preserve">Not Apply to </w:t>
      </w:r>
      <w:proofErr w:type="spellStart"/>
      <w:r w:rsidRPr="00E6210C">
        <w:rPr>
          <w:i/>
          <w:iCs/>
          <w:spacing w:val="-2"/>
        </w:rPr>
        <w:t>Colyear’s</w:t>
      </w:r>
      <w:proofErr w:type="spellEnd"/>
      <w:r w:rsidRPr="00E6210C">
        <w:rPr>
          <w:i/>
          <w:iCs/>
          <w:spacing w:val="-2"/>
        </w:rPr>
        <w:t xml:space="preserve"> Property </w:t>
      </w:r>
    </w:p>
    <w:p w14:paraId="6568C750" w14:textId="77777777" w:rsidR="00B2782B" w:rsidRPr="00E6210C" w:rsidRDefault="00B2782B" w:rsidP="00223DFA">
      <w:pPr>
        <w:keepNext/>
        <w:spacing w:after="0" w:line="288" w:lineRule="auto"/>
        <w:rPr>
          <w:i/>
          <w:iCs/>
          <w:spacing w:val="-2"/>
        </w:rPr>
      </w:pPr>
      <w:r w:rsidRPr="00E6210C">
        <w:rPr>
          <w:b/>
          <w:bCs/>
          <w:spacing w:val="-2"/>
        </w:rPr>
        <w:tab/>
      </w:r>
      <w:r w:rsidRPr="00E6210C">
        <w:rPr>
          <w:b/>
          <w:bCs/>
          <w:spacing w:val="-2"/>
        </w:rPr>
        <w:tab/>
      </w:r>
      <w:r w:rsidRPr="00E6210C">
        <w:rPr>
          <w:spacing w:val="-2"/>
        </w:rPr>
        <w:t>a.</w:t>
      </w:r>
      <w:r w:rsidRPr="00E6210C">
        <w:rPr>
          <w:i/>
          <w:iCs/>
          <w:spacing w:val="-2"/>
        </w:rPr>
        <w:tab/>
        <w:t xml:space="preserve">Under </w:t>
      </w:r>
      <w:r w:rsidRPr="00E6210C">
        <w:rPr>
          <w:spacing w:val="-2"/>
        </w:rPr>
        <w:t>Citizens</w:t>
      </w:r>
      <w:r w:rsidRPr="00E6210C">
        <w:rPr>
          <w:i/>
          <w:iCs/>
          <w:spacing w:val="-2"/>
        </w:rPr>
        <w:t xml:space="preserve">, </w:t>
      </w:r>
      <w:r w:rsidRPr="00E6210C">
        <w:rPr>
          <w:i/>
          <w:iCs/>
          <w:spacing w:val="-2"/>
        </w:rPr>
        <w:t xml:space="preserve">Declaration 150 Does Not </w:t>
      </w:r>
    </w:p>
    <w:p w14:paraId="7FB344BD" w14:textId="77777777" w:rsidR="00B2782B" w:rsidRPr="00E6210C" w:rsidRDefault="00B2782B" w:rsidP="00223DFA">
      <w:pPr>
        <w:keepNext/>
        <w:spacing w:after="0" w:line="288" w:lineRule="auto"/>
        <w:ind w:left="1440" w:firstLine="720"/>
        <w:rPr>
          <w:i/>
          <w:iCs/>
          <w:spacing w:val="-2"/>
        </w:rPr>
      </w:pPr>
      <w:r w:rsidRPr="00E6210C">
        <w:rPr>
          <w:i/>
          <w:iCs/>
          <w:spacing w:val="-2"/>
        </w:rPr>
        <w:t xml:space="preserve">Burden </w:t>
      </w:r>
      <w:proofErr w:type="spellStart"/>
      <w:r w:rsidRPr="00E6210C">
        <w:rPr>
          <w:i/>
          <w:iCs/>
          <w:spacing w:val="-2"/>
        </w:rPr>
        <w:t>Colyear’s</w:t>
      </w:r>
      <w:proofErr w:type="spellEnd"/>
      <w:r w:rsidRPr="00E6210C">
        <w:rPr>
          <w:i/>
          <w:iCs/>
          <w:spacing w:val="-2"/>
        </w:rPr>
        <w:t xml:space="preserve"> Property Because His Property </w:t>
      </w:r>
    </w:p>
    <w:p w14:paraId="1B611075" w14:textId="77777777" w:rsidR="00B2782B" w:rsidRPr="00E6210C" w:rsidRDefault="00B2782B" w:rsidP="00223DFA">
      <w:pPr>
        <w:keepNext/>
        <w:spacing w:after="0" w:line="288" w:lineRule="auto"/>
        <w:ind w:left="1440" w:firstLine="720"/>
        <w:rPr>
          <w:i/>
          <w:iCs/>
          <w:spacing w:val="-2"/>
        </w:rPr>
      </w:pPr>
      <w:r w:rsidRPr="00E6210C">
        <w:rPr>
          <w:i/>
          <w:iCs/>
          <w:spacing w:val="-2"/>
        </w:rPr>
        <w:t>is Not Described in</w:t>
      </w:r>
      <w:r w:rsidRPr="00E6210C">
        <w:rPr>
          <w:i/>
          <w:iCs/>
          <w:spacing w:val="-2"/>
        </w:rPr>
        <w:t xml:space="preserve"> It</w:t>
      </w:r>
    </w:p>
    <w:p w14:paraId="75C10D7A" w14:textId="77777777" w:rsidR="00B2782B" w:rsidRPr="00E6210C" w:rsidRDefault="00B2782B" w:rsidP="00223DFA">
      <w:pPr>
        <w:spacing w:after="0" w:line="288" w:lineRule="auto"/>
        <w:rPr>
          <w:spacing w:val="-2"/>
        </w:rPr>
      </w:pPr>
      <w:r w:rsidRPr="00E6210C">
        <w:rPr>
          <w:spacing w:val="-2"/>
        </w:rPr>
        <w:tab/>
        <w:t xml:space="preserve">“A covenant running with the land is created by language in a deed or other document showing an agreement to do or refrain from doing something with respect to use of the land.” </w:t>
      </w:r>
      <w:r w:rsidRPr="00E6210C">
        <w:rPr>
          <w:spacing w:val="-2"/>
        </w:rPr>
        <w:t xml:space="preserve"> </w:t>
      </w:r>
      <w:r w:rsidRPr="00E6210C">
        <w:rPr>
          <w:spacing w:val="-2"/>
        </w:rPr>
        <w:t>(</w:t>
      </w:r>
      <w:r w:rsidRPr="00E6210C">
        <w:rPr>
          <w:i/>
          <w:iCs/>
          <w:spacing w:val="-2"/>
        </w:rPr>
        <w:t xml:space="preserve">Committee to Save </w:t>
      </w:r>
      <w:r w:rsidRPr="00E6210C">
        <w:rPr>
          <w:i/>
          <w:iCs/>
          <w:spacing w:val="-2"/>
        </w:rPr>
        <w:t xml:space="preserve">The </w:t>
      </w:r>
      <w:r w:rsidRPr="00E6210C">
        <w:rPr>
          <w:i/>
          <w:iCs/>
          <w:spacing w:val="-2"/>
        </w:rPr>
        <w:t>Beverly Highlands Homes Assn. v. Beverly Highlands Homes Assn</w:t>
      </w:r>
      <w:r w:rsidRPr="00E6210C">
        <w:rPr>
          <w:spacing w:val="-2"/>
        </w:rPr>
        <w:t xml:space="preserve">. (2001) 92 Cal.App.4th 1247, 1269.) </w:t>
      </w:r>
      <w:r w:rsidRPr="00E6210C">
        <w:rPr>
          <w:spacing w:val="-2"/>
        </w:rPr>
        <w:t xml:space="preserve"> T</w:t>
      </w:r>
      <w:r w:rsidRPr="00E6210C">
        <w:rPr>
          <w:spacing w:val="-2"/>
        </w:rPr>
        <w:t xml:space="preserve">he only covenants that run with the land are those specified by statute “and those which are incidental thereto.” </w:t>
      </w:r>
      <w:r w:rsidRPr="00E6210C">
        <w:rPr>
          <w:spacing w:val="-2"/>
        </w:rPr>
        <w:t xml:space="preserve"> </w:t>
      </w:r>
      <w:r w:rsidRPr="00E6210C">
        <w:rPr>
          <w:spacing w:val="-2"/>
        </w:rPr>
        <w:t xml:space="preserve">(Civ. Code, § 1461.) </w:t>
      </w:r>
      <w:r w:rsidRPr="00E6210C">
        <w:rPr>
          <w:spacing w:val="-2"/>
        </w:rPr>
        <w:t xml:space="preserve"> </w:t>
      </w:r>
      <w:r w:rsidRPr="00E6210C">
        <w:rPr>
          <w:spacing w:val="-2"/>
        </w:rPr>
        <w:t xml:space="preserve">The primary characteristic of a covenant running with the land is that its benefits and burdens pass with the transfer of the estate. </w:t>
      </w:r>
      <w:r w:rsidRPr="00E6210C">
        <w:rPr>
          <w:spacing w:val="-2"/>
        </w:rPr>
        <w:t xml:space="preserve"> </w:t>
      </w:r>
      <w:r w:rsidRPr="00E6210C">
        <w:rPr>
          <w:spacing w:val="-2"/>
        </w:rPr>
        <w:t>(</w:t>
      </w:r>
      <w:r w:rsidRPr="00E6210C">
        <w:rPr>
          <w:i/>
          <w:iCs/>
          <w:spacing w:val="-2"/>
        </w:rPr>
        <w:t xml:space="preserve">Self v. Sharafi </w:t>
      </w:r>
      <w:r w:rsidRPr="00E6210C">
        <w:rPr>
          <w:spacing w:val="-2"/>
        </w:rPr>
        <w:t xml:space="preserve">(2013) 220 Cal.App.4th 483, </w:t>
      </w:r>
      <w:r w:rsidRPr="00E6210C">
        <w:rPr>
          <w:spacing w:val="-2"/>
        </w:rPr>
        <w:t>488</w:t>
      </w:r>
      <w:r w:rsidRPr="00E6210C">
        <w:rPr>
          <w:spacing w:val="-2"/>
        </w:rPr>
        <w:t>.)</w:t>
      </w:r>
      <w:r w:rsidRPr="00E6210C">
        <w:rPr>
          <w:spacing w:val="-2"/>
        </w:rPr>
        <w:t xml:space="preserve"> </w:t>
      </w:r>
    </w:p>
    <w:p w14:paraId="0A2EEB46" w14:textId="77777777" w:rsidR="00B2782B" w:rsidRPr="00E6210C" w:rsidRDefault="00B2782B" w:rsidP="00223DFA">
      <w:pPr>
        <w:spacing w:after="0" w:line="288" w:lineRule="auto"/>
        <w:rPr>
          <w:spacing w:val="-2"/>
        </w:rPr>
      </w:pPr>
      <w:r w:rsidRPr="00E6210C">
        <w:rPr>
          <w:spacing w:val="-2"/>
        </w:rPr>
        <w:tab/>
      </w:r>
      <w:r w:rsidRPr="00E6210C">
        <w:rPr>
          <w:i/>
          <w:iCs/>
          <w:spacing w:val="-2"/>
        </w:rPr>
        <w:t>Citizens</w:t>
      </w:r>
      <w:r w:rsidRPr="00E6210C">
        <w:rPr>
          <w:i/>
          <w:iCs/>
          <w:spacing w:val="-2"/>
        </w:rPr>
        <w:t xml:space="preserve"> </w:t>
      </w:r>
      <w:r w:rsidRPr="00E6210C">
        <w:rPr>
          <w:spacing w:val="-2"/>
        </w:rPr>
        <w:t>described the requirements for the formation of covenants and</w:t>
      </w:r>
      <w:r w:rsidRPr="00E6210C">
        <w:rPr>
          <w:i/>
          <w:iCs/>
          <w:spacing w:val="-2"/>
        </w:rPr>
        <w:t xml:space="preserve"> </w:t>
      </w:r>
      <w:r w:rsidRPr="00E6210C">
        <w:rPr>
          <w:spacing w:val="-2"/>
        </w:rPr>
        <w:t>held that where CC</w:t>
      </w:r>
      <w:r w:rsidRPr="00E6210C">
        <w:rPr>
          <w:spacing w:val="-2"/>
        </w:rPr>
        <w:t>&amp;</w:t>
      </w:r>
      <w:r w:rsidRPr="00E6210C">
        <w:rPr>
          <w:spacing w:val="-2"/>
        </w:rPr>
        <w:t xml:space="preserve">Rs are recorded before the sale of any property in a subdivision, </w:t>
      </w:r>
      <w:r w:rsidRPr="00E6210C">
        <w:rPr>
          <w:i/>
          <w:iCs/>
          <w:spacing w:val="-2"/>
        </w:rPr>
        <w:t>describing the property they govern</w:t>
      </w:r>
      <w:r w:rsidRPr="00E6210C">
        <w:rPr>
          <w:spacing w:val="-2"/>
        </w:rPr>
        <w:t>, subsequent purchasers who have constructive notice of the recorded CC</w:t>
      </w:r>
      <w:r w:rsidRPr="00E6210C">
        <w:rPr>
          <w:spacing w:val="-2"/>
        </w:rPr>
        <w:t>&amp;</w:t>
      </w:r>
      <w:r w:rsidRPr="00E6210C">
        <w:rPr>
          <w:spacing w:val="-2"/>
        </w:rPr>
        <w:t>Rs are deemed to have agreed to be bound by such restrictions, even where such restrictions are not mentioned in any deed or other document.  (</w:t>
      </w:r>
      <w:r w:rsidRPr="00E6210C">
        <w:rPr>
          <w:i/>
          <w:iCs/>
          <w:spacing w:val="-2"/>
        </w:rPr>
        <w:t>Citizens, su</w:t>
      </w:r>
      <w:r w:rsidRPr="00E6210C">
        <w:rPr>
          <w:i/>
          <w:iCs/>
          <w:spacing w:val="-2"/>
        </w:rPr>
        <w:t>p</w:t>
      </w:r>
      <w:r w:rsidRPr="00E6210C">
        <w:rPr>
          <w:i/>
          <w:iCs/>
          <w:spacing w:val="-2"/>
        </w:rPr>
        <w:t xml:space="preserve">ra, </w:t>
      </w:r>
      <w:r w:rsidRPr="00E6210C">
        <w:rPr>
          <w:spacing w:val="-2"/>
        </w:rPr>
        <w:t>12 Cal.4th at p.</w:t>
      </w:r>
      <w:r w:rsidRPr="00E6210C">
        <w:rPr>
          <w:spacing w:val="-2"/>
        </w:rPr>
        <w:t> </w:t>
      </w:r>
      <w:r w:rsidRPr="00E6210C">
        <w:rPr>
          <w:spacing w:val="-2"/>
        </w:rPr>
        <w:t>349</w:t>
      </w:r>
      <w:r w:rsidRPr="00E6210C">
        <w:rPr>
          <w:spacing w:val="-2"/>
        </w:rPr>
        <w:t>, italics added</w:t>
      </w:r>
      <w:r w:rsidRPr="00E6210C">
        <w:rPr>
          <w:spacing w:val="-2"/>
        </w:rPr>
        <w:t>.)</w:t>
      </w:r>
      <w:r w:rsidRPr="00E6210C">
        <w:rPr>
          <w:spacing w:val="-2"/>
        </w:rPr>
        <w:t xml:space="preserve"> </w:t>
      </w:r>
      <w:r w:rsidRPr="00E6210C">
        <w:rPr>
          <w:spacing w:val="-2"/>
        </w:rPr>
        <w:t xml:space="preserve"> </w:t>
      </w:r>
      <w:r w:rsidRPr="00E6210C">
        <w:rPr>
          <w:i/>
          <w:iCs/>
          <w:spacing w:val="-2"/>
        </w:rPr>
        <w:t xml:space="preserve">Citizens </w:t>
      </w:r>
      <w:r w:rsidRPr="00E6210C">
        <w:rPr>
          <w:spacing w:val="-2"/>
        </w:rPr>
        <w:t>found it was not merely the intent of the</w:t>
      </w:r>
      <w:r w:rsidRPr="00E6210C">
        <w:rPr>
          <w:spacing w:val="-2"/>
        </w:rPr>
        <w:t xml:space="preserve"> original grantor that established the covenant; there must be sufficient intent on the part of the purchaser to </w:t>
      </w:r>
      <w:r w:rsidRPr="00E6210C">
        <w:rPr>
          <w:spacing w:val="-2"/>
        </w:rPr>
        <w:t>enter</w:t>
      </w:r>
      <w:r w:rsidRPr="00E6210C">
        <w:rPr>
          <w:spacing w:val="-2"/>
        </w:rPr>
        <w:t xml:space="preserve"> the </w:t>
      </w:r>
      <w:proofErr w:type="gramStart"/>
      <w:r w:rsidRPr="00E6210C">
        <w:rPr>
          <w:spacing w:val="-2"/>
        </w:rPr>
        <w:t>covenants</w:t>
      </w:r>
      <w:proofErr w:type="gramEnd"/>
      <w:r w:rsidRPr="00E6210C">
        <w:rPr>
          <w:spacing w:val="-2"/>
        </w:rPr>
        <w:t>.  “Although notice is relevant to our resolution of the issue, it is not the issue itself.”</w:t>
      </w:r>
      <w:r w:rsidRPr="00E6210C">
        <w:rPr>
          <w:spacing w:val="-2"/>
        </w:rPr>
        <w:t xml:space="preserve"> </w:t>
      </w:r>
      <w:r w:rsidRPr="00E6210C">
        <w:rPr>
          <w:spacing w:val="-2"/>
        </w:rPr>
        <w:t xml:space="preserve"> </w:t>
      </w:r>
      <w:r w:rsidRPr="00E6210C">
        <w:rPr>
          <w:spacing w:val="-2"/>
        </w:rPr>
        <w:t>(</w:t>
      </w:r>
      <w:r w:rsidRPr="00E6210C">
        <w:rPr>
          <w:i/>
          <w:iCs/>
          <w:spacing w:val="-2"/>
        </w:rPr>
        <w:t>Id</w:t>
      </w:r>
      <w:r w:rsidRPr="00E6210C">
        <w:rPr>
          <w:spacing w:val="-2"/>
        </w:rPr>
        <w:t>. at p</w:t>
      </w:r>
      <w:r w:rsidRPr="00E6210C">
        <w:rPr>
          <w:spacing w:val="-2"/>
        </w:rPr>
        <w:t>.</w:t>
      </w:r>
      <w:r w:rsidRPr="00E6210C">
        <w:rPr>
          <w:spacing w:val="-2"/>
        </w:rPr>
        <w:t> </w:t>
      </w:r>
      <w:r w:rsidRPr="00E6210C">
        <w:rPr>
          <w:spacing w:val="-2"/>
        </w:rPr>
        <w:t>356.</w:t>
      </w:r>
      <w:r w:rsidRPr="00E6210C">
        <w:rPr>
          <w:spacing w:val="-2"/>
        </w:rPr>
        <w:t xml:space="preserve">)  </w:t>
      </w:r>
      <w:r w:rsidRPr="00E6210C">
        <w:rPr>
          <w:spacing w:val="-2"/>
        </w:rPr>
        <w:t>Rather, there must be sufficient evidence of the grantee’s intent to accept the covenant.  (</w:t>
      </w:r>
      <w:r w:rsidRPr="00E6210C">
        <w:rPr>
          <w:i/>
          <w:iCs/>
          <w:spacing w:val="-2"/>
        </w:rPr>
        <w:t xml:space="preserve">Id. </w:t>
      </w:r>
      <w:r w:rsidRPr="00E6210C">
        <w:rPr>
          <w:spacing w:val="-2"/>
        </w:rPr>
        <w:t xml:space="preserve">at pp. 356, 365–366.) </w:t>
      </w:r>
    </w:p>
    <w:p w14:paraId="450489E9" w14:textId="77777777" w:rsidR="00B2782B" w:rsidRPr="00E6210C" w:rsidRDefault="00B2782B" w:rsidP="00223DFA">
      <w:pPr>
        <w:spacing w:after="0" w:line="288" w:lineRule="auto"/>
        <w:rPr>
          <w:spacing w:val="-2"/>
        </w:rPr>
      </w:pPr>
      <w:r w:rsidRPr="00E6210C">
        <w:rPr>
          <w:spacing w:val="-2"/>
        </w:rPr>
        <w:tab/>
      </w:r>
      <w:r w:rsidRPr="00E6210C">
        <w:rPr>
          <w:spacing w:val="-2"/>
        </w:rPr>
        <w:t xml:space="preserve">As </w:t>
      </w:r>
      <w:r w:rsidRPr="00E6210C">
        <w:rPr>
          <w:i/>
          <w:iCs/>
          <w:spacing w:val="-2"/>
        </w:rPr>
        <w:t>Citizens</w:t>
      </w:r>
      <w:r w:rsidRPr="00E6210C">
        <w:rPr>
          <w:i/>
          <w:iCs/>
          <w:spacing w:val="-2"/>
        </w:rPr>
        <w:t xml:space="preserve"> </w:t>
      </w:r>
      <w:r w:rsidRPr="00E6210C">
        <w:rPr>
          <w:spacing w:val="-2"/>
        </w:rPr>
        <w:t>made clear</w:t>
      </w:r>
      <w:r w:rsidRPr="00E6210C">
        <w:rPr>
          <w:spacing w:val="-2"/>
        </w:rPr>
        <w:t>, t</w:t>
      </w:r>
      <w:r w:rsidRPr="00E6210C">
        <w:rPr>
          <w:spacing w:val="-2"/>
        </w:rPr>
        <w:t xml:space="preserve">he </w:t>
      </w:r>
      <w:r w:rsidRPr="00E6210C">
        <w:rPr>
          <w:spacing w:val="-2"/>
        </w:rPr>
        <w:t>covenant come</w:t>
      </w:r>
      <w:r w:rsidRPr="00E6210C">
        <w:rPr>
          <w:spacing w:val="-2"/>
        </w:rPr>
        <w:t>s</w:t>
      </w:r>
      <w:r w:rsidRPr="00E6210C">
        <w:rPr>
          <w:spacing w:val="-2"/>
        </w:rPr>
        <w:t xml:space="preserve"> into existence upon sale or transfer of the property.</w:t>
      </w:r>
      <w:r w:rsidRPr="00E6210C">
        <w:rPr>
          <w:spacing w:val="-2"/>
        </w:rPr>
        <w:t xml:space="preserve">  </w:t>
      </w:r>
      <w:r w:rsidRPr="00E6210C">
        <w:rPr>
          <w:spacing w:val="-2"/>
        </w:rPr>
        <w:t xml:space="preserve">“In essence, if the </w:t>
      </w:r>
      <w:r w:rsidRPr="00E6210C">
        <w:rPr>
          <w:spacing w:val="-2"/>
        </w:rPr>
        <w:lastRenderedPageBreak/>
        <w:t xml:space="preserve">restrictions are recorded before the sale, the later purchaser is deemed to agree to them. </w:t>
      </w:r>
      <w:r w:rsidRPr="00E6210C">
        <w:rPr>
          <w:spacing w:val="-2"/>
        </w:rPr>
        <w:t xml:space="preserve"> </w:t>
      </w:r>
      <w:r w:rsidRPr="00E6210C">
        <w:rPr>
          <w:spacing w:val="-2"/>
        </w:rPr>
        <w:t xml:space="preserve">The purchase of property </w:t>
      </w:r>
      <w:r w:rsidRPr="00E6210C">
        <w:rPr>
          <w:spacing w:val="-2"/>
        </w:rPr>
        <w:t>[</w:t>
      </w:r>
      <w:r w:rsidRPr="00E6210C">
        <w:rPr>
          <w:spacing w:val="-2"/>
        </w:rPr>
        <w:t>with</w:t>
      </w:r>
      <w:r w:rsidRPr="00E6210C">
        <w:rPr>
          <w:spacing w:val="-2"/>
        </w:rPr>
        <w:t>]</w:t>
      </w:r>
      <w:r w:rsidRPr="00E6210C">
        <w:rPr>
          <w:spacing w:val="-2"/>
        </w:rPr>
        <w:t xml:space="preserve"> </w:t>
      </w:r>
      <w:r w:rsidRPr="00E6210C">
        <w:rPr>
          <w:spacing w:val="-2"/>
        </w:rPr>
        <w:t>know</w:t>
      </w:r>
      <w:r w:rsidRPr="00E6210C">
        <w:rPr>
          <w:spacing w:val="-2"/>
        </w:rPr>
        <w:t>[</w:t>
      </w:r>
      <w:r w:rsidRPr="00E6210C">
        <w:rPr>
          <w:spacing w:val="-2"/>
        </w:rPr>
        <w:t>ledge</w:t>
      </w:r>
      <w:r w:rsidRPr="00E6210C">
        <w:rPr>
          <w:spacing w:val="-2"/>
        </w:rPr>
        <w:t>]</w:t>
      </w:r>
      <w:r w:rsidRPr="00E6210C">
        <w:rPr>
          <w:spacing w:val="-2"/>
        </w:rPr>
        <w:t xml:space="preserve"> of the restrictions evinces the buyer’s intent to accept their burdens and benefits. </w:t>
      </w:r>
      <w:r w:rsidRPr="00E6210C">
        <w:rPr>
          <w:spacing w:val="-2"/>
        </w:rPr>
        <w:t xml:space="preserve"> </w:t>
      </w:r>
      <w:r w:rsidRPr="00E6210C">
        <w:rPr>
          <w:spacing w:val="-2"/>
        </w:rPr>
        <w:t xml:space="preserve">Thus, the mutual servitudes are created at the time of the conveyance even if there is no additional reference to them in the deed.” </w:t>
      </w:r>
      <w:r w:rsidRPr="00E6210C">
        <w:rPr>
          <w:spacing w:val="-2"/>
        </w:rPr>
        <w:t xml:space="preserve"> </w:t>
      </w:r>
      <w:r w:rsidRPr="00E6210C">
        <w:rPr>
          <w:spacing w:val="-2"/>
        </w:rPr>
        <w:t>(</w:t>
      </w:r>
      <w:r w:rsidRPr="00E6210C">
        <w:rPr>
          <w:i/>
          <w:iCs/>
          <w:spacing w:val="-2"/>
        </w:rPr>
        <w:t>Citizens</w:t>
      </w:r>
      <w:r w:rsidRPr="00E6210C">
        <w:rPr>
          <w:spacing w:val="-2"/>
        </w:rPr>
        <w:t xml:space="preserve">, </w:t>
      </w:r>
      <w:r w:rsidRPr="00E6210C">
        <w:rPr>
          <w:i/>
          <w:iCs/>
          <w:spacing w:val="-2"/>
        </w:rPr>
        <w:t>supra</w:t>
      </w:r>
      <w:r w:rsidRPr="00E6210C">
        <w:rPr>
          <w:spacing w:val="-2"/>
        </w:rPr>
        <w:t>, 12 Cal.4th</w:t>
      </w:r>
      <w:r w:rsidRPr="00E6210C">
        <w:rPr>
          <w:i/>
          <w:iCs/>
          <w:spacing w:val="-2"/>
        </w:rPr>
        <w:t xml:space="preserve"> </w:t>
      </w:r>
      <w:r w:rsidRPr="00E6210C">
        <w:rPr>
          <w:spacing w:val="-2"/>
        </w:rPr>
        <w:t>at p.</w:t>
      </w:r>
      <w:r w:rsidRPr="00E6210C">
        <w:rPr>
          <w:spacing w:val="-2"/>
        </w:rPr>
        <w:t> </w:t>
      </w:r>
      <w:r w:rsidRPr="00E6210C">
        <w:rPr>
          <w:spacing w:val="-2"/>
        </w:rPr>
        <w:t xml:space="preserve">363.) </w:t>
      </w:r>
      <w:r w:rsidRPr="00E6210C">
        <w:rPr>
          <w:spacing w:val="-2"/>
        </w:rPr>
        <w:t xml:space="preserve"> </w:t>
      </w:r>
      <w:r w:rsidRPr="00E6210C">
        <w:rPr>
          <w:i/>
          <w:iCs/>
          <w:spacing w:val="-2"/>
        </w:rPr>
        <w:t xml:space="preserve">Citizens </w:t>
      </w:r>
      <w:r w:rsidRPr="00E6210C">
        <w:rPr>
          <w:spacing w:val="-2"/>
        </w:rPr>
        <w:t>concluded</w:t>
      </w:r>
      <w:r w:rsidRPr="00E6210C">
        <w:rPr>
          <w:spacing w:val="-2"/>
        </w:rPr>
        <w:t>,</w:t>
      </w:r>
      <w:r w:rsidRPr="00E6210C">
        <w:rPr>
          <w:spacing w:val="-2"/>
        </w:rPr>
        <w:t xml:space="preserve"> “</w:t>
      </w:r>
      <w:r w:rsidRPr="00E6210C">
        <w:rPr>
          <w:spacing w:val="-2"/>
        </w:rPr>
        <w:t>[T]</w:t>
      </w:r>
      <w:r w:rsidRPr="00E6210C">
        <w:rPr>
          <w:spacing w:val="-2"/>
        </w:rPr>
        <w:t xml:space="preserve">he </w:t>
      </w:r>
      <w:proofErr w:type="gramStart"/>
      <w:r w:rsidRPr="00E6210C">
        <w:rPr>
          <w:spacing w:val="-2"/>
        </w:rPr>
        <w:t>rule</w:t>
      </w:r>
      <w:proofErr w:type="gramEnd"/>
      <w:r w:rsidRPr="00E6210C">
        <w:rPr>
          <w:spacing w:val="-2"/>
        </w:rPr>
        <w:t xml:space="preserve"> is consistent with the rationale that a covenant requires an agreement between buyer and seller, and not a unilateral action by the developer.” </w:t>
      </w:r>
      <w:r w:rsidRPr="00E6210C">
        <w:rPr>
          <w:spacing w:val="-2"/>
        </w:rPr>
        <w:t xml:space="preserve"> </w:t>
      </w:r>
      <w:r w:rsidRPr="00E6210C">
        <w:rPr>
          <w:spacing w:val="-2"/>
        </w:rPr>
        <w:t>(</w:t>
      </w:r>
      <w:r w:rsidRPr="00E6210C">
        <w:rPr>
          <w:i/>
          <w:iCs/>
          <w:spacing w:val="-2"/>
        </w:rPr>
        <w:t xml:space="preserve">Id. </w:t>
      </w:r>
      <w:r w:rsidRPr="00E6210C">
        <w:rPr>
          <w:spacing w:val="-2"/>
        </w:rPr>
        <w:t>at p.</w:t>
      </w:r>
      <w:r w:rsidRPr="00E6210C">
        <w:rPr>
          <w:spacing w:val="-2"/>
        </w:rPr>
        <w:t> </w:t>
      </w:r>
      <w:r w:rsidRPr="00E6210C">
        <w:rPr>
          <w:spacing w:val="-2"/>
        </w:rPr>
        <w:t>367.)</w:t>
      </w:r>
      <w:r w:rsidRPr="00E6210C">
        <w:rPr>
          <w:spacing w:val="-2"/>
        </w:rPr>
        <w:t xml:space="preserve"> </w:t>
      </w:r>
      <w:r w:rsidRPr="00E6210C">
        <w:rPr>
          <w:spacing w:val="-2"/>
        </w:rPr>
        <w:t xml:space="preserve"> </w:t>
      </w:r>
      <w:r w:rsidRPr="00E6210C">
        <w:rPr>
          <w:spacing w:val="-2"/>
        </w:rPr>
        <w:t>In other words</w:t>
      </w:r>
      <w:r w:rsidRPr="00E6210C">
        <w:rPr>
          <w:spacing w:val="-2"/>
        </w:rPr>
        <w:t xml:space="preserve">, </w:t>
      </w:r>
      <w:r w:rsidRPr="00E6210C">
        <w:rPr>
          <w:spacing w:val="-2"/>
        </w:rPr>
        <w:t xml:space="preserve">the parties’ </w:t>
      </w:r>
      <w:r w:rsidRPr="00E6210C">
        <w:rPr>
          <w:spacing w:val="-2"/>
        </w:rPr>
        <w:t xml:space="preserve">intent </w:t>
      </w:r>
      <w:r w:rsidRPr="00E6210C">
        <w:rPr>
          <w:spacing w:val="-2"/>
        </w:rPr>
        <w:t>is</w:t>
      </w:r>
      <w:r w:rsidRPr="00E6210C">
        <w:rPr>
          <w:spacing w:val="-2"/>
        </w:rPr>
        <w:t xml:space="preserve"> inferred from the recorded uniform plan</w:t>
      </w:r>
      <w:r w:rsidRPr="00E6210C">
        <w:rPr>
          <w:spacing w:val="-2"/>
        </w:rPr>
        <w:t xml:space="preserve">: </w:t>
      </w:r>
      <w:r w:rsidRPr="00E6210C">
        <w:rPr>
          <w:spacing w:val="-2"/>
        </w:rPr>
        <w:t>“</w:t>
      </w:r>
      <w:r w:rsidRPr="00E6210C">
        <w:rPr>
          <w:spacing w:val="-2"/>
        </w:rPr>
        <w:t>It is express on the part of the seller, implied on the part of the purchaser</w:t>
      </w:r>
      <w:proofErr w:type="gramStart"/>
      <w:r w:rsidRPr="00E6210C">
        <w:rPr>
          <w:spacing w:val="-2"/>
        </w:rPr>
        <w:t>.</w:t>
      </w:r>
      <w:r w:rsidRPr="00E6210C">
        <w:rPr>
          <w:spacing w:val="-2"/>
        </w:rPr>
        <w:t> . . .</w:t>
      </w:r>
      <w:proofErr w:type="gramEnd"/>
      <w:r w:rsidRPr="00E6210C">
        <w:rPr>
          <w:spacing w:val="-2"/>
        </w:rPr>
        <w:t>”</w:t>
      </w:r>
      <w:r w:rsidRPr="00E6210C">
        <w:rPr>
          <w:spacing w:val="-2"/>
        </w:rPr>
        <w:t xml:space="preserve"> </w:t>
      </w:r>
      <w:r w:rsidRPr="00E6210C">
        <w:rPr>
          <w:spacing w:val="-2"/>
        </w:rPr>
        <w:t xml:space="preserve"> </w:t>
      </w:r>
      <w:r w:rsidRPr="00E6210C">
        <w:rPr>
          <w:spacing w:val="-2"/>
        </w:rPr>
        <w:t>(</w:t>
      </w:r>
      <w:r w:rsidRPr="00E6210C">
        <w:rPr>
          <w:i/>
          <w:iCs/>
          <w:spacing w:val="-2"/>
        </w:rPr>
        <w:t>Id.</w:t>
      </w:r>
      <w:r w:rsidRPr="00E6210C">
        <w:rPr>
          <w:spacing w:val="-2"/>
        </w:rPr>
        <w:t xml:space="preserve"> at p.</w:t>
      </w:r>
      <w:r w:rsidRPr="00E6210C">
        <w:rPr>
          <w:spacing w:val="-2"/>
        </w:rPr>
        <w:t> </w:t>
      </w:r>
      <w:r w:rsidRPr="00E6210C">
        <w:rPr>
          <w:spacing w:val="-2"/>
        </w:rPr>
        <w:t>366</w:t>
      </w:r>
      <w:r w:rsidRPr="00E6210C">
        <w:rPr>
          <w:spacing w:val="-2"/>
        </w:rPr>
        <w:t>.)</w:t>
      </w:r>
      <w:r w:rsidRPr="00E6210C">
        <w:rPr>
          <w:spacing w:val="-2"/>
        </w:rPr>
        <w:t xml:space="preserve"> </w:t>
      </w:r>
    </w:p>
    <w:p w14:paraId="5A2B934C" w14:textId="77777777" w:rsidR="00B2782B" w:rsidRPr="00E6210C" w:rsidRDefault="00B2782B" w:rsidP="00223DFA">
      <w:pPr>
        <w:spacing w:after="0" w:line="288" w:lineRule="auto"/>
        <w:rPr>
          <w:spacing w:val="-2"/>
        </w:rPr>
      </w:pPr>
      <w:r w:rsidRPr="00E6210C">
        <w:rPr>
          <w:spacing w:val="-2"/>
        </w:rPr>
        <w:tab/>
      </w:r>
      <w:r w:rsidRPr="00E6210C">
        <w:rPr>
          <w:i/>
          <w:iCs/>
          <w:spacing w:val="-2"/>
        </w:rPr>
        <w:t xml:space="preserve">Citizens </w:t>
      </w:r>
      <w:r w:rsidRPr="00E6210C">
        <w:rPr>
          <w:spacing w:val="-2"/>
        </w:rPr>
        <w:t xml:space="preserve">examined two cases for guidance: </w:t>
      </w:r>
      <w:r w:rsidRPr="00E6210C">
        <w:rPr>
          <w:i/>
          <w:iCs/>
          <w:spacing w:val="-2"/>
        </w:rPr>
        <w:t xml:space="preserve">Werner v. Graham </w:t>
      </w:r>
      <w:r w:rsidRPr="00E6210C">
        <w:rPr>
          <w:spacing w:val="-2"/>
        </w:rPr>
        <w:t>(1919) 181 Cal. 174 (</w:t>
      </w:r>
      <w:r w:rsidRPr="00E6210C">
        <w:rPr>
          <w:i/>
          <w:iCs/>
          <w:spacing w:val="-2"/>
        </w:rPr>
        <w:t>Werner</w:t>
      </w:r>
      <w:r w:rsidRPr="00E6210C">
        <w:rPr>
          <w:spacing w:val="-2"/>
        </w:rPr>
        <w:t xml:space="preserve">) and </w:t>
      </w:r>
      <w:r w:rsidRPr="00E6210C">
        <w:rPr>
          <w:i/>
          <w:iCs/>
          <w:spacing w:val="-2"/>
        </w:rPr>
        <w:t xml:space="preserve">Riley v. Bear Creek Planning Committee </w:t>
      </w:r>
      <w:r w:rsidRPr="00E6210C">
        <w:rPr>
          <w:spacing w:val="-2"/>
        </w:rPr>
        <w:t>(1976) 17 Cal.3d 500 (</w:t>
      </w:r>
      <w:r w:rsidRPr="00E6210C">
        <w:rPr>
          <w:i/>
          <w:iCs/>
          <w:spacing w:val="-2"/>
        </w:rPr>
        <w:t>Riley</w:t>
      </w:r>
      <w:r w:rsidRPr="00E6210C">
        <w:rPr>
          <w:spacing w:val="-2"/>
        </w:rPr>
        <w:t xml:space="preserve">). </w:t>
      </w:r>
      <w:r w:rsidRPr="00E6210C">
        <w:rPr>
          <w:spacing w:val="-2"/>
        </w:rPr>
        <w:t xml:space="preserve"> </w:t>
      </w:r>
      <w:r w:rsidRPr="00E6210C">
        <w:rPr>
          <w:spacing w:val="-2"/>
        </w:rPr>
        <w:t>In both cases</w:t>
      </w:r>
      <w:r w:rsidRPr="00E6210C">
        <w:rPr>
          <w:spacing w:val="-2"/>
        </w:rPr>
        <w:t>,</w:t>
      </w:r>
      <w:r w:rsidRPr="00E6210C">
        <w:rPr>
          <w:spacing w:val="-2"/>
        </w:rPr>
        <w:t xml:space="preserve"> covenants were recorded by developers seeking to impose a general plan, but the</w:t>
      </w:r>
      <w:r w:rsidRPr="00E6210C">
        <w:rPr>
          <w:spacing w:val="-2"/>
        </w:rPr>
        <w:t xml:space="preserve"> developers</w:t>
      </w:r>
      <w:r w:rsidRPr="00E6210C">
        <w:rPr>
          <w:spacing w:val="-2"/>
        </w:rPr>
        <w:t xml:space="preserve"> failed in their efforts for different reasons. </w:t>
      </w:r>
      <w:r w:rsidRPr="00E6210C">
        <w:rPr>
          <w:spacing w:val="-2"/>
        </w:rPr>
        <w:t xml:space="preserve"> </w:t>
      </w:r>
      <w:r w:rsidRPr="00E6210C">
        <w:rPr>
          <w:spacing w:val="-2"/>
        </w:rPr>
        <w:t xml:space="preserve">In </w:t>
      </w:r>
      <w:r w:rsidRPr="00E6210C">
        <w:rPr>
          <w:i/>
          <w:iCs/>
          <w:spacing w:val="-2"/>
        </w:rPr>
        <w:t xml:space="preserve">Werner, </w:t>
      </w:r>
      <w:r w:rsidRPr="00E6210C">
        <w:rPr>
          <w:spacing w:val="-2"/>
        </w:rPr>
        <w:t>the developer subdivided a parcel</w:t>
      </w:r>
      <w:r w:rsidRPr="00E6210C">
        <w:rPr>
          <w:spacing w:val="-2"/>
        </w:rPr>
        <w:t xml:space="preserve"> and</w:t>
      </w:r>
      <w:r w:rsidRPr="00E6210C">
        <w:rPr>
          <w:spacing w:val="-2"/>
        </w:rPr>
        <w:t xml:space="preserve"> recorded a map but </w:t>
      </w:r>
      <w:r w:rsidRPr="00E6210C">
        <w:rPr>
          <w:spacing w:val="-2"/>
        </w:rPr>
        <w:t>did not record any</w:t>
      </w:r>
      <w:r w:rsidRPr="00E6210C">
        <w:rPr>
          <w:spacing w:val="-2"/>
        </w:rPr>
        <w:t xml:space="preserve"> other documents indicating any restrictions. </w:t>
      </w:r>
      <w:r w:rsidRPr="00E6210C">
        <w:rPr>
          <w:spacing w:val="-2"/>
        </w:rPr>
        <w:t xml:space="preserve"> </w:t>
      </w:r>
      <w:r w:rsidRPr="00E6210C">
        <w:rPr>
          <w:spacing w:val="-2"/>
        </w:rPr>
        <w:t>(</w:t>
      </w:r>
      <w:r w:rsidRPr="00E6210C">
        <w:rPr>
          <w:i/>
          <w:iCs/>
          <w:spacing w:val="-2"/>
        </w:rPr>
        <w:t>Werner</w:t>
      </w:r>
      <w:r w:rsidRPr="00E6210C">
        <w:rPr>
          <w:spacing w:val="-2"/>
        </w:rPr>
        <w:t xml:space="preserve">, </w:t>
      </w:r>
      <w:r w:rsidRPr="00E6210C">
        <w:rPr>
          <w:i/>
          <w:iCs/>
          <w:spacing w:val="-2"/>
        </w:rPr>
        <w:t>supra</w:t>
      </w:r>
      <w:r w:rsidRPr="00E6210C">
        <w:rPr>
          <w:spacing w:val="-2"/>
        </w:rPr>
        <w:t>,</w:t>
      </w:r>
      <w:r w:rsidRPr="00E6210C">
        <w:rPr>
          <w:i/>
          <w:iCs/>
          <w:spacing w:val="-2"/>
        </w:rPr>
        <w:t xml:space="preserve"> </w:t>
      </w:r>
      <w:r w:rsidRPr="00E6210C">
        <w:rPr>
          <w:spacing w:val="-2"/>
        </w:rPr>
        <w:t>at p.</w:t>
      </w:r>
      <w:r w:rsidRPr="00E6210C">
        <w:rPr>
          <w:spacing w:val="-2"/>
        </w:rPr>
        <w:t> </w:t>
      </w:r>
      <w:r w:rsidRPr="00E6210C">
        <w:rPr>
          <w:spacing w:val="-2"/>
        </w:rPr>
        <w:t xml:space="preserve">177.) </w:t>
      </w:r>
      <w:r w:rsidRPr="00E6210C">
        <w:rPr>
          <w:spacing w:val="-2"/>
        </w:rPr>
        <w:t xml:space="preserve"> </w:t>
      </w:r>
      <w:r w:rsidRPr="00E6210C">
        <w:rPr>
          <w:spacing w:val="-2"/>
        </w:rPr>
        <w:t xml:space="preserve">The developer in </w:t>
      </w:r>
      <w:r w:rsidRPr="00E6210C">
        <w:rPr>
          <w:i/>
          <w:iCs/>
          <w:spacing w:val="-2"/>
        </w:rPr>
        <w:t>Riley</w:t>
      </w:r>
      <w:r w:rsidRPr="00E6210C">
        <w:rPr>
          <w:spacing w:val="-2"/>
        </w:rPr>
        <w:t xml:space="preserve"> sold the property in dispute by deed that contained no restrictions, but nine months after the conveyance, the developer recorded a document purporting to impose uniform restrictions on </w:t>
      </w:r>
      <w:proofErr w:type="gramStart"/>
      <w:r w:rsidRPr="00E6210C">
        <w:rPr>
          <w:spacing w:val="-2"/>
        </w:rPr>
        <w:t>a number of</w:t>
      </w:r>
      <w:proofErr w:type="gramEnd"/>
      <w:r w:rsidRPr="00E6210C">
        <w:rPr>
          <w:spacing w:val="-2"/>
        </w:rPr>
        <w:t xml:space="preserve"> lots, including the one in dispute. </w:t>
      </w:r>
      <w:r w:rsidRPr="00E6210C">
        <w:rPr>
          <w:spacing w:val="-2"/>
        </w:rPr>
        <w:t xml:space="preserve"> </w:t>
      </w:r>
      <w:r w:rsidRPr="00E6210C">
        <w:rPr>
          <w:spacing w:val="-2"/>
        </w:rPr>
        <w:t>(</w:t>
      </w:r>
      <w:r w:rsidRPr="00E6210C">
        <w:rPr>
          <w:i/>
          <w:iCs/>
          <w:spacing w:val="-2"/>
        </w:rPr>
        <w:t>Riley</w:t>
      </w:r>
      <w:r w:rsidRPr="00E6210C">
        <w:rPr>
          <w:spacing w:val="-2"/>
        </w:rPr>
        <w:t xml:space="preserve">, </w:t>
      </w:r>
      <w:r w:rsidRPr="00E6210C">
        <w:rPr>
          <w:i/>
          <w:iCs/>
          <w:spacing w:val="-2"/>
        </w:rPr>
        <w:t>supra</w:t>
      </w:r>
      <w:r w:rsidRPr="00E6210C">
        <w:rPr>
          <w:spacing w:val="-2"/>
        </w:rPr>
        <w:t>,</w:t>
      </w:r>
      <w:r w:rsidRPr="00E6210C">
        <w:rPr>
          <w:i/>
          <w:iCs/>
          <w:spacing w:val="-2"/>
        </w:rPr>
        <w:t xml:space="preserve"> </w:t>
      </w:r>
      <w:r w:rsidRPr="00E6210C">
        <w:rPr>
          <w:spacing w:val="-2"/>
        </w:rPr>
        <w:t>at p.</w:t>
      </w:r>
      <w:r w:rsidRPr="00E6210C">
        <w:rPr>
          <w:spacing w:val="-2"/>
        </w:rPr>
        <w:t> </w:t>
      </w:r>
      <w:r w:rsidRPr="00E6210C">
        <w:rPr>
          <w:spacing w:val="-2"/>
        </w:rPr>
        <w:t xml:space="preserve">504.) </w:t>
      </w:r>
      <w:r w:rsidRPr="00E6210C">
        <w:rPr>
          <w:spacing w:val="-2"/>
        </w:rPr>
        <w:t xml:space="preserve"> </w:t>
      </w:r>
      <w:r w:rsidRPr="00E6210C">
        <w:rPr>
          <w:spacing w:val="-2"/>
        </w:rPr>
        <w:t xml:space="preserve">In both </w:t>
      </w:r>
      <w:r w:rsidRPr="00E6210C">
        <w:rPr>
          <w:i/>
          <w:iCs/>
          <w:spacing w:val="-2"/>
        </w:rPr>
        <w:t xml:space="preserve">Werner </w:t>
      </w:r>
      <w:r w:rsidRPr="00E6210C">
        <w:rPr>
          <w:spacing w:val="-2"/>
        </w:rPr>
        <w:t xml:space="preserve">and </w:t>
      </w:r>
      <w:r w:rsidRPr="00E6210C">
        <w:rPr>
          <w:i/>
          <w:iCs/>
          <w:spacing w:val="-2"/>
        </w:rPr>
        <w:t>Riley</w:t>
      </w:r>
      <w:r w:rsidRPr="00E6210C">
        <w:rPr>
          <w:spacing w:val="-2"/>
        </w:rPr>
        <w:t>,</w:t>
      </w:r>
      <w:r w:rsidRPr="00E6210C">
        <w:rPr>
          <w:i/>
          <w:iCs/>
          <w:spacing w:val="-2"/>
        </w:rPr>
        <w:t xml:space="preserve"> </w:t>
      </w:r>
      <w:r w:rsidRPr="00E6210C">
        <w:rPr>
          <w:spacing w:val="-2"/>
        </w:rPr>
        <w:t>the Supreme Court held the propert</w:t>
      </w:r>
      <w:r w:rsidRPr="00E6210C">
        <w:rPr>
          <w:spacing w:val="-2"/>
        </w:rPr>
        <w:t>ies were</w:t>
      </w:r>
      <w:r w:rsidRPr="00E6210C">
        <w:rPr>
          <w:spacing w:val="-2"/>
        </w:rPr>
        <w:t xml:space="preserve"> not bound by the restrictions. </w:t>
      </w:r>
      <w:r w:rsidRPr="00E6210C">
        <w:rPr>
          <w:spacing w:val="-2"/>
        </w:rPr>
        <w:t xml:space="preserve"> </w:t>
      </w:r>
      <w:r w:rsidRPr="00E6210C">
        <w:rPr>
          <w:spacing w:val="-2"/>
        </w:rPr>
        <w:t xml:space="preserve">In </w:t>
      </w:r>
      <w:r w:rsidRPr="00E6210C">
        <w:rPr>
          <w:i/>
          <w:iCs/>
          <w:spacing w:val="-2"/>
        </w:rPr>
        <w:t>Werner</w:t>
      </w:r>
      <w:r w:rsidRPr="00E6210C">
        <w:rPr>
          <w:spacing w:val="-2"/>
        </w:rPr>
        <w:t>, there was no recorded document imposin</w:t>
      </w:r>
      <w:r w:rsidRPr="00E6210C">
        <w:rPr>
          <w:spacing w:val="-2"/>
        </w:rPr>
        <w:t>g uniform restrictions on the entire subdivision, only individual deeds imposing restrictions on specific parcels</w:t>
      </w:r>
      <w:r w:rsidRPr="00E6210C">
        <w:rPr>
          <w:spacing w:val="-2"/>
        </w:rPr>
        <w:t>.</w:t>
      </w:r>
      <w:r w:rsidRPr="00E6210C">
        <w:rPr>
          <w:spacing w:val="-2"/>
        </w:rPr>
        <w:t xml:space="preserve"> </w:t>
      </w:r>
      <w:r w:rsidRPr="00E6210C">
        <w:rPr>
          <w:spacing w:val="-2"/>
        </w:rPr>
        <w:t xml:space="preserve"> I</w:t>
      </w:r>
      <w:r w:rsidRPr="00E6210C">
        <w:rPr>
          <w:spacing w:val="-2"/>
        </w:rPr>
        <w:t xml:space="preserve">n </w:t>
      </w:r>
      <w:r w:rsidRPr="00E6210C">
        <w:rPr>
          <w:i/>
          <w:iCs/>
          <w:spacing w:val="-2"/>
        </w:rPr>
        <w:t>Riley</w:t>
      </w:r>
      <w:r w:rsidRPr="00E6210C">
        <w:rPr>
          <w:spacing w:val="-2"/>
        </w:rPr>
        <w:t xml:space="preserve">, the restrictions were recorded after the conveyance at issue. </w:t>
      </w:r>
    </w:p>
    <w:p w14:paraId="54BEBAC7" w14:textId="77777777" w:rsidR="00B2782B" w:rsidRPr="00E6210C" w:rsidRDefault="00B2782B" w:rsidP="00223DFA">
      <w:pPr>
        <w:spacing w:after="0" w:line="288" w:lineRule="auto"/>
        <w:rPr>
          <w:spacing w:val="-2"/>
        </w:rPr>
      </w:pPr>
      <w:r w:rsidRPr="00E6210C">
        <w:rPr>
          <w:spacing w:val="-2"/>
        </w:rPr>
        <w:lastRenderedPageBreak/>
        <w:tab/>
      </w:r>
      <w:r w:rsidRPr="00E6210C">
        <w:rPr>
          <w:spacing w:val="-2"/>
        </w:rPr>
        <w:t>Here, a</w:t>
      </w:r>
      <w:r w:rsidRPr="00E6210C">
        <w:rPr>
          <w:spacing w:val="-2"/>
        </w:rPr>
        <w:t xml:space="preserve">pplying the rule </w:t>
      </w:r>
      <w:r w:rsidRPr="00E6210C">
        <w:rPr>
          <w:spacing w:val="-2"/>
        </w:rPr>
        <w:t>recognized in</w:t>
      </w:r>
      <w:r w:rsidRPr="00E6210C">
        <w:rPr>
          <w:spacing w:val="-2"/>
        </w:rPr>
        <w:t xml:space="preserve"> </w:t>
      </w:r>
      <w:r w:rsidRPr="00E6210C">
        <w:rPr>
          <w:i/>
          <w:iCs/>
          <w:spacing w:val="-2"/>
        </w:rPr>
        <w:t xml:space="preserve">Citizens </w:t>
      </w:r>
      <w:r w:rsidRPr="00E6210C">
        <w:rPr>
          <w:spacing w:val="-2"/>
        </w:rPr>
        <w:t xml:space="preserve">and its rationale, </w:t>
      </w:r>
      <w:r w:rsidRPr="00E6210C">
        <w:rPr>
          <w:spacing w:val="-2"/>
        </w:rPr>
        <w:t xml:space="preserve">we conclude the </w:t>
      </w:r>
      <w:r w:rsidRPr="00E6210C">
        <w:rPr>
          <w:spacing w:val="-2"/>
        </w:rPr>
        <w:t>Tree CC</w:t>
      </w:r>
      <w:r w:rsidRPr="00E6210C">
        <w:rPr>
          <w:spacing w:val="-2"/>
        </w:rPr>
        <w:t xml:space="preserve"> of Declaration 150 does not apply to </w:t>
      </w:r>
      <w:proofErr w:type="spellStart"/>
      <w:r w:rsidRPr="00E6210C">
        <w:rPr>
          <w:spacing w:val="-2"/>
        </w:rPr>
        <w:t>Colyear’s</w:t>
      </w:r>
      <w:proofErr w:type="spellEnd"/>
      <w:r w:rsidRPr="00E6210C">
        <w:rPr>
          <w:spacing w:val="-2"/>
        </w:rPr>
        <w:t xml:space="preserve"> propert</w:t>
      </w:r>
      <w:r w:rsidRPr="00E6210C">
        <w:rPr>
          <w:spacing w:val="-2"/>
        </w:rPr>
        <w:t>y</w:t>
      </w:r>
      <w:r w:rsidRPr="00E6210C">
        <w:rPr>
          <w:spacing w:val="-2"/>
        </w:rPr>
        <w:t>.</w:t>
      </w:r>
      <w:r w:rsidRPr="00E6210C">
        <w:rPr>
          <w:spacing w:val="-2"/>
        </w:rPr>
        <w:t xml:space="preserve"> </w:t>
      </w:r>
      <w:r w:rsidRPr="00E6210C">
        <w:rPr>
          <w:spacing w:val="-2"/>
        </w:rPr>
        <w:t xml:space="preserve"> </w:t>
      </w:r>
      <w:r w:rsidRPr="00E6210C">
        <w:rPr>
          <w:spacing w:val="-2"/>
        </w:rPr>
        <w:t xml:space="preserve">First, </w:t>
      </w:r>
      <w:r w:rsidRPr="00E6210C">
        <w:rPr>
          <w:spacing w:val="-2"/>
        </w:rPr>
        <w:t xml:space="preserve">it is undisputed that </w:t>
      </w:r>
      <w:r w:rsidRPr="00E6210C">
        <w:rPr>
          <w:spacing w:val="-2"/>
        </w:rPr>
        <w:t xml:space="preserve">Declaration 150 does not describe </w:t>
      </w:r>
      <w:proofErr w:type="spellStart"/>
      <w:r w:rsidRPr="00E6210C">
        <w:rPr>
          <w:spacing w:val="-2"/>
        </w:rPr>
        <w:t>Colyear’s</w:t>
      </w:r>
      <w:proofErr w:type="spellEnd"/>
      <w:r w:rsidRPr="00E6210C">
        <w:rPr>
          <w:spacing w:val="-2"/>
        </w:rPr>
        <w:t xml:space="preserve"> property</w:t>
      </w:r>
      <w:r w:rsidRPr="00E6210C">
        <w:rPr>
          <w:spacing w:val="-2"/>
        </w:rPr>
        <w:t xml:space="preserve">, as required by </w:t>
      </w:r>
      <w:r w:rsidRPr="00E6210C">
        <w:rPr>
          <w:i/>
          <w:iCs/>
          <w:spacing w:val="-2"/>
        </w:rPr>
        <w:t>Citizens</w:t>
      </w:r>
      <w:r w:rsidRPr="00E6210C">
        <w:rPr>
          <w:spacing w:val="-2"/>
        </w:rPr>
        <w:t xml:space="preserve">. </w:t>
      </w:r>
      <w:r w:rsidRPr="00E6210C">
        <w:rPr>
          <w:spacing w:val="-2"/>
        </w:rPr>
        <w:t xml:space="preserve"> </w:t>
      </w:r>
      <w:r w:rsidRPr="00E6210C">
        <w:rPr>
          <w:spacing w:val="-2"/>
        </w:rPr>
        <w:t xml:space="preserve">This </w:t>
      </w:r>
      <w:r w:rsidRPr="00E6210C">
        <w:rPr>
          <w:spacing w:val="-2"/>
        </w:rPr>
        <w:t>requirement</w:t>
      </w:r>
      <w:r w:rsidRPr="00E6210C">
        <w:rPr>
          <w:spacing w:val="-2"/>
        </w:rPr>
        <w:t xml:space="preserve"> </w:t>
      </w:r>
      <w:r w:rsidRPr="00E6210C">
        <w:rPr>
          <w:spacing w:val="-2"/>
        </w:rPr>
        <w:t xml:space="preserve">defines </w:t>
      </w:r>
      <w:r w:rsidRPr="00E6210C">
        <w:rPr>
          <w:spacing w:val="-2"/>
        </w:rPr>
        <w:t xml:space="preserve">the </w:t>
      </w:r>
      <w:r w:rsidRPr="00E6210C">
        <w:rPr>
          <w:spacing w:val="-2"/>
        </w:rPr>
        <w:t xml:space="preserve">scope of the </w:t>
      </w:r>
      <w:r w:rsidRPr="00E6210C">
        <w:rPr>
          <w:spacing w:val="-2"/>
        </w:rPr>
        <w:t xml:space="preserve">buyer’s implied agreement to any covenant binding the </w:t>
      </w:r>
      <w:r w:rsidRPr="00E6210C">
        <w:rPr>
          <w:spacing w:val="-2"/>
        </w:rPr>
        <w:t>described</w:t>
      </w:r>
      <w:r w:rsidRPr="00E6210C">
        <w:rPr>
          <w:spacing w:val="-2"/>
        </w:rPr>
        <w:t xml:space="preserve"> property.  </w:t>
      </w:r>
      <w:r w:rsidRPr="00E6210C">
        <w:rPr>
          <w:spacing w:val="-2"/>
        </w:rPr>
        <w:t>A</w:t>
      </w:r>
      <w:r w:rsidRPr="00E6210C">
        <w:rPr>
          <w:spacing w:val="-2"/>
        </w:rPr>
        <w:t xml:space="preserve">s originally set forth, </w:t>
      </w:r>
      <w:r w:rsidRPr="00E6210C">
        <w:rPr>
          <w:spacing w:val="-2"/>
        </w:rPr>
        <w:t xml:space="preserve">Declaration 150 </w:t>
      </w:r>
      <w:r w:rsidRPr="00E6210C">
        <w:rPr>
          <w:spacing w:val="-2"/>
        </w:rPr>
        <w:t>covered the narrow strip down the middle</w:t>
      </w:r>
      <w:r w:rsidRPr="00E6210C">
        <w:rPr>
          <w:spacing w:val="-2"/>
        </w:rPr>
        <w:t xml:space="preserve"> of Rolling Hills</w:t>
      </w:r>
      <w:r w:rsidRPr="00E6210C">
        <w:rPr>
          <w:spacing w:val="-2"/>
        </w:rPr>
        <w:t xml:space="preserve">. </w:t>
      </w:r>
      <w:r w:rsidRPr="00E6210C">
        <w:rPr>
          <w:spacing w:val="-2"/>
        </w:rPr>
        <w:t xml:space="preserve"> </w:t>
      </w:r>
      <w:r w:rsidRPr="00E6210C">
        <w:rPr>
          <w:spacing w:val="-2"/>
        </w:rPr>
        <w:t>In l</w:t>
      </w:r>
      <w:r w:rsidRPr="00E6210C">
        <w:rPr>
          <w:spacing w:val="-2"/>
        </w:rPr>
        <w:t>ater years</w:t>
      </w:r>
      <w:r w:rsidRPr="00E6210C">
        <w:rPr>
          <w:spacing w:val="-2"/>
        </w:rPr>
        <w:t>,</w:t>
      </w:r>
      <w:r w:rsidRPr="00E6210C">
        <w:rPr>
          <w:spacing w:val="-2"/>
        </w:rPr>
        <w:t xml:space="preserve"> </w:t>
      </w:r>
      <w:r w:rsidRPr="00E6210C">
        <w:rPr>
          <w:spacing w:val="-2"/>
        </w:rPr>
        <w:t xml:space="preserve">as PVC expanded the Rolling Hills development, </w:t>
      </w:r>
      <w:r w:rsidRPr="00E6210C">
        <w:rPr>
          <w:spacing w:val="-2"/>
        </w:rPr>
        <w:t xml:space="preserve">additional </w:t>
      </w:r>
      <w:r w:rsidRPr="00E6210C">
        <w:rPr>
          <w:spacing w:val="-2"/>
        </w:rPr>
        <w:t>declarations were made</w:t>
      </w:r>
      <w:r w:rsidRPr="00E6210C">
        <w:rPr>
          <w:spacing w:val="-2"/>
        </w:rPr>
        <w:t xml:space="preserve">, including Declaration 150-M governing </w:t>
      </w:r>
      <w:proofErr w:type="spellStart"/>
      <w:r w:rsidRPr="00E6210C">
        <w:rPr>
          <w:spacing w:val="-2"/>
        </w:rPr>
        <w:t>Colyear’s</w:t>
      </w:r>
      <w:proofErr w:type="spellEnd"/>
      <w:r w:rsidRPr="00E6210C">
        <w:rPr>
          <w:spacing w:val="-2"/>
        </w:rPr>
        <w:t xml:space="preserve"> property</w:t>
      </w:r>
      <w:r w:rsidRPr="00E6210C">
        <w:rPr>
          <w:spacing w:val="-2"/>
        </w:rPr>
        <w:t>.</w:t>
      </w:r>
      <w:r w:rsidRPr="00E6210C">
        <w:rPr>
          <w:spacing w:val="-2"/>
        </w:rPr>
        <w:t xml:space="preserve">  </w:t>
      </w:r>
      <w:r w:rsidRPr="00E6210C">
        <w:rPr>
          <w:spacing w:val="-2"/>
        </w:rPr>
        <w:t xml:space="preserve">Neither </w:t>
      </w:r>
      <w:proofErr w:type="spellStart"/>
      <w:r w:rsidRPr="00E6210C">
        <w:rPr>
          <w:spacing w:val="-2"/>
        </w:rPr>
        <w:t>Colyear’s</w:t>
      </w:r>
      <w:proofErr w:type="spellEnd"/>
      <w:r w:rsidRPr="00E6210C">
        <w:rPr>
          <w:spacing w:val="-2"/>
        </w:rPr>
        <w:t xml:space="preserve"> deeds nor his title reports reference Declaration 150</w:t>
      </w:r>
      <w:r w:rsidRPr="00E6210C">
        <w:rPr>
          <w:spacing w:val="-2"/>
        </w:rPr>
        <w:t xml:space="preserve">, but </w:t>
      </w:r>
      <w:r w:rsidRPr="00E6210C">
        <w:rPr>
          <w:spacing w:val="-2"/>
        </w:rPr>
        <w:t>they reference Declaration 150-M</w:t>
      </w:r>
      <w:r w:rsidRPr="00E6210C">
        <w:rPr>
          <w:spacing w:val="-2"/>
        </w:rPr>
        <w:t xml:space="preserve">. </w:t>
      </w:r>
      <w:r w:rsidRPr="00E6210C">
        <w:rPr>
          <w:spacing w:val="-2"/>
        </w:rPr>
        <w:t xml:space="preserve"> </w:t>
      </w:r>
      <w:r w:rsidRPr="00E6210C">
        <w:rPr>
          <w:spacing w:val="-2"/>
        </w:rPr>
        <w:t xml:space="preserve">As a result, </w:t>
      </w:r>
      <w:r w:rsidRPr="00E6210C">
        <w:rPr>
          <w:spacing w:val="-2"/>
        </w:rPr>
        <w:t xml:space="preserve">under </w:t>
      </w:r>
      <w:proofErr w:type="gramStart"/>
      <w:r w:rsidRPr="00E6210C">
        <w:rPr>
          <w:i/>
          <w:iCs/>
          <w:spacing w:val="-2"/>
        </w:rPr>
        <w:t>Citizens</w:t>
      </w:r>
      <w:proofErr w:type="gramEnd"/>
      <w:r w:rsidRPr="00E6210C">
        <w:rPr>
          <w:i/>
          <w:iCs/>
          <w:spacing w:val="-2"/>
        </w:rPr>
        <w:t xml:space="preserve">, </w:t>
      </w:r>
      <w:proofErr w:type="spellStart"/>
      <w:r w:rsidRPr="00E6210C">
        <w:rPr>
          <w:spacing w:val="-2"/>
        </w:rPr>
        <w:t>Colye</w:t>
      </w:r>
      <w:r w:rsidRPr="00E6210C">
        <w:rPr>
          <w:spacing w:val="-2"/>
        </w:rPr>
        <w:t>a</w:t>
      </w:r>
      <w:r w:rsidRPr="00E6210C">
        <w:rPr>
          <w:spacing w:val="-2"/>
        </w:rPr>
        <w:t>r</w:t>
      </w:r>
      <w:proofErr w:type="spellEnd"/>
      <w:r w:rsidRPr="00E6210C">
        <w:rPr>
          <w:spacing w:val="-2"/>
        </w:rPr>
        <w:t xml:space="preserve"> did not impliedly agree to </w:t>
      </w:r>
      <w:r w:rsidRPr="00E6210C">
        <w:rPr>
          <w:spacing w:val="-2"/>
        </w:rPr>
        <w:t>be bound by a covenant</w:t>
      </w:r>
      <w:r w:rsidRPr="00E6210C">
        <w:rPr>
          <w:spacing w:val="-2"/>
        </w:rPr>
        <w:t xml:space="preserve"> set forth in Declaration 150</w:t>
      </w:r>
      <w:r w:rsidRPr="00E6210C">
        <w:rPr>
          <w:spacing w:val="-2"/>
        </w:rPr>
        <w:t>.</w:t>
      </w:r>
      <w:r w:rsidRPr="00E6210C">
        <w:rPr>
          <w:spacing w:val="-2"/>
        </w:rPr>
        <w:t xml:space="preserve"> </w:t>
      </w:r>
      <w:r w:rsidRPr="00E6210C">
        <w:rPr>
          <w:spacing w:val="-2"/>
        </w:rPr>
        <w:t xml:space="preserve"> </w:t>
      </w:r>
    </w:p>
    <w:p w14:paraId="34103AE9" w14:textId="77777777" w:rsidR="00B2782B" w:rsidRPr="00E6210C" w:rsidRDefault="00B2782B" w:rsidP="00223DFA">
      <w:pPr>
        <w:spacing w:after="0" w:line="288" w:lineRule="auto"/>
        <w:rPr>
          <w:i/>
          <w:iCs/>
          <w:spacing w:val="-2"/>
        </w:rPr>
      </w:pPr>
    </w:p>
    <w:p w14:paraId="6DB0D595" w14:textId="77777777" w:rsidR="00B2782B" w:rsidRPr="00E6210C" w:rsidRDefault="00B2782B" w:rsidP="00223DFA">
      <w:pPr>
        <w:keepNext/>
        <w:spacing w:after="0" w:line="288" w:lineRule="auto"/>
        <w:rPr>
          <w:i/>
          <w:iCs/>
          <w:spacing w:val="-2"/>
        </w:rPr>
      </w:pPr>
      <w:r w:rsidRPr="00E6210C">
        <w:rPr>
          <w:spacing w:val="-2"/>
        </w:rPr>
        <w:tab/>
      </w:r>
      <w:r w:rsidRPr="00E6210C">
        <w:rPr>
          <w:spacing w:val="-2"/>
        </w:rPr>
        <w:tab/>
        <w:t>b</w:t>
      </w:r>
      <w:r w:rsidRPr="00E6210C">
        <w:rPr>
          <w:i/>
          <w:iCs/>
          <w:spacing w:val="-2"/>
        </w:rPr>
        <w:t>.</w:t>
      </w:r>
      <w:r w:rsidRPr="00E6210C">
        <w:rPr>
          <w:i/>
          <w:iCs/>
          <w:spacing w:val="-2"/>
        </w:rPr>
        <w:tab/>
      </w:r>
      <w:r w:rsidRPr="00E6210C">
        <w:rPr>
          <w:i/>
          <w:iCs/>
          <w:spacing w:val="-2"/>
        </w:rPr>
        <w:t>The Association’s Arguments</w:t>
      </w:r>
      <w:r w:rsidRPr="00E6210C">
        <w:rPr>
          <w:i/>
          <w:iCs/>
          <w:spacing w:val="-2"/>
        </w:rPr>
        <w:t xml:space="preserve"> </w:t>
      </w:r>
    </w:p>
    <w:p w14:paraId="33FEA646" w14:textId="77777777" w:rsidR="00B2782B" w:rsidRPr="00E6210C" w:rsidRDefault="00B2782B" w:rsidP="00223DFA">
      <w:pPr>
        <w:spacing w:after="0" w:line="288" w:lineRule="auto"/>
        <w:rPr>
          <w:spacing w:val="-2"/>
        </w:rPr>
      </w:pPr>
      <w:r w:rsidRPr="00E6210C">
        <w:rPr>
          <w:spacing w:val="-2"/>
        </w:rPr>
        <w:tab/>
      </w:r>
      <w:r w:rsidRPr="00E6210C">
        <w:rPr>
          <w:spacing w:val="-2"/>
        </w:rPr>
        <w:t>Acknowledging</w:t>
      </w:r>
      <w:r w:rsidRPr="00E6210C">
        <w:rPr>
          <w:spacing w:val="-2"/>
        </w:rPr>
        <w:t xml:space="preserve"> that Declaration 150 does not expressly apply to </w:t>
      </w:r>
      <w:proofErr w:type="spellStart"/>
      <w:r w:rsidRPr="00E6210C">
        <w:rPr>
          <w:spacing w:val="-2"/>
        </w:rPr>
        <w:t>Colyear’s</w:t>
      </w:r>
      <w:proofErr w:type="spellEnd"/>
      <w:r w:rsidRPr="00E6210C">
        <w:rPr>
          <w:spacing w:val="-2"/>
        </w:rPr>
        <w:t xml:space="preserve"> property, the </w:t>
      </w:r>
      <w:r w:rsidRPr="00E6210C">
        <w:rPr>
          <w:spacing w:val="-2"/>
        </w:rPr>
        <w:t xml:space="preserve">Association advances several theories </w:t>
      </w:r>
      <w:r w:rsidRPr="00E6210C">
        <w:rPr>
          <w:spacing w:val="-2"/>
        </w:rPr>
        <w:t>to</w:t>
      </w:r>
      <w:r w:rsidRPr="00E6210C">
        <w:rPr>
          <w:spacing w:val="-2"/>
        </w:rPr>
        <w:t xml:space="preserve"> extend the Tree CC to </w:t>
      </w:r>
      <w:proofErr w:type="spellStart"/>
      <w:r w:rsidRPr="00E6210C">
        <w:rPr>
          <w:spacing w:val="-2"/>
        </w:rPr>
        <w:t>Colyear’s</w:t>
      </w:r>
      <w:proofErr w:type="spellEnd"/>
      <w:r w:rsidRPr="00E6210C">
        <w:rPr>
          <w:spacing w:val="-2"/>
        </w:rPr>
        <w:t xml:space="preserve"> property</w:t>
      </w:r>
      <w:r w:rsidRPr="00E6210C">
        <w:rPr>
          <w:spacing w:val="-2"/>
        </w:rPr>
        <w:t xml:space="preserve">: </w:t>
      </w:r>
      <w:r w:rsidRPr="00E6210C">
        <w:rPr>
          <w:spacing w:val="-2"/>
        </w:rPr>
        <w:t>(1</w:t>
      </w:r>
      <w:r w:rsidRPr="00E6210C">
        <w:rPr>
          <w:spacing w:val="-2"/>
        </w:rPr>
        <w:t>)</w:t>
      </w:r>
      <w:r w:rsidRPr="00E6210C">
        <w:rPr>
          <w:spacing w:val="-2"/>
        </w:rPr>
        <w:t> </w:t>
      </w:r>
      <w:r w:rsidRPr="00E6210C">
        <w:rPr>
          <w:spacing w:val="-2"/>
        </w:rPr>
        <w:t xml:space="preserve"> </w:t>
      </w:r>
      <w:r w:rsidRPr="00E6210C">
        <w:rPr>
          <w:spacing w:val="-2"/>
        </w:rPr>
        <w:t>Declaration 150-M’s</w:t>
      </w:r>
      <w:r w:rsidRPr="00E6210C">
        <w:rPr>
          <w:spacing w:val="-2"/>
        </w:rPr>
        <w:t xml:space="preserve"> </w:t>
      </w:r>
      <w:r w:rsidRPr="00E6210C">
        <w:rPr>
          <w:spacing w:val="-2"/>
        </w:rPr>
        <w:t xml:space="preserve">references to Declaration 150 and the General Plan </w:t>
      </w:r>
      <w:r w:rsidRPr="00E6210C">
        <w:t>incorporate</w:t>
      </w:r>
      <w:r w:rsidRPr="00E6210C">
        <w:t xml:space="preserve"> the basic restrictions of </w:t>
      </w:r>
      <w:r w:rsidRPr="00E6210C">
        <w:t>Declaration 150</w:t>
      </w:r>
      <w:r w:rsidRPr="00E6210C">
        <w:t xml:space="preserve">; </w:t>
      </w:r>
      <w:r w:rsidRPr="00E6210C">
        <w:t>(</w:t>
      </w:r>
      <w:r w:rsidRPr="00E6210C">
        <w:t>2</w:t>
      </w:r>
      <w:r w:rsidRPr="00E6210C">
        <w:t>)</w:t>
      </w:r>
      <w:r w:rsidRPr="00E6210C">
        <w:t> t</w:t>
      </w:r>
      <w:r w:rsidRPr="00E6210C">
        <w:t xml:space="preserve">hese references </w:t>
      </w:r>
      <w:r w:rsidRPr="00E6210C">
        <w:t xml:space="preserve">provide constructive or inquiry notice </w:t>
      </w:r>
      <w:r w:rsidRPr="00E6210C">
        <w:t>that</w:t>
      </w:r>
      <w:r w:rsidRPr="00E6210C">
        <w:t xml:space="preserve"> the </w:t>
      </w:r>
      <w:r w:rsidRPr="00E6210C">
        <w:t xml:space="preserve">Tree CC in </w:t>
      </w:r>
      <w:r w:rsidRPr="00E6210C">
        <w:t>Declaration 150 appl</w:t>
      </w:r>
      <w:r w:rsidRPr="00E6210C">
        <w:t>ies</w:t>
      </w:r>
      <w:r w:rsidRPr="00E6210C">
        <w:t xml:space="preserve"> to lands annexed under Declaration 150-M</w:t>
      </w:r>
      <w:r w:rsidRPr="00E6210C">
        <w:t>;</w:t>
      </w:r>
      <w:r w:rsidRPr="00E6210C">
        <w:t xml:space="preserve"> (</w:t>
      </w:r>
      <w:r w:rsidRPr="00E6210C">
        <w:t>3</w:t>
      </w:r>
      <w:r w:rsidRPr="00E6210C">
        <w:t>) the extrinsic evidence at trial establishe</w:t>
      </w:r>
      <w:r w:rsidRPr="00E6210C">
        <w:t>d</w:t>
      </w:r>
      <w:r w:rsidRPr="00E6210C">
        <w:t xml:space="preserve"> that PVC intended to incorporate Declaration 150’s terms into Declaration 150-M;</w:t>
      </w:r>
      <w:r w:rsidRPr="00E6210C">
        <w:t xml:space="preserve"> </w:t>
      </w:r>
      <w:r w:rsidRPr="00E6210C">
        <w:t>(4)</w:t>
      </w:r>
      <w:r w:rsidRPr="00E6210C">
        <w:t> </w:t>
      </w:r>
      <w:r w:rsidRPr="00E6210C">
        <w:t xml:space="preserve">under the </w:t>
      </w:r>
      <w:r w:rsidRPr="00E6210C">
        <w:rPr>
          <w:i/>
          <w:iCs/>
        </w:rPr>
        <w:t>Nunn</w:t>
      </w:r>
      <w:r w:rsidRPr="00E6210C">
        <w:t xml:space="preserve"> and </w:t>
      </w:r>
      <w:r w:rsidRPr="00E6210C">
        <w:rPr>
          <w:i/>
          <w:iCs/>
        </w:rPr>
        <w:t>Russell</w:t>
      </w:r>
      <w:r w:rsidRPr="00E6210C">
        <w:t xml:space="preserve"> cases, the Tree CC should apply; (5)</w:t>
      </w:r>
      <w:r w:rsidRPr="00E6210C">
        <w:t> </w:t>
      </w:r>
      <w:r w:rsidRPr="00E6210C">
        <w:t xml:space="preserve">Resolution 220 makes the Tree CC applicable; </w:t>
      </w:r>
      <w:r w:rsidRPr="00E6210C">
        <w:t xml:space="preserve">and </w:t>
      </w:r>
      <w:r w:rsidRPr="00E6210C">
        <w:t>(</w:t>
      </w:r>
      <w:r w:rsidRPr="00E6210C">
        <w:t>6</w:t>
      </w:r>
      <w:r w:rsidRPr="00E6210C">
        <w:rPr>
          <w:spacing w:val="-2"/>
        </w:rPr>
        <w:t>) </w:t>
      </w:r>
      <w:r w:rsidRPr="00E6210C">
        <w:rPr>
          <w:spacing w:val="-2"/>
        </w:rPr>
        <w:t xml:space="preserve">because </w:t>
      </w:r>
      <w:proofErr w:type="spellStart"/>
      <w:r w:rsidRPr="00E6210C">
        <w:t>Colyear</w:t>
      </w:r>
      <w:proofErr w:type="spellEnd"/>
      <w:r w:rsidRPr="00E6210C">
        <w:t xml:space="preserve"> </w:t>
      </w:r>
      <w:r w:rsidRPr="00E6210C">
        <w:t>benefits from using</w:t>
      </w:r>
      <w:r w:rsidRPr="00E6210C">
        <w:t xml:space="preserve"> Association property</w:t>
      </w:r>
      <w:r w:rsidRPr="00E6210C">
        <w:t xml:space="preserve">, he bears the corresponding burden of </w:t>
      </w:r>
      <w:r w:rsidRPr="00E6210C">
        <w:lastRenderedPageBreak/>
        <w:t xml:space="preserve">complying the Tree CC in </w:t>
      </w:r>
      <w:r w:rsidRPr="00E6210C">
        <w:t>Declaration 150.</w:t>
      </w:r>
      <w:r w:rsidRPr="00E6210C">
        <w:t xml:space="preserve">  </w:t>
      </w:r>
      <w:r w:rsidRPr="00E6210C">
        <w:rPr>
          <w:spacing w:val="-2"/>
        </w:rPr>
        <w:t>T</w:t>
      </w:r>
      <w:r w:rsidRPr="00E6210C">
        <w:rPr>
          <w:spacing w:val="-2"/>
        </w:rPr>
        <w:t xml:space="preserve">hese </w:t>
      </w:r>
      <w:r w:rsidRPr="00E6210C">
        <w:rPr>
          <w:spacing w:val="-2"/>
        </w:rPr>
        <w:t>arguments are unpersuasive</w:t>
      </w:r>
      <w:r w:rsidRPr="00E6210C">
        <w:rPr>
          <w:spacing w:val="-2"/>
        </w:rPr>
        <w:t>.</w:t>
      </w:r>
    </w:p>
    <w:p w14:paraId="4B3D89B2" w14:textId="77777777" w:rsidR="00B2782B" w:rsidRPr="00E6210C" w:rsidRDefault="00B2782B" w:rsidP="00223DFA">
      <w:pPr>
        <w:pStyle w:val="ListParagraph"/>
        <w:numPr>
          <w:ilvl w:val="0"/>
          <w:numId w:val="2"/>
        </w:numPr>
        <w:spacing w:after="0" w:line="288" w:lineRule="auto"/>
        <w:rPr>
          <w:i/>
          <w:iCs/>
          <w:spacing w:val="-2"/>
        </w:rPr>
      </w:pPr>
      <w:r w:rsidRPr="00E6210C">
        <w:rPr>
          <w:i/>
          <w:iCs/>
          <w:spacing w:val="-2"/>
        </w:rPr>
        <w:t>Declaration 150-M</w:t>
      </w:r>
      <w:r w:rsidRPr="00E6210C">
        <w:rPr>
          <w:i/>
          <w:iCs/>
          <w:spacing w:val="-2"/>
        </w:rPr>
        <w:t xml:space="preserve"> </w:t>
      </w:r>
      <w:r w:rsidRPr="00E6210C">
        <w:rPr>
          <w:i/>
          <w:iCs/>
          <w:spacing w:val="-2"/>
        </w:rPr>
        <w:t>Do</w:t>
      </w:r>
      <w:r w:rsidRPr="00E6210C">
        <w:rPr>
          <w:i/>
          <w:iCs/>
          <w:spacing w:val="-2"/>
        </w:rPr>
        <w:t>es</w:t>
      </w:r>
      <w:r w:rsidRPr="00E6210C">
        <w:rPr>
          <w:i/>
          <w:iCs/>
          <w:spacing w:val="-2"/>
        </w:rPr>
        <w:t xml:space="preserve"> Not </w:t>
      </w:r>
      <w:r w:rsidRPr="00E6210C">
        <w:rPr>
          <w:i/>
          <w:iCs/>
          <w:spacing w:val="-2"/>
        </w:rPr>
        <w:t>Incorporate Declaration 150’s Terms</w:t>
      </w:r>
      <w:r w:rsidRPr="00E6210C">
        <w:rPr>
          <w:i/>
          <w:iCs/>
          <w:spacing w:val="-2"/>
        </w:rPr>
        <w:t xml:space="preserve"> </w:t>
      </w:r>
    </w:p>
    <w:p w14:paraId="12D84955" w14:textId="77777777" w:rsidR="00B2782B" w:rsidRPr="00E6210C" w:rsidRDefault="00B2782B" w:rsidP="00223DFA">
      <w:pPr>
        <w:spacing w:after="0" w:line="288" w:lineRule="auto"/>
        <w:rPr>
          <w:spacing w:val="-2"/>
        </w:rPr>
      </w:pPr>
      <w:r w:rsidRPr="00E6210C">
        <w:rPr>
          <w:spacing w:val="-2"/>
        </w:rPr>
        <w:tab/>
      </w:r>
      <w:r w:rsidRPr="00E6210C">
        <w:t>T</w:t>
      </w:r>
      <w:r w:rsidRPr="00E6210C">
        <w:t>he Association argues that</w:t>
      </w:r>
      <w:r w:rsidRPr="00E6210C">
        <w:t xml:space="preserve"> </w:t>
      </w:r>
      <w:r w:rsidRPr="00E6210C">
        <w:t xml:space="preserve">references to Declaration 150 in Declaration 150-M </w:t>
      </w:r>
      <w:r w:rsidRPr="00E6210C">
        <w:t xml:space="preserve">are sufficient to incorporate </w:t>
      </w:r>
      <w:r w:rsidRPr="00E6210C">
        <w:t>the Tree CC</w:t>
      </w:r>
      <w:r w:rsidRPr="00E6210C">
        <w:t xml:space="preserve"> into Declaration 150-M</w:t>
      </w:r>
      <w:r w:rsidRPr="00E6210C">
        <w:t xml:space="preserve">.  </w:t>
      </w:r>
      <w:r w:rsidRPr="00E6210C">
        <w:rPr>
          <w:spacing w:val="-2"/>
        </w:rPr>
        <w:t>We disagree.</w:t>
      </w:r>
    </w:p>
    <w:p w14:paraId="0E82094A" w14:textId="77777777" w:rsidR="00B2782B" w:rsidRPr="00E6210C" w:rsidRDefault="00B2782B" w:rsidP="00223DFA">
      <w:pPr>
        <w:spacing w:after="0" w:line="288" w:lineRule="auto"/>
      </w:pPr>
      <w:r w:rsidRPr="00E6210C">
        <w:tab/>
      </w:r>
      <w:r w:rsidRPr="00E6210C">
        <w:t xml:space="preserve">We turn to contract principles for guidance.  </w:t>
      </w:r>
      <w:r w:rsidRPr="00E6210C">
        <w:t>A contract may incorporate the terms of another contract.  (</w:t>
      </w:r>
      <w:r w:rsidRPr="00E6210C">
        <w:rPr>
          <w:i/>
          <w:iCs/>
        </w:rPr>
        <w:t xml:space="preserve">Shaw v. Regents of the University of California </w:t>
      </w:r>
      <w:r w:rsidRPr="00E6210C">
        <w:t xml:space="preserve">(1997) 58 Cal.App.4th 44, 54.) </w:t>
      </w:r>
      <w:r w:rsidRPr="00E6210C">
        <w:t xml:space="preserve"> </w:t>
      </w:r>
      <w:r w:rsidRPr="00E6210C">
        <w:t>However, the</w:t>
      </w:r>
      <w:r w:rsidRPr="00E6210C">
        <w:t xml:space="preserve"> reference </w:t>
      </w:r>
      <w:r w:rsidRPr="00E6210C">
        <w:t xml:space="preserve">to the </w:t>
      </w:r>
      <w:r w:rsidRPr="00E6210C">
        <w:t xml:space="preserve">other </w:t>
      </w:r>
      <w:r w:rsidRPr="00E6210C">
        <w:t xml:space="preserve">contract or its terms </w:t>
      </w:r>
      <w:r w:rsidRPr="00E6210C">
        <w:t xml:space="preserve">must be clear and unequivocal.  </w:t>
      </w:r>
      <w:r w:rsidRPr="00E6210C">
        <w:t>“‘“</w:t>
      </w:r>
      <w:r w:rsidRPr="00E6210C">
        <w:t>[T]</w:t>
      </w:r>
      <w:r w:rsidRPr="00E6210C">
        <w:t xml:space="preserve">he </w:t>
      </w:r>
      <w:proofErr w:type="gramStart"/>
      <w:r w:rsidRPr="00E6210C">
        <w:t>reference</w:t>
      </w:r>
      <w:proofErr w:type="gramEnd"/>
      <w:r w:rsidRPr="00E6210C">
        <w:t xml:space="preserve"> must be called to the attention of the other party and he must consent thereto, and the terms of the incorporated document must be known or easily available to the contracting parties.</w:t>
      </w:r>
      <w:r w:rsidRPr="00E6210C">
        <w:t>”</w:t>
      </w:r>
      <w:r w:rsidRPr="00E6210C">
        <w:t xml:space="preserve"> </w:t>
      </w:r>
      <w:r w:rsidRPr="00E6210C">
        <w:t xml:space="preserve"> </w:t>
      </w:r>
      <w:r w:rsidRPr="00E6210C">
        <w:t>[Citation.]</w:t>
      </w:r>
      <w:r w:rsidRPr="00E6210C">
        <w:t xml:space="preserve">’”  </w:t>
      </w:r>
      <w:r w:rsidRPr="00E6210C">
        <w:t>(</w:t>
      </w:r>
      <w:r w:rsidRPr="00E6210C">
        <w:rPr>
          <w:i/>
          <w:iCs/>
        </w:rPr>
        <w:t>Ibid.</w:t>
      </w:r>
      <w:r w:rsidRPr="00E6210C">
        <w:t xml:space="preserve">) </w:t>
      </w:r>
      <w:r w:rsidRPr="00E6210C">
        <w:t xml:space="preserve"> </w:t>
      </w:r>
      <w:r w:rsidRPr="00E6210C">
        <w:t>Furthe</w:t>
      </w:r>
      <w:r w:rsidRPr="00E6210C">
        <w:t xml:space="preserve">r, </w:t>
      </w:r>
      <w:r w:rsidRPr="00E6210C">
        <w:t xml:space="preserve">the terms of the contract must be sufficiently certain </w:t>
      </w:r>
      <w:proofErr w:type="gramStart"/>
      <w:r w:rsidRPr="00E6210C">
        <w:t>in order to</w:t>
      </w:r>
      <w:proofErr w:type="gramEnd"/>
      <w:r w:rsidRPr="00E6210C">
        <w:t xml:space="preserve"> provide a basis for determining the existence of a breach and for giving an appropriate remedy.</w:t>
      </w:r>
      <w:r w:rsidRPr="00E6210C">
        <w:t xml:space="preserve"> </w:t>
      </w:r>
      <w:r w:rsidRPr="00E6210C">
        <w:t xml:space="preserve"> </w:t>
      </w:r>
      <w:r w:rsidRPr="00E6210C">
        <w:t>(</w:t>
      </w:r>
      <w:proofErr w:type="spellStart"/>
      <w:r w:rsidRPr="00E6210C">
        <w:rPr>
          <w:i/>
          <w:iCs/>
        </w:rPr>
        <w:t>Weddington</w:t>
      </w:r>
      <w:proofErr w:type="spellEnd"/>
      <w:r w:rsidRPr="00E6210C">
        <w:rPr>
          <w:i/>
          <w:iCs/>
        </w:rPr>
        <w:t xml:space="preserve"> Productions, Inc. v. Flick </w:t>
      </w:r>
      <w:r w:rsidRPr="00E6210C">
        <w:t xml:space="preserve">(1998) 60 Cal.App.4th 793, 811.) </w:t>
      </w:r>
      <w:r w:rsidRPr="00E6210C">
        <w:t xml:space="preserve"> </w:t>
      </w:r>
      <w:r w:rsidRPr="00E6210C">
        <w:t>As a corollary, w</w:t>
      </w:r>
      <w:r w:rsidRPr="00E6210C">
        <w:t>e will not write the parties’ contract for them.</w:t>
      </w:r>
      <w:r w:rsidRPr="00E6210C">
        <w:t xml:space="preserve"> </w:t>
      </w:r>
      <w:r w:rsidRPr="00E6210C">
        <w:t xml:space="preserve"> </w:t>
      </w:r>
      <w:r w:rsidRPr="00E6210C">
        <w:t>(</w:t>
      </w:r>
      <w:r w:rsidRPr="00E6210C">
        <w:rPr>
          <w:i/>
          <w:iCs/>
        </w:rPr>
        <w:t>Industrial Indemnity v. Superior Court</w:t>
      </w:r>
      <w:r w:rsidRPr="00E6210C">
        <w:t xml:space="preserve"> (</w:t>
      </w:r>
      <w:r w:rsidRPr="00E6210C">
        <w:t xml:space="preserve">1990) 224 Cal.App.3d </w:t>
      </w:r>
      <w:r w:rsidRPr="00E6210C">
        <w:t>828, 832</w:t>
      </w:r>
      <w:r w:rsidRPr="00E6210C">
        <w:t xml:space="preserve">.) </w:t>
      </w:r>
    </w:p>
    <w:p w14:paraId="2DAB1355" w14:textId="77777777" w:rsidR="00B2782B" w:rsidRPr="00E6210C" w:rsidRDefault="00B2782B" w:rsidP="00223DFA">
      <w:pPr>
        <w:spacing w:after="0" w:line="288" w:lineRule="auto"/>
      </w:pPr>
      <w:r w:rsidRPr="00E6210C">
        <w:tab/>
      </w:r>
      <w:r w:rsidRPr="00E6210C">
        <w:t xml:space="preserve">In this case, Declaration 150-M does not </w:t>
      </w:r>
      <w:r w:rsidRPr="00E6210C">
        <w:t xml:space="preserve">sufficiently </w:t>
      </w:r>
      <w:r w:rsidRPr="00E6210C">
        <w:t xml:space="preserve">incorporate the </w:t>
      </w:r>
      <w:r w:rsidRPr="00E6210C">
        <w:t xml:space="preserve">Tree CC </w:t>
      </w:r>
      <w:r w:rsidRPr="00E6210C">
        <w:t xml:space="preserve">found </w:t>
      </w:r>
      <w:r w:rsidRPr="00E6210C">
        <w:t xml:space="preserve">in Declaration 150.  </w:t>
      </w:r>
      <w:r w:rsidRPr="00E6210C">
        <w:t xml:space="preserve">First, </w:t>
      </w:r>
      <w:r w:rsidRPr="00E6210C">
        <w:t>unlike other declarations</w:t>
      </w:r>
      <w:r w:rsidRPr="00E6210C">
        <w:t xml:space="preserve"> such as Declaration 150-A</w:t>
      </w:r>
      <w:r w:rsidRPr="00E6210C">
        <w:t xml:space="preserve">, </w:t>
      </w:r>
      <w:r w:rsidRPr="00E6210C">
        <w:t>Declaration 150-M</w:t>
      </w:r>
      <w:r w:rsidRPr="00E6210C">
        <w:t xml:space="preserve"> do</w:t>
      </w:r>
      <w:r w:rsidRPr="00E6210C">
        <w:t>es</w:t>
      </w:r>
      <w:r w:rsidRPr="00E6210C">
        <w:t xml:space="preserve"> not express</w:t>
      </w:r>
      <w:r w:rsidRPr="00E6210C">
        <w:t>ly</w:t>
      </w:r>
      <w:r w:rsidRPr="00E6210C">
        <w:t xml:space="preserve"> incorporate</w:t>
      </w:r>
      <w:r w:rsidRPr="00E6210C">
        <w:t xml:space="preserve"> the restrictions found in </w:t>
      </w:r>
      <w:r w:rsidRPr="00E6210C">
        <w:t>Declaration 150</w:t>
      </w:r>
      <w:r w:rsidRPr="00E6210C">
        <w:t>; to the contrary, the</w:t>
      </w:r>
      <w:r w:rsidRPr="00E6210C">
        <w:t xml:space="preserve"> General Basic Descriptions in Declaration 150-M</w:t>
      </w:r>
      <w:r w:rsidRPr="00E6210C">
        <w:t xml:space="preserve"> duplicate some of </w:t>
      </w:r>
      <w:r w:rsidRPr="00E6210C">
        <w:t xml:space="preserve">Declaration 150’s </w:t>
      </w:r>
      <w:r w:rsidRPr="00E6210C">
        <w:t>General</w:t>
      </w:r>
      <w:r w:rsidRPr="00E6210C">
        <w:t xml:space="preserve"> Basic Restrictions</w:t>
      </w:r>
      <w:r w:rsidRPr="00E6210C">
        <w:t xml:space="preserve"> and omit others</w:t>
      </w:r>
      <w:r w:rsidRPr="00E6210C">
        <w:t>.</w:t>
      </w:r>
      <w:r w:rsidRPr="00E6210C">
        <w:t xml:space="preserve"> </w:t>
      </w:r>
      <w:r w:rsidRPr="00E6210C">
        <w:t xml:space="preserve"> </w:t>
      </w:r>
      <w:r w:rsidRPr="00E6210C">
        <w:t xml:space="preserve">Second, while Declaration 150-M acknowledges that Declaration 150 exists, nowhere is there clear and unequivocal incorporation </w:t>
      </w:r>
      <w:r w:rsidRPr="00E6210C">
        <w:t xml:space="preserve">of </w:t>
      </w:r>
      <w:r w:rsidRPr="00E6210C">
        <w:t xml:space="preserve">Declaration 150 or </w:t>
      </w:r>
      <w:r w:rsidRPr="00E6210C">
        <w:lastRenderedPageBreak/>
        <w:t>its Tree CC</w:t>
      </w:r>
      <w:r w:rsidRPr="00E6210C">
        <w:t xml:space="preserve">.  </w:t>
      </w:r>
      <w:r w:rsidRPr="00E6210C">
        <w:t>For example, t</w:t>
      </w:r>
      <w:r w:rsidRPr="00E6210C">
        <w:t xml:space="preserve">he first reference </w:t>
      </w:r>
      <w:r w:rsidRPr="00E6210C">
        <w:t>to Declaration 150</w:t>
      </w:r>
      <w:r w:rsidRPr="00E6210C">
        <w:t xml:space="preserve"> is </w:t>
      </w:r>
      <w:r w:rsidRPr="00E6210C">
        <w:t xml:space="preserve">to </w:t>
      </w:r>
      <w:r w:rsidRPr="00E6210C">
        <w:t xml:space="preserve">its separate location </w:t>
      </w:r>
      <w:r w:rsidRPr="00E6210C">
        <w:t xml:space="preserve">by </w:t>
      </w:r>
      <w:r w:rsidRPr="00E6210C">
        <w:t xml:space="preserve">Map and Book number. </w:t>
      </w:r>
      <w:r w:rsidRPr="00E6210C">
        <w:t xml:space="preserve"> </w:t>
      </w:r>
      <w:r w:rsidRPr="00E6210C">
        <w:t xml:space="preserve">Declaration 150-M </w:t>
      </w:r>
      <w:r w:rsidRPr="00E6210C">
        <w:t xml:space="preserve">also </w:t>
      </w:r>
      <w:r w:rsidRPr="00E6210C">
        <w:t xml:space="preserve">refers to </w:t>
      </w:r>
      <w:r w:rsidRPr="00E6210C">
        <w:t>PVC’s “</w:t>
      </w:r>
      <w:r w:rsidRPr="00E6210C">
        <w:t>General</w:t>
      </w:r>
      <w:r w:rsidRPr="00E6210C">
        <w:t xml:space="preserve"> Plan” and </w:t>
      </w:r>
      <w:r w:rsidRPr="00E6210C">
        <w:t>the Association</w:t>
      </w:r>
      <w:r w:rsidRPr="00E6210C">
        <w:t>’s</w:t>
      </w:r>
      <w:r w:rsidRPr="00E6210C">
        <w:t xml:space="preserve"> power t</w:t>
      </w:r>
      <w:r w:rsidRPr="00E6210C">
        <w:t>o</w:t>
      </w:r>
      <w:r w:rsidRPr="00E6210C">
        <w:t xml:space="preserve"> interpret and enforce covenants imposed </w:t>
      </w:r>
      <w:r w:rsidRPr="00E6210C">
        <w:t xml:space="preserve">on tracts covered </w:t>
      </w:r>
      <w:r w:rsidRPr="00E6210C">
        <w:t>by Declaration 150</w:t>
      </w:r>
      <w:r w:rsidRPr="00E6210C">
        <w:t xml:space="preserve">, but </w:t>
      </w:r>
      <w:r w:rsidRPr="00E6210C">
        <w:t>t</w:t>
      </w:r>
      <w:r w:rsidRPr="00E6210C">
        <w:t>his</w:t>
      </w:r>
      <w:r w:rsidRPr="00E6210C">
        <w:t xml:space="preserve"> </w:t>
      </w:r>
      <w:r w:rsidRPr="00E6210C">
        <w:t>simp</w:t>
      </w:r>
      <w:r w:rsidRPr="00E6210C">
        <w:t>ly re</w:t>
      </w:r>
      <w:r w:rsidRPr="00E6210C">
        <w:t>cites</w:t>
      </w:r>
      <w:r w:rsidRPr="00E6210C">
        <w:t xml:space="preserve"> the Association’s powers </w:t>
      </w:r>
      <w:r w:rsidRPr="00E6210C">
        <w:t>as to tracts covered by</w:t>
      </w:r>
      <w:r w:rsidRPr="00E6210C">
        <w:t xml:space="preserve"> Declarat</w:t>
      </w:r>
      <w:r w:rsidRPr="00E6210C">
        <w:t>ion 150</w:t>
      </w:r>
      <w:r w:rsidRPr="00E6210C">
        <w:t>.  I</w:t>
      </w:r>
      <w:r w:rsidRPr="00E6210C">
        <w:t>t does not state that Declaration 150</w:t>
      </w:r>
      <w:r w:rsidRPr="00E6210C">
        <w:t xml:space="preserve">’s covenants apply to tracts covered by </w:t>
      </w:r>
      <w:r w:rsidRPr="00E6210C">
        <w:t>Declaration 150-M</w:t>
      </w:r>
      <w:r w:rsidRPr="00E6210C">
        <w:t>.</w:t>
      </w:r>
      <w:r w:rsidRPr="00E6210C">
        <w:t xml:space="preserve"> </w:t>
      </w:r>
      <w:r w:rsidRPr="00E6210C">
        <w:t xml:space="preserve"> </w:t>
      </w:r>
      <w:r w:rsidRPr="00E6210C">
        <w:t>F</w:t>
      </w:r>
      <w:r w:rsidRPr="00E6210C">
        <w:t>inally</w:t>
      </w:r>
      <w:r w:rsidRPr="00E6210C">
        <w:t xml:space="preserve">, </w:t>
      </w:r>
      <w:r w:rsidRPr="00E6210C">
        <w:t xml:space="preserve">Declaration 150-M </w:t>
      </w:r>
      <w:r w:rsidRPr="00E6210C">
        <w:t>provides that</w:t>
      </w:r>
      <w:r w:rsidRPr="00E6210C">
        <w:t xml:space="preserve"> under Article IV, section 5 of Declaration 150, </w:t>
      </w:r>
      <w:r w:rsidRPr="00E6210C">
        <w:t xml:space="preserve">PVC can </w:t>
      </w:r>
      <w:r w:rsidRPr="00E6210C">
        <w:t xml:space="preserve">annex more tracts to be governed by Declarations that are to be </w:t>
      </w:r>
      <w:r w:rsidRPr="00E6210C">
        <w:t xml:space="preserve">later </w:t>
      </w:r>
      <w:r w:rsidRPr="00E6210C">
        <w:t>recorded</w:t>
      </w:r>
      <w:r w:rsidRPr="00E6210C">
        <w:t>.  That is</w:t>
      </w:r>
      <w:r w:rsidRPr="00E6210C">
        <w:t xml:space="preserve"> what occurred here</w:t>
      </w:r>
      <w:r w:rsidRPr="00E6210C">
        <w:t xml:space="preserve">: </w:t>
      </w:r>
      <w:proofErr w:type="spellStart"/>
      <w:r w:rsidRPr="00E6210C">
        <w:t>Colyear’s</w:t>
      </w:r>
      <w:proofErr w:type="spellEnd"/>
      <w:r w:rsidRPr="00E6210C">
        <w:t xml:space="preserve"> property was annexed</w:t>
      </w:r>
      <w:r w:rsidRPr="00E6210C">
        <w:t>,</w:t>
      </w:r>
      <w:r w:rsidRPr="00E6210C">
        <w:t xml:space="preserve"> and Declaration 150-M was recorded to govern it</w:t>
      </w:r>
      <w:r w:rsidRPr="00E6210C">
        <w:t xml:space="preserve">. </w:t>
      </w:r>
      <w:r w:rsidRPr="00E6210C">
        <w:t xml:space="preserve"> </w:t>
      </w:r>
      <w:r w:rsidRPr="00E6210C">
        <w:t>These references are not sufficiently clear</w:t>
      </w:r>
      <w:r w:rsidRPr="00E6210C">
        <w:t>, unequivocal,</w:t>
      </w:r>
      <w:r w:rsidRPr="00E6210C">
        <w:t xml:space="preserve"> or certain to incorporate Declaration 150’s Tree CC into Declaration 150-M. </w:t>
      </w:r>
      <w:r w:rsidRPr="00E6210C">
        <w:t xml:space="preserve">  </w:t>
      </w:r>
    </w:p>
    <w:p w14:paraId="1711673E" w14:textId="77777777" w:rsidR="00B2782B" w:rsidRPr="00E6210C" w:rsidRDefault="00B2782B" w:rsidP="00223DFA">
      <w:pPr>
        <w:spacing w:after="0" w:line="288" w:lineRule="auto"/>
      </w:pPr>
    </w:p>
    <w:p w14:paraId="11B27451" w14:textId="77777777" w:rsidR="00B2782B" w:rsidRPr="00E6210C" w:rsidRDefault="00B2782B" w:rsidP="00223DFA">
      <w:pPr>
        <w:pStyle w:val="ListParagraph"/>
        <w:keepNext/>
        <w:numPr>
          <w:ilvl w:val="0"/>
          <w:numId w:val="2"/>
        </w:numPr>
        <w:spacing w:after="0" w:line="288" w:lineRule="auto"/>
        <w:rPr>
          <w:i/>
          <w:iCs/>
          <w:spacing w:val="-2"/>
        </w:rPr>
      </w:pPr>
      <w:r w:rsidRPr="00E6210C">
        <w:rPr>
          <w:i/>
          <w:iCs/>
          <w:spacing w:val="-2"/>
        </w:rPr>
        <w:t>Declaration 150</w:t>
      </w:r>
      <w:r w:rsidRPr="00E6210C">
        <w:rPr>
          <w:i/>
          <w:iCs/>
          <w:spacing w:val="-2"/>
        </w:rPr>
        <w:t xml:space="preserve">-M’s References to Declaration 150 </w:t>
      </w:r>
      <w:r w:rsidRPr="00E6210C">
        <w:rPr>
          <w:i/>
          <w:iCs/>
          <w:spacing w:val="-2"/>
        </w:rPr>
        <w:t>Did Not</w:t>
      </w:r>
      <w:r w:rsidRPr="00E6210C">
        <w:rPr>
          <w:i/>
          <w:iCs/>
          <w:spacing w:val="-2"/>
        </w:rPr>
        <w:t xml:space="preserve"> </w:t>
      </w:r>
      <w:r w:rsidRPr="00E6210C">
        <w:rPr>
          <w:i/>
          <w:iCs/>
          <w:spacing w:val="-2"/>
        </w:rPr>
        <w:t xml:space="preserve">Otherwise </w:t>
      </w:r>
      <w:r w:rsidRPr="00E6210C">
        <w:rPr>
          <w:i/>
          <w:iCs/>
          <w:spacing w:val="-2"/>
        </w:rPr>
        <w:t xml:space="preserve">Make the Tree CC Applicable to </w:t>
      </w:r>
      <w:proofErr w:type="spellStart"/>
      <w:r w:rsidRPr="00E6210C">
        <w:rPr>
          <w:i/>
          <w:iCs/>
          <w:spacing w:val="-2"/>
        </w:rPr>
        <w:t>Colyear’s</w:t>
      </w:r>
      <w:proofErr w:type="spellEnd"/>
      <w:r w:rsidRPr="00E6210C">
        <w:rPr>
          <w:i/>
          <w:iCs/>
          <w:spacing w:val="-2"/>
        </w:rPr>
        <w:t xml:space="preserve"> Property</w:t>
      </w:r>
      <w:r w:rsidRPr="00E6210C">
        <w:rPr>
          <w:i/>
          <w:iCs/>
          <w:spacing w:val="-2"/>
        </w:rPr>
        <w:t xml:space="preserve"> </w:t>
      </w:r>
    </w:p>
    <w:p w14:paraId="06250326" w14:textId="77777777" w:rsidR="00B2782B" w:rsidRPr="00E6210C" w:rsidRDefault="00B2782B" w:rsidP="00223DFA">
      <w:pPr>
        <w:spacing w:after="0" w:line="288" w:lineRule="auto"/>
        <w:rPr>
          <w:spacing w:val="-2"/>
        </w:rPr>
      </w:pPr>
      <w:r w:rsidRPr="00E6210C">
        <w:rPr>
          <w:spacing w:val="-2"/>
        </w:rPr>
        <w:tab/>
      </w:r>
      <w:r w:rsidRPr="00E6210C">
        <w:t>T</w:t>
      </w:r>
      <w:r w:rsidRPr="00E6210C">
        <w:t xml:space="preserve">he terms of Declaration 150, including the Tree CC, were </w:t>
      </w:r>
      <w:r w:rsidRPr="00E6210C">
        <w:t xml:space="preserve">not recorded against </w:t>
      </w:r>
      <w:proofErr w:type="spellStart"/>
      <w:r w:rsidRPr="00E6210C">
        <w:t>Colyear’s</w:t>
      </w:r>
      <w:proofErr w:type="spellEnd"/>
      <w:r w:rsidRPr="00E6210C">
        <w:t xml:space="preserve"> property.  Nevertheless</w:t>
      </w:r>
      <w:r w:rsidRPr="00E6210C">
        <w:rPr>
          <w:spacing w:val="-2"/>
        </w:rPr>
        <w:t>, t</w:t>
      </w:r>
      <w:r w:rsidRPr="00E6210C">
        <w:rPr>
          <w:spacing w:val="-2"/>
        </w:rPr>
        <w:t xml:space="preserve">he Association </w:t>
      </w:r>
      <w:r w:rsidRPr="00E6210C">
        <w:rPr>
          <w:spacing w:val="-2"/>
        </w:rPr>
        <w:t>assert</w:t>
      </w:r>
      <w:r w:rsidRPr="00E6210C">
        <w:rPr>
          <w:spacing w:val="-2"/>
        </w:rPr>
        <w:t xml:space="preserve">s </w:t>
      </w:r>
      <w:r w:rsidRPr="00E6210C">
        <w:rPr>
          <w:spacing w:val="-2"/>
        </w:rPr>
        <w:t xml:space="preserve">that </w:t>
      </w:r>
      <w:r w:rsidRPr="00E6210C">
        <w:rPr>
          <w:spacing w:val="-2"/>
        </w:rPr>
        <w:t xml:space="preserve">the references </w:t>
      </w:r>
      <w:r w:rsidRPr="00E6210C">
        <w:rPr>
          <w:spacing w:val="-2"/>
        </w:rPr>
        <w:t xml:space="preserve">to Declaration </w:t>
      </w:r>
      <w:r w:rsidRPr="00E6210C">
        <w:rPr>
          <w:spacing w:val="-2"/>
        </w:rPr>
        <w:t xml:space="preserve">150 </w:t>
      </w:r>
      <w:r w:rsidRPr="00E6210C">
        <w:rPr>
          <w:spacing w:val="-2"/>
        </w:rPr>
        <w:t xml:space="preserve">in Declaration 150-M </w:t>
      </w:r>
      <w:r w:rsidRPr="00E6210C">
        <w:rPr>
          <w:spacing w:val="-2"/>
        </w:rPr>
        <w:t xml:space="preserve">were sufficient to </w:t>
      </w:r>
      <w:r w:rsidRPr="00E6210C">
        <w:rPr>
          <w:spacing w:val="-2"/>
        </w:rPr>
        <w:t xml:space="preserve">put </w:t>
      </w:r>
      <w:proofErr w:type="spellStart"/>
      <w:r w:rsidRPr="00E6210C">
        <w:rPr>
          <w:spacing w:val="-2"/>
        </w:rPr>
        <w:t>Colyear</w:t>
      </w:r>
      <w:proofErr w:type="spellEnd"/>
      <w:r w:rsidRPr="00E6210C">
        <w:rPr>
          <w:spacing w:val="-2"/>
        </w:rPr>
        <w:t xml:space="preserve"> on constructive </w:t>
      </w:r>
      <w:r w:rsidRPr="00E6210C">
        <w:rPr>
          <w:spacing w:val="-2"/>
        </w:rPr>
        <w:t xml:space="preserve">or </w:t>
      </w:r>
      <w:r w:rsidRPr="00E6210C">
        <w:rPr>
          <w:spacing w:val="-2"/>
        </w:rPr>
        <w:t>inquiry notice</w:t>
      </w:r>
      <w:r w:rsidRPr="00E6210C">
        <w:rPr>
          <w:spacing w:val="-2"/>
        </w:rPr>
        <w:t xml:space="preserve"> that the Tree CC applied to his property</w:t>
      </w:r>
      <w:r w:rsidRPr="00E6210C">
        <w:rPr>
          <w:spacing w:val="-2"/>
        </w:rPr>
        <w:t xml:space="preserve">. </w:t>
      </w:r>
      <w:r w:rsidRPr="00E6210C">
        <w:rPr>
          <w:spacing w:val="-2"/>
        </w:rPr>
        <w:t xml:space="preserve"> </w:t>
      </w:r>
      <w:r w:rsidRPr="00E6210C">
        <w:rPr>
          <w:spacing w:val="-2"/>
        </w:rPr>
        <w:t xml:space="preserve">According to the Association, </w:t>
      </w:r>
      <w:proofErr w:type="spellStart"/>
      <w:r w:rsidRPr="00E6210C">
        <w:t>Colyear</w:t>
      </w:r>
      <w:proofErr w:type="spellEnd"/>
      <w:r w:rsidRPr="00E6210C">
        <w:t xml:space="preserve"> should have inquired as to what Declaration 150 said, analyzed the competing declarations, and reached the conclusion that the Tree CC applied to his property</w:t>
      </w:r>
      <w:r w:rsidRPr="00E6210C">
        <w:t xml:space="preserve">.  </w:t>
      </w:r>
      <w:r w:rsidRPr="00E6210C">
        <w:t>The Association asserts</w:t>
      </w:r>
      <w:r w:rsidRPr="00E6210C">
        <w:t xml:space="preserve">, </w:t>
      </w:r>
      <w:r w:rsidRPr="00E6210C">
        <w:rPr>
          <w:spacing w:val="-2"/>
        </w:rPr>
        <w:t xml:space="preserve">under </w:t>
      </w:r>
      <w:r w:rsidRPr="00E6210C">
        <w:rPr>
          <w:i/>
          <w:iCs/>
          <w:spacing w:val="-2"/>
        </w:rPr>
        <w:t>Citizens</w:t>
      </w:r>
      <w:r w:rsidRPr="00E6210C">
        <w:rPr>
          <w:spacing w:val="-2"/>
        </w:rPr>
        <w:t xml:space="preserve">, </w:t>
      </w:r>
      <w:r w:rsidRPr="00E6210C">
        <w:rPr>
          <w:spacing w:val="-2"/>
        </w:rPr>
        <w:t xml:space="preserve">this is sufficient to enforce </w:t>
      </w:r>
      <w:r w:rsidRPr="00E6210C">
        <w:t>the Tree CC against hi</w:t>
      </w:r>
      <w:r w:rsidRPr="00E6210C">
        <w:t>s property,</w:t>
      </w:r>
      <w:r w:rsidRPr="00E6210C">
        <w:t xml:space="preserve"> even though the covenant is not in the chain of title.  </w:t>
      </w:r>
      <w:r w:rsidRPr="00E6210C">
        <w:t xml:space="preserve">We </w:t>
      </w:r>
      <w:r w:rsidRPr="00E6210C">
        <w:t>disagree</w:t>
      </w:r>
      <w:r w:rsidRPr="00E6210C">
        <w:rPr>
          <w:spacing w:val="-2"/>
        </w:rPr>
        <w:t xml:space="preserve">.  </w:t>
      </w:r>
    </w:p>
    <w:p w14:paraId="54F6735D" w14:textId="77777777" w:rsidR="00B2782B" w:rsidRPr="00E6210C" w:rsidRDefault="00B2782B" w:rsidP="00223DFA">
      <w:pPr>
        <w:spacing w:after="0" w:line="288" w:lineRule="auto"/>
      </w:pPr>
      <w:r w:rsidRPr="00E6210C">
        <w:rPr>
          <w:spacing w:val="-2"/>
        </w:rPr>
        <w:lastRenderedPageBreak/>
        <w:tab/>
        <w:t xml:space="preserve">As a preliminary matter, the references to Declaration 150 in 150-M did not put </w:t>
      </w:r>
      <w:proofErr w:type="spellStart"/>
      <w:r w:rsidRPr="00E6210C">
        <w:rPr>
          <w:spacing w:val="-2"/>
        </w:rPr>
        <w:t>Colyear</w:t>
      </w:r>
      <w:proofErr w:type="spellEnd"/>
      <w:r w:rsidRPr="00E6210C">
        <w:rPr>
          <w:spacing w:val="-2"/>
        </w:rPr>
        <w:t xml:space="preserve"> </w:t>
      </w:r>
      <w:r w:rsidRPr="00E6210C">
        <w:rPr>
          <w:spacing w:val="-2"/>
        </w:rPr>
        <w:t xml:space="preserve">sufficiently </w:t>
      </w:r>
      <w:r w:rsidRPr="00E6210C">
        <w:rPr>
          <w:spacing w:val="-2"/>
        </w:rPr>
        <w:t>on constructive</w:t>
      </w:r>
      <w:r w:rsidRPr="00E6210C">
        <w:rPr>
          <w:spacing w:val="-2"/>
        </w:rPr>
        <w:t xml:space="preserve"> or inquiry</w:t>
      </w:r>
      <w:r w:rsidRPr="00E6210C">
        <w:rPr>
          <w:spacing w:val="-2"/>
        </w:rPr>
        <w:t xml:space="preserve"> notice of the applicability of the Tree CC.  Constructive notice of a </w:t>
      </w:r>
      <w:proofErr w:type="gramStart"/>
      <w:r w:rsidRPr="00E6210C">
        <w:rPr>
          <w:spacing w:val="-2"/>
        </w:rPr>
        <w:t>lien</w:t>
      </w:r>
      <w:proofErr w:type="gramEnd"/>
      <w:r w:rsidRPr="00E6210C">
        <w:rPr>
          <w:spacing w:val="-2"/>
        </w:rPr>
        <w:t xml:space="preserve">, covenant, or other interest in property arises from the proper recording of that interest.  (Civ. Code, § 1213; </w:t>
      </w:r>
      <w:r w:rsidRPr="00E6210C">
        <w:rPr>
          <w:i/>
          <w:iCs/>
          <w:spacing w:val="-2"/>
        </w:rPr>
        <w:t>Vasquez v. LBS Financial Credit Union</w:t>
      </w:r>
      <w:r w:rsidRPr="00E6210C">
        <w:rPr>
          <w:spacing w:val="-2"/>
        </w:rPr>
        <w:t xml:space="preserve"> (2020) 52 Cal.App.5th 97, 108.)  Civil Code section 1213 provides that </w:t>
      </w:r>
      <w:r w:rsidRPr="00E6210C">
        <w:rPr>
          <w:spacing w:val="-2"/>
        </w:rPr>
        <w:t>“</w:t>
      </w:r>
      <w:r w:rsidRPr="00E6210C">
        <w:rPr>
          <w:spacing w:val="-2"/>
        </w:rPr>
        <w:t>every conveyance of real property</w:t>
      </w:r>
      <w:r w:rsidRPr="00E6210C">
        <w:rPr>
          <w:spacing w:val="-2"/>
        </w:rPr>
        <w:t> . . .</w:t>
      </w:r>
      <w:r w:rsidRPr="00E6210C">
        <w:rPr>
          <w:spacing w:val="-2"/>
        </w:rPr>
        <w:t xml:space="preserve"> recorded as prescribed by law </w:t>
      </w:r>
      <w:r w:rsidRPr="00E6210C">
        <w:rPr>
          <w:spacing w:val="-2"/>
        </w:rPr>
        <w:t>[</w:t>
      </w:r>
      <w:r w:rsidRPr="00E6210C">
        <w:rPr>
          <w:spacing w:val="-2"/>
        </w:rPr>
        <w:t>provides</w:t>
      </w:r>
      <w:r w:rsidRPr="00E6210C">
        <w:rPr>
          <w:spacing w:val="-2"/>
        </w:rPr>
        <w:t>]</w:t>
      </w:r>
      <w:r w:rsidRPr="00E6210C">
        <w:rPr>
          <w:spacing w:val="-2"/>
        </w:rPr>
        <w:t xml:space="preserve"> constructive notice of its contents </w:t>
      </w:r>
      <w:proofErr w:type="gramStart"/>
      <w:r w:rsidRPr="00E6210C">
        <w:rPr>
          <w:spacing w:val="-2"/>
        </w:rPr>
        <w:t>[ ]</w:t>
      </w:r>
      <w:proofErr w:type="gramEnd"/>
      <w:r w:rsidRPr="00E6210C">
        <w:rPr>
          <w:spacing w:val="-2"/>
        </w:rPr>
        <w:t xml:space="preserve"> </w:t>
      </w:r>
      <w:r w:rsidRPr="00E6210C">
        <w:rPr>
          <w:spacing w:val="-2"/>
        </w:rPr>
        <w:t>to subsequent purchasers.”  (</w:t>
      </w:r>
      <w:r w:rsidRPr="00E6210C">
        <w:rPr>
          <w:spacing w:val="-2"/>
        </w:rPr>
        <w:t xml:space="preserve">See </w:t>
      </w:r>
      <w:r w:rsidRPr="00E6210C">
        <w:rPr>
          <w:spacing w:val="-2"/>
        </w:rPr>
        <w:t>Civ.</w:t>
      </w:r>
      <w:r w:rsidRPr="00E6210C">
        <w:rPr>
          <w:spacing w:val="-2"/>
        </w:rPr>
        <w:t xml:space="preserve"> </w:t>
      </w:r>
      <w:r w:rsidRPr="00E6210C">
        <w:rPr>
          <w:spacing w:val="-2"/>
        </w:rPr>
        <w:t>Code, §</w:t>
      </w:r>
      <w:r w:rsidRPr="00E6210C">
        <w:rPr>
          <w:spacing w:val="-2"/>
        </w:rPr>
        <w:t> </w:t>
      </w:r>
      <w:r w:rsidRPr="00E6210C">
        <w:rPr>
          <w:spacing w:val="-2"/>
        </w:rPr>
        <w:t xml:space="preserve">1215.)  A purchaser has inquiry notice where the purchaser “‘has knowledge of circumstances which, upon reasonable inquiry, would lead to that </w:t>
      </w:r>
      <w:proofErr w:type="gramStart"/>
      <w:r w:rsidRPr="00E6210C">
        <w:rPr>
          <w:spacing w:val="-2"/>
        </w:rPr>
        <w:t>particular fact</w:t>
      </w:r>
      <w:proofErr w:type="gramEnd"/>
      <w:r w:rsidRPr="00E6210C">
        <w:rPr>
          <w:spacing w:val="-2"/>
        </w:rPr>
        <w:t>.’”  (</w:t>
      </w:r>
      <w:r w:rsidRPr="00E6210C">
        <w:rPr>
          <w:i/>
          <w:iCs/>
          <w:spacing w:val="-2"/>
        </w:rPr>
        <w:t>In re Marriage of Cloney</w:t>
      </w:r>
      <w:r w:rsidRPr="00E6210C">
        <w:rPr>
          <w:spacing w:val="-2"/>
        </w:rPr>
        <w:t xml:space="preserve"> (</w:t>
      </w:r>
      <w:r w:rsidRPr="00E6210C">
        <w:rPr>
          <w:spacing w:val="-2"/>
        </w:rPr>
        <w:t>2001</w:t>
      </w:r>
      <w:r w:rsidRPr="00E6210C">
        <w:rPr>
          <w:spacing w:val="-2"/>
        </w:rPr>
        <w:t>) 91 Cal.App.4th 429, 437; see Civ. Code, §</w:t>
      </w:r>
      <w:r w:rsidRPr="00E6210C">
        <w:rPr>
          <w:spacing w:val="-2"/>
        </w:rPr>
        <w:t> </w:t>
      </w:r>
      <w:r w:rsidRPr="00E6210C">
        <w:rPr>
          <w:spacing w:val="-2"/>
        </w:rPr>
        <w:t xml:space="preserve">19.)  As we have discussed, Declaration 150-M did not incorporate Declaration 150 by reference and Declaration 150 was not otherwise recorded against </w:t>
      </w:r>
      <w:proofErr w:type="spellStart"/>
      <w:r w:rsidRPr="00E6210C">
        <w:rPr>
          <w:spacing w:val="-2"/>
        </w:rPr>
        <w:t>Colyear’s</w:t>
      </w:r>
      <w:proofErr w:type="spellEnd"/>
      <w:r w:rsidRPr="00E6210C">
        <w:rPr>
          <w:spacing w:val="-2"/>
        </w:rPr>
        <w:t xml:space="preserve"> property.  Even if </w:t>
      </w:r>
      <w:proofErr w:type="spellStart"/>
      <w:r w:rsidRPr="00E6210C">
        <w:rPr>
          <w:spacing w:val="-2"/>
        </w:rPr>
        <w:t>Colyear</w:t>
      </w:r>
      <w:proofErr w:type="spellEnd"/>
      <w:r w:rsidRPr="00E6210C">
        <w:rPr>
          <w:spacing w:val="-2"/>
        </w:rPr>
        <w:t xml:space="preserve"> had reviewed Declaration 150, given the property description therein, he could have con</w:t>
      </w:r>
      <w:r w:rsidRPr="00E6210C">
        <w:rPr>
          <w:spacing w:val="-2"/>
        </w:rPr>
        <w:t xml:space="preserve">cluded it applied to a different section of Rolling Hills.  This conclusion would have been confirmed by </w:t>
      </w:r>
      <w:r w:rsidRPr="00E6210C">
        <w:rPr>
          <w:spacing w:val="-2"/>
        </w:rPr>
        <w:t>the Association in 2002 when it stated the Tree CC was not enforceable against his property.</w:t>
      </w:r>
    </w:p>
    <w:p w14:paraId="0DB49739" w14:textId="77777777" w:rsidR="00B2782B" w:rsidRPr="00E6210C" w:rsidRDefault="00B2782B" w:rsidP="00223DFA">
      <w:pPr>
        <w:spacing w:after="0" w:line="288" w:lineRule="auto"/>
      </w:pPr>
      <w:r w:rsidRPr="00E6210C">
        <w:tab/>
      </w:r>
      <w:r w:rsidRPr="00E6210C">
        <w:t xml:space="preserve">Moreover, </w:t>
      </w:r>
      <w:r w:rsidRPr="00E6210C">
        <w:rPr>
          <w:i/>
          <w:iCs/>
        </w:rPr>
        <w:t xml:space="preserve">Citizens </w:t>
      </w:r>
      <w:r w:rsidRPr="00E6210C">
        <w:t xml:space="preserve">does not stand for the proposition that </w:t>
      </w:r>
      <w:r w:rsidRPr="00E6210C">
        <w:t>a</w:t>
      </w:r>
      <w:r w:rsidRPr="00E6210C">
        <w:t xml:space="preserve"> </w:t>
      </w:r>
      <w:r w:rsidRPr="00E6210C">
        <w:t xml:space="preserve">purported </w:t>
      </w:r>
      <w:r w:rsidRPr="00E6210C">
        <w:t>covenant outside the chain of title can be enforced</w:t>
      </w:r>
      <w:r w:rsidRPr="00E6210C">
        <w:t xml:space="preserve"> whenever </w:t>
      </w:r>
      <w:r w:rsidRPr="00E6210C">
        <w:t xml:space="preserve">there is a </w:t>
      </w:r>
      <w:r w:rsidRPr="00E6210C">
        <w:t xml:space="preserve">development with a </w:t>
      </w:r>
      <w:r w:rsidRPr="00E6210C">
        <w:t xml:space="preserve">common grantor. </w:t>
      </w:r>
      <w:r w:rsidRPr="00E6210C">
        <w:t xml:space="preserve"> Although </w:t>
      </w:r>
      <w:r w:rsidRPr="00E6210C">
        <w:t xml:space="preserve">PVC </w:t>
      </w:r>
      <w:r w:rsidRPr="00E6210C">
        <w:t xml:space="preserve">is </w:t>
      </w:r>
      <w:r w:rsidRPr="00E6210C">
        <w:t xml:space="preserve">the </w:t>
      </w:r>
      <w:r w:rsidRPr="00E6210C">
        <w:t xml:space="preserve">common grantor </w:t>
      </w:r>
      <w:r w:rsidRPr="00E6210C">
        <w:t xml:space="preserve">of the Rolling Hills parcels, </w:t>
      </w:r>
      <w:r w:rsidRPr="00E6210C">
        <w:t xml:space="preserve">it </w:t>
      </w:r>
      <w:r w:rsidRPr="00E6210C">
        <w:t xml:space="preserve">conveyed different </w:t>
      </w:r>
      <w:r w:rsidRPr="00E6210C">
        <w:t xml:space="preserve">parcels </w:t>
      </w:r>
      <w:r w:rsidRPr="00E6210C">
        <w:t>under different declaration</w:t>
      </w:r>
      <w:r w:rsidRPr="00E6210C">
        <w:t>s</w:t>
      </w:r>
      <w:r w:rsidRPr="00E6210C">
        <w:t xml:space="preserve">. </w:t>
      </w:r>
      <w:r w:rsidRPr="00E6210C">
        <w:t xml:space="preserve"> A</w:t>
      </w:r>
      <w:r w:rsidRPr="00E6210C">
        <w:t xml:space="preserve">s </w:t>
      </w:r>
      <w:r w:rsidRPr="00E6210C">
        <w:rPr>
          <w:i/>
          <w:iCs/>
        </w:rPr>
        <w:t xml:space="preserve">Citizens </w:t>
      </w:r>
      <w:r w:rsidRPr="00E6210C">
        <w:t>makes clear</w:t>
      </w:r>
      <w:r w:rsidRPr="00E6210C">
        <w:t>,</w:t>
      </w:r>
      <w:r w:rsidRPr="00E6210C">
        <w:t xml:space="preserve"> </w:t>
      </w:r>
      <w:r w:rsidRPr="00E6210C">
        <w:t>a</w:t>
      </w:r>
      <w:r w:rsidRPr="00E6210C">
        <w:t xml:space="preserve"> covenant is created by </w:t>
      </w:r>
      <w:r w:rsidRPr="00E6210C">
        <w:t>implied agreement</w:t>
      </w:r>
      <w:r w:rsidRPr="00E6210C">
        <w:t xml:space="preserve">, </w:t>
      </w:r>
      <w:r w:rsidRPr="00E6210C">
        <w:t xml:space="preserve">which occurs with </w:t>
      </w:r>
      <w:r w:rsidRPr="00E6210C">
        <w:t xml:space="preserve">the </w:t>
      </w:r>
      <w:r w:rsidRPr="00E6210C">
        <w:t xml:space="preserve">recordation of the </w:t>
      </w:r>
      <w:r w:rsidRPr="00E6210C">
        <w:t xml:space="preserve">original </w:t>
      </w:r>
      <w:r w:rsidRPr="00E6210C">
        <w:t xml:space="preserve">declaration on </w:t>
      </w:r>
      <w:r w:rsidRPr="00E6210C">
        <w:t>property</w:t>
      </w:r>
      <w:r w:rsidRPr="00E6210C">
        <w:t xml:space="preserve"> and its acceptance </w:t>
      </w:r>
      <w:r w:rsidRPr="00E6210C">
        <w:t>through conveyance to a</w:t>
      </w:r>
      <w:r w:rsidRPr="00E6210C">
        <w:t xml:space="preserve"> subsequent purchaser</w:t>
      </w:r>
      <w:r w:rsidRPr="00E6210C">
        <w:t>.</w:t>
      </w:r>
      <w:r w:rsidRPr="00E6210C">
        <w:t xml:space="preserve"> </w:t>
      </w:r>
      <w:r w:rsidRPr="00E6210C">
        <w:t xml:space="preserve"> </w:t>
      </w:r>
      <w:r w:rsidRPr="00E6210C">
        <w:t>“‘</w:t>
      </w:r>
      <w:r w:rsidRPr="00E6210C">
        <w:t xml:space="preserve">The burden should be upon the developer to </w:t>
      </w:r>
      <w:r w:rsidRPr="00E6210C">
        <w:t xml:space="preserve">insert </w:t>
      </w:r>
      <w:r w:rsidRPr="00E6210C">
        <w:lastRenderedPageBreak/>
        <w:t>the covenant into the record in a way that it can be easily found</w:t>
      </w:r>
      <w:r w:rsidRPr="00E6210C">
        <w:t>’</w:t>
      </w:r>
      <w:r w:rsidRPr="00E6210C">
        <w:t xml:space="preserve"> and </w:t>
      </w:r>
      <w:r w:rsidRPr="00E6210C">
        <w:t>‘</w:t>
      </w:r>
      <w:r w:rsidRPr="00E6210C">
        <w:t>[a]</w:t>
      </w:r>
      <w:proofErr w:type="spellStart"/>
      <w:r w:rsidRPr="00E6210C">
        <w:t>ll</w:t>
      </w:r>
      <w:proofErr w:type="spellEnd"/>
      <w:r w:rsidRPr="00E6210C">
        <w:t xml:space="preserve"> buyers could easily know exactly what they were purchasing.</w:t>
      </w:r>
      <w:r w:rsidRPr="00E6210C">
        <w:t>’</w:t>
      </w:r>
      <w:r w:rsidRPr="00E6210C">
        <w:t>”  (</w:t>
      </w:r>
      <w:r w:rsidRPr="00E6210C">
        <w:rPr>
          <w:i/>
          <w:iCs/>
        </w:rPr>
        <w:t xml:space="preserve">Citizens, supra, </w:t>
      </w:r>
      <w:r w:rsidRPr="00E6210C">
        <w:t>12 Cal.4th at p.</w:t>
      </w:r>
      <w:r w:rsidRPr="00E6210C">
        <w:t> </w:t>
      </w:r>
      <w:r w:rsidRPr="00E6210C">
        <w:t>365.)  The recordation should be such that a title search reflects the operative declaration.  (</w:t>
      </w:r>
      <w:r w:rsidRPr="00E6210C">
        <w:rPr>
          <w:i/>
          <w:iCs/>
        </w:rPr>
        <w:t>Ibid</w:t>
      </w:r>
      <w:r w:rsidRPr="00E6210C">
        <w:t>.)  Then, when a conveyance is made</w:t>
      </w:r>
      <w:r w:rsidRPr="00E6210C">
        <w:t xml:space="preserve"> </w:t>
      </w:r>
      <w:r w:rsidRPr="00E6210C">
        <w:t>subject to th</w:t>
      </w:r>
      <w:r w:rsidRPr="00E6210C">
        <w:t xml:space="preserve">at </w:t>
      </w:r>
      <w:r w:rsidRPr="00E6210C">
        <w:t>declaration</w:t>
      </w:r>
      <w:r w:rsidRPr="00E6210C">
        <w:t xml:space="preserve">, the buyer can be deemed to have consented to it.  </w:t>
      </w:r>
      <w:r w:rsidRPr="00E6210C">
        <w:t>Here, i</w:t>
      </w:r>
      <w:r w:rsidRPr="00E6210C">
        <w:t>t is undisputed that</w:t>
      </w:r>
      <w:r w:rsidRPr="00E6210C">
        <w:t xml:space="preserve"> the original declaration recorded on </w:t>
      </w:r>
      <w:proofErr w:type="spellStart"/>
      <w:r w:rsidRPr="00E6210C">
        <w:t>Colyear’s</w:t>
      </w:r>
      <w:proofErr w:type="spellEnd"/>
      <w:r w:rsidRPr="00E6210C">
        <w:t xml:space="preserve"> property</w:t>
      </w:r>
      <w:r w:rsidRPr="00E6210C">
        <w:t>,</w:t>
      </w:r>
      <w:r w:rsidRPr="00E6210C">
        <w:t xml:space="preserve"> 150-M, did not contain the Tr</w:t>
      </w:r>
      <w:r w:rsidRPr="00E6210C">
        <w:t>ee CC</w:t>
      </w:r>
      <w:r w:rsidRPr="00E6210C">
        <w:t>.</w:t>
      </w:r>
      <w:r w:rsidRPr="00E6210C">
        <w:t xml:space="preserve">  Thus, under </w:t>
      </w:r>
      <w:r w:rsidRPr="00E6210C">
        <w:rPr>
          <w:i/>
          <w:iCs/>
        </w:rPr>
        <w:t>Citizens</w:t>
      </w:r>
      <w:r w:rsidRPr="00E6210C">
        <w:t xml:space="preserve">, </w:t>
      </w:r>
      <w:proofErr w:type="spellStart"/>
      <w:r w:rsidRPr="00E6210C">
        <w:t>Colyear</w:t>
      </w:r>
      <w:proofErr w:type="spellEnd"/>
      <w:r w:rsidRPr="00E6210C">
        <w:t xml:space="preserve"> </w:t>
      </w:r>
      <w:r w:rsidRPr="00E6210C">
        <w:t>cannot be deemed to have</w:t>
      </w:r>
      <w:r w:rsidRPr="00E6210C">
        <w:t xml:space="preserve"> accept</w:t>
      </w:r>
      <w:r w:rsidRPr="00E6210C">
        <w:t>ed</w:t>
      </w:r>
      <w:r w:rsidRPr="00E6210C">
        <w:t xml:space="preserve"> the Tree CC.  </w:t>
      </w:r>
    </w:p>
    <w:p w14:paraId="641A106A" w14:textId="77777777" w:rsidR="00B2782B" w:rsidRPr="00E6210C" w:rsidRDefault="00B2782B" w:rsidP="00223DFA">
      <w:pPr>
        <w:spacing w:after="0" w:line="288" w:lineRule="auto"/>
      </w:pPr>
    </w:p>
    <w:p w14:paraId="56F4A0E0" w14:textId="77777777" w:rsidR="00B2782B" w:rsidRPr="00E6210C" w:rsidRDefault="00B2782B" w:rsidP="00223DFA">
      <w:pPr>
        <w:keepNext/>
        <w:spacing w:line="288" w:lineRule="auto"/>
      </w:pPr>
      <w:r w:rsidRPr="00E6210C">
        <w:tab/>
      </w:r>
      <w:r w:rsidRPr="00E6210C">
        <w:tab/>
      </w:r>
      <w:r w:rsidRPr="00E6210C">
        <w:tab/>
      </w:r>
      <w:r w:rsidRPr="00E6210C">
        <w:t>(3)</w:t>
      </w:r>
      <w:r w:rsidRPr="00E6210C">
        <w:tab/>
      </w:r>
      <w:r w:rsidRPr="00E6210C">
        <w:rPr>
          <w:i/>
          <w:iCs/>
        </w:rPr>
        <w:t>Extrinsic Evidence of PVC’s Intent</w:t>
      </w:r>
    </w:p>
    <w:p w14:paraId="01CCA093" w14:textId="77777777" w:rsidR="00B2782B" w:rsidRPr="00E6210C" w:rsidRDefault="00B2782B" w:rsidP="00223DFA">
      <w:pPr>
        <w:spacing w:after="0" w:line="288" w:lineRule="auto"/>
        <w:rPr>
          <w:spacing w:val="-2"/>
        </w:rPr>
      </w:pPr>
      <w:r w:rsidRPr="00E6210C">
        <w:tab/>
      </w:r>
      <w:r w:rsidRPr="00E6210C">
        <w:rPr>
          <w:spacing w:val="-2"/>
        </w:rPr>
        <w:t xml:space="preserve">The Association argues the trial court erred in ignoring its extrinsic evidence of PVC’s intent to have a uniform General Plan that </w:t>
      </w:r>
      <w:r w:rsidRPr="00E6210C">
        <w:rPr>
          <w:spacing w:val="-2"/>
        </w:rPr>
        <w:t>would</w:t>
      </w:r>
      <w:r w:rsidRPr="00E6210C">
        <w:rPr>
          <w:spacing w:val="-2"/>
        </w:rPr>
        <w:t xml:space="preserve"> include </w:t>
      </w:r>
      <w:proofErr w:type="gramStart"/>
      <w:r w:rsidRPr="00E6210C">
        <w:rPr>
          <w:spacing w:val="-2"/>
        </w:rPr>
        <w:t>tree</w:t>
      </w:r>
      <w:proofErr w:type="gramEnd"/>
      <w:r w:rsidRPr="00E6210C">
        <w:rPr>
          <w:spacing w:val="-2"/>
        </w:rPr>
        <w:t>-trimming</w:t>
      </w:r>
      <w:r w:rsidRPr="00E6210C">
        <w:rPr>
          <w:spacing w:val="-2"/>
        </w:rPr>
        <w:t xml:space="preserve"> covenants</w:t>
      </w:r>
      <w:r w:rsidRPr="00E6210C">
        <w:rPr>
          <w:spacing w:val="-2"/>
        </w:rPr>
        <w:t xml:space="preserve"> for every property in the </w:t>
      </w:r>
      <w:r w:rsidRPr="00E6210C">
        <w:rPr>
          <w:spacing w:val="-2"/>
        </w:rPr>
        <w:t>development</w:t>
      </w:r>
      <w:r w:rsidRPr="00E6210C">
        <w:rPr>
          <w:spacing w:val="-2"/>
        </w:rPr>
        <w:t xml:space="preserve">. </w:t>
      </w:r>
      <w:r w:rsidRPr="00E6210C">
        <w:rPr>
          <w:spacing w:val="-2"/>
        </w:rPr>
        <w:t xml:space="preserve"> </w:t>
      </w:r>
      <w:r w:rsidRPr="00E6210C">
        <w:rPr>
          <w:spacing w:val="-2"/>
        </w:rPr>
        <w:t>We disagree</w:t>
      </w:r>
      <w:r w:rsidRPr="00E6210C">
        <w:rPr>
          <w:spacing w:val="-2"/>
        </w:rPr>
        <w:t xml:space="preserve"> that such evidence must be considered in defining the scope of the covenant.  </w:t>
      </w:r>
      <w:r w:rsidRPr="00E6210C">
        <w:rPr>
          <w:i/>
          <w:iCs/>
          <w:spacing w:val="-2"/>
        </w:rPr>
        <w:t xml:space="preserve">Citizens </w:t>
      </w:r>
      <w:proofErr w:type="gramStart"/>
      <w:r w:rsidRPr="00E6210C">
        <w:rPr>
          <w:spacing w:val="-2"/>
        </w:rPr>
        <w:t>demonstrates</w:t>
      </w:r>
      <w:proofErr w:type="gramEnd"/>
      <w:r w:rsidRPr="00E6210C">
        <w:rPr>
          <w:spacing w:val="-2"/>
        </w:rPr>
        <w:t xml:space="preserve"> the intent that matters </w:t>
      </w:r>
      <w:proofErr w:type="gramStart"/>
      <w:r w:rsidRPr="00E6210C">
        <w:rPr>
          <w:spacing w:val="-2"/>
        </w:rPr>
        <w:t>is</w:t>
      </w:r>
      <w:proofErr w:type="gramEnd"/>
      <w:r w:rsidRPr="00E6210C">
        <w:rPr>
          <w:spacing w:val="-2"/>
        </w:rPr>
        <w:t xml:space="preserve"> </w:t>
      </w:r>
      <w:r w:rsidRPr="00E6210C">
        <w:rPr>
          <w:spacing w:val="-2"/>
        </w:rPr>
        <w:t>what is</w:t>
      </w:r>
      <w:r w:rsidRPr="00E6210C">
        <w:rPr>
          <w:spacing w:val="-2"/>
        </w:rPr>
        <w:t xml:space="preserve"> expressed in writing in the recorded predecessor documents describ</w:t>
      </w:r>
      <w:r w:rsidRPr="00E6210C">
        <w:rPr>
          <w:spacing w:val="-2"/>
        </w:rPr>
        <w:t>ing</w:t>
      </w:r>
      <w:r w:rsidRPr="00E6210C">
        <w:rPr>
          <w:spacing w:val="-2"/>
        </w:rPr>
        <w:t xml:space="preserve"> the property to be bound.  </w:t>
      </w:r>
      <w:r w:rsidRPr="00E6210C">
        <w:rPr>
          <w:spacing w:val="-2"/>
        </w:rPr>
        <w:t>(</w:t>
      </w:r>
      <w:r w:rsidRPr="00E6210C">
        <w:rPr>
          <w:i/>
          <w:iCs/>
          <w:spacing w:val="-2"/>
        </w:rPr>
        <w:t xml:space="preserve">Citizens, supra, </w:t>
      </w:r>
      <w:r w:rsidRPr="00E6210C">
        <w:rPr>
          <w:spacing w:val="-2"/>
        </w:rPr>
        <w:t>12 Cal.4th at p.</w:t>
      </w:r>
      <w:r w:rsidRPr="00E6210C">
        <w:rPr>
          <w:spacing w:val="-2"/>
        </w:rPr>
        <w:t> </w:t>
      </w:r>
      <w:r w:rsidRPr="00E6210C">
        <w:rPr>
          <w:spacing w:val="-2"/>
        </w:rPr>
        <w:t>366</w:t>
      </w:r>
      <w:r w:rsidRPr="00E6210C">
        <w:rPr>
          <w:i/>
          <w:iCs/>
          <w:spacing w:val="-2"/>
        </w:rPr>
        <w:t>.)</w:t>
      </w:r>
      <w:r w:rsidRPr="00E6210C">
        <w:rPr>
          <w:spacing w:val="-2"/>
        </w:rPr>
        <w:t xml:space="preserve">  </w:t>
      </w:r>
      <w:r w:rsidRPr="00E6210C">
        <w:rPr>
          <w:spacing w:val="-2"/>
        </w:rPr>
        <w:t xml:space="preserve">PVC did not bring its intended General Plan to fruition by recording the necessary documents in conformity with </w:t>
      </w:r>
      <w:r w:rsidRPr="00E6210C">
        <w:rPr>
          <w:i/>
          <w:iCs/>
          <w:spacing w:val="-2"/>
        </w:rPr>
        <w:t xml:space="preserve">Citizens </w:t>
      </w:r>
      <w:r w:rsidRPr="00E6210C">
        <w:rPr>
          <w:spacing w:val="-2"/>
        </w:rPr>
        <w:t xml:space="preserve">on </w:t>
      </w:r>
      <w:proofErr w:type="spellStart"/>
      <w:r w:rsidRPr="00E6210C">
        <w:rPr>
          <w:spacing w:val="-2"/>
        </w:rPr>
        <w:t>Colyear’s</w:t>
      </w:r>
      <w:proofErr w:type="spellEnd"/>
      <w:r w:rsidRPr="00E6210C">
        <w:rPr>
          <w:spacing w:val="-2"/>
        </w:rPr>
        <w:t xml:space="preserve"> property</w:t>
      </w:r>
      <w:r w:rsidRPr="00E6210C">
        <w:rPr>
          <w:i/>
          <w:iCs/>
          <w:spacing w:val="-2"/>
        </w:rPr>
        <w:t xml:space="preserve">. </w:t>
      </w:r>
      <w:r w:rsidRPr="00E6210C">
        <w:rPr>
          <w:i/>
          <w:iCs/>
          <w:spacing w:val="-2"/>
        </w:rPr>
        <w:t xml:space="preserve"> </w:t>
      </w:r>
      <w:r w:rsidRPr="00E6210C">
        <w:rPr>
          <w:spacing w:val="-2"/>
        </w:rPr>
        <w:t xml:space="preserve">As explained in </w:t>
      </w:r>
      <w:r w:rsidRPr="00E6210C">
        <w:rPr>
          <w:i/>
          <w:iCs/>
          <w:spacing w:val="-2"/>
        </w:rPr>
        <w:t>Werner</w:t>
      </w:r>
      <w:r w:rsidRPr="00E6210C">
        <w:rPr>
          <w:spacing w:val="-2"/>
        </w:rPr>
        <w:t xml:space="preserve"> </w:t>
      </w:r>
      <w:r w:rsidRPr="00E6210C">
        <w:rPr>
          <w:spacing w:val="-2"/>
        </w:rPr>
        <w:t xml:space="preserve">and </w:t>
      </w:r>
      <w:r w:rsidRPr="00E6210C">
        <w:rPr>
          <w:i/>
          <w:iCs/>
          <w:spacing w:val="-2"/>
        </w:rPr>
        <w:t>Citizens</w:t>
      </w:r>
      <w:r w:rsidRPr="00E6210C">
        <w:rPr>
          <w:spacing w:val="-2"/>
        </w:rPr>
        <w:t>,</w:t>
      </w:r>
      <w:r w:rsidRPr="00E6210C">
        <w:rPr>
          <w:i/>
          <w:iCs/>
          <w:spacing w:val="-2"/>
        </w:rPr>
        <w:t xml:space="preserve"> </w:t>
      </w:r>
      <w:r w:rsidRPr="00E6210C">
        <w:rPr>
          <w:spacing w:val="-2"/>
        </w:rPr>
        <w:t xml:space="preserve">the sole intent of the common grantor, the original owner, is insufficient.  </w:t>
      </w:r>
      <w:r w:rsidRPr="00E6210C">
        <w:rPr>
          <w:spacing w:val="-2"/>
        </w:rPr>
        <w:t xml:space="preserve">There must be joint intent </w:t>
      </w:r>
      <w:r w:rsidRPr="00E6210C">
        <w:rPr>
          <w:spacing w:val="-2"/>
        </w:rPr>
        <w:t xml:space="preserve">between </w:t>
      </w:r>
      <w:r w:rsidRPr="00E6210C">
        <w:rPr>
          <w:spacing w:val="-2"/>
        </w:rPr>
        <w:t xml:space="preserve">the </w:t>
      </w:r>
      <w:r w:rsidRPr="00E6210C">
        <w:rPr>
          <w:spacing w:val="-2"/>
        </w:rPr>
        <w:t>grantor</w:t>
      </w:r>
      <w:r w:rsidRPr="00E6210C">
        <w:rPr>
          <w:spacing w:val="-2"/>
        </w:rPr>
        <w:t xml:space="preserve"> and the grantees.</w:t>
      </w:r>
      <w:r w:rsidRPr="00E6210C">
        <w:rPr>
          <w:spacing w:val="-2"/>
        </w:rPr>
        <w:t xml:space="preserve">  </w:t>
      </w:r>
      <w:r w:rsidRPr="00E6210C">
        <w:rPr>
          <w:spacing w:val="-2"/>
        </w:rPr>
        <w:t xml:space="preserve">Further, </w:t>
      </w:r>
      <w:r w:rsidRPr="00E6210C">
        <w:rPr>
          <w:i/>
          <w:iCs/>
          <w:spacing w:val="-2"/>
        </w:rPr>
        <w:t xml:space="preserve">Riley </w:t>
      </w:r>
      <w:r w:rsidRPr="00E6210C">
        <w:rPr>
          <w:spacing w:val="-2"/>
        </w:rPr>
        <w:t xml:space="preserve">rejected </w:t>
      </w:r>
      <w:proofErr w:type="spellStart"/>
      <w:r w:rsidRPr="00E6210C">
        <w:rPr>
          <w:spacing w:val="-2"/>
        </w:rPr>
        <w:t>parol</w:t>
      </w:r>
      <w:proofErr w:type="spellEnd"/>
      <w:r w:rsidRPr="00E6210C">
        <w:rPr>
          <w:spacing w:val="-2"/>
        </w:rPr>
        <w:t xml:space="preserve"> evidence to show that the parties in fact intended the property to be subject to restrictions like those later recorded, finding that the covenants must be i</w:t>
      </w:r>
      <w:r w:rsidRPr="00E6210C">
        <w:rPr>
          <w:spacing w:val="-2"/>
        </w:rPr>
        <w:t xml:space="preserve">n writing to be effective. </w:t>
      </w:r>
      <w:r w:rsidRPr="00E6210C">
        <w:rPr>
          <w:spacing w:val="-2"/>
        </w:rPr>
        <w:t xml:space="preserve"> </w:t>
      </w:r>
      <w:r w:rsidRPr="00E6210C">
        <w:rPr>
          <w:spacing w:val="-2"/>
        </w:rPr>
        <w:t>(</w:t>
      </w:r>
      <w:r w:rsidRPr="00E6210C">
        <w:rPr>
          <w:i/>
          <w:iCs/>
          <w:spacing w:val="-2"/>
        </w:rPr>
        <w:t>Riley, supra</w:t>
      </w:r>
      <w:r w:rsidRPr="00E6210C">
        <w:rPr>
          <w:spacing w:val="-2"/>
        </w:rPr>
        <w:t xml:space="preserve">, 17 Cal.3d </w:t>
      </w:r>
      <w:r w:rsidRPr="00E6210C">
        <w:rPr>
          <w:spacing w:val="-2"/>
        </w:rPr>
        <w:t>at p.</w:t>
      </w:r>
      <w:r w:rsidRPr="00E6210C">
        <w:rPr>
          <w:spacing w:val="-2"/>
        </w:rPr>
        <w:t> </w:t>
      </w:r>
      <w:r w:rsidRPr="00E6210C">
        <w:rPr>
          <w:spacing w:val="-2"/>
        </w:rPr>
        <w:t xml:space="preserve">509.) </w:t>
      </w:r>
      <w:r w:rsidRPr="00E6210C">
        <w:rPr>
          <w:spacing w:val="-2"/>
        </w:rPr>
        <w:t xml:space="preserve"> </w:t>
      </w:r>
      <w:r w:rsidRPr="00E6210C">
        <w:rPr>
          <w:spacing w:val="-2"/>
        </w:rPr>
        <w:t xml:space="preserve">A contrary rule “would make important questions of the title to real estate largely </w:t>
      </w:r>
      <w:r w:rsidRPr="00E6210C">
        <w:rPr>
          <w:spacing w:val="-2"/>
        </w:rPr>
        <w:lastRenderedPageBreak/>
        <w:t xml:space="preserve">dependent upon the uncertain recollection and testimony of interested witnesses.” </w:t>
      </w:r>
      <w:r w:rsidRPr="00E6210C">
        <w:rPr>
          <w:spacing w:val="-2"/>
        </w:rPr>
        <w:t xml:space="preserve"> </w:t>
      </w:r>
      <w:r w:rsidRPr="00E6210C">
        <w:rPr>
          <w:spacing w:val="-2"/>
        </w:rPr>
        <w:t>(</w:t>
      </w:r>
      <w:r w:rsidRPr="00E6210C">
        <w:rPr>
          <w:i/>
          <w:iCs/>
          <w:spacing w:val="-2"/>
        </w:rPr>
        <w:t xml:space="preserve">Id. </w:t>
      </w:r>
      <w:r w:rsidRPr="00E6210C">
        <w:rPr>
          <w:spacing w:val="-2"/>
        </w:rPr>
        <w:t>at</w:t>
      </w:r>
      <w:r w:rsidRPr="00E6210C">
        <w:rPr>
          <w:spacing w:val="-2"/>
        </w:rPr>
        <w:t xml:space="preserve"> p.</w:t>
      </w:r>
      <w:r w:rsidRPr="00E6210C">
        <w:rPr>
          <w:spacing w:val="-2"/>
        </w:rPr>
        <w:t> </w:t>
      </w:r>
      <w:r w:rsidRPr="00E6210C">
        <w:rPr>
          <w:spacing w:val="-2"/>
        </w:rPr>
        <w:t>51</w:t>
      </w:r>
      <w:r w:rsidRPr="00E6210C">
        <w:rPr>
          <w:spacing w:val="-2"/>
        </w:rPr>
        <w:t>0</w:t>
      </w:r>
      <w:r w:rsidRPr="00E6210C">
        <w:rPr>
          <w:spacing w:val="-2"/>
        </w:rPr>
        <w:t>.)</w:t>
      </w:r>
    </w:p>
    <w:p w14:paraId="2238C9CC" w14:textId="77777777" w:rsidR="00B2782B" w:rsidRPr="00E6210C" w:rsidRDefault="00B2782B" w:rsidP="00223DFA">
      <w:pPr>
        <w:spacing w:after="0" w:line="288" w:lineRule="auto"/>
        <w:rPr>
          <w:spacing w:val="-2"/>
        </w:rPr>
      </w:pPr>
    </w:p>
    <w:p w14:paraId="77A258E5" w14:textId="77777777" w:rsidR="00B2782B" w:rsidRPr="00E6210C" w:rsidRDefault="00B2782B" w:rsidP="00223DFA">
      <w:pPr>
        <w:pStyle w:val="ListParagraph"/>
        <w:keepNext/>
        <w:numPr>
          <w:ilvl w:val="0"/>
          <w:numId w:val="3"/>
        </w:numPr>
        <w:spacing w:after="0" w:line="288" w:lineRule="auto"/>
        <w:rPr>
          <w:i/>
          <w:iCs/>
          <w:spacing w:val="-2"/>
        </w:rPr>
      </w:pPr>
      <w:r w:rsidRPr="00E6210C">
        <w:rPr>
          <w:i/>
          <w:iCs/>
          <w:spacing w:val="-2"/>
        </w:rPr>
        <w:t xml:space="preserve">Nunn </w:t>
      </w:r>
      <w:r w:rsidRPr="00E6210C">
        <w:rPr>
          <w:spacing w:val="-2"/>
        </w:rPr>
        <w:t>and</w:t>
      </w:r>
      <w:r w:rsidRPr="00E6210C">
        <w:rPr>
          <w:i/>
          <w:iCs/>
          <w:spacing w:val="-2"/>
        </w:rPr>
        <w:t xml:space="preserve"> Russell</w:t>
      </w:r>
    </w:p>
    <w:p w14:paraId="2A394C78" w14:textId="77777777" w:rsidR="00B2782B" w:rsidRPr="00E6210C" w:rsidRDefault="00B2782B" w:rsidP="00223DFA">
      <w:pPr>
        <w:spacing w:after="0" w:line="288" w:lineRule="auto"/>
        <w:rPr>
          <w:spacing w:val="-2"/>
        </w:rPr>
      </w:pPr>
      <w:r w:rsidRPr="00E6210C">
        <w:rPr>
          <w:spacing w:val="-2"/>
        </w:rPr>
        <w:tab/>
      </w:r>
      <w:r w:rsidRPr="00E6210C">
        <w:rPr>
          <w:spacing w:val="-2"/>
        </w:rPr>
        <w:t>T</w:t>
      </w:r>
      <w:r w:rsidRPr="00E6210C">
        <w:rPr>
          <w:spacing w:val="-2"/>
        </w:rPr>
        <w:t xml:space="preserve">o the extent the Association attempts to rely on </w:t>
      </w:r>
      <w:r w:rsidRPr="00E6210C">
        <w:rPr>
          <w:i/>
          <w:iCs/>
          <w:spacing w:val="-2"/>
        </w:rPr>
        <w:t xml:space="preserve">Nunn </w:t>
      </w:r>
      <w:r w:rsidRPr="00E6210C">
        <w:rPr>
          <w:spacing w:val="-2"/>
        </w:rPr>
        <w:t xml:space="preserve">and </w:t>
      </w:r>
      <w:r w:rsidRPr="00E6210C">
        <w:rPr>
          <w:i/>
          <w:iCs/>
          <w:spacing w:val="-2"/>
        </w:rPr>
        <w:t xml:space="preserve">Russell </w:t>
      </w:r>
      <w:r w:rsidRPr="00E6210C">
        <w:rPr>
          <w:spacing w:val="-2"/>
        </w:rPr>
        <w:t xml:space="preserve">to </w:t>
      </w:r>
      <w:proofErr w:type="gramStart"/>
      <w:r w:rsidRPr="00E6210C">
        <w:rPr>
          <w:spacing w:val="-2"/>
        </w:rPr>
        <w:t>contend</w:t>
      </w:r>
      <w:proofErr w:type="gramEnd"/>
      <w:r w:rsidRPr="00E6210C">
        <w:rPr>
          <w:spacing w:val="-2"/>
        </w:rPr>
        <w:t xml:space="preserve"> the Tree CC </w:t>
      </w:r>
      <w:r w:rsidRPr="00E6210C">
        <w:rPr>
          <w:spacing w:val="-2"/>
        </w:rPr>
        <w:t xml:space="preserve">applies </w:t>
      </w:r>
      <w:r w:rsidRPr="00E6210C">
        <w:rPr>
          <w:spacing w:val="-2"/>
        </w:rPr>
        <w:t xml:space="preserve">to </w:t>
      </w:r>
      <w:proofErr w:type="spellStart"/>
      <w:r w:rsidRPr="00E6210C">
        <w:rPr>
          <w:spacing w:val="-2"/>
        </w:rPr>
        <w:t>Colyear’s</w:t>
      </w:r>
      <w:proofErr w:type="spellEnd"/>
      <w:r w:rsidRPr="00E6210C">
        <w:rPr>
          <w:spacing w:val="-2"/>
        </w:rPr>
        <w:t xml:space="preserve"> property, </w:t>
      </w:r>
      <w:r w:rsidRPr="00E6210C">
        <w:rPr>
          <w:spacing w:val="-2"/>
        </w:rPr>
        <w:t>both</w:t>
      </w:r>
      <w:r w:rsidRPr="00E6210C">
        <w:rPr>
          <w:spacing w:val="-2"/>
        </w:rPr>
        <w:t xml:space="preserve"> cases </w:t>
      </w:r>
      <w:r w:rsidRPr="00E6210C">
        <w:rPr>
          <w:spacing w:val="-2"/>
        </w:rPr>
        <w:t xml:space="preserve">are distinguishable.  </w:t>
      </w:r>
      <w:r w:rsidRPr="00E6210C">
        <w:rPr>
          <w:i/>
          <w:iCs/>
          <w:spacing w:val="-2"/>
        </w:rPr>
        <w:t xml:space="preserve">Nunn </w:t>
      </w:r>
      <w:r w:rsidRPr="00E6210C">
        <w:rPr>
          <w:spacing w:val="-2"/>
        </w:rPr>
        <w:t xml:space="preserve">addressed two properties, one with the </w:t>
      </w:r>
      <w:r w:rsidRPr="00E6210C">
        <w:rPr>
          <w:spacing w:val="-2"/>
        </w:rPr>
        <w:t>Tree CC</w:t>
      </w:r>
      <w:r w:rsidRPr="00E6210C">
        <w:rPr>
          <w:spacing w:val="-2"/>
        </w:rPr>
        <w:t xml:space="preserve"> and the other without it, and did not decide </w:t>
      </w:r>
      <w:r w:rsidRPr="00E6210C">
        <w:rPr>
          <w:spacing w:val="-2"/>
        </w:rPr>
        <w:t xml:space="preserve">the issue </w:t>
      </w:r>
      <w:r w:rsidRPr="00E6210C">
        <w:rPr>
          <w:spacing w:val="-2"/>
        </w:rPr>
        <w:t xml:space="preserve">whether the </w:t>
      </w:r>
      <w:r w:rsidRPr="00E6210C">
        <w:rPr>
          <w:spacing w:val="-2"/>
        </w:rPr>
        <w:t>Tree CC</w:t>
      </w:r>
      <w:r w:rsidRPr="00E6210C">
        <w:rPr>
          <w:spacing w:val="-2"/>
        </w:rPr>
        <w:t xml:space="preserve"> applied to the entire community</w:t>
      </w:r>
      <w:r w:rsidRPr="00E6210C">
        <w:rPr>
          <w:spacing w:val="-2"/>
        </w:rPr>
        <w:t xml:space="preserve"> regardless of the language in the individual declarations</w:t>
      </w:r>
      <w:r w:rsidRPr="00E6210C">
        <w:rPr>
          <w:spacing w:val="-2"/>
        </w:rPr>
        <w:t xml:space="preserve">. </w:t>
      </w:r>
      <w:r w:rsidRPr="00E6210C">
        <w:rPr>
          <w:spacing w:val="-2"/>
        </w:rPr>
        <w:t xml:space="preserve"> </w:t>
      </w:r>
      <w:r w:rsidRPr="00E6210C">
        <w:rPr>
          <w:i/>
          <w:iCs/>
          <w:spacing w:val="-2"/>
        </w:rPr>
        <w:t xml:space="preserve">Russell </w:t>
      </w:r>
      <w:r w:rsidRPr="00E6210C">
        <w:rPr>
          <w:spacing w:val="-2"/>
        </w:rPr>
        <w:t xml:space="preserve">did not decide the applicability of the </w:t>
      </w:r>
      <w:r w:rsidRPr="00E6210C">
        <w:rPr>
          <w:spacing w:val="-2"/>
        </w:rPr>
        <w:t>Tree CC</w:t>
      </w:r>
      <w:r w:rsidRPr="00E6210C">
        <w:rPr>
          <w:spacing w:val="-2"/>
        </w:rPr>
        <w:t>.  As</w:t>
      </w:r>
      <w:r w:rsidRPr="00E6210C">
        <w:rPr>
          <w:spacing w:val="-2"/>
        </w:rPr>
        <w:t xml:space="preserve"> our analysis based on </w:t>
      </w:r>
      <w:r w:rsidRPr="00E6210C">
        <w:rPr>
          <w:i/>
          <w:iCs/>
          <w:spacing w:val="-2"/>
        </w:rPr>
        <w:t xml:space="preserve">Citizens </w:t>
      </w:r>
      <w:r w:rsidRPr="00E6210C">
        <w:rPr>
          <w:spacing w:val="-2"/>
        </w:rPr>
        <w:t xml:space="preserve">makes clear, </w:t>
      </w:r>
      <w:r w:rsidRPr="00E6210C">
        <w:rPr>
          <w:i/>
          <w:iCs/>
          <w:spacing w:val="-2"/>
        </w:rPr>
        <w:t xml:space="preserve">Russell’s </w:t>
      </w:r>
      <w:r w:rsidRPr="00E6210C">
        <w:rPr>
          <w:spacing w:val="-2"/>
        </w:rPr>
        <w:t>comment</w:t>
      </w:r>
      <w:r w:rsidRPr="00E6210C">
        <w:rPr>
          <w:spacing w:val="-2"/>
        </w:rPr>
        <w:t>ary</w:t>
      </w:r>
      <w:r w:rsidRPr="00E6210C">
        <w:rPr>
          <w:spacing w:val="-2"/>
        </w:rPr>
        <w:t xml:space="preserve"> on the scope of the General Plan and Declaration 150 </w:t>
      </w:r>
      <w:r w:rsidRPr="00E6210C">
        <w:rPr>
          <w:spacing w:val="-2"/>
        </w:rPr>
        <w:t>is</w:t>
      </w:r>
      <w:r w:rsidRPr="00E6210C">
        <w:rPr>
          <w:spacing w:val="-2"/>
        </w:rPr>
        <w:t xml:space="preserve"> only dicta</w:t>
      </w:r>
      <w:r w:rsidRPr="00E6210C">
        <w:rPr>
          <w:spacing w:val="-2"/>
        </w:rPr>
        <w:t>.</w:t>
      </w:r>
      <w:r w:rsidRPr="00E6210C">
        <w:rPr>
          <w:spacing w:val="-2"/>
        </w:rPr>
        <w:t xml:space="preserve"> </w:t>
      </w:r>
      <w:r w:rsidRPr="00E6210C">
        <w:rPr>
          <w:spacing w:val="-2"/>
        </w:rPr>
        <w:t xml:space="preserve"> </w:t>
      </w:r>
      <w:r w:rsidRPr="00E6210C">
        <w:rPr>
          <w:spacing w:val="-2"/>
        </w:rPr>
        <w:t>(</w:t>
      </w:r>
      <w:r w:rsidRPr="00E6210C">
        <w:rPr>
          <w:i/>
          <w:iCs/>
          <w:spacing w:val="-2"/>
        </w:rPr>
        <w:t>Sonic-Calabasas A, Inc. v. Moreno</w:t>
      </w:r>
      <w:r w:rsidRPr="00E6210C">
        <w:rPr>
          <w:spacing w:val="-2"/>
        </w:rPr>
        <w:t xml:space="preserve"> (2013) 57 Cal.4th 1109, 1158 [</w:t>
      </w:r>
      <w:r w:rsidRPr="00E6210C">
        <w:rPr>
          <w:spacing w:val="-2"/>
        </w:rPr>
        <w:t xml:space="preserve">an </w:t>
      </w:r>
      <w:r w:rsidRPr="00E6210C">
        <w:rPr>
          <w:spacing w:val="-2"/>
        </w:rPr>
        <w:t xml:space="preserve">appellate decision is not authority for everything said in the court’s </w:t>
      </w:r>
      <w:r w:rsidRPr="00E6210C">
        <w:rPr>
          <w:spacing w:val="-2"/>
        </w:rPr>
        <w:t xml:space="preserve">opinion but only for the points involved and </w:t>
      </w:r>
      <w:proofErr w:type="gramStart"/>
      <w:r w:rsidRPr="00E6210C">
        <w:rPr>
          <w:spacing w:val="-2"/>
        </w:rPr>
        <w:t>actually decided</w:t>
      </w:r>
      <w:proofErr w:type="gramEnd"/>
      <w:r w:rsidRPr="00E6210C">
        <w:rPr>
          <w:spacing w:val="-2"/>
        </w:rPr>
        <w:t>]</w:t>
      </w:r>
      <w:r w:rsidRPr="00E6210C">
        <w:rPr>
          <w:spacing w:val="-2"/>
        </w:rPr>
        <w:t>.)</w:t>
      </w:r>
    </w:p>
    <w:p w14:paraId="7337540F" w14:textId="77777777" w:rsidR="00B2782B" w:rsidRPr="00E6210C" w:rsidRDefault="00B2782B" w:rsidP="00223DFA">
      <w:pPr>
        <w:spacing w:after="0" w:line="288" w:lineRule="auto"/>
        <w:rPr>
          <w:spacing w:val="-2"/>
        </w:rPr>
      </w:pPr>
    </w:p>
    <w:p w14:paraId="2CA0B3B1" w14:textId="77777777" w:rsidR="00B2782B" w:rsidRPr="00E6210C" w:rsidRDefault="00B2782B" w:rsidP="00223DFA">
      <w:pPr>
        <w:pStyle w:val="ListParagraph"/>
        <w:numPr>
          <w:ilvl w:val="0"/>
          <w:numId w:val="3"/>
        </w:numPr>
        <w:spacing w:after="0" w:line="288" w:lineRule="auto"/>
        <w:rPr>
          <w:spacing w:val="-2"/>
        </w:rPr>
      </w:pPr>
      <w:r w:rsidRPr="00E6210C">
        <w:rPr>
          <w:i/>
          <w:iCs/>
          <w:spacing w:val="-2"/>
        </w:rPr>
        <w:t>Resolution 220</w:t>
      </w:r>
    </w:p>
    <w:p w14:paraId="2C1A6B0A" w14:textId="77777777" w:rsidR="00B2782B" w:rsidRPr="00E6210C" w:rsidRDefault="00B2782B" w:rsidP="00223DFA">
      <w:pPr>
        <w:spacing w:after="0" w:line="288" w:lineRule="auto"/>
        <w:rPr>
          <w:spacing w:val="-2"/>
        </w:rPr>
      </w:pPr>
      <w:r w:rsidRPr="00E6210C">
        <w:rPr>
          <w:i/>
          <w:iCs/>
          <w:spacing w:val="-2"/>
        </w:rPr>
        <w:tab/>
      </w:r>
      <w:r w:rsidRPr="00E6210C">
        <w:rPr>
          <w:spacing w:val="-2"/>
        </w:rPr>
        <w:t>T</w:t>
      </w:r>
      <w:r w:rsidRPr="00E6210C">
        <w:rPr>
          <w:spacing w:val="-2"/>
        </w:rPr>
        <w:t>he Association argues Resolution 220 provides an independent basis to enforce the Tree CC</w:t>
      </w:r>
      <w:r w:rsidRPr="00E6210C">
        <w:rPr>
          <w:spacing w:val="-2"/>
        </w:rPr>
        <w:t xml:space="preserve">.  </w:t>
      </w:r>
      <w:r w:rsidRPr="00E6210C">
        <w:rPr>
          <w:spacing w:val="-2"/>
        </w:rPr>
        <w:t xml:space="preserve">Resolution 220 permitted any property owner to file a view application, regardless of the owner’s governing declaration.  </w:t>
      </w:r>
      <w:r w:rsidRPr="00E6210C">
        <w:rPr>
          <w:spacing w:val="-2"/>
        </w:rPr>
        <w:t xml:space="preserve">Resolution 220 </w:t>
      </w:r>
      <w:r w:rsidRPr="00E6210C">
        <w:rPr>
          <w:spacing w:val="-2"/>
        </w:rPr>
        <w:t xml:space="preserve">only </w:t>
      </w:r>
      <w:r w:rsidRPr="00E6210C">
        <w:rPr>
          <w:spacing w:val="-2"/>
        </w:rPr>
        <w:t>provides a mechanism for filing a view application to resolve tree-trimming disputes</w:t>
      </w:r>
      <w:r w:rsidRPr="00E6210C">
        <w:rPr>
          <w:spacing w:val="-2"/>
        </w:rPr>
        <w:t>.  It</w:t>
      </w:r>
      <w:r w:rsidRPr="00E6210C">
        <w:rPr>
          <w:spacing w:val="-2"/>
        </w:rPr>
        <w:t xml:space="preserve"> is not a covenant.</w:t>
      </w:r>
    </w:p>
    <w:p w14:paraId="0C891B07" w14:textId="77777777" w:rsidR="00B2782B" w:rsidRPr="00E6210C" w:rsidRDefault="00B2782B" w:rsidP="00223DFA">
      <w:pPr>
        <w:spacing w:after="0" w:line="288" w:lineRule="auto"/>
        <w:rPr>
          <w:spacing w:val="-2"/>
        </w:rPr>
      </w:pPr>
    </w:p>
    <w:p w14:paraId="02DE9E75" w14:textId="77777777" w:rsidR="00B2782B" w:rsidRPr="00E6210C" w:rsidRDefault="00B2782B" w:rsidP="00C7788C">
      <w:pPr>
        <w:pStyle w:val="ListParagraph"/>
        <w:keepNext/>
        <w:numPr>
          <w:ilvl w:val="0"/>
          <w:numId w:val="3"/>
        </w:numPr>
        <w:spacing w:after="0" w:line="288" w:lineRule="auto"/>
        <w:rPr>
          <w:spacing w:val="-2"/>
        </w:rPr>
      </w:pPr>
      <w:proofErr w:type="spellStart"/>
      <w:r w:rsidRPr="00E6210C">
        <w:rPr>
          <w:i/>
          <w:iCs/>
          <w:spacing w:val="-2"/>
        </w:rPr>
        <w:lastRenderedPageBreak/>
        <w:t>Colyear’s</w:t>
      </w:r>
      <w:proofErr w:type="spellEnd"/>
      <w:r w:rsidRPr="00E6210C">
        <w:rPr>
          <w:i/>
          <w:iCs/>
          <w:spacing w:val="-2"/>
        </w:rPr>
        <w:t xml:space="preserve"> Use of Association Common Areas is Not</w:t>
      </w:r>
      <w:r w:rsidRPr="00E6210C">
        <w:rPr>
          <w:spacing w:val="-2"/>
        </w:rPr>
        <w:t xml:space="preserve"> </w:t>
      </w:r>
      <w:r w:rsidRPr="00E6210C">
        <w:rPr>
          <w:i/>
          <w:iCs/>
          <w:spacing w:val="-2"/>
        </w:rPr>
        <w:t>Inconsistent</w:t>
      </w:r>
      <w:r w:rsidRPr="00E6210C">
        <w:rPr>
          <w:i/>
          <w:iCs/>
          <w:spacing w:val="-2"/>
        </w:rPr>
        <w:t xml:space="preserve"> with Our Conclusion</w:t>
      </w:r>
    </w:p>
    <w:p w14:paraId="3171A9D9" w14:textId="77777777" w:rsidR="00B2782B" w:rsidRPr="00E6210C" w:rsidRDefault="00B2782B" w:rsidP="00223DFA">
      <w:pPr>
        <w:spacing w:after="0" w:line="288" w:lineRule="auto"/>
        <w:rPr>
          <w:spacing w:val="-2"/>
        </w:rPr>
      </w:pPr>
      <w:r w:rsidRPr="00E6210C">
        <w:rPr>
          <w:spacing w:val="-2"/>
        </w:rPr>
        <w:tab/>
      </w:r>
      <w:r w:rsidRPr="00E6210C">
        <w:t>Finally, the</w:t>
      </w:r>
      <w:r w:rsidRPr="00E6210C">
        <w:t xml:space="preserve"> Association asserts that because </w:t>
      </w:r>
      <w:proofErr w:type="spellStart"/>
      <w:r w:rsidRPr="00E6210C">
        <w:t>Colyear</w:t>
      </w:r>
      <w:proofErr w:type="spellEnd"/>
      <w:r w:rsidRPr="00E6210C">
        <w:t xml:space="preserve"> enjoys the benefits of Rolling Hills’ roads</w:t>
      </w:r>
      <w:r w:rsidRPr="00E6210C">
        <w:t>,</w:t>
      </w:r>
      <w:r w:rsidRPr="00E6210C">
        <w:t xml:space="preserve"> gates</w:t>
      </w:r>
      <w:r w:rsidRPr="00E6210C">
        <w:t>,</w:t>
      </w:r>
      <w:r w:rsidRPr="00E6210C">
        <w:t xml:space="preserve"> and other facilities,</w:t>
      </w:r>
      <w:r w:rsidRPr="00E6210C">
        <w:t xml:space="preserve"> he should be subject to all intended restrictions, including the Tree CC.</w:t>
      </w:r>
      <w:r w:rsidRPr="00E6210C">
        <w:t xml:space="preserve"> </w:t>
      </w:r>
      <w:r w:rsidRPr="00E6210C">
        <w:t xml:space="preserve"> The Association generally argues that it would be unfair to allow him to enjoy the benefits of common areas without subjecting him to the burden of the Tree CC.</w:t>
      </w:r>
      <w:r w:rsidRPr="00E6210C">
        <w:t xml:space="preserve"> </w:t>
      </w:r>
      <w:r w:rsidRPr="00E6210C">
        <w:t xml:space="preserve"> To the extent this argument posits that only properties subject to the original Declaration 150 may use the common areas, it is mistaken.</w:t>
      </w:r>
      <w:r w:rsidRPr="00E6210C">
        <w:t xml:space="preserve">  </w:t>
      </w:r>
      <w:r w:rsidRPr="00E6210C">
        <w:t>T</w:t>
      </w:r>
      <w:r w:rsidRPr="00E6210C">
        <w:rPr>
          <w:spacing w:val="-2"/>
        </w:rPr>
        <w:t xml:space="preserve">he Association’s Articles of Incorporation establish that the common areas are governed by the Association “for the benefit of residents of any tract” and as may be set forth in any subsequent declaration for </w:t>
      </w:r>
      <w:r w:rsidRPr="00E6210C">
        <w:rPr>
          <w:spacing w:val="-2"/>
        </w:rPr>
        <w:t xml:space="preserve">such tract.  As we have discussed, there is no declaration applicable to </w:t>
      </w:r>
      <w:proofErr w:type="spellStart"/>
      <w:r w:rsidRPr="00E6210C">
        <w:rPr>
          <w:spacing w:val="-2"/>
        </w:rPr>
        <w:t>Colyear’s</w:t>
      </w:r>
      <w:proofErr w:type="spellEnd"/>
      <w:r w:rsidRPr="00E6210C">
        <w:rPr>
          <w:spacing w:val="-2"/>
        </w:rPr>
        <w:t xml:space="preserve"> property that includes the Tree CC.  </w:t>
      </w:r>
    </w:p>
    <w:p w14:paraId="708DBE47" w14:textId="77777777" w:rsidR="00B2782B" w:rsidRPr="00E6210C" w:rsidRDefault="00B2782B" w:rsidP="00223DFA">
      <w:pPr>
        <w:spacing w:after="0" w:line="288" w:lineRule="auto"/>
        <w:rPr>
          <w:spacing w:val="-2"/>
        </w:rPr>
      </w:pPr>
    </w:p>
    <w:p w14:paraId="08C98F79" w14:textId="77777777" w:rsidR="00B2782B" w:rsidRPr="00E6210C" w:rsidRDefault="00B2782B" w:rsidP="00223DFA">
      <w:pPr>
        <w:spacing w:after="0" w:line="288" w:lineRule="auto"/>
        <w:rPr>
          <w:i/>
          <w:iCs/>
          <w:spacing w:val="-2"/>
        </w:rPr>
      </w:pPr>
      <w:r w:rsidRPr="00E6210C">
        <w:rPr>
          <w:spacing w:val="-2"/>
        </w:rPr>
        <w:tab/>
      </w:r>
      <w:r w:rsidRPr="00E6210C">
        <w:rPr>
          <w:i/>
          <w:iCs/>
          <w:spacing w:val="-2"/>
        </w:rPr>
        <w:tab/>
      </w:r>
      <w:r w:rsidRPr="00E6210C">
        <w:rPr>
          <w:spacing w:val="-2"/>
        </w:rPr>
        <w:t>c</w:t>
      </w:r>
      <w:r w:rsidRPr="00E6210C">
        <w:rPr>
          <w:spacing w:val="-2"/>
        </w:rPr>
        <w:t>.</w:t>
      </w:r>
      <w:r w:rsidRPr="00E6210C">
        <w:rPr>
          <w:i/>
          <w:iCs/>
          <w:spacing w:val="-2"/>
        </w:rPr>
        <w:tab/>
      </w:r>
      <w:r w:rsidRPr="00E6210C">
        <w:rPr>
          <w:i/>
          <w:iCs/>
          <w:spacing w:val="-2"/>
        </w:rPr>
        <w:t>Declaration 150-M’s Tree</w:t>
      </w:r>
      <w:r w:rsidRPr="00E6210C">
        <w:rPr>
          <w:i/>
          <w:iCs/>
          <w:spacing w:val="-2"/>
        </w:rPr>
        <w:t>-</w:t>
      </w:r>
      <w:r w:rsidRPr="00E6210C">
        <w:rPr>
          <w:i/>
          <w:iCs/>
          <w:spacing w:val="-2"/>
        </w:rPr>
        <w:t>Trimming Provision</w:t>
      </w:r>
      <w:r w:rsidRPr="00E6210C">
        <w:rPr>
          <w:i/>
          <w:iCs/>
          <w:spacing w:val="-2"/>
        </w:rPr>
        <w:t>s</w:t>
      </w:r>
      <w:r w:rsidRPr="00E6210C">
        <w:rPr>
          <w:i/>
          <w:iCs/>
          <w:spacing w:val="-2"/>
        </w:rPr>
        <w:t xml:space="preserve"> </w:t>
      </w:r>
    </w:p>
    <w:p w14:paraId="3791DB2A" w14:textId="77777777" w:rsidR="00B2782B" w:rsidRPr="00E6210C" w:rsidRDefault="00B2782B" w:rsidP="00223DFA">
      <w:pPr>
        <w:spacing w:after="0" w:line="288" w:lineRule="auto"/>
        <w:ind w:left="1440" w:firstLine="720"/>
        <w:rPr>
          <w:i/>
          <w:iCs/>
          <w:spacing w:val="-2"/>
        </w:rPr>
      </w:pPr>
      <w:r w:rsidRPr="00E6210C">
        <w:rPr>
          <w:i/>
          <w:iCs/>
          <w:spacing w:val="-2"/>
        </w:rPr>
        <w:t xml:space="preserve">Do Not Provide </w:t>
      </w:r>
      <w:r w:rsidRPr="00E6210C">
        <w:rPr>
          <w:i/>
          <w:iCs/>
          <w:spacing w:val="-2"/>
        </w:rPr>
        <w:t>an</w:t>
      </w:r>
      <w:r w:rsidRPr="00E6210C">
        <w:rPr>
          <w:i/>
          <w:iCs/>
          <w:spacing w:val="-2"/>
        </w:rPr>
        <w:t xml:space="preserve"> Independent </w:t>
      </w:r>
      <w:r w:rsidRPr="00E6210C">
        <w:rPr>
          <w:i/>
          <w:iCs/>
          <w:spacing w:val="-2"/>
        </w:rPr>
        <w:t xml:space="preserve">Basis to Trim </w:t>
      </w:r>
    </w:p>
    <w:p w14:paraId="7191BBA9" w14:textId="77777777" w:rsidR="00B2782B" w:rsidRPr="00E6210C" w:rsidRDefault="00B2782B" w:rsidP="00223DFA">
      <w:pPr>
        <w:spacing w:after="0" w:line="288" w:lineRule="auto"/>
        <w:ind w:left="1440" w:firstLine="720"/>
        <w:rPr>
          <w:i/>
          <w:iCs/>
          <w:spacing w:val="-2"/>
        </w:rPr>
      </w:pPr>
      <w:proofErr w:type="spellStart"/>
      <w:r w:rsidRPr="00E6210C">
        <w:rPr>
          <w:i/>
          <w:iCs/>
          <w:spacing w:val="-2"/>
        </w:rPr>
        <w:t>Colyear’s</w:t>
      </w:r>
      <w:proofErr w:type="spellEnd"/>
      <w:r w:rsidRPr="00E6210C">
        <w:rPr>
          <w:i/>
          <w:iCs/>
          <w:spacing w:val="-2"/>
        </w:rPr>
        <w:t xml:space="preserve"> Trees</w:t>
      </w:r>
    </w:p>
    <w:p w14:paraId="7ED947B0" w14:textId="77777777" w:rsidR="00B2782B" w:rsidRPr="00E6210C" w:rsidRDefault="00B2782B" w:rsidP="00223DFA">
      <w:pPr>
        <w:spacing w:after="0" w:line="288" w:lineRule="auto"/>
        <w:rPr>
          <w:spacing w:val="-2"/>
        </w:rPr>
      </w:pPr>
      <w:r w:rsidRPr="00E6210C">
        <w:rPr>
          <w:spacing w:val="-2"/>
        </w:rPr>
        <w:tab/>
      </w:r>
      <w:r w:rsidRPr="00E6210C">
        <w:rPr>
          <w:spacing w:val="-2"/>
        </w:rPr>
        <w:t xml:space="preserve">The Association asserts </w:t>
      </w:r>
      <w:r w:rsidRPr="00E6210C">
        <w:rPr>
          <w:spacing w:val="-2"/>
        </w:rPr>
        <w:t>certain provisions of Declaration 150-M (Art</w:t>
      </w:r>
      <w:r w:rsidRPr="00E6210C">
        <w:rPr>
          <w:spacing w:val="-2"/>
        </w:rPr>
        <w:t xml:space="preserve">. </w:t>
      </w:r>
      <w:r w:rsidRPr="00E6210C">
        <w:rPr>
          <w:spacing w:val="-2"/>
        </w:rPr>
        <w:t> </w:t>
      </w:r>
      <w:r w:rsidRPr="00E6210C">
        <w:rPr>
          <w:spacing w:val="-2"/>
        </w:rPr>
        <w:t xml:space="preserve">II, </w:t>
      </w:r>
      <w:r w:rsidRPr="00E6210C">
        <w:rPr>
          <w:spacing w:val="-2"/>
        </w:rPr>
        <w:t>§</w:t>
      </w:r>
      <w:r w:rsidRPr="00E6210C">
        <w:rPr>
          <w:spacing w:val="-2"/>
        </w:rPr>
        <w:t> </w:t>
      </w:r>
      <w:r w:rsidRPr="00E6210C">
        <w:rPr>
          <w:spacing w:val="-2"/>
        </w:rPr>
        <w:t xml:space="preserve">2, </w:t>
      </w:r>
      <w:r w:rsidRPr="00E6210C">
        <w:rPr>
          <w:spacing w:val="-2"/>
        </w:rPr>
        <w:t>s</w:t>
      </w:r>
      <w:r w:rsidRPr="00E6210C">
        <w:rPr>
          <w:spacing w:val="-2"/>
        </w:rPr>
        <w:t>ub</w:t>
      </w:r>
      <w:r w:rsidRPr="00E6210C">
        <w:rPr>
          <w:spacing w:val="-2"/>
        </w:rPr>
        <w:t>ds</w:t>
      </w:r>
      <w:r w:rsidRPr="00E6210C">
        <w:rPr>
          <w:spacing w:val="-2"/>
        </w:rPr>
        <w:t>.</w:t>
      </w:r>
      <w:r w:rsidRPr="00E6210C">
        <w:rPr>
          <w:spacing w:val="-2"/>
        </w:rPr>
        <w:t> </w:t>
      </w:r>
      <w:r w:rsidRPr="00E6210C">
        <w:rPr>
          <w:spacing w:val="-2"/>
        </w:rPr>
        <w:t>(u), (j), and (</w:t>
      </w:r>
      <w:proofErr w:type="gramStart"/>
      <w:r w:rsidRPr="00E6210C">
        <w:rPr>
          <w:spacing w:val="-2"/>
        </w:rPr>
        <w:t>v))</w:t>
      </w:r>
      <w:proofErr w:type="gramEnd"/>
      <w:r w:rsidRPr="00E6210C">
        <w:rPr>
          <w:spacing w:val="-2"/>
        </w:rPr>
        <w:t>—</w:t>
      </w:r>
      <w:r w:rsidRPr="00E6210C">
        <w:rPr>
          <w:spacing w:val="-2"/>
        </w:rPr>
        <w:t>independent</w:t>
      </w:r>
      <w:r w:rsidRPr="00E6210C">
        <w:rPr>
          <w:spacing w:val="-2"/>
        </w:rPr>
        <w:t xml:space="preserve"> of Declaration 150’s General Plan—</w:t>
      </w:r>
      <w:r w:rsidRPr="00E6210C">
        <w:rPr>
          <w:spacing w:val="-2"/>
        </w:rPr>
        <w:t xml:space="preserve">provide the authority for it to enter </w:t>
      </w:r>
      <w:proofErr w:type="spellStart"/>
      <w:r w:rsidRPr="00E6210C">
        <w:rPr>
          <w:spacing w:val="-2"/>
        </w:rPr>
        <w:t>Colyear’s</w:t>
      </w:r>
      <w:proofErr w:type="spellEnd"/>
      <w:r w:rsidRPr="00E6210C">
        <w:rPr>
          <w:spacing w:val="-2"/>
        </w:rPr>
        <w:t xml:space="preserve"> property and trim trees for any purpose, </w:t>
      </w:r>
      <w:r w:rsidRPr="00E6210C">
        <w:rPr>
          <w:spacing w:val="-2"/>
        </w:rPr>
        <w:t>including view protection.</w:t>
      </w:r>
      <w:r w:rsidRPr="00E6210C">
        <w:rPr>
          <w:spacing w:val="-2"/>
        </w:rPr>
        <w:t xml:space="preserve"> </w:t>
      </w:r>
      <w:r w:rsidRPr="00E6210C">
        <w:rPr>
          <w:spacing w:val="-2"/>
        </w:rPr>
        <w:t xml:space="preserve"> </w:t>
      </w:r>
      <w:proofErr w:type="spellStart"/>
      <w:r w:rsidRPr="00E6210C">
        <w:rPr>
          <w:spacing w:val="-2"/>
        </w:rPr>
        <w:t>Colyear</w:t>
      </w:r>
      <w:proofErr w:type="spellEnd"/>
      <w:r w:rsidRPr="00E6210C">
        <w:rPr>
          <w:spacing w:val="-2"/>
        </w:rPr>
        <w:t xml:space="preserve"> asserts the Association did not raise the issue at trial</w:t>
      </w:r>
      <w:r w:rsidRPr="00E6210C">
        <w:rPr>
          <w:spacing w:val="-2"/>
        </w:rPr>
        <w:t xml:space="preserve">, and in any event, </w:t>
      </w:r>
      <w:r w:rsidRPr="00E6210C">
        <w:rPr>
          <w:spacing w:val="-2"/>
        </w:rPr>
        <w:t xml:space="preserve">the Association’s tree-trimming power is limited to </w:t>
      </w:r>
      <w:r w:rsidRPr="00E6210C">
        <w:rPr>
          <w:spacing w:val="-2"/>
        </w:rPr>
        <w:t xml:space="preserve">streets, parks, playgrounds, school grounds, and </w:t>
      </w:r>
      <w:r w:rsidRPr="00E6210C">
        <w:rPr>
          <w:spacing w:val="-2"/>
        </w:rPr>
        <w:t xml:space="preserve">adjacent </w:t>
      </w:r>
      <w:r w:rsidRPr="00E6210C">
        <w:rPr>
          <w:spacing w:val="-2"/>
        </w:rPr>
        <w:t xml:space="preserve">land.  </w:t>
      </w:r>
    </w:p>
    <w:p w14:paraId="70A03088" w14:textId="77777777" w:rsidR="00B2782B" w:rsidRPr="00E6210C" w:rsidRDefault="00B2782B" w:rsidP="00223DFA">
      <w:pPr>
        <w:spacing w:after="0" w:line="288" w:lineRule="auto"/>
        <w:rPr>
          <w:spacing w:val="-2"/>
        </w:rPr>
      </w:pPr>
      <w:r w:rsidRPr="00E6210C">
        <w:rPr>
          <w:spacing w:val="-2"/>
        </w:rPr>
        <w:lastRenderedPageBreak/>
        <w:tab/>
      </w:r>
      <w:r w:rsidRPr="00E6210C">
        <w:rPr>
          <w:spacing w:val="-2"/>
        </w:rPr>
        <w:t>Declaration 150-M</w:t>
      </w:r>
      <w:r w:rsidRPr="00E6210C">
        <w:rPr>
          <w:spacing w:val="-2"/>
        </w:rPr>
        <w:t xml:space="preserve">, </w:t>
      </w:r>
      <w:r w:rsidRPr="00E6210C">
        <w:rPr>
          <w:spacing w:val="-2"/>
        </w:rPr>
        <w:t>Article II, section 2, su</w:t>
      </w:r>
      <w:r w:rsidRPr="00E6210C">
        <w:rPr>
          <w:spacing w:val="-2"/>
        </w:rPr>
        <w:t>b</w:t>
      </w:r>
      <w:r w:rsidRPr="00E6210C">
        <w:rPr>
          <w:spacing w:val="-2"/>
        </w:rPr>
        <w:t>division</w:t>
      </w:r>
      <w:r w:rsidRPr="00E6210C">
        <w:rPr>
          <w:spacing w:val="-2"/>
        </w:rPr>
        <w:t xml:space="preserve"> (u) permits the Association to trim trees</w:t>
      </w:r>
      <w:r w:rsidRPr="00E6210C">
        <w:rPr>
          <w:spacing w:val="-2"/>
        </w:rPr>
        <w:t xml:space="preserve"> under certain circumstances</w:t>
      </w:r>
      <w:r w:rsidRPr="00E6210C">
        <w:rPr>
          <w:spacing w:val="-2"/>
        </w:rPr>
        <w:t xml:space="preserve">: The </w:t>
      </w:r>
      <w:r w:rsidRPr="00E6210C">
        <w:rPr>
          <w:spacing w:val="-2"/>
        </w:rPr>
        <w:t>A</w:t>
      </w:r>
      <w:r w:rsidRPr="00E6210C">
        <w:rPr>
          <w:spacing w:val="-2"/>
        </w:rPr>
        <w:t xml:space="preserve">ssociation has the power “[t]o care for, trim, protect, plant and replant trees, shrubs, or other planting on streets, parks, playgrounds, school grounds, or upon any property over which it may have and/or assume control or jurisdiction and/or on any property adjoining the same.”  </w:t>
      </w:r>
      <w:r w:rsidRPr="00E6210C">
        <w:rPr>
          <w:spacing w:val="-2"/>
        </w:rPr>
        <w:t>Article</w:t>
      </w:r>
      <w:r w:rsidRPr="00E6210C">
        <w:rPr>
          <w:spacing w:val="-2"/>
        </w:rPr>
        <w:t> </w:t>
      </w:r>
      <w:r w:rsidRPr="00E6210C">
        <w:rPr>
          <w:spacing w:val="-2"/>
        </w:rPr>
        <w:t>II, section</w:t>
      </w:r>
      <w:r w:rsidRPr="00E6210C">
        <w:rPr>
          <w:spacing w:val="-2"/>
        </w:rPr>
        <w:t> </w:t>
      </w:r>
      <w:r w:rsidRPr="00E6210C">
        <w:rPr>
          <w:spacing w:val="-2"/>
        </w:rPr>
        <w:t>2, sub</w:t>
      </w:r>
      <w:r w:rsidRPr="00E6210C">
        <w:rPr>
          <w:spacing w:val="-2"/>
        </w:rPr>
        <w:t>division</w:t>
      </w:r>
      <w:r w:rsidRPr="00E6210C">
        <w:rPr>
          <w:spacing w:val="-2"/>
        </w:rPr>
        <w:t> </w:t>
      </w:r>
      <w:r w:rsidRPr="00E6210C">
        <w:rPr>
          <w:spacing w:val="-2"/>
        </w:rPr>
        <w:t xml:space="preserve">(j) </w:t>
      </w:r>
      <w:r w:rsidRPr="00E6210C">
        <w:rPr>
          <w:spacing w:val="-2"/>
        </w:rPr>
        <w:t>grants the</w:t>
      </w:r>
      <w:r w:rsidRPr="00E6210C">
        <w:rPr>
          <w:spacing w:val="-2"/>
        </w:rPr>
        <w:t xml:space="preserve"> </w:t>
      </w:r>
      <w:r w:rsidRPr="00E6210C">
        <w:rPr>
          <w:spacing w:val="-2"/>
        </w:rPr>
        <w:t>Association the authority to “provide for light [and] air</w:t>
      </w:r>
      <w:r w:rsidRPr="00E6210C">
        <w:rPr>
          <w:spacing w:val="-2"/>
        </w:rPr>
        <w:t> . . .</w:t>
      </w:r>
      <w:r w:rsidRPr="00E6210C">
        <w:rPr>
          <w:spacing w:val="-2"/>
        </w:rPr>
        <w:t xml:space="preserve"> for the</w:t>
      </w:r>
      <w:r w:rsidRPr="00E6210C">
        <w:rPr>
          <w:spacing w:val="-2"/>
        </w:rPr>
        <w:t xml:space="preserve"> </w:t>
      </w:r>
      <w:r w:rsidRPr="00E6210C">
        <w:rPr>
          <w:spacing w:val="-2"/>
        </w:rPr>
        <w:t>occupants of existing and/or hereafter erected buildings by establishing such regulations as are usually inc</w:t>
      </w:r>
      <w:r w:rsidRPr="00E6210C">
        <w:rPr>
          <w:spacing w:val="-2"/>
        </w:rPr>
        <w:t xml:space="preserve">luded in city housing codes or zoning regulations.”  Finally, </w:t>
      </w:r>
      <w:r w:rsidRPr="00E6210C">
        <w:rPr>
          <w:spacing w:val="-2"/>
        </w:rPr>
        <w:t xml:space="preserve">Article II, </w:t>
      </w:r>
      <w:r w:rsidRPr="00E6210C">
        <w:rPr>
          <w:spacing w:val="-2"/>
        </w:rPr>
        <w:t>s</w:t>
      </w:r>
      <w:r w:rsidRPr="00E6210C">
        <w:rPr>
          <w:spacing w:val="-2"/>
        </w:rPr>
        <w:t>ection</w:t>
      </w:r>
      <w:r w:rsidRPr="00E6210C">
        <w:rPr>
          <w:spacing w:val="-2"/>
        </w:rPr>
        <w:t> </w:t>
      </w:r>
      <w:r w:rsidRPr="00E6210C">
        <w:rPr>
          <w:spacing w:val="-2"/>
        </w:rPr>
        <w:t>2, sub</w:t>
      </w:r>
      <w:r w:rsidRPr="00E6210C">
        <w:rPr>
          <w:spacing w:val="-2"/>
        </w:rPr>
        <w:t>division</w:t>
      </w:r>
      <w:r w:rsidRPr="00E6210C">
        <w:rPr>
          <w:spacing w:val="-2"/>
        </w:rPr>
        <w:t> </w:t>
      </w:r>
      <w:r w:rsidRPr="00E6210C">
        <w:rPr>
          <w:spacing w:val="-2"/>
        </w:rPr>
        <w:t>(v</w:t>
      </w:r>
      <w:r w:rsidRPr="00E6210C">
        <w:rPr>
          <w:spacing w:val="-2"/>
        </w:rPr>
        <w:t>)</w:t>
      </w:r>
      <w:r w:rsidRPr="00E6210C">
        <w:rPr>
          <w:spacing w:val="-2"/>
        </w:rPr>
        <w:t xml:space="preserve"> authorizes the Association </w:t>
      </w:r>
      <w:r w:rsidRPr="00E6210C">
        <w:rPr>
          <w:spacing w:val="-2"/>
        </w:rPr>
        <w:t>to “care</w:t>
      </w:r>
      <w:r w:rsidRPr="00E6210C">
        <w:rPr>
          <w:spacing w:val="-2"/>
        </w:rPr>
        <w:t xml:space="preserve"> for, trim, protect and plant or replant any vacant or private</w:t>
      </w:r>
      <w:r w:rsidRPr="00E6210C">
        <w:rPr>
          <w:spacing w:val="-2"/>
        </w:rPr>
        <w:t xml:space="preserve"> </w:t>
      </w:r>
      <w:r w:rsidRPr="00E6210C">
        <w:rPr>
          <w:spacing w:val="-2"/>
        </w:rPr>
        <w:t xml:space="preserve">property it may assume charge of and to make a reasonable charge therefor.” </w:t>
      </w:r>
      <w:r w:rsidRPr="00E6210C">
        <w:rPr>
          <w:spacing w:val="-2"/>
        </w:rPr>
        <w:t xml:space="preserve"> </w:t>
      </w:r>
    </w:p>
    <w:p w14:paraId="4C72CC83" w14:textId="77777777" w:rsidR="00B2782B" w:rsidRPr="00E6210C" w:rsidRDefault="00B2782B" w:rsidP="00223DFA">
      <w:pPr>
        <w:spacing w:after="0" w:line="288" w:lineRule="auto"/>
        <w:rPr>
          <w:spacing w:val="-2"/>
        </w:rPr>
      </w:pPr>
      <w:r w:rsidRPr="00E6210C">
        <w:rPr>
          <w:spacing w:val="-2"/>
        </w:rPr>
        <w:tab/>
      </w:r>
      <w:r w:rsidRPr="00E6210C">
        <w:rPr>
          <w:spacing w:val="-2"/>
        </w:rPr>
        <w:t xml:space="preserve">We need not determine </w:t>
      </w:r>
      <w:r w:rsidRPr="00E6210C">
        <w:rPr>
          <w:spacing w:val="-2"/>
        </w:rPr>
        <w:t>whether</w:t>
      </w:r>
      <w:r w:rsidRPr="00E6210C">
        <w:rPr>
          <w:spacing w:val="-2"/>
        </w:rPr>
        <w:t xml:space="preserve"> the Association sufficiently raised the issue at trial because th</w:t>
      </w:r>
      <w:r w:rsidRPr="00E6210C">
        <w:rPr>
          <w:spacing w:val="-2"/>
        </w:rPr>
        <w:t>ese provisions do</w:t>
      </w:r>
      <w:r w:rsidRPr="00E6210C">
        <w:rPr>
          <w:spacing w:val="-2"/>
        </w:rPr>
        <w:t xml:space="preserve"> not give the Association power to trim trees </w:t>
      </w:r>
      <w:r w:rsidRPr="00E6210C">
        <w:rPr>
          <w:spacing w:val="-2"/>
        </w:rPr>
        <w:t xml:space="preserve">on </w:t>
      </w:r>
      <w:proofErr w:type="gramStart"/>
      <w:r w:rsidRPr="00E6210C">
        <w:rPr>
          <w:spacing w:val="-2"/>
        </w:rPr>
        <w:t xml:space="preserve">any and </w:t>
      </w:r>
      <w:r w:rsidRPr="00E6210C">
        <w:rPr>
          <w:spacing w:val="-2"/>
        </w:rPr>
        <w:t>all</w:t>
      </w:r>
      <w:proofErr w:type="gramEnd"/>
      <w:r w:rsidRPr="00E6210C">
        <w:rPr>
          <w:spacing w:val="-2"/>
        </w:rPr>
        <w:t xml:space="preserve"> private property </w:t>
      </w:r>
      <w:r w:rsidRPr="00E6210C">
        <w:rPr>
          <w:spacing w:val="-2"/>
        </w:rPr>
        <w:t xml:space="preserve">within the Association’s boundaries. </w:t>
      </w:r>
      <w:r w:rsidRPr="00E6210C">
        <w:rPr>
          <w:spacing w:val="-2"/>
        </w:rPr>
        <w:t xml:space="preserve"> </w:t>
      </w:r>
      <w:r w:rsidRPr="00E6210C">
        <w:rPr>
          <w:spacing w:val="-2"/>
        </w:rPr>
        <w:t>B</w:t>
      </w:r>
      <w:r w:rsidRPr="00E6210C">
        <w:rPr>
          <w:spacing w:val="-2"/>
        </w:rPr>
        <w:t xml:space="preserve">y its </w:t>
      </w:r>
      <w:r w:rsidRPr="00E6210C">
        <w:rPr>
          <w:spacing w:val="-2"/>
        </w:rPr>
        <w:t xml:space="preserve">plain </w:t>
      </w:r>
      <w:r w:rsidRPr="00E6210C">
        <w:rPr>
          <w:spacing w:val="-2"/>
        </w:rPr>
        <w:t xml:space="preserve">language, </w:t>
      </w:r>
      <w:r w:rsidRPr="00E6210C">
        <w:rPr>
          <w:spacing w:val="-2"/>
        </w:rPr>
        <w:t>sub</w:t>
      </w:r>
      <w:r w:rsidRPr="00E6210C">
        <w:rPr>
          <w:spacing w:val="-2"/>
        </w:rPr>
        <w:t>division</w:t>
      </w:r>
      <w:r w:rsidRPr="00E6210C">
        <w:rPr>
          <w:spacing w:val="-2"/>
        </w:rPr>
        <w:t> </w:t>
      </w:r>
      <w:r w:rsidRPr="00E6210C">
        <w:rPr>
          <w:spacing w:val="-2"/>
        </w:rPr>
        <w:t xml:space="preserve">(u) </w:t>
      </w:r>
      <w:r w:rsidRPr="00E6210C">
        <w:rPr>
          <w:spacing w:val="-2"/>
        </w:rPr>
        <w:t xml:space="preserve">governs plants in public places: streets, parks, playgrounds, and school grounds.  To the extent </w:t>
      </w:r>
      <w:r w:rsidRPr="00E6210C">
        <w:rPr>
          <w:spacing w:val="-2"/>
        </w:rPr>
        <w:t>subdivision </w:t>
      </w:r>
      <w:r w:rsidRPr="00E6210C">
        <w:rPr>
          <w:spacing w:val="-2"/>
        </w:rPr>
        <w:t>(u)</w:t>
      </w:r>
      <w:r w:rsidRPr="00E6210C">
        <w:rPr>
          <w:spacing w:val="-2"/>
        </w:rPr>
        <w:t xml:space="preserve"> also refers to</w:t>
      </w:r>
      <w:r w:rsidRPr="00E6210C">
        <w:rPr>
          <w:spacing w:val="-2"/>
        </w:rPr>
        <w:t xml:space="preserve"> “</w:t>
      </w:r>
      <w:r w:rsidRPr="00E6210C">
        <w:rPr>
          <w:spacing w:val="-2"/>
        </w:rPr>
        <w:t>any property over which [the Association] may have and/or assume control and jurisdiction</w:t>
      </w:r>
      <w:r w:rsidRPr="00E6210C">
        <w:rPr>
          <w:spacing w:val="-2"/>
        </w:rPr>
        <w:t xml:space="preserve"> and</w:t>
      </w:r>
      <w:r w:rsidRPr="00E6210C">
        <w:rPr>
          <w:spacing w:val="-2"/>
        </w:rPr>
        <w:t>/or on</w:t>
      </w:r>
      <w:r w:rsidRPr="00E6210C">
        <w:rPr>
          <w:spacing w:val="-2"/>
        </w:rPr>
        <w:t xml:space="preserve"> any property adjoining</w:t>
      </w:r>
      <w:r w:rsidRPr="00E6210C">
        <w:rPr>
          <w:spacing w:val="-2"/>
        </w:rPr>
        <w:t xml:space="preserve"> the</w:t>
      </w:r>
      <w:r w:rsidRPr="00E6210C">
        <w:rPr>
          <w:spacing w:val="-2"/>
        </w:rPr>
        <w:t xml:space="preserve"> same</w:t>
      </w:r>
      <w:r w:rsidRPr="00E6210C">
        <w:rPr>
          <w:spacing w:val="-2"/>
        </w:rPr>
        <w:t>,</w:t>
      </w:r>
      <w:r w:rsidRPr="00E6210C">
        <w:rPr>
          <w:spacing w:val="-2"/>
        </w:rPr>
        <w:t>”</w:t>
      </w:r>
      <w:r w:rsidRPr="00E6210C">
        <w:rPr>
          <w:spacing w:val="-2"/>
        </w:rPr>
        <w:t xml:space="preserve"> </w:t>
      </w:r>
      <w:r w:rsidRPr="00E6210C">
        <w:rPr>
          <w:spacing w:val="-2"/>
        </w:rPr>
        <w:t xml:space="preserve">this </w:t>
      </w:r>
      <w:r w:rsidRPr="00E6210C">
        <w:rPr>
          <w:spacing w:val="-2"/>
        </w:rPr>
        <w:t>language</w:t>
      </w:r>
      <w:r w:rsidRPr="00E6210C">
        <w:rPr>
          <w:spacing w:val="-2"/>
        </w:rPr>
        <w:t xml:space="preserve"> must be </w:t>
      </w:r>
      <w:r w:rsidRPr="00E6210C">
        <w:rPr>
          <w:spacing w:val="-2"/>
        </w:rPr>
        <w:t>read in context</w:t>
      </w:r>
      <w:r w:rsidRPr="00E6210C">
        <w:rPr>
          <w:spacing w:val="-2"/>
        </w:rPr>
        <w:t xml:space="preserve">.  </w:t>
      </w:r>
      <w:r w:rsidRPr="00E6210C">
        <w:rPr>
          <w:spacing w:val="-2"/>
        </w:rPr>
        <w:t>It</w:t>
      </w:r>
      <w:r w:rsidRPr="00E6210C">
        <w:rPr>
          <w:spacing w:val="-2"/>
        </w:rPr>
        <w:t xml:space="preserve"> </w:t>
      </w:r>
      <w:r w:rsidRPr="00E6210C">
        <w:rPr>
          <w:spacing w:val="-2"/>
        </w:rPr>
        <w:t xml:space="preserve">refers to </w:t>
      </w:r>
      <w:r w:rsidRPr="00E6210C">
        <w:rPr>
          <w:spacing w:val="-2"/>
        </w:rPr>
        <w:t xml:space="preserve">the Association’s ability to </w:t>
      </w:r>
      <w:r w:rsidRPr="00E6210C">
        <w:rPr>
          <w:spacing w:val="-2"/>
        </w:rPr>
        <w:t>attend to</w:t>
      </w:r>
      <w:r w:rsidRPr="00E6210C">
        <w:rPr>
          <w:spacing w:val="-2"/>
        </w:rPr>
        <w:t xml:space="preserve"> </w:t>
      </w:r>
      <w:r w:rsidRPr="00E6210C">
        <w:rPr>
          <w:spacing w:val="-2"/>
        </w:rPr>
        <w:t xml:space="preserve">plantings </w:t>
      </w:r>
      <w:r w:rsidRPr="00E6210C">
        <w:rPr>
          <w:spacing w:val="-2"/>
        </w:rPr>
        <w:t>f</w:t>
      </w:r>
      <w:r w:rsidRPr="00E6210C">
        <w:rPr>
          <w:spacing w:val="-2"/>
        </w:rPr>
        <w:t>ound</w:t>
      </w:r>
      <w:r w:rsidRPr="00E6210C">
        <w:rPr>
          <w:spacing w:val="-2"/>
        </w:rPr>
        <w:t xml:space="preserve"> </w:t>
      </w:r>
      <w:r w:rsidRPr="00E6210C">
        <w:rPr>
          <w:spacing w:val="-2"/>
        </w:rPr>
        <w:t>o</w:t>
      </w:r>
      <w:r w:rsidRPr="00E6210C">
        <w:rPr>
          <w:spacing w:val="-2"/>
        </w:rPr>
        <w:t xml:space="preserve">n </w:t>
      </w:r>
      <w:r w:rsidRPr="00E6210C">
        <w:rPr>
          <w:spacing w:val="-2"/>
        </w:rPr>
        <w:t>the</w:t>
      </w:r>
      <w:r w:rsidRPr="00E6210C">
        <w:rPr>
          <w:spacing w:val="-2"/>
        </w:rPr>
        <w:t xml:space="preserve"> </w:t>
      </w:r>
      <w:r w:rsidRPr="00E6210C">
        <w:rPr>
          <w:spacing w:val="-2"/>
        </w:rPr>
        <w:t xml:space="preserve">types of </w:t>
      </w:r>
      <w:r w:rsidRPr="00E6210C">
        <w:rPr>
          <w:spacing w:val="-2"/>
        </w:rPr>
        <w:t xml:space="preserve">property the Association </w:t>
      </w:r>
      <w:r w:rsidRPr="00E6210C">
        <w:rPr>
          <w:spacing w:val="-2"/>
        </w:rPr>
        <w:t xml:space="preserve">may </w:t>
      </w:r>
      <w:r w:rsidRPr="00E6210C">
        <w:rPr>
          <w:spacing w:val="-2"/>
        </w:rPr>
        <w:t>control</w:t>
      </w:r>
      <w:r w:rsidRPr="00E6210C">
        <w:rPr>
          <w:spacing w:val="-2"/>
        </w:rPr>
        <w:t xml:space="preserve"> that</w:t>
      </w:r>
      <w:r w:rsidRPr="00E6210C">
        <w:rPr>
          <w:spacing w:val="-2"/>
        </w:rPr>
        <w:t xml:space="preserve"> </w:t>
      </w:r>
      <w:r w:rsidRPr="00E6210C">
        <w:rPr>
          <w:spacing w:val="-2"/>
        </w:rPr>
        <w:t xml:space="preserve">are </w:t>
      </w:r>
      <w:proofErr w:type="gramStart"/>
      <w:r w:rsidRPr="00E6210C">
        <w:rPr>
          <w:spacing w:val="-2"/>
        </w:rPr>
        <w:t>similar to</w:t>
      </w:r>
      <w:proofErr w:type="gramEnd"/>
      <w:r w:rsidRPr="00E6210C">
        <w:rPr>
          <w:spacing w:val="-2"/>
        </w:rPr>
        <w:t xml:space="preserve"> </w:t>
      </w:r>
      <w:r w:rsidRPr="00E6210C">
        <w:rPr>
          <w:spacing w:val="-2"/>
        </w:rPr>
        <w:t>th</w:t>
      </w:r>
      <w:r w:rsidRPr="00E6210C">
        <w:rPr>
          <w:spacing w:val="-2"/>
        </w:rPr>
        <w:t>e public property</w:t>
      </w:r>
      <w:r w:rsidRPr="00E6210C">
        <w:rPr>
          <w:spacing w:val="-2"/>
        </w:rPr>
        <w:t xml:space="preserve"> </w:t>
      </w:r>
      <w:r w:rsidRPr="00E6210C">
        <w:rPr>
          <w:spacing w:val="-2"/>
        </w:rPr>
        <w:t xml:space="preserve">specifically </w:t>
      </w:r>
      <w:r w:rsidRPr="00E6210C">
        <w:rPr>
          <w:spacing w:val="-2"/>
        </w:rPr>
        <w:t>identified</w:t>
      </w:r>
      <w:r w:rsidRPr="00E6210C">
        <w:rPr>
          <w:spacing w:val="-2"/>
        </w:rPr>
        <w:t>.</w:t>
      </w:r>
      <w:r w:rsidRPr="00E6210C">
        <w:rPr>
          <w:spacing w:val="-2"/>
        </w:rPr>
        <w:t xml:space="preserve"> </w:t>
      </w:r>
      <w:r w:rsidRPr="00E6210C">
        <w:rPr>
          <w:spacing w:val="-2"/>
        </w:rPr>
        <w:t xml:space="preserve"> In some instances, the Association’s plantings could </w:t>
      </w:r>
      <w:r w:rsidRPr="00E6210C">
        <w:rPr>
          <w:spacing w:val="-2"/>
        </w:rPr>
        <w:t xml:space="preserve">naturally </w:t>
      </w:r>
      <w:r w:rsidRPr="00E6210C">
        <w:rPr>
          <w:spacing w:val="-2"/>
        </w:rPr>
        <w:t>encroach on adjoining properties, in which case</w:t>
      </w:r>
      <w:r w:rsidRPr="00E6210C">
        <w:rPr>
          <w:spacing w:val="-2"/>
        </w:rPr>
        <w:t xml:space="preserve">, subdivision (u) </w:t>
      </w:r>
      <w:r w:rsidRPr="00E6210C">
        <w:rPr>
          <w:spacing w:val="-2"/>
        </w:rPr>
        <w:t>would arguably</w:t>
      </w:r>
      <w:r w:rsidRPr="00E6210C">
        <w:rPr>
          <w:spacing w:val="-2"/>
        </w:rPr>
        <w:t xml:space="preserve"> allow</w:t>
      </w:r>
      <w:r w:rsidRPr="00E6210C">
        <w:rPr>
          <w:spacing w:val="-2"/>
        </w:rPr>
        <w:t xml:space="preserve"> the Association </w:t>
      </w:r>
      <w:r w:rsidRPr="00E6210C">
        <w:rPr>
          <w:spacing w:val="-2"/>
        </w:rPr>
        <w:t xml:space="preserve">to </w:t>
      </w:r>
      <w:r w:rsidRPr="00E6210C">
        <w:rPr>
          <w:spacing w:val="-2"/>
        </w:rPr>
        <w:t xml:space="preserve">cut them back.  </w:t>
      </w:r>
      <w:r w:rsidRPr="00E6210C">
        <w:rPr>
          <w:spacing w:val="-2"/>
        </w:rPr>
        <w:t>But s</w:t>
      </w:r>
      <w:r w:rsidRPr="00E6210C">
        <w:rPr>
          <w:spacing w:val="-2"/>
        </w:rPr>
        <w:t>ub</w:t>
      </w:r>
      <w:r w:rsidRPr="00E6210C">
        <w:rPr>
          <w:spacing w:val="-2"/>
        </w:rPr>
        <w:t>division</w:t>
      </w:r>
      <w:r w:rsidRPr="00E6210C">
        <w:rPr>
          <w:spacing w:val="-2"/>
        </w:rPr>
        <w:t> </w:t>
      </w:r>
      <w:r w:rsidRPr="00E6210C">
        <w:rPr>
          <w:spacing w:val="-2"/>
        </w:rPr>
        <w:t>(u)</w:t>
      </w:r>
      <w:r w:rsidRPr="00E6210C">
        <w:rPr>
          <w:spacing w:val="-2"/>
        </w:rPr>
        <w:t xml:space="preserve"> cannot be construed beyond the terms it encompasses.  </w:t>
      </w:r>
      <w:r w:rsidRPr="00E6210C">
        <w:rPr>
          <w:spacing w:val="-2"/>
        </w:rPr>
        <w:t>(</w:t>
      </w:r>
      <w:r w:rsidRPr="00E6210C">
        <w:rPr>
          <w:spacing w:val="-2"/>
        </w:rPr>
        <w:t xml:space="preserve">See </w:t>
      </w:r>
      <w:r w:rsidRPr="00E6210C">
        <w:rPr>
          <w:i/>
          <w:iCs/>
          <w:spacing w:val="-2"/>
        </w:rPr>
        <w:t xml:space="preserve">Eisen v. </w:t>
      </w:r>
      <w:proofErr w:type="spellStart"/>
      <w:r w:rsidRPr="00E6210C">
        <w:rPr>
          <w:i/>
          <w:iCs/>
          <w:spacing w:val="-2"/>
        </w:rPr>
        <w:lastRenderedPageBreak/>
        <w:t>Tavangarian</w:t>
      </w:r>
      <w:proofErr w:type="spellEnd"/>
      <w:r w:rsidRPr="00E6210C">
        <w:rPr>
          <w:i/>
          <w:iCs/>
          <w:spacing w:val="-2"/>
        </w:rPr>
        <w:t xml:space="preserve"> </w:t>
      </w:r>
      <w:r w:rsidRPr="00E6210C">
        <w:rPr>
          <w:spacing w:val="-2"/>
        </w:rPr>
        <w:t>(2019) 36 Cal.App.5</w:t>
      </w:r>
      <w:r w:rsidRPr="00E6210C">
        <w:rPr>
          <w:spacing w:val="-2"/>
        </w:rPr>
        <w:t>th</w:t>
      </w:r>
      <w:r w:rsidRPr="00E6210C">
        <w:rPr>
          <w:spacing w:val="-2"/>
        </w:rPr>
        <w:t xml:space="preserve"> 626, 644</w:t>
      </w:r>
      <w:r w:rsidRPr="00E6210C">
        <w:rPr>
          <w:spacing w:val="-2"/>
        </w:rPr>
        <w:t xml:space="preserve"> [ejusdem generis limits </w:t>
      </w:r>
      <w:r w:rsidRPr="00E6210C">
        <w:rPr>
          <w:spacing w:val="-2"/>
        </w:rPr>
        <w:t xml:space="preserve">general word following specific word to </w:t>
      </w:r>
      <w:r w:rsidRPr="00E6210C">
        <w:rPr>
          <w:spacing w:val="-2"/>
        </w:rPr>
        <w:t>those</w:t>
      </w:r>
      <w:r w:rsidRPr="00E6210C">
        <w:rPr>
          <w:spacing w:val="-2"/>
        </w:rPr>
        <w:t xml:space="preserve"> of like kind</w:t>
      </w:r>
      <w:r w:rsidRPr="00E6210C">
        <w:rPr>
          <w:spacing w:val="-2"/>
        </w:rPr>
        <w:t>]</w:t>
      </w:r>
      <w:r w:rsidRPr="00E6210C">
        <w:rPr>
          <w:spacing w:val="-2"/>
        </w:rPr>
        <w:t xml:space="preserve">.) </w:t>
      </w:r>
      <w:r w:rsidRPr="00E6210C">
        <w:rPr>
          <w:spacing w:val="-2"/>
        </w:rPr>
        <w:t xml:space="preserve"> </w:t>
      </w:r>
    </w:p>
    <w:p w14:paraId="6B1CA836" w14:textId="77777777" w:rsidR="00B2782B" w:rsidRPr="00E6210C" w:rsidRDefault="00B2782B" w:rsidP="00223DFA">
      <w:pPr>
        <w:spacing w:after="0" w:line="288" w:lineRule="auto"/>
        <w:ind w:firstLine="720"/>
        <w:rPr>
          <w:spacing w:val="-2"/>
        </w:rPr>
      </w:pPr>
      <w:r w:rsidRPr="00E6210C">
        <w:rPr>
          <w:spacing w:val="-2"/>
        </w:rPr>
        <w:t xml:space="preserve">To </w:t>
      </w:r>
      <w:r w:rsidRPr="00E6210C">
        <w:rPr>
          <w:spacing w:val="-2"/>
        </w:rPr>
        <w:t>interpret</w:t>
      </w:r>
      <w:r w:rsidRPr="00E6210C">
        <w:rPr>
          <w:spacing w:val="-2"/>
        </w:rPr>
        <w:t xml:space="preserve"> </w:t>
      </w:r>
      <w:r w:rsidRPr="00E6210C">
        <w:rPr>
          <w:spacing w:val="-2"/>
        </w:rPr>
        <w:t>subdivision (u)</w:t>
      </w:r>
      <w:r w:rsidRPr="00E6210C">
        <w:rPr>
          <w:spacing w:val="-2"/>
        </w:rPr>
        <w:t xml:space="preserve"> as the Association </w:t>
      </w:r>
      <w:r w:rsidRPr="00E6210C">
        <w:rPr>
          <w:spacing w:val="-2"/>
        </w:rPr>
        <w:t>proposes</w:t>
      </w:r>
      <w:r w:rsidRPr="00E6210C">
        <w:rPr>
          <w:spacing w:val="-2"/>
        </w:rPr>
        <w:t xml:space="preserve"> would </w:t>
      </w:r>
      <w:r w:rsidRPr="00E6210C">
        <w:rPr>
          <w:spacing w:val="-2"/>
        </w:rPr>
        <w:t xml:space="preserve">render the </w:t>
      </w:r>
      <w:r w:rsidRPr="00E6210C">
        <w:rPr>
          <w:spacing w:val="-2"/>
        </w:rPr>
        <w:t>Tree CC</w:t>
      </w:r>
      <w:r w:rsidRPr="00E6210C">
        <w:rPr>
          <w:spacing w:val="-2"/>
        </w:rPr>
        <w:t xml:space="preserve"> mere surplusage</w:t>
      </w:r>
      <w:r w:rsidRPr="00E6210C">
        <w:rPr>
          <w:spacing w:val="-2"/>
        </w:rPr>
        <w:t>, as</w:t>
      </w:r>
      <w:r w:rsidRPr="00E6210C">
        <w:rPr>
          <w:spacing w:val="-2"/>
        </w:rPr>
        <w:t xml:space="preserve"> </w:t>
      </w:r>
      <w:r w:rsidRPr="00E6210C">
        <w:rPr>
          <w:spacing w:val="-2"/>
        </w:rPr>
        <w:t>the Association could use sub</w:t>
      </w:r>
      <w:r w:rsidRPr="00E6210C">
        <w:rPr>
          <w:spacing w:val="-2"/>
        </w:rPr>
        <w:t>division</w:t>
      </w:r>
      <w:r w:rsidRPr="00E6210C">
        <w:rPr>
          <w:spacing w:val="-2"/>
        </w:rPr>
        <w:t> </w:t>
      </w:r>
      <w:r w:rsidRPr="00E6210C">
        <w:rPr>
          <w:spacing w:val="-2"/>
        </w:rPr>
        <w:t>(u) to trim tree</w:t>
      </w:r>
      <w:r w:rsidRPr="00E6210C">
        <w:rPr>
          <w:spacing w:val="-2"/>
        </w:rPr>
        <w:t>s</w:t>
      </w:r>
      <w:r w:rsidRPr="00E6210C">
        <w:rPr>
          <w:spacing w:val="-2"/>
        </w:rPr>
        <w:t xml:space="preserve"> </w:t>
      </w:r>
      <w:r w:rsidRPr="00E6210C">
        <w:rPr>
          <w:spacing w:val="-2"/>
        </w:rPr>
        <w:t xml:space="preserve">found anywhere </w:t>
      </w:r>
      <w:r w:rsidRPr="00E6210C">
        <w:rPr>
          <w:spacing w:val="-2"/>
        </w:rPr>
        <w:t xml:space="preserve">on any </w:t>
      </w:r>
      <w:r w:rsidRPr="00E6210C">
        <w:rPr>
          <w:spacing w:val="-2"/>
        </w:rPr>
        <w:t xml:space="preserve">private </w:t>
      </w:r>
      <w:r w:rsidRPr="00E6210C">
        <w:rPr>
          <w:spacing w:val="-2"/>
        </w:rPr>
        <w:t xml:space="preserve">property.  </w:t>
      </w:r>
      <w:r w:rsidRPr="00E6210C">
        <w:rPr>
          <w:spacing w:val="-2"/>
        </w:rPr>
        <w:t>PVC would not have</w:t>
      </w:r>
      <w:r w:rsidRPr="00E6210C">
        <w:rPr>
          <w:spacing w:val="-2"/>
        </w:rPr>
        <w:t xml:space="preserve"> </w:t>
      </w:r>
      <w:r w:rsidRPr="00E6210C">
        <w:rPr>
          <w:spacing w:val="-2"/>
        </w:rPr>
        <w:t xml:space="preserve">relied upon </w:t>
      </w:r>
      <w:r w:rsidRPr="00E6210C">
        <w:rPr>
          <w:spacing w:val="-2"/>
        </w:rPr>
        <w:t>vague language</w:t>
      </w:r>
      <w:r w:rsidRPr="00E6210C">
        <w:rPr>
          <w:spacing w:val="-2"/>
        </w:rPr>
        <w:t xml:space="preserve"> at the end of a provision</w:t>
      </w:r>
      <w:r w:rsidRPr="00E6210C">
        <w:rPr>
          <w:spacing w:val="-2"/>
        </w:rPr>
        <w:t xml:space="preserve"> governing public spaces </w:t>
      </w:r>
      <w:r w:rsidRPr="00E6210C">
        <w:rPr>
          <w:spacing w:val="-2"/>
        </w:rPr>
        <w:t>to establish a significant right</w:t>
      </w:r>
      <w:r w:rsidRPr="00E6210C">
        <w:rPr>
          <w:spacing w:val="-2"/>
        </w:rPr>
        <w:t xml:space="preserve"> </w:t>
      </w:r>
      <w:r w:rsidRPr="00E6210C">
        <w:rPr>
          <w:spacing w:val="-2"/>
        </w:rPr>
        <w:t>to enter an individual homeowner’s property and cut</w:t>
      </w:r>
      <w:r w:rsidRPr="00E6210C">
        <w:rPr>
          <w:spacing w:val="-2"/>
        </w:rPr>
        <w:t xml:space="preserve"> </w:t>
      </w:r>
      <w:r w:rsidRPr="00E6210C">
        <w:rPr>
          <w:spacing w:val="-2"/>
        </w:rPr>
        <w:t>their</w:t>
      </w:r>
      <w:r w:rsidRPr="00E6210C">
        <w:rPr>
          <w:spacing w:val="-2"/>
        </w:rPr>
        <w:t xml:space="preserve"> </w:t>
      </w:r>
      <w:r w:rsidRPr="00E6210C">
        <w:rPr>
          <w:spacing w:val="-2"/>
        </w:rPr>
        <w:t>trees.</w:t>
      </w:r>
      <w:r w:rsidRPr="00E6210C">
        <w:rPr>
          <w:spacing w:val="-2"/>
        </w:rPr>
        <w:t xml:space="preserve">  </w:t>
      </w:r>
      <w:r w:rsidRPr="00E6210C">
        <w:rPr>
          <w:spacing w:val="-2"/>
        </w:rPr>
        <w:t>(</w:t>
      </w:r>
      <w:r w:rsidRPr="00E6210C">
        <w:rPr>
          <w:spacing w:val="-2"/>
        </w:rPr>
        <w:t xml:space="preserve">See </w:t>
      </w:r>
      <w:r w:rsidRPr="00E6210C">
        <w:rPr>
          <w:i/>
          <w:iCs/>
          <w:spacing w:val="-2"/>
        </w:rPr>
        <w:t>Boghos</w:t>
      </w:r>
      <w:r w:rsidRPr="00E6210C">
        <w:rPr>
          <w:spacing w:val="-2"/>
        </w:rPr>
        <w:t xml:space="preserve">, </w:t>
      </w:r>
      <w:r w:rsidRPr="00E6210C">
        <w:rPr>
          <w:i/>
          <w:iCs/>
          <w:spacing w:val="-2"/>
        </w:rPr>
        <w:t>supra</w:t>
      </w:r>
      <w:r w:rsidRPr="00E6210C">
        <w:rPr>
          <w:spacing w:val="-2"/>
        </w:rPr>
        <w:t>,</w:t>
      </w:r>
      <w:r w:rsidRPr="00E6210C">
        <w:rPr>
          <w:i/>
          <w:iCs/>
          <w:spacing w:val="-2"/>
        </w:rPr>
        <w:t xml:space="preserve"> </w:t>
      </w:r>
      <w:r w:rsidRPr="00E6210C">
        <w:rPr>
          <w:spacing w:val="-2"/>
        </w:rPr>
        <w:t xml:space="preserve">36 Cal.4th </w:t>
      </w:r>
      <w:r w:rsidRPr="00E6210C">
        <w:rPr>
          <w:spacing w:val="-2"/>
        </w:rPr>
        <w:t>at p.</w:t>
      </w:r>
      <w:r w:rsidRPr="00E6210C">
        <w:rPr>
          <w:spacing w:val="-2"/>
        </w:rPr>
        <w:t> </w:t>
      </w:r>
      <w:r w:rsidRPr="00E6210C">
        <w:rPr>
          <w:spacing w:val="-2"/>
        </w:rPr>
        <w:t>503</w:t>
      </w:r>
      <w:r w:rsidRPr="00E6210C">
        <w:rPr>
          <w:spacing w:val="-2"/>
        </w:rPr>
        <w:t xml:space="preserve">; </w:t>
      </w:r>
      <w:r w:rsidRPr="00E6210C">
        <w:rPr>
          <w:i/>
          <w:iCs/>
          <w:spacing w:val="-2"/>
        </w:rPr>
        <w:t>R.W.L</w:t>
      </w:r>
      <w:r w:rsidRPr="00E6210C">
        <w:rPr>
          <w:i/>
          <w:iCs/>
          <w:spacing w:val="-2"/>
        </w:rPr>
        <w:t>.</w:t>
      </w:r>
      <w:r w:rsidRPr="00E6210C">
        <w:rPr>
          <w:i/>
          <w:iCs/>
          <w:spacing w:val="-2"/>
        </w:rPr>
        <w:t xml:space="preserve"> Enterprises</w:t>
      </w:r>
      <w:r w:rsidRPr="00E6210C">
        <w:rPr>
          <w:spacing w:val="-2"/>
        </w:rPr>
        <w:t xml:space="preserve">, </w:t>
      </w:r>
      <w:r w:rsidRPr="00E6210C">
        <w:rPr>
          <w:i/>
          <w:iCs/>
          <w:spacing w:val="-2"/>
        </w:rPr>
        <w:t>supra</w:t>
      </w:r>
      <w:r w:rsidRPr="00E6210C">
        <w:rPr>
          <w:spacing w:val="-2"/>
        </w:rPr>
        <w:t>, 17 Cal.App.5th at p.</w:t>
      </w:r>
      <w:r w:rsidRPr="00E6210C">
        <w:rPr>
          <w:spacing w:val="-2"/>
        </w:rPr>
        <w:t> </w:t>
      </w:r>
      <w:r w:rsidRPr="00E6210C">
        <w:rPr>
          <w:spacing w:val="-2"/>
        </w:rPr>
        <w:t>1026</w:t>
      </w:r>
      <w:r w:rsidRPr="00E6210C">
        <w:rPr>
          <w:spacing w:val="-2"/>
        </w:rPr>
        <w:t>.)</w:t>
      </w:r>
    </w:p>
    <w:p w14:paraId="456E0BAA" w14:textId="77777777" w:rsidR="00B2782B" w:rsidRPr="00E6210C" w:rsidRDefault="00B2782B" w:rsidP="00223DFA">
      <w:pPr>
        <w:spacing w:after="0" w:line="288" w:lineRule="auto"/>
        <w:rPr>
          <w:rFonts w:ascii="Source Sans Pro" w:eastAsia="Times New Roman" w:hAnsi="Source Sans Pro" w:cs="Times New Roman"/>
          <w:color w:val="3D3D3D"/>
          <w:sz w:val="24"/>
          <w:szCs w:val="24"/>
          <w:u w:val="single"/>
          <w:bdr w:val="none" w:sz="0" w:space="0" w:color="auto" w:frame="1"/>
        </w:rPr>
      </w:pPr>
      <w:r w:rsidRPr="00E6210C">
        <w:rPr>
          <w:spacing w:val="-2"/>
        </w:rPr>
        <w:tab/>
        <w:t xml:space="preserve">The Association’s arguments </w:t>
      </w:r>
      <w:r w:rsidRPr="00E6210C">
        <w:rPr>
          <w:spacing w:val="-2"/>
        </w:rPr>
        <w:t>regarding</w:t>
      </w:r>
      <w:r w:rsidRPr="00E6210C">
        <w:rPr>
          <w:spacing w:val="-2"/>
        </w:rPr>
        <w:t xml:space="preserve"> sub</w:t>
      </w:r>
      <w:r w:rsidRPr="00E6210C">
        <w:rPr>
          <w:spacing w:val="-2"/>
        </w:rPr>
        <w:t>division</w:t>
      </w:r>
      <w:r w:rsidRPr="00E6210C">
        <w:rPr>
          <w:spacing w:val="-2"/>
        </w:rPr>
        <w:t>s</w:t>
      </w:r>
      <w:r w:rsidRPr="00E6210C">
        <w:rPr>
          <w:spacing w:val="-2"/>
        </w:rPr>
        <w:t> </w:t>
      </w:r>
      <w:r w:rsidRPr="00E6210C">
        <w:rPr>
          <w:spacing w:val="-2"/>
        </w:rPr>
        <w:t>(j) and (v) are also unavailing</w:t>
      </w:r>
      <w:r w:rsidRPr="00E6210C">
        <w:rPr>
          <w:spacing w:val="-2"/>
        </w:rPr>
        <w:t>.  T</w:t>
      </w:r>
      <w:r w:rsidRPr="00E6210C">
        <w:rPr>
          <w:spacing w:val="-2"/>
        </w:rPr>
        <w:t xml:space="preserve">he language in these provisions is </w:t>
      </w:r>
      <w:r w:rsidRPr="00E6210C">
        <w:rPr>
          <w:spacing w:val="-2"/>
        </w:rPr>
        <w:t xml:space="preserve">also </w:t>
      </w:r>
      <w:r w:rsidRPr="00E6210C">
        <w:rPr>
          <w:spacing w:val="-2"/>
        </w:rPr>
        <w:t xml:space="preserve">too general to encompass the Association’s specific right to enter private property and trim trees. </w:t>
      </w:r>
      <w:r w:rsidRPr="00E6210C">
        <w:rPr>
          <w:spacing w:val="-2"/>
        </w:rPr>
        <w:t xml:space="preserve"> </w:t>
      </w:r>
      <w:r w:rsidRPr="00E6210C">
        <w:rPr>
          <w:spacing w:val="-2"/>
        </w:rPr>
        <w:t>Sub</w:t>
      </w:r>
      <w:r w:rsidRPr="00E6210C">
        <w:rPr>
          <w:spacing w:val="-2"/>
        </w:rPr>
        <w:t>division</w:t>
      </w:r>
      <w:r w:rsidRPr="00E6210C">
        <w:rPr>
          <w:spacing w:val="-2"/>
        </w:rPr>
        <w:t xml:space="preserve"> (j) deals with the Association’s ability to </w:t>
      </w:r>
      <w:r w:rsidRPr="00E6210C">
        <w:rPr>
          <w:spacing w:val="-2"/>
        </w:rPr>
        <w:t xml:space="preserve">make light and air regulations “as are usually included in city housing codes or zoning regulations” </w:t>
      </w:r>
      <w:r w:rsidRPr="00E6210C">
        <w:rPr>
          <w:spacing w:val="-2"/>
        </w:rPr>
        <w:t>and contemplate</w:t>
      </w:r>
      <w:r w:rsidRPr="00E6210C">
        <w:rPr>
          <w:spacing w:val="-2"/>
        </w:rPr>
        <w:t>s</w:t>
      </w:r>
      <w:r w:rsidRPr="00E6210C">
        <w:rPr>
          <w:spacing w:val="-2"/>
        </w:rPr>
        <w:t xml:space="preserve"> view preservation </w:t>
      </w:r>
      <w:r w:rsidRPr="00E6210C">
        <w:rPr>
          <w:spacing w:val="-2"/>
        </w:rPr>
        <w:t xml:space="preserve">regulations </w:t>
      </w:r>
      <w:r w:rsidRPr="00E6210C">
        <w:rPr>
          <w:spacing w:val="-2"/>
        </w:rPr>
        <w:t>regarding</w:t>
      </w:r>
      <w:r w:rsidRPr="00E6210C">
        <w:rPr>
          <w:spacing w:val="-2"/>
        </w:rPr>
        <w:t xml:space="preserve"> </w:t>
      </w:r>
      <w:r w:rsidRPr="00E6210C">
        <w:rPr>
          <w:spacing w:val="-2"/>
        </w:rPr>
        <w:t xml:space="preserve">future construction. </w:t>
      </w:r>
      <w:r w:rsidRPr="00E6210C">
        <w:rPr>
          <w:spacing w:val="-2"/>
        </w:rPr>
        <w:t xml:space="preserve"> </w:t>
      </w:r>
      <w:r w:rsidRPr="00E6210C">
        <w:rPr>
          <w:spacing w:val="-2"/>
        </w:rPr>
        <w:t xml:space="preserve">This language cannot </w:t>
      </w:r>
      <w:r w:rsidRPr="00E6210C">
        <w:rPr>
          <w:spacing w:val="-2"/>
        </w:rPr>
        <w:t>reasonably</w:t>
      </w:r>
      <w:r w:rsidRPr="00E6210C">
        <w:rPr>
          <w:spacing w:val="-2"/>
        </w:rPr>
        <w:t xml:space="preserve"> </w:t>
      </w:r>
      <w:r w:rsidRPr="00E6210C">
        <w:rPr>
          <w:spacing w:val="-2"/>
        </w:rPr>
        <w:t>be construed to give the Association the authority to enforce the Tree CC on property not otherwise encumbered by it.</w:t>
      </w:r>
      <w:r w:rsidRPr="00E6210C">
        <w:rPr>
          <w:spacing w:val="-2"/>
        </w:rPr>
        <w:t xml:space="preserve"> </w:t>
      </w:r>
      <w:r w:rsidRPr="00E6210C">
        <w:rPr>
          <w:spacing w:val="-2"/>
        </w:rPr>
        <w:t xml:space="preserve"> </w:t>
      </w:r>
      <w:r w:rsidRPr="00E6210C">
        <w:rPr>
          <w:spacing w:val="-2"/>
        </w:rPr>
        <w:t>(</w:t>
      </w:r>
      <w:r w:rsidRPr="00E6210C">
        <w:rPr>
          <w:i/>
          <w:iCs/>
          <w:spacing w:val="-2"/>
        </w:rPr>
        <w:t>Epic Communications, In</w:t>
      </w:r>
      <w:r w:rsidRPr="00E6210C">
        <w:rPr>
          <w:i/>
          <w:iCs/>
          <w:spacing w:val="-2"/>
        </w:rPr>
        <w:t xml:space="preserve">c. v. </w:t>
      </w:r>
      <w:proofErr w:type="spellStart"/>
      <w:r w:rsidRPr="00E6210C">
        <w:rPr>
          <w:i/>
          <w:iCs/>
          <w:spacing w:val="-2"/>
        </w:rPr>
        <w:t>Richwave</w:t>
      </w:r>
      <w:proofErr w:type="spellEnd"/>
      <w:r w:rsidRPr="00E6210C">
        <w:rPr>
          <w:i/>
          <w:iCs/>
          <w:spacing w:val="-2"/>
        </w:rPr>
        <w:t xml:space="preserve"> Technology, Inc</w:t>
      </w:r>
      <w:r w:rsidRPr="00E6210C">
        <w:rPr>
          <w:spacing w:val="-2"/>
        </w:rPr>
        <w:t>. (2015) 237 Cal.App.4th 1342, 1348–1349 [</w:t>
      </w:r>
      <w:r w:rsidRPr="00E6210C">
        <w:rPr>
          <w:spacing w:val="-2"/>
        </w:rPr>
        <w:t xml:space="preserve">language must be </w:t>
      </w:r>
      <w:r w:rsidRPr="00E6210C">
        <w:rPr>
          <w:spacing w:val="-2"/>
        </w:rPr>
        <w:t xml:space="preserve">reasonably susceptible to interpretation </w:t>
      </w:r>
      <w:r w:rsidRPr="00E6210C">
        <w:rPr>
          <w:spacing w:val="-2"/>
        </w:rPr>
        <w:t>“</w:t>
      </w:r>
      <w:r w:rsidRPr="00E6210C">
        <w:rPr>
          <w:spacing w:val="-2"/>
        </w:rPr>
        <w:t>urged by the party</w:t>
      </w:r>
      <w:r w:rsidRPr="00E6210C">
        <w:rPr>
          <w:spacing w:val="-2"/>
        </w:rPr>
        <w:t>”</w:t>
      </w:r>
      <w:r w:rsidRPr="00E6210C">
        <w:rPr>
          <w:spacing w:val="-2"/>
        </w:rPr>
        <w:t>].)</w:t>
      </w:r>
      <w:r w:rsidRPr="00E6210C">
        <w:rPr>
          <w:spacing w:val="-2"/>
        </w:rPr>
        <w:t xml:space="preserve"> </w:t>
      </w:r>
      <w:r w:rsidRPr="00E6210C">
        <w:rPr>
          <w:spacing w:val="-2"/>
        </w:rPr>
        <w:t xml:space="preserve"> </w:t>
      </w:r>
      <w:r w:rsidRPr="00E6210C">
        <w:rPr>
          <w:spacing w:val="-2"/>
        </w:rPr>
        <w:t>For the same reason</w:t>
      </w:r>
      <w:r w:rsidRPr="00E6210C">
        <w:rPr>
          <w:spacing w:val="-2"/>
        </w:rPr>
        <w:t>, sub</w:t>
      </w:r>
      <w:r w:rsidRPr="00E6210C">
        <w:rPr>
          <w:spacing w:val="-2"/>
        </w:rPr>
        <w:t>division</w:t>
      </w:r>
      <w:r w:rsidRPr="00E6210C">
        <w:rPr>
          <w:spacing w:val="-2"/>
        </w:rPr>
        <w:t> </w:t>
      </w:r>
      <w:r w:rsidRPr="00E6210C">
        <w:rPr>
          <w:spacing w:val="-2"/>
        </w:rPr>
        <w:t>(v) cannot be extended in the manner the Association argues</w:t>
      </w:r>
      <w:r w:rsidRPr="00E6210C">
        <w:rPr>
          <w:spacing w:val="-2"/>
        </w:rPr>
        <w:t xml:space="preserve">.  </w:t>
      </w:r>
      <w:r w:rsidRPr="00E6210C">
        <w:rPr>
          <w:spacing w:val="-2"/>
        </w:rPr>
        <w:t>Subdivision</w:t>
      </w:r>
      <w:r w:rsidRPr="00E6210C">
        <w:rPr>
          <w:spacing w:val="-2"/>
        </w:rPr>
        <w:t> </w:t>
      </w:r>
      <w:r w:rsidRPr="00E6210C">
        <w:rPr>
          <w:spacing w:val="-2"/>
        </w:rPr>
        <w:t xml:space="preserve">(v) concerns </w:t>
      </w:r>
      <w:r w:rsidRPr="00E6210C">
        <w:rPr>
          <w:spacing w:val="-2"/>
        </w:rPr>
        <w:t xml:space="preserve">the care of </w:t>
      </w:r>
      <w:r w:rsidRPr="00E6210C">
        <w:rPr>
          <w:spacing w:val="-2"/>
        </w:rPr>
        <w:t xml:space="preserve">vacant or </w:t>
      </w:r>
      <w:r w:rsidRPr="00E6210C">
        <w:rPr>
          <w:spacing w:val="-2"/>
        </w:rPr>
        <w:t>private property of which the Association take</w:t>
      </w:r>
      <w:r w:rsidRPr="00E6210C">
        <w:rPr>
          <w:spacing w:val="-2"/>
        </w:rPr>
        <w:t>s</w:t>
      </w:r>
      <w:r w:rsidRPr="00E6210C">
        <w:rPr>
          <w:spacing w:val="-2"/>
        </w:rPr>
        <w:t xml:space="preserve"> charge, not private property generally</w:t>
      </w:r>
      <w:r w:rsidRPr="00E6210C">
        <w:rPr>
          <w:spacing w:val="-2"/>
        </w:rPr>
        <w:t>, including property actively managed by its owner</w:t>
      </w:r>
      <w:r w:rsidRPr="00E6210C">
        <w:rPr>
          <w:spacing w:val="-2"/>
        </w:rPr>
        <w:t xml:space="preserve">. </w:t>
      </w:r>
      <w:r w:rsidRPr="00E6210C">
        <w:rPr>
          <w:spacing w:val="-2"/>
        </w:rPr>
        <w:t xml:space="preserve"> </w:t>
      </w:r>
      <w:r w:rsidRPr="00E6210C">
        <w:rPr>
          <w:spacing w:val="-2"/>
        </w:rPr>
        <w:t>Finally, as with sub</w:t>
      </w:r>
      <w:r w:rsidRPr="00E6210C">
        <w:rPr>
          <w:spacing w:val="-2"/>
        </w:rPr>
        <w:t>division</w:t>
      </w:r>
      <w:r w:rsidRPr="00E6210C">
        <w:rPr>
          <w:spacing w:val="-2"/>
        </w:rPr>
        <w:t> </w:t>
      </w:r>
      <w:r w:rsidRPr="00E6210C">
        <w:rPr>
          <w:spacing w:val="-2"/>
        </w:rPr>
        <w:t>(u), if sub</w:t>
      </w:r>
      <w:r w:rsidRPr="00E6210C">
        <w:rPr>
          <w:spacing w:val="-2"/>
        </w:rPr>
        <w:t>divisions</w:t>
      </w:r>
      <w:r w:rsidRPr="00E6210C">
        <w:rPr>
          <w:spacing w:val="-2"/>
        </w:rPr>
        <w:t> </w:t>
      </w:r>
      <w:r w:rsidRPr="00E6210C">
        <w:rPr>
          <w:spacing w:val="-2"/>
        </w:rPr>
        <w:t xml:space="preserve">(j) and (v) are interpreted as the Association proposes, they render the Tree </w:t>
      </w:r>
      <w:r w:rsidRPr="00E6210C">
        <w:rPr>
          <w:spacing w:val="-2"/>
        </w:rPr>
        <w:lastRenderedPageBreak/>
        <w:t>CC mere surplusage.  (</w:t>
      </w:r>
      <w:r w:rsidRPr="00E6210C">
        <w:rPr>
          <w:spacing w:val="-2"/>
        </w:rPr>
        <w:t xml:space="preserve">See </w:t>
      </w:r>
      <w:r w:rsidRPr="00E6210C">
        <w:rPr>
          <w:i/>
          <w:iCs/>
          <w:spacing w:val="-2"/>
        </w:rPr>
        <w:t>Boghos</w:t>
      </w:r>
      <w:r w:rsidRPr="00E6210C">
        <w:rPr>
          <w:spacing w:val="-2"/>
        </w:rPr>
        <w:t xml:space="preserve">, </w:t>
      </w:r>
      <w:r w:rsidRPr="00E6210C">
        <w:rPr>
          <w:i/>
          <w:iCs/>
          <w:spacing w:val="-2"/>
        </w:rPr>
        <w:t>supra</w:t>
      </w:r>
      <w:r w:rsidRPr="00E6210C">
        <w:rPr>
          <w:spacing w:val="-2"/>
        </w:rPr>
        <w:t>,</w:t>
      </w:r>
      <w:r w:rsidRPr="00E6210C">
        <w:rPr>
          <w:i/>
          <w:iCs/>
          <w:spacing w:val="-2"/>
        </w:rPr>
        <w:t xml:space="preserve"> </w:t>
      </w:r>
      <w:r w:rsidRPr="00E6210C">
        <w:rPr>
          <w:spacing w:val="-2"/>
        </w:rPr>
        <w:t>36 Cal.4th at p.</w:t>
      </w:r>
      <w:r w:rsidRPr="00E6210C">
        <w:rPr>
          <w:spacing w:val="-2"/>
        </w:rPr>
        <w:t> </w:t>
      </w:r>
      <w:r w:rsidRPr="00E6210C">
        <w:rPr>
          <w:spacing w:val="-2"/>
        </w:rPr>
        <w:t xml:space="preserve">503; </w:t>
      </w:r>
      <w:r w:rsidRPr="00E6210C">
        <w:rPr>
          <w:i/>
          <w:iCs/>
          <w:spacing w:val="-2"/>
        </w:rPr>
        <w:t>R.W.L</w:t>
      </w:r>
      <w:r w:rsidRPr="00E6210C">
        <w:rPr>
          <w:i/>
          <w:iCs/>
          <w:spacing w:val="-2"/>
        </w:rPr>
        <w:t>.</w:t>
      </w:r>
      <w:r w:rsidRPr="00E6210C">
        <w:rPr>
          <w:i/>
          <w:iCs/>
          <w:spacing w:val="-2"/>
        </w:rPr>
        <w:t xml:space="preserve"> Enterprises</w:t>
      </w:r>
      <w:r w:rsidRPr="00E6210C">
        <w:rPr>
          <w:spacing w:val="-2"/>
        </w:rPr>
        <w:t xml:space="preserve">, </w:t>
      </w:r>
      <w:r w:rsidRPr="00E6210C">
        <w:rPr>
          <w:i/>
          <w:iCs/>
          <w:spacing w:val="-2"/>
        </w:rPr>
        <w:t>supra</w:t>
      </w:r>
      <w:r w:rsidRPr="00E6210C">
        <w:rPr>
          <w:spacing w:val="-2"/>
        </w:rPr>
        <w:t>, 17 Cal.App.5th at p.</w:t>
      </w:r>
      <w:r w:rsidRPr="00E6210C">
        <w:rPr>
          <w:spacing w:val="-2"/>
        </w:rPr>
        <w:t> </w:t>
      </w:r>
      <w:r w:rsidRPr="00E6210C">
        <w:rPr>
          <w:spacing w:val="-2"/>
        </w:rPr>
        <w:t>1026</w:t>
      </w:r>
      <w:r w:rsidRPr="00E6210C">
        <w:rPr>
          <w:rFonts w:eastAsia="Times New Roman" w:cs="Times New Roman"/>
          <w:color w:val="000000"/>
        </w:rPr>
        <w:t>.)</w:t>
      </w:r>
    </w:p>
    <w:p w14:paraId="29C24FE7" w14:textId="77777777" w:rsidR="00B2782B" w:rsidRPr="00E6210C" w:rsidRDefault="00B2782B" w:rsidP="00223DFA">
      <w:pPr>
        <w:spacing w:after="0" w:line="288" w:lineRule="auto"/>
        <w:rPr>
          <w:spacing w:val="-2"/>
        </w:rPr>
      </w:pPr>
    </w:p>
    <w:p w14:paraId="1E800DE9" w14:textId="77777777" w:rsidR="00B2782B" w:rsidRPr="00E6210C" w:rsidRDefault="00B2782B" w:rsidP="00223DFA">
      <w:pPr>
        <w:keepNext/>
        <w:spacing w:after="0" w:line="288" w:lineRule="auto"/>
        <w:rPr>
          <w:b/>
          <w:bCs/>
          <w:spacing w:val="-2"/>
        </w:rPr>
      </w:pPr>
      <w:r w:rsidRPr="00E6210C">
        <w:rPr>
          <w:b/>
          <w:bCs/>
          <w:spacing w:val="-2"/>
        </w:rPr>
        <w:t>B</w:t>
      </w:r>
      <w:r w:rsidRPr="00E6210C">
        <w:rPr>
          <w:b/>
          <w:bCs/>
          <w:spacing w:val="-2"/>
        </w:rPr>
        <w:t>.</w:t>
      </w:r>
      <w:r w:rsidRPr="00E6210C">
        <w:rPr>
          <w:b/>
          <w:bCs/>
          <w:spacing w:val="-2"/>
        </w:rPr>
        <w:tab/>
      </w:r>
      <w:r w:rsidRPr="00E6210C">
        <w:rPr>
          <w:b/>
          <w:bCs/>
          <w:spacing w:val="-2"/>
        </w:rPr>
        <w:t>Scope of Injunctive Relief</w:t>
      </w:r>
      <w:r>
        <w:rPr>
          <w:rStyle w:val="FootnoteReference"/>
          <w:rFonts w:ascii="Symbol" w:hAnsi="Symbol"/>
          <w:b/>
          <w:bCs/>
          <w:spacing w:val="-2"/>
        </w:rPr>
        <w:footnoteReference w:customMarkFollows="1" w:id="8"/>
        <w:sym w:font="Symbol" w:char="F02A"/>
      </w:r>
    </w:p>
    <w:p w14:paraId="31A277F1" w14:textId="77777777" w:rsidR="00B2782B" w:rsidRPr="00E6210C" w:rsidRDefault="00B2782B" w:rsidP="00223DFA">
      <w:pPr>
        <w:spacing w:after="0" w:line="288" w:lineRule="auto"/>
        <w:rPr>
          <w:spacing w:val="-2"/>
        </w:rPr>
      </w:pPr>
      <w:r w:rsidRPr="00E6210C">
        <w:rPr>
          <w:b/>
          <w:bCs/>
          <w:spacing w:val="-2"/>
        </w:rPr>
        <w:tab/>
      </w:r>
      <w:r w:rsidRPr="00E6210C">
        <w:rPr>
          <w:spacing w:val="-2"/>
        </w:rPr>
        <w:t xml:space="preserve">The Association contends </w:t>
      </w:r>
      <w:r w:rsidRPr="00E6210C">
        <w:rPr>
          <w:spacing w:val="-2"/>
        </w:rPr>
        <w:t xml:space="preserve">the injunctive relief </w:t>
      </w:r>
      <w:r w:rsidRPr="00E6210C">
        <w:rPr>
          <w:spacing w:val="-2"/>
        </w:rPr>
        <w:t xml:space="preserve">granted by the trial court </w:t>
      </w:r>
      <w:r w:rsidRPr="00E6210C">
        <w:rPr>
          <w:spacing w:val="-2"/>
        </w:rPr>
        <w:t>is overbroad</w:t>
      </w:r>
      <w:r w:rsidRPr="00E6210C">
        <w:rPr>
          <w:spacing w:val="-2"/>
        </w:rPr>
        <w:t>, constitutes a prior restraint</w:t>
      </w:r>
      <w:r w:rsidRPr="00E6210C">
        <w:rPr>
          <w:spacing w:val="-2"/>
        </w:rPr>
        <w:t xml:space="preserve"> on speech</w:t>
      </w:r>
      <w:r w:rsidRPr="00E6210C">
        <w:rPr>
          <w:spacing w:val="-2"/>
        </w:rPr>
        <w:t xml:space="preserve">, </w:t>
      </w:r>
      <w:r w:rsidRPr="00E6210C">
        <w:rPr>
          <w:spacing w:val="-2"/>
        </w:rPr>
        <w:t xml:space="preserve">and should not include the individual director </w:t>
      </w:r>
      <w:r w:rsidRPr="00E6210C">
        <w:rPr>
          <w:spacing w:val="-2"/>
        </w:rPr>
        <w:t>defendants</w:t>
      </w:r>
      <w:r w:rsidRPr="00E6210C">
        <w:rPr>
          <w:spacing w:val="-2"/>
        </w:rPr>
        <w:t xml:space="preserve">. </w:t>
      </w:r>
      <w:r w:rsidRPr="00E6210C">
        <w:rPr>
          <w:spacing w:val="-2"/>
        </w:rPr>
        <w:t xml:space="preserve"> </w:t>
      </w:r>
      <w:proofErr w:type="spellStart"/>
      <w:r w:rsidRPr="00E6210C">
        <w:rPr>
          <w:spacing w:val="-2"/>
        </w:rPr>
        <w:t>Colyear</w:t>
      </w:r>
      <w:proofErr w:type="spellEnd"/>
      <w:r w:rsidRPr="00E6210C">
        <w:rPr>
          <w:spacing w:val="-2"/>
        </w:rPr>
        <w:t xml:space="preserve"> counters that </w:t>
      </w:r>
      <w:r w:rsidRPr="00E6210C">
        <w:rPr>
          <w:spacing w:val="-2"/>
        </w:rPr>
        <w:t xml:space="preserve">the </w:t>
      </w:r>
      <w:r w:rsidRPr="00E6210C">
        <w:rPr>
          <w:spacing w:val="-2"/>
        </w:rPr>
        <w:t>Association</w:t>
      </w:r>
      <w:r w:rsidRPr="00E6210C">
        <w:rPr>
          <w:spacing w:val="-2"/>
        </w:rPr>
        <w:t xml:space="preserve">, as well as the individual board members, have </w:t>
      </w:r>
      <w:r w:rsidRPr="00E6210C">
        <w:rPr>
          <w:spacing w:val="-2"/>
        </w:rPr>
        <w:t xml:space="preserve">asserted </w:t>
      </w:r>
      <w:r w:rsidRPr="00E6210C">
        <w:rPr>
          <w:spacing w:val="-2"/>
        </w:rPr>
        <w:t xml:space="preserve">the Tree CC applies throughout the </w:t>
      </w:r>
      <w:r w:rsidRPr="00E6210C">
        <w:rPr>
          <w:spacing w:val="-2"/>
        </w:rPr>
        <w:t xml:space="preserve">area governed by the </w:t>
      </w:r>
      <w:r w:rsidRPr="00E6210C">
        <w:rPr>
          <w:spacing w:val="-2"/>
        </w:rPr>
        <w:t>Association</w:t>
      </w:r>
      <w:r w:rsidRPr="00E6210C">
        <w:rPr>
          <w:spacing w:val="-2"/>
        </w:rPr>
        <w:t xml:space="preserve">, </w:t>
      </w:r>
      <w:r w:rsidRPr="00E6210C">
        <w:rPr>
          <w:spacing w:val="-2"/>
        </w:rPr>
        <w:t>and</w:t>
      </w:r>
      <w:r w:rsidRPr="00E6210C">
        <w:rPr>
          <w:spacing w:val="-2"/>
        </w:rPr>
        <w:t xml:space="preserve"> thus</w:t>
      </w:r>
      <w:r w:rsidRPr="00E6210C">
        <w:rPr>
          <w:spacing w:val="-2"/>
        </w:rPr>
        <w:t xml:space="preserve">, prior </w:t>
      </w:r>
      <w:r w:rsidRPr="00E6210C">
        <w:rPr>
          <w:spacing w:val="-2"/>
        </w:rPr>
        <w:t>restraint is appropriate</w:t>
      </w:r>
      <w:r w:rsidRPr="00E6210C">
        <w:rPr>
          <w:spacing w:val="-2"/>
        </w:rPr>
        <w:t xml:space="preserve">. </w:t>
      </w:r>
      <w:r w:rsidRPr="00E6210C">
        <w:rPr>
          <w:spacing w:val="-2"/>
        </w:rPr>
        <w:t xml:space="preserve"> </w:t>
      </w:r>
    </w:p>
    <w:p w14:paraId="40E0194A" w14:textId="77777777" w:rsidR="00B2782B" w:rsidRPr="00E6210C" w:rsidRDefault="00B2782B" w:rsidP="00223DFA">
      <w:pPr>
        <w:spacing w:after="0" w:line="288" w:lineRule="auto"/>
        <w:rPr>
          <w:spacing w:val="-2"/>
        </w:rPr>
      </w:pPr>
      <w:r w:rsidRPr="00E6210C">
        <w:rPr>
          <w:spacing w:val="-2"/>
        </w:rPr>
        <w:tab/>
      </w:r>
      <w:r w:rsidRPr="00E6210C">
        <w:rPr>
          <w:spacing w:val="-2"/>
        </w:rPr>
        <w:t>The judgment contains two injunctions</w:t>
      </w:r>
      <w:r w:rsidRPr="00E6210C">
        <w:rPr>
          <w:spacing w:val="-2"/>
        </w:rPr>
        <w:t xml:space="preserve">. </w:t>
      </w:r>
      <w:r w:rsidRPr="00E6210C">
        <w:rPr>
          <w:spacing w:val="-2"/>
        </w:rPr>
        <w:t xml:space="preserve"> </w:t>
      </w:r>
      <w:r w:rsidRPr="00E6210C">
        <w:rPr>
          <w:spacing w:val="-2"/>
        </w:rPr>
        <w:t>The judgment</w:t>
      </w:r>
      <w:r w:rsidRPr="00E6210C">
        <w:rPr>
          <w:spacing w:val="-2"/>
        </w:rPr>
        <w:t xml:space="preserve"> </w:t>
      </w:r>
      <w:r w:rsidRPr="00E6210C">
        <w:rPr>
          <w:spacing w:val="-2"/>
        </w:rPr>
        <w:t xml:space="preserve">on the declaratory </w:t>
      </w:r>
      <w:r w:rsidRPr="00E6210C">
        <w:rPr>
          <w:spacing w:val="-2"/>
        </w:rPr>
        <w:t>relief</w:t>
      </w:r>
      <w:r w:rsidRPr="00E6210C">
        <w:rPr>
          <w:spacing w:val="-2"/>
        </w:rPr>
        <w:t xml:space="preserve"> claim</w:t>
      </w:r>
      <w:r w:rsidRPr="00E6210C">
        <w:rPr>
          <w:spacing w:val="-2"/>
        </w:rPr>
        <w:t xml:space="preserve"> enjoins</w:t>
      </w:r>
      <w:r w:rsidRPr="00E6210C">
        <w:rPr>
          <w:spacing w:val="-2"/>
        </w:rPr>
        <w:t xml:space="preserve"> </w:t>
      </w:r>
      <w:r w:rsidRPr="00E6210C">
        <w:rPr>
          <w:spacing w:val="-2"/>
        </w:rPr>
        <w:t xml:space="preserve">“all </w:t>
      </w:r>
      <w:r w:rsidRPr="00E6210C">
        <w:rPr>
          <w:spacing w:val="-2"/>
        </w:rPr>
        <w:t>Defendants” and anyone “acting in concert with them</w:t>
      </w:r>
      <w:r w:rsidRPr="00E6210C">
        <w:rPr>
          <w:spacing w:val="-2"/>
        </w:rPr>
        <w:t> . . . </w:t>
      </w:r>
      <w:r w:rsidRPr="00E6210C">
        <w:rPr>
          <w:spacing w:val="-2"/>
        </w:rPr>
        <w:t xml:space="preserve">from enforcing, or attempting to enforce, the </w:t>
      </w:r>
      <w:r w:rsidRPr="00E6210C">
        <w:rPr>
          <w:spacing w:val="-2"/>
        </w:rPr>
        <w:t>[</w:t>
      </w:r>
      <w:r w:rsidRPr="00E6210C">
        <w:rPr>
          <w:spacing w:val="-2"/>
        </w:rPr>
        <w:t>Tree</w:t>
      </w:r>
      <w:r w:rsidRPr="00E6210C">
        <w:rPr>
          <w:spacing w:val="-2"/>
        </w:rPr>
        <w:t xml:space="preserve"> CC]</w:t>
      </w:r>
      <w:r w:rsidRPr="00E6210C">
        <w:rPr>
          <w:spacing w:val="-2"/>
        </w:rPr>
        <w:t xml:space="preserve"> against [</w:t>
      </w:r>
      <w:proofErr w:type="spellStart"/>
      <w:r w:rsidRPr="00E6210C">
        <w:rPr>
          <w:spacing w:val="-2"/>
        </w:rPr>
        <w:t>Colyear’s</w:t>
      </w:r>
      <w:proofErr w:type="spellEnd"/>
      <w:r w:rsidRPr="00E6210C">
        <w:rPr>
          <w:spacing w:val="-2"/>
        </w:rPr>
        <w:t xml:space="preserve"> property].” </w:t>
      </w:r>
      <w:r w:rsidRPr="00E6210C">
        <w:rPr>
          <w:spacing w:val="-2"/>
        </w:rPr>
        <w:t xml:space="preserve"> </w:t>
      </w:r>
      <w:r w:rsidRPr="00E6210C">
        <w:rPr>
          <w:spacing w:val="-2"/>
        </w:rPr>
        <w:t>The</w:t>
      </w:r>
      <w:r w:rsidRPr="00E6210C">
        <w:rPr>
          <w:spacing w:val="-2"/>
        </w:rPr>
        <w:t xml:space="preserve"> </w:t>
      </w:r>
      <w:r w:rsidRPr="00E6210C">
        <w:rPr>
          <w:spacing w:val="-2"/>
        </w:rPr>
        <w:t xml:space="preserve">judgment on the </w:t>
      </w:r>
      <w:r w:rsidRPr="00E6210C">
        <w:rPr>
          <w:spacing w:val="-2"/>
        </w:rPr>
        <w:t>injunctive relief claim</w:t>
      </w:r>
      <w:r w:rsidRPr="00E6210C">
        <w:rPr>
          <w:spacing w:val="-2"/>
        </w:rPr>
        <w:t xml:space="preserve"> </w:t>
      </w:r>
      <w:r w:rsidRPr="00E6210C">
        <w:rPr>
          <w:spacing w:val="-2"/>
        </w:rPr>
        <w:t>enjoins all defendants from “publishing or disseminating in any</w:t>
      </w:r>
      <w:r w:rsidRPr="00E6210C">
        <w:rPr>
          <w:spacing w:val="-2"/>
        </w:rPr>
        <w:t xml:space="preserve"> </w:t>
      </w:r>
      <w:r w:rsidRPr="00E6210C">
        <w:rPr>
          <w:spacing w:val="-2"/>
        </w:rPr>
        <w:t xml:space="preserve">statements or documents, including internet website content, indicating that the </w:t>
      </w:r>
      <w:r w:rsidRPr="00E6210C">
        <w:rPr>
          <w:spacing w:val="-2"/>
        </w:rPr>
        <w:t>[Tree CC]</w:t>
      </w:r>
      <w:r w:rsidRPr="00E6210C">
        <w:rPr>
          <w:spacing w:val="-2"/>
        </w:rPr>
        <w:t xml:space="preserve"> applies to or may be enforced against the </w:t>
      </w:r>
      <w:r w:rsidRPr="00E6210C">
        <w:rPr>
          <w:spacing w:val="-2"/>
        </w:rPr>
        <w:t>[s]</w:t>
      </w:r>
      <w:proofErr w:type="spellStart"/>
      <w:r w:rsidRPr="00E6210C">
        <w:rPr>
          <w:spacing w:val="-2"/>
        </w:rPr>
        <w:t>ubject</w:t>
      </w:r>
      <w:proofErr w:type="spellEnd"/>
      <w:r w:rsidRPr="00E6210C">
        <w:rPr>
          <w:spacing w:val="-2"/>
        </w:rPr>
        <w:t xml:space="preserve"> </w:t>
      </w:r>
      <w:r w:rsidRPr="00E6210C">
        <w:rPr>
          <w:spacing w:val="-2"/>
        </w:rPr>
        <w:t>[p]</w:t>
      </w:r>
      <w:proofErr w:type="spellStart"/>
      <w:r w:rsidRPr="00E6210C">
        <w:rPr>
          <w:spacing w:val="-2"/>
        </w:rPr>
        <w:t>roperty</w:t>
      </w:r>
      <w:proofErr w:type="spellEnd"/>
      <w:r w:rsidRPr="00E6210C">
        <w:rPr>
          <w:spacing w:val="-2"/>
        </w:rPr>
        <w:t xml:space="preserve">.” </w:t>
      </w:r>
    </w:p>
    <w:p w14:paraId="70370352" w14:textId="77777777" w:rsidR="00B2782B" w:rsidRPr="00E6210C" w:rsidRDefault="00B2782B" w:rsidP="00223DFA">
      <w:pPr>
        <w:spacing w:after="0" w:line="288" w:lineRule="auto"/>
        <w:rPr>
          <w:spacing w:val="-2"/>
        </w:rPr>
      </w:pPr>
    </w:p>
    <w:p w14:paraId="09876005" w14:textId="77777777" w:rsidR="00B2782B" w:rsidRPr="00E6210C" w:rsidRDefault="00B2782B" w:rsidP="00223DFA">
      <w:pPr>
        <w:spacing w:after="0" w:line="288" w:lineRule="auto"/>
        <w:rPr>
          <w:i/>
          <w:iCs/>
          <w:spacing w:val="-2"/>
        </w:rPr>
      </w:pPr>
      <w:r w:rsidRPr="00E6210C">
        <w:rPr>
          <w:spacing w:val="-2"/>
        </w:rPr>
        <w:tab/>
        <w:t>1.</w:t>
      </w:r>
      <w:r w:rsidRPr="00E6210C">
        <w:rPr>
          <w:spacing w:val="-2"/>
        </w:rPr>
        <w:tab/>
      </w:r>
      <w:r w:rsidRPr="00E6210C">
        <w:rPr>
          <w:i/>
          <w:iCs/>
          <w:spacing w:val="-2"/>
        </w:rPr>
        <w:t>Governing Law</w:t>
      </w:r>
    </w:p>
    <w:p w14:paraId="297B63C7" w14:textId="77777777" w:rsidR="00B2782B" w:rsidRPr="00E6210C" w:rsidRDefault="00B2782B" w:rsidP="00223DFA">
      <w:pPr>
        <w:spacing w:after="0" w:line="288" w:lineRule="auto"/>
        <w:rPr>
          <w:spacing w:val="-2"/>
        </w:rPr>
      </w:pPr>
      <w:r w:rsidRPr="00E6210C">
        <w:rPr>
          <w:spacing w:val="-2"/>
        </w:rPr>
        <w:tab/>
        <w:t xml:space="preserve">A permanent injunction is a determination on the merits that a plaintiff has </w:t>
      </w:r>
      <w:r w:rsidRPr="00E6210C">
        <w:rPr>
          <w:spacing w:val="-2"/>
        </w:rPr>
        <w:t>prevailed on a cause of action and that equitable relief is appropriate.</w:t>
      </w:r>
      <w:r w:rsidRPr="00E6210C">
        <w:rPr>
          <w:spacing w:val="-2"/>
        </w:rPr>
        <w:t xml:space="preserve"> </w:t>
      </w:r>
      <w:r w:rsidRPr="00E6210C">
        <w:rPr>
          <w:spacing w:val="-2"/>
        </w:rPr>
        <w:t xml:space="preserve"> (</w:t>
      </w:r>
      <w:r w:rsidRPr="00E6210C">
        <w:rPr>
          <w:i/>
          <w:iCs/>
          <w:spacing w:val="-2"/>
        </w:rPr>
        <w:t>Art Movers, Inc. v. Ni West, Inc.</w:t>
      </w:r>
      <w:r w:rsidRPr="00E6210C">
        <w:rPr>
          <w:spacing w:val="-2"/>
        </w:rPr>
        <w:t xml:space="preserve"> (1992) 3 Cal.App.4th 640, 646.) </w:t>
      </w:r>
      <w:r w:rsidRPr="00E6210C">
        <w:rPr>
          <w:spacing w:val="-2"/>
        </w:rPr>
        <w:t xml:space="preserve"> </w:t>
      </w:r>
      <w:r w:rsidRPr="00E6210C">
        <w:rPr>
          <w:spacing w:val="-2"/>
        </w:rPr>
        <w:t>The grant or denial of a permanent injunction rests within the trial court’s sound discretion and will not be disturbed on appeal absent a showing of a clear abuse of discretion.</w:t>
      </w:r>
      <w:r w:rsidRPr="00E6210C">
        <w:rPr>
          <w:spacing w:val="-2"/>
        </w:rPr>
        <w:t xml:space="preserve"> </w:t>
      </w:r>
      <w:r w:rsidRPr="00E6210C">
        <w:rPr>
          <w:spacing w:val="-2"/>
        </w:rPr>
        <w:t xml:space="preserve"> (</w:t>
      </w:r>
      <w:r w:rsidRPr="00E6210C">
        <w:rPr>
          <w:i/>
          <w:iCs/>
          <w:spacing w:val="-2"/>
        </w:rPr>
        <w:t>Mendez v. Rancho Valencia Resort Partners</w:t>
      </w:r>
      <w:r w:rsidRPr="00E6210C">
        <w:rPr>
          <w:i/>
          <w:iCs/>
          <w:spacing w:val="-2"/>
        </w:rPr>
        <w:t>, LLC</w:t>
      </w:r>
      <w:r w:rsidRPr="00E6210C">
        <w:rPr>
          <w:i/>
          <w:iCs/>
          <w:spacing w:val="-2"/>
        </w:rPr>
        <w:t xml:space="preserve"> </w:t>
      </w:r>
      <w:r w:rsidRPr="00E6210C">
        <w:rPr>
          <w:spacing w:val="-2"/>
        </w:rPr>
        <w:t xml:space="preserve">(2016) 3 Cal.App.5th 248, 260.) </w:t>
      </w:r>
      <w:r w:rsidRPr="00E6210C">
        <w:rPr>
          <w:spacing w:val="-2"/>
        </w:rPr>
        <w:t xml:space="preserve"> </w:t>
      </w:r>
      <w:r w:rsidRPr="00E6210C">
        <w:rPr>
          <w:spacing w:val="-2"/>
        </w:rPr>
        <w:t xml:space="preserve">A permanent </w:t>
      </w:r>
      <w:r w:rsidRPr="00E6210C">
        <w:rPr>
          <w:spacing w:val="-2"/>
        </w:rPr>
        <w:lastRenderedPageBreak/>
        <w:t>injunction, notwithstanding its discretionary component, must be sufficiently supported by the ev</w:t>
      </w:r>
      <w:r w:rsidRPr="00E6210C">
        <w:rPr>
          <w:spacing w:val="-2"/>
        </w:rPr>
        <w:t xml:space="preserve">idence of record. </w:t>
      </w:r>
      <w:r w:rsidRPr="00E6210C">
        <w:rPr>
          <w:spacing w:val="-2"/>
        </w:rPr>
        <w:t xml:space="preserve"> </w:t>
      </w:r>
      <w:r w:rsidRPr="00E6210C">
        <w:rPr>
          <w:spacing w:val="-2"/>
        </w:rPr>
        <w:t>(</w:t>
      </w:r>
      <w:r w:rsidRPr="00E6210C">
        <w:rPr>
          <w:i/>
          <w:iCs/>
          <w:spacing w:val="-2"/>
        </w:rPr>
        <w:t>DVD Copy Control Ass</w:t>
      </w:r>
      <w:r w:rsidRPr="00E6210C">
        <w:rPr>
          <w:i/>
          <w:iCs/>
          <w:spacing w:val="-2"/>
        </w:rPr>
        <w:t>n</w:t>
      </w:r>
      <w:r w:rsidRPr="00E6210C">
        <w:rPr>
          <w:i/>
          <w:iCs/>
          <w:spacing w:val="-2"/>
        </w:rPr>
        <w:t xml:space="preserve">., Inc. v. </w:t>
      </w:r>
      <w:proofErr w:type="spellStart"/>
      <w:r w:rsidRPr="00E6210C">
        <w:rPr>
          <w:i/>
          <w:iCs/>
          <w:spacing w:val="-2"/>
        </w:rPr>
        <w:t>Kaleid</w:t>
      </w:r>
      <w:r w:rsidRPr="00E6210C">
        <w:rPr>
          <w:i/>
          <w:iCs/>
          <w:spacing w:val="-2"/>
        </w:rPr>
        <w:t>e</w:t>
      </w:r>
      <w:r w:rsidRPr="00E6210C">
        <w:rPr>
          <w:i/>
          <w:iCs/>
          <w:spacing w:val="-2"/>
        </w:rPr>
        <w:t>sc</w:t>
      </w:r>
      <w:r w:rsidRPr="00E6210C">
        <w:rPr>
          <w:i/>
          <w:iCs/>
          <w:spacing w:val="-2"/>
        </w:rPr>
        <w:t>a</w:t>
      </w:r>
      <w:r w:rsidRPr="00E6210C">
        <w:rPr>
          <w:i/>
          <w:iCs/>
          <w:spacing w:val="-2"/>
        </w:rPr>
        <w:t>pe</w:t>
      </w:r>
      <w:proofErr w:type="spellEnd"/>
      <w:r w:rsidRPr="00E6210C">
        <w:rPr>
          <w:i/>
          <w:iCs/>
          <w:spacing w:val="-2"/>
        </w:rPr>
        <w:t xml:space="preserve">, Inc. </w:t>
      </w:r>
      <w:r w:rsidRPr="00E6210C">
        <w:rPr>
          <w:spacing w:val="-2"/>
        </w:rPr>
        <w:t xml:space="preserve">(2009) 176 Cal.App.4th 697, 721.) </w:t>
      </w:r>
      <w:r w:rsidRPr="00E6210C">
        <w:rPr>
          <w:spacing w:val="-2"/>
        </w:rPr>
        <w:t xml:space="preserve"> </w:t>
      </w:r>
      <w:r w:rsidRPr="00E6210C">
        <w:rPr>
          <w:spacing w:val="-2"/>
        </w:rPr>
        <w:t xml:space="preserve">If the evidence is insufficient to justify issuance of a permanent injunction, the trial court had no discretion to </w:t>
      </w:r>
      <w:r w:rsidRPr="00E6210C">
        <w:rPr>
          <w:spacing w:val="-2"/>
        </w:rPr>
        <w:t>issue the injunction</w:t>
      </w:r>
      <w:r w:rsidRPr="00E6210C">
        <w:rPr>
          <w:spacing w:val="-2"/>
        </w:rPr>
        <w:t xml:space="preserve">. </w:t>
      </w:r>
      <w:r w:rsidRPr="00E6210C">
        <w:rPr>
          <w:spacing w:val="-2"/>
        </w:rPr>
        <w:t xml:space="preserve"> </w:t>
      </w:r>
      <w:r w:rsidRPr="00E6210C">
        <w:rPr>
          <w:spacing w:val="-2"/>
        </w:rPr>
        <w:t>(</w:t>
      </w:r>
      <w:r w:rsidRPr="00E6210C">
        <w:rPr>
          <w:i/>
          <w:iCs/>
          <w:spacing w:val="-2"/>
        </w:rPr>
        <w:t>Ibid.</w:t>
      </w:r>
      <w:r w:rsidRPr="00E6210C">
        <w:rPr>
          <w:spacing w:val="-2"/>
        </w:rPr>
        <w:t>)</w:t>
      </w:r>
      <w:r w:rsidRPr="00E6210C">
        <w:rPr>
          <w:spacing w:val="-2"/>
        </w:rPr>
        <w:t xml:space="preserve"> </w:t>
      </w:r>
    </w:p>
    <w:p w14:paraId="7DAF9976" w14:textId="77777777" w:rsidR="00B2782B" w:rsidRPr="00E6210C" w:rsidRDefault="00B2782B" w:rsidP="00223DFA">
      <w:pPr>
        <w:spacing w:after="0" w:line="288" w:lineRule="auto"/>
        <w:rPr>
          <w:spacing w:val="-2"/>
        </w:rPr>
      </w:pPr>
      <w:r w:rsidRPr="00E6210C">
        <w:rPr>
          <w:spacing w:val="-2"/>
        </w:rPr>
        <w:tab/>
        <w:t>“‘[P]</w:t>
      </w:r>
      <w:proofErr w:type="spellStart"/>
      <w:r w:rsidRPr="00E6210C">
        <w:rPr>
          <w:spacing w:val="-2"/>
        </w:rPr>
        <w:t>rior</w:t>
      </w:r>
      <w:proofErr w:type="spellEnd"/>
      <w:r w:rsidRPr="00E6210C">
        <w:rPr>
          <w:spacing w:val="-2"/>
        </w:rPr>
        <w:t xml:space="preserve"> restraints on speech and publication are the most serious and the least tolerable infringement on First Amendment rights.’ </w:t>
      </w:r>
      <w:r w:rsidRPr="00E6210C">
        <w:rPr>
          <w:spacing w:val="-2"/>
        </w:rPr>
        <w:t xml:space="preserve"> </w:t>
      </w:r>
      <w:r w:rsidRPr="00E6210C">
        <w:rPr>
          <w:spacing w:val="-2"/>
        </w:rPr>
        <w:t xml:space="preserve">[Citation.]” </w:t>
      </w:r>
      <w:r w:rsidRPr="00E6210C">
        <w:rPr>
          <w:spacing w:val="-2"/>
        </w:rPr>
        <w:t xml:space="preserve"> </w:t>
      </w:r>
      <w:r w:rsidRPr="00E6210C">
        <w:rPr>
          <w:i/>
          <w:iCs/>
          <w:spacing w:val="-2"/>
        </w:rPr>
        <w:t xml:space="preserve">(DVD Copy Control Assn., Inc. v. Bunner </w:t>
      </w:r>
      <w:r w:rsidRPr="00E6210C">
        <w:rPr>
          <w:spacing w:val="-2"/>
        </w:rPr>
        <w:t xml:space="preserve">(2003) 31 Cal.4th 864, 886.) </w:t>
      </w:r>
      <w:r w:rsidRPr="00E6210C">
        <w:rPr>
          <w:spacing w:val="-2"/>
        </w:rPr>
        <w:t xml:space="preserve"> </w:t>
      </w:r>
      <w:r w:rsidRPr="00E6210C">
        <w:rPr>
          <w:spacing w:val="-2"/>
        </w:rPr>
        <w:t>A prior restraint describes judicial orders forbidding certain communications when issued in advance of the time that such communications are to occur, and permanent injunctions “are classic examples of prior restraints.”</w:t>
      </w:r>
      <w:r w:rsidRPr="00E6210C">
        <w:rPr>
          <w:spacing w:val="-2"/>
        </w:rPr>
        <w:t xml:space="preserve"> </w:t>
      </w:r>
      <w:r w:rsidRPr="00E6210C">
        <w:rPr>
          <w:spacing w:val="-2"/>
        </w:rPr>
        <w:t xml:space="preserve"> (</w:t>
      </w:r>
      <w:r w:rsidRPr="00E6210C">
        <w:rPr>
          <w:i/>
          <w:iCs/>
          <w:spacing w:val="-2"/>
        </w:rPr>
        <w:t>Ibid.</w:t>
      </w:r>
      <w:r w:rsidRPr="00E6210C">
        <w:rPr>
          <w:spacing w:val="-2"/>
        </w:rPr>
        <w:t xml:space="preserve">) </w:t>
      </w:r>
      <w:r w:rsidRPr="00E6210C">
        <w:rPr>
          <w:spacing w:val="-2"/>
        </w:rPr>
        <w:t xml:space="preserve"> </w:t>
      </w:r>
      <w:r w:rsidRPr="00E6210C">
        <w:rPr>
          <w:spacing w:val="-2"/>
        </w:rPr>
        <w:t>However, “[a]</w:t>
      </w:r>
      <w:proofErr w:type="spellStart"/>
      <w:r w:rsidRPr="00E6210C">
        <w:rPr>
          <w:spacing w:val="-2"/>
        </w:rPr>
        <w:t>lthough</w:t>
      </w:r>
      <w:proofErr w:type="spellEnd"/>
      <w:r w:rsidRPr="00E6210C">
        <w:rPr>
          <w:spacing w:val="-2"/>
        </w:rPr>
        <w:t xml:space="preserve"> stated in broad terms, the right to </w:t>
      </w:r>
      <w:r w:rsidRPr="00E6210C">
        <w:rPr>
          <w:spacing w:val="-2"/>
        </w:rPr>
        <w:t>free speech is not absolute.”</w:t>
      </w:r>
      <w:r w:rsidRPr="00E6210C">
        <w:rPr>
          <w:spacing w:val="-2"/>
        </w:rPr>
        <w:t xml:space="preserve"> </w:t>
      </w:r>
      <w:r w:rsidRPr="00E6210C">
        <w:rPr>
          <w:spacing w:val="-2"/>
        </w:rPr>
        <w:t xml:space="preserve"> (</w:t>
      </w:r>
      <w:r w:rsidRPr="00E6210C">
        <w:rPr>
          <w:i/>
          <w:iCs/>
          <w:spacing w:val="-2"/>
        </w:rPr>
        <w:t xml:space="preserve">Aguilar v. Avis Rent </w:t>
      </w:r>
      <w:proofErr w:type="gramStart"/>
      <w:r w:rsidRPr="00E6210C">
        <w:rPr>
          <w:i/>
          <w:iCs/>
          <w:spacing w:val="-2"/>
        </w:rPr>
        <w:t>A</w:t>
      </w:r>
      <w:proofErr w:type="gramEnd"/>
      <w:r w:rsidRPr="00E6210C">
        <w:rPr>
          <w:i/>
          <w:iCs/>
          <w:spacing w:val="-2"/>
        </w:rPr>
        <w:t xml:space="preserve"> Car System, Inc.</w:t>
      </w:r>
      <w:r w:rsidRPr="00E6210C">
        <w:rPr>
          <w:spacing w:val="-2"/>
        </w:rPr>
        <w:t xml:space="preserve"> (1999) 21 Cal.4th 121, 133–134.) </w:t>
      </w:r>
      <w:r w:rsidRPr="00E6210C">
        <w:rPr>
          <w:spacing w:val="-2"/>
        </w:rPr>
        <w:t xml:space="preserve"> </w:t>
      </w:r>
      <w:r w:rsidRPr="00E6210C">
        <w:rPr>
          <w:spacing w:val="-2"/>
        </w:rPr>
        <w:t>Indeed, “</w:t>
      </w:r>
      <w:r w:rsidRPr="00E6210C">
        <w:rPr>
          <w:spacing w:val="-2"/>
        </w:rPr>
        <w:t>‘</w:t>
      </w:r>
      <w:r w:rsidRPr="00E6210C">
        <w:rPr>
          <w:spacing w:val="-2"/>
        </w:rPr>
        <w:t>there are categories of communication and certain special utterances to which the majestic protection of the First Amendment does not extend because they</w:t>
      </w:r>
      <w:r w:rsidRPr="00E6210C">
        <w:rPr>
          <w:spacing w:val="-2"/>
        </w:rPr>
        <w:t xml:space="preserve"> </w:t>
      </w:r>
      <w:r w:rsidRPr="00E6210C">
        <w:rPr>
          <w:spacing w:val="-2"/>
        </w:rPr>
        <w:t>“</w:t>
      </w:r>
      <w:r w:rsidRPr="00E6210C">
        <w:rPr>
          <w:spacing w:val="-2"/>
        </w:rPr>
        <w:t xml:space="preserve">are no essential part of any exposition of </w:t>
      </w:r>
      <w:proofErr w:type="gramStart"/>
      <w:r w:rsidRPr="00E6210C">
        <w:rPr>
          <w:spacing w:val="-2"/>
        </w:rPr>
        <w:t>ideas</w:t>
      </w:r>
      <w:r w:rsidRPr="00E6210C">
        <w:rPr>
          <w:spacing w:val="-2"/>
        </w:rPr>
        <w:t>,</w:t>
      </w:r>
      <w:r w:rsidRPr="00E6210C">
        <w:rPr>
          <w:spacing w:val="-2"/>
        </w:rPr>
        <w:t xml:space="preserve"> and</w:t>
      </w:r>
      <w:proofErr w:type="gramEnd"/>
      <w:r w:rsidRPr="00E6210C">
        <w:rPr>
          <w:spacing w:val="-2"/>
        </w:rPr>
        <w:t xml:space="preserve"> are of such slight social value as a step to truth that any benefit that may be derived from them is clearly outweighed by the social interest in order and morality.</w:t>
      </w:r>
      <w:r w:rsidRPr="00E6210C">
        <w:rPr>
          <w:spacing w:val="-2"/>
        </w:rPr>
        <w:t>”’”</w:t>
      </w:r>
      <w:r w:rsidRPr="00E6210C">
        <w:rPr>
          <w:spacing w:val="-2"/>
        </w:rPr>
        <w:t xml:space="preserve"> </w:t>
      </w:r>
      <w:r w:rsidRPr="00E6210C">
        <w:rPr>
          <w:spacing w:val="-2"/>
        </w:rPr>
        <w:t xml:space="preserve"> </w:t>
      </w:r>
      <w:r w:rsidRPr="00E6210C">
        <w:rPr>
          <w:spacing w:val="-2"/>
        </w:rPr>
        <w:t>(</w:t>
      </w:r>
      <w:r w:rsidRPr="00E6210C">
        <w:rPr>
          <w:i/>
          <w:iCs/>
          <w:spacing w:val="-2"/>
        </w:rPr>
        <w:t>Balboa Island Vi</w:t>
      </w:r>
      <w:r w:rsidRPr="00E6210C">
        <w:rPr>
          <w:i/>
          <w:iCs/>
          <w:spacing w:val="-2"/>
        </w:rPr>
        <w:t xml:space="preserve">llage Inn, Inc. v. Lemen </w:t>
      </w:r>
      <w:r w:rsidRPr="00E6210C">
        <w:rPr>
          <w:spacing w:val="-2"/>
        </w:rPr>
        <w:t>(2007) 40 Cal.4th 1141, 1147</w:t>
      </w:r>
      <w:r w:rsidRPr="00E6210C">
        <w:rPr>
          <w:spacing w:val="-2"/>
        </w:rPr>
        <w:t xml:space="preserve"> (</w:t>
      </w:r>
      <w:r w:rsidRPr="00E6210C">
        <w:rPr>
          <w:i/>
          <w:iCs/>
          <w:spacing w:val="-2"/>
        </w:rPr>
        <w:t>Lemen</w:t>
      </w:r>
      <w:r w:rsidRPr="00E6210C">
        <w:rPr>
          <w:spacing w:val="-2"/>
        </w:rPr>
        <w:t>)</w:t>
      </w:r>
      <w:r w:rsidRPr="00E6210C">
        <w:rPr>
          <w:spacing w:val="-2"/>
        </w:rPr>
        <w:t>.)</w:t>
      </w:r>
      <w:r w:rsidRPr="00E6210C">
        <w:rPr>
          <w:spacing w:val="-2"/>
        </w:rPr>
        <w:t xml:space="preserve"> </w:t>
      </w:r>
      <w:r w:rsidRPr="00E6210C">
        <w:rPr>
          <w:spacing w:val="-2"/>
        </w:rPr>
        <w:t xml:space="preserve"> </w:t>
      </w:r>
    </w:p>
    <w:p w14:paraId="549F51B5" w14:textId="77777777" w:rsidR="00B2782B" w:rsidRPr="00E6210C" w:rsidRDefault="00B2782B" w:rsidP="00223DFA">
      <w:pPr>
        <w:spacing w:after="0" w:line="288" w:lineRule="auto"/>
        <w:rPr>
          <w:spacing w:val="-2"/>
        </w:rPr>
      </w:pPr>
      <w:r w:rsidRPr="00E6210C">
        <w:rPr>
          <w:spacing w:val="-2"/>
        </w:rPr>
        <w:tab/>
        <w:t xml:space="preserve">Injunctive relief may be applied to repetition of expression that has judicially been determined to be unlawful. </w:t>
      </w:r>
      <w:r w:rsidRPr="00E6210C">
        <w:rPr>
          <w:spacing w:val="-2"/>
        </w:rPr>
        <w:t xml:space="preserve"> </w:t>
      </w:r>
      <w:r w:rsidRPr="00E6210C">
        <w:rPr>
          <w:spacing w:val="-2"/>
        </w:rPr>
        <w:t>(</w:t>
      </w:r>
      <w:r w:rsidRPr="00E6210C">
        <w:rPr>
          <w:i/>
          <w:iCs/>
          <w:spacing w:val="-2"/>
        </w:rPr>
        <w:t xml:space="preserve">Lemen, supra, </w:t>
      </w:r>
      <w:r w:rsidRPr="00E6210C">
        <w:rPr>
          <w:spacing w:val="-2"/>
        </w:rPr>
        <w:t>40 Cal.4th at p.</w:t>
      </w:r>
      <w:r w:rsidRPr="00E6210C">
        <w:rPr>
          <w:spacing w:val="-2"/>
        </w:rPr>
        <w:t> </w:t>
      </w:r>
      <w:r w:rsidRPr="00E6210C">
        <w:rPr>
          <w:spacing w:val="-2"/>
        </w:rPr>
        <w:t xml:space="preserve">1153.) </w:t>
      </w:r>
      <w:r w:rsidRPr="00E6210C">
        <w:rPr>
          <w:spacing w:val="-2"/>
        </w:rPr>
        <w:t xml:space="preserve"> </w:t>
      </w:r>
      <w:r w:rsidRPr="00E6210C">
        <w:rPr>
          <w:spacing w:val="-2"/>
        </w:rPr>
        <w:t xml:space="preserve">However, </w:t>
      </w:r>
      <w:r w:rsidRPr="00E6210C">
        <w:rPr>
          <w:spacing w:val="-2"/>
        </w:rPr>
        <w:t xml:space="preserve">an injunction’s </w:t>
      </w:r>
      <w:r w:rsidRPr="00E6210C">
        <w:rPr>
          <w:spacing w:val="-2"/>
        </w:rPr>
        <w:t xml:space="preserve">scope is overbroad where </w:t>
      </w:r>
      <w:r w:rsidRPr="00E6210C">
        <w:rPr>
          <w:spacing w:val="-2"/>
        </w:rPr>
        <w:t xml:space="preserve">the conduct enjoined is not likely to recur in the future. </w:t>
      </w:r>
      <w:r w:rsidRPr="00E6210C">
        <w:rPr>
          <w:spacing w:val="-2"/>
        </w:rPr>
        <w:t xml:space="preserve"> </w:t>
      </w:r>
      <w:r w:rsidRPr="00E6210C">
        <w:rPr>
          <w:spacing w:val="-2"/>
        </w:rPr>
        <w:t>(</w:t>
      </w:r>
      <w:r w:rsidRPr="00E6210C">
        <w:rPr>
          <w:i/>
          <w:iCs/>
          <w:spacing w:val="-2"/>
        </w:rPr>
        <w:t>Scripps Health</w:t>
      </w:r>
      <w:r w:rsidRPr="00E6210C">
        <w:rPr>
          <w:i/>
          <w:iCs/>
          <w:spacing w:val="-2"/>
        </w:rPr>
        <w:t xml:space="preserve"> v. Marin</w:t>
      </w:r>
      <w:r w:rsidRPr="00E6210C">
        <w:rPr>
          <w:spacing w:val="-2"/>
        </w:rPr>
        <w:t xml:space="preserve"> (1999) </w:t>
      </w:r>
      <w:r w:rsidRPr="00E6210C">
        <w:rPr>
          <w:spacing w:val="-2"/>
        </w:rPr>
        <w:t xml:space="preserve">72 Cal.App.4th </w:t>
      </w:r>
      <w:r w:rsidRPr="00E6210C">
        <w:rPr>
          <w:spacing w:val="-2"/>
        </w:rPr>
        <w:t xml:space="preserve">324, </w:t>
      </w:r>
      <w:r w:rsidRPr="00E6210C">
        <w:rPr>
          <w:spacing w:val="-2"/>
        </w:rPr>
        <w:t xml:space="preserve">332–333.) </w:t>
      </w:r>
    </w:p>
    <w:p w14:paraId="7F0E60BF" w14:textId="77777777" w:rsidR="00B2782B" w:rsidRPr="00E6210C" w:rsidRDefault="00B2782B" w:rsidP="00223DFA">
      <w:pPr>
        <w:spacing w:after="0" w:line="288" w:lineRule="auto"/>
        <w:rPr>
          <w:spacing w:val="-2"/>
        </w:rPr>
      </w:pPr>
    </w:p>
    <w:p w14:paraId="65A270FA" w14:textId="77777777" w:rsidR="00B2782B" w:rsidRPr="00E6210C" w:rsidRDefault="00B2782B" w:rsidP="00223DFA">
      <w:pPr>
        <w:spacing w:after="0" w:line="288" w:lineRule="auto"/>
        <w:rPr>
          <w:i/>
          <w:iCs/>
          <w:spacing w:val="-2"/>
        </w:rPr>
      </w:pPr>
      <w:r w:rsidRPr="00E6210C">
        <w:rPr>
          <w:spacing w:val="-2"/>
        </w:rPr>
        <w:lastRenderedPageBreak/>
        <w:tab/>
        <w:t>2.</w:t>
      </w:r>
      <w:r w:rsidRPr="00E6210C">
        <w:rPr>
          <w:spacing w:val="-2"/>
        </w:rPr>
        <w:tab/>
      </w:r>
      <w:r w:rsidRPr="00E6210C">
        <w:rPr>
          <w:i/>
          <w:iCs/>
          <w:spacing w:val="-2"/>
        </w:rPr>
        <w:t>The Order Enjoining Future Speech</w:t>
      </w:r>
    </w:p>
    <w:p w14:paraId="23D50EBF" w14:textId="77777777" w:rsidR="00B2782B" w:rsidRPr="00E6210C" w:rsidRDefault="00B2782B" w:rsidP="00223DFA">
      <w:pPr>
        <w:spacing w:after="0" w:line="288" w:lineRule="auto"/>
        <w:rPr>
          <w:spacing w:val="-2"/>
        </w:rPr>
      </w:pPr>
      <w:r w:rsidRPr="00E6210C">
        <w:rPr>
          <w:spacing w:val="-2"/>
        </w:rPr>
        <w:tab/>
      </w:r>
      <w:r w:rsidRPr="00E6210C">
        <w:rPr>
          <w:spacing w:val="-2"/>
        </w:rPr>
        <w:t xml:space="preserve">Here, </w:t>
      </w:r>
      <w:r w:rsidRPr="00E6210C">
        <w:rPr>
          <w:spacing w:val="-2"/>
        </w:rPr>
        <w:t xml:space="preserve">substantial </w:t>
      </w:r>
      <w:r w:rsidRPr="00E6210C">
        <w:rPr>
          <w:spacing w:val="-2"/>
        </w:rPr>
        <w:t xml:space="preserve">evidence </w:t>
      </w:r>
      <w:r w:rsidRPr="00E6210C">
        <w:rPr>
          <w:spacing w:val="-2"/>
        </w:rPr>
        <w:t xml:space="preserve">does not </w:t>
      </w:r>
      <w:r w:rsidRPr="00E6210C">
        <w:rPr>
          <w:spacing w:val="-2"/>
        </w:rPr>
        <w:t xml:space="preserve">support a finding the </w:t>
      </w:r>
      <w:r w:rsidRPr="00E6210C">
        <w:rPr>
          <w:spacing w:val="-2"/>
        </w:rPr>
        <w:t>Association</w:t>
      </w:r>
      <w:r w:rsidRPr="00E6210C">
        <w:rPr>
          <w:spacing w:val="-2"/>
        </w:rPr>
        <w:t xml:space="preserve"> </w:t>
      </w:r>
      <w:r w:rsidRPr="00E6210C">
        <w:rPr>
          <w:spacing w:val="-2"/>
        </w:rPr>
        <w:t>(</w:t>
      </w:r>
      <w:r w:rsidRPr="00E6210C">
        <w:rPr>
          <w:spacing w:val="-2"/>
        </w:rPr>
        <w:t>or its</w:t>
      </w:r>
      <w:r w:rsidRPr="00E6210C">
        <w:rPr>
          <w:spacing w:val="-2"/>
        </w:rPr>
        <w:t xml:space="preserve"> board members</w:t>
      </w:r>
      <w:r w:rsidRPr="00E6210C">
        <w:rPr>
          <w:spacing w:val="-2"/>
        </w:rPr>
        <w:t>)</w:t>
      </w:r>
      <w:r w:rsidRPr="00E6210C">
        <w:rPr>
          <w:spacing w:val="-2"/>
        </w:rPr>
        <w:t xml:space="preserve"> ha</w:t>
      </w:r>
      <w:r w:rsidRPr="00E6210C">
        <w:rPr>
          <w:spacing w:val="-2"/>
        </w:rPr>
        <w:t>ve</w:t>
      </w:r>
      <w:r w:rsidRPr="00E6210C">
        <w:rPr>
          <w:spacing w:val="-2"/>
        </w:rPr>
        <w:t xml:space="preserve"> </w:t>
      </w:r>
      <w:r w:rsidRPr="00E6210C">
        <w:rPr>
          <w:spacing w:val="-2"/>
        </w:rPr>
        <w:t xml:space="preserve">expressed outside of litigation </w:t>
      </w:r>
      <w:r w:rsidRPr="00E6210C">
        <w:rPr>
          <w:spacing w:val="-2"/>
        </w:rPr>
        <w:t xml:space="preserve">that </w:t>
      </w:r>
      <w:r w:rsidRPr="00E6210C">
        <w:rPr>
          <w:spacing w:val="-2"/>
        </w:rPr>
        <w:t xml:space="preserve">the Tree CC </w:t>
      </w:r>
      <w:r w:rsidRPr="00E6210C">
        <w:rPr>
          <w:spacing w:val="-2"/>
        </w:rPr>
        <w:t xml:space="preserve">applies to </w:t>
      </w:r>
      <w:proofErr w:type="spellStart"/>
      <w:r w:rsidRPr="00E6210C">
        <w:rPr>
          <w:spacing w:val="-2"/>
        </w:rPr>
        <w:t>Colyear’s</w:t>
      </w:r>
      <w:proofErr w:type="spellEnd"/>
      <w:r w:rsidRPr="00E6210C">
        <w:rPr>
          <w:spacing w:val="-2"/>
        </w:rPr>
        <w:t xml:space="preserve"> property</w:t>
      </w:r>
      <w:r w:rsidRPr="00E6210C">
        <w:rPr>
          <w:spacing w:val="-2"/>
        </w:rPr>
        <w:t>.</w:t>
      </w:r>
      <w:r w:rsidRPr="00E6210C">
        <w:rPr>
          <w:spacing w:val="-2"/>
        </w:rPr>
        <w:t xml:space="preserve"> </w:t>
      </w:r>
      <w:r w:rsidRPr="00E6210C">
        <w:rPr>
          <w:spacing w:val="-2"/>
        </w:rPr>
        <w:t xml:space="preserve"> </w:t>
      </w:r>
      <w:r w:rsidRPr="00E6210C">
        <w:rPr>
          <w:spacing w:val="-2"/>
        </w:rPr>
        <w:t xml:space="preserve">As reflected in its response to </w:t>
      </w:r>
      <w:proofErr w:type="spellStart"/>
      <w:r w:rsidRPr="00E6210C">
        <w:rPr>
          <w:spacing w:val="-2"/>
        </w:rPr>
        <w:t>Colyear’s</w:t>
      </w:r>
      <w:proofErr w:type="spellEnd"/>
      <w:r w:rsidRPr="00E6210C">
        <w:rPr>
          <w:spacing w:val="-2"/>
        </w:rPr>
        <w:t xml:space="preserve"> July 2002 letter, </w:t>
      </w:r>
      <w:r w:rsidRPr="00E6210C">
        <w:rPr>
          <w:spacing w:val="-2"/>
        </w:rPr>
        <w:t>the Association has a</w:t>
      </w:r>
      <w:r w:rsidRPr="00E6210C">
        <w:rPr>
          <w:spacing w:val="-2"/>
        </w:rPr>
        <w:t>t</w:t>
      </w:r>
      <w:r w:rsidRPr="00E6210C">
        <w:rPr>
          <w:spacing w:val="-2"/>
        </w:rPr>
        <w:t xml:space="preserve"> times </w:t>
      </w:r>
      <w:r w:rsidRPr="00E6210C">
        <w:rPr>
          <w:spacing w:val="-2"/>
        </w:rPr>
        <w:t xml:space="preserve">asserted </w:t>
      </w:r>
      <w:r w:rsidRPr="00E6210C">
        <w:rPr>
          <w:spacing w:val="-2"/>
        </w:rPr>
        <w:t xml:space="preserve">the Tree CC </w:t>
      </w:r>
      <w:r w:rsidRPr="00E6210C">
        <w:rPr>
          <w:spacing w:val="-2"/>
        </w:rPr>
        <w:t xml:space="preserve">did </w:t>
      </w:r>
      <w:r w:rsidRPr="00E6210C">
        <w:rPr>
          <w:i/>
          <w:iCs/>
          <w:spacing w:val="-2"/>
        </w:rPr>
        <w:t>not</w:t>
      </w:r>
      <w:r w:rsidRPr="00E6210C">
        <w:rPr>
          <w:spacing w:val="-2"/>
        </w:rPr>
        <w:t xml:space="preserve"> apply</w:t>
      </w:r>
      <w:r w:rsidRPr="00E6210C">
        <w:rPr>
          <w:spacing w:val="-2"/>
        </w:rPr>
        <w:t xml:space="preserve"> to his property. </w:t>
      </w:r>
      <w:r w:rsidRPr="00E6210C">
        <w:rPr>
          <w:spacing w:val="-2"/>
        </w:rPr>
        <w:t xml:space="preserve"> </w:t>
      </w:r>
      <w:r w:rsidRPr="00E6210C">
        <w:rPr>
          <w:spacing w:val="-2"/>
        </w:rPr>
        <w:t>While</w:t>
      </w:r>
      <w:r w:rsidRPr="00E6210C">
        <w:rPr>
          <w:spacing w:val="-2"/>
        </w:rPr>
        <w:t xml:space="preserve"> this confusion led </w:t>
      </w:r>
      <w:proofErr w:type="spellStart"/>
      <w:r w:rsidRPr="00E6210C">
        <w:rPr>
          <w:spacing w:val="-2"/>
        </w:rPr>
        <w:t>Colyear</w:t>
      </w:r>
      <w:proofErr w:type="spellEnd"/>
      <w:r w:rsidRPr="00E6210C">
        <w:rPr>
          <w:spacing w:val="-2"/>
        </w:rPr>
        <w:t xml:space="preserve"> </w:t>
      </w:r>
      <w:r w:rsidRPr="00E6210C">
        <w:rPr>
          <w:spacing w:val="-2"/>
        </w:rPr>
        <w:t xml:space="preserve">to </w:t>
      </w:r>
      <w:r w:rsidRPr="00E6210C">
        <w:rPr>
          <w:spacing w:val="-2"/>
        </w:rPr>
        <w:t xml:space="preserve">institute this action preemptively after </w:t>
      </w:r>
      <w:r w:rsidRPr="00E6210C">
        <w:rPr>
          <w:spacing w:val="-2"/>
        </w:rPr>
        <w:t xml:space="preserve">joining </w:t>
      </w:r>
      <w:r w:rsidRPr="00E6210C">
        <w:rPr>
          <w:spacing w:val="-2"/>
        </w:rPr>
        <w:t xml:space="preserve">third-party litigation </w:t>
      </w:r>
      <w:r w:rsidRPr="00E6210C">
        <w:rPr>
          <w:spacing w:val="-2"/>
        </w:rPr>
        <w:t xml:space="preserve">between neighboring </w:t>
      </w:r>
      <w:r w:rsidRPr="00E6210C">
        <w:rPr>
          <w:spacing w:val="-2"/>
        </w:rPr>
        <w:t>homeowners</w:t>
      </w:r>
      <w:r w:rsidRPr="00E6210C">
        <w:rPr>
          <w:spacing w:val="-2"/>
        </w:rPr>
        <w:t>,</w:t>
      </w:r>
      <w:r w:rsidRPr="00E6210C">
        <w:rPr>
          <w:spacing w:val="-2"/>
        </w:rPr>
        <w:t xml:space="preserve"> it does</w:t>
      </w:r>
      <w:r w:rsidRPr="00E6210C">
        <w:rPr>
          <w:spacing w:val="-2"/>
        </w:rPr>
        <w:t xml:space="preserve"> not show </w:t>
      </w:r>
      <w:r w:rsidRPr="00E6210C">
        <w:rPr>
          <w:spacing w:val="-2"/>
        </w:rPr>
        <w:t xml:space="preserve">the Association </w:t>
      </w:r>
      <w:r w:rsidRPr="00E6210C">
        <w:rPr>
          <w:spacing w:val="-2"/>
        </w:rPr>
        <w:t>(</w:t>
      </w:r>
      <w:r w:rsidRPr="00E6210C">
        <w:rPr>
          <w:spacing w:val="-2"/>
        </w:rPr>
        <w:t>or its board members</w:t>
      </w:r>
      <w:r w:rsidRPr="00E6210C">
        <w:rPr>
          <w:spacing w:val="-2"/>
        </w:rPr>
        <w:t>)</w:t>
      </w:r>
      <w:r w:rsidRPr="00E6210C">
        <w:rPr>
          <w:spacing w:val="-2"/>
        </w:rPr>
        <w:t xml:space="preserve"> </w:t>
      </w:r>
      <w:r w:rsidRPr="00E6210C">
        <w:rPr>
          <w:spacing w:val="-2"/>
        </w:rPr>
        <w:t xml:space="preserve">repeatedly asserted Declaration 150 </w:t>
      </w:r>
      <w:r w:rsidRPr="00E6210C">
        <w:rPr>
          <w:spacing w:val="-2"/>
        </w:rPr>
        <w:t xml:space="preserve">and the Tree CC applied to </w:t>
      </w:r>
      <w:proofErr w:type="spellStart"/>
      <w:r w:rsidRPr="00E6210C">
        <w:rPr>
          <w:spacing w:val="-2"/>
        </w:rPr>
        <w:t>Colyear’s</w:t>
      </w:r>
      <w:proofErr w:type="spellEnd"/>
      <w:r w:rsidRPr="00E6210C">
        <w:rPr>
          <w:spacing w:val="-2"/>
        </w:rPr>
        <w:t xml:space="preserve"> </w:t>
      </w:r>
      <w:r w:rsidRPr="00E6210C">
        <w:rPr>
          <w:spacing w:val="-2"/>
        </w:rPr>
        <w:t xml:space="preserve">property. </w:t>
      </w:r>
      <w:r w:rsidRPr="00E6210C">
        <w:rPr>
          <w:spacing w:val="-2"/>
        </w:rPr>
        <w:t xml:space="preserve"> </w:t>
      </w:r>
      <w:r w:rsidRPr="00E6210C">
        <w:rPr>
          <w:spacing w:val="-2"/>
        </w:rPr>
        <w:t>Moreover</w:t>
      </w:r>
      <w:r w:rsidRPr="00E6210C">
        <w:rPr>
          <w:spacing w:val="-2"/>
        </w:rPr>
        <w:t xml:space="preserve">, the trial court’s ruling </w:t>
      </w:r>
      <w:r w:rsidRPr="00E6210C">
        <w:rPr>
          <w:spacing w:val="-2"/>
        </w:rPr>
        <w:t xml:space="preserve">the Tree CC does not apply </w:t>
      </w:r>
      <w:r w:rsidRPr="00E6210C">
        <w:rPr>
          <w:spacing w:val="-2"/>
        </w:rPr>
        <w:t xml:space="preserve">to </w:t>
      </w:r>
      <w:proofErr w:type="spellStart"/>
      <w:r w:rsidRPr="00E6210C">
        <w:rPr>
          <w:spacing w:val="-2"/>
        </w:rPr>
        <w:t>Colyear’s</w:t>
      </w:r>
      <w:proofErr w:type="spellEnd"/>
      <w:r w:rsidRPr="00E6210C">
        <w:rPr>
          <w:spacing w:val="-2"/>
        </w:rPr>
        <w:t xml:space="preserve"> property</w:t>
      </w:r>
      <w:r w:rsidRPr="00E6210C">
        <w:rPr>
          <w:spacing w:val="-2"/>
        </w:rPr>
        <w:t xml:space="preserve"> makes it unlikely </w:t>
      </w:r>
      <w:r w:rsidRPr="00E6210C">
        <w:rPr>
          <w:spacing w:val="-2"/>
        </w:rPr>
        <w:t>the</w:t>
      </w:r>
      <w:r w:rsidRPr="00E6210C">
        <w:rPr>
          <w:spacing w:val="-2"/>
        </w:rPr>
        <w:t xml:space="preserve"> </w:t>
      </w:r>
      <w:r w:rsidRPr="00E6210C">
        <w:rPr>
          <w:spacing w:val="-2"/>
        </w:rPr>
        <w:t>Association</w:t>
      </w:r>
      <w:r w:rsidRPr="00E6210C">
        <w:rPr>
          <w:spacing w:val="-2"/>
        </w:rPr>
        <w:t xml:space="preserve"> </w:t>
      </w:r>
      <w:r w:rsidRPr="00E6210C">
        <w:rPr>
          <w:spacing w:val="-2"/>
        </w:rPr>
        <w:t xml:space="preserve">will </w:t>
      </w:r>
      <w:r w:rsidRPr="00E6210C">
        <w:rPr>
          <w:spacing w:val="-2"/>
        </w:rPr>
        <w:t xml:space="preserve">publicly </w:t>
      </w:r>
      <w:r w:rsidRPr="00E6210C">
        <w:rPr>
          <w:spacing w:val="-2"/>
        </w:rPr>
        <w:t xml:space="preserve">state </w:t>
      </w:r>
      <w:r w:rsidRPr="00E6210C">
        <w:rPr>
          <w:spacing w:val="-2"/>
        </w:rPr>
        <w:t xml:space="preserve">otherwise </w:t>
      </w:r>
      <w:r w:rsidRPr="00E6210C">
        <w:rPr>
          <w:spacing w:val="-2"/>
        </w:rPr>
        <w:t>in the future</w:t>
      </w:r>
      <w:r w:rsidRPr="00E6210C">
        <w:rPr>
          <w:spacing w:val="-2"/>
        </w:rPr>
        <w:t xml:space="preserve">. </w:t>
      </w:r>
      <w:r w:rsidRPr="00E6210C">
        <w:rPr>
          <w:spacing w:val="-2"/>
        </w:rPr>
        <w:t xml:space="preserve"> As such</w:t>
      </w:r>
      <w:r w:rsidRPr="00E6210C">
        <w:rPr>
          <w:spacing w:val="-2"/>
        </w:rPr>
        <w:t xml:space="preserve">, the injunction is not supported by sufficient evidence and </w:t>
      </w:r>
      <w:r w:rsidRPr="00E6210C">
        <w:rPr>
          <w:spacing w:val="-2"/>
        </w:rPr>
        <w:t xml:space="preserve">therefore </w:t>
      </w:r>
      <w:r w:rsidRPr="00E6210C">
        <w:rPr>
          <w:spacing w:val="-2"/>
        </w:rPr>
        <w:t>constitutes an abuse of discretion.</w:t>
      </w:r>
    </w:p>
    <w:p w14:paraId="3FA38CC1" w14:textId="77777777" w:rsidR="00B2782B" w:rsidRPr="00E6210C" w:rsidRDefault="00B2782B" w:rsidP="00223DFA">
      <w:pPr>
        <w:spacing w:after="0" w:line="288" w:lineRule="auto"/>
        <w:rPr>
          <w:spacing w:val="-2"/>
        </w:rPr>
      </w:pPr>
    </w:p>
    <w:p w14:paraId="005B9A04" w14:textId="77777777" w:rsidR="00B2782B" w:rsidRPr="00E6210C" w:rsidRDefault="00B2782B" w:rsidP="00223DFA">
      <w:pPr>
        <w:keepNext/>
        <w:spacing w:after="0" w:line="288" w:lineRule="auto"/>
        <w:rPr>
          <w:i/>
          <w:iCs/>
          <w:spacing w:val="-2"/>
        </w:rPr>
      </w:pPr>
      <w:r w:rsidRPr="00E6210C">
        <w:rPr>
          <w:spacing w:val="-2"/>
        </w:rPr>
        <w:tab/>
        <w:t>3.</w:t>
      </w:r>
      <w:r w:rsidRPr="00E6210C">
        <w:rPr>
          <w:spacing w:val="-2"/>
        </w:rPr>
        <w:tab/>
      </w:r>
      <w:r w:rsidRPr="00E6210C">
        <w:rPr>
          <w:i/>
          <w:iCs/>
          <w:spacing w:val="-2"/>
        </w:rPr>
        <w:t>The Order Enjoining Future Attempts of Enforcement</w:t>
      </w:r>
    </w:p>
    <w:p w14:paraId="55302D05" w14:textId="77777777" w:rsidR="00B2782B" w:rsidRPr="00E6210C" w:rsidRDefault="00B2782B" w:rsidP="00223DFA">
      <w:pPr>
        <w:spacing w:after="0" w:line="288" w:lineRule="auto"/>
        <w:rPr>
          <w:spacing w:val="-2"/>
        </w:rPr>
      </w:pPr>
      <w:r w:rsidRPr="00E6210C">
        <w:rPr>
          <w:spacing w:val="-2"/>
        </w:rPr>
        <w:tab/>
      </w:r>
      <w:r w:rsidRPr="00E6210C">
        <w:rPr>
          <w:spacing w:val="-2"/>
        </w:rPr>
        <w:t>T</w:t>
      </w:r>
      <w:r w:rsidRPr="00E6210C">
        <w:rPr>
          <w:spacing w:val="-2"/>
        </w:rPr>
        <w:t>he order</w:t>
      </w:r>
      <w:r w:rsidRPr="00E6210C">
        <w:rPr>
          <w:spacing w:val="-2"/>
        </w:rPr>
        <w:t xml:space="preserve"> </w:t>
      </w:r>
      <w:r w:rsidRPr="00E6210C">
        <w:rPr>
          <w:spacing w:val="-2"/>
        </w:rPr>
        <w:t xml:space="preserve">enjoining “all Defendants” and those acting in concert with them from enforcing, or attempting to enforce, the </w:t>
      </w:r>
      <w:r w:rsidRPr="00E6210C">
        <w:rPr>
          <w:spacing w:val="-2"/>
        </w:rPr>
        <w:t xml:space="preserve">Tree CC </w:t>
      </w:r>
      <w:r w:rsidRPr="00E6210C">
        <w:rPr>
          <w:spacing w:val="-2"/>
        </w:rPr>
        <w:t xml:space="preserve">against </w:t>
      </w:r>
      <w:proofErr w:type="spellStart"/>
      <w:r w:rsidRPr="00E6210C">
        <w:rPr>
          <w:spacing w:val="-2"/>
        </w:rPr>
        <w:t>Colyear’s</w:t>
      </w:r>
      <w:proofErr w:type="spellEnd"/>
      <w:r w:rsidRPr="00E6210C">
        <w:rPr>
          <w:spacing w:val="-2"/>
        </w:rPr>
        <w:t xml:space="preserve"> property does not enjoin speech</w:t>
      </w:r>
      <w:r w:rsidRPr="00E6210C">
        <w:rPr>
          <w:spacing w:val="-2"/>
        </w:rPr>
        <w:t>.  Thus</w:t>
      </w:r>
      <w:r w:rsidRPr="00E6210C">
        <w:rPr>
          <w:spacing w:val="-2"/>
        </w:rPr>
        <w:t xml:space="preserve">, it is </w:t>
      </w:r>
      <w:r w:rsidRPr="00E6210C">
        <w:rPr>
          <w:spacing w:val="-2"/>
        </w:rPr>
        <w:t xml:space="preserve">subject to a different analysis.  Appellants do not contest entry of </w:t>
      </w:r>
      <w:r w:rsidRPr="00E6210C">
        <w:rPr>
          <w:spacing w:val="-2"/>
        </w:rPr>
        <w:t>the</w:t>
      </w:r>
      <w:r w:rsidRPr="00E6210C">
        <w:rPr>
          <w:spacing w:val="-2"/>
        </w:rPr>
        <w:t xml:space="preserve"> injunction prohibiting the enforcement of the Tree CC against </w:t>
      </w:r>
      <w:proofErr w:type="spellStart"/>
      <w:r w:rsidRPr="00E6210C">
        <w:rPr>
          <w:spacing w:val="-2"/>
        </w:rPr>
        <w:t>Colyear</w:t>
      </w:r>
      <w:r w:rsidRPr="00E6210C">
        <w:rPr>
          <w:spacing w:val="-2"/>
        </w:rPr>
        <w:t>’s</w:t>
      </w:r>
      <w:proofErr w:type="spellEnd"/>
      <w:r w:rsidRPr="00E6210C">
        <w:rPr>
          <w:spacing w:val="-2"/>
        </w:rPr>
        <w:t xml:space="preserve"> property</w:t>
      </w:r>
      <w:r w:rsidRPr="00E6210C">
        <w:rPr>
          <w:spacing w:val="-2"/>
        </w:rPr>
        <w:t xml:space="preserve"> as a general proposition</w:t>
      </w:r>
      <w:r w:rsidRPr="00E6210C">
        <w:rPr>
          <w:spacing w:val="-2"/>
        </w:rPr>
        <w:t xml:space="preserve"> but argue</w:t>
      </w:r>
      <w:r w:rsidRPr="00E6210C">
        <w:rPr>
          <w:spacing w:val="-2"/>
        </w:rPr>
        <w:t xml:space="preserve"> </w:t>
      </w:r>
      <w:r w:rsidRPr="00E6210C">
        <w:rPr>
          <w:spacing w:val="-2"/>
        </w:rPr>
        <w:t>instead that the declaratory relief injunction</w:t>
      </w:r>
      <w:r w:rsidRPr="00E6210C">
        <w:rPr>
          <w:spacing w:val="-2"/>
        </w:rPr>
        <w:t xml:space="preserve"> is overbroad because only the Association </w:t>
      </w:r>
      <w:r w:rsidRPr="00E6210C">
        <w:rPr>
          <w:spacing w:val="-2"/>
        </w:rPr>
        <w:t xml:space="preserve">itself </w:t>
      </w:r>
      <w:r w:rsidRPr="00E6210C">
        <w:rPr>
          <w:spacing w:val="-2"/>
        </w:rPr>
        <w:t xml:space="preserve">need be enjoined.  </w:t>
      </w:r>
    </w:p>
    <w:p w14:paraId="343C010B" w14:textId="77777777" w:rsidR="00B2782B" w:rsidRPr="00E6210C" w:rsidRDefault="00B2782B" w:rsidP="00223DFA">
      <w:pPr>
        <w:spacing w:after="0" w:line="288" w:lineRule="auto"/>
        <w:rPr>
          <w:spacing w:val="-2"/>
        </w:rPr>
      </w:pPr>
      <w:r w:rsidRPr="00E6210C">
        <w:rPr>
          <w:spacing w:val="-2"/>
        </w:rPr>
        <w:tab/>
        <w:t>Appellants</w:t>
      </w:r>
      <w:r w:rsidRPr="00E6210C">
        <w:rPr>
          <w:spacing w:val="-2"/>
        </w:rPr>
        <w:t xml:space="preserve"> cite no </w:t>
      </w:r>
      <w:r w:rsidRPr="00E6210C">
        <w:rPr>
          <w:spacing w:val="-2"/>
        </w:rPr>
        <w:t xml:space="preserve">applicable </w:t>
      </w:r>
      <w:r w:rsidRPr="00E6210C">
        <w:rPr>
          <w:spacing w:val="-2"/>
        </w:rPr>
        <w:t xml:space="preserve">authority to show </w:t>
      </w:r>
      <w:r w:rsidRPr="00E6210C">
        <w:rPr>
          <w:spacing w:val="-2"/>
        </w:rPr>
        <w:t xml:space="preserve">it is </w:t>
      </w:r>
      <w:r w:rsidRPr="00E6210C">
        <w:rPr>
          <w:spacing w:val="-2"/>
        </w:rPr>
        <w:t xml:space="preserve">an abuse of discretion to enjoin all defendants and those working in concert with them.  </w:t>
      </w:r>
      <w:r w:rsidRPr="00E6210C">
        <w:rPr>
          <w:spacing w:val="-2"/>
        </w:rPr>
        <w:t xml:space="preserve">It is well settled that an entity, as well as </w:t>
      </w:r>
      <w:r w:rsidRPr="00E6210C">
        <w:rPr>
          <w:spacing w:val="-2"/>
        </w:rPr>
        <w:t>those</w:t>
      </w:r>
      <w:r w:rsidRPr="00E6210C">
        <w:rPr>
          <w:spacing w:val="-2"/>
        </w:rPr>
        <w:t xml:space="preserve"> through wh</w:t>
      </w:r>
      <w:r w:rsidRPr="00E6210C">
        <w:rPr>
          <w:spacing w:val="-2"/>
        </w:rPr>
        <w:t>ich</w:t>
      </w:r>
      <w:r w:rsidRPr="00E6210C">
        <w:rPr>
          <w:spacing w:val="-2"/>
        </w:rPr>
        <w:t xml:space="preserve"> it acts, </w:t>
      </w:r>
      <w:r w:rsidRPr="00E6210C">
        <w:rPr>
          <w:spacing w:val="-2"/>
        </w:rPr>
        <w:t>may be</w:t>
      </w:r>
      <w:r w:rsidRPr="00E6210C">
        <w:rPr>
          <w:spacing w:val="-2"/>
        </w:rPr>
        <w:t xml:space="preserve"> subject to an injunction.  </w:t>
      </w:r>
      <w:r w:rsidRPr="00E6210C">
        <w:rPr>
          <w:spacing w:val="-2"/>
        </w:rPr>
        <w:t>(</w:t>
      </w:r>
      <w:r w:rsidRPr="00E6210C">
        <w:rPr>
          <w:i/>
          <w:iCs/>
          <w:spacing w:val="-2"/>
        </w:rPr>
        <w:t xml:space="preserve">Berger v. Superior Court </w:t>
      </w:r>
      <w:r w:rsidRPr="00E6210C">
        <w:rPr>
          <w:spacing w:val="-2"/>
        </w:rPr>
        <w:t xml:space="preserve">(1917) 175 Cal. 719, </w:t>
      </w:r>
      <w:r w:rsidRPr="00E6210C">
        <w:rPr>
          <w:spacing w:val="-2"/>
        </w:rPr>
        <w:t>721</w:t>
      </w:r>
      <w:r w:rsidRPr="00E6210C">
        <w:rPr>
          <w:spacing w:val="-2"/>
        </w:rPr>
        <w:t xml:space="preserve"> </w:t>
      </w:r>
      <w:r w:rsidRPr="00E6210C">
        <w:rPr>
          <w:spacing w:val="-2"/>
        </w:rPr>
        <w:t>[</w:t>
      </w:r>
      <w:r w:rsidRPr="00E6210C">
        <w:t xml:space="preserve">injunction </w:t>
      </w:r>
      <w:r w:rsidRPr="00E6210C">
        <w:lastRenderedPageBreak/>
        <w:t>applies to the classes of persons through whom the enjoined person may act, such as agents, servants, employees, aiders, abettors, etc., though not parties to the action]</w:t>
      </w:r>
      <w:r w:rsidRPr="00E6210C">
        <w:t xml:space="preserve">; accord, </w:t>
      </w:r>
      <w:r w:rsidRPr="00E6210C">
        <w:rPr>
          <w:i/>
          <w:iCs/>
        </w:rPr>
        <w:t xml:space="preserve">Signal Oil </w:t>
      </w:r>
      <w:r w:rsidRPr="00E6210C">
        <w:rPr>
          <w:i/>
          <w:iCs/>
        </w:rPr>
        <w:t xml:space="preserve">&amp; Gas Co. </w:t>
      </w:r>
      <w:r w:rsidRPr="00E6210C">
        <w:rPr>
          <w:i/>
          <w:iCs/>
        </w:rPr>
        <w:t xml:space="preserve">v. </w:t>
      </w:r>
      <w:r w:rsidRPr="00E6210C">
        <w:rPr>
          <w:i/>
          <w:iCs/>
        </w:rPr>
        <w:t xml:space="preserve">Ashland </w:t>
      </w:r>
      <w:r w:rsidRPr="00E6210C">
        <w:rPr>
          <w:i/>
          <w:iCs/>
        </w:rPr>
        <w:t xml:space="preserve">Oil &amp; Refining Co. </w:t>
      </w:r>
      <w:r w:rsidRPr="00E6210C">
        <w:t>(19</w:t>
      </w:r>
      <w:r w:rsidRPr="00E6210C">
        <w:t>5</w:t>
      </w:r>
      <w:r w:rsidRPr="00E6210C">
        <w:t>8)</w:t>
      </w:r>
      <w:r w:rsidRPr="00E6210C">
        <w:rPr>
          <w:i/>
          <w:iCs/>
        </w:rPr>
        <w:t xml:space="preserve"> </w:t>
      </w:r>
      <w:r w:rsidRPr="00E6210C">
        <w:t xml:space="preserve">49 Cal.2d 764, 779 [injunction </w:t>
      </w:r>
      <w:r w:rsidRPr="00E6210C">
        <w:t xml:space="preserve">against the corporation </w:t>
      </w:r>
      <w:r w:rsidRPr="00E6210C">
        <w:t xml:space="preserve">is </w:t>
      </w:r>
      <w:r w:rsidRPr="00E6210C">
        <w:t>injunction against the directors, acting in their capacity as directors</w:t>
      </w:r>
      <w:r w:rsidRPr="00E6210C">
        <w:t>]</w:t>
      </w:r>
      <w:r w:rsidRPr="00E6210C">
        <w:t>.</w:t>
      </w:r>
      <w:r w:rsidRPr="00E6210C">
        <w:t>)</w:t>
      </w:r>
      <w:r>
        <w:rPr>
          <w:rStyle w:val="FootnoteReference"/>
        </w:rPr>
        <w:footnoteReference w:id="9"/>
      </w:r>
      <w:r w:rsidRPr="00E6210C">
        <w:t xml:space="preserve"> </w:t>
      </w:r>
      <w:r w:rsidRPr="00E6210C">
        <w:rPr>
          <w:spacing w:val="-2"/>
        </w:rPr>
        <w:t xml:space="preserve"> </w:t>
      </w:r>
      <w:r w:rsidRPr="00E6210C">
        <w:rPr>
          <w:spacing w:val="-2"/>
        </w:rPr>
        <w:t>As t</w:t>
      </w:r>
      <w:r w:rsidRPr="00E6210C">
        <w:rPr>
          <w:spacing w:val="-2"/>
        </w:rPr>
        <w:t xml:space="preserve">here is no showing the trial court abused its discretion </w:t>
      </w:r>
      <w:r w:rsidRPr="00E6210C">
        <w:rPr>
          <w:spacing w:val="-2"/>
        </w:rPr>
        <w:t>by</w:t>
      </w:r>
      <w:r w:rsidRPr="00E6210C">
        <w:rPr>
          <w:spacing w:val="-2"/>
        </w:rPr>
        <w:t xml:space="preserve"> </w:t>
      </w:r>
      <w:r w:rsidRPr="00E6210C">
        <w:rPr>
          <w:spacing w:val="-2"/>
        </w:rPr>
        <w:t>enjoining the Association, the individual directors, and those acting in concert with them</w:t>
      </w:r>
      <w:r w:rsidRPr="00E6210C">
        <w:rPr>
          <w:spacing w:val="-2"/>
        </w:rPr>
        <w:t>, the declaratory relief injunction</w:t>
      </w:r>
      <w:r w:rsidRPr="00E6210C">
        <w:rPr>
          <w:spacing w:val="-2"/>
        </w:rPr>
        <w:t xml:space="preserve"> is affirmed</w:t>
      </w:r>
      <w:r w:rsidRPr="00E6210C">
        <w:rPr>
          <w:spacing w:val="-2"/>
        </w:rPr>
        <w:t xml:space="preserve">.  </w:t>
      </w:r>
    </w:p>
    <w:p w14:paraId="7D00DE41" w14:textId="77777777" w:rsidR="00B2782B" w:rsidRPr="00E6210C" w:rsidRDefault="00B2782B" w:rsidP="00223DFA">
      <w:pPr>
        <w:spacing w:after="0" w:line="288" w:lineRule="auto"/>
        <w:rPr>
          <w:b/>
          <w:bCs/>
          <w:spacing w:val="-2"/>
        </w:rPr>
      </w:pPr>
    </w:p>
    <w:p w14:paraId="255B6CF5" w14:textId="77777777" w:rsidR="00B2782B" w:rsidRPr="00E6210C" w:rsidRDefault="00B2782B" w:rsidP="00223DFA">
      <w:pPr>
        <w:keepNext/>
        <w:spacing w:after="0" w:line="288" w:lineRule="auto"/>
        <w:rPr>
          <w:b/>
          <w:bCs/>
          <w:spacing w:val="-2"/>
        </w:rPr>
      </w:pPr>
      <w:r w:rsidRPr="00E6210C">
        <w:rPr>
          <w:b/>
          <w:bCs/>
          <w:spacing w:val="-2"/>
        </w:rPr>
        <w:t>C</w:t>
      </w:r>
      <w:r w:rsidRPr="00E6210C">
        <w:rPr>
          <w:b/>
          <w:bCs/>
          <w:spacing w:val="-2"/>
        </w:rPr>
        <w:t>.</w:t>
      </w:r>
      <w:r w:rsidRPr="00E6210C">
        <w:rPr>
          <w:b/>
          <w:bCs/>
          <w:spacing w:val="-2"/>
        </w:rPr>
        <w:tab/>
      </w:r>
      <w:r w:rsidRPr="00E6210C">
        <w:rPr>
          <w:b/>
          <w:bCs/>
          <w:spacing w:val="-2"/>
        </w:rPr>
        <w:t xml:space="preserve">Breach of Fiduciary Duty Claim </w:t>
      </w:r>
    </w:p>
    <w:p w14:paraId="3F6FCAE5" w14:textId="77777777" w:rsidR="00B2782B" w:rsidRPr="00E6210C" w:rsidRDefault="00B2782B" w:rsidP="00223DFA">
      <w:pPr>
        <w:spacing w:after="0" w:line="288" w:lineRule="auto"/>
        <w:rPr>
          <w:spacing w:val="-2"/>
        </w:rPr>
      </w:pPr>
      <w:r w:rsidRPr="00E6210C">
        <w:rPr>
          <w:spacing w:val="-2"/>
        </w:rPr>
        <w:tab/>
        <w:t>The Association contends th</w:t>
      </w:r>
      <w:r w:rsidRPr="00E6210C">
        <w:rPr>
          <w:spacing w:val="-2"/>
        </w:rPr>
        <w:t>e breach of fiduciary duty</w:t>
      </w:r>
      <w:r w:rsidRPr="00E6210C">
        <w:rPr>
          <w:spacing w:val="-2"/>
        </w:rPr>
        <w:t xml:space="preserve"> claim must be reversed because </w:t>
      </w:r>
      <w:proofErr w:type="spellStart"/>
      <w:r w:rsidRPr="00E6210C">
        <w:rPr>
          <w:spacing w:val="-2"/>
        </w:rPr>
        <w:t>Colyear</w:t>
      </w:r>
      <w:proofErr w:type="spellEnd"/>
      <w:r w:rsidRPr="00E6210C">
        <w:rPr>
          <w:spacing w:val="-2"/>
        </w:rPr>
        <w:t xml:space="preserve"> suffered no damages, </w:t>
      </w:r>
      <w:r w:rsidRPr="00E6210C">
        <w:rPr>
          <w:spacing w:val="-2"/>
        </w:rPr>
        <w:t xml:space="preserve">as </w:t>
      </w:r>
      <w:r w:rsidRPr="00E6210C">
        <w:rPr>
          <w:spacing w:val="-2"/>
        </w:rPr>
        <w:t>attorney fees</w:t>
      </w:r>
      <w:r w:rsidRPr="00E6210C">
        <w:rPr>
          <w:spacing w:val="-2"/>
        </w:rPr>
        <w:t xml:space="preserve"> do not constitute proper damages </w:t>
      </w:r>
      <w:r w:rsidRPr="00E6210C">
        <w:rPr>
          <w:spacing w:val="-2"/>
        </w:rPr>
        <w:t>for</w:t>
      </w:r>
      <w:r w:rsidRPr="00E6210C">
        <w:rPr>
          <w:spacing w:val="-2"/>
        </w:rPr>
        <w:t xml:space="preserve"> breach of</w:t>
      </w:r>
      <w:r w:rsidRPr="00E6210C">
        <w:rPr>
          <w:spacing w:val="-2"/>
        </w:rPr>
        <w:t xml:space="preserve"> fiduciary duty</w:t>
      </w:r>
      <w:r w:rsidRPr="00E6210C">
        <w:rPr>
          <w:spacing w:val="-2"/>
        </w:rPr>
        <w:t xml:space="preserve">.  The Association also contends </w:t>
      </w:r>
      <w:r w:rsidRPr="00E6210C">
        <w:rPr>
          <w:spacing w:val="-2"/>
        </w:rPr>
        <w:t>the directors</w:t>
      </w:r>
      <w:r w:rsidRPr="00E6210C">
        <w:rPr>
          <w:spacing w:val="-2"/>
        </w:rPr>
        <w:t xml:space="preserve"> acted in</w:t>
      </w:r>
      <w:r w:rsidRPr="00E6210C">
        <w:rPr>
          <w:spacing w:val="-2"/>
        </w:rPr>
        <w:t xml:space="preserve"> good faith in enforcing the CC</w:t>
      </w:r>
      <w:r w:rsidRPr="00E6210C">
        <w:rPr>
          <w:spacing w:val="-2"/>
        </w:rPr>
        <w:t>&amp;</w:t>
      </w:r>
      <w:r w:rsidRPr="00E6210C">
        <w:rPr>
          <w:spacing w:val="-2"/>
        </w:rPr>
        <w:t>Rs</w:t>
      </w:r>
      <w:r w:rsidRPr="00E6210C">
        <w:rPr>
          <w:spacing w:val="-2"/>
        </w:rPr>
        <w:t>, and because the</w:t>
      </w:r>
      <w:r w:rsidRPr="00E6210C">
        <w:rPr>
          <w:spacing w:val="-2"/>
        </w:rPr>
        <w:t>y</w:t>
      </w:r>
      <w:r w:rsidRPr="00E6210C">
        <w:rPr>
          <w:spacing w:val="-2"/>
        </w:rPr>
        <w:t xml:space="preserve"> cannot be </w:t>
      </w:r>
      <w:r w:rsidRPr="00E6210C">
        <w:rPr>
          <w:spacing w:val="-2"/>
        </w:rPr>
        <w:t xml:space="preserve">individually </w:t>
      </w:r>
      <w:r w:rsidRPr="00E6210C">
        <w:rPr>
          <w:spacing w:val="-2"/>
        </w:rPr>
        <w:t xml:space="preserve">liable, the Association itself </w:t>
      </w:r>
      <w:r w:rsidRPr="00E6210C">
        <w:rPr>
          <w:spacing w:val="-2"/>
        </w:rPr>
        <w:t>can</w:t>
      </w:r>
      <w:r w:rsidRPr="00E6210C">
        <w:rPr>
          <w:spacing w:val="-2"/>
        </w:rPr>
        <w:t xml:space="preserve">not </w:t>
      </w:r>
      <w:r w:rsidRPr="00E6210C">
        <w:rPr>
          <w:spacing w:val="-2"/>
        </w:rPr>
        <w:t xml:space="preserve">be </w:t>
      </w:r>
      <w:r w:rsidRPr="00E6210C">
        <w:rPr>
          <w:spacing w:val="-2"/>
        </w:rPr>
        <w:t>liable</w:t>
      </w:r>
      <w:r w:rsidRPr="00E6210C">
        <w:rPr>
          <w:spacing w:val="-2"/>
        </w:rPr>
        <w:t xml:space="preserve">.  </w:t>
      </w:r>
      <w:proofErr w:type="spellStart"/>
      <w:r w:rsidRPr="00E6210C">
        <w:rPr>
          <w:spacing w:val="-2"/>
        </w:rPr>
        <w:t>Colyear</w:t>
      </w:r>
      <w:proofErr w:type="spellEnd"/>
      <w:r w:rsidRPr="00E6210C">
        <w:rPr>
          <w:spacing w:val="-2"/>
        </w:rPr>
        <w:t xml:space="preserve"> responds that the trial court’s findings necessarily establish </w:t>
      </w:r>
      <w:r w:rsidRPr="00E6210C">
        <w:rPr>
          <w:spacing w:val="-2"/>
        </w:rPr>
        <w:t xml:space="preserve">harm </w:t>
      </w:r>
      <w:r w:rsidRPr="00E6210C">
        <w:rPr>
          <w:spacing w:val="-2"/>
        </w:rPr>
        <w:t>because the court enjoined the Association from further breach</w:t>
      </w:r>
      <w:r w:rsidRPr="00E6210C">
        <w:rPr>
          <w:spacing w:val="-2"/>
        </w:rPr>
        <w:t>es</w:t>
      </w:r>
      <w:r w:rsidRPr="00E6210C">
        <w:rPr>
          <w:spacing w:val="-2"/>
        </w:rPr>
        <w:t xml:space="preserve"> and good faith does not excuse the Association’s breach.  </w:t>
      </w:r>
      <w:r w:rsidRPr="00E6210C">
        <w:rPr>
          <w:spacing w:val="-2"/>
        </w:rPr>
        <w:t>We conclude the claim fails due to a lack of damages.</w:t>
      </w:r>
    </w:p>
    <w:p w14:paraId="3EC78F81" w14:textId="77777777" w:rsidR="00B2782B" w:rsidRPr="00E6210C" w:rsidRDefault="00B2782B" w:rsidP="00223DFA">
      <w:pPr>
        <w:spacing w:after="0" w:line="288" w:lineRule="auto"/>
        <w:rPr>
          <w:spacing w:val="-2"/>
        </w:rPr>
      </w:pPr>
    </w:p>
    <w:p w14:paraId="08D91950" w14:textId="77777777" w:rsidR="00B2782B" w:rsidRPr="00E6210C" w:rsidRDefault="00B2782B" w:rsidP="00223DFA">
      <w:pPr>
        <w:keepNext/>
        <w:spacing w:after="0" w:line="288" w:lineRule="auto"/>
        <w:rPr>
          <w:spacing w:val="-2"/>
        </w:rPr>
      </w:pPr>
      <w:r w:rsidRPr="00E6210C">
        <w:rPr>
          <w:b/>
          <w:bCs/>
          <w:spacing w:val="-2"/>
        </w:rPr>
        <w:tab/>
      </w:r>
      <w:r w:rsidRPr="00E6210C">
        <w:rPr>
          <w:spacing w:val="-2"/>
        </w:rPr>
        <w:t>1.</w:t>
      </w:r>
      <w:r w:rsidRPr="00E6210C">
        <w:rPr>
          <w:spacing w:val="-2"/>
        </w:rPr>
        <w:tab/>
      </w:r>
      <w:r w:rsidRPr="00E6210C">
        <w:rPr>
          <w:i/>
          <w:iCs/>
          <w:spacing w:val="-2"/>
        </w:rPr>
        <w:t>Relevant Background</w:t>
      </w:r>
    </w:p>
    <w:p w14:paraId="0BACD68D" w14:textId="77777777" w:rsidR="00B2782B" w:rsidRPr="00E6210C" w:rsidRDefault="00B2782B" w:rsidP="00223DFA">
      <w:pPr>
        <w:spacing w:after="0" w:line="288" w:lineRule="auto"/>
        <w:rPr>
          <w:spacing w:val="-2"/>
        </w:rPr>
      </w:pPr>
      <w:r w:rsidRPr="00E6210C">
        <w:rPr>
          <w:spacing w:val="-2"/>
        </w:rPr>
        <w:tab/>
      </w:r>
      <w:r w:rsidRPr="00E6210C">
        <w:rPr>
          <w:spacing w:val="-2"/>
        </w:rPr>
        <w:t>At trial, the</w:t>
      </w:r>
      <w:r w:rsidRPr="00E6210C">
        <w:rPr>
          <w:spacing w:val="-2"/>
        </w:rPr>
        <w:t xml:space="preserve"> Association asserted it acted in good faith</w:t>
      </w:r>
      <w:r w:rsidRPr="00E6210C">
        <w:rPr>
          <w:spacing w:val="-2"/>
        </w:rPr>
        <w:t xml:space="preserve"> pursuant to the business judgment rule (Corp. Code, § 7231)</w:t>
      </w:r>
      <w:r w:rsidRPr="00E6210C">
        <w:rPr>
          <w:spacing w:val="-2"/>
        </w:rPr>
        <w:t xml:space="preserve"> and </w:t>
      </w:r>
      <w:r w:rsidRPr="00E6210C">
        <w:rPr>
          <w:spacing w:val="-2"/>
        </w:rPr>
        <w:lastRenderedPageBreak/>
        <w:t>on reliance of counsel</w:t>
      </w:r>
      <w:r w:rsidRPr="00E6210C">
        <w:rPr>
          <w:spacing w:val="-2"/>
        </w:rPr>
        <w:t>.</w:t>
      </w:r>
      <w:r w:rsidRPr="00E6210C">
        <w:rPr>
          <w:spacing w:val="-2"/>
        </w:rPr>
        <w:t xml:space="preserve"> </w:t>
      </w:r>
      <w:r w:rsidRPr="00E6210C">
        <w:rPr>
          <w:spacing w:val="-2"/>
        </w:rPr>
        <w:t xml:space="preserve"> </w:t>
      </w:r>
      <w:r w:rsidRPr="00E6210C">
        <w:rPr>
          <w:spacing w:val="-2"/>
        </w:rPr>
        <w:t xml:space="preserve">The </w:t>
      </w:r>
      <w:r w:rsidRPr="00E6210C">
        <w:rPr>
          <w:spacing w:val="-2"/>
        </w:rPr>
        <w:t xml:space="preserve">trial </w:t>
      </w:r>
      <w:r w:rsidRPr="00E6210C">
        <w:rPr>
          <w:spacing w:val="-2"/>
        </w:rPr>
        <w:t>court</w:t>
      </w:r>
      <w:r w:rsidRPr="00E6210C">
        <w:rPr>
          <w:spacing w:val="-2"/>
        </w:rPr>
        <w:t xml:space="preserve"> agreed</w:t>
      </w:r>
      <w:r w:rsidRPr="00E6210C">
        <w:rPr>
          <w:spacing w:val="-2"/>
        </w:rPr>
        <w:t xml:space="preserve"> </w:t>
      </w:r>
      <w:r w:rsidRPr="00E6210C">
        <w:rPr>
          <w:spacing w:val="-2"/>
        </w:rPr>
        <w:t xml:space="preserve">as </w:t>
      </w:r>
      <w:r w:rsidRPr="00E6210C">
        <w:rPr>
          <w:spacing w:val="-2"/>
        </w:rPr>
        <w:t>to the actions of the individual board members</w:t>
      </w:r>
      <w:r w:rsidRPr="00E6210C">
        <w:rPr>
          <w:spacing w:val="-2"/>
        </w:rPr>
        <w:t xml:space="preserve">, </w:t>
      </w:r>
      <w:r w:rsidRPr="00E6210C">
        <w:rPr>
          <w:spacing w:val="-2"/>
        </w:rPr>
        <w:t xml:space="preserve">citing </w:t>
      </w:r>
      <w:r w:rsidRPr="00E6210C">
        <w:rPr>
          <w:i/>
          <w:iCs/>
          <w:spacing w:val="-2"/>
        </w:rPr>
        <w:t xml:space="preserve">Biren v. Equality Emergency Medical Group, Inc. </w:t>
      </w:r>
      <w:r w:rsidRPr="00E6210C">
        <w:rPr>
          <w:spacing w:val="-2"/>
        </w:rPr>
        <w:t xml:space="preserve">(2002) 102 Cal.App.4th 125, 137 </w:t>
      </w:r>
      <w:r w:rsidRPr="00E6210C">
        <w:rPr>
          <w:spacing w:val="-2"/>
        </w:rPr>
        <w:t>(</w:t>
      </w:r>
      <w:r w:rsidRPr="00E6210C">
        <w:rPr>
          <w:i/>
          <w:iCs/>
          <w:spacing w:val="-2"/>
        </w:rPr>
        <w:t>Biren</w:t>
      </w:r>
      <w:r w:rsidRPr="00E6210C">
        <w:rPr>
          <w:spacing w:val="-2"/>
        </w:rPr>
        <w:t xml:space="preserve">) </w:t>
      </w:r>
      <w:r w:rsidRPr="00E6210C">
        <w:rPr>
          <w:spacing w:val="-2"/>
        </w:rPr>
        <w:t xml:space="preserve">[business judgment rule protects even misinformed, misguided and mistaken directors </w:t>
      </w:r>
      <w:r w:rsidRPr="00E6210C">
        <w:rPr>
          <w:spacing w:val="-2"/>
        </w:rPr>
        <w:t>who were</w:t>
      </w:r>
      <w:r w:rsidRPr="00E6210C">
        <w:rPr>
          <w:spacing w:val="-2"/>
        </w:rPr>
        <w:t xml:space="preserve"> well-meaning]</w:t>
      </w:r>
      <w:r w:rsidRPr="00E6210C">
        <w:rPr>
          <w:spacing w:val="-2"/>
        </w:rPr>
        <w:t xml:space="preserve">. </w:t>
      </w:r>
    </w:p>
    <w:p w14:paraId="00AF9374" w14:textId="77777777" w:rsidR="00B2782B" w:rsidRPr="00E6210C" w:rsidRDefault="00B2782B" w:rsidP="00223DFA">
      <w:pPr>
        <w:spacing w:after="0" w:line="288" w:lineRule="auto"/>
        <w:rPr>
          <w:spacing w:val="-2"/>
        </w:rPr>
      </w:pPr>
      <w:r w:rsidRPr="00E6210C">
        <w:rPr>
          <w:spacing w:val="-2"/>
        </w:rPr>
        <w:tab/>
        <w:t xml:space="preserve">However, the </w:t>
      </w:r>
      <w:r w:rsidRPr="00E6210C">
        <w:rPr>
          <w:spacing w:val="-2"/>
        </w:rPr>
        <w:t xml:space="preserve">court found the </w:t>
      </w:r>
      <w:r w:rsidRPr="00E6210C">
        <w:rPr>
          <w:spacing w:val="-2"/>
        </w:rPr>
        <w:t>Association could be found liable apart</w:t>
      </w:r>
      <w:r w:rsidRPr="00E6210C">
        <w:rPr>
          <w:spacing w:val="-2"/>
        </w:rPr>
        <w:t xml:space="preserve"> from</w:t>
      </w:r>
      <w:r w:rsidRPr="00E6210C">
        <w:rPr>
          <w:spacing w:val="-2"/>
        </w:rPr>
        <w:t xml:space="preserve"> its individual board members on the rationale that </w:t>
      </w:r>
      <w:r w:rsidRPr="00E6210C">
        <w:rPr>
          <w:spacing w:val="-2"/>
        </w:rPr>
        <w:t xml:space="preserve">even where the board members are protected by the good faith exception, a homeowner </w:t>
      </w:r>
      <w:r w:rsidRPr="00E6210C">
        <w:rPr>
          <w:spacing w:val="-2"/>
        </w:rPr>
        <w:t>should not be</w:t>
      </w:r>
      <w:r w:rsidRPr="00E6210C">
        <w:rPr>
          <w:spacing w:val="-2"/>
        </w:rPr>
        <w:t xml:space="preserve"> without a remedy against the board. </w:t>
      </w:r>
      <w:r w:rsidRPr="00E6210C">
        <w:rPr>
          <w:spacing w:val="-2"/>
        </w:rPr>
        <w:t xml:space="preserve"> </w:t>
      </w:r>
      <w:r w:rsidRPr="00E6210C">
        <w:rPr>
          <w:spacing w:val="-2"/>
        </w:rPr>
        <w:t xml:space="preserve">(See </w:t>
      </w:r>
      <w:r w:rsidRPr="00E6210C">
        <w:rPr>
          <w:i/>
          <w:iCs/>
          <w:spacing w:val="-2"/>
        </w:rPr>
        <w:t>Ritter &amp; Ritter</w:t>
      </w:r>
      <w:r w:rsidRPr="00E6210C">
        <w:rPr>
          <w:i/>
          <w:iCs/>
          <w:spacing w:val="-2"/>
        </w:rPr>
        <w:t xml:space="preserve">, Inc. Pension </w:t>
      </w:r>
      <w:r w:rsidRPr="00E6210C">
        <w:rPr>
          <w:i/>
          <w:iCs/>
          <w:spacing w:val="-2"/>
        </w:rPr>
        <w:t xml:space="preserve">&amp; Profit </w:t>
      </w:r>
      <w:r w:rsidRPr="00E6210C">
        <w:rPr>
          <w:i/>
          <w:iCs/>
          <w:spacing w:val="-2"/>
        </w:rPr>
        <w:t xml:space="preserve">Plan v. The Churchill </w:t>
      </w:r>
      <w:r w:rsidRPr="00E6210C">
        <w:rPr>
          <w:i/>
          <w:iCs/>
          <w:spacing w:val="-2"/>
        </w:rPr>
        <w:t>Condominium</w:t>
      </w:r>
      <w:r w:rsidRPr="00E6210C">
        <w:rPr>
          <w:i/>
          <w:iCs/>
          <w:spacing w:val="-2"/>
        </w:rPr>
        <w:t xml:space="preserve"> </w:t>
      </w:r>
      <w:r w:rsidRPr="00E6210C">
        <w:rPr>
          <w:i/>
          <w:iCs/>
          <w:spacing w:val="-2"/>
        </w:rPr>
        <w:t>Assn</w:t>
      </w:r>
      <w:r w:rsidRPr="00E6210C">
        <w:rPr>
          <w:i/>
          <w:iCs/>
          <w:spacing w:val="-2"/>
        </w:rPr>
        <w:t>.</w:t>
      </w:r>
      <w:r w:rsidRPr="00E6210C">
        <w:rPr>
          <w:i/>
          <w:iCs/>
          <w:spacing w:val="-2"/>
        </w:rPr>
        <w:t xml:space="preserve"> </w:t>
      </w:r>
      <w:r w:rsidRPr="00E6210C">
        <w:rPr>
          <w:spacing w:val="-2"/>
        </w:rPr>
        <w:t>(2008) 166 Cal.App.4th 103</w:t>
      </w:r>
      <w:r w:rsidRPr="00E6210C">
        <w:rPr>
          <w:spacing w:val="-2"/>
        </w:rPr>
        <w:t>, 125</w:t>
      </w:r>
      <w:r w:rsidRPr="00E6210C">
        <w:rPr>
          <w:spacing w:val="-2"/>
        </w:rPr>
        <w:t xml:space="preserve"> (</w:t>
      </w:r>
      <w:r w:rsidRPr="00E6210C">
        <w:rPr>
          <w:i/>
          <w:iCs/>
          <w:spacing w:val="-2"/>
        </w:rPr>
        <w:t>Ritter</w:t>
      </w:r>
      <w:r w:rsidRPr="00E6210C">
        <w:rPr>
          <w:spacing w:val="-2"/>
        </w:rPr>
        <w:t>)</w:t>
      </w:r>
      <w:r w:rsidRPr="00E6210C">
        <w:rPr>
          <w:spacing w:val="-2"/>
        </w:rPr>
        <w:t xml:space="preserve">.) </w:t>
      </w:r>
      <w:r w:rsidRPr="00E6210C">
        <w:rPr>
          <w:spacing w:val="-2"/>
        </w:rPr>
        <w:t xml:space="preserve"> </w:t>
      </w:r>
      <w:r w:rsidRPr="00E6210C">
        <w:rPr>
          <w:spacing w:val="-2"/>
        </w:rPr>
        <w:t xml:space="preserve">The court found the Association liable because it adopted </w:t>
      </w:r>
      <w:r w:rsidRPr="00E6210C">
        <w:rPr>
          <w:spacing w:val="-2"/>
        </w:rPr>
        <w:t>a community-wide</w:t>
      </w:r>
      <w:r w:rsidRPr="00E6210C">
        <w:rPr>
          <w:spacing w:val="-2"/>
        </w:rPr>
        <w:t xml:space="preserve"> </w:t>
      </w:r>
      <w:r w:rsidRPr="00E6210C">
        <w:rPr>
          <w:spacing w:val="-2"/>
        </w:rPr>
        <w:t>view</w:t>
      </w:r>
      <w:r w:rsidRPr="00E6210C">
        <w:rPr>
          <w:spacing w:val="-2"/>
        </w:rPr>
        <w:t xml:space="preserve"> </w:t>
      </w:r>
      <w:r w:rsidRPr="00E6210C">
        <w:rPr>
          <w:spacing w:val="-2"/>
        </w:rPr>
        <w:t>policy (</w:t>
      </w:r>
      <w:r w:rsidRPr="00E6210C">
        <w:rPr>
          <w:spacing w:val="-2"/>
        </w:rPr>
        <w:t>Resolution</w:t>
      </w:r>
      <w:r w:rsidRPr="00E6210C">
        <w:rPr>
          <w:spacing w:val="-2"/>
        </w:rPr>
        <w:t xml:space="preserve"> 220) </w:t>
      </w:r>
      <w:r w:rsidRPr="00E6210C">
        <w:rPr>
          <w:spacing w:val="-2"/>
        </w:rPr>
        <w:t xml:space="preserve">without a valid basis in the </w:t>
      </w:r>
      <w:r w:rsidRPr="00E6210C">
        <w:rPr>
          <w:spacing w:val="-2"/>
        </w:rPr>
        <w:t xml:space="preserve">applicable </w:t>
      </w:r>
      <w:r w:rsidRPr="00E6210C">
        <w:rPr>
          <w:spacing w:val="-2"/>
        </w:rPr>
        <w:t xml:space="preserve">declarations.  </w:t>
      </w:r>
    </w:p>
    <w:p w14:paraId="6AB86D67" w14:textId="77777777" w:rsidR="00B2782B" w:rsidRPr="00E6210C" w:rsidRDefault="00B2782B" w:rsidP="00223DFA">
      <w:pPr>
        <w:spacing w:after="0" w:line="288" w:lineRule="auto"/>
        <w:rPr>
          <w:spacing w:val="-2"/>
        </w:rPr>
      </w:pPr>
      <w:r w:rsidRPr="00E6210C">
        <w:rPr>
          <w:spacing w:val="-2"/>
        </w:rPr>
        <w:tab/>
        <w:t xml:space="preserve">With respect to </w:t>
      </w:r>
      <w:r w:rsidRPr="00E6210C">
        <w:rPr>
          <w:spacing w:val="-2"/>
        </w:rPr>
        <w:t>damages</w:t>
      </w:r>
      <w:r w:rsidRPr="00E6210C">
        <w:rPr>
          <w:spacing w:val="-2"/>
        </w:rPr>
        <w:t>, t</w:t>
      </w:r>
      <w:r w:rsidRPr="00E6210C">
        <w:rPr>
          <w:spacing w:val="-2"/>
        </w:rPr>
        <w:t xml:space="preserve">he trial court found that </w:t>
      </w:r>
      <w:r w:rsidRPr="00E6210C">
        <w:rPr>
          <w:spacing w:val="-2"/>
        </w:rPr>
        <w:t>while</w:t>
      </w:r>
      <w:r w:rsidRPr="00E6210C">
        <w:rPr>
          <w:spacing w:val="-2"/>
        </w:rPr>
        <w:t xml:space="preserve"> </w:t>
      </w:r>
      <w:proofErr w:type="spellStart"/>
      <w:r w:rsidRPr="00E6210C">
        <w:rPr>
          <w:spacing w:val="-2"/>
        </w:rPr>
        <w:t>Colyear’s</w:t>
      </w:r>
      <w:proofErr w:type="spellEnd"/>
      <w:r w:rsidRPr="00E6210C">
        <w:rPr>
          <w:spacing w:val="-2"/>
        </w:rPr>
        <w:t xml:space="preserve"> property would suffer a loss in value if the trees were cut, he </w:t>
      </w:r>
      <w:r w:rsidRPr="00E6210C">
        <w:rPr>
          <w:spacing w:val="-2"/>
        </w:rPr>
        <w:t xml:space="preserve">had </w:t>
      </w:r>
      <w:r w:rsidRPr="00E6210C">
        <w:rPr>
          <w:spacing w:val="-2"/>
        </w:rPr>
        <w:t>neither</w:t>
      </w:r>
      <w:r w:rsidRPr="00E6210C">
        <w:rPr>
          <w:spacing w:val="-2"/>
        </w:rPr>
        <w:t xml:space="preserve"> attempt</w:t>
      </w:r>
      <w:r w:rsidRPr="00E6210C">
        <w:rPr>
          <w:spacing w:val="-2"/>
        </w:rPr>
        <w:t>ed</w:t>
      </w:r>
      <w:r w:rsidRPr="00E6210C">
        <w:rPr>
          <w:spacing w:val="-2"/>
        </w:rPr>
        <w:t xml:space="preserve"> to sell his property nor was he </w:t>
      </w:r>
      <w:r w:rsidRPr="00E6210C">
        <w:rPr>
          <w:spacing w:val="-2"/>
        </w:rPr>
        <w:t>dissuaded</w:t>
      </w:r>
      <w:r w:rsidRPr="00E6210C">
        <w:rPr>
          <w:spacing w:val="-2"/>
        </w:rPr>
        <w:t xml:space="preserve"> from doing so </w:t>
      </w:r>
      <w:r w:rsidRPr="00E6210C">
        <w:rPr>
          <w:spacing w:val="-2"/>
        </w:rPr>
        <w:t xml:space="preserve">because of the </w:t>
      </w:r>
      <w:r w:rsidRPr="00E6210C">
        <w:rPr>
          <w:spacing w:val="-2"/>
        </w:rPr>
        <w:t>Tree CC</w:t>
      </w:r>
      <w:r w:rsidRPr="00E6210C">
        <w:rPr>
          <w:spacing w:val="-2"/>
        </w:rPr>
        <w:t>.  T</w:t>
      </w:r>
      <w:r w:rsidRPr="00E6210C">
        <w:rPr>
          <w:spacing w:val="-2"/>
        </w:rPr>
        <w:t xml:space="preserve">hus, there </w:t>
      </w:r>
      <w:r w:rsidRPr="00E6210C">
        <w:rPr>
          <w:spacing w:val="-2"/>
        </w:rPr>
        <w:t>was</w:t>
      </w:r>
      <w:r w:rsidRPr="00E6210C">
        <w:rPr>
          <w:spacing w:val="-2"/>
        </w:rPr>
        <w:t xml:space="preserve"> no </w:t>
      </w:r>
      <w:r w:rsidRPr="00E6210C">
        <w:rPr>
          <w:spacing w:val="-2"/>
        </w:rPr>
        <w:t>indication</w:t>
      </w:r>
      <w:r w:rsidRPr="00E6210C">
        <w:rPr>
          <w:spacing w:val="-2"/>
        </w:rPr>
        <w:t xml:space="preserve"> of past damages for </w:t>
      </w:r>
      <w:r w:rsidRPr="00E6210C">
        <w:rPr>
          <w:spacing w:val="-2"/>
        </w:rPr>
        <w:t>diminution</w:t>
      </w:r>
      <w:r w:rsidRPr="00E6210C">
        <w:rPr>
          <w:spacing w:val="-2"/>
        </w:rPr>
        <w:t xml:space="preserve"> in value.  </w:t>
      </w:r>
      <w:r w:rsidRPr="00E6210C">
        <w:rPr>
          <w:spacing w:val="-2"/>
        </w:rPr>
        <w:t xml:space="preserve">Due to the </w:t>
      </w:r>
      <w:r w:rsidRPr="00E6210C">
        <w:rPr>
          <w:spacing w:val="-2"/>
        </w:rPr>
        <w:t>injunctive</w:t>
      </w:r>
      <w:r w:rsidRPr="00E6210C">
        <w:rPr>
          <w:spacing w:val="-2"/>
        </w:rPr>
        <w:t xml:space="preserve"> and </w:t>
      </w:r>
      <w:r w:rsidRPr="00E6210C">
        <w:rPr>
          <w:spacing w:val="-2"/>
        </w:rPr>
        <w:t>declaratory</w:t>
      </w:r>
      <w:r w:rsidRPr="00E6210C">
        <w:rPr>
          <w:spacing w:val="-2"/>
        </w:rPr>
        <w:t xml:space="preserve"> relief, there was no evidence supporting present or future </w:t>
      </w:r>
      <w:r w:rsidRPr="00E6210C">
        <w:rPr>
          <w:spacing w:val="-2"/>
        </w:rPr>
        <w:t>damages</w:t>
      </w:r>
      <w:r w:rsidRPr="00E6210C">
        <w:rPr>
          <w:spacing w:val="-2"/>
        </w:rPr>
        <w:t xml:space="preserve">.  </w:t>
      </w:r>
      <w:r w:rsidRPr="00E6210C">
        <w:rPr>
          <w:spacing w:val="-2"/>
        </w:rPr>
        <w:t>Although the court believed attorney fees could be recovered as damages</w:t>
      </w:r>
      <w:r w:rsidRPr="00E6210C">
        <w:rPr>
          <w:spacing w:val="-2"/>
        </w:rPr>
        <w:t xml:space="preserve"> at the time it entered </w:t>
      </w:r>
      <w:r w:rsidRPr="00E6210C">
        <w:rPr>
          <w:spacing w:val="-2"/>
        </w:rPr>
        <w:t>its</w:t>
      </w:r>
      <w:r w:rsidRPr="00E6210C">
        <w:rPr>
          <w:spacing w:val="-2"/>
        </w:rPr>
        <w:t xml:space="preserve"> </w:t>
      </w:r>
      <w:r w:rsidRPr="00E6210C">
        <w:rPr>
          <w:spacing w:val="-2"/>
        </w:rPr>
        <w:t>c</w:t>
      </w:r>
      <w:r w:rsidRPr="00E6210C">
        <w:rPr>
          <w:spacing w:val="-2"/>
        </w:rPr>
        <w:t xml:space="preserve">orrected </w:t>
      </w:r>
      <w:r w:rsidRPr="00E6210C">
        <w:rPr>
          <w:spacing w:val="-2"/>
        </w:rPr>
        <w:t>s</w:t>
      </w:r>
      <w:r w:rsidRPr="00E6210C">
        <w:rPr>
          <w:spacing w:val="-2"/>
        </w:rPr>
        <w:t>tate</w:t>
      </w:r>
      <w:r w:rsidRPr="00E6210C">
        <w:rPr>
          <w:spacing w:val="-2"/>
        </w:rPr>
        <w:t>ment</w:t>
      </w:r>
      <w:r w:rsidRPr="00E6210C">
        <w:rPr>
          <w:spacing w:val="-2"/>
        </w:rPr>
        <w:t xml:space="preserve"> of </w:t>
      </w:r>
      <w:r w:rsidRPr="00E6210C">
        <w:rPr>
          <w:spacing w:val="-2"/>
        </w:rPr>
        <w:t>d</w:t>
      </w:r>
      <w:r w:rsidRPr="00E6210C">
        <w:rPr>
          <w:spacing w:val="-2"/>
        </w:rPr>
        <w:t xml:space="preserve">ecision, there was no evidence </w:t>
      </w:r>
      <w:r w:rsidRPr="00E6210C">
        <w:rPr>
          <w:spacing w:val="-2"/>
        </w:rPr>
        <w:t xml:space="preserve">presented at trial </w:t>
      </w:r>
      <w:r w:rsidRPr="00E6210C">
        <w:rPr>
          <w:spacing w:val="-2"/>
        </w:rPr>
        <w:t xml:space="preserve">of such fees. </w:t>
      </w:r>
      <w:r w:rsidRPr="00E6210C">
        <w:rPr>
          <w:spacing w:val="-2"/>
        </w:rPr>
        <w:t xml:space="preserve"> </w:t>
      </w:r>
      <w:r w:rsidRPr="00E6210C">
        <w:rPr>
          <w:spacing w:val="-2"/>
        </w:rPr>
        <w:t>Nonetheless</w:t>
      </w:r>
      <w:r w:rsidRPr="00E6210C">
        <w:rPr>
          <w:spacing w:val="-2"/>
        </w:rPr>
        <w:t xml:space="preserve">, the court </w:t>
      </w:r>
      <w:r w:rsidRPr="00E6210C">
        <w:rPr>
          <w:spacing w:val="-2"/>
        </w:rPr>
        <w:t>upheld the Association’s</w:t>
      </w:r>
      <w:r w:rsidRPr="00E6210C">
        <w:rPr>
          <w:spacing w:val="-2"/>
        </w:rPr>
        <w:t xml:space="preserve"> liability </w:t>
      </w:r>
      <w:r w:rsidRPr="00E6210C">
        <w:rPr>
          <w:spacing w:val="-2"/>
        </w:rPr>
        <w:t>for breach of fiduciary duty</w:t>
      </w:r>
      <w:r w:rsidRPr="00E6210C">
        <w:rPr>
          <w:spacing w:val="-2"/>
        </w:rPr>
        <w:t xml:space="preserve"> </w:t>
      </w:r>
      <w:r w:rsidRPr="00E6210C">
        <w:rPr>
          <w:spacing w:val="-2"/>
        </w:rPr>
        <w:t xml:space="preserve">on the </w:t>
      </w:r>
      <w:r w:rsidRPr="00E6210C">
        <w:rPr>
          <w:spacing w:val="-2"/>
        </w:rPr>
        <w:t xml:space="preserve">apparent </w:t>
      </w:r>
      <w:proofErr w:type="gramStart"/>
      <w:r w:rsidRPr="00E6210C">
        <w:rPr>
          <w:spacing w:val="-2"/>
        </w:rPr>
        <w:t>basis</w:t>
      </w:r>
      <w:proofErr w:type="gramEnd"/>
      <w:r w:rsidRPr="00E6210C">
        <w:rPr>
          <w:spacing w:val="-2"/>
        </w:rPr>
        <w:t xml:space="preserve"> </w:t>
      </w:r>
      <w:proofErr w:type="spellStart"/>
      <w:r w:rsidRPr="00E6210C">
        <w:rPr>
          <w:spacing w:val="-2"/>
        </w:rPr>
        <w:t>Colyear</w:t>
      </w:r>
      <w:proofErr w:type="spellEnd"/>
      <w:r w:rsidRPr="00E6210C">
        <w:rPr>
          <w:spacing w:val="-2"/>
        </w:rPr>
        <w:t xml:space="preserve"> might be awarded </w:t>
      </w:r>
      <w:r w:rsidRPr="00E6210C">
        <w:rPr>
          <w:spacing w:val="-2"/>
        </w:rPr>
        <w:t>attorney fees</w:t>
      </w:r>
      <w:r w:rsidRPr="00E6210C">
        <w:rPr>
          <w:spacing w:val="-2"/>
        </w:rPr>
        <w:t xml:space="preserve">. </w:t>
      </w:r>
      <w:r w:rsidRPr="00E6210C">
        <w:rPr>
          <w:spacing w:val="-2"/>
        </w:rPr>
        <w:t xml:space="preserve">  </w:t>
      </w:r>
    </w:p>
    <w:p w14:paraId="404A0553" w14:textId="77777777" w:rsidR="00B2782B" w:rsidRPr="00E6210C" w:rsidRDefault="00B2782B" w:rsidP="00223DFA">
      <w:pPr>
        <w:spacing w:after="0" w:line="288" w:lineRule="auto"/>
        <w:rPr>
          <w:spacing w:val="-2"/>
        </w:rPr>
      </w:pPr>
      <w:r w:rsidRPr="00E6210C">
        <w:rPr>
          <w:spacing w:val="-2"/>
        </w:rPr>
        <w:tab/>
      </w:r>
      <w:r w:rsidRPr="00E6210C">
        <w:rPr>
          <w:spacing w:val="-2"/>
        </w:rPr>
        <w:t>On</w:t>
      </w:r>
      <w:r w:rsidRPr="00E6210C">
        <w:rPr>
          <w:spacing w:val="-2"/>
        </w:rPr>
        <w:t xml:space="preserve"> September 21, 2020, </w:t>
      </w:r>
      <w:proofErr w:type="spellStart"/>
      <w:r w:rsidRPr="00E6210C">
        <w:rPr>
          <w:spacing w:val="-2"/>
        </w:rPr>
        <w:t>Colyear</w:t>
      </w:r>
      <w:proofErr w:type="spellEnd"/>
      <w:r w:rsidRPr="00E6210C">
        <w:rPr>
          <w:spacing w:val="-2"/>
        </w:rPr>
        <w:t xml:space="preserve"> filed a separate, noticed motion for attorney fees </w:t>
      </w:r>
      <w:r w:rsidRPr="00E6210C">
        <w:rPr>
          <w:spacing w:val="-2"/>
        </w:rPr>
        <w:t xml:space="preserve">pursuant </w:t>
      </w:r>
      <w:r w:rsidRPr="00E6210C">
        <w:rPr>
          <w:spacing w:val="-2"/>
        </w:rPr>
        <w:t xml:space="preserve">to </w:t>
      </w:r>
      <w:r w:rsidRPr="00E6210C">
        <w:rPr>
          <w:spacing w:val="-2"/>
        </w:rPr>
        <w:t>Civil Code section</w:t>
      </w:r>
      <w:r w:rsidRPr="00E6210C">
        <w:rPr>
          <w:spacing w:val="-2"/>
        </w:rPr>
        <w:t> </w:t>
      </w:r>
      <w:r w:rsidRPr="00E6210C">
        <w:rPr>
          <w:spacing w:val="-2"/>
        </w:rPr>
        <w:t>5975</w:t>
      </w:r>
      <w:r w:rsidRPr="00E6210C">
        <w:rPr>
          <w:spacing w:val="-2"/>
        </w:rPr>
        <w:t xml:space="preserve">. </w:t>
      </w:r>
      <w:r w:rsidRPr="00E6210C">
        <w:rPr>
          <w:spacing w:val="-2"/>
        </w:rPr>
        <w:t xml:space="preserve"> </w:t>
      </w:r>
      <w:r w:rsidRPr="00E6210C">
        <w:rPr>
          <w:spacing w:val="-2"/>
        </w:rPr>
        <w:t>The trial court granted the fees</w:t>
      </w:r>
      <w:r w:rsidRPr="00E6210C">
        <w:rPr>
          <w:spacing w:val="-2"/>
        </w:rPr>
        <w:t xml:space="preserve"> in </w:t>
      </w:r>
      <w:r w:rsidRPr="00E6210C">
        <w:rPr>
          <w:spacing w:val="-2"/>
        </w:rPr>
        <w:t>a</w:t>
      </w:r>
      <w:r w:rsidRPr="00E6210C">
        <w:rPr>
          <w:spacing w:val="-2"/>
        </w:rPr>
        <w:t xml:space="preserve">n </w:t>
      </w:r>
      <w:r w:rsidRPr="00E6210C">
        <w:rPr>
          <w:spacing w:val="-2"/>
        </w:rPr>
        <w:t xml:space="preserve">order entered </w:t>
      </w:r>
      <w:r w:rsidRPr="00E6210C">
        <w:rPr>
          <w:spacing w:val="-2"/>
        </w:rPr>
        <w:t>February</w:t>
      </w:r>
      <w:r w:rsidRPr="00E6210C">
        <w:rPr>
          <w:spacing w:val="-2"/>
        </w:rPr>
        <w:t> </w:t>
      </w:r>
      <w:r w:rsidRPr="00E6210C">
        <w:rPr>
          <w:spacing w:val="-2"/>
        </w:rPr>
        <w:t>2</w:t>
      </w:r>
      <w:r w:rsidRPr="00E6210C">
        <w:rPr>
          <w:spacing w:val="-2"/>
        </w:rPr>
        <w:t>5</w:t>
      </w:r>
      <w:r w:rsidRPr="00E6210C">
        <w:rPr>
          <w:spacing w:val="-2"/>
        </w:rPr>
        <w:t xml:space="preserve">, 2021. </w:t>
      </w:r>
    </w:p>
    <w:p w14:paraId="72BB1E96" w14:textId="77777777" w:rsidR="00B2782B" w:rsidRPr="00E6210C" w:rsidRDefault="00B2782B" w:rsidP="00223DFA">
      <w:pPr>
        <w:spacing w:after="0" w:line="288" w:lineRule="auto"/>
        <w:rPr>
          <w:spacing w:val="-2"/>
        </w:rPr>
      </w:pPr>
    </w:p>
    <w:p w14:paraId="0F914DBE" w14:textId="77777777" w:rsidR="00B2782B" w:rsidRPr="00E6210C" w:rsidRDefault="00B2782B" w:rsidP="00223DFA">
      <w:pPr>
        <w:keepNext/>
        <w:spacing w:after="0" w:line="288" w:lineRule="auto"/>
        <w:rPr>
          <w:i/>
          <w:iCs/>
          <w:spacing w:val="-2"/>
        </w:rPr>
      </w:pPr>
      <w:r w:rsidRPr="00E6210C">
        <w:rPr>
          <w:b/>
          <w:bCs/>
          <w:spacing w:val="-2"/>
        </w:rPr>
        <w:lastRenderedPageBreak/>
        <w:tab/>
      </w:r>
      <w:r w:rsidRPr="00E6210C">
        <w:rPr>
          <w:spacing w:val="-2"/>
        </w:rPr>
        <w:t>2.</w:t>
      </w:r>
      <w:r w:rsidRPr="00E6210C">
        <w:rPr>
          <w:spacing w:val="-2"/>
        </w:rPr>
        <w:tab/>
      </w:r>
      <w:proofErr w:type="spellStart"/>
      <w:r w:rsidRPr="00E6210C">
        <w:rPr>
          <w:i/>
          <w:iCs/>
          <w:spacing w:val="-2"/>
        </w:rPr>
        <w:t>Colyear</w:t>
      </w:r>
      <w:proofErr w:type="spellEnd"/>
      <w:r w:rsidRPr="00E6210C">
        <w:rPr>
          <w:i/>
          <w:iCs/>
          <w:spacing w:val="-2"/>
        </w:rPr>
        <w:t xml:space="preserve"> Has Failed to Establish Damages</w:t>
      </w:r>
    </w:p>
    <w:p w14:paraId="54601F34" w14:textId="77777777" w:rsidR="00B2782B" w:rsidRPr="00E6210C" w:rsidRDefault="00B2782B" w:rsidP="00223DFA">
      <w:pPr>
        <w:spacing w:after="0" w:line="288" w:lineRule="auto"/>
        <w:rPr>
          <w:spacing w:val="-2"/>
        </w:rPr>
      </w:pPr>
      <w:r w:rsidRPr="00E6210C">
        <w:rPr>
          <w:spacing w:val="-2"/>
        </w:rPr>
        <w:tab/>
        <w:t xml:space="preserve">The three elements of the cause of action for breach of fiduciary duty are: existence of a fiduciary relationship, breach of fiduciary duty, and damages. </w:t>
      </w:r>
      <w:r w:rsidRPr="00E6210C">
        <w:rPr>
          <w:spacing w:val="-2"/>
        </w:rPr>
        <w:t xml:space="preserve"> </w:t>
      </w:r>
      <w:r w:rsidRPr="00E6210C">
        <w:rPr>
          <w:spacing w:val="-2"/>
        </w:rPr>
        <w:t>(</w:t>
      </w:r>
      <w:r w:rsidRPr="00E6210C">
        <w:rPr>
          <w:i/>
          <w:iCs/>
          <w:spacing w:val="-2"/>
        </w:rPr>
        <w:t>Oasis West Realty, LLC v. Goldman</w:t>
      </w:r>
      <w:r w:rsidRPr="00E6210C">
        <w:rPr>
          <w:spacing w:val="-2"/>
        </w:rPr>
        <w:t xml:space="preserve"> (2011) 51 Cal.4th 811, 820.) </w:t>
      </w:r>
      <w:r w:rsidRPr="00E6210C">
        <w:rPr>
          <w:spacing w:val="-2"/>
        </w:rPr>
        <w:t xml:space="preserve"> </w:t>
      </w:r>
      <w:r w:rsidRPr="00E6210C">
        <w:rPr>
          <w:spacing w:val="-2"/>
        </w:rPr>
        <w:t>The directors of the Association</w:t>
      </w:r>
      <w:r w:rsidRPr="00E6210C">
        <w:rPr>
          <w:spacing w:val="-2"/>
        </w:rPr>
        <w:t xml:space="preserve"> are</w:t>
      </w:r>
      <w:r w:rsidRPr="00E6210C">
        <w:rPr>
          <w:spacing w:val="-2"/>
        </w:rPr>
        <w:t xml:space="preserve"> fiduciaries who must act for the benefit of the corporation and its members. </w:t>
      </w:r>
      <w:r w:rsidRPr="00E6210C">
        <w:rPr>
          <w:spacing w:val="-2"/>
        </w:rPr>
        <w:t xml:space="preserve"> </w:t>
      </w:r>
      <w:r w:rsidRPr="00E6210C">
        <w:rPr>
          <w:spacing w:val="-2"/>
        </w:rPr>
        <w:t>(</w:t>
      </w:r>
      <w:r w:rsidRPr="00E6210C">
        <w:rPr>
          <w:i/>
          <w:iCs/>
          <w:spacing w:val="-2"/>
        </w:rPr>
        <w:t xml:space="preserve">Frances T. v. Village Green Owners Assn. </w:t>
      </w:r>
      <w:r w:rsidRPr="00E6210C">
        <w:rPr>
          <w:spacing w:val="-2"/>
        </w:rPr>
        <w:t xml:space="preserve">(1986) 42 Cal.3d 490, 513 [directors of nonprofit corporations are fiduciaries who are required to exercise their powers in accordance with the duties imposed by the Corporations Code].) </w:t>
      </w:r>
    </w:p>
    <w:p w14:paraId="0699FC0A" w14:textId="77777777" w:rsidR="00B2782B" w:rsidRPr="00E6210C" w:rsidRDefault="00B2782B" w:rsidP="00223DFA">
      <w:pPr>
        <w:spacing w:after="0" w:line="288" w:lineRule="auto"/>
        <w:rPr>
          <w:spacing w:val="-2"/>
        </w:rPr>
      </w:pPr>
      <w:r w:rsidRPr="00E6210C">
        <w:rPr>
          <w:spacing w:val="-2"/>
        </w:rPr>
        <w:tab/>
        <w:t>A</w:t>
      </w:r>
      <w:r w:rsidRPr="00E6210C">
        <w:rPr>
          <w:spacing w:val="-2"/>
        </w:rPr>
        <w:t xml:space="preserve"> </w:t>
      </w:r>
      <w:r w:rsidRPr="00E6210C">
        <w:rPr>
          <w:spacing w:val="-2"/>
        </w:rPr>
        <w:t>homeowner’s</w:t>
      </w:r>
      <w:r w:rsidRPr="00E6210C">
        <w:rPr>
          <w:spacing w:val="-2"/>
        </w:rPr>
        <w:t xml:space="preserve"> a</w:t>
      </w:r>
      <w:r w:rsidRPr="00E6210C">
        <w:rPr>
          <w:spacing w:val="-2"/>
        </w:rPr>
        <w:t>ssociation and its board members may also be protected from liability u</w:t>
      </w:r>
      <w:r w:rsidRPr="00E6210C">
        <w:rPr>
          <w:spacing w:val="-2"/>
        </w:rPr>
        <w:t>nder two theories: (1)</w:t>
      </w:r>
      <w:r w:rsidRPr="00E6210C">
        <w:rPr>
          <w:spacing w:val="-2"/>
        </w:rPr>
        <w:t> </w:t>
      </w:r>
      <w:r w:rsidRPr="00E6210C">
        <w:rPr>
          <w:spacing w:val="-2"/>
        </w:rPr>
        <w:t xml:space="preserve">a rule of judicial deference to their </w:t>
      </w:r>
      <w:r w:rsidRPr="00E6210C">
        <w:rPr>
          <w:spacing w:val="-2"/>
        </w:rPr>
        <w:t>decision</w:t>
      </w:r>
      <w:r w:rsidRPr="00E6210C">
        <w:rPr>
          <w:spacing w:val="-2"/>
        </w:rPr>
        <w:t>-making</w:t>
      </w:r>
      <w:r w:rsidRPr="00E6210C">
        <w:rPr>
          <w:spacing w:val="-2"/>
        </w:rPr>
        <w:t xml:space="preserve"> </w:t>
      </w:r>
      <w:r w:rsidRPr="00E6210C">
        <w:rPr>
          <w:spacing w:val="-2"/>
        </w:rPr>
        <w:t>and (2)</w:t>
      </w:r>
      <w:r w:rsidRPr="00E6210C">
        <w:rPr>
          <w:spacing w:val="-2"/>
        </w:rPr>
        <w:t> </w:t>
      </w:r>
      <w:r w:rsidRPr="00E6210C">
        <w:rPr>
          <w:spacing w:val="-2"/>
        </w:rPr>
        <w:t>the business judgment rule</w:t>
      </w:r>
      <w:r w:rsidRPr="00E6210C">
        <w:rPr>
          <w:spacing w:val="-2"/>
        </w:rPr>
        <w:t xml:space="preserve">. </w:t>
      </w:r>
      <w:r w:rsidRPr="00E6210C">
        <w:rPr>
          <w:spacing w:val="-2"/>
        </w:rPr>
        <w:t xml:space="preserve"> </w:t>
      </w:r>
      <w:r w:rsidRPr="00E6210C">
        <w:rPr>
          <w:spacing w:val="-2"/>
        </w:rPr>
        <w:t xml:space="preserve">We need not consider </w:t>
      </w:r>
      <w:r w:rsidRPr="00E6210C">
        <w:rPr>
          <w:spacing w:val="-2"/>
        </w:rPr>
        <w:t>these theories</w:t>
      </w:r>
      <w:r w:rsidRPr="00E6210C">
        <w:rPr>
          <w:spacing w:val="-2"/>
        </w:rPr>
        <w:t xml:space="preserve"> </w:t>
      </w:r>
      <w:r w:rsidRPr="00E6210C">
        <w:rPr>
          <w:spacing w:val="-2"/>
        </w:rPr>
        <w:t xml:space="preserve">or </w:t>
      </w:r>
      <w:r w:rsidRPr="00E6210C">
        <w:rPr>
          <w:spacing w:val="-2"/>
        </w:rPr>
        <w:t xml:space="preserve">whether the Association </w:t>
      </w:r>
      <w:r w:rsidRPr="00E6210C">
        <w:rPr>
          <w:spacing w:val="-2"/>
        </w:rPr>
        <w:t xml:space="preserve">can </w:t>
      </w:r>
      <w:r w:rsidRPr="00E6210C">
        <w:rPr>
          <w:spacing w:val="-2"/>
        </w:rPr>
        <w:t xml:space="preserve">be liable without underlying liability of </w:t>
      </w:r>
      <w:r w:rsidRPr="00E6210C">
        <w:rPr>
          <w:spacing w:val="-2"/>
        </w:rPr>
        <w:t xml:space="preserve">its </w:t>
      </w:r>
      <w:r w:rsidRPr="00E6210C">
        <w:rPr>
          <w:spacing w:val="-2"/>
        </w:rPr>
        <w:t xml:space="preserve">individual directors, </w:t>
      </w:r>
      <w:r w:rsidRPr="00E6210C">
        <w:rPr>
          <w:spacing w:val="-2"/>
        </w:rPr>
        <w:t xml:space="preserve">as </w:t>
      </w:r>
      <w:proofErr w:type="spellStart"/>
      <w:r w:rsidRPr="00E6210C">
        <w:rPr>
          <w:spacing w:val="-2"/>
        </w:rPr>
        <w:t>Colyear</w:t>
      </w:r>
      <w:proofErr w:type="spellEnd"/>
      <w:r w:rsidRPr="00E6210C">
        <w:rPr>
          <w:spacing w:val="-2"/>
        </w:rPr>
        <w:t xml:space="preserve"> has failed to es</w:t>
      </w:r>
      <w:r w:rsidRPr="00E6210C">
        <w:rPr>
          <w:spacing w:val="-2"/>
        </w:rPr>
        <w:t>ta</w:t>
      </w:r>
      <w:r w:rsidRPr="00E6210C">
        <w:rPr>
          <w:spacing w:val="-2"/>
        </w:rPr>
        <w:t xml:space="preserve">blish damages. </w:t>
      </w:r>
      <w:r w:rsidRPr="00E6210C">
        <w:rPr>
          <w:spacing w:val="-2"/>
        </w:rPr>
        <w:t xml:space="preserve"> </w:t>
      </w:r>
    </w:p>
    <w:p w14:paraId="5C66BF8F" w14:textId="77777777" w:rsidR="00B2782B" w:rsidRPr="00E6210C" w:rsidRDefault="00B2782B" w:rsidP="00223DFA">
      <w:pPr>
        <w:spacing w:after="0" w:line="288" w:lineRule="auto"/>
        <w:rPr>
          <w:spacing w:val="-2"/>
        </w:rPr>
      </w:pPr>
      <w:r w:rsidRPr="00E6210C">
        <w:rPr>
          <w:spacing w:val="-2"/>
        </w:rPr>
        <w:tab/>
      </w:r>
      <w:r w:rsidRPr="00E6210C">
        <w:rPr>
          <w:spacing w:val="-2"/>
        </w:rPr>
        <w:t>T</w:t>
      </w:r>
      <w:r w:rsidRPr="00E6210C">
        <w:rPr>
          <w:spacing w:val="-2"/>
        </w:rPr>
        <w:t xml:space="preserve">he </w:t>
      </w:r>
      <w:r w:rsidRPr="00E6210C">
        <w:rPr>
          <w:spacing w:val="-2"/>
        </w:rPr>
        <w:t>trial</w:t>
      </w:r>
      <w:r w:rsidRPr="00E6210C">
        <w:rPr>
          <w:spacing w:val="-2"/>
        </w:rPr>
        <w:t xml:space="preserve"> court found no diminution in </w:t>
      </w:r>
      <w:proofErr w:type="gramStart"/>
      <w:r w:rsidRPr="00E6210C">
        <w:rPr>
          <w:spacing w:val="-2"/>
        </w:rPr>
        <w:t>value</w:t>
      </w:r>
      <w:proofErr w:type="gramEnd"/>
      <w:r w:rsidRPr="00E6210C">
        <w:rPr>
          <w:spacing w:val="-2"/>
        </w:rPr>
        <w:t xml:space="preserve"> of </w:t>
      </w:r>
      <w:proofErr w:type="spellStart"/>
      <w:r w:rsidRPr="00E6210C">
        <w:rPr>
          <w:spacing w:val="-2"/>
        </w:rPr>
        <w:t>Colyear’s</w:t>
      </w:r>
      <w:proofErr w:type="spellEnd"/>
      <w:r w:rsidRPr="00E6210C">
        <w:rPr>
          <w:spacing w:val="-2"/>
        </w:rPr>
        <w:t xml:space="preserve"> property</w:t>
      </w:r>
      <w:r w:rsidRPr="00E6210C">
        <w:rPr>
          <w:spacing w:val="-2"/>
        </w:rPr>
        <w:t>.</w:t>
      </w:r>
      <w:r w:rsidRPr="00E6210C">
        <w:rPr>
          <w:spacing w:val="-2"/>
        </w:rPr>
        <w:t xml:space="preserve"> </w:t>
      </w:r>
      <w:r w:rsidRPr="00E6210C">
        <w:rPr>
          <w:spacing w:val="-2"/>
        </w:rPr>
        <w:t xml:space="preserve"> </w:t>
      </w:r>
      <w:r w:rsidRPr="00E6210C">
        <w:rPr>
          <w:spacing w:val="-2"/>
        </w:rPr>
        <w:t xml:space="preserve">Absent evidence </w:t>
      </w:r>
      <w:proofErr w:type="spellStart"/>
      <w:r w:rsidRPr="00E6210C">
        <w:rPr>
          <w:spacing w:val="-2"/>
        </w:rPr>
        <w:t>Colyear</w:t>
      </w:r>
      <w:proofErr w:type="spellEnd"/>
      <w:r w:rsidRPr="00E6210C">
        <w:rPr>
          <w:spacing w:val="-2"/>
        </w:rPr>
        <w:t xml:space="preserve"> attempt</w:t>
      </w:r>
      <w:r w:rsidRPr="00E6210C">
        <w:rPr>
          <w:spacing w:val="-2"/>
        </w:rPr>
        <w:t>ed</w:t>
      </w:r>
      <w:r w:rsidRPr="00E6210C">
        <w:rPr>
          <w:spacing w:val="-2"/>
        </w:rPr>
        <w:t xml:space="preserve"> to sell his property</w:t>
      </w:r>
      <w:r w:rsidRPr="00E6210C">
        <w:rPr>
          <w:spacing w:val="-2"/>
        </w:rPr>
        <w:t xml:space="preserve"> or </w:t>
      </w:r>
      <w:r w:rsidRPr="00E6210C">
        <w:rPr>
          <w:spacing w:val="-2"/>
        </w:rPr>
        <w:t>was dissuaded from doing so because of the Tree CC</w:t>
      </w:r>
      <w:r w:rsidRPr="00E6210C">
        <w:rPr>
          <w:spacing w:val="-2"/>
        </w:rPr>
        <w:t xml:space="preserve">, we discern no evidence </w:t>
      </w:r>
      <w:r w:rsidRPr="00E6210C">
        <w:rPr>
          <w:spacing w:val="-2"/>
        </w:rPr>
        <w:t xml:space="preserve">of past damages for diminution in value. </w:t>
      </w:r>
      <w:r w:rsidRPr="00E6210C">
        <w:rPr>
          <w:spacing w:val="-2"/>
        </w:rPr>
        <w:t xml:space="preserve"> </w:t>
      </w:r>
      <w:r w:rsidRPr="00E6210C">
        <w:rPr>
          <w:spacing w:val="-2"/>
        </w:rPr>
        <w:t>As a result of</w:t>
      </w:r>
      <w:r w:rsidRPr="00E6210C">
        <w:rPr>
          <w:spacing w:val="-2"/>
        </w:rPr>
        <w:t xml:space="preserve"> the declaratory relief</w:t>
      </w:r>
      <w:r w:rsidRPr="00E6210C">
        <w:rPr>
          <w:spacing w:val="-2"/>
        </w:rPr>
        <w:t xml:space="preserve"> action</w:t>
      </w:r>
      <w:r w:rsidRPr="00E6210C">
        <w:rPr>
          <w:spacing w:val="-2"/>
        </w:rPr>
        <w:t xml:space="preserve">, there was </w:t>
      </w:r>
      <w:r w:rsidRPr="00E6210C">
        <w:rPr>
          <w:spacing w:val="-2"/>
        </w:rPr>
        <w:t xml:space="preserve">also </w:t>
      </w:r>
      <w:r w:rsidRPr="00E6210C">
        <w:rPr>
          <w:spacing w:val="-2"/>
        </w:rPr>
        <w:t>no evidence supporting present or future damages</w:t>
      </w:r>
      <w:r w:rsidRPr="00E6210C">
        <w:rPr>
          <w:spacing w:val="-2"/>
        </w:rPr>
        <w:t xml:space="preserve"> through enforcement of the Tree CC</w:t>
      </w:r>
      <w:r w:rsidRPr="00E6210C">
        <w:rPr>
          <w:spacing w:val="-2"/>
        </w:rPr>
        <w:t>.</w:t>
      </w:r>
      <w:r w:rsidRPr="00E6210C">
        <w:rPr>
          <w:spacing w:val="-2"/>
        </w:rPr>
        <w:t xml:space="preserve">  </w:t>
      </w:r>
      <w:r w:rsidRPr="00E6210C">
        <w:rPr>
          <w:spacing w:val="-2"/>
        </w:rPr>
        <w:t>The trial court posited, “</w:t>
      </w:r>
      <w:r w:rsidRPr="00E6210C">
        <w:rPr>
          <w:spacing w:val="-2"/>
        </w:rPr>
        <w:t>[T]</w:t>
      </w:r>
      <w:r w:rsidRPr="00E6210C">
        <w:rPr>
          <w:spacing w:val="-2"/>
        </w:rPr>
        <w:t>he only other form of recoverable damages on this claim would be a recovery of attorney’s fees”</w:t>
      </w:r>
      <w:r w:rsidRPr="00E6210C">
        <w:rPr>
          <w:spacing w:val="-2"/>
        </w:rPr>
        <w:t xml:space="preserve"> </w:t>
      </w:r>
      <w:r w:rsidRPr="00E6210C">
        <w:rPr>
          <w:spacing w:val="-2"/>
        </w:rPr>
        <w:t>but f</w:t>
      </w:r>
      <w:r w:rsidRPr="00E6210C">
        <w:rPr>
          <w:spacing w:val="-2"/>
        </w:rPr>
        <w:t>ound</w:t>
      </w:r>
      <w:r w:rsidRPr="00E6210C">
        <w:rPr>
          <w:spacing w:val="-2"/>
        </w:rPr>
        <w:t xml:space="preserve"> “</w:t>
      </w:r>
      <w:r w:rsidRPr="00E6210C">
        <w:rPr>
          <w:spacing w:val="-2"/>
        </w:rPr>
        <w:t>n</w:t>
      </w:r>
      <w:r w:rsidRPr="00E6210C">
        <w:rPr>
          <w:spacing w:val="-2"/>
        </w:rPr>
        <w:t>o sufficient evidence of expenditures [for legal fees] or their reasonableness was presented at trial.”</w:t>
      </w:r>
      <w:r w:rsidRPr="00E6210C">
        <w:rPr>
          <w:spacing w:val="-2"/>
        </w:rPr>
        <w:t xml:space="preserve"> </w:t>
      </w:r>
      <w:r w:rsidRPr="00E6210C">
        <w:rPr>
          <w:spacing w:val="-2"/>
        </w:rPr>
        <w:t xml:space="preserve"> </w:t>
      </w:r>
    </w:p>
    <w:p w14:paraId="6CCFA611" w14:textId="77777777" w:rsidR="00B2782B" w:rsidRPr="00E6210C" w:rsidRDefault="00B2782B" w:rsidP="00223DFA">
      <w:pPr>
        <w:spacing w:after="0" w:line="288" w:lineRule="auto"/>
        <w:ind w:firstLine="720"/>
        <w:rPr>
          <w:spacing w:val="-2"/>
        </w:rPr>
      </w:pPr>
      <w:r w:rsidRPr="00E6210C">
        <w:rPr>
          <w:spacing w:val="-2"/>
        </w:rPr>
        <w:t xml:space="preserve">The Association points out attorney fees are not awardable </w:t>
      </w:r>
      <w:r w:rsidRPr="00E6210C">
        <w:rPr>
          <w:spacing w:val="-2"/>
        </w:rPr>
        <w:t>as damages in</w:t>
      </w:r>
      <w:r w:rsidRPr="00E6210C">
        <w:rPr>
          <w:spacing w:val="-2"/>
        </w:rPr>
        <w:t xml:space="preserve"> tort actions, including </w:t>
      </w:r>
      <w:r w:rsidRPr="00E6210C">
        <w:rPr>
          <w:spacing w:val="-2"/>
        </w:rPr>
        <w:t xml:space="preserve">claims for </w:t>
      </w:r>
      <w:r w:rsidRPr="00E6210C">
        <w:rPr>
          <w:spacing w:val="-2"/>
        </w:rPr>
        <w:t>breach of fiduciary duty</w:t>
      </w:r>
      <w:r w:rsidRPr="00E6210C">
        <w:rPr>
          <w:spacing w:val="-2"/>
        </w:rPr>
        <w:t xml:space="preserve">.  The Association challenges </w:t>
      </w:r>
      <w:r w:rsidRPr="00E6210C">
        <w:rPr>
          <w:spacing w:val="-2"/>
        </w:rPr>
        <w:t>the trial court</w:t>
      </w:r>
      <w:r w:rsidRPr="00E6210C">
        <w:rPr>
          <w:spacing w:val="-2"/>
        </w:rPr>
        <w:t>’s finding</w:t>
      </w:r>
      <w:r w:rsidRPr="00E6210C">
        <w:rPr>
          <w:spacing w:val="-2"/>
        </w:rPr>
        <w:t xml:space="preserve"> that </w:t>
      </w:r>
      <w:r w:rsidRPr="00E6210C">
        <w:rPr>
          <w:spacing w:val="-2"/>
        </w:rPr>
        <w:t>such</w:t>
      </w:r>
      <w:r w:rsidRPr="00E6210C">
        <w:rPr>
          <w:spacing w:val="-2"/>
        </w:rPr>
        <w:t xml:space="preserve"> fees </w:t>
      </w:r>
      <w:r w:rsidRPr="00E6210C">
        <w:rPr>
          <w:spacing w:val="-2"/>
        </w:rPr>
        <w:t xml:space="preserve">can be recovered as </w:t>
      </w:r>
      <w:r w:rsidRPr="00E6210C">
        <w:rPr>
          <w:spacing w:val="-2"/>
        </w:rPr>
        <w:t xml:space="preserve">damages for </w:t>
      </w:r>
      <w:proofErr w:type="spellStart"/>
      <w:r w:rsidRPr="00E6210C">
        <w:rPr>
          <w:spacing w:val="-2"/>
        </w:rPr>
        <w:t>Colyear’s</w:t>
      </w:r>
      <w:proofErr w:type="spellEnd"/>
      <w:r w:rsidRPr="00E6210C">
        <w:rPr>
          <w:spacing w:val="-2"/>
        </w:rPr>
        <w:t xml:space="preserve"> </w:t>
      </w:r>
      <w:r w:rsidRPr="00E6210C">
        <w:rPr>
          <w:spacing w:val="-2"/>
        </w:rPr>
        <w:t xml:space="preserve">breach of </w:t>
      </w:r>
      <w:r w:rsidRPr="00E6210C">
        <w:rPr>
          <w:spacing w:val="-2"/>
        </w:rPr>
        <w:lastRenderedPageBreak/>
        <w:t>fiduciary duty</w:t>
      </w:r>
      <w:r w:rsidRPr="00E6210C">
        <w:rPr>
          <w:spacing w:val="-2"/>
        </w:rPr>
        <w:t xml:space="preserve"> claim</w:t>
      </w:r>
      <w:r w:rsidRPr="00E6210C">
        <w:rPr>
          <w:spacing w:val="-2"/>
        </w:rPr>
        <w:t xml:space="preserve">. </w:t>
      </w:r>
      <w:r w:rsidRPr="00E6210C">
        <w:rPr>
          <w:spacing w:val="-2"/>
        </w:rPr>
        <w:t xml:space="preserve"> (</w:t>
      </w:r>
      <w:r w:rsidRPr="00E6210C">
        <w:rPr>
          <w:i/>
          <w:iCs/>
          <w:spacing w:val="-2"/>
        </w:rPr>
        <w:t>Gray v. Don Miller &amp; Associates, Inc</w:t>
      </w:r>
      <w:r w:rsidRPr="00E6210C">
        <w:rPr>
          <w:spacing w:val="-2"/>
        </w:rPr>
        <w:t xml:space="preserve">. (1984) 35 Cal.3d 498, 507.)  </w:t>
      </w:r>
      <w:r w:rsidRPr="00E6210C">
        <w:rPr>
          <w:spacing w:val="-2"/>
        </w:rPr>
        <w:t>We agree with the Association</w:t>
      </w:r>
      <w:r w:rsidRPr="00E6210C">
        <w:rPr>
          <w:spacing w:val="-2"/>
        </w:rPr>
        <w:t xml:space="preserve"> that attorney fees do not constitute damages for purposes of </w:t>
      </w:r>
      <w:proofErr w:type="spellStart"/>
      <w:r w:rsidRPr="00E6210C">
        <w:rPr>
          <w:spacing w:val="-2"/>
        </w:rPr>
        <w:t>Colyear’s</w:t>
      </w:r>
      <w:proofErr w:type="spellEnd"/>
      <w:r w:rsidRPr="00E6210C">
        <w:rPr>
          <w:spacing w:val="-2"/>
        </w:rPr>
        <w:t xml:space="preserve"> breach of fiduciary duty claim.</w:t>
      </w:r>
      <w:r w:rsidRPr="00E6210C">
        <w:rPr>
          <w:spacing w:val="-2"/>
        </w:rPr>
        <w:t xml:space="preserve"> </w:t>
      </w:r>
      <w:r w:rsidRPr="00E6210C">
        <w:rPr>
          <w:spacing w:val="-2"/>
        </w:rPr>
        <w:t xml:space="preserve"> </w:t>
      </w:r>
      <w:r w:rsidRPr="00E6210C">
        <w:rPr>
          <w:spacing w:val="-2"/>
        </w:rPr>
        <w:t>(</w:t>
      </w:r>
      <w:r w:rsidRPr="00E6210C">
        <w:rPr>
          <w:spacing w:val="-2"/>
        </w:rPr>
        <w:t>S</w:t>
      </w:r>
      <w:r w:rsidRPr="00E6210C">
        <w:rPr>
          <w:spacing w:val="-2"/>
        </w:rPr>
        <w:t xml:space="preserve">ee </w:t>
      </w:r>
      <w:r w:rsidRPr="00E6210C">
        <w:rPr>
          <w:i/>
          <w:iCs/>
          <w:spacing w:val="-2"/>
        </w:rPr>
        <w:t xml:space="preserve">Garcia v. Santana </w:t>
      </w:r>
      <w:r w:rsidRPr="00E6210C">
        <w:rPr>
          <w:spacing w:val="-2"/>
        </w:rPr>
        <w:t xml:space="preserve">(2009) 174 Cal.App.4th </w:t>
      </w:r>
      <w:r w:rsidRPr="00E6210C">
        <w:rPr>
          <w:spacing w:val="-2"/>
        </w:rPr>
        <w:t xml:space="preserve">464, </w:t>
      </w:r>
      <w:r w:rsidRPr="00E6210C">
        <w:rPr>
          <w:spacing w:val="-2"/>
        </w:rPr>
        <w:t>473</w:t>
      </w:r>
      <w:r w:rsidRPr="00E6210C">
        <w:rPr>
          <w:spacing w:val="-2"/>
        </w:rPr>
        <w:t>.</w:t>
      </w:r>
      <w:r w:rsidRPr="00E6210C">
        <w:rPr>
          <w:spacing w:val="-2"/>
        </w:rPr>
        <w:t>)</w:t>
      </w:r>
      <w:r w:rsidRPr="00E6210C">
        <w:rPr>
          <w:spacing w:val="-2"/>
        </w:rPr>
        <w:t xml:space="preserve"> </w:t>
      </w:r>
      <w:r w:rsidRPr="00E6210C">
        <w:rPr>
          <w:spacing w:val="-2"/>
        </w:rPr>
        <w:t xml:space="preserve"> The availability of such fees under Civil Code section</w:t>
      </w:r>
      <w:r w:rsidRPr="00E6210C">
        <w:rPr>
          <w:spacing w:val="-2"/>
        </w:rPr>
        <w:t> </w:t>
      </w:r>
      <w:r w:rsidRPr="00E6210C">
        <w:rPr>
          <w:spacing w:val="-2"/>
        </w:rPr>
        <w:t>5975 (the Davis-Stirling Common Interest Developmen</w:t>
      </w:r>
      <w:r w:rsidRPr="00E6210C">
        <w:rPr>
          <w:spacing w:val="-2"/>
        </w:rPr>
        <w:t>t Act) for an action between a homeowner association and an owner does not convert attorney fees into damages for purposes of establishing tort</w:t>
      </w:r>
      <w:r w:rsidRPr="00E6210C">
        <w:rPr>
          <w:spacing w:val="-2"/>
        </w:rPr>
        <w:t xml:space="preserve"> liability</w:t>
      </w:r>
      <w:r w:rsidRPr="00E6210C">
        <w:rPr>
          <w:spacing w:val="-2"/>
        </w:rPr>
        <w:t xml:space="preserve">.  Rather, such fees are available to ensure access to the courts.  (See </w:t>
      </w:r>
      <w:r w:rsidRPr="00E6210C">
        <w:rPr>
          <w:i/>
          <w:iCs/>
          <w:spacing w:val="-2"/>
        </w:rPr>
        <w:t>Garcia v. Santana</w:t>
      </w:r>
      <w:r w:rsidRPr="00E6210C">
        <w:rPr>
          <w:i/>
          <w:iCs/>
          <w:spacing w:val="-2"/>
        </w:rPr>
        <w:t xml:space="preserve">, supra, </w:t>
      </w:r>
      <w:r w:rsidRPr="00E6210C">
        <w:rPr>
          <w:spacing w:val="-2"/>
        </w:rPr>
        <w:t>at p.</w:t>
      </w:r>
      <w:r w:rsidRPr="00E6210C">
        <w:rPr>
          <w:spacing w:val="-2"/>
        </w:rPr>
        <w:t> </w:t>
      </w:r>
      <w:r w:rsidRPr="00E6210C">
        <w:rPr>
          <w:spacing w:val="-2"/>
        </w:rPr>
        <w:t xml:space="preserve">473.)  We note that the trial court did not find sufficient evidence of the total attorney fees claimed at trial in any event. </w:t>
      </w:r>
    </w:p>
    <w:p w14:paraId="7522C133" w14:textId="77777777" w:rsidR="00B2782B" w:rsidRPr="00E6210C" w:rsidRDefault="00B2782B" w:rsidP="00223DFA">
      <w:pPr>
        <w:spacing w:after="0" w:line="288" w:lineRule="auto"/>
        <w:rPr>
          <w:spacing w:val="-2"/>
        </w:rPr>
      </w:pPr>
      <w:r w:rsidRPr="00E6210C">
        <w:rPr>
          <w:spacing w:val="-2"/>
        </w:rPr>
        <w:tab/>
      </w:r>
      <w:proofErr w:type="spellStart"/>
      <w:r w:rsidRPr="00E6210C">
        <w:rPr>
          <w:spacing w:val="-2"/>
        </w:rPr>
        <w:t>Colyear</w:t>
      </w:r>
      <w:proofErr w:type="spellEnd"/>
      <w:r w:rsidRPr="00E6210C">
        <w:rPr>
          <w:spacing w:val="-2"/>
        </w:rPr>
        <w:t xml:space="preserve"> </w:t>
      </w:r>
      <w:r w:rsidRPr="00E6210C">
        <w:rPr>
          <w:spacing w:val="-2"/>
        </w:rPr>
        <w:t xml:space="preserve">contends </w:t>
      </w:r>
      <w:r w:rsidRPr="00E6210C">
        <w:rPr>
          <w:spacing w:val="-2"/>
        </w:rPr>
        <w:t xml:space="preserve">entry of equitable relief establishes </w:t>
      </w:r>
      <w:r w:rsidRPr="00E6210C">
        <w:rPr>
          <w:spacing w:val="-2"/>
        </w:rPr>
        <w:t xml:space="preserve">the requisite harm in his </w:t>
      </w:r>
      <w:r w:rsidRPr="00E6210C">
        <w:rPr>
          <w:spacing w:val="-2"/>
        </w:rPr>
        <w:t>breach of fiduciary duty</w:t>
      </w:r>
      <w:r w:rsidRPr="00E6210C">
        <w:rPr>
          <w:spacing w:val="-2"/>
        </w:rPr>
        <w:t xml:space="preserve"> claim</w:t>
      </w:r>
      <w:r w:rsidRPr="00E6210C">
        <w:rPr>
          <w:spacing w:val="-2"/>
        </w:rPr>
        <w:t xml:space="preserve">, which </w:t>
      </w:r>
      <w:r w:rsidRPr="00E6210C">
        <w:rPr>
          <w:spacing w:val="-2"/>
        </w:rPr>
        <w:t xml:space="preserve">“logically” flows from </w:t>
      </w:r>
      <w:r w:rsidRPr="00E6210C">
        <w:rPr>
          <w:spacing w:val="-2"/>
        </w:rPr>
        <w:t xml:space="preserve">the Association’s </w:t>
      </w:r>
      <w:r w:rsidRPr="00E6210C">
        <w:rPr>
          <w:spacing w:val="-2"/>
        </w:rPr>
        <w:t>breach</w:t>
      </w:r>
      <w:r w:rsidRPr="00E6210C">
        <w:rPr>
          <w:spacing w:val="-2"/>
        </w:rPr>
        <w:t xml:space="preserve"> given the years he spent opposing any application of the Tree CC to his property</w:t>
      </w:r>
      <w:r w:rsidRPr="00E6210C">
        <w:rPr>
          <w:spacing w:val="-2"/>
        </w:rPr>
        <w:t xml:space="preserve">. </w:t>
      </w:r>
      <w:r w:rsidRPr="00E6210C">
        <w:rPr>
          <w:spacing w:val="-2"/>
        </w:rPr>
        <w:t xml:space="preserve"> </w:t>
      </w:r>
      <w:r w:rsidRPr="00E6210C">
        <w:rPr>
          <w:spacing w:val="-2"/>
        </w:rPr>
        <w:t>We disagree</w:t>
      </w:r>
      <w:r w:rsidRPr="00E6210C">
        <w:rPr>
          <w:spacing w:val="-2"/>
        </w:rPr>
        <w:t xml:space="preserve">. </w:t>
      </w:r>
      <w:r w:rsidRPr="00E6210C">
        <w:rPr>
          <w:spacing w:val="-2"/>
        </w:rPr>
        <w:t xml:space="preserve"> </w:t>
      </w:r>
    </w:p>
    <w:p w14:paraId="515AB870" w14:textId="77777777" w:rsidR="00B2782B" w:rsidRPr="00E6210C" w:rsidRDefault="00B2782B" w:rsidP="00223DFA">
      <w:pPr>
        <w:spacing w:after="0" w:line="288" w:lineRule="auto"/>
        <w:rPr>
          <w:spacing w:val="-2"/>
        </w:rPr>
      </w:pPr>
      <w:r w:rsidRPr="00E6210C">
        <w:rPr>
          <w:spacing w:val="-2"/>
        </w:rPr>
        <w:tab/>
      </w:r>
      <w:proofErr w:type="spellStart"/>
      <w:r w:rsidRPr="00E6210C">
        <w:rPr>
          <w:spacing w:val="-2"/>
        </w:rPr>
        <w:t>Colyear</w:t>
      </w:r>
      <w:proofErr w:type="spellEnd"/>
      <w:r w:rsidRPr="00E6210C">
        <w:rPr>
          <w:spacing w:val="-2"/>
        </w:rPr>
        <w:t xml:space="preserve"> </w:t>
      </w:r>
      <w:r w:rsidRPr="00E6210C">
        <w:rPr>
          <w:spacing w:val="-2"/>
        </w:rPr>
        <w:t xml:space="preserve">sought </w:t>
      </w:r>
      <w:r w:rsidRPr="00E6210C">
        <w:rPr>
          <w:spacing w:val="-2"/>
        </w:rPr>
        <w:t xml:space="preserve">declaratory relief, which </w:t>
      </w:r>
      <w:r w:rsidRPr="00E6210C">
        <w:rPr>
          <w:spacing w:val="-2"/>
        </w:rPr>
        <w:t>is available to a</w:t>
      </w:r>
      <w:r w:rsidRPr="00E6210C">
        <w:rPr>
          <w:spacing w:val="-2"/>
        </w:rPr>
        <w:t>ny</w:t>
      </w:r>
      <w:r w:rsidRPr="00E6210C">
        <w:rPr>
          <w:spacing w:val="-2"/>
        </w:rPr>
        <w:t xml:space="preserve"> party “who desires a declaration of his or her rights or duties with respect to another </w:t>
      </w:r>
      <w:proofErr w:type="gramStart"/>
      <w:r w:rsidRPr="00E6210C">
        <w:rPr>
          <w:spacing w:val="-2"/>
        </w:rPr>
        <w:t>. . . .</w:t>
      </w:r>
      <w:proofErr w:type="gramEnd"/>
      <w:r w:rsidRPr="00E6210C">
        <w:rPr>
          <w:spacing w:val="-2"/>
        </w:rPr>
        <w:t>”</w:t>
      </w:r>
      <w:r w:rsidRPr="00E6210C">
        <w:rPr>
          <w:spacing w:val="-2"/>
        </w:rPr>
        <w:t xml:space="preserve"> </w:t>
      </w:r>
      <w:r w:rsidRPr="00E6210C">
        <w:rPr>
          <w:spacing w:val="-2"/>
        </w:rPr>
        <w:t xml:space="preserve"> </w:t>
      </w:r>
      <w:r w:rsidRPr="00E6210C">
        <w:rPr>
          <w:spacing w:val="-2"/>
        </w:rPr>
        <w:t xml:space="preserve">(Code Civ. Proc., § 1060.) </w:t>
      </w:r>
      <w:r w:rsidRPr="00E6210C">
        <w:rPr>
          <w:spacing w:val="-2"/>
        </w:rPr>
        <w:t xml:space="preserve"> </w:t>
      </w:r>
      <w:r w:rsidRPr="00E6210C">
        <w:rPr>
          <w:spacing w:val="-2"/>
        </w:rPr>
        <w:t xml:space="preserve">“‘Declaratory relief operates prospectively, serving to set controversies at rest before obligations are repudiated, rights are </w:t>
      </w:r>
      <w:proofErr w:type="gramStart"/>
      <w:r w:rsidRPr="00E6210C">
        <w:rPr>
          <w:spacing w:val="-2"/>
        </w:rPr>
        <w:t>invaded</w:t>
      </w:r>
      <w:proofErr w:type="gramEnd"/>
      <w:r w:rsidRPr="00E6210C">
        <w:rPr>
          <w:spacing w:val="-2"/>
        </w:rPr>
        <w:t xml:space="preserve"> or wrongs are committed. </w:t>
      </w:r>
      <w:r w:rsidRPr="00E6210C">
        <w:rPr>
          <w:spacing w:val="-2"/>
        </w:rPr>
        <w:t xml:space="preserve"> </w:t>
      </w:r>
      <w:proofErr w:type="gramStart"/>
      <w:r w:rsidRPr="00E6210C">
        <w:rPr>
          <w:spacing w:val="-2"/>
        </w:rPr>
        <w:t>Thus</w:t>
      </w:r>
      <w:r w:rsidRPr="00E6210C">
        <w:rPr>
          <w:spacing w:val="-2"/>
        </w:rPr>
        <w:t>[</w:t>
      </w:r>
      <w:proofErr w:type="gramEnd"/>
      <w:r w:rsidRPr="00E6210C">
        <w:rPr>
          <w:spacing w:val="-2"/>
        </w:rPr>
        <w:t>,</w:t>
      </w:r>
      <w:r w:rsidRPr="00E6210C">
        <w:rPr>
          <w:spacing w:val="-2"/>
        </w:rPr>
        <w:t>]</w:t>
      </w:r>
      <w:r w:rsidRPr="00E6210C">
        <w:rPr>
          <w:spacing w:val="-2"/>
        </w:rPr>
        <w:t xml:space="preserve"> the remedy is to be used to advance preventative justice, to declare rather than execute rights. </w:t>
      </w:r>
      <w:r w:rsidRPr="00E6210C">
        <w:rPr>
          <w:spacing w:val="-2"/>
        </w:rPr>
        <w:t xml:space="preserve"> </w:t>
      </w:r>
      <w:r w:rsidRPr="00E6210C">
        <w:rPr>
          <w:spacing w:val="-2"/>
        </w:rPr>
        <w:t>[Citations.]</w:t>
      </w:r>
      <w:r w:rsidRPr="00E6210C">
        <w:rPr>
          <w:spacing w:val="-2"/>
        </w:rPr>
        <w:t>’</w:t>
      </w:r>
      <w:r w:rsidRPr="00E6210C">
        <w:rPr>
          <w:spacing w:val="-2"/>
        </w:rPr>
        <w:t xml:space="preserve"> </w:t>
      </w:r>
      <w:r w:rsidRPr="00E6210C">
        <w:rPr>
          <w:spacing w:val="-2"/>
        </w:rPr>
        <w:t xml:space="preserve"> </w:t>
      </w:r>
      <w:r w:rsidRPr="00E6210C">
        <w:rPr>
          <w:spacing w:val="-2"/>
        </w:rPr>
        <w:t>In essence, declaratory relief operates to declare future rights, not to address past wrongs.</w:t>
      </w:r>
      <w:r w:rsidRPr="00E6210C">
        <w:rPr>
          <w:spacing w:val="-2"/>
        </w:rPr>
        <w:t>”</w:t>
      </w:r>
      <w:r w:rsidRPr="00E6210C">
        <w:rPr>
          <w:spacing w:val="-2"/>
        </w:rPr>
        <w:t xml:space="preserve">  </w:t>
      </w:r>
      <w:r w:rsidRPr="00E6210C">
        <w:rPr>
          <w:spacing w:val="-2"/>
        </w:rPr>
        <w:t>(</w:t>
      </w:r>
      <w:r w:rsidRPr="00E6210C">
        <w:rPr>
          <w:i/>
          <w:iCs/>
          <w:spacing w:val="-2"/>
        </w:rPr>
        <w:t>Monterey Coast</w:t>
      </w:r>
      <w:r w:rsidRPr="00E6210C">
        <w:rPr>
          <w:i/>
          <w:iCs/>
          <w:spacing w:val="-2"/>
        </w:rPr>
        <w:t>k</w:t>
      </w:r>
      <w:r w:rsidRPr="00E6210C">
        <w:rPr>
          <w:i/>
          <w:iCs/>
          <w:spacing w:val="-2"/>
        </w:rPr>
        <w:t>eeper v. C</w:t>
      </w:r>
      <w:r w:rsidRPr="00E6210C">
        <w:rPr>
          <w:i/>
          <w:iCs/>
          <w:spacing w:val="-2"/>
        </w:rPr>
        <w:t xml:space="preserve">alifornia </w:t>
      </w:r>
      <w:r w:rsidRPr="00E6210C">
        <w:rPr>
          <w:i/>
          <w:iCs/>
          <w:spacing w:val="-2"/>
        </w:rPr>
        <w:t>Regional Water Quality Control Bd</w:t>
      </w:r>
      <w:r w:rsidRPr="00E6210C">
        <w:rPr>
          <w:i/>
          <w:iCs/>
          <w:spacing w:val="-2"/>
        </w:rPr>
        <w:t>., etc.</w:t>
      </w:r>
      <w:r w:rsidRPr="00E6210C">
        <w:rPr>
          <w:i/>
          <w:iCs/>
          <w:spacing w:val="-2"/>
        </w:rPr>
        <w:t xml:space="preserve"> </w:t>
      </w:r>
      <w:r w:rsidRPr="00E6210C">
        <w:rPr>
          <w:spacing w:val="-2"/>
        </w:rPr>
        <w:t>(2022) 76 Cal.App.5</w:t>
      </w:r>
      <w:r w:rsidRPr="00E6210C">
        <w:rPr>
          <w:spacing w:val="-2"/>
        </w:rPr>
        <w:t>th</w:t>
      </w:r>
      <w:r w:rsidRPr="00E6210C">
        <w:rPr>
          <w:spacing w:val="-2"/>
        </w:rPr>
        <w:t xml:space="preserve"> 1, 13.)</w:t>
      </w:r>
      <w:r w:rsidRPr="00E6210C">
        <w:rPr>
          <w:spacing w:val="-2"/>
        </w:rPr>
        <w:t xml:space="preserve">  As </w:t>
      </w:r>
      <w:proofErr w:type="spellStart"/>
      <w:r w:rsidRPr="00E6210C">
        <w:rPr>
          <w:spacing w:val="-2"/>
        </w:rPr>
        <w:t>Colyear’s</w:t>
      </w:r>
      <w:proofErr w:type="spellEnd"/>
      <w:r w:rsidRPr="00E6210C">
        <w:rPr>
          <w:spacing w:val="-2"/>
        </w:rPr>
        <w:t xml:space="preserve"> declaratory relief action did not “‘address past wrongs,’” it did not establish the requisite proof of </w:t>
      </w:r>
      <w:r w:rsidRPr="00E6210C">
        <w:rPr>
          <w:spacing w:val="-2"/>
        </w:rPr>
        <w:lastRenderedPageBreak/>
        <w:t xml:space="preserve">actual </w:t>
      </w:r>
      <w:r w:rsidRPr="00E6210C">
        <w:rPr>
          <w:spacing w:val="-2"/>
        </w:rPr>
        <w:t>damages</w:t>
      </w:r>
      <w:r w:rsidRPr="00E6210C">
        <w:rPr>
          <w:spacing w:val="-2"/>
        </w:rPr>
        <w:t xml:space="preserve"> or harm</w:t>
      </w:r>
      <w:r w:rsidRPr="00E6210C">
        <w:rPr>
          <w:spacing w:val="-2"/>
        </w:rPr>
        <w:t xml:space="preserve"> for purposes of his breach of fiduciary duty claim. </w:t>
      </w:r>
    </w:p>
    <w:p w14:paraId="206284B8" w14:textId="77777777" w:rsidR="00B2782B" w:rsidRPr="00E6210C" w:rsidRDefault="00B2782B" w:rsidP="00223DFA">
      <w:pPr>
        <w:spacing w:after="0" w:line="288" w:lineRule="auto"/>
        <w:ind w:firstLine="720"/>
        <w:rPr>
          <w:spacing w:val="-2"/>
        </w:rPr>
      </w:pPr>
      <w:r w:rsidRPr="00E6210C">
        <w:rPr>
          <w:spacing w:val="-2"/>
        </w:rPr>
        <w:t>In addition,</w:t>
      </w:r>
      <w:r w:rsidRPr="00E6210C">
        <w:rPr>
          <w:spacing w:val="-2"/>
        </w:rPr>
        <w:t xml:space="preserve"> the issuance of </w:t>
      </w:r>
      <w:r w:rsidRPr="00E6210C">
        <w:rPr>
          <w:spacing w:val="-2"/>
        </w:rPr>
        <w:t>the</w:t>
      </w:r>
      <w:r w:rsidRPr="00E6210C">
        <w:rPr>
          <w:spacing w:val="-2"/>
        </w:rPr>
        <w:t xml:space="preserve"> injunction to prevent future damage from occurring did not constitute “damages” </w:t>
      </w:r>
      <w:r w:rsidRPr="00E6210C">
        <w:rPr>
          <w:spacing w:val="-2"/>
        </w:rPr>
        <w:t xml:space="preserve">for purposes of a breach of fiduciary duty claim. </w:t>
      </w:r>
      <w:r w:rsidRPr="00E6210C">
        <w:rPr>
          <w:spacing w:val="-2"/>
        </w:rPr>
        <w:t xml:space="preserve"> An </w:t>
      </w:r>
      <w:r w:rsidRPr="00E6210C">
        <w:rPr>
          <w:spacing w:val="-2"/>
        </w:rPr>
        <w:t>injunction</w:t>
      </w:r>
      <w:r w:rsidRPr="00E6210C">
        <w:rPr>
          <w:spacing w:val="-2"/>
        </w:rPr>
        <w:t xml:space="preserve"> is designed to maintain the status quo</w:t>
      </w:r>
      <w:r w:rsidRPr="00E6210C">
        <w:rPr>
          <w:spacing w:val="-2"/>
        </w:rPr>
        <w:t xml:space="preserve">.  </w:t>
      </w:r>
      <w:r w:rsidRPr="00E6210C">
        <w:rPr>
          <w:spacing w:val="-2"/>
        </w:rPr>
        <w:t>(</w:t>
      </w:r>
      <w:r w:rsidRPr="00E6210C">
        <w:rPr>
          <w:i/>
          <w:iCs/>
          <w:spacing w:val="-2"/>
        </w:rPr>
        <w:t>Daly v. San Bernardino County Bd</w:t>
      </w:r>
      <w:r w:rsidRPr="00E6210C">
        <w:rPr>
          <w:i/>
          <w:iCs/>
          <w:spacing w:val="-2"/>
        </w:rPr>
        <w:t>.</w:t>
      </w:r>
      <w:r w:rsidRPr="00E6210C">
        <w:rPr>
          <w:i/>
          <w:iCs/>
          <w:spacing w:val="-2"/>
        </w:rPr>
        <w:t xml:space="preserve"> of Supervisors </w:t>
      </w:r>
      <w:r w:rsidRPr="00E6210C">
        <w:rPr>
          <w:spacing w:val="-2"/>
        </w:rPr>
        <w:t xml:space="preserve">(2021) 11 Cal.5th 1030, 1040–1041.) </w:t>
      </w:r>
      <w:r w:rsidRPr="00E6210C">
        <w:rPr>
          <w:spacing w:val="-2"/>
        </w:rPr>
        <w:t xml:space="preserve"> </w:t>
      </w:r>
      <w:r w:rsidRPr="00E6210C">
        <w:rPr>
          <w:spacing w:val="-2"/>
        </w:rPr>
        <w:t>Here, no</w:t>
      </w:r>
      <w:r w:rsidRPr="00E6210C">
        <w:rPr>
          <w:spacing w:val="-2"/>
        </w:rPr>
        <w:t xml:space="preserve">ne of </w:t>
      </w:r>
      <w:proofErr w:type="spellStart"/>
      <w:r w:rsidRPr="00E6210C">
        <w:rPr>
          <w:spacing w:val="-2"/>
        </w:rPr>
        <w:t>Colyear’s</w:t>
      </w:r>
      <w:proofErr w:type="spellEnd"/>
      <w:r w:rsidRPr="00E6210C">
        <w:rPr>
          <w:spacing w:val="-2"/>
        </w:rPr>
        <w:t xml:space="preserve"> trees had been trimmed</w:t>
      </w:r>
      <w:r w:rsidRPr="00E6210C">
        <w:rPr>
          <w:spacing w:val="-2"/>
        </w:rPr>
        <w:t xml:space="preserve"> by or because of the Association</w:t>
      </w:r>
      <w:r w:rsidRPr="00E6210C">
        <w:rPr>
          <w:spacing w:val="-2"/>
        </w:rPr>
        <w:t xml:space="preserve">.  While </w:t>
      </w:r>
      <w:r w:rsidRPr="00E6210C">
        <w:rPr>
          <w:spacing w:val="-2"/>
        </w:rPr>
        <w:t>any injunction</w:t>
      </w:r>
      <w:r w:rsidRPr="00E6210C">
        <w:rPr>
          <w:spacing w:val="-2"/>
        </w:rPr>
        <w:t xml:space="preserve"> would prevent future harm, it did not prove there </w:t>
      </w:r>
      <w:proofErr w:type="gramStart"/>
      <w:r w:rsidRPr="00E6210C">
        <w:rPr>
          <w:spacing w:val="-2"/>
        </w:rPr>
        <w:t>were damages</w:t>
      </w:r>
      <w:proofErr w:type="gramEnd"/>
      <w:r w:rsidRPr="00E6210C">
        <w:rPr>
          <w:spacing w:val="-2"/>
        </w:rPr>
        <w:t xml:space="preserve"> to support the breach of fiduciary duty claim</w:t>
      </w:r>
      <w:r w:rsidRPr="00E6210C">
        <w:rPr>
          <w:spacing w:val="-2"/>
        </w:rPr>
        <w:t xml:space="preserve">.  </w:t>
      </w:r>
    </w:p>
    <w:p w14:paraId="7E8A4D1F" w14:textId="77777777" w:rsidR="00B2782B" w:rsidRPr="00E6210C" w:rsidRDefault="00B2782B" w:rsidP="00223DFA">
      <w:pPr>
        <w:spacing w:after="0" w:line="288" w:lineRule="auto"/>
        <w:rPr>
          <w:spacing w:val="-2"/>
        </w:rPr>
      </w:pPr>
    </w:p>
    <w:p w14:paraId="1ABDAD01" w14:textId="77777777" w:rsidR="00B2782B" w:rsidRPr="00E6210C" w:rsidRDefault="00B2782B" w:rsidP="00223DFA">
      <w:pPr>
        <w:keepNext/>
        <w:spacing w:after="0" w:line="288" w:lineRule="auto"/>
        <w:rPr>
          <w:b/>
          <w:bCs/>
          <w:spacing w:val="-2"/>
        </w:rPr>
      </w:pPr>
      <w:r w:rsidRPr="00E6210C">
        <w:rPr>
          <w:b/>
          <w:bCs/>
          <w:spacing w:val="-2"/>
        </w:rPr>
        <w:t>D</w:t>
      </w:r>
      <w:r w:rsidRPr="00E6210C">
        <w:rPr>
          <w:b/>
          <w:bCs/>
          <w:spacing w:val="-2"/>
        </w:rPr>
        <w:t>.</w:t>
      </w:r>
      <w:r w:rsidRPr="00E6210C">
        <w:rPr>
          <w:b/>
          <w:bCs/>
          <w:spacing w:val="-2"/>
        </w:rPr>
        <w:tab/>
      </w:r>
      <w:r w:rsidRPr="00E6210C">
        <w:rPr>
          <w:b/>
          <w:bCs/>
          <w:spacing w:val="-2"/>
        </w:rPr>
        <w:t xml:space="preserve">We Reverse the Attorney Fees Award Against the </w:t>
      </w:r>
    </w:p>
    <w:p w14:paraId="79A2B3E3" w14:textId="77777777" w:rsidR="00B2782B" w:rsidRPr="00E6210C" w:rsidRDefault="00B2782B" w:rsidP="00223DFA">
      <w:pPr>
        <w:keepNext/>
        <w:spacing w:after="0" w:line="288" w:lineRule="auto"/>
        <w:ind w:firstLine="720"/>
        <w:rPr>
          <w:b/>
          <w:bCs/>
          <w:spacing w:val="-2"/>
        </w:rPr>
      </w:pPr>
      <w:r w:rsidRPr="00E6210C">
        <w:rPr>
          <w:b/>
          <w:bCs/>
          <w:spacing w:val="-2"/>
        </w:rPr>
        <w:t xml:space="preserve">Individual Directors </w:t>
      </w:r>
    </w:p>
    <w:p w14:paraId="71DBF1F7" w14:textId="77777777" w:rsidR="00B2782B" w:rsidRPr="00E6210C" w:rsidRDefault="00B2782B" w:rsidP="00223DFA">
      <w:pPr>
        <w:spacing w:after="0" w:line="288" w:lineRule="auto"/>
        <w:rPr>
          <w:spacing w:val="-2"/>
        </w:rPr>
      </w:pPr>
      <w:r w:rsidRPr="00E6210C">
        <w:rPr>
          <w:b/>
          <w:bCs/>
          <w:spacing w:val="-2"/>
        </w:rPr>
        <w:tab/>
      </w:r>
      <w:r w:rsidRPr="00E6210C">
        <w:rPr>
          <w:spacing w:val="-2"/>
        </w:rPr>
        <w:t xml:space="preserve">The Association asserts the attorney fees award against </w:t>
      </w:r>
      <w:r w:rsidRPr="00E6210C">
        <w:rPr>
          <w:spacing w:val="-2"/>
        </w:rPr>
        <w:t xml:space="preserve">its </w:t>
      </w:r>
      <w:r w:rsidRPr="00E6210C">
        <w:rPr>
          <w:spacing w:val="-2"/>
        </w:rPr>
        <w:t>individual director</w:t>
      </w:r>
      <w:r w:rsidRPr="00E6210C">
        <w:rPr>
          <w:spacing w:val="-2"/>
        </w:rPr>
        <w:t>s</w:t>
      </w:r>
      <w:r w:rsidRPr="00E6210C">
        <w:rPr>
          <w:spacing w:val="-2"/>
        </w:rPr>
        <w:t xml:space="preserve"> should be reversed because Civil Code section 5975’s fee-shifting provision does not apply to </w:t>
      </w:r>
      <w:r w:rsidRPr="00E6210C">
        <w:rPr>
          <w:spacing w:val="-2"/>
        </w:rPr>
        <w:t xml:space="preserve">individual </w:t>
      </w:r>
      <w:r w:rsidRPr="00E6210C">
        <w:rPr>
          <w:spacing w:val="-2"/>
        </w:rPr>
        <w:t>directors</w:t>
      </w:r>
      <w:r w:rsidRPr="00E6210C">
        <w:rPr>
          <w:spacing w:val="-2"/>
        </w:rPr>
        <w:t xml:space="preserve"> </w:t>
      </w:r>
      <w:r w:rsidRPr="00E6210C">
        <w:rPr>
          <w:spacing w:val="-2"/>
        </w:rPr>
        <w:t>shielded by the business judgment rule</w:t>
      </w:r>
      <w:r w:rsidRPr="00E6210C">
        <w:rPr>
          <w:spacing w:val="-2"/>
        </w:rPr>
        <w:t>.</w:t>
      </w:r>
      <w:r w:rsidRPr="00E6210C">
        <w:rPr>
          <w:spacing w:val="-2"/>
        </w:rPr>
        <w:t xml:space="preserve">  </w:t>
      </w:r>
      <w:proofErr w:type="spellStart"/>
      <w:r w:rsidRPr="00E6210C">
        <w:rPr>
          <w:spacing w:val="-2"/>
        </w:rPr>
        <w:t>Colyear</w:t>
      </w:r>
      <w:proofErr w:type="spellEnd"/>
      <w:r w:rsidRPr="00E6210C">
        <w:rPr>
          <w:spacing w:val="-2"/>
        </w:rPr>
        <w:t xml:space="preserve"> urges </w:t>
      </w:r>
      <w:r w:rsidRPr="00E6210C">
        <w:rPr>
          <w:spacing w:val="-2"/>
        </w:rPr>
        <w:t xml:space="preserve">us to </w:t>
      </w:r>
      <w:r w:rsidRPr="00E6210C">
        <w:rPr>
          <w:spacing w:val="-2"/>
        </w:rPr>
        <w:t xml:space="preserve">affirm the award because </w:t>
      </w:r>
      <w:r w:rsidRPr="00E6210C">
        <w:rPr>
          <w:spacing w:val="-2"/>
        </w:rPr>
        <w:t xml:space="preserve">the statute authorizes awards against individual </w:t>
      </w:r>
      <w:r w:rsidRPr="00E6210C">
        <w:rPr>
          <w:spacing w:val="-2"/>
        </w:rPr>
        <w:t>defendants</w:t>
      </w:r>
      <w:r w:rsidRPr="00E6210C">
        <w:rPr>
          <w:spacing w:val="-2"/>
        </w:rPr>
        <w:t xml:space="preserve"> generally</w:t>
      </w:r>
      <w:r w:rsidRPr="00E6210C">
        <w:rPr>
          <w:spacing w:val="-2"/>
        </w:rPr>
        <w:t>,</w:t>
      </w:r>
      <w:r w:rsidRPr="00E6210C">
        <w:rPr>
          <w:spacing w:val="-2"/>
        </w:rPr>
        <w:t xml:space="preserve"> if not individual directors</w:t>
      </w:r>
      <w:r w:rsidRPr="00E6210C">
        <w:rPr>
          <w:spacing w:val="-2"/>
        </w:rPr>
        <w:t>.  He argues</w:t>
      </w:r>
      <w:r w:rsidRPr="00E6210C">
        <w:rPr>
          <w:spacing w:val="-2"/>
        </w:rPr>
        <w:t xml:space="preserve"> that </w:t>
      </w:r>
      <w:r w:rsidRPr="00E6210C">
        <w:rPr>
          <w:spacing w:val="-2"/>
        </w:rPr>
        <w:t>because he is seeking to hold the individual defendants liable as property owners</w:t>
      </w:r>
      <w:r w:rsidRPr="00E6210C">
        <w:rPr>
          <w:spacing w:val="-2"/>
        </w:rPr>
        <w:t xml:space="preserve"> and</w:t>
      </w:r>
      <w:r w:rsidRPr="00E6210C">
        <w:rPr>
          <w:spacing w:val="-2"/>
        </w:rPr>
        <w:t xml:space="preserve"> not directors, </w:t>
      </w:r>
      <w:r w:rsidRPr="00E6210C">
        <w:rPr>
          <w:spacing w:val="-2"/>
        </w:rPr>
        <w:t>the business judgment rule does not protect the</w:t>
      </w:r>
      <w:r w:rsidRPr="00E6210C">
        <w:rPr>
          <w:spacing w:val="-2"/>
        </w:rPr>
        <w:t>m</w:t>
      </w:r>
      <w:r w:rsidRPr="00E6210C">
        <w:rPr>
          <w:spacing w:val="-2"/>
        </w:rPr>
        <w:t xml:space="preserve">. </w:t>
      </w:r>
      <w:r w:rsidRPr="00E6210C">
        <w:rPr>
          <w:spacing w:val="-2"/>
        </w:rPr>
        <w:t xml:space="preserve"> </w:t>
      </w:r>
      <w:r w:rsidRPr="00E6210C">
        <w:rPr>
          <w:spacing w:val="-2"/>
        </w:rPr>
        <w:t>W</w:t>
      </w:r>
      <w:r w:rsidRPr="00E6210C">
        <w:rPr>
          <w:spacing w:val="-2"/>
        </w:rPr>
        <w:t>e agree with the Association</w:t>
      </w:r>
      <w:r w:rsidRPr="00E6210C">
        <w:rPr>
          <w:spacing w:val="-2"/>
        </w:rPr>
        <w:t>’s argument</w:t>
      </w:r>
      <w:r w:rsidRPr="00E6210C">
        <w:rPr>
          <w:spacing w:val="-2"/>
        </w:rPr>
        <w:t>.</w:t>
      </w:r>
      <w:r>
        <w:rPr>
          <w:rStyle w:val="FootnoteReference"/>
          <w:spacing w:val="-2"/>
        </w:rPr>
        <w:footnoteReference w:id="10"/>
      </w:r>
    </w:p>
    <w:p w14:paraId="1DDE7D27" w14:textId="77777777" w:rsidR="00B2782B" w:rsidRPr="00E6210C" w:rsidRDefault="00B2782B" w:rsidP="00223DFA">
      <w:pPr>
        <w:spacing w:after="0" w:line="288" w:lineRule="auto"/>
      </w:pPr>
      <w:r w:rsidRPr="00E6210C">
        <w:rPr>
          <w:spacing w:val="-2"/>
        </w:rPr>
        <w:tab/>
      </w:r>
      <w:r w:rsidRPr="00E6210C">
        <w:rPr>
          <w:spacing w:val="-2"/>
        </w:rPr>
        <w:t xml:space="preserve">The trial court awarded the reduced amount of </w:t>
      </w:r>
      <w:r w:rsidRPr="00E6210C">
        <w:rPr>
          <w:spacing w:val="-2"/>
        </w:rPr>
        <w:t xml:space="preserve">$1,328,391.04 </w:t>
      </w:r>
      <w:r w:rsidRPr="00E6210C">
        <w:rPr>
          <w:spacing w:val="-2"/>
        </w:rPr>
        <w:t xml:space="preserve">in attorney fees </w:t>
      </w:r>
      <w:r w:rsidRPr="00E6210C">
        <w:rPr>
          <w:spacing w:val="-2"/>
        </w:rPr>
        <w:t>against all defendants</w:t>
      </w:r>
      <w:r w:rsidRPr="00E6210C">
        <w:rPr>
          <w:spacing w:val="-2"/>
        </w:rPr>
        <w:t xml:space="preserve"> pursuant to </w:t>
      </w:r>
      <w:r w:rsidRPr="00E6210C">
        <w:rPr>
          <w:spacing w:val="-2"/>
        </w:rPr>
        <w:t xml:space="preserve">Civil Code </w:t>
      </w:r>
      <w:r w:rsidRPr="00E6210C">
        <w:rPr>
          <w:spacing w:val="-2"/>
        </w:rPr>
        <w:t>section</w:t>
      </w:r>
      <w:r w:rsidRPr="00E6210C">
        <w:rPr>
          <w:spacing w:val="-2"/>
        </w:rPr>
        <w:t> </w:t>
      </w:r>
      <w:r w:rsidRPr="00E6210C">
        <w:rPr>
          <w:spacing w:val="-2"/>
        </w:rPr>
        <w:t>5975</w:t>
      </w:r>
      <w:r w:rsidRPr="00E6210C">
        <w:rPr>
          <w:spacing w:val="-2"/>
        </w:rPr>
        <w:t xml:space="preserve">.  </w:t>
      </w:r>
      <w:r w:rsidRPr="00E6210C">
        <w:rPr>
          <w:spacing w:val="-2"/>
        </w:rPr>
        <w:t>S</w:t>
      </w:r>
      <w:r w:rsidRPr="00E6210C">
        <w:rPr>
          <w:spacing w:val="-2"/>
        </w:rPr>
        <w:t xml:space="preserve">ection </w:t>
      </w:r>
      <w:r w:rsidRPr="00E6210C">
        <w:rPr>
          <w:spacing w:val="-2"/>
        </w:rPr>
        <w:t xml:space="preserve">5975 </w:t>
      </w:r>
      <w:r w:rsidRPr="00E6210C">
        <w:rPr>
          <w:spacing w:val="-2"/>
        </w:rPr>
        <w:t xml:space="preserve">provides in relevant part that </w:t>
      </w:r>
      <w:r w:rsidRPr="00E6210C">
        <w:t xml:space="preserve">covenants and restrictions “may be enforced by any owner of </w:t>
      </w:r>
      <w:r w:rsidRPr="00E6210C">
        <w:lastRenderedPageBreak/>
        <w:t>a separate interest or by the association, or by both”</w:t>
      </w:r>
      <w:r w:rsidRPr="00E6210C">
        <w:t xml:space="preserve"> (Civ. Code, §</w:t>
      </w:r>
      <w:r w:rsidRPr="00E6210C">
        <w:t> </w:t>
      </w:r>
      <w:r w:rsidRPr="00E6210C">
        <w:rPr>
          <w:spacing w:val="-2"/>
        </w:rPr>
        <w:t>5975, subd.</w:t>
      </w:r>
      <w:r w:rsidRPr="00E6210C">
        <w:rPr>
          <w:spacing w:val="-2"/>
        </w:rPr>
        <w:t> </w:t>
      </w:r>
      <w:r w:rsidRPr="00E6210C">
        <w:rPr>
          <w:spacing w:val="-2"/>
        </w:rPr>
        <w:t>(</w:t>
      </w:r>
      <w:proofErr w:type="gramStart"/>
      <w:r w:rsidRPr="00E6210C">
        <w:rPr>
          <w:spacing w:val="-2"/>
        </w:rPr>
        <w:t>a))</w:t>
      </w:r>
      <w:proofErr w:type="gramEnd"/>
      <w:r w:rsidRPr="00E6210C">
        <w:rPr>
          <w:spacing w:val="-2"/>
        </w:rPr>
        <w:t>, and in an action “</w:t>
      </w:r>
      <w:r w:rsidRPr="00E6210C">
        <w:rPr>
          <w:spacing w:val="-2"/>
        </w:rPr>
        <w:t xml:space="preserve">to enforce the governing documents [of a common interest development], the prevailing party shall be awarded reasonable </w:t>
      </w:r>
      <w:proofErr w:type="gramStart"/>
      <w:r w:rsidRPr="00E6210C">
        <w:rPr>
          <w:spacing w:val="-2"/>
        </w:rPr>
        <w:t>attorney[</w:t>
      </w:r>
      <w:proofErr w:type="gramEnd"/>
      <w:r w:rsidRPr="00E6210C">
        <w:rPr>
          <w:spacing w:val="-2"/>
        </w:rPr>
        <w:t> ] fees and costs” (</w:t>
      </w:r>
      <w:r w:rsidRPr="00E6210C">
        <w:rPr>
          <w:spacing w:val="-2"/>
        </w:rPr>
        <w:t>Civ. Code</w:t>
      </w:r>
      <w:r w:rsidRPr="00E6210C">
        <w:rPr>
          <w:spacing w:val="-2"/>
        </w:rPr>
        <w:t>,</w:t>
      </w:r>
      <w:r w:rsidRPr="00E6210C">
        <w:rPr>
          <w:spacing w:val="-2"/>
        </w:rPr>
        <w:t xml:space="preserve"> § 5975, subd.</w:t>
      </w:r>
      <w:r w:rsidRPr="00E6210C">
        <w:rPr>
          <w:spacing w:val="-2"/>
        </w:rPr>
        <w:t> </w:t>
      </w:r>
      <w:r w:rsidRPr="00E6210C">
        <w:rPr>
          <w:spacing w:val="-2"/>
        </w:rPr>
        <w:t>(</w:t>
      </w:r>
      <w:proofErr w:type="gramStart"/>
      <w:r w:rsidRPr="00E6210C">
        <w:rPr>
          <w:spacing w:val="-2"/>
        </w:rPr>
        <w:t>c))</w:t>
      </w:r>
      <w:proofErr w:type="gramEnd"/>
      <w:r w:rsidRPr="00E6210C">
        <w:rPr>
          <w:spacing w:val="-2"/>
        </w:rPr>
        <w:t>.</w:t>
      </w:r>
      <w:r w:rsidRPr="00E6210C">
        <w:rPr>
          <w:spacing w:val="-2"/>
        </w:rPr>
        <w:t xml:space="preserve"> </w:t>
      </w:r>
      <w:r w:rsidRPr="00E6210C">
        <w:rPr>
          <w:spacing w:val="-2"/>
        </w:rPr>
        <w:t xml:space="preserve"> </w:t>
      </w:r>
      <w:r w:rsidRPr="00E6210C">
        <w:rPr>
          <w:spacing w:val="-2"/>
        </w:rPr>
        <w:t xml:space="preserve">Civil Code section 5980 provides </w:t>
      </w:r>
      <w:r w:rsidRPr="00E6210C">
        <w:rPr>
          <w:spacing w:val="-2"/>
        </w:rPr>
        <w:t xml:space="preserve">that </w:t>
      </w:r>
      <w:r w:rsidRPr="00E6210C">
        <w:rPr>
          <w:spacing w:val="-2"/>
        </w:rPr>
        <w:t>a</w:t>
      </w:r>
      <w:r w:rsidRPr="00E6210C">
        <w:rPr>
          <w:spacing w:val="-2"/>
        </w:rPr>
        <w:t xml:space="preserve">n association entity, </w:t>
      </w:r>
      <w:r w:rsidRPr="00E6210C">
        <w:t>not its individual directors, has standing to prosecute such enforcement a</w:t>
      </w:r>
      <w:r w:rsidRPr="00E6210C">
        <w:t>ctions on its behalf.  (</w:t>
      </w:r>
      <w:r w:rsidRPr="00E6210C">
        <w:rPr>
          <w:spacing w:val="-2"/>
        </w:rPr>
        <w:t xml:space="preserve">Civ. Code, </w:t>
      </w:r>
      <w:r w:rsidRPr="00E6210C">
        <w:t>§</w:t>
      </w:r>
      <w:r w:rsidRPr="00E6210C">
        <w:t> </w:t>
      </w:r>
      <w:r w:rsidRPr="00E6210C">
        <w:t xml:space="preserve">5980.)  </w:t>
      </w:r>
    </w:p>
    <w:p w14:paraId="7B7414B6" w14:textId="77777777" w:rsidR="00B2782B" w:rsidRPr="00E6210C" w:rsidRDefault="00B2782B" w:rsidP="00223DFA">
      <w:pPr>
        <w:spacing w:after="0" w:line="288" w:lineRule="auto"/>
      </w:pPr>
      <w:r w:rsidRPr="00E6210C">
        <w:rPr>
          <w:spacing w:val="-2"/>
        </w:rPr>
        <w:tab/>
      </w:r>
      <w:r w:rsidRPr="00E6210C">
        <w:rPr>
          <w:spacing w:val="-2"/>
        </w:rPr>
        <w:t>We construe s</w:t>
      </w:r>
      <w:r w:rsidRPr="00E6210C">
        <w:rPr>
          <w:spacing w:val="-2"/>
        </w:rPr>
        <w:t>ection</w:t>
      </w:r>
      <w:r w:rsidRPr="00E6210C">
        <w:rPr>
          <w:spacing w:val="-2"/>
        </w:rPr>
        <w:t>s</w:t>
      </w:r>
      <w:r w:rsidRPr="00E6210C">
        <w:rPr>
          <w:spacing w:val="-2"/>
        </w:rPr>
        <w:t xml:space="preserve"> 5975 and 5980 </w:t>
      </w:r>
      <w:r w:rsidRPr="00E6210C">
        <w:t xml:space="preserve">together </w:t>
      </w:r>
      <w:r w:rsidRPr="00E6210C">
        <w:t xml:space="preserve">as authorizing an award of attorney fees against </w:t>
      </w:r>
      <w:r w:rsidRPr="00E6210C">
        <w:t xml:space="preserve">the </w:t>
      </w:r>
      <w:r w:rsidRPr="00E6210C">
        <w:t>A</w:t>
      </w:r>
      <w:r w:rsidRPr="00E6210C">
        <w:t>ssociation</w:t>
      </w:r>
      <w:r w:rsidRPr="00E6210C">
        <w:t xml:space="preserve"> and not its </w:t>
      </w:r>
      <w:r w:rsidRPr="00E6210C">
        <w:t xml:space="preserve">individual directors. </w:t>
      </w:r>
      <w:r w:rsidRPr="00E6210C">
        <w:t xml:space="preserve"> </w:t>
      </w:r>
      <w:r w:rsidRPr="00E6210C">
        <w:t>(</w:t>
      </w:r>
      <w:r w:rsidRPr="00E6210C">
        <w:t xml:space="preserve">See </w:t>
      </w:r>
      <w:r w:rsidRPr="00E6210C">
        <w:rPr>
          <w:i/>
          <w:iCs/>
        </w:rPr>
        <w:t xml:space="preserve">Poole v. Orange County Fire Authority </w:t>
      </w:r>
      <w:r w:rsidRPr="00E6210C">
        <w:t>(</w:t>
      </w:r>
      <w:r w:rsidRPr="00E6210C">
        <w:t xml:space="preserve">2015) 61 Cal.4th 1378, </w:t>
      </w:r>
      <w:r w:rsidRPr="00E6210C">
        <w:t>1385 [statutory provisions must be read together].)</w:t>
      </w:r>
      <w:r w:rsidRPr="00E6210C">
        <w:t xml:space="preserve">  </w:t>
      </w:r>
      <w:r w:rsidRPr="00E6210C">
        <w:t>Subdivision</w:t>
      </w:r>
      <w:r w:rsidRPr="00E6210C">
        <w:t> </w:t>
      </w:r>
      <w:r w:rsidRPr="00E6210C">
        <w:t>(a) of section</w:t>
      </w:r>
      <w:r w:rsidRPr="00E6210C">
        <w:t> </w:t>
      </w:r>
      <w:r w:rsidRPr="00E6210C">
        <w:t xml:space="preserve">5975 applies only to </w:t>
      </w:r>
      <w:r w:rsidRPr="00E6210C">
        <w:t>an</w:t>
      </w:r>
      <w:r w:rsidRPr="00E6210C">
        <w:t xml:space="preserve"> “</w:t>
      </w:r>
      <w:r w:rsidRPr="00E6210C">
        <w:t>association</w:t>
      </w:r>
      <w:r w:rsidRPr="00E6210C">
        <w:t xml:space="preserve">” or to “owners,” and does not </w:t>
      </w:r>
      <w:r w:rsidRPr="00E6210C">
        <w:t>specif</w:t>
      </w:r>
      <w:r w:rsidRPr="00E6210C">
        <w:t>icall</w:t>
      </w:r>
      <w:r w:rsidRPr="00E6210C">
        <w:t>y</w:t>
      </w:r>
      <w:r w:rsidRPr="00E6210C">
        <w:t xml:space="preserve"> </w:t>
      </w:r>
      <w:r w:rsidRPr="00E6210C">
        <w:t>apply</w:t>
      </w:r>
      <w:r w:rsidRPr="00E6210C">
        <w:t xml:space="preserve"> to</w:t>
      </w:r>
      <w:r w:rsidRPr="00E6210C">
        <w:t xml:space="preserve"> i</w:t>
      </w:r>
      <w:r w:rsidRPr="00E6210C">
        <w:t>ndividual board members</w:t>
      </w:r>
      <w:r w:rsidRPr="00E6210C">
        <w:t>.</w:t>
      </w:r>
      <w:r w:rsidRPr="00E6210C">
        <w:t xml:space="preserve"> </w:t>
      </w:r>
      <w:r w:rsidRPr="00E6210C">
        <w:t xml:space="preserve"> </w:t>
      </w:r>
      <w:r w:rsidRPr="00E6210C">
        <w:t>R</w:t>
      </w:r>
      <w:r w:rsidRPr="00E6210C">
        <w:t>eading</w:t>
      </w:r>
      <w:r w:rsidRPr="00E6210C">
        <w:t xml:space="preserve"> sections 5975 and 5980 </w:t>
      </w:r>
      <w:r w:rsidRPr="00E6210C">
        <w:t>together</w:t>
      </w:r>
      <w:r w:rsidRPr="00E6210C">
        <w:t xml:space="preserve">, they </w:t>
      </w:r>
      <w:r w:rsidRPr="00E6210C">
        <w:t>indicate</w:t>
      </w:r>
      <w:r w:rsidRPr="00E6210C">
        <w:t xml:space="preserve"> </w:t>
      </w:r>
      <w:r w:rsidRPr="00E6210C">
        <w:t xml:space="preserve">that if an owner, such as </w:t>
      </w:r>
      <w:proofErr w:type="spellStart"/>
      <w:r w:rsidRPr="00E6210C">
        <w:t>Colyear</w:t>
      </w:r>
      <w:proofErr w:type="spellEnd"/>
      <w:r w:rsidRPr="00E6210C">
        <w:t xml:space="preserve">, brings an enforcement action against an association, the association may be liable for attorney fees; they do not indicate that individual directors of the </w:t>
      </w:r>
      <w:r w:rsidRPr="00E6210C">
        <w:t>A</w:t>
      </w:r>
      <w:r w:rsidRPr="00E6210C">
        <w:t>ssociat</w:t>
      </w:r>
      <w:r w:rsidRPr="00E6210C">
        <w:t>ion should</w:t>
      </w:r>
      <w:r w:rsidRPr="00E6210C">
        <w:t xml:space="preserve"> also</w:t>
      </w:r>
      <w:r w:rsidRPr="00E6210C">
        <w:t xml:space="preserve"> be liable for them</w:t>
      </w:r>
      <w:r w:rsidRPr="00E6210C">
        <w:t>.</w:t>
      </w:r>
      <w:r>
        <w:rPr>
          <w:rStyle w:val="FootnoteReference"/>
        </w:rPr>
        <w:footnoteReference w:id="11"/>
      </w:r>
      <w:r w:rsidRPr="00E6210C">
        <w:t xml:space="preserve">  </w:t>
      </w:r>
    </w:p>
    <w:p w14:paraId="2F4B7843" w14:textId="77777777" w:rsidR="00B2782B" w:rsidRPr="00E6210C" w:rsidRDefault="00B2782B" w:rsidP="00223DFA">
      <w:pPr>
        <w:spacing w:after="0" w:line="288" w:lineRule="auto"/>
        <w:ind w:firstLine="720"/>
      </w:pPr>
      <w:proofErr w:type="spellStart"/>
      <w:r w:rsidRPr="00E6210C">
        <w:t>Colyear</w:t>
      </w:r>
      <w:proofErr w:type="spellEnd"/>
      <w:r w:rsidRPr="00E6210C">
        <w:t xml:space="preserve"> argues he is not seeking to hold the individuals liable </w:t>
      </w:r>
      <w:r w:rsidRPr="00E6210C">
        <w:t xml:space="preserve">for attorney fees </w:t>
      </w:r>
      <w:r w:rsidRPr="00E6210C">
        <w:t xml:space="preserve">as directors, </w:t>
      </w:r>
      <w:r w:rsidRPr="00E6210C">
        <w:t xml:space="preserve">as he recognizes they might </w:t>
      </w:r>
      <w:r w:rsidRPr="00E6210C">
        <w:lastRenderedPageBreak/>
        <w:t>be shielded from liability under the business judgment rule</w:t>
      </w:r>
      <w:r w:rsidRPr="00E6210C">
        <w:t>.</w:t>
      </w:r>
      <w:r>
        <w:rPr>
          <w:rStyle w:val="FootnoteReference"/>
        </w:rPr>
        <w:footnoteReference w:id="12"/>
      </w:r>
      <w:r w:rsidRPr="00E6210C">
        <w:t xml:space="preserve"> </w:t>
      </w:r>
      <w:r w:rsidRPr="00E6210C">
        <w:t xml:space="preserve"> Instead, </w:t>
      </w:r>
      <w:proofErr w:type="spellStart"/>
      <w:r w:rsidRPr="00E6210C">
        <w:t>Colyear</w:t>
      </w:r>
      <w:proofErr w:type="spellEnd"/>
      <w:r w:rsidRPr="00E6210C">
        <w:t xml:space="preserve"> contends he is seeking to </w:t>
      </w:r>
      <w:r w:rsidRPr="00E6210C">
        <w:t xml:space="preserve">hold </w:t>
      </w:r>
      <w:r w:rsidRPr="00E6210C">
        <w:t xml:space="preserve">each director defendant </w:t>
      </w:r>
      <w:r w:rsidRPr="00E6210C">
        <w:t xml:space="preserve">liable </w:t>
      </w:r>
      <w:r w:rsidRPr="00E6210C">
        <w:t>as</w:t>
      </w:r>
      <w:r w:rsidRPr="00E6210C">
        <w:t xml:space="preserve"> a</w:t>
      </w:r>
      <w:r w:rsidRPr="00E6210C">
        <w:t xml:space="preserve"> </w:t>
      </w:r>
      <w:r w:rsidRPr="00E6210C">
        <w:t xml:space="preserve">property </w:t>
      </w:r>
      <w:r w:rsidRPr="00E6210C">
        <w:t>owner</w:t>
      </w:r>
      <w:r w:rsidRPr="00E6210C">
        <w:t xml:space="preserve">.  </w:t>
      </w:r>
      <w:r w:rsidRPr="00E6210C">
        <w:t xml:space="preserve">In this regard, </w:t>
      </w:r>
      <w:proofErr w:type="spellStart"/>
      <w:r w:rsidRPr="00E6210C">
        <w:t>Colyear</w:t>
      </w:r>
      <w:proofErr w:type="spellEnd"/>
      <w:r w:rsidRPr="00E6210C">
        <w:t xml:space="preserve"> </w:t>
      </w:r>
      <w:r w:rsidRPr="00E6210C">
        <w:t xml:space="preserve">asserts </w:t>
      </w:r>
      <w:r w:rsidRPr="00E6210C">
        <w:t>the individual owners</w:t>
      </w:r>
      <w:r w:rsidRPr="00E6210C">
        <w:t xml:space="preserve"> should be held liable for attorney fees because they</w:t>
      </w:r>
      <w:r w:rsidRPr="00E6210C">
        <w:t xml:space="preserve"> </w:t>
      </w:r>
      <w:r w:rsidRPr="00E6210C">
        <w:t>have “expressed the view” the Tree CC applies to his property</w:t>
      </w:r>
      <w:r w:rsidRPr="00E6210C">
        <w:t>.</w:t>
      </w:r>
      <w:r w:rsidRPr="00E6210C">
        <w:t xml:space="preserve"> </w:t>
      </w:r>
      <w:r w:rsidRPr="00E6210C">
        <w:t xml:space="preserve"> </w:t>
      </w:r>
      <w:r w:rsidRPr="00E6210C">
        <w:t>T</w:t>
      </w:r>
      <w:r w:rsidRPr="00E6210C">
        <w:t xml:space="preserve">his is not enough.  </w:t>
      </w:r>
      <w:r w:rsidRPr="00E6210C">
        <w:rPr>
          <w:spacing w:val="-2"/>
        </w:rPr>
        <w:t xml:space="preserve">Section 5975 </w:t>
      </w:r>
      <w:r w:rsidRPr="00E6210C">
        <w:rPr>
          <w:spacing w:val="-2"/>
        </w:rPr>
        <w:t>contemplates awarding attorney fees to enforce a covenant by a landowner or an association</w:t>
      </w:r>
      <w:r w:rsidRPr="00E6210C">
        <w:rPr>
          <w:spacing w:val="-2"/>
        </w:rPr>
        <w:t xml:space="preserve">.  </w:t>
      </w:r>
      <w:proofErr w:type="spellStart"/>
      <w:r w:rsidRPr="00E6210C">
        <w:rPr>
          <w:spacing w:val="-2"/>
        </w:rPr>
        <w:t>Colyear</w:t>
      </w:r>
      <w:proofErr w:type="spellEnd"/>
      <w:r w:rsidRPr="00E6210C">
        <w:rPr>
          <w:spacing w:val="-2"/>
        </w:rPr>
        <w:t xml:space="preserve"> has made </w:t>
      </w:r>
      <w:r w:rsidRPr="00E6210C">
        <w:rPr>
          <w:spacing w:val="-2"/>
        </w:rPr>
        <w:t xml:space="preserve">no </w:t>
      </w:r>
      <w:proofErr w:type="gramStart"/>
      <w:r w:rsidRPr="00E6210C">
        <w:rPr>
          <w:spacing w:val="-2"/>
        </w:rPr>
        <w:t>allegation</w:t>
      </w:r>
      <w:proofErr w:type="gramEnd"/>
      <w:r w:rsidRPr="00E6210C">
        <w:rPr>
          <w:spacing w:val="-2"/>
        </w:rPr>
        <w:t xml:space="preserve"> the individual board members </w:t>
      </w:r>
      <w:r w:rsidRPr="00E6210C">
        <w:t xml:space="preserve">acted </w:t>
      </w:r>
      <w:r w:rsidRPr="00E6210C">
        <w:t xml:space="preserve">in their capacity as </w:t>
      </w:r>
      <w:r w:rsidRPr="00E6210C">
        <w:t>land</w:t>
      </w:r>
      <w:r w:rsidRPr="00E6210C">
        <w:t>owners seeking to enf</w:t>
      </w:r>
      <w:r w:rsidRPr="00E6210C">
        <w:t>orce the Tree CC</w:t>
      </w:r>
      <w:r w:rsidRPr="00E6210C">
        <w:t>,</w:t>
      </w:r>
      <w:r w:rsidRPr="00E6210C">
        <w:rPr>
          <w:i/>
          <w:iCs/>
        </w:rPr>
        <w:t xml:space="preserve"> </w:t>
      </w:r>
      <w:r w:rsidRPr="00E6210C">
        <w:t xml:space="preserve">and the trial court </w:t>
      </w:r>
      <w:r w:rsidRPr="00E6210C">
        <w:t xml:space="preserve">made no </w:t>
      </w:r>
      <w:r w:rsidRPr="00E6210C">
        <w:t xml:space="preserve">such finding. </w:t>
      </w:r>
      <w:r w:rsidRPr="00E6210C">
        <w:t xml:space="preserve"> As such</w:t>
      </w:r>
      <w:r w:rsidRPr="00E6210C">
        <w:t xml:space="preserve">, they are not liable for attorney fees under section 5975.  </w:t>
      </w:r>
    </w:p>
    <w:p w14:paraId="7D517CC6" w14:textId="77777777" w:rsidR="00B2782B" w:rsidRPr="00E6210C" w:rsidRDefault="00B2782B" w:rsidP="00223DFA">
      <w:pPr>
        <w:spacing w:after="0" w:line="288" w:lineRule="auto"/>
        <w:rPr>
          <w:spacing w:val="-2"/>
        </w:rPr>
      </w:pPr>
    </w:p>
    <w:p w14:paraId="3A2CC159" w14:textId="77777777" w:rsidR="00B2782B" w:rsidRPr="00E6210C" w:rsidRDefault="00B2782B" w:rsidP="00223DFA">
      <w:pPr>
        <w:keepNext/>
        <w:spacing w:after="0" w:line="288" w:lineRule="auto"/>
        <w:rPr>
          <w:b/>
          <w:bCs/>
          <w:spacing w:val="-2"/>
        </w:rPr>
      </w:pPr>
      <w:r w:rsidRPr="00E6210C">
        <w:rPr>
          <w:b/>
          <w:bCs/>
          <w:spacing w:val="-2"/>
        </w:rPr>
        <w:t>E.</w:t>
      </w:r>
      <w:r w:rsidRPr="00E6210C">
        <w:rPr>
          <w:b/>
          <w:bCs/>
          <w:spacing w:val="-2"/>
        </w:rPr>
        <w:tab/>
      </w:r>
      <w:proofErr w:type="spellStart"/>
      <w:r w:rsidRPr="00E6210C">
        <w:rPr>
          <w:b/>
          <w:bCs/>
          <w:spacing w:val="-2"/>
        </w:rPr>
        <w:t>Colyear’s</w:t>
      </w:r>
      <w:proofErr w:type="spellEnd"/>
      <w:r w:rsidRPr="00E6210C">
        <w:rPr>
          <w:b/>
          <w:bCs/>
          <w:spacing w:val="-2"/>
        </w:rPr>
        <w:t xml:space="preserve"> Cross-Appeal</w:t>
      </w:r>
    </w:p>
    <w:p w14:paraId="62025244" w14:textId="77777777" w:rsidR="00B2782B" w:rsidRPr="00E6210C" w:rsidRDefault="00B2782B" w:rsidP="00223DFA">
      <w:pPr>
        <w:spacing w:after="0" w:line="288" w:lineRule="auto"/>
        <w:rPr>
          <w:spacing w:val="-2"/>
        </w:rPr>
      </w:pPr>
      <w:r w:rsidRPr="00E6210C">
        <w:rPr>
          <w:spacing w:val="-2"/>
        </w:rPr>
        <w:tab/>
      </w:r>
      <w:r w:rsidRPr="00E6210C">
        <w:rPr>
          <w:spacing w:val="-2"/>
        </w:rPr>
        <w:t xml:space="preserve">In his cross-appeal, </w:t>
      </w:r>
      <w:proofErr w:type="spellStart"/>
      <w:r w:rsidRPr="00E6210C">
        <w:rPr>
          <w:spacing w:val="-2"/>
        </w:rPr>
        <w:t>Colyear</w:t>
      </w:r>
      <w:proofErr w:type="spellEnd"/>
      <w:r w:rsidRPr="00E6210C">
        <w:rPr>
          <w:spacing w:val="-2"/>
        </w:rPr>
        <w:t xml:space="preserve"> contends the trial court abused its discretion in denying his quiet title claim because </w:t>
      </w:r>
      <w:r w:rsidRPr="00E6210C">
        <w:rPr>
          <w:spacing w:val="-2"/>
        </w:rPr>
        <w:t xml:space="preserve">he established each </w:t>
      </w:r>
      <w:r w:rsidRPr="00E6210C">
        <w:rPr>
          <w:spacing w:val="-2"/>
        </w:rPr>
        <w:t xml:space="preserve">element of </w:t>
      </w:r>
      <w:r w:rsidRPr="00E6210C">
        <w:rPr>
          <w:spacing w:val="-2"/>
        </w:rPr>
        <w:t xml:space="preserve">the claim </w:t>
      </w:r>
      <w:r w:rsidRPr="00E6210C">
        <w:rPr>
          <w:spacing w:val="-2"/>
        </w:rPr>
        <w:t>as a matter of law</w:t>
      </w:r>
      <w:r w:rsidRPr="00E6210C">
        <w:rPr>
          <w:spacing w:val="-2"/>
        </w:rPr>
        <w:t xml:space="preserve">.  Moreover, </w:t>
      </w:r>
      <w:proofErr w:type="spellStart"/>
      <w:r w:rsidRPr="00E6210C">
        <w:rPr>
          <w:spacing w:val="-2"/>
        </w:rPr>
        <w:t>Colyear</w:t>
      </w:r>
      <w:proofErr w:type="spellEnd"/>
      <w:r w:rsidRPr="00E6210C">
        <w:rPr>
          <w:spacing w:val="-2"/>
        </w:rPr>
        <w:t xml:space="preserve"> contends the trial </w:t>
      </w:r>
      <w:r w:rsidRPr="00E6210C">
        <w:rPr>
          <w:spacing w:val="-2"/>
        </w:rPr>
        <w:t>court could not decline to issue a quiet title judgment on the basis it was redundant</w:t>
      </w:r>
      <w:r w:rsidRPr="00E6210C">
        <w:rPr>
          <w:spacing w:val="-2"/>
        </w:rPr>
        <w:t xml:space="preserve"> </w:t>
      </w:r>
      <w:proofErr w:type="gramStart"/>
      <w:r w:rsidRPr="00E6210C">
        <w:rPr>
          <w:spacing w:val="-2"/>
        </w:rPr>
        <w:t>in light of</w:t>
      </w:r>
      <w:proofErr w:type="gramEnd"/>
      <w:r w:rsidRPr="00E6210C">
        <w:rPr>
          <w:spacing w:val="-2"/>
        </w:rPr>
        <w:t xml:space="preserve"> the declaratory relief judgment</w:t>
      </w:r>
      <w:r w:rsidRPr="00E6210C">
        <w:rPr>
          <w:spacing w:val="-2"/>
        </w:rPr>
        <w:t xml:space="preserve">.  The Association responds that the trial court </w:t>
      </w:r>
      <w:r w:rsidRPr="00E6210C">
        <w:rPr>
          <w:spacing w:val="-2"/>
        </w:rPr>
        <w:t>properly exercised its</w:t>
      </w:r>
      <w:r w:rsidRPr="00E6210C">
        <w:rPr>
          <w:spacing w:val="-2"/>
        </w:rPr>
        <w:t xml:space="preserve"> discretion to fashion </w:t>
      </w:r>
      <w:r w:rsidRPr="00E6210C">
        <w:rPr>
          <w:spacing w:val="-2"/>
        </w:rPr>
        <w:lastRenderedPageBreak/>
        <w:t xml:space="preserve">appropriate relief, no prejudice </w:t>
      </w:r>
      <w:r w:rsidRPr="00E6210C">
        <w:rPr>
          <w:spacing w:val="-2"/>
        </w:rPr>
        <w:t xml:space="preserve">was </w:t>
      </w:r>
      <w:r w:rsidRPr="00E6210C">
        <w:rPr>
          <w:spacing w:val="-2"/>
        </w:rPr>
        <w:t xml:space="preserve">shown by </w:t>
      </w:r>
      <w:r w:rsidRPr="00E6210C">
        <w:rPr>
          <w:spacing w:val="-2"/>
        </w:rPr>
        <w:t xml:space="preserve">the </w:t>
      </w:r>
      <w:r w:rsidRPr="00E6210C">
        <w:rPr>
          <w:spacing w:val="-2"/>
        </w:rPr>
        <w:t>failure to enter a quie</w:t>
      </w:r>
      <w:r w:rsidRPr="00E6210C">
        <w:rPr>
          <w:spacing w:val="-2"/>
        </w:rPr>
        <w:t xml:space="preserve">t title judgment, and </w:t>
      </w:r>
      <w:proofErr w:type="spellStart"/>
      <w:r w:rsidRPr="00E6210C">
        <w:rPr>
          <w:spacing w:val="-2"/>
        </w:rPr>
        <w:t>Colyear</w:t>
      </w:r>
      <w:proofErr w:type="spellEnd"/>
      <w:r w:rsidRPr="00E6210C">
        <w:rPr>
          <w:spacing w:val="-2"/>
        </w:rPr>
        <w:t xml:space="preserve"> provides no record citation to show an adverse </w:t>
      </w:r>
      <w:r w:rsidRPr="00E6210C">
        <w:rPr>
          <w:spacing w:val="-2"/>
        </w:rPr>
        <w:t>claim</w:t>
      </w:r>
      <w:r w:rsidRPr="00E6210C">
        <w:rPr>
          <w:spacing w:val="-2"/>
        </w:rPr>
        <w:t xml:space="preserve">. </w:t>
      </w:r>
      <w:r w:rsidRPr="00E6210C">
        <w:rPr>
          <w:spacing w:val="-2"/>
        </w:rPr>
        <w:t xml:space="preserve"> We </w:t>
      </w:r>
      <w:r w:rsidRPr="00E6210C">
        <w:rPr>
          <w:spacing w:val="-2"/>
        </w:rPr>
        <w:t>conclude an adverse claim to title was not sufficiently shown</w:t>
      </w:r>
      <w:r w:rsidRPr="00E6210C">
        <w:rPr>
          <w:spacing w:val="-2"/>
        </w:rPr>
        <w:t xml:space="preserve"> </w:t>
      </w:r>
      <w:r w:rsidRPr="00E6210C">
        <w:rPr>
          <w:spacing w:val="-2"/>
        </w:rPr>
        <w:t xml:space="preserve">and find no </w:t>
      </w:r>
      <w:r w:rsidRPr="00E6210C">
        <w:rPr>
          <w:spacing w:val="-2"/>
        </w:rPr>
        <w:t xml:space="preserve">abuse </w:t>
      </w:r>
      <w:r w:rsidRPr="00E6210C">
        <w:rPr>
          <w:spacing w:val="-2"/>
        </w:rPr>
        <w:t xml:space="preserve">of </w:t>
      </w:r>
      <w:r w:rsidRPr="00E6210C">
        <w:rPr>
          <w:spacing w:val="-2"/>
        </w:rPr>
        <w:t>discretion</w:t>
      </w:r>
      <w:r w:rsidRPr="00E6210C">
        <w:rPr>
          <w:spacing w:val="-2"/>
        </w:rPr>
        <w:t>.</w:t>
      </w:r>
      <w:r>
        <w:rPr>
          <w:rStyle w:val="FootnoteReference"/>
          <w:spacing w:val="-2"/>
        </w:rPr>
        <w:footnoteReference w:id="13"/>
      </w:r>
      <w:r w:rsidRPr="00E6210C">
        <w:rPr>
          <w:spacing w:val="-2"/>
        </w:rPr>
        <w:t xml:space="preserve"> </w:t>
      </w:r>
    </w:p>
    <w:p w14:paraId="0E1AD9DE" w14:textId="77777777" w:rsidR="00B2782B" w:rsidRPr="00E6210C" w:rsidRDefault="00B2782B" w:rsidP="00223DFA">
      <w:pPr>
        <w:spacing w:after="0" w:line="288" w:lineRule="auto"/>
        <w:rPr>
          <w:spacing w:val="-2"/>
        </w:rPr>
      </w:pPr>
    </w:p>
    <w:p w14:paraId="3724C0FD" w14:textId="77777777" w:rsidR="00B2782B" w:rsidRPr="00E6210C" w:rsidRDefault="00B2782B" w:rsidP="00223DFA">
      <w:pPr>
        <w:spacing w:after="0" w:line="288" w:lineRule="auto"/>
        <w:rPr>
          <w:spacing w:val="-2"/>
        </w:rPr>
      </w:pPr>
      <w:r w:rsidRPr="00E6210C">
        <w:rPr>
          <w:b/>
          <w:bCs/>
          <w:spacing w:val="-2"/>
        </w:rPr>
        <w:tab/>
      </w:r>
      <w:r w:rsidRPr="00E6210C">
        <w:rPr>
          <w:spacing w:val="-2"/>
        </w:rPr>
        <w:t>1</w:t>
      </w:r>
      <w:r w:rsidRPr="00E6210C">
        <w:rPr>
          <w:spacing w:val="-2"/>
        </w:rPr>
        <w:t>.</w:t>
      </w:r>
      <w:r w:rsidRPr="00E6210C">
        <w:rPr>
          <w:spacing w:val="-2"/>
        </w:rPr>
        <w:tab/>
      </w:r>
      <w:r w:rsidRPr="00E6210C">
        <w:rPr>
          <w:i/>
          <w:iCs/>
          <w:spacing w:val="-2"/>
        </w:rPr>
        <w:t>Relevant Background</w:t>
      </w:r>
      <w:r w:rsidRPr="00E6210C">
        <w:rPr>
          <w:spacing w:val="-2"/>
        </w:rPr>
        <w:t xml:space="preserve"> </w:t>
      </w:r>
    </w:p>
    <w:p w14:paraId="180C6B40" w14:textId="77777777" w:rsidR="00B2782B" w:rsidRPr="00E6210C" w:rsidRDefault="00B2782B" w:rsidP="00223DFA">
      <w:pPr>
        <w:spacing w:after="0" w:line="288" w:lineRule="auto"/>
        <w:rPr>
          <w:spacing w:val="-2"/>
        </w:rPr>
      </w:pPr>
      <w:r w:rsidRPr="00E6210C">
        <w:rPr>
          <w:i/>
          <w:iCs/>
          <w:spacing w:val="-2"/>
        </w:rPr>
        <w:tab/>
      </w:r>
      <w:r w:rsidRPr="00E6210C">
        <w:rPr>
          <w:spacing w:val="-2"/>
        </w:rPr>
        <w:t xml:space="preserve">The trial court found </w:t>
      </w:r>
      <w:proofErr w:type="spellStart"/>
      <w:r w:rsidRPr="00E6210C">
        <w:rPr>
          <w:spacing w:val="-2"/>
        </w:rPr>
        <w:t>Colyear</w:t>
      </w:r>
      <w:proofErr w:type="spellEnd"/>
      <w:r w:rsidRPr="00E6210C">
        <w:rPr>
          <w:spacing w:val="-2"/>
        </w:rPr>
        <w:t xml:space="preserve"> failed to meet his burden to prove an adverse claim against the property sufficient to warrant a judgment quieting title</w:t>
      </w:r>
      <w:r w:rsidRPr="00E6210C">
        <w:t xml:space="preserve">.  </w:t>
      </w:r>
      <w:r w:rsidRPr="00E6210C">
        <w:t>T</w:t>
      </w:r>
      <w:r w:rsidRPr="00E6210C">
        <w:t>he court observed,</w:t>
      </w:r>
      <w:r w:rsidRPr="00E6210C">
        <w:t xml:space="preserve"> “[</w:t>
      </w:r>
      <w:proofErr w:type="spellStart"/>
      <w:r w:rsidRPr="00E6210C">
        <w:t>Colyear</w:t>
      </w:r>
      <w:proofErr w:type="spellEnd"/>
      <w:r w:rsidRPr="00E6210C">
        <w:t>] presents a novel issue in that he seeks to quiet title . . . against adverse claims that do not arise from any document recorded in his chain</w:t>
      </w:r>
      <w:r w:rsidRPr="00E6210C">
        <w:t xml:space="preserve"> of title </w:t>
      </w:r>
      <w:proofErr w:type="gramStart"/>
      <w:r w:rsidRPr="00E6210C">
        <w:t>. . . .</w:t>
      </w:r>
      <w:proofErr w:type="gramEnd"/>
      <w:r w:rsidRPr="00E6210C">
        <w:t xml:space="preserve">” </w:t>
      </w:r>
      <w:r w:rsidRPr="00E6210C">
        <w:t xml:space="preserve"> </w:t>
      </w:r>
      <w:r w:rsidRPr="00E6210C">
        <w:t>T</w:t>
      </w:r>
      <w:r w:rsidRPr="00E6210C">
        <w:t xml:space="preserve">he court </w:t>
      </w:r>
      <w:r w:rsidRPr="00E6210C">
        <w:t>indicated</w:t>
      </w:r>
      <w:r w:rsidRPr="00E6210C">
        <w:t xml:space="preserve"> </w:t>
      </w:r>
      <w:r w:rsidRPr="00E6210C">
        <w:rPr>
          <w:spacing w:val="-2"/>
        </w:rPr>
        <w:t xml:space="preserve">the Association’s failure to properly record such a claim was the </w:t>
      </w:r>
      <w:r w:rsidRPr="00E6210C">
        <w:rPr>
          <w:spacing w:val="-2"/>
        </w:rPr>
        <w:t xml:space="preserve">very </w:t>
      </w:r>
      <w:r w:rsidRPr="00E6210C">
        <w:rPr>
          <w:spacing w:val="-2"/>
        </w:rPr>
        <w:t xml:space="preserve">basis for finding the Tree CC inapplicable to </w:t>
      </w:r>
      <w:proofErr w:type="spellStart"/>
      <w:r w:rsidRPr="00E6210C">
        <w:rPr>
          <w:spacing w:val="-2"/>
        </w:rPr>
        <w:t>Colyear’s</w:t>
      </w:r>
      <w:proofErr w:type="spellEnd"/>
      <w:r w:rsidRPr="00E6210C">
        <w:rPr>
          <w:spacing w:val="-2"/>
        </w:rPr>
        <w:t xml:space="preserve"> property.  </w:t>
      </w:r>
      <w:r w:rsidRPr="00E6210C">
        <w:rPr>
          <w:spacing w:val="-2"/>
        </w:rPr>
        <w:t>As a result, t</w:t>
      </w:r>
      <w:r w:rsidRPr="00E6210C">
        <w:rPr>
          <w:spacing w:val="-2"/>
        </w:rPr>
        <w:t xml:space="preserve">he court found a quiet title judgment would “unnecessarily complicate the chain of title.”  </w:t>
      </w:r>
      <w:proofErr w:type="gramStart"/>
      <w:r w:rsidRPr="00E6210C">
        <w:rPr>
          <w:spacing w:val="-2"/>
        </w:rPr>
        <w:t>In light of</w:t>
      </w:r>
      <w:proofErr w:type="gramEnd"/>
      <w:r w:rsidRPr="00E6210C">
        <w:rPr>
          <w:spacing w:val="-2"/>
        </w:rPr>
        <w:t xml:space="preserve"> the declaratory judgment and permanent injunction, the court al</w:t>
      </w:r>
      <w:r w:rsidRPr="00E6210C">
        <w:rPr>
          <w:spacing w:val="-2"/>
        </w:rPr>
        <w:t xml:space="preserve">so found a quiet title judgment would be “redundant and confusing.”  The court declined to exercise its discretion to issue a quiet title judgment. </w:t>
      </w:r>
      <w:r w:rsidRPr="00E6210C">
        <w:rPr>
          <w:spacing w:val="-2"/>
        </w:rPr>
        <w:t xml:space="preserve"> </w:t>
      </w:r>
    </w:p>
    <w:p w14:paraId="2F7B38B6" w14:textId="77777777" w:rsidR="00B2782B" w:rsidRPr="00E6210C" w:rsidRDefault="00B2782B" w:rsidP="00223DFA">
      <w:pPr>
        <w:spacing w:after="0" w:line="288" w:lineRule="auto"/>
        <w:rPr>
          <w:spacing w:val="-2"/>
        </w:rPr>
      </w:pPr>
    </w:p>
    <w:p w14:paraId="253B7C61" w14:textId="77777777" w:rsidR="00B2782B" w:rsidRPr="00E6210C" w:rsidRDefault="00B2782B" w:rsidP="00223DFA">
      <w:pPr>
        <w:spacing w:after="0" w:line="288" w:lineRule="auto"/>
        <w:rPr>
          <w:b/>
          <w:bCs/>
          <w:spacing w:val="-2"/>
        </w:rPr>
      </w:pPr>
      <w:r w:rsidRPr="00E6210C">
        <w:rPr>
          <w:b/>
          <w:bCs/>
          <w:spacing w:val="-2"/>
        </w:rPr>
        <w:tab/>
      </w:r>
      <w:r w:rsidRPr="00E6210C">
        <w:rPr>
          <w:spacing w:val="-2"/>
        </w:rPr>
        <w:t>2</w:t>
      </w:r>
      <w:r w:rsidRPr="00E6210C">
        <w:rPr>
          <w:spacing w:val="-2"/>
        </w:rPr>
        <w:t>.</w:t>
      </w:r>
      <w:r w:rsidRPr="00E6210C">
        <w:rPr>
          <w:spacing w:val="-2"/>
        </w:rPr>
        <w:tab/>
      </w:r>
      <w:r w:rsidRPr="00E6210C">
        <w:rPr>
          <w:i/>
          <w:iCs/>
          <w:spacing w:val="-2"/>
        </w:rPr>
        <w:t>Discussion</w:t>
      </w:r>
    </w:p>
    <w:p w14:paraId="761F5C0B" w14:textId="77777777" w:rsidR="00B2782B" w:rsidRPr="00E6210C" w:rsidRDefault="00B2782B" w:rsidP="00223DFA">
      <w:pPr>
        <w:spacing w:after="0" w:line="288" w:lineRule="auto"/>
        <w:rPr>
          <w:spacing w:val="-2"/>
        </w:rPr>
      </w:pPr>
      <w:r w:rsidRPr="00E6210C">
        <w:rPr>
          <w:spacing w:val="-2"/>
        </w:rPr>
        <w:tab/>
        <w:t xml:space="preserve">A quiet title action </w:t>
      </w:r>
      <w:r w:rsidRPr="00E6210C">
        <w:rPr>
          <w:spacing w:val="-2"/>
        </w:rPr>
        <w:t xml:space="preserve">is generally equitable in nature and </w:t>
      </w:r>
      <w:r w:rsidRPr="00E6210C">
        <w:rPr>
          <w:spacing w:val="-2"/>
        </w:rPr>
        <w:t xml:space="preserve">seeks to declare the rights of the parties in </w:t>
      </w:r>
      <w:proofErr w:type="gramStart"/>
      <w:r w:rsidRPr="00E6210C">
        <w:rPr>
          <w:spacing w:val="-2"/>
        </w:rPr>
        <w:t>realty</w:t>
      </w:r>
      <w:proofErr w:type="gramEnd"/>
      <w:r w:rsidRPr="00E6210C">
        <w:rPr>
          <w:spacing w:val="-2"/>
        </w:rPr>
        <w:t>.  (Civ. Pro</w:t>
      </w:r>
      <w:r w:rsidRPr="00E6210C">
        <w:rPr>
          <w:spacing w:val="-2"/>
        </w:rPr>
        <w:t>c</w:t>
      </w:r>
      <w:r w:rsidRPr="00E6210C">
        <w:rPr>
          <w:spacing w:val="-2"/>
        </w:rPr>
        <w:t xml:space="preserve">., </w:t>
      </w:r>
      <w:r w:rsidRPr="00E6210C">
        <w:rPr>
          <w:spacing w:val="-2"/>
        </w:rPr>
        <w:lastRenderedPageBreak/>
        <w:t>§ 760.010 et seq.</w:t>
      </w:r>
      <w:r w:rsidRPr="00E6210C">
        <w:rPr>
          <w:spacing w:val="-2"/>
        </w:rPr>
        <w:t xml:space="preserve">; </w:t>
      </w:r>
      <w:r w:rsidRPr="00E6210C">
        <w:rPr>
          <w:i/>
          <w:iCs/>
          <w:spacing w:val="-2"/>
        </w:rPr>
        <w:t xml:space="preserve">Strauss v. Summerhays </w:t>
      </w:r>
      <w:r w:rsidRPr="00E6210C">
        <w:rPr>
          <w:spacing w:val="-2"/>
        </w:rPr>
        <w:t>(1984) 157 Cal.App.3d 806, 812.</w:t>
      </w:r>
      <w:r w:rsidRPr="00E6210C">
        <w:rPr>
          <w:spacing w:val="-2"/>
        </w:rPr>
        <w:t xml:space="preserve">)  </w:t>
      </w:r>
      <w:r w:rsidRPr="00E6210C">
        <w:rPr>
          <w:spacing w:val="-2"/>
        </w:rPr>
        <w:t>To establish a claim to quiet title, t</w:t>
      </w:r>
      <w:r w:rsidRPr="00E6210C">
        <w:rPr>
          <w:spacing w:val="-2"/>
        </w:rPr>
        <w:t>he plaintiff must establish an “adverse claim” to the property.  (Civ. Pro</w:t>
      </w:r>
      <w:r w:rsidRPr="00E6210C">
        <w:rPr>
          <w:spacing w:val="-2"/>
        </w:rPr>
        <w:t>c</w:t>
      </w:r>
      <w:r w:rsidRPr="00E6210C">
        <w:rPr>
          <w:spacing w:val="-2"/>
        </w:rPr>
        <w:t>., § 760.020, subd.</w:t>
      </w:r>
      <w:r w:rsidRPr="00E6210C">
        <w:rPr>
          <w:spacing w:val="-2"/>
        </w:rPr>
        <w:t> </w:t>
      </w:r>
      <w:r w:rsidRPr="00E6210C">
        <w:rPr>
          <w:spacing w:val="-2"/>
        </w:rPr>
        <w:t xml:space="preserve">(a).)  </w:t>
      </w:r>
      <w:r w:rsidRPr="00E6210C">
        <w:rPr>
          <w:spacing w:val="-2"/>
        </w:rPr>
        <w:t>Such</w:t>
      </w:r>
      <w:r w:rsidRPr="00E6210C">
        <w:rPr>
          <w:spacing w:val="-2"/>
        </w:rPr>
        <w:t xml:space="preserve"> </w:t>
      </w:r>
      <w:proofErr w:type="gramStart"/>
      <w:r w:rsidRPr="00E6210C">
        <w:rPr>
          <w:spacing w:val="-2"/>
        </w:rPr>
        <w:t>claim</w:t>
      </w:r>
      <w:proofErr w:type="gramEnd"/>
      <w:r w:rsidRPr="00E6210C">
        <w:rPr>
          <w:spacing w:val="-2"/>
        </w:rPr>
        <w:t xml:space="preserve"> must </w:t>
      </w:r>
      <w:r w:rsidRPr="00E6210C">
        <w:rPr>
          <w:spacing w:val="-2"/>
        </w:rPr>
        <w:t xml:space="preserve">also </w:t>
      </w:r>
      <w:r w:rsidRPr="00E6210C">
        <w:rPr>
          <w:spacing w:val="-2"/>
        </w:rPr>
        <w:t>affect title to the property.  (</w:t>
      </w:r>
      <w:r w:rsidRPr="00E6210C">
        <w:rPr>
          <w:i/>
          <w:iCs/>
          <w:spacing w:val="-2"/>
        </w:rPr>
        <w:t>West v. JPMorgan Chase Bank</w:t>
      </w:r>
      <w:r w:rsidRPr="00E6210C">
        <w:rPr>
          <w:i/>
          <w:iCs/>
          <w:spacing w:val="-2"/>
        </w:rPr>
        <w:t>, N.A.</w:t>
      </w:r>
      <w:r w:rsidRPr="00E6210C">
        <w:rPr>
          <w:i/>
          <w:iCs/>
          <w:spacing w:val="-2"/>
        </w:rPr>
        <w:t xml:space="preserve"> </w:t>
      </w:r>
      <w:r w:rsidRPr="00E6210C">
        <w:rPr>
          <w:spacing w:val="-2"/>
        </w:rPr>
        <w:t>(2013) 214 Cal.App.4th 780, 802–803.)  The object of the action is to finally settle and determine</w:t>
      </w:r>
      <w:r w:rsidRPr="00E6210C">
        <w:rPr>
          <w:spacing w:val="-2"/>
        </w:rPr>
        <w:t xml:space="preserve"> </w:t>
      </w:r>
      <w:r w:rsidRPr="00E6210C">
        <w:rPr>
          <w:spacing w:val="-2"/>
        </w:rPr>
        <w:t>all conflicting claims to the property in controversy, and to decree to each such interest or estate therein as each may be entitled.  (</w:t>
      </w:r>
      <w:r w:rsidRPr="00E6210C">
        <w:rPr>
          <w:i/>
          <w:iCs/>
          <w:spacing w:val="-2"/>
        </w:rPr>
        <w:t>Robin v. Crowell</w:t>
      </w:r>
      <w:r w:rsidRPr="00E6210C">
        <w:rPr>
          <w:spacing w:val="-2"/>
        </w:rPr>
        <w:t xml:space="preserve"> (2020) 55 Cal.App.5th 727, 740.)  </w:t>
      </w:r>
      <w:r w:rsidRPr="00E6210C">
        <w:rPr>
          <w:spacing w:val="-2"/>
        </w:rPr>
        <w:t>Quiet</w:t>
      </w:r>
      <w:r w:rsidRPr="00E6210C">
        <w:rPr>
          <w:spacing w:val="-2"/>
        </w:rPr>
        <w:t xml:space="preserve"> title judgments operate in rem and are </w:t>
      </w:r>
      <w:r w:rsidRPr="00E6210C">
        <w:rPr>
          <w:spacing w:val="-2"/>
        </w:rPr>
        <w:t xml:space="preserve">therefore </w:t>
      </w:r>
      <w:r w:rsidRPr="00E6210C">
        <w:rPr>
          <w:spacing w:val="-2"/>
        </w:rPr>
        <w:t xml:space="preserve">binding not only against the parties to the quiet title proceeding, but also </w:t>
      </w:r>
      <w:r w:rsidRPr="00E6210C">
        <w:rPr>
          <w:spacing w:val="-2"/>
        </w:rPr>
        <w:t>“‘against all the world.’”  (</w:t>
      </w:r>
      <w:r w:rsidRPr="00E6210C">
        <w:rPr>
          <w:i/>
          <w:iCs/>
          <w:spacing w:val="-2"/>
        </w:rPr>
        <w:t xml:space="preserve">Nickell v. Matlock </w:t>
      </w:r>
      <w:r w:rsidRPr="00E6210C">
        <w:rPr>
          <w:spacing w:val="-2"/>
        </w:rPr>
        <w:t>(2012) 206 Cal.App.4th 934, 944.)</w:t>
      </w:r>
      <w:r w:rsidRPr="00E6210C">
        <w:rPr>
          <w:spacing w:val="-2"/>
        </w:rPr>
        <w:t xml:space="preserve"> </w:t>
      </w:r>
    </w:p>
    <w:p w14:paraId="2C1B04CA" w14:textId="77777777" w:rsidR="00B2782B" w:rsidRPr="00E6210C" w:rsidRDefault="00B2782B" w:rsidP="00223DFA">
      <w:pPr>
        <w:spacing w:after="0" w:line="288" w:lineRule="auto"/>
        <w:rPr>
          <w:spacing w:val="-2"/>
        </w:rPr>
      </w:pPr>
      <w:r w:rsidRPr="00E6210C">
        <w:rPr>
          <w:spacing w:val="-2"/>
        </w:rPr>
        <w:tab/>
        <w:t xml:space="preserve">We review the trial court’s decision for abuse of discretion.  The court’s discretion to issue a quiet title judgment must be exercised within the bounds of governing statutes and </w:t>
      </w:r>
      <w:r w:rsidRPr="00E6210C">
        <w:t xml:space="preserve">must be guided by applicable legal principles. </w:t>
      </w:r>
      <w:r w:rsidRPr="00E6210C">
        <w:t xml:space="preserve"> </w:t>
      </w:r>
      <w:r w:rsidRPr="00E6210C">
        <w:t>(</w:t>
      </w:r>
      <w:r w:rsidRPr="00E6210C">
        <w:rPr>
          <w:i/>
          <w:iCs/>
        </w:rPr>
        <w:t>Farmers Ins. Exchange v. Superior Court</w:t>
      </w:r>
      <w:r w:rsidRPr="00E6210C">
        <w:t xml:space="preserve"> (2013) 218 Cal.App.4th 96, 106.) </w:t>
      </w:r>
      <w:r w:rsidRPr="00E6210C">
        <w:t xml:space="preserve"> </w:t>
      </w:r>
      <w:r w:rsidRPr="00E6210C">
        <w:t xml:space="preserve">The question </w:t>
      </w:r>
      <w:r w:rsidRPr="00E6210C">
        <w:t xml:space="preserve">of </w:t>
      </w:r>
      <w:r w:rsidRPr="00E6210C">
        <w:t>whether a trial court applied the correct legal standard to an issue in exercising its discretion is a question of law.  (</w:t>
      </w:r>
      <w:r w:rsidRPr="00E6210C">
        <w:rPr>
          <w:i/>
          <w:iCs/>
        </w:rPr>
        <w:t>Gonzalez v. Munoz</w:t>
      </w:r>
      <w:r w:rsidRPr="00E6210C">
        <w:t xml:space="preserve"> (2007) 156 Cal.App.4th 413, 420–421.) </w:t>
      </w:r>
      <w:r w:rsidRPr="00E6210C">
        <w:t xml:space="preserve"> </w:t>
      </w:r>
      <w:r w:rsidRPr="00E6210C">
        <w:t>We review any disputed facts for substantial evidence.  (</w:t>
      </w:r>
      <w:proofErr w:type="spellStart"/>
      <w:r w:rsidRPr="00E6210C">
        <w:rPr>
          <w:i/>
          <w:iCs/>
          <w:spacing w:val="-2"/>
        </w:rPr>
        <w:t>Ridec</w:t>
      </w:r>
      <w:proofErr w:type="spellEnd"/>
      <w:r w:rsidRPr="00E6210C">
        <w:rPr>
          <w:i/>
          <w:iCs/>
          <w:spacing w:val="-2"/>
        </w:rPr>
        <w:t xml:space="preserve"> LLC v. Hinkle </w:t>
      </w:r>
      <w:r w:rsidRPr="00E6210C">
        <w:rPr>
          <w:spacing w:val="-2"/>
        </w:rPr>
        <w:t xml:space="preserve">(2023) 92 Cal.App.5th 1182, 1195.)  </w:t>
      </w:r>
    </w:p>
    <w:p w14:paraId="2393775A" w14:textId="77777777" w:rsidR="00B2782B" w:rsidRPr="00E6210C" w:rsidRDefault="00B2782B" w:rsidP="00223DFA">
      <w:pPr>
        <w:spacing w:after="0" w:line="288" w:lineRule="auto"/>
        <w:rPr>
          <w:spacing w:val="-2"/>
        </w:rPr>
      </w:pPr>
      <w:r w:rsidRPr="00E6210C">
        <w:rPr>
          <w:spacing w:val="-2"/>
        </w:rPr>
        <w:tab/>
      </w:r>
      <w:proofErr w:type="spellStart"/>
      <w:r w:rsidRPr="00E6210C">
        <w:rPr>
          <w:spacing w:val="-2"/>
        </w:rPr>
        <w:t>Colyear</w:t>
      </w:r>
      <w:proofErr w:type="spellEnd"/>
      <w:r w:rsidRPr="00E6210C">
        <w:rPr>
          <w:spacing w:val="-2"/>
        </w:rPr>
        <w:t xml:space="preserve"> asserts a judgment quieting title is required as a matter of law</w:t>
      </w:r>
      <w:r w:rsidRPr="00E6210C">
        <w:rPr>
          <w:spacing w:val="-2"/>
        </w:rPr>
        <w:t>,</w:t>
      </w:r>
      <w:r w:rsidRPr="00E6210C">
        <w:rPr>
          <w:spacing w:val="-2"/>
        </w:rPr>
        <w:t xml:space="preserve"> and the trial court abused its discretion in declining to quiet title because the Association asserted an “‘interest in property’ adverse to Mr. </w:t>
      </w:r>
      <w:proofErr w:type="spellStart"/>
      <w:r w:rsidRPr="00E6210C">
        <w:rPr>
          <w:spacing w:val="-2"/>
        </w:rPr>
        <w:t>Colyear’s</w:t>
      </w:r>
      <w:proofErr w:type="spellEnd"/>
      <w:r w:rsidRPr="00E6210C">
        <w:rPr>
          <w:spacing w:val="-2"/>
        </w:rPr>
        <w:t xml:space="preserve"> title.”  We disagree</w:t>
      </w:r>
      <w:r w:rsidRPr="00E6210C">
        <w:rPr>
          <w:spacing w:val="-2"/>
        </w:rPr>
        <w:t xml:space="preserve">.  </w:t>
      </w:r>
      <w:proofErr w:type="spellStart"/>
      <w:r w:rsidRPr="00E6210C">
        <w:rPr>
          <w:spacing w:val="-2"/>
        </w:rPr>
        <w:t>Colyear</w:t>
      </w:r>
      <w:proofErr w:type="spellEnd"/>
      <w:r w:rsidRPr="00E6210C">
        <w:rPr>
          <w:spacing w:val="-2"/>
        </w:rPr>
        <w:t xml:space="preserve"> has cited no case establishing entitlement to quiet title where the purported adverse </w:t>
      </w:r>
      <w:r w:rsidRPr="00E6210C">
        <w:rPr>
          <w:spacing w:val="-2"/>
        </w:rPr>
        <w:t>claim</w:t>
      </w:r>
      <w:r w:rsidRPr="00E6210C">
        <w:rPr>
          <w:spacing w:val="-2"/>
        </w:rPr>
        <w:t xml:space="preserve"> is a covenant that </w:t>
      </w:r>
      <w:r w:rsidRPr="00E6210C">
        <w:rPr>
          <w:spacing w:val="-2"/>
        </w:rPr>
        <w:t xml:space="preserve">is both inapplicable </w:t>
      </w:r>
      <w:r w:rsidRPr="00E6210C">
        <w:rPr>
          <w:spacing w:val="-2"/>
        </w:rPr>
        <w:t>to the plaintiff</w:t>
      </w:r>
      <w:r w:rsidRPr="00E6210C">
        <w:rPr>
          <w:spacing w:val="-2"/>
        </w:rPr>
        <w:t>’</w:t>
      </w:r>
      <w:r w:rsidRPr="00E6210C">
        <w:rPr>
          <w:spacing w:val="-2"/>
        </w:rPr>
        <w:t xml:space="preserve">s property and </w:t>
      </w:r>
      <w:r w:rsidRPr="00E6210C">
        <w:rPr>
          <w:spacing w:val="-2"/>
        </w:rPr>
        <w:t xml:space="preserve">does not </w:t>
      </w:r>
      <w:r w:rsidRPr="00E6210C">
        <w:rPr>
          <w:spacing w:val="-2"/>
        </w:rPr>
        <w:t xml:space="preserve">put </w:t>
      </w:r>
      <w:r w:rsidRPr="00E6210C">
        <w:rPr>
          <w:spacing w:val="-2"/>
        </w:rPr>
        <w:t>plaintiff</w:t>
      </w:r>
      <w:r w:rsidRPr="00E6210C">
        <w:rPr>
          <w:spacing w:val="-2"/>
        </w:rPr>
        <w:t>’</w:t>
      </w:r>
      <w:r w:rsidRPr="00E6210C">
        <w:rPr>
          <w:spacing w:val="-2"/>
        </w:rPr>
        <w:t>s title</w:t>
      </w:r>
      <w:r w:rsidRPr="00E6210C">
        <w:rPr>
          <w:spacing w:val="-2"/>
        </w:rPr>
        <w:t xml:space="preserve"> </w:t>
      </w:r>
      <w:r w:rsidRPr="00E6210C">
        <w:rPr>
          <w:spacing w:val="-2"/>
        </w:rPr>
        <w:t xml:space="preserve">at stake.  </w:t>
      </w:r>
      <w:r w:rsidRPr="00E6210C">
        <w:rPr>
          <w:spacing w:val="-2"/>
        </w:rPr>
        <w:lastRenderedPageBreak/>
        <w:t xml:space="preserve">(See </w:t>
      </w:r>
      <w:r w:rsidRPr="00E6210C">
        <w:rPr>
          <w:i/>
          <w:iCs/>
          <w:spacing w:val="-2"/>
        </w:rPr>
        <w:t xml:space="preserve">West v. JPMorgan Chase Bank, supra, </w:t>
      </w:r>
      <w:r w:rsidRPr="00E6210C">
        <w:rPr>
          <w:spacing w:val="-2"/>
        </w:rPr>
        <w:t>214 C</w:t>
      </w:r>
      <w:r w:rsidRPr="00E6210C">
        <w:rPr>
          <w:spacing w:val="-2"/>
        </w:rPr>
        <w:t xml:space="preserve">al.App.4th </w:t>
      </w:r>
      <w:r w:rsidRPr="00E6210C">
        <w:rPr>
          <w:spacing w:val="-2"/>
        </w:rPr>
        <w:t>at pp. </w:t>
      </w:r>
      <w:r w:rsidRPr="00E6210C">
        <w:rPr>
          <w:spacing w:val="-2"/>
        </w:rPr>
        <w:t>802–803</w:t>
      </w:r>
      <w:r w:rsidRPr="00E6210C">
        <w:rPr>
          <w:spacing w:val="-2"/>
        </w:rPr>
        <w:t xml:space="preserve"> [quiet title failed where defendant had no “</w:t>
      </w:r>
      <w:r w:rsidRPr="00E6210C">
        <w:rPr>
          <w:color w:val="212121"/>
          <w:sz w:val="27"/>
          <w:szCs w:val="27"/>
          <w:shd w:val="clear" w:color="auto" w:fill="FAFAFA"/>
        </w:rPr>
        <w:t>adverse claims to title</w:t>
      </w:r>
      <w:r w:rsidRPr="00E6210C">
        <w:rPr>
          <w:spacing w:val="-2"/>
        </w:rPr>
        <w:t>”</w:t>
      </w:r>
      <w:r w:rsidRPr="00E6210C">
        <w:rPr>
          <w:spacing w:val="-2"/>
        </w:rPr>
        <w:t>]</w:t>
      </w:r>
      <w:r w:rsidRPr="00E6210C">
        <w:rPr>
          <w:spacing w:val="-2"/>
        </w:rPr>
        <w:t>.</w:t>
      </w:r>
      <w:r w:rsidRPr="00E6210C">
        <w:rPr>
          <w:spacing w:val="-2"/>
        </w:rPr>
        <w:t xml:space="preserve">)  </w:t>
      </w:r>
      <w:r w:rsidRPr="00E6210C">
        <w:rPr>
          <w:spacing w:val="-2"/>
        </w:rPr>
        <w:t xml:space="preserve">Neither </w:t>
      </w:r>
      <w:proofErr w:type="spellStart"/>
      <w:r w:rsidRPr="00E6210C">
        <w:rPr>
          <w:spacing w:val="-2"/>
        </w:rPr>
        <w:t>Colyear’s</w:t>
      </w:r>
      <w:proofErr w:type="spellEnd"/>
      <w:r w:rsidRPr="00E6210C">
        <w:rPr>
          <w:spacing w:val="-2"/>
        </w:rPr>
        <w:t xml:space="preserve"> deeds nor his title reports reference Declaration 150.  Rather, they reference Declaration 150-M.  </w:t>
      </w:r>
      <w:r w:rsidRPr="00E6210C">
        <w:rPr>
          <w:spacing w:val="-2"/>
        </w:rPr>
        <w:t xml:space="preserve">In other words, </w:t>
      </w:r>
      <w:proofErr w:type="spellStart"/>
      <w:r w:rsidRPr="00E6210C">
        <w:rPr>
          <w:spacing w:val="-2"/>
        </w:rPr>
        <w:t>Colyear</w:t>
      </w:r>
      <w:proofErr w:type="spellEnd"/>
      <w:r w:rsidRPr="00E6210C">
        <w:rPr>
          <w:spacing w:val="-2"/>
        </w:rPr>
        <w:t xml:space="preserve"> does not demonstrate how arguing that a covenant applies to a property affects title where review of the chain of title itself proves the covenant does not apply.  As this was the basis on which the trial court declined to exercise its equitable discretion to issue a q</w:t>
      </w:r>
      <w:r w:rsidRPr="00E6210C">
        <w:rPr>
          <w:spacing w:val="-2"/>
        </w:rPr>
        <w:t>ui</w:t>
      </w:r>
      <w:r w:rsidRPr="00E6210C">
        <w:rPr>
          <w:spacing w:val="-2"/>
        </w:rPr>
        <w:t>e</w:t>
      </w:r>
      <w:r w:rsidRPr="00E6210C">
        <w:rPr>
          <w:spacing w:val="-2"/>
        </w:rPr>
        <w:t xml:space="preserve">t title judgment, </w:t>
      </w:r>
      <w:proofErr w:type="spellStart"/>
      <w:r w:rsidRPr="00E6210C">
        <w:rPr>
          <w:spacing w:val="-2"/>
        </w:rPr>
        <w:t>Colyear</w:t>
      </w:r>
      <w:proofErr w:type="spellEnd"/>
      <w:r w:rsidRPr="00E6210C">
        <w:rPr>
          <w:spacing w:val="-2"/>
        </w:rPr>
        <w:t xml:space="preserve"> has not </w:t>
      </w:r>
      <w:r w:rsidRPr="00E6210C">
        <w:rPr>
          <w:spacing w:val="-2"/>
        </w:rPr>
        <w:t>demonstrated error</w:t>
      </w:r>
      <w:r w:rsidRPr="00E6210C">
        <w:rPr>
          <w:spacing w:val="-2"/>
        </w:rPr>
        <w:t>.</w:t>
      </w:r>
    </w:p>
    <w:p w14:paraId="6B56737C" w14:textId="77777777" w:rsidR="00B2782B" w:rsidRPr="00E6210C" w:rsidRDefault="00B2782B" w:rsidP="00223DFA">
      <w:pPr>
        <w:spacing w:after="0" w:line="288" w:lineRule="auto"/>
      </w:pPr>
      <w:r w:rsidRPr="00E6210C">
        <w:rPr>
          <w:spacing w:val="-2"/>
        </w:rPr>
        <w:tab/>
      </w:r>
      <w:r w:rsidRPr="00E6210C">
        <w:rPr>
          <w:spacing w:val="-2"/>
        </w:rPr>
        <w:t>Nevertheless</w:t>
      </w:r>
      <w:r w:rsidRPr="00E6210C">
        <w:rPr>
          <w:spacing w:val="-2"/>
        </w:rPr>
        <w:t xml:space="preserve">, </w:t>
      </w:r>
      <w:proofErr w:type="spellStart"/>
      <w:r w:rsidRPr="00E6210C">
        <w:rPr>
          <w:spacing w:val="-2"/>
        </w:rPr>
        <w:t>Colyear</w:t>
      </w:r>
      <w:proofErr w:type="spellEnd"/>
      <w:r w:rsidRPr="00E6210C">
        <w:rPr>
          <w:spacing w:val="-2"/>
        </w:rPr>
        <w:t xml:space="preserve"> asserts that where a plaintiff shows </w:t>
      </w:r>
      <w:r w:rsidRPr="00E6210C">
        <w:rPr>
          <w:i/>
          <w:iCs/>
          <w:spacing w:val="-2"/>
        </w:rPr>
        <w:t xml:space="preserve">any </w:t>
      </w:r>
      <w:r w:rsidRPr="00E6210C">
        <w:rPr>
          <w:spacing w:val="-2"/>
        </w:rPr>
        <w:t xml:space="preserve">adverse claim, the plaintiff is entitled to have the validity of that interest declared by the court </w:t>
      </w:r>
      <w:r w:rsidRPr="00E6210C">
        <w:rPr>
          <w:spacing w:val="-2"/>
        </w:rPr>
        <w:t>through</w:t>
      </w:r>
      <w:r w:rsidRPr="00E6210C">
        <w:rPr>
          <w:spacing w:val="-2"/>
        </w:rPr>
        <w:t xml:space="preserve"> quiet</w:t>
      </w:r>
      <w:r w:rsidRPr="00E6210C">
        <w:rPr>
          <w:spacing w:val="-2"/>
        </w:rPr>
        <w:t xml:space="preserve"> </w:t>
      </w:r>
      <w:r w:rsidRPr="00E6210C">
        <w:rPr>
          <w:spacing w:val="-2"/>
        </w:rPr>
        <w:t xml:space="preserve">title.  </w:t>
      </w:r>
      <w:r w:rsidRPr="00E6210C">
        <w:rPr>
          <w:spacing w:val="-2"/>
        </w:rPr>
        <w:t>T</w:t>
      </w:r>
      <w:r w:rsidRPr="00E6210C">
        <w:rPr>
          <w:spacing w:val="-2"/>
        </w:rPr>
        <w:t>he cases upon which he relie</w:t>
      </w:r>
      <w:r w:rsidRPr="00E6210C">
        <w:rPr>
          <w:spacing w:val="-2"/>
        </w:rPr>
        <w:t xml:space="preserve">s </w:t>
      </w:r>
      <w:r w:rsidRPr="00E6210C">
        <w:rPr>
          <w:spacing w:val="-2"/>
        </w:rPr>
        <w:t xml:space="preserve">are </w:t>
      </w:r>
      <w:r w:rsidRPr="00E6210C">
        <w:rPr>
          <w:spacing w:val="-2"/>
        </w:rPr>
        <w:t>inapposite</w:t>
      </w:r>
      <w:r w:rsidRPr="00E6210C">
        <w:rPr>
          <w:spacing w:val="-2"/>
        </w:rPr>
        <w:t xml:space="preserve">, as </w:t>
      </w:r>
      <w:r w:rsidRPr="00E6210C">
        <w:rPr>
          <w:spacing w:val="-2"/>
        </w:rPr>
        <w:t>they involved claims that, unlike the inapplicable Tree CC, affected the plaintiff</w:t>
      </w:r>
      <w:r w:rsidRPr="00E6210C">
        <w:rPr>
          <w:spacing w:val="-2"/>
        </w:rPr>
        <w:t>’</w:t>
      </w:r>
      <w:r w:rsidRPr="00E6210C">
        <w:rPr>
          <w:spacing w:val="-2"/>
        </w:rPr>
        <w:t xml:space="preserve">s title. </w:t>
      </w:r>
      <w:r w:rsidRPr="00E6210C">
        <w:rPr>
          <w:spacing w:val="-2"/>
        </w:rPr>
        <w:t xml:space="preserve"> </w:t>
      </w:r>
      <w:r w:rsidRPr="00E6210C">
        <w:rPr>
          <w:spacing w:val="-2"/>
        </w:rPr>
        <w:t xml:space="preserve">In </w:t>
      </w:r>
      <w:r w:rsidRPr="00E6210C">
        <w:rPr>
          <w:i/>
          <w:iCs/>
          <w:spacing w:val="-2"/>
        </w:rPr>
        <w:t xml:space="preserve">Peterson v. Gibbs </w:t>
      </w:r>
      <w:r w:rsidRPr="00E6210C">
        <w:rPr>
          <w:spacing w:val="-2"/>
        </w:rPr>
        <w:t>(1905) 147 Cal. 1</w:t>
      </w:r>
      <w:r w:rsidRPr="00E6210C">
        <w:rPr>
          <w:spacing w:val="-2"/>
        </w:rPr>
        <w:t xml:space="preserve">, </w:t>
      </w:r>
      <w:r w:rsidRPr="00E6210C">
        <w:rPr>
          <w:spacing w:val="-2"/>
        </w:rPr>
        <w:t xml:space="preserve">the </w:t>
      </w:r>
      <w:r w:rsidRPr="00E6210C">
        <w:rPr>
          <w:spacing w:val="-2"/>
        </w:rPr>
        <w:t>plaintiff claimed to be the fee simple owner of property</w:t>
      </w:r>
      <w:r w:rsidRPr="00E6210C">
        <w:rPr>
          <w:spacing w:val="-2"/>
        </w:rPr>
        <w:t xml:space="preserve">. </w:t>
      </w:r>
      <w:r w:rsidRPr="00E6210C">
        <w:rPr>
          <w:spacing w:val="-2"/>
        </w:rPr>
        <w:t xml:space="preserve"> (</w:t>
      </w:r>
      <w:r w:rsidRPr="00E6210C">
        <w:rPr>
          <w:i/>
          <w:iCs/>
          <w:spacing w:val="-2"/>
        </w:rPr>
        <w:t xml:space="preserve">Id. </w:t>
      </w:r>
      <w:r w:rsidRPr="00E6210C">
        <w:rPr>
          <w:spacing w:val="-2"/>
        </w:rPr>
        <w:t>at pp. 2–3</w:t>
      </w:r>
      <w:r w:rsidRPr="00E6210C">
        <w:rPr>
          <w:spacing w:val="-2"/>
        </w:rPr>
        <w:t>.</w:t>
      </w:r>
      <w:r w:rsidRPr="00E6210C">
        <w:rPr>
          <w:spacing w:val="-2"/>
        </w:rPr>
        <w:t>)</w:t>
      </w:r>
      <w:r w:rsidRPr="00E6210C">
        <w:rPr>
          <w:spacing w:val="-2"/>
        </w:rPr>
        <w:t xml:space="preserve">  </w:t>
      </w:r>
      <w:r w:rsidRPr="00E6210C">
        <w:rPr>
          <w:spacing w:val="-2"/>
        </w:rPr>
        <w:t>The d</w:t>
      </w:r>
      <w:r w:rsidRPr="00E6210C">
        <w:rPr>
          <w:spacing w:val="-2"/>
        </w:rPr>
        <w:t>efendant</w:t>
      </w:r>
      <w:r w:rsidRPr="00E6210C">
        <w:rPr>
          <w:spacing w:val="-2"/>
        </w:rPr>
        <w:t>s</w:t>
      </w:r>
      <w:r w:rsidRPr="00E6210C">
        <w:rPr>
          <w:spacing w:val="-2"/>
        </w:rPr>
        <w:t xml:space="preserve"> </w:t>
      </w:r>
      <w:r w:rsidRPr="00E6210C">
        <w:rPr>
          <w:spacing w:val="-2"/>
        </w:rPr>
        <w:t xml:space="preserve">“denied that </w:t>
      </w:r>
      <w:r w:rsidRPr="00E6210C">
        <w:rPr>
          <w:spacing w:val="-2"/>
        </w:rPr>
        <w:t xml:space="preserve">[the] </w:t>
      </w:r>
      <w:r w:rsidRPr="00E6210C">
        <w:rPr>
          <w:spacing w:val="-2"/>
        </w:rPr>
        <w:t>plaintiff was the owner in fee or in possession of any part of said land</w:t>
      </w:r>
      <w:r w:rsidRPr="00E6210C">
        <w:rPr>
          <w:spacing w:val="-2"/>
        </w:rPr>
        <w:t>,</w:t>
      </w:r>
      <w:r w:rsidRPr="00E6210C">
        <w:rPr>
          <w:spacing w:val="-2"/>
        </w:rPr>
        <w:t xml:space="preserve">” </w:t>
      </w:r>
      <w:r w:rsidRPr="00E6210C">
        <w:rPr>
          <w:spacing w:val="-2"/>
        </w:rPr>
        <w:t xml:space="preserve">based upon </w:t>
      </w:r>
      <w:r w:rsidRPr="00E6210C">
        <w:rPr>
          <w:spacing w:val="-2"/>
        </w:rPr>
        <w:t>a duly recorded instrument</w:t>
      </w:r>
      <w:r w:rsidRPr="00E6210C">
        <w:rPr>
          <w:spacing w:val="-2"/>
        </w:rPr>
        <w:t xml:space="preserve"> that the court found valid</w:t>
      </w:r>
      <w:r w:rsidRPr="00E6210C">
        <w:rPr>
          <w:spacing w:val="-2"/>
        </w:rPr>
        <w:t xml:space="preserve">. </w:t>
      </w:r>
      <w:r w:rsidRPr="00E6210C">
        <w:rPr>
          <w:spacing w:val="-2"/>
        </w:rPr>
        <w:t xml:space="preserve"> </w:t>
      </w:r>
      <w:r w:rsidRPr="00E6210C">
        <w:rPr>
          <w:spacing w:val="-2"/>
        </w:rPr>
        <w:t>I</w:t>
      </w:r>
      <w:r w:rsidRPr="00E6210C">
        <w:rPr>
          <w:spacing w:val="-2"/>
        </w:rPr>
        <w:t xml:space="preserve">n </w:t>
      </w:r>
      <w:r w:rsidRPr="00E6210C">
        <w:rPr>
          <w:i/>
          <w:iCs/>
          <w:spacing w:val="-2"/>
        </w:rPr>
        <w:t xml:space="preserve">Barker v. Barker </w:t>
      </w:r>
      <w:r w:rsidRPr="00E6210C">
        <w:rPr>
          <w:spacing w:val="-2"/>
        </w:rPr>
        <w:t xml:space="preserve">(1956) 139 Cal.App.2d 206, </w:t>
      </w:r>
      <w:r w:rsidRPr="00E6210C">
        <w:rPr>
          <w:spacing w:val="-2"/>
        </w:rPr>
        <w:t xml:space="preserve">the </w:t>
      </w:r>
      <w:r w:rsidRPr="00E6210C">
        <w:rPr>
          <w:spacing w:val="-2"/>
        </w:rPr>
        <w:t>parties</w:t>
      </w:r>
      <w:r w:rsidRPr="00E6210C">
        <w:rPr>
          <w:spacing w:val="-2"/>
        </w:rPr>
        <w:t xml:space="preserve"> dispute</w:t>
      </w:r>
      <w:r w:rsidRPr="00E6210C">
        <w:rPr>
          <w:spacing w:val="-2"/>
        </w:rPr>
        <w:t>d</w:t>
      </w:r>
      <w:r w:rsidRPr="00E6210C">
        <w:rPr>
          <w:spacing w:val="-2"/>
        </w:rPr>
        <w:t xml:space="preserve"> whether </w:t>
      </w:r>
      <w:r w:rsidRPr="00E6210C">
        <w:rPr>
          <w:spacing w:val="-2"/>
        </w:rPr>
        <w:t>property was separate or commu</w:t>
      </w:r>
      <w:r w:rsidRPr="00E6210C">
        <w:rPr>
          <w:spacing w:val="-2"/>
        </w:rPr>
        <w:t xml:space="preserve">nity property and </w:t>
      </w:r>
      <w:r w:rsidRPr="00E6210C">
        <w:rPr>
          <w:spacing w:val="-2"/>
        </w:rPr>
        <w:t>asked the court to determine who had title</w:t>
      </w:r>
      <w:r w:rsidRPr="00E6210C">
        <w:rPr>
          <w:spacing w:val="-2"/>
        </w:rPr>
        <w:t xml:space="preserve"> to it</w:t>
      </w:r>
      <w:r w:rsidRPr="00E6210C">
        <w:rPr>
          <w:spacing w:val="-2"/>
        </w:rPr>
        <w:t xml:space="preserve"> in their dissolution </w:t>
      </w:r>
      <w:proofErr w:type="gramStart"/>
      <w:r w:rsidRPr="00E6210C">
        <w:rPr>
          <w:spacing w:val="-2"/>
        </w:rPr>
        <w:t>proceeding</w:t>
      </w:r>
      <w:proofErr w:type="gramEnd"/>
      <w:r w:rsidRPr="00E6210C">
        <w:rPr>
          <w:spacing w:val="-2"/>
        </w:rPr>
        <w:t>.</w:t>
      </w:r>
      <w:r w:rsidRPr="00E6210C">
        <w:rPr>
          <w:spacing w:val="-2"/>
        </w:rPr>
        <w:t xml:space="preserve"> </w:t>
      </w:r>
      <w:r w:rsidRPr="00E6210C">
        <w:rPr>
          <w:spacing w:val="-2"/>
        </w:rPr>
        <w:t xml:space="preserve"> </w:t>
      </w:r>
      <w:r w:rsidRPr="00E6210C">
        <w:rPr>
          <w:spacing w:val="-2"/>
        </w:rPr>
        <w:t>(</w:t>
      </w:r>
      <w:r w:rsidRPr="00E6210C">
        <w:rPr>
          <w:i/>
          <w:iCs/>
          <w:spacing w:val="-2"/>
        </w:rPr>
        <w:t xml:space="preserve">Id. </w:t>
      </w:r>
      <w:r w:rsidRPr="00E6210C">
        <w:rPr>
          <w:spacing w:val="-2"/>
        </w:rPr>
        <w:t>at pp. 210–211.)</w:t>
      </w:r>
      <w:r>
        <w:rPr>
          <w:rStyle w:val="FootnoteReference"/>
          <w:spacing w:val="-2"/>
        </w:rPr>
        <w:footnoteReference w:id="14"/>
      </w:r>
      <w:r w:rsidRPr="00E6210C">
        <w:rPr>
          <w:spacing w:val="-2"/>
        </w:rPr>
        <w:t xml:space="preserve">  </w:t>
      </w:r>
      <w:r w:rsidRPr="00E6210C">
        <w:t xml:space="preserve">Here, there is no dispute </w:t>
      </w:r>
      <w:proofErr w:type="spellStart"/>
      <w:r w:rsidRPr="00E6210C">
        <w:t>Colyear</w:t>
      </w:r>
      <w:proofErr w:type="spellEnd"/>
      <w:r w:rsidRPr="00E6210C">
        <w:t xml:space="preserve"> has title to his property</w:t>
      </w:r>
      <w:r w:rsidRPr="00E6210C">
        <w:t xml:space="preserve"> and </w:t>
      </w:r>
      <w:r w:rsidRPr="00E6210C">
        <w:t xml:space="preserve">no </w:t>
      </w:r>
      <w:r w:rsidRPr="00E6210C">
        <w:lastRenderedPageBreak/>
        <w:t xml:space="preserve">document </w:t>
      </w:r>
      <w:r w:rsidRPr="00E6210C">
        <w:t xml:space="preserve">is </w:t>
      </w:r>
      <w:r w:rsidRPr="00E6210C">
        <w:t xml:space="preserve">recorded in the chain of title applying the Tree CC to </w:t>
      </w:r>
      <w:proofErr w:type="spellStart"/>
      <w:r w:rsidRPr="00E6210C">
        <w:t>Colyear’s</w:t>
      </w:r>
      <w:proofErr w:type="spellEnd"/>
      <w:r w:rsidRPr="00E6210C">
        <w:t xml:space="preserve"> property.  </w:t>
      </w:r>
      <w:r w:rsidRPr="00E6210C">
        <w:t xml:space="preserve">As </w:t>
      </w:r>
      <w:proofErr w:type="spellStart"/>
      <w:r w:rsidRPr="00E6210C">
        <w:t>Colyear</w:t>
      </w:r>
      <w:proofErr w:type="spellEnd"/>
      <w:r w:rsidRPr="00E6210C">
        <w:t xml:space="preserve"> has not shown </w:t>
      </w:r>
      <w:r w:rsidRPr="00E6210C">
        <w:t>how</w:t>
      </w:r>
      <w:r w:rsidRPr="00E6210C">
        <w:t xml:space="preserve"> the trial </w:t>
      </w:r>
      <w:r w:rsidRPr="00E6210C">
        <w:rPr>
          <w:spacing w:val="-2"/>
        </w:rPr>
        <w:t>court abused its discretion by failing to act within the bounds of the law, we affirm</w:t>
      </w:r>
      <w:r w:rsidRPr="00E6210C">
        <w:rPr>
          <w:spacing w:val="-2"/>
        </w:rPr>
        <w:t xml:space="preserve"> its decision on the quiet title cause of action</w:t>
      </w:r>
      <w:r w:rsidRPr="00E6210C">
        <w:rPr>
          <w:spacing w:val="-2"/>
        </w:rPr>
        <w:t>.</w:t>
      </w:r>
    </w:p>
    <w:p w14:paraId="6E995A4C" w14:textId="77777777" w:rsidR="00B2782B" w:rsidRPr="00E6210C" w:rsidRDefault="00B2782B" w:rsidP="00223DFA">
      <w:pPr>
        <w:spacing w:line="288" w:lineRule="auto"/>
        <w:rPr>
          <w:spacing w:val="-2"/>
        </w:rPr>
      </w:pPr>
      <w:r w:rsidRPr="00E6210C">
        <w:rPr>
          <w:spacing w:val="-2"/>
        </w:rPr>
        <w:br w:type="page"/>
      </w:r>
    </w:p>
    <w:p w14:paraId="0C2A185D" w14:textId="77777777" w:rsidR="00B2782B" w:rsidRPr="00E6210C" w:rsidRDefault="00B2782B" w:rsidP="00223DFA">
      <w:pPr>
        <w:keepNext/>
        <w:spacing w:after="0" w:line="288" w:lineRule="auto"/>
        <w:jc w:val="center"/>
        <w:rPr>
          <w:b/>
          <w:bCs/>
          <w:spacing w:val="-2"/>
        </w:rPr>
      </w:pPr>
      <w:r w:rsidRPr="00E6210C">
        <w:rPr>
          <w:b/>
          <w:bCs/>
          <w:spacing w:val="-2"/>
        </w:rPr>
        <w:lastRenderedPageBreak/>
        <w:t>DISPOSITION</w:t>
      </w:r>
    </w:p>
    <w:p w14:paraId="45F559EA" w14:textId="77777777" w:rsidR="00B2782B" w:rsidRPr="00E6210C" w:rsidRDefault="00B2782B" w:rsidP="00223DFA">
      <w:pPr>
        <w:spacing w:after="0" w:line="288" w:lineRule="auto"/>
        <w:rPr>
          <w:spacing w:val="-2"/>
        </w:rPr>
      </w:pPr>
      <w:r w:rsidRPr="00E6210C">
        <w:rPr>
          <w:b/>
          <w:bCs/>
          <w:spacing w:val="-2"/>
        </w:rPr>
        <w:tab/>
      </w:r>
      <w:r w:rsidRPr="00E6210C">
        <w:rPr>
          <w:spacing w:val="-2"/>
        </w:rPr>
        <w:t>The judgment of the superior court is affirmed</w:t>
      </w:r>
      <w:r w:rsidRPr="00E6210C">
        <w:rPr>
          <w:spacing w:val="-2"/>
        </w:rPr>
        <w:t xml:space="preserve"> with respect to</w:t>
      </w:r>
      <w:r w:rsidRPr="00E6210C">
        <w:rPr>
          <w:spacing w:val="-2"/>
        </w:rPr>
        <w:t xml:space="preserve"> declaratory </w:t>
      </w:r>
      <w:r w:rsidRPr="00E6210C">
        <w:rPr>
          <w:spacing w:val="-2"/>
        </w:rPr>
        <w:t>relief</w:t>
      </w:r>
      <w:r w:rsidRPr="00E6210C">
        <w:rPr>
          <w:spacing w:val="-2"/>
        </w:rPr>
        <w:t xml:space="preserve"> </w:t>
      </w:r>
      <w:r w:rsidRPr="00E6210C">
        <w:rPr>
          <w:spacing w:val="-2"/>
        </w:rPr>
        <w:t xml:space="preserve">and quiet </w:t>
      </w:r>
      <w:r w:rsidRPr="00E6210C">
        <w:rPr>
          <w:spacing w:val="-2"/>
        </w:rPr>
        <w:t xml:space="preserve">title </w:t>
      </w:r>
      <w:r w:rsidRPr="00E6210C">
        <w:rPr>
          <w:spacing w:val="-2"/>
        </w:rPr>
        <w:t xml:space="preserve">claims.  The judgment is </w:t>
      </w:r>
      <w:r w:rsidRPr="00E6210C">
        <w:rPr>
          <w:spacing w:val="-2"/>
        </w:rPr>
        <w:t xml:space="preserve">reversed with respect to </w:t>
      </w:r>
      <w:r w:rsidRPr="00E6210C">
        <w:rPr>
          <w:spacing w:val="-2"/>
        </w:rPr>
        <w:t xml:space="preserve">the </w:t>
      </w:r>
      <w:r w:rsidRPr="00E6210C">
        <w:rPr>
          <w:spacing w:val="-2"/>
        </w:rPr>
        <w:t xml:space="preserve">injunctive </w:t>
      </w:r>
      <w:r w:rsidRPr="00E6210C">
        <w:rPr>
          <w:spacing w:val="-2"/>
        </w:rPr>
        <w:t>relief</w:t>
      </w:r>
      <w:r w:rsidRPr="00E6210C">
        <w:rPr>
          <w:spacing w:val="-2"/>
        </w:rPr>
        <w:t xml:space="preserve"> and </w:t>
      </w:r>
      <w:r w:rsidRPr="00E6210C">
        <w:rPr>
          <w:spacing w:val="-2"/>
        </w:rPr>
        <w:t>breach of fiduciary duty claim</w:t>
      </w:r>
      <w:r w:rsidRPr="00E6210C">
        <w:rPr>
          <w:spacing w:val="-2"/>
        </w:rPr>
        <w:t>s</w:t>
      </w:r>
      <w:r w:rsidRPr="00E6210C">
        <w:rPr>
          <w:spacing w:val="-2"/>
        </w:rPr>
        <w:t>.</w:t>
      </w:r>
      <w:r w:rsidRPr="00E6210C">
        <w:rPr>
          <w:spacing w:val="-2"/>
        </w:rPr>
        <w:t xml:space="preserve"> </w:t>
      </w:r>
      <w:r w:rsidRPr="00E6210C">
        <w:rPr>
          <w:spacing w:val="-2"/>
        </w:rPr>
        <w:t xml:space="preserve"> The </w:t>
      </w:r>
      <w:r w:rsidRPr="00E6210C">
        <w:rPr>
          <w:spacing w:val="-2"/>
        </w:rPr>
        <w:t>attorney fees</w:t>
      </w:r>
      <w:r w:rsidRPr="00E6210C">
        <w:rPr>
          <w:spacing w:val="-2"/>
        </w:rPr>
        <w:t xml:space="preserve"> award is vacated</w:t>
      </w:r>
      <w:r w:rsidRPr="00E6210C">
        <w:rPr>
          <w:spacing w:val="-2"/>
        </w:rPr>
        <w:t xml:space="preserve">, and the court is directed to enter a </w:t>
      </w:r>
      <w:proofErr w:type="gramStart"/>
      <w:r w:rsidRPr="00E6210C">
        <w:rPr>
          <w:spacing w:val="-2"/>
        </w:rPr>
        <w:t>new order awarding attorney fees</w:t>
      </w:r>
      <w:proofErr w:type="gramEnd"/>
      <w:r w:rsidRPr="00E6210C">
        <w:rPr>
          <w:spacing w:val="-2"/>
        </w:rPr>
        <w:t xml:space="preserve"> to </w:t>
      </w:r>
      <w:proofErr w:type="spellStart"/>
      <w:r w:rsidRPr="00E6210C">
        <w:rPr>
          <w:spacing w:val="-2"/>
        </w:rPr>
        <w:t>Colyear</w:t>
      </w:r>
      <w:proofErr w:type="spellEnd"/>
      <w:r w:rsidRPr="00E6210C">
        <w:rPr>
          <w:spacing w:val="-2"/>
        </w:rPr>
        <w:t xml:space="preserve"> against the Association</w:t>
      </w:r>
      <w:r w:rsidRPr="00E6210C">
        <w:rPr>
          <w:spacing w:val="-2"/>
        </w:rPr>
        <w:t xml:space="preserve">. </w:t>
      </w:r>
      <w:r w:rsidRPr="00E6210C">
        <w:rPr>
          <w:spacing w:val="-2"/>
        </w:rPr>
        <w:t xml:space="preserve"> </w:t>
      </w:r>
      <w:r w:rsidRPr="00E6210C">
        <w:rPr>
          <w:spacing w:val="-2"/>
        </w:rPr>
        <w:t>The parties are to bear the</w:t>
      </w:r>
      <w:r w:rsidRPr="00E6210C">
        <w:rPr>
          <w:spacing w:val="-2"/>
        </w:rPr>
        <w:t>ir</w:t>
      </w:r>
      <w:r w:rsidRPr="00E6210C">
        <w:rPr>
          <w:spacing w:val="-2"/>
        </w:rPr>
        <w:t xml:space="preserve"> own costs on appeal. </w:t>
      </w:r>
    </w:p>
    <w:p w14:paraId="70872D56" w14:textId="77777777" w:rsidR="00B2782B" w:rsidRPr="00E6210C" w:rsidRDefault="00B2782B" w:rsidP="00223DFA">
      <w:pPr>
        <w:spacing w:line="288" w:lineRule="auto"/>
      </w:pPr>
    </w:p>
    <w:p w14:paraId="0CE33973" w14:textId="77777777" w:rsidR="00B2782B" w:rsidRPr="00E6210C" w:rsidRDefault="00B2782B" w:rsidP="00223DFA">
      <w:pPr>
        <w:spacing w:line="288" w:lineRule="auto"/>
      </w:pPr>
    </w:p>
    <w:p w14:paraId="041FB856" w14:textId="77777777" w:rsidR="00B2782B" w:rsidRPr="00E6210C" w:rsidRDefault="00B2782B" w:rsidP="00223DFA">
      <w:pPr>
        <w:spacing w:line="288" w:lineRule="auto"/>
      </w:pPr>
      <w:r w:rsidRPr="00E6210C">
        <w:tab/>
      </w:r>
      <w:r w:rsidRPr="00E6210C">
        <w:tab/>
      </w:r>
      <w:r w:rsidRPr="00E6210C">
        <w:tab/>
      </w:r>
      <w:r w:rsidRPr="00E6210C">
        <w:tab/>
      </w:r>
      <w:r w:rsidRPr="00E6210C">
        <w:tab/>
      </w:r>
      <w:r w:rsidRPr="00E6210C">
        <w:tab/>
      </w:r>
      <w:r w:rsidRPr="00E6210C">
        <w:tab/>
        <w:t>MORI, J.</w:t>
      </w:r>
    </w:p>
    <w:p w14:paraId="4FEF80A0" w14:textId="77777777" w:rsidR="00B2782B" w:rsidRPr="00E6210C" w:rsidRDefault="00B2782B" w:rsidP="00223DFA">
      <w:pPr>
        <w:spacing w:line="288" w:lineRule="auto"/>
      </w:pPr>
    </w:p>
    <w:p w14:paraId="32265B9C" w14:textId="77777777" w:rsidR="00B2782B" w:rsidRPr="00E6210C" w:rsidRDefault="00B2782B" w:rsidP="00223DFA">
      <w:pPr>
        <w:spacing w:line="288" w:lineRule="auto"/>
      </w:pPr>
      <w:r w:rsidRPr="00E6210C">
        <w:tab/>
      </w:r>
      <w:r w:rsidRPr="00E6210C">
        <w:tab/>
      </w:r>
      <w:r w:rsidRPr="00E6210C">
        <w:tab/>
      </w:r>
      <w:r w:rsidRPr="00E6210C">
        <w:tab/>
      </w:r>
      <w:r w:rsidRPr="00E6210C">
        <w:tab/>
      </w:r>
      <w:r w:rsidRPr="00E6210C">
        <w:tab/>
      </w:r>
      <w:r w:rsidRPr="00E6210C">
        <w:tab/>
      </w:r>
    </w:p>
    <w:p w14:paraId="04952F37" w14:textId="77777777" w:rsidR="00B2782B" w:rsidRPr="00E6210C" w:rsidRDefault="00B2782B" w:rsidP="00223DFA">
      <w:pPr>
        <w:spacing w:line="288" w:lineRule="auto"/>
        <w:ind w:firstLine="720"/>
      </w:pPr>
      <w:r w:rsidRPr="00E6210C">
        <w:t>We concur:</w:t>
      </w:r>
    </w:p>
    <w:p w14:paraId="6A4105A7" w14:textId="77777777" w:rsidR="00B2782B" w:rsidRPr="00E6210C" w:rsidRDefault="00B2782B" w:rsidP="00223DFA">
      <w:pPr>
        <w:spacing w:line="288" w:lineRule="auto"/>
      </w:pPr>
    </w:p>
    <w:p w14:paraId="5B82CC1B" w14:textId="77777777" w:rsidR="00B2782B" w:rsidRPr="00E6210C" w:rsidRDefault="00B2782B" w:rsidP="00223DFA">
      <w:pPr>
        <w:spacing w:line="288" w:lineRule="auto"/>
      </w:pPr>
    </w:p>
    <w:p w14:paraId="43DD0BFD" w14:textId="77777777" w:rsidR="00B2782B" w:rsidRPr="00E6210C" w:rsidRDefault="00B2782B" w:rsidP="00223DFA">
      <w:pPr>
        <w:spacing w:line="288" w:lineRule="auto"/>
      </w:pPr>
      <w:r w:rsidRPr="00E6210C">
        <w:tab/>
      </w:r>
      <w:r w:rsidRPr="00E6210C">
        <w:tab/>
        <w:t>COLLINS, Acting P.J.</w:t>
      </w:r>
    </w:p>
    <w:p w14:paraId="1221BD22" w14:textId="77777777" w:rsidR="00B2782B" w:rsidRPr="00E6210C" w:rsidRDefault="00B2782B" w:rsidP="00223DFA">
      <w:pPr>
        <w:spacing w:line="288" w:lineRule="auto"/>
      </w:pPr>
    </w:p>
    <w:p w14:paraId="33617B1F" w14:textId="77777777" w:rsidR="00B2782B" w:rsidRPr="00E6210C" w:rsidRDefault="00B2782B" w:rsidP="00223DFA">
      <w:pPr>
        <w:spacing w:line="288" w:lineRule="auto"/>
      </w:pPr>
    </w:p>
    <w:p w14:paraId="3DBD2FD3" w14:textId="77777777" w:rsidR="00B2782B" w:rsidRPr="009A5877" w:rsidRDefault="00B2782B" w:rsidP="00223DFA">
      <w:pPr>
        <w:spacing w:line="288" w:lineRule="auto"/>
        <w:rPr>
          <w:b/>
          <w:position w:val="8"/>
        </w:rPr>
      </w:pPr>
      <w:r w:rsidRPr="00E6210C">
        <w:tab/>
      </w:r>
      <w:r w:rsidRPr="00E6210C">
        <w:tab/>
        <w:t>ZUKIN, J.</w:t>
      </w:r>
    </w:p>
    <w:p w14:paraId="1DE08A25" w14:textId="77777777" w:rsidR="00B2782B" w:rsidRPr="00CC730E" w:rsidRDefault="00B2782B" w:rsidP="00223DFA">
      <w:pPr>
        <w:spacing w:after="0" w:line="288" w:lineRule="auto"/>
        <w:rPr>
          <w:spacing w:val="-2"/>
        </w:rPr>
      </w:pPr>
    </w:p>
    <w:sectPr w:rsidR="00AE1E12" w:rsidRPr="00CC730E" w:rsidSect="00223DFA">
      <w:foot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86F682" w14:textId="77777777" w:rsidR="00B2782B" w:rsidRDefault="00B2782B">
      <w:pPr>
        <w:spacing w:after="0" w:line="240" w:lineRule="auto"/>
      </w:pPr>
      <w:r>
        <w:separator/>
      </w:r>
    </w:p>
  </w:endnote>
  <w:endnote w:type="continuationSeparator" w:id="0">
    <w:p w14:paraId="2DBF1C50" w14:textId="77777777" w:rsidR="00B2782B" w:rsidRDefault="00B2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CB052" w14:textId="77777777" w:rsidR="00B2782B" w:rsidRDefault="00B2782B">
    <w:pPr>
      <w:pStyle w:val="Footer"/>
      <w:jc w:val="center"/>
    </w:pPr>
    <w:r>
      <w:fldChar w:fldCharType="begin"/>
    </w:r>
    <w:r>
      <w:instrText xml:space="preserve"> PAGE   \* MERGEFORMAT </w:instrText>
    </w:r>
    <w:r>
      <w:fldChar w:fldCharType="separate"/>
    </w:r>
    <w:r>
      <w:rPr>
        <w:noProof/>
      </w:rPr>
      <w:t>1</w:t>
    </w:r>
    <w:r>
      <w:rPr>
        <w:noProof/>
      </w:rPr>
      <w:fldChar w:fldCharType="end"/>
    </w:r>
  </w:p>
  <w:p w14:paraId="2CA4DCEF" w14:textId="77777777" w:rsidR="00B2782B" w:rsidRDefault="00B2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6BDEC" w14:textId="77777777" w:rsidR="00B2782B" w:rsidRDefault="00B2782B" w:rsidP="005E10EE">
      <w:pPr>
        <w:spacing w:after="0" w:line="240" w:lineRule="auto"/>
      </w:pPr>
      <w:r>
        <w:separator/>
      </w:r>
    </w:p>
  </w:footnote>
  <w:footnote w:type="continuationSeparator" w:id="0">
    <w:p w14:paraId="411A64A4" w14:textId="77777777" w:rsidR="00B2782B" w:rsidRDefault="00B2782B" w:rsidP="005E10EE">
      <w:pPr>
        <w:spacing w:after="0" w:line="240" w:lineRule="auto"/>
      </w:pPr>
      <w:r>
        <w:continuationSeparator/>
      </w:r>
    </w:p>
  </w:footnote>
  <w:footnote w:id="1">
    <w:p w14:paraId="7ED2B1B9" w14:textId="77777777" w:rsidR="00B2782B" w:rsidRPr="00DD1039" w:rsidRDefault="00B2782B">
      <w:pPr>
        <w:pStyle w:val="FootnoteText"/>
        <w:rPr>
          <w:sz w:val="24"/>
          <w:szCs w:val="24"/>
        </w:rPr>
      </w:pPr>
      <w:r w:rsidRPr="00DD1039">
        <w:rPr>
          <w:rStyle w:val="FootnoteReference"/>
          <w:rFonts w:ascii="Symbol" w:hAnsi="Symbol"/>
          <w:sz w:val="24"/>
          <w:szCs w:val="24"/>
        </w:rPr>
        <w:sym w:font="Symbol" w:char="F02A"/>
      </w:r>
      <w:r>
        <w:rPr>
          <w:sz w:val="24"/>
          <w:szCs w:val="24"/>
        </w:rPr>
        <w:tab/>
      </w:r>
      <w:r w:rsidRPr="00223DFA">
        <w:rPr>
          <w:sz w:val="24"/>
          <w:szCs w:val="24"/>
        </w:rPr>
        <w:t xml:space="preserve">Pursuant to California Rules of Court, rules </w:t>
      </w:r>
      <w:r w:rsidRPr="00223DFA">
        <w:rPr>
          <w:sz w:val="24"/>
          <w:szCs w:val="24"/>
        </w:rPr>
        <w:t>8.1105(c) and 8.1110</w:t>
      </w:r>
      <w:r w:rsidRPr="00223DFA">
        <w:rPr>
          <w:sz w:val="24"/>
          <w:szCs w:val="24"/>
        </w:rPr>
        <w:t xml:space="preserve">, this opinion is certified for publication </w:t>
      </w:r>
      <w:proofErr w:type="gramStart"/>
      <w:r w:rsidRPr="00223DFA">
        <w:rPr>
          <w:sz w:val="24"/>
          <w:szCs w:val="24"/>
        </w:rPr>
        <w:t>with the exception of</w:t>
      </w:r>
      <w:proofErr w:type="gramEnd"/>
      <w:r w:rsidRPr="00223DFA">
        <w:rPr>
          <w:sz w:val="24"/>
          <w:szCs w:val="24"/>
        </w:rPr>
        <w:t xml:space="preserve"> </w:t>
      </w:r>
      <w:r w:rsidRPr="00223DFA">
        <w:rPr>
          <w:sz w:val="24"/>
          <w:szCs w:val="24"/>
        </w:rPr>
        <w:t>p</w:t>
      </w:r>
      <w:r w:rsidRPr="00223DFA">
        <w:rPr>
          <w:sz w:val="24"/>
          <w:szCs w:val="24"/>
        </w:rPr>
        <w:t>arts B through E of the Discussion.</w:t>
      </w:r>
    </w:p>
  </w:footnote>
  <w:footnote w:id="2">
    <w:p w14:paraId="73F8F8C5" w14:textId="77777777" w:rsidR="00B2782B" w:rsidRPr="00A57381" w:rsidRDefault="00B2782B">
      <w:pPr>
        <w:pStyle w:val="FootnoteText"/>
        <w:rPr>
          <w:sz w:val="24"/>
          <w:szCs w:val="24"/>
        </w:rPr>
      </w:pPr>
      <w:r>
        <w:rPr>
          <w:rStyle w:val="FootnoteReference"/>
        </w:rPr>
        <w:footnoteRef/>
      </w:r>
      <w:r>
        <w:tab/>
      </w:r>
      <w:r w:rsidRPr="00AA71B1">
        <w:rPr>
          <w:sz w:val="24"/>
          <w:szCs w:val="24"/>
        </w:rPr>
        <w:t>A similar resolution was adopted in 1949.</w:t>
      </w:r>
    </w:p>
  </w:footnote>
  <w:footnote w:id="3">
    <w:p w14:paraId="316C936E" w14:textId="77777777" w:rsidR="00B2782B" w:rsidRDefault="00B2782B" w:rsidP="00B66CF5">
      <w:pPr>
        <w:pStyle w:val="FootnoteText"/>
        <w:contextualSpacing/>
        <w:rPr>
          <w:sz w:val="24"/>
          <w:szCs w:val="24"/>
        </w:rPr>
      </w:pPr>
      <w:r w:rsidRPr="003E6CC1">
        <w:rPr>
          <w:rStyle w:val="FootnoteReference"/>
          <w:sz w:val="24"/>
          <w:szCs w:val="24"/>
        </w:rPr>
        <w:footnoteRef/>
      </w:r>
      <w:r w:rsidRPr="003E6CC1">
        <w:rPr>
          <w:sz w:val="24"/>
          <w:szCs w:val="24"/>
        </w:rPr>
        <w:tab/>
        <w:t xml:space="preserve">Proper recordation of a real property instrument is necessary to impart constructive notice of its contents. </w:t>
      </w:r>
      <w:r>
        <w:rPr>
          <w:sz w:val="24"/>
          <w:szCs w:val="24"/>
        </w:rPr>
        <w:t xml:space="preserve"> </w:t>
      </w:r>
      <w:r w:rsidRPr="003E6CC1">
        <w:rPr>
          <w:sz w:val="24"/>
          <w:szCs w:val="24"/>
        </w:rPr>
        <w:t xml:space="preserve">(Civ. Code, §§ 1213, 1214.)  If an instrument cannot be located by searching the “grantor” and “grantee” indices of the public records, the instrument does not constitute constructive notice and later bona fide purchasers or encumbrances are not charged with knowledge of its existence.  (See </w:t>
      </w:r>
      <w:r w:rsidRPr="003E6CC1">
        <w:rPr>
          <w:i/>
          <w:iCs/>
          <w:sz w:val="24"/>
          <w:szCs w:val="24"/>
        </w:rPr>
        <w:t xml:space="preserve">Stafford v. </w:t>
      </w:r>
      <w:r w:rsidRPr="008D6318">
        <w:rPr>
          <w:i/>
          <w:iCs/>
          <w:sz w:val="24"/>
          <w:szCs w:val="24"/>
        </w:rPr>
        <w:t>Ballinger</w:t>
      </w:r>
      <w:r w:rsidRPr="003E6CC1">
        <w:rPr>
          <w:sz w:val="24"/>
          <w:szCs w:val="24"/>
        </w:rPr>
        <w:t xml:space="preserve"> (1962) 199 Cal.App.2d 289, 297.)</w:t>
      </w:r>
    </w:p>
    <w:p w14:paraId="2D60B229" w14:textId="77777777" w:rsidR="00B2782B" w:rsidRPr="003E6CC1" w:rsidRDefault="00B2782B" w:rsidP="00B66CF5">
      <w:pPr>
        <w:pStyle w:val="FootnoteText"/>
        <w:contextualSpacing/>
        <w:rPr>
          <w:sz w:val="24"/>
          <w:szCs w:val="24"/>
        </w:rPr>
      </w:pPr>
    </w:p>
  </w:footnote>
  <w:footnote w:id="4">
    <w:p w14:paraId="719FA882" w14:textId="77777777" w:rsidR="00B2782B" w:rsidRPr="003E6CC1" w:rsidRDefault="00B2782B" w:rsidP="00C33AA4">
      <w:pPr>
        <w:pStyle w:val="FootnoteText"/>
        <w:contextualSpacing/>
        <w:rPr>
          <w:sz w:val="24"/>
          <w:szCs w:val="24"/>
        </w:rPr>
      </w:pPr>
      <w:r w:rsidRPr="003E6CC1">
        <w:rPr>
          <w:rStyle w:val="FootnoteReference"/>
          <w:sz w:val="24"/>
          <w:szCs w:val="24"/>
        </w:rPr>
        <w:footnoteRef/>
      </w:r>
      <w:r w:rsidRPr="003E6CC1">
        <w:rPr>
          <w:sz w:val="24"/>
          <w:szCs w:val="24"/>
        </w:rPr>
        <w:tab/>
        <w:t xml:space="preserve">Declaration 150-W’s simplified restrictions list also omits the </w:t>
      </w:r>
      <w:r>
        <w:rPr>
          <w:sz w:val="24"/>
          <w:szCs w:val="24"/>
        </w:rPr>
        <w:t>Tree CC</w:t>
      </w:r>
      <w:r w:rsidRPr="003E6CC1">
        <w:rPr>
          <w:sz w:val="24"/>
          <w:szCs w:val="24"/>
        </w:rPr>
        <w:t xml:space="preserve">. </w:t>
      </w:r>
    </w:p>
  </w:footnote>
  <w:footnote w:id="5">
    <w:p w14:paraId="1510665C" w14:textId="77777777" w:rsidR="00B2782B" w:rsidRDefault="00B2782B" w:rsidP="00C33AA4">
      <w:pPr>
        <w:pStyle w:val="FootnoteText"/>
        <w:contextualSpacing/>
        <w:rPr>
          <w:sz w:val="24"/>
          <w:szCs w:val="24"/>
        </w:rPr>
      </w:pPr>
      <w:r w:rsidRPr="003E6CC1">
        <w:rPr>
          <w:rStyle w:val="FootnoteReference"/>
          <w:sz w:val="24"/>
          <w:szCs w:val="24"/>
        </w:rPr>
        <w:footnoteRef/>
      </w:r>
      <w:r w:rsidRPr="003E6CC1">
        <w:rPr>
          <w:sz w:val="24"/>
          <w:szCs w:val="24"/>
        </w:rPr>
        <w:tab/>
        <w:t xml:space="preserve">In addition to the Association, the </w:t>
      </w:r>
      <w:r>
        <w:rPr>
          <w:sz w:val="24"/>
          <w:szCs w:val="24"/>
        </w:rPr>
        <w:t xml:space="preserve">operative </w:t>
      </w:r>
      <w:r w:rsidRPr="003E6CC1">
        <w:rPr>
          <w:sz w:val="24"/>
          <w:szCs w:val="24"/>
        </w:rPr>
        <w:t xml:space="preserve">petition named the Board of Directors of the Association; </w:t>
      </w:r>
      <w:r w:rsidRPr="003E6CC1">
        <w:rPr>
          <w:sz w:val="24"/>
          <w:szCs w:val="24"/>
        </w:rPr>
        <w:t xml:space="preserve">Board members </w:t>
      </w:r>
      <w:r w:rsidRPr="003E6CC1">
        <w:rPr>
          <w:sz w:val="24"/>
          <w:szCs w:val="24"/>
        </w:rPr>
        <w:t>David McKinnie, Joseph Heitzler, Gian Starinieri, Ma</w:t>
      </w:r>
      <w:r w:rsidRPr="003E6CC1">
        <w:rPr>
          <w:sz w:val="24"/>
          <w:szCs w:val="24"/>
        </w:rPr>
        <w:t xml:space="preserve">rcia </w:t>
      </w:r>
      <w:r w:rsidRPr="003E6CC1">
        <w:rPr>
          <w:sz w:val="24"/>
          <w:szCs w:val="24"/>
        </w:rPr>
        <w:t xml:space="preserve">Gold, </w:t>
      </w:r>
      <w:r w:rsidRPr="003E6CC1">
        <w:rPr>
          <w:sz w:val="24"/>
          <w:szCs w:val="24"/>
        </w:rPr>
        <w:t xml:space="preserve">Tom </w:t>
      </w:r>
      <w:proofErr w:type="spellStart"/>
      <w:r w:rsidRPr="003E6CC1">
        <w:rPr>
          <w:sz w:val="24"/>
          <w:szCs w:val="24"/>
        </w:rPr>
        <w:t>Heinsheimer</w:t>
      </w:r>
      <w:proofErr w:type="spellEnd"/>
      <w:r w:rsidRPr="003E6CC1">
        <w:rPr>
          <w:sz w:val="24"/>
          <w:szCs w:val="24"/>
        </w:rPr>
        <w:t>,</w:t>
      </w:r>
      <w:r w:rsidRPr="003E6CC1">
        <w:rPr>
          <w:sz w:val="24"/>
          <w:szCs w:val="24"/>
        </w:rPr>
        <w:t xml:space="preserve"> and Fred Lorig</w:t>
      </w:r>
      <w:r w:rsidRPr="003E6CC1">
        <w:rPr>
          <w:sz w:val="24"/>
          <w:szCs w:val="24"/>
        </w:rPr>
        <w:t>;</w:t>
      </w:r>
      <w:r w:rsidRPr="003E6CC1">
        <w:rPr>
          <w:sz w:val="24"/>
          <w:szCs w:val="24"/>
        </w:rPr>
        <w:t xml:space="preserve"> and </w:t>
      </w:r>
      <w:r>
        <w:rPr>
          <w:sz w:val="24"/>
          <w:szCs w:val="24"/>
        </w:rPr>
        <w:t xml:space="preserve">non-board member </w:t>
      </w:r>
      <w:r w:rsidRPr="003E6CC1">
        <w:rPr>
          <w:sz w:val="24"/>
          <w:szCs w:val="24"/>
        </w:rPr>
        <w:t>Yu Ping Liu</w:t>
      </w:r>
      <w:r>
        <w:rPr>
          <w:sz w:val="24"/>
          <w:szCs w:val="24"/>
        </w:rPr>
        <w:t>.</w:t>
      </w:r>
      <w:r w:rsidRPr="003E6CC1">
        <w:rPr>
          <w:sz w:val="24"/>
          <w:szCs w:val="24"/>
        </w:rPr>
        <w:t xml:space="preserve"> </w:t>
      </w:r>
    </w:p>
    <w:p w14:paraId="313396E3" w14:textId="77777777" w:rsidR="00B2782B" w:rsidRPr="003E6CC1" w:rsidRDefault="00B2782B" w:rsidP="00C33AA4">
      <w:pPr>
        <w:pStyle w:val="FootnoteText"/>
        <w:contextualSpacing/>
        <w:rPr>
          <w:sz w:val="24"/>
          <w:szCs w:val="24"/>
        </w:rPr>
      </w:pPr>
    </w:p>
  </w:footnote>
  <w:footnote w:id="6">
    <w:p w14:paraId="23305689" w14:textId="77777777" w:rsidR="00B2782B" w:rsidRPr="003E6CC1" w:rsidRDefault="00B2782B" w:rsidP="00C33AA4">
      <w:pPr>
        <w:pStyle w:val="FootnoteText"/>
        <w:contextualSpacing/>
        <w:rPr>
          <w:sz w:val="24"/>
          <w:szCs w:val="24"/>
        </w:rPr>
      </w:pPr>
      <w:r w:rsidRPr="003E6CC1">
        <w:rPr>
          <w:rStyle w:val="FootnoteReference"/>
          <w:sz w:val="24"/>
          <w:szCs w:val="24"/>
        </w:rPr>
        <w:footnoteRef/>
      </w:r>
      <w:r w:rsidRPr="003E6CC1">
        <w:rPr>
          <w:sz w:val="24"/>
          <w:szCs w:val="24"/>
        </w:rPr>
        <w:tab/>
        <w:t xml:space="preserve">Before trial, </w:t>
      </w:r>
      <w:r w:rsidRPr="003E6CC1">
        <w:rPr>
          <w:sz w:val="24"/>
          <w:szCs w:val="24"/>
        </w:rPr>
        <w:t>on</w:t>
      </w:r>
      <w:r w:rsidRPr="003E6CC1">
        <w:rPr>
          <w:sz w:val="24"/>
          <w:szCs w:val="24"/>
        </w:rPr>
        <w:t xml:space="preserve"> July</w:t>
      </w:r>
      <w:r>
        <w:rPr>
          <w:sz w:val="24"/>
          <w:szCs w:val="24"/>
        </w:rPr>
        <w:t> </w:t>
      </w:r>
      <w:r w:rsidRPr="003E6CC1">
        <w:rPr>
          <w:sz w:val="24"/>
          <w:szCs w:val="24"/>
        </w:rPr>
        <w:t>23, 2019,</w:t>
      </w:r>
      <w:r w:rsidRPr="003E6CC1">
        <w:rPr>
          <w:sz w:val="24"/>
          <w:szCs w:val="24"/>
        </w:rPr>
        <w:t xml:space="preserve"> </w:t>
      </w:r>
      <w:proofErr w:type="spellStart"/>
      <w:r w:rsidRPr="003E6CC1">
        <w:rPr>
          <w:sz w:val="24"/>
          <w:szCs w:val="24"/>
        </w:rPr>
        <w:t>Colyear</w:t>
      </w:r>
      <w:proofErr w:type="spellEnd"/>
      <w:r w:rsidRPr="003E6CC1">
        <w:rPr>
          <w:sz w:val="24"/>
          <w:szCs w:val="24"/>
        </w:rPr>
        <w:t xml:space="preserve"> dismissed</w:t>
      </w:r>
      <w:r w:rsidRPr="003E6CC1">
        <w:rPr>
          <w:sz w:val="24"/>
          <w:szCs w:val="24"/>
        </w:rPr>
        <w:t xml:space="preserve"> </w:t>
      </w:r>
      <w:r w:rsidRPr="003E6CC1">
        <w:rPr>
          <w:sz w:val="24"/>
          <w:szCs w:val="24"/>
        </w:rPr>
        <w:t>without</w:t>
      </w:r>
      <w:r w:rsidRPr="003E6CC1">
        <w:rPr>
          <w:sz w:val="24"/>
          <w:szCs w:val="24"/>
        </w:rPr>
        <w:t xml:space="preserve"> prejudice</w:t>
      </w:r>
      <w:r w:rsidRPr="003E6CC1">
        <w:rPr>
          <w:sz w:val="24"/>
          <w:szCs w:val="24"/>
        </w:rPr>
        <w:t xml:space="preserve"> individual director defendants</w:t>
      </w:r>
      <w:r w:rsidRPr="003E6CC1">
        <w:rPr>
          <w:sz w:val="24"/>
          <w:szCs w:val="24"/>
        </w:rPr>
        <w:t xml:space="preserve"> Gold </w:t>
      </w:r>
      <w:r w:rsidRPr="003E6CC1">
        <w:rPr>
          <w:sz w:val="24"/>
          <w:szCs w:val="24"/>
        </w:rPr>
        <w:t xml:space="preserve">and </w:t>
      </w:r>
      <w:proofErr w:type="spellStart"/>
      <w:r w:rsidRPr="003E6CC1">
        <w:rPr>
          <w:sz w:val="24"/>
          <w:szCs w:val="24"/>
        </w:rPr>
        <w:t>Heinsheimer</w:t>
      </w:r>
      <w:proofErr w:type="spellEnd"/>
      <w:r w:rsidRPr="003E6CC1">
        <w:rPr>
          <w:sz w:val="24"/>
          <w:szCs w:val="24"/>
        </w:rPr>
        <w:t>, and on August</w:t>
      </w:r>
      <w:r>
        <w:rPr>
          <w:sz w:val="24"/>
          <w:szCs w:val="24"/>
        </w:rPr>
        <w:t> </w:t>
      </w:r>
      <w:r w:rsidRPr="003E6CC1">
        <w:rPr>
          <w:sz w:val="24"/>
          <w:szCs w:val="24"/>
        </w:rPr>
        <w:t>15, 2019</w:t>
      </w:r>
      <w:r>
        <w:rPr>
          <w:sz w:val="24"/>
          <w:szCs w:val="24"/>
        </w:rPr>
        <w:t>,</w:t>
      </w:r>
      <w:r w:rsidRPr="003E6CC1">
        <w:rPr>
          <w:sz w:val="24"/>
          <w:szCs w:val="24"/>
        </w:rPr>
        <w:t xml:space="preserve"> dismissed Starinieri. </w:t>
      </w:r>
    </w:p>
  </w:footnote>
  <w:footnote w:id="7">
    <w:p w14:paraId="107497F8" w14:textId="77777777" w:rsidR="00B2782B" w:rsidRPr="003E6CC1" w:rsidRDefault="00B2782B" w:rsidP="00C33AA4">
      <w:pPr>
        <w:autoSpaceDE w:val="0"/>
        <w:autoSpaceDN w:val="0"/>
        <w:adjustRightInd w:val="0"/>
        <w:spacing w:after="0" w:line="240" w:lineRule="auto"/>
        <w:contextualSpacing/>
        <w:rPr>
          <w:sz w:val="24"/>
          <w:szCs w:val="24"/>
        </w:rPr>
      </w:pPr>
      <w:r w:rsidRPr="003E6CC1">
        <w:rPr>
          <w:rStyle w:val="FootnoteReference"/>
          <w:sz w:val="24"/>
          <w:szCs w:val="24"/>
        </w:rPr>
        <w:footnoteRef/>
      </w:r>
      <w:r w:rsidRPr="003E6CC1">
        <w:rPr>
          <w:sz w:val="24"/>
          <w:szCs w:val="24"/>
        </w:rPr>
        <w:tab/>
      </w:r>
      <w:r>
        <w:rPr>
          <w:sz w:val="24"/>
          <w:szCs w:val="24"/>
        </w:rPr>
        <w:t>In so ruling, the</w:t>
      </w:r>
      <w:r w:rsidRPr="003E6CC1">
        <w:rPr>
          <w:sz w:val="24"/>
          <w:szCs w:val="24"/>
        </w:rPr>
        <w:t xml:space="preserve"> trial court </w:t>
      </w:r>
      <w:r>
        <w:rPr>
          <w:sz w:val="24"/>
          <w:szCs w:val="24"/>
        </w:rPr>
        <w:t xml:space="preserve">found </w:t>
      </w:r>
      <w:r w:rsidRPr="003E6CC1">
        <w:rPr>
          <w:sz w:val="24"/>
          <w:szCs w:val="24"/>
        </w:rPr>
        <w:t xml:space="preserve">the petition for writ of mandate </w:t>
      </w:r>
      <w:r w:rsidRPr="003E6CC1">
        <w:rPr>
          <w:sz w:val="24"/>
          <w:szCs w:val="24"/>
        </w:rPr>
        <w:t>superfluous</w:t>
      </w:r>
      <w:r w:rsidRPr="003E6CC1">
        <w:rPr>
          <w:sz w:val="24"/>
          <w:szCs w:val="24"/>
        </w:rPr>
        <w:t>.</w:t>
      </w:r>
      <w:r w:rsidRPr="003E6CC1">
        <w:rPr>
          <w:sz w:val="24"/>
          <w:szCs w:val="24"/>
        </w:rPr>
        <w:t xml:space="preserve"> </w:t>
      </w:r>
      <w:r w:rsidRPr="003E6CC1">
        <w:rPr>
          <w:sz w:val="24"/>
          <w:szCs w:val="24"/>
        </w:rPr>
        <w:t xml:space="preserve"> </w:t>
      </w:r>
      <w:r>
        <w:rPr>
          <w:sz w:val="24"/>
          <w:szCs w:val="24"/>
        </w:rPr>
        <w:t>The court reasoned that</w:t>
      </w:r>
      <w:r>
        <w:rPr>
          <w:sz w:val="24"/>
          <w:szCs w:val="24"/>
        </w:rPr>
        <w:t>,</w:t>
      </w:r>
      <w:r>
        <w:rPr>
          <w:sz w:val="24"/>
          <w:szCs w:val="24"/>
        </w:rPr>
        <w:t xml:space="preserve"> a</w:t>
      </w:r>
      <w:r w:rsidRPr="003E6CC1">
        <w:rPr>
          <w:sz w:val="24"/>
          <w:szCs w:val="24"/>
        </w:rPr>
        <w:t xml:space="preserve">lthough there was no basis for the Association to </w:t>
      </w:r>
      <w:r w:rsidRPr="003E6CC1">
        <w:rPr>
          <w:rFonts w:cs="Times New Roman"/>
          <w:sz w:val="24"/>
          <w:szCs w:val="24"/>
        </w:rPr>
        <w:t>enforce the Tree</w:t>
      </w:r>
      <w:r w:rsidRPr="003E6CC1">
        <w:rPr>
          <w:rFonts w:cs="Times New Roman"/>
          <w:sz w:val="24"/>
          <w:szCs w:val="24"/>
        </w:rPr>
        <w:t xml:space="preserve"> CC</w:t>
      </w:r>
      <w:r w:rsidRPr="003E6CC1">
        <w:rPr>
          <w:rFonts w:cs="Times New Roman"/>
          <w:sz w:val="24"/>
          <w:szCs w:val="24"/>
        </w:rPr>
        <w:t xml:space="preserve">, </w:t>
      </w:r>
      <w:r w:rsidRPr="003E6CC1">
        <w:rPr>
          <w:rFonts w:cs="Times New Roman"/>
          <w:sz w:val="24"/>
          <w:szCs w:val="24"/>
        </w:rPr>
        <w:t>issuance of writ relief</w:t>
      </w:r>
      <w:r w:rsidRPr="003E6CC1">
        <w:rPr>
          <w:rFonts w:cs="Times New Roman"/>
          <w:sz w:val="24"/>
          <w:szCs w:val="24"/>
        </w:rPr>
        <w:t xml:space="preserve"> </w:t>
      </w:r>
      <w:r w:rsidRPr="003E6CC1">
        <w:rPr>
          <w:rFonts w:cs="Times New Roman"/>
          <w:sz w:val="24"/>
          <w:szCs w:val="24"/>
        </w:rPr>
        <w:t xml:space="preserve">was unnecessary </w:t>
      </w:r>
      <w:r w:rsidRPr="003E6CC1">
        <w:rPr>
          <w:rFonts w:cs="Times New Roman"/>
          <w:sz w:val="24"/>
          <w:szCs w:val="24"/>
        </w:rPr>
        <w:t xml:space="preserve">because the claims for declaratory and injunctive relief accomplished this purpose. </w:t>
      </w:r>
    </w:p>
  </w:footnote>
  <w:footnote w:id="8">
    <w:p w14:paraId="63F6C288" w14:textId="77777777" w:rsidR="00B2782B" w:rsidRPr="00DD1039" w:rsidRDefault="00B2782B">
      <w:pPr>
        <w:pStyle w:val="FootnoteText"/>
        <w:rPr>
          <w:sz w:val="24"/>
          <w:szCs w:val="24"/>
        </w:rPr>
      </w:pPr>
      <w:r w:rsidRPr="00223DFA">
        <w:rPr>
          <w:rStyle w:val="FootnoteReference"/>
          <w:rFonts w:ascii="Symbol" w:hAnsi="Symbol"/>
          <w:sz w:val="24"/>
          <w:szCs w:val="24"/>
        </w:rPr>
        <w:sym w:font="Symbol" w:char="F02A"/>
      </w:r>
      <w:r w:rsidRPr="00223DFA">
        <w:rPr>
          <w:sz w:val="24"/>
          <w:szCs w:val="24"/>
        </w:rPr>
        <w:tab/>
        <w:t xml:space="preserve">See footnote, </w:t>
      </w:r>
      <w:r w:rsidRPr="00223DFA">
        <w:rPr>
          <w:i/>
          <w:iCs/>
          <w:sz w:val="24"/>
          <w:szCs w:val="24"/>
        </w:rPr>
        <w:t>ante</w:t>
      </w:r>
      <w:r w:rsidRPr="00223DFA">
        <w:rPr>
          <w:sz w:val="24"/>
          <w:szCs w:val="24"/>
        </w:rPr>
        <w:t>, page 1.</w:t>
      </w:r>
    </w:p>
  </w:footnote>
  <w:footnote w:id="9">
    <w:p w14:paraId="0C91D984" w14:textId="77777777" w:rsidR="00B2782B" w:rsidRPr="00D04C2D" w:rsidRDefault="00B2782B" w:rsidP="00D04C2D">
      <w:pPr>
        <w:spacing w:after="0" w:line="240" w:lineRule="auto"/>
        <w:contextualSpacing/>
        <w:rPr>
          <w:rFonts w:cs="Times New Roman"/>
          <w:sz w:val="24"/>
          <w:szCs w:val="24"/>
        </w:rPr>
      </w:pPr>
      <w:r w:rsidRPr="003E6CC1">
        <w:rPr>
          <w:rStyle w:val="FootnoteReference"/>
          <w:sz w:val="24"/>
          <w:szCs w:val="24"/>
        </w:rPr>
        <w:footnoteRef/>
      </w:r>
      <w:r>
        <w:rPr>
          <w:sz w:val="24"/>
          <w:szCs w:val="24"/>
        </w:rPr>
        <w:tab/>
      </w:r>
      <w:r w:rsidRPr="003E6CC1">
        <w:rPr>
          <w:spacing w:val="-2"/>
          <w:sz w:val="24"/>
          <w:szCs w:val="24"/>
        </w:rPr>
        <w:t xml:space="preserve">Although the Federal Rules of Civil Procedure are not applicable in this case, we note the court used language </w:t>
      </w:r>
      <w:proofErr w:type="gramStart"/>
      <w:r w:rsidRPr="003E6CC1">
        <w:rPr>
          <w:spacing w:val="-2"/>
          <w:sz w:val="24"/>
          <w:szCs w:val="24"/>
        </w:rPr>
        <w:t>similar to</w:t>
      </w:r>
      <w:proofErr w:type="gramEnd"/>
      <w:r w:rsidRPr="003E6CC1">
        <w:rPr>
          <w:spacing w:val="-2"/>
          <w:sz w:val="24"/>
          <w:szCs w:val="24"/>
        </w:rPr>
        <w:t xml:space="preserve"> that found in </w:t>
      </w:r>
      <w:r>
        <w:rPr>
          <w:spacing w:val="-2"/>
          <w:sz w:val="24"/>
          <w:szCs w:val="24"/>
        </w:rPr>
        <w:t>r</w:t>
      </w:r>
      <w:r w:rsidRPr="003E6CC1">
        <w:rPr>
          <w:spacing w:val="-2"/>
          <w:sz w:val="24"/>
          <w:szCs w:val="24"/>
        </w:rPr>
        <w:t>ule 65.  Rule 65 states that an injunction can include the parties, “the parties’ officers, agents, servants</w:t>
      </w:r>
      <w:r>
        <w:rPr>
          <w:spacing w:val="-2"/>
          <w:sz w:val="24"/>
          <w:szCs w:val="24"/>
        </w:rPr>
        <w:t>,</w:t>
      </w:r>
      <w:r w:rsidRPr="003E6CC1">
        <w:rPr>
          <w:spacing w:val="-2"/>
          <w:sz w:val="24"/>
          <w:szCs w:val="24"/>
        </w:rPr>
        <w:t xml:space="preserve"> employees, and attorneys,” and “other persons who are in active concert or participation” with the parties.</w:t>
      </w:r>
      <w:r w:rsidRPr="003E6CC1">
        <w:rPr>
          <w:rFonts w:cs="Times New Roman"/>
          <w:sz w:val="24"/>
          <w:szCs w:val="24"/>
        </w:rPr>
        <w:t xml:space="preserve"> </w:t>
      </w:r>
      <w:r w:rsidRPr="003E6CC1">
        <w:rPr>
          <w:rFonts w:cs="Times New Roman"/>
          <w:sz w:val="24"/>
          <w:szCs w:val="24"/>
        </w:rPr>
        <w:t xml:space="preserve"> (F</w:t>
      </w:r>
      <w:r>
        <w:rPr>
          <w:rFonts w:cs="Times New Roman"/>
          <w:sz w:val="24"/>
          <w:szCs w:val="24"/>
        </w:rPr>
        <w:t>ed</w:t>
      </w:r>
      <w:r w:rsidRPr="003E6CC1">
        <w:rPr>
          <w:rFonts w:cs="Times New Roman"/>
          <w:sz w:val="24"/>
          <w:szCs w:val="24"/>
        </w:rPr>
        <w:t>.</w:t>
      </w:r>
      <w:r>
        <w:rPr>
          <w:rFonts w:cs="Times New Roman"/>
          <w:sz w:val="24"/>
          <w:szCs w:val="24"/>
        </w:rPr>
        <w:t xml:space="preserve"> </w:t>
      </w:r>
      <w:r w:rsidRPr="003E6CC1">
        <w:rPr>
          <w:rFonts w:cs="Times New Roman"/>
          <w:sz w:val="24"/>
          <w:szCs w:val="24"/>
        </w:rPr>
        <w:t>R</w:t>
      </w:r>
      <w:r>
        <w:rPr>
          <w:rFonts w:cs="Times New Roman"/>
          <w:sz w:val="24"/>
          <w:szCs w:val="24"/>
        </w:rPr>
        <w:t>ules</w:t>
      </w:r>
      <w:r>
        <w:rPr>
          <w:rFonts w:cs="Times New Roman"/>
          <w:sz w:val="24"/>
          <w:szCs w:val="24"/>
        </w:rPr>
        <w:t xml:space="preserve"> </w:t>
      </w:r>
      <w:r w:rsidRPr="003E6CC1">
        <w:rPr>
          <w:rFonts w:cs="Times New Roman"/>
          <w:sz w:val="24"/>
          <w:szCs w:val="24"/>
        </w:rPr>
        <w:t>Civ. Pro</w:t>
      </w:r>
      <w:r>
        <w:rPr>
          <w:rFonts w:cs="Times New Roman"/>
          <w:sz w:val="24"/>
          <w:szCs w:val="24"/>
        </w:rPr>
        <w:t>c</w:t>
      </w:r>
      <w:r w:rsidRPr="003E6CC1">
        <w:rPr>
          <w:rFonts w:cs="Times New Roman"/>
          <w:sz w:val="24"/>
          <w:szCs w:val="24"/>
        </w:rPr>
        <w:t>.</w:t>
      </w:r>
      <w:r>
        <w:rPr>
          <w:rFonts w:cs="Times New Roman"/>
          <w:sz w:val="24"/>
          <w:szCs w:val="24"/>
        </w:rPr>
        <w:t>, rule</w:t>
      </w:r>
      <w:r w:rsidRPr="003E6CC1">
        <w:rPr>
          <w:rFonts w:cs="Times New Roman"/>
          <w:sz w:val="24"/>
          <w:szCs w:val="24"/>
        </w:rPr>
        <w:t xml:space="preserve"> 65.)</w:t>
      </w:r>
    </w:p>
  </w:footnote>
  <w:footnote w:id="10">
    <w:p w14:paraId="525244F7" w14:textId="77777777" w:rsidR="00B2782B" w:rsidRPr="003E6CC1" w:rsidRDefault="00B2782B" w:rsidP="00C33AA4">
      <w:pPr>
        <w:pStyle w:val="FootnoteText"/>
        <w:contextualSpacing/>
        <w:rPr>
          <w:sz w:val="24"/>
          <w:szCs w:val="24"/>
        </w:rPr>
      </w:pPr>
      <w:r w:rsidRPr="003E6CC1">
        <w:rPr>
          <w:rStyle w:val="FootnoteReference"/>
          <w:sz w:val="24"/>
          <w:szCs w:val="24"/>
        </w:rPr>
        <w:footnoteRef/>
      </w:r>
      <w:r w:rsidRPr="003E6CC1">
        <w:rPr>
          <w:sz w:val="24"/>
          <w:szCs w:val="24"/>
        </w:rPr>
        <w:tab/>
      </w:r>
      <w:proofErr w:type="gramStart"/>
      <w:r>
        <w:rPr>
          <w:sz w:val="24"/>
          <w:szCs w:val="24"/>
        </w:rPr>
        <w:t>In light of</w:t>
      </w:r>
      <w:proofErr w:type="gramEnd"/>
      <w:r>
        <w:rPr>
          <w:sz w:val="24"/>
          <w:szCs w:val="24"/>
        </w:rPr>
        <w:t xml:space="preserve"> our conclusion, we do not address the</w:t>
      </w:r>
      <w:r w:rsidRPr="003E6CC1">
        <w:rPr>
          <w:sz w:val="24"/>
          <w:szCs w:val="24"/>
        </w:rPr>
        <w:t xml:space="preserve"> Association</w:t>
      </w:r>
      <w:r>
        <w:rPr>
          <w:sz w:val="24"/>
          <w:szCs w:val="24"/>
        </w:rPr>
        <w:t>’s alternative argument that</w:t>
      </w:r>
      <w:r w:rsidRPr="003E6CC1">
        <w:rPr>
          <w:sz w:val="24"/>
          <w:szCs w:val="24"/>
        </w:rPr>
        <w:t xml:space="preserve"> </w:t>
      </w:r>
      <w:proofErr w:type="spellStart"/>
      <w:r w:rsidRPr="003E6CC1">
        <w:rPr>
          <w:sz w:val="24"/>
          <w:szCs w:val="24"/>
        </w:rPr>
        <w:t>Colyear</w:t>
      </w:r>
      <w:proofErr w:type="spellEnd"/>
      <w:r w:rsidRPr="003E6CC1">
        <w:rPr>
          <w:sz w:val="24"/>
          <w:szCs w:val="24"/>
        </w:rPr>
        <w:t xml:space="preserve"> was not the prevailing party against </w:t>
      </w:r>
      <w:r>
        <w:rPr>
          <w:sz w:val="24"/>
          <w:szCs w:val="24"/>
        </w:rPr>
        <w:t>its individual directors</w:t>
      </w:r>
      <w:r w:rsidRPr="003E6CC1">
        <w:rPr>
          <w:spacing w:val="-2"/>
          <w:sz w:val="24"/>
          <w:szCs w:val="24"/>
        </w:rPr>
        <w:t xml:space="preserve">. </w:t>
      </w:r>
    </w:p>
  </w:footnote>
  <w:footnote w:id="11">
    <w:p w14:paraId="392C916C" w14:textId="77777777" w:rsidR="00B2782B" w:rsidRDefault="00B2782B" w:rsidP="00F12FDE">
      <w:pPr>
        <w:pStyle w:val="FootnoteText"/>
        <w:rPr>
          <w:spacing w:val="-2"/>
          <w:sz w:val="24"/>
          <w:szCs w:val="24"/>
        </w:rPr>
      </w:pPr>
      <w:r>
        <w:rPr>
          <w:rStyle w:val="FootnoteReference"/>
        </w:rPr>
        <w:footnoteRef/>
      </w:r>
      <w:r>
        <w:tab/>
      </w:r>
      <w:r w:rsidRPr="003A3F10">
        <w:rPr>
          <w:spacing w:val="-2"/>
          <w:sz w:val="24"/>
          <w:szCs w:val="24"/>
        </w:rPr>
        <w:t xml:space="preserve">Cases cited by </w:t>
      </w:r>
      <w:proofErr w:type="spellStart"/>
      <w:r w:rsidRPr="003A3F10">
        <w:rPr>
          <w:spacing w:val="-2"/>
          <w:sz w:val="24"/>
          <w:szCs w:val="24"/>
        </w:rPr>
        <w:t>Colyear</w:t>
      </w:r>
      <w:proofErr w:type="spellEnd"/>
      <w:r>
        <w:rPr>
          <w:spacing w:val="-2"/>
          <w:sz w:val="24"/>
          <w:szCs w:val="24"/>
        </w:rPr>
        <w:t xml:space="preserve"> do not indicate otherwise.  </w:t>
      </w:r>
      <w:r>
        <w:rPr>
          <w:spacing w:val="-2"/>
          <w:sz w:val="24"/>
          <w:szCs w:val="24"/>
        </w:rPr>
        <w:t xml:space="preserve">Each </w:t>
      </w:r>
      <w:r>
        <w:rPr>
          <w:spacing w:val="-2"/>
          <w:sz w:val="24"/>
          <w:szCs w:val="24"/>
        </w:rPr>
        <w:t>illustrate</w:t>
      </w:r>
      <w:r>
        <w:rPr>
          <w:spacing w:val="-2"/>
          <w:sz w:val="24"/>
          <w:szCs w:val="24"/>
        </w:rPr>
        <w:t>s</w:t>
      </w:r>
      <w:r>
        <w:rPr>
          <w:spacing w:val="-2"/>
          <w:sz w:val="24"/>
          <w:szCs w:val="24"/>
        </w:rPr>
        <w:t xml:space="preserve"> that when </w:t>
      </w:r>
      <w:r w:rsidRPr="003A3F10">
        <w:rPr>
          <w:spacing w:val="-2"/>
          <w:sz w:val="24"/>
          <w:szCs w:val="24"/>
        </w:rPr>
        <w:t>an association brings an enforcement action against a property owner for improper improvements or leasing, the prevailing party may seek attorney fees.  (See, e.g.,</w:t>
      </w:r>
      <w:r w:rsidRPr="003A3F10">
        <w:rPr>
          <w:i/>
          <w:iCs/>
          <w:spacing w:val="-2"/>
          <w:sz w:val="24"/>
          <w:szCs w:val="24"/>
        </w:rPr>
        <w:t xml:space="preserve"> </w:t>
      </w:r>
      <w:r w:rsidRPr="00D93F52">
        <w:rPr>
          <w:i/>
          <w:iCs/>
          <w:spacing w:val="-2"/>
          <w:sz w:val="24"/>
          <w:szCs w:val="24"/>
        </w:rPr>
        <w:t>Rancho</w:t>
      </w:r>
      <w:r w:rsidRPr="003A3F10">
        <w:rPr>
          <w:i/>
          <w:iCs/>
          <w:spacing w:val="-2"/>
          <w:sz w:val="24"/>
          <w:szCs w:val="24"/>
        </w:rPr>
        <w:t xml:space="preserve"> Mirage Country Club Homeowners </w:t>
      </w:r>
      <w:proofErr w:type="spellStart"/>
      <w:r w:rsidRPr="003A3F10">
        <w:rPr>
          <w:i/>
          <w:iCs/>
          <w:spacing w:val="-2"/>
          <w:sz w:val="24"/>
          <w:szCs w:val="24"/>
        </w:rPr>
        <w:t>Ass’n</w:t>
      </w:r>
      <w:proofErr w:type="spellEnd"/>
      <w:r w:rsidRPr="003A3F10">
        <w:rPr>
          <w:i/>
          <w:iCs/>
          <w:spacing w:val="-2"/>
          <w:sz w:val="24"/>
          <w:szCs w:val="24"/>
        </w:rPr>
        <w:t xml:space="preserve"> v. Hazelbaker</w:t>
      </w:r>
      <w:r w:rsidRPr="003A3F10">
        <w:rPr>
          <w:spacing w:val="-2"/>
          <w:sz w:val="24"/>
          <w:szCs w:val="24"/>
        </w:rPr>
        <w:t xml:space="preserve"> (2016) 2 Cal.App.5th </w:t>
      </w:r>
      <w:r w:rsidRPr="00223DFA">
        <w:rPr>
          <w:spacing w:val="-2"/>
          <w:sz w:val="24"/>
          <w:szCs w:val="24"/>
        </w:rPr>
        <w:t>252</w:t>
      </w:r>
      <w:r w:rsidRPr="00223DFA">
        <w:rPr>
          <w:spacing w:val="-2"/>
          <w:sz w:val="24"/>
          <w:szCs w:val="24"/>
        </w:rPr>
        <w:t>, 260</w:t>
      </w:r>
      <w:r w:rsidRPr="00223DFA">
        <w:rPr>
          <w:spacing w:val="-2"/>
          <w:sz w:val="24"/>
          <w:szCs w:val="24"/>
        </w:rPr>
        <w:t>;</w:t>
      </w:r>
      <w:r w:rsidRPr="003A3F10">
        <w:rPr>
          <w:spacing w:val="-2"/>
          <w:sz w:val="24"/>
          <w:szCs w:val="24"/>
        </w:rPr>
        <w:t xml:space="preserve"> </w:t>
      </w:r>
      <w:r w:rsidRPr="00D93F52">
        <w:rPr>
          <w:i/>
          <w:iCs/>
          <w:spacing w:val="-2"/>
          <w:sz w:val="24"/>
          <w:szCs w:val="24"/>
        </w:rPr>
        <w:t>Almanor</w:t>
      </w:r>
      <w:r w:rsidRPr="003A3F10">
        <w:rPr>
          <w:i/>
          <w:iCs/>
          <w:spacing w:val="-2"/>
          <w:sz w:val="24"/>
          <w:szCs w:val="24"/>
        </w:rPr>
        <w:t xml:space="preserve"> Lakeside Villas Owners Assn</w:t>
      </w:r>
      <w:r>
        <w:rPr>
          <w:i/>
          <w:iCs/>
          <w:spacing w:val="-2"/>
          <w:sz w:val="24"/>
          <w:szCs w:val="24"/>
        </w:rPr>
        <w:t>.</w:t>
      </w:r>
      <w:r w:rsidRPr="003A3F10">
        <w:rPr>
          <w:i/>
          <w:iCs/>
          <w:spacing w:val="-2"/>
          <w:sz w:val="24"/>
          <w:szCs w:val="24"/>
        </w:rPr>
        <w:t xml:space="preserve"> v. Carson</w:t>
      </w:r>
      <w:r w:rsidRPr="003A3F10">
        <w:rPr>
          <w:spacing w:val="-2"/>
          <w:sz w:val="24"/>
          <w:szCs w:val="24"/>
        </w:rPr>
        <w:t xml:space="preserve"> (2016) 246 Cal.App.4th 761, 765.)  </w:t>
      </w:r>
      <w:r>
        <w:rPr>
          <w:spacing w:val="-2"/>
          <w:sz w:val="24"/>
          <w:szCs w:val="24"/>
        </w:rPr>
        <w:t>They do not hold individual directors of an association liable for attorney fees.</w:t>
      </w:r>
    </w:p>
    <w:p w14:paraId="7DD39FF7" w14:textId="77777777" w:rsidR="00B2782B" w:rsidRDefault="00B2782B" w:rsidP="00F12FDE">
      <w:pPr>
        <w:pStyle w:val="FootnoteText"/>
      </w:pPr>
    </w:p>
  </w:footnote>
  <w:footnote w:id="12">
    <w:p w14:paraId="3AACCEBA" w14:textId="77777777" w:rsidR="00B2782B" w:rsidRPr="003E6CC1" w:rsidRDefault="00B2782B" w:rsidP="00C33AA4">
      <w:pPr>
        <w:pStyle w:val="FootnoteText"/>
        <w:contextualSpacing/>
        <w:rPr>
          <w:sz w:val="24"/>
          <w:szCs w:val="24"/>
        </w:rPr>
      </w:pPr>
      <w:r w:rsidRPr="003E6CC1">
        <w:rPr>
          <w:rStyle w:val="FootnoteReference"/>
          <w:sz w:val="24"/>
          <w:szCs w:val="24"/>
        </w:rPr>
        <w:footnoteRef/>
      </w:r>
      <w:r w:rsidRPr="003E6CC1">
        <w:rPr>
          <w:sz w:val="24"/>
          <w:szCs w:val="24"/>
        </w:rPr>
        <w:tab/>
        <w:t xml:space="preserve">As </w:t>
      </w:r>
      <w:proofErr w:type="spellStart"/>
      <w:r w:rsidRPr="003E6CC1">
        <w:rPr>
          <w:sz w:val="24"/>
          <w:szCs w:val="24"/>
        </w:rPr>
        <w:t>Colyear</w:t>
      </w:r>
      <w:proofErr w:type="spellEnd"/>
      <w:r w:rsidRPr="003E6CC1">
        <w:rPr>
          <w:sz w:val="24"/>
          <w:szCs w:val="24"/>
        </w:rPr>
        <w:t xml:space="preserve"> acknowledges, section 7231 of the Corporations Code provides that individual </w:t>
      </w:r>
      <w:r w:rsidRPr="003E6CC1">
        <w:rPr>
          <w:sz w:val="24"/>
          <w:szCs w:val="24"/>
        </w:rPr>
        <w:t>directors are generally shielded from liability for performing their duties in good faith under the business judgment rule.  The rule sets up a presumption that directors</w:t>
      </w:r>
      <w:r w:rsidRPr="003E6CC1">
        <w:rPr>
          <w:sz w:val="24"/>
          <w:szCs w:val="24"/>
        </w:rPr>
        <w:t>’</w:t>
      </w:r>
      <w:r w:rsidRPr="003E6CC1">
        <w:rPr>
          <w:sz w:val="24"/>
          <w:szCs w:val="24"/>
        </w:rPr>
        <w:t xml:space="preserve"> decisions are based on sound business judgment and can be rebutted only by a factual showing of fraud, bad faith</w:t>
      </w:r>
      <w:r w:rsidRPr="003E6CC1">
        <w:rPr>
          <w:sz w:val="24"/>
          <w:szCs w:val="24"/>
        </w:rPr>
        <w:t>,</w:t>
      </w:r>
      <w:r w:rsidRPr="003E6CC1">
        <w:rPr>
          <w:sz w:val="24"/>
          <w:szCs w:val="24"/>
        </w:rPr>
        <w:t xml:space="preserve"> or gross overreaching.  </w:t>
      </w:r>
      <w:r w:rsidRPr="003E6CC1">
        <w:rPr>
          <w:sz w:val="24"/>
          <w:szCs w:val="24"/>
        </w:rPr>
        <w:t>(</w:t>
      </w:r>
      <w:r w:rsidRPr="00D93F52">
        <w:rPr>
          <w:i/>
          <w:iCs/>
          <w:sz w:val="24"/>
          <w:szCs w:val="24"/>
        </w:rPr>
        <w:t>Eldridge</w:t>
      </w:r>
      <w:r w:rsidRPr="003E6CC1">
        <w:rPr>
          <w:i/>
          <w:iCs/>
          <w:sz w:val="24"/>
          <w:szCs w:val="24"/>
        </w:rPr>
        <w:t xml:space="preserve"> v. </w:t>
      </w:r>
      <w:proofErr w:type="spellStart"/>
      <w:r w:rsidRPr="003E6CC1">
        <w:rPr>
          <w:i/>
          <w:iCs/>
          <w:sz w:val="24"/>
          <w:szCs w:val="24"/>
        </w:rPr>
        <w:t>Tymshare</w:t>
      </w:r>
      <w:proofErr w:type="spellEnd"/>
      <w:r w:rsidRPr="003E6CC1">
        <w:rPr>
          <w:i/>
          <w:iCs/>
          <w:sz w:val="24"/>
          <w:szCs w:val="24"/>
        </w:rPr>
        <w:t xml:space="preserve">, Inc. </w:t>
      </w:r>
      <w:r w:rsidRPr="003E6CC1">
        <w:rPr>
          <w:sz w:val="24"/>
          <w:szCs w:val="24"/>
        </w:rPr>
        <w:t xml:space="preserve">(1986) 186 Cal.App.3d 767, 776.) </w:t>
      </w:r>
      <w:r>
        <w:rPr>
          <w:sz w:val="24"/>
          <w:szCs w:val="24"/>
        </w:rPr>
        <w:t xml:space="preserve"> </w:t>
      </w:r>
      <w:r w:rsidRPr="003E6CC1">
        <w:rPr>
          <w:sz w:val="24"/>
          <w:szCs w:val="24"/>
        </w:rPr>
        <w:t xml:space="preserve">Implicit in this rule is that </w:t>
      </w:r>
      <w:r w:rsidRPr="003E6CC1">
        <w:rPr>
          <w:sz w:val="24"/>
          <w:szCs w:val="24"/>
        </w:rPr>
        <w:t>directors of non-profit boards</w:t>
      </w:r>
      <w:r w:rsidRPr="003E6CC1">
        <w:rPr>
          <w:sz w:val="24"/>
          <w:szCs w:val="24"/>
        </w:rPr>
        <w:t xml:space="preserve"> </w:t>
      </w:r>
      <w:r w:rsidRPr="003E6CC1">
        <w:rPr>
          <w:sz w:val="24"/>
          <w:szCs w:val="24"/>
        </w:rPr>
        <w:t xml:space="preserve">would have little incentive </w:t>
      </w:r>
      <w:r w:rsidRPr="003E6CC1">
        <w:rPr>
          <w:sz w:val="24"/>
          <w:szCs w:val="24"/>
        </w:rPr>
        <w:t xml:space="preserve">to </w:t>
      </w:r>
      <w:r w:rsidRPr="003E6CC1">
        <w:rPr>
          <w:sz w:val="24"/>
          <w:szCs w:val="24"/>
        </w:rPr>
        <w:t>volunteer for service if they faced great risk o</w:t>
      </w:r>
      <w:r w:rsidRPr="003E6CC1">
        <w:rPr>
          <w:sz w:val="24"/>
          <w:szCs w:val="24"/>
        </w:rPr>
        <w:t xml:space="preserve">f liability for doing so.  </w:t>
      </w:r>
      <w:r w:rsidRPr="003E6CC1">
        <w:rPr>
          <w:sz w:val="24"/>
          <w:szCs w:val="24"/>
        </w:rPr>
        <w:t xml:space="preserve">(See </w:t>
      </w:r>
      <w:r w:rsidRPr="003E6CC1">
        <w:rPr>
          <w:i/>
          <w:iCs/>
          <w:sz w:val="24"/>
          <w:szCs w:val="24"/>
        </w:rPr>
        <w:t xml:space="preserve">Ritter, supra, </w:t>
      </w:r>
      <w:r w:rsidRPr="003E6CC1">
        <w:rPr>
          <w:sz w:val="24"/>
          <w:szCs w:val="24"/>
        </w:rPr>
        <w:t>166 Cal.App.4th at p. </w:t>
      </w:r>
      <w:r w:rsidRPr="003E6CC1">
        <w:rPr>
          <w:sz w:val="24"/>
          <w:szCs w:val="24"/>
        </w:rPr>
        <w:t xml:space="preserve">121.) </w:t>
      </w:r>
      <w:r>
        <w:rPr>
          <w:sz w:val="24"/>
          <w:szCs w:val="24"/>
        </w:rPr>
        <w:t xml:space="preserve"> </w:t>
      </w:r>
      <w:r w:rsidRPr="003E6CC1">
        <w:rPr>
          <w:sz w:val="24"/>
          <w:szCs w:val="24"/>
        </w:rPr>
        <w:t>Here</w:t>
      </w:r>
      <w:r>
        <w:rPr>
          <w:sz w:val="24"/>
          <w:szCs w:val="24"/>
        </w:rPr>
        <w:t>,</w:t>
      </w:r>
      <w:r w:rsidRPr="003E6CC1">
        <w:rPr>
          <w:sz w:val="24"/>
          <w:szCs w:val="24"/>
        </w:rPr>
        <w:t xml:space="preserve"> the trial court found that the individual defendants were shielded from liability for breach of fiduciary duty under the business judgment rule.</w:t>
      </w:r>
    </w:p>
  </w:footnote>
  <w:footnote w:id="13">
    <w:p w14:paraId="12838320" w14:textId="77777777" w:rsidR="00B2782B" w:rsidRPr="002E4E8B" w:rsidRDefault="00B2782B" w:rsidP="002E4E8B">
      <w:pPr>
        <w:shd w:val="clear" w:color="auto" w:fill="FFFFFF"/>
        <w:spacing w:after="0" w:line="320" w:lineRule="atLeast"/>
        <w:rPr>
          <w:rFonts w:eastAsia="Times New Roman"/>
          <w:sz w:val="24"/>
          <w:szCs w:val="24"/>
        </w:rPr>
      </w:pPr>
      <w:r>
        <w:rPr>
          <w:rStyle w:val="FootnoteReference"/>
        </w:rPr>
        <w:footnoteRef/>
      </w:r>
      <w:r>
        <w:tab/>
      </w:r>
      <w:r w:rsidRPr="005E076F">
        <w:rPr>
          <w:sz w:val="24"/>
          <w:szCs w:val="24"/>
        </w:rPr>
        <w:t>We deny appellants’</w:t>
      </w:r>
      <w:r w:rsidRPr="005E076F">
        <w:rPr>
          <w:sz w:val="24"/>
          <w:szCs w:val="24"/>
        </w:rPr>
        <w:t xml:space="preserve"> motion to strike portions of </w:t>
      </w:r>
      <w:proofErr w:type="spellStart"/>
      <w:r w:rsidRPr="005E076F">
        <w:rPr>
          <w:sz w:val="24"/>
          <w:szCs w:val="24"/>
        </w:rPr>
        <w:t>Colyear’s</w:t>
      </w:r>
      <w:proofErr w:type="spellEnd"/>
      <w:r w:rsidRPr="005E076F">
        <w:rPr>
          <w:sz w:val="24"/>
          <w:szCs w:val="24"/>
        </w:rPr>
        <w:t xml:space="preserve"> cross-appellant’s reply brief</w:t>
      </w:r>
      <w:r w:rsidRPr="005E076F">
        <w:rPr>
          <w:sz w:val="24"/>
          <w:szCs w:val="24"/>
        </w:rPr>
        <w:t xml:space="preserve"> and their accompanying request for sanctions.  To the extent </w:t>
      </w:r>
      <w:proofErr w:type="spellStart"/>
      <w:r w:rsidRPr="005E076F">
        <w:rPr>
          <w:sz w:val="24"/>
          <w:szCs w:val="24"/>
        </w:rPr>
        <w:t>Colyear’s</w:t>
      </w:r>
      <w:proofErr w:type="spellEnd"/>
      <w:r w:rsidRPr="005E076F">
        <w:rPr>
          <w:sz w:val="24"/>
          <w:szCs w:val="24"/>
        </w:rPr>
        <w:t xml:space="preserve"> combined brief raises arguments or issues for the first time in his combined brief, we shall ignore those arguments as beyond the scope of his cross-appeal.  (See </w:t>
      </w:r>
      <w:r w:rsidRPr="00D93F52">
        <w:rPr>
          <w:rFonts w:eastAsia="Times New Roman"/>
          <w:i/>
          <w:iCs/>
          <w:color w:val="000000"/>
          <w:sz w:val="24"/>
          <w:szCs w:val="24"/>
          <w:bdr w:val="none" w:sz="0" w:space="0" w:color="auto" w:frame="1"/>
        </w:rPr>
        <w:t>Doe</w:t>
      </w:r>
      <w:r w:rsidRPr="005E076F">
        <w:rPr>
          <w:rFonts w:eastAsia="Times New Roman"/>
          <w:i/>
          <w:iCs/>
          <w:color w:val="000000"/>
          <w:sz w:val="24"/>
          <w:szCs w:val="24"/>
          <w:bdr w:val="none" w:sz="0" w:space="0" w:color="auto" w:frame="1"/>
        </w:rPr>
        <w:t xml:space="preserve"> v. University of Southern California </w:t>
      </w:r>
      <w:r w:rsidRPr="005E076F">
        <w:rPr>
          <w:rFonts w:eastAsia="Times New Roman"/>
          <w:color w:val="000000"/>
          <w:sz w:val="24"/>
          <w:szCs w:val="24"/>
          <w:bdr w:val="none" w:sz="0" w:space="0" w:color="auto" w:frame="1"/>
        </w:rPr>
        <w:t>(2016)</w:t>
      </w:r>
      <w:r w:rsidRPr="005E076F">
        <w:rPr>
          <w:rFonts w:eastAsia="Times New Roman"/>
          <w:color w:val="000000"/>
          <w:sz w:val="24"/>
          <w:szCs w:val="24"/>
        </w:rPr>
        <w:t xml:space="preserve"> 246 Cal.App.4th 221, 252, fn. 16; </w:t>
      </w:r>
      <w:proofErr w:type="spellStart"/>
      <w:r w:rsidRPr="00D93F52">
        <w:rPr>
          <w:i/>
          <w:iCs/>
          <w:sz w:val="24"/>
          <w:szCs w:val="24"/>
        </w:rPr>
        <w:t>Hawran</w:t>
      </w:r>
      <w:proofErr w:type="spellEnd"/>
      <w:r w:rsidRPr="005E076F">
        <w:rPr>
          <w:i/>
          <w:iCs/>
          <w:sz w:val="24"/>
          <w:szCs w:val="24"/>
        </w:rPr>
        <w:t xml:space="preserve"> v. Hixson </w:t>
      </w:r>
      <w:r w:rsidRPr="005E076F">
        <w:rPr>
          <w:sz w:val="24"/>
          <w:szCs w:val="24"/>
        </w:rPr>
        <w:t>(2012) 209 Cal.App.4th 256, 268</w:t>
      </w:r>
      <w:r w:rsidRPr="005E076F">
        <w:rPr>
          <w:rFonts w:eastAsia="Times New Roman"/>
          <w:color w:val="000000"/>
          <w:sz w:val="24"/>
          <w:szCs w:val="24"/>
        </w:rPr>
        <w:t>.)</w:t>
      </w:r>
      <w:r w:rsidRPr="00C81429">
        <w:rPr>
          <w:rFonts w:eastAsia="Times New Roman"/>
          <w:color w:val="000000"/>
          <w:sz w:val="24"/>
          <w:szCs w:val="24"/>
        </w:rPr>
        <w:t xml:space="preserve"> </w:t>
      </w:r>
    </w:p>
  </w:footnote>
  <w:footnote w:id="14">
    <w:p w14:paraId="5A4A1606" w14:textId="77777777" w:rsidR="00B2782B" w:rsidRPr="00CC3074" w:rsidRDefault="00B2782B" w:rsidP="00C33AA4">
      <w:pPr>
        <w:pStyle w:val="FootnoteText"/>
        <w:contextualSpacing/>
        <w:rPr>
          <w:b/>
          <w:bCs/>
          <w:sz w:val="24"/>
          <w:szCs w:val="24"/>
        </w:rPr>
      </w:pPr>
      <w:r w:rsidRPr="003E6CC1">
        <w:rPr>
          <w:rStyle w:val="FootnoteReference"/>
          <w:sz w:val="24"/>
          <w:szCs w:val="24"/>
        </w:rPr>
        <w:footnoteRef/>
      </w:r>
      <w:r w:rsidRPr="003E6CC1">
        <w:rPr>
          <w:sz w:val="24"/>
          <w:szCs w:val="24"/>
        </w:rPr>
        <w:tab/>
      </w:r>
      <w:proofErr w:type="spellStart"/>
      <w:r w:rsidRPr="003E6CC1">
        <w:rPr>
          <w:sz w:val="24"/>
          <w:szCs w:val="24"/>
        </w:rPr>
        <w:t>Colyear</w:t>
      </w:r>
      <w:proofErr w:type="spellEnd"/>
      <w:r w:rsidRPr="003E6CC1">
        <w:rPr>
          <w:sz w:val="24"/>
          <w:szCs w:val="24"/>
        </w:rPr>
        <w:t xml:space="preserve"> also </w:t>
      </w:r>
      <w:r>
        <w:rPr>
          <w:sz w:val="24"/>
          <w:szCs w:val="24"/>
        </w:rPr>
        <w:t>relies on</w:t>
      </w:r>
      <w:r w:rsidRPr="003E6CC1">
        <w:rPr>
          <w:sz w:val="24"/>
          <w:szCs w:val="24"/>
        </w:rPr>
        <w:t xml:space="preserve"> </w:t>
      </w:r>
      <w:r w:rsidRPr="00D93F52">
        <w:rPr>
          <w:i/>
          <w:iCs/>
          <w:sz w:val="24"/>
          <w:szCs w:val="24"/>
        </w:rPr>
        <w:t>Water</w:t>
      </w:r>
      <w:r w:rsidRPr="003E6CC1">
        <w:rPr>
          <w:i/>
          <w:iCs/>
          <w:sz w:val="24"/>
          <w:szCs w:val="24"/>
        </w:rPr>
        <w:t xml:space="preserve"> for Citizens of Weed California v. Churchwell White </w:t>
      </w:r>
      <w:r w:rsidRPr="003E6CC1">
        <w:rPr>
          <w:sz w:val="24"/>
          <w:szCs w:val="24"/>
        </w:rPr>
        <w:t xml:space="preserve">(2023) 88 Cal.App.5th 270, </w:t>
      </w:r>
      <w:r>
        <w:rPr>
          <w:sz w:val="24"/>
          <w:szCs w:val="24"/>
        </w:rPr>
        <w:t xml:space="preserve">in </w:t>
      </w:r>
      <w:r w:rsidRPr="003E6CC1">
        <w:rPr>
          <w:sz w:val="24"/>
          <w:szCs w:val="24"/>
        </w:rPr>
        <w:t>support</w:t>
      </w:r>
      <w:r>
        <w:rPr>
          <w:sz w:val="24"/>
          <w:szCs w:val="24"/>
        </w:rPr>
        <w:t xml:space="preserve"> </w:t>
      </w:r>
      <w:r>
        <w:rPr>
          <w:sz w:val="24"/>
          <w:szCs w:val="24"/>
        </w:rPr>
        <w:t xml:space="preserve">of </w:t>
      </w:r>
      <w:r w:rsidRPr="003E6CC1">
        <w:rPr>
          <w:sz w:val="24"/>
          <w:szCs w:val="24"/>
        </w:rPr>
        <w:t>his position.  In that case, the court addressed a quiet title claim regarding water rights in the context of a malicious prosecution action and concluded the plaintiff had probable cause for bringing such a claim.  (</w:t>
      </w:r>
      <w:r w:rsidRPr="003E6CC1">
        <w:rPr>
          <w:i/>
          <w:iCs/>
          <w:sz w:val="24"/>
          <w:szCs w:val="24"/>
        </w:rPr>
        <w:t xml:space="preserve">Id. </w:t>
      </w:r>
      <w:r w:rsidRPr="003E6CC1">
        <w:rPr>
          <w:sz w:val="24"/>
          <w:szCs w:val="24"/>
        </w:rPr>
        <w:t>at p.</w:t>
      </w:r>
      <w:r>
        <w:rPr>
          <w:sz w:val="24"/>
          <w:szCs w:val="24"/>
        </w:rPr>
        <w:t> </w:t>
      </w:r>
      <w:r w:rsidRPr="003E6CC1">
        <w:rPr>
          <w:sz w:val="24"/>
          <w:szCs w:val="24"/>
        </w:rPr>
        <w:t xml:space="preserve">284.) </w:t>
      </w:r>
      <w:r>
        <w:rPr>
          <w:sz w:val="24"/>
          <w:szCs w:val="24"/>
        </w:rPr>
        <w:t xml:space="preserve"> </w:t>
      </w:r>
      <w:r>
        <w:rPr>
          <w:sz w:val="24"/>
          <w:szCs w:val="24"/>
        </w:rPr>
        <w:t>This case</w:t>
      </w:r>
      <w:r w:rsidRPr="003E6CC1">
        <w:rPr>
          <w:i/>
          <w:iCs/>
          <w:sz w:val="24"/>
          <w:szCs w:val="24"/>
        </w:rPr>
        <w:t xml:space="preserve"> </w:t>
      </w:r>
      <w:r w:rsidRPr="003E6CC1">
        <w:rPr>
          <w:sz w:val="24"/>
          <w:szCs w:val="24"/>
        </w:rPr>
        <w:t>does not establish that a non-existent covenant created a cloud on title sufficient to constitute an “adverse claim.”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01FF4"/>
    <w:multiLevelType w:val="hybridMultilevel"/>
    <w:tmpl w:val="FC6C868C"/>
    <w:lvl w:ilvl="0" w:tplc="67C6B0A4">
      <w:start w:val="4"/>
      <w:numFmt w:val="decimal"/>
      <w:lvlText w:val="(%1)"/>
      <w:lvlJc w:val="left"/>
      <w:pPr>
        <w:ind w:left="2880" w:hanging="720"/>
      </w:pPr>
      <w:rPr>
        <w:rFonts w:hint="default"/>
        <w:i w:val="0"/>
        <w:iCs w:val="0"/>
      </w:rPr>
    </w:lvl>
    <w:lvl w:ilvl="1" w:tplc="117C40D2" w:tentative="1">
      <w:start w:val="1"/>
      <w:numFmt w:val="lowerLetter"/>
      <w:lvlText w:val="%2."/>
      <w:lvlJc w:val="left"/>
      <w:pPr>
        <w:ind w:left="1440" w:hanging="360"/>
      </w:pPr>
    </w:lvl>
    <w:lvl w:ilvl="2" w:tplc="32CC0E42" w:tentative="1">
      <w:start w:val="1"/>
      <w:numFmt w:val="lowerRoman"/>
      <w:lvlText w:val="%3."/>
      <w:lvlJc w:val="right"/>
      <w:pPr>
        <w:ind w:left="2160" w:hanging="180"/>
      </w:pPr>
    </w:lvl>
    <w:lvl w:ilvl="3" w:tplc="4678EF2A" w:tentative="1">
      <w:start w:val="1"/>
      <w:numFmt w:val="decimal"/>
      <w:lvlText w:val="%4."/>
      <w:lvlJc w:val="left"/>
      <w:pPr>
        <w:ind w:left="2880" w:hanging="360"/>
      </w:pPr>
    </w:lvl>
    <w:lvl w:ilvl="4" w:tplc="A0E2860E" w:tentative="1">
      <w:start w:val="1"/>
      <w:numFmt w:val="lowerLetter"/>
      <w:lvlText w:val="%5."/>
      <w:lvlJc w:val="left"/>
      <w:pPr>
        <w:ind w:left="3600" w:hanging="360"/>
      </w:pPr>
    </w:lvl>
    <w:lvl w:ilvl="5" w:tplc="5ED8ED6E" w:tentative="1">
      <w:start w:val="1"/>
      <w:numFmt w:val="lowerRoman"/>
      <w:lvlText w:val="%6."/>
      <w:lvlJc w:val="right"/>
      <w:pPr>
        <w:ind w:left="4320" w:hanging="180"/>
      </w:pPr>
    </w:lvl>
    <w:lvl w:ilvl="6" w:tplc="49D022A8" w:tentative="1">
      <w:start w:val="1"/>
      <w:numFmt w:val="decimal"/>
      <w:lvlText w:val="%7."/>
      <w:lvlJc w:val="left"/>
      <w:pPr>
        <w:ind w:left="5040" w:hanging="360"/>
      </w:pPr>
    </w:lvl>
    <w:lvl w:ilvl="7" w:tplc="EA684E7A" w:tentative="1">
      <w:start w:val="1"/>
      <w:numFmt w:val="lowerLetter"/>
      <w:lvlText w:val="%8."/>
      <w:lvlJc w:val="left"/>
      <w:pPr>
        <w:ind w:left="5760" w:hanging="360"/>
      </w:pPr>
    </w:lvl>
    <w:lvl w:ilvl="8" w:tplc="30A6A584" w:tentative="1">
      <w:start w:val="1"/>
      <w:numFmt w:val="lowerRoman"/>
      <w:lvlText w:val="%9."/>
      <w:lvlJc w:val="right"/>
      <w:pPr>
        <w:ind w:left="6480" w:hanging="180"/>
      </w:pPr>
    </w:lvl>
  </w:abstractNum>
  <w:abstractNum w:abstractNumId="1" w15:restartNumberingAfterBreak="0">
    <w:nsid w:val="555E4A72"/>
    <w:multiLevelType w:val="hybridMultilevel"/>
    <w:tmpl w:val="E98E7068"/>
    <w:lvl w:ilvl="0" w:tplc="6EF292B2">
      <w:start w:val="1"/>
      <w:numFmt w:val="decimal"/>
      <w:lvlText w:val="(%1)"/>
      <w:lvlJc w:val="left"/>
      <w:pPr>
        <w:ind w:left="2880" w:hanging="720"/>
      </w:pPr>
      <w:rPr>
        <w:rFonts w:hint="default"/>
        <w:i w:val="0"/>
        <w:iCs w:val="0"/>
      </w:rPr>
    </w:lvl>
    <w:lvl w:ilvl="1" w:tplc="463E3DC8" w:tentative="1">
      <w:start w:val="1"/>
      <w:numFmt w:val="lowerLetter"/>
      <w:lvlText w:val="%2."/>
      <w:lvlJc w:val="left"/>
      <w:pPr>
        <w:ind w:left="3240" w:hanging="360"/>
      </w:pPr>
    </w:lvl>
    <w:lvl w:ilvl="2" w:tplc="6B88D70C" w:tentative="1">
      <w:start w:val="1"/>
      <w:numFmt w:val="lowerRoman"/>
      <w:lvlText w:val="%3."/>
      <w:lvlJc w:val="right"/>
      <w:pPr>
        <w:ind w:left="3960" w:hanging="180"/>
      </w:pPr>
    </w:lvl>
    <w:lvl w:ilvl="3" w:tplc="661C9B0C" w:tentative="1">
      <w:start w:val="1"/>
      <w:numFmt w:val="decimal"/>
      <w:lvlText w:val="%4."/>
      <w:lvlJc w:val="left"/>
      <w:pPr>
        <w:ind w:left="4680" w:hanging="360"/>
      </w:pPr>
    </w:lvl>
    <w:lvl w:ilvl="4" w:tplc="C4F2FB1C" w:tentative="1">
      <w:start w:val="1"/>
      <w:numFmt w:val="lowerLetter"/>
      <w:lvlText w:val="%5."/>
      <w:lvlJc w:val="left"/>
      <w:pPr>
        <w:ind w:left="5400" w:hanging="360"/>
      </w:pPr>
    </w:lvl>
    <w:lvl w:ilvl="5" w:tplc="EAF2F76E" w:tentative="1">
      <w:start w:val="1"/>
      <w:numFmt w:val="lowerRoman"/>
      <w:lvlText w:val="%6."/>
      <w:lvlJc w:val="right"/>
      <w:pPr>
        <w:ind w:left="6120" w:hanging="180"/>
      </w:pPr>
    </w:lvl>
    <w:lvl w:ilvl="6" w:tplc="BDCA5DF4" w:tentative="1">
      <w:start w:val="1"/>
      <w:numFmt w:val="decimal"/>
      <w:lvlText w:val="%7."/>
      <w:lvlJc w:val="left"/>
      <w:pPr>
        <w:ind w:left="6840" w:hanging="360"/>
      </w:pPr>
    </w:lvl>
    <w:lvl w:ilvl="7" w:tplc="BE963436" w:tentative="1">
      <w:start w:val="1"/>
      <w:numFmt w:val="lowerLetter"/>
      <w:lvlText w:val="%8."/>
      <w:lvlJc w:val="left"/>
      <w:pPr>
        <w:ind w:left="7560" w:hanging="360"/>
      </w:pPr>
    </w:lvl>
    <w:lvl w:ilvl="8" w:tplc="7278F230" w:tentative="1">
      <w:start w:val="1"/>
      <w:numFmt w:val="lowerRoman"/>
      <w:lvlText w:val="%9."/>
      <w:lvlJc w:val="right"/>
      <w:pPr>
        <w:ind w:left="8280" w:hanging="180"/>
      </w:pPr>
    </w:lvl>
  </w:abstractNum>
  <w:abstractNum w:abstractNumId="2" w15:restartNumberingAfterBreak="0">
    <w:nsid w:val="593F1AC0"/>
    <w:multiLevelType w:val="multilevel"/>
    <w:tmpl w:val="BB24E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300450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1838808">
    <w:abstractNumId w:val="1"/>
  </w:num>
  <w:num w:numId="3" w16cid:durableId="2104648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CA"/>
    <w:rsid w:val="007A1CCA"/>
    <w:rsid w:val="0086530A"/>
    <w:rsid w:val="00B2782B"/>
    <w:rsid w:val="00DA0ED4"/>
    <w:rsid w:val="00FC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Schoolbook" w:eastAsiaTheme="minorHAnsi" w:hAnsi="Century Schoolbook"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 indent"/>
    <w:basedOn w:val="Normal"/>
    <w:qFormat/>
    <w:rsid w:val="008A3D40"/>
    <w:pPr>
      <w:spacing w:after="0" w:line="288" w:lineRule="auto"/>
    </w:pPr>
    <w:rPr>
      <w:rFonts w:eastAsia="Times New Roman" w:cs="Times New Roman"/>
      <w:kern w:val="2"/>
    </w:rPr>
  </w:style>
  <w:style w:type="paragraph" w:styleId="FootnoteText">
    <w:name w:val="footnote text"/>
    <w:basedOn w:val="Normal"/>
    <w:link w:val="FootnoteTextChar"/>
    <w:uiPriority w:val="99"/>
    <w:semiHidden/>
    <w:unhideWhenUsed/>
    <w:rsid w:val="005E10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0EE"/>
    <w:rPr>
      <w:sz w:val="20"/>
      <w:szCs w:val="20"/>
    </w:rPr>
  </w:style>
  <w:style w:type="character" w:styleId="FootnoteReference">
    <w:name w:val="footnote reference"/>
    <w:basedOn w:val="DefaultParagraphFont"/>
    <w:uiPriority w:val="99"/>
    <w:semiHidden/>
    <w:unhideWhenUsed/>
    <w:rsid w:val="005E10EE"/>
    <w:rPr>
      <w:vertAlign w:val="superscript"/>
    </w:rPr>
  </w:style>
  <w:style w:type="paragraph" w:styleId="Header">
    <w:name w:val="header"/>
    <w:basedOn w:val="Normal"/>
    <w:link w:val="HeaderChar"/>
    <w:uiPriority w:val="99"/>
    <w:unhideWhenUsed/>
    <w:rsid w:val="005E1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0EE"/>
  </w:style>
  <w:style w:type="paragraph" w:styleId="Footer">
    <w:name w:val="footer"/>
    <w:basedOn w:val="Normal"/>
    <w:link w:val="FooterChar"/>
    <w:uiPriority w:val="99"/>
    <w:unhideWhenUsed/>
    <w:rsid w:val="005E1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0EE"/>
  </w:style>
  <w:style w:type="paragraph" w:customStyle="1" w:styleId="Default">
    <w:name w:val="Default"/>
    <w:rsid w:val="006A6AD1"/>
    <w:pPr>
      <w:autoSpaceDE w:val="0"/>
      <w:autoSpaceDN w:val="0"/>
      <w:adjustRightInd w:val="0"/>
      <w:spacing w:after="0" w:line="240" w:lineRule="auto"/>
    </w:pPr>
    <w:rPr>
      <w:rFonts w:cs="Century Schoolbook"/>
      <w:color w:val="000000"/>
      <w:sz w:val="24"/>
      <w:szCs w:val="24"/>
    </w:rPr>
  </w:style>
  <w:style w:type="paragraph" w:styleId="Revision">
    <w:name w:val="Revision"/>
    <w:hidden/>
    <w:uiPriority w:val="99"/>
    <w:semiHidden/>
    <w:rsid w:val="00A64F29"/>
    <w:pPr>
      <w:spacing w:after="0" w:line="240" w:lineRule="auto"/>
    </w:pPr>
  </w:style>
  <w:style w:type="character" w:styleId="CommentReference">
    <w:name w:val="annotation reference"/>
    <w:basedOn w:val="DefaultParagraphFont"/>
    <w:uiPriority w:val="99"/>
    <w:semiHidden/>
    <w:unhideWhenUsed/>
    <w:rsid w:val="00963B55"/>
    <w:rPr>
      <w:sz w:val="16"/>
      <w:szCs w:val="16"/>
    </w:rPr>
  </w:style>
  <w:style w:type="paragraph" w:styleId="CommentText">
    <w:name w:val="annotation text"/>
    <w:basedOn w:val="Normal"/>
    <w:link w:val="CommentTextChar"/>
    <w:uiPriority w:val="99"/>
    <w:unhideWhenUsed/>
    <w:rsid w:val="00963B55"/>
    <w:pPr>
      <w:spacing w:line="240" w:lineRule="auto"/>
    </w:pPr>
    <w:rPr>
      <w:sz w:val="20"/>
      <w:szCs w:val="20"/>
    </w:rPr>
  </w:style>
  <w:style w:type="character" w:customStyle="1" w:styleId="CommentTextChar">
    <w:name w:val="Comment Text Char"/>
    <w:basedOn w:val="DefaultParagraphFont"/>
    <w:link w:val="CommentText"/>
    <w:uiPriority w:val="99"/>
    <w:rsid w:val="00963B55"/>
    <w:rPr>
      <w:sz w:val="20"/>
      <w:szCs w:val="20"/>
    </w:rPr>
  </w:style>
  <w:style w:type="paragraph" w:styleId="CommentSubject">
    <w:name w:val="annotation subject"/>
    <w:basedOn w:val="CommentText"/>
    <w:next w:val="CommentText"/>
    <w:link w:val="CommentSubjectChar"/>
    <w:uiPriority w:val="99"/>
    <w:semiHidden/>
    <w:unhideWhenUsed/>
    <w:rsid w:val="00963B55"/>
    <w:rPr>
      <w:b/>
      <w:bCs/>
    </w:rPr>
  </w:style>
  <w:style w:type="character" w:customStyle="1" w:styleId="CommentSubjectChar">
    <w:name w:val="Comment Subject Char"/>
    <w:basedOn w:val="CommentTextChar"/>
    <w:link w:val="CommentSubject"/>
    <w:uiPriority w:val="99"/>
    <w:semiHidden/>
    <w:rsid w:val="00963B55"/>
    <w:rPr>
      <w:b/>
      <w:bCs/>
      <w:sz w:val="20"/>
      <w:szCs w:val="20"/>
    </w:rPr>
  </w:style>
  <w:style w:type="character" w:styleId="Hyperlink">
    <w:name w:val="Hyperlink"/>
    <w:basedOn w:val="DefaultParagraphFont"/>
    <w:uiPriority w:val="99"/>
    <w:unhideWhenUsed/>
    <w:rsid w:val="00AB272E"/>
    <w:rPr>
      <w:color w:val="0563C1" w:themeColor="hyperlink"/>
      <w:u w:val="single"/>
    </w:rPr>
  </w:style>
  <w:style w:type="character" w:customStyle="1" w:styleId="UnresolvedMention1">
    <w:name w:val="Unresolved Mention1"/>
    <w:basedOn w:val="DefaultParagraphFont"/>
    <w:uiPriority w:val="99"/>
    <w:semiHidden/>
    <w:unhideWhenUsed/>
    <w:rsid w:val="00AB272E"/>
    <w:rPr>
      <w:color w:val="605E5C"/>
      <w:shd w:val="clear" w:color="auto" w:fill="E1DFDD"/>
    </w:rPr>
  </w:style>
  <w:style w:type="paragraph" w:styleId="ListParagraph">
    <w:name w:val="List Paragraph"/>
    <w:basedOn w:val="Normal"/>
    <w:uiPriority w:val="34"/>
    <w:qFormat/>
    <w:rsid w:val="009D233B"/>
    <w:pPr>
      <w:ind w:left="720"/>
      <w:contextualSpacing/>
    </w:pPr>
  </w:style>
  <w:style w:type="character" w:styleId="Emphasis">
    <w:name w:val="Emphasis"/>
    <w:basedOn w:val="DefaultParagraphFont"/>
    <w:uiPriority w:val="20"/>
    <w:qFormat/>
    <w:rsid w:val="009B36E7"/>
    <w:rPr>
      <w:i/>
      <w:iCs/>
    </w:rPr>
  </w:style>
  <w:style w:type="character" w:customStyle="1" w:styleId="coconcept110">
    <w:name w:val="co_concept_1_10"/>
    <w:basedOn w:val="DefaultParagraphFont"/>
    <w:rsid w:val="009B36E7"/>
  </w:style>
  <w:style w:type="character" w:customStyle="1" w:styleId="copinpointicon">
    <w:name w:val="co_pinpointicon"/>
    <w:basedOn w:val="DefaultParagraphFont"/>
    <w:rsid w:val="009B36E7"/>
  </w:style>
  <w:style w:type="character" w:customStyle="1" w:styleId="coconcept1623">
    <w:name w:val="co_concept_16_23"/>
    <w:basedOn w:val="DefaultParagraphFont"/>
    <w:rsid w:val="009B36E7"/>
  </w:style>
  <w:style w:type="paragraph" w:styleId="NormalWeb">
    <w:name w:val="Normal (Web)"/>
    <w:basedOn w:val="Normal"/>
    <w:uiPriority w:val="99"/>
    <w:unhideWhenUsed/>
    <w:rsid w:val="00CD7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twet0lvm">
    <w:name w:val="marketwet0lvm"/>
    <w:basedOn w:val="DefaultParagraphFont"/>
    <w:rsid w:val="00CD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10658</Words>
  <Characters>57103</Characters>
  <Application>Microsoft Office Word</Application>
  <DocSecurity>0</DocSecurity>
  <Lines>1209</Lines>
  <Paragraphs>172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2024-03-01T19:41:00Z</dcterms:created>
  <dcterms:modified xsi:type="dcterms:W3CDTF">2024-03-01T19:41:00Z</dcterms:modified>
  <cp:category/>
</cp:coreProperties>
</file>