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D1029" w14:textId="15C4E4FB" w:rsidR="0094748C" w:rsidRPr="00013091" w:rsidRDefault="0094748C">
      <w:pPr>
        <w:rPr>
          <w:sz w:val="20"/>
          <w:szCs w:val="20"/>
        </w:rPr>
      </w:pPr>
      <w:r w:rsidRPr="00013091">
        <w:rPr>
          <w:sz w:val="20"/>
          <w:szCs w:val="20"/>
        </w:rPr>
        <w:t>Filed 4/19/</w:t>
      </w:r>
      <w:r w:rsidRPr="00013091">
        <w:rPr>
          <w:sz w:val="20"/>
          <w:szCs w:val="20"/>
        </w:rPr>
        <w:t>24</w:t>
      </w:r>
    </w:p>
    <w:p w14:paraId="35F1E164" w14:textId="77777777" w:rsidR="0094748C" w:rsidRDefault="0094748C">
      <w:pPr>
        <w:jc w:val="center"/>
        <w:rPr>
          <w:b/>
        </w:rPr>
      </w:pPr>
      <w:r>
        <w:rPr>
          <w:b/>
        </w:rPr>
        <w:t>CERTIFIED FOR PUBLICATION</w:t>
      </w:r>
    </w:p>
    <w:p w14:paraId="1B6093C5" w14:textId="77777777" w:rsidR="0094748C" w:rsidRDefault="0094748C">
      <w:pPr>
        <w:jc w:val="center"/>
        <w:rPr>
          <w:b/>
        </w:rPr>
      </w:pPr>
    </w:p>
    <w:p w14:paraId="6311A942" w14:textId="77777777" w:rsidR="0094748C" w:rsidRDefault="0094748C">
      <w:pPr>
        <w:jc w:val="center"/>
      </w:pPr>
      <w:r>
        <w:t>IN THE COURT OF APPEAL OF THE STATE OF CALIFORNIA</w:t>
      </w:r>
    </w:p>
    <w:p w14:paraId="379727C3" w14:textId="77777777" w:rsidR="0094748C" w:rsidRDefault="0094748C">
      <w:pPr>
        <w:jc w:val="center"/>
      </w:pPr>
    </w:p>
    <w:p w14:paraId="3CDD3510" w14:textId="77777777" w:rsidR="0094748C" w:rsidRDefault="0094748C">
      <w:pPr>
        <w:jc w:val="center"/>
      </w:pPr>
      <w:r>
        <w:t>SECOND APPELLATE DISTRICT</w:t>
      </w:r>
    </w:p>
    <w:p w14:paraId="0D497CC2" w14:textId="77777777" w:rsidR="0094748C" w:rsidRDefault="0094748C">
      <w:pPr>
        <w:jc w:val="center"/>
      </w:pPr>
    </w:p>
    <w:p w14:paraId="5743DF10" w14:textId="77777777" w:rsidR="0094748C" w:rsidRDefault="0094748C">
      <w:pPr>
        <w:jc w:val="center"/>
      </w:pPr>
      <w:r>
        <w:t>DIVISION EIGHT</w:t>
      </w:r>
    </w:p>
    <w:p w14:paraId="61D158AE" w14:textId="77777777" w:rsidR="0094748C" w:rsidRDefault="0094748C">
      <w:pPr>
        <w:jc w:val="center"/>
      </w:pPr>
    </w:p>
    <w:p w14:paraId="3743EC52" w14:textId="77777777" w:rsidR="0094748C" w:rsidRDefault="0094748C">
      <w:pPr>
        <w:jc w:val="center"/>
      </w:pPr>
    </w:p>
    <w:tbl>
      <w:tblPr>
        <w:tblStyle w:val="a0"/>
        <w:tblW w:w="8658" w:type="dxa"/>
        <w:tblLayout w:type="fixed"/>
        <w:tblLook w:val="0000" w:firstRow="0" w:lastRow="0" w:firstColumn="0" w:lastColumn="0" w:noHBand="0" w:noVBand="0"/>
      </w:tblPr>
      <w:tblGrid>
        <w:gridCol w:w="4338"/>
        <w:gridCol w:w="4320"/>
      </w:tblGrid>
      <w:tr w:rsidR="00C361D2" w14:paraId="100E3C7A" w14:textId="77777777">
        <w:tc>
          <w:tcPr>
            <w:tcW w:w="4338" w:type="dxa"/>
            <w:tcBorders>
              <w:bottom w:val="single" w:sz="4" w:space="0" w:color="000000"/>
              <w:right w:val="single" w:sz="4" w:space="0" w:color="000000"/>
            </w:tcBorders>
            <w:shd w:val="clear" w:color="auto" w:fill="auto"/>
          </w:tcPr>
          <w:p w14:paraId="43CDC8DA" w14:textId="77777777" w:rsidR="0094748C" w:rsidRDefault="0094748C">
            <w:r>
              <w:t>ROBERT DUBAC,</w:t>
            </w:r>
          </w:p>
          <w:p w14:paraId="489F1C7A" w14:textId="77777777" w:rsidR="0094748C" w:rsidRDefault="0094748C"/>
          <w:p w14:paraId="1B144086" w14:textId="77777777" w:rsidR="0094748C" w:rsidRDefault="0094748C">
            <w:r>
              <w:tab/>
              <w:t>Plaintiff and Respondent,</w:t>
            </w:r>
          </w:p>
          <w:p w14:paraId="72FC241A" w14:textId="77777777" w:rsidR="0094748C" w:rsidRDefault="0094748C"/>
          <w:p w14:paraId="4E01E7F7" w14:textId="77777777" w:rsidR="0094748C" w:rsidRDefault="0094748C">
            <w:r>
              <w:tab/>
              <w:t>v.</w:t>
            </w:r>
          </w:p>
          <w:p w14:paraId="3A2CC593" w14:textId="77777777" w:rsidR="0094748C" w:rsidRDefault="0094748C"/>
          <w:p w14:paraId="62A45FE2" w14:textId="77777777" w:rsidR="0094748C" w:rsidRDefault="0094748C">
            <w:r>
              <w:t>SANDRA ITKOFF et al.,</w:t>
            </w:r>
          </w:p>
          <w:p w14:paraId="56FF45E1" w14:textId="77777777" w:rsidR="0094748C" w:rsidRDefault="0094748C"/>
          <w:p w14:paraId="1A28AE58" w14:textId="77777777" w:rsidR="0094748C" w:rsidRDefault="0094748C">
            <w:r>
              <w:tab/>
              <w:t>Defendants and Appellants.</w:t>
            </w:r>
          </w:p>
          <w:p w14:paraId="25B52523" w14:textId="77777777" w:rsidR="0094748C" w:rsidRDefault="0094748C"/>
        </w:tc>
        <w:tc>
          <w:tcPr>
            <w:tcW w:w="4320" w:type="dxa"/>
            <w:tcBorders>
              <w:left w:val="single" w:sz="4" w:space="0" w:color="000000"/>
            </w:tcBorders>
            <w:shd w:val="clear" w:color="auto" w:fill="auto"/>
          </w:tcPr>
          <w:p w14:paraId="315E67EA" w14:textId="77777777" w:rsidR="0094748C" w:rsidRDefault="0094748C">
            <w:r>
              <w:t xml:space="preserve">      B317061</w:t>
            </w:r>
          </w:p>
          <w:p w14:paraId="0DC53854" w14:textId="77777777" w:rsidR="0094748C" w:rsidRDefault="0094748C"/>
          <w:p w14:paraId="620EAA75" w14:textId="77777777" w:rsidR="0094748C" w:rsidRDefault="0094748C">
            <w:r>
              <w:t xml:space="preserve">      Los Angeles County</w:t>
            </w:r>
          </w:p>
          <w:p w14:paraId="67AE3054" w14:textId="77777777" w:rsidR="0094748C" w:rsidRDefault="0094748C">
            <w:r>
              <w:t xml:space="preserve">      Super. Ct. No. 20SMCV02019 </w:t>
            </w:r>
          </w:p>
          <w:p w14:paraId="208100F3" w14:textId="77777777" w:rsidR="0094748C" w:rsidRDefault="0094748C"/>
        </w:tc>
      </w:tr>
    </w:tbl>
    <w:p w14:paraId="0D32D1C4" w14:textId="77777777" w:rsidR="0094748C" w:rsidRDefault="0094748C">
      <w:pPr>
        <w:widowControl w:val="0"/>
        <w:ind w:firstLine="720"/>
      </w:pPr>
    </w:p>
    <w:p w14:paraId="71A5FD94" w14:textId="77777777" w:rsidR="0094748C" w:rsidRDefault="0094748C">
      <w:pPr>
        <w:widowControl w:val="0"/>
        <w:ind w:firstLine="720"/>
      </w:pPr>
      <w:r>
        <w:t xml:space="preserve">APPEAL from an order of the Superior Court of Los Angeles County, Mark H. Epstein, Judge.  Affirmed. </w:t>
      </w:r>
    </w:p>
    <w:p w14:paraId="07FE0B82" w14:textId="77777777" w:rsidR="0094748C" w:rsidRDefault="0094748C">
      <w:pPr>
        <w:widowControl w:val="0"/>
      </w:pPr>
      <w:r>
        <w:tab/>
        <w:t>Rosen Saba, Todd M. Lander and Michael J. Peng for Plaintiff and Respondent.</w:t>
      </w:r>
    </w:p>
    <w:p w14:paraId="380C2DB4" w14:textId="77777777" w:rsidR="0094748C" w:rsidRDefault="0094748C">
      <w:pPr>
        <w:ind w:firstLine="720"/>
      </w:pPr>
      <w:r>
        <w:t xml:space="preserve">Brown, White &amp; Osborn and Kenneth P. White for Defendants and Appellants.  </w:t>
      </w:r>
    </w:p>
    <w:p w14:paraId="46422410" w14:textId="77777777" w:rsidR="0094748C" w:rsidRDefault="0094748C">
      <w:pPr>
        <w:jc w:val="center"/>
      </w:pPr>
      <w:r>
        <w:t>____________________</w:t>
      </w:r>
    </w:p>
    <w:p w14:paraId="726E5333" w14:textId="77777777" w:rsidR="0094748C" w:rsidRDefault="0094748C">
      <w:pPr>
        <w:ind w:firstLine="720"/>
      </w:pPr>
      <w:r>
        <w:lastRenderedPageBreak/>
        <w:t>In a six-unit building, one couple kept emailing insults about their neighbor.  For anti-SLAPP purposes, this quarrel was not speech in connection with a public issue.  Code cites are to the Code of Civil Procedure.</w:t>
      </w:r>
    </w:p>
    <w:p w14:paraId="0D7AC01F" w14:textId="77777777" w:rsidR="0094748C" w:rsidRDefault="0094748C">
      <w:pPr>
        <w:numPr>
          <w:ilvl w:val="0"/>
          <w:numId w:val="1"/>
        </w:numPr>
        <w:jc w:val="center"/>
      </w:pPr>
      <w:r>
        <w:t>I</w:t>
      </w:r>
    </w:p>
    <w:p w14:paraId="39290AA7" w14:textId="77777777" w:rsidR="0094748C" w:rsidRDefault="0094748C">
      <w:pPr>
        <w:ind w:firstLine="720"/>
      </w:pPr>
      <w:r>
        <w:t>We recount facts.</w:t>
      </w:r>
    </w:p>
    <w:p w14:paraId="768A74A4" w14:textId="77777777" w:rsidR="0094748C" w:rsidRDefault="0094748C">
      <w:pPr>
        <w:numPr>
          <w:ilvl w:val="0"/>
          <w:numId w:val="1"/>
        </w:numPr>
        <w:jc w:val="center"/>
      </w:pPr>
      <w:r>
        <w:t>A</w:t>
      </w:r>
    </w:p>
    <w:p w14:paraId="38A9BED3" w14:textId="77777777" w:rsidR="0094748C" w:rsidRDefault="0094748C">
      <w:pPr>
        <w:ind w:firstLine="720"/>
      </w:pPr>
      <w:r>
        <w:t xml:space="preserve">Robert </w:t>
      </w:r>
      <w:proofErr w:type="spellStart"/>
      <w:r>
        <w:t>Dubac</w:t>
      </w:r>
      <w:proofErr w:type="spellEnd"/>
      <w:r>
        <w:t xml:space="preserve"> owned a condominium in the same six-unit building as Sandra </w:t>
      </w:r>
      <w:proofErr w:type="spellStart"/>
      <w:r>
        <w:t>Itkoff</w:t>
      </w:r>
      <w:proofErr w:type="spellEnd"/>
      <w:r>
        <w:t xml:space="preserve"> and Jonathan Diamond.  We spell out nine statements by </w:t>
      </w:r>
      <w:proofErr w:type="spellStart"/>
      <w:r>
        <w:t>Itkoff</w:t>
      </w:r>
      <w:proofErr w:type="spellEnd"/>
      <w:r>
        <w:t xml:space="preserve"> and Diamond that </w:t>
      </w:r>
      <w:proofErr w:type="spellStart"/>
      <w:r>
        <w:t>Dubac</w:t>
      </w:r>
      <w:proofErr w:type="spellEnd"/>
      <w:r>
        <w:t xml:space="preserve"> claimed were actionable.  (See </w:t>
      </w:r>
      <w:r>
        <w:rPr>
          <w:i/>
        </w:rPr>
        <w:t>Geiser v. Kuhns</w:t>
      </w:r>
      <w:r>
        <w:t xml:space="preserve"> (2022) 13 Cal.5th 1238, 1252–1256 [context is important] (</w:t>
      </w:r>
      <w:r>
        <w:rPr>
          <w:i/>
        </w:rPr>
        <w:t>Geiser</w:t>
      </w:r>
      <w:r>
        <w:t xml:space="preserve">).)  The statements present the perspective of </w:t>
      </w:r>
      <w:proofErr w:type="spellStart"/>
      <w:r>
        <w:t>Itkoff</w:t>
      </w:r>
      <w:proofErr w:type="spellEnd"/>
      <w:r>
        <w:t xml:space="preserve"> and Diamond, who assert the bad blood with </w:t>
      </w:r>
      <w:proofErr w:type="spellStart"/>
      <w:r>
        <w:t>Dubac</w:t>
      </w:r>
      <w:proofErr w:type="spellEnd"/>
      <w:r>
        <w:t xml:space="preserve"> dated from before 2015, when they complained </w:t>
      </w:r>
      <w:proofErr w:type="spellStart"/>
      <w:r>
        <w:t>Dubac</w:t>
      </w:r>
      <w:proofErr w:type="spellEnd"/>
      <w:r>
        <w:t xml:space="preserve"> discriminated “against them because they are </w:t>
      </w:r>
      <w:proofErr w:type="gramStart"/>
      <w:r>
        <w:t>Jewish</w:t>
      </w:r>
      <w:proofErr w:type="gramEnd"/>
      <w:r>
        <w:t xml:space="preserve"> and their daughter is African-America</w:t>
      </w:r>
      <w:r>
        <w:t xml:space="preserve">n.”  </w:t>
      </w:r>
      <w:proofErr w:type="spellStart"/>
      <w:r>
        <w:t>Dubac</w:t>
      </w:r>
      <w:proofErr w:type="spellEnd"/>
      <w:r>
        <w:t xml:space="preserve"> maintains all their charges are false.</w:t>
      </w:r>
    </w:p>
    <w:p w14:paraId="630A793F" w14:textId="77777777" w:rsidR="0094748C" w:rsidRDefault="0094748C">
      <w:pPr>
        <w:ind w:firstLine="720"/>
      </w:pPr>
      <w:r>
        <w:rPr>
          <w:i/>
        </w:rPr>
        <w:t>Statement one.</w:t>
      </w:r>
      <w:r>
        <w:t xml:space="preserve">  On May 2, 2020, </w:t>
      </w:r>
      <w:proofErr w:type="spellStart"/>
      <w:r>
        <w:t>Itkoff</w:t>
      </w:r>
      <w:proofErr w:type="spellEnd"/>
      <w:r>
        <w:t xml:space="preserve"> and Diamond orally told an insurance carrier that </w:t>
      </w:r>
      <w:proofErr w:type="spellStart"/>
      <w:r>
        <w:t>Dubac</w:t>
      </w:r>
      <w:proofErr w:type="spellEnd"/>
      <w:r>
        <w:t xml:space="preserve"> was “self-dealing on the backs of other homeowners.”</w:t>
      </w:r>
    </w:p>
    <w:p w14:paraId="23DA4280" w14:textId="77777777" w:rsidR="0094748C" w:rsidRDefault="0094748C">
      <w:pPr>
        <w:ind w:firstLine="720"/>
      </w:pPr>
      <w:r>
        <w:rPr>
          <w:i/>
        </w:rPr>
        <w:t>Statement two.</w:t>
      </w:r>
      <w:r>
        <w:t xml:space="preserve">  On June 14, 2020</w:t>
      </w:r>
      <w:r>
        <w:t>,</w:t>
      </w:r>
      <w:r>
        <w:t xml:space="preserve"> at 8:26 a.m., </w:t>
      </w:r>
      <w:proofErr w:type="spellStart"/>
      <w:r>
        <w:t>Itkoff</w:t>
      </w:r>
      <w:proofErr w:type="spellEnd"/>
      <w:r>
        <w:t xml:space="preserve"> and Diamond sent an email titled “Re: HOA insurance” to </w:t>
      </w:r>
      <w:proofErr w:type="spellStart"/>
      <w:r>
        <w:t>Dubac’s</w:t>
      </w:r>
      <w:proofErr w:type="spellEnd"/>
      <w:r>
        <w:t xml:space="preserve"> wife and to the board of the </w:t>
      </w:r>
      <w:proofErr w:type="gramStart"/>
      <w:r>
        <w:t>homeowners</w:t>
      </w:r>
      <w:proofErr w:type="gramEnd"/>
      <w:r>
        <w:t xml:space="preserve"> association.  This email asked whether “a claim </w:t>
      </w:r>
      <w:r>
        <w:t>[</w:t>
      </w:r>
      <w:r>
        <w:t>has</w:t>
      </w:r>
      <w:r>
        <w:t>]</w:t>
      </w:r>
      <w:r>
        <w:t xml:space="preserve"> been made against this policy as we have </w:t>
      </w:r>
      <w:r>
        <w:t xml:space="preserve">requested </w:t>
      </w:r>
      <w:r>
        <w:t>repeatedly.”  We quote the balance of this message, without corrections but with our italics:</w:t>
      </w:r>
    </w:p>
    <w:p w14:paraId="0735EF76" w14:textId="77777777" w:rsidR="0094748C" w:rsidRDefault="0094748C">
      <w:pPr>
        <w:ind w:firstLine="720"/>
      </w:pPr>
      <w:r>
        <w:t xml:space="preserve">“There is a long list </w:t>
      </w:r>
      <w:r>
        <w:t xml:space="preserve">forming </w:t>
      </w:r>
      <w:r>
        <w:t>of continued illegal and damaging acts by this HOA:  records issues, audit issues, theft and other financial errors</w:t>
      </w:r>
      <w:r>
        <w:t>, mismanagement and self-</w:t>
      </w:r>
      <w:proofErr w:type="spellStart"/>
      <w:r>
        <w:t>deail</w:t>
      </w:r>
      <w:proofErr w:type="spellEnd"/>
      <w:r>
        <w:t xml:space="preserve"> issues</w:t>
      </w:r>
      <w:r>
        <w:t>.  [</w:t>
      </w:r>
      <w:proofErr w:type="gramStart"/>
      <w:r>
        <w:t>⁋]  We</w:t>
      </w:r>
      <w:proofErr w:type="gramEnd"/>
      <w:r>
        <w:t xml:space="preserve"> have pointed these wrong doings out.  They have not been addressed and continue.  In addition, the same board member, Robert </w:t>
      </w:r>
      <w:proofErr w:type="spellStart"/>
      <w:r>
        <w:t>Dubac</w:t>
      </w:r>
      <w:proofErr w:type="spellEnd"/>
      <w:r>
        <w:t xml:space="preserve">, who has been </w:t>
      </w:r>
      <w:r>
        <w:rPr>
          <w:i/>
        </w:rPr>
        <w:t xml:space="preserve">acting in bad faith and </w:t>
      </w:r>
      <w:r>
        <w:rPr>
          <w:i/>
        </w:rPr>
        <w:lastRenderedPageBreak/>
        <w:t>in a raciest</w:t>
      </w:r>
      <w:r>
        <w:t>, continues to run the HOA.  [</w:t>
      </w:r>
      <w:proofErr w:type="gramStart"/>
      <w:r>
        <w:t>⁋]  He</w:t>
      </w:r>
      <w:proofErr w:type="gramEnd"/>
      <w:r>
        <w:t xml:space="preserve"> must be replaced.  [</w:t>
      </w:r>
      <w:proofErr w:type="gramStart"/>
      <w:r>
        <w:t>⁋]  These</w:t>
      </w:r>
      <w:proofErr w:type="gramEnd"/>
      <w:r>
        <w:t xml:space="preserve"> new illegal actions of the past 3 years must be addressed by the insurance company given they</w:t>
      </w:r>
      <w:r>
        <w:t xml:space="preserve"> are being ignored by this HOA.  [</w:t>
      </w:r>
      <w:proofErr w:type="gramStart"/>
      <w:r>
        <w:t>⁋]  Yours</w:t>
      </w:r>
      <w:proofErr w:type="gramEnd"/>
      <w:r>
        <w:t>, Sandy and Jonathan.”</w:t>
      </w:r>
    </w:p>
    <w:p w14:paraId="3B3035DE" w14:textId="77777777" w:rsidR="0094748C" w:rsidRDefault="0094748C">
      <w:pPr>
        <w:ind w:firstLine="720"/>
      </w:pPr>
      <w:proofErr w:type="spellStart"/>
      <w:r>
        <w:t>Dubac’s</w:t>
      </w:r>
      <w:proofErr w:type="spellEnd"/>
      <w:r>
        <w:t xml:space="preserve"> suit claimed the statements that he was acting in bad faith and was a racist were actionable.  </w:t>
      </w:r>
    </w:p>
    <w:p w14:paraId="438F61BC" w14:textId="77777777" w:rsidR="0094748C" w:rsidRDefault="0094748C">
      <w:pPr>
        <w:ind w:firstLine="720"/>
      </w:pPr>
      <w:r>
        <w:rPr>
          <w:i/>
        </w:rPr>
        <w:t>Statement three.</w:t>
      </w:r>
      <w:r>
        <w:t xml:space="preserve">  On July 3, 2020, at 4:47 p.m., </w:t>
      </w:r>
      <w:proofErr w:type="spellStart"/>
      <w:r>
        <w:t>Itkoff</w:t>
      </w:r>
      <w:proofErr w:type="spellEnd"/>
      <w:r>
        <w:t xml:space="preserve"> emailed </w:t>
      </w:r>
      <w:proofErr w:type="spellStart"/>
      <w:r>
        <w:t>Dubac</w:t>
      </w:r>
      <w:proofErr w:type="spellEnd"/>
      <w:r>
        <w:t xml:space="preserve">, copying </w:t>
      </w:r>
      <w:proofErr w:type="spellStart"/>
      <w:r>
        <w:t>Dubac’s</w:t>
      </w:r>
      <w:proofErr w:type="spellEnd"/>
      <w:r>
        <w:t xml:space="preserve"> wife and other residents of the condominium building, four of whom were named Mike Goedecke, Steve </w:t>
      </w:r>
      <w:proofErr w:type="spellStart"/>
      <w:r>
        <w:t>Kloves</w:t>
      </w:r>
      <w:proofErr w:type="spellEnd"/>
      <w:r>
        <w:t>, Chris Carter, and Laura Peterson.</w:t>
      </w:r>
    </w:p>
    <w:p w14:paraId="6EA54C33" w14:textId="77777777" w:rsidR="0094748C" w:rsidRDefault="0094748C">
      <w:pPr>
        <w:ind w:firstLine="720"/>
      </w:pPr>
      <w:r>
        <w:t xml:space="preserve">The title of this message was “Not </w:t>
      </w:r>
      <w:r>
        <w:t>HOA business.”  The message’s uncorrected text follows.  The italics are ours.</w:t>
      </w:r>
    </w:p>
    <w:p w14:paraId="566937BD" w14:textId="77777777" w:rsidR="0094748C" w:rsidRDefault="0094748C">
      <w:pPr>
        <w:ind w:firstLine="720"/>
      </w:pPr>
      <w:r>
        <w:t>“</w:t>
      </w:r>
      <w:r>
        <w:rPr>
          <w:i/>
        </w:rPr>
        <w:t>This has nothing to do with the HOA at this point, this is between you and me</w:t>
      </w:r>
      <w:r>
        <w:t>.  [</w:t>
      </w:r>
      <w:proofErr w:type="gramStart"/>
      <w:r>
        <w:t xml:space="preserve">⁋]   </w:t>
      </w:r>
      <w:proofErr w:type="gramEnd"/>
      <w:r>
        <w:t>This just came up in the car AGAIN -- it does a lot these days because all of you have acted just like the others in the news, and Rosie points it out.  [</w:t>
      </w:r>
      <w:proofErr w:type="gramStart"/>
      <w:r>
        <w:t xml:space="preserve">⁋]  </w:t>
      </w:r>
      <w:r>
        <w:rPr>
          <w:i/>
        </w:rPr>
        <w:t>You</w:t>
      </w:r>
      <w:proofErr w:type="gramEnd"/>
      <w:r>
        <w:rPr>
          <w:i/>
        </w:rPr>
        <w:t xml:space="preserve"> are a racist son of a bitch</w:t>
      </w:r>
      <w:r>
        <w:t xml:space="preserve">, just like all those KARENS out there with their white privilege and lack of any sense of who they really are.  </w:t>
      </w:r>
      <w:r>
        <w:rPr>
          <w:i/>
        </w:rPr>
        <w:t xml:space="preserve">You are a racist son of a </w:t>
      </w:r>
      <w:proofErr w:type="gramStart"/>
      <w:r>
        <w:rPr>
          <w:i/>
        </w:rPr>
        <w:t>bitch</w:t>
      </w:r>
      <w:proofErr w:type="gramEnd"/>
      <w:r>
        <w:rPr>
          <w:i/>
        </w:rPr>
        <w:t>.</w:t>
      </w:r>
      <w:r>
        <w:t xml:space="preserve">  You made my beautiful Rosie cry on so many nights.  For some reason you thought it was ok </w:t>
      </w:r>
      <w:r>
        <w:t>to film her, report her to the police, blame plumbing issues (that had her sleeping on our floor for a year) on her gorgeous African curls, look the other way when sewage kept entering her room, toss over her plant and then kill it in the garage, state that she stuffs ‘all sorts of crap’ down the toilet, state that her sweet sweets for the neighbors were poison.  [</w:t>
      </w:r>
      <w:proofErr w:type="gramStart"/>
      <w:r>
        <w:t xml:space="preserve">⁋]  </w:t>
      </w:r>
      <w:r>
        <w:rPr>
          <w:i/>
        </w:rPr>
        <w:t>Not</w:t>
      </w:r>
      <w:proofErr w:type="gramEnd"/>
      <w:r>
        <w:rPr>
          <w:i/>
        </w:rPr>
        <w:t xml:space="preserve"> only are you a racist son of a bitch - but you act out your hate and disappointment with life on a child.</w:t>
      </w:r>
      <w:r>
        <w:t xml:space="preserve">  You and Goedecke are too </w:t>
      </w:r>
      <w:proofErr w:type="spellStart"/>
      <w:r>
        <w:t>unsel</w:t>
      </w:r>
      <w:r>
        <w:t>faware</w:t>
      </w:r>
      <w:proofErr w:type="spellEnd"/>
      <w:r>
        <w:t xml:space="preserve"> to understand your own actions - he calls the police and </w:t>
      </w:r>
      <w:r>
        <w:lastRenderedPageBreak/>
        <w:t>tells them we have a gun, also a KAREN move.  I guess the intent was to have them show up at our door guns drawn...perhaps shoot the black girl, she may be an intruder.  [</w:t>
      </w:r>
      <w:proofErr w:type="gramStart"/>
      <w:r>
        <w:t>⁋]  And</w:t>
      </w:r>
      <w:proofErr w:type="gramEnd"/>
      <w:r>
        <w:t xml:space="preserve"> you others - Chris Carter &amp; Steve </w:t>
      </w:r>
      <w:proofErr w:type="spellStart"/>
      <w:r>
        <w:t>Klovis</w:t>
      </w:r>
      <w:proofErr w:type="spellEnd"/>
      <w:r>
        <w:t xml:space="preserve"> - stand by and watch.  Laura Peterson says to Rosie’s face, </w:t>
      </w:r>
      <w:proofErr w:type="gramStart"/>
      <w:r>
        <w:t>I won’t</w:t>
      </w:r>
      <w:proofErr w:type="gramEnd"/>
      <w:r>
        <w:t xml:space="preserve"> help stop it, let alone apologize for it.  [</w:t>
      </w:r>
      <w:proofErr w:type="gramStart"/>
      <w:r>
        <w:t>⁋]  You</w:t>
      </w:r>
      <w:proofErr w:type="gramEnd"/>
      <w:r>
        <w:t xml:space="preserve"> wonder why Rosie’s school counsels and essays are filled with your names - this is why.  [</w:t>
      </w:r>
      <w:proofErr w:type="gramStart"/>
      <w:r>
        <w:t>⁋]  You</w:t>
      </w:r>
      <w:proofErr w:type="gramEnd"/>
      <w:r>
        <w:t xml:space="preserve"> want to kn</w:t>
      </w:r>
      <w:r>
        <w:t>ow why we will always seek truth and justice when dealing with you all - this is why.  This is the fire in our belly.  You hurt both my babies.  Squandered Leo’s medical school funds and hurt Rosie in ways she will remember until death.  [</w:t>
      </w:r>
      <w:proofErr w:type="gramStart"/>
      <w:r>
        <w:t>⁋]  I</w:t>
      </w:r>
      <w:proofErr w:type="gramEnd"/>
      <w:r>
        <w:t xml:space="preserve"> tried to help us all move beyond this, but you refused to participate.  [</w:t>
      </w:r>
      <w:proofErr w:type="gramStart"/>
      <w:r>
        <w:t>⁋]  Keep</w:t>
      </w:r>
      <w:proofErr w:type="gramEnd"/>
      <w:r>
        <w:t xml:space="preserve"> lying to the City, we won’t.  [</w:t>
      </w:r>
      <w:proofErr w:type="gramStart"/>
      <w:r>
        <w:t>⁋]  Sandy</w:t>
      </w:r>
      <w:proofErr w:type="gramEnd"/>
      <w:r>
        <w:t>”</w:t>
      </w:r>
    </w:p>
    <w:p w14:paraId="1D8C2734" w14:textId="77777777" w:rsidR="0094748C" w:rsidRDefault="0094748C">
      <w:pPr>
        <w:ind w:firstLine="720"/>
      </w:pPr>
      <w:proofErr w:type="spellStart"/>
      <w:r>
        <w:t>Dubac’s</w:t>
      </w:r>
      <w:proofErr w:type="spellEnd"/>
      <w:r>
        <w:t xml:space="preserve"> complaint alleged this message was actionable for </w:t>
      </w:r>
      <w:r>
        <w:t xml:space="preserve">several reasons, including that it falsely accused </w:t>
      </w:r>
      <w:proofErr w:type="spellStart"/>
      <w:r>
        <w:t>Dubac</w:t>
      </w:r>
      <w:proofErr w:type="spellEnd"/>
      <w:r>
        <w:t xml:space="preserve"> of harassing and abusing a child and of doing so out of racial animus.</w:t>
      </w:r>
    </w:p>
    <w:p w14:paraId="24C8ABB1" w14:textId="77777777" w:rsidR="0094748C" w:rsidRDefault="0094748C">
      <w:pPr>
        <w:ind w:firstLine="720"/>
      </w:pPr>
      <w:r>
        <w:rPr>
          <w:i/>
        </w:rPr>
        <w:t>Statement four.</w:t>
      </w:r>
      <w:r>
        <w:t xml:space="preserve">   On July 9, 2020, at 3:20 p.m., Diamond and </w:t>
      </w:r>
      <w:proofErr w:type="spellStart"/>
      <w:r>
        <w:t>Itkoff</w:t>
      </w:r>
      <w:proofErr w:type="spellEnd"/>
      <w:r>
        <w:t xml:space="preserve"> sent an email to one Brian </w:t>
      </w:r>
      <w:r>
        <w:t>Murphy</w:t>
      </w:r>
      <w:r>
        <w:t>, as follows, uncorrected but with underlining omitted and italics added.</w:t>
      </w:r>
    </w:p>
    <w:p w14:paraId="416F68D0" w14:textId="77777777" w:rsidR="0094748C" w:rsidRDefault="0094748C">
      <w:pPr>
        <w:ind w:firstLine="720"/>
      </w:pPr>
      <w:r>
        <w:t xml:space="preserve">“Dear </w:t>
      </w:r>
      <w:proofErr w:type="gramStart"/>
      <w:r>
        <w:t>Brian,  [</w:t>
      </w:r>
      <w:proofErr w:type="gramEnd"/>
      <w:r>
        <w:t>⁋]  As the only director of our homeowners’ association not a party to the issues outlined below, we are writing to you to meet and confer per the Davis Stirling Act internal dispute resolution requirements (IDR).  [</w:t>
      </w:r>
      <w:proofErr w:type="gramStart"/>
      <w:r>
        <w:t>⁋]  We</w:t>
      </w:r>
      <w:proofErr w:type="gramEnd"/>
      <w:r>
        <w:t xml:space="preserve"> believe that Bob </w:t>
      </w:r>
      <w:proofErr w:type="spellStart"/>
      <w:r>
        <w:t>Dubac</w:t>
      </w:r>
      <w:proofErr w:type="spellEnd"/>
      <w:r>
        <w:t xml:space="preserve"> and Mike </w:t>
      </w:r>
      <w:proofErr w:type="spellStart"/>
      <w:r>
        <w:t>Geodecke</w:t>
      </w:r>
      <w:proofErr w:type="spellEnd"/>
      <w:r>
        <w:t xml:space="preserve"> are not fit to be members of this board, act as the designated security officer, or inspector of elections, pursuant to the Davis </w:t>
      </w:r>
      <w:r>
        <w:t xml:space="preserve">Stirling </w:t>
      </w:r>
      <w:r>
        <w:t>Act/California Code clearly defined requirements for carrying out these positions of responsibility.</w:t>
      </w:r>
      <w:r>
        <w:t xml:space="preserve">  We seek:  To elect a board and assign HOA responsibilities to individuals who carry out those responsibilities and treat other members in an ethical, </w:t>
      </w:r>
      <w:proofErr w:type="gramStart"/>
      <w:r>
        <w:t>legal</w:t>
      </w:r>
      <w:proofErr w:type="gramEnd"/>
      <w:r>
        <w:t xml:space="preserve"> and </w:t>
      </w:r>
      <w:r>
        <w:lastRenderedPageBreak/>
        <w:t>unbiased manner.  [</w:t>
      </w:r>
      <w:proofErr w:type="gramStart"/>
      <w:r>
        <w:t>⁋]  When</w:t>
      </w:r>
      <w:proofErr w:type="gramEnd"/>
      <w:r>
        <w:t xml:space="preserve"> we meet and confer, we will provide you with evidence showing that </w:t>
      </w:r>
      <w:r>
        <w:rPr>
          <w:i/>
        </w:rPr>
        <w:t xml:space="preserve">multiple false police reports were filed against our family, by Bob </w:t>
      </w:r>
      <w:proofErr w:type="spellStart"/>
      <w:r>
        <w:rPr>
          <w:i/>
        </w:rPr>
        <w:t>Dubac</w:t>
      </w:r>
      <w:proofErr w:type="spellEnd"/>
      <w:r>
        <w:rPr>
          <w:i/>
        </w:rPr>
        <w:t xml:space="preserve"> against our minor black daughter</w:t>
      </w:r>
      <w:r>
        <w:t xml:space="preserve"> after surreptitiously filming her on the street from the trunk of his car, and by </w:t>
      </w:r>
      <w:r>
        <w:t xml:space="preserve">the </w:t>
      </w:r>
      <w:proofErr w:type="spellStart"/>
      <w:r>
        <w:t>Geodecke</w:t>
      </w:r>
      <w:r>
        <w:t>’s</w:t>
      </w:r>
      <w:proofErr w:type="spellEnd"/>
      <w:r>
        <w:t xml:space="preserve"> claiming we have a gun, an absolute recipe for a tr</w:t>
      </w:r>
      <w:r>
        <w:t>agic disaster for our family.  [</w:t>
      </w:r>
      <w:proofErr w:type="gramStart"/>
      <w:r>
        <w:t>⁋]  These</w:t>
      </w:r>
      <w:proofErr w:type="gramEnd"/>
      <w:r>
        <w:t xml:space="preserve"> are actions Association member Steve </w:t>
      </w:r>
      <w:proofErr w:type="spellStart"/>
      <w:r>
        <w:t>Kloves</w:t>
      </w:r>
      <w:proofErr w:type="spellEnd"/>
      <w:r>
        <w:t xml:space="preserve"> called ‘absurd’ in court documents.  These are criminal actions, considered a crime against justice itself, taken directly against our family and are not actions fitting someone who is to hold any HOA position of responsibility.  These are positions that oversee the safety and livability of our HOME, our largest financial asset, and the wellbeing of our children, unlike Amy Cooper who was immediately fired from her positio</w:t>
      </w:r>
      <w:r>
        <w:t>n overseeing an insurance portfolio at Franklin Templeton, far removed from the victim of her crime.   [</w:t>
      </w:r>
      <w:proofErr w:type="gramStart"/>
      <w:r>
        <w:t>⁋]  We</w:t>
      </w:r>
      <w:proofErr w:type="gramEnd"/>
      <w:r>
        <w:t xml:space="preserve"> will also share other false reports, numerous so we will select a representative few, made to other government officials/agencies trying to elicit harm to our family and illegally advance the interest of others including themselves.  [</w:t>
      </w:r>
      <w:proofErr w:type="gramStart"/>
      <w:r>
        <w:t>⁋]  On</w:t>
      </w:r>
      <w:proofErr w:type="gramEnd"/>
      <w:r>
        <w:t xml:space="preserve"> multiple occasions, in addition to those described above, </w:t>
      </w:r>
      <w:proofErr w:type="spellStart"/>
      <w:r>
        <w:rPr>
          <w:i/>
        </w:rPr>
        <w:t>Dubac</w:t>
      </w:r>
      <w:proofErr w:type="spellEnd"/>
      <w:r>
        <w:rPr>
          <w:i/>
        </w:rPr>
        <w:t xml:space="preserve"> has weaponized his white privilege against our black daughter starting from the time she was 10</w:t>
      </w:r>
      <w:r>
        <w:rPr>
          <w:i/>
        </w:rPr>
        <w:t xml:space="preserve"> years old.  His behavior has been the topic of many school conferences</w:t>
      </w:r>
      <w:r>
        <w:t xml:space="preserve">, </w:t>
      </w:r>
      <w:proofErr w:type="gramStart"/>
      <w:r>
        <w:t>essays</w:t>
      </w:r>
      <w:proofErr w:type="gramEnd"/>
      <w:r>
        <w:t xml:space="preserve"> and poems.  We will also provide </w:t>
      </w:r>
      <w:proofErr w:type="gramStart"/>
      <w:r>
        <w:t>you</w:t>
      </w:r>
      <w:proofErr w:type="gramEnd"/>
      <w:r>
        <w:t xml:space="preserve"> evidence of these other occurrences that also render him unfit.  [</w:t>
      </w:r>
      <w:proofErr w:type="gramStart"/>
      <w:r>
        <w:t>⁋]  In</w:t>
      </w:r>
      <w:proofErr w:type="gramEnd"/>
      <w:r>
        <w:t xml:space="preserve"> consultation with the Los Angeles chapter of Black Lives Matter, we have a better understanding of our rights and we have their support to pursue these rights vigorously.  [</w:t>
      </w:r>
      <w:proofErr w:type="gramStart"/>
      <w:r>
        <w:t>⁋]  Please</w:t>
      </w:r>
      <w:proofErr w:type="gramEnd"/>
      <w:r>
        <w:t xml:space="preserve"> advise when you are able to meet.  [</w:t>
      </w:r>
      <w:proofErr w:type="gramStart"/>
      <w:r>
        <w:t>⁋]  Yours</w:t>
      </w:r>
      <w:proofErr w:type="gramEnd"/>
      <w:r>
        <w:t xml:space="preserve">,  </w:t>
      </w:r>
      <w:r>
        <w:t xml:space="preserve">[⁋]  Jonathan Diamond and Sandy </w:t>
      </w:r>
      <w:proofErr w:type="spellStart"/>
      <w:r>
        <w:t>Itkoff</w:t>
      </w:r>
      <w:proofErr w:type="spellEnd"/>
      <w:r>
        <w:t>.”</w:t>
      </w:r>
    </w:p>
    <w:p w14:paraId="6A14C049" w14:textId="77777777" w:rsidR="0094748C" w:rsidRDefault="0094748C">
      <w:pPr>
        <w:ind w:firstLine="720"/>
      </w:pPr>
      <w:proofErr w:type="spellStart"/>
      <w:r>
        <w:lastRenderedPageBreak/>
        <w:t>Dubac</w:t>
      </w:r>
      <w:proofErr w:type="spellEnd"/>
      <w:r>
        <w:t xml:space="preserve"> alleged this statement “represented (again falsely) that an educational institution had actually conducted multiple conferences on the subject of </w:t>
      </w:r>
      <w:proofErr w:type="spellStart"/>
      <w:r>
        <w:t>Dubac</w:t>
      </w:r>
      <w:proofErr w:type="spellEnd"/>
      <w:r>
        <w:t xml:space="preserve"> and his purported racially motivated biases.”</w:t>
      </w:r>
    </w:p>
    <w:p w14:paraId="3921B0B9" w14:textId="77777777" w:rsidR="0094748C" w:rsidRDefault="0094748C">
      <w:pPr>
        <w:ind w:firstLine="720"/>
      </w:pPr>
      <w:r>
        <w:rPr>
          <w:i/>
        </w:rPr>
        <w:t>Statement five.</w:t>
      </w:r>
      <w:r>
        <w:t xml:space="preserve">  On July 23, 2020, at 3:24 p.m., </w:t>
      </w:r>
      <w:proofErr w:type="spellStart"/>
      <w:r>
        <w:t>Itkoff</w:t>
      </w:r>
      <w:proofErr w:type="spellEnd"/>
      <w:r>
        <w:t xml:space="preserve"> sent an email to </w:t>
      </w:r>
      <w:proofErr w:type="spellStart"/>
      <w:proofErr w:type="gramStart"/>
      <w:r>
        <w:t>Dubac</w:t>
      </w:r>
      <w:proofErr w:type="spellEnd"/>
      <w:proofErr w:type="gramEnd"/>
      <w:r>
        <w:t xml:space="preserve"> and his wife titled “Just like Rep. Yoho.”  We reproduce its text with our italics and without corrections.</w:t>
      </w:r>
    </w:p>
    <w:p w14:paraId="5C857AE1" w14:textId="77777777" w:rsidR="0094748C" w:rsidRDefault="0094748C">
      <w:pPr>
        <w:ind w:firstLine="720"/>
      </w:pPr>
      <w:r>
        <w:t>“</w:t>
      </w:r>
      <w:r>
        <w:rPr>
          <w:i/>
        </w:rPr>
        <w:t xml:space="preserve">You </w:t>
      </w:r>
      <w:proofErr w:type="spellStart"/>
      <w:r>
        <w:rPr>
          <w:i/>
        </w:rPr>
        <w:t>accoust</w:t>
      </w:r>
      <w:proofErr w:type="spellEnd"/>
      <w:r>
        <w:rPr>
          <w:i/>
        </w:rPr>
        <w:t xml:space="preserve"> women with no remorse</w:t>
      </w:r>
      <w:r>
        <w:t>.  [</w:t>
      </w:r>
      <w:proofErr w:type="gramStart"/>
      <w:r>
        <w:t xml:space="preserve">⁋]  </w:t>
      </w:r>
      <w:r>
        <w:rPr>
          <w:i/>
        </w:rPr>
        <w:t>You</w:t>
      </w:r>
      <w:proofErr w:type="gramEnd"/>
      <w:r>
        <w:rPr>
          <w:i/>
        </w:rPr>
        <w:t xml:space="preserve"> make sure Rosie </w:t>
      </w:r>
      <w:proofErr w:type="spellStart"/>
      <w:r>
        <w:rPr>
          <w:i/>
        </w:rPr>
        <w:t>can not</w:t>
      </w:r>
      <w:proofErr w:type="spellEnd"/>
      <w:r>
        <w:rPr>
          <w:i/>
        </w:rPr>
        <w:t xml:space="preserve"> live her life with dignity.</w:t>
      </w:r>
      <w:r>
        <w:t xml:space="preserve">  [</w:t>
      </w:r>
      <w:proofErr w:type="gramStart"/>
      <w:r>
        <w:t xml:space="preserve">⁋]  </w:t>
      </w:r>
      <w:r>
        <w:t>This</w:t>
      </w:r>
      <w:proofErr w:type="gramEnd"/>
      <w:r>
        <w:t xml:space="preserve"> </w:t>
      </w:r>
      <w:r>
        <w:t xml:space="preserve">issue is not about one </w:t>
      </w:r>
      <w:r>
        <w:t>incidence</w:t>
      </w:r>
      <w:r>
        <w:t>.  [</w:t>
      </w:r>
      <w:proofErr w:type="gramStart"/>
      <w:r>
        <w:t>⁋]  Dehumanizing</w:t>
      </w:r>
      <w:proofErr w:type="gramEnd"/>
      <w:r>
        <w:t xml:space="preserve"> language is not new for you, it is a pattern.  [</w:t>
      </w:r>
      <w:proofErr w:type="gramStart"/>
      <w:r>
        <w:t>⁋]  Clearly</w:t>
      </w:r>
      <w:proofErr w:type="gramEnd"/>
      <w:r>
        <w:t xml:space="preserve"> you don’t want to apologize, you have no remorse. We have given you the opportunity and </w:t>
      </w:r>
      <w:r>
        <w:t xml:space="preserve">you </w:t>
      </w:r>
      <w:r>
        <w:t>have not taken it.  [</w:t>
      </w:r>
      <w:proofErr w:type="gramStart"/>
      <w:r>
        <w:t>⁋]  You</w:t>
      </w:r>
      <w:proofErr w:type="gramEnd"/>
      <w:r>
        <w:t xml:space="preserve"> use your wife as a shield.  [</w:t>
      </w:r>
      <w:proofErr w:type="gramStart"/>
      <w:r>
        <w:t>⁋]  Having</w:t>
      </w:r>
      <w:proofErr w:type="gramEnd"/>
      <w:r>
        <w:t xml:space="preserve"> a wife does not make a decent man.  When a decent man messes up, he apologizes.  He apologizes not to save face, but to repair and</w:t>
      </w:r>
      <w:r>
        <w:t xml:space="preserve"> acknowledge the harm he has done so we can all move on.  [</w:t>
      </w:r>
      <w:proofErr w:type="gramStart"/>
      <w:r>
        <w:t>⁋]  Your</w:t>
      </w:r>
      <w:proofErr w:type="gramEnd"/>
      <w:r>
        <w:t xml:space="preserve"> disrespect for both me and Rosie is everywhere apparent, and we will not accept it.  You have given permission to other men, like Go</w:t>
      </w:r>
      <w:r>
        <w:t>e</w:t>
      </w:r>
      <w:r>
        <w:t>decke, permission to behave this way to women, to my Rosie.”</w:t>
      </w:r>
    </w:p>
    <w:p w14:paraId="07C7E322" w14:textId="77777777" w:rsidR="0094748C" w:rsidRDefault="0094748C">
      <w:pPr>
        <w:ind w:firstLine="720"/>
      </w:pPr>
      <w:proofErr w:type="spellStart"/>
      <w:r>
        <w:t>Dubac</w:t>
      </w:r>
      <w:proofErr w:type="spellEnd"/>
      <w:r>
        <w:t xml:space="preserve"> alleged this email was actionable because it accused him of accosting women and ensuring a child could not live her life with dignity.  </w:t>
      </w:r>
    </w:p>
    <w:p w14:paraId="1A613737" w14:textId="77777777" w:rsidR="0094748C" w:rsidRDefault="0094748C">
      <w:pPr>
        <w:ind w:firstLine="720"/>
      </w:pPr>
      <w:r>
        <w:rPr>
          <w:i/>
        </w:rPr>
        <w:t>Statement six.</w:t>
      </w:r>
      <w:r>
        <w:t xml:space="preserve">  On August 12, 2020, at 8:26 p.m., Diamond and </w:t>
      </w:r>
      <w:proofErr w:type="spellStart"/>
      <w:r>
        <w:t>Itkoff</w:t>
      </w:r>
      <w:proofErr w:type="spellEnd"/>
      <w:r>
        <w:t xml:space="preserve"> sent a lengthy email addressed to “HOA and Board.”  This email began by asserting a record of successes that Diamond and </w:t>
      </w:r>
      <w:proofErr w:type="spellStart"/>
      <w:r>
        <w:t>Itkoff</w:t>
      </w:r>
      <w:proofErr w:type="spellEnd"/>
      <w:r>
        <w:t xml:space="preserve"> had achieved against their </w:t>
      </w:r>
      <w:proofErr w:type="gramStart"/>
      <w:r>
        <w:t>homeowners</w:t>
      </w:r>
      <w:proofErr w:type="gramEnd"/>
      <w:r>
        <w:t xml:space="preserve"> association. “We don’t chase you all for the petty, </w:t>
      </w:r>
      <w:proofErr w:type="gramStart"/>
      <w:r>
        <w:t>childish</w:t>
      </w:r>
      <w:proofErr w:type="gramEnd"/>
      <w:r>
        <w:t xml:space="preserve"> and harassing actions you carry out.  When </w:t>
      </w:r>
      <w:proofErr w:type="spellStart"/>
      <w:r>
        <w:rPr>
          <w:i/>
        </w:rPr>
        <w:t>Dubac</w:t>
      </w:r>
      <w:proofErr w:type="spellEnd"/>
      <w:r>
        <w:rPr>
          <w:i/>
        </w:rPr>
        <w:t xml:space="preserve"> steals our mail, a federal offense</w:t>
      </w:r>
      <w:r>
        <w:t>, we try to get it back and then move on</w:t>
      </w:r>
      <w:proofErr w:type="gramStart"/>
      <w:r>
        <w:t>. . . .</w:t>
      </w:r>
      <w:proofErr w:type="gramEnd"/>
      <w:r>
        <w:t xml:space="preserve">  When Lisa Goedecke, Lauren </w:t>
      </w:r>
      <w:proofErr w:type="spellStart"/>
      <w:r>
        <w:t>Dubac</w:t>
      </w:r>
      <w:proofErr w:type="spellEnd"/>
      <w:r>
        <w:t xml:space="preserve">, and </w:t>
      </w:r>
      <w:r>
        <w:rPr>
          <w:i/>
        </w:rPr>
        <w:t xml:space="preserve">Bob </w:t>
      </w:r>
      <w:proofErr w:type="spellStart"/>
      <w:r>
        <w:rPr>
          <w:i/>
        </w:rPr>
        <w:t>Dubac</w:t>
      </w:r>
      <w:proofErr w:type="spellEnd"/>
      <w:r>
        <w:rPr>
          <w:i/>
        </w:rPr>
        <w:t xml:space="preserve"> make false police reports</w:t>
      </w:r>
      <w:r>
        <w:t xml:space="preserve">, we inform the police </w:t>
      </w:r>
      <w:r>
        <w:lastRenderedPageBreak/>
        <w:t>an</w:t>
      </w:r>
      <w:r>
        <w:t>d ignore it.  [</w:t>
      </w:r>
      <w:proofErr w:type="gramStart"/>
      <w:r>
        <w:t xml:space="preserve">⁋]  </w:t>
      </w:r>
      <w:proofErr w:type="spellStart"/>
      <w:r>
        <w:rPr>
          <w:i/>
        </w:rPr>
        <w:t>Dubac’s</w:t>
      </w:r>
      <w:proofErr w:type="spellEnd"/>
      <w:proofErr w:type="gramEnd"/>
      <w:r>
        <w:rPr>
          <w:i/>
        </w:rPr>
        <w:t xml:space="preserve"> malice</w:t>
      </w:r>
      <w:r>
        <w:t xml:space="preserve">, stupidity, ego, and insecurity are a lethal combination.  </w:t>
      </w:r>
      <w:r>
        <w:rPr>
          <w:i/>
        </w:rPr>
        <w:t xml:space="preserve">He has wreaked havoc </w:t>
      </w:r>
      <w:r>
        <w:t xml:space="preserve">in this building and </w:t>
      </w:r>
      <w:r>
        <w:rPr>
          <w:i/>
        </w:rPr>
        <w:t>in the life of Rosie Diamond</w:t>
      </w:r>
      <w:r>
        <w:t xml:space="preserve"> ....  [</w:t>
      </w:r>
      <w:proofErr w:type="gramStart"/>
      <w:r>
        <w:t>⁋]  And</w:t>
      </w:r>
      <w:proofErr w:type="gramEnd"/>
      <w:r>
        <w:t xml:space="preserve"> so we continue with the sophomoric, the petty, and the illegal antics of this HOA -  [⁋]  Best, Jonathan &amp; Sandy.”</w:t>
      </w:r>
    </w:p>
    <w:p w14:paraId="1E9004BC" w14:textId="77777777" w:rsidR="0094748C" w:rsidRDefault="0094748C">
      <w:pPr>
        <w:ind w:firstLine="720"/>
      </w:pPr>
      <w:proofErr w:type="spellStart"/>
      <w:r>
        <w:t>Dubac</w:t>
      </w:r>
      <w:proofErr w:type="spellEnd"/>
      <w:r>
        <w:t xml:space="preserve"> complained this email falsely accused him of malice, filing false police reports, stealing mail, and wreaking havoc on their daughter’s life.</w:t>
      </w:r>
    </w:p>
    <w:p w14:paraId="16126C47" w14:textId="77777777" w:rsidR="0094748C" w:rsidRDefault="0094748C">
      <w:pPr>
        <w:ind w:firstLine="720"/>
      </w:pPr>
      <w:r>
        <w:rPr>
          <w:i/>
        </w:rPr>
        <w:t>Statement seven.</w:t>
      </w:r>
      <w:r>
        <w:t xml:space="preserve">  On September 13, 2020, at 9:52 a.m., Diamond and </w:t>
      </w:r>
      <w:proofErr w:type="spellStart"/>
      <w:r>
        <w:t>Itkoff</w:t>
      </w:r>
      <w:proofErr w:type="spellEnd"/>
      <w:r>
        <w:t xml:space="preserve"> emailed Brian Murphy and others.  In part and without corrections, this email </w:t>
      </w:r>
      <w:proofErr w:type="gramStart"/>
      <w:r>
        <w:t>stated</w:t>
      </w:r>
      <w:proofErr w:type="gramEnd"/>
      <w:r>
        <w:t xml:space="preserve"> “Given we have now logged 137 evidence-supported incidents where </w:t>
      </w:r>
      <w:r>
        <w:rPr>
          <w:i/>
        </w:rPr>
        <w:t xml:space="preserve">Bob </w:t>
      </w:r>
      <w:proofErr w:type="spellStart"/>
      <w:r>
        <w:rPr>
          <w:i/>
        </w:rPr>
        <w:t>Dubac</w:t>
      </w:r>
      <w:proofErr w:type="spellEnd"/>
      <w:r>
        <w:rPr>
          <w:i/>
        </w:rPr>
        <w:t xml:space="preserve"> </w:t>
      </w:r>
      <w:r>
        <w:t xml:space="preserve">(and Lauren) </w:t>
      </w:r>
      <w:r>
        <w:rPr>
          <w:i/>
        </w:rPr>
        <w:t xml:space="preserve">has lied </w:t>
      </w:r>
      <w:proofErr w:type="spellStart"/>
      <w:r>
        <w:rPr>
          <w:i/>
        </w:rPr>
        <w:t>underoath</w:t>
      </w:r>
      <w:proofErr w:type="spellEnd"/>
      <w:r>
        <w:rPr>
          <w:i/>
        </w:rPr>
        <w:t xml:space="preserve"> </w:t>
      </w:r>
      <w:r>
        <w:t xml:space="preserve">in </w:t>
      </w:r>
      <w:r>
        <w:rPr>
          <w:i/>
        </w:rPr>
        <w:t xml:space="preserve">his attempts to </w:t>
      </w:r>
      <w:r>
        <w:t xml:space="preserve">curry favor with other owners, </w:t>
      </w:r>
      <w:r>
        <w:rPr>
          <w:i/>
        </w:rPr>
        <w:t>enrich himself</w:t>
      </w:r>
      <w:r>
        <w:t>, and demean and</w:t>
      </w:r>
      <w:r>
        <w:rPr>
          <w:i/>
        </w:rPr>
        <w:t xml:space="preserve"> defraud Sandy and Rosie</w:t>
      </w:r>
      <w:r>
        <w:t xml:space="preserve"> to feed his personal trauma, perhaps you can answer these very clear and straightforward questions that have been outstanding for some time.” </w:t>
      </w:r>
    </w:p>
    <w:p w14:paraId="5BD09A50" w14:textId="77777777" w:rsidR="0094748C" w:rsidRDefault="0094748C">
      <w:pPr>
        <w:ind w:firstLine="720"/>
      </w:pPr>
      <w:proofErr w:type="spellStart"/>
      <w:r>
        <w:t>Dubac’s</w:t>
      </w:r>
      <w:proofErr w:type="spellEnd"/>
      <w:r>
        <w:t xml:space="preserve"> complaint alleged this email falsely claimed he had committed perjury “with the intention of enriching [himself] and defrauding Defendants and their daughter.”</w:t>
      </w:r>
    </w:p>
    <w:p w14:paraId="6CBCC394" w14:textId="77777777" w:rsidR="0094748C" w:rsidRDefault="0094748C">
      <w:pPr>
        <w:ind w:firstLine="720"/>
      </w:pPr>
      <w:r>
        <w:rPr>
          <w:i/>
        </w:rPr>
        <w:t>Statement eight.</w:t>
      </w:r>
      <w:r>
        <w:t xml:space="preserve">  On October 8, 2020, at 11:08 a.m., Diamond and </w:t>
      </w:r>
      <w:proofErr w:type="spellStart"/>
      <w:r>
        <w:t>Itkoff</w:t>
      </w:r>
      <w:proofErr w:type="spellEnd"/>
      <w:r>
        <w:t xml:space="preserve"> sent an email titled “More Bullshit” which </w:t>
      </w:r>
      <w:proofErr w:type="spellStart"/>
      <w:r>
        <w:t>Dubac</w:t>
      </w:r>
      <w:proofErr w:type="spellEnd"/>
      <w:r>
        <w:t xml:space="preserve"> </w:t>
      </w:r>
      <w:r>
        <w:t xml:space="preserve">said described “[m]ore crazy from the racist, misogynist HOA [President </w:t>
      </w:r>
      <w:proofErr w:type="spellStart"/>
      <w:r>
        <w:t>Dubac</w:t>
      </w:r>
      <w:proofErr w:type="spellEnd"/>
      <w:r>
        <w:t xml:space="preserve">].”  The trial court stated its understanding that an email from Diamond and </w:t>
      </w:r>
      <w:proofErr w:type="spellStart"/>
      <w:r>
        <w:t>Itkoff</w:t>
      </w:r>
      <w:proofErr w:type="spellEnd"/>
      <w:r>
        <w:t xml:space="preserve"> did exist—Diamond and </w:t>
      </w:r>
      <w:proofErr w:type="spellStart"/>
      <w:r>
        <w:t>Itkoff</w:t>
      </w:r>
      <w:proofErr w:type="spellEnd"/>
      <w:r>
        <w:t xml:space="preserve"> admitted sending it—with language accusing </w:t>
      </w:r>
      <w:proofErr w:type="spellStart"/>
      <w:r>
        <w:t>Dubac</w:t>
      </w:r>
      <w:proofErr w:type="spellEnd"/>
      <w:r>
        <w:t xml:space="preserve"> of racism and misogyny, but a correct copy of that email “has not been presented to this Court.”  </w:t>
      </w:r>
    </w:p>
    <w:p w14:paraId="20A800C6" w14:textId="77777777" w:rsidR="0094748C" w:rsidRDefault="0094748C">
      <w:pPr>
        <w:ind w:firstLine="720"/>
      </w:pPr>
      <w:r>
        <w:rPr>
          <w:i/>
        </w:rPr>
        <w:t>Statement nine.</w:t>
      </w:r>
      <w:r>
        <w:t xml:space="preserve">  On October 21, 2020, at 1:21 p.m., </w:t>
      </w:r>
      <w:proofErr w:type="spellStart"/>
      <w:r>
        <w:t>Itkoff</w:t>
      </w:r>
      <w:proofErr w:type="spellEnd"/>
      <w:r>
        <w:t xml:space="preserve"> and Diamond emailed two association land use consultants, the building manager, </w:t>
      </w:r>
      <w:proofErr w:type="spellStart"/>
      <w:r>
        <w:t>Dubac</w:t>
      </w:r>
      <w:proofErr w:type="spellEnd"/>
      <w:r>
        <w:t xml:space="preserve"> and his wife, building residents, and a Santa Monica city planning official </w:t>
      </w:r>
      <w:r>
        <w:lastRenderedPageBreak/>
        <w:t>concerned with the building.  The email contained the following text, which we have not corrected but to which we have added italics.</w:t>
      </w:r>
    </w:p>
    <w:p w14:paraId="68327715" w14:textId="77777777" w:rsidR="0094748C" w:rsidRDefault="0094748C">
      <w:pPr>
        <w:ind w:firstLine="720"/>
      </w:pPr>
      <w:r>
        <w:t xml:space="preserve">“In addition, this man, </w:t>
      </w:r>
      <w:r>
        <w:rPr>
          <w:i/>
        </w:rPr>
        <w:t xml:space="preserve">Bob </w:t>
      </w:r>
      <w:proofErr w:type="spellStart"/>
      <w:r>
        <w:rPr>
          <w:i/>
        </w:rPr>
        <w:t>Dubac</w:t>
      </w:r>
      <w:proofErr w:type="spellEnd"/>
      <w:r>
        <w:t xml:space="preserve">, with full complicity by his wife Lauren </w:t>
      </w:r>
      <w:proofErr w:type="spellStart"/>
      <w:r>
        <w:t>Dubac</w:t>
      </w:r>
      <w:proofErr w:type="spellEnd"/>
      <w:r>
        <w:t xml:space="preserve">, </w:t>
      </w:r>
      <w:r>
        <w:rPr>
          <w:i/>
        </w:rPr>
        <w:t>is a pathological liar</w:t>
      </w:r>
      <w:r>
        <w:t>, h</w:t>
      </w:r>
      <w:r>
        <w:t xml:space="preserve">e doesn’t know the difference between truth and lies.  In a pattern that is straight out of a psychology textbook, his response is to accuse everyone else of lying.  Whatever he does, he accuses everyone else of doing the same. This was in full display at the HOA meeting this week as Mr. </w:t>
      </w:r>
      <w:proofErr w:type="spellStart"/>
      <w:r>
        <w:t>Dubac</w:t>
      </w:r>
      <w:proofErr w:type="spellEnd"/>
      <w:r>
        <w:t xml:space="preserve"> kept mansplaining an anxious Ms. </w:t>
      </w:r>
      <w:proofErr w:type="spellStart"/>
      <w:r>
        <w:t>Dubac</w:t>
      </w:r>
      <w:proofErr w:type="spellEnd"/>
      <w:r>
        <w:t xml:space="preserve"> with lies and spin.  [</w:t>
      </w:r>
      <w:proofErr w:type="gramStart"/>
      <w:r>
        <w:t>⁋]  Narcissists</w:t>
      </w:r>
      <w:proofErr w:type="gramEnd"/>
      <w:r>
        <w:t xml:space="preserve"> need scapegoats to blame shift because they cannot accept responsi</w:t>
      </w:r>
      <w:r>
        <w:t>bility, criticism, blame or accountability (narcissistic injury).  [</w:t>
      </w:r>
      <w:proofErr w:type="gramStart"/>
      <w:r>
        <w:t>⁋]  It</w:t>
      </w:r>
      <w:proofErr w:type="gramEnd"/>
      <w:r>
        <w:t xml:space="preserve"> started with blaming a plumbing problem on 10 year old Rosie’s hair and grew from there.  But this is not a new situation </w:t>
      </w:r>
      <w:proofErr w:type="gramStart"/>
      <w:r>
        <w:t>to</w:t>
      </w:r>
      <w:proofErr w:type="gramEnd"/>
      <w:r>
        <w:t xml:space="preserve"> the </w:t>
      </w:r>
      <w:proofErr w:type="spellStart"/>
      <w:r>
        <w:t>Dubacs</w:t>
      </w:r>
      <w:proofErr w:type="spellEnd"/>
      <w:r>
        <w:t>.  They have a long history of this kind of behavior - the abused abuse.  [</w:t>
      </w:r>
      <w:proofErr w:type="gramStart"/>
      <w:r>
        <w:t>⁋]  If</w:t>
      </w:r>
      <w:proofErr w:type="gramEnd"/>
      <w:r>
        <w:t xml:space="preserve"> it stems from </w:t>
      </w:r>
      <w:r>
        <w:rPr>
          <w:i/>
        </w:rPr>
        <w:t xml:space="preserve">Bob </w:t>
      </w:r>
      <w:proofErr w:type="spellStart"/>
      <w:r>
        <w:rPr>
          <w:i/>
        </w:rPr>
        <w:t>Dubac’s</w:t>
      </w:r>
      <w:proofErr w:type="spellEnd"/>
      <w:r>
        <w:rPr>
          <w:i/>
        </w:rPr>
        <w:t xml:space="preserve"> abuse as a child</w:t>
      </w:r>
      <w:r>
        <w:t xml:space="preserve"> as Lauren states, that is a very unfortunate start in life, and similar to Donald Trump. </w:t>
      </w:r>
      <w:proofErr w:type="gramStart"/>
      <w:r>
        <w:t>But,</w:t>
      </w:r>
      <w:proofErr w:type="gramEnd"/>
      <w:r>
        <w:t xml:space="preserve"> the </w:t>
      </w:r>
      <w:proofErr w:type="spellStart"/>
      <w:r>
        <w:t>Dubacs</w:t>
      </w:r>
      <w:proofErr w:type="spellEnd"/>
      <w:r>
        <w:t xml:space="preserve"> are adults now and should have sought help.  Lauren’s warning to us is n</w:t>
      </w:r>
      <w:r>
        <w:t xml:space="preserve">ot sufficient, she’s an enabler and takes her orders from </w:t>
      </w:r>
      <w:proofErr w:type="spellStart"/>
      <w:proofErr w:type="gramStart"/>
      <w:r>
        <w:t>Mr</w:t>
      </w:r>
      <w:proofErr w:type="spellEnd"/>
      <w:r>
        <w:t xml:space="preserve">  [</w:t>
      </w:r>
      <w:proofErr w:type="gramEnd"/>
      <w:r>
        <w:t>⁋]  And you all, you remain silent, complicit as well.  [</w:t>
      </w:r>
      <w:proofErr w:type="gramStart"/>
      <w:r>
        <w:t>⁋]  Follow</w:t>
      </w:r>
      <w:proofErr w:type="gramEnd"/>
      <w:r>
        <w:t xml:space="preserve"> the rules.  Be honest.”</w:t>
      </w:r>
    </w:p>
    <w:p w14:paraId="730F4195" w14:textId="77777777" w:rsidR="0094748C" w:rsidRDefault="0094748C">
      <w:pPr>
        <w:ind w:firstLine="720"/>
      </w:pPr>
      <w:proofErr w:type="spellStart"/>
      <w:r>
        <w:t>Dubac’s</w:t>
      </w:r>
      <w:proofErr w:type="spellEnd"/>
      <w:r>
        <w:t xml:space="preserve"> complaint stated this email falsely accused him of being a pathological liar and “</w:t>
      </w:r>
      <w:proofErr w:type="spellStart"/>
      <w:r>
        <w:t>peddl</w:t>
      </w:r>
      <w:proofErr w:type="spellEnd"/>
      <w:r>
        <w:t xml:space="preserve">[ed] </w:t>
      </w:r>
      <w:r>
        <w:t xml:space="preserve">outrageous and obscene lies about </w:t>
      </w:r>
      <w:proofErr w:type="spellStart"/>
      <w:r>
        <w:t>Dubac’s</w:t>
      </w:r>
      <w:proofErr w:type="spellEnd"/>
      <w:r>
        <w:t xml:space="preserve"> childhood.”</w:t>
      </w:r>
    </w:p>
    <w:p w14:paraId="2B53F2FB" w14:textId="77777777" w:rsidR="0094748C" w:rsidRDefault="0094748C">
      <w:pPr>
        <w:numPr>
          <w:ilvl w:val="0"/>
          <w:numId w:val="3"/>
        </w:numPr>
        <w:jc w:val="center"/>
      </w:pPr>
      <w:r>
        <w:t>B</w:t>
      </w:r>
    </w:p>
    <w:p w14:paraId="4E9D58C8" w14:textId="77777777" w:rsidR="0094748C" w:rsidRDefault="0094748C">
      <w:pPr>
        <w:ind w:firstLine="720"/>
      </w:pPr>
      <w:proofErr w:type="spellStart"/>
      <w:r>
        <w:t>Dubac</w:t>
      </w:r>
      <w:proofErr w:type="spellEnd"/>
      <w:r>
        <w:t xml:space="preserve"> sued </w:t>
      </w:r>
      <w:proofErr w:type="spellStart"/>
      <w:r>
        <w:t>Itkoff</w:t>
      </w:r>
      <w:proofErr w:type="spellEnd"/>
      <w:r>
        <w:t xml:space="preserve"> and Diamond for defamation, infliction of emotional distress, interference with economic advantage, and civil harassment.  </w:t>
      </w:r>
      <w:proofErr w:type="spellStart"/>
      <w:r>
        <w:t>Itkoff</w:t>
      </w:r>
      <w:proofErr w:type="spellEnd"/>
      <w:r>
        <w:t xml:space="preserve"> and Diamond filed a special motion to strike.  The trial court rendered a meticulous 30-page statement of decision.  It ruled statements one, three, five, and eight failed the first prong of anti-SLAPP analysis, which here </w:t>
      </w:r>
      <w:r>
        <w:lastRenderedPageBreak/>
        <w:t>required a showing the statements were “speech in connection with a public issue or an issue of public interest.”  (§ 425.16, subd. (e)(4).)  On t</w:t>
      </w:r>
      <w:r>
        <w:t xml:space="preserve">he second prong of analysis, the trial court found </w:t>
      </w:r>
      <w:proofErr w:type="spellStart"/>
      <w:r>
        <w:t>Dubac</w:t>
      </w:r>
      <w:proofErr w:type="spellEnd"/>
      <w:r>
        <w:t xml:space="preserve"> succeeded in showing a likelihood of prevailing on his claims, except for statement nine and part of statement two.</w:t>
      </w:r>
    </w:p>
    <w:p w14:paraId="0563C315" w14:textId="77777777" w:rsidR="0094748C" w:rsidRDefault="0094748C">
      <w:pPr>
        <w:ind w:firstLine="720"/>
      </w:pPr>
      <w:r>
        <w:t xml:space="preserve">In sum, most of </w:t>
      </w:r>
      <w:proofErr w:type="spellStart"/>
      <w:r>
        <w:t>Dubac’s</w:t>
      </w:r>
      <w:proofErr w:type="spellEnd"/>
      <w:r>
        <w:t xml:space="preserve"> claims got through.  The trial court struck statement nine and part of statement two, but these rulings are not before us because </w:t>
      </w:r>
      <w:proofErr w:type="spellStart"/>
      <w:r>
        <w:t>Dubac</w:t>
      </w:r>
      <w:proofErr w:type="spellEnd"/>
      <w:r>
        <w:t xml:space="preserve"> did not appeal.  </w:t>
      </w:r>
      <w:proofErr w:type="spellStart"/>
      <w:r>
        <w:t>Itkoff</w:t>
      </w:r>
      <w:proofErr w:type="spellEnd"/>
      <w:r>
        <w:t xml:space="preserve"> and Diamond </w:t>
      </w:r>
      <w:proofErr w:type="gramStart"/>
      <w:r>
        <w:t>appealed</w:t>
      </w:r>
      <w:proofErr w:type="gramEnd"/>
      <w:r>
        <w:t xml:space="preserve"> the court’s refusal to strike the balance of </w:t>
      </w:r>
      <w:proofErr w:type="spellStart"/>
      <w:r>
        <w:t>Dubac’s</w:t>
      </w:r>
      <w:proofErr w:type="spellEnd"/>
      <w:r>
        <w:t xml:space="preserve"> suit.</w:t>
      </w:r>
    </w:p>
    <w:p w14:paraId="5F3FA89C" w14:textId="77777777" w:rsidR="0094748C" w:rsidRDefault="0094748C">
      <w:pPr>
        <w:numPr>
          <w:ilvl w:val="0"/>
          <w:numId w:val="3"/>
        </w:numPr>
        <w:jc w:val="center"/>
      </w:pPr>
      <w:r>
        <w:t>II</w:t>
      </w:r>
    </w:p>
    <w:p w14:paraId="28345A6A" w14:textId="77777777" w:rsidR="0094748C" w:rsidRDefault="0094748C">
      <w:pPr>
        <w:ind w:firstLine="720"/>
      </w:pPr>
      <w:r>
        <w:t xml:space="preserve">The anti-SLAPP statute aims to encourage participation in matters of public significance.  (§ 425.16, subd. (a); </w:t>
      </w:r>
      <w:proofErr w:type="spellStart"/>
      <w:r>
        <w:rPr>
          <w:i/>
        </w:rPr>
        <w:t>Equilon</w:t>
      </w:r>
      <w:proofErr w:type="spellEnd"/>
      <w:r>
        <w:rPr>
          <w:i/>
        </w:rPr>
        <w:t xml:space="preserve"> Enterprises v. Consumer Cause, Inc.</w:t>
      </w:r>
      <w:r>
        <w:t xml:space="preserve"> (2002) </w:t>
      </w:r>
      <w:r w:rsidRPr="0040064A">
        <w:t>29 Cal.4th 53</w:t>
      </w:r>
      <w:r>
        <w:t xml:space="preserve">, 59-60.)  The decision in </w:t>
      </w:r>
      <w:r>
        <w:rPr>
          <w:i/>
        </w:rPr>
        <w:t xml:space="preserve">Wilson v. Cable News Network, Inc. </w:t>
      </w:r>
      <w:r>
        <w:t>(2019) 7 Cal.5th 871, 883-885 (</w:t>
      </w:r>
      <w:r>
        <w:rPr>
          <w:i/>
        </w:rPr>
        <w:t>Wilson</w:t>
      </w:r>
      <w:r>
        <w:t xml:space="preserve">), for instance, reviews the two-prong anti-SLAPP analysis.  We affirm the trial court order against the challenge by </w:t>
      </w:r>
      <w:proofErr w:type="spellStart"/>
      <w:r>
        <w:t>Itkoff</w:t>
      </w:r>
      <w:proofErr w:type="spellEnd"/>
      <w:r>
        <w:t xml:space="preserve"> and Diamond.    </w:t>
      </w:r>
    </w:p>
    <w:p w14:paraId="7B7D6401" w14:textId="77777777" w:rsidR="0094748C" w:rsidRDefault="0094748C">
      <w:pPr>
        <w:numPr>
          <w:ilvl w:val="0"/>
          <w:numId w:val="3"/>
        </w:numPr>
        <w:jc w:val="center"/>
      </w:pPr>
      <w:r>
        <w:t>A</w:t>
      </w:r>
    </w:p>
    <w:p w14:paraId="14726FDB" w14:textId="77777777" w:rsidR="0094748C" w:rsidRDefault="0094748C">
      <w:pPr>
        <w:ind w:firstLine="720"/>
      </w:pPr>
      <w:r>
        <w:t xml:space="preserve">This case turns on the first prong of the anti-SLAPP analysis, which here requires independent review of whether these statements count as “speech in connection with a </w:t>
      </w:r>
      <w:r>
        <w:rPr>
          <w:i/>
        </w:rPr>
        <w:t>public issue</w:t>
      </w:r>
      <w:r>
        <w:t xml:space="preserve"> or </w:t>
      </w:r>
      <w:r>
        <w:rPr>
          <w:i/>
        </w:rPr>
        <w:t>an issue of public interest</w:t>
      </w:r>
      <w:r>
        <w:t xml:space="preserve">.”  (§ 425.16, subd. (e)(4), italics added; see </w:t>
      </w:r>
      <w:r>
        <w:rPr>
          <w:i/>
        </w:rPr>
        <w:t>Geiser, supra,</w:t>
      </w:r>
      <w:r>
        <w:t xml:space="preserve"> 13 Cal.5th at p. 1250.)  In oral argument, </w:t>
      </w:r>
      <w:proofErr w:type="spellStart"/>
      <w:r>
        <w:t>Itkoff</w:t>
      </w:r>
      <w:proofErr w:type="spellEnd"/>
      <w:r>
        <w:t xml:space="preserve"> and Diamond attempted to invoke other parts of this statute, but they forfeited those arguments by failing to develop them in their opening papers.</w:t>
      </w:r>
    </w:p>
    <w:p w14:paraId="0539D0D8" w14:textId="77777777" w:rsidR="0094748C" w:rsidRDefault="0094748C">
      <w:pPr>
        <w:ind w:firstLine="720"/>
      </w:pPr>
      <w:r>
        <w:t>The statutory phrases “</w:t>
      </w:r>
      <w:r>
        <w:rPr>
          <w:i/>
        </w:rPr>
        <w:t>public issue</w:t>
      </w:r>
      <w:r>
        <w:t>” and an “</w:t>
      </w:r>
      <w:r>
        <w:rPr>
          <w:i/>
        </w:rPr>
        <w:t>issue of public interest</w:t>
      </w:r>
      <w:r>
        <w:t xml:space="preserve">” seem to refer to the same thing:  it is difficult to imagine a “public issue” </w:t>
      </w:r>
      <w:r>
        <w:lastRenderedPageBreak/>
        <w:t xml:space="preserve">that is not an “issue of public interest,” and vice versa.  Our parties do not distinguish between these two phrases, so any difference does not matter here.  We simplify by referring interchangeably to “public issues” and “issues of public interest.” </w:t>
      </w:r>
    </w:p>
    <w:p w14:paraId="160DAF5C" w14:textId="77777777" w:rsidR="0094748C" w:rsidRDefault="0094748C">
      <w:pPr>
        <w:numPr>
          <w:ilvl w:val="0"/>
          <w:numId w:val="3"/>
        </w:numPr>
        <w:jc w:val="center"/>
      </w:pPr>
      <w:r>
        <w:t>B</w:t>
      </w:r>
    </w:p>
    <w:p w14:paraId="260D1B70" w14:textId="77777777" w:rsidR="0094748C" w:rsidRDefault="0094748C">
      <w:pPr>
        <w:ind w:firstLine="720"/>
      </w:pPr>
      <w:r>
        <w:t>California’s anti-SLAPP jurisprudence has “struggled” to define what makes something an issue of public, rather than private, interest.  (</w:t>
      </w:r>
      <w:r>
        <w:rPr>
          <w:i/>
        </w:rPr>
        <w:t>Rand Resources, LLC v. City of Carson</w:t>
      </w:r>
      <w:r>
        <w:t xml:space="preserve"> (2019) 6 Cal.5th 610, 621 (</w:t>
      </w:r>
      <w:r>
        <w:rPr>
          <w:i/>
        </w:rPr>
        <w:t>Rand</w:t>
      </w:r>
      <w:r>
        <w:t xml:space="preserve">).)  It </w:t>
      </w:r>
      <w:r>
        <w:t>has</w:t>
      </w:r>
      <w:r>
        <w:t xml:space="preserve"> been a struggle because the distinction between “public” and “private” is notoriously difficult to state in clear and simple terms.  (Cf. Horwitz, </w:t>
      </w:r>
      <w:r>
        <w:rPr>
          <w:i/>
        </w:rPr>
        <w:t>The History of the Public/Private Distinction</w:t>
      </w:r>
      <w:r>
        <w:t xml:space="preserve"> (1982) </w:t>
      </w:r>
      <w:bookmarkStart w:id="0" w:name="_Hlk164286555"/>
      <w:r>
        <w:t xml:space="preserve">130 </w:t>
      </w:r>
      <w:proofErr w:type="spellStart"/>
      <w:r>
        <w:t>U.Pa</w:t>
      </w:r>
      <w:proofErr w:type="spellEnd"/>
      <w:r>
        <w:t xml:space="preserve">. </w:t>
      </w:r>
      <w:proofErr w:type="spellStart"/>
      <w:r>
        <w:t>L.Rev</w:t>
      </w:r>
      <w:proofErr w:type="spellEnd"/>
      <w:r>
        <w:t>. 1423</w:t>
      </w:r>
      <w:bookmarkEnd w:id="0"/>
      <w:r>
        <w:t xml:space="preserve"> [tracing history of distinction from medieval times]; see </w:t>
      </w:r>
      <w:r>
        <w:rPr>
          <w:i/>
        </w:rPr>
        <w:t>id</w:t>
      </w:r>
      <w:r>
        <w:t>. at p. 1426 [“By 1940, it was a sign of legal sophistication to understand the arbitrariness of the division of law into public and private realms”]</w:t>
      </w:r>
      <w:r>
        <w:t xml:space="preserve">.)  </w:t>
      </w:r>
    </w:p>
    <w:p w14:paraId="5FE2684F" w14:textId="77777777" w:rsidR="0094748C" w:rsidRDefault="0094748C" w:rsidP="00CF7B75">
      <w:pPr>
        <w:ind w:firstLine="720"/>
      </w:pPr>
      <w:r>
        <w:t xml:space="preserve">Ambiguity about the “public interest” is far flung in the law.  (E.g., Brotman, </w:t>
      </w:r>
      <w:r>
        <w:rPr>
          <w:i/>
        </w:rPr>
        <w:t>Revisiting the Broadcast Public Interest Standard in Communications Law and Regulation</w:t>
      </w:r>
      <w:r>
        <w:t xml:space="preserve"> (</w:t>
      </w:r>
      <w:r>
        <w:t xml:space="preserve">March 23, </w:t>
      </w:r>
      <w:r>
        <w:t xml:space="preserve">2017) </w:t>
      </w:r>
      <w:r w:rsidRPr="006C2F3E">
        <w:t>BROOKINGS</w:t>
      </w:r>
      <w:r>
        <w:t xml:space="preserve"> </w:t>
      </w:r>
      <w:r>
        <w:t>&lt;</w:t>
      </w:r>
      <w:r w:rsidRPr="00EC1EB6">
        <w:t>https://www.brookings.edu/articles/</w:t>
      </w:r>
    </w:p>
    <w:p w14:paraId="0BC889A0" w14:textId="77777777" w:rsidR="0094748C" w:rsidRDefault="0094748C" w:rsidP="00CF7B75">
      <w:r w:rsidRPr="00EC1EB6">
        <w:t>revisiting-the-broadcast-public-interest-standard-in-communications-law-and-regulation/</w:t>
      </w:r>
      <w:r>
        <w:t xml:space="preserve">&gt; [as of April </w:t>
      </w:r>
      <w:r>
        <w:t>18</w:t>
      </w:r>
      <w:r>
        <w:t>, 2024],</w:t>
      </w:r>
      <w:r>
        <w:t xml:space="preserve"> </w:t>
      </w:r>
      <w:r>
        <w:t>archived at &lt;https://</w:t>
      </w:r>
      <w:r w:rsidRPr="00B83120">
        <w:t xml:space="preserve"> perma.cc/2KAY-CCAZ</w:t>
      </w:r>
      <w:r>
        <w:t>&gt;</w:t>
      </w:r>
      <w:r>
        <w:t xml:space="preserve"> </w:t>
      </w:r>
      <w:r>
        <w:t xml:space="preserve">[the mandate to regulate broadcasting consistent with the “public interest, convenience, and </w:t>
      </w:r>
      <w:r>
        <w:t>necessity” remains a pillar of communications law, yet its precise meaning remains opaque and elusive].)</w:t>
      </w:r>
    </w:p>
    <w:p w14:paraId="27547A52" w14:textId="77777777" w:rsidR="0094748C" w:rsidRDefault="0094748C">
      <w:pPr>
        <w:ind w:firstLine="720"/>
      </w:pPr>
      <w:r>
        <w:t>On some points, however, judges have “ably” distilled the characteristics of a public issue.  (</w:t>
      </w:r>
      <w:r>
        <w:rPr>
          <w:i/>
        </w:rPr>
        <w:t xml:space="preserve">Geiser, supra, </w:t>
      </w:r>
      <w:r>
        <w:t>13 Cal.5th at p. 1248.)  Five factors generally tend to make a statement implicate a public interest:</w:t>
      </w:r>
    </w:p>
    <w:p w14:paraId="6EE5624B" w14:textId="77777777" w:rsidR="0094748C" w:rsidRDefault="0094748C">
      <w:pPr>
        <w:numPr>
          <w:ilvl w:val="0"/>
          <w:numId w:val="2"/>
        </w:numPr>
      </w:pPr>
      <w:r>
        <w:lastRenderedPageBreak/>
        <w:t xml:space="preserve">The statement concerns a person or entity in the public </w:t>
      </w:r>
      <w:proofErr w:type="gramStart"/>
      <w:r>
        <w:t>eye;</w:t>
      </w:r>
      <w:proofErr w:type="gramEnd"/>
    </w:p>
    <w:p w14:paraId="70F8D486" w14:textId="77777777" w:rsidR="0094748C" w:rsidRDefault="0094748C">
      <w:pPr>
        <w:numPr>
          <w:ilvl w:val="0"/>
          <w:numId w:val="2"/>
        </w:numPr>
      </w:pPr>
      <w:r>
        <w:t xml:space="preserve">the statement concerns conduct that could directly affect a large number of people beyond the direct </w:t>
      </w:r>
      <w:proofErr w:type="gramStart"/>
      <w:r>
        <w:t>participants;</w:t>
      </w:r>
      <w:proofErr w:type="gramEnd"/>
      <w:r>
        <w:t xml:space="preserve"> </w:t>
      </w:r>
    </w:p>
    <w:p w14:paraId="14FE0D7F" w14:textId="77777777" w:rsidR="0094748C" w:rsidRDefault="0094748C">
      <w:pPr>
        <w:numPr>
          <w:ilvl w:val="0"/>
          <w:numId w:val="2"/>
        </w:numPr>
      </w:pPr>
      <w:r>
        <w:t xml:space="preserve">the statement concerns a topic of widespread public </w:t>
      </w:r>
      <w:proofErr w:type="gramStart"/>
      <w:r>
        <w:t>interest;</w:t>
      </w:r>
      <w:proofErr w:type="gramEnd"/>
      <w:r>
        <w:t xml:space="preserve">  </w:t>
      </w:r>
    </w:p>
    <w:p w14:paraId="71587B81" w14:textId="77777777" w:rsidR="0094748C" w:rsidRDefault="0094748C">
      <w:pPr>
        <w:numPr>
          <w:ilvl w:val="0"/>
          <w:numId w:val="2"/>
        </w:numPr>
      </w:pPr>
      <w:r>
        <w:t xml:space="preserve">the issue is of concern to a substantial number of people; or </w:t>
      </w:r>
    </w:p>
    <w:p w14:paraId="6A86F0CF" w14:textId="77777777" w:rsidR="0094748C" w:rsidRDefault="0094748C">
      <w:pPr>
        <w:numPr>
          <w:ilvl w:val="0"/>
          <w:numId w:val="2"/>
        </w:numPr>
      </w:pPr>
      <w:proofErr w:type="gramStart"/>
      <w:r>
        <w:t>the</w:t>
      </w:r>
      <w:proofErr w:type="gramEnd"/>
      <w:r>
        <w:t xml:space="preserve"> issue has been the subject of extensive media coverage.  (</w:t>
      </w:r>
      <w:r>
        <w:rPr>
          <w:i/>
        </w:rPr>
        <w:t>Ibid.</w:t>
      </w:r>
      <w:r>
        <w:t>)</w:t>
      </w:r>
    </w:p>
    <w:p w14:paraId="55D1133C" w14:textId="77777777" w:rsidR="0094748C" w:rsidRDefault="0094748C">
      <w:pPr>
        <w:ind w:firstLine="720"/>
      </w:pPr>
      <w:r>
        <w:t>Factor three is of limited utility because it uses the word “public” to define the word “public.”</w:t>
      </w:r>
    </w:p>
    <w:p w14:paraId="50DBBD10" w14:textId="77777777" w:rsidR="0094748C" w:rsidRDefault="0094748C">
      <w:pPr>
        <w:ind w:firstLine="720"/>
      </w:pPr>
      <w:r>
        <w:t xml:space="preserve">Factors two, three, and four, on the other hand, repeat variations on a consistent theme:  they stress the significance of how </w:t>
      </w:r>
      <w:r>
        <w:rPr>
          <w:i/>
        </w:rPr>
        <w:t xml:space="preserve">many </w:t>
      </w:r>
      <w:r>
        <w:t>people are affected by, or are interested in, a purportedly public issue.</w:t>
      </w:r>
    </w:p>
    <w:p w14:paraId="18F0E79B" w14:textId="77777777" w:rsidR="0094748C" w:rsidRDefault="0094748C">
      <w:pPr>
        <w:ind w:firstLine="720"/>
      </w:pPr>
      <w:r>
        <w:t xml:space="preserve">In addition to stating these five factors, the </w:t>
      </w:r>
      <w:r>
        <w:rPr>
          <w:i/>
        </w:rPr>
        <w:t>Geiser</w:t>
      </w:r>
      <w:r>
        <w:t xml:space="preserve"> decision also emphasized the importance of considering contextual factors, including the identity and </w:t>
      </w:r>
      <w:r>
        <w:rPr>
          <w:i/>
        </w:rPr>
        <w:t xml:space="preserve">number </w:t>
      </w:r>
      <w:r>
        <w:t>of speakers, the audience, the location of the communication, and the purpose and timing of the communication.  (</w:t>
      </w:r>
      <w:r>
        <w:rPr>
          <w:i/>
        </w:rPr>
        <w:t>Geiser, supra,</w:t>
      </w:r>
      <w:r>
        <w:t xml:space="preserve"> 13 Cal.5th at p. 1253.)  </w:t>
      </w:r>
    </w:p>
    <w:p w14:paraId="6CF1E226" w14:textId="77777777" w:rsidR="0094748C" w:rsidRDefault="0094748C">
      <w:pPr>
        <w:ind w:firstLine="720"/>
      </w:pPr>
      <w:r>
        <w:t>The ultimate question is whether a statement “furthered public discussion of the public issues it implicated.”  (</w:t>
      </w:r>
      <w:r>
        <w:rPr>
          <w:i/>
        </w:rPr>
        <w:t>Geiser, supra,</w:t>
      </w:r>
      <w:r>
        <w:t xml:space="preserve"> 13 Cal.5th at p. 1255.)</w:t>
      </w:r>
    </w:p>
    <w:p w14:paraId="167DB887" w14:textId="77777777" w:rsidR="0094748C" w:rsidRDefault="0094748C">
      <w:pPr>
        <w:ind w:firstLine="720"/>
      </w:pPr>
      <w:r>
        <w:rPr>
          <w:i/>
        </w:rPr>
        <w:t>Geiser</w:t>
      </w:r>
      <w:r>
        <w:t xml:space="preserve"> clarified that, while the first prong of anti-SLAPP analysis could itself be subdivided into sub-steps, it might be “efficient” in some cases to combine the sub-steps into one inquiry.  (</w:t>
      </w:r>
      <w:r>
        <w:rPr>
          <w:i/>
        </w:rPr>
        <w:t>Geiser, supra,</w:t>
      </w:r>
      <w:r>
        <w:t xml:space="preserve"> 13 Cal.5th</w:t>
      </w:r>
      <w:r>
        <w:rPr>
          <w:i/>
        </w:rPr>
        <w:t xml:space="preserve"> </w:t>
      </w:r>
      <w:r>
        <w:t>at p. 1256.)  We follow this efficient practice here.</w:t>
      </w:r>
    </w:p>
    <w:p w14:paraId="701CDC18" w14:textId="77777777" w:rsidR="0094748C" w:rsidRDefault="0094748C">
      <w:pPr>
        <w:numPr>
          <w:ilvl w:val="0"/>
          <w:numId w:val="3"/>
        </w:numPr>
        <w:jc w:val="center"/>
      </w:pPr>
      <w:r>
        <w:t>C</w:t>
      </w:r>
    </w:p>
    <w:p w14:paraId="1E3488BF" w14:textId="77777777" w:rsidR="0094748C" w:rsidRDefault="0094748C">
      <w:pPr>
        <w:ind w:firstLine="720"/>
      </w:pPr>
      <w:r>
        <w:rPr>
          <w:i/>
        </w:rPr>
        <w:t xml:space="preserve">Content </w:t>
      </w:r>
      <w:r>
        <w:t xml:space="preserve">and </w:t>
      </w:r>
      <w:r>
        <w:rPr>
          <w:i/>
        </w:rPr>
        <w:t xml:space="preserve">context </w:t>
      </w:r>
      <w:r>
        <w:t xml:space="preserve">show the emails from </w:t>
      </w:r>
      <w:proofErr w:type="spellStart"/>
      <w:r>
        <w:t>Itkoff</w:t>
      </w:r>
      <w:proofErr w:type="spellEnd"/>
      <w:r>
        <w:t xml:space="preserve"> and Diamond did not contribute to discussion of public issues.</w:t>
      </w:r>
    </w:p>
    <w:p w14:paraId="606EBCF5" w14:textId="77777777" w:rsidR="0094748C" w:rsidRDefault="0094748C">
      <w:pPr>
        <w:ind w:firstLine="720"/>
      </w:pPr>
      <w:r>
        <w:lastRenderedPageBreak/>
        <w:t xml:space="preserve">The </w:t>
      </w:r>
      <w:r>
        <w:rPr>
          <w:i/>
        </w:rPr>
        <w:t xml:space="preserve">content </w:t>
      </w:r>
      <w:r>
        <w:t xml:space="preserve">of the emails shows a personal feud with neighbor </w:t>
      </w:r>
      <w:proofErr w:type="spellStart"/>
      <w:r>
        <w:t>Dubac</w:t>
      </w:r>
      <w:proofErr w:type="spellEnd"/>
      <w:r>
        <w:t xml:space="preserve">, not an exchange contributing to public discussion of public issues.  </w:t>
      </w:r>
      <w:proofErr w:type="spellStart"/>
      <w:r>
        <w:t>Itkoff</w:t>
      </w:r>
      <w:proofErr w:type="spellEnd"/>
      <w:r>
        <w:t xml:space="preserve"> and Diamond thought </w:t>
      </w:r>
      <w:proofErr w:type="spellStart"/>
      <w:r>
        <w:t>Dubac</w:t>
      </w:r>
      <w:proofErr w:type="spellEnd"/>
      <w:r>
        <w:t xml:space="preserve"> had treated their daughter badly.  They had other allegations too—</w:t>
      </w:r>
      <w:proofErr w:type="spellStart"/>
      <w:r>
        <w:t>Dubac</w:t>
      </w:r>
      <w:proofErr w:type="spellEnd"/>
      <w:r>
        <w:t xml:space="preserve"> stole their mail, ran the </w:t>
      </w:r>
      <w:proofErr w:type="gramStart"/>
      <w:r>
        <w:t>homeowners</w:t>
      </w:r>
      <w:proofErr w:type="gramEnd"/>
      <w:r>
        <w:t xml:space="preserve"> association poorly, was a narcissistic liar, and so forth—but the dominating theme was their daughter’s mistreatment.  This topic, while of vital concern to the parents, was—in context—not an issue of public interest.</w:t>
      </w:r>
    </w:p>
    <w:p w14:paraId="1353FE57" w14:textId="77777777" w:rsidR="0094748C" w:rsidRDefault="0094748C">
      <w:pPr>
        <w:ind w:firstLine="720"/>
      </w:pPr>
      <w:r>
        <w:t xml:space="preserve">The </w:t>
      </w:r>
      <w:r>
        <w:rPr>
          <w:i/>
        </w:rPr>
        <w:t xml:space="preserve">context </w:t>
      </w:r>
      <w:r>
        <w:t xml:space="preserve">of the emails shows they did not contribute to public discussion of public issues.  We have explained important contextual factors include the (1) identity and number of speakers, (2) the audience, (3) the location of the communication, and (4) the purpose and timing of the communication.  (See </w:t>
      </w:r>
      <w:r>
        <w:rPr>
          <w:i/>
        </w:rPr>
        <w:t>Geiser, supra,</w:t>
      </w:r>
      <w:r>
        <w:t xml:space="preserve"> 13 Cal.5th</w:t>
      </w:r>
      <w:r>
        <w:rPr>
          <w:i/>
        </w:rPr>
        <w:t xml:space="preserve"> </w:t>
      </w:r>
      <w:r>
        <w:t>at p. 1253.)  We examine each factor.</w:t>
      </w:r>
    </w:p>
    <w:p w14:paraId="18510256" w14:textId="77777777" w:rsidR="0094748C" w:rsidRDefault="0094748C">
      <w:pPr>
        <w:numPr>
          <w:ilvl w:val="0"/>
          <w:numId w:val="3"/>
        </w:numPr>
        <w:jc w:val="center"/>
      </w:pPr>
      <w:r>
        <w:t>1</w:t>
      </w:r>
    </w:p>
    <w:p w14:paraId="76D34F97" w14:textId="77777777" w:rsidR="0094748C" w:rsidRDefault="0094748C">
      <w:pPr>
        <w:ind w:firstLine="720"/>
      </w:pPr>
      <w:r>
        <w:t xml:space="preserve">The identity and number of speakers </w:t>
      </w:r>
      <w:proofErr w:type="gramStart"/>
      <w:r>
        <w:t>show</w:t>
      </w:r>
      <w:proofErr w:type="gramEnd"/>
      <w:r>
        <w:t xml:space="preserve"> the matter was not a public issue.  The speakers’ </w:t>
      </w:r>
      <w:r>
        <w:rPr>
          <w:i/>
        </w:rPr>
        <w:t xml:space="preserve">identities </w:t>
      </w:r>
      <w:r>
        <w:t xml:space="preserve">were as neighbors in a diminutive community.  The </w:t>
      </w:r>
      <w:r>
        <w:rPr>
          <w:i/>
        </w:rPr>
        <w:t xml:space="preserve">number </w:t>
      </w:r>
      <w:r>
        <w:t xml:space="preserve">of speakers </w:t>
      </w:r>
      <w:proofErr w:type="gramStart"/>
      <w:r>
        <w:t>likewise was</w:t>
      </w:r>
      <w:proofErr w:type="gramEnd"/>
      <w:r>
        <w:t xml:space="preserve"> small.  </w:t>
      </w:r>
      <w:proofErr w:type="spellStart"/>
      <w:r>
        <w:t>Itkoff</w:t>
      </w:r>
      <w:proofErr w:type="spellEnd"/>
      <w:r>
        <w:t xml:space="preserve"> and Diamond were in a building with five other units.  The smallness of the group suggests issues plaguing it are private, not public.  </w:t>
      </w:r>
    </w:p>
    <w:p w14:paraId="23A15675" w14:textId="77777777" w:rsidR="0094748C" w:rsidRDefault="0094748C">
      <w:pPr>
        <w:numPr>
          <w:ilvl w:val="0"/>
          <w:numId w:val="3"/>
        </w:numPr>
        <w:jc w:val="center"/>
      </w:pPr>
      <w:r>
        <w:t>2</w:t>
      </w:r>
    </w:p>
    <w:p w14:paraId="7F7E910E" w14:textId="77777777" w:rsidR="0094748C" w:rsidRDefault="0094748C">
      <w:pPr>
        <w:ind w:firstLine="720"/>
      </w:pPr>
      <w:r>
        <w:t xml:space="preserve">The confined </w:t>
      </w:r>
      <w:r>
        <w:rPr>
          <w:i/>
        </w:rPr>
        <w:t xml:space="preserve">audience </w:t>
      </w:r>
      <w:r>
        <w:t xml:space="preserve">for the </w:t>
      </w:r>
      <w:r>
        <w:t xml:space="preserve">messages </w:t>
      </w:r>
      <w:r>
        <w:t xml:space="preserve">suggested they did not contribute to public discussion of a public issue.  </w:t>
      </w:r>
      <w:proofErr w:type="spellStart"/>
      <w:r>
        <w:t>Itkoff</w:t>
      </w:r>
      <w:proofErr w:type="spellEnd"/>
      <w:r>
        <w:t xml:space="preserve"> and Diamond never sent these messages to the </w:t>
      </w:r>
      <w:proofErr w:type="gramStart"/>
      <w:r>
        <w:t>general public</w:t>
      </w:r>
      <w:proofErr w:type="gramEnd"/>
      <w:r>
        <w:t xml:space="preserve"> or to a sizable portion of it.  Message one was to a single person:  an insurance carrier.  That conversation appeared to be one-on-one:  entirely private in the conventional sense of the word.  Message two was to </w:t>
      </w:r>
      <w:proofErr w:type="spellStart"/>
      <w:r>
        <w:t>Dubac’s</w:t>
      </w:r>
      <w:proofErr w:type="spellEnd"/>
      <w:r>
        <w:t xml:space="preserve"> wife and the board of this small </w:t>
      </w:r>
      <w:proofErr w:type="gramStart"/>
      <w:r>
        <w:t>homeowners</w:t>
      </w:r>
      <w:proofErr w:type="gramEnd"/>
      <w:r>
        <w:t xml:space="preserve"> association.  Message three, titled “</w:t>
      </w:r>
      <w:r>
        <w:rPr>
          <w:i/>
        </w:rPr>
        <w:t>Not HOA business</w:t>
      </w:r>
      <w:r>
        <w:t xml:space="preserve">”—our emphasis—was to </w:t>
      </w:r>
      <w:proofErr w:type="spellStart"/>
      <w:r>
        <w:t>Dub</w:t>
      </w:r>
      <w:r>
        <w:t>ac</w:t>
      </w:r>
      <w:proofErr w:type="spellEnd"/>
      <w:r>
        <w:t xml:space="preserve"> personally, </w:t>
      </w:r>
      <w:r>
        <w:lastRenderedPageBreak/>
        <w:t xml:space="preserve">with copies to </w:t>
      </w:r>
      <w:proofErr w:type="spellStart"/>
      <w:r>
        <w:t>Dubac’s</w:t>
      </w:r>
      <w:proofErr w:type="spellEnd"/>
      <w:r>
        <w:t xml:space="preserve"> wife and the four other households in the building.  Message four was to a director of the </w:t>
      </w:r>
      <w:proofErr w:type="gramStart"/>
      <w:r>
        <w:t>homeowners</w:t>
      </w:r>
      <w:proofErr w:type="gramEnd"/>
      <w:r>
        <w:t xml:space="preserve"> association.  Message five was to </w:t>
      </w:r>
      <w:proofErr w:type="spellStart"/>
      <w:r>
        <w:t>Dubac</w:t>
      </w:r>
      <w:proofErr w:type="spellEnd"/>
      <w:r>
        <w:t xml:space="preserve"> and his wife.  Message six was to members of the building’s association</w:t>
      </w:r>
      <w:r>
        <w:t xml:space="preserve"> and the building manager</w:t>
      </w:r>
      <w:r>
        <w:t xml:space="preserve">.  Message seven was again to a director of the association, with copies to </w:t>
      </w:r>
      <w:proofErr w:type="spellStart"/>
      <w:r>
        <w:t>Dubac</w:t>
      </w:r>
      <w:proofErr w:type="spellEnd"/>
      <w:r>
        <w:t xml:space="preserve">, his wife, </w:t>
      </w:r>
      <w:r>
        <w:t xml:space="preserve">the building manager, </w:t>
      </w:r>
      <w:r>
        <w:t>and other households in the building.  Message eight was to building residents and the building manager.</w:t>
      </w:r>
      <w:r>
        <w:t xml:space="preserve">  </w:t>
      </w:r>
      <w:r>
        <w:t xml:space="preserve">Message </w:t>
      </w:r>
      <w:r>
        <w:t xml:space="preserve">nine was to association consultants, the building manager, </w:t>
      </w:r>
      <w:proofErr w:type="spellStart"/>
      <w:r>
        <w:t>Dubac</w:t>
      </w:r>
      <w:proofErr w:type="spellEnd"/>
      <w:r>
        <w:t xml:space="preserve"> and his wife, building residents, and an official concerned with the building.</w:t>
      </w:r>
    </w:p>
    <w:p w14:paraId="358FBC06" w14:textId="77777777" w:rsidR="0094748C" w:rsidRDefault="0094748C">
      <w:pPr>
        <w:ind w:firstLine="720"/>
      </w:pPr>
      <w:r>
        <w:t xml:space="preserve">The </w:t>
      </w:r>
      <w:proofErr w:type="gramStart"/>
      <w:r>
        <w:t>general public</w:t>
      </w:r>
      <w:proofErr w:type="gramEnd"/>
      <w:r>
        <w:t xml:space="preserve"> did not and could not know about this intra-building tiff.  The audience was always tiny.  It was never the “public.”  </w:t>
      </w:r>
    </w:p>
    <w:p w14:paraId="662D086C" w14:textId="77777777" w:rsidR="0094748C" w:rsidRDefault="0094748C">
      <w:pPr>
        <w:numPr>
          <w:ilvl w:val="0"/>
          <w:numId w:val="3"/>
        </w:numPr>
        <w:jc w:val="center"/>
      </w:pPr>
      <w:r>
        <w:t>3</w:t>
      </w:r>
    </w:p>
    <w:p w14:paraId="68A8F3B2" w14:textId="77777777" w:rsidR="0094748C" w:rsidRDefault="0094748C">
      <w:pPr>
        <w:ind w:firstLine="720"/>
      </w:pPr>
      <w:r>
        <w:t xml:space="preserve">The </w:t>
      </w:r>
      <w:r>
        <w:rPr>
          <w:i/>
        </w:rPr>
        <w:t xml:space="preserve">location </w:t>
      </w:r>
      <w:r>
        <w:t xml:space="preserve">was </w:t>
      </w:r>
      <w:r>
        <w:t xml:space="preserve">messages </w:t>
      </w:r>
      <w:r>
        <w:t xml:space="preserve">from </w:t>
      </w:r>
      <w:r>
        <w:t xml:space="preserve">owners of </w:t>
      </w:r>
      <w:r>
        <w:t xml:space="preserve">one unit to others living in (or linked to) one lone building.  The emails themselves were composed on computers inside the building, protected from the public by locked doors and laptop passwords.  As far as the </w:t>
      </w:r>
      <w:proofErr w:type="gramStart"/>
      <w:r>
        <w:t>general public</w:t>
      </w:r>
      <w:proofErr w:type="gramEnd"/>
      <w:r>
        <w:t xml:space="preserve"> was concerned, these messages were secret and private—quite different from, for instance, the noisy street picketing at issue in </w:t>
      </w:r>
      <w:r>
        <w:rPr>
          <w:i/>
        </w:rPr>
        <w:t>Geiser</w:t>
      </w:r>
      <w:r>
        <w:t xml:space="preserve">.  (See </w:t>
      </w:r>
      <w:r>
        <w:rPr>
          <w:i/>
        </w:rPr>
        <w:t>Gieser, supra,</w:t>
      </w:r>
      <w:r>
        <w:t xml:space="preserve"> 13 Cal.5th at pp. 1243 &amp; 1244 [street picketers held signs, sang songs, gave speeches, an</w:t>
      </w:r>
      <w:r>
        <w:t>d chanted that the corporate CEO could not “hide”].)</w:t>
      </w:r>
    </w:p>
    <w:p w14:paraId="3499D30C" w14:textId="77777777" w:rsidR="0094748C" w:rsidRDefault="0094748C">
      <w:pPr>
        <w:numPr>
          <w:ilvl w:val="0"/>
          <w:numId w:val="3"/>
        </w:numPr>
        <w:jc w:val="center"/>
      </w:pPr>
      <w:r>
        <w:t>4</w:t>
      </w:r>
    </w:p>
    <w:p w14:paraId="0C4255F8" w14:textId="77777777" w:rsidR="0094748C" w:rsidRDefault="0094748C">
      <w:pPr>
        <w:ind w:firstLine="720"/>
      </w:pPr>
      <w:r>
        <w:t xml:space="preserve">The </w:t>
      </w:r>
      <w:r>
        <w:rPr>
          <w:i/>
        </w:rPr>
        <w:t xml:space="preserve">purpose </w:t>
      </w:r>
      <w:r>
        <w:t xml:space="preserve">and </w:t>
      </w:r>
      <w:r>
        <w:rPr>
          <w:i/>
        </w:rPr>
        <w:t xml:space="preserve">timing </w:t>
      </w:r>
      <w:r>
        <w:t xml:space="preserve">of the emails show they did not contribute to public discussion of anything.  </w:t>
      </w:r>
      <w:proofErr w:type="spellStart"/>
      <w:r>
        <w:t>Itkoff</w:t>
      </w:r>
      <w:proofErr w:type="spellEnd"/>
      <w:r>
        <w:t xml:space="preserve"> and Diamond had the evident purpose of confronting </w:t>
      </w:r>
      <w:proofErr w:type="spellStart"/>
      <w:r>
        <w:t>Dubac</w:t>
      </w:r>
      <w:proofErr w:type="spellEnd"/>
      <w:r>
        <w:t xml:space="preserve">, shaming him, making him repent, and enlisting a few others in their campaign.  </w:t>
      </w:r>
      <w:proofErr w:type="spellStart"/>
      <w:r>
        <w:t>Itkoff</w:t>
      </w:r>
      <w:proofErr w:type="spellEnd"/>
      <w:r>
        <w:t xml:space="preserve"> and Diamond sent their messages at various times throughout the day, from 8:26 a.m. to 8:26 p.m., apparently at their </w:t>
      </w:r>
      <w:r>
        <w:lastRenderedPageBreak/>
        <w:t xml:space="preserve">convenience or whim and not in reaction to a specific triggering event of public import.  (Cf. </w:t>
      </w:r>
      <w:r>
        <w:rPr>
          <w:i/>
        </w:rPr>
        <w:t>Geiser, supra</w:t>
      </w:r>
      <w:r>
        <w:t>, 13 Cal.5th at p. 1253 [street protes</w:t>
      </w:r>
      <w:r>
        <w:t>t timed to target, and in immediate response to, corporate action].)</w:t>
      </w:r>
    </w:p>
    <w:p w14:paraId="67E8C011" w14:textId="77777777" w:rsidR="0094748C" w:rsidRDefault="0094748C">
      <w:pPr>
        <w:numPr>
          <w:ilvl w:val="0"/>
          <w:numId w:val="3"/>
        </w:numPr>
        <w:jc w:val="center"/>
      </w:pPr>
      <w:r>
        <w:t>D</w:t>
      </w:r>
    </w:p>
    <w:p w14:paraId="671D361F" w14:textId="77777777" w:rsidR="0094748C" w:rsidRDefault="0094748C">
      <w:pPr>
        <w:ind w:firstLine="720"/>
      </w:pPr>
      <w:proofErr w:type="spellStart"/>
      <w:r>
        <w:t>Itkoff</w:t>
      </w:r>
      <w:proofErr w:type="spellEnd"/>
      <w:r>
        <w:t xml:space="preserve"> and Diamond attempt to elevate their name-calling by saying it was in service of </w:t>
      </w:r>
      <w:r>
        <w:t xml:space="preserve">the governance of a </w:t>
      </w:r>
      <w:proofErr w:type="gramStart"/>
      <w:r>
        <w:t>homeowners</w:t>
      </w:r>
      <w:proofErr w:type="gramEnd"/>
      <w:r>
        <w:t xml:space="preserve"> association.  They imply anything touching upon a </w:t>
      </w:r>
      <w:proofErr w:type="gramStart"/>
      <w:r>
        <w:t>homeowners</w:t>
      </w:r>
      <w:proofErr w:type="gramEnd"/>
      <w:r>
        <w:t xml:space="preserve"> association is per se a public issue.  This is incorrect.</w:t>
      </w:r>
    </w:p>
    <w:p w14:paraId="66B23D51" w14:textId="77777777" w:rsidR="0094748C" w:rsidRDefault="0094748C">
      <w:pPr>
        <w:numPr>
          <w:ilvl w:val="0"/>
          <w:numId w:val="3"/>
        </w:numPr>
        <w:jc w:val="center"/>
      </w:pPr>
      <w:r>
        <w:t>1</w:t>
      </w:r>
    </w:p>
    <w:p w14:paraId="5EE74881" w14:textId="77777777" w:rsidR="0094748C" w:rsidRDefault="0094748C">
      <w:pPr>
        <w:ind w:firstLine="720"/>
      </w:pPr>
      <w:r>
        <w:t xml:space="preserve">An objective observer might be puzzled to hear a </w:t>
      </w:r>
      <w:proofErr w:type="gramStart"/>
      <w:r>
        <w:t>homeowners</w:t>
      </w:r>
      <w:proofErr w:type="gramEnd"/>
      <w:r>
        <w:t xml:space="preserve"> association can be the stage for public debate of a public issue.  </w:t>
      </w:r>
      <w:proofErr w:type="gramStart"/>
      <w:r>
        <w:t>Homeowners</w:t>
      </w:r>
      <w:proofErr w:type="gramEnd"/>
      <w:r>
        <w:t xml:space="preserve"> associations in some sense are the opposite of “public”:  they are intensely private; you must buy your way in, often at high cost, to a place that excludes the general public.  The point of the organization is to exercise control over private property to which the public has no right of access.  </w:t>
      </w:r>
    </w:p>
    <w:p w14:paraId="69D57545" w14:textId="77777777" w:rsidR="0094748C" w:rsidRDefault="0094748C">
      <w:pPr>
        <w:ind w:firstLine="720"/>
      </w:pPr>
      <w:r>
        <w:t xml:space="preserve">But any kind of collective governance can call forth another notion of “public,” which is that </w:t>
      </w:r>
      <w:r>
        <w:rPr>
          <w:i/>
        </w:rPr>
        <w:t xml:space="preserve">group </w:t>
      </w:r>
      <w:r>
        <w:t xml:space="preserve">control differs from strictly </w:t>
      </w:r>
      <w:r>
        <w:rPr>
          <w:i/>
        </w:rPr>
        <w:t xml:space="preserve">individual </w:t>
      </w:r>
      <w:r>
        <w:t xml:space="preserve">power.  </w:t>
      </w:r>
      <w:proofErr w:type="gramStart"/>
      <w:r>
        <w:t>H</w:t>
      </w:r>
      <w:r>
        <w:t>omeowners</w:t>
      </w:r>
      <w:proofErr w:type="gramEnd"/>
      <w:r>
        <w:t xml:space="preserve"> associations </w:t>
      </w:r>
      <w:r>
        <w:t xml:space="preserve">can be </w:t>
      </w:r>
      <w:r>
        <w:t xml:space="preserve">a type of small-scale democracy, where people meet in something like a town hall and, through discussion and voting, settle differences and decide their collective fate.  This has a sort of “public” aspect.  </w:t>
      </w:r>
    </w:p>
    <w:p w14:paraId="3D00D44C" w14:textId="77777777" w:rsidR="0094748C" w:rsidRDefault="0094748C">
      <w:pPr>
        <w:ind w:firstLine="720"/>
      </w:pPr>
      <w:r>
        <w:t xml:space="preserve">This aspect, however, </w:t>
      </w:r>
      <w:proofErr w:type="gramStart"/>
      <w:r>
        <w:t>suffers</w:t>
      </w:r>
      <w:proofErr w:type="gramEnd"/>
      <w:r>
        <w:t xml:space="preserve"> a problem.  All “private” organizations govern themselves in some collective way:  clubs, hobby groups, sports teams, and so on.  Every bridge foursome and chess club </w:t>
      </w:r>
      <w:proofErr w:type="gramStart"/>
      <w:r>
        <w:t>has</w:t>
      </w:r>
      <w:proofErr w:type="gramEnd"/>
      <w:r>
        <w:t xml:space="preserve"> </w:t>
      </w:r>
      <w:r>
        <w:rPr>
          <w:i/>
        </w:rPr>
        <w:t>some</w:t>
      </w:r>
      <w:r>
        <w:t xml:space="preserve"> way to decide when and where to meet, whom to include, and what rules to follow.  Is all this private ordering and governance </w:t>
      </w:r>
      <w:proofErr w:type="gramStart"/>
      <w:r>
        <w:t>really “public”</w:t>
      </w:r>
      <w:proofErr w:type="gramEnd"/>
      <w:r>
        <w:t xml:space="preserve">?  To read “public” so </w:t>
      </w:r>
      <w:r>
        <w:lastRenderedPageBreak/>
        <w:t xml:space="preserve">broadly would tend to make most things “private” into something “public.” And expanding “public” to include every bridge group would tend to drain all content from </w:t>
      </w:r>
      <w:r>
        <w:t xml:space="preserve">a word of limitation.  This method of statutory interpretation is unsound.  (E.g., </w:t>
      </w:r>
      <w:r>
        <w:rPr>
          <w:i/>
        </w:rPr>
        <w:t>People v. Arias</w:t>
      </w:r>
      <w:r>
        <w:t xml:space="preserve"> (2008) 45 Cal.4th 169, 181.)</w:t>
      </w:r>
    </w:p>
    <w:p w14:paraId="63DD4797" w14:textId="77777777" w:rsidR="0094748C" w:rsidRDefault="0094748C">
      <w:pPr>
        <w:ind w:firstLine="720"/>
      </w:pPr>
      <w:r>
        <w:t xml:space="preserve">There </w:t>
      </w:r>
      <w:proofErr w:type="gramStart"/>
      <w:r>
        <w:t>have to</w:t>
      </w:r>
      <w:proofErr w:type="gramEnd"/>
      <w:r>
        <w:t xml:space="preserve"> be limits.  Case law supplies some guidelines.  </w:t>
      </w:r>
    </w:p>
    <w:p w14:paraId="3B105FD8" w14:textId="77777777" w:rsidR="0094748C" w:rsidRDefault="0094748C">
      <w:pPr>
        <w:numPr>
          <w:ilvl w:val="0"/>
          <w:numId w:val="3"/>
        </w:numPr>
        <w:jc w:val="center"/>
      </w:pPr>
      <w:r>
        <w:t>2</w:t>
      </w:r>
    </w:p>
    <w:p w14:paraId="7E39C233" w14:textId="77777777" w:rsidR="0094748C" w:rsidRDefault="0094748C">
      <w:pPr>
        <w:ind w:firstLine="720"/>
      </w:pPr>
      <w:r>
        <w:t xml:space="preserve">Some lower courts have treated some </w:t>
      </w:r>
      <w:proofErr w:type="spellStart"/>
      <w:r>
        <w:t>decisionmaking</w:t>
      </w:r>
      <w:proofErr w:type="spellEnd"/>
      <w:r>
        <w:t xml:space="preserve"> by large </w:t>
      </w:r>
      <w:proofErr w:type="gramStart"/>
      <w:r>
        <w:t>homeowners</w:t>
      </w:r>
      <w:proofErr w:type="gramEnd"/>
      <w:r>
        <w:t xml:space="preserve"> associations as “public.”  (E.g., </w:t>
      </w:r>
      <w:r>
        <w:rPr>
          <w:i/>
        </w:rPr>
        <w:t>Damon v. Ocean Hills Journalism Club</w:t>
      </w:r>
      <w:r>
        <w:t xml:space="preserve"> (2000) 85 Cal.App.4th 468, 478–479 [association issue affecting over 3,000 people was “public”]; </w:t>
      </w:r>
      <w:r>
        <w:rPr>
          <w:i/>
        </w:rPr>
        <w:t>Ruiz v. Harbor View Community Assn.</w:t>
      </w:r>
      <w:r>
        <w:t xml:space="preserve"> (2005) </w:t>
      </w:r>
      <w:r w:rsidRPr="004C7FDD">
        <w:t>134 Cal.App.4th 1456</w:t>
      </w:r>
      <w:r>
        <w:t xml:space="preserve">, 1461, 1468–1469 [523 lots]; </w:t>
      </w:r>
      <w:r>
        <w:rPr>
          <w:i/>
        </w:rPr>
        <w:t>Cabrera v. Alam</w:t>
      </w:r>
      <w:r>
        <w:t xml:space="preserve"> (2011) </w:t>
      </w:r>
      <w:r w:rsidRPr="00B43E96">
        <w:t>197 Cal.App.4th 1077</w:t>
      </w:r>
      <w:r>
        <w:t xml:space="preserve">, 1081–1082, 1091 [228 condominiums]; </w:t>
      </w:r>
      <w:r>
        <w:rPr>
          <w:i/>
        </w:rPr>
        <w:t>Lee v. Silveira</w:t>
      </w:r>
      <w:r>
        <w:t xml:space="preserve"> (2016) 6 Cal.App.5th 527, </w:t>
      </w:r>
      <w:r>
        <w:t>539</w:t>
      </w:r>
      <w:r>
        <w:t xml:space="preserve">, </w:t>
      </w:r>
      <w:r>
        <w:t xml:space="preserve">549 </w:t>
      </w:r>
      <w:r>
        <w:t xml:space="preserve">[440 town houses]; </w:t>
      </w:r>
      <w:proofErr w:type="spellStart"/>
      <w:r>
        <w:rPr>
          <w:i/>
        </w:rPr>
        <w:t>Colyear</w:t>
      </w:r>
      <w:proofErr w:type="spellEnd"/>
      <w:r>
        <w:rPr>
          <w:i/>
        </w:rPr>
        <w:t xml:space="preserve"> v. Rolling Hills Community Assn. of Rancho Palos Verdes</w:t>
      </w:r>
      <w:r>
        <w:t xml:space="preserve"> (</w:t>
      </w:r>
      <w:r>
        <w:t xml:space="preserve">2017) 9 Cal.App.5th </w:t>
      </w:r>
      <w:r>
        <w:t>125</w:t>
      </w:r>
      <w:r>
        <w:t xml:space="preserve">, </w:t>
      </w:r>
      <w:r>
        <w:t xml:space="preserve">132-134 </w:t>
      </w:r>
      <w:r>
        <w:t>[</w:t>
      </w:r>
      <w:r>
        <w:t xml:space="preserve">about 755 </w:t>
      </w:r>
      <w:r>
        <w:t>households].)</w:t>
      </w:r>
    </w:p>
    <w:p w14:paraId="08DC0B7A" w14:textId="77777777" w:rsidR="0094748C" w:rsidRDefault="0094748C">
      <w:pPr>
        <w:ind w:firstLine="720"/>
      </w:pPr>
      <w:r>
        <w:t xml:space="preserve">Case law rejects the notion, however, that </w:t>
      </w:r>
      <w:r>
        <w:rPr>
          <w:i/>
        </w:rPr>
        <w:t xml:space="preserve">every </w:t>
      </w:r>
      <w:r>
        <w:t xml:space="preserve">issue within a </w:t>
      </w:r>
      <w:proofErr w:type="gramStart"/>
      <w:r>
        <w:t>homeowners</w:t>
      </w:r>
      <w:proofErr w:type="gramEnd"/>
      <w:r>
        <w:t xml:space="preserve"> association is a public issue.  (</w:t>
      </w:r>
      <w:r>
        <w:rPr>
          <w:i/>
        </w:rPr>
        <w:t>Talega Maintenance Corp. v. Standard Pacific Corp.</w:t>
      </w:r>
      <w:r>
        <w:t xml:space="preserve"> (2014) 225 Cal.App.4th 722, 734 [“the issue of who was to pay for the repairs, which was of interest to only a narrow sliver of society, was not a public issue”].)  </w:t>
      </w:r>
    </w:p>
    <w:p w14:paraId="7CB0FEFD" w14:textId="77777777" w:rsidR="0094748C" w:rsidRDefault="0094748C">
      <w:pPr>
        <w:ind w:firstLine="720"/>
      </w:pPr>
      <w:r>
        <w:t xml:space="preserve">In other words, merely relating a controversy in some way to a </w:t>
      </w:r>
      <w:proofErr w:type="gramStart"/>
      <w:r>
        <w:t>homeowners</w:t>
      </w:r>
      <w:proofErr w:type="gramEnd"/>
      <w:r>
        <w:t xml:space="preserve"> association does not make it a contribution to public discussion of a public issue.  This is a variant of the familiar rule that one cannot abstract one’s way to a “public” issue.  (E.g., </w:t>
      </w:r>
      <w:r>
        <w:rPr>
          <w:i/>
        </w:rPr>
        <w:t>Geiser</w:t>
      </w:r>
      <w:r>
        <w:t xml:space="preserve">, </w:t>
      </w:r>
      <w:r>
        <w:rPr>
          <w:i/>
        </w:rPr>
        <w:t>supra</w:t>
      </w:r>
      <w:r>
        <w:t>, 13 Cal.5th at p. 1250 [defendants always succeed in drawing a line—however tenuous—between their speech and an abstract issue of public interest].)</w:t>
      </w:r>
    </w:p>
    <w:p w14:paraId="2D332E8A" w14:textId="77777777" w:rsidR="0094748C" w:rsidRDefault="0094748C">
      <w:pPr>
        <w:numPr>
          <w:ilvl w:val="0"/>
          <w:numId w:val="3"/>
        </w:numPr>
        <w:jc w:val="center"/>
      </w:pPr>
      <w:r>
        <w:t>3</w:t>
      </w:r>
    </w:p>
    <w:p w14:paraId="1F8D3D13" w14:textId="77777777" w:rsidR="0094748C" w:rsidRDefault="0094748C">
      <w:pPr>
        <w:ind w:firstLine="720"/>
      </w:pPr>
      <w:r>
        <w:lastRenderedPageBreak/>
        <w:t xml:space="preserve">A line of cases rejects efforts to elevate personal squabbles into “public” issues.  </w:t>
      </w:r>
    </w:p>
    <w:p w14:paraId="086CCCAF" w14:textId="77777777" w:rsidR="0094748C" w:rsidRDefault="0094748C">
      <w:pPr>
        <w:ind w:firstLine="720"/>
      </w:pPr>
      <w:r>
        <w:t xml:space="preserve">The landmark lower court decision is </w:t>
      </w:r>
      <w:r>
        <w:rPr>
          <w:i/>
        </w:rPr>
        <w:t>Weinberg v. Feisel</w:t>
      </w:r>
      <w:r>
        <w:t xml:space="preserve"> (2003) 110 Cal.App.4th 1122 (</w:t>
      </w:r>
      <w:r>
        <w:rPr>
          <w:i/>
        </w:rPr>
        <w:t>Weinberg</w:t>
      </w:r>
      <w:r>
        <w:t xml:space="preserve">).  Our Supreme Court repeatedly has endorsed </w:t>
      </w:r>
      <w:r>
        <w:rPr>
          <w:i/>
        </w:rPr>
        <w:t>Weinberg</w:t>
      </w:r>
      <w:r>
        <w:t xml:space="preserve">.  (See </w:t>
      </w:r>
      <w:r w:rsidRPr="001E6F9B">
        <w:rPr>
          <w:i/>
        </w:rPr>
        <w:t>Geiser</w:t>
      </w:r>
      <w:r>
        <w:t xml:space="preserve">, </w:t>
      </w:r>
      <w:r>
        <w:rPr>
          <w:i/>
        </w:rPr>
        <w:t>supra</w:t>
      </w:r>
      <w:r>
        <w:t xml:space="preserve">, 13 Cal.5th at p. 1248; </w:t>
      </w:r>
      <w:r>
        <w:rPr>
          <w:i/>
        </w:rPr>
        <w:t xml:space="preserve">FilmOn.com Inc v. </w:t>
      </w:r>
      <w:proofErr w:type="spellStart"/>
      <w:r>
        <w:rPr>
          <w:i/>
        </w:rPr>
        <w:t>DoubleVerify</w:t>
      </w:r>
      <w:proofErr w:type="spellEnd"/>
      <w:r>
        <w:rPr>
          <w:i/>
        </w:rPr>
        <w:t xml:space="preserve"> Inc.</w:t>
      </w:r>
      <w:r>
        <w:t xml:space="preserve"> (2019) 7 Cal.5th 133, 149; </w:t>
      </w:r>
      <w:r>
        <w:rPr>
          <w:i/>
        </w:rPr>
        <w:t>Rand, supra</w:t>
      </w:r>
      <w:r>
        <w:t>, 6 Cal.5th at p. 621.)</w:t>
      </w:r>
    </w:p>
    <w:p w14:paraId="50F513B0" w14:textId="77777777" w:rsidR="0094748C" w:rsidRDefault="0094748C">
      <w:pPr>
        <w:ind w:firstLine="720"/>
      </w:pPr>
      <w:r>
        <w:rPr>
          <w:i/>
        </w:rPr>
        <w:t xml:space="preserve">Weinberg </w:t>
      </w:r>
      <w:r>
        <w:t xml:space="preserve">established the significance of considering whether the issue is of concern to a substantial number of people.  (See </w:t>
      </w:r>
      <w:r>
        <w:rPr>
          <w:i/>
        </w:rPr>
        <w:t>Geiser</w:t>
      </w:r>
      <w:r>
        <w:t xml:space="preserve">, </w:t>
      </w:r>
      <w:r>
        <w:rPr>
          <w:i/>
        </w:rPr>
        <w:t>supra</w:t>
      </w:r>
      <w:r>
        <w:t xml:space="preserve">, 13 Cal.5th at p. 1248, citing </w:t>
      </w:r>
      <w:r>
        <w:rPr>
          <w:i/>
        </w:rPr>
        <w:t>Weinberg, supra,</w:t>
      </w:r>
      <w:r>
        <w:t xml:space="preserve"> 110 Cal.App.4th at pp. 1132</w:t>
      </w:r>
      <w:r>
        <w:t>–</w:t>
      </w:r>
      <w:r>
        <w:t>1133.)  “[A] matter of public interest should be something of concern to a substantial number of people</w:t>
      </w:r>
      <w:proofErr w:type="gramStart"/>
      <w:r>
        <w:t>. . . .</w:t>
      </w:r>
      <w:proofErr w:type="gramEnd"/>
      <w:r>
        <w:t xml:space="preserve">  Thus, a matter of concern to the speaker and a relatively small, specific audience is not a matter of public interest.”  (</w:t>
      </w:r>
      <w:r>
        <w:rPr>
          <w:i/>
        </w:rPr>
        <w:t>Weinberg, supra,</w:t>
      </w:r>
      <w:r>
        <w:t xml:space="preserve"> 110 Cal.App.4th at pp. 1132.)</w:t>
      </w:r>
    </w:p>
    <w:p w14:paraId="65013707" w14:textId="77777777" w:rsidR="0094748C" w:rsidRDefault="0094748C">
      <w:pPr>
        <w:ind w:firstLine="720"/>
      </w:pPr>
      <w:r>
        <w:rPr>
          <w:i/>
        </w:rPr>
        <w:t>Weinberg’s</w:t>
      </w:r>
      <w:r>
        <w:t xml:space="preserve"> facts were instructively </w:t>
      </w:r>
      <w:proofErr w:type="gramStart"/>
      <w:r>
        <w:t>similar to</w:t>
      </w:r>
      <w:proofErr w:type="gramEnd"/>
      <w:r>
        <w:t xml:space="preserve"> this case.  </w:t>
      </w:r>
      <w:r>
        <w:rPr>
          <w:i/>
        </w:rPr>
        <w:t>Weinberg</w:t>
      </w:r>
      <w:r>
        <w:t xml:space="preserve"> involved a dispute between two men who shared an interest in collecting tokens.  </w:t>
      </w:r>
    </w:p>
    <w:p w14:paraId="7AA8FD8D" w14:textId="77777777" w:rsidR="0094748C" w:rsidRDefault="0094748C">
      <w:pPr>
        <w:ind w:firstLine="720"/>
      </w:pPr>
      <w:r>
        <w:t xml:space="preserve">Private governance was at work among the token collectors in </w:t>
      </w:r>
      <w:r>
        <w:rPr>
          <w:i/>
        </w:rPr>
        <w:t>Weinberg</w:t>
      </w:r>
      <w:r>
        <w:t xml:space="preserve">.  Both men belonged to the National Token Collectors’ Association, which published a monthly newsletter called Talkin’ Tokens.  This association had about 700 members.  The local association was the Western States Token Society, with about 50 members.  Alan Weinberg had been a member of the national association since its inception in 1997.  Duane Feisel was a member and secretary of the national association and president of the western </w:t>
      </w:r>
      <w:proofErr w:type="gramStart"/>
      <w:r>
        <w:t>states</w:t>
      </w:r>
      <w:proofErr w:type="gramEnd"/>
      <w:r>
        <w:t xml:space="preserve"> association.  (</w:t>
      </w:r>
      <w:r>
        <w:rPr>
          <w:i/>
        </w:rPr>
        <w:t>Weinberg</w:t>
      </w:r>
      <w:r>
        <w:t xml:space="preserve">, </w:t>
      </w:r>
      <w:r>
        <w:rPr>
          <w:i/>
        </w:rPr>
        <w:t>supra</w:t>
      </w:r>
      <w:r>
        <w:t>, 110 Cal.App.4th at p. 11</w:t>
      </w:r>
      <w:r>
        <w:t xml:space="preserve">27.)  </w:t>
      </w:r>
    </w:p>
    <w:p w14:paraId="40140DA6" w14:textId="77777777" w:rsidR="0094748C" w:rsidRDefault="0094748C">
      <w:pPr>
        <w:ind w:firstLine="720"/>
      </w:pPr>
      <w:r>
        <w:t>Feisel accused Weinberg of stealing one of his tokens</w:t>
      </w:r>
      <w:r>
        <w:t xml:space="preserve">. </w:t>
      </w:r>
      <w:r>
        <w:t xml:space="preserve"> </w:t>
      </w:r>
      <w:r>
        <w:t xml:space="preserve">He </w:t>
      </w:r>
      <w:r>
        <w:t xml:space="preserve">went on an extended campaign to oust Weinberg from token associations and jamborees.  Using the Talkin’ Tokens newsletter and other means, Feisel called Weinberg a </w:t>
      </w:r>
      <w:r>
        <w:lastRenderedPageBreak/>
        <w:t xml:space="preserve">thief and a chronic liar and </w:t>
      </w:r>
      <w:r>
        <w:t>claimed</w:t>
      </w:r>
      <w:r>
        <w:t xml:space="preserve"> Weinberg had a violent temper.  (</w:t>
      </w:r>
      <w:r>
        <w:rPr>
          <w:i/>
        </w:rPr>
        <w:t>Weinberg</w:t>
      </w:r>
      <w:r>
        <w:t xml:space="preserve">, </w:t>
      </w:r>
      <w:r>
        <w:rPr>
          <w:i/>
        </w:rPr>
        <w:t>supra</w:t>
      </w:r>
      <w:r>
        <w:t>, 110 Cal.App.4th at p</w:t>
      </w:r>
      <w:r>
        <w:t>p</w:t>
      </w:r>
      <w:r>
        <w:t xml:space="preserve">. </w:t>
      </w:r>
      <w:r>
        <w:t>1127–</w:t>
      </w:r>
      <w:r>
        <w:t xml:space="preserve">1129.)  </w:t>
      </w:r>
    </w:p>
    <w:p w14:paraId="5C5C63DB" w14:textId="77777777" w:rsidR="0094748C" w:rsidRDefault="0094748C">
      <w:pPr>
        <w:ind w:firstLine="720"/>
      </w:pPr>
      <w:r>
        <w:t xml:space="preserve">Feisel was eloquent about how his attacks on Weinberg connected to a supposedly public issue.  Feisel </w:t>
      </w:r>
      <w:r>
        <w:t xml:space="preserve">said </w:t>
      </w:r>
      <w:r>
        <w:t>he was “warning others of a suspected theft, so they can secure their property from the alleged wrongdoer, [thus serving] the public interest in deterring crime and protecting the interests of others who could suffer such harm.”  (</w:t>
      </w:r>
      <w:r>
        <w:rPr>
          <w:i/>
        </w:rPr>
        <w:t>Weinberg</w:t>
      </w:r>
      <w:r>
        <w:t xml:space="preserve">, </w:t>
      </w:r>
      <w:r>
        <w:rPr>
          <w:i/>
        </w:rPr>
        <w:t>supra</w:t>
      </w:r>
      <w:r>
        <w:t>, 110 Cal.App.4th at p. 1126.)</w:t>
      </w:r>
    </w:p>
    <w:p w14:paraId="5F6FBE7E" w14:textId="77777777" w:rsidR="0094748C" w:rsidRDefault="0094748C">
      <w:pPr>
        <w:ind w:firstLine="720"/>
      </w:pPr>
      <w:r>
        <w:t>Yet when Weinberg sued Feisel for defamation and emotional distress, the Court of Appeal affirmed the trial court’s denial of Feisel’s special motion to strike.  A key factor was that the communications in the case were among only “a small group of other private parties.”  (</w:t>
      </w:r>
      <w:r>
        <w:rPr>
          <w:i/>
        </w:rPr>
        <w:t>Weinberg</w:t>
      </w:r>
      <w:r>
        <w:t xml:space="preserve">, </w:t>
      </w:r>
      <w:r>
        <w:rPr>
          <w:i/>
        </w:rPr>
        <w:t>supra</w:t>
      </w:r>
      <w:r>
        <w:t xml:space="preserve">, 110 Cal.App.4th at p. 1132.)  Feisel’s attacks on Weinberg were </w:t>
      </w:r>
      <w:r>
        <w:rPr>
          <w:i/>
        </w:rPr>
        <w:t xml:space="preserve">not </w:t>
      </w:r>
      <w:r>
        <w:t>matters of public interest.  They were merely efforts to gather ammunition for another round of private controversy.  (</w:t>
      </w:r>
      <w:r>
        <w:rPr>
          <w:i/>
        </w:rPr>
        <w:t>Id.</w:t>
      </w:r>
      <w:r>
        <w:t xml:space="preserve"> at pp. 1132–1133.)</w:t>
      </w:r>
    </w:p>
    <w:p w14:paraId="5CEBE43A" w14:textId="77777777" w:rsidR="0094748C" w:rsidRDefault="0094748C">
      <w:pPr>
        <w:numPr>
          <w:ilvl w:val="0"/>
          <w:numId w:val="3"/>
        </w:numPr>
        <w:jc w:val="center"/>
      </w:pPr>
    </w:p>
    <w:p w14:paraId="609F79F5" w14:textId="77777777" w:rsidR="0094748C" w:rsidRDefault="0094748C">
      <w:pPr>
        <w:numPr>
          <w:ilvl w:val="0"/>
          <w:numId w:val="3"/>
        </w:numPr>
        <w:jc w:val="center"/>
      </w:pPr>
      <w:r>
        <w:t>4</w:t>
      </w:r>
    </w:p>
    <w:p w14:paraId="611693A1" w14:textId="77777777" w:rsidR="0094748C" w:rsidRDefault="0094748C">
      <w:pPr>
        <w:ind w:firstLine="720"/>
      </w:pPr>
      <w:r>
        <w:t xml:space="preserve">Courts have applied </w:t>
      </w:r>
      <w:r>
        <w:rPr>
          <w:i/>
        </w:rPr>
        <w:t>Weinberg</w:t>
      </w:r>
      <w:r>
        <w:t xml:space="preserve">’s teaching to a variety of </w:t>
      </w:r>
      <w:r>
        <w:t>other name-calling disputes that were essentially private.  These precedents support our analysis.</w:t>
      </w:r>
    </w:p>
    <w:p w14:paraId="3A2A6958" w14:textId="77777777" w:rsidR="0094748C" w:rsidRDefault="0094748C">
      <w:pPr>
        <w:ind w:firstLine="720"/>
      </w:pPr>
      <w:r>
        <w:t>In one case, an episode of road rage led to fisticuffs and horrible name-calling.  (</w:t>
      </w:r>
      <w:proofErr w:type="spellStart"/>
      <w:r>
        <w:rPr>
          <w:i/>
        </w:rPr>
        <w:t>Abuemeira</w:t>
      </w:r>
      <w:proofErr w:type="spellEnd"/>
      <w:r>
        <w:rPr>
          <w:i/>
        </w:rPr>
        <w:t xml:space="preserve"> v. Stephens</w:t>
      </w:r>
      <w:r>
        <w:t xml:space="preserve"> (2016) 246 Cal.App.4th 1291, 1296.)  Presiding Justice Gilbert wrote this “unseemly private brawl” involved “private, anonymous” parties and raised no public issue.  (</w:t>
      </w:r>
      <w:r>
        <w:rPr>
          <w:i/>
        </w:rPr>
        <w:t>Id</w:t>
      </w:r>
      <w:r>
        <w:t>. at p</w:t>
      </w:r>
      <w:r>
        <w:t>p</w:t>
      </w:r>
      <w:r>
        <w:t xml:space="preserve">. </w:t>
      </w:r>
      <w:r>
        <w:t xml:space="preserve">1294 &amp; </w:t>
      </w:r>
      <w:r>
        <w:t xml:space="preserve">1298; see also </w:t>
      </w:r>
      <w:r>
        <w:rPr>
          <w:i/>
        </w:rPr>
        <w:t>D.C. v. R.R</w:t>
      </w:r>
      <w:r>
        <w:t xml:space="preserve">. (2010) 182 Cal.App.4th 1190, </w:t>
      </w:r>
      <w:r>
        <w:t xml:space="preserve">1199 &amp; </w:t>
      </w:r>
      <w:r>
        <w:t xml:space="preserve">1226 [one student posted hateful and threatening online comments about another; no public </w:t>
      </w:r>
      <w:r>
        <w:lastRenderedPageBreak/>
        <w:t xml:space="preserve">issue]; </w:t>
      </w:r>
      <w:r>
        <w:rPr>
          <w:i/>
        </w:rPr>
        <w:t>Bernstein v. LaBeouf</w:t>
      </w:r>
      <w:r>
        <w:t xml:space="preserve"> (2019) 43 Cal.App.5th 15, 19, 24 [drunken patron insulted bartender; no public issue].)</w:t>
      </w:r>
    </w:p>
    <w:p w14:paraId="0818375A" w14:textId="77777777" w:rsidR="0094748C" w:rsidRDefault="0094748C">
      <w:pPr>
        <w:ind w:firstLine="720"/>
      </w:pPr>
      <w:r>
        <w:t xml:space="preserve">A similarly private dispute between neighbors was </w:t>
      </w:r>
      <w:r>
        <w:rPr>
          <w:i/>
        </w:rPr>
        <w:t xml:space="preserve">Workman v. </w:t>
      </w:r>
      <w:proofErr w:type="spellStart"/>
      <w:r>
        <w:rPr>
          <w:i/>
        </w:rPr>
        <w:t>Colichman</w:t>
      </w:r>
      <w:proofErr w:type="spellEnd"/>
      <w:r>
        <w:t xml:space="preserve"> (2019) 33 Cal.App.5th 1039.  Donna Sue Workman’s house was in escrow until neighbor Paul </w:t>
      </w:r>
      <w:proofErr w:type="spellStart"/>
      <w:r>
        <w:t>Colichman</w:t>
      </w:r>
      <w:proofErr w:type="spellEnd"/>
      <w:r>
        <w:t xml:space="preserve"> caused the sale to fall through by emailing Workman’s real estate agent that he was planning an addition that would interfere with the view from Workman’s house.  Workman sued, saying the statement was false, no construction was planned, and </w:t>
      </w:r>
      <w:proofErr w:type="spellStart"/>
      <w:r>
        <w:t>Colichman</w:t>
      </w:r>
      <w:proofErr w:type="spellEnd"/>
      <w:r>
        <w:t xml:space="preserve"> was just trying to interfere with the pending sale.  </w:t>
      </w:r>
      <w:proofErr w:type="spellStart"/>
      <w:r>
        <w:t>Colichment</w:t>
      </w:r>
      <w:proofErr w:type="spellEnd"/>
      <w:r>
        <w:t xml:space="preserve"> filed a special motion to strike, saying his email involved a matter of publ</w:t>
      </w:r>
      <w:r>
        <w:t>ic interest.  The court rejected this claim, saying “[</w:t>
      </w:r>
      <w:proofErr w:type="spellStart"/>
      <w:r>
        <w:t>i</w:t>
      </w:r>
      <w:proofErr w:type="spellEnd"/>
      <w:r>
        <w:t>]</w:t>
      </w:r>
      <w:proofErr w:type="spellStart"/>
      <w:r>
        <w:t>nformation</w:t>
      </w:r>
      <w:proofErr w:type="spellEnd"/>
      <w:r>
        <w:t xml:space="preserve"> about the views from a private residence affecting only those directly interested in buying or selling that house is not an issue of public interest.”  (</w:t>
      </w:r>
      <w:r>
        <w:rPr>
          <w:i/>
        </w:rPr>
        <w:t>Id</w:t>
      </w:r>
      <w:r>
        <w:t xml:space="preserve">. at p. 1042.)  </w:t>
      </w:r>
    </w:p>
    <w:p w14:paraId="24103E21" w14:textId="77777777" w:rsidR="0094748C" w:rsidRDefault="0094748C">
      <w:pPr>
        <w:ind w:firstLine="720"/>
      </w:pPr>
      <w:r>
        <w:t xml:space="preserve">We encounter more feuding neighbors in </w:t>
      </w:r>
      <w:r>
        <w:rPr>
          <w:i/>
        </w:rPr>
        <w:t>Jeppson v. Ley</w:t>
      </w:r>
      <w:r>
        <w:t xml:space="preserve"> (2020) 44 Cal.App.5th 845, where one’s dog killed another’s cat.  Relations went downhill from there, resulting in a supposedly anonymous but not-very-well-concealed neighborhood blog post from one about the other that pulled in a related assault against another neighbor’s tree.  This dispute affected only three households:  the dog owner, the cat owner, and the tree owner.  It did not involve a public issue.  It was “strictly local.”  (</w:t>
      </w:r>
      <w:r>
        <w:rPr>
          <w:i/>
        </w:rPr>
        <w:t>Id.</w:t>
      </w:r>
      <w:r>
        <w:t xml:space="preserve"> at p</w:t>
      </w:r>
      <w:r>
        <w:t>p</w:t>
      </w:r>
      <w:r>
        <w:t xml:space="preserve">. </w:t>
      </w:r>
      <w:r>
        <w:t>856–</w:t>
      </w:r>
      <w:r>
        <w:t>857.)</w:t>
      </w:r>
    </w:p>
    <w:p w14:paraId="1E2C47F0" w14:textId="77777777" w:rsidR="0094748C" w:rsidRDefault="0094748C">
      <w:pPr>
        <w:ind w:firstLine="720"/>
      </w:pPr>
      <w:r>
        <w:t xml:space="preserve">In the same vein was </w:t>
      </w:r>
      <w:r>
        <w:rPr>
          <w:i/>
        </w:rPr>
        <w:t>Woodhill Ventures, LLC v. Yang</w:t>
      </w:r>
      <w:r>
        <w:t xml:space="preserve"> (2021) 68 Cal.App.5th 624, 627, where a bakery customer unhappy with a birthday cake unleashed a tirade against the bakery that culminated in death threats to the bakers.  The bakery sued.  The cake controversy did not raise a public issue.  (</w:t>
      </w:r>
      <w:r>
        <w:rPr>
          <w:i/>
        </w:rPr>
        <w:t>Id.</w:t>
      </w:r>
      <w:r>
        <w:t xml:space="preserve"> at p. 636.)</w:t>
      </w:r>
    </w:p>
    <w:p w14:paraId="23D094C3" w14:textId="77777777" w:rsidR="0094748C" w:rsidRDefault="0094748C">
      <w:pPr>
        <w:ind w:firstLine="720"/>
      </w:pPr>
      <w:r>
        <w:lastRenderedPageBreak/>
        <w:t xml:space="preserve">Our result today gains support from these cases where people became enveloped in conflicts they saw as transcendent but that did not involve public issues.  </w:t>
      </w:r>
    </w:p>
    <w:p w14:paraId="13E7B6C3" w14:textId="77777777" w:rsidR="0094748C" w:rsidRDefault="0094748C">
      <w:pPr>
        <w:numPr>
          <w:ilvl w:val="0"/>
          <w:numId w:val="3"/>
        </w:numPr>
        <w:jc w:val="center"/>
      </w:pPr>
      <w:r>
        <w:t>5</w:t>
      </w:r>
    </w:p>
    <w:p w14:paraId="3B5B19FA" w14:textId="77777777" w:rsidR="0094748C" w:rsidRDefault="0094748C">
      <w:pPr>
        <w:ind w:firstLine="720"/>
        <w:rPr>
          <w:b/>
        </w:rPr>
      </w:pPr>
      <w:r>
        <w:t xml:space="preserve">The number of people affected by, involved in, or who care about this intra-building name calling is </w:t>
      </w:r>
      <w:r>
        <w:t>minute.  The record offers no objective basis for saying anyone outside the building had any “public” interest in this poisoned relationship between neighbors.  A matter of concern to the speaker and a relatively small, specific audience is not a matter of public interest.  (</w:t>
      </w:r>
      <w:r>
        <w:rPr>
          <w:i/>
        </w:rPr>
        <w:t>Weinberg</w:t>
      </w:r>
      <w:r>
        <w:t xml:space="preserve">, </w:t>
      </w:r>
      <w:r>
        <w:rPr>
          <w:i/>
        </w:rPr>
        <w:t>supra</w:t>
      </w:r>
      <w:r>
        <w:t xml:space="preserve">, 110 Cal.App.4th at p. </w:t>
      </w:r>
      <w:r w:rsidRPr="00567520">
        <w:t>1132</w:t>
      </w:r>
      <w:r>
        <w:t xml:space="preserve">.)  </w:t>
      </w:r>
      <w:proofErr w:type="spellStart"/>
      <w:r>
        <w:t>Dubac’s</w:t>
      </w:r>
      <w:proofErr w:type="spellEnd"/>
      <w:r>
        <w:t xml:space="preserve"> lawsuit did not concern “speech in connection with a public issue or an issue of public interest.”  (§ 425.16, subd. (e)(4).)   This fact doomed the special motion to strike.  We do</w:t>
      </w:r>
      <w:r>
        <w:t xml:space="preserve"> not consider anti-SLAPP prong two.  (See </w:t>
      </w:r>
      <w:r>
        <w:rPr>
          <w:i/>
        </w:rPr>
        <w:t>Wilson, supra</w:t>
      </w:r>
      <w:r>
        <w:t>, 7 Cal.5th at p. 884.)</w:t>
      </w:r>
    </w:p>
    <w:p w14:paraId="31005C12" w14:textId="77777777" w:rsidR="0094748C" w:rsidRDefault="0094748C" w:rsidP="002D2A52">
      <w:pPr>
        <w:rPr>
          <w:b/>
        </w:rPr>
      </w:pPr>
      <w:r>
        <w:rPr>
          <w:b/>
        </w:rPr>
        <w:t>//</w:t>
      </w:r>
    </w:p>
    <w:p w14:paraId="75D8E69E" w14:textId="77777777" w:rsidR="0094748C" w:rsidRDefault="0094748C" w:rsidP="002D2A52">
      <w:pPr>
        <w:rPr>
          <w:b/>
        </w:rPr>
      </w:pPr>
      <w:r>
        <w:rPr>
          <w:b/>
        </w:rPr>
        <w:t>//</w:t>
      </w:r>
    </w:p>
    <w:p w14:paraId="1D143190" w14:textId="77777777" w:rsidR="0094748C" w:rsidRDefault="0094748C" w:rsidP="002D2A52">
      <w:pPr>
        <w:rPr>
          <w:b/>
        </w:rPr>
      </w:pPr>
      <w:r>
        <w:rPr>
          <w:b/>
        </w:rPr>
        <w:t>//</w:t>
      </w:r>
    </w:p>
    <w:p w14:paraId="2ABE2606" w14:textId="77777777" w:rsidR="0094748C" w:rsidRDefault="0094748C">
      <w:pPr>
        <w:jc w:val="center"/>
        <w:rPr>
          <w:b/>
        </w:rPr>
      </w:pPr>
      <w:r>
        <w:rPr>
          <w:b/>
        </w:rPr>
        <w:t>DISPOSITION</w:t>
      </w:r>
    </w:p>
    <w:p w14:paraId="5BC57D4F" w14:textId="77777777" w:rsidR="0094748C" w:rsidRDefault="0094748C">
      <w:pPr>
        <w:ind w:firstLine="720"/>
      </w:pPr>
      <w:r>
        <w:t xml:space="preserve">We affirm the trial court’s order and award costs to the respondent. </w:t>
      </w:r>
    </w:p>
    <w:p w14:paraId="42652454" w14:textId="77777777" w:rsidR="0094748C" w:rsidRDefault="0094748C"/>
    <w:p w14:paraId="3D2F822F" w14:textId="77777777" w:rsidR="0094748C" w:rsidRDefault="0094748C"/>
    <w:p w14:paraId="62A20C7B" w14:textId="77777777" w:rsidR="0094748C" w:rsidRDefault="0094748C">
      <w:r>
        <w:tab/>
      </w:r>
      <w:r>
        <w:tab/>
      </w:r>
      <w:r>
        <w:tab/>
      </w:r>
      <w:r>
        <w:tab/>
      </w:r>
      <w:r>
        <w:tab/>
      </w:r>
      <w:r>
        <w:tab/>
      </w:r>
      <w:r>
        <w:tab/>
        <w:t>WILEY, J.</w:t>
      </w:r>
    </w:p>
    <w:p w14:paraId="7DC5A87E" w14:textId="77777777" w:rsidR="0094748C" w:rsidRDefault="0094748C"/>
    <w:p w14:paraId="22DDD380" w14:textId="77777777" w:rsidR="0094748C" w:rsidRDefault="0094748C">
      <w:r>
        <w:t xml:space="preserve">We concur:  </w:t>
      </w:r>
    </w:p>
    <w:p w14:paraId="3307945E" w14:textId="77777777" w:rsidR="0094748C" w:rsidRDefault="0094748C"/>
    <w:p w14:paraId="44D39CD6" w14:textId="77777777" w:rsidR="0094748C" w:rsidRDefault="0094748C"/>
    <w:p w14:paraId="05348A8C" w14:textId="77777777" w:rsidR="0094748C" w:rsidRDefault="0094748C">
      <w:r>
        <w:tab/>
      </w:r>
      <w:r>
        <w:tab/>
        <w:t xml:space="preserve">STRATTON, P. J.  </w:t>
      </w:r>
    </w:p>
    <w:p w14:paraId="4BB3D74E" w14:textId="77777777" w:rsidR="0094748C" w:rsidRDefault="0094748C"/>
    <w:p w14:paraId="4D5798E3" w14:textId="77777777" w:rsidR="0094748C" w:rsidRDefault="0094748C"/>
    <w:p w14:paraId="3491163B" w14:textId="77777777" w:rsidR="0094748C" w:rsidRDefault="0094748C"/>
    <w:p w14:paraId="3D0EA023" w14:textId="77777777" w:rsidR="0094748C" w:rsidRDefault="0094748C">
      <w:pPr>
        <w:ind w:left="720" w:firstLine="720"/>
      </w:pPr>
      <w:r>
        <w:t>VIRAMONTES, J.</w:t>
      </w:r>
    </w:p>
    <w:sectPr w:rsidR="00D165A1">
      <w:footerReference w:type="default" r:id="rId7"/>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8FF32" w14:textId="77777777" w:rsidR="0094748C" w:rsidRDefault="0094748C">
      <w:pPr>
        <w:spacing w:line="240" w:lineRule="auto"/>
      </w:pPr>
      <w:r>
        <w:separator/>
      </w:r>
    </w:p>
  </w:endnote>
  <w:endnote w:type="continuationSeparator" w:id="0">
    <w:p w14:paraId="5024123B" w14:textId="77777777" w:rsidR="0094748C" w:rsidRDefault="00947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746E6" w14:textId="77777777" w:rsidR="0094748C" w:rsidRDefault="0094748C">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F802E" w14:textId="77777777" w:rsidR="0094748C" w:rsidRDefault="0094748C">
      <w:pPr>
        <w:spacing w:line="240" w:lineRule="auto"/>
      </w:pPr>
      <w:r>
        <w:separator/>
      </w:r>
    </w:p>
  </w:footnote>
  <w:footnote w:type="continuationSeparator" w:id="0">
    <w:p w14:paraId="4CF5B715" w14:textId="77777777" w:rsidR="0094748C" w:rsidRDefault="009474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66EC8"/>
    <w:multiLevelType w:val="multilevel"/>
    <w:tmpl w:val="795647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52A1EE9"/>
    <w:multiLevelType w:val="multilevel"/>
    <w:tmpl w:val="2D2EA166"/>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6E2741"/>
    <w:multiLevelType w:val="multilevel"/>
    <w:tmpl w:val="5CD4B620"/>
    <w:lvl w:ilvl="0">
      <w:start w:val="1"/>
      <w:numFmt w:val="decimal"/>
      <w:lvlText w:v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1282826">
    <w:abstractNumId w:val="1"/>
  </w:num>
  <w:num w:numId="2" w16cid:durableId="1460419136">
    <w:abstractNumId w:val="0"/>
  </w:num>
  <w:num w:numId="3" w16cid:durableId="139809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D2"/>
    <w:rsid w:val="00013091"/>
    <w:rsid w:val="00262E66"/>
    <w:rsid w:val="0094748C"/>
    <w:rsid w:val="00C361D2"/>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paragraph" w:styleId="Revision">
    <w:name w:val="Revision"/>
    <w:hidden/>
    <w:uiPriority w:val="99"/>
    <w:semiHidden/>
    <w:rsid w:val="00B051EF"/>
    <w:pPr>
      <w:spacing w:line="240" w:lineRule="auto"/>
    </w:pPr>
  </w:style>
  <w:style w:type="character" w:styleId="CommentReference">
    <w:name w:val="annotation reference"/>
    <w:basedOn w:val="DefaultParagraphFont"/>
    <w:uiPriority w:val="99"/>
    <w:semiHidden/>
    <w:unhideWhenUsed/>
    <w:rsid w:val="006C2F3E"/>
    <w:rPr>
      <w:sz w:val="16"/>
      <w:szCs w:val="16"/>
    </w:rPr>
  </w:style>
  <w:style w:type="paragraph" w:styleId="CommentText">
    <w:name w:val="annotation text"/>
    <w:basedOn w:val="Normal"/>
    <w:link w:val="CommentTextChar"/>
    <w:uiPriority w:val="99"/>
    <w:unhideWhenUsed/>
    <w:rsid w:val="006C2F3E"/>
    <w:pPr>
      <w:spacing w:line="240" w:lineRule="auto"/>
    </w:pPr>
    <w:rPr>
      <w:sz w:val="20"/>
      <w:szCs w:val="20"/>
    </w:rPr>
  </w:style>
  <w:style w:type="character" w:customStyle="1" w:styleId="CommentTextChar">
    <w:name w:val="Comment Text Char"/>
    <w:basedOn w:val="DefaultParagraphFont"/>
    <w:link w:val="CommentText"/>
    <w:uiPriority w:val="99"/>
    <w:rsid w:val="006C2F3E"/>
    <w:rPr>
      <w:sz w:val="20"/>
      <w:szCs w:val="20"/>
    </w:rPr>
  </w:style>
  <w:style w:type="paragraph" w:styleId="CommentSubject">
    <w:name w:val="annotation subject"/>
    <w:basedOn w:val="CommentText"/>
    <w:next w:val="CommentText"/>
    <w:link w:val="CommentSubjectChar"/>
    <w:uiPriority w:val="99"/>
    <w:semiHidden/>
    <w:unhideWhenUsed/>
    <w:rsid w:val="006C2F3E"/>
    <w:rPr>
      <w:b/>
      <w:bCs/>
    </w:rPr>
  </w:style>
  <w:style w:type="character" w:customStyle="1" w:styleId="CommentSubjectChar">
    <w:name w:val="Comment Subject Char"/>
    <w:basedOn w:val="CommentTextChar"/>
    <w:link w:val="CommentSubject"/>
    <w:uiPriority w:val="99"/>
    <w:semiHidden/>
    <w:rsid w:val="006C2F3E"/>
    <w:rPr>
      <w:b/>
      <w:bCs/>
      <w:sz w:val="20"/>
      <w:szCs w:val="20"/>
    </w:rPr>
  </w:style>
  <w:style w:type="paragraph" w:styleId="Header">
    <w:name w:val="header"/>
    <w:basedOn w:val="Normal"/>
    <w:link w:val="HeaderChar"/>
    <w:uiPriority w:val="99"/>
    <w:unhideWhenUsed/>
    <w:rsid w:val="00097752"/>
    <w:pPr>
      <w:tabs>
        <w:tab w:val="center" w:pos="4680"/>
        <w:tab w:val="right" w:pos="9360"/>
      </w:tabs>
      <w:spacing w:line="240" w:lineRule="auto"/>
    </w:pPr>
  </w:style>
  <w:style w:type="character" w:customStyle="1" w:styleId="HeaderChar">
    <w:name w:val="Header Char"/>
    <w:basedOn w:val="DefaultParagraphFont"/>
    <w:link w:val="Header"/>
    <w:uiPriority w:val="99"/>
    <w:rsid w:val="00097752"/>
  </w:style>
  <w:style w:type="paragraph" w:styleId="Footer">
    <w:name w:val="footer"/>
    <w:basedOn w:val="Normal"/>
    <w:link w:val="FooterChar"/>
    <w:uiPriority w:val="99"/>
    <w:unhideWhenUsed/>
    <w:rsid w:val="00097752"/>
    <w:pPr>
      <w:tabs>
        <w:tab w:val="center" w:pos="4680"/>
        <w:tab w:val="right" w:pos="9360"/>
      </w:tabs>
      <w:spacing w:line="240" w:lineRule="auto"/>
    </w:pPr>
  </w:style>
  <w:style w:type="character" w:customStyle="1" w:styleId="FooterChar">
    <w:name w:val="Footer Char"/>
    <w:basedOn w:val="DefaultParagraphFont"/>
    <w:link w:val="Footer"/>
    <w:uiPriority w:val="99"/>
    <w:rsid w:val="000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5066</Words>
  <Characters>25747</Characters>
  <Application>Microsoft Office Word</Application>
  <DocSecurity>0</DocSecurity>
  <Lines>587</Lines>
  <Paragraphs>118</Paragraphs>
  <ScaleCrop>false</ScaleCrop>
  <Manager/>
  <Company/>
  <LinksUpToDate>false</LinksUpToDate>
  <CharactersWithSpaces>31039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2024-04-19T19:52:00Z</dcterms:created>
  <dcterms:modified xsi:type="dcterms:W3CDTF">2024-04-19T19:52:00Z</dcterms:modified>
  <cp:category/>
</cp:coreProperties>
</file>