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3160" w14:textId="77777777" w:rsidR="005832F1" w:rsidRPr="005326E4" w:rsidRDefault="005832F1" w:rsidP="00F53128">
      <w:pPr>
        <w:spacing w:line="240" w:lineRule="auto"/>
        <w:rPr>
          <w:bCs/>
          <w:sz w:val="20"/>
          <w:szCs w:val="20"/>
        </w:rPr>
      </w:pPr>
      <w:r w:rsidRPr="005326E4">
        <w:rPr>
          <w:bCs/>
          <w:sz w:val="20"/>
          <w:szCs w:val="20"/>
        </w:rPr>
        <w:t>Filed 2/9/24</w:t>
      </w:r>
    </w:p>
    <w:p w14:paraId="1F1C0AC4" w14:textId="77777777" w:rsidR="005832F1" w:rsidRDefault="005832F1" w:rsidP="009A29B8">
      <w:pPr>
        <w:spacing w:line="240" w:lineRule="auto"/>
        <w:jc w:val="center"/>
        <w:rPr>
          <w:b/>
        </w:rPr>
      </w:pPr>
      <w:r>
        <w:rPr>
          <w:b/>
        </w:rPr>
        <w:t>CERTIFIED FOR PARTIAL PUBLICATION</w:t>
      </w:r>
      <w:r>
        <w:rPr>
          <w:b/>
          <w:bCs/>
          <w:kern w:val="2"/>
          <w:vertAlign w:val="superscript"/>
          <w14:ligatures w14:val="standardContextual"/>
        </w:rPr>
        <w:footnoteReference w:customMarkFollows="1" w:id="1"/>
        <w:t>*</w:t>
      </w:r>
    </w:p>
    <w:p w14:paraId="11D5C158" w14:textId="77777777" w:rsidR="005832F1" w:rsidRDefault="005832F1" w:rsidP="009A29B8">
      <w:pPr>
        <w:spacing w:line="240" w:lineRule="auto"/>
        <w:jc w:val="center"/>
      </w:pPr>
    </w:p>
    <w:p w14:paraId="50671307" w14:textId="77777777" w:rsidR="005832F1" w:rsidRDefault="005832F1" w:rsidP="009A29B8">
      <w:pPr>
        <w:spacing w:line="240" w:lineRule="auto"/>
        <w:jc w:val="center"/>
      </w:pPr>
      <w:r>
        <w:t>IN THE COURT OF APPEAL OF THE STATE OF CALIFORNIA</w:t>
      </w:r>
    </w:p>
    <w:p w14:paraId="1D51C704" w14:textId="77777777" w:rsidR="005832F1" w:rsidRDefault="005832F1" w:rsidP="009A29B8">
      <w:pPr>
        <w:spacing w:line="240" w:lineRule="auto"/>
        <w:jc w:val="center"/>
      </w:pPr>
    </w:p>
    <w:p w14:paraId="654CA544" w14:textId="77777777" w:rsidR="005832F1" w:rsidRDefault="005832F1" w:rsidP="009A29B8">
      <w:pPr>
        <w:spacing w:line="240" w:lineRule="auto"/>
        <w:jc w:val="center"/>
      </w:pPr>
      <w:r>
        <w:t>SECOND APPELLATE DISTRICT</w:t>
      </w:r>
    </w:p>
    <w:p w14:paraId="486D001D" w14:textId="77777777" w:rsidR="005832F1" w:rsidRDefault="005832F1" w:rsidP="009A29B8">
      <w:pPr>
        <w:spacing w:line="240" w:lineRule="auto"/>
        <w:jc w:val="center"/>
      </w:pPr>
    </w:p>
    <w:p w14:paraId="18AA2D48" w14:textId="77777777" w:rsidR="005832F1" w:rsidRDefault="005832F1" w:rsidP="009A29B8">
      <w:pPr>
        <w:spacing w:line="240" w:lineRule="auto"/>
        <w:jc w:val="center"/>
      </w:pPr>
      <w:r>
        <w:t>DIVISION SEVEN</w:t>
      </w:r>
    </w:p>
    <w:p w14:paraId="5397E757" w14:textId="77777777" w:rsidR="005832F1" w:rsidRDefault="005832F1" w:rsidP="009A29B8">
      <w:pPr>
        <w:spacing w:line="240" w:lineRule="auto"/>
        <w:jc w:val="center"/>
      </w:pPr>
    </w:p>
    <w:p w14:paraId="0592D9B0" w14:textId="77777777" w:rsidR="005832F1" w:rsidRDefault="005832F1" w:rsidP="009A29B8">
      <w:pPr>
        <w:spacing w:line="240" w:lineRule="auto"/>
        <w:jc w:val="center"/>
      </w:pPr>
    </w:p>
    <w:tbl>
      <w:tblPr>
        <w:tblW w:w="8640" w:type="dxa"/>
        <w:tblLayout w:type="fixed"/>
        <w:tblLook w:val="0000" w:firstRow="0" w:lastRow="0" w:firstColumn="0" w:lastColumn="0" w:noHBand="0" w:noVBand="0"/>
      </w:tblPr>
      <w:tblGrid>
        <w:gridCol w:w="4410"/>
        <w:gridCol w:w="4230"/>
      </w:tblGrid>
      <w:tr w:rsidR="00FD1173" w14:paraId="013FD3EB" w14:textId="77777777" w:rsidTr="00F53128">
        <w:tc>
          <w:tcPr>
            <w:tcW w:w="4410" w:type="dxa"/>
            <w:tcBorders>
              <w:bottom w:val="single" w:sz="4" w:space="0" w:color="auto"/>
              <w:right w:val="single" w:sz="4" w:space="0" w:color="auto"/>
            </w:tcBorders>
            <w:shd w:val="clear" w:color="auto" w:fill="auto"/>
          </w:tcPr>
          <w:p w14:paraId="6DB5E9AF" w14:textId="77777777" w:rsidR="005832F1" w:rsidRDefault="005832F1" w:rsidP="009A29B8">
            <w:pPr>
              <w:spacing w:line="240" w:lineRule="auto"/>
            </w:pPr>
            <w:r>
              <w:t>KUMCHAI KIM MIYAHARA,</w:t>
            </w:r>
          </w:p>
          <w:p w14:paraId="76D2D9FA" w14:textId="77777777" w:rsidR="005832F1" w:rsidRDefault="005832F1" w:rsidP="009A29B8">
            <w:pPr>
              <w:spacing w:line="240" w:lineRule="auto"/>
            </w:pPr>
          </w:p>
          <w:p w14:paraId="12015252" w14:textId="77777777" w:rsidR="005832F1" w:rsidRDefault="005832F1" w:rsidP="009A29B8">
            <w:pPr>
              <w:spacing w:line="240" w:lineRule="auto"/>
            </w:pPr>
            <w:r>
              <w:tab/>
              <w:t>Plaintiff and Appellant,</w:t>
            </w:r>
          </w:p>
          <w:p w14:paraId="57BFC910" w14:textId="77777777" w:rsidR="005832F1" w:rsidRDefault="005832F1" w:rsidP="009A29B8">
            <w:pPr>
              <w:spacing w:line="240" w:lineRule="auto"/>
            </w:pPr>
          </w:p>
          <w:p w14:paraId="73914A45" w14:textId="77777777" w:rsidR="005832F1" w:rsidRDefault="005832F1" w:rsidP="009A29B8">
            <w:pPr>
              <w:spacing w:line="240" w:lineRule="auto"/>
            </w:pPr>
            <w:r>
              <w:tab/>
              <w:t>v.</w:t>
            </w:r>
          </w:p>
          <w:p w14:paraId="27DB22A4" w14:textId="77777777" w:rsidR="005832F1" w:rsidRDefault="005832F1" w:rsidP="009A29B8">
            <w:pPr>
              <w:spacing w:line="240" w:lineRule="auto"/>
            </w:pPr>
          </w:p>
          <w:p w14:paraId="1CCCC4DF" w14:textId="77777777" w:rsidR="005832F1" w:rsidRDefault="005832F1" w:rsidP="009A29B8">
            <w:pPr>
              <w:spacing w:line="240" w:lineRule="auto"/>
            </w:pPr>
            <w:r>
              <w:t>WELLS FARGO BANK, N.A.,</w:t>
            </w:r>
          </w:p>
          <w:p w14:paraId="76A969F0" w14:textId="77777777" w:rsidR="005832F1" w:rsidRDefault="005832F1" w:rsidP="009A29B8">
            <w:pPr>
              <w:spacing w:line="240" w:lineRule="auto"/>
            </w:pPr>
          </w:p>
          <w:p w14:paraId="5C520E9A" w14:textId="77777777" w:rsidR="005832F1" w:rsidRDefault="005832F1" w:rsidP="009A29B8">
            <w:pPr>
              <w:spacing w:line="240" w:lineRule="auto"/>
            </w:pPr>
            <w:r>
              <w:tab/>
              <w:t xml:space="preserve">Defendant and </w:t>
            </w:r>
            <w:r>
              <w:t>Respondent.</w:t>
            </w:r>
          </w:p>
          <w:p w14:paraId="530711DF" w14:textId="77777777" w:rsidR="005832F1" w:rsidRDefault="005832F1" w:rsidP="009A29B8">
            <w:pPr>
              <w:spacing w:line="240" w:lineRule="auto"/>
            </w:pPr>
          </w:p>
        </w:tc>
        <w:tc>
          <w:tcPr>
            <w:tcW w:w="4230" w:type="dxa"/>
            <w:tcBorders>
              <w:left w:val="single" w:sz="4" w:space="0" w:color="auto"/>
            </w:tcBorders>
            <w:shd w:val="clear" w:color="auto" w:fill="auto"/>
          </w:tcPr>
          <w:p w14:paraId="51456F61" w14:textId="77777777" w:rsidR="005832F1" w:rsidRDefault="005832F1" w:rsidP="009A29B8">
            <w:pPr>
              <w:spacing w:line="240" w:lineRule="auto"/>
            </w:pPr>
            <w:r>
              <w:t>B317726</w:t>
            </w:r>
          </w:p>
          <w:p w14:paraId="6FCEAE22" w14:textId="77777777" w:rsidR="005832F1" w:rsidRDefault="005832F1" w:rsidP="009A29B8">
            <w:pPr>
              <w:spacing w:line="240" w:lineRule="auto"/>
            </w:pPr>
          </w:p>
          <w:p w14:paraId="66FB3CA5" w14:textId="77777777" w:rsidR="005832F1" w:rsidRDefault="005832F1" w:rsidP="009A29B8">
            <w:pPr>
              <w:spacing w:line="240" w:lineRule="auto"/>
            </w:pPr>
            <w:r>
              <w:t>(Los Angeles County</w:t>
            </w:r>
          </w:p>
          <w:p w14:paraId="4F526E2B" w14:textId="77777777" w:rsidR="005832F1" w:rsidRDefault="005832F1" w:rsidP="009A29B8">
            <w:pPr>
              <w:spacing w:line="240" w:lineRule="auto"/>
            </w:pPr>
            <w:r>
              <w:t>Super. Ct. No. 20STCV44166)</w:t>
            </w:r>
          </w:p>
          <w:p w14:paraId="28593480" w14:textId="77777777" w:rsidR="005832F1" w:rsidRDefault="005832F1" w:rsidP="009A29B8">
            <w:pPr>
              <w:spacing w:line="240" w:lineRule="auto"/>
            </w:pPr>
          </w:p>
        </w:tc>
      </w:tr>
    </w:tbl>
    <w:p w14:paraId="08B18171" w14:textId="77777777" w:rsidR="005832F1" w:rsidRPr="009A29B8" w:rsidRDefault="005832F1" w:rsidP="009A29B8">
      <w:pPr>
        <w:spacing w:line="240" w:lineRule="auto"/>
      </w:pPr>
    </w:p>
    <w:p w14:paraId="1CBF7FD4" w14:textId="77777777" w:rsidR="005832F1" w:rsidRPr="00E0334B" w:rsidRDefault="005832F1" w:rsidP="009A29B8">
      <w:pPr>
        <w:ind w:firstLine="720"/>
        <w:rPr>
          <w:b/>
          <w:bCs/>
          <w:szCs w:val="26"/>
        </w:rPr>
      </w:pPr>
      <w:r>
        <w:rPr>
          <w:szCs w:val="26"/>
        </w:rPr>
        <w:t>APPEAL from a judgment of the Superior Court of Los</w:t>
      </w:r>
      <w:r>
        <w:rPr>
          <w:szCs w:val="26"/>
        </w:rPr>
        <w:t> </w:t>
      </w:r>
      <w:r>
        <w:rPr>
          <w:szCs w:val="26"/>
        </w:rPr>
        <w:t>Angeles County</w:t>
      </w:r>
      <w:r>
        <w:rPr>
          <w:szCs w:val="26"/>
        </w:rPr>
        <w:t>,</w:t>
      </w:r>
      <w:r>
        <w:rPr>
          <w:szCs w:val="26"/>
        </w:rPr>
        <w:t xml:space="preserve"> Yolanda Orozco, Judge.  </w:t>
      </w:r>
      <w:r>
        <w:rPr>
          <w:szCs w:val="26"/>
        </w:rPr>
        <w:t>Affirmed in part</w:t>
      </w:r>
      <w:r>
        <w:rPr>
          <w:szCs w:val="26"/>
        </w:rPr>
        <w:t>,</w:t>
      </w:r>
      <w:r>
        <w:rPr>
          <w:szCs w:val="26"/>
        </w:rPr>
        <w:t xml:space="preserve"> reversed in part, and remanded with directions.</w:t>
      </w:r>
    </w:p>
    <w:p w14:paraId="7997BAB2" w14:textId="77777777" w:rsidR="005832F1" w:rsidRPr="00484B3D" w:rsidRDefault="005832F1" w:rsidP="009A29B8">
      <w:pPr>
        <w:ind w:firstLine="720"/>
        <w:rPr>
          <w:szCs w:val="26"/>
        </w:rPr>
      </w:pPr>
      <w:r>
        <w:rPr>
          <w:szCs w:val="26"/>
        </w:rPr>
        <w:t xml:space="preserve">Shapero Law Firm and </w:t>
      </w:r>
      <w:r w:rsidRPr="00484B3D">
        <w:rPr>
          <w:szCs w:val="26"/>
        </w:rPr>
        <w:t>Sarah Shapero for</w:t>
      </w:r>
      <w:r w:rsidRPr="00484B3D">
        <w:rPr>
          <w:szCs w:val="26"/>
        </w:rPr>
        <w:t xml:space="preserve"> Plaintiff and Appellant.</w:t>
      </w:r>
    </w:p>
    <w:p w14:paraId="4CE23C95" w14:textId="77777777" w:rsidR="005832F1" w:rsidRPr="00484B3D" w:rsidRDefault="005832F1" w:rsidP="009A29B8">
      <w:pPr>
        <w:ind w:firstLine="720"/>
        <w:rPr>
          <w:szCs w:val="26"/>
        </w:rPr>
      </w:pPr>
      <w:proofErr w:type="spellStart"/>
      <w:r>
        <w:rPr>
          <w:szCs w:val="26"/>
        </w:rPr>
        <w:t>Lagerof</w:t>
      </w:r>
      <w:proofErr w:type="spellEnd"/>
      <w:r>
        <w:rPr>
          <w:szCs w:val="26"/>
        </w:rPr>
        <w:t xml:space="preserve"> and </w:t>
      </w:r>
      <w:r w:rsidRPr="00484B3D">
        <w:rPr>
          <w:szCs w:val="26"/>
        </w:rPr>
        <w:t xml:space="preserve">Jeremy E. Shulman </w:t>
      </w:r>
      <w:r w:rsidRPr="00484B3D">
        <w:rPr>
          <w:szCs w:val="26"/>
        </w:rPr>
        <w:t>for Defendant and Respondent.</w:t>
      </w:r>
    </w:p>
    <w:p w14:paraId="1E3AF061" w14:textId="77777777" w:rsidR="005832F1" w:rsidRDefault="005832F1" w:rsidP="00F53128">
      <w:pPr>
        <w:spacing w:after="240"/>
        <w:jc w:val="center"/>
      </w:pPr>
      <w:r>
        <w:rPr>
          <w:szCs w:val="26"/>
        </w:rPr>
        <w:t>________</w:t>
      </w:r>
      <w:r>
        <w:rPr>
          <w:szCs w:val="26"/>
        </w:rPr>
        <w:t>_______</w:t>
      </w:r>
      <w:r>
        <w:rPr>
          <w:szCs w:val="26"/>
        </w:rPr>
        <w:t>_________</w:t>
      </w:r>
    </w:p>
    <w:p w14:paraId="56248151" w14:textId="77777777" w:rsidR="005832F1" w:rsidRPr="00215021" w:rsidRDefault="005832F1" w:rsidP="00215021">
      <w:pPr>
        <w:keepNext/>
        <w:keepLines/>
        <w:jc w:val="center"/>
        <w:rPr>
          <w:rFonts w:eastAsia="Calibri" w:cs="Times New Roman"/>
          <w:b/>
          <w:bCs/>
          <w:szCs w:val="26"/>
        </w:rPr>
      </w:pPr>
      <w:r w:rsidRPr="00215021">
        <w:rPr>
          <w:rFonts w:eastAsia="Calibri" w:cs="Times New Roman"/>
          <w:b/>
          <w:bCs/>
          <w:szCs w:val="26"/>
        </w:rPr>
        <w:lastRenderedPageBreak/>
        <w:t>INTRODUCTION</w:t>
      </w:r>
    </w:p>
    <w:p w14:paraId="5181F696" w14:textId="77777777" w:rsidR="005832F1" w:rsidRPr="00215021" w:rsidRDefault="005832F1" w:rsidP="00215021">
      <w:pPr>
        <w:keepNext/>
        <w:keepLines/>
        <w:jc w:val="center"/>
        <w:rPr>
          <w:rFonts w:eastAsia="Calibri" w:cs="Times New Roman"/>
          <w:b/>
          <w:bCs/>
          <w:szCs w:val="26"/>
        </w:rPr>
      </w:pPr>
    </w:p>
    <w:p w14:paraId="01DDC37E" w14:textId="77777777" w:rsidR="005832F1" w:rsidRDefault="005832F1" w:rsidP="005E458F">
      <w:pPr>
        <w:ind w:firstLine="720"/>
      </w:pPr>
      <w:r w:rsidRPr="005E458F">
        <w:t xml:space="preserve">This case involves the trial court’s </w:t>
      </w:r>
      <w:r w:rsidRPr="005E458F">
        <w:t>application of judicial estoppel to an individual homeowner on demurrer.  We conclude the trial court erred by not giving the homeowner leave to allege facts that her failure to disclose the present lawsuit in a prior bankruptcy was the product of mistake or inadvertence.</w:t>
      </w:r>
      <w:r>
        <w:t xml:space="preserve">  </w:t>
      </w:r>
      <w:r>
        <w:t xml:space="preserve">In 2017 </w:t>
      </w:r>
      <w:proofErr w:type="spellStart"/>
      <w:r>
        <w:t>Kumchai</w:t>
      </w:r>
      <w:proofErr w:type="spellEnd"/>
      <w:r>
        <w:t xml:space="preserve"> Kim Miyahara </w:t>
      </w:r>
      <w:r>
        <w:t xml:space="preserve">(Miyahara) </w:t>
      </w:r>
      <w:r>
        <w:t xml:space="preserve">was </w:t>
      </w:r>
      <w:r>
        <w:t>experiencing financial</w:t>
      </w:r>
      <w:r>
        <w:t xml:space="preserve"> difficulty and </w:t>
      </w:r>
      <w:r>
        <w:t>sought</w:t>
      </w:r>
      <w:r>
        <w:t xml:space="preserve"> to refinance her </w:t>
      </w:r>
      <w:r>
        <w:t>home</w:t>
      </w:r>
      <w:r>
        <w:t xml:space="preserve">.  </w:t>
      </w:r>
      <w:r>
        <w:t xml:space="preserve">While in the process of obtaining a </w:t>
      </w:r>
      <w:r>
        <w:t xml:space="preserve">refinance </w:t>
      </w:r>
      <w:r>
        <w:t>loan</w:t>
      </w:r>
      <w:r>
        <w:t xml:space="preserve"> that would have enabled her to keep her home</w:t>
      </w:r>
      <w:r>
        <w:t>, Miyahara discovered a fraudu</w:t>
      </w:r>
      <w:r>
        <w:t xml:space="preserve">lent </w:t>
      </w:r>
      <w:proofErr w:type="gramStart"/>
      <w:r>
        <w:t>lien</w:t>
      </w:r>
      <w:proofErr w:type="gramEnd"/>
      <w:r>
        <w:t xml:space="preserve"> had been placed on </w:t>
      </w:r>
      <w:r>
        <w:t xml:space="preserve">her </w:t>
      </w:r>
      <w:r>
        <w:t>property</w:t>
      </w:r>
      <w:r>
        <w:t xml:space="preserve"> by West H&amp;A LLC</w:t>
      </w:r>
      <w:r>
        <w:t xml:space="preserve">.  </w:t>
      </w:r>
      <w:r>
        <w:t xml:space="preserve">The fraudulent </w:t>
      </w:r>
      <w:proofErr w:type="gramStart"/>
      <w:r>
        <w:t>lien</w:t>
      </w:r>
      <w:proofErr w:type="gramEnd"/>
      <w:r>
        <w:t xml:space="preserve"> prevented her from obtaining the loan.</w:t>
      </w:r>
    </w:p>
    <w:p w14:paraId="33A17AF0" w14:textId="77777777" w:rsidR="005832F1" w:rsidRDefault="005832F1" w:rsidP="00323C87">
      <w:pPr>
        <w:ind w:firstLine="720"/>
      </w:pPr>
      <w:r>
        <w:t xml:space="preserve">Miyahara sought </w:t>
      </w:r>
      <w:r>
        <w:t xml:space="preserve">the assistance of her lender, </w:t>
      </w:r>
      <w:r>
        <w:t>Wells Fargo</w:t>
      </w:r>
      <w:r>
        <w:t xml:space="preserve"> Bank</w:t>
      </w:r>
      <w:r>
        <w:t>,</w:t>
      </w:r>
      <w:r>
        <w:t xml:space="preserve"> N.A. (Wells Fargo)</w:t>
      </w:r>
      <w:r>
        <w:t xml:space="preserve">, </w:t>
      </w:r>
      <w:r>
        <w:t>in clearing title</w:t>
      </w:r>
      <w:r>
        <w:t xml:space="preserve"> but was unsuccessful.</w:t>
      </w:r>
      <w:r>
        <w:t xml:space="preserve">  </w:t>
      </w:r>
      <w:r>
        <w:t xml:space="preserve">Wells Fargo </w:t>
      </w:r>
      <w:r>
        <w:t xml:space="preserve">then </w:t>
      </w:r>
      <w:r>
        <w:t xml:space="preserve">filed a notice of default.  </w:t>
      </w:r>
      <w:r>
        <w:t xml:space="preserve">Miyahara </w:t>
      </w:r>
      <w:r>
        <w:t xml:space="preserve">subsequently </w:t>
      </w:r>
      <w:r>
        <w:t>filed for</w:t>
      </w:r>
      <w:r>
        <w:t xml:space="preserve"> </w:t>
      </w:r>
      <w:r>
        <w:t>chapter</w:t>
      </w:r>
      <w:r>
        <w:t xml:space="preserve"> 13</w:t>
      </w:r>
      <w:r>
        <w:t xml:space="preserve"> bankruptcy in 2017.  </w:t>
      </w:r>
      <w:r>
        <w:t xml:space="preserve">The bankruptcy court confirmed </w:t>
      </w:r>
      <w:r>
        <w:t>her</w:t>
      </w:r>
      <w:r>
        <w:t xml:space="preserve"> </w:t>
      </w:r>
      <w:r>
        <w:t>bankruptcy</w:t>
      </w:r>
      <w:r>
        <w:t xml:space="preserve"> plan</w:t>
      </w:r>
      <w:r>
        <w:t xml:space="preserve"> in 2018</w:t>
      </w:r>
      <w:r>
        <w:t xml:space="preserve"> but dismissed </w:t>
      </w:r>
      <w:r>
        <w:t xml:space="preserve">her case </w:t>
      </w:r>
      <w:r>
        <w:t xml:space="preserve">in 2019 after Miyahara </w:t>
      </w:r>
      <w:r>
        <w:t>failed to make payments under the plan</w:t>
      </w:r>
      <w:r>
        <w:t>.</w:t>
      </w:r>
    </w:p>
    <w:p w14:paraId="54F60B93" w14:textId="77777777" w:rsidR="005832F1" w:rsidRDefault="005832F1" w:rsidP="00323C87">
      <w:pPr>
        <w:ind w:firstLine="720"/>
        <w:rPr>
          <w:b/>
          <w:bCs/>
        </w:rPr>
      </w:pPr>
      <w:r>
        <w:t>In 2020</w:t>
      </w:r>
      <w:r>
        <w:t xml:space="preserve"> </w:t>
      </w:r>
      <w:r>
        <w:t xml:space="preserve">Miyahara </w:t>
      </w:r>
      <w:r>
        <w:t>filed</w:t>
      </w:r>
      <w:r>
        <w:t xml:space="preserve"> this action</w:t>
      </w:r>
      <w:r>
        <w:t xml:space="preserve"> claiming that the actions of Wells Fargo prevented her from securing an interest rate comparable to one she would have received prior to filing for bankruptcy</w:t>
      </w:r>
      <w:r>
        <w:t xml:space="preserve">.  </w:t>
      </w:r>
      <w:r>
        <w:t>Wells Fargo demurred</w:t>
      </w:r>
      <w:r>
        <w:t xml:space="preserve">, </w:t>
      </w:r>
      <w:r>
        <w:t xml:space="preserve">arguing Miyahara’s </w:t>
      </w:r>
      <w:r>
        <w:t>complaint was barred by judicial estoppel</w:t>
      </w:r>
      <w:r>
        <w:t xml:space="preserve"> because Miyahara failed to list any claim against Wells Fargo in her bankruptcy schedule</w:t>
      </w:r>
      <w:r>
        <w:t xml:space="preserve">.  After </w:t>
      </w:r>
      <w:r>
        <w:t>Wells Fargo filed its</w:t>
      </w:r>
      <w:r>
        <w:t xml:space="preserve"> demurrer, Miyahara amended her bankruptcy schedule</w:t>
      </w:r>
      <w:r>
        <w:t xml:space="preserve"> </w:t>
      </w:r>
      <w:r>
        <w:t xml:space="preserve">to include </w:t>
      </w:r>
      <w:r>
        <w:t>her</w:t>
      </w:r>
      <w:r>
        <w:t xml:space="preserve"> claim against Wells Fargo.  </w:t>
      </w:r>
      <w:r>
        <w:t>T</w:t>
      </w:r>
      <w:r>
        <w:t>he trial court sustained th</w:t>
      </w:r>
      <w:r>
        <w:t xml:space="preserve">e demurrer without </w:t>
      </w:r>
      <w:r>
        <w:lastRenderedPageBreak/>
        <w:t>leave to amend</w:t>
      </w:r>
      <w:r>
        <w:t xml:space="preserve">, </w:t>
      </w:r>
      <w:r>
        <w:t xml:space="preserve">agreeing with Wells Fargo that </w:t>
      </w:r>
      <w:r>
        <w:t xml:space="preserve">her </w:t>
      </w:r>
      <w:r>
        <w:t xml:space="preserve">lawsuit was barred by </w:t>
      </w:r>
      <w:r>
        <w:t>judicial estoppel.</w:t>
      </w:r>
    </w:p>
    <w:p w14:paraId="7E26F4B1" w14:textId="77777777" w:rsidR="005832F1" w:rsidRDefault="005832F1" w:rsidP="009A29B8">
      <w:pPr>
        <w:ind w:firstLine="720"/>
      </w:pPr>
      <w:r w:rsidRPr="00A00AF1">
        <w:t>Miyahara</w:t>
      </w:r>
      <w:r w:rsidRPr="00A00AF1">
        <w:t xml:space="preserve"> argue</w:t>
      </w:r>
      <w:r w:rsidRPr="00A00AF1">
        <w:t>s</w:t>
      </w:r>
      <w:r w:rsidRPr="00A00AF1">
        <w:t xml:space="preserve"> the trial court erred in </w:t>
      </w:r>
      <w:r>
        <w:t>ruling her</w:t>
      </w:r>
      <w:r w:rsidRPr="00A00AF1">
        <w:t xml:space="preserve"> complaint was barred by judicial estoppel</w:t>
      </w:r>
      <w:r w:rsidRPr="00A00AF1">
        <w:t>.</w:t>
      </w:r>
      <w:r w:rsidRPr="009A29B8">
        <w:rPr>
          <w:b/>
          <w:bCs/>
        </w:rPr>
        <w:t xml:space="preserve">  </w:t>
      </w:r>
      <w:r w:rsidRPr="00ED6FC8">
        <w:rPr>
          <w:bCs/>
        </w:rPr>
        <w:t>Although we conclude Miyahara took inconsistent positions and that the bankrup</w:t>
      </w:r>
      <w:r w:rsidRPr="00ED6FC8">
        <w:rPr>
          <w:bCs/>
        </w:rPr>
        <w:t>tcy court accepted her original position, the trial court erred in concluding on demurrer that</w:t>
      </w:r>
      <w:r>
        <w:rPr>
          <w:bCs/>
        </w:rPr>
        <w:t>, as a matter of law,</w:t>
      </w:r>
      <w:r w:rsidRPr="00ED6FC8">
        <w:rPr>
          <w:bCs/>
        </w:rPr>
        <w:t xml:space="preserve"> her </w:t>
      </w:r>
      <w:r>
        <w:rPr>
          <w:bCs/>
        </w:rPr>
        <w:t xml:space="preserve">failure to disclose was not the product of </w:t>
      </w:r>
      <w:r>
        <w:t>mistake or inadvertence.</w:t>
      </w:r>
      <w:r>
        <w:t xml:space="preserve">  Miyahara is entitled to leave to amend to allege such facts.</w:t>
      </w:r>
      <w:r>
        <w:t xml:space="preserve">  </w:t>
      </w:r>
      <w:r>
        <w:t xml:space="preserve">Although not considered </w:t>
      </w:r>
      <w:r>
        <w:t>by the trial court</w:t>
      </w:r>
      <w:r>
        <w:t xml:space="preserve">, we also </w:t>
      </w:r>
      <w:r>
        <w:t xml:space="preserve">conclude </w:t>
      </w:r>
      <w:r>
        <w:t>the demurrer should be sustained f</w:t>
      </w:r>
      <w:r>
        <w:t>or the alternative reason that Miyahara’s causes of action fail to state a claim.  We determine that Miyahara’s causes of action for breach of the covenant of good faith and fair dealing</w:t>
      </w:r>
      <w:r>
        <w:t xml:space="preserve"> (first cause of action)</w:t>
      </w:r>
      <w:r>
        <w:t xml:space="preserve">, and </w:t>
      </w:r>
      <w:r>
        <w:t xml:space="preserve">for </w:t>
      </w:r>
      <w:r>
        <w:t xml:space="preserve">violations of </w:t>
      </w:r>
      <w:r>
        <w:t>the Rosenthal Act</w:t>
      </w:r>
      <w:r>
        <w:t xml:space="preserve">, Civil Code section 1788.17 </w:t>
      </w:r>
      <w:r>
        <w:t>(second cause of action)</w:t>
      </w:r>
      <w:r>
        <w:t>, Business and Professions Code section</w:t>
      </w:r>
      <w:r>
        <w:t> </w:t>
      </w:r>
      <w:r>
        <w:t>17200</w:t>
      </w:r>
      <w:r>
        <w:t xml:space="preserve"> (third cause of action)</w:t>
      </w:r>
      <w:r>
        <w:t xml:space="preserve">, and </w:t>
      </w:r>
      <w:r>
        <w:t>the Homeowner Bill of Rights</w:t>
      </w:r>
      <w:r>
        <w:t>, Civil Code section 2924.17</w:t>
      </w:r>
      <w:r>
        <w:t xml:space="preserve"> (fourth cause of action) fail to state a claim,</w:t>
      </w:r>
      <w:r>
        <w:t xml:space="preserve"> but that she should be granted leave to amend </w:t>
      </w:r>
      <w:r>
        <w:t xml:space="preserve">except </w:t>
      </w:r>
      <w:r>
        <w:t>a</w:t>
      </w:r>
      <w:r>
        <w:t>s</w:t>
      </w:r>
      <w:r>
        <w:t xml:space="preserve"> to </w:t>
      </w:r>
      <w:r>
        <w:t>the fourth cause of action</w:t>
      </w:r>
      <w:r>
        <w:t>.</w:t>
      </w:r>
    </w:p>
    <w:p w14:paraId="378638E4" w14:textId="77777777" w:rsidR="005832F1" w:rsidRPr="00E307A1" w:rsidRDefault="005832F1" w:rsidP="00947614">
      <w:pPr>
        <w:ind w:firstLine="720"/>
        <w:rPr>
          <w:b/>
          <w:bCs/>
          <w:u w:val="single"/>
        </w:rPr>
      </w:pPr>
      <w:r w:rsidRPr="00947614">
        <w:t xml:space="preserve">Accordingly, we </w:t>
      </w:r>
      <w:r w:rsidRPr="00947614">
        <w:t xml:space="preserve">reverse the judgment and </w:t>
      </w:r>
      <w:r w:rsidRPr="00947614">
        <w:t xml:space="preserve">affirm </w:t>
      </w:r>
      <w:r w:rsidRPr="00947614">
        <w:t>in part and reverse in part the order sustaining the demurrer</w:t>
      </w:r>
      <w:r>
        <w:t xml:space="preserve"> with directions to the trial court to allow Miyahara </w:t>
      </w:r>
      <w:proofErr w:type="gramStart"/>
      <w:r>
        <w:t>leave</w:t>
      </w:r>
      <w:proofErr w:type="gramEnd"/>
      <w:r>
        <w:t xml:space="preserve"> to amend as </w:t>
      </w:r>
      <w:r>
        <w:t>outlined</w:t>
      </w:r>
      <w:r>
        <w:t xml:space="preserve"> above.</w:t>
      </w:r>
    </w:p>
    <w:p w14:paraId="33414FC8" w14:textId="77777777" w:rsidR="005832F1" w:rsidRDefault="005832F1" w:rsidP="00D1501B">
      <w:pPr>
        <w:ind w:firstLine="720"/>
      </w:pPr>
    </w:p>
    <w:p w14:paraId="6B9E7409" w14:textId="77777777" w:rsidR="005832F1" w:rsidRPr="009858ED" w:rsidRDefault="005832F1" w:rsidP="00D1501B">
      <w:pPr>
        <w:jc w:val="center"/>
        <w:rPr>
          <w:b/>
          <w:bCs/>
        </w:rPr>
      </w:pPr>
      <w:r w:rsidRPr="009858ED">
        <w:rPr>
          <w:b/>
          <w:bCs/>
        </w:rPr>
        <w:t>FACTUAL AND PROCEDURAL BACKGROUND</w:t>
      </w:r>
    </w:p>
    <w:p w14:paraId="38D668F1" w14:textId="77777777" w:rsidR="005832F1" w:rsidRDefault="005832F1" w:rsidP="00D1501B">
      <w:pPr>
        <w:jc w:val="center"/>
      </w:pPr>
    </w:p>
    <w:p w14:paraId="1484C024" w14:textId="77777777" w:rsidR="005832F1" w:rsidRPr="00E616C1" w:rsidRDefault="005832F1" w:rsidP="00C454EA">
      <w:pPr>
        <w:rPr>
          <w:i/>
          <w:iCs/>
        </w:rPr>
      </w:pPr>
      <w:r w:rsidRPr="00C454EA">
        <w:t>A</w:t>
      </w:r>
      <w:r>
        <w:t>.</w:t>
      </w:r>
      <w:r>
        <w:tab/>
      </w:r>
      <w:r>
        <w:rPr>
          <w:i/>
        </w:rPr>
        <w:t xml:space="preserve">Miyahara Files </w:t>
      </w:r>
      <w:r>
        <w:rPr>
          <w:i/>
        </w:rPr>
        <w:t>t</w:t>
      </w:r>
      <w:r>
        <w:rPr>
          <w:i/>
        </w:rPr>
        <w:t>his Action</w:t>
      </w:r>
    </w:p>
    <w:p w14:paraId="43CBEFB5" w14:textId="77777777" w:rsidR="005832F1" w:rsidRDefault="005832F1" w:rsidP="00D1501B">
      <w:pPr>
        <w:ind w:firstLine="720"/>
      </w:pPr>
      <w:r>
        <w:t xml:space="preserve">According to the allegations in the complaint, Miyahara </w:t>
      </w:r>
      <w:r>
        <w:t>purchased</w:t>
      </w:r>
      <w:r>
        <w:t xml:space="preserve"> real property located on Hercules Drive in Los Angeles</w:t>
      </w:r>
      <w:r>
        <w:t xml:space="preserve"> </w:t>
      </w:r>
      <w:r>
        <w:lastRenderedPageBreak/>
        <w:t>in June 1988</w:t>
      </w:r>
      <w:r>
        <w:t xml:space="preserve">.  </w:t>
      </w:r>
      <w:r>
        <w:t xml:space="preserve">At the time of the purchase, Miyahara “obtained a loan from World Savings Bank, FSB in the amount of $740,000. </w:t>
      </w:r>
      <w:r>
        <w:t xml:space="preserve"> </w:t>
      </w:r>
      <w:r>
        <w:t>In March 2006, [Miyahara] obtained a</w:t>
      </w:r>
      <w:r>
        <w:t xml:space="preserve"> [refinance]</w:t>
      </w:r>
      <w:r>
        <w:t xml:space="preserve"> loan for the </w:t>
      </w:r>
      <w:r>
        <w:t>P</w:t>
      </w:r>
      <w:r>
        <w:t>roperty from World Savings Bank in the amount of $920,000.”</w:t>
      </w:r>
      <w:r>
        <w:rPr>
          <w:rStyle w:val="FootnoteReference"/>
        </w:rPr>
        <w:footnoteReference w:id="2"/>
      </w:r>
    </w:p>
    <w:p w14:paraId="01B7C94D" w14:textId="77777777" w:rsidR="005832F1" w:rsidRDefault="005832F1" w:rsidP="00D1501B">
      <w:pPr>
        <w:ind w:firstLine="720"/>
      </w:pPr>
      <w:r>
        <w:t>In 2013</w:t>
      </w:r>
      <w:r>
        <w:t xml:space="preserve"> and </w:t>
      </w:r>
      <w:r>
        <w:t xml:space="preserve">2014 Miyahara became estranged from her </w:t>
      </w:r>
      <w:r>
        <w:t>husband</w:t>
      </w:r>
      <w:r>
        <w:t xml:space="preserve"> “and he stopped supporting her.”  Following the estrangement, “Plaintiff called Wells Fargo to request a loan modification</w:t>
      </w:r>
      <w:r>
        <w:t xml:space="preserve"> [and] Wells Fargo told [her] to work with the U.S. Department of Housing and Urban Development.”  </w:t>
      </w:r>
      <w:r>
        <w:t>Although Miyah</w:t>
      </w:r>
      <w:r>
        <w:t>a</w:t>
      </w:r>
      <w:r>
        <w:t>ra worked with the Department of Housing and Urban Development (HUD)</w:t>
      </w:r>
      <w:r>
        <w:t xml:space="preserve"> </w:t>
      </w:r>
      <w:r>
        <w:t>“and other family members to secure a loan modification</w:t>
      </w:r>
      <w:r>
        <w:t xml:space="preserve">, . . . </w:t>
      </w:r>
      <w:r>
        <w:t xml:space="preserve">her loan modification application was ultimately declined.” </w:t>
      </w:r>
      <w:r>
        <w:t xml:space="preserve"> </w:t>
      </w:r>
      <w:r>
        <w:t>According to “[a] letter from HUD . . . the property was valued by an outside appr</w:t>
      </w:r>
      <w:r>
        <w:t>aisal at $2.5</w:t>
      </w:r>
      <w:r>
        <w:t> </w:t>
      </w:r>
      <w:r>
        <w:t xml:space="preserve">million, a loan modification was not in </w:t>
      </w:r>
      <w:r>
        <w:t>D</w:t>
      </w:r>
      <w:r>
        <w:t xml:space="preserve">efendant’s interest, and </w:t>
      </w:r>
      <w:r>
        <w:t>D</w:t>
      </w:r>
      <w:r>
        <w:t>efendant wanted to foreclose.”</w:t>
      </w:r>
      <w:r>
        <w:t xml:space="preserve"> </w:t>
      </w:r>
      <w:r>
        <w:t xml:space="preserve"> Miyahara “pawned all of her personal belongings to pay the outstanding balance of arrears to avoid foreclosure.”</w:t>
      </w:r>
    </w:p>
    <w:p w14:paraId="02B23A96" w14:textId="77777777" w:rsidR="005832F1" w:rsidRDefault="005832F1" w:rsidP="00D1501B">
      <w:pPr>
        <w:ind w:firstLine="720"/>
      </w:pPr>
      <w:r>
        <w:t xml:space="preserve">In </w:t>
      </w:r>
      <w:r>
        <w:t xml:space="preserve">November </w:t>
      </w:r>
      <w:r>
        <w:t xml:space="preserve">2016 Miyahara “again faced financial hardship and had trouble making her loan payments.”  </w:t>
      </w:r>
      <w:r>
        <w:t xml:space="preserve">Miyahara again contacted Wells Fargo </w:t>
      </w:r>
      <w:r>
        <w:t>“</w:t>
      </w:r>
      <w:r>
        <w:t>to request a loan modification [and] was told by Wells Fargo that they would help her, and to simultaneously explore other options for refinancing</w:t>
      </w:r>
      <w:r>
        <w:t xml:space="preserve">. </w:t>
      </w:r>
      <w:r>
        <w:t xml:space="preserve"> </w:t>
      </w:r>
      <w:r>
        <w:t>Plaintiff</w:t>
      </w:r>
      <w:r>
        <w:t xml:space="preserve"> </w:t>
      </w:r>
      <w:r>
        <w:lastRenderedPageBreak/>
        <w:t>enlisted the services of Fritz Hoffman of South Bay Equity Lending</w:t>
      </w:r>
      <w:r>
        <w:t>, who was able to secure Plaintiff another loan</w:t>
      </w:r>
      <w:r>
        <w:t>.</w:t>
      </w:r>
      <w:r>
        <w:t>”</w:t>
      </w:r>
    </w:p>
    <w:p w14:paraId="0A7E3509" w14:textId="77777777" w:rsidR="005832F1" w:rsidRDefault="005832F1" w:rsidP="00D1501B">
      <w:pPr>
        <w:ind w:firstLine="720"/>
      </w:pPr>
      <w:r>
        <w:t>On April 5, 2017</w:t>
      </w:r>
      <w:r>
        <w:t xml:space="preserve"> “during the time that [Miyahara’s] refinance was in process,</w:t>
      </w:r>
      <w:r>
        <w:t xml:space="preserve"> a </w:t>
      </w:r>
      <w:r>
        <w:t>N</w:t>
      </w:r>
      <w:r>
        <w:t xml:space="preserve">otice of </w:t>
      </w:r>
      <w:r>
        <w:t>D</w:t>
      </w:r>
      <w:r>
        <w:t>efault was recorded by Wells Fargo.</w:t>
      </w:r>
      <w:r>
        <w:t>”</w:t>
      </w:r>
      <w:r>
        <w:rPr>
          <w:rStyle w:val="FootnoteReference"/>
          <w:sz w:val="24"/>
          <w:szCs w:val="24"/>
        </w:rPr>
        <w:footnoteReference w:id="3"/>
      </w:r>
      <w:r w:rsidRPr="00F944A2">
        <w:rPr>
          <w:sz w:val="24"/>
          <w:szCs w:val="24"/>
        </w:rPr>
        <w:t xml:space="preserve"> </w:t>
      </w:r>
      <w:r>
        <w:t xml:space="preserve"> </w:t>
      </w:r>
      <w:r>
        <w:t xml:space="preserve">In June 2017 the loan secured by Hoffman went into escrow </w:t>
      </w:r>
      <w:r>
        <w:t xml:space="preserve">and “[a]t or around that time, Plaintiff </w:t>
      </w:r>
      <w:r>
        <w:t xml:space="preserve">first learned of a $920,000 lien on the property from West H&amp;A LLC.”  </w:t>
      </w:r>
      <w:r w:rsidRPr="00113E45">
        <w:rPr>
          <w:szCs w:val="26"/>
        </w:rPr>
        <w:t>The assignment of deed of trust purported to assign the deed from Wells Fargo to West H&amp;A LLC.</w:t>
      </w:r>
      <w:r>
        <w:rPr>
          <w:rStyle w:val="FootnoteReference"/>
        </w:rPr>
        <w:footnoteReference w:id="4"/>
      </w:r>
      <w:r w:rsidRPr="00113E45">
        <w:rPr>
          <w:szCs w:val="26"/>
        </w:rPr>
        <w:t xml:space="preserve"> </w:t>
      </w:r>
      <w:r>
        <w:rPr>
          <w:szCs w:val="26"/>
        </w:rPr>
        <w:t xml:space="preserve"> </w:t>
      </w:r>
      <w:r>
        <w:t>The discovery of the lien</w:t>
      </w:r>
      <w:r>
        <w:t xml:space="preserve"> “halted</w:t>
      </w:r>
      <w:r>
        <w:t> </w:t>
      </w:r>
      <w:r>
        <w:t>.</w:t>
      </w:r>
      <w:r>
        <w:t> </w:t>
      </w:r>
      <w:r>
        <w:t>.</w:t>
      </w:r>
      <w:r>
        <w:t> </w:t>
      </w:r>
      <w:r>
        <w:t>. refinance</w:t>
      </w:r>
      <w:r>
        <w:t>.</w:t>
      </w:r>
      <w:r>
        <w:t>”</w:t>
      </w:r>
    </w:p>
    <w:p w14:paraId="26C548A6" w14:textId="77777777" w:rsidR="005832F1" w:rsidRDefault="005832F1" w:rsidP="00D1501B">
      <w:pPr>
        <w:ind w:firstLine="720"/>
      </w:pPr>
      <w:r>
        <w:t xml:space="preserve">Upon learning of the </w:t>
      </w:r>
      <w:proofErr w:type="gramStart"/>
      <w:r>
        <w:t>lien</w:t>
      </w:r>
      <w:proofErr w:type="gramEnd"/>
      <w:r>
        <w:t xml:space="preserve">, Miyahara sought assistance from Wells Fargo to clear title so she could refinance the property.  </w:t>
      </w:r>
      <w:r>
        <w:t>But</w:t>
      </w:r>
      <w:r>
        <w:t xml:space="preserve"> “conversations with Wells Fargo representatives did not result in any assistance with the lien.”  On July 26 Hoffman contacted Wells Fargo on behalf of Miyahara. </w:t>
      </w:r>
      <w:r>
        <w:t xml:space="preserve"> </w:t>
      </w:r>
      <w:r>
        <w:t xml:space="preserve">Wells Fargo informed </w:t>
      </w:r>
      <w:r>
        <w:t xml:space="preserve">Hoffman </w:t>
      </w:r>
      <w:r>
        <w:t>“</w:t>
      </w:r>
      <w:r>
        <w:t xml:space="preserve">the assignment should be viewed as invalid” </w:t>
      </w:r>
      <w:r>
        <w:t>and</w:t>
      </w:r>
      <w:r>
        <w:t xml:space="preserve"> </w:t>
      </w:r>
      <w:r>
        <w:t>“</w:t>
      </w:r>
      <w:r>
        <w:t>there was nothing more they could do.</w:t>
      </w:r>
      <w:r>
        <w:t>”</w:t>
      </w:r>
      <w:r>
        <w:t xml:space="preserve">  </w:t>
      </w:r>
      <w:r>
        <w:t>Although “Wells Fargo understood that the invalid lien . . . would interfere with [Miyahara’s] ability to refinance her mor</w:t>
      </w:r>
      <w:r>
        <w:t>tgage . . . [Wells Fargo] continued with foreclosure proceedings.”</w:t>
      </w:r>
    </w:p>
    <w:p w14:paraId="7980C4DD" w14:textId="77777777" w:rsidR="005832F1" w:rsidRDefault="005832F1" w:rsidP="00D1501B">
      <w:pPr>
        <w:ind w:firstLine="720"/>
      </w:pPr>
      <w:r>
        <w:t xml:space="preserve">On August 2 Miyahara hired attorney Robert E. Opera </w:t>
      </w:r>
      <w:r>
        <w:t>“</w:t>
      </w:r>
      <w:r>
        <w:t xml:space="preserve">to </w:t>
      </w:r>
      <w:r>
        <w:t xml:space="preserve">speak to Wells Fargo on her behalf to </w:t>
      </w:r>
      <w:r>
        <w:t>resolve the invalid mortgage assignment.</w:t>
      </w:r>
      <w:r>
        <w:t>”</w:t>
      </w:r>
      <w:r>
        <w:t xml:space="preserve">  </w:t>
      </w:r>
      <w:r>
        <w:t>Since</w:t>
      </w:r>
      <w:r>
        <w:t xml:space="preserve"> the foreclosure sale was set for September 20, </w:t>
      </w:r>
      <w:r>
        <w:t xml:space="preserve">however, </w:t>
      </w:r>
      <w:r>
        <w:t xml:space="preserve">Miyahara </w:t>
      </w:r>
      <w:r>
        <w:t>“was forced to hire”</w:t>
      </w:r>
      <w:r>
        <w:t xml:space="preserve"> a </w:t>
      </w:r>
      <w:r>
        <w:lastRenderedPageBreak/>
        <w:t>bankruptcy attorney</w:t>
      </w:r>
      <w:r>
        <w:t xml:space="preserve"> to file </w:t>
      </w:r>
      <w:r>
        <w:t xml:space="preserve">a </w:t>
      </w:r>
      <w:r>
        <w:t>c</w:t>
      </w:r>
      <w:r>
        <w:t>hapter 13 bankruptcy petition on her behalf</w:t>
      </w:r>
      <w:r>
        <w:t xml:space="preserve"> in order “to stay the foreclosure on the property</w:t>
      </w:r>
      <w:r>
        <w:t>.</w:t>
      </w:r>
      <w:r>
        <w:t>”</w:t>
      </w:r>
      <w:r>
        <w:t xml:space="preserve">  </w:t>
      </w:r>
      <w:r>
        <w:t xml:space="preserve">Miyahara filed </w:t>
      </w:r>
      <w:r>
        <w:t>her</w:t>
      </w:r>
      <w:r>
        <w:t xml:space="preserve"> bankruptcy petition on September 19.</w:t>
      </w:r>
    </w:p>
    <w:p w14:paraId="5C0D41A1" w14:textId="77777777" w:rsidR="005832F1" w:rsidRDefault="005832F1" w:rsidP="0008798D">
      <w:pPr>
        <w:ind w:firstLine="720"/>
      </w:pPr>
      <w:r>
        <w:t xml:space="preserve">In June 2018, while her bankruptcy was pending, Wells Fargo’s mortgage fraud division contacted Miyahara to inform her a fraudulent </w:t>
      </w:r>
      <w:proofErr w:type="gramStart"/>
      <w:r>
        <w:t>lien</w:t>
      </w:r>
      <w:proofErr w:type="gramEnd"/>
      <w:r>
        <w:t xml:space="preserve"> was found on her account</w:t>
      </w:r>
      <w:r>
        <w:t>,</w:t>
      </w:r>
      <w:r>
        <w:t xml:space="preserve"> and she should contact the police.  </w:t>
      </w:r>
      <w:r>
        <w:t>In late 2018 Miyahara’s bankruptcy attorney “received a letter from Wells Fargo stating that they were taking West H&amp;A to court</w:t>
      </w:r>
      <w:r>
        <w:t xml:space="preserve">.” </w:t>
      </w:r>
      <w:r>
        <w:t xml:space="preserve"> </w:t>
      </w:r>
      <w:r>
        <w:t xml:space="preserve">The </w:t>
      </w:r>
      <w:r>
        <w:t xml:space="preserve">bankruptcy </w:t>
      </w:r>
      <w:r>
        <w:t>attorney later</w:t>
      </w:r>
      <w:r>
        <w:t xml:space="preserve"> “received a second letter from Wells Fargo</w:t>
      </w:r>
      <w:r>
        <w:t>,</w:t>
      </w:r>
      <w:r>
        <w:t xml:space="preserve"> indicating that they won their case against West H&amp;A”</w:t>
      </w:r>
      <w:r>
        <w:t xml:space="preserve"> making Wells Fargo once again the first lienholder on Miyahara’s property.</w:t>
      </w:r>
    </w:p>
    <w:p w14:paraId="039B9456" w14:textId="77777777" w:rsidR="005832F1" w:rsidRDefault="005832F1" w:rsidP="00D1501B">
      <w:pPr>
        <w:ind w:firstLine="720"/>
      </w:pPr>
      <w:r>
        <w:t>The judicially</w:t>
      </w:r>
      <w:r>
        <w:t xml:space="preserve"> noticeable facts before the trial court provide additional context.  In </w:t>
      </w:r>
      <w:r w:rsidRPr="0088714D">
        <w:t xml:space="preserve">August 2018 Wells Fargo filed a motion for relief from the automatic bankruptcy stay “so that title can be cleared to the subject property in the name of Ms. Miyahara and that Wells Fargo Bank, N.A. be named first lienholder on the property via Quiet Title, Declaratory Judgment and Cancellation of Instrument action in California state court.” </w:t>
      </w:r>
      <w:r>
        <w:t xml:space="preserve"> </w:t>
      </w:r>
      <w:r w:rsidRPr="0088714D">
        <w:t>According to the motion</w:t>
      </w:r>
      <w:r>
        <w:t xml:space="preserve"> for relief</w:t>
      </w:r>
      <w:r w:rsidRPr="0088714D">
        <w:t xml:space="preserve">, the lien filed by West H&amp;A LLC “has been one of many fraudulent assignments in various locations across the United States as part </w:t>
      </w:r>
      <w:r w:rsidRPr="0088714D">
        <w:t>of a conspiracy and scheme to collect mortgage payments from homeowners and to defraud and confuse lenders such as Wells Fargo Bank</w:t>
      </w:r>
      <w:r>
        <w:t xml:space="preserve"> N.A</w:t>
      </w:r>
      <w:r w:rsidRPr="0088714D">
        <w:t>.”</w:t>
      </w:r>
      <w:r>
        <w:t xml:space="preserve"> </w:t>
      </w:r>
      <w:r w:rsidRPr="0088714D">
        <w:t xml:space="preserve"> Miyahara stipulated to the motion and the bankruptcy court granted it</w:t>
      </w:r>
      <w:r>
        <w:t>,</w:t>
      </w:r>
      <w:r w:rsidRPr="0088714D">
        <w:t xml:space="preserve"> but specifically ordered that “the automatic stay shall remain in effect with respect to any foreclosure proceedings on the subject </w:t>
      </w:r>
      <w:r w:rsidRPr="0088714D">
        <w:lastRenderedPageBreak/>
        <w:t>real property.  The relief sought by Wells Fargo does not affect or modify the Chapter 13 Plan.”</w:t>
      </w:r>
      <w:r>
        <w:rPr>
          <w:rStyle w:val="FootnoteReference"/>
        </w:rPr>
        <w:footnoteReference w:id="5"/>
      </w:r>
    </w:p>
    <w:p w14:paraId="0296485D" w14:textId="77777777" w:rsidR="005832F1" w:rsidRDefault="005832F1" w:rsidP="00D1501B">
      <w:pPr>
        <w:ind w:firstLine="720"/>
      </w:pPr>
      <w:r>
        <w:t xml:space="preserve">The fraudulent </w:t>
      </w:r>
      <w:proofErr w:type="gramStart"/>
      <w:r>
        <w:t>lien</w:t>
      </w:r>
      <w:proofErr w:type="gramEnd"/>
      <w:r>
        <w:t xml:space="preserve"> was removed from the property, but Miyahara was unable to make agreed</w:t>
      </w:r>
      <w:r>
        <w:t>-</w:t>
      </w:r>
      <w:r>
        <w:t xml:space="preserve">upon payments under her bankruptcy plan.  </w:t>
      </w:r>
      <w:r>
        <w:t>“On</w:t>
      </w:r>
      <w:r>
        <w:t xml:space="preserve"> December 24, 2019</w:t>
      </w:r>
      <w:r>
        <w:t xml:space="preserve">, Plaintiff received a </w:t>
      </w:r>
      <w:r>
        <w:t xml:space="preserve">letter </w:t>
      </w:r>
      <w:r>
        <w:t xml:space="preserve">that her Chapter 13 </w:t>
      </w:r>
      <w:r>
        <w:t>B</w:t>
      </w:r>
      <w:r>
        <w:t xml:space="preserve">ankruptcy </w:t>
      </w:r>
      <w:r>
        <w:t>P</w:t>
      </w:r>
      <w:r>
        <w:t>etition had been dismissed</w:t>
      </w:r>
      <w:r>
        <w:t>.</w:t>
      </w:r>
      <w:r>
        <w:t>”</w:t>
      </w:r>
    </w:p>
    <w:p w14:paraId="5A62D633" w14:textId="77777777" w:rsidR="005832F1" w:rsidRDefault="005832F1" w:rsidP="00585E4B">
      <w:pPr>
        <w:ind w:firstLine="720"/>
      </w:pPr>
      <w:r>
        <w:t>“</w:t>
      </w:r>
      <w:r>
        <w:t xml:space="preserve">On January 21, </w:t>
      </w:r>
      <w:proofErr w:type="gramStart"/>
      <w:r>
        <w:t>2020</w:t>
      </w:r>
      <w:proofErr w:type="gramEnd"/>
      <w:r>
        <w:t xml:space="preserve"> a </w:t>
      </w:r>
      <w:r>
        <w:t>N</w:t>
      </w:r>
      <w:r>
        <w:t xml:space="preserve">otice of </w:t>
      </w:r>
      <w:r>
        <w:t>T</w:t>
      </w:r>
      <w:r>
        <w:t xml:space="preserve">rustee </w:t>
      </w:r>
      <w:r>
        <w:t>S</w:t>
      </w:r>
      <w:r>
        <w:t xml:space="preserve">ale was recorded on </w:t>
      </w:r>
      <w:r>
        <w:t>the</w:t>
      </w:r>
      <w:r>
        <w:t xml:space="preserve"> </w:t>
      </w:r>
      <w:r>
        <w:t>P</w:t>
      </w:r>
      <w:r>
        <w:t>roperty.</w:t>
      </w:r>
      <w:r>
        <w:t>”</w:t>
      </w:r>
      <w:r>
        <w:t xml:space="preserve">  </w:t>
      </w:r>
      <w:r>
        <w:t xml:space="preserve">Although Miyahara sought an extension, Wells Fargo </w:t>
      </w:r>
      <w:r>
        <w:t>would</w:t>
      </w:r>
      <w:r>
        <w:t xml:space="preserve"> not extend the </w:t>
      </w:r>
      <w:r>
        <w:t xml:space="preserve">trustee sale </w:t>
      </w:r>
      <w:r>
        <w:t xml:space="preserve">date. </w:t>
      </w:r>
      <w:r>
        <w:t xml:space="preserve"> </w:t>
      </w:r>
      <w:r>
        <w:t xml:space="preserve">In May 2020 Miyahara applied for another </w:t>
      </w:r>
      <w:r>
        <w:t xml:space="preserve">refinance </w:t>
      </w:r>
      <w:r>
        <w:t xml:space="preserve">loan but was only eligible for a loan with 9.5 percent interest. </w:t>
      </w:r>
      <w:r>
        <w:t xml:space="preserve"> </w:t>
      </w:r>
      <w:r>
        <w:t>As a result of the stress caused by this process, Miyahara “has broken out in hives all over her body.”</w:t>
      </w:r>
    </w:p>
    <w:p w14:paraId="1CC04823" w14:textId="77777777" w:rsidR="005832F1" w:rsidRDefault="005832F1" w:rsidP="008A07C1">
      <w:pPr>
        <w:ind w:firstLine="720"/>
      </w:pPr>
      <w:r>
        <w:t xml:space="preserve">On November 17, </w:t>
      </w:r>
      <w:proofErr w:type="gramStart"/>
      <w:r>
        <w:t>2020</w:t>
      </w:r>
      <w:proofErr w:type="gramEnd"/>
      <w:r>
        <w:t xml:space="preserve"> Miyahara filed her complaint against Wells Fargo for </w:t>
      </w:r>
      <w:r>
        <w:t xml:space="preserve">intentional interference with prospective economic advantage, breach of the implied covenant of good faith and fair dealing, violation of </w:t>
      </w:r>
      <w:r>
        <w:t>C</w:t>
      </w:r>
      <w:r>
        <w:t xml:space="preserve">ivil </w:t>
      </w:r>
      <w:r>
        <w:t>C</w:t>
      </w:r>
      <w:r>
        <w:t xml:space="preserve">ode section 1788.17, and violation of </w:t>
      </w:r>
      <w:r>
        <w:t>B</w:t>
      </w:r>
      <w:r>
        <w:t xml:space="preserve">usiness and </w:t>
      </w:r>
      <w:r>
        <w:t>Pr</w:t>
      </w:r>
      <w:r>
        <w:t xml:space="preserve">ofessions </w:t>
      </w:r>
      <w:r>
        <w:t>C</w:t>
      </w:r>
      <w:r>
        <w:t xml:space="preserve">ode section 17200.  </w:t>
      </w:r>
      <w:r>
        <w:t xml:space="preserve">The complaint alleged Miyahara “could not refinance her mortgage because of the invalid lien” and, consequently, “lost the refinance offer when she was forced to file for Chapter 13 bankruptcy [and] </w:t>
      </w:r>
      <w:r>
        <w:lastRenderedPageBreak/>
        <w:t>is unable to secure an int</w:t>
      </w:r>
      <w:r>
        <w:t>erest rate comparable to pre-bankruptcy refinance rate.”</w:t>
      </w:r>
    </w:p>
    <w:p w14:paraId="179C1686" w14:textId="77777777" w:rsidR="005832F1" w:rsidRDefault="005832F1" w:rsidP="00C454EA"/>
    <w:p w14:paraId="5A18C1CF" w14:textId="77777777" w:rsidR="005832F1" w:rsidRDefault="005832F1" w:rsidP="00581CE5">
      <w:pPr>
        <w:ind w:left="720" w:hanging="720"/>
      </w:pPr>
      <w:r>
        <w:t>B.</w:t>
      </w:r>
      <w:r>
        <w:tab/>
      </w:r>
      <w:r>
        <w:rPr>
          <w:i/>
          <w:iCs/>
        </w:rPr>
        <w:t xml:space="preserve">Wells Fargo Demurs to the Complaint, and Miyahara Files </w:t>
      </w:r>
      <w:r>
        <w:rPr>
          <w:i/>
          <w:iCs/>
        </w:rPr>
        <w:t>a</w:t>
      </w:r>
      <w:r>
        <w:rPr>
          <w:i/>
          <w:iCs/>
        </w:rPr>
        <w:t xml:space="preserve"> First Amended Complaint</w:t>
      </w:r>
      <w:r>
        <w:rPr>
          <w:i/>
          <w:iCs/>
        </w:rPr>
        <w:t xml:space="preserve"> </w:t>
      </w:r>
      <w:r>
        <w:rPr>
          <w:i/>
          <w:iCs/>
        </w:rPr>
        <w:t>a</w:t>
      </w:r>
      <w:r>
        <w:rPr>
          <w:i/>
          <w:iCs/>
        </w:rPr>
        <w:t xml:space="preserve">nd Amends Her Chapter 13 Bankruptcy Schedule </w:t>
      </w:r>
    </w:p>
    <w:p w14:paraId="02D005B5" w14:textId="77777777" w:rsidR="005832F1" w:rsidRDefault="005832F1" w:rsidP="00581CE5">
      <w:pPr>
        <w:ind w:firstLine="720"/>
      </w:pPr>
      <w:r>
        <w:t>W</w:t>
      </w:r>
      <w:r>
        <w:t xml:space="preserve">ells Fargo demurred to the complaint.  </w:t>
      </w:r>
      <w:r>
        <w:t>Acknowledging</w:t>
      </w:r>
      <w:r>
        <w:t xml:space="preserve"> that </w:t>
      </w:r>
      <w:r>
        <w:t>Wells Fargo</w:t>
      </w:r>
      <w:r>
        <w:t xml:space="preserve"> and Miyahara were “targets of a fraud attempt by non-party West H&amp;A LLC,”</w:t>
      </w:r>
      <w:r w:rsidRPr="00B006F3">
        <w:t xml:space="preserve"> </w:t>
      </w:r>
      <w:r>
        <w:t xml:space="preserve">Wells Fargo argued it </w:t>
      </w:r>
      <w:r>
        <w:t xml:space="preserve">“had no obligation to clear the fake assignment recorded on the </w:t>
      </w:r>
      <w:r>
        <w:t>P</w:t>
      </w:r>
      <w:r>
        <w:t xml:space="preserve">roperty title [but] did so anyways at its </w:t>
      </w:r>
      <w:r>
        <w:t xml:space="preserve">[own] </w:t>
      </w:r>
      <w:r>
        <w:t xml:space="preserve">expense” </w:t>
      </w:r>
      <w:r>
        <w:t xml:space="preserve">and </w:t>
      </w:r>
      <w:r>
        <w:t>that it “was well within its rights to purse foreclosure to address [Miyahara’s] payment default that began more than four years ago</w:t>
      </w:r>
      <w:r>
        <w:t>.</w:t>
      </w:r>
      <w:r>
        <w:t xml:space="preserve">” </w:t>
      </w:r>
      <w:r>
        <w:t xml:space="preserve"> </w:t>
      </w:r>
      <w:r>
        <w:t xml:space="preserve">It further argued </w:t>
      </w:r>
      <w:r>
        <w:t xml:space="preserve">the complaint was barred by the doctrine of judicial </w:t>
      </w:r>
      <w:proofErr w:type="gramStart"/>
      <w:r>
        <w:t>estoppel</w:t>
      </w:r>
      <w:r>
        <w:t>, and</w:t>
      </w:r>
      <w:proofErr w:type="gramEnd"/>
      <w:r>
        <w:t xml:space="preserve"> </w:t>
      </w:r>
      <w:r>
        <w:t xml:space="preserve">requested judicial notice of </w:t>
      </w:r>
      <w:r>
        <w:t>Miyahara’s</w:t>
      </w:r>
      <w:r>
        <w:t xml:space="preserve"> </w:t>
      </w:r>
      <w:r>
        <w:t>chapter</w:t>
      </w:r>
      <w:r>
        <w:t xml:space="preserve"> 13 bankruptcy schedule </w:t>
      </w:r>
      <w:r>
        <w:t xml:space="preserve">to </w:t>
      </w:r>
      <w:r>
        <w:t xml:space="preserve">argue </w:t>
      </w:r>
      <w:r>
        <w:t xml:space="preserve">“she never disclosed </w:t>
      </w:r>
      <w:r>
        <w:t>any</w:t>
      </w:r>
      <w:r>
        <w:t xml:space="preserve"> claims against Wells Fargo” </w:t>
      </w:r>
      <w:r>
        <w:t>before the bankruptcy court confirmed the bankruptcy plan</w:t>
      </w:r>
      <w:r>
        <w:t xml:space="preserve">, and </w:t>
      </w:r>
      <w:r>
        <w:t xml:space="preserve">which was eventually dismissed </w:t>
      </w:r>
      <w:r>
        <w:t xml:space="preserve">by the bankruptcy court </w:t>
      </w:r>
      <w:r>
        <w:t xml:space="preserve">in December 2019 due to Miyahara’s </w:t>
      </w:r>
      <w:r>
        <w:t>failure to make agreed-upon payments</w:t>
      </w:r>
      <w:r>
        <w:t xml:space="preserve">. </w:t>
      </w:r>
      <w:r>
        <w:t xml:space="preserve"> </w:t>
      </w:r>
      <w:r>
        <w:t xml:space="preserve">Wells Fargo </w:t>
      </w:r>
      <w:r>
        <w:t xml:space="preserve">also </w:t>
      </w:r>
      <w:r>
        <w:t>contended</w:t>
      </w:r>
      <w:r>
        <w:t xml:space="preserve"> </w:t>
      </w:r>
      <w:r>
        <w:t>the complaint</w:t>
      </w:r>
      <w:r>
        <w:t xml:space="preserve"> </w:t>
      </w:r>
      <w:r>
        <w:t>did not plead sufficient facts to state a cause of action</w:t>
      </w:r>
      <w:r>
        <w:t>.</w:t>
      </w:r>
    </w:p>
    <w:p w14:paraId="0177ACA0" w14:textId="77777777" w:rsidR="005832F1" w:rsidRDefault="005832F1" w:rsidP="00B87174">
      <w:pPr>
        <w:ind w:firstLine="720"/>
      </w:pPr>
      <w:r w:rsidRPr="00577340">
        <w:t>Rather than oppose the demurrer,</w:t>
      </w:r>
      <w:r>
        <w:t xml:space="preserve"> Miyahara filed a first amended complaint</w:t>
      </w:r>
      <w:r>
        <w:t xml:space="preserve"> on June 24, 2021</w:t>
      </w:r>
      <w:r>
        <w:t>.  The first amended complaint eliminated the cause of action for intentional interference with prospective economic advantage</w:t>
      </w:r>
      <w:r>
        <w:t xml:space="preserve"> </w:t>
      </w:r>
      <w:r>
        <w:t xml:space="preserve">and added a new cause of action for violation of Civil Code section </w:t>
      </w:r>
      <w:r>
        <w:t>2924.17.</w:t>
      </w:r>
    </w:p>
    <w:p w14:paraId="67262E9F" w14:textId="77777777" w:rsidR="005832F1" w:rsidRDefault="005832F1" w:rsidP="00606347">
      <w:pPr>
        <w:ind w:firstLine="720"/>
      </w:pPr>
      <w:r>
        <w:t xml:space="preserve">On July </w:t>
      </w:r>
      <w:r>
        <w:t xml:space="preserve">2, </w:t>
      </w:r>
      <w:proofErr w:type="gramStart"/>
      <w:r>
        <w:t>2021</w:t>
      </w:r>
      <w:proofErr w:type="gramEnd"/>
      <w:r>
        <w:t xml:space="preserve"> Miyahara filed a motion to reopen her </w:t>
      </w:r>
      <w:r>
        <w:t>chapter</w:t>
      </w:r>
      <w:r>
        <w:t xml:space="preserve"> 13 bankruptcy case</w:t>
      </w:r>
      <w:r>
        <w:t>, which the bankruptcy court granted</w:t>
      </w:r>
      <w:r>
        <w:t xml:space="preserve">.  On July </w:t>
      </w:r>
      <w:r>
        <w:t xml:space="preserve">13, </w:t>
      </w:r>
      <w:proofErr w:type="gramStart"/>
      <w:r>
        <w:t>2021</w:t>
      </w:r>
      <w:proofErr w:type="gramEnd"/>
      <w:r>
        <w:t xml:space="preserve"> Miyahara amended her </w:t>
      </w:r>
      <w:r>
        <w:t>chapter</w:t>
      </w:r>
      <w:r>
        <w:t xml:space="preserve"> 13 bankruptcy schedule to include “</w:t>
      </w:r>
      <w:r>
        <w:t>C</w:t>
      </w:r>
      <w:r>
        <w:t xml:space="preserve">laims against Wells Fargo for mishandling </w:t>
      </w:r>
      <w:r>
        <w:lastRenderedPageBreak/>
        <w:t xml:space="preserve">of debtor’s loan.”  </w:t>
      </w:r>
      <w:r>
        <w:t xml:space="preserve">The bankruptcy court permitted the filing of </w:t>
      </w:r>
      <w:r>
        <w:t xml:space="preserve">the </w:t>
      </w:r>
      <w:r>
        <w:t xml:space="preserve">amended schedule, but there is no record of any activity to reprocess the amended </w:t>
      </w:r>
      <w:proofErr w:type="gramStart"/>
      <w:r>
        <w:t>schedule</w:t>
      </w:r>
      <w:proofErr w:type="gramEnd"/>
      <w:r>
        <w:t xml:space="preserve"> or the </w:t>
      </w:r>
      <w:r>
        <w:t>chapter</w:t>
      </w:r>
      <w:r>
        <w:t xml:space="preserve"> 13 </w:t>
      </w:r>
      <w:r>
        <w:t>p</w:t>
      </w:r>
      <w:r>
        <w:t xml:space="preserve">lan </w:t>
      </w:r>
      <w:r>
        <w:t>based on the new information presented in the amended bankruptcy schedule</w:t>
      </w:r>
      <w:r>
        <w:t>.</w:t>
      </w:r>
      <w:r>
        <w:rPr>
          <w:rStyle w:val="FootnoteReference"/>
        </w:rPr>
        <w:footnoteReference w:id="6"/>
      </w:r>
    </w:p>
    <w:p w14:paraId="3ED778F3" w14:textId="77777777" w:rsidR="005832F1" w:rsidRDefault="005832F1" w:rsidP="00C454EA"/>
    <w:p w14:paraId="6B47DE49" w14:textId="77777777" w:rsidR="005832F1" w:rsidRPr="0055358A" w:rsidRDefault="005832F1" w:rsidP="00C454EA">
      <w:pPr>
        <w:ind w:left="720" w:hanging="720"/>
        <w:rPr>
          <w:i/>
          <w:iCs/>
        </w:rPr>
      </w:pPr>
      <w:r>
        <w:t>C.</w:t>
      </w:r>
      <w:r>
        <w:tab/>
      </w:r>
      <w:r>
        <w:rPr>
          <w:i/>
          <w:iCs/>
        </w:rPr>
        <w:t>Wells Fargo</w:t>
      </w:r>
      <w:r w:rsidRPr="0055358A">
        <w:rPr>
          <w:i/>
          <w:iCs/>
        </w:rPr>
        <w:t xml:space="preserve"> Demurs to the First Amended Complaint and the Trial Court Sustains the Demurrer With</w:t>
      </w:r>
      <w:r>
        <w:rPr>
          <w:i/>
          <w:iCs/>
        </w:rPr>
        <w:t>out</w:t>
      </w:r>
      <w:r w:rsidRPr="0055358A">
        <w:rPr>
          <w:i/>
          <w:iCs/>
        </w:rPr>
        <w:t xml:space="preserve"> Leave to Amend</w:t>
      </w:r>
    </w:p>
    <w:p w14:paraId="3F2798D2" w14:textId="77777777" w:rsidR="005832F1" w:rsidRDefault="005832F1" w:rsidP="00B87174">
      <w:pPr>
        <w:ind w:firstLine="720"/>
      </w:pPr>
      <w:r>
        <w:t xml:space="preserve">On August 5, </w:t>
      </w:r>
      <w:proofErr w:type="gramStart"/>
      <w:r>
        <w:t>2021</w:t>
      </w:r>
      <w:proofErr w:type="gramEnd"/>
      <w:r>
        <w:t xml:space="preserve"> Wells Fargo </w:t>
      </w:r>
      <w:r>
        <w:t xml:space="preserve">demurred </w:t>
      </w:r>
      <w:r>
        <w:t xml:space="preserve">to </w:t>
      </w:r>
      <w:r>
        <w:t xml:space="preserve">the first amended complaint.  </w:t>
      </w:r>
      <w:r w:rsidRPr="002924C2">
        <w:t>Wells Fargo again argued Miyahara was judicially</w:t>
      </w:r>
      <w:r w:rsidRPr="002924C2">
        <w:t xml:space="preserve"> </w:t>
      </w:r>
      <w:proofErr w:type="gramStart"/>
      <w:r w:rsidRPr="002924C2">
        <w:t>estoppe</w:t>
      </w:r>
      <w:r w:rsidRPr="002924C2">
        <w:t>d</w:t>
      </w:r>
      <w:proofErr w:type="gramEnd"/>
      <w:r w:rsidRPr="002924C2">
        <w:t xml:space="preserve"> from purs</w:t>
      </w:r>
      <w:r>
        <w:t>u</w:t>
      </w:r>
      <w:r w:rsidRPr="002924C2">
        <w:t>ing her claim</w:t>
      </w:r>
      <w:r w:rsidRPr="002924C2">
        <w:t xml:space="preserve"> </w:t>
      </w:r>
      <w:r>
        <w:t>because of</w:t>
      </w:r>
      <w:r w:rsidRPr="002924C2">
        <w:t xml:space="preserve"> </w:t>
      </w:r>
      <w:r>
        <w:t xml:space="preserve">her </w:t>
      </w:r>
      <w:r w:rsidRPr="002924C2">
        <w:t xml:space="preserve">failure to list Wells Fargo in her </w:t>
      </w:r>
      <w:r>
        <w:t xml:space="preserve">original </w:t>
      </w:r>
      <w:r w:rsidRPr="002924C2">
        <w:t>bankruptcy filing</w:t>
      </w:r>
      <w:r>
        <w:t>,</w:t>
      </w:r>
      <w:r w:rsidRPr="002924C2">
        <w:t xml:space="preserve"> and that each cause of action was insufficiently pled.</w:t>
      </w:r>
    </w:p>
    <w:p w14:paraId="6D1E8555" w14:textId="77777777" w:rsidR="005832F1" w:rsidRDefault="005832F1" w:rsidP="0036007A">
      <w:pPr>
        <w:ind w:firstLine="720"/>
      </w:pPr>
      <w:r>
        <w:t xml:space="preserve">Miyahara filed </w:t>
      </w:r>
      <w:r>
        <w:t xml:space="preserve">an </w:t>
      </w:r>
      <w:r>
        <w:t xml:space="preserve">opposition. </w:t>
      </w:r>
      <w:r>
        <w:t xml:space="preserve"> </w:t>
      </w:r>
      <w:r>
        <w:t>According to Miyahara, “[w]</w:t>
      </w:r>
      <w:proofErr w:type="spellStart"/>
      <w:r>
        <w:t>hat</w:t>
      </w:r>
      <w:proofErr w:type="spellEnd"/>
      <w:r>
        <w:t xml:space="preserve"> makes </w:t>
      </w:r>
      <w:r>
        <w:t>D</w:t>
      </w:r>
      <w:r>
        <w:t xml:space="preserve">efendant’s actions </w:t>
      </w:r>
      <w:r>
        <w:t xml:space="preserve">particularly egregious is the fact that at the time the invalid </w:t>
      </w:r>
      <w:proofErr w:type="gramStart"/>
      <w:r>
        <w:t>lien</w:t>
      </w:r>
      <w:proofErr w:type="gramEnd"/>
      <w:r>
        <w:t xml:space="preserve"> was discovered, Plaintiff was seeking to refinance her mortgage to avoid foreclosure.  Instead of taking any action to assist Plaintiff</w:t>
      </w:r>
      <w:r>
        <w:t> </w:t>
      </w:r>
      <w:r>
        <w:t>.</w:t>
      </w:r>
      <w:r>
        <w:t> </w:t>
      </w:r>
      <w:r>
        <w:t>.</w:t>
      </w:r>
      <w:r>
        <w:t> </w:t>
      </w:r>
      <w:r>
        <w:t xml:space="preserve">. Defendant intentionally continued to pursue the foreclosure.  As a result, Plaintiff was left with no choice but to file for bankruptcy </w:t>
      </w:r>
      <w:proofErr w:type="gramStart"/>
      <w:r>
        <w:t>. . .</w:t>
      </w:r>
      <w:r>
        <w:t xml:space="preserve"> .</w:t>
      </w:r>
      <w:proofErr w:type="gramEnd"/>
      <w:r>
        <w:t xml:space="preserve"> </w:t>
      </w:r>
      <w:r>
        <w:t xml:space="preserve"> </w:t>
      </w:r>
      <w:r>
        <w:t>Now, following bankruptcy, Plaintiff cannot secure a loan with interest rate below 9.5%.  Plaintiff now faces a continually growing amount of arrears and th</w:t>
      </w:r>
      <w:r>
        <w:t xml:space="preserve">e imminent loss of her property to foreclosure.” </w:t>
      </w:r>
      <w:r>
        <w:t xml:space="preserve"> </w:t>
      </w:r>
      <w:r>
        <w:t xml:space="preserve">Miyahara argued judicial estoppel did not apply because she </w:t>
      </w:r>
      <w:r>
        <w:t>disclosed</w:t>
      </w:r>
      <w:r>
        <w:t xml:space="preserve"> “</w:t>
      </w:r>
      <w:r>
        <w:t>C</w:t>
      </w:r>
      <w:r>
        <w:t xml:space="preserve">laims against Wells Fargo for mishandling of debtor’s </w:t>
      </w:r>
      <w:r>
        <w:lastRenderedPageBreak/>
        <w:t xml:space="preserve">loan” </w:t>
      </w:r>
      <w:r>
        <w:t xml:space="preserve">in her amended bankruptcy </w:t>
      </w:r>
      <w:r>
        <w:t>schedule,</w:t>
      </w:r>
      <w:r>
        <w:t xml:space="preserve"> </w:t>
      </w:r>
      <w:proofErr w:type="gramStart"/>
      <w:r>
        <w:t xml:space="preserve">and </w:t>
      </w:r>
      <w:r>
        <w:t>also</w:t>
      </w:r>
      <w:proofErr w:type="gramEnd"/>
      <w:r>
        <w:t xml:space="preserve"> argued </w:t>
      </w:r>
      <w:r>
        <w:t xml:space="preserve">each cause of action </w:t>
      </w:r>
      <w:r>
        <w:t xml:space="preserve">was </w:t>
      </w:r>
      <w:r>
        <w:t>sufficiently pled to state a claim.</w:t>
      </w:r>
    </w:p>
    <w:p w14:paraId="46EDEDF0" w14:textId="77777777" w:rsidR="005832F1" w:rsidRDefault="005832F1" w:rsidP="00F65525">
      <w:r>
        <w:tab/>
        <w:t xml:space="preserve">The trial court sustained </w:t>
      </w:r>
      <w:r>
        <w:t>Wells Fargo</w:t>
      </w:r>
      <w:r>
        <w:t>’s</w:t>
      </w:r>
      <w:r>
        <w:t xml:space="preserve"> demurrer without leave to amend and ordered defendant to submit a proposed judgment of dismissal.  </w:t>
      </w:r>
      <w:r>
        <w:t xml:space="preserve">The </w:t>
      </w:r>
      <w:r>
        <w:t xml:space="preserve">trial court </w:t>
      </w:r>
      <w:r>
        <w:t>reasoned</w:t>
      </w:r>
      <w:r>
        <w:t xml:space="preserve"> Miyahara was judicially estopped from pursing this action against Wells Fargo because “she failed to disclose on her Chapter 13 Schedule or elsewhere that she had assets in the form of potential claims against Defendant . . . Plaintiff now asserts an inconsistent position, that she has a potential asset by way of causes of action against Defendant.”</w:t>
      </w:r>
    </w:p>
    <w:p w14:paraId="30CDE4EF" w14:textId="77777777" w:rsidR="005832F1" w:rsidRDefault="005832F1" w:rsidP="00E579ED">
      <w:pPr>
        <w:ind w:firstLine="720"/>
      </w:pPr>
      <w:r>
        <w:t xml:space="preserve">As to Miyahara’s amendment of her bankruptcy schedules to include </w:t>
      </w:r>
      <w:r>
        <w:t xml:space="preserve">“claims against Wells Fargo for mishandling of </w:t>
      </w:r>
      <w:r>
        <w:t>[her]</w:t>
      </w:r>
      <w:r>
        <w:t xml:space="preserve"> loan,” the trial court </w:t>
      </w:r>
      <w:r>
        <w:t xml:space="preserve">explained this amendment </w:t>
      </w:r>
      <w:r>
        <w:t xml:space="preserve">was made after </w:t>
      </w:r>
      <w:r>
        <w:t xml:space="preserve">the </w:t>
      </w:r>
      <w:r>
        <w:t>bankruptcy had already been dismissed.  As the trial court explained, “</w:t>
      </w:r>
      <w:r>
        <w:t>Plaintiff argues that she amended her Chapter 13 schedule on July 13, 2021 in order to include her causes of action against Defendant as assets</w:t>
      </w:r>
      <w:proofErr w:type="gramStart"/>
      <w:r>
        <w:t>. . . .</w:t>
      </w:r>
      <w:proofErr w:type="gramEnd"/>
      <w:r>
        <w:t xml:space="preserve"> </w:t>
      </w:r>
      <w:r>
        <w:t>[</w:t>
      </w:r>
      <w:proofErr w:type="gramStart"/>
      <w:r>
        <w:t>A]</w:t>
      </w:r>
      <w:proofErr w:type="gramEnd"/>
      <w:r>
        <w:t xml:space="preserve">t the time plaintiff amended the schedule the </w:t>
      </w:r>
      <w:r>
        <w:t>B</w:t>
      </w:r>
      <w:r>
        <w:t xml:space="preserve">ankruptcy </w:t>
      </w:r>
      <w:r>
        <w:t>A</w:t>
      </w:r>
      <w:r>
        <w:t>ction was no longer pending having been dismissed on December 23, 2019</w:t>
      </w:r>
      <w:proofErr w:type="gramStart"/>
      <w:r>
        <w:t>.</w:t>
      </w:r>
      <w:r>
        <w:t> </w:t>
      </w:r>
      <w:r>
        <w:t>.</w:t>
      </w:r>
      <w:r>
        <w:t> </w:t>
      </w:r>
      <w:r>
        <w:t>.</w:t>
      </w:r>
      <w:r>
        <w:t> </w:t>
      </w:r>
      <w:r>
        <w:t>.</w:t>
      </w:r>
      <w:proofErr w:type="gramEnd"/>
      <w:r>
        <w:t xml:space="preserve"> </w:t>
      </w:r>
      <w:r>
        <w:t xml:space="preserve"> </w:t>
      </w:r>
      <w:r>
        <w:t>[</w:t>
      </w:r>
      <w:proofErr w:type="gramStart"/>
      <w:r>
        <w:t xml:space="preserve">¶] </w:t>
      </w:r>
      <w:r>
        <w:t xml:space="preserve"> </w:t>
      </w:r>
      <w:r>
        <w:t>Plaintiff</w:t>
      </w:r>
      <w:proofErr w:type="gramEnd"/>
      <w:r>
        <w:t xml:space="preserve"> only amended he</w:t>
      </w:r>
      <w:r>
        <w:t xml:space="preserve">r Chapter 13 </w:t>
      </w:r>
      <w:r>
        <w:t>S</w:t>
      </w:r>
      <w:r>
        <w:t>chedule after Plaintiff learned this was a ground upon which Defendant intended to demurrer</w:t>
      </w:r>
      <w:r>
        <w:t> </w:t>
      </w:r>
      <w:r>
        <w:t>.</w:t>
      </w:r>
      <w:r>
        <w:t> </w:t>
      </w:r>
      <w:r>
        <w:t>.</w:t>
      </w:r>
      <w:r>
        <w:t> </w:t>
      </w:r>
      <w:r>
        <w:t xml:space="preserve">. </w:t>
      </w:r>
      <w:r>
        <w:t xml:space="preserve"> </w:t>
      </w:r>
      <w:r>
        <w:t xml:space="preserve">A plaintiff’s amendment of a bankruptcy schedule only after a defendant files a dispositive motion on judicial estoppel grounds </w:t>
      </w:r>
      <w:r>
        <w:t>is</w:t>
      </w:r>
      <w:r>
        <w:t xml:space="preserve"> insufficient</w:t>
      </w:r>
      <w:r>
        <w:t>,</w:t>
      </w:r>
      <w:r>
        <w:t xml:space="preserve"> particularly where a party had knowledge of her potential claims at the time the original bankruptcy schedule was filed with the </w:t>
      </w:r>
      <w:r>
        <w:t>B</w:t>
      </w:r>
      <w:r>
        <w:t xml:space="preserve">ankruptcy </w:t>
      </w:r>
      <w:r>
        <w:t>C</w:t>
      </w:r>
      <w:r>
        <w:t>ourt.”</w:t>
      </w:r>
    </w:p>
    <w:p w14:paraId="65D46902" w14:textId="77777777" w:rsidR="005832F1" w:rsidRDefault="005832F1" w:rsidP="0036007A">
      <w:pPr>
        <w:ind w:firstLine="720"/>
      </w:pPr>
      <w:r>
        <w:t>The trial court entered judgment on November 29, 2021.</w:t>
      </w:r>
      <w:r>
        <w:t xml:space="preserve">  </w:t>
      </w:r>
      <w:r>
        <w:t>Miyahara timely appealed.</w:t>
      </w:r>
    </w:p>
    <w:p w14:paraId="20CD56CF" w14:textId="77777777" w:rsidR="005832F1" w:rsidRDefault="005832F1" w:rsidP="00C2073A"/>
    <w:p w14:paraId="0087F7F4" w14:textId="77777777" w:rsidR="005832F1" w:rsidRDefault="005832F1" w:rsidP="00E579ED">
      <w:pPr>
        <w:keepNext/>
        <w:keepLines/>
        <w:jc w:val="center"/>
      </w:pPr>
      <w:r w:rsidRPr="00533D89">
        <w:rPr>
          <w:b/>
          <w:bCs/>
        </w:rPr>
        <w:lastRenderedPageBreak/>
        <w:t>DISCUSSION</w:t>
      </w:r>
    </w:p>
    <w:p w14:paraId="7B3FFA51" w14:textId="77777777" w:rsidR="005832F1" w:rsidRDefault="005832F1" w:rsidP="00E579ED">
      <w:pPr>
        <w:keepNext/>
        <w:keepLines/>
      </w:pPr>
    </w:p>
    <w:p w14:paraId="6072FBD9" w14:textId="77777777" w:rsidR="005832F1" w:rsidRDefault="005832F1" w:rsidP="00E579ED">
      <w:pPr>
        <w:pStyle w:val="ListParagraph"/>
        <w:keepNext/>
        <w:keepLines/>
        <w:numPr>
          <w:ilvl w:val="0"/>
          <w:numId w:val="1"/>
        </w:numPr>
        <w:ind w:left="0" w:firstLine="0"/>
      </w:pPr>
      <w:r w:rsidRPr="0036007A">
        <w:rPr>
          <w:i/>
          <w:iCs/>
        </w:rPr>
        <w:t>Standard of Review</w:t>
      </w:r>
    </w:p>
    <w:p w14:paraId="363493F7" w14:textId="77777777" w:rsidR="005832F1" w:rsidRDefault="005832F1" w:rsidP="00E579ED">
      <w:pPr>
        <w:keepNext/>
        <w:keepLines/>
        <w:ind w:firstLine="720"/>
      </w:pPr>
      <w:r>
        <w:t xml:space="preserve">“‘“‘On appeal from an order of dismissal after an order sustaining a demurrer, our standard of review is de novo, i.e., we </w:t>
      </w:r>
      <w:r>
        <w:t>exercise our independent judgment about whether the complaint states a cause of action as a matter of law.’”  [Citation.]  In reviewing the complaint, “we must assume the truth of all facts properly pleaded by the plaintiffs, as well as those that are judicially noticeable.”  [Citation.]  We may affirm on any basis stated in the demurrer, regardless of the ground on which the trial court based its ruling.’”  (</w:t>
      </w:r>
      <w:r>
        <w:rPr>
          <w:i/>
          <w:iCs/>
        </w:rPr>
        <w:t>Ward v. Tilly’</w:t>
      </w:r>
      <w:r w:rsidRPr="007C40CE">
        <w:rPr>
          <w:i/>
          <w:iCs/>
        </w:rPr>
        <w:t>s, Inc</w:t>
      </w:r>
      <w:r>
        <w:t>. (2019) 31 Cal.App.5th 1167, 1174; see</w:t>
      </w:r>
      <w:r w:rsidRPr="00AA55D6">
        <w:t xml:space="preserve"> </w:t>
      </w:r>
      <w:r w:rsidRPr="000F0830">
        <w:rPr>
          <w:i/>
        </w:rPr>
        <w:t>T</w:t>
      </w:r>
      <w:r w:rsidRPr="000F0830">
        <w:rPr>
          <w:i/>
          <w:iCs/>
        </w:rPr>
        <w:t>.H</w:t>
      </w:r>
      <w:r w:rsidRPr="00AA55D6">
        <w:rPr>
          <w:i/>
          <w:iCs/>
        </w:rPr>
        <w:t>. v. Novartis Pharmaceuticals Corp</w:t>
      </w:r>
      <w:r w:rsidRPr="00AA55D6">
        <w:t xml:space="preserve">. </w:t>
      </w:r>
      <w:r w:rsidRPr="00AA55D6">
        <w:t>(2017) 4 Cal.5th 145, 162</w:t>
      </w:r>
      <w:r>
        <w:t>.)</w:t>
      </w:r>
    </w:p>
    <w:p w14:paraId="1A1D464C" w14:textId="77777777" w:rsidR="005832F1" w:rsidRDefault="005832F1" w:rsidP="008122E9">
      <w:pPr>
        <w:ind w:firstLine="720"/>
      </w:pPr>
      <w:r>
        <w:t>“When a trial court sustains a demurrer without leave to amend, ‘we must decide whether there is a reasonable possibility the plaintiff could cure the defect with an amendment</w:t>
      </w:r>
      <w:proofErr w:type="gramStart"/>
      <w:r>
        <w:t>.</w:t>
      </w:r>
      <w:r>
        <w:t> . . .</w:t>
      </w:r>
      <w:proofErr w:type="gramEnd"/>
      <w:r>
        <w:t xml:space="preserve">  If we find that an amendment could cure the defect, we conclude that the trial court abused its discretion and we reverse; if not, no abuse of discretion has occurred</w:t>
      </w:r>
      <w:proofErr w:type="gramStart"/>
      <w:r>
        <w:t>.</w:t>
      </w:r>
      <w:r>
        <w:t> . . .</w:t>
      </w:r>
      <w:proofErr w:type="gramEnd"/>
      <w:r>
        <w:t xml:space="preserve">  The plaintiff has the burden of proving that an amendment would cure the defect.’”  (</w:t>
      </w:r>
      <w:r w:rsidRPr="007C40CE">
        <w:rPr>
          <w:i/>
          <w:iCs/>
        </w:rPr>
        <w:t>Modisette</w:t>
      </w:r>
      <w:r>
        <w:rPr>
          <w:i/>
          <w:iCs/>
        </w:rPr>
        <w:t> </w:t>
      </w:r>
      <w:r w:rsidRPr="007C40CE">
        <w:rPr>
          <w:i/>
          <w:iCs/>
        </w:rPr>
        <w:t>v. Apple Inc.</w:t>
      </w:r>
      <w:r>
        <w:t xml:space="preserve"> (2018) 30 Cal.App.5th 136, 155; see </w:t>
      </w:r>
      <w:proofErr w:type="spellStart"/>
      <w:r w:rsidRPr="007C40CE">
        <w:rPr>
          <w:i/>
          <w:iCs/>
        </w:rPr>
        <w:t>Schifando</w:t>
      </w:r>
      <w:proofErr w:type="spellEnd"/>
      <w:r w:rsidRPr="007C40CE">
        <w:rPr>
          <w:i/>
          <w:iCs/>
        </w:rPr>
        <w:t xml:space="preserve"> v. City of Los Angeles</w:t>
      </w:r>
      <w:r>
        <w:t xml:space="preserve"> (2003) 31 Cal.4th 1074, 1081.)</w:t>
      </w:r>
    </w:p>
    <w:p w14:paraId="701E83BC" w14:textId="77777777" w:rsidR="005832F1" w:rsidRDefault="005832F1" w:rsidP="0036007A"/>
    <w:p w14:paraId="5DB0B0FE" w14:textId="77777777" w:rsidR="005832F1" w:rsidRPr="008122E9" w:rsidRDefault="005832F1" w:rsidP="0008798D">
      <w:pPr>
        <w:rPr>
          <w:i/>
          <w:iCs/>
        </w:rPr>
      </w:pPr>
      <w:r>
        <w:t>B.</w:t>
      </w:r>
      <w:r>
        <w:tab/>
      </w:r>
      <w:r w:rsidRPr="008122E9">
        <w:rPr>
          <w:i/>
          <w:iCs/>
        </w:rPr>
        <w:t>Judicial Estoppel</w:t>
      </w:r>
    </w:p>
    <w:p w14:paraId="5E82D71D" w14:textId="77777777" w:rsidR="005832F1" w:rsidRDefault="005832F1" w:rsidP="0008798D">
      <w:pPr>
        <w:ind w:firstLine="720"/>
      </w:pPr>
      <w:r w:rsidRPr="00427581">
        <w:t>“‘“[J]</w:t>
      </w:r>
      <w:proofErr w:type="spellStart"/>
      <w:r w:rsidRPr="00427581">
        <w:t>udicial</w:t>
      </w:r>
      <w:proofErr w:type="spellEnd"/>
      <w:r w:rsidRPr="00427581">
        <w:t xml:space="preserve"> estoppel is an equitable doctrine aimed at preventing fraud on the courts.”’” </w:t>
      </w:r>
      <w:r>
        <w:t xml:space="preserve"> </w:t>
      </w:r>
      <w:r w:rsidRPr="00427581">
        <w:t>(</w:t>
      </w:r>
      <w:r w:rsidRPr="00427581">
        <w:rPr>
          <w:i/>
          <w:iCs/>
        </w:rPr>
        <w:t>Thomas v. Gordon</w:t>
      </w:r>
      <w:r w:rsidRPr="00427581">
        <w:t xml:space="preserve"> (2000) 85</w:t>
      </w:r>
      <w:r>
        <w:t> </w:t>
      </w:r>
      <w:r w:rsidRPr="00427581">
        <w:t>Cal.App.4th 113, 118</w:t>
      </w:r>
      <w:r>
        <w:t xml:space="preserve">.) </w:t>
      </w:r>
      <w:r>
        <w:t xml:space="preserve"> It is an “</w:t>
      </w:r>
      <w:r w:rsidRPr="00566227">
        <w:t xml:space="preserve">extraordinary remedy that is applied </w:t>
      </w:r>
      <w:r>
        <w:t>‘</w:t>
      </w:r>
      <w:r w:rsidRPr="00566227">
        <w:t>with caution.</w:t>
      </w:r>
      <w:r>
        <w:t>’</w:t>
      </w:r>
      <w:r w:rsidRPr="00566227">
        <w:t xml:space="preserve">” </w:t>
      </w:r>
      <w:r>
        <w:t xml:space="preserve"> </w:t>
      </w:r>
      <w:r w:rsidRPr="00566227">
        <w:t>(</w:t>
      </w:r>
      <w:r w:rsidRPr="00566227">
        <w:rPr>
          <w:i/>
          <w:iCs/>
        </w:rPr>
        <w:t>Kitty-Anne Music Co. v. Swan</w:t>
      </w:r>
      <w:r>
        <w:t xml:space="preserve"> (2003) 112</w:t>
      </w:r>
      <w:r>
        <w:t> </w:t>
      </w:r>
      <w:r>
        <w:t xml:space="preserve">Cal.App.4th 30, 35; accord, </w:t>
      </w:r>
      <w:r w:rsidRPr="00566227">
        <w:rPr>
          <w:i/>
          <w:iCs/>
        </w:rPr>
        <w:t>Haley v. Dow Lewis Motors, Inc</w:t>
      </w:r>
      <w:r w:rsidRPr="00566227">
        <w:t xml:space="preserve">. </w:t>
      </w:r>
      <w:r w:rsidRPr="00566227">
        <w:lastRenderedPageBreak/>
        <w:t xml:space="preserve">(1999) 72 Cal.App.4th 497, 511.) </w:t>
      </w:r>
      <w:r>
        <w:t xml:space="preserve"> </w:t>
      </w:r>
      <w:r w:rsidRPr="00427581">
        <w:t>“</w:t>
      </w:r>
      <w:r>
        <w:t>T</w:t>
      </w:r>
      <w:r w:rsidRPr="00427581">
        <w:t>he doctrine applies when ‘(1)</w:t>
      </w:r>
      <w:r>
        <w:t> </w:t>
      </w:r>
      <w:r w:rsidRPr="00427581">
        <w:t xml:space="preserve">the same party has taken </w:t>
      </w:r>
      <w:r w:rsidRPr="00427581">
        <w:t>two positions; (2) the positions were taken in judicial or quasi-judicial administrative proceedings; (3)</w:t>
      </w:r>
      <w:r>
        <w:t> </w:t>
      </w:r>
      <w:r w:rsidRPr="00427581">
        <w:t xml:space="preserve">the party was successful in asserting the first position (i.e., the tribunal adopted the position or accepted it as true); (4) the two positions are totally inconsistent; and (5) the first position was not taken as a result of ignorance, fraud, or mistake.’” </w:t>
      </w:r>
      <w:r>
        <w:t xml:space="preserve"> </w:t>
      </w:r>
      <w:r w:rsidRPr="00427581">
        <w:t>(</w:t>
      </w:r>
      <w:r w:rsidRPr="00427581">
        <w:rPr>
          <w:i/>
          <w:iCs/>
        </w:rPr>
        <w:t>Aguilar</w:t>
      </w:r>
      <w:r>
        <w:rPr>
          <w:i/>
          <w:iCs/>
        </w:rPr>
        <w:t xml:space="preserve"> v. Lerner</w:t>
      </w:r>
      <w:r>
        <w:t xml:space="preserve"> (2004)</w:t>
      </w:r>
      <w:r w:rsidRPr="00427581">
        <w:t xml:space="preserve"> 32 Cal.4th </w:t>
      </w:r>
      <w:r>
        <w:t>974,</w:t>
      </w:r>
      <w:r w:rsidRPr="00427581">
        <w:t xml:space="preserve"> 986-987</w:t>
      </w:r>
      <w:r>
        <w:t xml:space="preserve">; accord, </w:t>
      </w:r>
      <w:r w:rsidRPr="009550AF">
        <w:rPr>
          <w:i/>
          <w:iCs/>
        </w:rPr>
        <w:t>Turner</w:t>
      </w:r>
      <w:r>
        <w:rPr>
          <w:i/>
          <w:iCs/>
        </w:rPr>
        <w:t> </w:t>
      </w:r>
      <w:r w:rsidRPr="009550AF">
        <w:rPr>
          <w:i/>
          <w:iCs/>
        </w:rPr>
        <w:t>v. Seterus, Inc</w:t>
      </w:r>
      <w:r>
        <w:t>. (2018) 27 Cal.App.5th 516, 532-533</w:t>
      </w:r>
      <w:r w:rsidRPr="00427581">
        <w:t>.)</w:t>
      </w:r>
    </w:p>
    <w:p w14:paraId="5C836161" w14:textId="77777777" w:rsidR="005832F1" w:rsidRDefault="005832F1" w:rsidP="00533D89">
      <w:pPr>
        <w:ind w:firstLine="720"/>
      </w:pPr>
      <w:r>
        <w:t xml:space="preserve">As noted by </w:t>
      </w:r>
      <w:proofErr w:type="spellStart"/>
      <w:r w:rsidRPr="00EB74A2">
        <w:rPr>
          <w:i/>
        </w:rPr>
        <w:t>Jogani</w:t>
      </w:r>
      <w:proofErr w:type="spellEnd"/>
      <w:r w:rsidRPr="00EB74A2">
        <w:rPr>
          <w:i/>
        </w:rPr>
        <w:t xml:space="preserve"> v. </w:t>
      </w:r>
      <w:proofErr w:type="spellStart"/>
      <w:r w:rsidRPr="00EB74A2">
        <w:rPr>
          <w:i/>
        </w:rPr>
        <w:t>Jogani</w:t>
      </w:r>
      <w:proofErr w:type="spellEnd"/>
      <w:r>
        <w:t xml:space="preserve"> (2006) 141 Cal.App.4th 158, 170, “</w:t>
      </w:r>
      <w:r w:rsidRPr="00EB74A2">
        <w:t>We</w:t>
      </w:r>
      <w:r>
        <w:t xml:space="preserve"> do not suggest that there are ‘</w:t>
      </w:r>
      <w:r w:rsidRPr="00EB74A2">
        <w:t xml:space="preserve">inflexible prerequisites or an exhaustive formula for determining the applicability of judicial estoppel. </w:t>
      </w:r>
      <w:r>
        <w:t xml:space="preserve"> </w:t>
      </w:r>
      <w:r w:rsidRPr="00EB74A2">
        <w:t>Additional considerations may inform the doctrine</w:t>
      </w:r>
      <w:r>
        <w:t>’</w:t>
      </w:r>
      <w:r w:rsidRPr="00EB74A2">
        <w:t>s applicatio</w:t>
      </w:r>
      <w:r>
        <w:t xml:space="preserve">n in specific factual contexts.’ </w:t>
      </w:r>
      <w:r>
        <w:t xml:space="preserve"> [Citation.]  </w:t>
      </w:r>
      <w:r>
        <w:t>Further, given that ‘</w:t>
      </w:r>
      <w:r w:rsidRPr="00EB74A2">
        <w:t>judicial esto</w:t>
      </w:r>
      <w:r>
        <w:t>ppel is an equitable doctrine,</w:t>
      </w:r>
      <w:r>
        <w:t> </w:t>
      </w:r>
      <w:r>
        <w:t>.</w:t>
      </w:r>
      <w:r>
        <w:t> </w:t>
      </w:r>
      <w:r>
        <w:t>.</w:t>
      </w:r>
      <w:r>
        <w:t> </w:t>
      </w:r>
      <w:r>
        <w:t xml:space="preserve">. </w:t>
      </w:r>
      <w:r w:rsidRPr="00EB74A2">
        <w:t xml:space="preserve">its application, even where all necessary elements are </w:t>
      </w:r>
      <w:r>
        <w:t>present, is discretionary.’</w:t>
      </w:r>
      <w:r w:rsidRPr="00EB74A2">
        <w:t>”</w:t>
      </w:r>
      <w:r>
        <w:t xml:space="preserve">  W</w:t>
      </w:r>
      <w:r w:rsidRPr="00566227">
        <w:t>hether judicial estoppel applies is a question of law.</w:t>
      </w:r>
      <w:r w:rsidRPr="00566227">
        <w:t xml:space="preserve"> </w:t>
      </w:r>
      <w:r>
        <w:t xml:space="preserve"> </w:t>
      </w:r>
      <w:r w:rsidRPr="00566227">
        <w:t>(</w:t>
      </w:r>
      <w:r w:rsidRPr="00566227">
        <w:rPr>
          <w:i/>
          <w:iCs/>
        </w:rPr>
        <w:t>Kelsey v. Waste Management of Alameda County</w:t>
      </w:r>
      <w:r w:rsidRPr="00566227">
        <w:t xml:space="preserve"> (1999) 76</w:t>
      </w:r>
      <w:r>
        <w:t> </w:t>
      </w:r>
      <w:r w:rsidRPr="00566227">
        <w:t>Cal.App.4th 590, 597</w:t>
      </w:r>
      <w:r>
        <w:t xml:space="preserve">; accord, </w:t>
      </w:r>
      <w:r w:rsidRPr="00566227">
        <w:rPr>
          <w:i/>
          <w:iCs/>
        </w:rPr>
        <w:t>Kitty-Anne Music Co. v. Swan</w:t>
      </w:r>
      <w:r>
        <w:t xml:space="preserve">, </w:t>
      </w:r>
      <w:r w:rsidRPr="00566227">
        <w:rPr>
          <w:i/>
          <w:iCs/>
        </w:rPr>
        <w:t>supra</w:t>
      </w:r>
      <w:r>
        <w:t>, 112 Cal.App.4th at p. 35</w:t>
      </w:r>
      <w:r>
        <w:t>.)</w:t>
      </w:r>
    </w:p>
    <w:p w14:paraId="373BAB05" w14:textId="77777777" w:rsidR="005832F1" w:rsidRDefault="005832F1" w:rsidP="00E04D47">
      <w:pPr>
        <w:ind w:firstLine="720"/>
      </w:pPr>
      <w:r>
        <w:t>“[W]</w:t>
      </w:r>
      <w:r w:rsidRPr="009F44A5">
        <w:t xml:space="preserve">here a debtor in bankruptcy violates its statutory and fiduciary duty to disclose a current claim during a </w:t>
      </w:r>
      <w:r w:rsidRPr="009F44A5">
        <w:t>bankruptcy proceeding, equitable and judicial estoppel operate as a bar to further litigation by the debtor</w:t>
      </w:r>
      <w:r>
        <w:t>.”  (</w:t>
      </w:r>
      <w:r w:rsidRPr="009F44A5">
        <w:rPr>
          <w:i/>
          <w:iCs/>
        </w:rPr>
        <w:t>International Engine Parts, Inc. v. Feddersen &amp; Co.</w:t>
      </w:r>
      <w:r w:rsidRPr="009F44A5">
        <w:t xml:space="preserve"> (1998) 64 Cal.App.4th 345, 350</w:t>
      </w:r>
      <w:r>
        <w:t>.)  “</w:t>
      </w:r>
      <w:r>
        <w:t>‘</w:t>
      </w:r>
      <w:r w:rsidRPr="009F44A5">
        <w:t>By virtue of this failure to disclose, equitable and judicial estoppel operate against further litigation</w:t>
      </w:r>
      <w:r>
        <w:t>.</w:t>
      </w:r>
      <w:r>
        <w:t>’</w:t>
      </w:r>
      <w:r>
        <w:t>”  (</w:t>
      </w:r>
      <w:r w:rsidRPr="009F44A5">
        <w:rPr>
          <w:i/>
          <w:iCs/>
        </w:rPr>
        <w:t>Conrad v. Bank of America</w:t>
      </w:r>
      <w:r w:rsidRPr="009F44A5">
        <w:t xml:space="preserve"> (1996) 45 Cal.App.4th 133, 138</w:t>
      </w:r>
      <w:r>
        <w:t xml:space="preserve">; see </w:t>
      </w:r>
      <w:r w:rsidRPr="00FA551A">
        <w:rPr>
          <w:i/>
          <w:iCs/>
        </w:rPr>
        <w:t>Hamilton v. State Farm Fire &amp; Cas. Co.</w:t>
      </w:r>
      <w:r w:rsidRPr="00FA551A">
        <w:t xml:space="preserve"> (9th Cir. 2001) 270 F.3d 778, 783</w:t>
      </w:r>
      <w:r>
        <w:t xml:space="preserve"> (</w:t>
      </w:r>
      <w:r w:rsidRPr="00D0278D">
        <w:rPr>
          <w:i/>
          <w:iCs/>
        </w:rPr>
        <w:t>Hamilton</w:t>
      </w:r>
      <w:r>
        <w:t>) [</w:t>
      </w:r>
      <w:r w:rsidRPr="00FA551A">
        <w:t>“</w:t>
      </w:r>
      <w:r>
        <w:t>I</w:t>
      </w:r>
      <w:r w:rsidRPr="00FA551A">
        <w:t>n the bankruptcy context, a party is judicially esto</w:t>
      </w:r>
      <w:r w:rsidRPr="00FA551A">
        <w:t xml:space="preserve">pped from asserting </w:t>
      </w:r>
      <w:r w:rsidRPr="00FA551A">
        <w:lastRenderedPageBreak/>
        <w:t>a cause of action not raised in a reorganization plan or otherwise mentioned in the debtor</w:t>
      </w:r>
      <w:r>
        <w:t>’</w:t>
      </w:r>
      <w:r w:rsidRPr="00FA551A">
        <w:t>s schedules or disclosure statements</w:t>
      </w:r>
      <w:r>
        <w:t>.”</w:t>
      </w:r>
      <w:r>
        <w:t xml:space="preserve">].)  </w:t>
      </w:r>
      <w:proofErr w:type="gramStart"/>
      <w:r>
        <w:t>“</w:t>
      </w:r>
      <w:r>
        <w:t>‘“</w:t>
      </w:r>
      <w:proofErr w:type="gramEnd"/>
      <w:r w:rsidRPr="000B7C8A">
        <w:t>The rationale</w:t>
      </w:r>
      <w:r>
        <w:t>”’</w:t>
      </w:r>
      <w:r>
        <w:t xml:space="preserve">” </w:t>
      </w:r>
      <w:r>
        <w:t xml:space="preserve">for </w:t>
      </w:r>
      <w:r>
        <w:t>these decisions “</w:t>
      </w:r>
      <w:r>
        <w:t>‘“</w:t>
      </w:r>
      <w:r w:rsidRPr="000B7C8A">
        <w:t xml:space="preserve">is that the integrity of the bankruptcy system depends on full and honest disclosure by debtors of </w:t>
      </w:r>
      <w:proofErr w:type="gramStart"/>
      <w:r w:rsidRPr="000B7C8A">
        <w:t>all of</w:t>
      </w:r>
      <w:proofErr w:type="gramEnd"/>
      <w:r w:rsidRPr="000B7C8A">
        <w:t xml:space="preserve"> their assets. </w:t>
      </w:r>
      <w:r>
        <w:t xml:space="preserve"> </w:t>
      </w:r>
      <w:r w:rsidRPr="000B7C8A">
        <w:t xml:space="preserve">The courts will not permit a debtor to </w:t>
      </w:r>
      <w:r w:rsidRPr="000D2801">
        <w:t>obtain relief from the bankruptcy court by representing that no claims exist</w:t>
      </w:r>
      <w:r w:rsidRPr="000B7C8A">
        <w:t xml:space="preserve"> and then subsequently to assert those claims for his own benefit in a separate</w:t>
      </w:r>
      <w:r w:rsidRPr="000B7C8A">
        <w:t xml:space="preserve"> proceeding.</w:t>
      </w:r>
      <w:r>
        <w:t>”’</w:t>
      </w:r>
      <w:r>
        <w:t>”</w:t>
      </w:r>
      <w:r>
        <w:t xml:space="preserve"> </w:t>
      </w:r>
      <w:r>
        <w:t xml:space="preserve"> (</w:t>
      </w:r>
      <w:r w:rsidRPr="000B7C8A">
        <w:rPr>
          <w:i/>
          <w:iCs/>
        </w:rPr>
        <w:t>Gottlieb v. Kest</w:t>
      </w:r>
      <w:r>
        <w:t xml:space="preserve"> (2006) 141 Cal.App.4th 110, 140</w:t>
      </w:r>
      <w:r>
        <w:t xml:space="preserve"> (</w:t>
      </w:r>
      <w:r>
        <w:rPr>
          <w:i/>
          <w:iCs/>
        </w:rPr>
        <w:t>Gottlieb</w:t>
      </w:r>
      <w:r>
        <w:t>)</w:t>
      </w:r>
      <w:r>
        <w:t>; accord</w:t>
      </w:r>
      <w:r>
        <w:t>,</w:t>
      </w:r>
      <w:r>
        <w:t xml:space="preserve"> </w:t>
      </w:r>
      <w:r w:rsidRPr="00FA551A">
        <w:rPr>
          <w:i/>
          <w:iCs/>
        </w:rPr>
        <w:t>Hamilton</w:t>
      </w:r>
      <w:r>
        <w:t>, at p. 785</w:t>
      </w:r>
      <w:r>
        <w:t>.)</w:t>
      </w:r>
    </w:p>
    <w:p w14:paraId="071C9E0F" w14:textId="77777777" w:rsidR="005832F1" w:rsidRDefault="005832F1" w:rsidP="00E04D47">
      <w:pPr>
        <w:ind w:firstLine="720"/>
      </w:pPr>
    </w:p>
    <w:p w14:paraId="6FE8649C" w14:textId="77777777" w:rsidR="005832F1" w:rsidRDefault="005832F1" w:rsidP="0036007A">
      <w:pPr>
        <w:ind w:left="1440" w:hanging="720"/>
      </w:pPr>
      <w:r>
        <w:t>1.</w:t>
      </w:r>
      <w:r>
        <w:tab/>
      </w:r>
      <w:r>
        <w:rPr>
          <w:i/>
          <w:iCs/>
        </w:rPr>
        <w:t>Miyahara Took Inconsistent Positions</w:t>
      </w:r>
      <w:r>
        <w:rPr>
          <w:i/>
          <w:iCs/>
        </w:rPr>
        <w:t xml:space="preserve"> in the Bankruptcy Court and Trial Court</w:t>
      </w:r>
    </w:p>
    <w:p w14:paraId="4168B998" w14:textId="77777777" w:rsidR="005832F1" w:rsidRDefault="005832F1" w:rsidP="00A92B0F">
      <w:pPr>
        <w:ind w:firstLine="720"/>
      </w:pPr>
      <w:r>
        <w:t xml:space="preserve">Miyahara </w:t>
      </w:r>
      <w:r>
        <w:t>argues</w:t>
      </w:r>
      <w:r>
        <w:t xml:space="preserve"> </w:t>
      </w:r>
      <w:r>
        <w:t>the trial court erred</w:t>
      </w:r>
      <w:r>
        <w:t xml:space="preserve"> </w:t>
      </w:r>
      <w:r>
        <w:t>in finding she took an</w:t>
      </w:r>
      <w:r>
        <w:t xml:space="preserve"> inconsistent position</w:t>
      </w:r>
      <w:r>
        <w:t xml:space="preserve"> </w:t>
      </w:r>
      <w:r>
        <w:t>when she failed</w:t>
      </w:r>
      <w:r>
        <w:t xml:space="preserve"> to list </w:t>
      </w:r>
      <w:r>
        <w:t>any claims</w:t>
      </w:r>
      <w:r>
        <w:t xml:space="preserve"> </w:t>
      </w:r>
      <w:r>
        <w:t xml:space="preserve">or causes of action </w:t>
      </w:r>
      <w:r>
        <w:t>against Wells Fargo</w:t>
      </w:r>
      <w:r>
        <w:t xml:space="preserve"> </w:t>
      </w:r>
      <w:r>
        <w:t>in</w:t>
      </w:r>
      <w:r>
        <w:t xml:space="preserve"> her </w:t>
      </w:r>
      <w:r>
        <w:t xml:space="preserve">original </w:t>
      </w:r>
      <w:r>
        <w:t>chapter</w:t>
      </w:r>
      <w:r>
        <w:t xml:space="preserve"> 13 </w:t>
      </w:r>
      <w:r>
        <w:t>bankruptcy schedule</w:t>
      </w:r>
      <w:r>
        <w:t>.</w:t>
      </w:r>
      <w:r>
        <w:rPr>
          <w:rStyle w:val="FootnoteReference"/>
          <w:sz w:val="24"/>
          <w:szCs w:val="24"/>
        </w:rPr>
        <w:footnoteReference w:id="7"/>
      </w:r>
      <w:r w:rsidRPr="00D61963">
        <w:rPr>
          <w:sz w:val="24"/>
          <w:szCs w:val="24"/>
        </w:rPr>
        <w:t xml:space="preserve"> </w:t>
      </w:r>
      <w:r>
        <w:t xml:space="preserve"> Miyahara</w:t>
      </w:r>
      <w:r>
        <w:t xml:space="preserve"> </w:t>
      </w:r>
      <w:r>
        <w:t>contends</w:t>
      </w:r>
      <w:r>
        <w:t xml:space="preserve"> </w:t>
      </w:r>
      <w:r>
        <w:t xml:space="preserve">her original bankruptcy schedule identified </w:t>
      </w:r>
      <w:r>
        <w:t>West H&amp;A LLC’s</w:t>
      </w:r>
      <w:r>
        <w:t xml:space="preserve"> “fraudulent claim of $300,00</w:t>
      </w:r>
      <w:r>
        <w:t>0</w:t>
      </w:r>
      <w:r>
        <w:t>” and</w:t>
      </w:r>
      <w:r>
        <w:t xml:space="preserve"> the “debtor to do quiet title action.”  Although Miyahara </w:t>
      </w:r>
      <w:r>
        <w:t>admits</w:t>
      </w:r>
      <w:r>
        <w:t xml:space="preserve"> she </w:t>
      </w:r>
      <w:r>
        <w:t>“could have identified the claim more specifically or</w:t>
      </w:r>
      <w:r>
        <w:t>”</w:t>
      </w:r>
      <w:r>
        <w:t xml:space="preserve"> </w:t>
      </w:r>
      <w:r>
        <w:t xml:space="preserve">separately listed the claim, </w:t>
      </w:r>
      <w:r>
        <w:t xml:space="preserve">she contends </w:t>
      </w:r>
      <w:r>
        <w:t>“</w:t>
      </w:r>
      <w:r>
        <w:t>the claims are not clearly inconsistent since [Miyahara] did actually identify the lien issue that gave rise to the dispute against [Wells Fargo]</w:t>
      </w:r>
      <w:r>
        <w:t xml:space="preserve">.” </w:t>
      </w:r>
      <w:r>
        <w:t xml:space="preserve"> </w:t>
      </w:r>
      <w:r>
        <w:t xml:space="preserve">We disagree </w:t>
      </w:r>
      <w:r>
        <w:t xml:space="preserve">because </w:t>
      </w:r>
      <w:r>
        <w:t xml:space="preserve">the bankruptcy </w:t>
      </w:r>
      <w:r>
        <w:lastRenderedPageBreak/>
        <w:t>laws</w:t>
      </w:r>
      <w:r>
        <w:t xml:space="preserve"> require</w:t>
      </w:r>
      <w:r>
        <w:t xml:space="preserve"> all claims </w:t>
      </w:r>
      <w:r>
        <w:t xml:space="preserve">and causes of action </w:t>
      </w:r>
      <w:r>
        <w:t>ag</w:t>
      </w:r>
      <w:r>
        <w:t>ainst third parties</w:t>
      </w:r>
      <w:r>
        <w:t>, such as Wells Fargo,</w:t>
      </w:r>
      <w:r>
        <w:t xml:space="preserve"> </w:t>
      </w:r>
      <w:proofErr w:type="gramStart"/>
      <w:r>
        <w:t>be</w:t>
      </w:r>
      <w:proofErr w:type="gramEnd"/>
      <w:r>
        <w:t xml:space="preserve"> disclosed.</w:t>
      </w:r>
    </w:p>
    <w:p w14:paraId="69A4DF0C" w14:textId="77777777" w:rsidR="005832F1" w:rsidRDefault="005832F1" w:rsidP="0048706E">
      <w:pPr>
        <w:ind w:firstLine="720"/>
      </w:pPr>
      <w:r w:rsidRPr="00BE6CE3">
        <w:t xml:space="preserve">“The bankruptcy code </w:t>
      </w:r>
      <w:r>
        <w:t>. . .</w:t>
      </w:r>
      <w:r w:rsidRPr="00BE6CE3">
        <w:t xml:space="preserve"> places an affirmative duty on debtors to schedule their assets and liabilities with the bankruptcy court.” </w:t>
      </w:r>
      <w:r>
        <w:t xml:space="preserve"> </w:t>
      </w:r>
      <w:r w:rsidRPr="00BE6CE3">
        <w:t>(</w:t>
      </w:r>
      <w:r w:rsidRPr="00BE6CE3">
        <w:rPr>
          <w:i/>
          <w:iCs/>
        </w:rPr>
        <w:t>Yack v. Washington Mutual Inc.</w:t>
      </w:r>
      <w:r w:rsidRPr="00BE6CE3">
        <w:t xml:space="preserve"> (N.D.</w:t>
      </w:r>
      <w:r>
        <w:t xml:space="preserve"> </w:t>
      </w:r>
      <w:r w:rsidRPr="00BE6CE3">
        <w:t xml:space="preserve">Cal. 2008) 389 B.R. 91, 95-96, citing 11 U.S.C. § 521(1).) </w:t>
      </w:r>
      <w:r>
        <w:t xml:space="preserve"> </w:t>
      </w:r>
      <w:r w:rsidRPr="00BE6CE3">
        <w:t>This includes “</w:t>
      </w:r>
      <w:r>
        <w:t>‘</w:t>
      </w:r>
      <w:r w:rsidRPr="000D2801">
        <w:rPr>
          <w:i/>
          <w:iCs/>
        </w:rPr>
        <w:t>contingent and unliquidated</w:t>
      </w:r>
      <w:r w:rsidRPr="00BE6CE3">
        <w:t xml:space="preserve"> </w:t>
      </w:r>
      <w:r w:rsidRPr="00E07AA0">
        <w:rPr>
          <w:i/>
          <w:iCs/>
        </w:rPr>
        <w:t>claims</w:t>
      </w:r>
      <w:r>
        <w:t>’”</w:t>
      </w:r>
      <w:r w:rsidRPr="00BE6CE3">
        <w:t xml:space="preserve"> as well as “</w:t>
      </w:r>
      <w:r>
        <w:t>‘</w:t>
      </w:r>
      <w:r w:rsidRPr="000D2801">
        <w:rPr>
          <w:i/>
          <w:iCs/>
        </w:rPr>
        <w:t>all potential causes of action</w:t>
      </w:r>
      <w:r w:rsidRPr="00BE6CE3">
        <w:t>.</w:t>
      </w:r>
      <w:r>
        <w:t>’</w:t>
      </w:r>
      <w:r w:rsidRPr="00BE6CE3">
        <w:t xml:space="preserve">” </w:t>
      </w:r>
      <w:r>
        <w:t xml:space="preserve"> </w:t>
      </w:r>
      <w:r w:rsidRPr="00BE6CE3">
        <w:t>(</w:t>
      </w:r>
      <w:r w:rsidRPr="00BE6CE3">
        <w:rPr>
          <w:i/>
          <w:iCs/>
        </w:rPr>
        <w:t>Gottlieb</w:t>
      </w:r>
      <w:r>
        <w:t xml:space="preserve">, </w:t>
      </w:r>
      <w:r w:rsidRPr="00BE6CE3">
        <w:rPr>
          <w:i/>
          <w:iCs/>
        </w:rPr>
        <w:t>supra</w:t>
      </w:r>
      <w:r>
        <w:t xml:space="preserve">, </w:t>
      </w:r>
      <w:r w:rsidRPr="00BE6CE3">
        <w:t xml:space="preserve">141 Cal.App.4th </w:t>
      </w:r>
      <w:r>
        <w:t>at p.</w:t>
      </w:r>
      <w:r>
        <w:t> </w:t>
      </w:r>
      <w:r w:rsidRPr="00BE6CE3">
        <w:t>133</w:t>
      </w:r>
      <w:r>
        <w:t xml:space="preserve">; </w:t>
      </w:r>
      <w:r>
        <w:t xml:space="preserve">accord, </w:t>
      </w:r>
      <w:r w:rsidRPr="003F4F61">
        <w:rPr>
          <w:i/>
          <w:iCs/>
        </w:rPr>
        <w:t>Hamilton</w:t>
      </w:r>
      <w:r>
        <w:t xml:space="preserve">, </w:t>
      </w:r>
      <w:r w:rsidRPr="003F4F61">
        <w:rPr>
          <w:i/>
          <w:iCs/>
        </w:rPr>
        <w:t>supra</w:t>
      </w:r>
      <w:r>
        <w:t>, 270 F.3d at p.</w:t>
      </w:r>
      <w:r>
        <w:t> </w:t>
      </w:r>
      <w:r>
        <w:t>778</w:t>
      </w:r>
      <w:r w:rsidRPr="00BE6CE3">
        <w:t>.)</w:t>
      </w:r>
      <w:r>
        <w:t xml:space="preserve"> </w:t>
      </w:r>
      <w:r w:rsidRPr="00BE6CE3">
        <w:t xml:space="preserve"> </w:t>
      </w:r>
      <w:r w:rsidRPr="00773044">
        <w:t xml:space="preserve">In </w:t>
      </w:r>
      <w:r>
        <w:t>chapter</w:t>
      </w:r>
      <w:r w:rsidRPr="00773044">
        <w:t xml:space="preserve"> 13 bankruptcy proceedings, a debtor must disclose</w:t>
      </w:r>
      <w:r>
        <w:t xml:space="preserve"> </w:t>
      </w:r>
      <w:r w:rsidRPr="00773044">
        <w:t xml:space="preserve">not only the claims he is aware of when he files a </w:t>
      </w:r>
      <w:r w:rsidRPr="00773044">
        <w:t xml:space="preserve">petition, but also those potential claims which are acquired </w:t>
      </w:r>
      <w:r>
        <w:t>“</w:t>
      </w:r>
      <w:r w:rsidRPr="00773044">
        <w:t>after the commencement of the case but before the case is closed, dismissed, or converted.”</w:t>
      </w:r>
      <w:r>
        <w:t xml:space="preserve"> </w:t>
      </w:r>
      <w:r>
        <w:t xml:space="preserve"> </w:t>
      </w:r>
      <w:r>
        <w:t>(</w:t>
      </w:r>
      <w:r>
        <w:t>11 U.S.C. § 1306(a)(1)</w:t>
      </w:r>
      <w:r>
        <w:t xml:space="preserve">; </w:t>
      </w:r>
      <w:r>
        <w:t xml:space="preserve">accord, </w:t>
      </w:r>
      <w:r>
        <w:rPr>
          <w:i/>
          <w:iCs/>
        </w:rPr>
        <w:t>Gottlieb</w:t>
      </w:r>
      <w:r>
        <w:rPr>
          <w:i/>
          <w:iCs/>
        </w:rPr>
        <w:t>,</w:t>
      </w:r>
      <w:r>
        <w:rPr>
          <w:i/>
          <w:iCs/>
        </w:rPr>
        <w:t xml:space="preserve"> </w:t>
      </w:r>
      <w:r>
        <w:t>at p. 133</w:t>
      </w:r>
      <w:r w:rsidRPr="00773044">
        <w:t>.)</w:t>
      </w:r>
      <w:r>
        <w:t xml:space="preserve"> </w:t>
      </w:r>
    </w:p>
    <w:p w14:paraId="750DBF99" w14:textId="77777777" w:rsidR="005832F1" w:rsidRDefault="005832F1" w:rsidP="00E04D47">
      <w:pPr>
        <w:ind w:firstLine="720"/>
      </w:pPr>
      <w:r>
        <w:t xml:space="preserve">Although Miyahara identified </w:t>
      </w:r>
      <w:r>
        <w:t>West H&amp;A</w:t>
      </w:r>
      <w:r>
        <w:t xml:space="preserve"> LLC</w:t>
      </w:r>
      <w:r>
        <w:t>’s</w:t>
      </w:r>
      <w:r>
        <w:t xml:space="preserve"> fraudulent </w:t>
      </w:r>
      <w:proofErr w:type="gramStart"/>
      <w:r>
        <w:t>lien</w:t>
      </w:r>
      <w:proofErr w:type="gramEnd"/>
      <w:r>
        <w:t xml:space="preserve"> in</w:t>
      </w:r>
      <w:r>
        <w:t xml:space="preserve"> her original </w:t>
      </w:r>
      <w:r>
        <w:t>chapter</w:t>
      </w:r>
      <w:r>
        <w:t xml:space="preserve"> 13 schedule</w:t>
      </w:r>
      <w:r>
        <w:t>, she</w:t>
      </w:r>
      <w:r>
        <w:t xml:space="preserve"> never identified any claim</w:t>
      </w:r>
      <w:r>
        <w:t xml:space="preserve"> </w:t>
      </w:r>
      <w:r>
        <w:t xml:space="preserve">or cause of action </w:t>
      </w:r>
      <w:r>
        <w:t xml:space="preserve">against Wells Fargo </w:t>
      </w:r>
      <w:r>
        <w:t xml:space="preserve">while </w:t>
      </w:r>
      <w:r>
        <w:t>her</w:t>
      </w:r>
      <w:r>
        <w:t xml:space="preserve"> bankruptcy was pending</w:t>
      </w:r>
      <w:r>
        <w:t xml:space="preserve">.  </w:t>
      </w:r>
      <w:r w:rsidRPr="003A648E">
        <w:t>“</w:t>
      </w:r>
      <w:r>
        <w:t>‘</w:t>
      </w:r>
      <w:r w:rsidRPr="003A648E">
        <w:t>Courts of various jurisdictions have held that a debtor</w:t>
      </w:r>
      <w:r>
        <w:t>’</w:t>
      </w:r>
      <w:r w:rsidRPr="003A648E">
        <w:t>s assertion [in a civil action] of legal claims not disclosed in earlier bankruptcy proceedings constitutes an assumption of inconsistent positions</w:t>
      </w:r>
      <w:proofErr w:type="gramStart"/>
      <w:r>
        <w:t>. . . .</w:t>
      </w:r>
      <w:proofErr w:type="gramEnd"/>
      <w:r w:rsidRPr="003A648E">
        <w:t xml:space="preserve"> </w:t>
      </w:r>
      <w:r>
        <w:t xml:space="preserve"> </w:t>
      </w:r>
      <w:r w:rsidRPr="003A648E">
        <w:t>This holding stems from the requirement that a debtor seeking the shelter provided by federal bankruptcy laws disclose all le</w:t>
      </w:r>
      <w:r w:rsidRPr="003A648E">
        <w:t>gal or equitable property interests to a bankruptcy court</w:t>
      </w:r>
      <w:proofErr w:type="gramStart"/>
      <w:r>
        <w:t>. . . .</w:t>
      </w:r>
      <w:proofErr w:type="gramEnd"/>
      <w:r w:rsidRPr="003A648E">
        <w:t xml:space="preserve"> </w:t>
      </w:r>
      <w:r>
        <w:t xml:space="preserve"> </w:t>
      </w:r>
      <w:r w:rsidRPr="003A648E">
        <w:t>[</w:t>
      </w:r>
      <w:proofErr w:type="gramStart"/>
      <w:r w:rsidRPr="003A648E">
        <w:t xml:space="preserve">¶] </w:t>
      </w:r>
      <w:r>
        <w:t xml:space="preserve"> </w:t>
      </w:r>
      <w:r w:rsidRPr="003A648E">
        <w:t>The</w:t>
      </w:r>
      <w:proofErr w:type="gramEnd"/>
      <w:r w:rsidRPr="003A648E">
        <w:t xml:space="preserve"> omission of a cause of action or claim </w:t>
      </w:r>
      <w:r>
        <w:t>“</w:t>
      </w:r>
      <w:r w:rsidRPr="003A648E">
        <w:t>from</w:t>
      </w:r>
      <w:r>
        <w:t xml:space="preserve"> . . . </w:t>
      </w:r>
      <w:r w:rsidRPr="003A648E">
        <w:t>mandatory bankruptcy filings is tantamount to a representation that no such claim existed.</w:t>
      </w:r>
      <w:r>
        <w:t>”</w:t>
      </w:r>
      <w:r w:rsidRPr="003A648E">
        <w:t>’”</w:t>
      </w:r>
      <w:r>
        <w:t xml:space="preserve"> </w:t>
      </w:r>
      <w:r>
        <w:t xml:space="preserve"> </w:t>
      </w:r>
      <w:r>
        <w:t>(</w:t>
      </w:r>
      <w:r w:rsidRPr="003A648E">
        <w:rPr>
          <w:i/>
          <w:iCs/>
        </w:rPr>
        <w:t>Gottlieb</w:t>
      </w:r>
      <w:r>
        <w:t xml:space="preserve">, </w:t>
      </w:r>
      <w:r w:rsidRPr="008766EB">
        <w:rPr>
          <w:i/>
          <w:iCs/>
        </w:rPr>
        <w:t>supra</w:t>
      </w:r>
      <w:r>
        <w:t>, 141 Cal.App.4th at p. 137.)</w:t>
      </w:r>
    </w:p>
    <w:p w14:paraId="2B7C5488" w14:textId="77777777" w:rsidR="005832F1" w:rsidRPr="00E65DAF" w:rsidRDefault="005832F1" w:rsidP="005E358B">
      <w:pPr>
        <w:keepNext/>
        <w:keepLines/>
        <w:ind w:firstLine="720"/>
        <w:rPr>
          <w:b/>
          <w:bCs/>
        </w:rPr>
      </w:pPr>
      <w:r w:rsidRPr="00FA551A">
        <w:rPr>
          <w:i/>
          <w:iCs/>
        </w:rPr>
        <w:lastRenderedPageBreak/>
        <w:t>Hamilton</w:t>
      </w:r>
      <w:r>
        <w:t xml:space="preserve"> </w:t>
      </w:r>
      <w:r>
        <w:t>is instructive.</w:t>
      </w:r>
      <w:r>
        <w:t xml:space="preserve">  </w:t>
      </w:r>
      <w:r>
        <w:t>There</w:t>
      </w:r>
      <w:r w:rsidRPr="008E2E7C">
        <w:t xml:space="preserve"> the debtor filed a </w:t>
      </w:r>
      <w:r>
        <w:t>chapter</w:t>
      </w:r>
      <w:r w:rsidRPr="008E2E7C">
        <w:t xml:space="preserve"> 7 bankruptcy case in which he </w:t>
      </w:r>
      <w:r>
        <w:t>listed on his schedule</w:t>
      </w:r>
      <w:r w:rsidRPr="008E2E7C">
        <w:t xml:space="preserve"> a $160,000 </w:t>
      </w:r>
      <w:r>
        <w:t xml:space="preserve">vandalism </w:t>
      </w:r>
      <w:r w:rsidRPr="008E2E7C">
        <w:t>loss</w:t>
      </w:r>
      <w:r>
        <w:t xml:space="preserve"> against his estate</w:t>
      </w:r>
      <w:r w:rsidRPr="008E2E7C">
        <w:t xml:space="preserve"> but failed to list on his schedule of assets a claim against his homeowners</w:t>
      </w:r>
      <w:r w:rsidRPr="008E2E7C">
        <w:t>’</w:t>
      </w:r>
      <w:r w:rsidRPr="008E2E7C">
        <w:t xml:space="preserve"> insurer for this </w:t>
      </w:r>
      <w:r w:rsidRPr="008E2E7C">
        <w:t xml:space="preserve">same </w:t>
      </w:r>
      <w:r w:rsidRPr="008E2E7C">
        <w:t xml:space="preserve">loss. </w:t>
      </w:r>
      <w:r w:rsidRPr="008E2E7C">
        <w:t xml:space="preserve"> </w:t>
      </w:r>
      <w:r w:rsidRPr="008E2E7C">
        <w:t>(</w:t>
      </w:r>
      <w:r w:rsidRPr="008E2E7C">
        <w:rPr>
          <w:i/>
          <w:iCs/>
        </w:rPr>
        <w:t>Hamilton</w:t>
      </w:r>
      <w:r w:rsidRPr="008E2E7C">
        <w:t xml:space="preserve">, </w:t>
      </w:r>
      <w:r w:rsidRPr="008E2E7C">
        <w:rPr>
          <w:i/>
          <w:iCs/>
        </w:rPr>
        <w:t>supra</w:t>
      </w:r>
      <w:r w:rsidRPr="008E2E7C">
        <w:t xml:space="preserve">, 270 F.3d at p. 781.) </w:t>
      </w:r>
      <w:r w:rsidRPr="008E2E7C">
        <w:t xml:space="preserve"> </w:t>
      </w:r>
      <w:r w:rsidRPr="008E2E7C">
        <w:t>After the</w:t>
      </w:r>
      <w:r w:rsidRPr="008E2E7C">
        <w:t xml:space="preserve"> debtor received his discharge in bankruptcy</w:t>
      </w:r>
      <w:r w:rsidRPr="008E2E7C">
        <w:t>, he filed a</w:t>
      </w:r>
      <w:r w:rsidRPr="008E2E7C">
        <w:t xml:space="preserve"> claim against the insurer in district court </w:t>
      </w:r>
      <w:r w:rsidRPr="008E2E7C">
        <w:t>following</w:t>
      </w:r>
      <w:r w:rsidRPr="008E2E7C">
        <w:t xml:space="preserve"> the dismissal of </w:t>
      </w:r>
      <w:r w:rsidRPr="008E2E7C">
        <w:t>his</w:t>
      </w:r>
      <w:r w:rsidRPr="008E2E7C">
        <w:t xml:space="preserve"> bankruptcy case.</w:t>
      </w:r>
      <w:r>
        <w:t xml:space="preserve"> </w:t>
      </w:r>
      <w:r w:rsidRPr="008E2E7C">
        <w:t xml:space="preserve"> (</w:t>
      </w:r>
      <w:r w:rsidRPr="008E2E7C">
        <w:rPr>
          <w:i/>
          <w:iCs/>
        </w:rPr>
        <w:t>Id</w:t>
      </w:r>
      <w:r w:rsidRPr="008E2E7C">
        <w:t>. at pp. 781</w:t>
      </w:r>
      <w:r>
        <w:t>-</w:t>
      </w:r>
      <w:r w:rsidRPr="008E2E7C">
        <w:t xml:space="preserve">782.) </w:t>
      </w:r>
      <w:r>
        <w:t xml:space="preserve"> </w:t>
      </w:r>
      <w:r w:rsidRPr="008E2E7C">
        <w:t xml:space="preserve">The Ninth Circuit </w:t>
      </w:r>
      <w:r>
        <w:t xml:space="preserve">concluded the </w:t>
      </w:r>
      <w:r>
        <w:t>lawsuit</w:t>
      </w:r>
      <w:r w:rsidRPr="008E2E7C">
        <w:t xml:space="preserve"> was barred by judicial estoppel because</w:t>
      </w:r>
      <w:r>
        <w:rPr>
          <w:b/>
          <w:bCs/>
        </w:rPr>
        <w:t xml:space="preserve"> </w:t>
      </w:r>
      <w:r w:rsidRPr="004D31D7">
        <w:t>“</w:t>
      </w:r>
      <w:r w:rsidRPr="003905C8">
        <w:t xml:space="preserve">Hamilton clearly asserted inconsistent positions. </w:t>
      </w:r>
      <w:r>
        <w:t xml:space="preserve"> </w:t>
      </w:r>
      <w:r w:rsidRPr="003905C8">
        <w:t xml:space="preserve">He failed to list his claims against State Farm as </w:t>
      </w:r>
      <w:r w:rsidRPr="003905C8">
        <w:t>assets on his bankruptcy schedules, and then later sued State Farm on the same claim</w:t>
      </w:r>
      <w:r>
        <w:t>.”  (</w:t>
      </w:r>
      <w:r w:rsidRPr="008E2E7C">
        <w:rPr>
          <w:i/>
          <w:iCs/>
        </w:rPr>
        <w:t>Id.</w:t>
      </w:r>
      <w:r>
        <w:t xml:space="preserve"> at p. 784.)</w:t>
      </w:r>
      <w:r>
        <w:t xml:space="preserve">  </w:t>
      </w:r>
      <w:r w:rsidRPr="00F77A17">
        <w:t xml:space="preserve">Although the debtor claimed State Farm “was fully aware of his pending claims,” this was insufficient because “Hamilton is required to have </w:t>
      </w:r>
      <w:r w:rsidRPr="00F77A17">
        <w:t>amended his disclosure statements and schedules to provide the requisite notice, because of the express duties of disclosure imposed on him by 11 U.S.C. 521(1), and because both the court and Hamilton</w:t>
      </w:r>
      <w:r>
        <w:t>’</w:t>
      </w:r>
      <w:r w:rsidRPr="00F77A17">
        <w:t xml:space="preserve">s creditors base their actions on the disclosure statements and schedules.” </w:t>
      </w:r>
      <w:r>
        <w:t xml:space="preserve"> </w:t>
      </w:r>
      <w:r w:rsidRPr="00F77A17">
        <w:t>(</w:t>
      </w:r>
      <w:r w:rsidRPr="00F77A17">
        <w:rPr>
          <w:i/>
          <w:iCs/>
        </w:rPr>
        <w:t>Ibid</w:t>
      </w:r>
      <w:r w:rsidRPr="00F77A17">
        <w:t>.)</w:t>
      </w:r>
    </w:p>
    <w:p w14:paraId="5BC3BA4C" w14:textId="77777777" w:rsidR="005832F1" w:rsidRDefault="005832F1" w:rsidP="0008798D">
      <w:pPr>
        <w:ind w:firstLine="720"/>
      </w:pPr>
      <w:r>
        <w:t xml:space="preserve">Similarly, Miyahara failed to list her claim against Wells Fargo and, </w:t>
      </w:r>
      <w:r>
        <w:t xml:space="preserve">after her bankruptcy was dismissed </w:t>
      </w:r>
      <w:r>
        <w:t>in December 2019</w:t>
      </w:r>
      <w:r w:rsidRPr="004D31D7">
        <w:t>,</w:t>
      </w:r>
      <w:r>
        <w:t xml:space="preserve"> she filed this action against Wells Fargo</w:t>
      </w:r>
      <w:r>
        <w:t xml:space="preserve"> in November 2020</w:t>
      </w:r>
      <w:r>
        <w:t xml:space="preserve">. </w:t>
      </w:r>
      <w:r>
        <w:t xml:space="preserve"> This is an inconsistent position that </w:t>
      </w:r>
      <w:r>
        <w:t>was</w:t>
      </w:r>
      <w:r>
        <w:t xml:space="preserve"> not rectified by filing an amended bankruptcy schedule </w:t>
      </w:r>
      <w:r>
        <w:t>after the bankruptcy petition had already been dismissed by the bankruptcy court</w:t>
      </w:r>
      <w:r>
        <w:t xml:space="preserve">.  </w:t>
      </w:r>
      <w:r>
        <w:t>(See 11 U.S.C. §</w:t>
      </w:r>
      <w:r>
        <w:t> </w:t>
      </w:r>
      <w:r>
        <w:t>1306(a)(1) [i</w:t>
      </w:r>
      <w:r w:rsidRPr="00EF2406">
        <w:t xml:space="preserve">n </w:t>
      </w:r>
      <w:r>
        <w:t>chapter</w:t>
      </w:r>
      <w:r w:rsidRPr="00EF2406">
        <w:t xml:space="preserve"> 13 bankruptcy proceedings, debtor</w:t>
      </w:r>
      <w:r>
        <w:t>s</w:t>
      </w:r>
      <w:r w:rsidRPr="00EF2406">
        <w:t xml:space="preserve"> must disclose not only the claims </w:t>
      </w:r>
      <w:r>
        <w:t xml:space="preserve">they are </w:t>
      </w:r>
      <w:r w:rsidRPr="00EF2406">
        <w:t xml:space="preserve">aware of when </w:t>
      </w:r>
      <w:r>
        <w:t xml:space="preserve">filing a </w:t>
      </w:r>
      <w:r w:rsidRPr="00EF2406">
        <w:t>petition, but also potential claims acquired “after the commencement of the case but before the case is closed, dismissed, or converted</w:t>
      </w:r>
      <w:r>
        <w:t>”]</w:t>
      </w:r>
      <w:r>
        <w:t xml:space="preserve">; see </w:t>
      </w:r>
      <w:proofErr w:type="spellStart"/>
      <w:r w:rsidRPr="00D61963">
        <w:rPr>
          <w:i/>
          <w:iCs/>
        </w:rPr>
        <w:t>Balthrope</w:t>
      </w:r>
      <w:proofErr w:type="spellEnd"/>
      <w:r w:rsidRPr="00D61963">
        <w:rPr>
          <w:i/>
          <w:iCs/>
        </w:rPr>
        <w:t xml:space="preserve"> v. Sacramento County </w:t>
      </w:r>
      <w:r w:rsidRPr="00D61963">
        <w:rPr>
          <w:i/>
          <w:iCs/>
        </w:rPr>
        <w:lastRenderedPageBreak/>
        <w:t xml:space="preserve">Dept. of Health </w:t>
      </w:r>
      <w:r w:rsidRPr="00D61963">
        <w:rPr>
          <w:i/>
          <w:iCs/>
        </w:rPr>
        <w:t>and Human Services</w:t>
      </w:r>
      <w:r>
        <w:t xml:space="preserve"> (9th Cir. 2010) 398</w:t>
      </w:r>
      <w:r>
        <w:t> </w:t>
      </w:r>
      <w:proofErr w:type="spellStart"/>
      <w:r>
        <w:t>Fed.Appx</w:t>
      </w:r>
      <w:proofErr w:type="spellEnd"/>
      <w:r>
        <w:t>. 285, 286 [“</w:t>
      </w:r>
      <w:r w:rsidRPr="00D61963">
        <w:t xml:space="preserve">Contrary to </w:t>
      </w:r>
      <w:proofErr w:type="spellStart"/>
      <w:r w:rsidRPr="00D61963">
        <w:t>Balthrope</w:t>
      </w:r>
      <w:r>
        <w:t>’</w:t>
      </w:r>
      <w:r w:rsidRPr="00D61963">
        <w:t>s</w:t>
      </w:r>
      <w:proofErr w:type="spellEnd"/>
      <w:r w:rsidRPr="00D61963">
        <w:t xml:space="preserve"> contention, he was required to amend his bankruptcy petition to include the post-petition claim because his Chapter 13 bankruptcy proceeding had not been closed, dismissed, or converted</w:t>
      </w:r>
      <w:r>
        <w:t>.</w:t>
      </w:r>
      <w:r>
        <w:t>”]</w:t>
      </w:r>
      <w:r>
        <w:t xml:space="preserve">.) </w:t>
      </w:r>
    </w:p>
    <w:p w14:paraId="7ECEEE17" w14:textId="77777777" w:rsidR="005832F1" w:rsidRDefault="005832F1" w:rsidP="009B6DD7"/>
    <w:p w14:paraId="6390EB8E" w14:textId="77777777" w:rsidR="005832F1" w:rsidRDefault="005832F1" w:rsidP="009B6DD7">
      <w:pPr>
        <w:ind w:left="1440" w:hanging="720"/>
      </w:pPr>
      <w:r>
        <w:t>2.</w:t>
      </w:r>
      <w:r>
        <w:tab/>
      </w:r>
      <w:r w:rsidRPr="00F05FBE">
        <w:rPr>
          <w:i/>
          <w:iCs/>
        </w:rPr>
        <w:t>The</w:t>
      </w:r>
      <w:r>
        <w:t xml:space="preserve"> </w:t>
      </w:r>
      <w:r w:rsidRPr="00FF3F19">
        <w:rPr>
          <w:i/>
          <w:iCs/>
        </w:rPr>
        <w:t xml:space="preserve">Bankruptcy Court </w:t>
      </w:r>
      <w:r>
        <w:rPr>
          <w:i/>
          <w:iCs/>
        </w:rPr>
        <w:t xml:space="preserve">Accepted </w:t>
      </w:r>
      <w:r>
        <w:rPr>
          <w:i/>
          <w:iCs/>
        </w:rPr>
        <w:t>Miyahara’s</w:t>
      </w:r>
      <w:r>
        <w:rPr>
          <w:i/>
          <w:iCs/>
        </w:rPr>
        <w:t xml:space="preserve"> Position</w:t>
      </w:r>
    </w:p>
    <w:p w14:paraId="49A98286" w14:textId="77777777" w:rsidR="005832F1" w:rsidRDefault="005832F1" w:rsidP="005D0F23">
      <w:pPr>
        <w:ind w:firstLine="720"/>
      </w:pPr>
      <w:r>
        <w:t>The</w:t>
      </w:r>
      <w:r>
        <w:t xml:space="preserve"> </w:t>
      </w:r>
      <w:r>
        <w:t>b</w:t>
      </w:r>
      <w:r>
        <w:t xml:space="preserve">ankruptcy </w:t>
      </w:r>
      <w:r>
        <w:t>c</w:t>
      </w:r>
      <w:r>
        <w:t xml:space="preserve">ourt </w:t>
      </w:r>
      <w:r>
        <w:t xml:space="preserve">confirmed Miyahara’s </w:t>
      </w:r>
      <w:r>
        <w:t>c</w:t>
      </w:r>
      <w:r>
        <w:t xml:space="preserve">hapter 13 bankruptcy plan on January 24, 2018.  </w:t>
      </w:r>
      <w:r>
        <w:t xml:space="preserve">Despite </w:t>
      </w:r>
      <w:r>
        <w:t xml:space="preserve">the bankruptcy court’s confirmation of her plan, </w:t>
      </w:r>
      <w:r>
        <w:t xml:space="preserve">Miyahara </w:t>
      </w:r>
      <w:r>
        <w:t>contends</w:t>
      </w:r>
      <w:r>
        <w:t xml:space="preserve"> she </w:t>
      </w:r>
      <w:r>
        <w:t xml:space="preserve">did not successfully persuade the bankruptcy court </w:t>
      </w:r>
      <w:r>
        <w:t>to adopt an</w:t>
      </w:r>
      <w:r>
        <w:t xml:space="preserve"> inconsistent position</w:t>
      </w:r>
      <w:r>
        <w:t>.  According to Miyahara,</w:t>
      </w:r>
      <w:r>
        <w:t xml:space="preserve"> </w:t>
      </w:r>
      <w:r>
        <w:t xml:space="preserve">she “proposed to pay her regular monthly mortgage payment and cure all pre-petition arrearages owed to Wells Fargo Bank” and </w:t>
      </w:r>
      <w:r>
        <w:t>the bankruptcy court</w:t>
      </w:r>
      <w:r>
        <w:t xml:space="preserve">, in confirming her </w:t>
      </w:r>
      <w:r>
        <w:t>chapter</w:t>
      </w:r>
      <w:r>
        <w:t xml:space="preserve"> 13 plan</w:t>
      </w:r>
      <w:r>
        <w:t xml:space="preserve">, </w:t>
      </w:r>
      <w:r>
        <w:t xml:space="preserve">ordered her to pay 100 percent of all nonpriority, unsecured creditors, including Wells Fargo.  </w:t>
      </w:r>
      <w:r>
        <w:t>(</w:t>
      </w:r>
      <w:r>
        <w:t xml:space="preserve">See </w:t>
      </w:r>
      <w:r w:rsidRPr="00617792">
        <w:rPr>
          <w:i/>
          <w:iCs/>
        </w:rPr>
        <w:t>Gottlieb</w:t>
      </w:r>
      <w:r>
        <w:t xml:space="preserve">, </w:t>
      </w:r>
      <w:r w:rsidRPr="00617792">
        <w:rPr>
          <w:i/>
          <w:iCs/>
        </w:rPr>
        <w:t>supra</w:t>
      </w:r>
      <w:r>
        <w:t>, 141 Cal.App.4th at p. 137 [“</w:t>
      </w:r>
      <w:r w:rsidRPr="00617792">
        <w:t>Nev</w:t>
      </w:r>
      <w:r w:rsidRPr="00617792">
        <w:t xml:space="preserve">ertheless, one of the judicial estoppel factors—success in asserting the prior position—is not present: </w:t>
      </w:r>
      <w:r>
        <w:t xml:space="preserve"> </w:t>
      </w:r>
      <w:r w:rsidRPr="00617792">
        <w:t xml:space="preserve">The bankruptcy court did not </w:t>
      </w:r>
      <w:r>
        <w:t>‘</w:t>
      </w:r>
      <w:r w:rsidRPr="00617792">
        <w:t>adopt[] the [prior] position or accept[] it as true.</w:t>
      </w:r>
      <w:r>
        <w:t>’</w:t>
      </w:r>
      <w:r w:rsidRPr="00617792">
        <w:t>”</w:t>
      </w:r>
      <w:r>
        <w:t xml:space="preserve">]; accord, </w:t>
      </w:r>
      <w:r w:rsidRPr="00617792">
        <w:rPr>
          <w:i/>
          <w:iCs/>
        </w:rPr>
        <w:t>Hamilton v. Greenwich Investors XXVI, LLC</w:t>
      </w:r>
      <w:r>
        <w:t xml:space="preserve"> (2011) 195 Cal.App.4th 1602, 1613 [“the court found the doctrine did not apply because ‘the bankruptcy court did not adopt or accept the truth of [plaintiff</w:t>
      </w:r>
      <w:r>
        <w:t>’</w:t>
      </w:r>
      <w:r>
        <w:t>s] position that [the debtor] did not have any legal claims’ and ‘the bankruptcy case was dismissed without confi</w:t>
      </w:r>
      <w:r>
        <w:t>rmation of a plan of reorganization’”].)</w:t>
      </w:r>
    </w:p>
    <w:p w14:paraId="070123A7" w14:textId="77777777" w:rsidR="005832F1" w:rsidRDefault="005832F1" w:rsidP="00FE0732">
      <w:pPr>
        <w:keepNext/>
        <w:keepLines/>
        <w:ind w:firstLine="720"/>
      </w:pPr>
      <w:r>
        <w:lastRenderedPageBreak/>
        <w:t>T</w:t>
      </w:r>
      <w:r>
        <w:t xml:space="preserve">he bankruptcy court confirmed Miyahara’s </w:t>
      </w:r>
      <w:r>
        <w:t xml:space="preserve">bankruptcy </w:t>
      </w:r>
      <w:r>
        <w:t xml:space="preserve">plan </w:t>
      </w:r>
      <w:r>
        <w:t xml:space="preserve">based on the </w:t>
      </w:r>
      <w:r>
        <w:t>disclosures</w:t>
      </w:r>
      <w:r>
        <w:t xml:space="preserve"> made </w:t>
      </w:r>
      <w:r>
        <w:t>in her bankruptcy schedule</w:t>
      </w:r>
      <w:r>
        <w:t>,</w:t>
      </w:r>
      <w:r>
        <w:t xml:space="preserve"> </w:t>
      </w:r>
      <w:r>
        <w:t xml:space="preserve">and thus </w:t>
      </w:r>
      <w:r>
        <w:t>the bankruptcy court accepted her position for purposes of judicial estoppel</w:t>
      </w:r>
      <w:r>
        <w:t>.</w:t>
      </w:r>
      <w:r>
        <w:rPr>
          <w:rStyle w:val="FootnoteReference"/>
        </w:rPr>
        <w:footnoteReference w:id="8"/>
      </w:r>
      <w:r>
        <w:t xml:space="preserve"> </w:t>
      </w:r>
      <w:r>
        <w:t xml:space="preserve"> </w:t>
      </w:r>
      <w:r>
        <w:t xml:space="preserve">As </w:t>
      </w:r>
      <w:r>
        <w:rPr>
          <w:i/>
          <w:iCs/>
        </w:rPr>
        <w:t xml:space="preserve">Hamilton </w:t>
      </w:r>
      <w:r>
        <w:t>explained, “</w:t>
      </w:r>
      <w:r>
        <w:t>‘</w:t>
      </w:r>
      <w:r w:rsidRPr="00DB0A79">
        <w:t xml:space="preserve">In chapter 13 cases, debtors file schedules on which the chapter 13 trustee and the court rely to confirm chapter 13 plans. </w:t>
      </w:r>
      <w:r>
        <w:t xml:space="preserve"> </w:t>
      </w:r>
      <w:r w:rsidRPr="00DB0A79">
        <w:t xml:space="preserve">In those chapters, the discharge occurs only if the plan is confirmed; therefore, false statements in the schedules or disclosure statement are effectively </w:t>
      </w:r>
      <w:r>
        <w:t>“</w:t>
      </w:r>
      <w:r w:rsidRPr="00DB0A79">
        <w:t>accepted</w:t>
      </w:r>
      <w:r>
        <w:t>”</w:t>
      </w:r>
      <w:r w:rsidRPr="00DB0A79">
        <w:t xml:space="preserve"> by the Court.</w:t>
      </w:r>
      <w:r>
        <w:t>’</w:t>
      </w:r>
      <w:r w:rsidRPr="00DB0A79">
        <w:t>”</w:t>
      </w:r>
      <w:r>
        <w:t xml:space="preserve"> </w:t>
      </w:r>
      <w:r>
        <w:t xml:space="preserve"> </w:t>
      </w:r>
      <w:r>
        <w:t>(</w:t>
      </w:r>
      <w:r w:rsidRPr="00DB0A79">
        <w:rPr>
          <w:i/>
          <w:iCs/>
        </w:rPr>
        <w:t>Hamilton</w:t>
      </w:r>
      <w:r>
        <w:rPr>
          <w:i/>
          <w:iCs/>
        </w:rPr>
        <w:t xml:space="preserve"> v. Greenwich Investors XXVI, LLC</w:t>
      </w:r>
      <w:r w:rsidRPr="00DB0A79">
        <w:t xml:space="preserve">, </w:t>
      </w:r>
      <w:r w:rsidRPr="00DB0A79">
        <w:rPr>
          <w:i/>
          <w:iCs/>
        </w:rPr>
        <w:t>supra</w:t>
      </w:r>
      <w:r w:rsidRPr="00DB0A79">
        <w:t>, 195 Cal.App.4th at p.</w:t>
      </w:r>
      <w:r>
        <w:t> </w:t>
      </w:r>
      <w:r w:rsidRPr="00DB0A79">
        <w:t>161</w:t>
      </w:r>
      <w:r>
        <w:t>1, fn. 4.)</w:t>
      </w:r>
    </w:p>
    <w:p w14:paraId="51C17065" w14:textId="77777777" w:rsidR="005832F1" w:rsidRDefault="005832F1" w:rsidP="0008798D">
      <w:pPr>
        <w:ind w:firstLine="720"/>
      </w:pPr>
      <w:r>
        <w:t xml:space="preserve">Although the bankruptcy court ultimately dismissed Miyahara’s bankruptcy petition, it did so after confirming her plan, which is sufficient for purposes of judicial estoppel.  (See </w:t>
      </w:r>
      <w:bookmarkStart w:id="0" w:name="_Hlk150708481"/>
      <w:r w:rsidRPr="00DB0A79">
        <w:rPr>
          <w:i/>
          <w:iCs/>
        </w:rPr>
        <w:t>Gottlieb</w:t>
      </w:r>
      <w:r w:rsidRPr="00DB0A79">
        <w:t xml:space="preserve">, </w:t>
      </w:r>
      <w:r w:rsidRPr="00DB0A79">
        <w:rPr>
          <w:i/>
          <w:iCs/>
        </w:rPr>
        <w:t>supra</w:t>
      </w:r>
      <w:r w:rsidRPr="00DB0A79">
        <w:t xml:space="preserve">, 141 Cal.App.4th at p. 141 </w:t>
      </w:r>
      <w:bookmarkEnd w:id="0"/>
      <w:r w:rsidRPr="00DB0A79">
        <w:t>[</w:t>
      </w:r>
      <w:r>
        <w:t>“</w:t>
      </w:r>
      <w:r>
        <w:t>‘</w:t>
      </w:r>
      <w:r w:rsidRPr="00DB0A79">
        <w:t xml:space="preserve">The meaning of </w:t>
      </w:r>
      <w:r>
        <w:t>“</w:t>
      </w:r>
      <w:r w:rsidRPr="00DB0A79">
        <w:t>acceptance</w:t>
      </w:r>
      <w:r>
        <w:t>”</w:t>
      </w:r>
      <w:r w:rsidRPr="00DB0A79">
        <w:t xml:space="preserve"> in the bankruptcy context is construed broadly to </w:t>
      </w:r>
      <w:r>
        <w:t>“</w:t>
      </w:r>
      <w:proofErr w:type="gramStart"/>
      <w:r w:rsidRPr="00DB0A79">
        <w:t>protect[</w:t>
      </w:r>
      <w:proofErr w:type="gramEnd"/>
      <w:r w:rsidRPr="00DB0A79">
        <w:t>] the integrity of the bankruptcy process.</w:t>
      </w:r>
      <w:r>
        <w:t>”</w:t>
      </w:r>
      <w:r w:rsidRPr="00DB0A79">
        <w:t xml:space="preserve"> </w:t>
      </w:r>
      <w:r>
        <w:t xml:space="preserve">. . . </w:t>
      </w:r>
      <w:r>
        <w:t xml:space="preserve"> </w:t>
      </w:r>
      <w:r w:rsidRPr="00DB0A79">
        <w:t xml:space="preserve">Among other possibilities, </w:t>
      </w:r>
      <w:r>
        <w:t xml:space="preserve">. . . </w:t>
      </w:r>
      <w:r w:rsidRPr="00DB0A79">
        <w:t xml:space="preserve">the confirmation of a plan may constitute sufficient </w:t>
      </w:r>
      <w:r>
        <w:t>“</w:t>
      </w:r>
      <w:r w:rsidRPr="00DB0A79">
        <w:t>acceptance</w:t>
      </w:r>
      <w:r>
        <w:t>”</w:t>
      </w:r>
      <w:r w:rsidRPr="00DB0A79">
        <w:t xml:space="preserve"> of the accuracy of schedules so as to permit judicial estoppel.</w:t>
      </w:r>
      <w:r>
        <w:t>’</w:t>
      </w:r>
      <w:r w:rsidRPr="00DB0A79">
        <w:t>”]</w:t>
      </w:r>
      <w:r>
        <w:t xml:space="preserve">; see also </w:t>
      </w:r>
      <w:r w:rsidRPr="000D0881">
        <w:rPr>
          <w:i/>
          <w:iCs/>
        </w:rPr>
        <w:t xml:space="preserve">Ah Quin v. </w:t>
      </w:r>
      <w:r>
        <w:rPr>
          <w:i/>
          <w:iCs/>
        </w:rPr>
        <w:t xml:space="preserve">County </w:t>
      </w:r>
      <w:r w:rsidRPr="000D0881">
        <w:rPr>
          <w:i/>
          <w:iCs/>
        </w:rPr>
        <w:t xml:space="preserve">of Kauai </w:t>
      </w:r>
      <w:r>
        <w:rPr>
          <w:i/>
          <w:iCs/>
        </w:rPr>
        <w:t xml:space="preserve">Department </w:t>
      </w:r>
      <w:r w:rsidRPr="000D0881">
        <w:rPr>
          <w:i/>
          <w:iCs/>
        </w:rPr>
        <w:t>of</w:t>
      </w:r>
      <w:r>
        <w:rPr>
          <w:i/>
          <w:iCs/>
        </w:rPr>
        <w:t xml:space="preserve"> Transportation</w:t>
      </w:r>
      <w:r w:rsidRPr="000D0881">
        <w:rPr>
          <w:i/>
          <w:iCs/>
        </w:rPr>
        <w:t xml:space="preserve"> </w:t>
      </w:r>
      <w:r w:rsidRPr="000D0881">
        <w:t xml:space="preserve">(9th Cir. 2013) 733 F.3d 267, </w:t>
      </w:r>
      <w:r>
        <w:t>271 [“I</w:t>
      </w:r>
      <w:r w:rsidRPr="00CF45E6">
        <w:t xml:space="preserve">n the bankruptcy context, the federal courts have developed a </w:t>
      </w:r>
      <w:r w:rsidRPr="00CF45E6">
        <w:lastRenderedPageBreak/>
        <w:t xml:space="preserve">basic default rule: </w:t>
      </w:r>
      <w:r>
        <w:t xml:space="preserve"> </w:t>
      </w:r>
      <w:r w:rsidRPr="00CF45E6">
        <w:t>If a plaintiff-debtor omits a pending (or soon-to-be-filed) lawsuit from the bankruptcy schedules and obtains a discharge (or plan confirmation), judicial estoppel bars the action</w:t>
      </w:r>
      <w:r>
        <w:t>.</w:t>
      </w:r>
      <w:r>
        <w:t>”]</w:t>
      </w:r>
      <w:r>
        <w:t>.)</w:t>
      </w:r>
    </w:p>
    <w:p w14:paraId="0501AB69" w14:textId="77777777" w:rsidR="005832F1" w:rsidRDefault="005832F1">
      <w:pPr>
        <w:spacing w:after="160" w:line="259" w:lineRule="auto"/>
      </w:pPr>
    </w:p>
    <w:p w14:paraId="2C199105" w14:textId="77777777" w:rsidR="005832F1" w:rsidRDefault="005832F1" w:rsidP="002D1B43">
      <w:pPr>
        <w:ind w:left="1440" w:hanging="720"/>
        <w:rPr>
          <w:i/>
          <w:iCs/>
        </w:rPr>
      </w:pPr>
      <w:r>
        <w:t>3.</w:t>
      </w:r>
      <w:r>
        <w:tab/>
      </w:r>
      <w:r w:rsidRPr="002D1B43">
        <w:rPr>
          <w:i/>
          <w:iCs/>
        </w:rPr>
        <w:t xml:space="preserve">The Trial Court Improperly Determined on Demurrer </w:t>
      </w:r>
      <w:r>
        <w:rPr>
          <w:i/>
          <w:iCs/>
        </w:rPr>
        <w:t xml:space="preserve">that </w:t>
      </w:r>
      <w:r w:rsidRPr="002D1B43">
        <w:rPr>
          <w:i/>
          <w:iCs/>
        </w:rPr>
        <w:t xml:space="preserve">Miyahara’s Actions Were Not </w:t>
      </w:r>
      <w:r>
        <w:rPr>
          <w:i/>
          <w:iCs/>
        </w:rPr>
        <w:t>t</w:t>
      </w:r>
      <w:r w:rsidRPr="002D1B43">
        <w:rPr>
          <w:i/>
          <w:iCs/>
        </w:rPr>
        <w:t>he Result of Mistake or Inadvertence</w:t>
      </w:r>
    </w:p>
    <w:p w14:paraId="6BDD374B" w14:textId="77777777" w:rsidR="005832F1" w:rsidRDefault="005832F1" w:rsidP="002D1B43">
      <w:pPr>
        <w:ind w:firstLine="720"/>
      </w:pPr>
      <w:r>
        <w:t xml:space="preserve">Miyahara </w:t>
      </w:r>
      <w:r>
        <w:t xml:space="preserve">concedes her original bankruptcy schedules did not list her present claim against Wells Fargo but </w:t>
      </w:r>
      <w:r>
        <w:t xml:space="preserve">argues </w:t>
      </w:r>
      <w:r>
        <w:t>that</w:t>
      </w:r>
      <w:r>
        <w:t xml:space="preserve"> </w:t>
      </w:r>
      <w:r>
        <w:t xml:space="preserve">this </w:t>
      </w:r>
      <w:r>
        <w:t xml:space="preserve">was the result of mistake or inadvertence.  </w:t>
      </w:r>
      <w:r>
        <w:t>“</w:t>
      </w:r>
      <w:r>
        <w:t>‘</w:t>
      </w:r>
      <w:r>
        <w:t>[T]</w:t>
      </w:r>
      <w:r w:rsidRPr="006D76B7">
        <w:t>he doctrine of ju</w:t>
      </w:r>
      <w:r>
        <w:t xml:space="preserve">dicial estoppel does not apply </w:t>
      </w:r>
      <w:r>
        <w:t>“</w:t>
      </w:r>
      <w:r w:rsidRPr="006D76B7">
        <w:t>when the prior position was taken because of a good faith mistake rather than as part of</w:t>
      </w:r>
      <w:r>
        <w:t xml:space="preserve"> a scheme to mislead the court.</w:t>
      </w:r>
      <w:r>
        <w:t>”</w:t>
      </w:r>
      <w:r w:rsidRPr="006D76B7">
        <w:t xml:space="preserve"> </w:t>
      </w:r>
      <w:r>
        <w:t xml:space="preserve"> </w:t>
      </w:r>
      <w:r w:rsidRPr="006D76B7">
        <w:t xml:space="preserve">[Citation.] </w:t>
      </w:r>
      <w:r>
        <w:t xml:space="preserve"> </w:t>
      </w:r>
      <w:r w:rsidRPr="006D76B7">
        <w:t>An inconsistent argument sufficient to invoke judicial estoppel must be attributab</w:t>
      </w:r>
      <w:r>
        <w:t>le to intentional wrongdoing.’”  (</w:t>
      </w:r>
      <w:r>
        <w:rPr>
          <w:i/>
        </w:rPr>
        <w:t>Haley v. Dow Lewis Motors, Inc</w:t>
      </w:r>
      <w:r>
        <w:rPr>
          <w:i/>
        </w:rPr>
        <w:t>.</w:t>
      </w:r>
      <w:r w:rsidRPr="001B452E">
        <w:t>,</w:t>
      </w:r>
      <w:r>
        <w:rPr>
          <w:i/>
        </w:rPr>
        <w:t xml:space="preserve"> supra</w:t>
      </w:r>
      <w:r>
        <w:rPr>
          <w:bCs/>
          <w:iCs/>
        </w:rPr>
        <w:t>,</w:t>
      </w:r>
      <w:r>
        <w:rPr>
          <w:i/>
        </w:rPr>
        <w:t xml:space="preserve"> </w:t>
      </w:r>
      <w:r>
        <w:t>72 Cal.A</w:t>
      </w:r>
      <w:r>
        <w:t>pp.4th at pp.</w:t>
      </w:r>
      <w:r w:rsidRPr="006D76B7">
        <w:t xml:space="preserve"> 509</w:t>
      </w:r>
      <w:r>
        <w:t>-</w:t>
      </w:r>
      <w:r w:rsidRPr="006D76B7">
        <w:t>510</w:t>
      </w:r>
      <w:r>
        <w:t xml:space="preserve">; accord, </w:t>
      </w:r>
      <w:r w:rsidRPr="00925786">
        <w:rPr>
          <w:i/>
        </w:rPr>
        <w:t>MW</w:t>
      </w:r>
      <w:r>
        <w:rPr>
          <w:i/>
        </w:rPr>
        <w:t> </w:t>
      </w:r>
      <w:r w:rsidRPr="00925786">
        <w:rPr>
          <w:i/>
        </w:rPr>
        <w:t xml:space="preserve">Erectors, Inc. v. </w:t>
      </w:r>
      <w:r w:rsidRPr="00925786">
        <w:rPr>
          <w:i/>
        </w:rPr>
        <w:t>Niederhauser Ornamental &amp; Metal Works Co., Inc.</w:t>
      </w:r>
      <w:r w:rsidRPr="00925786">
        <w:t xml:space="preserve"> (2005) 36 Cal.4th 412</w:t>
      </w:r>
      <w:r>
        <w:t>,</w:t>
      </w:r>
      <w:r w:rsidRPr="00925786">
        <w:t xml:space="preserve"> 422</w:t>
      </w:r>
      <w:r>
        <w:t xml:space="preserve"> [</w:t>
      </w:r>
      <w:r w:rsidRPr="00925786">
        <w:t xml:space="preserve">judicial estoppel </w:t>
      </w:r>
      <w:r>
        <w:t>does not apply</w:t>
      </w:r>
      <w:r w:rsidRPr="00925786">
        <w:t xml:space="preserve"> when the inco</w:t>
      </w:r>
      <w:r>
        <w:t>nsistent positions were the “‘</w:t>
      </w:r>
      <w:r w:rsidRPr="00925786">
        <w:t>“result of</w:t>
      </w:r>
      <w:r>
        <w:t xml:space="preserve"> ignorance, fraud, or mistake”’”];</w:t>
      </w:r>
      <w:r>
        <w:t xml:space="preserve"> </w:t>
      </w:r>
      <w:r w:rsidRPr="006D76B7">
        <w:rPr>
          <w:i/>
        </w:rPr>
        <w:t>Jackson v. County of Los Angeles</w:t>
      </w:r>
      <w:r>
        <w:t xml:space="preserve"> (1997)</w:t>
      </w:r>
      <w:r w:rsidRPr="006D76B7">
        <w:t xml:space="preserve"> 60 Cal.App.4th </w:t>
      </w:r>
      <w:r>
        <w:t>171,</w:t>
      </w:r>
      <w:r w:rsidRPr="006D76B7">
        <w:t xml:space="preserve"> 183</w:t>
      </w:r>
      <w:r>
        <w:t xml:space="preserve"> [“</w:t>
      </w:r>
      <w:r>
        <w:t>‘</w:t>
      </w:r>
      <w:r w:rsidRPr="006D76B7">
        <w:t xml:space="preserve">The gravamen of judicial estoppel is not privity, reliance, or prejudice. </w:t>
      </w:r>
      <w:r>
        <w:t xml:space="preserve"> </w:t>
      </w:r>
      <w:r w:rsidRPr="006D76B7">
        <w:t>Rather, it is the intentional assertion of an inconsistent position that perverts the judicial machinery</w:t>
      </w:r>
      <w:proofErr w:type="gramStart"/>
      <w:r>
        <w:t>.’</w:t>
      </w:r>
      <w:r>
        <w:t>”</w:t>
      </w:r>
      <w:proofErr w:type="gramEnd"/>
      <w:r>
        <w:t>]</w:t>
      </w:r>
      <w:r>
        <w:t>.)</w:t>
      </w:r>
      <w:r>
        <w:t xml:space="preserve">  </w:t>
      </w:r>
      <w:r>
        <w:t xml:space="preserve">Accordingly, courts examine “whether a debtor has engaged in </w:t>
      </w:r>
      <w:r>
        <w:t>a deliberate scheme to mislead and gain unfair advantage, as opposed to having made a mistake born of misunderstanding, ignorance of legal procedures, lack of adequate legal advice, or some other innocent cause</w:t>
      </w:r>
      <w:r>
        <w:t>.”  (</w:t>
      </w:r>
      <w:r>
        <w:rPr>
          <w:i/>
          <w:iCs/>
        </w:rPr>
        <w:t>Cloud</w:t>
      </w:r>
      <w:r>
        <w:rPr>
          <w:i/>
          <w:iCs/>
        </w:rPr>
        <w:t> </w:t>
      </w:r>
      <w:r>
        <w:rPr>
          <w:i/>
          <w:iCs/>
        </w:rPr>
        <w:t xml:space="preserve">v. </w:t>
      </w:r>
      <w:r>
        <w:rPr>
          <w:i/>
          <w:iCs/>
        </w:rPr>
        <w:lastRenderedPageBreak/>
        <w:t>Northrop Grumman Corp</w:t>
      </w:r>
      <w:r>
        <w:t xml:space="preserve">. </w:t>
      </w:r>
      <w:r>
        <w:t xml:space="preserve">(1998) </w:t>
      </w:r>
      <w:r>
        <w:t xml:space="preserve">67 Cal.App.4th </w:t>
      </w:r>
      <w:r>
        <w:t xml:space="preserve">995, </w:t>
      </w:r>
      <w:r>
        <w:t>10</w:t>
      </w:r>
      <w:r>
        <w:t>20</w:t>
      </w:r>
      <w:r>
        <w:t xml:space="preserve"> </w:t>
      </w:r>
      <w:r w:rsidRPr="00EF26F5">
        <w:t>(</w:t>
      </w:r>
      <w:r w:rsidRPr="000D2801">
        <w:rPr>
          <w:i/>
          <w:iCs/>
        </w:rPr>
        <w:t>Cloud</w:t>
      </w:r>
      <w:r>
        <w:t>)</w:t>
      </w:r>
      <w:r>
        <w:t>.)</w:t>
      </w:r>
    </w:p>
    <w:p w14:paraId="209F2738" w14:textId="77777777" w:rsidR="005832F1" w:rsidRPr="00523DA4" w:rsidRDefault="005832F1" w:rsidP="00405E28">
      <w:pPr>
        <w:ind w:firstLine="720"/>
        <w:rPr>
          <w:szCs w:val="26"/>
        </w:rPr>
      </w:pPr>
      <w:r>
        <w:t>Miyahara</w:t>
      </w:r>
      <w:r>
        <w:t xml:space="preserve"> </w:t>
      </w:r>
      <w:r>
        <w:t>was represented by counsel in her bankruptcy</w:t>
      </w:r>
      <w:r>
        <w:t xml:space="preserve"> and argues</w:t>
      </w:r>
      <w:r>
        <w:t xml:space="preserve"> </w:t>
      </w:r>
      <w:r>
        <w:t xml:space="preserve">she was “not attempting to ‘[keep] any potential proceeds from creditors’ by concealing a claim against Wells Fargo [and her] voluntary plan provided for full payment to Wells Fargo, without objection to the claim, as well as 100% to all remaining creditors.”  In other words, </w:t>
      </w:r>
      <w:r>
        <w:t>Miyahara</w:t>
      </w:r>
      <w:r>
        <w:t xml:space="preserve"> </w:t>
      </w:r>
      <w:r>
        <w:t xml:space="preserve">contends </w:t>
      </w:r>
      <w:r>
        <w:t xml:space="preserve">that despite her nondisclosure, </w:t>
      </w:r>
      <w:r>
        <w:t xml:space="preserve">she </w:t>
      </w:r>
      <w:r>
        <w:t>did not intentionally “‘</w:t>
      </w:r>
      <w:r>
        <w:t>“</w:t>
      </w:r>
      <w:r>
        <w:t>[c]</w:t>
      </w:r>
      <w:proofErr w:type="spellStart"/>
      <w:r>
        <w:t>onceal</w:t>
      </w:r>
      <w:proofErr w:type="spellEnd"/>
      <w:r>
        <w:t xml:space="preserve"> [her] claims; get rid of [her] creditors on the </w:t>
      </w:r>
      <w:proofErr w:type="gramStart"/>
      <w:r>
        <w:t>cheap, and</w:t>
      </w:r>
      <w:proofErr w:type="gramEnd"/>
      <w:r>
        <w:t xml:space="preserve"> start over with a bundle of rights.</w:t>
      </w:r>
      <w:r>
        <w:t>”</w:t>
      </w:r>
      <w:r>
        <w:t>’</w:t>
      </w:r>
      <w:r w:rsidRPr="00523DA4">
        <w:rPr>
          <w:szCs w:val="26"/>
        </w:rPr>
        <w:t xml:space="preserve">” </w:t>
      </w:r>
      <w:r w:rsidRPr="00523DA4">
        <w:rPr>
          <w:szCs w:val="26"/>
        </w:rPr>
        <w:t xml:space="preserve"> </w:t>
      </w:r>
      <w:r w:rsidRPr="00523DA4">
        <w:rPr>
          <w:szCs w:val="26"/>
        </w:rPr>
        <w:t>(</w:t>
      </w:r>
      <w:r w:rsidRPr="00523DA4">
        <w:rPr>
          <w:i/>
          <w:iCs/>
          <w:szCs w:val="26"/>
        </w:rPr>
        <w:t>Go</w:t>
      </w:r>
      <w:r w:rsidRPr="00523DA4">
        <w:rPr>
          <w:i/>
          <w:iCs/>
          <w:szCs w:val="26"/>
        </w:rPr>
        <w:t>t</w:t>
      </w:r>
      <w:r w:rsidRPr="00523DA4">
        <w:rPr>
          <w:i/>
          <w:iCs/>
          <w:szCs w:val="26"/>
        </w:rPr>
        <w:t>tlieb</w:t>
      </w:r>
      <w:r w:rsidRPr="00523DA4">
        <w:rPr>
          <w:szCs w:val="26"/>
        </w:rPr>
        <w:t xml:space="preserve">, </w:t>
      </w:r>
      <w:r w:rsidRPr="00523DA4">
        <w:rPr>
          <w:i/>
          <w:iCs/>
          <w:szCs w:val="26"/>
        </w:rPr>
        <w:t>supra</w:t>
      </w:r>
      <w:r w:rsidRPr="00523DA4">
        <w:rPr>
          <w:szCs w:val="26"/>
        </w:rPr>
        <w:t>, 141</w:t>
      </w:r>
      <w:r w:rsidRPr="00523DA4">
        <w:rPr>
          <w:szCs w:val="26"/>
        </w:rPr>
        <w:t> </w:t>
      </w:r>
      <w:r w:rsidRPr="00523DA4">
        <w:rPr>
          <w:szCs w:val="26"/>
        </w:rPr>
        <w:t>Cal.App.4th at p.</w:t>
      </w:r>
      <w:r>
        <w:rPr>
          <w:szCs w:val="26"/>
        </w:rPr>
        <w:t> </w:t>
      </w:r>
      <w:r w:rsidRPr="00523DA4">
        <w:rPr>
          <w:szCs w:val="26"/>
        </w:rPr>
        <w:t>146</w:t>
      </w:r>
      <w:r w:rsidRPr="00523DA4">
        <w:rPr>
          <w:szCs w:val="26"/>
        </w:rPr>
        <w:t xml:space="preserve">.)  </w:t>
      </w:r>
      <w:r w:rsidRPr="00523DA4">
        <w:rPr>
          <w:szCs w:val="26"/>
        </w:rPr>
        <w:t>Indeed,</w:t>
      </w:r>
      <w:r w:rsidRPr="00523DA4">
        <w:rPr>
          <w:szCs w:val="26"/>
        </w:rPr>
        <w:t xml:space="preserve"> “nondisclosure in bankruptcy filings, standing alone, is insufficient to support the finding of bad faith intent necessary for the application of judicial estoppel” (</w:t>
      </w:r>
      <w:r w:rsidRPr="00523DA4">
        <w:rPr>
          <w:i/>
          <w:iCs/>
          <w:szCs w:val="26"/>
        </w:rPr>
        <w:t>Cloud</w:t>
      </w:r>
      <w:r w:rsidRPr="00523DA4">
        <w:rPr>
          <w:szCs w:val="26"/>
        </w:rPr>
        <w:t xml:space="preserve">, </w:t>
      </w:r>
      <w:r w:rsidRPr="00523DA4">
        <w:rPr>
          <w:i/>
          <w:szCs w:val="26"/>
        </w:rPr>
        <w:t>supra</w:t>
      </w:r>
      <w:r w:rsidRPr="00523DA4">
        <w:rPr>
          <w:szCs w:val="26"/>
        </w:rPr>
        <w:t>, 67 Cal.App.4th at pp. 1017-1019 [“‘</w:t>
      </w:r>
      <w:r w:rsidRPr="00523DA4">
        <w:rPr>
          <w:rFonts w:eastAsia="Times New Roman" w:cs="Times New Roman"/>
          <w:color w:val="212121"/>
          <w:szCs w:val="26"/>
          <w:bdr w:val="none" w:sz="0" w:space="0" w:color="auto" w:frame="1"/>
        </w:rPr>
        <w:t>We are persuaded</w:t>
      </w:r>
      <w:r w:rsidRPr="00523DA4">
        <w:rPr>
          <w:rFonts w:eastAsia="Times New Roman"/>
          <w:color w:val="212121"/>
          <w:szCs w:val="26"/>
          <w:bdr w:val="none" w:sz="0" w:space="0" w:color="auto" w:frame="1"/>
        </w:rPr>
        <w:t xml:space="preserve"> . . . </w:t>
      </w:r>
      <w:r w:rsidRPr="00523DA4">
        <w:rPr>
          <w:rFonts w:eastAsia="Times New Roman" w:cs="Times New Roman"/>
          <w:color w:val="212121"/>
          <w:szCs w:val="26"/>
          <w:bdr w:val="none" w:sz="0" w:space="0" w:color="auto" w:frame="1"/>
        </w:rPr>
        <w:t xml:space="preserve">that </w:t>
      </w:r>
      <w:r w:rsidRPr="00523DA4">
        <w:rPr>
          <w:rFonts w:eastAsia="Times New Roman" w:cs="Times New Roman"/>
          <w:color w:val="212121"/>
          <w:szCs w:val="26"/>
          <w:bdr w:val="none" w:sz="0" w:space="0" w:color="auto" w:frame="1"/>
        </w:rPr>
        <w:t>policy considerations militate against adopting a rule that the</w:t>
      </w:r>
      <w:r w:rsidRPr="00523DA4">
        <w:rPr>
          <w:rFonts w:eastAsia="Times New Roman"/>
          <w:color w:val="212121"/>
          <w:szCs w:val="26"/>
          <w:bdr w:val="none" w:sz="0" w:space="0" w:color="auto" w:frame="1"/>
        </w:rPr>
        <w:t xml:space="preserve"> </w:t>
      </w:r>
      <w:r w:rsidRPr="00523DA4">
        <w:rPr>
          <w:rFonts w:eastAsia="Times New Roman" w:cs="Times New Roman"/>
          <w:color w:val="212121"/>
          <w:szCs w:val="26"/>
          <w:bdr w:val="none" w:sz="0" w:space="0" w:color="auto" w:frame="1"/>
        </w:rPr>
        <w:t xml:space="preserve">requisite intent for judicial estoppel can be inferred from the mere fact of nondisclosure in a bankruptcy proceeding. </w:t>
      </w:r>
      <w:r w:rsidRPr="00523DA4">
        <w:rPr>
          <w:rFonts w:eastAsia="Times New Roman" w:cs="Times New Roman"/>
          <w:color w:val="212121"/>
          <w:szCs w:val="26"/>
          <w:bdr w:val="none" w:sz="0" w:space="0" w:color="auto" w:frame="1"/>
        </w:rPr>
        <w:t xml:space="preserve"> </w:t>
      </w:r>
      <w:r w:rsidRPr="00523DA4">
        <w:rPr>
          <w:rFonts w:eastAsia="Times New Roman" w:cs="Times New Roman"/>
          <w:color w:val="212121"/>
          <w:szCs w:val="26"/>
          <w:bdr w:val="none" w:sz="0" w:space="0" w:color="auto" w:frame="1"/>
        </w:rPr>
        <w:t>Such a rule would unduly expand the reach of judicial estoppel in post-bankruptcy proceedings and would inevitably result in the preclusion of viable claims on the basis of inadvertent or good-faith inconsistencies</w:t>
      </w:r>
      <w:proofErr w:type="gramStart"/>
      <w:r w:rsidRPr="00523DA4">
        <w:rPr>
          <w:rFonts w:eastAsia="Times New Roman" w:cs="Times New Roman"/>
          <w:color w:val="212121"/>
          <w:szCs w:val="26"/>
          <w:bdr w:val="none" w:sz="0" w:space="0" w:color="auto" w:frame="1"/>
        </w:rPr>
        <w:t>. . . .</w:t>
      </w:r>
      <w:proofErr w:type="gramEnd"/>
      <w:r w:rsidRPr="00523DA4">
        <w:rPr>
          <w:rFonts w:eastAsia="Times New Roman" w:cs="Times New Roman"/>
          <w:color w:val="212121"/>
          <w:szCs w:val="26"/>
          <w:bdr w:val="none" w:sz="0" w:space="0" w:color="auto" w:frame="1"/>
        </w:rPr>
        <w:t xml:space="preserve"> [W]e </w:t>
      </w:r>
      <w:proofErr w:type="gramStart"/>
      <w:r w:rsidRPr="00523DA4">
        <w:rPr>
          <w:rFonts w:eastAsia="Times New Roman" w:cs="Times New Roman"/>
          <w:color w:val="212121"/>
          <w:szCs w:val="26"/>
          <w:bdr w:val="none" w:sz="0" w:space="0" w:color="auto" w:frame="1"/>
        </w:rPr>
        <w:t>are</w:t>
      </w:r>
      <w:proofErr w:type="gramEnd"/>
      <w:r w:rsidRPr="00523DA4">
        <w:rPr>
          <w:rFonts w:eastAsia="Times New Roman" w:cs="Times New Roman"/>
          <w:color w:val="212121"/>
          <w:szCs w:val="26"/>
          <w:bdr w:val="none" w:sz="0" w:space="0" w:color="auto" w:frame="1"/>
        </w:rPr>
        <w:t xml:space="preserve"> </w:t>
      </w:r>
      <w:r w:rsidRPr="00523DA4">
        <w:t>unwilling</w:t>
      </w:r>
      <w:r w:rsidRPr="00523DA4">
        <w:rPr>
          <w:rFonts w:eastAsia="Times New Roman" w:cs="Times New Roman"/>
          <w:color w:val="212121"/>
          <w:szCs w:val="26"/>
          <w:bdr w:val="none" w:sz="0" w:space="0" w:color="auto" w:frame="1"/>
        </w:rPr>
        <w:t xml:space="preserve"> to treat careless or inadvertent nondisclosures as equivalent</w:t>
      </w:r>
      <w:r w:rsidRPr="00523DA4">
        <w:rPr>
          <w:rFonts w:eastAsia="Times New Roman"/>
          <w:color w:val="212121"/>
          <w:szCs w:val="26"/>
          <w:bdr w:val="none" w:sz="0" w:space="0" w:color="auto" w:frame="1"/>
        </w:rPr>
        <w:t xml:space="preserve"> </w:t>
      </w:r>
      <w:r w:rsidRPr="00523DA4">
        <w:rPr>
          <w:rFonts w:eastAsia="Times New Roman" w:cs="Times New Roman"/>
          <w:color w:val="212121"/>
          <w:szCs w:val="26"/>
          <w:bdr w:val="none" w:sz="0" w:space="0" w:color="auto" w:frame="1"/>
        </w:rPr>
        <w:t>to deliberate manipulatio</w:t>
      </w:r>
      <w:r w:rsidRPr="00523DA4">
        <w:rPr>
          <w:rFonts w:eastAsia="Times New Roman" w:cs="Times New Roman"/>
          <w:color w:val="212121"/>
          <w:szCs w:val="26"/>
          <w:bdr w:val="none" w:sz="0" w:space="0" w:color="auto" w:frame="1"/>
        </w:rPr>
        <w:t xml:space="preserve">n when administering the </w:t>
      </w:r>
      <w:r>
        <w:rPr>
          <w:rFonts w:eastAsia="Times New Roman" w:cs="Times New Roman"/>
          <w:color w:val="212121"/>
          <w:szCs w:val="26"/>
          <w:bdr w:val="none" w:sz="0" w:space="0" w:color="auto" w:frame="1"/>
        </w:rPr>
        <w:t>“</w:t>
      </w:r>
      <w:r w:rsidRPr="00523DA4">
        <w:rPr>
          <w:rFonts w:eastAsia="Times New Roman" w:cs="Times New Roman"/>
          <w:color w:val="212121"/>
          <w:szCs w:val="26"/>
          <w:bdr w:val="none" w:sz="0" w:space="0" w:color="auto" w:frame="1"/>
        </w:rPr>
        <w:t>strong medicine</w:t>
      </w:r>
      <w:r>
        <w:rPr>
          <w:rFonts w:eastAsia="Times New Roman" w:cs="Times New Roman"/>
          <w:color w:val="212121"/>
          <w:szCs w:val="26"/>
          <w:bdr w:val="none" w:sz="0" w:space="0" w:color="auto" w:frame="1"/>
        </w:rPr>
        <w:t>”</w:t>
      </w:r>
      <w:r w:rsidRPr="00523DA4">
        <w:rPr>
          <w:rFonts w:eastAsia="Times New Roman" w:cs="Times New Roman"/>
          <w:color w:val="212121"/>
          <w:szCs w:val="26"/>
          <w:bdr w:val="none" w:sz="0" w:space="0" w:color="auto" w:frame="1"/>
        </w:rPr>
        <w:t xml:space="preserve"> of judicial estoppel.</w:t>
      </w:r>
      <w:r w:rsidRPr="00523DA4">
        <w:rPr>
          <w:rFonts w:eastAsia="Times New Roman"/>
          <w:color w:val="212121"/>
          <w:szCs w:val="26"/>
          <w:bdr w:val="none" w:sz="0" w:space="0" w:color="auto" w:frame="1"/>
        </w:rPr>
        <w:t>’”]</w:t>
      </w:r>
      <w:r w:rsidRPr="00523DA4">
        <w:rPr>
          <w:rFonts w:eastAsia="Times New Roman"/>
          <w:color w:val="212121"/>
          <w:szCs w:val="26"/>
          <w:bdr w:val="none" w:sz="0" w:space="0" w:color="auto" w:frame="1"/>
        </w:rPr>
        <w:t>).</w:t>
      </w:r>
    </w:p>
    <w:p w14:paraId="14B04346" w14:textId="77777777" w:rsidR="005832F1" w:rsidRDefault="005832F1" w:rsidP="004C22D7">
      <w:pPr>
        <w:ind w:firstLine="720"/>
      </w:pPr>
      <w:r>
        <w:t>Wells Fargo contends</w:t>
      </w:r>
      <w:r>
        <w:t xml:space="preserve"> that</w:t>
      </w:r>
      <w:r>
        <w:t xml:space="preserve"> “Miyahara does not </w:t>
      </w:r>
      <w:proofErr w:type="gramStart"/>
      <w:r>
        <w:t>cite to</w:t>
      </w:r>
      <w:proofErr w:type="gramEnd"/>
      <w:r>
        <w:t xml:space="preserve"> anything in the record supporting an argument for inadvertence, and no such facts </w:t>
      </w:r>
      <w:proofErr w:type="gramStart"/>
      <w:r>
        <w:t>exist</w:t>
      </w:r>
      <w:r>
        <w:t>[</w:t>
      </w:r>
      <w:proofErr w:type="gramEnd"/>
      <w:r>
        <w:t>]</w:t>
      </w:r>
      <w:r>
        <w:t xml:space="preserve">.  To the contrary, the record confirms the absence of inadvertence since Miyahara was represented by bankruptcy counsel and clearly disclosed her claims regarding </w:t>
      </w:r>
      <w:r>
        <w:lastRenderedPageBreak/>
        <w:t xml:space="preserve">West H&amp;A LLC.”  </w:t>
      </w:r>
      <w:r>
        <w:t>But</w:t>
      </w:r>
      <w:r>
        <w:t xml:space="preserve"> the record also demonstrates that Wells Fargo </w:t>
      </w:r>
      <w:r>
        <w:t>initially rejected Miyahara’s request to help her clear title before the bankruptcy and then decided it would clear title while Miyahara was in bankruptcy, pote</w:t>
      </w:r>
      <w:r>
        <w:t xml:space="preserve">ntially leading her to believe she had no claim against Wells Fargo because it was doing what she had initially requested.  </w:t>
      </w:r>
    </w:p>
    <w:p w14:paraId="4911832F" w14:textId="77777777" w:rsidR="005832F1" w:rsidRDefault="005832F1" w:rsidP="004C22D7">
      <w:pPr>
        <w:ind w:firstLine="720"/>
      </w:pPr>
      <w:r>
        <w:t>In any event, t</w:t>
      </w:r>
      <w:r>
        <w:t xml:space="preserve">his case was decided on demurrer and Miyahara was not given </w:t>
      </w:r>
      <w:r>
        <w:t>leave</w:t>
      </w:r>
      <w:r>
        <w:t xml:space="preserve"> to allege facts supporting “a mistake born of misunderstanding, ignorance of legal procedures, lack of adequate legal advice, or some other innocent cause.”  (</w:t>
      </w:r>
      <w:r>
        <w:rPr>
          <w:i/>
          <w:iCs/>
        </w:rPr>
        <w:t>Cloud</w:t>
      </w:r>
      <w:r>
        <w:t xml:space="preserve">, </w:t>
      </w:r>
      <w:r w:rsidRPr="000D2801">
        <w:rPr>
          <w:i/>
          <w:iCs/>
        </w:rPr>
        <w:t>supra</w:t>
      </w:r>
      <w:r>
        <w:t xml:space="preserve">, 67 Cal.App.4th at </w:t>
      </w:r>
      <w:r>
        <w:t>p.</w:t>
      </w:r>
      <w:r>
        <w:t> </w:t>
      </w:r>
      <w:r>
        <w:t>1020</w:t>
      </w:r>
      <w:r>
        <w:t xml:space="preserve">.)  </w:t>
      </w:r>
      <w:r>
        <w:t xml:space="preserve">More broadly, </w:t>
      </w:r>
      <w:r w:rsidRPr="008B3153">
        <w:t>“</w:t>
      </w:r>
      <w:r>
        <w:t>[c]</w:t>
      </w:r>
      <w:proofErr w:type="spellStart"/>
      <w:r w:rsidRPr="008B3153">
        <w:t>ases</w:t>
      </w:r>
      <w:proofErr w:type="spellEnd"/>
      <w:r w:rsidRPr="008B3153">
        <w:t xml:space="preserve"> concerning judicial estoppel have generally been decided after a fact-finding or evidence-reviewing proceeding of some sort</w:t>
      </w:r>
      <w:r>
        <w:t xml:space="preserve">” because </w:t>
      </w:r>
      <w:r>
        <w:t>the doctrine often</w:t>
      </w:r>
      <w:r>
        <w:t xml:space="preserve"> </w:t>
      </w:r>
      <w:r>
        <w:t>“requires consideration of the evidence.”  (</w:t>
      </w:r>
      <w:r>
        <w:rPr>
          <w:i/>
          <w:iCs/>
        </w:rPr>
        <w:t>Id.</w:t>
      </w:r>
      <w:r>
        <w:t xml:space="preserve"> at </w:t>
      </w:r>
      <w:r>
        <w:t>pp. 1019-</w:t>
      </w:r>
      <w:r>
        <w:t>1020</w:t>
      </w:r>
      <w:r>
        <w:t xml:space="preserve"> [reversing judgment on the pleadings because factual issues precluded application of judicial estoppel]</w:t>
      </w:r>
      <w:r>
        <w:t xml:space="preserve">; </w:t>
      </w:r>
      <w:r>
        <w:t xml:space="preserve">see </w:t>
      </w:r>
      <w:r>
        <w:rPr>
          <w:i/>
          <w:iCs/>
        </w:rPr>
        <w:t xml:space="preserve">Kelsey v. Waste Management of Alameda County </w:t>
      </w:r>
      <w:r>
        <w:t>(1999) 76 Cal.App.4th 590, 597 [judicial estoppel did not apply where defendant failed “to adduce evidence [plaintiff]</w:t>
      </w:r>
      <w:r>
        <w:t xml:space="preserve"> intentionally omitted his claim” from his </w:t>
      </w:r>
      <w:r>
        <w:t>chapter</w:t>
      </w:r>
      <w:r>
        <w:t xml:space="preserve"> 13 bankruptcy schedules].)</w:t>
      </w:r>
    </w:p>
    <w:p w14:paraId="3FE2891A" w14:textId="77777777" w:rsidR="005832F1" w:rsidRDefault="005832F1" w:rsidP="00D75577">
      <w:pPr>
        <w:ind w:firstLine="720"/>
      </w:pPr>
      <w:r>
        <w:t xml:space="preserve">Wells Fargo </w:t>
      </w:r>
      <w:r>
        <w:t>further</w:t>
      </w:r>
      <w:r>
        <w:t xml:space="preserve"> </w:t>
      </w:r>
      <w:r>
        <w:t>argues</w:t>
      </w:r>
      <w:r>
        <w:t xml:space="preserve"> the </w:t>
      </w:r>
      <w:r w:rsidRPr="00AA0D48">
        <w:t>timing</w:t>
      </w:r>
      <w:r>
        <w:t xml:space="preserve"> of </w:t>
      </w:r>
      <w:r>
        <w:t>Miyahara’s</w:t>
      </w:r>
      <w:r>
        <w:t xml:space="preserve"> amendment to </w:t>
      </w:r>
      <w:r>
        <w:t>her</w:t>
      </w:r>
      <w:r>
        <w:t xml:space="preserve"> bankruptcy schedule raises an inference </w:t>
      </w:r>
      <w:r>
        <w:t>her</w:t>
      </w:r>
      <w:r>
        <w:t xml:space="preserve"> omission was deceitful</w:t>
      </w:r>
      <w:r>
        <w:t xml:space="preserve">, citing </w:t>
      </w:r>
      <w:r>
        <w:t>two federal cases decided in different procedural postures.</w:t>
      </w:r>
      <w:r>
        <w:rPr>
          <w:rStyle w:val="FootnoteReference"/>
        </w:rPr>
        <w:footnoteReference w:id="9"/>
      </w:r>
      <w:r>
        <w:t xml:space="preserve">  </w:t>
      </w:r>
      <w:r>
        <w:t xml:space="preserve">Although it is plausible the </w:t>
      </w:r>
      <w:r>
        <w:lastRenderedPageBreak/>
        <w:t xml:space="preserve">timing of her amendment to the bankruptcy schedules could support an inference of bad faith, we cannot say </w:t>
      </w:r>
      <w:r>
        <w:t>this</w:t>
      </w:r>
      <w:r>
        <w:t xml:space="preserve"> is so as a matter of law.  </w:t>
      </w:r>
      <w:r>
        <w:t>Rather, it</w:t>
      </w:r>
      <w:r>
        <w:t xml:space="preserve"> is reasonable to infer from </w:t>
      </w:r>
      <w:r>
        <w:t>Miyahara’s</w:t>
      </w:r>
      <w:r>
        <w:t xml:space="preserve"> disclosure of </w:t>
      </w:r>
      <w:r>
        <w:t>her potential</w:t>
      </w:r>
      <w:r>
        <w:t xml:space="preserve"> claim against West H&amp;A</w:t>
      </w:r>
      <w:r>
        <w:t xml:space="preserve"> LLC</w:t>
      </w:r>
      <w:r>
        <w:t xml:space="preserve"> involving the fraudulent lien and her </w:t>
      </w:r>
      <w:r>
        <w:t>full</w:t>
      </w:r>
      <w:r>
        <w:t xml:space="preserve"> payment plan to all her creditors (even if she subsequently defaulted</w:t>
      </w:r>
      <w:r>
        <w:t xml:space="preserve"> after the plan was confirmed</w:t>
      </w:r>
      <w:r>
        <w:t xml:space="preserve">) that </w:t>
      </w:r>
      <w:r>
        <w:t>her</w:t>
      </w:r>
      <w:r>
        <w:t xml:space="preserve"> failure to disclose her claim against Wells Fargo was not part of a “</w:t>
      </w:r>
      <w:r>
        <w:t>‘“</w:t>
      </w:r>
      <w:r>
        <w:t>scheme to misl</w:t>
      </w:r>
      <w:r>
        <w:t>ead the [bankruptcy] court</w:t>
      </w:r>
      <w:r>
        <w:t>”’</w:t>
      </w:r>
      <w:r>
        <w:t>”</w:t>
      </w:r>
      <w:r>
        <w:t xml:space="preserve"> or her creditors.</w:t>
      </w:r>
      <w:r>
        <w:t xml:space="preserve">  (</w:t>
      </w:r>
      <w:r>
        <w:rPr>
          <w:i/>
        </w:rPr>
        <w:t>Haley v. Dow Lewis Motors, Inc</w:t>
      </w:r>
      <w:r w:rsidRPr="001B452E">
        <w:t>,</w:t>
      </w:r>
      <w:r>
        <w:rPr>
          <w:i/>
        </w:rPr>
        <w:t xml:space="preserve"> supra</w:t>
      </w:r>
      <w:r>
        <w:rPr>
          <w:bCs/>
          <w:iCs/>
        </w:rPr>
        <w:t>,</w:t>
      </w:r>
      <w:r>
        <w:rPr>
          <w:i/>
        </w:rPr>
        <w:t xml:space="preserve"> </w:t>
      </w:r>
      <w:r>
        <w:t>72 Cal.App.4th at p.</w:t>
      </w:r>
      <w:r w:rsidRPr="006D76B7">
        <w:t xml:space="preserve"> 509</w:t>
      </w:r>
      <w:r>
        <w:t xml:space="preserve">; see </w:t>
      </w:r>
      <w:r>
        <w:rPr>
          <w:i/>
          <w:iCs/>
        </w:rPr>
        <w:t>Cloud</w:t>
      </w:r>
      <w:r>
        <w:t xml:space="preserve">, </w:t>
      </w:r>
      <w:r>
        <w:rPr>
          <w:i/>
          <w:iCs/>
        </w:rPr>
        <w:t xml:space="preserve">supra, </w:t>
      </w:r>
      <w:r w:rsidRPr="00356D2E">
        <w:t>67</w:t>
      </w:r>
      <w:r>
        <w:t xml:space="preserve"> Cal.App.4th at </w:t>
      </w:r>
      <w:r>
        <w:t>p.</w:t>
      </w:r>
      <w:r>
        <w:t> </w:t>
      </w:r>
      <w:r>
        <w:t>10</w:t>
      </w:r>
      <w:r>
        <w:t>19</w:t>
      </w:r>
      <w:r>
        <w:t xml:space="preserve">; </w:t>
      </w:r>
      <w:r>
        <w:t xml:space="preserve">see also </w:t>
      </w:r>
      <w:r>
        <w:rPr>
          <w:i/>
          <w:iCs/>
        </w:rPr>
        <w:t>Got</w:t>
      </w:r>
      <w:r>
        <w:rPr>
          <w:i/>
          <w:iCs/>
        </w:rPr>
        <w:t>t</w:t>
      </w:r>
      <w:r>
        <w:rPr>
          <w:i/>
          <w:iCs/>
        </w:rPr>
        <w:t>lieb</w:t>
      </w:r>
      <w:r>
        <w:t xml:space="preserve">, </w:t>
      </w:r>
      <w:r>
        <w:rPr>
          <w:i/>
          <w:iCs/>
        </w:rPr>
        <w:t>supra</w:t>
      </w:r>
      <w:r>
        <w:t xml:space="preserve">, 141 Cal.App.4th at p. 146.)  </w:t>
      </w:r>
      <w:r>
        <w:t>O</w:t>
      </w:r>
      <w:r>
        <w:t xml:space="preserve">n </w:t>
      </w:r>
      <w:r>
        <w:t xml:space="preserve">demurrer Miyahara is entitled to </w:t>
      </w:r>
      <w:r>
        <w:t xml:space="preserve">reasonable inferences </w:t>
      </w:r>
      <w:r>
        <w:t>in her</w:t>
      </w:r>
      <w:r>
        <w:t xml:space="preserve"> favor.  (See </w:t>
      </w:r>
      <w:r>
        <w:rPr>
          <w:i/>
        </w:rPr>
        <w:t xml:space="preserve">Bank of New York Mellon v. Citibank, N.A. </w:t>
      </w:r>
      <w:r>
        <w:t>(2017) 8</w:t>
      </w:r>
      <w:r>
        <w:t> </w:t>
      </w:r>
      <w:r>
        <w:t>Cal.App.5th 935, 952 [“</w:t>
      </w:r>
      <w:r w:rsidRPr="00E01F1C">
        <w:t>On demurrer, we draw all reasonable infer</w:t>
      </w:r>
      <w:r>
        <w:t xml:space="preserve">ences in favor of the </w:t>
      </w:r>
      <w:proofErr w:type="gramStart"/>
      <w:r>
        <w:t>plaintiff</w:t>
      </w:r>
      <w:r>
        <w:t>.</w:t>
      </w:r>
      <w:r>
        <w:t>”</w:t>
      </w:r>
      <w:proofErr w:type="gramEnd"/>
      <w:r>
        <w:t>]</w:t>
      </w:r>
      <w:r>
        <w:t xml:space="preserve">.)  </w:t>
      </w:r>
      <w:r>
        <w:t>Further</w:t>
      </w:r>
      <w:r>
        <w:t xml:space="preserve">, as noted above, </w:t>
      </w:r>
      <w:r>
        <w:t>w</w:t>
      </w:r>
      <w:r>
        <w:t>hether Miyahara’s failure to list her claims was the result of mistake or inadvertence</w:t>
      </w:r>
      <w:r>
        <w:t xml:space="preserve"> raises </w:t>
      </w:r>
      <w:r>
        <w:t xml:space="preserve">factual </w:t>
      </w:r>
      <w:r>
        <w:t>questions not amenable to resolution on demurrer</w:t>
      </w:r>
      <w:r>
        <w:t>.  (</w:t>
      </w:r>
      <w:r>
        <w:t xml:space="preserve">See </w:t>
      </w:r>
      <w:r>
        <w:rPr>
          <w:i/>
          <w:iCs/>
        </w:rPr>
        <w:t xml:space="preserve">TracFone Wireless, Inc. v. County of Los Angeles </w:t>
      </w:r>
      <w:r>
        <w:t>(2008) 163 Cal.Ap</w:t>
      </w:r>
      <w:r>
        <w:t xml:space="preserve">p.4th 1359, 1368 [“Questions of fact may be resolved on demurrer only when there is only one legitimate inference to be drawn from the allegations of the complaint.”]; see also </w:t>
      </w:r>
      <w:r w:rsidRPr="00D75577">
        <w:rPr>
          <w:i/>
          <w:iCs/>
        </w:rPr>
        <w:t>Cloud</w:t>
      </w:r>
      <w:r>
        <w:t>, at p. 1021 [“</w:t>
      </w:r>
      <w:r>
        <w:t>[T]</w:t>
      </w:r>
      <w:r>
        <w:t xml:space="preserve">he doctrine of judicial estoppel ought to be </w:t>
      </w:r>
      <w:r>
        <w:t xml:space="preserve">applied only quite sparingly.  </w:t>
      </w:r>
      <w:proofErr w:type="gramStart"/>
      <w:r>
        <w:t>In order to</w:t>
      </w:r>
      <w:proofErr w:type="gramEnd"/>
      <w:r>
        <w:t xml:space="preserve"> determine whether to apply the doctrine in a given case, the facts must be carefully evaluated.  That cannot be done on a pleading motion, and hence the judgment here must be reversed.”].)</w:t>
      </w:r>
    </w:p>
    <w:p w14:paraId="70B27AEA" w14:textId="77777777" w:rsidR="005832F1" w:rsidRDefault="005832F1" w:rsidP="00FE0732">
      <w:pPr>
        <w:keepNext/>
        <w:keepLines/>
        <w:ind w:firstLine="720"/>
      </w:pPr>
      <w:r>
        <w:lastRenderedPageBreak/>
        <w:t xml:space="preserve">In sum, </w:t>
      </w:r>
      <w:r>
        <w:t>t</w:t>
      </w:r>
      <w:r>
        <w:t xml:space="preserve">he trial court should have allowed Miyahara </w:t>
      </w:r>
      <w:r>
        <w:t>an</w:t>
      </w:r>
      <w:r>
        <w:t xml:space="preserve"> opportunity </w:t>
      </w:r>
      <w:r>
        <w:t xml:space="preserve">to amend </w:t>
      </w:r>
      <w:r>
        <w:t xml:space="preserve">her complaint to </w:t>
      </w:r>
      <w:r>
        <w:t>allege facts showing why her conduct was the result of mistake or inadvertenc</w:t>
      </w:r>
      <w:r>
        <w:t>e.</w:t>
      </w:r>
      <w:r>
        <w:t xml:space="preserve"> (</w:t>
      </w:r>
      <w:r>
        <w:t>S</w:t>
      </w:r>
      <w:r>
        <w:t xml:space="preserve">ee </w:t>
      </w:r>
      <w:r>
        <w:rPr>
          <w:i/>
          <w:iCs/>
        </w:rPr>
        <w:t>Green Valley Landowners Assn. v. City of Vallejo</w:t>
      </w:r>
      <w:r>
        <w:t xml:space="preserve"> (2015) 241</w:t>
      </w:r>
      <w:r>
        <w:t> </w:t>
      </w:r>
      <w:r>
        <w:t>Cal.App.4th 425, 432 [“</w:t>
      </w:r>
      <w:r>
        <w:t>‘</w:t>
      </w:r>
      <w:r>
        <w:t xml:space="preserve">When the trial court sustains a demurrer without leave to amend, we must also consider whether the complaint might state a cause of action if a defect could reasonably be cured by amendment. </w:t>
      </w:r>
      <w:r>
        <w:t xml:space="preserve"> </w:t>
      </w:r>
      <w:r>
        <w:t>If the defect can be cured, then the judgment of dismissal must b</w:t>
      </w:r>
      <w:r>
        <w:t>e reversed to allow the plaintiff an opportunity to do so</w:t>
      </w:r>
      <w:proofErr w:type="gramStart"/>
      <w:r>
        <w:t>.</w:t>
      </w:r>
      <w:r>
        <w:t>’</w:t>
      </w:r>
      <w:r>
        <w:t>”</w:t>
      </w:r>
      <w:proofErr w:type="gramEnd"/>
      <w:r>
        <w:t xml:space="preserve">].) </w:t>
      </w:r>
    </w:p>
    <w:p w14:paraId="0A22665C" w14:textId="77777777" w:rsidR="005832F1" w:rsidRDefault="005832F1" w:rsidP="00847876"/>
    <w:p w14:paraId="64BD9AEE" w14:textId="77777777" w:rsidR="005832F1" w:rsidRDefault="005832F1" w:rsidP="00E925A1">
      <w:pPr>
        <w:ind w:left="720" w:hanging="720"/>
        <w:rPr>
          <w:i/>
          <w:iCs/>
        </w:rPr>
        <w:sectPr w:rsidR="00E81D95" w:rsidSect="00A35749">
          <w:footerReference w:type="even" r:id="rId7"/>
          <w:footerReference w:type="default" r:id="rId8"/>
          <w:pgSz w:w="12240" w:h="15840"/>
          <w:pgMar w:top="2160" w:right="2160" w:bottom="2160" w:left="2160" w:header="720" w:footer="720" w:gutter="0"/>
          <w:cols w:space="720"/>
          <w:titlePg/>
          <w:docGrid w:linePitch="360"/>
        </w:sectPr>
      </w:pPr>
      <w:r>
        <w:t>C.</w:t>
      </w:r>
      <w:r>
        <w:tab/>
      </w:r>
      <w:r>
        <w:rPr>
          <w:i/>
          <w:iCs/>
        </w:rPr>
        <w:t xml:space="preserve">Miyahara’s Causes of Action Fail </w:t>
      </w:r>
      <w:proofErr w:type="gramStart"/>
      <w:r>
        <w:rPr>
          <w:i/>
          <w:iCs/>
        </w:rPr>
        <w:t>T</w:t>
      </w:r>
      <w:r>
        <w:rPr>
          <w:i/>
          <w:iCs/>
        </w:rPr>
        <w:t>o</w:t>
      </w:r>
      <w:proofErr w:type="gramEnd"/>
      <w:r>
        <w:rPr>
          <w:i/>
          <w:iCs/>
        </w:rPr>
        <w:t xml:space="preserve"> State a Claim</w:t>
      </w:r>
      <w:r>
        <w:rPr>
          <w:i/>
          <w:iCs/>
        </w:rPr>
        <w:t xml:space="preserve">, but She </w:t>
      </w:r>
      <w:r>
        <w:rPr>
          <w:i/>
          <w:iCs/>
        </w:rPr>
        <w:t>I</w:t>
      </w:r>
      <w:r>
        <w:rPr>
          <w:i/>
          <w:iCs/>
        </w:rPr>
        <w:t xml:space="preserve">s Generally Entitled to Leave To </w:t>
      </w:r>
      <w:r>
        <w:rPr>
          <w:i/>
          <w:iCs/>
        </w:rPr>
        <w:t>Amend</w:t>
      </w:r>
      <w:r>
        <w:rPr>
          <w:rStyle w:val="FootnoteReference"/>
          <w:i/>
          <w:iCs/>
        </w:rPr>
        <w:footnoteReference w:customMarkFollows="1" w:id="10"/>
        <w:t>*</w:t>
      </w:r>
      <w:r w:rsidRPr="00532D12">
        <w:rPr>
          <w:rStyle w:val="FootnoteReference"/>
          <w:i/>
          <w:iCs/>
          <w:szCs w:val="26"/>
        </w:rPr>
        <w:t>*</w:t>
      </w:r>
    </w:p>
    <w:p w14:paraId="58ED8F8D" w14:textId="77777777" w:rsidR="005832F1" w:rsidRDefault="005832F1" w:rsidP="003A7808">
      <w:r>
        <w:tab/>
      </w:r>
      <w:r>
        <w:rPr>
          <w:szCs w:val="26"/>
        </w:rPr>
        <w:t xml:space="preserve">Wells Fargo argues that even if judicial estoppel does not </w:t>
      </w:r>
      <w:r>
        <w:rPr>
          <w:szCs w:val="26"/>
        </w:rPr>
        <w:t>bar Miyahara’s complaint</w:t>
      </w:r>
      <w:r>
        <w:rPr>
          <w:szCs w:val="26"/>
        </w:rPr>
        <w:t xml:space="preserve">, we should nevertheless affirm because </w:t>
      </w:r>
      <w:r>
        <w:rPr>
          <w:szCs w:val="26"/>
        </w:rPr>
        <w:t>she “</w:t>
      </w:r>
      <w:r w:rsidRPr="00424760">
        <w:rPr>
          <w:szCs w:val="26"/>
        </w:rPr>
        <w:t>lacked any viable claim</w:t>
      </w:r>
      <w:r>
        <w:rPr>
          <w:szCs w:val="26"/>
        </w:rPr>
        <w:t>.</w:t>
      </w:r>
      <w:r>
        <w:rPr>
          <w:szCs w:val="26"/>
        </w:rPr>
        <w:t>”</w:t>
      </w:r>
      <w:r>
        <w:rPr>
          <w:szCs w:val="26"/>
        </w:rPr>
        <w:t xml:space="preserve">  </w:t>
      </w:r>
      <w:r>
        <w:t>The</w:t>
      </w:r>
      <w:r w:rsidRPr="00A015AD">
        <w:t xml:space="preserve"> trial court did not reach </w:t>
      </w:r>
      <w:r>
        <w:t xml:space="preserve">the issue of whether </w:t>
      </w:r>
      <w:r>
        <w:t>each cause of action was sufficiently</w:t>
      </w:r>
      <w:r>
        <w:t xml:space="preserve"> pled, </w:t>
      </w:r>
      <w:r>
        <w:t xml:space="preserve">but </w:t>
      </w:r>
      <w:r>
        <w:t>“</w:t>
      </w:r>
      <w:r>
        <w:t>[a]</w:t>
      </w:r>
      <w:r>
        <w:t xml:space="preserve"> judgment of dismissal after a demurrer has been sustained without leave to amend will be affirmed if proper on any grounds stated in the demurrer, whether or not the court acted on that ground.” </w:t>
      </w:r>
      <w:r>
        <w:t xml:space="preserve"> </w:t>
      </w:r>
      <w:r>
        <w:t>(</w:t>
      </w:r>
      <w:r w:rsidRPr="004206DB">
        <w:rPr>
          <w:i/>
          <w:iCs/>
        </w:rPr>
        <w:t>Carman v. Alvord</w:t>
      </w:r>
      <w:r>
        <w:t xml:space="preserve"> (1982) 31 Cal.3d 318, 324.) </w:t>
      </w:r>
      <w:r>
        <w:t xml:space="preserve"> </w:t>
      </w:r>
      <w:r>
        <w:t>“</w:t>
      </w:r>
      <w:r>
        <w:t>If we fin</w:t>
      </w:r>
      <w:r>
        <w:t>d that an amendment could cure the defect, we conclude that the trial court abused its discretion and we reverse; if not, no abuse of discretion has occurred</w:t>
      </w:r>
      <w:proofErr w:type="gramStart"/>
      <w:r>
        <w:t>. . . .</w:t>
      </w:r>
      <w:proofErr w:type="gramEnd"/>
      <w:r>
        <w:t xml:space="preserve"> </w:t>
      </w:r>
      <w:r>
        <w:t xml:space="preserve"> </w:t>
      </w:r>
      <w:r>
        <w:t xml:space="preserve">The plaintiff has the burden of proving that an amendment would cure the defect.” </w:t>
      </w:r>
      <w:r>
        <w:t xml:space="preserve"> </w:t>
      </w:r>
      <w:r>
        <w:t>(</w:t>
      </w:r>
      <w:proofErr w:type="spellStart"/>
      <w:r w:rsidRPr="00786690">
        <w:rPr>
          <w:i/>
          <w:iCs/>
        </w:rPr>
        <w:t>Schifando</w:t>
      </w:r>
      <w:proofErr w:type="spellEnd"/>
      <w:r>
        <w:rPr>
          <w:i/>
          <w:iCs/>
        </w:rPr>
        <w:t> </w:t>
      </w:r>
      <w:r w:rsidRPr="00786690">
        <w:rPr>
          <w:i/>
          <w:iCs/>
        </w:rPr>
        <w:t>v. City of Los Angeles</w:t>
      </w:r>
      <w:r>
        <w:t xml:space="preserve"> (2003) 31 Cal.4th 1074, 1081</w:t>
      </w:r>
      <w:r>
        <w:t>.)</w:t>
      </w:r>
      <w:r>
        <w:t xml:space="preserve"> </w:t>
      </w:r>
      <w:r>
        <w:t xml:space="preserve"> </w:t>
      </w:r>
      <w:r>
        <w:t>“[S]</w:t>
      </w:r>
      <w:proofErr w:type="spellStart"/>
      <w:r>
        <w:t>uch</w:t>
      </w:r>
      <w:proofErr w:type="spellEnd"/>
      <w:r>
        <w:t xml:space="preserve"> a showing can be made for the first time to the reviewing court.”</w:t>
      </w:r>
      <w:r>
        <w:t xml:space="preserve"> </w:t>
      </w:r>
      <w:r>
        <w:t xml:space="preserve"> (</w:t>
      </w:r>
      <w:r w:rsidRPr="00786690">
        <w:rPr>
          <w:i/>
          <w:iCs/>
        </w:rPr>
        <w:t>Smith v. State Farm Mutual Automobile Ins. Co.</w:t>
      </w:r>
      <w:r>
        <w:t xml:space="preserve"> (2001) </w:t>
      </w:r>
      <w:r>
        <w:lastRenderedPageBreak/>
        <w:t>93 Cal.App.4th 700, 711</w:t>
      </w:r>
      <w:r>
        <w:t xml:space="preserve">; </w:t>
      </w:r>
      <w:r>
        <w:t xml:space="preserve">accord, </w:t>
      </w:r>
      <w:r w:rsidRPr="00786690">
        <w:rPr>
          <w:i/>
          <w:iCs/>
        </w:rPr>
        <w:t>Gomes v. Countrywide Home Loans, Inc</w:t>
      </w:r>
      <w:r>
        <w:t>. (2011) 192 Cal.App.4th 1149, 1153</w:t>
      </w:r>
      <w:r>
        <w:t>-</w:t>
      </w:r>
      <w:r>
        <w:t>1154</w:t>
      </w:r>
      <w:r>
        <w:t xml:space="preserve">.) </w:t>
      </w:r>
    </w:p>
    <w:p w14:paraId="2CA8EE10" w14:textId="77777777" w:rsidR="005832F1" w:rsidRDefault="005832F1" w:rsidP="00786690">
      <w:pPr>
        <w:ind w:firstLine="720"/>
      </w:pPr>
    </w:p>
    <w:p w14:paraId="67C1AD7B" w14:textId="77777777" w:rsidR="005832F1" w:rsidRDefault="005832F1" w:rsidP="00FE0732">
      <w:pPr>
        <w:pStyle w:val="ListParagraph"/>
        <w:numPr>
          <w:ilvl w:val="0"/>
          <w:numId w:val="2"/>
        </w:numPr>
        <w:ind w:left="1440" w:hanging="720"/>
      </w:pPr>
      <w:r w:rsidRPr="00E925A1">
        <w:rPr>
          <w:i/>
          <w:iCs/>
        </w:rPr>
        <w:t xml:space="preserve">Implied Covenant </w:t>
      </w:r>
      <w:r w:rsidRPr="00E925A1">
        <w:rPr>
          <w:i/>
          <w:iCs/>
        </w:rPr>
        <w:t>o</w:t>
      </w:r>
      <w:r w:rsidRPr="00E925A1">
        <w:rPr>
          <w:i/>
          <w:iCs/>
        </w:rPr>
        <w:t>f Good Faith and Fair Dealing</w:t>
      </w:r>
    </w:p>
    <w:p w14:paraId="0C294771" w14:textId="77777777" w:rsidR="005832F1" w:rsidRDefault="005832F1" w:rsidP="00FE0732">
      <w:r>
        <w:tab/>
      </w:r>
      <w:r>
        <w:t>“</w:t>
      </w:r>
      <w:r w:rsidRPr="008E15C8">
        <w:t>Under California law, every contract includes an implied covenant of good faith and fair dealing.</w:t>
      </w:r>
      <w:r>
        <w:t xml:space="preserve">” </w:t>
      </w:r>
      <w:r>
        <w:t xml:space="preserve"> </w:t>
      </w:r>
      <w:r>
        <w:t>(</w:t>
      </w:r>
      <w:r w:rsidRPr="008E15C8">
        <w:rPr>
          <w:i/>
          <w:iCs/>
        </w:rPr>
        <w:t>Prager University v. Google LLC</w:t>
      </w:r>
      <w:r>
        <w:t xml:space="preserve"> (2022) 85 Cal.App.5th 1022, 1039.)  </w:t>
      </w:r>
      <w:r>
        <w:t>“</w:t>
      </w:r>
      <w:r w:rsidRPr="00A605F6">
        <w:t>The covenant is read into contracts and functions “‘as a supplement to the express contractual covenants, to prevent a contracting party from engaging in conduct which (while not technically transgressing the express covenants) frustrates the other party</w:t>
      </w:r>
      <w:r>
        <w:t>’</w:t>
      </w:r>
      <w:r w:rsidRPr="00A605F6">
        <w:t xml:space="preserve">s rights to the benefits of the contract.’” </w:t>
      </w:r>
      <w:r>
        <w:t xml:space="preserve">. . . </w:t>
      </w:r>
      <w:r>
        <w:t xml:space="preserve"> </w:t>
      </w:r>
      <w:r w:rsidRPr="00A605F6">
        <w:t>A breach of the implied covenant of</w:t>
      </w:r>
      <w:r w:rsidRPr="00A605F6">
        <w:t xml:space="preserve"> good faith is a breach of the contract </w:t>
      </w:r>
      <w:r>
        <w:t xml:space="preserve">[citation], </w:t>
      </w:r>
      <w:r w:rsidRPr="00A605F6">
        <w:t xml:space="preserve">and </w:t>
      </w:r>
      <w:r>
        <w:t>‘</w:t>
      </w:r>
      <w:r w:rsidRPr="00A605F6">
        <w:t xml:space="preserve">breach of a specific provision of the contract is not </w:t>
      </w:r>
      <w:r>
        <w:t>. . .</w:t>
      </w:r>
      <w:r w:rsidRPr="00A605F6">
        <w:t xml:space="preserve"> necessary</w:t>
      </w:r>
      <w:r>
        <w:t>’</w:t>
      </w:r>
      <w:r w:rsidRPr="00A605F6">
        <w:t xml:space="preserve"> to a claim for breach of the implied covenant of good faith and fair dealing</w:t>
      </w:r>
      <w:r>
        <w:t>.”  (</w:t>
      </w:r>
      <w:r w:rsidRPr="00A605F6">
        <w:rPr>
          <w:i/>
          <w:iCs/>
        </w:rPr>
        <w:t>Thrifty Payless, Inc. v. The Americana at Brand, LLC</w:t>
      </w:r>
      <w:r>
        <w:t xml:space="preserve"> (2013) 218</w:t>
      </w:r>
      <w:r>
        <w:t> </w:t>
      </w:r>
      <w:r>
        <w:t xml:space="preserve">Cal.App.4th 1230, 1244.) </w:t>
      </w:r>
    </w:p>
    <w:p w14:paraId="26A661EA" w14:textId="77777777" w:rsidR="005832F1" w:rsidRDefault="005832F1" w:rsidP="00786690">
      <w:r>
        <w:tab/>
      </w:r>
      <w:r>
        <w:t>Here</w:t>
      </w:r>
      <w:r>
        <w:t xml:space="preserve">, the operative </w:t>
      </w:r>
      <w:r>
        <w:t>c</w:t>
      </w:r>
      <w:r>
        <w:t xml:space="preserve">omplaint alleges Wells Fargo breached the implied covenant of good faith and fair dealing “by continuing to foreclose on the Property after learning of the invalid lien, which Wells Fargo understood was preventing Plaintiff from refinancing her mortgage.  Wells Fargo knew that the </w:t>
      </w:r>
      <w:proofErr w:type="gramStart"/>
      <w:r>
        <w:t>lien</w:t>
      </w:r>
      <w:proofErr w:type="gramEnd"/>
      <w:r>
        <w:t xml:space="preserve"> on Plaintiff’s account was invalid yet refused to take any action to remedy the situation so that Plaintiff could avoid foreclosure.  Instead, Wells Fargo forced Plaintiff to file for bankruptcy to stay t</w:t>
      </w:r>
      <w:r>
        <w:t>he foreclosure proceedings, thereby impacting her ability to refinance her mortgage in</w:t>
      </w:r>
      <w:r>
        <w:t xml:space="preserve"> the</w:t>
      </w:r>
      <w:r>
        <w:t xml:space="preserve"> future.”</w:t>
      </w:r>
    </w:p>
    <w:p w14:paraId="580719C2" w14:textId="77777777" w:rsidR="005832F1" w:rsidRDefault="005832F1" w:rsidP="00FE0732">
      <w:pPr>
        <w:keepNext/>
        <w:keepLines/>
      </w:pPr>
      <w:r>
        <w:lastRenderedPageBreak/>
        <w:tab/>
        <w:t xml:space="preserve">Wells Fargo argues </w:t>
      </w:r>
      <w:r>
        <w:t xml:space="preserve">this allegation is insufficient </w:t>
      </w:r>
      <w:r>
        <w:t xml:space="preserve">“because she was </w:t>
      </w:r>
      <w:r>
        <w:t>. . .</w:t>
      </w:r>
      <w:r>
        <w:t xml:space="preserve"> in default under the </w:t>
      </w:r>
      <w:r>
        <w:t>l</w:t>
      </w:r>
      <w:r>
        <w:t>oan prior to any activity concerning the fake assignment</w:t>
      </w:r>
      <w:r>
        <w:t>,</w:t>
      </w:r>
      <w:r>
        <w:t>” and</w:t>
      </w:r>
      <w:r>
        <w:t xml:space="preserve"> that</w:t>
      </w:r>
      <w:r>
        <w:t xml:space="preserve"> Miyahara </w:t>
      </w:r>
      <w:r>
        <w:t>“</w:t>
      </w:r>
      <w:r>
        <w:t xml:space="preserve">failed to specify an express contractual right that was allegedly interfered with, belying any breach of implied covenant claim.” </w:t>
      </w:r>
      <w:r>
        <w:t xml:space="preserve"> </w:t>
      </w:r>
      <w:r>
        <w:t xml:space="preserve">Although </w:t>
      </w:r>
      <w:r>
        <w:t>Miyahara</w:t>
      </w:r>
      <w:r>
        <w:t xml:space="preserve"> </w:t>
      </w:r>
      <w:r>
        <w:t xml:space="preserve">contends the contract allowed her the opportunity to pay off the default following a breach, she </w:t>
      </w:r>
      <w:r>
        <w:t xml:space="preserve">concedes </w:t>
      </w:r>
      <w:r>
        <w:t xml:space="preserve">she did not specify the contractual term upon which she relies </w:t>
      </w:r>
      <w:r>
        <w:t xml:space="preserve">and </w:t>
      </w:r>
      <w:r>
        <w:t xml:space="preserve">asks </w:t>
      </w:r>
      <w:r>
        <w:t>for</w:t>
      </w:r>
      <w:r>
        <w:t xml:space="preserve"> leave</w:t>
      </w:r>
      <w:r>
        <w:t xml:space="preserve"> to amend</w:t>
      </w:r>
      <w:r>
        <w:t xml:space="preserve"> so she can “</w:t>
      </w:r>
      <w:r>
        <w:t>set forth the exact term that the Defendant breached</w:t>
      </w:r>
      <w:r>
        <w:t xml:space="preserve">.” </w:t>
      </w:r>
      <w:r>
        <w:t xml:space="preserve"> </w:t>
      </w:r>
      <w:r>
        <w:t>We agree that leave</w:t>
      </w:r>
      <w:r>
        <w:t xml:space="preserve"> should be given </w:t>
      </w:r>
      <w:proofErr w:type="gramStart"/>
      <w:r>
        <w:t>in order to</w:t>
      </w:r>
      <w:proofErr w:type="gramEnd"/>
      <w:r>
        <w:t xml:space="preserve"> allow</w:t>
      </w:r>
      <w:r>
        <w:t xml:space="preserve"> </w:t>
      </w:r>
      <w:r>
        <w:t xml:space="preserve">Miyahara </w:t>
      </w:r>
      <w:r>
        <w:t>to</w:t>
      </w:r>
      <w:r>
        <w:t xml:space="preserve"> allege what clause</w:t>
      </w:r>
      <w:r>
        <w:t xml:space="preserve"> </w:t>
      </w:r>
      <w:r>
        <w:t>of the contra</w:t>
      </w:r>
      <w:r>
        <w:t>ct was</w:t>
      </w:r>
      <w:r>
        <w:t xml:space="preserve"> </w:t>
      </w:r>
      <w:r>
        <w:t>allegedly</w:t>
      </w:r>
      <w:r>
        <w:t xml:space="preserve"> breac</w:t>
      </w:r>
      <w:r>
        <w:t xml:space="preserve">hed and whether the alleged provision </w:t>
      </w:r>
      <w:r>
        <w:t xml:space="preserve">upon which she relies </w:t>
      </w:r>
      <w:r>
        <w:t>is</w:t>
      </w:r>
      <w:r w:rsidRPr="00E23FD8">
        <w:t xml:space="preserve"> </w:t>
      </w:r>
      <w:r>
        <w:t>“</w:t>
      </w:r>
      <w:r w:rsidRPr="00E23FD8">
        <w:t>‘reasonably susceptible’ to the meaning ascribed to it in the complaint.</w:t>
      </w:r>
      <w:r>
        <w:t>”</w:t>
      </w:r>
      <w:r w:rsidRPr="00E23FD8">
        <w:t xml:space="preserve"> </w:t>
      </w:r>
      <w:r>
        <w:t xml:space="preserve"> </w:t>
      </w:r>
      <w:r w:rsidRPr="00E23FD8">
        <w:t>(</w:t>
      </w:r>
      <w:r w:rsidRPr="00E23FD8">
        <w:rPr>
          <w:i/>
          <w:iCs/>
        </w:rPr>
        <w:t>Klein v. Chevron U. S. A., Inc</w:t>
      </w:r>
      <w:r w:rsidRPr="00E23FD8">
        <w:t>. (2012) 202</w:t>
      </w:r>
      <w:r>
        <w:t> </w:t>
      </w:r>
      <w:r w:rsidRPr="00E23FD8">
        <w:t xml:space="preserve">Cal.App.4th 1342, 1384-1385; </w:t>
      </w:r>
      <w:r>
        <w:t>see</w:t>
      </w:r>
      <w:r w:rsidRPr="00E23FD8">
        <w:t xml:space="preserve"> </w:t>
      </w:r>
      <w:r w:rsidRPr="00E23FD8">
        <w:rPr>
          <w:i/>
          <w:iCs/>
        </w:rPr>
        <w:t>Connell v. Zaid</w:t>
      </w:r>
      <w:r w:rsidRPr="00E23FD8">
        <w:t xml:space="preserve"> (1969) 268</w:t>
      </w:r>
      <w:r>
        <w:t> </w:t>
      </w:r>
      <w:r w:rsidRPr="00E23FD8">
        <w:t>Cal.App.2d 788, 795 [“‘in considering a pleading attacked by general demurrer,’ plaintiff</w:t>
      </w:r>
      <w:r w:rsidRPr="00E23FD8">
        <w:t>’</w:t>
      </w:r>
      <w:r w:rsidRPr="00E23FD8">
        <w:t xml:space="preserve">s ‘“construction of </w:t>
      </w:r>
      <w:r>
        <w:t>. . .</w:t>
      </w:r>
      <w:r w:rsidRPr="00E23FD8">
        <w:t xml:space="preserve"> [the contract] should be </w:t>
      </w:r>
      <w:proofErr w:type="gramStart"/>
      <w:r w:rsidRPr="00E23FD8">
        <w:t>accepted, if</w:t>
      </w:r>
      <w:proofErr w:type="gramEnd"/>
      <w:r w:rsidRPr="00E23FD8">
        <w:t xml:space="preserve"> such construction be reasonable”’”].)</w:t>
      </w:r>
    </w:p>
    <w:p w14:paraId="237419D2" w14:textId="77777777" w:rsidR="005832F1" w:rsidRDefault="005832F1" w:rsidP="00523DA4">
      <w:pPr>
        <w:widowControl w:val="0"/>
      </w:pPr>
      <w:r>
        <w:tab/>
      </w:r>
      <w:r>
        <w:t xml:space="preserve">Wells Fargo </w:t>
      </w:r>
      <w:r>
        <w:t xml:space="preserve">also </w:t>
      </w:r>
      <w:r>
        <w:t xml:space="preserve">argues </w:t>
      </w:r>
      <w:r>
        <w:t>Miyahara fail</w:t>
      </w:r>
      <w:r>
        <w:t>ed</w:t>
      </w:r>
      <w:r>
        <w:t xml:space="preserve"> to </w:t>
      </w:r>
      <w:r>
        <w:t>allege</w:t>
      </w:r>
      <w:r>
        <w:t xml:space="preserve"> how she was damaged</w:t>
      </w:r>
      <w:r>
        <w:t xml:space="preserve"> by any alleged breach</w:t>
      </w:r>
      <w:r>
        <w:t>.  But Miyah</w:t>
      </w:r>
      <w:r>
        <w:t>a</w:t>
      </w:r>
      <w:r>
        <w:t xml:space="preserve">ra argues </w:t>
      </w:r>
      <w:r>
        <w:t>she can allege</w:t>
      </w:r>
      <w:r>
        <w:t xml:space="preserve"> “she has suffered loss of money” in an amended complaint.  </w:t>
      </w:r>
      <w:r>
        <w:t xml:space="preserve">We agree Miyahara should be given the opportunity to allege what damages, if any, she </w:t>
      </w:r>
      <w:r>
        <w:t xml:space="preserve">may have </w:t>
      </w:r>
      <w:r>
        <w:t xml:space="preserve">suffered.  </w:t>
      </w:r>
      <w:r>
        <w:t xml:space="preserve">(See </w:t>
      </w:r>
      <w:r w:rsidRPr="00027F83">
        <w:rPr>
          <w:i/>
          <w:iCs/>
        </w:rPr>
        <w:t>McAllister v. County of Monterey</w:t>
      </w:r>
      <w:r>
        <w:t xml:space="preserve"> (2007)</w:t>
      </w:r>
      <w:r w:rsidRPr="00027F83">
        <w:t xml:space="preserve"> 147</w:t>
      </w:r>
      <w:r>
        <w:t> </w:t>
      </w:r>
      <w:r w:rsidRPr="00027F83">
        <w:t>Cal.App.4th 253, 297</w:t>
      </w:r>
      <w:r>
        <w:t xml:space="preserve"> [</w:t>
      </w:r>
      <w:r w:rsidRPr="00027F83">
        <w:t xml:space="preserve">“The trial court has discretion to allow amendments to the pleadings ‘in the furtherance of justice.’ </w:t>
      </w:r>
      <w:r>
        <w:t xml:space="preserve"> </w:t>
      </w:r>
      <w:r w:rsidRPr="00027F83">
        <w:t xml:space="preserve">(Code Civ. Proc., § 473, subd. (a)(1).) </w:t>
      </w:r>
      <w:r>
        <w:t xml:space="preserve"> </w:t>
      </w:r>
      <w:r w:rsidRPr="00027F83">
        <w:t>‘This discretion should be exercised liberally in favor of amendments</w:t>
      </w:r>
      <w:r>
        <w:t>.’”]</w:t>
      </w:r>
    </w:p>
    <w:p w14:paraId="380F47CF" w14:textId="77777777" w:rsidR="005832F1" w:rsidRDefault="005832F1" w:rsidP="00786690"/>
    <w:p w14:paraId="3D42A4B8" w14:textId="77777777" w:rsidR="005832F1" w:rsidRDefault="005832F1" w:rsidP="00FE0732">
      <w:pPr>
        <w:keepNext/>
        <w:keepLines/>
        <w:ind w:left="1440" w:hanging="720"/>
      </w:pPr>
      <w:r>
        <w:lastRenderedPageBreak/>
        <w:t>2.</w:t>
      </w:r>
      <w:r>
        <w:tab/>
      </w:r>
      <w:r w:rsidRPr="0093405D">
        <w:rPr>
          <w:i/>
          <w:iCs/>
        </w:rPr>
        <w:t>The</w:t>
      </w:r>
      <w:r>
        <w:t xml:space="preserve"> </w:t>
      </w:r>
      <w:r w:rsidRPr="00351801">
        <w:rPr>
          <w:i/>
          <w:iCs/>
        </w:rPr>
        <w:t>Rosenthal Act</w:t>
      </w:r>
    </w:p>
    <w:p w14:paraId="40B5FC7D" w14:textId="77777777" w:rsidR="005832F1" w:rsidRDefault="005832F1" w:rsidP="00FE0732">
      <w:pPr>
        <w:keepNext/>
        <w:keepLines/>
      </w:pPr>
      <w:r>
        <w:tab/>
      </w:r>
      <w:r w:rsidRPr="00E23FD8">
        <w:t xml:space="preserve">“‘The Rosenthal Act was enacted “to prohibit debt collectors from engaging in unfair or deceptive acts or practices in the collection of consumer debts.”’” </w:t>
      </w:r>
      <w:r>
        <w:t xml:space="preserve"> </w:t>
      </w:r>
      <w:r w:rsidRPr="00E23FD8">
        <w:t>(</w:t>
      </w:r>
      <w:r w:rsidRPr="00E23FD8">
        <w:rPr>
          <w:i/>
          <w:iCs/>
        </w:rPr>
        <w:t>Young v. Midland Funding LLC</w:t>
      </w:r>
      <w:r w:rsidRPr="00E23FD8">
        <w:t xml:space="preserve"> (2023) 91 Cal.App.5th 63, 77.) </w:t>
      </w:r>
      <w:r>
        <w:t xml:space="preserve"> The Act</w:t>
      </w:r>
      <w:r w:rsidRPr="00E23FD8">
        <w:t xml:space="preserve"> prohibits specified acts by debt collectors (Civ. Code, §§ 1788.10</w:t>
      </w:r>
      <w:r>
        <w:t>-</w:t>
      </w:r>
      <w:r w:rsidRPr="00E23FD8">
        <w:t>1788.16), and requires them to comply with provisions of the federal Fair Debt Collection Practices Act (15 U.S.C. § 1692 et seq.).</w:t>
      </w:r>
      <w:r>
        <w:t xml:space="preserve">  Miyahara </w:t>
      </w:r>
      <w:r>
        <w:t>alleges</w:t>
      </w:r>
      <w:r>
        <w:t xml:space="preserve"> Wells Fargo</w:t>
      </w:r>
      <w:r>
        <w:t xml:space="preserve">’s </w:t>
      </w:r>
      <w:r>
        <w:t>foreclosure violat</w:t>
      </w:r>
      <w:r>
        <w:t>ed</w:t>
      </w:r>
      <w:r>
        <w:t xml:space="preserve"> </w:t>
      </w:r>
      <w:r>
        <w:t>t</w:t>
      </w:r>
      <w:r>
        <w:t>he Rosenthal Act.</w:t>
      </w:r>
    </w:p>
    <w:p w14:paraId="20A4127E" w14:textId="77777777" w:rsidR="005832F1" w:rsidRDefault="005832F1" w:rsidP="00261805">
      <w:pPr>
        <w:ind w:firstLine="720"/>
      </w:pPr>
      <w:r>
        <w:t>Wells Fargo argues this cause of action is time-barred because “</w:t>
      </w:r>
      <w:r>
        <w:t>[a]</w:t>
      </w:r>
      <w:r>
        <w:t xml:space="preserve"> cause of action under the Rosenthal Fair Debt Collection Practices Act (RFDCPA) must be brought ‘within one year from the date of the</w:t>
      </w:r>
      <w:r>
        <w:t xml:space="preserve"> </w:t>
      </w:r>
      <w:r>
        <w:t>occurrence of the violatio</w:t>
      </w:r>
      <w:r>
        <w:t>n,</w:t>
      </w:r>
      <w:r>
        <w:t>’”</w:t>
      </w:r>
      <w:r>
        <w:t xml:space="preserve"> which, according to Wells Fargo, occurred in 2017 when Miyahara learned Wells Fargo was attempting to foreclose on her property. </w:t>
      </w:r>
      <w:r>
        <w:t xml:space="preserve"> </w:t>
      </w:r>
      <w:r>
        <w:t>T</w:t>
      </w:r>
      <w:r>
        <w:t>here</w:t>
      </w:r>
      <w:r>
        <w:t xml:space="preserve"> is a one-year statute of limitations from the date of occurrence of the violation (</w:t>
      </w:r>
      <w:r>
        <w:t>Civ. Code</w:t>
      </w:r>
      <w:r>
        <w:t>,</w:t>
      </w:r>
      <w:r>
        <w:t xml:space="preserve"> </w:t>
      </w:r>
      <w:r>
        <w:t>§</w:t>
      </w:r>
      <w:r>
        <w:t> </w:t>
      </w:r>
      <w:r>
        <w:t>1788.17, subd. (</w:t>
      </w:r>
      <w:proofErr w:type="gramStart"/>
      <w:r>
        <w:t>f)</w:t>
      </w:r>
      <w:r>
        <w:t>)</w:t>
      </w:r>
      <w:proofErr w:type="gramEnd"/>
      <w:r>
        <w:t xml:space="preserve">, </w:t>
      </w:r>
      <w:r>
        <w:t xml:space="preserve">but </w:t>
      </w:r>
      <w:r>
        <w:t>the</w:t>
      </w:r>
      <w:r>
        <w:t xml:space="preserve"> law recognizes a</w:t>
      </w:r>
      <w:r>
        <w:t xml:space="preserve">n exception </w:t>
      </w:r>
      <w:r>
        <w:t xml:space="preserve">for </w:t>
      </w:r>
      <w:r>
        <w:t xml:space="preserve">a continuing violation.  </w:t>
      </w:r>
      <w:r>
        <w:t xml:space="preserve">(See </w:t>
      </w:r>
      <w:r w:rsidRPr="0086709A">
        <w:rPr>
          <w:i/>
          <w:iCs/>
        </w:rPr>
        <w:t>Komarova v. National</w:t>
      </w:r>
      <w:r w:rsidRPr="0086709A">
        <w:rPr>
          <w:i/>
          <w:iCs/>
        </w:rPr>
        <w:t xml:space="preserve"> Credit Acceptance, Inc</w:t>
      </w:r>
      <w:r w:rsidRPr="0086709A">
        <w:t>. (2009) 175</w:t>
      </w:r>
      <w:r>
        <w:t> </w:t>
      </w:r>
      <w:r w:rsidRPr="0086709A">
        <w:t>Cal.App.4th 324</w:t>
      </w:r>
      <w:r>
        <w:t xml:space="preserve">, 344-345 [discussing continuing violation doctrine].)  Although not alleged in the </w:t>
      </w:r>
      <w:r>
        <w:t>operative c</w:t>
      </w:r>
      <w:r>
        <w:t>omplaint,</w:t>
      </w:r>
      <w:r>
        <w:t xml:space="preserve"> Miyahara argues </w:t>
      </w:r>
      <w:r>
        <w:t xml:space="preserve">on </w:t>
      </w:r>
      <w:r>
        <w:t>appeal</w:t>
      </w:r>
      <w:r>
        <w:t xml:space="preserve"> </w:t>
      </w:r>
      <w:r>
        <w:t xml:space="preserve">she </w:t>
      </w:r>
      <w:r>
        <w:t>c</w:t>
      </w:r>
      <w:r>
        <w:t>ould amend her complaint to allege she</w:t>
      </w:r>
      <w:r>
        <w:t xml:space="preserve"> </w:t>
      </w:r>
      <w:r>
        <w:t>“</w:t>
      </w:r>
      <w:r>
        <w:t>continued to be harmed by Respondent’s refusal to correct the unlawful lien and, in fact, continues to be harmed, because she had to file for bankruptcy which has negatively impacted her credit and she can no longer obtain a low interest rate as a result</w:t>
      </w:r>
      <w:r>
        <w:t xml:space="preserve">.”  </w:t>
      </w:r>
      <w:r>
        <w:t xml:space="preserve">Such allegations of </w:t>
      </w:r>
      <w:proofErr w:type="gramStart"/>
      <w:r>
        <w:t>a continuing</w:t>
      </w:r>
      <w:proofErr w:type="gramEnd"/>
      <w:r>
        <w:t xml:space="preserve"> harm, as opposed to a continuing violation, a</w:t>
      </w:r>
      <w:r>
        <w:t xml:space="preserve">re insufficient.  Further, “[t]he </w:t>
      </w:r>
      <w:proofErr w:type="gramStart"/>
      <w:r>
        <w:t>test</w:t>
      </w:r>
      <w:proofErr w:type="gramEnd"/>
      <w:r>
        <w:t xml:space="preserve"> . . . for use of the continuing violation doctrine is whether the violations constitute ‘a continuing pattern and course of conduct,’ </w:t>
      </w:r>
      <w:r>
        <w:lastRenderedPageBreak/>
        <w:t>or ‘unrelated discrete acts.’”  (</w:t>
      </w:r>
      <w:r>
        <w:rPr>
          <w:i/>
          <w:iCs/>
        </w:rPr>
        <w:t>Komarova</w:t>
      </w:r>
      <w:r>
        <w:t xml:space="preserve">, at p. 344.)  </w:t>
      </w:r>
      <w:r>
        <w:t>Miyahara should</w:t>
      </w:r>
      <w:r>
        <w:t xml:space="preserve"> have the opportunity </w:t>
      </w:r>
      <w:r>
        <w:t xml:space="preserve">to amend </w:t>
      </w:r>
      <w:proofErr w:type="gramStart"/>
      <w:r>
        <w:t>to allege</w:t>
      </w:r>
      <w:proofErr w:type="gramEnd"/>
      <w:r>
        <w:t xml:space="preserve"> facts</w:t>
      </w:r>
      <w:r>
        <w:t>, if any,</w:t>
      </w:r>
      <w:r>
        <w:t xml:space="preserve"> </w:t>
      </w:r>
      <w:r>
        <w:t>demonstrating</w:t>
      </w:r>
      <w:r>
        <w:t xml:space="preserve"> how Wells Fargo engaged in </w:t>
      </w:r>
      <w:r>
        <w:t xml:space="preserve">a </w:t>
      </w:r>
      <w:r w:rsidRPr="001B1FE9">
        <w:t xml:space="preserve">continuing </w:t>
      </w:r>
      <w:r>
        <w:t>violation</w:t>
      </w:r>
      <w:r w:rsidRPr="001B1FE9">
        <w:t xml:space="preserve"> that extended into the limitations period</w:t>
      </w:r>
      <w:r>
        <w:t>.</w:t>
      </w:r>
      <w:r>
        <w:t xml:space="preserve"> </w:t>
      </w:r>
      <w:r>
        <w:t xml:space="preserve"> </w:t>
      </w:r>
      <w:r>
        <w:t>(</w:t>
      </w:r>
      <w:r w:rsidRPr="00047263">
        <w:rPr>
          <w:i/>
          <w:iCs/>
        </w:rPr>
        <w:t>Id</w:t>
      </w:r>
      <w:r>
        <w:t>. at p. 345 [“</w:t>
      </w:r>
      <w:r w:rsidRPr="00767BF8">
        <w:t>because the harassing phone calls were a continuing course of conduct that extended int</w:t>
      </w:r>
      <w:r w:rsidRPr="00767BF8">
        <w:t>o the limitations period, plaintiff could recover under the continuing violation doctrine for all of the violations that occurred during those calls</w:t>
      </w:r>
      <w:r>
        <w:t xml:space="preserve">”].) </w:t>
      </w:r>
    </w:p>
    <w:p w14:paraId="51661F66" w14:textId="77777777" w:rsidR="005832F1" w:rsidRDefault="005832F1" w:rsidP="00847876">
      <w:r>
        <w:tab/>
      </w:r>
      <w:r>
        <w:t xml:space="preserve">Wells Fargo </w:t>
      </w:r>
      <w:r>
        <w:t xml:space="preserve">further </w:t>
      </w:r>
      <w:r>
        <w:t xml:space="preserve">argues </w:t>
      </w:r>
      <w:r>
        <w:t>this cause of action “</w:t>
      </w:r>
      <w:r>
        <w:t>failed to allege facts constituting ‘unfair or unconscionable’ debt collection attempts by Wells Fargo</w:t>
      </w:r>
      <w:r>
        <w:t>” because it “had a contractual right to pursue foreclosure to address the payment default, and Wells Fargo was under no obligation to remedy the fraud of third-party West H&amp;A LLC.”</w:t>
      </w:r>
      <w:r>
        <w:t xml:space="preserve"> </w:t>
      </w:r>
      <w:r>
        <w:t xml:space="preserve"> </w:t>
      </w:r>
      <w:r>
        <w:t>Despite</w:t>
      </w:r>
      <w:r>
        <w:t xml:space="preserve"> Miyahara</w:t>
      </w:r>
      <w:r>
        <w:t>’s argument</w:t>
      </w:r>
      <w:r>
        <w:t xml:space="preserve"> </w:t>
      </w:r>
      <w:r>
        <w:t>that</w:t>
      </w:r>
      <w:r>
        <w:t xml:space="preserve"> Wells Fargo’s “actions were unfair and unconscionable when it pursued foreclosure when it knew that there was a false lien on the property that prevented her refinance</w:t>
      </w:r>
      <w:r>
        <w:t xml:space="preserve">,” we agree with Wells Fargo </w:t>
      </w:r>
      <w:r>
        <w:t xml:space="preserve">the viability of </w:t>
      </w:r>
      <w:r>
        <w:t xml:space="preserve">this cause of action </w:t>
      </w:r>
      <w:r>
        <w:t>hinges</w:t>
      </w:r>
      <w:r>
        <w:t xml:space="preserve"> on whether </w:t>
      </w:r>
      <w:r>
        <w:t>it</w:t>
      </w:r>
      <w:r>
        <w:t xml:space="preserve"> could pursue foreclosure under the deed of trust without demanding full repayment, and </w:t>
      </w:r>
      <w:r>
        <w:t xml:space="preserve">what specific provision of the </w:t>
      </w:r>
      <w:r w:rsidRPr="007B2EF9">
        <w:t xml:space="preserve">Fair Debt Collections Practice Act </w:t>
      </w:r>
      <w:r>
        <w:t xml:space="preserve">(incorporated into the Rosenthal Act) </w:t>
      </w:r>
      <w:r w:rsidRPr="007B2EF9">
        <w:t>has been violated.  (</w:t>
      </w:r>
      <w:r>
        <w:t xml:space="preserve">See </w:t>
      </w:r>
      <w:r w:rsidRPr="007B2EF9">
        <w:t>15 U.S.C. § 1692f</w:t>
      </w:r>
      <w:r>
        <w:t xml:space="preserve">; </w:t>
      </w:r>
      <w:r w:rsidRPr="00E23FD8">
        <w:t>Civ. Code, §§ 1788.10</w:t>
      </w:r>
      <w:r>
        <w:t>-</w:t>
      </w:r>
      <w:r w:rsidRPr="00E23FD8">
        <w:t>1788.16</w:t>
      </w:r>
      <w:r w:rsidRPr="007B2EF9">
        <w:t>.)</w:t>
      </w:r>
      <w:r>
        <w:t xml:space="preserve"> </w:t>
      </w:r>
      <w:r>
        <w:t xml:space="preserve"> But, as noted above, a</w:t>
      </w:r>
      <w:r>
        <w:t>t the very least</w:t>
      </w:r>
      <w:r>
        <w:t xml:space="preserve"> Miyahara is entitled to </w:t>
      </w:r>
      <w:r>
        <w:t xml:space="preserve">leave </w:t>
      </w:r>
      <w:r>
        <w:t xml:space="preserve">to amend </w:t>
      </w:r>
      <w:r>
        <w:t>to address these deficiencies</w:t>
      </w:r>
      <w:r>
        <w:t xml:space="preserve">.  (See </w:t>
      </w:r>
      <w:r w:rsidRPr="00B10E9A">
        <w:rPr>
          <w:i/>
          <w:iCs/>
        </w:rPr>
        <w:t>Howard v. County of San Diego</w:t>
      </w:r>
      <w:r w:rsidRPr="00B10E9A">
        <w:t xml:space="preserve"> (2010) 184</w:t>
      </w:r>
      <w:r>
        <w:t> </w:t>
      </w:r>
      <w:r w:rsidRPr="00B10E9A">
        <w:t>Cal.App.4th 1422, 1428</w:t>
      </w:r>
      <w:r>
        <w:t xml:space="preserve"> [“</w:t>
      </w:r>
      <w:r w:rsidRPr="00B10E9A">
        <w:t>The policy favoring amendment is so strong that it is a rare case in which denial of leave to amend can be justified.”</w:t>
      </w:r>
      <w:r>
        <w:t>].)</w:t>
      </w:r>
    </w:p>
    <w:p w14:paraId="55CF6BAA" w14:textId="77777777" w:rsidR="005832F1" w:rsidRDefault="005832F1" w:rsidP="00847876"/>
    <w:p w14:paraId="116229E9" w14:textId="77777777" w:rsidR="005832F1" w:rsidRPr="00B10E9A" w:rsidRDefault="005832F1" w:rsidP="0008798D">
      <w:pPr>
        <w:keepNext/>
        <w:keepLines/>
        <w:ind w:left="1440" w:hanging="720"/>
        <w:rPr>
          <w:i/>
          <w:iCs/>
        </w:rPr>
      </w:pPr>
      <w:r>
        <w:lastRenderedPageBreak/>
        <w:t>3.</w:t>
      </w:r>
      <w:r>
        <w:tab/>
      </w:r>
      <w:r w:rsidRPr="00B10E9A">
        <w:rPr>
          <w:i/>
          <w:iCs/>
        </w:rPr>
        <w:t>Violation of Business and Professions Code Section</w:t>
      </w:r>
      <w:r>
        <w:rPr>
          <w:i/>
          <w:iCs/>
        </w:rPr>
        <w:t> </w:t>
      </w:r>
      <w:r w:rsidRPr="00B10E9A">
        <w:rPr>
          <w:i/>
          <w:iCs/>
        </w:rPr>
        <w:t>17200</w:t>
      </w:r>
    </w:p>
    <w:p w14:paraId="7DEE7841" w14:textId="77777777" w:rsidR="005832F1" w:rsidRDefault="005832F1" w:rsidP="00CB7451">
      <w:r>
        <w:tab/>
        <w:t xml:space="preserve">Wells Fargo argues </w:t>
      </w:r>
      <w:r>
        <w:t>the third</w:t>
      </w:r>
      <w:r>
        <w:t xml:space="preserve"> cause of action </w:t>
      </w:r>
      <w:r>
        <w:t>lacks</w:t>
      </w:r>
      <w:r>
        <w:t xml:space="preserve"> merit because it is based on the other defective causes of action</w:t>
      </w:r>
      <w:r>
        <w:t xml:space="preserve">, and </w:t>
      </w:r>
      <w:r>
        <w:t xml:space="preserve">further contends </w:t>
      </w:r>
      <w:r>
        <w:t xml:space="preserve">Miyahara lacks standing because she has not suffered “an injury in fact.” </w:t>
      </w:r>
      <w:r>
        <w:t xml:space="preserve"> </w:t>
      </w:r>
      <w:r>
        <w:t xml:space="preserve">As </w:t>
      </w:r>
      <w:proofErr w:type="gramStart"/>
      <w:r>
        <w:t>pled</w:t>
      </w:r>
      <w:proofErr w:type="gramEnd"/>
      <w:r>
        <w:t>, t</w:t>
      </w:r>
      <w:r>
        <w:t xml:space="preserve">he </w:t>
      </w:r>
      <w:r>
        <w:t>section</w:t>
      </w:r>
      <w:r>
        <w:t xml:space="preserve"> 17200</w:t>
      </w:r>
      <w:r>
        <w:t xml:space="preserve"> cause of action is derivative of the previous causes of action.  </w:t>
      </w:r>
      <w:r>
        <w:t>(</w:t>
      </w:r>
      <w:r>
        <w:t xml:space="preserve">See </w:t>
      </w:r>
      <w:proofErr w:type="spellStart"/>
      <w:r w:rsidRPr="0086709A">
        <w:rPr>
          <w:i/>
          <w:iCs/>
        </w:rPr>
        <w:t>Aleksick</w:t>
      </w:r>
      <w:proofErr w:type="spellEnd"/>
      <w:r>
        <w:rPr>
          <w:i/>
          <w:iCs/>
        </w:rPr>
        <w:t> </w:t>
      </w:r>
      <w:r w:rsidRPr="0086709A">
        <w:rPr>
          <w:i/>
          <w:iCs/>
        </w:rPr>
        <w:t>v. 7-Eleven, Inc</w:t>
      </w:r>
      <w:r>
        <w:t>. (2012) 205 Cal.App.4th 1176, 1185 [“</w:t>
      </w:r>
      <w:r w:rsidRPr="0086709A">
        <w:t>When a statutory claim fails, a derivative UCL claim also fails</w:t>
      </w:r>
      <w:r>
        <w:t xml:space="preserve">”].)  </w:t>
      </w:r>
      <w:r>
        <w:t xml:space="preserve">Thus, to the extent the </w:t>
      </w:r>
      <w:r>
        <w:t>first two</w:t>
      </w:r>
      <w:r>
        <w:t xml:space="preserve"> causes of action </w:t>
      </w:r>
      <w:r>
        <w:t>were</w:t>
      </w:r>
      <w:r>
        <w:t xml:space="preserve"> </w:t>
      </w:r>
      <w:r>
        <w:t>insufficiently pled, the UCL c</w:t>
      </w:r>
      <w:r>
        <w:t xml:space="preserve">ause of action </w:t>
      </w:r>
      <w:r>
        <w:t xml:space="preserve">was also insufficiently pled.  But, for the same reasons as above, </w:t>
      </w:r>
      <w:r>
        <w:t xml:space="preserve">leave to amend </w:t>
      </w:r>
      <w:r>
        <w:t>is proper</w:t>
      </w:r>
      <w:r>
        <w:t xml:space="preserve">. </w:t>
      </w:r>
      <w:r>
        <w:t xml:space="preserve"> </w:t>
      </w:r>
      <w:r>
        <w:t>Miyah</w:t>
      </w:r>
      <w:r>
        <w:t>a</w:t>
      </w:r>
      <w:r>
        <w:t>ra</w:t>
      </w:r>
      <w:r>
        <w:t>’s</w:t>
      </w:r>
      <w:r>
        <w:t xml:space="preserve"> </w:t>
      </w:r>
      <w:r w:rsidRPr="005E60B5">
        <w:t>allegation</w:t>
      </w:r>
      <w:r>
        <w:t>s</w:t>
      </w:r>
      <w:r w:rsidRPr="005E60B5">
        <w:t xml:space="preserve"> she</w:t>
      </w:r>
      <w:r w:rsidRPr="005E60B5">
        <w:t xml:space="preserve"> suffered</w:t>
      </w:r>
      <w:r w:rsidRPr="005E60B5">
        <w:t xml:space="preserve"> </w:t>
      </w:r>
      <w:r w:rsidRPr="005E60B5">
        <w:t>economic</w:t>
      </w:r>
      <w:r w:rsidRPr="005E60B5">
        <w:t xml:space="preserve"> </w:t>
      </w:r>
      <w:r w:rsidRPr="005E60B5">
        <w:t>injury by having to pay attorney fees and costs of suit to prevent the sale of her home, as well as late fees and appraisal fees</w:t>
      </w:r>
      <w:r>
        <w:t>,</w:t>
      </w:r>
      <w:r w:rsidRPr="005E60B5">
        <w:t xml:space="preserve"> </w:t>
      </w:r>
      <w:r w:rsidRPr="005E60B5">
        <w:t>and the destruction of her credit</w:t>
      </w:r>
      <w:r>
        <w:t xml:space="preserve"> requiring her to pay more in interest</w:t>
      </w:r>
      <w:r w:rsidRPr="005E60B5">
        <w:t xml:space="preserve"> </w:t>
      </w:r>
      <w:r w:rsidRPr="005E60B5">
        <w:t xml:space="preserve">is sufficient </w:t>
      </w:r>
      <w:r w:rsidRPr="005E60B5">
        <w:t xml:space="preserve">under section 17200 </w:t>
      </w:r>
      <w:r w:rsidRPr="005E60B5">
        <w:t>to</w:t>
      </w:r>
      <w:r>
        <w:t xml:space="preserve"> </w:t>
      </w:r>
      <w:r>
        <w:t>allege</w:t>
      </w:r>
      <w:r>
        <w:t xml:space="preserve"> standing</w:t>
      </w:r>
      <w:r>
        <w:t xml:space="preserve"> and whether she would be entitled to restitution</w:t>
      </w:r>
      <w:r>
        <w:t xml:space="preserve">.  </w:t>
      </w:r>
      <w:r>
        <w:t>(</w:t>
      </w:r>
      <w:r>
        <w:t>Bus. &amp; Prof. Code, § 17204 [“</w:t>
      </w:r>
      <w:r w:rsidRPr="00767BF8">
        <w:t>Actions for relief pursuant to this c</w:t>
      </w:r>
      <w:r w:rsidRPr="00767BF8">
        <w:t>hapter shall be prosecuted exclusively in a court of competent jurisdiction</w:t>
      </w:r>
      <w:r>
        <w:t xml:space="preserve"> . . .  by a p</w:t>
      </w:r>
      <w:r w:rsidRPr="00767BF8">
        <w:t>erson who has suffered injury in fact and has lost money or property as a result of the unfair competition</w:t>
      </w:r>
      <w:r>
        <w:t>”]; s</w:t>
      </w:r>
      <w:r>
        <w:t xml:space="preserve">ee </w:t>
      </w:r>
      <w:r w:rsidRPr="00102BB2">
        <w:rPr>
          <w:i/>
          <w:iCs/>
        </w:rPr>
        <w:t>Kwikset Corp. v. Superior Court</w:t>
      </w:r>
      <w:r>
        <w:t xml:space="preserve"> (2011) 51 Cal.4th 310, 330, fn. 15 [“Because the issue here is only the threshold matter of standing, not whether and how much to award in restitution, a specific measure of the amount of this loss is not required.  It suffices that a plaintiff can allege an “‘identifiable tri</w:t>
      </w:r>
      <w:r>
        <w:t>fle’” [citation] of economic injury</w:t>
      </w:r>
      <w:r>
        <w:t>.</w:t>
      </w:r>
      <w:r>
        <w:t>”].)</w:t>
      </w:r>
    </w:p>
    <w:p w14:paraId="408840B0" w14:textId="77777777" w:rsidR="005832F1" w:rsidRDefault="005832F1" w:rsidP="00BE54A6"/>
    <w:p w14:paraId="46266924" w14:textId="77777777" w:rsidR="005832F1" w:rsidRPr="00BE54A6" w:rsidRDefault="005832F1" w:rsidP="00FE0732">
      <w:pPr>
        <w:keepNext/>
        <w:keepLines/>
        <w:ind w:left="1440" w:hanging="720"/>
        <w:rPr>
          <w:i/>
          <w:iCs/>
        </w:rPr>
      </w:pPr>
      <w:r>
        <w:lastRenderedPageBreak/>
        <w:t>4.</w:t>
      </w:r>
      <w:r>
        <w:tab/>
      </w:r>
      <w:r w:rsidRPr="00BE54A6">
        <w:rPr>
          <w:i/>
          <w:iCs/>
        </w:rPr>
        <w:t xml:space="preserve">The Homeowner Bill of Rights </w:t>
      </w:r>
    </w:p>
    <w:p w14:paraId="4A9C75AD" w14:textId="77777777" w:rsidR="005832F1" w:rsidRDefault="005832F1" w:rsidP="00FE0732">
      <w:pPr>
        <w:keepNext/>
        <w:keepLines/>
        <w:ind w:firstLine="720"/>
      </w:pPr>
      <w:r>
        <w:t xml:space="preserve">Miyahara </w:t>
      </w:r>
      <w:r>
        <w:t>alleged</w:t>
      </w:r>
      <w:r>
        <w:t xml:space="preserve"> Wells Fargo violated the Homeowner Bill of Rights (Civ. Code, § 2924.17) “by failing to review competent and reliable evidence to substantiate its rights to collect amounts in default while the fraudulent assignment was recorded and it was, arguably, not the owner of the loan or entitled to collect payments during the time period where the assignment was recorded.”  </w:t>
      </w:r>
      <w:r>
        <w:t xml:space="preserve">As Wells Fargo notes, </w:t>
      </w:r>
      <w:r w:rsidRPr="00DC4021">
        <w:rPr>
          <w:i/>
          <w:iCs/>
        </w:rPr>
        <w:t>Lucioni v. Bank of America, N.A.</w:t>
      </w:r>
      <w:r w:rsidRPr="00DC4021">
        <w:t xml:space="preserve"> (2016) 3 Cal.App.5th 150, 162 held that “</w:t>
      </w:r>
      <w:proofErr w:type="gramStart"/>
      <w:r w:rsidRPr="00DC4021">
        <w:t>Section[</w:t>
      </w:r>
      <w:proofErr w:type="gramEnd"/>
      <w:r>
        <w:t> </w:t>
      </w:r>
      <w:r w:rsidRPr="00DC4021">
        <w:t>]</w:t>
      </w:r>
      <w:r>
        <w:t> </w:t>
      </w:r>
      <w:r w:rsidRPr="00DC4021">
        <w:t>2924.17</w:t>
      </w:r>
      <w:r>
        <w:t> </w:t>
      </w:r>
      <w:r>
        <w:t>.</w:t>
      </w:r>
      <w:r>
        <w:t> </w:t>
      </w:r>
      <w:r>
        <w:t>.</w:t>
      </w:r>
      <w:r>
        <w:t> </w:t>
      </w:r>
      <w:r>
        <w:t>.</w:t>
      </w:r>
      <w:r w:rsidRPr="00DC4021">
        <w:t xml:space="preserve"> do[es] not create a r</w:t>
      </w:r>
      <w:r w:rsidRPr="00DC4021">
        <w:t xml:space="preserve">ight to litigate, </w:t>
      </w:r>
      <w:proofErr w:type="spellStart"/>
      <w:r w:rsidRPr="00DC4021">
        <w:t>preforeclosure</w:t>
      </w:r>
      <w:proofErr w:type="spellEnd"/>
      <w:r w:rsidRPr="00DC4021">
        <w:t>, whether the foreclosing party</w:t>
      </w:r>
      <w:r>
        <w:t>’</w:t>
      </w:r>
      <w:r w:rsidRPr="00DC4021">
        <w:t>s conclusion that it had the right to foreclose was correct.”</w:t>
      </w:r>
      <w:r>
        <w:t xml:space="preserve">  </w:t>
      </w:r>
      <w:r>
        <w:t xml:space="preserve">Miyahara </w:t>
      </w:r>
      <w:r>
        <w:t xml:space="preserve">did not address </w:t>
      </w:r>
      <w:r>
        <w:t>in the trial court</w:t>
      </w:r>
      <w:r>
        <w:t xml:space="preserve"> or on appeal</w:t>
      </w:r>
      <w:r>
        <w:t xml:space="preserve"> how she </w:t>
      </w:r>
      <w:r>
        <w:t>w</w:t>
      </w:r>
      <w:r>
        <w:t xml:space="preserve">ould amend </w:t>
      </w:r>
      <w:r>
        <w:t>her</w:t>
      </w:r>
      <w:r>
        <w:t xml:space="preserve"> complaint to state a valid cause of action for violation of the </w:t>
      </w:r>
      <w:r>
        <w:t>H</w:t>
      </w:r>
      <w:r>
        <w:t xml:space="preserve">omeowner </w:t>
      </w:r>
      <w:r>
        <w:t>B</w:t>
      </w:r>
      <w:r>
        <w:t xml:space="preserve">ill of </w:t>
      </w:r>
      <w:r>
        <w:t>R</w:t>
      </w:r>
      <w:r>
        <w:t>ights</w:t>
      </w:r>
      <w:r>
        <w:t xml:space="preserve">.  </w:t>
      </w:r>
      <w:r>
        <w:t xml:space="preserve">(See </w:t>
      </w:r>
      <w:r w:rsidRPr="00102BB2">
        <w:rPr>
          <w:i/>
          <w:iCs/>
        </w:rPr>
        <w:t>Czajkowski v. Haskell &amp; White, LLP</w:t>
      </w:r>
      <w:r>
        <w:t xml:space="preserve"> (2012) 208 Cal.App.4th 166, 173 [“</w:t>
      </w:r>
      <w:r w:rsidRPr="00102BB2">
        <w:t>The plaintiff has the burden of proving the possibility of cure by amendment</w:t>
      </w:r>
      <w:r>
        <w:t xml:space="preserve">”]; </w:t>
      </w:r>
      <w:r>
        <w:t xml:space="preserve">see </w:t>
      </w:r>
      <w:proofErr w:type="gramStart"/>
      <w:r w:rsidRPr="00B30634">
        <w:rPr>
          <w:i/>
          <w:iCs/>
        </w:rPr>
        <w:t>In</w:t>
      </w:r>
      <w:proofErr w:type="gramEnd"/>
      <w:r>
        <w:rPr>
          <w:i/>
          <w:iCs/>
        </w:rPr>
        <w:t> </w:t>
      </w:r>
      <w:r w:rsidRPr="00B30634">
        <w:rPr>
          <w:i/>
          <w:iCs/>
        </w:rPr>
        <w:t>re Marriage of Falcone &amp; Fyke</w:t>
      </w:r>
      <w:r w:rsidRPr="00B30634">
        <w:t xml:space="preserve"> (2008) 164 Cal.App.4th</w:t>
      </w:r>
      <w:r w:rsidRPr="00B30634">
        <w:t xml:space="preserve"> 814, 830 </w:t>
      </w:r>
      <w:r>
        <w:t>[“</w:t>
      </w:r>
      <w:r w:rsidRPr="00B30634">
        <w:t>We are not bound to develop appellants</w:t>
      </w:r>
      <w:r>
        <w:t xml:space="preserve">’ </w:t>
      </w:r>
      <w:r w:rsidRPr="00B30634">
        <w:t xml:space="preserve">argument for them. </w:t>
      </w:r>
      <w:r>
        <w:t xml:space="preserve"> </w:t>
      </w:r>
      <w:r w:rsidRPr="00B30634">
        <w:t xml:space="preserve">[Citation.] </w:t>
      </w:r>
      <w:r>
        <w:t xml:space="preserve"> </w:t>
      </w:r>
      <w:r w:rsidRPr="00B30634">
        <w:t xml:space="preserve">The absence of cogent legal argument or citation to authority allows this court to treat the contention as </w:t>
      </w:r>
      <w:proofErr w:type="gramStart"/>
      <w:r w:rsidRPr="00B30634">
        <w:t>waived</w:t>
      </w:r>
      <w:r>
        <w:t>”]</w:t>
      </w:r>
      <w:proofErr w:type="gramEnd"/>
      <w:r>
        <w:t xml:space="preserve">.) </w:t>
      </w:r>
      <w:r>
        <w:t xml:space="preserve"> Accordingly, </w:t>
      </w:r>
      <w:r>
        <w:t>Miyahara does not have leave to amend the fourth cause of action.</w:t>
      </w:r>
    </w:p>
    <w:p w14:paraId="6F5B4164" w14:textId="77777777" w:rsidR="005832F1" w:rsidRDefault="005832F1" w:rsidP="00847876"/>
    <w:p w14:paraId="1AE8877A" w14:textId="77777777" w:rsidR="005832F1" w:rsidRDefault="005832F1" w:rsidP="00650B92">
      <w:pPr>
        <w:keepNext/>
        <w:keepLines/>
        <w:jc w:val="center"/>
        <w:rPr>
          <w:b/>
        </w:rPr>
      </w:pPr>
      <w:r>
        <w:rPr>
          <w:b/>
        </w:rPr>
        <w:t>DISPOSITION</w:t>
      </w:r>
    </w:p>
    <w:p w14:paraId="65A20765" w14:textId="77777777" w:rsidR="005832F1" w:rsidRDefault="005832F1" w:rsidP="00650B92">
      <w:pPr>
        <w:keepNext/>
        <w:keepLines/>
      </w:pPr>
    </w:p>
    <w:p w14:paraId="140290C0" w14:textId="77777777" w:rsidR="005832F1" w:rsidRPr="008B6869" w:rsidRDefault="005832F1" w:rsidP="00853CF5">
      <w:pPr>
        <w:ind w:firstLine="720"/>
      </w:pPr>
      <w:r>
        <w:t xml:space="preserve">The judgment is reversed.  </w:t>
      </w:r>
      <w:r w:rsidRPr="0054558B">
        <w:t>The order sustaining the demurrer</w:t>
      </w:r>
      <w:r w:rsidRPr="0054558B">
        <w:t xml:space="preserve"> without leave to amend </w:t>
      </w:r>
      <w:r w:rsidRPr="0054558B">
        <w:t xml:space="preserve">is affirmed in part and reversed in part. </w:t>
      </w:r>
      <w:r w:rsidRPr="0054558B">
        <w:t xml:space="preserve"> </w:t>
      </w:r>
      <w:r w:rsidRPr="0054558B">
        <w:t xml:space="preserve">The order is </w:t>
      </w:r>
      <w:r w:rsidRPr="0054558B">
        <w:t xml:space="preserve">affirmed as to the cause of action for violation of the </w:t>
      </w:r>
      <w:r w:rsidRPr="0054558B">
        <w:t>H</w:t>
      </w:r>
      <w:r w:rsidRPr="0054558B">
        <w:t xml:space="preserve">omeowner </w:t>
      </w:r>
      <w:r w:rsidRPr="0054558B">
        <w:t>B</w:t>
      </w:r>
      <w:r w:rsidRPr="0054558B">
        <w:t xml:space="preserve">ill of </w:t>
      </w:r>
      <w:r w:rsidRPr="0054558B">
        <w:t>R</w:t>
      </w:r>
      <w:r w:rsidRPr="0054558B">
        <w:t>ights</w:t>
      </w:r>
      <w:r w:rsidRPr="0054558B">
        <w:t xml:space="preserve"> (fourth cause of </w:t>
      </w:r>
      <w:r w:rsidRPr="0054558B">
        <w:lastRenderedPageBreak/>
        <w:t>action</w:t>
      </w:r>
      <w:r w:rsidRPr="001A0417">
        <w:t>)</w:t>
      </w:r>
      <w:r w:rsidRPr="001A0417">
        <w:t xml:space="preserve">.  We </w:t>
      </w:r>
      <w:r w:rsidRPr="001A0417">
        <w:t xml:space="preserve">reverse </w:t>
      </w:r>
      <w:r w:rsidRPr="001A0417">
        <w:t xml:space="preserve">the order </w:t>
      </w:r>
      <w:r>
        <w:t xml:space="preserve">sustaining the demurrer and </w:t>
      </w:r>
      <w:r>
        <w:t>dismissing</w:t>
      </w:r>
      <w:r w:rsidRPr="001A0417">
        <w:t xml:space="preserve"> </w:t>
      </w:r>
      <w:proofErr w:type="gramStart"/>
      <w:r w:rsidRPr="001A0417">
        <w:t>on the basis of</w:t>
      </w:r>
      <w:proofErr w:type="gramEnd"/>
      <w:r w:rsidRPr="001A0417">
        <w:t xml:space="preserve"> judicial estoppel</w:t>
      </w:r>
      <w:r>
        <w:t xml:space="preserve"> without leave to amend.  </w:t>
      </w:r>
      <w:r w:rsidRPr="001A0417">
        <w:t xml:space="preserve">The </w:t>
      </w:r>
      <w:r w:rsidRPr="001A0417">
        <w:t>trial court</w:t>
      </w:r>
      <w:r w:rsidRPr="001A0417">
        <w:t xml:space="preserve"> </w:t>
      </w:r>
      <w:r w:rsidRPr="001A0417">
        <w:t xml:space="preserve">is directed </w:t>
      </w:r>
      <w:r w:rsidRPr="001A0417">
        <w:t>to enter a new order</w:t>
      </w:r>
      <w:r w:rsidRPr="001A0417">
        <w:t xml:space="preserve"> su</w:t>
      </w:r>
      <w:r w:rsidRPr="001A0417">
        <w:t>stain</w:t>
      </w:r>
      <w:r w:rsidRPr="001A0417">
        <w:t>ing</w:t>
      </w:r>
      <w:r w:rsidRPr="001A0417">
        <w:t xml:space="preserve"> the demurrer </w:t>
      </w:r>
      <w:r w:rsidRPr="001A0417">
        <w:t>as to judicial estoppel</w:t>
      </w:r>
      <w:r>
        <w:t>,</w:t>
      </w:r>
      <w:r w:rsidRPr="001A0417">
        <w:t xml:space="preserve"> </w:t>
      </w:r>
      <w:r w:rsidRPr="001A0417">
        <w:t xml:space="preserve">and the causes of action for breach of the implied covenant of good faith and fair dealing (first cause of action), violation of the Rosenthal Act (second cause of action) and violations </w:t>
      </w:r>
      <w:r w:rsidRPr="001A0417">
        <w:t>of Business and Professions Code section 17200 (third cause of action)</w:t>
      </w:r>
      <w:r>
        <w:t xml:space="preserve"> </w:t>
      </w:r>
      <w:r w:rsidRPr="001A0417">
        <w:t xml:space="preserve">with leave to amend.  </w:t>
      </w:r>
      <w:r w:rsidRPr="001A0417">
        <w:t xml:space="preserve">The parties </w:t>
      </w:r>
      <w:r w:rsidRPr="001A0417">
        <w:t xml:space="preserve">are to </w:t>
      </w:r>
      <w:r w:rsidRPr="001A0417">
        <w:t>bear</w:t>
      </w:r>
      <w:r w:rsidRPr="001A0417">
        <w:t xml:space="preserve"> their own costs on appeal.</w:t>
      </w:r>
      <w:r>
        <w:t xml:space="preserve">  </w:t>
      </w:r>
    </w:p>
    <w:p w14:paraId="4177CE2C" w14:textId="77777777" w:rsidR="005832F1" w:rsidRDefault="005832F1" w:rsidP="00650B92"/>
    <w:p w14:paraId="2C2D3F35" w14:textId="77777777" w:rsidR="005832F1" w:rsidRDefault="005832F1" w:rsidP="00650B92"/>
    <w:p w14:paraId="5EDEAA32" w14:textId="77777777" w:rsidR="005832F1" w:rsidRPr="004041C1" w:rsidRDefault="005832F1" w:rsidP="00650B92"/>
    <w:p w14:paraId="1F34271E" w14:textId="77777777" w:rsidR="005832F1" w:rsidRPr="004041C1" w:rsidRDefault="005832F1" w:rsidP="00650B92">
      <w:pPr>
        <w:rPr>
          <w:bCs/>
        </w:rPr>
      </w:pPr>
      <w:r w:rsidRPr="004041C1">
        <w:rPr>
          <w:bCs/>
        </w:rPr>
        <w:tab/>
      </w:r>
      <w:r w:rsidRPr="004041C1">
        <w:rPr>
          <w:bCs/>
        </w:rPr>
        <w:tab/>
      </w:r>
      <w:r w:rsidRPr="004041C1">
        <w:rPr>
          <w:bCs/>
        </w:rPr>
        <w:tab/>
      </w:r>
      <w:r w:rsidRPr="004041C1">
        <w:rPr>
          <w:bCs/>
        </w:rPr>
        <w:tab/>
      </w:r>
      <w:r w:rsidRPr="004041C1">
        <w:rPr>
          <w:bCs/>
        </w:rPr>
        <w:tab/>
        <w:t>MARTINEZ, J.</w:t>
      </w:r>
    </w:p>
    <w:p w14:paraId="2ECD7368" w14:textId="77777777" w:rsidR="005832F1" w:rsidRDefault="005832F1" w:rsidP="00650B92">
      <w:pPr>
        <w:rPr>
          <w:bCs/>
        </w:rPr>
      </w:pPr>
    </w:p>
    <w:p w14:paraId="1AD11787" w14:textId="77777777" w:rsidR="005832F1" w:rsidRDefault="005832F1" w:rsidP="00650B92">
      <w:pPr>
        <w:rPr>
          <w:bCs/>
        </w:rPr>
      </w:pPr>
      <w:r w:rsidRPr="004041C1">
        <w:rPr>
          <w:bCs/>
        </w:rPr>
        <w:t>We concur:</w:t>
      </w:r>
    </w:p>
    <w:p w14:paraId="6280591A" w14:textId="77777777" w:rsidR="005832F1" w:rsidRDefault="005832F1" w:rsidP="00650B92">
      <w:pPr>
        <w:rPr>
          <w:bCs/>
        </w:rPr>
      </w:pPr>
    </w:p>
    <w:p w14:paraId="70E72A16" w14:textId="77777777" w:rsidR="005832F1" w:rsidRDefault="005832F1" w:rsidP="00650B92">
      <w:pPr>
        <w:rPr>
          <w:bCs/>
        </w:rPr>
      </w:pPr>
    </w:p>
    <w:p w14:paraId="6F46808E" w14:textId="77777777" w:rsidR="005832F1" w:rsidRPr="004041C1" w:rsidRDefault="005832F1" w:rsidP="00650B92">
      <w:pPr>
        <w:rPr>
          <w:bCs/>
        </w:rPr>
      </w:pPr>
    </w:p>
    <w:p w14:paraId="7EBEBD72" w14:textId="77777777" w:rsidR="005832F1" w:rsidRDefault="005832F1" w:rsidP="00CB7451">
      <w:r>
        <w:tab/>
        <w:t>SEGAL, A</w:t>
      </w:r>
      <w:r>
        <w:t xml:space="preserve">cting </w:t>
      </w:r>
      <w:r>
        <w:t>P.</w:t>
      </w:r>
      <w:r>
        <w:t xml:space="preserve"> </w:t>
      </w:r>
      <w:r>
        <w:t>J.</w:t>
      </w:r>
    </w:p>
    <w:p w14:paraId="7676B3F9" w14:textId="77777777" w:rsidR="005832F1" w:rsidRDefault="005832F1" w:rsidP="00CB7451"/>
    <w:p w14:paraId="42E35782" w14:textId="77777777" w:rsidR="005832F1" w:rsidRDefault="005832F1" w:rsidP="00CB7451"/>
    <w:p w14:paraId="26A10067" w14:textId="77777777" w:rsidR="005832F1" w:rsidRDefault="005832F1" w:rsidP="00CB7451"/>
    <w:p w14:paraId="099931A9" w14:textId="77777777" w:rsidR="005832F1" w:rsidRDefault="005832F1" w:rsidP="00CB7451">
      <w:r>
        <w:tab/>
      </w:r>
      <w:r>
        <w:t>FEUER, J.</w:t>
      </w:r>
    </w:p>
    <w:sectPr w:rsidR="009A29B8" w:rsidSect="00A35749">
      <w:type w:val="continuous"/>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2E82" w14:textId="77777777" w:rsidR="005832F1" w:rsidRDefault="005832F1">
      <w:pPr>
        <w:spacing w:line="240" w:lineRule="auto"/>
      </w:pPr>
      <w:r>
        <w:separator/>
      </w:r>
    </w:p>
  </w:endnote>
  <w:endnote w:type="continuationSeparator" w:id="0">
    <w:p w14:paraId="44AE4F57" w14:textId="77777777" w:rsidR="005832F1" w:rsidRDefault="0058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EDEF" w14:textId="77777777" w:rsidR="005832F1" w:rsidRDefault="005832F1" w:rsidP="000365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37CE0E2" w14:textId="77777777" w:rsidR="005832F1" w:rsidRDefault="00583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00B5" w14:textId="77777777" w:rsidR="005832F1" w:rsidRPr="009255BE" w:rsidRDefault="005832F1" w:rsidP="000365D3">
    <w:pPr>
      <w:pStyle w:val="Footer"/>
      <w:framePr w:wrap="around" w:vAnchor="text" w:hAnchor="margin" w:xAlign="center" w:y="1"/>
      <w:rPr>
        <w:rStyle w:val="PageNumber"/>
        <w:szCs w:val="26"/>
      </w:rPr>
    </w:pPr>
    <w:r w:rsidRPr="009255BE">
      <w:rPr>
        <w:rStyle w:val="PageNumber"/>
        <w:szCs w:val="26"/>
      </w:rPr>
      <w:fldChar w:fldCharType="begin"/>
    </w:r>
    <w:r w:rsidRPr="009255BE">
      <w:rPr>
        <w:rStyle w:val="PageNumber"/>
        <w:szCs w:val="26"/>
      </w:rPr>
      <w:instrText xml:space="preserve"> PAGE </w:instrText>
    </w:r>
    <w:r w:rsidRPr="009255BE">
      <w:rPr>
        <w:rStyle w:val="PageNumber"/>
        <w:szCs w:val="26"/>
      </w:rPr>
      <w:fldChar w:fldCharType="separate"/>
    </w:r>
    <w:r w:rsidRPr="009255BE">
      <w:rPr>
        <w:rStyle w:val="PageNumber"/>
        <w:noProof/>
        <w:szCs w:val="26"/>
      </w:rPr>
      <w:t>22</w:t>
    </w:r>
    <w:r w:rsidRPr="009255BE">
      <w:rPr>
        <w:rStyle w:val="PageNumber"/>
        <w:szCs w:val="26"/>
      </w:rPr>
      <w:fldChar w:fldCharType="end"/>
    </w:r>
  </w:p>
  <w:p w14:paraId="03DA0D01" w14:textId="77777777" w:rsidR="005832F1" w:rsidRDefault="0058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AA58" w14:textId="77777777" w:rsidR="005832F1" w:rsidRDefault="005832F1" w:rsidP="00A44024">
      <w:pPr>
        <w:spacing w:line="240" w:lineRule="auto"/>
      </w:pPr>
      <w:r>
        <w:separator/>
      </w:r>
    </w:p>
  </w:footnote>
  <w:footnote w:type="continuationSeparator" w:id="0">
    <w:p w14:paraId="5C125F1C" w14:textId="77777777" w:rsidR="005832F1" w:rsidRDefault="005832F1" w:rsidP="00A44024">
      <w:pPr>
        <w:spacing w:line="240" w:lineRule="auto"/>
      </w:pPr>
      <w:r>
        <w:continuationSeparator/>
      </w:r>
    </w:p>
  </w:footnote>
  <w:footnote w:id="1">
    <w:p w14:paraId="62EB0015" w14:textId="77777777" w:rsidR="005832F1" w:rsidRPr="00C324E0" w:rsidRDefault="005832F1" w:rsidP="004B1351">
      <w:pPr>
        <w:pStyle w:val="FootnoteText"/>
        <w:rPr>
          <w:sz w:val="26"/>
          <w:szCs w:val="26"/>
        </w:rPr>
      </w:pPr>
      <w:r w:rsidRPr="00C324E0">
        <w:rPr>
          <w:rStyle w:val="FootnoteReference"/>
          <w:sz w:val="26"/>
          <w:szCs w:val="26"/>
        </w:rPr>
        <w:t>*</w:t>
      </w:r>
      <w:r w:rsidRPr="00C324E0">
        <w:rPr>
          <w:sz w:val="26"/>
          <w:szCs w:val="26"/>
        </w:rPr>
        <w:tab/>
      </w:r>
      <w:r>
        <w:rPr>
          <w:sz w:val="26"/>
          <w:szCs w:val="26"/>
        </w:rPr>
        <w:t xml:space="preserve">Pursuant </w:t>
      </w:r>
      <w:r w:rsidRPr="004B1351">
        <w:rPr>
          <w:sz w:val="26"/>
          <w:szCs w:val="26"/>
        </w:rPr>
        <w:t>to California</w:t>
      </w:r>
      <w:r>
        <w:rPr>
          <w:sz w:val="26"/>
          <w:szCs w:val="26"/>
        </w:rPr>
        <w:t xml:space="preserve"> </w:t>
      </w:r>
      <w:r w:rsidRPr="004B1351">
        <w:rPr>
          <w:sz w:val="26"/>
          <w:szCs w:val="26"/>
        </w:rPr>
        <w:t>Rules</w:t>
      </w:r>
      <w:r>
        <w:rPr>
          <w:sz w:val="26"/>
          <w:szCs w:val="26"/>
        </w:rPr>
        <w:t xml:space="preserve"> </w:t>
      </w:r>
      <w:r w:rsidRPr="004B1351">
        <w:rPr>
          <w:sz w:val="26"/>
          <w:szCs w:val="26"/>
        </w:rPr>
        <w:t xml:space="preserve">of Court, </w:t>
      </w:r>
      <w:r w:rsidRPr="00690344">
        <w:rPr>
          <w:sz w:val="26"/>
          <w:szCs w:val="26"/>
        </w:rPr>
        <w:t xml:space="preserve">rules 8.1100 and 8.1110, </w:t>
      </w:r>
      <w:r w:rsidRPr="004B1351">
        <w:rPr>
          <w:sz w:val="26"/>
          <w:szCs w:val="26"/>
        </w:rPr>
        <w:t>this opinion</w:t>
      </w:r>
      <w:r>
        <w:rPr>
          <w:sz w:val="26"/>
          <w:szCs w:val="26"/>
        </w:rPr>
        <w:t xml:space="preserve"> </w:t>
      </w:r>
      <w:r w:rsidRPr="004B1351">
        <w:rPr>
          <w:sz w:val="26"/>
          <w:szCs w:val="26"/>
        </w:rPr>
        <w:t>is</w:t>
      </w:r>
      <w:r>
        <w:rPr>
          <w:sz w:val="26"/>
          <w:szCs w:val="26"/>
        </w:rPr>
        <w:t xml:space="preserve"> </w:t>
      </w:r>
      <w:r w:rsidRPr="004B1351">
        <w:rPr>
          <w:sz w:val="26"/>
          <w:szCs w:val="26"/>
        </w:rPr>
        <w:t>certified</w:t>
      </w:r>
      <w:r>
        <w:rPr>
          <w:sz w:val="26"/>
          <w:szCs w:val="26"/>
        </w:rPr>
        <w:t xml:space="preserve"> </w:t>
      </w:r>
      <w:r w:rsidRPr="004B1351">
        <w:rPr>
          <w:sz w:val="26"/>
          <w:szCs w:val="26"/>
        </w:rPr>
        <w:t>for publication</w:t>
      </w:r>
      <w:r>
        <w:rPr>
          <w:sz w:val="26"/>
          <w:szCs w:val="26"/>
        </w:rPr>
        <w:t xml:space="preserve"> </w:t>
      </w:r>
      <w:proofErr w:type="gramStart"/>
      <w:r w:rsidRPr="004B1351">
        <w:rPr>
          <w:sz w:val="26"/>
          <w:szCs w:val="26"/>
        </w:rPr>
        <w:t>with the exception</w:t>
      </w:r>
      <w:r>
        <w:rPr>
          <w:sz w:val="26"/>
          <w:szCs w:val="26"/>
        </w:rPr>
        <w:t xml:space="preserve"> </w:t>
      </w:r>
      <w:r w:rsidRPr="004B1351">
        <w:rPr>
          <w:sz w:val="26"/>
          <w:szCs w:val="26"/>
        </w:rPr>
        <w:t>of</w:t>
      </w:r>
      <w:proofErr w:type="gramEnd"/>
      <w:r w:rsidRPr="004B1351">
        <w:rPr>
          <w:sz w:val="26"/>
          <w:szCs w:val="26"/>
        </w:rPr>
        <w:t xml:space="preserve"> part </w:t>
      </w:r>
      <w:r>
        <w:rPr>
          <w:sz w:val="26"/>
          <w:szCs w:val="26"/>
        </w:rPr>
        <w:t>C</w:t>
      </w:r>
      <w:r>
        <w:rPr>
          <w:sz w:val="26"/>
          <w:szCs w:val="26"/>
        </w:rPr>
        <w:t xml:space="preserve"> in the Discussion</w:t>
      </w:r>
      <w:r>
        <w:rPr>
          <w:sz w:val="26"/>
          <w:szCs w:val="26"/>
        </w:rPr>
        <w:t>.</w:t>
      </w:r>
    </w:p>
  </w:footnote>
  <w:footnote w:id="2">
    <w:p w14:paraId="6C6F205C" w14:textId="77777777" w:rsidR="005832F1" w:rsidRDefault="005832F1" w:rsidP="00C454EA">
      <w:pPr>
        <w:pStyle w:val="FootnoteText"/>
        <w:spacing w:after="120"/>
      </w:pPr>
      <w:r w:rsidRPr="00A44024">
        <w:rPr>
          <w:rStyle w:val="FootnoteReference"/>
          <w:sz w:val="24"/>
          <w:szCs w:val="24"/>
        </w:rPr>
        <w:footnoteRef/>
      </w:r>
      <w:r w:rsidRPr="00A44024">
        <w:rPr>
          <w:sz w:val="24"/>
          <w:szCs w:val="24"/>
        </w:rPr>
        <w:t xml:space="preserve"> </w:t>
      </w:r>
      <w:r w:rsidRPr="00A44024">
        <w:rPr>
          <w:sz w:val="24"/>
          <w:szCs w:val="24"/>
        </w:rPr>
        <w:tab/>
      </w:r>
      <w:r w:rsidRPr="008860DE">
        <w:rPr>
          <w:sz w:val="26"/>
          <w:szCs w:val="26"/>
        </w:rPr>
        <w:t xml:space="preserve">In January 2008 </w:t>
      </w:r>
      <w:r w:rsidRPr="008860DE">
        <w:rPr>
          <w:sz w:val="26"/>
          <w:szCs w:val="26"/>
        </w:rPr>
        <w:t>World Savings Bank, FS</w:t>
      </w:r>
      <w:r w:rsidRPr="008860DE">
        <w:rPr>
          <w:sz w:val="26"/>
          <w:szCs w:val="26"/>
        </w:rPr>
        <w:t>B</w:t>
      </w:r>
      <w:r w:rsidRPr="008860DE">
        <w:rPr>
          <w:sz w:val="26"/>
          <w:szCs w:val="26"/>
        </w:rPr>
        <w:t xml:space="preserve"> changed its name to Wachovia Mortgage, FSB.  Wachovia Mortgage merged with Wells Fargo</w:t>
      </w:r>
      <w:r w:rsidRPr="00A44024">
        <w:rPr>
          <w:sz w:val="26"/>
          <w:szCs w:val="26"/>
        </w:rPr>
        <w:t xml:space="preserve"> Bank, N.A. in November 2009.  </w:t>
      </w:r>
      <w:r>
        <w:rPr>
          <w:sz w:val="26"/>
          <w:szCs w:val="26"/>
        </w:rPr>
        <w:t xml:space="preserve">(See </w:t>
      </w:r>
      <w:r w:rsidRPr="00495241">
        <w:rPr>
          <w:i/>
          <w:iCs/>
          <w:sz w:val="26"/>
          <w:szCs w:val="26"/>
        </w:rPr>
        <w:t>Brown v. Wells Fargo Bank, N.A.</w:t>
      </w:r>
      <w:r>
        <w:rPr>
          <w:sz w:val="26"/>
          <w:szCs w:val="26"/>
        </w:rPr>
        <w:t xml:space="preserve"> (2012) 204</w:t>
      </w:r>
      <w:r>
        <w:rPr>
          <w:sz w:val="26"/>
          <w:szCs w:val="26"/>
        </w:rPr>
        <w:t> </w:t>
      </w:r>
      <w:r>
        <w:rPr>
          <w:sz w:val="26"/>
          <w:szCs w:val="26"/>
        </w:rPr>
        <w:t>Cal.App.4th 1353, 1355, fn</w:t>
      </w:r>
      <w:r>
        <w:rPr>
          <w:sz w:val="26"/>
          <w:szCs w:val="26"/>
        </w:rPr>
        <w:t xml:space="preserve">. </w:t>
      </w:r>
      <w:r>
        <w:rPr>
          <w:sz w:val="26"/>
          <w:szCs w:val="26"/>
        </w:rPr>
        <w:t>1 [“</w:t>
      </w:r>
      <w:r w:rsidRPr="00495241">
        <w:rPr>
          <w:sz w:val="26"/>
          <w:szCs w:val="26"/>
        </w:rPr>
        <w:t xml:space="preserve">After World Savings Bank FSB issued the loan </w:t>
      </w:r>
      <w:r>
        <w:rPr>
          <w:sz w:val="26"/>
          <w:szCs w:val="26"/>
        </w:rPr>
        <w:t>. . .</w:t>
      </w:r>
      <w:r w:rsidRPr="00495241">
        <w:rPr>
          <w:sz w:val="26"/>
          <w:szCs w:val="26"/>
        </w:rPr>
        <w:t xml:space="preserve"> it changed its name to Wachovia Mortgage FSB. </w:t>
      </w:r>
      <w:r>
        <w:rPr>
          <w:sz w:val="26"/>
          <w:szCs w:val="26"/>
        </w:rPr>
        <w:t xml:space="preserve"> </w:t>
      </w:r>
      <w:r w:rsidRPr="00495241">
        <w:rPr>
          <w:sz w:val="26"/>
          <w:szCs w:val="26"/>
        </w:rPr>
        <w:t>Wachovia Mortgage merged into and became a division of Wells Fargo Bank, NA</w:t>
      </w:r>
      <w:r>
        <w:rPr>
          <w:sz w:val="26"/>
          <w:szCs w:val="26"/>
        </w:rPr>
        <w:t>.</w:t>
      </w:r>
      <w:r>
        <w:rPr>
          <w:sz w:val="26"/>
          <w:szCs w:val="26"/>
        </w:rPr>
        <w:t>”].)</w:t>
      </w:r>
    </w:p>
  </w:footnote>
  <w:footnote w:id="3">
    <w:p w14:paraId="7E39577D" w14:textId="77777777" w:rsidR="005832F1" w:rsidRDefault="005832F1" w:rsidP="00C454EA">
      <w:pPr>
        <w:pStyle w:val="FootnoteText"/>
        <w:spacing w:after="120"/>
      </w:pPr>
      <w:r w:rsidRPr="00532D12">
        <w:rPr>
          <w:rStyle w:val="FootnoteReference"/>
          <w:sz w:val="26"/>
          <w:szCs w:val="26"/>
        </w:rPr>
        <w:footnoteRef/>
      </w:r>
      <w:r w:rsidRPr="00532D12">
        <w:rPr>
          <w:sz w:val="26"/>
          <w:szCs w:val="26"/>
        </w:rPr>
        <w:t xml:space="preserve"> </w:t>
      </w:r>
      <w:r w:rsidRPr="00532D12">
        <w:rPr>
          <w:sz w:val="26"/>
          <w:szCs w:val="26"/>
        </w:rPr>
        <w:tab/>
      </w:r>
      <w:r w:rsidRPr="00F944A2">
        <w:rPr>
          <w:sz w:val="26"/>
          <w:szCs w:val="26"/>
        </w:rPr>
        <w:t xml:space="preserve">The </w:t>
      </w:r>
      <w:r>
        <w:rPr>
          <w:sz w:val="26"/>
          <w:szCs w:val="26"/>
        </w:rPr>
        <w:t>n</w:t>
      </w:r>
      <w:r w:rsidRPr="00F944A2">
        <w:rPr>
          <w:sz w:val="26"/>
          <w:szCs w:val="26"/>
        </w:rPr>
        <w:t xml:space="preserve">otice of </w:t>
      </w:r>
      <w:r>
        <w:rPr>
          <w:sz w:val="26"/>
          <w:szCs w:val="26"/>
        </w:rPr>
        <w:t>d</w:t>
      </w:r>
      <w:r w:rsidRPr="00F944A2">
        <w:rPr>
          <w:sz w:val="26"/>
          <w:szCs w:val="26"/>
        </w:rPr>
        <w:t>efault served by Wells Fargo indicated Miyahara was $39,042.68 behind in her payments.</w:t>
      </w:r>
    </w:p>
  </w:footnote>
  <w:footnote w:id="4">
    <w:p w14:paraId="78DE502A" w14:textId="77777777" w:rsidR="005832F1" w:rsidRPr="00113E45" w:rsidRDefault="005832F1" w:rsidP="00C454EA">
      <w:pPr>
        <w:pStyle w:val="FootnoteText"/>
        <w:spacing w:after="120"/>
        <w:rPr>
          <w:sz w:val="26"/>
          <w:szCs w:val="26"/>
        </w:rPr>
      </w:pPr>
      <w:r w:rsidRPr="00532D12">
        <w:rPr>
          <w:rStyle w:val="FootnoteReference"/>
          <w:sz w:val="26"/>
          <w:szCs w:val="26"/>
        </w:rPr>
        <w:footnoteRef/>
      </w:r>
      <w:r w:rsidRPr="00532D12">
        <w:rPr>
          <w:sz w:val="26"/>
          <w:szCs w:val="26"/>
        </w:rPr>
        <w:t xml:space="preserve"> </w:t>
      </w:r>
      <w:r w:rsidRPr="00532D12">
        <w:rPr>
          <w:sz w:val="26"/>
          <w:szCs w:val="26"/>
        </w:rPr>
        <w:tab/>
      </w:r>
      <w:r w:rsidRPr="00113E45">
        <w:rPr>
          <w:sz w:val="26"/>
          <w:szCs w:val="26"/>
        </w:rPr>
        <w:t xml:space="preserve">The assignment of deed of trust was dated June 12, </w:t>
      </w:r>
      <w:proofErr w:type="gramStart"/>
      <w:r w:rsidRPr="00113E45">
        <w:rPr>
          <w:sz w:val="26"/>
          <w:szCs w:val="26"/>
        </w:rPr>
        <w:t>2017</w:t>
      </w:r>
      <w:proofErr w:type="gramEnd"/>
      <w:r w:rsidRPr="00113E45">
        <w:rPr>
          <w:sz w:val="26"/>
          <w:szCs w:val="26"/>
        </w:rPr>
        <w:t xml:space="preserve"> and signed by Michael C. Jackson and Ryan Alexander </w:t>
      </w:r>
      <w:proofErr w:type="spellStart"/>
      <w:r w:rsidRPr="00113E45">
        <w:rPr>
          <w:sz w:val="26"/>
          <w:szCs w:val="26"/>
        </w:rPr>
        <w:t>Urquiziu</w:t>
      </w:r>
      <w:proofErr w:type="spellEnd"/>
      <w:r w:rsidRPr="00113E45">
        <w:rPr>
          <w:sz w:val="26"/>
          <w:szCs w:val="26"/>
        </w:rPr>
        <w:t xml:space="preserve"> on behalf of West H&amp;A LLC. </w:t>
      </w:r>
      <w:r>
        <w:rPr>
          <w:sz w:val="26"/>
          <w:szCs w:val="26"/>
        </w:rPr>
        <w:t xml:space="preserve"> The assignment of deed of trust was not signed by anyone on behalf of Wells Fargo.</w:t>
      </w:r>
    </w:p>
  </w:footnote>
  <w:footnote w:id="5">
    <w:p w14:paraId="03B661E8" w14:textId="77777777" w:rsidR="005832F1" w:rsidRDefault="005832F1" w:rsidP="00C454EA">
      <w:pPr>
        <w:pStyle w:val="FootnoteText"/>
        <w:spacing w:after="120"/>
      </w:pPr>
      <w:r w:rsidRPr="00055F33">
        <w:rPr>
          <w:rStyle w:val="FootnoteReference"/>
          <w:sz w:val="24"/>
          <w:szCs w:val="24"/>
        </w:rPr>
        <w:footnoteRef/>
      </w:r>
      <w:r w:rsidRPr="00055F33">
        <w:rPr>
          <w:sz w:val="24"/>
          <w:szCs w:val="24"/>
        </w:rPr>
        <w:t xml:space="preserve"> </w:t>
      </w:r>
      <w:r w:rsidRPr="00055F33">
        <w:rPr>
          <w:sz w:val="24"/>
          <w:szCs w:val="24"/>
        </w:rPr>
        <w:tab/>
      </w:r>
      <w:r w:rsidRPr="00055F33">
        <w:rPr>
          <w:sz w:val="26"/>
          <w:szCs w:val="26"/>
        </w:rPr>
        <w:t xml:space="preserve">In April 2018 Nationstar Mortgage LLC filed a lawsuit in federal court against West H&amp;A LLC and numerous other parties claiming that they engaged in nationwide fraudulent activity to defraud both property owners and lenders. </w:t>
      </w:r>
      <w:r>
        <w:rPr>
          <w:sz w:val="26"/>
          <w:szCs w:val="26"/>
        </w:rPr>
        <w:t xml:space="preserve"> </w:t>
      </w:r>
      <w:r w:rsidRPr="00055F33">
        <w:rPr>
          <w:sz w:val="26"/>
          <w:szCs w:val="26"/>
        </w:rPr>
        <w:t xml:space="preserve">The </w:t>
      </w:r>
      <w:r>
        <w:rPr>
          <w:sz w:val="26"/>
          <w:szCs w:val="26"/>
        </w:rPr>
        <w:t>d</w:t>
      </w:r>
      <w:r w:rsidRPr="00055F33">
        <w:rPr>
          <w:sz w:val="26"/>
          <w:szCs w:val="26"/>
        </w:rPr>
        <w:t xml:space="preserve">istrict </w:t>
      </w:r>
      <w:r>
        <w:rPr>
          <w:sz w:val="26"/>
          <w:szCs w:val="26"/>
        </w:rPr>
        <w:t>c</w:t>
      </w:r>
      <w:r w:rsidRPr="00055F33">
        <w:rPr>
          <w:sz w:val="26"/>
          <w:szCs w:val="26"/>
        </w:rPr>
        <w:t xml:space="preserve">ourt eventually appointed a temporary receiver to clear title to the properties that were impacted by the fraudulent scheme. </w:t>
      </w:r>
      <w:r>
        <w:rPr>
          <w:sz w:val="26"/>
          <w:szCs w:val="26"/>
        </w:rPr>
        <w:t xml:space="preserve"> </w:t>
      </w:r>
      <w:r>
        <w:rPr>
          <w:sz w:val="26"/>
          <w:szCs w:val="26"/>
        </w:rPr>
        <w:t xml:space="preserve">The district court cancelled and declared void </w:t>
      </w:r>
      <w:r w:rsidRPr="000D2801">
        <w:rPr>
          <w:i/>
          <w:iCs/>
          <w:sz w:val="26"/>
          <w:szCs w:val="26"/>
        </w:rPr>
        <w:t>ab initio</w:t>
      </w:r>
      <w:r>
        <w:rPr>
          <w:sz w:val="26"/>
          <w:szCs w:val="26"/>
        </w:rPr>
        <w:t xml:space="preserve"> the fraudulent assignment recorded on Miyahara’s home by West H&amp;A LLC on March 27, 2019</w:t>
      </w:r>
      <w:r>
        <w:rPr>
          <w:sz w:val="26"/>
          <w:szCs w:val="26"/>
        </w:rPr>
        <w:t>.</w:t>
      </w:r>
    </w:p>
  </w:footnote>
  <w:footnote w:id="6">
    <w:p w14:paraId="06D6C47F" w14:textId="77777777" w:rsidR="005832F1" w:rsidRDefault="005832F1" w:rsidP="0036007A">
      <w:pPr>
        <w:pStyle w:val="FootnoteText"/>
        <w:spacing w:after="120"/>
      </w:pPr>
      <w:r w:rsidRPr="00C40148">
        <w:rPr>
          <w:rStyle w:val="FootnoteReference"/>
          <w:sz w:val="24"/>
          <w:szCs w:val="24"/>
        </w:rPr>
        <w:footnoteRef/>
      </w:r>
      <w:r w:rsidRPr="00C40148">
        <w:rPr>
          <w:sz w:val="24"/>
          <w:szCs w:val="24"/>
        </w:rPr>
        <w:t xml:space="preserve"> </w:t>
      </w:r>
      <w:r w:rsidRPr="00C40148">
        <w:rPr>
          <w:sz w:val="24"/>
          <w:szCs w:val="24"/>
        </w:rPr>
        <w:tab/>
      </w:r>
      <w:r w:rsidRPr="00C40148">
        <w:rPr>
          <w:sz w:val="26"/>
          <w:szCs w:val="26"/>
        </w:rPr>
        <w:t>We grant Miyahara’s request to take judicial notice of the bankruptcy claims register, and trustee’s final report and account</w:t>
      </w:r>
      <w:r>
        <w:rPr>
          <w:sz w:val="26"/>
          <w:szCs w:val="26"/>
        </w:rPr>
        <w:t xml:space="preserve"> dated February 12, 2020</w:t>
      </w:r>
      <w:r w:rsidRPr="00C40148">
        <w:rPr>
          <w:sz w:val="26"/>
          <w:szCs w:val="26"/>
        </w:rPr>
        <w:t>.  (Evid. Code, § 452, subd. (d) [court may take judicial notice of “any court of record of the United States”].)</w:t>
      </w:r>
      <w:r>
        <w:t xml:space="preserve"> </w:t>
      </w:r>
    </w:p>
  </w:footnote>
  <w:footnote w:id="7">
    <w:p w14:paraId="783CECFD" w14:textId="77777777" w:rsidR="005832F1" w:rsidRDefault="005832F1" w:rsidP="0036007A">
      <w:pPr>
        <w:pStyle w:val="FootnoteText"/>
        <w:spacing w:after="120"/>
      </w:pPr>
      <w:r w:rsidRPr="00D61963">
        <w:rPr>
          <w:rStyle w:val="FootnoteReference"/>
          <w:sz w:val="24"/>
          <w:szCs w:val="24"/>
        </w:rPr>
        <w:footnoteRef/>
      </w:r>
      <w:r w:rsidRPr="00D61963">
        <w:rPr>
          <w:sz w:val="24"/>
          <w:szCs w:val="24"/>
        </w:rPr>
        <w:t xml:space="preserve"> </w:t>
      </w:r>
      <w:r>
        <w:tab/>
      </w:r>
      <w:r w:rsidRPr="00D61963">
        <w:rPr>
          <w:sz w:val="26"/>
          <w:szCs w:val="26"/>
        </w:rPr>
        <w:t xml:space="preserve">“Chapter 13 bankruptcy is a voluntary proceeding that allows a debtor to retain control over some assets while the debtor repays creditors over a three-to-five-year period. </w:t>
      </w:r>
      <w:r>
        <w:rPr>
          <w:sz w:val="26"/>
          <w:szCs w:val="26"/>
        </w:rPr>
        <w:t xml:space="preserve"> </w:t>
      </w:r>
      <w:r w:rsidRPr="00D61963">
        <w:rPr>
          <w:sz w:val="26"/>
          <w:szCs w:val="26"/>
        </w:rPr>
        <w:t xml:space="preserve">In exchange for retaining control of some assets, the property accumulated during the repayment period becomes part of the bankruptcy estate and is used to repay creditors.” </w:t>
      </w:r>
      <w:r>
        <w:rPr>
          <w:sz w:val="26"/>
          <w:szCs w:val="26"/>
        </w:rPr>
        <w:t xml:space="preserve"> </w:t>
      </w:r>
      <w:r w:rsidRPr="00D61963">
        <w:rPr>
          <w:sz w:val="26"/>
          <w:szCs w:val="26"/>
        </w:rPr>
        <w:t>(</w:t>
      </w:r>
      <w:r w:rsidRPr="00D61963">
        <w:rPr>
          <w:i/>
          <w:iCs/>
          <w:sz w:val="26"/>
          <w:szCs w:val="26"/>
        </w:rPr>
        <w:t>Brown</w:t>
      </w:r>
      <w:r>
        <w:rPr>
          <w:i/>
          <w:iCs/>
          <w:sz w:val="26"/>
          <w:szCs w:val="26"/>
        </w:rPr>
        <w:t xml:space="preserve"> v. Barclay</w:t>
      </w:r>
      <w:r w:rsidRPr="00D61963">
        <w:rPr>
          <w:sz w:val="26"/>
          <w:szCs w:val="26"/>
        </w:rPr>
        <w:t xml:space="preserve"> (9th Cir. 2020) </w:t>
      </w:r>
      <w:r w:rsidRPr="00D61963">
        <w:rPr>
          <w:sz w:val="26"/>
          <w:szCs w:val="26"/>
        </w:rPr>
        <w:t>953 F.3d 617, 619-620.)</w:t>
      </w:r>
    </w:p>
  </w:footnote>
  <w:footnote w:id="8">
    <w:p w14:paraId="545C903C" w14:textId="77777777" w:rsidR="005832F1" w:rsidRDefault="005832F1" w:rsidP="009B6DD7">
      <w:pPr>
        <w:pStyle w:val="FootnoteText"/>
        <w:spacing w:after="120"/>
      </w:pPr>
      <w:r>
        <w:rPr>
          <w:rStyle w:val="FootnoteReference"/>
        </w:rPr>
        <w:footnoteRef/>
      </w:r>
      <w:r>
        <w:t xml:space="preserve"> </w:t>
      </w:r>
      <w:r>
        <w:tab/>
      </w:r>
      <w:r w:rsidRPr="00713574">
        <w:rPr>
          <w:sz w:val="26"/>
          <w:szCs w:val="26"/>
        </w:rPr>
        <w:t>Wells Fargo also argues</w:t>
      </w:r>
      <w:r w:rsidRPr="00713574">
        <w:rPr>
          <w:sz w:val="26"/>
          <w:szCs w:val="26"/>
        </w:rPr>
        <w:t xml:space="preserve"> the bankruptcy court’s stay indicates it accepted Miyahara’s representations</w:t>
      </w:r>
      <w:r w:rsidRPr="00713574">
        <w:rPr>
          <w:sz w:val="26"/>
          <w:szCs w:val="26"/>
        </w:rPr>
        <w:t xml:space="preserve"> and that </w:t>
      </w:r>
      <w:r>
        <w:rPr>
          <w:sz w:val="26"/>
          <w:szCs w:val="26"/>
        </w:rPr>
        <w:t>gave her</w:t>
      </w:r>
      <w:r w:rsidRPr="00713574">
        <w:rPr>
          <w:sz w:val="26"/>
          <w:szCs w:val="26"/>
        </w:rPr>
        <w:t xml:space="preserve"> an unfair advantage</w:t>
      </w:r>
      <w:r w:rsidRPr="00713574">
        <w:rPr>
          <w:sz w:val="26"/>
          <w:szCs w:val="26"/>
        </w:rPr>
        <w:t xml:space="preserve">.  </w:t>
      </w:r>
      <w:r w:rsidRPr="00713574">
        <w:rPr>
          <w:sz w:val="26"/>
          <w:szCs w:val="26"/>
        </w:rPr>
        <w:t>But a</w:t>
      </w:r>
      <w:r w:rsidRPr="00713574">
        <w:rPr>
          <w:sz w:val="26"/>
          <w:szCs w:val="26"/>
        </w:rPr>
        <w:t xml:space="preserve"> bankruptcy stay is automatic upon the filing of the petition</w:t>
      </w:r>
      <w:r w:rsidRPr="00713574">
        <w:rPr>
          <w:sz w:val="26"/>
          <w:szCs w:val="26"/>
        </w:rPr>
        <w:t xml:space="preserve"> and </w:t>
      </w:r>
      <w:r w:rsidRPr="00713574">
        <w:rPr>
          <w:sz w:val="26"/>
          <w:szCs w:val="26"/>
        </w:rPr>
        <w:t>does not depend</w:t>
      </w:r>
      <w:r w:rsidRPr="00713574">
        <w:rPr>
          <w:sz w:val="26"/>
          <w:szCs w:val="26"/>
        </w:rPr>
        <w:t xml:space="preserve"> on the specific </w:t>
      </w:r>
      <w:proofErr w:type="gramStart"/>
      <w:r w:rsidRPr="00713574">
        <w:rPr>
          <w:sz w:val="26"/>
          <w:szCs w:val="26"/>
        </w:rPr>
        <w:t>claims</w:t>
      </w:r>
      <w:proofErr w:type="gramEnd"/>
      <w:r w:rsidRPr="00713574">
        <w:rPr>
          <w:sz w:val="26"/>
          <w:szCs w:val="26"/>
        </w:rPr>
        <w:t xml:space="preserve"> </w:t>
      </w:r>
      <w:r w:rsidRPr="00713574">
        <w:rPr>
          <w:sz w:val="26"/>
          <w:szCs w:val="26"/>
        </w:rPr>
        <w:t xml:space="preserve">debtors </w:t>
      </w:r>
      <w:r w:rsidRPr="00713574">
        <w:rPr>
          <w:sz w:val="26"/>
          <w:szCs w:val="26"/>
        </w:rPr>
        <w:t xml:space="preserve">list </w:t>
      </w:r>
      <w:r w:rsidRPr="00713574">
        <w:rPr>
          <w:sz w:val="26"/>
          <w:szCs w:val="26"/>
        </w:rPr>
        <w:t xml:space="preserve">in their </w:t>
      </w:r>
      <w:r w:rsidRPr="00713574">
        <w:rPr>
          <w:sz w:val="26"/>
          <w:szCs w:val="26"/>
        </w:rPr>
        <w:t>bankruptcy schedules</w:t>
      </w:r>
      <w:r w:rsidRPr="00713574">
        <w:rPr>
          <w:sz w:val="26"/>
          <w:szCs w:val="26"/>
        </w:rPr>
        <w:t xml:space="preserve">.  (See </w:t>
      </w:r>
      <w:r w:rsidRPr="00713574">
        <w:rPr>
          <w:i/>
          <w:iCs/>
          <w:sz w:val="26"/>
          <w:szCs w:val="26"/>
        </w:rPr>
        <w:t>Gottlieb</w:t>
      </w:r>
      <w:r w:rsidRPr="00713574">
        <w:rPr>
          <w:sz w:val="26"/>
          <w:szCs w:val="26"/>
        </w:rPr>
        <w:t xml:space="preserve">, </w:t>
      </w:r>
      <w:r w:rsidRPr="00713574">
        <w:rPr>
          <w:i/>
          <w:iCs/>
          <w:sz w:val="26"/>
          <w:szCs w:val="26"/>
        </w:rPr>
        <w:t>supra</w:t>
      </w:r>
      <w:r w:rsidRPr="00713574">
        <w:rPr>
          <w:sz w:val="26"/>
          <w:szCs w:val="26"/>
        </w:rPr>
        <w:t xml:space="preserve">, 141 Cal.App.4th at p. </w:t>
      </w:r>
      <w:r>
        <w:rPr>
          <w:sz w:val="26"/>
          <w:szCs w:val="26"/>
        </w:rPr>
        <w:t>142 [“The automatic stay cannot be deemed an adoption or acceptance of [debtor]’s prior position because it was not premised even in part on [its] nondisclosure of the legal claim</w:t>
      </w:r>
      <w:r>
        <w:rPr>
          <w:sz w:val="26"/>
          <w:szCs w:val="26"/>
        </w:rPr>
        <w:t>.</w:t>
      </w:r>
      <w:r>
        <w:rPr>
          <w:sz w:val="26"/>
          <w:szCs w:val="26"/>
        </w:rPr>
        <w:t>”</w:t>
      </w:r>
      <w:r>
        <w:rPr>
          <w:sz w:val="26"/>
          <w:szCs w:val="26"/>
        </w:rPr>
        <w:t xml:space="preserve">]; </w:t>
      </w:r>
      <w:r>
        <w:rPr>
          <w:i/>
          <w:iCs/>
          <w:sz w:val="26"/>
          <w:szCs w:val="26"/>
        </w:rPr>
        <w:t xml:space="preserve">id. </w:t>
      </w:r>
      <w:r>
        <w:rPr>
          <w:sz w:val="26"/>
          <w:szCs w:val="26"/>
        </w:rPr>
        <w:t>at p. 1</w:t>
      </w:r>
      <w:r>
        <w:rPr>
          <w:sz w:val="26"/>
          <w:szCs w:val="26"/>
        </w:rPr>
        <w:t>44 [“</w:t>
      </w:r>
      <w:r>
        <w:rPr>
          <w:sz w:val="26"/>
          <w:szCs w:val="26"/>
        </w:rPr>
        <w:t>‘</w:t>
      </w:r>
      <w:r>
        <w:rPr>
          <w:sz w:val="26"/>
          <w:szCs w:val="26"/>
        </w:rPr>
        <w:t>that benefit existed irrespective of the claims [debtor] listed (or failed to list) in her filings</w:t>
      </w:r>
      <w:r>
        <w:rPr>
          <w:sz w:val="26"/>
          <w:szCs w:val="26"/>
        </w:rPr>
        <w:t>’</w:t>
      </w:r>
      <w:r>
        <w:rPr>
          <w:sz w:val="26"/>
          <w:szCs w:val="26"/>
        </w:rPr>
        <w:t>”].)</w:t>
      </w:r>
    </w:p>
  </w:footnote>
  <w:footnote w:id="9">
    <w:p w14:paraId="7E161E0B" w14:textId="77777777" w:rsidR="005832F1" w:rsidRDefault="005832F1" w:rsidP="00813C22">
      <w:pPr>
        <w:pStyle w:val="FootnoteText"/>
      </w:pPr>
      <w:r>
        <w:rPr>
          <w:rStyle w:val="FootnoteReference"/>
        </w:rPr>
        <w:footnoteRef/>
      </w:r>
      <w:r>
        <w:t xml:space="preserve"> </w:t>
      </w:r>
      <w:r w:rsidRPr="00A06AA7">
        <w:rPr>
          <w:sz w:val="26"/>
          <w:szCs w:val="26"/>
        </w:rPr>
        <w:tab/>
      </w:r>
      <w:proofErr w:type="spellStart"/>
      <w:r w:rsidRPr="00A26745">
        <w:rPr>
          <w:rFonts w:eastAsia="Times New Roman" w:cs="Times New Roman"/>
          <w:i/>
          <w:iCs/>
          <w:sz w:val="26"/>
          <w:szCs w:val="22"/>
        </w:rPr>
        <w:t>Dzakula</w:t>
      </w:r>
      <w:proofErr w:type="spellEnd"/>
      <w:r w:rsidRPr="00A26745">
        <w:rPr>
          <w:rFonts w:eastAsia="Times New Roman" w:cs="Times New Roman"/>
          <w:i/>
          <w:iCs/>
          <w:sz w:val="26"/>
          <w:szCs w:val="22"/>
        </w:rPr>
        <w:t xml:space="preserve"> v. McHugh</w:t>
      </w:r>
      <w:r w:rsidRPr="00813C22">
        <w:rPr>
          <w:rFonts w:eastAsia="Times New Roman" w:cs="Times New Roman"/>
          <w:sz w:val="26"/>
          <w:szCs w:val="22"/>
        </w:rPr>
        <w:t xml:space="preserve"> (9th Cir. 2014) 746 F.3d 399 affirmed a dismissal based on Federal Rule of Civil Procedure 12(b)(1), which goes beyond the pleadings and did not apply California’s equitable estoppel standards. </w:t>
      </w:r>
      <w:r>
        <w:rPr>
          <w:rFonts w:eastAsia="Times New Roman" w:cs="Times New Roman"/>
          <w:sz w:val="26"/>
          <w:szCs w:val="22"/>
        </w:rPr>
        <w:t xml:space="preserve"> </w:t>
      </w:r>
      <w:r w:rsidRPr="00A26745">
        <w:rPr>
          <w:rFonts w:eastAsia="Times New Roman" w:cs="Times New Roman"/>
          <w:i/>
          <w:iCs/>
          <w:sz w:val="26"/>
          <w:szCs w:val="22"/>
        </w:rPr>
        <w:t>Ceja-Corona v. CVS Pharmacy, Inc</w:t>
      </w:r>
      <w:r w:rsidRPr="00813C22">
        <w:rPr>
          <w:rFonts w:eastAsia="Times New Roman" w:cs="Times New Roman"/>
          <w:sz w:val="26"/>
          <w:szCs w:val="22"/>
        </w:rPr>
        <w:t xml:space="preserve">. (9th Cir. 2016) 664 </w:t>
      </w:r>
      <w:proofErr w:type="spellStart"/>
      <w:r w:rsidRPr="00813C22">
        <w:rPr>
          <w:rFonts w:eastAsia="Times New Roman" w:cs="Times New Roman"/>
          <w:sz w:val="26"/>
          <w:szCs w:val="22"/>
        </w:rPr>
        <w:t>Fed.Appx</w:t>
      </w:r>
      <w:proofErr w:type="spellEnd"/>
      <w:r w:rsidRPr="00813C22">
        <w:rPr>
          <w:rFonts w:eastAsia="Times New Roman" w:cs="Times New Roman"/>
          <w:sz w:val="26"/>
          <w:szCs w:val="22"/>
        </w:rPr>
        <w:t>. 649 affirmed a dismissal after summary judgment.</w:t>
      </w:r>
    </w:p>
  </w:footnote>
  <w:footnote w:id="10">
    <w:p w14:paraId="318B7A71" w14:textId="77777777" w:rsidR="005832F1" w:rsidRPr="00690344" w:rsidRDefault="005832F1">
      <w:pPr>
        <w:pStyle w:val="FootnoteText"/>
        <w:rPr>
          <w:sz w:val="26"/>
          <w:szCs w:val="26"/>
        </w:rPr>
      </w:pPr>
      <w:r w:rsidRPr="00690344">
        <w:rPr>
          <w:rStyle w:val="FootnoteReference"/>
          <w:sz w:val="26"/>
          <w:szCs w:val="26"/>
        </w:rPr>
        <w:t>**</w:t>
      </w:r>
      <w:r w:rsidRPr="00690344">
        <w:rPr>
          <w:sz w:val="26"/>
          <w:szCs w:val="26"/>
        </w:rPr>
        <w:t xml:space="preserve"> </w:t>
      </w:r>
      <w:r w:rsidRPr="00690344">
        <w:rPr>
          <w:sz w:val="26"/>
          <w:szCs w:val="26"/>
        </w:rPr>
        <w:tab/>
        <w:t>See footnote</w:t>
      </w:r>
      <w:r>
        <w:rPr>
          <w:sz w:val="26"/>
          <w:szCs w:val="26"/>
        </w:rPr>
        <w:t xml:space="preserve"> </w:t>
      </w:r>
      <w:r w:rsidRPr="00690344">
        <w:rPr>
          <w:rStyle w:val="FootnoteReference"/>
          <w:sz w:val="26"/>
          <w:szCs w:val="26"/>
        </w:rPr>
        <w:t>*</w:t>
      </w:r>
      <w:r w:rsidRPr="00690344">
        <w:rPr>
          <w:sz w:val="26"/>
          <w:szCs w:val="26"/>
        </w:rPr>
        <w:t xml:space="preserve">, </w:t>
      </w:r>
      <w:r w:rsidRPr="00690344">
        <w:rPr>
          <w:i/>
          <w:iCs/>
          <w:sz w:val="26"/>
          <w:szCs w:val="26"/>
        </w:rPr>
        <w:t>ante</w:t>
      </w:r>
      <w:r w:rsidRPr="00690344">
        <w:rPr>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EE9"/>
    <w:multiLevelType w:val="hybridMultilevel"/>
    <w:tmpl w:val="909AD344"/>
    <w:lvl w:ilvl="0" w:tplc="93525006">
      <w:start w:val="1"/>
      <w:numFmt w:val="decimal"/>
      <w:lvlText w:val="%1."/>
      <w:lvlJc w:val="left"/>
      <w:pPr>
        <w:ind w:left="1080" w:hanging="360"/>
      </w:pPr>
      <w:rPr>
        <w:rFonts w:hint="default"/>
      </w:rPr>
    </w:lvl>
    <w:lvl w:ilvl="1" w:tplc="4C8AD042" w:tentative="1">
      <w:start w:val="1"/>
      <w:numFmt w:val="lowerLetter"/>
      <w:lvlText w:val="%2."/>
      <w:lvlJc w:val="left"/>
      <w:pPr>
        <w:ind w:left="1800" w:hanging="360"/>
      </w:pPr>
    </w:lvl>
    <w:lvl w:ilvl="2" w:tplc="0472FF90" w:tentative="1">
      <w:start w:val="1"/>
      <w:numFmt w:val="lowerRoman"/>
      <w:lvlText w:val="%3."/>
      <w:lvlJc w:val="right"/>
      <w:pPr>
        <w:ind w:left="2520" w:hanging="180"/>
      </w:pPr>
    </w:lvl>
    <w:lvl w:ilvl="3" w:tplc="D3C48728" w:tentative="1">
      <w:start w:val="1"/>
      <w:numFmt w:val="decimal"/>
      <w:lvlText w:val="%4."/>
      <w:lvlJc w:val="left"/>
      <w:pPr>
        <w:ind w:left="3240" w:hanging="360"/>
      </w:pPr>
    </w:lvl>
    <w:lvl w:ilvl="4" w:tplc="9FD8C5D6" w:tentative="1">
      <w:start w:val="1"/>
      <w:numFmt w:val="lowerLetter"/>
      <w:lvlText w:val="%5."/>
      <w:lvlJc w:val="left"/>
      <w:pPr>
        <w:ind w:left="3960" w:hanging="360"/>
      </w:pPr>
    </w:lvl>
    <w:lvl w:ilvl="5" w:tplc="1BF8749C" w:tentative="1">
      <w:start w:val="1"/>
      <w:numFmt w:val="lowerRoman"/>
      <w:lvlText w:val="%6."/>
      <w:lvlJc w:val="right"/>
      <w:pPr>
        <w:ind w:left="4680" w:hanging="180"/>
      </w:pPr>
    </w:lvl>
    <w:lvl w:ilvl="6" w:tplc="280E1F00" w:tentative="1">
      <w:start w:val="1"/>
      <w:numFmt w:val="decimal"/>
      <w:lvlText w:val="%7."/>
      <w:lvlJc w:val="left"/>
      <w:pPr>
        <w:ind w:left="5400" w:hanging="360"/>
      </w:pPr>
    </w:lvl>
    <w:lvl w:ilvl="7" w:tplc="AAF4E060" w:tentative="1">
      <w:start w:val="1"/>
      <w:numFmt w:val="lowerLetter"/>
      <w:lvlText w:val="%8."/>
      <w:lvlJc w:val="left"/>
      <w:pPr>
        <w:ind w:left="6120" w:hanging="360"/>
      </w:pPr>
    </w:lvl>
    <w:lvl w:ilvl="8" w:tplc="7AA6B1C4" w:tentative="1">
      <w:start w:val="1"/>
      <w:numFmt w:val="lowerRoman"/>
      <w:lvlText w:val="%9."/>
      <w:lvlJc w:val="right"/>
      <w:pPr>
        <w:ind w:left="6840" w:hanging="180"/>
      </w:pPr>
    </w:lvl>
  </w:abstractNum>
  <w:abstractNum w:abstractNumId="1" w15:restartNumberingAfterBreak="0">
    <w:nsid w:val="1A3936C4"/>
    <w:multiLevelType w:val="hybridMultilevel"/>
    <w:tmpl w:val="FEC0BE3C"/>
    <w:lvl w:ilvl="0" w:tplc="D220A1E0">
      <w:start w:val="1"/>
      <w:numFmt w:val="upperLetter"/>
      <w:lvlText w:val="%1."/>
      <w:lvlJc w:val="left"/>
      <w:pPr>
        <w:ind w:left="720" w:hanging="360"/>
      </w:pPr>
      <w:rPr>
        <w:rFonts w:hint="default"/>
      </w:rPr>
    </w:lvl>
    <w:lvl w:ilvl="1" w:tplc="B3BCBAB0" w:tentative="1">
      <w:start w:val="1"/>
      <w:numFmt w:val="lowerLetter"/>
      <w:lvlText w:val="%2."/>
      <w:lvlJc w:val="left"/>
      <w:pPr>
        <w:ind w:left="1440" w:hanging="360"/>
      </w:pPr>
    </w:lvl>
    <w:lvl w:ilvl="2" w:tplc="758289B2" w:tentative="1">
      <w:start w:val="1"/>
      <w:numFmt w:val="lowerRoman"/>
      <w:lvlText w:val="%3."/>
      <w:lvlJc w:val="right"/>
      <w:pPr>
        <w:ind w:left="2160" w:hanging="180"/>
      </w:pPr>
    </w:lvl>
    <w:lvl w:ilvl="3" w:tplc="D22EA640" w:tentative="1">
      <w:start w:val="1"/>
      <w:numFmt w:val="decimal"/>
      <w:lvlText w:val="%4."/>
      <w:lvlJc w:val="left"/>
      <w:pPr>
        <w:ind w:left="2880" w:hanging="360"/>
      </w:pPr>
    </w:lvl>
    <w:lvl w:ilvl="4" w:tplc="81EE135E" w:tentative="1">
      <w:start w:val="1"/>
      <w:numFmt w:val="lowerLetter"/>
      <w:lvlText w:val="%5."/>
      <w:lvlJc w:val="left"/>
      <w:pPr>
        <w:ind w:left="3600" w:hanging="360"/>
      </w:pPr>
    </w:lvl>
    <w:lvl w:ilvl="5" w:tplc="6BF2B770" w:tentative="1">
      <w:start w:val="1"/>
      <w:numFmt w:val="lowerRoman"/>
      <w:lvlText w:val="%6."/>
      <w:lvlJc w:val="right"/>
      <w:pPr>
        <w:ind w:left="4320" w:hanging="180"/>
      </w:pPr>
    </w:lvl>
    <w:lvl w:ilvl="6" w:tplc="CB8A2162" w:tentative="1">
      <w:start w:val="1"/>
      <w:numFmt w:val="decimal"/>
      <w:lvlText w:val="%7."/>
      <w:lvlJc w:val="left"/>
      <w:pPr>
        <w:ind w:left="5040" w:hanging="360"/>
      </w:pPr>
    </w:lvl>
    <w:lvl w:ilvl="7" w:tplc="22C4179C" w:tentative="1">
      <w:start w:val="1"/>
      <w:numFmt w:val="lowerLetter"/>
      <w:lvlText w:val="%8."/>
      <w:lvlJc w:val="left"/>
      <w:pPr>
        <w:ind w:left="5760" w:hanging="360"/>
      </w:pPr>
    </w:lvl>
    <w:lvl w:ilvl="8" w:tplc="FEC6A76A" w:tentative="1">
      <w:start w:val="1"/>
      <w:numFmt w:val="lowerRoman"/>
      <w:lvlText w:val="%9."/>
      <w:lvlJc w:val="right"/>
      <w:pPr>
        <w:ind w:left="6480" w:hanging="180"/>
      </w:pPr>
    </w:lvl>
  </w:abstractNum>
  <w:num w:numId="1" w16cid:durableId="963803488">
    <w:abstractNumId w:val="1"/>
  </w:num>
  <w:num w:numId="2" w16cid:durableId="183823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73"/>
    <w:rsid w:val="003D71E5"/>
    <w:rsid w:val="005326E4"/>
    <w:rsid w:val="005832F1"/>
    <w:rsid w:val="00EB6443"/>
    <w:rsid w:val="00FD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01B"/>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024"/>
    <w:pPr>
      <w:spacing w:line="240" w:lineRule="auto"/>
    </w:pPr>
    <w:rPr>
      <w:sz w:val="20"/>
      <w:szCs w:val="20"/>
    </w:rPr>
  </w:style>
  <w:style w:type="character" w:customStyle="1" w:styleId="FootnoteTextChar">
    <w:name w:val="Footnote Text Char"/>
    <w:basedOn w:val="DefaultParagraphFont"/>
    <w:link w:val="FootnoteText"/>
    <w:uiPriority w:val="99"/>
    <w:semiHidden/>
    <w:rsid w:val="00A44024"/>
    <w:rPr>
      <w:rFonts w:ascii="Century Schoolbook" w:hAnsi="Century Schoolbook"/>
      <w:sz w:val="20"/>
      <w:szCs w:val="20"/>
    </w:rPr>
  </w:style>
  <w:style w:type="character" w:styleId="FootnoteReference">
    <w:name w:val="footnote reference"/>
    <w:basedOn w:val="DefaultParagraphFont"/>
    <w:uiPriority w:val="99"/>
    <w:semiHidden/>
    <w:unhideWhenUsed/>
    <w:rsid w:val="00A44024"/>
    <w:rPr>
      <w:vertAlign w:val="superscript"/>
    </w:rPr>
  </w:style>
  <w:style w:type="character" w:styleId="CommentReference">
    <w:name w:val="annotation reference"/>
    <w:basedOn w:val="DefaultParagraphFont"/>
    <w:uiPriority w:val="99"/>
    <w:semiHidden/>
    <w:unhideWhenUsed/>
    <w:rsid w:val="008122E9"/>
    <w:rPr>
      <w:sz w:val="16"/>
      <w:szCs w:val="16"/>
    </w:rPr>
  </w:style>
  <w:style w:type="paragraph" w:styleId="CommentText">
    <w:name w:val="annotation text"/>
    <w:basedOn w:val="Normal"/>
    <w:link w:val="CommentTextChar"/>
    <w:uiPriority w:val="99"/>
    <w:unhideWhenUsed/>
    <w:rsid w:val="008122E9"/>
    <w:pPr>
      <w:spacing w:line="240" w:lineRule="auto"/>
    </w:pPr>
    <w:rPr>
      <w:sz w:val="20"/>
      <w:szCs w:val="20"/>
    </w:rPr>
  </w:style>
  <w:style w:type="character" w:customStyle="1" w:styleId="CommentTextChar">
    <w:name w:val="Comment Text Char"/>
    <w:basedOn w:val="DefaultParagraphFont"/>
    <w:link w:val="CommentText"/>
    <w:uiPriority w:val="99"/>
    <w:rsid w:val="008122E9"/>
    <w:rPr>
      <w:rFonts w:ascii="Century Schoolbook" w:hAnsi="Century Schoolbook"/>
      <w:sz w:val="20"/>
      <w:szCs w:val="20"/>
    </w:rPr>
  </w:style>
  <w:style w:type="paragraph" w:styleId="Header">
    <w:name w:val="header"/>
    <w:basedOn w:val="Normal"/>
    <w:link w:val="HeaderChar"/>
    <w:uiPriority w:val="99"/>
    <w:unhideWhenUsed/>
    <w:rsid w:val="009A29B8"/>
    <w:pPr>
      <w:tabs>
        <w:tab w:val="center" w:pos="4680"/>
        <w:tab w:val="right" w:pos="9360"/>
      </w:tabs>
      <w:spacing w:line="240" w:lineRule="auto"/>
    </w:pPr>
  </w:style>
  <w:style w:type="character" w:customStyle="1" w:styleId="HeaderChar">
    <w:name w:val="Header Char"/>
    <w:basedOn w:val="DefaultParagraphFont"/>
    <w:link w:val="Header"/>
    <w:uiPriority w:val="99"/>
    <w:rsid w:val="009A29B8"/>
    <w:rPr>
      <w:rFonts w:ascii="Century Schoolbook" w:hAnsi="Century Schoolbook"/>
      <w:sz w:val="26"/>
    </w:rPr>
  </w:style>
  <w:style w:type="paragraph" w:styleId="Footer">
    <w:name w:val="footer"/>
    <w:basedOn w:val="Normal"/>
    <w:link w:val="FooterChar"/>
    <w:uiPriority w:val="99"/>
    <w:unhideWhenUsed/>
    <w:rsid w:val="009A29B8"/>
    <w:pPr>
      <w:tabs>
        <w:tab w:val="center" w:pos="4680"/>
        <w:tab w:val="right" w:pos="9360"/>
      </w:tabs>
      <w:spacing w:line="240" w:lineRule="auto"/>
    </w:pPr>
  </w:style>
  <w:style w:type="character" w:customStyle="1" w:styleId="FooterChar">
    <w:name w:val="Footer Char"/>
    <w:basedOn w:val="DefaultParagraphFont"/>
    <w:link w:val="Footer"/>
    <w:uiPriority w:val="99"/>
    <w:rsid w:val="009A29B8"/>
    <w:rPr>
      <w:rFonts w:ascii="Century Schoolbook" w:hAnsi="Century Schoolbook"/>
      <w:sz w:val="26"/>
    </w:rPr>
  </w:style>
  <w:style w:type="character" w:styleId="PageNumber">
    <w:name w:val="page number"/>
    <w:basedOn w:val="DefaultParagraphFont"/>
    <w:uiPriority w:val="99"/>
    <w:semiHidden/>
    <w:unhideWhenUsed/>
    <w:rsid w:val="009A29B8"/>
  </w:style>
  <w:style w:type="character" w:styleId="Hyperlink">
    <w:name w:val="Hyperlink"/>
    <w:basedOn w:val="DefaultParagraphFont"/>
    <w:uiPriority w:val="99"/>
    <w:unhideWhenUsed/>
    <w:rsid w:val="00B96C74"/>
    <w:rPr>
      <w:color w:val="0563C1" w:themeColor="hyperlink"/>
      <w:u w:val="single"/>
    </w:rPr>
  </w:style>
  <w:style w:type="character" w:customStyle="1" w:styleId="UnresolvedMention1">
    <w:name w:val="Unresolved Mention1"/>
    <w:basedOn w:val="DefaultParagraphFont"/>
    <w:uiPriority w:val="99"/>
    <w:semiHidden/>
    <w:unhideWhenUsed/>
    <w:rsid w:val="00B96C74"/>
    <w:rPr>
      <w:color w:val="605E5C"/>
      <w:shd w:val="clear" w:color="auto" w:fill="E1DFDD"/>
    </w:rPr>
  </w:style>
  <w:style w:type="paragraph" w:styleId="Revision">
    <w:name w:val="Revision"/>
    <w:hidden/>
    <w:uiPriority w:val="99"/>
    <w:semiHidden/>
    <w:rsid w:val="00B26B47"/>
    <w:pPr>
      <w:spacing w:after="0" w:line="240" w:lineRule="auto"/>
    </w:pPr>
    <w:rPr>
      <w:rFonts w:ascii="Century Schoolbook" w:hAnsi="Century Schoolbook"/>
      <w:sz w:val="26"/>
    </w:rPr>
  </w:style>
  <w:style w:type="paragraph" w:styleId="ListParagraph">
    <w:name w:val="List Paragraph"/>
    <w:basedOn w:val="Normal"/>
    <w:uiPriority w:val="34"/>
    <w:qFormat/>
    <w:rsid w:val="0036007A"/>
    <w:pPr>
      <w:ind w:left="720"/>
      <w:contextualSpacing/>
    </w:pPr>
  </w:style>
  <w:style w:type="paragraph" w:styleId="CommentSubject">
    <w:name w:val="annotation subject"/>
    <w:basedOn w:val="CommentText"/>
    <w:next w:val="CommentText"/>
    <w:link w:val="CommentSubjectChar"/>
    <w:uiPriority w:val="99"/>
    <w:semiHidden/>
    <w:unhideWhenUsed/>
    <w:rsid w:val="00E953BE"/>
    <w:rPr>
      <w:b/>
      <w:bCs/>
    </w:rPr>
  </w:style>
  <w:style w:type="character" w:customStyle="1" w:styleId="CommentSubjectChar">
    <w:name w:val="Comment Subject Char"/>
    <w:basedOn w:val="CommentTextChar"/>
    <w:link w:val="CommentSubject"/>
    <w:uiPriority w:val="99"/>
    <w:semiHidden/>
    <w:rsid w:val="00E953BE"/>
    <w:rPr>
      <w:rFonts w:ascii="Century Schoolbook" w:hAnsi="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7051</Words>
  <Characters>37083</Characters>
  <Application>Microsoft Office Word</Application>
  <DocSecurity>0</DocSecurity>
  <Lines>797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2024-02-09T21:36:00Z</dcterms:created>
  <dcterms:modified xsi:type="dcterms:W3CDTF">2024-02-09T21:36:00Z</dcterms:modified>
  <cp:category/>
</cp:coreProperties>
</file>