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D97C" w14:textId="77777777" w:rsidR="00CA6926" w:rsidRPr="00C7492B" w:rsidRDefault="00CA6926" w:rsidP="00CA6926">
      <w:pPr>
        <w:rPr>
          <w:bCs/>
          <w:sz w:val="20"/>
        </w:rPr>
      </w:pPr>
      <w:r>
        <w:rPr>
          <w:bCs/>
          <w:sz w:val="20"/>
        </w:rPr>
        <w:t>Filed 2/21/24 (unmodified opn. attached)</w:t>
      </w:r>
    </w:p>
    <w:p w14:paraId="16006262" w14:textId="77777777" w:rsidR="00CA6926" w:rsidRPr="0096320C" w:rsidRDefault="00CA6926" w:rsidP="00CA6926">
      <w:pPr>
        <w:jc w:val="center"/>
        <w:rPr>
          <w:b/>
          <w:bCs/>
        </w:rPr>
      </w:pPr>
      <w:r w:rsidRPr="00173E2A">
        <w:rPr>
          <w:b/>
        </w:rPr>
        <w:t>CERTIFIED FOR PARTIAL PUBLICATION</w:t>
      </w:r>
      <w:r w:rsidRPr="00FB032E">
        <w:rPr>
          <w:rStyle w:val="FootnoteReference"/>
          <w:b w:val="0"/>
        </w:rPr>
        <w:footnoteReference w:customMarkFollows="1" w:id="2"/>
        <w:t>*</w:t>
      </w:r>
    </w:p>
    <w:p w14:paraId="27CB1881" w14:textId="77777777" w:rsidR="00CA6926" w:rsidRDefault="00CA6926" w:rsidP="00CA6926">
      <w:pPr>
        <w:spacing w:line="240" w:lineRule="auto"/>
        <w:jc w:val="center"/>
        <w:rPr>
          <w:b/>
        </w:rPr>
      </w:pPr>
    </w:p>
    <w:p w14:paraId="3577CA9B" w14:textId="77777777" w:rsidR="00CA6926" w:rsidRDefault="00CA6926" w:rsidP="00CA6926">
      <w:pPr>
        <w:spacing w:line="240" w:lineRule="auto"/>
        <w:jc w:val="center"/>
      </w:pPr>
      <w:r>
        <w:t>IN THE COURT OF APPEAL OF THE STATE OF CALIFORNIA</w:t>
      </w:r>
    </w:p>
    <w:p w14:paraId="4FA4698F" w14:textId="77777777" w:rsidR="00CA6926" w:rsidRDefault="00CA6926" w:rsidP="00CA6926">
      <w:pPr>
        <w:spacing w:line="240" w:lineRule="auto"/>
        <w:jc w:val="center"/>
      </w:pPr>
    </w:p>
    <w:p w14:paraId="71727733" w14:textId="77777777" w:rsidR="00CA6926" w:rsidRDefault="00CA6926" w:rsidP="00CA6926">
      <w:pPr>
        <w:spacing w:line="240" w:lineRule="auto"/>
        <w:jc w:val="center"/>
      </w:pPr>
      <w:r>
        <w:t>SECOND APPELLATE DISTRICT</w:t>
      </w:r>
    </w:p>
    <w:p w14:paraId="4F53E114" w14:textId="77777777" w:rsidR="00CA6926" w:rsidRDefault="00CA6926" w:rsidP="00CA6926">
      <w:pPr>
        <w:spacing w:line="240" w:lineRule="auto"/>
        <w:jc w:val="center"/>
      </w:pPr>
    </w:p>
    <w:p w14:paraId="5FEE985A" w14:textId="77777777" w:rsidR="00CA6926" w:rsidRDefault="00CA6926" w:rsidP="00CA6926">
      <w:pPr>
        <w:spacing w:line="240" w:lineRule="auto"/>
        <w:jc w:val="center"/>
      </w:pPr>
      <w:r>
        <w:t>DIVISION THREE</w:t>
      </w:r>
    </w:p>
    <w:p w14:paraId="5F579799" w14:textId="77777777" w:rsidR="00CA6926" w:rsidRDefault="00CA6926" w:rsidP="00CA6926">
      <w:pPr>
        <w:spacing w:line="240" w:lineRule="auto"/>
        <w:jc w:val="center"/>
      </w:pPr>
    </w:p>
    <w:tbl>
      <w:tblPr>
        <w:tblW w:w="9360" w:type="dxa"/>
        <w:tblLayout w:type="fixed"/>
        <w:tblLook w:val="0000" w:firstRow="0" w:lastRow="0" w:firstColumn="0" w:lastColumn="0" w:noHBand="0" w:noVBand="0"/>
      </w:tblPr>
      <w:tblGrid>
        <w:gridCol w:w="4770"/>
        <w:gridCol w:w="4590"/>
      </w:tblGrid>
      <w:tr w:rsidR="00CA6926" w14:paraId="43684A34" w14:textId="77777777" w:rsidTr="00D933FC">
        <w:tc>
          <w:tcPr>
            <w:tcW w:w="4770" w:type="dxa"/>
            <w:tcBorders>
              <w:bottom w:val="single" w:sz="4" w:space="0" w:color="auto"/>
              <w:right w:val="single" w:sz="4" w:space="0" w:color="auto"/>
            </w:tcBorders>
            <w:shd w:val="clear" w:color="auto" w:fill="auto"/>
          </w:tcPr>
          <w:p w14:paraId="3E5FBFCB" w14:textId="77777777" w:rsidR="00CA6926" w:rsidRDefault="00CA6926" w:rsidP="00D933FC">
            <w:pPr>
              <w:spacing w:line="240" w:lineRule="auto"/>
            </w:pPr>
            <w:r>
              <w:t>MATEO BAKER, a Minor, etc., et al.,</w:t>
            </w:r>
          </w:p>
          <w:p w14:paraId="7A4DA835" w14:textId="77777777" w:rsidR="00CA6926" w:rsidRDefault="00CA6926" w:rsidP="00D933FC">
            <w:pPr>
              <w:spacing w:line="240" w:lineRule="auto"/>
            </w:pPr>
          </w:p>
          <w:p w14:paraId="103AF4D0" w14:textId="77777777" w:rsidR="00CA6926" w:rsidRDefault="00CA6926" w:rsidP="00D933FC">
            <w:pPr>
              <w:spacing w:line="240" w:lineRule="auto"/>
              <w:ind w:left="720" w:hanging="720"/>
            </w:pPr>
            <w:r>
              <w:tab/>
              <w:t>Plaintiffs and Appellants,</w:t>
            </w:r>
          </w:p>
          <w:p w14:paraId="40CE9745" w14:textId="77777777" w:rsidR="00CA6926" w:rsidRDefault="00CA6926" w:rsidP="00D933FC">
            <w:pPr>
              <w:spacing w:line="240" w:lineRule="auto"/>
              <w:ind w:left="720" w:hanging="720"/>
            </w:pPr>
          </w:p>
          <w:p w14:paraId="508E0563" w14:textId="77777777" w:rsidR="00CA6926" w:rsidRDefault="00CA6926" w:rsidP="00D933FC">
            <w:pPr>
              <w:spacing w:line="240" w:lineRule="auto"/>
              <w:ind w:left="720" w:hanging="720"/>
            </w:pPr>
            <w:r>
              <w:tab/>
              <w:t>v.</w:t>
            </w:r>
          </w:p>
          <w:p w14:paraId="73718034" w14:textId="77777777" w:rsidR="00CA6926" w:rsidRDefault="00CA6926" w:rsidP="00D933FC">
            <w:pPr>
              <w:spacing w:line="240" w:lineRule="auto"/>
              <w:ind w:left="720" w:hanging="720"/>
            </w:pPr>
          </w:p>
          <w:p w14:paraId="6450318A" w14:textId="77777777" w:rsidR="00CA6926" w:rsidRDefault="00CA6926" w:rsidP="00D933FC">
            <w:pPr>
              <w:spacing w:line="240" w:lineRule="auto"/>
              <w:ind w:left="720" w:hanging="720"/>
            </w:pPr>
            <w:r>
              <w:t>PACIFIC OAKS EDUCATION</w:t>
            </w:r>
          </w:p>
          <w:p w14:paraId="738975A3" w14:textId="77777777" w:rsidR="00CA6926" w:rsidRDefault="00CA6926" w:rsidP="00D933FC">
            <w:pPr>
              <w:spacing w:line="240" w:lineRule="auto"/>
              <w:ind w:left="720" w:hanging="720"/>
            </w:pPr>
            <w:r>
              <w:t>CORPORATION,</w:t>
            </w:r>
          </w:p>
          <w:p w14:paraId="7B72EDBD" w14:textId="77777777" w:rsidR="00CA6926" w:rsidRDefault="00CA6926" w:rsidP="00D933FC">
            <w:pPr>
              <w:spacing w:line="240" w:lineRule="auto"/>
              <w:ind w:left="720" w:hanging="720"/>
            </w:pPr>
          </w:p>
          <w:p w14:paraId="031771DC" w14:textId="77777777" w:rsidR="00CA6926" w:rsidRDefault="00CA6926" w:rsidP="00D933FC">
            <w:pPr>
              <w:spacing w:line="240" w:lineRule="auto"/>
              <w:ind w:left="720" w:hanging="720"/>
            </w:pPr>
            <w:r>
              <w:tab/>
              <w:t>Defendant and Appellant.</w:t>
            </w:r>
          </w:p>
          <w:p w14:paraId="3577C4B0" w14:textId="77777777" w:rsidR="00CA6926" w:rsidRDefault="00CA6926" w:rsidP="00D933FC">
            <w:pPr>
              <w:spacing w:line="240" w:lineRule="auto"/>
              <w:ind w:left="720" w:hanging="720"/>
            </w:pPr>
          </w:p>
        </w:tc>
        <w:tc>
          <w:tcPr>
            <w:tcW w:w="4590" w:type="dxa"/>
            <w:tcBorders>
              <w:left w:val="single" w:sz="4" w:space="0" w:color="auto"/>
            </w:tcBorders>
            <w:shd w:val="clear" w:color="auto" w:fill="auto"/>
          </w:tcPr>
          <w:p w14:paraId="4EC15D85" w14:textId="77777777" w:rsidR="00CA6926" w:rsidRDefault="00CA6926" w:rsidP="00D933FC">
            <w:pPr>
              <w:spacing w:line="240" w:lineRule="auto"/>
              <w:ind w:left="160"/>
            </w:pPr>
            <w:r>
              <w:t>B320814</w:t>
            </w:r>
          </w:p>
          <w:p w14:paraId="6B2D9007" w14:textId="77777777" w:rsidR="00CA6926" w:rsidRDefault="00CA6926" w:rsidP="00D933FC">
            <w:pPr>
              <w:spacing w:line="240" w:lineRule="auto"/>
              <w:ind w:left="160"/>
            </w:pPr>
          </w:p>
          <w:p w14:paraId="4DFB5F24" w14:textId="77777777" w:rsidR="00CA6926" w:rsidRDefault="00CA6926" w:rsidP="00D933FC">
            <w:pPr>
              <w:ind w:left="160"/>
            </w:pPr>
            <w:r>
              <w:t>(Los Angeles County</w:t>
            </w:r>
          </w:p>
          <w:p w14:paraId="3F7DD8FF" w14:textId="77777777" w:rsidR="00CA6926" w:rsidRDefault="00CA6926" w:rsidP="00D933FC">
            <w:pPr>
              <w:ind w:left="160"/>
            </w:pPr>
            <w:r>
              <w:t>Super. Ct. No. GC050404)</w:t>
            </w:r>
          </w:p>
          <w:p w14:paraId="59FA7E36" w14:textId="77777777" w:rsidR="00CA6926" w:rsidRDefault="00CA6926" w:rsidP="00D933FC">
            <w:pPr>
              <w:ind w:left="160"/>
            </w:pPr>
          </w:p>
          <w:p w14:paraId="79C8B3B5" w14:textId="77777777" w:rsidR="00CA6926" w:rsidRDefault="00CA6926" w:rsidP="00D933FC">
            <w:pPr>
              <w:ind w:left="158" w:right="-288"/>
              <w:rPr>
                <w:b/>
                <w:bCs/>
              </w:rPr>
            </w:pPr>
            <w:r w:rsidRPr="00CF64CB">
              <w:rPr>
                <w:b/>
                <w:bCs/>
              </w:rPr>
              <w:t>ORDER MODIFYING OPINION AND DENYING PETITION FOR REHEARING</w:t>
            </w:r>
          </w:p>
          <w:p w14:paraId="23A31BA5" w14:textId="77777777" w:rsidR="00CA6926" w:rsidRDefault="00CA6926" w:rsidP="00D933FC">
            <w:pPr>
              <w:ind w:left="158" w:right="-288"/>
            </w:pPr>
            <w:r w:rsidRPr="00CF64CB">
              <w:rPr>
                <w:b/>
                <w:bCs/>
              </w:rPr>
              <w:t>[No change in judgment]</w:t>
            </w:r>
          </w:p>
        </w:tc>
      </w:tr>
    </w:tbl>
    <w:p w14:paraId="12F38EC0" w14:textId="77777777" w:rsidR="00CA6926" w:rsidRDefault="00CA6926" w:rsidP="00CA6926">
      <w:pPr>
        <w:spacing w:line="360" w:lineRule="auto"/>
      </w:pPr>
    </w:p>
    <w:p w14:paraId="24B817C5" w14:textId="77777777" w:rsidR="00CA6926" w:rsidRDefault="00CA6926" w:rsidP="00CA6926">
      <w:pPr>
        <w:spacing w:after="120"/>
      </w:pPr>
      <w:r>
        <w:t>The Court:</w:t>
      </w:r>
    </w:p>
    <w:p w14:paraId="4574A700" w14:textId="77777777" w:rsidR="00CA6926" w:rsidRDefault="00CA6926" w:rsidP="00CA6926">
      <w:pPr>
        <w:spacing w:after="120"/>
      </w:pPr>
      <w:r>
        <w:tab/>
        <w:t>Plaintiffs’ petition for rehearing, filed February 9, 2024, is hereby denied.</w:t>
      </w:r>
    </w:p>
    <w:p w14:paraId="27377AF3" w14:textId="77777777" w:rsidR="00CA6926" w:rsidRDefault="00CA6926" w:rsidP="00CA6926">
      <w:pPr>
        <w:spacing w:after="120"/>
        <w:ind w:firstLine="720"/>
      </w:pPr>
      <w:r>
        <w:t>It is further ordered that the opinion filed herein on January 25, 2024, is modified as follows:</w:t>
      </w:r>
    </w:p>
    <w:p w14:paraId="16748EDA" w14:textId="77777777" w:rsidR="00CA6926" w:rsidRDefault="00CA6926" w:rsidP="00CA6926">
      <w:pPr>
        <w:spacing w:after="120"/>
      </w:pPr>
      <w:r>
        <w:tab/>
        <w:t>On page 30 of the opinion, first full paragraph, delete the first sentence:</w:t>
      </w:r>
    </w:p>
    <w:p w14:paraId="1098FB1E" w14:textId="77777777" w:rsidR="00CA6926" w:rsidRDefault="00CA6926" w:rsidP="00CA6926">
      <w:pPr>
        <w:spacing w:after="120"/>
      </w:pPr>
      <w:r>
        <w:lastRenderedPageBreak/>
        <w:t>On appeal, plaintiffs do not challenge the trial court’s conclusion that the services Pacific Oaks provided in the infant/toddler program fall outside the regulatory definition of care and supervision.</w:t>
      </w:r>
    </w:p>
    <w:p w14:paraId="57E67108" w14:textId="77777777" w:rsidR="00CA6926" w:rsidRDefault="00CA6926" w:rsidP="00CA6926">
      <w:pPr>
        <w:spacing w:after="120"/>
        <w:ind w:firstLine="720"/>
      </w:pPr>
      <w:r>
        <w:t>Replace the deleted portion with the following:</w:t>
      </w:r>
    </w:p>
    <w:p w14:paraId="3E8B3685" w14:textId="77777777" w:rsidR="00CA6926" w:rsidRDefault="00CA6926" w:rsidP="00CA6926">
      <w:pPr>
        <w:spacing w:after="120"/>
      </w:pPr>
      <w:r>
        <w:t>Plaintiffs contend a program description in Pacific Oaks’s handbook and testimony from McComas and Rosenberg showed Pacific Oaks offered “care and supervision” to children in the infant/toddler program.  The evidence does not support this conclusion.  Neither the language in the handbook regarding the program’s attention to “child/child interactions,” nor the administrators’ testimony about children playing with their parents onsite or staff members enrolling their children in Pacific Oaks programs, undermined the trial court’s conclusion that the infant/toddler program did not provide “care and supervision” as the regulation defined the term.</w:t>
      </w:r>
    </w:p>
    <w:p w14:paraId="7DB75465" w14:textId="77777777" w:rsidR="00CA6926" w:rsidRDefault="00CA6926" w:rsidP="00CA6926">
      <w:pPr>
        <w:spacing w:after="120"/>
      </w:pPr>
      <w:r>
        <w:tab/>
        <w:t>On page 30 of the opinion, first full paragraph, the word “Instead” and the following comma are deleted and a new paragraph break is inserted.  “Plaintiffs” is capitalized and the word “also” is inserted between the words “Plaintiffs” and “argue.”</w:t>
      </w:r>
    </w:p>
    <w:p w14:paraId="7D2D9CDA" w14:textId="77777777" w:rsidR="00CA6926" w:rsidRDefault="00CA6926" w:rsidP="00CA6926">
      <w:pPr>
        <w:spacing w:after="120"/>
        <w:ind w:firstLine="720"/>
      </w:pPr>
      <w:r>
        <w:t>On page 42, at the end of first full paragraph, a footnote is inserted with the following language:</w:t>
      </w:r>
    </w:p>
    <w:p w14:paraId="59E74244" w14:textId="77777777" w:rsidR="00CA6926" w:rsidRDefault="00CA6926" w:rsidP="00CA6926">
      <w:pPr>
        <w:spacing w:after="120"/>
      </w:pPr>
      <w:r w:rsidRPr="004726DC">
        <w:t xml:space="preserve">On appeal, Plaintiffs contend the handwritten portions of the sign-in sheets were admissible because Rosenberg admitted the truth of the hearsay statements when she testified that school personnel “could refer to the sign-in sheets” to conduct a head count.  However, plaintiffs did not assert this argument in the trial court.  They are precluded from arguing a new theory of </w:t>
      </w:r>
      <w:r w:rsidRPr="004726DC">
        <w:lastRenderedPageBreak/>
        <w:t>admissibility for the first time on appeal.  (</w:t>
      </w:r>
      <w:r w:rsidRPr="004726DC">
        <w:rPr>
          <w:i/>
          <w:iCs/>
        </w:rPr>
        <w:t>Shaw v. County of Santa Cruz</w:t>
      </w:r>
      <w:r w:rsidRPr="004726DC">
        <w:t xml:space="preserve"> (2008) 170 Cal.App.4th 229, 282–283.)</w:t>
      </w:r>
    </w:p>
    <w:p w14:paraId="17E61A46" w14:textId="77777777" w:rsidR="00CA6926" w:rsidRDefault="00CA6926" w:rsidP="00CA6926">
      <w:pPr>
        <w:spacing w:after="120"/>
        <w:ind w:firstLine="720"/>
      </w:pPr>
      <w:r>
        <w:t>All subsequent footnotes are renumbered accordingly.</w:t>
      </w:r>
    </w:p>
    <w:p w14:paraId="718AB4A9" w14:textId="77777777" w:rsidR="00CA6926" w:rsidRDefault="00CA6926" w:rsidP="00CA6926">
      <w:pPr>
        <w:spacing w:after="120"/>
        <w:ind w:firstLine="720"/>
      </w:pPr>
      <w:r>
        <w:t>There is no change in judgment.</w:t>
      </w:r>
    </w:p>
    <w:p w14:paraId="7141B14D" w14:textId="77777777" w:rsidR="00CA6926" w:rsidRDefault="00CA6926" w:rsidP="00CA6926"/>
    <w:p w14:paraId="003BC532" w14:textId="77777777" w:rsidR="00CA6926" w:rsidRDefault="00CA6926" w:rsidP="00CA6926"/>
    <w:p w14:paraId="1008CA23" w14:textId="77777777" w:rsidR="00CA6926" w:rsidRDefault="00CA6926" w:rsidP="00CA6926">
      <w:pPr>
        <w:spacing w:line="360" w:lineRule="auto"/>
      </w:pPr>
    </w:p>
    <w:p w14:paraId="3C3F5252" w14:textId="77777777" w:rsidR="00CA6926" w:rsidRDefault="00CA6926" w:rsidP="00CA6926">
      <w:pPr>
        <w:spacing w:line="360" w:lineRule="auto"/>
      </w:pPr>
    </w:p>
    <w:p w14:paraId="6445DF12" w14:textId="77777777" w:rsidR="00CA6926" w:rsidRDefault="00CA6926" w:rsidP="00CA6926"/>
    <w:p w14:paraId="678BAC4C" w14:textId="77777777" w:rsidR="00CA6926" w:rsidRPr="00FF4FD1" w:rsidRDefault="00CA6926" w:rsidP="00CA6926">
      <w:pPr>
        <w:pBdr>
          <w:top w:val="single" w:sz="4" w:space="6" w:color="auto"/>
        </w:pBdr>
        <w:tabs>
          <w:tab w:val="left" w:pos="144"/>
          <w:tab w:val="center" w:pos="4410"/>
          <w:tab w:val="right" w:pos="7920"/>
        </w:tabs>
      </w:pPr>
      <w:r>
        <w:t>LAVIN</w:t>
      </w:r>
      <w:r w:rsidRPr="00FF4FD1">
        <w:t xml:space="preserve">, </w:t>
      </w:r>
      <w:r>
        <w:t xml:space="preserve">Acting </w:t>
      </w:r>
      <w:r w:rsidRPr="00FF4FD1">
        <w:t>P.</w:t>
      </w:r>
      <w:r>
        <w:t> </w:t>
      </w:r>
      <w:r w:rsidRPr="00FF4FD1">
        <w:t>J.</w:t>
      </w:r>
      <w:r w:rsidRPr="00FF4FD1">
        <w:tab/>
      </w:r>
      <w:r>
        <w:t>EGERTON</w:t>
      </w:r>
      <w:r w:rsidRPr="00FF4FD1">
        <w:t>, J</w:t>
      </w:r>
      <w:r>
        <w:t>.</w:t>
      </w:r>
      <w:r>
        <w:tab/>
        <w:t>ADAMS, J</w:t>
      </w:r>
      <w:r w:rsidRPr="00FF4FD1">
        <w:t>.</w:t>
      </w:r>
    </w:p>
    <w:p w14:paraId="563FBB9A" w14:textId="77777777" w:rsidR="00CA6926" w:rsidRDefault="00CA6926" w:rsidP="00AB5A9F">
      <w:pPr>
        <w:contextualSpacing/>
        <w:rPr>
          <w:bCs/>
          <w:sz w:val="20"/>
        </w:rPr>
        <w:sectPr w:rsidR="00CA6926" w:rsidSect="00CA1A5E">
          <w:footerReference w:type="default" r:id="rId11"/>
          <w:footerReference w:type="first" r:id="rId12"/>
          <w:pgSz w:w="12240" w:h="15840"/>
          <w:pgMar w:top="2160" w:right="2160" w:bottom="2160" w:left="2160" w:header="720" w:footer="720" w:gutter="0"/>
          <w:pgNumType w:start="1"/>
          <w:cols w:space="720"/>
          <w:titlePg/>
          <w:docGrid w:linePitch="360"/>
        </w:sectPr>
      </w:pPr>
    </w:p>
    <w:p w14:paraId="727A7014" w14:textId="1CBECCA1" w:rsidR="00AB5A9F" w:rsidRPr="008F2766" w:rsidRDefault="003A0E16" w:rsidP="00AB5A9F">
      <w:pPr>
        <w:contextualSpacing/>
        <w:rPr>
          <w:bCs/>
          <w:sz w:val="20"/>
        </w:rPr>
      </w:pPr>
      <w:r w:rsidRPr="008F2766">
        <w:rPr>
          <w:bCs/>
          <w:sz w:val="20"/>
        </w:rPr>
        <w:lastRenderedPageBreak/>
        <w:t>Filed 1/25/24</w:t>
      </w:r>
      <w:r w:rsidR="00CA6926">
        <w:rPr>
          <w:bCs/>
          <w:sz w:val="20"/>
        </w:rPr>
        <w:t xml:space="preserve"> (unmodified opinion)</w:t>
      </w:r>
    </w:p>
    <w:p w14:paraId="483CD64B" w14:textId="77777777" w:rsidR="00FF5C56" w:rsidRPr="0096320C" w:rsidRDefault="003A0E16" w:rsidP="00173E2A">
      <w:pPr>
        <w:jc w:val="center"/>
        <w:rPr>
          <w:b/>
          <w:bCs/>
        </w:rPr>
      </w:pPr>
      <w:r w:rsidRPr="00173E2A">
        <w:rPr>
          <w:b/>
        </w:rPr>
        <w:t>CERTIFIED FOR PARTIAL PUBLICATION</w:t>
      </w:r>
      <w:r>
        <w:rPr>
          <w:rStyle w:val="FootnoteReference"/>
          <w:bCs/>
        </w:rPr>
        <w:footnoteReference w:customMarkFollows="1" w:id="3"/>
        <w:t>*</w:t>
      </w:r>
    </w:p>
    <w:p w14:paraId="23D3B86A" w14:textId="77777777" w:rsidR="00032B4F" w:rsidRPr="004F2C4E" w:rsidRDefault="00032B4F" w:rsidP="00166B72">
      <w:pPr>
        <w:contextualSpacing/>
        <w:jc w:val="center"/>
      </w:pPr>
    </w:p>
    <w:p w14:paraId="0C56800B" w14:textId="77777777" w:rsidR="00032B4F" w:rsidRPr="004F2C4E" w:rsidRDefault="003A0E16" w:rsidP="00166B72">
      <w:pPr>
        <w:contextualSpacing/>
        <w:jc w:val="center"/>
      </w:pPr>
      <w:r w:rsidRPr="004F2C4E">
        <w:t>IN THE COURT OF APPEAL OF THE STATE OF CALIFORNIA</w:t>
      </w:r>
    </w:p>
    <w:p w14:paraId="6D7AEF0C" w14:textId="77777777" w:rsidR="00032B4F" w:rsidRPr="004F2C4E" w:rsidRDefault="00032B4F" w:rsidP="00166B72">
      <w:pPr>
        <w:contextualSpacing/>
        <w:jc w:val="center"/>
        <w:rPr>
          <w:szCs w:val="26"/>
        </w:rPr>
      </w:pPr>
    </w:p>
    <w:p w14:paraId="2031A363" w14:textId="77777777" w:rsidR="00032B4F" w:rsidRPr="004F2C4E" w:rsidRDefault="003A0E16" w:rsidP="00166B72">
      <w:pPr>
        <w:contextualSpacing/>
        <w:jc w:val="center"/>
      </w:pPr>
      <w:r w:rsidRPr="004F2C4E">
        <w:t>SECOND APPELLATE DISTRICT</w:t>
      </w:r>
    </w:p>
    <w:p w14:paraId="2B55C28A" w14:textId="77777777" w:rsidR="00032B4F" w:rsidRPr="004F2C4E" w:rsidRDefault="00032B4F" w:rsidP="00166B72">
      <w:pPr>
        <w:contextualSpacing/>
        <w:jc w:val="center"/>
        <w:rPr>
          <w:szCs w:val="26"/>
        </w:rPr>
      </w:pPr>
    </w:p>
    <w:p w14:paraId="1414FD1B" w14:textId="77777777" w:rsidR="00032B4F" w:rsidRPr="00794244" w:rsidRDefault="003A0E16" w:rsidP="00166B72">
      <w:pPr>
        <w:contextualSpacing/>
        <w:jc w:val="center"/>
        <w:rPr>
          <w:rStyle w:val="FootnoteReference"/>
          <w:b w:val="0"/>
          <w:bCs/>
          <w:vertAlign w:val="baseline"/>
        </w:rPr>
      </w:pPr>
      <w:r w:rsidRPr="004F2C4E">
        <w:t>DIVISION THREE</w:t>
      </w:r>
    </w:p>
    <w:p w14:paraId="043EA78A" w14:textId="77777777" w:rsidR="00032B4F" w:rsidRPr="004F2C4E" w:rsidRDefault="00032B4F" w:rsidP="00166B72">
      <w:pPr>
        <w:contextualSpacing/>
        <w:jc w:val="center"/>
        <w:rPr>
          <w:szCs w:val="26"/>
        </w:rPr>
      </w:pPr>
    </w:p>
    <w:tbl>
      <w:tblPr>
        <w:tblW w:w="10080" w:type="dxa"/>
        <w:tblLayout w:type="fixed"/>
        <w:tblLook w:val="0000" w:firstRow="0" w:lastRow="0" w:firstColumn="0" w:lastColumn="0" w:noHBand="0" w:noVBand="0"/>
      </w:tblPr>
      <w:tblGrid>
        <w:gridCol w:w="4410"/>
        <w:gridCol w:w="5670"/>
      </w:tblGrid>
      <w:tr w:rsidR="00F769CA" w14:paraId="5F61A4A1" w14:textId="77777777" w:rsidTr="00173E2A">
        <w:tc>
          <w:tcPr>
            <w:tcW w:w="4410" w:type="dxa"/>
            <w:tcBorders>
              <w:bottom w:val="single" w:sz="4" w:space="0" w:color="auto"/>
              <w:right w:val="single" w:sz="6" w:space="0" w:color="auto"/>
            </w:tcBorders>
          </w:tcPr>
          <w:p w14:paraId="72AE0B7B" w14:textId="3D2F9258" w:rsidR="00032B4F" w:rsidRPr="004F2C4E" w:rsidRDefault="003A0E16" w:rsidP="00166B72">
            <w:pPr>
              <w:spacing w:line="240" w:lineRule="auto"/>
              <w:contextualSpacing/>
            </w:pPr>
            <w:r w:rsidRPr="004F2C4E">
              <w:t xml:space="preserve">MATTEO BAKER, a Minor, </w:t>
            </w:r>
            <w:r w:rsidR="00622822">
              <w:t xml:space="preserve">etc., </w:t>
            </w:r>
            <w:r w:rsidRPr="004F2C4E">
              <w:t>et al.,</w:t>
            </w:r>
          </w:p>
          <w:p w14:paraId="19FB7049" w14:textId="77777777" w:rsidR="00032B4F" w:rsidRPr="004F2C4E" w:rsidRDefault="00032B4F" w:rsidP="00166B72">
            <w:pPr>
              <w:spacing w:line="240" w:lineRule="auto"/>
              <w:contextualSpacing/>
              <w:rPr>
                <w:szCs w:val="26"/>
              </w:rPr>
            </w:pPr>
          </w:p>
          <w:p w14:paraId="5E0F6B12" w14:textId="2DDF4703" w:rsidR="00032B4F" w:rsidRPr="004F2C4E" w:rsidRDefault="003A0E16" w:rsidP="00166B72">
            <w:pPr>
              <w:spacing w:line="240" w:lineRule="auto"/>
              <w:ind w:left="795"/>
              <w:contextualSpacing/>
            </w:pPr>
            <w:r w:rsidRPr="004F2C4E">
              <w:t>P</w:t>
            </w:r>
            <w:r w:rsidR="00C83707" w:rsidRPr="004F2C4E">
              <w:t>laintiff</w:t>
            </w:r>
            <w:r w:rsidR="00A26870" w:rsidRPr="004F2C4E">
              <w:t>s</w:t>
            </w:r>
            <w:r w:rsidR="00622822">
              <w:t xml:space="preserve"> and</w:t>
            </w:r>
            <w:r w:rsidR="00A26870" w:rsidRPr="004F2C4E">
              <w:t xml:space="preserve"> </w:t>
            </w:r>
            <w:r w:rsidR="008023C0" w:rsidRPr="004F2C4E">
              <w:t>Appellant</w:t>
            </w:r>
            <w:r w:rsidR="00A26870" w:rsidRPr="004F2C4E">
              <w:t>s</w:t>
            </w:r>
            <w:r w:rsidRPr="004F2C4E">
              <w:t>,</w:t>
            </w:r>
          </w:p>
          <w:p w14:paraId="108B877B" w14:textId="77777777" w:rsidR="00032B4F" w:rsidRPr="004F2C4E" w:rsidRDefault="00032B4F" w:rsidP="00166B72">
            <w:pPr>
              <w:spacing w:line="240" w:lineRule="auto"/>
              <w:contextualSpacing/>
              <w:rPr>
                <w:szCs w:val="26"/>
              </w:rPr>
            </w:pPr>
          </w:p>
          <w:p w14:paraId="53D92969" w14:textId="77777777" w:rsidR="00032B4F" w:rsidRPr="004F2C4E" w:rsidRDefault="003A0E16" w:rsidP="00166B72">
            <w:pPr>
              <w:spacing w:line="240" w:lineRule="auto"/>
              <w:contextualSpacing/>
            </w:pPr>
            <w:r w:rsidRPr="004F2C4E">
              <w:tab/>
              <w:t>v.</w:t>
            </w:r>
          </w:p>
          <w:p w14:paraId="4D169608" w14:textId="77777777" w:rsidR="00032B4F" w:rsidRPr="004F2C4E" w:rsidRDefault="00032B4F" w:rsidP="00166B72">
            <w:pPr>
              <w:spacing w:line="240" w:lineRule="auto"/>
              <w:contextualSpacing/>
              <w:rPr>
                <w:szCs w:val="26"/>
              </w:rPr>
            </w:pPr>
          </w:p>
          <w:p w14:paraId="76869887" w14:textId="5B29625D" w:rsidR="00032B4F" w:rsidRPr="004F2C4E" w:rsidRDefault="003A0E16" w:rsidP="00166B72">
            <w:pPr>
              <w:spacing w:line="240" w:lineRule="auto"/>
              <w:contextualSpacing/>
            </w:pPr>
            <w:r w:rsidRPr="004F2C4E">
              <w:t>PACIFIC OAKS</w:t>
            </w:r>
            <w:r w:rsidR="004759B5" w:rsidRPr="004F2C4E">
              <w:t xml:space="preserve"> EDUCATION CORPORATION</w:t>
            </w:r>
            <w:r w:rsidR="00A26870" w:rsidRPr="004F2C4E">
              <w:t>,</w:t>
            </w:r>
          </w:p>
          <w:p w14:paraId="24967B44" w14:textId="77777777" w:rsidR="00032B4F" w:rsidRPr="004F2C4E" w:rsidRDefault="00032B4F" w:rsidP="00166B72">
            <w:pPr>
              <w:spacing w:line="240" w:lineRule="auto"/>
              <w:contextualSpacing/>
              <w:rPr>
                <w:szCs w:val="26"/>
              </w:rPr>
            </w:pPr>
          </w:p>
          <w:p w14:paraId="3C039BDF" w14:textId="0E908D11" w:rsidR="00032B4F" w:rsidRPr="004F2C4E" w:rsidRDefault="003A0E16" w:rsidP="00166B72">
            <w:pPr>
              <w:spacing w:line="240" w:lineRule="auto"/>
              <w:ind w:left="706"/>
              <w:contextualSpacing/>
            </w:pPr>
            <w:r w:rsidRPr="004F2C4E">
              <w:tab/>
            </w:r>
            <w:r w:rsidR="00C83707" w:rsidRPr="004F2C4E">
              <w:t>Defendant</w:t>
            </w:r>
            <w:r w:rsidR="00350141">
              <w:t xml:space="preserve"> and Appellant</w:t>
            </w:r>
            <w:r w:rsidR="00155E7D" w:rsidRPr="004F2C4E">
              <w:t>.</w:t>
            </w:r>
          </w:p>
          <w:p w14:paraId="717F8E61" w14:textId="77777777" w:rsidR="008350CA" w:rsidRPr="004F2C4E" w:rsidRDefault="008350CA" w:rsidP="00166B72">
            <w:pPr>
              <w:spacing w:line="240" w:lineRule="auto"/>
              <w:ind w:left="706"/>
              <w:contextualSpacing/>
            </w:pPr>
          </w:p>
        </w:tc>
        <w:tc>
          <w:tcPr>
            <w:tcW w:w="5670" w:type="dxa"/>
            <w:tcBorders>
              <w:left w:val="nil"/>
            </w:tcBorders>
          </w:tcPr>
          <w:p w14:paraId="45860D4F" w14:textId="77777777" w:rsidR="00032B4F" w:rsidRPr="004F2C4E" w:rsidRDefault="003A0E16" w:rsidP="00166B72">
            <w:pPr>
              <w:ind w:left="68"/>
              <w:contextualSpacing/>
            </w:pPr>
            <w:r w:rsidRPr="004F2C4E">
              <w:t>B</w:t>
            </w:r>
            <w:r w:rsidR="005557FB" w:rsidRPr="004F2C4E">
              <w:t>3</w:t>
            </w:r>
            <w:r w:rsidR="00496355" w:rsidRPr="004F2C4E">
              <w:t>20814</w:t>
            </w:r>
          </w:p>
          <w:p w14:paraId="42B96318" w14:textId="77777777" w:rsidR="00032B4F" w:rsidRPr="004F2C4E" w:rsidRDefault="00032B4F" w:rsidP="00166B72">
            <w:pPr>
              <w:ind w:left="68"/>
              <w:contextualSpacing/>
            </w:pPr>
          </w:p>
          <w:p w14:paraId="5D1B6FED" w14:textId="77777777" w:rsidR="00032B4F" w:rsidRPr="004F2C4E" w:rsidRDefault="003A0E16" w:rsidP="00166B72">
            <w:pPr>
              <w:ind w:left="68"/>
              <w:contextualSpacing/>
            </w:pPr>
            <w:r w:rsidRPr="004F2C4E">
              <w:t>(Los Angeles County</w:t>
            </w:r>
          </w:p>
          <w:p w14:paraId="00A1B9A2" w14:textId="77777777" w:rsidR="00032B4F" w:rsidRPr="004F2C4E" w:rsidRDefault="003A0E16" w:rsidP="00166B72">
            <w:pPr>
              <w:ind w:left="68"/>
              <w:contextualSpacing/>
            </w:pPr>
            <w:r w:rsidRPr="004F2C4E">
              <w:t>Super. Ct. No.</w:t>
            </w:r>
            <w:r w:rsidR="001B033F" w:rsidRPr="004F2C4E">
              <w:t xml:space="preserve"> </w:t>
            </w:r>
            <w:r w:rsidR="004759B5" w:rsidRPr="004F2C4E">
              <w:rPr>
                <w:rStyle w:val="right"/>
              </w:rPr>
              <w:t>GC050404</w:t>
            </w:r>
            <w:r w:rsidRPr="004F2C4E">
              <w:t>)</w:t>
            </w:r>
          </w:p>
          <w:p w14:paraId="575B29DB" w14:textId="77777777" w:rsidR="00032B4F" w:rsidRPr="004F2C4E" w:rsidRDefault="00032B4F" w:rsidP="00166B72">
            <w:pPr>
              <w:contextualSpacing/>
            </w:pPr>
          </w:p>
        </w:tc>
      </w:tr>
    </w:tbl>
    <w:p w14:paraId="3FF59346" w14:textId="77777777" w:rsidR="00032B4F" w:rsidRPr="004F2C4E" w:rsidRDefault="00032B4F" w:rsidP="00166B72">
      <w:pPr>
        <w:spacing w:line="240" w:lineRule="auto"/>
        <w:contextualSpacing/>
        <w:rPr>
          <w:szCs w:val="26"/>
        </w:rPr>
      </w:pPr>
    </w:p>
    <w:p w14:paraId="4B1FB5A7" w14:textId="53BCCEB7" w:rsidR="00032B4F" w:rsidRPr="004F2C4E" w:rsidRDefault="003A0E16" w:rsidP="005B0D7E">
      <w:pPr>
        <w:ind w:firstLine="720"/>
        <w:contextualSpacing/>
      </w:pPr>
      <w:r w:rsidRPr="004F2C4E">
        <w:t>APPEAL from a</w:t>
      </w:r>
      <w:r w:rsidR="00DC6383" w:rsidRPr="004F2C4E">
        <w:t xml:space="preserve">n order </w:t>
      </w:r>
      <w:r w:rsidRPr="004F2C4E">
        <w:t>of the Superior Court of Los</w:t>
      </w:r>
      <w:r w:rsidR="00855A93" w:rsidRPr="004F2C4E">
        <w:t> </w:t>
      </w:r>
      <w:r w:rsidRPr="004F2C4E">
        <w:t xml:space="preserve">Angeles County, </w:t>
      </w:r>
      <w:r w:rsidR="006B30BD" w:rsidRPr="004F2C4E">
        <w:t>Maren E. Nelson</w:t>
      </w:r>
      <w:r w:rsidRPr="004F2C4E">
        <w:t>, Judge.  Affirmed.</w:t>
      </w:r>
    </w:p>
    <w:p w14:paraId="1A889D9D" w14:textId="0C1D61CD" w:rsidR="00485DEE" w:rsidRPr="004F2C4E" w:rsidRDefault="003A0E16" w:rsidP="00166B72">
      <w:pPr>
        <w:ind w:firstLine="720"/>
        <w:contextualSpacing/>
      </w:pPr>
      <w:r w:rsidRPr="004F2C4E">
        <w:t>Shenoi Koes</w:t>
      </w:r>
      <w:r w:rsidR="001304CA" w:rsidRPr="004F2C4E">
        <w:t>,</w:t>
      </w:r>
      <w:r w:rsidR="000A6EBB" w:rsidRPr="004F2C4E">
        <w:t xml:space="preserve"> </w:t>
      </w:r>
      <w:r w:rsidRPr="004F2C4E">
        <w:t xml:space="preserve">Allan A. Shenoi, Daniel J. </w:t>
      </w:r>
      <w:r w:rsidRPr="004F2C4E">
        <w:t>Koes, and Benjamin Caryan</w:t>
      </w:r>
      <w:r w:rsidR="000D3C4D" w:rsidRPr="004F2C4E">
        <w:t xml:space="preserve">, </w:t>
      </w:r>
      <w:r w:rsidRPr="004F2C4E">
        <w:t xml:space="preserve">for </w:t>
      </w:r>
      <w:r w:rsidR="007F1F3B" w:rsidRPr="004F2C4E">
        <w:t>Plaintiff</w:t>
      </w:r>
      <w:r w:rsidR="008350CA" w:rsidRPr="004F2C4E">
        <w:t>s</w:t>
      </w:r>
      <w:r w:rsidR="00FE340D">
        <w:t xml:space="preserve"> and</w:t>
      </w:r>
      <w:r w:rsidR="008350CA" w:rsidRPr="004F2C4E">
        <w:t xml:space="preserve"> </w:t>
      </w:r>
      <w:r w:rsidR="007F1F3B" w:rsidRPr="004F2C4E">
        <w:t>Appellant</w:t>
      </w:r>
      <w:r w:rsidR="008350CA" w:rsidRPr="004F2C4E">
        <w:t>s.</w:t>
      </w:r>
    </w:p>
    <w:p w14:paraId="061350A1" w14:textId="5E3DBBC1" w:rsidR="00032B4F" w:rsidRDefault="003A0E16" w:rsidP="005B0D7E">
      <w:pPr>
        <w:ind w:firstLine="720"/>
        <w:contextualSpacing/>
      </w:pPr>
      <w:r w:rsidRPr="004F2C4E">
        <w:t>Alston &amp; Bird</w:t>
      </w:r>
      <w:r w:rsidR="00266866" w:rsidRPr="004F2C4E">
        <w:t>,</w:t>
      </w:r>
      <w:r w:rsidRPr="004F2C4E">
        <w:t xml:space="preserve"> Terance A. Gonsalves and Jesse Steinbach, for </w:t>
      </w:r>
      <w:r w:rsidR="008350CA" w:rsidRPr="004F2C4E">
        <w:t>Defendant</w:t>
      </w:r>
      <w:r w:rsidR="00FE340D">
        <w:t xml:space="preserve"> and </w:t>
      </w:r>
      <w:r w:rsidR="008350CA" w:rsidRPr="004F2C4E">
        <w:t>Appellant.</w:t>
      </w:r>
    </w:p>
    <w:p w14:paraId="75184753" w14:textId="77777777" w:rsidR="00FE340D" w:rsidRPr="004F2C4E" w:rsidRDefault="00FE340D" w:rsidP="005B0D7E">
      <w:pPr>
        <w:ind w:firstLine="720"/>
        <w:contextualSpacing/>
      </w:pPr>
    </w:p>
    <w:p w14:paraId="2E08D3A2" w14:textId="77777777" w:rsidR="001D08D3" w:rsidRPr="004F2C4E" w:rsidRDefault="003A0E16" w:rsidP="00166B72">
      <w:pPr>
        <w:contextualSpacing/>
        <w:jc w:val="center"/>
        <w:rPr>
          <w:bCs/>
          <w:szCs w:val="26"/>
        </w:rPr>
      </w:pPr>
      <w:r w:rsidRPr="004F2C4E">
        <w:rPr>
          <w:bCs/>
          <w:szCs w:val="26"/>
        </w:rPr>
        <w:lastRenderedPageBreak/>
        <w:t>‗‗‗‗‗‗‗‗‗‗‗‗‗‗‗‗‗‗‗‗‗‗‗‗‗‗‗‗</w:t>
      </w:r>
    </w:p>
    <w:p w14:paraId="23ABA899" w14:textId="7850F01E" w:rsidR="00032B4F" w:rsidRPr="004F2C4E" w:rsidRDefault="00032B4F" w:rsidP="00166B72">
      <w:pPr>
        <w:contextualSpacing/>
      </w:pPr>
    </w:p>
    <w:p w14:paraId="61AD31D3" w14:textId="2138EF51" w:rsidR="00F408D9" w:rsidRPr="004F2C4E" w:rsidRDefault="003A0E16" w:rsidP="007B312D">
      <w:pPr>
        <w:ind w:firstLine="720"/>
        <w:contextualSpacing/>
      </w:pPr>
      <w:r>
        <w:t>P</w:t>
      </w:r>
      <w:r w:rsidR="00D34412" w:rsidRPr="004F2C4E">
        <w:t>laintiffs</w:t>
      </w:r>
      <w:r w:rsidR="00140778">
        <w:t>,</w:t>
      </w:r>
      <w:r w:rsidR="00140778" w:rsidRPr="00140778">
        <w:t xml:space="preserve"> </w:t>
      </w:r>
      <w:r w:rsidR="00140778">
        <w:t>as individuals and on behalf of a class of parents,</w:t>
      </w:r>
      <w:r w:rsidR="00D34412" w:rsidRPr="004F2C4E">
        <w:t xml:space="preserve"> </w:t>
      </w:r>
      <w:r w:rsidR="00F7264C">
        <w:t>sued</w:t>
      </w:r>
      <w:r w:rsidR="000A45BF" w:rsidRPr="004F2C4E">
        <w:t xml:space="preserve"> </w:t>
      </w:r>
      <w:r w:rsidR="00D25EA6" w:rsidRPr="004F2C4E">
        <w:t xml:space="preserve">Defendant </w:t>
      </w:r>
      <w:r w:rsidR="00271CE0" w:rsidRPr="004F2C4E">
        <w:t>Pacific Oaks Children</w:t>
      </w:r>
      <w:r w:rsidR="00406BAE">
        <w:t>’s</w:t>
      </w:r>
      <w:r w:rsidR="00271CE0" w:rsidRPr="004F2C4E">
        <w:t xml:space="preserve"> School</w:t>
      </w:r>
      <w:r w:rsidR="003775C9" w:rsidRPr="004F2C4E">
        <w:t xml:space="preserve"> </w:t>
      </w:r>
      <w:r w:rsidR="00074178" w:rsidRPr="004F2C4E">
        <w:t>(</w:t>
      </w:r>
      <w:r w:rsidR="003D6033" w:rsidRPr="004F2C4E">
        <w:t>Pacific Oaks</w:t>
      </w:r>
      <w:r w:rsidR="00A038F6">
        <w:t xml:space="preserve"> or the school</w:t>
      </w:r>
      <w:r w:rsidR="00074178" w:rsidRPr="004F2C4E">
        <w:t>)</w:t>
      </w:r>
      <w:r w:rsidR="00140778">
        <w:t>,</w:t>
      </w:r>
      <w:r w:rsidR="00E1049C">
        <w:t xml:space="preserve"> </w:t>
      </w:r>
      <w:r w:rsidR="00E84F73">
        <w:t xml:space="preserve">alleging </w:t>
      </w:r>
      <w:r w:rsidR="00AE6380">
        <w:t xml:space="preserve">the school </w:t>
      </w:r>
      <w:r w:rsidR="00F7264C">
        <w:t>fail</w:t>
      </w:r>
      <w:r w:rsidR="00E84F73">
        <w:t>ed</w:t>
      </w:r>
      <w:r w:rsidR="00F7264C">
        <w:t xml:space="preserve"> to </w:t>
      </w:r>
      <w:r w:rsidR="00D25EA6" w:rsidRPr="004F2C4E">
        <w:t xml:space="preserve">comply with </w:t>
      </w:r>
      <w:r w:rsidR="0056066E" w:rsidRPr="004F2C4E">
        <w:t>child</w:t>
      </w:r>
      <w:r w:rsidR="001525A5">
        <w:t xml:space="preserve"> </w:t>
      </w:r>
      <w:r w:rsidR="0056066E" w:rsidRPr="004F2C4E">
        <w:t>care</w:t>
      </w:r>
      <w:r w:rsidR="00BE5E85" w:rsidRPr="004F2C4E">
        <w:t xml:space="preserve"> </w:t>
      </w:r>
      <w:r w:rsidR="00D07C8C" w:rsidRPr="004F2C4E">
        <w:t>facility licensing requirements</w:t>
      </w:r>
      <w:r w:rsidR="00BE5E85" w:rsidRPr="004F2C4E">
        <w:t>.</w:t>
      </w:r>
      <w:r>
        <w:rPr>
          <w:rStyle w:val="FootnoteReference"/>
        </w:rPr>
        <w:footnoteReference w:id="4"/>
      </w:r>
      <w:r w:rsidR="002C7D67" w:rsidRPr="004F2C4E">
        <w:t xml:space="preserve">  </w:t>
      </w:r>
      <w:r w:rsidR="00ED04F8">
        <w:t xml:space="preserve">Pacific Oaks’s license </w:t>
      </w:r>
      <w:r w:rsidR="0040424D">
        <w:t xml:space="preserve">set a </w:t>
      </w:r>
      <w:r w:rsidR="00D55D5F">
        <w:t xml:space="preserve">capacity </w:t>
      </w:r>
      <w:r w:rsidR="00ED04F8">
        <w:t>limit</w:t>
      </w:r>
      <w:r w:rsidR="00D55D5F">
        <w:t xml:space="preserve"> of 77 children in</w:t>
      </w:r>
      <w:r w:rsidR="00ED04F8">
        <w:t xml:space="preserve"> the school’s preschool programs.  </w:t>
      </w:r>
      <w:r w:rsidR="00ED50DE" w:rsidRPr="004F2C4E">
        <w:t xml:space="preserve">Plaintiffs allege </w:t>
      </w:r>
      <w:r w:rsidR="008E1AE0" w:rsidRPr="004F2C4E">
        <w:t>Pacific Oaks</w:t>
      </w:r>
      <w:r w:rsidR="00595E6F" w:rsidRPr="004F2C4E">
        <w:t xml:space="preserve"> enrolled more </w:t>
      </w:r>
      <w:r w:rsidR="00A578C5">
        <w:t>children</w:t>
      </w:r>
      <w:r w:rsidR="00A578C5" w:rsidRPr="004F2C4E">
        <w:t xml:space="preserve"> </w:t>
      </w:r>
      <w:r w:rsidR="00595E6F" w:rsidRPr="004F2C4E">
        <w:t xml:space="preserve">than </w:t>
      </w:r>
      <w:r w:rsidR="00426048">
        <w:t>the</w:t>
      </w:r>
      <w:r w:rsidR="0086665C" w:rsidRPr="004F2C4E">
        <w:t xml:space="preserve"> license</w:t>
      </w:r>
      <w:r w:rsidR="001F1A17" w:rsidRPr="004F2C4E">
        <w:t xml:space="preserve"> </w:t>
      </w:r>
      <w:r w:rsidR="00595E6F" w:rsidRPr="004F2C4E">
        <w:t>allowed</w:t>
      </w:r>
      <w:r w:rsidR="00027024" w:rsidRPr="004F2C4E">
        <w:t>,</w:t>
      </w:r>
      <w:r w:rsidR="00595E6F" w:rsidRPr="004F2C4E">
        <w:t xml:space="preserve"> </w:t>
      </w:r>
      <w:r w:rsidR="00027024" w:rsidRPr="004F2C4E">
        <w:t xml:space="preserve">violating </w:t>
      </w:r>
      <w:r w:rsidR="009C6DFF" w:rsidRPr="004F2C4E">
        <w:t xml:space="preserve">section 101161, subdivision (a) of </w:t>
      </w:r>
      <w:r w:rsidR="00D778D1">
        <w:t>t</w:t>
      </w:r>
      <w:r w:rsidR="009C6DFF" w:rsidRPr="004F2C4E">
        <w:t>itle</w:t>
      </w:r>
      <w:r w:rsidR="00655389">
        <w:t> </w:t>
      </w:r>
      <w:r w:rsidR="009C6DFF" w:rsidRPr="004F2C4E">
        <w:t>22 of the California Code of Regulations</w:t>
      </w:r>
      <w:r w:rsidR="001F1A17" w:rsidRPr="004F2C4E">
        <w:t>.</w:t>
      </w:r>
      <w:r>
        <w:rPr>
          <w:rStyle w:val="FootnoteReference"/>
        </w:rPr>
        <w:footnoteReference w:id="5"/>
      </w:r>
      <w:r w:rsidR="001F1A17" w:rsidRPr="004F2C4E">
        <w:t xml:space="preserve">  </w:t>
      </w:r>
      <w:r w:rsidR="00760570">
        <w:t xml:space="preserve">Although plaintiffs asserted </w:t>
      </w:r>
      <w:r w:rsidR="00E07385">
        <w:t>class claims</w:t>
      </w:r>
      <w:r w:rsidR="00760570">
        <w:t xml:space="preserve"> </w:t>
      </w:r>
      <w:r w:rsidR="00624CD3">
        <w:t>under the False Advertising Law</w:t>
      </w:r>
      <w:r w:rsidR="00624CD3" w:rsidRPr="004F2C4E">
        <w:t xml:space="preserve"> (Bus. &amp; Prof. Code, § 17500 et seq.)</w:t>
      </w:r>
      <w:r w:rsidR="00624CD3">
        <w:t xml:space="preserve">, </w:t>
      </w:r>
      <w:r w:rsidR="00AA3ABA">
        <w:t xml:space="preserve">multiple prongs of </w:t>
      </w:r>
      <w:r w:rsidR="003A7E08">
        <w:t xml:space="preserve">the </w:t>
      </w:r>
      <w:r w:rsidR="003A7E08" w:rsidRPr="004F2C4E">
        <w:t>Un</w:t>
      </w:r>
      <w:r w:rsidR="005F4473">
        <w:t>fair</w:t>
      </w:r>
      <w:r w:rsidR="003A7E08" w:rsidRPr="004F2C4E">
        <w:t xml:space="preserve"> Competition Law (UCL) (Bus. &amp; Prof. Code, § 17200 et seq.)</w:t>
      </w:r>
      <w:r w:rsidR="003A7E08">
        <w:t>, and</w:t>
      </w:r>
      <w:r w:rsidR="003A7E08" w:rsidRPr="004F2C4E">
        <w:t xml:space="preserve"> </w:t>
      </w:r>
      <w:r w:rsidR="00760570">
        <w:t>for common law fraud</w:t>
      </w:r>
      <w:r w:rsidR="00624CD3">
        <w:t xml:space="preserve">, </w:t>
      </w:r>
      <w:r w:rsidR="00B16F26">
        <w:t xml:space="preserve">a bench </w:t>
      </w:r>
      <w:r w:rsidR="00E07385">
        <w:t xml:space="preserve">trial proceeded only on </w:t>
      </w:r>
      <w:r w:rsidR="00A83002">
        <w:t xml:space="preserve">the </w:t>
      </w:r>
      <w:r w:rsidR="00E07385">
        <w:t xml:space="preserve">class UCL claim </w:t>
      </w:r>
      <w:r w:rsidR="0063347D">
        <w:t>based on alleged unlawful conduct.</w:t>
      </w:r>
    </w:p>
    <w:p w14:paraId="65ED8834" w14:textId="5DDDB84A" w:rsidR="009B0479" w:rsidRPr="004F2C4E" w:rsidRDefault="003A0E16" w:rsidP="007B312D">
      <w:pPr>
        <w:ind w:firstLine="720"/>
        <w:contextualSpacing/>
      </w:pPr>
      <w:r w:rsidRPr="004F2C4E">
        <w:t>T</w:t>
      </w:r>
      <w:r w:rsidR="001F1A17" w:rsidRPr="004F2C4E">
        <w:t>he trial court</w:t>
      </w:r>
      <w:r w:rsidR="00A54575" w:rsidRPr="004F2C4E">
        <w:t xml:space="preserve"> </w:t>
      </w:r>
      <w:r w:rsidR="000219CF">
        <w:t xml:space="preserve">rejected plaintiffs’ </w:t>
      </w:r>
      <w:r w:rsidR="00987F21">
        <w:t>argument</w:t>
      </w:r>
      <w:r w:rsidR="000219CF">
        <w:t xml:space="preserve"> </w:t>
      </w:r>
      <w:r w:rsidR="00E56193">
        <w:t xml:space="preserve">that </w:t>
      </w:r>
      <w:r w:rsidR="001F013F">
        <w:t xml:space="preserve">enrollment numbers </w:t>
      </w:r>
      <w:r w:rsidR="00C72CDE">
        <w:t>exceeding</w:t>
      </w:r>
      <w:r w:rsidR="001F013F">
        <w:t xml:space="preserve"> the capacity limit in the license establish</w:t>
      </w:r>
      <w:r w:rsidR="00E56193">
        <w:t>ed</w:t>
      </w:r>
      <w:r w:rsidR="001F013F">
        <w:t xml:space="preserve"> a </w:t>
      </w:r>
      <w:r w:rsidR="00E15319">
        <w:t xml:space="preserve">violation of </w:t>
      </w:r>
      <w:r w:rsidR="001D3853" w:rsidRPr="004F2C4E">
        <w:t>section 101161, subdivision (a)</w:t>
      </w:r>
      <w:r w:rsidR="001F013F">
        <w:t xml:space="preserve">.  Instead, the court concluded plaintiffs could </w:t>
      </w:r>
      <w:r w:rsidR="00BD0E86">
        <w:t xml:space="preserve">prove a violation only by </w:t>
      </w:r>
      <w:r w:rsidR="00E95BB1">
        <w:t xml:space="preserve">showing </w:t>
      </w:r>
      <w:r w:rsidR="00794ED4">
        <w:t xml:space="preserve">more than </w:t>
      </w:r>
      <w:r w:rsidR="00E15319">
        <w:t xml:space="preserve">77 </w:t>
      </w:r>
      <w:r w:rsidR="00E95BB1">
        <w:t>children</w:t>
      </w:r>
      <w:r w:rsidR="00E04099">
        <w:t xml:space="preserve"> were in attendance at the school</w:t>
      </w:r>
      <w:r w:rsidR="00A83002">
        <w:t xml:space="preserve"> at any one time during the class period</w:t>
      </w:r>
      <w:r w:rsidR="00286088" w:rsidRPr="004F2C4E">
        <w:t xml:space="preserve">.  </w:t>
      </w:r>
      <w:r w:rsidR="00806FCA">
        <w:t>Plaintiffs challenge this ruling on appeal, as well</w:t>
      </w:r>
      <w:r w:rsidR="006D5941">
        <w:t xml:space="preserve"> as</w:t>
      </w:r>
      <w:r w:rsidR="00806FCA">
        <w:t xml:space="preserve"> several </w:t>
      </w:r>
      <w:r w:rsidR="000E5E1B">
        <w:t>pre-trial</w:t>
      </w:r>
      <w:r w:rsidR="000A6416">
        <w:t xml:space="preserve"> rulings, orders regarding class certification, evidentiary rulings </w:t>
      </w:r>
      <w:r w:rsidR="000A6416">
        <w:lastRenderedPageBreak/>
        <w:t>during trial</w:t>
      </w:r>
      <w:r w:rsidR="004869F7">
        <w:t xml:space="preserve">, and the </w:t>
      </w:r>
      <w:r w:rsidR="00257B3C">
        <w:t>court’s other substantive rulings on questions of law</w:t>
      </w:r>
      <w:r w:rsidR="000A6416">
        <w:t>.</w:t>
      </w:r>
    </w:p>
    <w:p w14:paraId="46B765E9" w14:textId="0603CE49" w:rsidR="00A54575" w:rsidRPr="004F2C4E" w:rsidRDefault="003A0E16" w:rsidP="00166B72">
      <w:pPr>
        <w:ind w:firstLine="720"/>
        <w:contextualSpacing/>
      </w:pPr>
      <w:r>
        <w:t>In the published portion of this opinion</w:t>
      </w:r>
      <w:r w:rsidR="00DA116A">
        <w:t>,</w:t>
      </w:r>
      <w:r w:rsidR="006141C8">
        <w:t xml:space="preserve"> w</w:t>
      </w:r>
      <w:r w:rsidRPr="004F2C4E">
        <w:t>e</w:t>
      </w:r>
      <w:r w:rsidR="00A45131" w:rsidRPr="004F2C4E">
        <w:t xml:space="preserve"> </w:t>
      </w:r>
      <w:r w:rsidR="00257B3C">
        <w:t>conclude</w:t>
      </w:r>
      <w:r w:rsidR="00257B3C" w:rsidRPr="004F2C4E">
        <w:t xml:space="preserve"> </w:t>
      </w:r>
      <w:r w:rsidR="00A45131" w:rsidRPr="004F2C4E">
        <w:t xml:space="preserve">that </w:t>
      </w:r>
      <w:r w:rsidR="000E5E1B">
        <w:t xml:space="preserve">under the circumstances of this case, </w:t>
      </w:r>
      <w:r w:rsidR="00A45131" w:rsidRPr="004F2C4E">
        <w:t xml:space="preserve">attendance, not enrollment, </w:t>
      </w:r>
      <w:r w:rsidR="0093009E">
        <w:t>wa</w:t>
      </w:r>
      <w:r w:rsidR="00A45131" w:rsidRPr="004F2C4E">
        <w:t>s the correct measure of “capacity</w:t>
      </w:r>
      <w:r w:rsidR="00FE2D19" w:rsidRPr="004F2C4E">
        <w:t>.</w:t>
      </w:r>
      <w:r w:rsidR="00A45131" w:rsidRPr="004F2C4E">
        <w:t>”</w:t>
      </w:r>
      <w:r w:rsidR="00FE2D19" w:rsidRPr="004F2C4E">
        <w:t xml:space="preserve">  </w:t>
      </w:r>
      <w:r w:rsidR="00DE1791">
        <w:t xml:space="preserve">In the </w:t>
      </w:r>
      <w:r w:rsidR="006D4BD9">
        <w:t>remainder of the opinion</w:t>
      </w:r>
      <w:r w:rsidR="00DE1791">
        <w:t>, w</w:t>
      </w:r>
      <w:r w:rsidR="00FE2D19" w:rsidRPr="004F2C4E">
        <w:t xml:space="preserve">e </w:t>
      </w:r>
      <w:r w:rsidR="00452FBC" w:rsidRPr="004F2C4E">
        <w:t>affirm</w:t>
      </w:r>
      <w:r w:rsidR="00A45131" w:rsidRPr="004F2C4E">
        <w:t xml:space="preserve"> </w:t>
      </w:r>
      <w:r w:rsidR="00FE2D19" w:rsidRPr="004F2C4E">
        <w:t xml:space="preserve">the </w:t>
      </w:r>
      <w:r w:rsidR="001B15B4" w:rsidRPr="004F2C4E">
        <w:t xml:space="preserve">trial court’s </w:t>
      </w:r>
      <w:r w:rsidR="00B37EF2">
        <w:t>challenged orders</w:t>
      </w:r>
      <w:r w:rsidR="001B15B4" w:rsidRPr="004F2C4E">
        <w:t xml:space="preserve"> regarding the class definition, discovery, </w:t>
      </w:r>
      <w:r w:rsidR="00F14C3C">
        <w:t>standing</w:t>
      </w:r>
      <w:r w:rsidR="00C850B4">
        <w:t xml:space="preserve">, </w:t>
      </w:r>
      <w:r w:rsidR="001B15B4" w:rsidRPr="004F2C4E">
        <w:t xml:space="preserve">and </w:t>
      </w:r>
      <w:r w:rsidR="00C850B4">
        <w:t xml:space="preserve">the court’s </w:t>
      </w:r>
      <w:r w:rsidR="00B37EF2">
        <w:t>evidentiary rulings</w:t>
      </w:r>
      <w:r w:rsidR="00BD186D" w:rsidRPr="004F2C4E">
        <w:t>.</w:t>
      </w:r>
    </w:p>
    <w:p w14:paraId="579159B2" w14:textId="60BE49D6" w:rsidR="00A07CEF" w:rsidRPr="004F2C4E" w:rsidRDefault="003A0E16" w:rsidP="006F503E">
      <w:pPr>
        <w:pStyle w:val="Heading10"/>
        <w:spacing w:before="0" w:after="0"/>
        <w:contextualSpacing/>
      </w:pPr>
      <w:r w:rsidRPr="00FF723E">
        <w:t xml:space="preserve">FACTUAL AND PROCEDURAL </w:t>
      </w:r>
      <w:r w:rsidRPr="004F2C4E">
        <w:t>BACKGROUND</w:t>
      </w:r>
    </w:p>
    <w:p w14:paraId="477C5C40" w14:textId="72A017FE" w:rsidR="00C504EC" w:rsidRPr="00F836A2" w:rsidRDefault="003A0E16" w:rsidP="00166B72">
      <w:pPr>
        <w:ind w:firstLine="720"/>
        <w:contextualSpacing/>
      </w:pPr>
      <w:r w:rsidRPr="004F2C4E">
        <w:t xml:space="preserve">Pacific Oaks </w:t>
      </w:r>
      <w:r w:rsidR="005030F8" w:rsidRPr="004F2C4E">
        <w:t>provides e</w:t>
      </w:r>
      <w:r w:rsidR="00816BC9">
        <w:t>arly childhood education</w:t>
      </w:r>
      <w:r w:rsidR="00303B18">
        <w:t xml:space="preserve"> to children and families</w:t>
      </w:r>
      <w:r w:rsidR="006E3D46">
        <w:t xml:space="preserve"> </w:t>
      </w:r>
      <w:r w:rsidR="00345DE8">
        <w:t>at a campus in Pasadena</w:t>
      </w:r>
      <w:r w:rsidR="005030F8" w:rsidRPr="004F2C4E">
        <w:t>.</w:t>
      </w:r>
      <w:r w:rsidR="00245F4A" w:rsidRPr="004F2C4E">
        <w:t xml:space="preserve">  </w:t>
      </w:r>
      <w:r w:rsidR="001C5C01" w:rsidRPr="004F2C4E">
        <w:t>The school</w:t>
      </w:r>
      <w:r w:rsidR="00816BC9">
        <w:t>’s programs include</w:t>
      </w:r>
      <w:r w:rsidR="00EB1F5A" w:rsidRPr="004F2C4E">
        <w:t xml:space="preserve"> </w:t>
      </w:r>
      <w:r w:rsidR="001C5C01" w:rsidRPr="004F2C4E">
        <w:t>“</w:t>
      </w:r>
      <w:r w:rsidR="00EB1F5A" w:rsidRPr="004F2C4E">
        <w:t>part-time classes in the morning or afternoon as well as full day childcare programs for families working outside their home.”</w:t>
      </w:r>
      <w:r w:rsidR="004E0684" w:rsidRPr="004F2C4E">
        <w:t xml:space="preserve"> </w:t>
      </w:r>
      <w:r w:rsidR="00567094" w:rsidRPr="004F2C4E">
        <w:t xml:space="preserve"> </w:t>
      </w:r>
      <w:r w:rsidR="00136B90" w:rsidRPr="004F2C4E">
        <w:t xml:space="preserve">Part-time programs </w:t>
      </w:r>
      <w:r w:rsidR="008D77ED" w:rsidRPr="004F2C4E">
        <w:t>take</w:t>
      </w:r>
      <w:r w:rsidR="00136B90" w:rsidRPr="004F2C4E">
        <w:t xml:space="preserve"> place during morning or afternoon intervals in different yards</w:t>
      </w:r>
      <w:r w:rsidR="0093009E">
        <w:t xml:space="preserve"> </w:t>
      </w:r>
      <w:r w:rsidR="00136B90" w:rsidRPr="004F2C4E">
        <w:t>on school grounds.</w:t>
      </w:r>
    </w:p>
    <w:p w14:paraId="4960A2E1" w14:textId="45DBA104" w:rsidR="00556C57" w:rsidRPr="00166B72" w:rsidRDefault="003A0E16" w:rsidP="007B312D">
      <w:pPr>
        <w:contextualSpacing/>
        <w:rPr>
          <w:b/>
          <w:bCs/>
          <w:i/>
          <w:iCs/>
        </w:rPr>
      </w:pPr>
      <w:r>
        <w:rPr>
          <w:b/>
          <w:bCs/>
          <w:i/>
          <w:iCs/>
        </w:rPr>
        <w:t>DSS License and Plaintiffs’ Original Complaint</w:t>
      </w:r>
    </w:p>
    <w:p w14:paraId="5540C99E" w14:textId="4678BAFF" w:rsidR="005B6FA3" w:rsidRDefault="003A0E16" w:rsidP="00166B72">
      <w:pPr>
        <w:ind w:firstLine="720"/>
        <w:contextualSpacing/>
      </w:pPr>
      <w:r>
        <w:t>I</w:t>
      </w:r>
      <w:r w:rsidRPr="004F2C4E">
        <w:t>n March 1996</w:t>
      </w:r>
      <w:r>
        <w:t>, t</w:t>
      </w:r>
      <w:r w:rsidR="00FC15FB" w:rsidRPr="004F2C4E">
        <w:t xml:space="preserve">he </w:t>
      </w:r>
      <w:r w:rsidR="00AE436B" w:rsidRPr="004F2C4E">
        <w:t>Department of Social Services (DSS)</w:t>
      </w:r>
      <w:r w:rsidR="00BF06EA" w:rsidRPr="004F2C4E">
        <w:t xml:space="preserve"> issued a license </w:t>
      </w:r>
      <w:r w:rsidRPr="004F2C4E">
        <w:t xml:space="preserve">to </w:t>
      </w:r>
      <w:r w:rsidR="00AE436B" w:rsidRPr="004F2C4E">
        <w:t>“</w:t>
      </w:r>
      <w:r w:rsidR="00BF4562" w:rsidRPr="004F2C4E">
        <w:t xml:space="preserve">Pacific Oaks College </w:t>
      </w:r>
      <w:r w:rsidR="004E3F83">
        <w:t xml:space="preserve">&amp; </w:t>
      </w:r>
      <w:r w:rsidR="00BF4562" w:rsidRPr="004F2C4E">
        <w:t>Children’s Programs</w:t>
      </w:r>
      <w:r w:rsidR="00AE436B" w:rsidRPr="004F2C4E">
        <w:t xml:space="preserve"> </w:t>
      </w:r>
      <w:r w:rsidR="00EA0509" w:rsidRPr="004F2C4E">
        <w:t xml:space="preserve">to operate and maintain a </w:t>
      </w:r>
      <w:r w:rsidR="00C23891">
        <w:t>D</w:t>
      </w:r>
      <w:r w:rsidR="00EA0509" w:rsidRPr="004F2C4E">
        <w:t xml:space="preserve">ay </w:t>
      </w:r>
      <w:r w:rsidR="00C23891">
        <w:t>C</w:t>
      </w:r>
      <w:r w:rsidR="00EA0509" w:rsidRPr="004F2C4E">
        <w:t xml:space="preserve">are </w:t>
      </w:r>
      <w:r w:rsidR="00C23891">
        <w:t>C</w:t>
      </w:r>
      <w:r w:rsidR="00EA0509" w:rsidRPr="004F2C4E">
        <w:t>enter”</w:t>
      </w:r>
      <w:r w:rsidR="00735D4C" w:rsidRPr="004F2C4E">
        <w:t xml:space="preserve"> (the </w:t>
      </w:r>
      <w:r w:rsidR="00144F6C">
        <w:t>DSS</w:t>
      </w:r>
      <w:r w:rsidR="00144F6C" w:rsidRPr="004F2C4E">
        <w:t xml:space="preserve"> </w:t>
      </w:r>
      <w:r w:rsidR="00735D4C" w:rsidRPr="004F2C4E">
        <w:t>license).</w:t>
      </w:r>
      <w:r>
        <w:rPr>
          <w:rStyle w:val="FootnoteReference"/>
        </w:rPr>
        <w:footnoteReference w:id="6"/>
      </w:r>
      <w:r w:rsidR="00EA0509" w:rsidRPr="004F2C4E">
        <w:t xml:space="preserve">  </w:t>
      </w:r>
      <w:r w:rsidR="004E6385">
        <w:t xml:space="preserve">The license </w:t>
      </w:r>
      <w:r w:rsidR="005366BC">
        <w:t>provided:</w:t>
      </w:r>
      <w:r w:rsidR="00FA7C39" w:rsidRPr="004F2C4E">
        <w:t xml:space="preserve"> </w:t>
      </w:r>
      <w:r w:rsidR="005366BC">
        <w:t>“</w:t>
      </w:r>
      <w:r w:rsidR="00FA7C39" w:rsidRPr="004F2C4E">
        <w:t>Licensee prefers to serve children 2-5, M-F 8:00 – 6:00 p.m.</w:t>
      </w:r>
      <w:r w:rsidR="00A91686" w:rsidRPr="004F2C4E">
        <w:t xml:space="preserve"> </w:t>
      </w:r>
      <w:r w:rsidR="006254FB">
        <w:t xml:space="preserve"> </w:t>
      </w:r>
      <w:r w:rsidR="00A91686" w:rsidRPr="004F2C4E">
        <w:t>Limitations in capacity per fire clearance are as follows: Boat Class</w:t>
      </w:r>
      <w:r w:rsidR="004A4A83" w:rsidRPr="004F2C4E">
        <w:t>–</w:t>
      </w:r>
      <w:r w:rsidR="00A91686" w:rsidRPr="004F2C4E">
        <w:t xml:space="preserve"> 16, Bamboo Class</w:t>
      </w:r>
      <w:r w:rsidR="004A4A83" w:rsidRPr="004F2C4E">
        <w:t>–</w:t>
      </w:r>
      <w:r w:rsidR="00A91686" w:rsidRPr="004F2C4E">
        <w:t xml:space="preserve"> 15, La Loma</w:t>
      </w:r>
      <w:r w:rsidR="004A4A83" w:rsidRPr="004F2C4E">
        <w:t>–</w:t>
      </w:r>
      <w:r w:rsidR="00A91686" w:rsidRPr="004F2C4E">
        <w:t xml:space="preserve"> 26, </w:t>
      </w:r>
      <w:r w:rsidR="00A91686" w:rsidRPr="004F2C4E">
        <w:lastRenderedPageBreak/>
        <w:t>Peppers</w:t>
      </w:r>
      <w:r w:rsidR="004A4A83" w:rsidRPr="004F2C4E">
        <w:t>–</w:t>
      </w:r>
      <w:r w:rsidR="00560562" w:rsidRPr="004F2C4E">
        <w:t xml:space="preserve"> 23</w:t>
      </w:r>
      <w:r w:rsidR="00A91686" w:rsidRPr="004F2C4E">
        <w:t xml:space="preserve">.”  </w:t>
      </w:r>
      <w:r w:rsidR="00A66CED">
        <w:t>The license set a</w:t>
      </w:r>
      <w:r w:rsidR="00BF06EA" w:rsidRPr="004F2C4E">
        <w:t xml:space="preserve"> </w:t>
      </w:r>
      <w:r w:rsidR="00A66CED">
        <w:t>“</w:t>
      </w:r>
      <w:r w:rsidR="00EA0509" w:rsidRPr="004F2C4E">
        <w:t xml:space="preserve">total </w:t>
      </w:r>
      <w:r w:rsidR="00BF06EA" w:rsidRPr="004F2C4E">
        <w:t>capacity</w:t>
      </w:r>
      <w:r w:rsidR="00A66CED">
        <w:t>”</w:t>
      </w:r>
      <w:r w:rsidR="00BF06EA" w:rsidRPr="004F2C4E">
        <w:t xml:space="preserve"> </w:t>
      </w:r>
      <w:r w:rsidR="00A66CED">
        <w:t>of</w:t>
      </w:r>
      <w:r w:rsidR="00BF06EA" w:rsidRPr="004F2C4E">
        <w:t xml:space="preserve"> 77. </w:t>
      </w:r>
      <w:r w:rsidR="0067324D" w:rsidRPr="004F2C4E">
        <w:t xml:space="preserve"> </w:t>
      </w:r>
      <w:r w:rsidR="003342BF" w:rsidRPr="004F2C4E">
        <w:t>DSS</w:t>
      </w:r>
      <w:r w:rsidR="0067324D" w:rsidRPr="004F2C4E">
        <w:t xml:space="preserve"> also issued a license permitting “Pacific Oaks College </w:t>
      </w:r>
      <w:r w:rsidR="00D84F71">
        <w:t>&amp;</w:t>
      </w:r>
      <w:r w:rsidR="00D84F71" w:rsidRPr="004F2C4E">
        <w:t xml:space="preserve"> </w:t>
      </w:r>
      <w:r w:rsidR="0067324D" w:rsidRPr="004F2C4E">
        <w:t xml:space="preserve">Children’s Programs to operate and maintain a school-age </w:t>
      </w:r>
      <w:r w:rsidR="005F37D7">
        <w:t>[day care]</w:t>
      </w:r>
      <w:r w:rsidR="0067324D" w:rsidRPr="004F2C4E">
        <w:t xml:space="preserve"> center</w:t>
      </w:r>
      <w:r w:rsidR="00596F25">
        <w:t>,</w:t>
      </w:r>
      <w:r w:rsidR="0067324D" w:rsidRPr="004F2C4E">
        <w:t xml:space="preserve">” with a total capacity of 24. </w:t>
      </w:r>
      <w:r w:rsidR="006C489A" w:rsidRPr="004F2C4E">
        <w:t xml:space="preserve"> </w:t>
      </w:r>
      <w:r w:rsidR="00596F25">
        <w:t>At some point</w:t>
      </w:r>
      <w:r w:rsidR="006C489A" w:rsidRPr="004F2C4E">
        <w:t xml:space="preserve">, </w:t>
      </w:r>
      <w:r w:rsidR="008E1AE0" w:rsidRPr="004F2C4E">
        <w:t xml:space="preserve">Pacific Oaks </w:t>
      </w:r>
      <w:r w:rsidR="000E6D55" w:rsidRPr="004F2C4E">
        <w:t>requested that DSS</w:t>
      </w:r>
      <w:r w:rsidR="006C489A" w:rsidRPr="004F2C4E">
        <w:t xml:space="preserve"> cancel the license </w:t>
      </w:r>
      <w:r w:rsidR="00176F02">
        <w:t xml:space="preserve">for </w:t>
      </w:r>
      <w:r w:rsidR="006C489A" w:rsidRPr="004F2C4E">
        <w:t>the school</w:t>
      </w:r>
      <w:r w:rsidR="006F328A">
        <w:t>-</w:t>
      </w:r>
      <w:r w:rsidR="006C489A" w:rsidRPr="004F2C4E">
        <w:t>age day</w:t>
      </w:r>
      <w:r w:rsidR="006F328A">
        <w:t xml:space="preserve"> </w:t>
      </w:r>
      <w:r w:rsidR="006C489A" w:rsidRPr="004F2C4E">
        <w:t xml:space="preserve">care program, stating that the program had “not been in use for 10 years plus.” </w:t>
      </w:r>
      <w:r w:rsidR="001B20DB" w:rsidRPr="004F2C4E">
        <w:t xml:space="preserve"> It is not clear from the record if </w:t>
      </w:r>
      <w:r w:rsidR="003342BF" w:rsidRPr="004F2C4E">
        <w:t>DSS</w:t>
      </w:r>
      <w:r w:rsidR="001B20DB" w:rsidRPr="004F2C4E">
        <w:t xml:space="preserve"> canceled the license.</w:t>
      </w:r>
    </w:p>
    <w:p w14:paraId="59172DE8" w14:textId="772831C8" w:rsidR="000C7999" w:rsidRPr="004F2C4E" w:rsidRDefault="003A0E16" w:rsidP="00166B72">
      <w:pPr>
        <w:ind w:firstLine="720"/>
        <w:contextualSpacing/>
      </w:pPr>
      <w:r>
        <w:t xml:space="preserve">In October 2012, </w:t>
      </w:r>
      <w:r w:rsidR="006373B8">
        <w:t xml:space="preserve">Matteo Baker </w:t>
      </w:r>
      <w:r w:rsidR="00DC1793">
        <w:t>sued Pacific Oaks</w:t>
      </w:r>
      <w:r w:rsidR="00C43592">
        <w:t>;</w:t>
      </w:r>
      <w:r w:rsidR="00DC1793">
        <w:t xml:space="preserve"> </w:t>
      </w:r>
      <w:r w:rsidR="003E5CAE">
        <w:t xml:space="preserve">the then Executive Director, </w:t>
      </w:r>
      <w:r w:rsidR="00DC1793">
        <w:t>Jane Rosenberg</w:t>
      </w:r>
      <w:r w:rsidR="00C43592">
        <w:t>;</w:t>
      </w:r>
      <w:r w:rsidR="00D643C8">
        <w:t xml:space="preserve"> </w:t>
      </w:r>
      <w:r w:rsidR="00DC1793">
        <w:t>and an individual teacher</w:t>
      </w:r>
      <w:r w:rsidR="00F579E1">
        <w:t xml:space="preserve">.  The complaint alleged that due to the defendants’ negligence and failure to properly supervise Matteo, he wandered alone into </w:t>
      </w:r>
      <w:r w:rsidR="00235A4B">
        <w:t xml:space="preserve">a playground and </w:t>
      </w:r>
      <w:r w:rsidR="000F6246">
        <w:t xml:space="preserve">suffered a “near-death” incident that </w:t>
      </w:r>
      <w:r w:rsidR="00540021">
        <w:t>left him with severe and ongoing psychological injuries.</w:t>
      </w:r>
      <w:r w:rsidR="00E129FC">
        <w:t xml:space="preserve"> </w:t>
      </w:r>
      <w:r w:rsidR="006F328A">
        <w:t xml:space="preserve"> </w:t>
      </w:r>
      <w:r w:rsidR="00E129FC">
        <w:t xml:space="preserve">The complaint asserted causes of action for negligence </w:t>
      </w:r>
      <w:r w:rsidR="00045EA0">
        <w:t xml:space="preserve">and </w:t>
      </w:r>
      <w:r w:rsidR="00E129FC">
        <w:t>statutory and regulatory violations</w:t>
      </w:r>
      <w:r w:rsidR="00045EA0">
        <w:t>.</w:t>
      </w:r>
    </w:p>
    <w:p w14:paraId="4CBDDAD6" w14:textId="07FDFDFD" w:rsidR="00952FE9" w:rsidRPr="004F2C4E" w:rsidRDefault="003A0E16" w:rsidP="00166B72">
      <w:pPr>
        <w:ind w:firstLine="720"/>
        <w:contextualSpacing/>
      </w:pPr>
      <w:r w:rsidRPr="004F2C4E">
        <w:t xml:space="preserve">In July 2013, </w:t>
      </w:r>
      <w:r w:rsidR="008E1AE0" w:rsidRPr="004F2C4E">
        <w:t>Pacific Oaks</w:t>
      </w:r>
      <w:r w:rsidR="00BF06EA" w:rsidRPr="004F2C4E">
        <w:t xml:space="preserve"> </w:t>
      </w:r>
      <w:r w:rsidR="00925AE7" w:rsidRPr="004F2C4E">
        <w:t>applied</w:t>
      </w:r>
      <w:r w:rsidR="00943AB8" w:rsidRPr="004F2C4E">
        <w:t xml:space="preserve"> to increase the </w:t>
      </w:r>
      <w:r w:rsidR="000144BB">
        <w:t xml:space="preserve">preschool programs’ </w:t>
      </w:r>
      <w:r w:rsidR="00943AB8" w:rsidRPr="004F2C4E">
        <w:t xml:space="preserve">capacity </w:t>
      </w:r>
      <w:r w:rsidR="000144BB">
        <w:t>under</w:t>
      </w:r>
      <w:r w:rsidR="000144BB" w:rsidRPr="004F2C4E">
        <w:t xml:space="preserve"> </w:t>
      </w:r>
      <w:r w:rsidR="00525AF3" w:rsidRPr="004F2C4E">
        <w:t xml:space="preserve">the </w:t>
      </w:r>
      <w:r w:rsidR="000144BB">
        <w:t>DSS</w:t>
      </w:r>
      <w:r w:rsidR="000144BB" w:rsidRPr="004F2C4E">
        <w:t xml:space="preserve"> </w:t>
      </w:r>
      <w:r w:rsidR="00525AF3" w:rsidRPr="004F2C4E">
        <w:t xml:space="preserve">license </w:t>
      </w:r>
      <w:r w:rsidR="00943AB8" w:rsidRPr="004F2C4E">
        <w:t>to 140</w:t>
      </w:r>
      <w:r w:rsidR="005B6FA3" w:rsidRPr="004F2C4E">
        <w:t xml:space="preserve">.  </w:t>
      </w:r>
      <w:r w:rsidR="003342BF" w:rsidRPr="004F2C4E">
        <w:t>DSS</w:t>
      </w:r>
      <w:r w:rsidR="00162173" w:rsidRPr="004F2C4E">
        <w:t xml:space="preserve"> </w:t>
      </w:r>
      <w:r w:rsidR="009C3E47" w:rsidRPr="004F2C4E">
        <w:t>denied</w:t>
      </w:r>
      <w:r w:rsidR="00162173" w:rsidRPr="004F2C4E">
        <w:t xml:space="preserve"> the </w:t>
      </w:r>
      <w:r w:rsidR="004846DE" w:rsidRPr="004F2C4E">
        <w:t>application</w:t>
      </w:r>
      <w:r w:rsidR="00384E8B">
        <w:t xml:space="preserve">, indicating </w:t>
      </w:r>
      <w:r w:rsidR="008E1AE0" w:rsidRPr="004F2C4E">
        <w:t xml:space="preserve">Pacific Oaks </w:t>
      </w:r>
      <w:r w:rsidR="00B970CF" w:rsidRPr="004F2C4E">
        <w:t xml:space="preserve">failed “to provide </w:t>
      </w:r>
      <w:r w:rsidR="003C1CC5" w:rsidRPr="004F2C4E">
        <w:t>satisfactory evidence that [it could] meet or conform to licensing requirements</w:t>
      </w:r>
      <w:r w:rsidR="005B6FA3" w:rsidRPr="004F2C4E">
        <w:t>.</w:t>
      </w:r>
      <w:r w:rsidR="00C65364" w:rsidRPr="004F2C4E">
        <w:t>”</w:t>
      </w:r>
      <w:r>
        <w:rPr>
          <w:rStyle w:val="FootnoteReference"/>
        </w:rPr>
        <w:footnoteReference w:id="7"/>
      </w:r>
      <w:r w:rsidR="004846DE" w:rsidRPr="004F2C4E">
        <w:t xml:space="preserve"> </w:t>
      </w:r>
      <w:r w:rsidR="00110B61" w:rsidRPr="004F2C4E">
        <w:t xml:space="preserve"> </w:t>
      </w:r>
      <w:r w:rsidR="003342BF" w:rsidRPr="004F2C4E">
        <w:t>DSS</w:t>
      </w:r>
      <w:r w:rsidR="00110B61" w:rsidRPr="004F2C4E">
        <w:t xml:space="preserve"> stated </w:t>
      </w:r>
      <w:r w:rsidR="008E1AE0" w:rsidRPr="004F2C4E">
        <w:t xml:space="preserve">Pacific Oaks </w:t>
      </w:r>
      <w:r w:rsidR="00110B61" w:rsidRPr="004F2C4E">
        <w:t>had “demonstrated the inability to comply with statutes and/or regulations, as evidenced on visits dated 08/2/11, 8/18/11, 5/23/13, and 6/7/13</w:t>
      </w:r>
      <w:r w:rsidR="00B46D8A" w:rsidRPr="004F2C4E">
        <w:t xml:space="preserve">” and listed </w:t>
      </w:r>
      <w:r w:rsidR="00B46D8A" w:rsidRPr="004F2C4E">
        <w:lastRenderedPageBreak/>
        <w:t xml:space="preserve">“some of the regulatory issues and statutes which were not complied with” as </w:t>
      </w:r>
      <w:r w:rsidR="002A2945" w:rsidRPr="004F2C4E">
        <w:t>“conduct inimical,” “reporting requirements,” “neglect lack of care and supervision,” and “personal rights.”</w:t>
      </w:r>
      <w:r w:rsidR="00382004" w:rsidRPr="004F2C4E">
        <w:t xml:space="preserve">  </w:t>
      </w:r>
      <w:r w:rsidR="008813FE">
        <w:t>The denial letter concluded</w:t>
      </w:r>
      <w:r w:rsidR="00382004" w:rsidRPr="004F2C4E">
        <w:t xml:space="preserve"> </w:t>
      </w:r>
      <w:r w:rsidR="008E1AE0" w:rsidRPr="004F2C4E">
        <w:t xml:space="preserve">Pacific Oaks </w:t>
      </w:r>
      <w:r w:rsidR="00382004" w:rsidRPr="004F2C4E">
        <w:t>could “only operate with the capacity of 77 preschool age children that [was] noted on [its] current license.”</w:t>
      </w:r>
    </w:p>
    <w:p w14:paraId="7A97F758" w14:textId="663A2C62" w:rsidR="00E64552" w:rsidRPr="004F2C4E" w:rsidRDefault="003A0E16" w:rsidP="00166B72">
      <w:pPr>
        <w:ind w:firstLine="720"/>
        <w:contextualSpacing/>
      </w:pPr>
      <w:r w:rsidRPr="004F2C4E">
        <w:t xml:space="preserve">In </w:t>
      </w:r>
      <w:r w:rsidR="00E10119">
        <w:t>August</w:t>
      </w:r>
      <w:r w:rsidR="00E10119" w:rsidRPr="004F2C4E">
        <w:t xml:space="preserve"> </w:t>
      </w:r>
      <w:r w:rsidRPr="004F2C4E">
        <w:t xml:space="preserve">2013, </w:t>
      </w:r>
      <w:r w:rsidR="008E1AE0" w:rsidRPr="004F2C4E">
        <w:t xml:space="preserve">Pacific Oaks’s </w:t>
      </w:r>
      <w:r w:rsidR="00B80116">
        <w:t xml:space="preserve">then </w:t>
      </w:r>
      <w:r w:rsidR="008E1AE0" w:rsidRPr="004F2C4E">
        <w:t>Executive Director</w:t>
      </w:r>
      <w:r w:rsidR="005E1936">
        <w:t>,</w:t>
      </w:r>
      <w:r w:rsidR="008E1AE0" w:rsidRPr="004F2C4E">
        <w:t xml:space="preserve"> Jayanti Tambe</w:t>
      </w:r>
      <w:r w:rsidR="005E1936">
        <w:t>,</w:t>
      </w:r>
      <w:r w:rsidR="008E1AE0" w:rsidRPr="004F2C4E">
        <w:t xml:space="preserve"> </w:t>
      </w:r>
      <w:r w:rsidR="003D0047" w:rsidRPr="004F2C4E">
        <w:t>wrote</w:t>
      </w:r>
      <w:r w:rsidR="00F649E6" w:rsidRPr="004F2C4E">
        <w:t xml:space="preserve"> a</w:t>
      </w:r>
      <w:r w:rsidR="003A2F9F">
        <w:t xml:space="preserve">n e-mail </w:t>
      </w:r>
      <w:r w:rsidR="003D0047" w:rsidRPr="004F2C4E">
        <w:t xml:space="preserve">informing </w:t>
      </w:r>
      <w:r w:rsidR="00F649E6" w:rsidRPr="004F2C4E">
        <w:t>parents that in May 2013, “the Children’s School administration was notified by the Department of Social Services Community Care Licensing Division (CCLD) that our license did not reflect the actual number of students on campus.</w:t>
      </w:r>
      <w:r w:rsidR="001C356F">
        <w:t xml:space="preserve">  An application to request an increase in the license to accommodate our total planned student population was submitted for review.</w:t>
      </w:r>
      <w:r w:rsidR="00F649E6" w:rsidRPr="004F2C4E">
        <w:t xml:space="preserve">” </w:t>
      </w:r>
      <w:r w:rsidR="00C07203" w:rsidRPr="004F2C4E">
        <w:t xml:space="preserve"> </w:t>
      </w:r>
      <w:r w:rsidR="00A7471C">
        <w:t xml:space="preserve">The </w:t>
      </w:r>
      <w:r w:rsidR="00553E97">
        <w:t>message</w:t>
      </w:r>
      <w:r w:rsidR="00481DAD" w:rsidRPr="004F2C4E">
        <w:t xml:space="preserve"> </w:t>
      </w:r>
      <w:r w:rsidR="00E40153">
        <w:t xml:space="preserve">further </w:t>
      </w:r>
      <w:r w:rsidR="00481DAD" w:rsidRPr="004F2C4E">
        <w:t xml:space="preserve">notified parents that </w:t>
      </w:r>
      <w:r w:rsidR="00125D2F" w:rsidRPr="004F2C4E">
        <w:t xml:space="preserve">because </w:t>
      </w:r>
      <w:r w:rsidR="003342BF" w:rsidRPr="004F2C4E">
        <w:t>DSS</w:t>
      </w:r>
      <w:r w:rsidR="00466C64">
        <w:t xml:space="preserve"> had</w:t>
      </w:r>
      <w:r w:rsidRPr="004F2C4E">
        <w:t xml:space="preserve"> denied </w:t>
      </w:r>
      <w:r w:rsidR="008E1AE0" w:rsidRPr="004F2C4E">
        <w:t>Pacific Oaks</w:t>
      </w:r>
      <w:r w:rsidRPr="004F2C4E">
        <w:t>’s application</w:t>
      </w:r>
      <w:r w:rsidR="00125D2F" w:rsidRPr="004F2C4E">
        <w:t xml:space="preserve">, </w:t>
      </w:r>
      <w:r w:rsidR="008610AA" w:rsidRPr="004F2C4E">
        <w:t xml:space="preserve">the </w:t>
      </w:r>
      <w:r w:rsidR="003838A6" w:rsidRPr="004F2C4E">
        <w:t xml:space="preserve">school would “not be able to provide a space for </w:t>
      </w:r>
      <w:r w:rsidR="00125D2F" w:rsidRPr="004F2C4E">
        <w:t>[their]</w:t>
      </w:r>
      <w:r w:rsidR="003838A6" w:rsidRPr="004F2C4E">
        <w:t xml:space="preserve"> child(ren)</w:t>
      </w:r>
      <w:r w:rsidR="001471C9" w:rsidRPr="004F2C4E">
        <w:t>” for the 2013</w:t>
      </w:r>
      <w:r w:rsidR="00B433F3">
        <w:t>–</w:t>
      </w:r>
      <w:r w:rsidR="001471C9" w:rsidRPr="004F2C4E">
        <w:t xml:space="preserve">2014 school year. </w:t>
      </w:r>
      <w:r w:rsidR="003F4B6B" w:rsidRPr="004F2C4E">
        <w:t xml:space="preserve"> </w:t>
      </w:r>
      <w:r w:rsidR="001D41CE" w:rsidRPr="004F2C4E">
        <w:t xml:space="preserve">The record does not indicate which </w:t>
      </w:r>
      <w:r w:rsidR="00974142">
        <w:t>families</w:t>
      </w:r>
      <w:r w:rsidR="001D41CE" w:rsidRPr="004F2C4E">
        <w:t xml:space="preserve"> received the </w:t>
      </w:r>
      <w:r w:rsidR="00553E97">
        <w:t>e-mail</w:t>
      </w:r>
      <w:r w:rsidR="003F4B6B" w:rsidRPr="004F2C4E">
        <w:t>.</w:t>
      </w:r>
    </w:p>
    <w:p w14:paraId="1FA1471C" w14:textId="18EDA0DA" w:rsidR="00986FA6" w:rsidRPr="004F2C4E" w:rsidRDefault="003A0E16" w:rsidP="00166B72">
      <w:pPr>
        <w:ind w:firstLine="720"/>
        <w:contextualSpacing/>
      </w:pPr>
      <w:r>
        <w:t xml:space="preserve">In October 2013, </w:t>
      </w:r>
      <w:r w:rsidR="00D74931" w:rsidRPr="004F2C4E">
        <w:t>Pacific Oaks</w:t>
      </w:r>
      <w:r w:rsidR="005B6FA3" w:rsidRPr="004F2C4E">
        <w:t xml:space="preserve"> </w:t>
      </w:r>
      <w:r w:rsidRPr="004F2C4E">
        <w:t xml:space="preserve">again </w:t>
      </w:r>
      <w:r w:rsidR="005B6FA3" w:rsidRPr="004F2C4E">
        <w:t xml:space="preserve">applied to increase </w:t>
      </w:r>
      <w:r w:rsidR="00CF00B8">
        <w:t xml:space="preserve">the </w:t>
      </w:r>
      <w:r w:rsidR="009A3E4D">
        <w:t>preschool programs’</w:t>
      </w:r>
      <w:r w:rsidR="003643D4" w:rsidRPr="004F2C4E">
        <w:t xml:space="preserve"> license capacity</w:t>
      </w:r>
      <w:r w:rsidR="00D77D42" w:rsidRPr="004F2C4E">
        <w:t xml:space="preserve"> to 140</w:t>
      </w:r>
      <w:r w:rsidR="005B6FA3" w:rsidRPr="004F2C4E">
        <w:t xml:space="preserve">.  </w:t>
      </w:r>
      <w:r w:rsidR="003342BF" w:rsidRPr="004F2C4E">
        <w:t>DSS</w:t>
      </w:r>
      <w:r w:rsidR="005B6FA3" w:rsidRPr="004F2C4E">
        <w:t xml:space="preserve"> granted </w:t>
      </w:r>
      <w:r w:rsidR="00D74931" w:rsidRPr="004F2C4E">
        <w:t>the</w:t>
      </w:r>
      <w:r w:rsidR="005B6FA3" w:rsidRPr="004F2C4E">
        <w:t xml:space="preserve"> application in April 2014.</w:t>
      </w:r>
    </w:p>
    <w:p w14:paraId="68CED36B" w14:textId="58AFFD2A" w:rsidR="009B04A8" w:rsidRPr="004F2C4E" w:rsidRDefault="003A0E16" w:rsidP="006F503E">
      <w:pPr>
        <w:pStyle w:val="Heading20"/>
        <w:ind w:left="0" w:firstLine="0"/>
        <w:contextualSpacing/>
        <w:rPr>
          <w:i/>
          <w:iCs/>
        </w:rPr>
      </w:pPr>
      <w:r>
        <w:rPr>
          <w:i/>
          <w:iCs/>
        </w:rPr>
        <w:t>The Class Action Claims</w:t>
      </w:r>
    </w:p>
    <w:p w14:paraId="7961E71C" w14:textId="77E6BD6F" w:rsidR="004C5E94" w:rsidRDefault="003A0E16" w:rsidP="00143B8D">
      <w:pPr>
        <w:ind w:firstLine="720"/>
      </w:pPr>
      <w:r w:rsidRPr="004F2C4E">
        <w:t xml:space="preserve">In </w:t>
      </w:r>
      <w:r w:rsidR="006F7E7F" w:rsidRPr="004F2C4E">
        <w:t xml:space="preserve">August 2014, </w:t>
      </w:r>
      <w:r w:rsidR="005B1154">
        <w:t>p</w:t>
      </w:r>
      <w:r w:rsidR="006F7E7F" w:rsidRPr="004F2C4E">
        <w:t>laintiffs filed the operative second amended complaint</w:t>
      </w:r>
      <w:r w:rsidR="00B22F79">
        <w:t>, adding</w:t>
      </w:r>
      <w:r w:rsidR="005B1154">
        <w:t xml:space="preserve"> </w:t>
      </w:r>
      <w:r w:rsidR="00C6302E">
        <w:t xml:space="preserve">two </w:t>
      </w:r>
      <w:r w:rsidR="0039407D">
        <w:t xml:space="preserve">causes of action </w:t>
      </w:r>
      <w:r w:rsidR="00E40153">
        <w:t xml:space="preserve">that were </w:t>
      </w:r>
      <w:r w:rsidR="0039407D">
        <w:t>asserted on behalf of a putative class</w:t>
      </w:r>
      <w:r w:rsidR="005B1154">
        <w:t xml:space="preserve">.  </w:t>
      </w:r>
      <w:r w:rsidR="00C6302E">
        <w:t xml:space="preserve">Plaintiffs </w:t>
      </w:r>
      <w:r w:rsidR="00EF3F8F" w:rsidRPr="004F2C4E">
        <w:t>alleg</w:t>
      </w:r>
      <w:r w:rsidR="009C38A2">
        <w:t>ed</w:t>
      </w:r>
      <w:r w:rsidR="00EF3F8F" w:rsidRPr="004F2C4E">
        <w:t xml:space="preserve"> </w:t>
      </w:r>
      <w:r w:rsidR="00271CE0" w:rsidRPr="004F2C4E">
        <w:t>P</w:t>
      </w:r>
      <w:r w:rsidR="000F3C1C">
        <w:t>acific Oaks</w:t>
      </w:r>
      <w:r w:rsidR="009E67BE" w:rsidRPr="004F2C4E">
        <w:t xml:space="preserve"> was, among other things, “not properly licensed for the number of children it had accepted or would accept, but . . . was operating at overcapacity and in violation of its existing license</w:t>
      </w:r>
      <w:r w:rsidR="003A4C97">
        <w:t>,</w:t>
      </w:r>
      <w:r w:rsidR="009E67BE" w:rsidRPr="004F2C4E">
        <w:t xml:space="preserve">” and </w:t>
      </w:r>
      <w:r w:rsidR="00057FB6">
        <w:t xml:space="preserve">the school </w:t>
      </w:r>
      <w:r w:rsidR="002A402F" w:rsidRPr="004F2C4E">
        <w:t xml:space="preserve">had </w:t>
      </w:r>
      <w:r w:rsidR="009E67BE" w:rsidRPr="004F2C4E">
        <w:t xml:space="preserve">knowingly concealed this </w:t>
      </w:r>
      <w:r w:rsidR="0006652E">
        <w:t xml:space="preserve">information </w:t>
      </w:r>
      <w:r w:rsidR="009E67BE" w:rsidRPr="004F2C4E">
        <w:t>from plaintiffs and class members.</w:t>
      </w:r>
      <w:r w:rsidR="00FE5AB8" w:rsidRPr="004F2C4E">
        <w:t xml:space="preserve"> </w:t>
      </w:r>
      <w:r w:rsidR="00E26A7D" w:rsidRPr="004F2C4E">
        <w:t xml:space="preserve"> </w:t>
      </w:r>
      <w:r w:rsidR="00904F3B" w:rsidRPr="004F2C4E">
        <w:t xml:space="preserve">Plaintiffs also claimed </w:t>
      </w:r>
      <w:r w:rsidR="00283C4E">
        <w:t>Pacific Oaks</w:t>
      </w:r>
      <w:r w:rsidR="00904F3B" w:rsidRPr="004F2C4E">
        <w:t xml:space="preserve"> </w:t>
      </w:r>
      <w:r w:rsidR="00904F3B" w:rsidRPr="004F2C4E">
        <w:lastRenderedPageBreak/>
        <w:t>falsely advertised that it had “</w:t>
      </w:r>
      <w:r w:rsidR="00AE0E21">
        <w:t xml:space="preserve"> ‘</w:t>
      </w:r>
      <w:r w:rsidR="00904F3B" w:rsidRPr="004F2C4E">
        <w:t>state-of-the-art</w:t>
      </w:r>
      <w:r w:rsidR="00AE0E21">
        <w:t xml:space="preserve">’ </w:t>
      </w:r>
      <w:r w:rsidR="00904F3B" w:rsidRPr="004F2C4E">
        <w:t>” play yards and facilities</w:t>
      </w:r>
      <w:r w:rsidR="005B66A5" w:rsidRPr="004F2C4E">
        <w:t>.</w:t>
      </w:r>
    </w:p>
    <w:p w14:paraId="0D80BA3E" w14:textId="15D77549" w:rsidR="00DF39BE" w:rsidRPr="006F503E" w:rsidRDefault="003A0E16" w:rsidP="00143B8D">
      <w:pPr>
        <w:ind w:firstLine="720"/>
      </w:pPr>
      <w:r>
        <w:t xml:space="preserve">The first cause of action asserted </w:t>
      </w:r>
      <w:r w:rsidR="00E40153">
        <w:t xml:space="preserve">a </w:t>
      </w:r>
      <w:r w:rsidR="00647FA2">
        <w:t>common law fraud claim</w:t>
      </w:r>
      <w:r w:rsidR="000C09D6">
        <w:t xml:space="preserve">, </w:t>
      </w:r>
      <w:r w:rsidR="00561826">
        <w:t>alleg</w:t>
      </w:r>
      <w:r w:rsidR="000C09D6">
        <w:t>ing</w:t>
      </w:r>
      <w:r w:rsidR="00561826">
        <w:t xml:space="preserve"> that had class members known </w:t>
      </w:r>
      <w:r w:rsidR="00D71165">
        <w:t xml:space="preserve">Pacific Oaks was operating in violation of the </w:t>
      </w:r>
      <w:r w:rsidR="000C09D6">
        <w:t>DSS license</w:t>
      </w:r>
      <w:r w:rsidR="00044A3C">
        <w:t xml:space="preserve">, </w:t>
      </w:r>
      <w:r w:rsidR="000C09D6">
        <w:t>with facilities that were not truly “state</w:t>
      </w:r>
      <w:r w:rsidR="00771533">
        <w:t>-</w:t>
      </w:r>
      <w:r w:rsidR="000C09D6">
        <w:t>of</w:t>
      </w:r>
      <w:r w:rsidR="00771533">
        <w:t>-</w:t>
      </w:r>
      <w:r w:rsidR="000C09D6">
        <w:t>the</w:t>
      </w:r>
      <w:r w:rsidR="00771533">
        <w:t>-</w:t>
      </w:r>
      <w:r w:rsidR="000C09D6">
        <w:t>art,”</w:t>
      </w:r>
      <w:r w:rsidR="00044A3C">
        <w:t xml:space="preserve"> they would not have</w:t>
      </w:r>
      <w:r w:rsidR="00BE7336">
        <w:t xml:space="preserve"> selected Pacific Oaks or paid tuition. </w:t>
      </w:r>
      <w:r w:rsidR="00561826">
        <w:t xml:space="preserve"> The </w:t>
      </w:r>
      <w:r w:rsidR="001068A1">
        <w:t>second cause of action asserted claims of unfair competition and false advertising under Business and Professions Code sections 17200</w:t>
      </w:r>
      <w:r>
        <w:t xml:space="preserve"> </w:t>
      </w:r>
      <w:r w:rsidR="001068A1">
        <w:t>and 17500.</w:t>
      </w:r>
      <w:r w:rsidR="008F10B5">
        <w:t xml:space="preserve">  The complaint alleged that </w:t>
      </w:r>
      <w:r w:rsidR="00444865">
        <w:t xml:space="preserve">“[b]ut for the unfair competition and false advertising </w:t>
      </w:r>
      <w:r w:rsidR="00444865" w:rsidRPr="00CC3104">
        <w:t>alleged . . .</w:t>
      </w:r>
      <w:r w:rsidR="00444865">
        <w:t xml:space="preserve"> Plaintiffs and the members of the Class would not have paid tuition to Pacific Oaks because there were numerous comparable, alternative, tuition-free child care centers or public schools that were actually </w:t>
      </w:r>
      <w:r w:rsidR="00167818">
        <w:t>operating within capacity of their licenses, and providing students with a safe environment that were available” at the time plaintiffs</w:t>
      </w:r>
      <w:r w:rsidR="00974142">
        <w:t>’</w:t>
      </w:r>
      <w:r w:rsidR="00167818">
        <w:t xml:space="preserve"> and class members</w:t>
      </w:r>
      <w:r w:rsidR="00974142">
        <w:t>’ children</w:t>
      </w:r>
      <w:r w:rsidR="00167818">
        <w:t xml:space="preserve"> attended Pacific Oaks. </w:t>
      </w:r>
      <w:r w:rsidR="0006652E">
        <w:t xml:space="preserve"> </w:t>
      </w:r>
      <w:r w:rsidR="00B91D64" w:rsidRPr="004F2C4E">
        <w:t xml:space="preserve">Plaintiffs </w:t>
      </w:r>
      <w:r w:rsidR="006C5C55" w:rsidRPr="004F2C4E">
        <w:t>requested</w:t>
      </w:r>
      <w:r w:rsidR="00F769F3" w:rsidRPr="004F2C4E">
        <w:t xml:space="preserve"> </w:t>
      </w:r>
      <w:r w:rsidR="006C5C55" w:rsidRPr="004F2C4E">
        <w:t>class certification</w:t>
      </w:r>
      <w:r w:rsidR="00C92D79" w:rsidRPr="004F2C4E">
        <w:t>, damages, and restitution</w:t>
      </w:r>
      <w:r w:rsidR="004877BF" w:rsidRPr="004F2C4E">
        <w:t xml:space="preserve">. </w:t>
      </w:r>
      <w:r w:rsidR="005C791D" w:rsidRPr="004F2C4E">
        <w:t xml:space="preserve"> </w:t>
      </w:r>
      <w:r w:rsidR="007456AD">
        <w:t>In November 2014, t</w:t>
      </w:r>
      <w:r w:rsidR="00D00BC4" w:rsidRPr="004F2C4E">
        <w:t>he trial court stayed the individual</w:t>
      </w:r>
      <w:r w:rsidR="00426C33">
        <w:t xml:space="preserve"> </w:t>
      </w:r>
      <w:r w:rsidR="00BA2212">
        <w:t>negligence</w:t>
      </w:r>
      <w:r w:rsidR="00BA2212" w:rsidRPr="004F2C4E">
        <w:t xml:space="preserve"> </w:t>
      </w:r>
      <w:r w:rsidR="00D00BC4" w:rsidRPr="004F2C4E">
        <w:t>claims</w:t>
      </w:r>
      <w:r w:rsidR="00143B8D">
        <w:t>.</w:t>
      </w:r>
    </w:p>
    <w:p w14:paraId="26B5F426" w14:textId="35F19E6B" w:rsidR="00701BFF" w:rsidRPr="004F2C4E" w:rsidRDefault="003A0E16" w:rsidP="00166B72">
      <w:pPr>
        <w:ind w:firstLine="720"/>
        <w:contextualSpacing/>
      </w:pPr>
      <w:r w:rsidRPr="004F2C4E">
        <w:t xml:space="preserve">In June 2018, the trial court certified </w:t>
      </w:r>
      <w:r w:rsidR="00781C07" w:rsidRPr="004F2C4E">
        <w:t xml:space="preserve">a </w:t>
      </w:r>
      <w:r w:rsidRPr="004F2C4E">
        <w:t xml:space="preserve">“class consisting of parents and guardians of students who attended </w:t>
      </w:r>
      <w:r w:rsidR="0006030C" w:rsidRPr="004F2C4E">
        <w:t>Pacific Oaks</w:t>
      </w:r>
      <w:r w:rsidRPr="004F2C4E">
        <w:t xml:space="preserve"> School and paid tuition during the period January 1, 2007 through August 31, 2013, to proceed as to the UCL and </w:t>
      </w:r>
      <w:r w:rsidR="003F3273">
        <w:t>[false advertising law]</w:t>
      </w:r>
      <w:r w:rsidRPr="004F2C4E">
        <w:t xml:space="preserve"> claims premised on illegal or fraudulent conduct only.”  The court denied certification </w:t>
      </w:r>
      <w:r w:rsidR="00F50770">
        <w:t>of</w:t>
      </w:r>
      <w:r w:rsidR="00F50770" w:rsidRPr="004F2C4E">
        <w:t xml:space="preserve"> </w:t>
      </w:r>
      <w:r w:rsidRPr="004F2C4E">
        <w:t>plaintiffs’ common law fraud class claim</w:t>
      </w:r>
      <w:r w:rsidR="00974142">
        <w:t>, finding</w:t>
      </w:r>
      <w:r w:rsidRPr="004F2C4E">
        <w:t xml:space="preserve"> each class member</w:t>
      </w:r>
      <w:r w:rsidR="007A7853">
        <w:t>’</w:t>
      </w:r>
      <w:r w:rsidRPr="004F2C4E">
        <w:t>s actual reliance would require an individualized inquiry and individualized proof.</w:t>
      </w:r>
    </w:p>
    <w:p w14:paraId="159D42FE" w14:textId="6C1C07BE" w:rsidR="001220CE" w:rsidRDefault="003A0E16" w:rsidP="007B312D">
      <w:pPr>
        <w:ind w:firstLine="720"/>
        <w:contextualSpacing/>
      </w:pPr>
      <w:r>
        <w:t xml:space="preserve">In </w:t>
      </w:r>
      <w:r w:rsidR="00300C49">
        <w:t>December 2019</w:t>
      </w:r>
      <w:r>
        <w:t>, t</w:t>
      </w:r>
      <w:r w:rsidR="005A3C4E" w:rsidRPr="004F2C4E">
        <w:t>he</w:t>
      </w:r>
      <w:r w:rsidR="00AE1BA1" w:rsidRPr="004F2C4E">
        <w:t xml:space="preserve"> </w:t>
      </w:r>
      <w:r>
        <w:t xml:space="preserve">trial </w:t>
      </w:r>
      <w:r w:rsidR="00AE1BA1" w:rsidRPr="004F2C4E">
        <w:t>court</w:t>
      </w:r>
      <w:r w:rsidR="00CE4E32" w:rsidRPr="004F2C4E">
        <w:t xml:space="preserve"> </w:t>
      </w:r>
      <w:r>
        <w:t xml:space="preserve">partially </w:t>
      </w:r>
      <w:r w:rsidR="00CE4E32" w:rsidRPr="004F2C4E">
        <w:t xml:space="preserve">granted </w:t>
      </w:r>
      <w:r>
        <w:t>Pacific Oaks’s motion to decertify the class.  The court</w:t>
      </w:r>
      <w:r w:rsidR="00CE4E32" w:rsidRPr="004F2C4E">
        <w:t xml:space="preserve"> decertif</w:t>
      </w:r>
      <w:r>
        <w:t>ied</w:t>
      </w:r>
      <w:r w:rsidR="00CE4E32" w:rsidRPr="004F2C4E">
        <w:t xml:space="preserve"> the </w:t>
      </w:r>
      <w:r w:rsidR="003F3273">
        <w:t>false advertising law</w:t>
      </w:r>
      <w:r w:rsidR="00CE4E32" w:rsidRPr="004F2C4E">
        <w:t xml:space="preserve"> claim and </w:t>
      </w:r>
      <w:r w:rsidR="00A85957" w:rsidRPr="004F2C4E">
        <w:t xml:space="preserve">the </w:t>
      </w:r>
      <w:r w:rsidR="008F4899">
        <w:t xml:space="preserve">UCL </w:t>
      </w:r>
      <w:r w:rsidR="003F3273">
        <w:t xml:space="preserve">claim based on a </w:t>
      </w:r>
      <w:r w:rsidR="00AD6DF1">
        <w:t>fraud</w:t>
      </w:r>
      <w:r w:rsidR="00071705">
        <w:t xml:space="preserve"> </w:t>
      </w:r>
      <w:r w:rsidR="00071705">
        <w:lastRenderedPageBreak/>
        <w:t>by</w:t>
      </w:r>
      <w:r w:rsidR="00AD6DF1">
        <w:t xml:space="preserve"> misrepresentation theory</w:t>
      </w:r>
      <w:r w:rsidR="003A03F2" w:rsidRPr="004F2C4E">
        <w:t>.  The court allowed</w:t>
      </w:r>
      <w:r w:rsidR="00D752F6">
        <w:t xml:space="preserve"> the class UCL claims based on fraud by omission and unlawful conduct to proceed</w:t>
      </w:r>
      <w:r w:rsidR="00FC2797" w:rsidRPr="004F2C4E">
        <w:t xml:space="preserve">. </w:t>
      </w:r>
      <w:r w:rsidR="001F2F04" w:rsidRPr="004F2C4E">
        <w:t xml:space="preserve"> </w:t>
      </w:r>
      <w:r w:rsidR="00557D2D" w:rsidRPr="004F2C4E">
        <w:t>However, t</w:t>
      </w:r>
      <w:r w:rsidR="0020426D" w:rsidRPr="004F2C4E">
        <w:t xml:space="preserve">he court </w:t>
      </w:r>
      <w:r w:rsidR="00560E41" w:rsidRPr="004F2C4E">
        <w:t>found</w:t>
      </w:r>
      <w:r w:rsidR="00716304" w:rsidRPr="004F2C4E">
        <w:t xml:space="preserve"> the class definition </w:t>
      </w:r>
      <w:r w:rsidR="00F50770">
        <w:t xml:space="preserve">was </w:t>
      </w:r>
      <w:r w:rsidR="00716304" w:rsidRPr="004F2C4E">
        <w:t xml:space="preserve">overbroad because it included </w:t>
      </w:r>
      <w:r w:rsidR="008B2FED" w:rsidRPr="004F2C4E">
        <w:t xml:space="preserve">parents </w:t>
      </w:r>
      <w:r w:rsidR="00986578">
        <w:t xml:space="preserve">and guardians </w:t>
      </w:r>
      <w:r w:rsidR="008B2FED" w:rsidRPr="004F2C4E">
        <w:t xml:space="preserve">of children </w:t>
      </w:r>
      <w:r w:rsidR="00AE44F8">
        <w:t xml:space="preserve">who were </w:t>
      </w:r>
      <w:r w:rsidR="008B2FED" w:rsidRPr="004F2C4E">
        <w:t xml:space="preserve">enrolled in </w:t>
      </w:r>
      <w:r w:rsidR="00A93053" w:rsidRPr="004F2C4E">
        <w:t xml:space="preserve">Pacific Oaks </w:t>
      </w:r>
      <w:r w:rsidR="008B2FED" w:rsidRPr="004F2C4E">
        <w:t xml:space="preserve">programs </w:t>
      </w:r>
      <w:r w:rsidR="00AE44F8">
        <w:t>the DSS license did not cover</w:t>
      </w:r>
      <w:r w:rsidR="005C1BB0">
        <w:t>, including</w:t>
      </w:r>
      <w:r w:rsidR="00F21E6E" w:rsidRPr="00F21E6E">
        <w:t xml:space="preserve"> </w:t>
      </w:r>
      <w:r w:rsidR="00F21E6E">
        <w:t xml:space="preserve">Pacific Oaks’s Infant/Toddler/Parent program (infant/toddler program) </w:t>
      </w:r>
      <w:r w:rsidR="00DC27AA">
        <w:t>and</w:t>
      </w:r>
      <w:r w:rsidR="00F21E6E">
        <w:t xml:space="preserve"> the School Age Child Care program (school age program)</w:t>
      </w:r>
      <w:r w:rsidR="00AE44F8">
        <w:t>.</w:t>
      </w:r>
      <w:r w:rsidR="008B2FED" w:rsidRPr="004F2C4E">
        <w:t xml:space="preserve"> </w:t>
      </w:r>
      <w:r w:rsidR="00AF02AA" w:rsidRPr="004F2C4E">
        <w:t xml:space="preserve"> </w:t>
      </w:r>
      <w:r w:rsidR="001C7F7A" w:rsidRPr="004F2C4E">
        <w:t xml:space="preserve">The </w:t>
      </w:r>
      <w:r w:rsidR="00F21E6E">
        <w:t xml:space="preserve">court </w:t>
      </w:r>
      <w:r w:rsidR="00D602DA">
        <w:t>redefined</w:t>
      </w:r>
      <w:r w:rsidR="00D602DA" w:rsidRPr="004F2C4E">
        <w:t xml:space="preserve"> </w:t>
      </w:r>
      <w:r w:rsidR="00F21E6E">
        <w:t xml:space="preserve">the </w:t>
      </w:r>
      <w:r w:rsidR="001C7F7A" w:rsidRPr="004F2C4E">
        <w:t>class</w:t>
      </w:r>
      <w:r w:rsidR="00F21E6E">
        <w:t xml:space="preserve">, limiting it to </w:t>
      </w:r>
      <w:r w:rsidR="001C7F7A" w:rsidRPr="004F2C4E">
        <w:t>“</w:t>
      </w:r>
      <w:r w:rsidR="007112F7">
        <w:t xml:space="preserve"> ‘</w:t>
      </w:r>
      <w:r w:rsidR="00557D2D" w:rsidRPr="004F2C4E">
        <w:t>[p]</w:t>
      </w:r>
      <w:r w:rsidR="001C7F7A" w:rsidRPr="004F2C4E">
        <w:t xml:space="preserve">arents and guardians of former </w:t>
      </w:r>
      <w:r w:rsidR="00A93053" w:rsidRPr="004F2C4E">
        <w:t>Pacific Oaks</w:t>
      </w:r>
      <w:r w:rsidR="00151AF8">
        <w:t>[ ]</w:t>
      </w:r>
      <w:r w:rsidR="0034694A">
        <w:t xml:space="preserve"> </w:t>
      </w:r>
      <w:r w:rsidR="001C7F7A" w:rsidRPr="004F2C4E">
        <w:t xml:space="preserve">students who paid tuition from January 1, 2007 through August 2013 and whose students were enrolled in any </w:t>
      </w:r>
      <w:r w:rsidR="007112F7">
        <w:t>“</w:t>
      </w:r>
      <w:r w:rsidR="001C7F7A" w:rsidRPr="004F2C4E">
        <w:t>Pre-School Program</w:t>
      </w:r>
      <w:r w:rsidR="007112F7">
        <w:t>”</w:t>
      </w:r>
      <w:r w:rsidR="001C7F7A" w:rsidRPr="004F2C4E">
        <w:t xml:space="preserve"> offered by </w:t>
      </w:r>
      <w:r w:rsidR="00A93053" w:rsidRPr="004F2C4E">
        <w:t>Pacific Oaks</w:t>
      </w:r>
      <w:r w:rsidR="001C7F7A" w:rsidRPr="004F2C4E">
        <w:t xml:space="preserve"> during that time period.</w:t>
      </w:r>
      <w:r w:rsidR="007112F7">
        <w:t>’ </w:t>
      </w:r>
      <w:r w:rsidR="001C7F7A" w:rsidRPr="004F2C4E">
        <w:t>”</w:t>
      </w:r>
    </w:p>
    <w:p w14:paraId="72AD3554" w14:textId="157968DE" w:rsidR="00F5154E" w:rsidRDefault="003A0E16" w:rsidP="007B312D">
      <w:pPr>
        <w:ind w:firstLine="720"/>
        <w:contextualSpacing/>
      </w:pPr>
      <w:r w:rsidRPr="004F2C4E">
        <w:t>In February 2020</w:t>
      </w:r>
      <w:r w:rsidR="0049513B" w:rsidRPr="004F2C4E">
        <w:t xml:space="preserve">, </w:t>
      </w:r>
      <w:r w:rsidR="00707C44">
        <w:t>the</w:t>
      </w:r>
      <w:r w:rsidR="00707C44" w:rsidRPr="004F2C4E">
        <w:t xml:space="preserve"> </w:t>
      </w:r>
      <w:r w:rsidR="00DA2693" w:rsidRPr="004F2C4E">
        <w:t xml:space="preserve">parties </w:t>
      </w:r>
      <w:r w:rsidR="00E72290" w:rsidRPr="004F2C4E">
        <w:t xml:space="preserve">filed motions </w:t>
      </w:r>
      <w:r w:rsidR="00DA2693" w:rsidRPr="004F2C4E">
        <w:t xml:space="preserve">for summary </w:t>
      </w:r>
      <w:r w:rsidR="00E72290" w:rsidRPr="004F2C4E">
        <w:t>adjudication</w:t>
      </w:r>
      <w:r w:rsidR="00B3417C" w:rsidRPr="004F2C4E">
        <w:t xml:space="preserve">. </w:t>
      </w:r>
      <w:r w:rsidR="00413387" w:rsidRPr="004F2C4E">
        <w:t xml:space="preserve"> </w:t>
      </w:r>
      <w:r w:rsidR="00955D39" w:rsidRPr="004F2C4E">
        <w:t>Plaintiffs sought summary adjudication o</w:t>
      </w:r>
      <w:r w:rsidR="00ED2060">
        <w:t>f</w:t>
      </w:r>
      <w:r w:rsidR="00955D39" w:rsidRPr="004F2C4E">
        <w:t xml:space="preserve"> the UCL class claims </w:t>
      </w:r>
      <w:r w:rsidR="007D0A77" w:rsidRPr="004F2C4E">
        <w:t>for unlawful and fraudulent conduct</w:t>
      </w:r>
      <w:r w:rsidR="000F444F">
        <w:t>.  They</w:t>
      </w:r>
      <w:r w:rsidR="008B509E" w:rsidRPr="004F2C4E">
        <w:t xml:space="preserve"> </w:t>
      </w:r>
      <w:r w:rsidR="00ED2060">
        <w:t>argu</w:t>
      </w:r>
      <w:r w:rsidR="000F444F">
        <w:t>ed</w:t>
      </w:r>
      <w:r w:rsidR="00ED2060">
        <w:t xml:space="preserve"> </w:t>
      </w:r>
      <w:r w:rsidR="002D4253" w:rsidRPr="004F2C4E">
        <w:t xml:space="preserve">the record established Pacific Oaks violated </w:t>
      </w:r>
      <w:r w:rsidR="00DC27AA">
        <w:t>the DSS</w:t>
      </w:r>
      <w:r w:rsidR="002D4253" w:rsidRPr="004F2C4E">
        <w:t xml:space="preserve"> license </w:t>
      </w:r>
      <w:r w:rsidR="009C11A1">
        <w:t xml:space="preserve">capacity limit </w:t>
      </w:r>
      <w:r w:rsidR="002D4253" w:rsidRPr="004F2C4E">
        <w:t xml:space="preserve">because it was undisputed that </w:t>
      </w:r>
      <w:r w:rsidR="00CC54FF">
        <w:t>the school</w:t>
      </w:r>
      <w:r w:rsidR="00CC54FF" w:rsidRPr="004F2C4E">
        <w:t xml:space="preserve"> </w:t>
      </w:r>
      <w:r w:rsidR="002D4253" w:rsidRPr="004F2C4E">
        <w:t>enrolled more than 77 students each year during the class period.</w:t>
      </w:r>
    </w:p>
    <w:p w14:paraId="375A47F3" w14:textId="7479A4AA" w:rsidR="0082208A" w:rsidRDefault="003A0E16" w:rsidP="00166B72">
      <w:pPr>
        <w:ind w:firstLine="720"/>
        <w:contextualSpacing/>
      </w:pPr>
      <w:r w:rsidRPr="004F2C4E">
        <w:t>The court denied plaintiffs’ motion</w:t>
      </w:r>
      <w:r w:rsidR="00105E8D">
        <w:t xml:space="preserve"> </w:t>
      </w:r>
      <w:r w:rsidR="000F444F">
        <w:t>in September 2020</w:t>
      </w:r>
      <w:r w:rsidRPr="004F2C4E">
        <w:t>.  The court found the regulat</w:t>
      </w:r>
      <w:r w:rsidR="00A73F06">
        <w:t xml:space="preserve">ions governing child care facilities </w:t>
      </w:r>
      <w:r w:rsidRPr="004F2C4E">
        <w:t xml:space="preserve">did not support plaintiffs’ </w:t>
      </w:r>
      <w:r w:rsidR="00223648">
        <w:t>theory</w:t>
      </w:r>
      <w:r w:rsidRPr="004F2C4E">
        <w:t xml:space="preserve"> that Pacific Oaks’s </w:t>
      </w:r>
      <w:r w:rsidR="00AB4950">
        <w:t xml:space="preserve">aggregate annual </w:t>
      </w:r>
      <w:r w:rsidRPr="006B1700">
        <w:rPr>
          <w:i/>
          <w:iCs/>
        </w:rPr>
        <w:t>enrollment</w:t>
      </w:r>
      <w:r w:rsidRPr="004F2C4E">
        <w:t xml:space="preserve"> of more than 77 children violated the </w:t>
      </w:r>
      <w:r w:rsidR="00760FA4">
        <w:t xml:space="preserve">DSS license </w:t>
      </w:r>
      <w:r w:rsidRPr="004F2C4E">
        <w:t>capacity limit</w:t>
      </w:r>
      <w:r w:rsidR="00C9496D">
        <w:t>.</w:t>
      </w:r>
      <w:r w:rsidRPr="004F2C4E">
        <w:t xml:space="preserve"> </w:t>
      </w:r>
      <w:r w:rsidR="00D11F55">
        <w:t xml:space="preserve"> </w:t>
      </w:r>
      <w:r w:rsidR="00C3458B">
        <w:t>The court</w:t>
      </w:r>
      <w:r w:rsidR="007C3E07">
        <w:t xml:space="preserve"> </w:t>
      </w:r>
      <w:r w:rsidR="005C7445">
        <w:t>rejected plaintiffs’ argument that the term “</w:t>
      </w:r>
      <w:r w:rsidR="001F1A12">
        <w:t xml:space="preserve">capacity,” as used in the </w:t>
      </w:r>
      <w:r w:rsidR="009D42D2">
        <w:t xml:space="preserve">regulations, meant the number of children enrolled at the facility.  The court </w:t>
      </w:r>
      <w:r w:rsidR="001D514B">
        <w:t>further</w:t>
      </w:r>
      <w:r w:rsidR="009D42D2">
        <w:t xml:space="preserve"> concluded </w:t>
      </w:r>
      <w:r w:rsidR="001D514B">
        <w:t xml:space="preserve">plaintiffs’ proposed </w:t>
      </w:r>
      <w:r w:rsidR="009D42D2">
        <w:t xml:space="preserve">definition </w:t>
      </w:r>
      <w:r w:rsidR="001D514B">
        <w:t>of capacity</w:t>
      </w:r>
      <w:r w:rsidR="009D42D2">
        <w:t xml:space="preserve"> was inconsistent with the plain language of </w:t>
      </w:r>
      <w:r w:rsidR="007C3E07">
        <w:t>section</w:t>
      </w:r>
      <w:r w:rsidR="00441AA8">
        <w:t> </w:t>
      </w:r>
      <w:r w:rsidR="007C3E07">
        <w:t>101</w:t>
      </w:r>
      <w:r w:rsidR="0016782B">
        <w:t>179</w:t>
      </w:r>
      <w:r w:rsidR="009D42D2">
        <w:t>,</w:t>
      </w:r>
      <w:r w:rsidR="000D2217">
        <w:t xml:space="preserve"> subdivision (a),</w:t>
      </w:r>
      <w:r w:rsidR="009D42D2">
        <w:t xml:space="preserve"> which defines capacity as “the maximum number of children that can be cared for </w:t>
      </w:r>
      <w:r w:rsidR="009D42D2" w:rsidRPr="00DE770C">
        <w:t>at any given time</w:t>
      </w:r>
      <w:r w:rsidR="009D42D2">
        <w:t>.”</w:t>
      </w:r>
      <w:r w:rsidR="009A57E7">
        <w:t xml:space="preserve"> </w:t>
      </w:r>
      <w:r w:rsidR="00090566">
        <w:t xml:space="preserve"> The court </w:t>
      </w:r>
      <w:r w:rsidR="00557568">
        <w:t>reasoned</w:t>
      </w:r>
      <w:r w:rsidR="00090566">
        <w:t xml:space="preserve"> that </w:t>
      </w:r>
      <w:r w:rsidR="00AC197F">
        <w:t xml:space="preserve">whether capacity was exceeded “depend[ed] upon the </w:t>
      </w:r>
      <w:r w:rsidR="00AC197F" w:rsidRPr="00FC6CC7">
        <w:rPr>
          <w:i/>
          <w:iCs/>
        </w:rPr>
        <w:t>time</w:t>
      </w:r>
      <w:r w:rsidR="00AC197F">
        <w:t xml:space="preserve"> of </w:t>
      </w:r>
      <w:r w:rsidR="00AC197F">
        <w:lastRenderedPageBreak/>
        <w:t>measurement</w:t>
      </w:r>
      <w:r w:rsidR="009C329D">
        <w:t>,</w:t>
      </w:r>
      <w:r w:rsidR="00AC197F">
        <w:t>”</w:t>
      </w:r>
      <w:r w:rsidR="00CC6E13">
        <w:t xml:space="preserve"> </w:t>
      </w:r>
      <w:r w:rsidR="00927B9A">
        <w:t xml:space="preserve">which </w:t>
      </w:r>
      <w:r w:rsidR="00750D09">
        <w:t>was “consistent with Pacific Oaks’ operations</w:t>
      </w:r>
      <w:r w:rsidR="00892220">
        <w:t>,</w:t>
      </w:r>
      <w:r w:rsidR="00750D09">
        <w:t>”</w:t>
      </w:r>
      <w:r w:rsidR="00D0175A">
        <w:t xml:space="preserve"> including </w:t>
      </w:r>
      <w:r w:rsidR="00847140">
        <w:t>“different programs which different students attend at different times.”</w:t>
      </w:r>
    </w:p>
    <w:p w14:paraId="0095D735" w14:textId="17FDF122" w:rsidR="00F2153D" w:rsidRDefault="003A0E16" w:rsidP="00166B72">
      <w:pPr>
        <w:ind w:firstLine="720"/>
        <w:contextualSpacing/>
      </w:pPr>
      <w:r w:rsidRPr="004F2C4E">
        <w:rPr>
          <w:rFonts w:eastAsia="Calibri"/>
          <w:kern w:val="2"/>
          <w:szCs w:val="22"/>
          <w14:ligatures w14:val="standardContextual"/>
        </w:rPr>
        <w:t>The trial court granted</w:t>
      </w:r>
      <w:r w:rsidR="007F629F">
        <w:rPr>
          <w:rFonts w:eastAsia="Calibri"/>
          <w:kern w:val="2"/>
          <w:szCs w:val="22"/>
          <w14:ligatures w14:val="standardContextual"/>
        </w:rPr>
        <w:t xml:space="preserve"> summary adjudication of </w:t>
      </w:r>
      <w:r w:rsidRPr="004F2C4E">
        <w:rPr>
          <w:rFonts w:eastAsia="Calibri"/>
          <w:kern w:val="2"/>
          <w:szCs w:val="22"/>
          <w14:ligatures w14:val="standardContextual"/>
        </w:rPr>
        <w:t xml:space="preserve">plaintiffs’ </w:t>
      </w:r>
      <w:r w:rsidR="00205E0D">
        <w:rPr>
          <w:rFonts w:eastAsia="Calibri"/>
          <w:kern w:val="2"/>
          <w:szCs w:val="22"/>
          <w14:ligatures w14:val="standardContextual"/>
        </w:rPr>
        <w:t>individual and class</w:t>
      </w:r>
      <w:r w:rsidR="00205E0D" w:rsidRPr="004F2C4E">
        <w:rPr>
          <w:rFonts w:eastAsia="Calibri"/>
          <w:kern w:val="2"/>
          <w:szCs w:val="22"/>
          <w14:ligatures w14:val="standardContextual"/>
        </w:rPr>
        <w:t xml:space="preserve"> </w:t>
      </w:r>
      <w:r w:rsidRPr="004F2C4E">
        <w:rPr>
          <w:rFonts w:eastAsia="Calibri"/>
          <w:kern w:val="2"/>
          <w:szCs w:val="22"/>
          <w14:ligatures w14:val="standardContextual"/>
        </w:rPr>
        <w:t>UCL claim</w:t>
      </w:r>
      <w:r w:rsidR="00205E0D">
        <w:rPr>
          <w:rFonts w:eastAsia="Calibri"/>
          <w:kern w:val="2"/>
          <w:szCs w:val="22"/>
          <w14:ligatures w14:val="standardContextual"/>
        </w:rPr>
        <w:t>s</w:t>
      </w:r>
      <w:r w:rsidRPr="004F2C4E">
        <w:rPr>
          <w:rFonts w:eastAsia="Calibri"/>
          <w:kern w:val="2"/>
          <w:szCs w:val="22"/>
          <w14:ligatures w14:val="standardContextual"/>
        </w:rPr>
        <w:t xml:space="preserve"> based on fraud</w:t>
      </w:r>
      <w:r w:rsidR="0073238B">
        <w:rPr>
          <w:rFonts w:eastAsia="Calibri"/>
          <w:kern w:val="2"/>
          <w:szCs w:val="22"/>
          <w14:ligatures w14:val="standardContextual"/>
        </w:rPr>
        <w:t xml:space="preserve"> by</w:t>
      </w:r>
      <w:r w:rsidR="00C77BE4" w:rsidRPr="004F2C4E">
        <w:rPr>
          <w:rFonts w:eastAsia="Calibri"/>
          <w:kern w:val="2"/>
          <w:szCs w:val="22"/>
          <w14:ligatures w14:val="standardContextual"/>
        </w:rPr>
        <w:t xml:space="preserve"> omission</w:t>
      </w:r>
      <w:r w:rsidRPr="004F2C4E">
        <w:rPr>
          <w:rFonts w:eastAsia="Calibri"/>
          <w:kern w:val="2"/>
          <w:szCs w:val="22"/>
          <w14:ligatures w14:val="standardContextual"/>
        </w:rPr>
        <w:t xml:space="preserve"> and the</w:t>
      </w:r>
      <w:r w:rsidR="0073238B">
        <w:rPr>
          <w:rFonts w:eastAsia="Calibri"/>
          <w:kern w:val="2"/>
          <w:szCs w:val="22"/>
          <w14:ligatures w14:val="standardContextual"/>
        </w:rPr>
        <w:t xml:space="preserve"> false advertising law</w:t>
      </w:r>
      <w:r w:rsidRPr="004F2C4E">
        <w:rPr>
          <w:rFonts w:eastAsia="Calibri"/>
          <w:kern w:val="2"/>
          <w:szCs w:val="22"/>
          <w14:ligatures w14:val="standardContextual"/>
        </w:rPr>
        <w:t xml:space="preserve"> claim</w:t>
      </w:r>
      <w:r w:rsidR="00205E0D">
        <w:rPr>
          <w:rFonts w:eastAsia="Calibri"/>
          <w:kern w:val="2"/>
          <w:szCs w:val="22"/>
          <w14:ligatures w14:val="standardContextual"/>
        </w:rPr>
        <w:t>s</w:t>
      </w:r>
      <w:r w:rsidRPr="004F2C4E">
        <w:rPr>
          <w:rFonts w:eastAsia="Calibri"/>
          <w:kern w:val="2"/>
          <w:szCs w:val="22"/>
          <w14:ligatures w14:val="standardContextual"/>
        </w:rPr>
        <w:t>.</w:t>
      </w:r>
      <w:r>
        <w:rPr>
          <w:rStyle w:val="FootnoteReference"/>
          <w:rFonts w:eastAsia="Calibri"/>
          <w:kern w:val="2"/>
          <w:szCs w:val="22"/>
          <w14:ligatures w14:val="standardContextual"/>
        </w:rPr>
        <w:footnoteReference w:id="8"/>
      </w:r>
      <w:r w:rsidRPr="004F2C4E">
        <w:rPr>
          <w:rFonts w:eastAsia="Calibri"/>
          <w:kern w:val="2"/>
          <w:szCs w:val="22"/>
          <w14:ligatures w14:val="standardContextual"/>
        </w:rPr>
        <w:t xml:space="preserve"> </w:t>
      </w:r>
      <w:r w:rsidR="00C073C9" w:rsidRPr="00441AA8">
        <w:rPr>
          <w:rFonts w:eastAsia="Calibri"/>
          <w:kern w:val="2"/>
          <w:szCs w:val="22"/>
          <w14:ligatures w14:val="standardContextual"/>
        </w:rPr>
        <w:t xml:space="preserve"> </w:t>
      </w:r>
      <w:r w:rsidR="00334AEF">
        <w:rPr>
          <w:rFonts w:eastAsia="Calibri"/>
          <w:kern w:val="2"/>
          <w:szCs w:val="22"/>
          <w14:ligatures w14:val="standardContextual"/>
        </w:rPr>
        <w:t>T</w:t>
      </w:r>
      <w:r w:rsidR="00C073C9">
        <w:rPr>
          <w:rFonts w:eastAsia="Calibri"/>
          <w:kern w:val="2"/>
          <w:szCs w:val="22"/>
          <w14:ligatures w14:val="standardContextual"/>
        </w:rPr>
        <w:t xml:space="preserve">he </w:t>
      </w:r>
      <w:r w:rsidR="00334AEF">
        <w:rPr>
          <w:rFonts w:eastAsia="Calibri"/>
          <w:kern w:val="2"/>
          <w:szCs w:val="22"/>
          <w14:ligatures w14:val="standardContextual"/>
        </w:rPr>
        <w:t xml:space="preserve">sole </w:t>
      </w:r>
      <w:r w:rsidR="00C073C9" w:rsidRPr="0073238B">
        <w:rPr>
          <w:rFonts w:eastAsia="Calibri"/>
          <w:kern w:val="2"/>
          <w:szCs w:val="22"/>
          <w14:ligatures w14:val="standardContextual"/>
        </w:rPr>
        <w:t xml:space="preserve">remaining </w:t>
      </w:r>
      <w:r w:rsidR="00334AEF">
        <w:rPr>
          <w:rFonts w:eastAsia="Calibri"/>
          <w:kern w:val="2"/>
          <w:szCs w:val="22"/>
          <w14:ligatures w14:val="standardContextual"/>
        </w:rPr>
        <w:t xml:space="preserve">class </w:t>
      </w:r>
      <w:r w:rsidR="00C073C9" w:rsidRPr="0073238B">
        <w:rPr>
          <w:rFonts w:eastAsia="Calibri"/>
          <w:kern w:val="2"/>
          <w:szCs w:val="22"/>
          <w14:ligatures w14:val="standardContextual"/>
        </w:rPr>
        <w:t xml:space="preserve">claim was the UCL cause of action based on alleged </w:t>
      </w:r>
      <w:r w:rsidR="0007143D" w:rsidRPr="00166B72">
        <w:rPr>
          <w:rFonts w:eastAsia="Calibri"/>
          <w:kern w:val="2"/>
          <w:szCs w:val="22"/>
          <w14:ligatures w14:val="standardContextual"/>
        </w:rPr>
        <w:t>unlawful</w:t>
      </w:r>
      <w:r w:rsidR="00C073C9" w:rsidRPr="0073238B">
        <w:rPr>
          <w:rFonts w:eastAsia="Calibri"/>
          <w:kern w:val="2"/>
          <w:szCs w:val="22"/>
          <w14:ligatures w14:val="standardContextual"/>
        </w:rPr>
        <w:t xml:space="preserve"> </w:t>
      </w:r>
      <w:r w:rsidR="00334AEF">
        <w:rPr>
          <w:rFonts w:eastAsia="Calibri"/>
          <w:kern w:val="2"/>
          <w:szCs w:val="22"/>
          <w14:ligatures w14:val="standardContextual"/>
        </w:rPr>
        <w:t>conduct</w:t>
      </w:r>
      <w:r w:rsidR="00C073C9">
        <w:rPr>
          <w:rFonts w:eastAsia="Calibri"/>
          <w:kern w:val="2"/>
          <w:szCs w:val="22"/>
          <w14:ligatures w14:val="standardContextual"/>
        </w:rPr>
        <w:t>.</w:t>
      </w:r>
      <w:r w:rsidR="00304A98">
        <w:t xml:space="preserve">  </w:t>
      </w:r>
      <w:r w:rsidRPr="004F2C4E">
        <w:t xml:space="preserve">The court bifurcated trial to allow the </w:t>
      </w:r>
      <w:r w:rsidR="00BE58BF" w:rsidRPr="004F2C4E">
        <w:t>U</w:t>
      </w:r>
      <w:r w:rsidRPr="004F2C4E">
        <w:t xml:space="preserve">CL </w:t>
      </w:r>
      <w:r w:rsidR="00304A98">
        <w:t xml:space="preserve">class </w:t>
      </w:r>
      <w:r w:rsidRPr="004F2C4E">
        <w:t xml:space="preserve">claim to proceed first to a </w:t>
      </w:r>
      <w:r w:rsidR="008B1354" w:rsidRPr="004F2C4E">
        <w:t>February 2021</w:t>
      </w:r>
      <w:r w:rsidR="008B1354">
        <w:t xml:space="preserve"> </w:t>
      </w:r>
      <w:r w:rsidRPr="004F2C4E">
        <w:t>bench trial.</w:t>
      </w:r>
    </w:p>
    <w:p w14:paraId="49E835F9" w14:textId="6416E351" w:rsidR="003E121D" w:rsidRDefault="003A0E16" w:rsidP="00166B72">
      <w:pPr>
        <w:ind w:firstLine="720"/>
        <w:contextualSpacing/>
      </w:pPr>
      <w:r>
        <w:t>P</w:t>
      </w:r>
      <w:r w:rsidR="0095513C">
        <w:t xml:space="preserve">laintiffs had not </w:t>
      </w:r>
      <w:r w:rsidR="00FC5ADE">
        <w:t xml:space="preserve">indicated during </w:t>
      </w:r>
      <w:r w:rsidR="004405A2">
        <w:t>discovery or the litigation of pre-trial motions</w:t>
      </w:r>
      <w:r w:rsidR="00FC5ADE">
        <w:t xml:space="preserve"> that they would seek to offer evidence of </w:t>
      </w:r>
      <w:r w:rsidR="00582374">
        <w:t xml:space="preserve">Pacific Oaks’s </w:t>
      </w:r>
      <w:r w:rsidR="007D49C7">
        <w:t xml:space="preserve">daily attendance </w:t>
      </w:r>
      <w:r w:rsidR="00934DD7">
        <w:t>to prove their case</w:t>
      </w:r>
      <w:r>
        <w:t>.  However, p</w:t>
      </w:r>
      <w:r w:rsidR="00F9551C">
        <w:t xml:space="preserve">rior to the start of trial, and in light of the trial court’s ruling </w:t>
      </w:r>
      <w:r w:rsidR="00B72A1A">
        <w:t xml:space="preserve">that </w:t>
      </w:r>
      <w:r w:rsidR="00F9551C">
        <w:t xml:space="preserve">enrollment numbers would not establish a violation of the DSS license, plaintiffs sought to obtain </w:t>
      </w:r>
      <w:r w:rsidR="005B5D05">
        <w:t xml:space="preserve">Pacific Oaks’s records of daily attendance or </w:t>
      </w:r>
      <w:r w:rsidR="00EB66D3">
        <w:t>“</w:t>
      </w:r>
      <w:r w:rsidR="005B5D05">
        <w:t>daily enrollment</w:t>
      </w:r>
      <w:r w:rsidR="002D3720">
        <w:t>”</w:t>
      </w:r>
      <w:r w:rsidR="00EF213C">
        <w:t xml:space="preserve"> by </w:t>
      </w:r>
      <w:r w:rsidR="002D3720">
        <w:t xml:space="preserve">serving </w:t>
      </w:r>
      <w:r w:rsidR="00EF213C">
        <w:t xml:space="preserve">a </w:t>
      </w:r>
      <w:r w:rsidR="00B67C74">
        <w:t xml:space="preserve">notice </w:t>
      </w:r>
      <w:r w:rsidR="007B7E50">
        <w:t xml:space="preserve">to attend trial and bring documents </w:t>
      </w:r>
      <w:r w:rsidR="002D3720">
        <w:t xml:space="preserve">on </w:t>
      </w:r>
      <w:r w:rsidR="00847484" w:rsidRPr="00857763">
        <w:t>Pacific Oaks’s custodian of records</w:t>
      </w:r>
      <w:r w:rsidR="00EF213C">
        <w:t xml:space="preserve">.  </w:t>
      </w:r>
      <w:r w:rsidR="001900C5">
        <w:t xml:space="preserve">Litigation </w:t>
      </w:r>
      <w:r w:rsidR="00D2252B">
        <w:t xml:space="preserve">ensued </w:t>
      </w:r>
      <w:r w:rsidR="001900C5">
        <w:t xml:space="preserve">over the notice to attend and related motions to compel and quash.  </w:t>
      </w:r>
      <w:r w:rsidR="00EF213C">
        <w:t xml:space="preserve">Eventually, </w:t>
      </w:r>
      <w:r w:rsidR="00143FCE">
        <w:t xml:space="preserve">on </w:t>
      </w:r>
      <w:r w:rsidR="00857763">
        <w:t>the first day of trial,</w:t>
      </w:r>
      <w:r w:rsidR="00B92FCF">
        <w:t xml:space="preserve"> </w:t>
      </w:r>
      <w:r w:rsidR="000A706D">
        <w:t xml:space="preserve">the trial court ordered Pacific Oaks to produce </w:t>
      </w:r>
      <w:r w:rsidR="001900C5">
        <w:t>“</w:t>
      </w:r>
      <w:r w:rsidR="00C7510B" w:rsidRPr="004F2C4E">
        <w:t>current rosters</w:t>
      </w:r>
      <w:r w:rsidR="001900C5">
        <w:t>”</w:t>
      </w:r>
      <w:r w:rsidR="00C7510B" w:rsidRPr="004F2C4E">
        <w:t xml:space="preserve"> and daily attendance records</w:t>
      </w:r>
      <w:r w:rsidR="00F54716">
        <w:t>.</w:t>
      </w:r>
    </w:p>
    <w:p w14:paraId="170B8A0C" w14:textId="2EEDF0D2" w:rsidR="00540C76" w:rsidRPr="00166B72" w:rsidRDefault="003A0E16" w:rsidP="00222125">
      <w:pPr>
        <w:keepNext/>
        <w:keepLines/>
        <w:widowControl w:val="0"/>
        <w:contextualSpacing/>
        <w:rPr>
          <w:b/>
          <w:bCs/>
          <w:i/>
          <w:iCs/>
        </w:rPr>
      </w:pPr>
      <w:r>
        <w:rPr>
          <w:b/>
          <w:bCs/>
          <w:i/>
          <w:iCs/>
        </w:rPr>
        <w:lastRenderedPageBreak/>
        <w:t>Trial of the Class Claim</w:t>
      </w:r>
      <w:r>
        <w:rPr>
          <w:rStyle w:val="FootnoteReference"/>
        </w:rPr>
        <w:footnoteReference w:id="9"/>
      </w:r>
    </w:p>
    <w:p w14:paraId="763CD465" w14:textId="7B2105D6" w:rsidR="00D766D5" w:rsidRPr="004F2C4E" w:rsidRDefault="003A0E16" w:rsidP="00222125">
      <w:pPr>
        <w:keepNext/>
        <w:keepLines/>
        <w:widowControl w:val="0"/>
        <w:ind w:firstLine="720"/>
        <w:contextualSpacing/>
      </w:pPr>
      <w:r>
        <w:t>At trial, plaintiffs</w:t>
      </w:r>
      <w:r w:rsidR="00F61C07">
        <w:t xml:space="preserve"> </w:t>
      </w:r>
      <w:r>
        <w:t xml:space="preserve">offered the testimony of several witnesses, including two former </w:t>
      </w:r>
      <w:r w:rsidR="00726304">
        <w:t xml:space="preserve">Pacific Oaks </w:t>
      </w:r>
      <w:r>
        <w:t>executive directors.  Jane Rosenberg</w:t>
      </w:r>
      <w:r w:rsidR="003E121D">
        <w:t xml:space="preserve"> was </w:t>
      </w:r>
      <w:r w:rsidRPr="004F2C4E">
        <w:t>Pacific Oaks’s Executive Director from 1999 to 2013.  Rosenberg was not involved in the application process for the</w:t>
      </w:r>
      <w:r w:rsidR="001C35E5">
        <w:t xml:space="preserve"> DSS</w:t>
      </w:r>
      <w:r w:rsidRPr="004F2C4E">
        <w:t xml:space="preserve"> license.  She testified that DSS did not suspend or revoke </w:t>
      </w:r>
      <w:r w:rsidR="00490D81">
        <w:t>Pacific Oaks’s</w:t>
      </w:r>
      <w:r w:rsidRPr="004F2C4E">
        <w:t xml:space="preserve"> license for any reason during the class period.  She also testified that it “was never the case” that every child in the school was in attendance every day.  She </w:t>
      </w:r>
      <w:r w:rsidR="008A21AB">
        <w:t>explained</w:t>
      </w:r>
      <w:r w:rsidRPr="004F2C4E">
        <w:t>, “You never have a hundred</w:t>
      </w:r>
      <w:r w:rsidRPr="004F2C4E">
        <w:t xml:space="preserve"> percent of your students in attendance on a given day.  It just doesn’t happen.”  Rosenberg </w:t>
      </w:r>
      <w:r w:rsidR="0081763B">
        <w:t>indicated Pacific Oaks did not have</w:t>
      </w:r>
      <w:r w:rsidR="0081763B" w:rsidRPr="004F2C4E">
        <w:t xml:space="preserve"> </w:t>
      </w:r>
      <w:r w:rsidR="00D26BFA">
        <w:t xml:space="preserve">a </w:t>
      </w:r>
      <w:r w:rsidRPr="004F2C4E">
        <w:t>separate license for the infant</w:t>
      </w:r>
      <w:r w:rsidR="00E358BC">
        <w:t>/</w:t>
      </w:r>
      <w:r w:rsidRPr="004F2C4E">
        <w:t>toddler program “because there was an adult accompanying every child the entire time the child was in the program.”</w:t>
      </w:r>
    </w:p>
    <w:p w14:paraId="16AD2A6B" w14:textId="0E404C6B" w:rsidR="00D766D5" w:rsidRPr="004F2C4E" w:rsidRDefault="003A0E16" w:rsidP="00166B72">
      <w:pPr>
        <w:ind w:firstLine="720"/>
        <w:contextualSpacing/>
      </w:pPr>
      <w:r w:rsidRPr="004F2C4E">
        <w:t xml:space="preserve">Rosenberg testified that “the only way you would know for certain on a given day at a given time how many children are there would be to refer to the sign-in sheets.  Parents were required to sign their children in, when they dropped them off to school each morning, and sign them out at the end of the day when they picked them up.  </w:t>
      </w:r>
      <w:r w:rsidR="004721AB">
        <w:t xml:space="preserve">[¶] </w:t>
      </w:r>
      <w:r w:rsidRPr="004F2C4E">
        <w:t xml:space="preserve">So if you looked at a sign-in sheet </w:t>
      </w:r>
      <w:r w:rsidRPr="004F2C4E">
        <w:lastRenderedPageBreak/>
        <w:t xml:space="preserve">for a particular day, you would know exactly how many children were on campus at a given time.”  </w:t>
      </w:r>
      <w:r w:rsidR="00B46D37">
        <w:t xml:space="preserve">According to Rosenberg, </w:t>
      </w:r>
      <w:r w:rsidRPr="004F2C4E">
        <w:t>no one at P</w:t>
      </w:r>
      <w:r w:rsidR="00B46D37">
        <w:t>acific Oaks</w:t>
      </w:r>
      <w:r w:rsidRPr="004F2C4E">
        <w:t xml:space="preserve"> checked the sheets to see how many children were present at a time “because we handle that by making sure that the way we scheduled the programs, that they would only have a certain amount of children, that we could limit the children on the campus by the way we scheduled the various programs.”  </w:t>
      </w:r>
      <w:r w:rsidR="00B46D37">
        <w:t>T</w:t>
      </w:r>
      <w:r w:rsidRPr="004F2C4E">
        <w:t>eachers</w:t>
      </w:r>
      <w:r w:rsidR="00B46D37">
        <w:t xml:space="preserve"> gave</w:t>
      </w:r>
      <w:r w:rsidRPr="004F2C4E">
        <w:t xml:space="preserve"> the completed sig</w:t>
      </w:r>
      <w:r w:rsidRPr="004F2C4E">
        <w:t xml:space="preserve">n-in and sign-out sheets </w:t>
      </w:r>
      <w:r w:rsidR="003F7220">
        <w:t xml:space="preserve">(sign-in sheets) </w:t>
      </w:r>
      <w:r w:rsidRPr="004F2C4E">
        <w:t xml:space="preserve">to Rosenberg’s administrative assistant at the end of every month.  </w:t>
      </w:r>
      <w:r w:rsidR="00D43336">
        <w:t>Pacific Oaks</w:t>
      </w:r>
      <w:r w:rsidRPr="004F2C4E">
        <w:t xml:space="preserve"> “always had attendance records” available to calculate the number of students on campus.</w:t>
      </w:r>
    </w:p>
    <w:p w14:paraId="0C410AF0" w14:textId="07D2BF22" w:rsidR="00D766D5" w:rsidRPr="004F2C4E" w:rsidRDefault="003A0E16" w:rsidP="00166B72">
      <w:pPr>
        <w:ind w:firstLine="720"/>
        <w:contextualSpacing/>
      </w:pPr>
      <w:r w:rsidRPr="004F2C4E">
        <w:t xml:space="preserve">DSS conducted unannounced site visits </w:t>
      </w:r>
      <w:r w:rsidR="009C23F8">
        <w:t>at</w:t>
      </w:r>
      <w:r w:rsidRPr="004F2C4E">
        <w:t xml:space="preserve"> </w:t>
      </w:r>
      <w:r w:rsidR="00D43336">
        <w:t>Pacific Oaks</w:t>
      </w:r>
      <w:r w:rsidRPr="004F2C4E">
        <w:t xml:space="preserve"> to ensure the facilities were safe for children</w:t>
      </w:r>
      <w:r w:rsidR="00304F3B">
        <w:t xml:space="preserve">.  </w:t>
      </w:r>
      <w:r w:rsidR="00DD3C41">
        <w:t xml:space="preserve">Rosenberg testified </w:t>
      </w:r>
      <w:r w:rsidR="00304F3B">
        <w:t xml:space="preserve">DSS </w:t>
      </w:r>
      <w:r w:rsidR="00851E84">
        <w:t xml:space="preserve">made one </w:t>
      </w:r>
      <w:r w:rsidR="009C23F8">
        <w:t>such</w:t>
      </w:r>
      <w:r w:rsidR="00304F3B">
        <w:t xml:space="preserve"> visit</w:t>
      </w:r>
      <w:r w:rsidRPr="004F2C4E">
        <w:t xml:space="preserve"> </w:t>
      </w:r>
      <w:r w:rsidR="0062614F" w:rsidRPr="004F2C4E">
        <w:t>in May 2013</w:t>
      </w:r>
      <w:r w:rsidR="0062614F">
        <w:t xml:space="preserve">, </w:t>
      </w:r>
      <w:r w:rsidRPr="004F2C4E">
        <w:t xml:space="preserve">in response to a complaint.  </w:t>
      </w:r>
      <w:r w:rsidR="00304F3B">
        <w:t>D</w:t>
      </w:r>
      <w:r w:rsidRPr="004F2C4E">
        <w:t xml:space="preserve">uring the visits, DSS conducted “a census count of how many children were present on the campus at that time” </w:t>
      </w:r>
      <w:r w:rsidR="00851E84">
        <w:t xml:space="preserve">and wrote the results </w:t>
      </w:r>
      <w:r w:rsidR="000955D3">
        <w:t xml:space="preserve">in a “facility evaluation report.” </w:t>
      </w:r>
      <w:r w:rsidRPr="004F2C4E">
        <w:t xml:space="preserve"> </w:t>
      </w:r>
      <w:r w:rsidR="00304F3B">
        <w:t xml:space="preserve">Six </w:t>
      </w:r>
      <w:r w:rsidRPr="004F2C4E">
        <w:t xml:space="preserve">DSS facility evaluation </w:t>
      </w:r>
      <w:r w:rsidR="009F0C80" w:rsidRPr="004F2C4E">
        <w:t>reports</w:t>
      </w:r>
      <w:r w:rsidR="009F0C80">
        <w:t xml:space="preserve"> from visits occurring during the class period </w:t>
      </w:r>
      <w:r w:rsidR="009D459D">
        <w:t xml:space="preserve">were admitted </w:t>
      </w:r>
      <w:r w:rsidRPr="004F2C4E">
        <w:t>into evidence</w:t>
      </w:r>
      <w:r w:rsidR="004315D0">
        <w:t>.</w:t>
      </w:r>
      <w:r w:rsidRPr="004F2C4E">
        <w:t xml:space="preserve">  </w:t>
      </w:r>
      <w:r w:rsidR="009E09CB">
        <w:t>Each</w:t>
      </w:r>
      <w:r w:rsidRPr="004F2C4E">
        <w:t xml:space="preserve"> report listed </w:t>
      </w:r>
      <w:r w:rsidR="009E09CB">
        <w:t xml:space="preserve">a </w:t>
      </w:r>
      <w:r w:rsidRPr="004F2C4E">
        <w:t>census count below the licensed capacity of 77.</w:t>
      </w:r>
      <w:r w:rsidR="007146AA">
        <w:t xml:space="preserve">  </w:t>
      </w:r>
      <w:r w:rsidR="007146AA" w:rsidRPr="00851CEE">
        <w:t xml:space="preserve">Rosenberg denied </w:t>
      </w:r>
      <w:r w:rsidR="008E5EEC" w:rsidRPr="00851CEE">
        <w:t xml:space="preserve">that Pacific Oaks ever </w:t>
      </w:r>
      <w:r w:rsidR="00B960B7" w:rsidRPr="00166B72">
        <w:t>provided care to more children</w:t>
      </w:r>
      <w:r w:rsidR="008E5EEC" w:rsidRPr="00851CEE">
        <w:t xml:space="preserve"> than the DSS license allowed during her tenure.</w:t>
      </w:r>
    </w:p>
    <w:p w14:paraId="4F61B37D" w14:textId="1DC2A16D" w:rsidR="00A044EA" w:rsidRDefault="003A0E16" w:rsidP="00166B72">
      <w:pPr>
        <w:ind w:firstLine="720"/>
        <w:contextualSpacing/>
      </w:pPr>
      <w:r>
        <w:t xml:space="preserve">The testimony of </w:t>
      </w:r>
      <w:r w:rsidR="00376B83" w:rsidRPr="004F2C4E">
        <w:t>Pat McComas,</w:t>
      </w:r>
      <w:r w:rsidR="003B0792" w:rsidRPr="004F2C4E">
        <w:t xml:space="preserve"> </w:t>
      </w:r>
      <w:r w:rsidR="00E22168" w:rsidRPr="004F2C4E">
        <w:t xml:space="preserve">the Executive Director of </w:t>
      </w:r>
      <w:r w:rsidR="00A152DC" w:rsidRPr="004F2C4E">
        <w:t xml:space="preserve">Pacific Oaks </w:t>
      </w:r>
      <w:r w:rsidR="00E22168" w:rsidRPr="004F2C4E">
        <w:t xml:space="preserve">from March </w:t>
      </w:r>
      <w:r w:rsidR="00A4373A" w:rsidRPr="004F2C4E">
        <w:t>201</w:t>
      </w:r>
      <w:r w:rsidR="00A4373A">
        <w:t>4</w:t>
      </w:r>
      <w:r w:rsidR="00A4373A" w:rsidRPr="004F2C4E">
        <w:t xml:space="preserve"> </w:t>
      </w:r>
      <w:r w:rsidR="00E22168" w:rsidRPr="004F2C4E">
        <w:t xml:space="preserve">to </w:t>
      </w:r>
      <w:r w:rsidR="00125463">
        <w:t>July</w:t>
      </w:r>
      <w:r w:rsidR="00125463" w:rsidRPr="004F2C4E">
        <w:t xml:space="preserve"> </w:t>
      </w:r>
      <w:r w:rsidR="00E22168" w:rsidRPr="004F2C4E">
        <w:t>2016,</w:t>
      </w:r>
      <w:r w:rsidR="00376B83" w:rsidRPr="004F2C4E">
        <w:t xml:space="preserve"> </w:t>
      </w:r>
      <w:r w:rsidR="00310502">
        <w:t xml:space="preserve">was more contradictory.  </w:t>
      </w:r>
      <w:r w:rsidR="00C037E4">
        <w:t xml:space="preserve">Plaintiffs offered McComas’s statements from an earlier deposition and declarations Pacific Oaks submitted in support of pre-trial motions.  </w:t>
      </w:r>
      <w:r w:rsidR="00F877B2">
        <w:t xml:space="preserve">When asked </w:t>
      </w:r>
      <w:r w:rsidR="00552204">
        <w:t xml:space="preserve">at her deposition </w:t>
      </w:r>
      <w:r w:rsidR="008D1F6E">
        <w:t xml:space="preserve">whether it was her understanding that when </w:t>
      </w:r>
      <w:r w:rsidR="00BA519F" w:rsidRPr="004F2C4E">
        <w:t>Pacific Oaks applied to increase its capacity from 77 to 140</w:t>
      </w:r>
      <w:r w:rsidR="00C24A55">
        <w:t>,</w:t>
      </w:r>
      <w:r w:rsidR="00BA519F" w:rsidRPr="004F2C4E">
        <w:t xml:space="preserve"> it “was aware that it needed to make that change to have its existing operation </w:t>
      </w:r>
      <w:r w:rsidR="00BA519F" w:rsidRPr="004F2C4E">
        <w:lastRenderedPageBreak/>
        <w:t>comply with DSS requirements</w:t>
      </w:r>
      <w:r w:rsidR="008D1F6E">
        <w:t>,” McComas answered, “I would assume so, yes.”</w:t>
      </w:r>
      <w:r w:rsidR="00BA519F" w:rsidRPr="004F2C4E">
        <w:t xml:space="preserve">  </w:t>
      </w:r>
      <w:r w:rsidR="004077C1">
        <w:t>However, w</w:t>
      </w:r>
      <w:r w:rsidR="00CE7F20">
        <w:t xml:space="preserve">hen </w:t>
      </w:r>
      <w:r w:rsidR="00F877B2">
        <w:t xml:space="preserve">describing </w:t>
      </w:r>
      <w:r w:rsidR="00CE7F20">
        <w:t>the license capacity limit</w:t>
      </w:r>
      <w:r w:rsidR="00F877B2">
        <w:t xml:space="preserve"> at her deposition</w:t>
      </w:r>
      <w:r w:rsidR="00CE7F20">
        <w:t xml:space="preserve">, </w:t>
      </w:r>
      <w:r w:rsidR="00A50726" w:rsidRPr="004F2C4E">
        <w:t>McComas testified, “</w:t>
      </w:r>
      <w:r w:rsidR="009675D0">
        <w:t>t</w:t>
      </w:r>
      <w:r w:rsidR="00A50726" w:rsidRPr="004F2C4E">
        <w:t xml:space="preserve">he 77 means at one time.  So that was the facility’s limit.  But there could be additional children there in the afternoon.”  When plaintiffs’ counsel asked McComas about aggregate enrollment numbers, McComas testified the numbers “would include our infant/toddler program, which is not included in our licensing.”  </w:t>
      </w:r>
      <w:r w:rsidR="004077C1">
        <w:t>She</w:t>
      </w:r>
      <w:r w:rsidR="004077C1" w:rsidRPr="004F2C4E">
        <w:t xml:space="preserve"> </w:t>
      </w:r>
      <w:r w:rsidR="00A50726" w:rsidRPr="004F2C4E">
        <w:t>also testified some students were “counted twice” in the aggregate number because “[t]here’s a morning program and there’s also an afternoon program called [School Age Child</w:t>
      </w:r>
      <w:r w:rsidR="00B0631F">
        <w:t xml:space="preserve"> C</w:t>
      </w:r>
      <w:r w:rsidR="00A50726" w:rsidRPr="004F2C4E">
        <w:t xml:space="preserve">are] . . . for an after-school care program.” </w:t>
      </w:r>
      <w:r w:rsidR="009346DA" w:rsidRPr="009346DA">
        <w:t xml:space="preserve"> </w:t>
      </w:r>
      <w:r w:rsidR="009346DA">
        <w:t>Yet, she appeared to concede that in August 2013, Pacific Oaks was operating “in excess of its capacity.”</w:t>
      </w:r>
    </w:p>
    <w:p w14:paraId="76815710" w14:textId="1D8901F2" w:rsidR="00D74170" w:rsidRDefault="003A0E16" w:rsidP="00166B72">
      <w:pPr>
        <w:ind w:firstLine="720"/>
        <w:contextualSpacing/>
      </w:pPr>
      <w:r>
        <w:t xml:space="preserve">In a 2016 declaration, </w:t>
      </w:r>
      <w:r w:rsidR="007A3641">
        <w:t xml:space="preserve">McComas </w:t>
      </w:r>
      <w:r w:rsidR="00BC1E81" w:rsidRPr="004F2C4E">
        <w:t xml:space="preserve">attested, “While it is true the school was (unintentionally) operating in excess of its capacity, there is no evidence that student safety and well-being was impacted.” </w:t>
      </w:r>
      <w:r w:rsidR="00B6417E" w:rsidRPr="004F2C4E">
        <w:t xml:space="preserve"> </w:t>
      </w:r>
      <w:r w:rsidR="00851CEE">
        <w:t xml:space="preserve">However, </w:t>
      </w:r>
      <w:r w:rsidR="00221EB0">
        <w:t>i</w:t>
      </w:r>
      <w:r>
        <w:t xml:space="preserve">n a 2020 declaration, McComas </w:t>
      </w:r>
      <w:r w:rsidR="00946501">
        <w:t>attested</w:t>
      </w:r>
      <w:r w:rsidR="00946501" w:rsidRPr="00946501">
        <w:t xml:space="preserve"> </w:t>
      </w:r>
      <w:r w:rsidR="00946501" w:rsidRPr="004F2C4E">
        <w:t>that the statement in her 2016 declaration about overcapacity was based on plaintiffs’ counsel’s instruction</w:t>
      </w:r>
      <w:r w:rsidR="001E767E">
        <w:t xml:space="preserve"> during her deposition</w:t>
      </w:r>
      <w:r w:rsidR="00946501" w:rsidRPr="004F2C4E">
        <w:t xml:space="preserve"> that “overcapacity” meant more students enrolled than stated on the school’s license and made no distinction between students enrolled and students in attendance. </w:t>
      </w:r>
      <w:r w:rsidR="00946501">
        <w:t xml:space="preserve"> </w:t>
      </w:r>
      <w:r w:rsidR="00221EB0">
        <w:t xml:space="preserve">McComas testified at trial that she was not sure if she “was referring to enrollment or attendance” in her 2016 declaration, but that </w:t>
      </w:r>
      <w:r w:rsidR="00C24A55">
        <w:t xml:space="preserve">between her deposition and her 2016 declaration </w:t>
      </w:r>
      <w:r w:rsidR="00221EB0">
        <w:t>nothing had changed her own understanding that “capacity” meant “at any one time</w:t>
      </w:r>
      <w:r w:rsidR="00C24A55">
        <w:t>.</w:t>
      </w:r>
      <w:r w:rsidR="00221EB0">
        <w:t>”</w:t>
      </w:r>
    </w:p>
    <w:p w14:paraId="6D7B3F29" w14:textId="7503B5DF" w:rsidR="00D40168" w:rsidRPr="004F2C4E" w:rsidRDefault="003A0E16" w:rsidP="00166B72">
      <w:pPr>
        <w:ind w:firstLine="720"/>
        <w:contextualSpacing/>
      </w:pPr>
      <w:r>
        <w:t>A</w:t>
      </w:r>
      <w:r w:rsidR="00BC1E81" w:rsidRPr="004F2C4E">
        <w:t xml:space="preserve">t trial, </w:t>
      </w:r>
      <w:r w:rsidR="0097532B" w:rsidRPr="004F2C4E">
        <w:t>McComas testified that</w:t>
      </w:r>
      <w:r w:rsidRPr="004F2C4E">
        <w:t xml:space="preserve"> during her deposition,</w:t>
      </w:r>
      <w:r w:rsidR="00701BFF" w:rsidRPr="004F2C4E">
        <w:t xml:space="preserve"> “it was not at all clear that we ha</w:t>
      </w:r>
      <w:r w:rsidR="0097532B" w:rsidRPr="004F2C4E">
        <w:t xml:space="preserve">[d] </w:t>
      </w:r>
      <w:r w:rsidR="00701BFF" w:rsidRPr="004F2C4E">
        <w:t xml:space="preserve">an agreed-upon definition of </w:t>
      </w:r>
      <w:r w:rsidR="00701BFF" w:rsidRPr="004F2C4E">
        <w:lastRenderedPageBreak/>
        <w:t xml:space="preserve">what we were using about capacity. </w:t>
      </w:r>
      <w:r w:rsidR="00B0631F">
        <w:t xml:space="preserve"> </w:t>
      </w:r>
      <w:r w:rsidR="00B70091">
        <w:t>[¶]</w:t>
      </w:r>
      <w:r w:rsidR="000D2217">
        <w:t xml:space="preserve"> </w:t>
      </w:r>
      <w:r w:rsidR="00701BFF" w:rsidRPr="004F2C4E">
        <w:t xml:space="preserve">I said what I thought.  You [Plaintiffs’ counsel] said what you thought, but we did not have a stated, shared, agreed-upon definition. </w:t>
      </w:r>
      <w:r w:rsidR="00B0631F">
        <w:t xml:space="preserve"> </w:t>
      </w:r>
      <w:r w:rsidR="00D65F86">
        <w:t>[¶]</w:t>
      </w:r>
      <w:r w:rsidR="000D2217">
        <w:t xml:space="preserve"> </w:t>
      </w:r>
      <w:r w:rsidR="00701BFF" w:rsidRPr="004F2C4E">
        <w:t xml:space="preserve">Sorry. </w:t>
      </w:r>
      <w:r w:rsidR="00B63459" w:rsidRPr="004F2C4E">
        <w:t xml:space="preserve"> </w:t>
      </w:r>
      <w:r w:rsidR="00701BFF" w:rsidRPr="004F2C4E">
        <w:t>So it was confusing to me, honestly.</w:t>
      </w:r>
      <w:r w:rsidR="00003FC4" w:rsidRPr="004F2C4E">
        <w:t xml:space="preserve">” </w:t>
      </w:r>
      <w:r w:rsidR="00BF5B6A" w:rsidRPr="004F2C4E">
        <w:t xml:space="preserve"> </w:t>
      </w:r>
      <w:r w:rsidR="00705100">
        <w:t xml:space="preserve">She indicated she </w:t>
      </w:r>
      <w:r w:rsidR="00705100" w:rsidRPr="004F2C4E">
        <w:t>did not review any attendance records before her deposition</w:t>
      </w:r>
      <w:r w:rsidR="00705100" w:rsidRPr="00BD59F9">
        <w:t xml:space="preserve"> </w:t>
      </w:r>
      <w:r w:rsidR="00705100">
        <w:t>and had not been asked to do so</w:t>
      </w:r>
      <w:r w:rsidR="00705100" w:rsidRPr="004F2C4E">
        <w:t xml:space="preserve">. </w:t>
      </w:r>
      <w:r w:rsidR="009F3308" w:rsidRPr="009F3308">
        <w:t xml:space="preserve"> </w:t>
      </w:r>
      <w:r w:rsidR="009F3308" w:rsidRPr="004F2C4E">
        <w:t xml:space="preserve">She also </w:t>
      </w:r>
      <w:r w:rsidR="00EE33B4">
        <w:t>reaf</w:t>
      </w:r>
      <w:r w:rsidR="009F3308" w:rsidRPr="004F2C4E">
        <w:t xml:space="preserve">firmed statements </w:t>
      </w:r>
      <w:r w:rsidR="00EE33B4">
        <w:t xml:space="preserve">from </w:t>
      </w:r>
      <w:r w:rsidR="009F3308" w:rsidRPr="004F2C4E">
        <w:t xml:space="preserve">her </w:t>
      </w:r>
      <w:r w:rsidR="00B91A29">
        <w:t xml:space="preserve">2020 </w:t>
      </w:r>
      <w:r w:rsidR="009F3308" w:rsidRPr="004F2C4E">
        <w:t>declaration that plaintiffs’ counsel did not ask her about attendance on any given day</w:t>
      </w:r>
      <w:r w:rsidR="00B91A29">
        <w:t xml:space="preserve"> during her deposition</w:t>
      </w:r>
      <w:r w:rsidR="009F3308" w:rsidRPr="004F2C4E">
        <w:t>.</w:t>
      </w:r>
    </w:p>
    <w:p w14:paraId="3AA52A08" w14:textId="6C40840A" w:rsidR="00ED6792" w:rsidRPr="004F2C4E" w:rsidRDefault="003A0E16" w:rsidP="009F3308">
      <w:pPr>
        <w:ind w:firstLine="720"/>
        <w:contextualSpacing/>
      </w:pPr>
      <w:r>
        <w:t>McComas</w:t>
      </w:r>
      <w:r w:rsidR="00815C9F">
        <w:t xml:space="preserve"> admitted she</w:t>
      </w:r>
      <w:r>
        <w:t xml:space="preserve"> did not become Executive Director until 2014</w:t>
      </w:r>
      <w:r w:rsidR="00EF3377">
        <w:t xml:space="preserve"> and </w:t>
      </w:r>
      <w:r w:rsidR="000E0EBB">
        <w:t xml:space="preserve">therefore </w:t>
      </w:r>
      <w:r w:rsidR="00EF3377">
        <w:t xml:space="preserve">had no personal knowledge of what had occurred at Pacific Oaks </w:t>
      </w:r>
      <w:r w:rsidR="004A0E5A">
        <w:t>between 2007 and 2013.</w:t>
      </w:r>
      <w:r w:rsidR="00596654">
        <w:t xml:space="preserve"> </w:t>
      </w:r>
      <w:r w:rsidR="00815C9F">
        <w:t xml:space="preserve"> </w:t>
      </w:r>
      <w:r w:rsidR="000E0EBB">
        <w:t>However, a</w:t>
      </w:r>
      <w:r w:rsidR="000E0EBB" w:rsidRPr="004F2C4E">
        <w:t xml:space="preserve">ccording to McComas, DSS </w:t>
      </w:r>
      <w:r w:rsidR="000E0EBB">
        <w:t>did</w:t>
      </w:r>
      <w:r w:rsidR="000E0EBB" w:rsidRPr="004F2C4E">
        <w:t xml:space="preserve"> not require Pacific Oaks to meet any conditions before it approved the increase in capacity in April 2014.</w:t>
      </w:r>
    </w:p>
    <w:p w14:paraId="1A63D377" w14:textId="43334512" w:rsidR="001D61EB" w:rsidRPr="004F2C4E" w:rsidRDefault="003A0E16" w:rsidP="00166B72">
      <w:pPr>
        <w:ind w:firstLine="720"/>
        <w:contextualSpacing/>
      </w:pPr>
      <w:r>
        <w:t xml:space="preserve">Plaintiffs asked the court </w:t>
      </w:r>
      <w:r w:rsidR="001834B8">
        <w:t>to admit sign</w:t>
      </w:r>
      <w:r w:rsidR="00FB27A2">
        <w:t>-</w:t>
      </w:r>
      <w:r w:rsidR="001834B8">
        <w:t xml:space="preserve">in sheets Pacific Oaks had located for </w:t>
      </w:r>
      <w:r w:rsidR="000E0EBB">
        <w:t xml:space="preserve">the </w:t>
      </w:r>
      <w:r w:rsidR="001834B8">
        <w:t>2009</w:t>
      </w:r>
      <w:r w:rsidR="00716F76">
        <w:t>–</w:t>
      </w:r>
      <w:r w:rsidR="001834B8">
        <w:t>2013</w:t>
      </w:r>
      <w:r w:rsidR="000E0EBB">
        <w:t xml:space="preserve"> school years</w:t>
      </w:r>
      <w:r w:rsidR="001834B8">
        <w:t>.</w:t>
      </w:r>
      <w:r w:rsidR="0017434C">
        <w:t xml:space="preserve"> </w:t>
      </w:r>
      <w:r w:rsidR="002749B1">
        <w:t xml:space="preserve"> </w:t>
      </w:r>
      <w:r w:rsidR="00051F3C">
        <w:t xml:space="preserve">Following briefing on the </w:t>
      </w:r>
      <w:r w:rsidR="00051F3C" w:rsidRPr="004F2C4E">
        <w:t xml:space="preserve">admissibility of the </w:t>
      </w:r>
      <w:r w:rsidR="00FB27A2">
        <w:t>documents</w:t>
      </w:r>
      <w:r w:rsidR="002749B1">
        <w:t>,</w:t>
      </w:r>
      <w:r w:rsidR="00781A64" w:rsidRPr="004F2C4E">
        <w:t xml:space="preserve"> </w:t>
      </w:r>
      <w:r w:rsidR="00295B90" w:rsidRPr="004F2C4E">
        <w:t>t</w:t>
      </w:r>
      <w:r w:rsidR="00853CF0" w:rsidRPr="004F2C4E">
        <w:t xml:space="preserve">he </w:t>
      </w:r>
      <w:r w:rsidR="0046793A">
        <w:t xml:space="preserve">trial </w:t>
      </w:r>
      <w:r w:rsidR="00853CF0" w:rsidRPr="004F2C4E">
        <w:t>court</w:t>
      </w:r>
      <w:r w:rsidR="005134BF">
        <w:t xml:space="preserve"> </w:t>
      </w:r>
      <w:r w:rsidR="00D33BB1" w:rsidRPr="004F2C4E">
        <w:t xml:space="preserve">found </w:t>
      </w:r>
      <w:r w:rsidR="00EC5BE9" w:rsidRPr="004F2C4E">
        <w:t xml:space="preserve">“the sign-in sheets admissible as party admissions as to the number of children expected in each program on the date specified on the sign in sheets.  The signatures and sign in/out times are not admissible.” </w:t>
      </w:r>
      <w:r w:rsidR="00F234BB" w:rsidRPr="004F2C4E">
        <w:t xml:space="preserve"> </w:t>
      </w:r>
      <w:r w:rsidR="0087638A">
        <w:t>The court</w:t>
      </w:r>
      <w:r w:rsidR="0087638A" w:rsidRPr="004F2C4E">
        <w:t xml:space="preserve"> </w:t>
      </w:r>
      <w:r w:rsidR="003F5D2A" w:rsidRPr="004F2C4E">
        <w:t xml:space="preserve">ordered </w:t>
      </w:r>
      <w:r w:rsidR="00136C28" w:rsidRPr="004F2C4E">
        <w:t xml:space="preserve">Pacific Oaks </w:t>
      </w:r>
      <w:r w:rsidR="003F5D2A" w:rsidRPr="004F2C4E">
        <w:t>to produce the records within five days of the order</w:t>
      </w:r>
      <w:r w:rsidR="00121D09" w:rsidRPr="004F2C4E">
        <w:t>.</w:t>
      </w:r>
      <w:r>
        <w:rPr>
          <w:rStyle w:val="FootnoteReference"/>
        </w:rPr>
        <w:footnoteReference w:id="10"/>
      </w:r>
    </w:p>
    <w:p w14:paraId="66378505" w14:textId="114B75B5" w:rsidR="004F5536" w:rsidRPr="004F2C4E" w:rsidRDefault="003A0E16" w:rsidP="00166B72">
      <w:pPr>
        <w:ind w:firstLine="720"/>
        <w:contextualSpacing/>
      </w:pPr>
      <w:r>
        <w:t>In</w:t>
      </w:r>
      <w:r w:rsidR="00B36300" w:rsidRPr="00166B72">
        <w:t xml:space="preserve"> June 2021</w:t>
      </w:r>
      <w:r w:rsidR="00FA38E3" w:rsidRPr="00166B72">
        <w:t xml:space="preserve">, </w:t>
      </w:r>
      <w:r w:rsidR="00B36300" w:rsidRPr="00166B72">
        <w:t>plaintiffs submitted their closing</w:t>
      </w:r>
      <w:r w:rsidR="00F04B52">
        <w:t xml:space="preserve"> trial</w:t>
      </w:r>
      <w:r w:rsidR="00B36300" w:rsidRPr="00166B72">
        <w:t xml:space="preserve"> brief</w:t>
      </w:r>
      <w:r w:rsidR="00616BAA">
        <w:t>,</w:t>
      </w:r>
      <w:r w:rsidR="00875E3D" w:rsidRPr="00166B72">
        <w:t xml:space="preserve"> </w:t>
      </w:r>
      <w:r w:rsidR="00616BAA">
        <w:t xml:space="preserve">which </w:t>
      </w:r>
      <w:r w:rsidR="00875E3D" w:rsidRPr="00166B72">
        <w:t xml:space="preserve">included </w:t>
      </w:r>
      <w:r w:rsidR="00E55708" w:rsidRPr="00166B72">
        <w:t xml:space="preserve">a declaration from </w:t>
      </w:r>
      <w:r w:rsidR="00875E3D" w:rsidRPr="00166B72">
        <w:t>plaintiffs’</w:t>
      </w:r>
      <w:r w:rsidR="00E55708" w:rsidRPr="00166B72">
        <w:t xml:space="preserve"> counsel, Allan A. </w:t>
      </w:r>
      <w:r w:rsidR="00E55708" w:rsidRPr="00166B72">
        <w:lastRenderedPageBreak/>
        <w:t xml:space="preserve">Shenoi (Shenoi Declaration).  Shenoi attested that </w:t>
      </w:r>
      <w:r w:rsidR="00AE791C">
        <w:t>e</w:t>
      </w:r>
      <w:r w:rsidR="00E55708" w:rsidRPr="00166B72">
        <w:t xml:space="preserve">xhibits A and B to the declaration “offer[ed] a general compilation of </w:t>
      </w:r>
      <w:r w:rsidR="00875E3D" w:rsidRPr="00166B72">
        <w:t xml:space="preserve">[the] </w:t>
      </w:r>
      <w:r w:rsidR="00E55708" w:rsidRPr="00166B72">
        <w:t xml:space="preserve">6,510” sign-in sheets </w:t>
      </w:r>
      <w:r w:rsidR="00875E3D" w:rsidRPr="00166B72">
        <w:t>Pacific</w:t>
      </w:r>
      <w:r w:rsidR="00D6150B" w:rsidRPr="00166B72">
        <w:t xml:space="preserve"> Oak</w:t>
      </w:r>
      <w:r w:rsidR="006C45AC">
        <w:t>s</w:t>
      </w:r>
      <w:r w:rsidR="00875E3D" w:rsidRPr="00166B72">
        <w:t xml:space="preserve"> produced</w:t>
      </w:r>
      <w:r w:rsidR="00E55708" w:rsidRPr="00166B72">
        <w:t xml:space="preserve">.  </w:t>
      </w:r>
      <w:r w:rsidR="008E7A14" w:rsidRPr="00166B72">
        <w:t xml:space="preserve">The </w:t>
      </w:r>
      <w:r w:rsidR="002A64EC" w:rsidRPr="00166B72">
        <w:t>compilation</w:t>
      </w:r>
      <w:r w:rsidR="001E5762">
        <w:t>s</w:t>
      </w:r>
      <w:r w:rsidR="002A64EC" w:rsidRPr="00166B72">
        <w:t xml:space="preserve"> consist</w:t>
      </w:r>
      <w:r w:rsidR="001E5762">
        <w:t>ed</w:t>
      </w:r>
      <w:r w:rsidR="002A64EC" w:rsidRPr="00166B72">
        <w:t xml:space="preserve"> of </w:t>
      </w:r>
      <w:r w:rsidR="008E7A14" w:rsidRPr="00166B72">
        <w:t xml:space="preserve">charts noting the number of students listed on each sign-in sheet </w:t>
      </w:r>
      <w:r w:rsidR="00B72170">
        <w:t>by</w:t>
      </w:r>
      <w:r w:rsidR="008E7A14" w:rsidRPr="00166B72">
        <w:t xml:space="preserve"> hour for each </w:t>
      </w:r>
      <w:r w:rsidR="00D6150B" w:rsidRPr="00166B72">
        <w:t>Pacific Oaks</w:t>
      </w:r>
      <w:r w:rsidR="00371218">
        <w:t xml:space="preserve"> preschool</w:t>
      </w:r>
      <w:r w:rsidR="00D6150B" w:rsidRPr="00166B72">
        <w:t xml:space="preserve"> </w:t>
      </w:r>
      <w:r w:rsidR="008E7A14" w:rsidRPr="00166B72">
        <w:t xml:space="preserve">program. </w:t>
      </w:r>
      <w:r w:rsidR="002A64EC" w:rsidRPr="004F2C4E">
        <w:t xml:space="preserve"> </w:t>
      </w:r>
      <w:r w:rsidR="006819BD">
        <w:t xml:space="preserve">Pacific Oaks </w:t>
      </w:r>
      <w:r w:rsidR="00B40027" w:rsidRPr="004F2C4E">
        <w:t xml:space="preserve">moved to exclude the Shenoi Declaration. </w:t>
      </w:r>
      <w:r w:rsidR="00833662" w:rsidRPr="004F2C4E">
        <w:t xml:space="preserve"> In August 2021, the court </w:t>
      </w:r>
      <w:r w:rsidR="006C3814" w:rsidRPr="004F2C4E">
        <w:t xml:space="preserve">granted </w:t>
      </w:r>
      <w:r w:rsidR="009149FF">
        <w:t>Pacific Oaks’s</w:t>
      </w:r>
      <w:r w:rsidR="009149FF" w:rsidRPr="004F2C4E">
        <w:t xml:space="preserve"> </w:t>
      </w:r>
      <w:r w:rsidR="006C3814" w:rsidRPr="004F2C4E">
        <w:t>motion, finding: 1)</w:t>
      </w:r>
      <w:r w:rsidR="00EA6DCC">
        <w:t> </w:t>
      </w:r>
      <w:r w:rsidR="006C3814" w:rsidRPr="004F2C4E">
        <w:t>the declaration was hearsay without exception, and therefore not admissible under the secondary evidence rule; 2)</w:t>
      </w:r>
      <w:r w:rsidR="00EA6DCC">
        <w:t> </w:t>
      </w:r>
      <w:r w:rsidR="006C3814" w:rsidRPr="004F2C4E">
        <w:t>Shenoi was acting as an advocate</w:t>
      </w:r>
      <w:r w:rsidR="002749B1">
        <w:t>-</w:t>
      </w:r>
      <w:r w:rsidR="006C3814" w:rsidRPr="004F2C4E">
        <w:t>witness through the declaration, in violation of the rules of professional conduct; and 3)</w:t>
      </w:r>
      <w:r w:rsidR="00EA6DCC">
        <w:t> </w:t>
      </w:r>
      <w:r w:rsidR="006C3814" w:rsidRPr="004F2C4E">
        <w:t xml:space="preserve">the declaration was </w:t>
      </w:r>
      <w:r w:rsidR="00371218">
        <w:t xml:space="preserve">untimely </w:t>
      </w:r>
      <w:r w:rsidR="006C3814" w:rsidRPr="004F2C4E">
        <w:t>offered after the close of evidence</w:t>
      </w:r>
      <w:r w:rsidR="00833662" w:rsidRPr="004F2C4E">
        <w:t>.</w:t>
      </w:r>
    </w:p>
    <w:p w14:paraId="72468AA4" w14:textId="16554A94" w:rsidR="004F5536" w:rsidRPr="004F2C4E" w:rsidRDefault="003A0E16" w:rsidP="006F503E">
      <w:pPr>
        <w:contextualSpacing/>
        <w:rPr>
          <w:b/>
          <w:i/>
        </w:rPr>
      </w:pPr>
      <w:r w:rsidRPr="004F2C4E">
        <w:rPr>
          <w:b/>
          <w:i/>
        </w:rPr>
        <w:t>Statement of Decision</w:t>
      </w:r>
    </w:p>
    <w:p w14:paraId="17719193" w14:textId="620C0BB3" w:rsidR="00386244" w:rsidRDefault="003A0E16" w:rsidP="00166B72">
      <w:pPr>
        <w:ind w:firstLine="720"/>
        <w:contextualSpacing/>
      </w:pPr>
      <w:r w:rsidRPr="004F2C4E">
        <w:t xml:space="preserve">In April 2022, </w:t>
      </w:r>
      <w:r w:rsidR="002B727C">
        <w:t xml:space="preserve">following the issuance of a proposed statement of decision and </w:t>
      </w:r>
      <w:r w:rsidR="009149FF">
        <w:t xml:space="preserve">submission of the </w:t>
      </w:r>
      <w:r w:rsidR="002B727C">
        <w:t>parties</w:t>
      </w:r>
      <w:r>
        <w:t>’</w:t>
      </w:r>
      <w:r w:rsidR="002B727C">
        <w:t xml:space="preserve"> objections</w:t>
      </w:r>
      <w:r w:rsidR="00503097">
        <w:t xml:space="preserve">, </w:t>
      </w:r>
      <w:r w:rsidRPr="004F2C4E">
        <w:t>the trial cou</w:t>
      </w:r>
      <w:r w:rsidR="00CB523B" w:rsidRPr="004F2C4E">
        <w:t xml:space="preserve">rt issued </w:t>
      </w:r>
      <w:r w:rsidRPr="004F2C4E">
        <w:t xml:space="preserve">its </w:t>
      </w:r>
      <w:r w:rsidR="00BD47F6">
        <w:t xml:space="preserve">final </w:t>
      </w:r>
      <w:r w:rsidR="00CB523B" w:rsidRPr="004F2C4E">
        <w:t>statement of decision</w:t>
      </w:r>
      <w:r w:rsidR="00503097">
        <w:t>.</w:t>
      </w:r>
      <w:r w:rsidR="00B457D6" w:rsidRPr="004F2C4E">
        <w:t xml:space="preserve"> </w:t>
      </w:r>
      <w:r w:rsidR="00503097">
        <w:t xml:space="preserve"> The court found</w:t>
      </w:r>
      <w:r w:rsidR="00503097" w:rsidRPr="004F2C4E">
        <w:t xml:space="preserve"> </w:t>
      </w:r>
      <w:r w:rsidR="00B457D6" w:rsidRPr="004F2C4E">
        <w:t xml:space="preserve">plaintiffs </w:t>
      </w:r>
      <w:r w:rsidR="00BD47F6">
        <w:t xml:space="preserve">failed to prove </w:t>
      </w:r>
      <w:r w:rsidR="00EA0823" w:rsidRPr="004F2C4E">
        <w:t>their</w:t>
      </w:r>
      <w:r w:rsidR="00B457D6" w:rsidRPr="004F2C4E">
        <w:t xml:space="preserve"> UCL class claim</w:t>
      </w:r>
      <w:r w:rsidRPr="004F2C4E">
        <w:t>.</w:t>
      </w:r>
    </w:p>
    <w:p w14:paraId="3C82E006" w14:textId="15BBC3F9" w:rsidR="00287EB5" w:rsidRPr="004F2C4E" w:rsidRDefault="003A0E16" w:rsidP="00166B72">
      <w:pPr>
        <w:ind w:firstLine="720"/>
        <w:contextualSpacing/>
      </w:pPr>
      <w:r w:rsidRPr="004F2C4E">
        <w:t xml:space="preserve">The court </w:t>
      </w:r>
      <w:r w:rsidR="00BD47F6">
        <w:t>rejected</w:t>
      </w:r>
      <w:r w:rsidR="00BD47F6" w:rsidRPr="004F2C4E">
        <w:t xml:space="preserve"> </w:t>
      </w:r>
      <w:r w:rsidRPr="004F2C4E">
        <w:t xml:space="preserve">plaintiffs’ </w:t>
      </w:r>
      <w:r w:rsidR="00AB29BB" w:rsidRPr="004F2C4E">
        <w:t xml:space="preserve">objection to </w:t>
      </w:r>
      <w:r w:rsidR="007F5947" w:rsidRPr="004F2C4E">
        <w:t xml:space="preserve">the </w:t>
      </w:r>
      <w:r w:rsidR="00DE6B69" w:rsidRPr="004F2C4E">
        <w:t xml:space="preserve">exclusion of </w:t>
      </w:r>
      <w:r w:rsidR="00264001" w:rsidRPr="004F2C4E">
        <w:t xml:space="preserve">the </w:t>
      </w:r>
      <w:r w:rsidR="00AA5FF1">
        <w:t>i</w:t>
      </w:r>
      <w:r w:rsidR="00264001" w:rsidRPr="004F2C4E">
        <w:t>nfant/</w:t>
      </w:r>
      <w:r w:rsidR="00AA5FF1">
        <w:t>t</w:t>
      </w:r>
      <w:r w:rsidR="00264001" w:rsidRPr="004F2C4E">
        <w:t xml:space="preserve">oddler </w:t>
      </w:r>
      <w:r w:rsidR="00AA5FF1">
        <w:t>p</w:t>
      </w:r>
      <w:r w:rsidR="00264001" w:rsidRPr="004F2C4E">
        <w:t xml:space="preserve">rogram and the </w:t>
      </w:r>
      <w:r w:rsidR="001731CB">
        <w:t>s</w:t>
      </w:r>
      <w:r w:rsidR="00264001" w:rsidRPr="004F2C4E">
        <w:t xml:space="preserve">chool </w:t>
      </w:r>
      <w:r w:rsidR="001731CB">
        <w:t>a</w:t>
      </w:r>
      <w:r w:rsidR="00264001" w:rsidRPr="004F2C4E">
        <w:t xml:space="preserve">ge </w:t>
      </w:r>
      <w:r w:rsidR="001731CB">
        <w:t>p</w:t>
      </w:r>
      <w:r w:rsidR="00264001" w:rsidRPr="004F2C4E">
        <w:t>rogram</w:t>
      </w:r>
      <w:r w:rsidR="007F5947" w:rsidRPr="004F2C4E">
        <w:t xml:space="preserve"> from the class</w:t>
      </w:r>
      <w:r w:rsidR="00BB044E">
        <w:t xml:space="preserve"> and denied plaintiffs’ request </w:t>
      </w:r>
      <w:r w:rsidR="00616BAA">
        <w:t>for</w:t>
      </w:r>
      <w:r w:rsidR="00BB044E">
        <w:t xml:space="preserve"> reinstate</w:t>
      </w:r>
      <w:r w:rsidR="00616BAA">
        <w:t>ment of</w:t>
      </w:r>
      <w:r w:rsidR="00BB044E">
        <w:t xml:space="preserve"> the prior class definition</w:t>
      </w:r>
      <w:r w:rsidR="00264001" w:rsidRPr="004F2C4E">
        <w:t xml:space="preserve">.  </w:t>
      </w:r>
      <w:r w:rsidR="005379C7" w:rsidRPr="004F2C4E">
        <w:t xml:space="preserve">The court </w:t>
      </w:r>
      <w:r w:rsidR="00D451B8">
        <w:t>reasoned</w:t>
      </w:r>
      <w:r w:rsidR="005379C7" w:rsidRPr="004F2C4E">
        <w:t xml:space="preserve"> that </w:t>
      </w:r>
      <w:r w:rsidR="007F5947" w:rsidRPr="004F2C4E">
        <w:t>redefining the class after trial</w:t>
      </w:r>
      <w:r w:rsidR="005379C7" w:rsidRPr="004F2C4E">
        <w:t xml:space="preserve"> would violate </w:t>
      </w:r>
      <w:r w:rsidR="00441935">
        <w:t xml:space="preserve">absent class members’ </w:t>
      </w:r>
      <w:r w:rsidR="005379C7" w:rsidRPr="004F2C4E">
        <w:t>procedural and substantive due process</w:t>
      </w:r>
      <w:r w:rsidR="00616BAA">
        <w:t xml:space="preserve"> rights</w:t>
      </w:r>
      <w:r w:rsidR="00FA7EBA">
        <w:t xml:space="preserve">.  The court further concluded neither </w:t>
      </w:r>
      <w:r w:rsidR="00616BAA">
        <w:t xml:space="preserve">excluded </w:t>
      </w:r>
      <w:r w:rsidR="00FA7EBA">
        <w:t>program was subject to the same licensing requirements as the preschool programs.</w:t>
      </w:r>
    </w:p>
    <w:p w14:paraId="576E7D76" w14:textId="61BA3542" w:rsidR="00CA6FC6" w:rsidRPr="004F2C4E" w:rsidRDefault="003A0E16" w:rsidP="00166B72">
      <w:pPr>
        <w:ind w:firstLine="720"/>
        <w:contextualSpacing/>
      </w:pPr>
      <w:r>
        <w:t>In their closing brief, p</w:t>
      </w:r>
      <w:r w:rsidRPr="00166B72">
        <w:t xml:space="preserve">laintiffs </w:t>
      </w:r>
      <w:r w:rsidR="001033FA" w:rsidRPr="00166B72">
        <w:t xml:space="preserve">asked the court to </w:t>
      </w:r>
      <w:r>
        <w:t xml:space="preserve">draw </w:t>
      </w:r>
      <w:r w:rsidR="005A6CC8">
        <w:t>a negative inference against</w:t>
      </w:r>
      <w:r w:rsidR="005D4957">
        <w:t xml:space="preserve"> Pacific Oaks </w:t>
      </w:r>
      <w:r>
        <w:t>based on</w:t>
      </w:r>
      <w:r w:rsidRPr="00166B72">
        <w:t xml:space="preserve"> </w:t>
      </w:r>
      <w:r w:rsidR="003A78AB" w:rsidRPr="00D56B7D">
        <w:t>it</w:t>
      </w:r>
      <w:r>
        <w:t>s</w:t>
      </w:r>
      <w:r w:rsidRPr="00166B72">
        <w:t xml:space="preserve"> </w:t>
      </w:r>
      <w:r w:rsidR="00662E0F">
        <w:t>failure</w:t>
      </w:r>
      <w:r w:rsidR="00662E0F" w:rsidRPr="00166B72">
        <w:t xml:space="preserve"> </w:t>
      </w:r>
      <w:r w:rsidRPr="00166B72">
        <w:t>to produce rosters</w:t>
      </w:r>
      <w:r w:rsidR="0058005D" w:rsidRPr="00166B72">
        <w:t xml:space="preserve"> </w:t>
      </w:r>
      <w:r w:rsidR="00D451B8">
        <w:t>kept pursuant to</w:t>
      </w:r>
      <w:r w:rsidR="0058005D" w:rsidRPr="00166B72">
        <w:t xml:space="preserve"> Health and Safety Code</w:t>
      </w:r>
      <w:r w:rsidR="00FE1D84">
        <w:t xml:space="preserve"> </w:t>
      </w:r>
      <w:r w:rsidR="00FE1D84">
        <w:lastRenderedPageBreak/>
        <w:t>section</w:t>
      </w:r>
      <w:r w:rsidR="00EA6DCC">
        <w:t> </w:t>
      </w:r>
      <w:r w:rsidR="0058005D" w:rsidRPr="00166B72">
        <w:t>1596.841</w:t>
      </w:r>
      <w:r w:rsidRPr="00166B72">
        <w:t>.</w:t>
      </w:r>
      <w:r>
        <w:rPr>
          <w:rStyle w:val="FootnoteReference"/>
        </w:rPr>
        <w:footnoteReference w:id="11"/>
      </w:r>
      <w:r w:rsidRPr="00166B72">
        <w:t xml:space="preserve">  The court </w:t>
      </w:r>
      <w:r w:rsidR="003A78AB">
        <w:t>denied the request</w:t>
      </w:r>
      <w:r w:rsidR="00662E0F">
        <w:t>.</w:t>
      </w:r>
      <w:r w:rsidR="003A78AB">
        <w:t xml:space="preserve"> </w:t>
      </w:r>
      <w:r w:rsidR="007802D0">
        <w:t xml:space="preserve"> Although Pacific Oaks had not produced the rosters, the court concluded no adverse inference was appropriate </w:t>
      </w:r>
      <w:r w:rsidR="00B02009">
        <w:t>since, as defined by statute</w:t>
      </w:r>
      <w:r w:rsidR="007C4937">
        <w:t>,</w:t>
      </w:r>
      <w:r w:rsidR="00B02009">
        <w:t xml:space="preserve"> the </w:t>
      </w:r>
      <w:r w:rsidRPr="00166B72">
        <w:t>rosters would not contain “the kind of information that would assist Plaintiffs in establishing their claims.”</w:t>
      </w:r>
    </w:p>
    <w:p w14:paraId="4744B9F6" w14:textId="58BF2147" w:rsidR="004467C5" w:rsidRPr="004F2C4E" w:rsidRDefault="003A0E16" w:rsidP="00166B72">
      <w:pPr>
        <w:ind w:firstLine="720"/>
        <w:contextualSpacing/>
      </w:pPr>
      <w:r w:rsidRPr="004F2C4E">
        <w:t>The trial court</w:t>
      </w:r>
      <w:r w:rsidR="00426826" w:rsidRPr="004F2C4E">
        <w:t xml:space="preserve"> again</w:t>
      </w:r>
      <w:r w:rsidRPr="004F2C4E">
        <w:t xml:space="preserve"> rejected plaintiffs’ argument that capacity was synonymous with enrollment</w:t>
      </w:r>
      <w:r w:rsidR="00EF2BFC">
        <w:t xml:space="preserve">.  Instead, the court concluded, as it had in ruling </w:t>
      </w:r>
      <w:r w:rsidR="004A2F15">
        <w:t xml:space="preserve">on </w:t>
      </w:r>
      <w:r w:rsidR="00E34367">
        <w:t>plaintiffs’</w:t>
      </w:r>
      <w:r w:rsidR="004A2F15">
        <w:t xml:space="preserve"> motion for summary adjudication, that </w:t>
      </w:r>
      <w:r w:rsidR="00412329">
        <w:t>capacity “speaks to the number of children that may attend at a given time</w:t>
      </w:r>
      <w:r w:rsidR="00202682">
        <w:t xml:space="preserve">.” </w:t>
      </w:r>
      <w:r w:rsidRPr="004F2C4E">
        <w:t xml:space="preserve"> The </w:t>
      </w:r>
      <w:r w:rsidR="005E1F44">
        <w:t xml:space="preserve">statement of decision </w:t>
      </w:r>
      <w:r w:rsidR="00DE0E5E">
        <w:t xml:space="preserve">then </w:t>
      </w:r>
      <w:r w:rsidR="005E1F44">
        <w:t>addressed each aspect of plaintiffs’ evidence</w:t>
      </w:r>
      <w:r w:rsidR="00DE0E5E">
        <w:t xml:space="preserve"> and concluded </w:t>
      </w:r>
      <w:r w:rsidR="00616BAA">
        <w:t xml:space="preserve">they </w:t>
      </w:r>
      <w:r w:rsidR="00DE0E5E">
        <w:t xml:space="preserve">failed to establish </w:t>
      </w:r>
      <w:r w:rsidR="00835E66">
        <w:t>their “children (or any others) attended a particular program which was at overcapacity when the children were in that particular program</w:t>
      </w:r>
      <w:r w:rsidR="005E1F44">
        <w:t>.</w:t>
      </w:r>
      <w:r w:rsidR="00835E66">
        <w:t>”</w:t>
      </w:r>
    </w:p>
    <w:p w14:paraId="7C559064" w14:textId="44B49DD5" w:rsidR="009B6848" w:rsidRPr="004F2C4E" w:rsidRDefault="003A0E16" w:rsidP="00166B72">
      <w:pPr>
        <w:ind w:firstLine="720"/>
        <w:contextualSpacing/>
      </w:pPr>
      <w:r>
        <w:t xml:space="preserve">The court noted </w:t>
      </w:r>
      <w:r w:rsidRPr="004F2C4E">
        <w:t>McComas’s deposition testimony defin</w:t>
      </w:r>
      <w:r w:rsidR="00DD395C">
        <w:t>ed</w:t>
      </w:r>
      <w:r w:rsidRPr="004F2C4E">
        <w:t xml:space="preserve"> capacity by the number of children present at the facility “</w:t>
      </w:r>
      <w:r w:rsidR="00631BB0">
        <w:t xml:space="preserve"> ‘</w:t>
      </w:r>
      <w:r w:rsidRPr="004F2C4E">
        <w:t>at one time.</w:t>
      </w:r>
      <w:r w:rsidR="00631BB0">
        <w:t xml:space="preserve">’ </w:t>
      </w:r>
      <w:r w:rsidRPr="004F2C4E">
        <w:t xml:space="preserve">” </w:t>
      </w:r>
      <w:r w:rsidR="00A54F3A" w:rsidRPr="004F2C4E">
        <w:t xml:space="preserve"> </w:t>
      </w:r>
      <w:r w:rsidRPr="004F2C4E">
        <w:t xml:space="preserve">It also found credible McComas’s </w:t>
      </w:r>
      <w:r w:rsidR="00DD395C">
        <w:t xml:space="preserve">trial </w:t>
      </w:r>
      <w:r w:rsidRPr="004F2C4E">
        <w:t xml:space="preserve">testimony that she and plaintiffs’ counsel did not have a common understanding </w:t>
      </w:r>
      <w:r w:rsidR="00490427">
        <w:t>of the term</w:t>
      </w:r>
      <w:r w:rsidR="00490427" w:rsidRPr="004F2C4E">
        <w:t xml:space="preserve"> </w:t>
      </w:r>
      <w:r w:rsidR="00490427">
        <w:t>“</w:t>
      </w:r>
      <w:r w:rsidRPr="004F2C4E">
        <w:t>capacity</w:t>
      </w:r>
      <w:r w:rsidR="00490427">
        <w:t>”</w:t>
      </w:r>
      <w:r w:rsidRPr="004F2C4E">
        <w:t xml:space="preserve"> during her deposition.  It afforded little weight to McComas’s statement in her 2016 declaration </w:t>
      </w:r>
      <w:r w:rsidR="002548A3">
        <w:t xml:space="preserve">that </w:t>
      </w:r>
      <w:r w:rsidR="008B358C">
        <w:t xml:space="preserve">the school was operating </w:t>
      </w:r>
      <w:r w:rsidR="00A0642D">
        <w:t xml:space="preserve">over the capacity limit.  The court </w:t>
      </w:r>
      <w:r w:rsidR="00B146B4">
        <w:t xml:space="preserve">reasoned </w:t>
      </w:r>
      <w:r w:rsidRPr="004F2C4E">
        <w:t xml:space="preserve">McComas had no personal knowledge of events at </w:t>
      </w:r>
      <w:r w:rsidR="002548A3" w:rsidRPr="004F2C4E">
        <w:t>P</w:t>
      </w:r>
      <w:r w:rsidR="002548A3">
        <w:t>acific Oaks</w:t>
      </w:r>
      <w:r w:rsidR="002548A3" w:rsidRPr="004F2C4E">
        <w:t xml:space="preserve"> </w:t>
      </w:r>
      <w:r w:rsidRPr="004F2C4E">
        <w:t xml:space="preserve">before she became Executive Director in </w:t>
      </w:r>
      <w:r w:rsidRPr="00FD0000">
        <w:t>2014</w:t>
      </w:r>
      <w:r w:rsidRPr="004F2C4E">
        <w:t xml:space="preserve"> and </w:t>
      </w:r>
      <w:r w:rsidR="002548A3">
        <w:t xml:space="preserve">she </w:t>
      </w:r>
      <w:r w:rsidRPr="004F2C4E">
        <w:t xml:space="preserve">did not </w:t>
      </w:r>
      <w:r w:rsidRPr="004F2C4E">
        <w:lastRenderedPageBreak/>
        <w:t>review any attendance records before attesting the school was overcapacity.</w:t>
      </w:r>
    </w:p>
    <w:p w14:paraId="3771B196" w14:textId="1921486D" w:rsidR="005356B9" w:rsidRPr="004F2C4E" w:rsidRDefault="003A0E16" w:rsidP="00166B72">
      <w:pPr>
        <w:ind w:firstLine="720"/>
        <w:contextualSpacing/>
      </w:pPr>
      <w:r w:rsidRPr="004F2C4E">
        <w:t xml:space="preserve">The trial court </w:t>
      </w:r>
      <w:r w:rsidR="002937BC" w:rsidRPr="004F2C4E">
        <w:t xml:space="preserve">also </w:t>
      </w:r>
      <w:r w:rsidR="00B72C20">
        <w:t xml:space="preserve">concluded plaintiffs did not establish that </w:t>
      </w:r>
      <w:r w:rsidR="00BE1332">
        <w:t xml:space="preserve">Rosenberg </w:t>
      </w:r>
      <w:r w:rsidR="00B72C20">
        <w:t xml:space="preserve">had knowledge </w:t>
      </w:r>
      <w:r w:rsidR="00A92F50">
        <w:t xml:space="preserve">of any capacity violation </w:t>
      </w:r>
      <w:r w:rsidR="00616BAA">
        <w:t>during her tenure</w:t>
      </w:r>
      <w:r w:rsidR="00A92F50">
        <w:t xml:space="preserve">.  The court </w:t>
      </w:r>
      <w:r w:rsidR="001E0D36">
        <w:t>found</w:t>
      </w:r>
      <w:r w:rsidRPr="004F2C4E">
        <w:t xml:space="preserve"> Tambe’s August 2013 </w:t>
      </w:r>
      <w:r w:rsidR="005F4F8F">
        <w:t>e-mail</w:t>
      </w:r>
      <w:r w:rsidR="005F4F8F" w:rsidRPr="004F2C4E">
        <w:t xml:space="preserve"> </w:t>
      </w:r>
      <w:r w:rsidRPr="004F2C4E">
        <w:t xml:space="preserve">was admissible as “an admission by </w:t>
      </w:r>
      <w:r w:rsidR="004F35C8">
        <w:t xml:space="preserve">Pacific Oaks </w:t>
      </w:r>
      <w:r w:rsidRPr="004F2C4E">
        <w:t xml:space="preserve">as to what parents were told,” but excluded as inadmissible hearsay the </w:t>
      </w:r>
      <w:r w:rsidR="004F35C8">
        <w:t>e-mail’s</w:t>
      </w:r>
      <w:r w:rsidR="004F35C8" w:rsidRPr="004F2C4E">
        <w:t xml:space="preserve"> </w:t>
      </w:r>
      <w:r w:rsidRPr="004F2C4E">
        <w:t xml:space="preserve">statement that </w:t>
      </w:r>
      <w:r w:rsidR="003342BF" w:rsidRPr="004F2C4E">
        <w:t>DSS</w:t>
      </w:r>
      <w:r w:rsidRPr="004F2C4E">
        <w:t xml:space="preserve"> told “an unidentified member” of the administration about the licensing issue. </w:t>
      </w:r>
      <w:r w:rsidR="00026535" w:rsidRPr="004F2C4E">
        <w:t xml:space="preserve"> </w:t>
      </w:r>
      <w:r w:rsidR="007433FB" w:rsidRPr="004F2C4E">
        <w:t xml:space="preserve">The </w:t>
      </w:r>
      <w:r w:rsidR="002937BC" w:rsidRPr="004F2C4E">
        <w:t xml:space="preserve">trial court </w:t>
      </w:r>
      <w:r w:rsidR="00603E62" w:rsidRPr="004F2C4E">
        <w:t>noted</w:t>
      </w:r>
      <w:r w:rsidR="002937BC" w:rsidRPr="004F2C4E">
        <w:t xml:space="preserve"> that “[a]lthough Tambe appeared on Plaintiffs’ witness list, she was not called by Plaintiffs at trial nor was any deposition testimony from her provided.  Likewise, no witness from DSS was called.  Although DSS’s records were subpoenaed there is no indication that DSS cited </w:t>
      </w:r>
      <w:r w:rsidR="00271CE0" w:rsidRPr="004F2C4E">
        <w:t>P</w:t>
      </w:r>
      <w:r w:rsidR="00724A9F">
        <w:t>acific Oaks</w:t>
      </w:r>
      <w:r w:rsidR="002937BC" w:rsidRPr="004F2C4E">
        <w:t xml:space="preserve"> for a violation of its capacity license, sought to revoke its license, refe</w:t>
      </w:r>
      <w:r w:rsidR="00B25C1B" w:rsidRPr="004F2C4E">
        <w:t>rr</w:t>
      </w:r>
      <w:r w:rsidR="002937BC" w:rsidRPr="004F2C4E">
        <w:t>ed it to either civil or criminal authorities, or</w:t>
      </w:r>
      <w:r w:rsidR="00B25C1B" w:rsidRPr="004F2C4E">
        <w:t xml:space="preserve"> </w:t>
      </w:r>
      <w:r w:rsidR="002937BC" w:rsidRPr="004F2C4E">
        <w:t>imposed any civil penalty upon it.</w:t>
      </w:r>
      <w:r w:rsidR="00B25C1B" w:rsidRPr="004F2C4E">
        <w:t>”</w:t>
      </w:r>
    </w:p>
    <w:p w14:paraId="437A2BB4" w14:textId="4E6E740D" w:rsidR="00103246" w:rsidRDefault="003A0E16" w:rsidP="00166B72">
      <w:pPr>
        <w:ind w:firstLine="720"/>
        <w:contextualSpacing/>
      </w:pPr>
      <w:r>
        <w:t xml:space="preserve">As for the sign-in sheets, the </w:t>
      </w:r>
      <w:r w:rsidRPr="004F2C4E">
        <w:t xml:space="preserve">court reiterated that plaintiffs’ summaries </w:t>
      </w:r>
      <w:r w:rsidR="00BB1D54">
        <w:t xml:space="preserve">attached to the Shenoi Declaration </w:t>
      </w:r>
      <w:r w:rsidRPr="004F2C4E">
        <w:t xml:space="preserve">were “based on a methodology that is not set forth in the record and [on] testimony that was excluded.” </w:t>
      </w:r>
      <w:r>
        <w:t xml:space="preserve"> </w:t>
      </w:r>
      <w:r w:rsidR="00C9624A">
        <w:t xml:space="preserve">The court noted </w:t>
      </w:r>
      <w:r w:rsidR="002E3180">
        <w:t>the sign-in sheets for the 2009</w:t>
      </w:r>
      <w:r w:rsidR="00716F76">
        <w:t>–</w:t>
      </w:r>
      <w:r w:rsidR="002E3180">
        <w:t xml:space="preserve">2010 school year appeared to </w:t>
      </w:r>
      <w:r w:rsidR="00182461">
        <w:t xml:space="preserve">indicate that </w:t>
      </w:r>
      <w:r w:rsidR="00616BAA">
        <w:t>over</w:t>
      </w:r>
      <w:r w:rsidR="00644603">
        <w:t xml:space="preserve"> 77 children were expected to attend</w:t>
      </w:r>
      <w:r w:rsidR="00EA158F">
        <w:t xml:space="preserve"> </w:t>
      </w:r>
      <w:r w:rsidR="00BC0F21">
        <w:t>the morning program</w:t>
      </w:r>
      <w:r w:rsidR="002A525D">
        <w:t>s</w:t>
      </w:r>
      <w:r w:rsidR="00BC0F21">
        <w:t xml:space="preserve"> </w:t>
      </w:r>
      <w:r w:rsidR="003F35BB">
        <w:t>during that year</w:t>
      </w:r>
      <w:r w:rsidR="00EA158F">
        <w:t>.</w:t>
      </w:r>
      <w:r w:rsidR="00811091">
        <w:t xml:space="preserve">  </w:t>
      </w:r>
      <w:r w:rsidR="00F5668D">
        <w:t xml:space="preserve">The court indicated </w:t>
      </w:r>
      <w:r w:rsidR="00725181">
        <w:t xml:space="preserve">this </w:t>
      </w:r>
      <w:r w:rsidR="00FE7629">
        <w:t>permitted an inference that more st</w:t>
      </w:r>
      <w:r w:rsidR="00C6308C">
        <w:t>udents may have at</w:t>
      </w:r>
      <w:r w:rsidR="00182C6A">
        <w:t>tended than the license allowed</w:t>
      </w:r>
      <w:r w:rsidR="00726177">
        <w:t xml:space="preserve"> in th</w:t>
      </w:r>
      <w:r w:rsidR="00D12635">
        <w:t>e</w:t>
      </w:r>
      <w:r w:rsidR="00726177">
        <w:t xml:space="preserve"> 2009</w:t>
      </w:r>
      <w:r w:rsidR="00293313">
        <w:t xml:space="preserve"> to 2010 morning </w:t>
      </w:r>
      <w:r w:rsidR="00616BAA">
        <w:t>preschool programs</w:t>
      </w:r>
      <w:r w:rsidR="00182C6A">
        <w:t xml:space="preserve">.  </w:t>
      </w:r>
      <w:r w:rsidR="003F35BB">
        <w:t>Yet</w:t>
      </w:r>
      <w:r w:rsidR="00182C6A">
        <w:t xml:space="preserve">, the court concluded that </w:t>
      </w:r>
      <w:r w:rsidR="00B324AB">
        <w:t xml:space="preserve">even if that inference were drawn, </w:t>
      </w:r>
      <w:r w:rsidR="003F35BB">
        <w:t>the evidence</w:t>
      </w:r>
      <w:r w:rsidR="00B324AB">
        <w:t xml:space="preserve"> did not show plaintiffs “had any cognizable injury, as they did not attend Pacific Oaks in 2009</w:t>
      </w:r>
      <w:r w:rsidR="00F20070">
        <w:t>–</w:t>
      </w:r>
      <w:r w:rsidR="00B324AB">
        <w:t>2010.”</w:t>
      </w:r>
    </w:p>
    <w:p w14:paraId="5AD1217C" w14:textId="34868DC4" w:rsidR="00CF16F2" w:rsidRPr="004F2C4E" w:rsidRDefault="003A0E16" w:rsidP="00166B72">
      <w:pPr>
        <w:ind w:firstLine="720"/>
        <w:contextualSpacing/>
      </w:pPr>
      <w:r>
        <w:t xml:space="preserve">The trial court reasoned that </w:t>
      </w:r>
      <w:r w:rsidR="005A61E2">
        <w:t xml:space="preserve">without evidence that plaintiffs’ children attended Pacific Oaks at a time when the DSS </w:t>
      </w:r>
      <w:r w:rsidR="00E84120">
        <w:lastRenderedPageBreak/>
        <w:t xml:space="preserve">license was violated, plaintiffs could not establish standing under Business and Professions Code section 17204.  Further, </w:t>
      </w:r>
      <w:r w:rsidR="007F5662">
        <w:t>as to absent class members whose children were enrolled in the morning program in the 2009</w:t>
      </w:r>
      <w:r w:rsidR="001C4D03">
        <w:t>–</w:t>
      </w:r>
      <w:r w:rsidR="007F5662">
        <w:t xml:space="preserve">2010 school year, </w:t>
      </w:r>
      <w:r w:rsidR="00266C74">
        <w:t xml:space="preserve">there was no showing as to what those class members would have done had they </w:t>
      </w:r>
      <w:r w:rsidR="00FC1A81">
        <w:t>known of any capacity violation</w:t>
      </w:r>
      <w:r w:rsidR="00D67FEA">
        <w:t xml:space="preserve">.  The court further </w:t>
      </w:r>
      <w:r w:rsidR="007A6F20">
        <w:t xml:space="preserve">noted plaintiffs had not established the alleged capacity violation </w:t>
      </w:r>
      <w:r w:rsidR="0063349A">
        <w:t xml:space="preserve">impaired student safety, or that the children received anything other than the education Pacific Oaks had promised, thus the requested remedy of </w:t>
      </w:r>
      <w:r w:rsidR="00F7139A">
        <w:t>a full tuition refund would not be equitable.</w:t>
      </w:r>
    </w:p>
    <w:p w14:paraId="3EFE6C9A" w14:textId="3A9F82F4" w:rsidR="00954427" w:rsidRPr="004F2C4E" w:rsidRDefault="003A0E16" w:rsidP="00166B72">
      <w:pPr>
        <w:ind w:firstLine="720"/>
        <w:contextualSpacing/>
      </w:pPr>
      <w:r w:rsidRPr="004F2C4E">
        <w:t xml:space="preserve">The court deferred entry of judgment in favor of </w:t>
      </w:r>
      <w:r w:rsidR="00B31050">
        <w:t>Pacific Oaks</w:t>
      </w:r>
      <w:r w:rsidR="00B31050" w:rsidRPr="004F2C4E">
        <w:t xml:space="preserve"> </w:t>
      </w:r>
      <w:r w:rsidRPr="004F2C4E">
        <w:t>until after plaintiffs’ individual claims were tried</w:t>
      </w:r>
      <w:r w:rsidR="00BB3482">
        <w:t>.</w:t>
      </w:r>
      <w:r w:rsidR="008B0303">
        <w:t xml:space="preserve"> </w:t>
      </w:r>
      <w:r w:rsidR="00401298">
        <w:t xml:space="preserve"> </w:t>
      </w:r>
      <w:r w:rsidR="00597276">
        <w:t>Plaintiffs</w:t>
      </w:r>
      <w:r w:rsidR="00401298">
        <w:t xml:space="preserve"> timely appealed from the court’s order.</w:t>
      </w:r>
      <w:r>
        <w:rPr>
          <w:rStyle w:val="FootnoteReference"/>
        </w:rPr>
        <w:footnoteReference w:id="12"/>
      </w:r>
    </w:p>
    <w:p w14:paraId="7ED6AAC8" w14:textId="3CB3FD83" w:rsidR="00E91197" w:rsidRPr="004F2C4E" w:rsidRDefault="003A0E16" w:rsidP="00F941B1">
      <w:pPr>
        <w:pStyle w:val="Heading10"/>
        <w:widowControl w:val="0"/>
        <w:spacing w:before="0" w:after="0"/>
        <w:contextualSpacing/>
      </w:pPr>
      <w:r w:rsidRPr="004F2C4E">
        <w:t>DISCUSSION</w:t>
      </w:r>
    </w:p>
    <w:p w14:paraId="1FABAFB2" w14:textId="5A460FA0" w:rsidR="00277553" w:rsidRPr="003B16E1" w:rsidRDefault="003A0E16" w:rsidP="00F941B1">
      <w:pPr>
        <w:widowControl w:val="0"/>
        <w:numPr>
          <w:ilvl w:val="0"/>
          <w:numId w:val="1"/>
        </w:numPr>
        <w:ind w:left="720"/>
        <w:contextualSpacing/>
        <w:rPr>
          <w:rFonts w:eastAsia="Calibri"/>
          <w:b/>
          <w:szCs w:val="26"/>
        </w:rPr>
      </w:pPr>
      <w:r w:rsidRPr="003B16E1">
        <w:rPr>
          <w:rFonts w:eastAsia="Calibri"/>
          <w:b/>
          <w:szCs w:val="26"/>
        </w:rPr>
        <w:t xml:space="preserve">The </w:t>
      </w:r>
      <w:r>
        <w:rPr>
          <w:rFonts w:eastAsia="Calibri"/>
          <w:b/>
          <w:szCs w:val="26"/>
        </w:rPr>
        <w:t xml:space="preserve">Trial Court Correctly Concluded that </w:t>
      </w:r>
      <w:r w:rsidR="009D2BE9">
        <w:rPr>
          <w:rFonts w:eastAsia="Calibri"/>
          <w:b/>
          <w:szCs w:val="26"/>
        </w:rPr>
        <w:t>“</w:t>
      </w:r>
      <w:r>
        <w:rPr>
          <w:rFonts w:eastAsia="Calibri"/>
          <w:b/>
          <w:szCs w:val="26"/>
        </w:rPr>
        <w:t>Capacity</w:t>
      </w:r>
      <w:r w:rsidR="009D2BE9">
        <w:rPr>
          <w:rFonts w:eastAsia="Calibri"/>
          <w:b/>
          <w:szCs w:val="26"/>
        </w:rPr>
        <w:t>”</w:t>
      </w:r>
      <w:r>
        <w:rPr>
          <w:rFonts w:eastAsia="Calibri"/>
          <w:b/>
          <w:szCs w:val="26"/>
        </w:rPr>
        <w:t xml:space="preserve"> Under the DSS License Limited the Number of Children </w:t>
      </w:r>
      <w:r w:rsidR="00807623">
        <w:rPr>
          <w:rFonts w:eastAsia="Calibri"/>
          <w:b/>
          <w:szCs w:val="26"/>
        </w:rPr>
        <w:t xml:space="preserve">Permitted to be </w:t>
      </w:r>
      <w:r>
        <w:rPr>
          <w:rFonts w:eastAsia="Calibri"/>
          <w:b/>
          <w:szCs w:val="26"/>
        </w:rPr>
        <w:t>Present at Any One Time, Not Aggregate Enrollment</w:t>
      </w:r>
    </w:p>
    <w:p w14:paraId="1761AE72" w14:textId="49856641" w:rsidR="00FA14FB" w:rsidRDefault="003A0E16" w:rsidP="00F941B1">
      <w:pPr>
        <w:widowControl w:val="0"/>
        <w:ind w:firstLine="720"/>
        <w:contextualSpacing/>
      </w:pPr>
      <w:r w:rsidRPr="004F2C4E">
        <w:t xml:space="preserve">The UCL prohibits “any unlawful, unfair or fraudulent business act or practice . . . .”  (Bus. &amp; Prof. Code, § 17200.)  “An unlawful business practice under section 17200 is ‘ “an act or practice, committed pursuant to business activity, that is at the </w:t>
      </w:r>
      <w:r w:rsidRPr="004F2C4E">
        <w:lastRenderedPageBreak/>
        <w:t>same time forbidden by law.</w:t>
      </w:r>
      <w:r w:rsidR="00F377A7" w:rsidRPr="00F377A7">
        <w:t xml:space="preserve"> </w:t>
      </w:r>
      <w:r w:rsidR="00F377A7">
        <w:t xml:space="preserve"> [Citation.]</w:t>
      </w:r>
      <w:r w:rsidRPr="004F2C4E">
        <w:t xml:space="preserve">” ’ </w:t>
      </w:r>
      <w:r w:rsidR="00A06E54">
        <w:t xml:space="preserve"> [Citation.]</w:t>
      </w:r>
      <w:r w:rsidRPr="004F2C4E">
        <w:t>”  (</w:t>
      </w:r>
      <w:r w:rsidRPr="004F2C4E">
        <w:rPr>
          <w:i/>
          <w:iCs/>
        </w:rPr>
        <w:t>Progressive West Ins</w:t>
      </w:r>
      <w:r w:rsidRPr="007B5255">
        <w:rPr>
          <w:i/>
          <w:iCs/>
        </w:rPr>
        <w:t>.</w:t>
      </w:r>
      <w:r w:rsidRPr="004F2C4E">
        <w:rPr>
          <w:i/>
          <w:iCs/>
        </w:rPr>
        <w:t xml:space="preserve"> Co</w:t>
      </w:r>
      <w:r w:rsidRPr="007B5255">
        <w:rPr>
          <w:i/>
          <w:iCs/>
        </w:rPr>
        <w:t>.</w:t>
      </w:r>
      <w:r w:rsidRPr="004F2C4E">
        <w:rPr>
          <w:i/>
          <w:iCs/>
        </w:rPr>
        <w:t xml:space="preserve"> v</w:t>
      </w:r>
      <w:r w:rsidRPr="007B5255">
        <w:rPr>
          <w:i/>
          <w:iCs/>
        </w:rPr>
        <w:t>.</w:t>
      </w:r>
      <w:r w:rsidRPr="004F2C4E">
        <w:rPr>
          <w:i/>
          <w:iCs/>
        </w:rPr>
        <w:t xml:space="preserve"> Superior Court</w:t>
      </w:r>
      <w:r w:rsidRPr="004F2C4E">
        <w:t xml:space="preserve"> (2005) 135 Cal.App.4th 263, 287.)  “By proscribing ‘any unlawful’ business practice, ‘section 17200 “borrows” violations of other laws and treats them as unlawful practices’ that the [UCL] makes independently actionable.”  (</w:t>
      </w:r>
      <w:r w:rsidRPr="004F2C4E">
        <w:rPr>
          <w:i/>
          <w:iCs/>
        </w:rPr>
        <w:t>Cel–Tech Communications</w:t>
      </w:r>
      <w:r w:rsidRPr="007B5255">
        <w:rPr>
          <w:i/>
          <w:iCs/>
        </w:rPr>
        <w:t>, Inc. v.</w:t>
      </w:r>
      <w:r w:rsidRPr="004F2C4E">
        <w:rPr>
          <w:i/>
          <w:iCs/>
        </w:rPr>
        <w:t xml:space="preserve"> Los Angeles Cellular Telephone </w:t>
      </w:r>
      <w:r w:rsidRPr="007B5255">
        <w:rPr>
          <w:i/>
          <w:iCs/>
        </w:rPr>
        <w:t>Co.</w:t>
      </w:r>
      <w:r w:rsidRPr="00F9585B">
        <w:t xml:space="preserve"> </w:t>
      </w:r>
      <w:r w:rsidRPr="004F2C4E">
        <w:t>(1999) 20 Cal.4th 163, 180.)</w:t>
      </w:r>
    </w:p>
    <w:p w14:paraId="1880013B" w14:textId="0195AED4" w:rsidR="00277553" w:rsidRDefault="003A0E16" w:rsidP="00166B72">
      <w:pPr>
        <w:ind w:firstLine="720"/>
        <w:contextualSpacing/>
        <w:rPr>
          <w:rFonts w:eastAsia="Calibri"/>
        </w:rPr>
      </w:pPr>
      <w:r>
        <w:rPr>
          <w:rFonts w:eastAsia="Calibri"/>
        </w:rPr>
        <w:t xml:space="preserve">Plaintiffs sought to establish that Pacific Oaks engaged in unlawful conduct by operating in violation of the </w:t>
      </w:r>
      <w:r>
        <w:rPr>
          <w:rFonts w:eastAsia="Calibri"/>
        </w:rPr>
        <w:t>capacity limit set forth in the DSS license.</w:t>
      </w:r>
      <w:r w:rsidR="00B2465F">
        <w:rPr>
          <w:rFonts w:eastAsia="Calibri"/>
        </w:rPr>
        <w:t xml:space="preserve">  </w:t>
      </w:r>
      <w:r w:rsidR="008E5793">
        <w:rPr>
          <w:rFonts w:eastAsia="Calibri"/>
        </w:rPr>
        <w:t>They rely on s</w:t>
      </w:r>
      <w:r w:rsidR="00FE42D5">
        <w:rPr>
          <w:rFonts w:eastAsia="Calibri"/>
        </w:rPr>
        <w:t xml:space="preserve">ection 101161, subdivision (a), </w:t>
      </w:r>
      <w:r w:rsidR="008E5793">
        <w:rPr>
          <w:rFonts w:eastAsia="Calibri"/>
        </w:rPr>
        <w:t xml:space="preserve">which </w:t>
      </w:r>
      <w:r w:rsidR="00FE42D5">
        <w:rPr>
          <w:rFonts w:eastAsia="Calibri"/>
        </w:rPr>
        <w:t xml:space="preserve">provides: </w:t>
      </w:r>
      <w:r w:rsidR="00FE42D5" w:rsidRPr="003B16E1">
        <w:rPr>
          <w:rFonts w:eastAsia="Calibri"/>
        </w:rPr>
        <w:t>“A licensee shall not operate a child care center beyond the conditions and limitations specified on the license, including the capacity limitation.”</w:t>
      </w:r>
    </w:p>
    <w:p w14:paraId="3CDAAA97" w14:textId="0560A701" w:rsidR="00974DCF" w:rsidRDefault="003A0E16" w:rsidP="002D3A34">
      <w:pPr>
        <w:ind w:firstLine="720"/>
        <w:contextualSpacing/>
        <w:rPr>
          <w:rFonts w:eastAsia="Calibri"/>
        </w:rPr>
      </w:pPr>
      <w:r>
        <w:rPr>
          <w:rFonts w:eastAsia="Calibri"/>
        </w:rPr>
        <w:t>During the class period,</w:t>
      </w:r>
      <w:r w:rsidR="00277553">
        <w:rPr>
          <w:rFonts w:eastAsia="Calibri"/>
        </w:rPr>
        <w:t xml:space="preserve"> </w:t>
      </w:r>
      <w:r w:rsidR="00C92B7C">
        <w:rPr>
          <w:rFonts w:eastAsia="Calibri"/>
        </w:rPr>
        <w:t>Pacific Oaks’s</w:t>
      </w:r>
      <w:r w:rsidR="00277553">
        <w:rPr>
          <w:rFonts w:eastAsia="Calibri"/>
        </w:rPr>
        <w:t xml:space="preserve"> </w:t>
      </w:r>
      <w:r w:rsidR="00C41E21">
        <w:rPr>
          <w:rFonts w:eastAsia="Calibri"/>
        </w:rPr>
        <w:t xml:space="preserve">DSS </w:t>
      </w:r>
      <w:r w:rsidR="00277553">
        <w:rPr>
          <w:rFonts w:eastAsia="Calibri"/>
        </w:rPr>
        <w:t xml:space="preserve">license </w:t>
      </w:r>
      <w:r w:rsidR="006557DA">
        <w:rPr>
          <w:rFonts w:eastAsia="Calibri"/>
        </w:rPr>
        <w:t xml:space="preserve">capacity limitation </w:t>
      </w:r>
      <w:r w:rsidR="004E10AC">
        <w:rPr>
          <w:rFonts w:eastAsia="Calibri"/>
        </w:rPr>
        <w:t>was</w:t>
      </w:r>
      <w:r w:rsidR="00277553">
        <w:rPr>
          <w:rFonts w:eastAsia="Calibri"/>
        </w:rPr>
        <w:t xml:space="preserve"> 77 children</w:t>
      </w:r>
      <w:r w:rsidR="00C41E21">
        <w:rPr>
          <w:rFonts w:eastAsia="Calibri"/>
        </w:rPr>
        <w:t xml:space="preserve">.  </w:t>
      </w:r>
      <w:r w:rsidR="004641EE">
        <w:rPr>
          <w:rFonts w:eastAsia="Calibri"/>
        </w:rPr>
        <w:t>Throughout the litigation, p</w:t>
      </w:r>
      <w:r w:rsidR="00C41E21">
        <w:rPr>
          <w:rFonts w:eastAsia="Calibri"/>
        </w:rPr>
        <w:t xml:space="preserve">laintiffs </w:t>
      </w:r>
      <w:r w:rsidR="004641EE">
        <w:rPr>
          <w:rFonts w:eastAsia="Calibri"/>
        </w:rPr>
        <w:t xml:space="preserve">argued </w:t>
      </w:r>
      <w:r w:rsidR="00277553">
        <w:rPr>
          <w:rFonts w:eastAsia="Calibri"/>
        </w:rPr>
        <w:t xml:space="preserve">the aggregate enrollment data </w:t>
      </w:r>
      <w:r w:rsidR="006414E9">
        <w:rPr>
          <w:rFonts w:eastAsia="Calibri"/>
        </w:rPr>
        <w:t>for</w:t>
      </w:r>
      <w:r w:rsidR="00277553">
        <w:rPr>
          <w:rFonts w:eastAsia="Calibri"/>
        </w:rPr>
        <w:t xml:space="preserve"> the class period demonstrated that Pacific Oaks enrolled more than 77 children in each of the years at issue.  Plaintiffs </w:t>
      </w:r>
      <w:r w:rsidR="00C41E21">
        <w:rPr>
          <w:rFonts w:eastAsia="Calibri"/>
        </w:rPr>
        <w:t>contend</w:t>
      </w:r>
      <w:r w:rsidR="00277553">
        <w:rPr>
          <w:rFonts w:eastAsia="Calibri"/>
        </w:rPr>
        <w:t xml:space="preserve"> the</w:t>
      </w:r>
      <w:r w:rsidR="006414E9">
        <w:rPr>
          <w:rFonts w:eastAsia="Calibri"/>
        </w:rPr>
        <w:t xml:space="preserve"> term</w:t>
      </w:r>
      <w:r w:rsidR="00277553">
        <w:rPr>
          <w:rFonts w:eastAsia="Calibri"/>
        </w:rPr>
        <w:t xml:space="preserve"> “capacity limitation” in section 101161, subdivision (a), </w:t>
      </w:r>
      <w:r w:rsidR="00816371">
        <w:rPr>
          <w:rFonts w:eastAsia="Calibri"/>
        </w:rPr>
        <w:t>refers to</w:t>
      </w:r>
      <w:r w:rsidR="00277553">
        <w:rPr>
          <w:rFonts w:eastAsia="Calibri"/>
        </w:rPr>
        <w:t xml:space="preserve"> enrolled children, irrespective of how many children might be </w:t>
      </w:r>
      <w:r w:rsidR="00C41E21">
        <w:rPr>
          <w:rFonts w:eastAsia="Calibri"/>
        </w:rPr>
        <w:t xml:space="preserve">physically present at </w:t>
      </w:r>
      <w:r w:rsidR="00277553">
        <w:rPr>
          <w:rFonts w:eastAsia="Calibri"/>
        </w:rPr>
        <w:t xml:space="preserve">the </w:t>
      </w:r>
      <w:r w:rsidR="00C41E21">
        <w:rPr>
          <w:rFonts w:eastAsia="Calibri"/>
        </w:rPr>
        <w:t>facility</w:t>
      </w:r>
      <w:r w:rsidR="00277553">
        <w:rPr>
          <w:rFonts w:eastAsia="Calibri"/>
        </w:rPr>
        <w:t xml:space="preserve"> at any particular time.</w:t>
      </w:r>
    </w:p>
    <w:p w14:paraId="6316DCB0" w14:textId="311CBB73" w:rsidR="00C41E21" w:rsidRDefault="003A0E16" w:rsidP="00166B72">
      <w:pPr>
        <w:ind w:firstLine="720"/>
        <w:contextualSpacing/>
        <w:rPr>
          <w:rFonts w:eastAsia="Calibri"/>
        </w:rPr>
      </w:pPr>
      <w:r>
        <w:rPr>
          <w:rFonts w:eastAsia="Calibri"/>
        </w:rPr>
        <w:t xml:space="preserve">The trial court rejected plaintiffs’ interpretation of the regulation and the term “capacity.”  The court concluded aggregate enrollment data would not establish that Pacific Oaks violated the capacity limitation.  Instead, the court found plaintiffs were required to show Pacific Oaks had over 77 children in attendance, not merely enrolled, to prove </w:t>
      </w:r>
      <w:r w:rsidR="000250A9">
        <w:rPr>
          <w:rFonts w:eastAsia="Calibri"/>
        </w:rPr>
        <w:t>the school</w:t>
      </w:r>
      <w:r>
        <w:rPr>
          <w:rFonts w:eastAsia="Calibri"/>
        </w:rPr>
        <w:t xml:space="preserve"> violated the </w:t>
      </w:r>
      <w:r w:rsidR="00816371">
        <w:rPr>
          <w:rFonts w:eastAsia="Calibri"/>
        </w:rPr>
        <w:t xml:space="preserve">DSS </w:t>
      </w:r>
      <w:r>
        <w:rPr>
          <w:rFonts w:eastAsia="Calibri"/>
        </w:rPr>
        <w:t>license.</w:t>
      </w:r>
    </w:p>
    <w:p w14:paraId="01BBE571" w14:textId="215A4E65" w:rsidR="00277553" w:rsidRDefault="003A0E16" w:rsidP="00166B72">
      <w:pPr>
        <w:ind w:firstLine="720"/>
        <w:contextualSpacing/>
        <w:rPr>
          <w:rFonts w:eastAsia="Calibri"/>
        </w:rPr>
      </w:pPr>
      <w:r>
        <w:rPr>
          <w:rFonts w:eastAsia="Calibri"/>
        </w:rPr>
        <w:t xml:space="preserve">On appeal, plaintiffs continue to </w:t>
      </w:r>
      <w:r w:rsidR="00C92B7C">
        <w:rPr>
          <w:rFonts w:eastAsia="Calibri"/>
        </w:rPr>
        <w:t>argue</w:t>
      </w:r>
      <w:r>
        <w:rPr>
          <w:rFonts w:eastAsia="Calibri"/>
        </w:rPr>
        <w:t xml:space="preserve"> that enrollment numbers </w:t>
      </w:r>
      <w:r w:rsidR="00C92B7C">
        <w:rPr>
          <w:rFonts w:eastAsia="Calibri"/>
        </w:rPr>
        <w:t xml:space="preserve">exceeding </w:t>
      </w:r>
      <w:r>
        <w:rPr>
          <w:rFonts w:eastAsia="Calibri"/>
        </w:rPr>
        <w:t xml:space="preserve">the </w:t>
      </w:r>
      <w:r w:rsidR="00C41E21">
        <w:rPr>
          <w:rFonts w:eastAsia="Calibri"/>
        </w:rPr>
        <w:t xml:space="preserve">DSS </w:t>
      </w:r>
      <w:r>
        <w:rPr>
          <w:rFonts w:eastAsia="Calibri"/>
        </w:rPr>
        <w:t xml:space="preserve">license capacity limit were sufficient </w:t>
      </w:r>
      <w:r>
        <w:rPr>
          <w:rFonts w:eastAsia="Calibri"/>
        </w:rPr>
        <w:lastRenderedPageBreak/>
        <w:t>to establish Pacific Oaks operat</w:t>
      </w:r>
      <w:r w:rsidR="00C92B7C">
        <w:rPr>
          <w:rFonts w:eastAsia="Calibri"/>
        </w:rPr>
        <w:t>ed</w:t>
      </w:r>
      <w:r>
        <w:rPr>
          <w:rFonts w:eastAsia="Calibri"/>
        </w:rPr>
        <w:t xml:space="preserve"> in violation of the license. </w:t>
      </w:r>
      <w:r w:rsidR="00C41E21">
        <w:rPr>
          <w:rFonts w:eastAsia="Calibri"/>
        </w:rPr>
        <w:t xml:space="preserve"> </w:t>
      </w:r>
      <w:r w:rsidR="000250A9">
        <w:rPr>
          <w:rFonts w:eastAsia="Calibri"/>
        </w:rPr>
        <w:t>Neither the plain language of the relevant regulations nor any other legal authorities support their argument</w:t>
      </w:r>
      <w:r w:rsidR="00C41E21">
        <w:rPr>
          <w:rFonts w:eastAsia="Calibri"/>
        </w:rPr>
        <w:t>.</w:t>
      </w:r>
    </w:p>
    <w:p w14:paraId="205DCB96" w14:textId="73451D41" w:rsidR="00277553" w:rsidRPr="00602557" w:rsidRDefault="003A0E16" w:rsidP="002332E5">
      <w:pPr>
        <w:pStyle w:val="ListParagraph"/>
        <w:widowControl w:val="0"/>
        <w:numPr>
          <w:ilvl w:val="0"/>
          <w:numId w:val="10"/>
        </w:numPr>
        <w:ind w:left="1440" w:hanging="720"/>
        <w:rPr>
          <w:rFonts w:eastAsia="Calibri"/>
          <w:b/>
          <w:bCs/>
        </w:rPr>
      </w:pPr>
      <w:r w:rsidRPr="00602557">
        <w:rPr>
          <w:rFonts w:eastAsia="Calibri"/>
          <w:b/>
          <w:bCs/>
        </w:rPr>
        <w:t xml:space="preserve">Standard of </w:t>
      </w:r>
      <w:r w:rsidR="00F02206">
        <w:rPr>
          <w:rFonts w:eastAsia="Calibri"/>
          <w:b/>
          <w:bCs/>
        </w:rPr>
        <w:t>r</w:t>
      </w:r>
      <w:r w:rsidRPr="00602557">
        <w:rPr>
          <w:rFonts w:eastAsia="Calibri"/>
          <w:b/>
          <w:bCs/>
        </w:rPr>
        <w:t>eview</w:t>
      </w:r>
    </w:p>
    <w:p w14:paraId="4958016D" w14:textId="5304DAE5" w:rsidR="00277553" w:rsidRPr="003B16E1" w:rsidRDefault="003A0E16" w:rsidP="00166B72">
      <w:pPr>
        <w:ind w:firstLine="720"/>
        <w:contextualSpacing/>
        <w:rPr>
          <w:rFonts w:eastAsia="Calibri"/>
        </w:rPr>
      </w:pPr>
      <w:bookmarkStart w:id="0" w:name="_Hlk156485795"/>
      <w:r w:rsidRPr="003B16E1">
        <w:rPr>
          <w:rFonts w:eastAsia="Calibri"/>
        </w:rPr>
        <w:t xml:space="preserve">“ ‘ “The interpretation of a regulation, like the </w:t>
      </w:r>
      <w:r w:rsidRPr="003B16E1">
        <w:rPr>
          <w:rFonts w:eastAsia="Calibri"/>
        </w:rPr>
        <w:t>interpretation of a statute, is, of course, a question of law.”</w:t>
      </w:r>
      <w:r w:rsidR="00FE5827">
        <w:rPr>
          <w:rFonts w:eastAsia="Calibri"/>
        </w:rPr>
        <w:t xml:space="preserve"> ’ ”</w:t>
      </w:r>
      <w:r w:rsidRPr="003B16E1">
        <w:rPr>
          <w:rFonts w:eastAsia="Calibri"/>
        </w:rPr>
        <w:t xml:space="preserve"> </w:t>
      </w:r>
      <w:r w:rsidR="004C7602">
        <w:rPr>
          <w:rFonts w:eastAsia="Calibri"/>
        </w:rPr>
        <w:t xml:space="preserve"> </w:t>
      </w:r>
      <w:r w:rsidRPr="003B16E1">
        <w:rPr>
          <w:rFonts w:eastAsia="Calibri"/>
        </w:rPr>
        <w:t>(</w:t>
      </w:r>
      <w:r w:rsidRPr="003B16E1">
        <w:rPr>
          <w:rFonts w:eastAsia="Calibri"/>
          <w:i/>
          <w:iCs/>
        </w:rPr>
        <w:t>Manriquez v. Gourley</w:t>
      </w:r>
      <w:r w:rsidRPr="003B16E1">
        <w:rPr>
          <w:rFonts w:eastAsia="Calibri"/>
        </w:rPr>
        <w:t xml:space="preserve"> (2003) 105 Cal.App.4th 1227, 1234 (</w:t>
      </w:r>
      <w:r w:rsidRPr="003B16E1">
        <w:rPr>
          <w:rFonts w:eastAsia="Calibri"/>
          <w:i/>
          <w:iCs/>
        </w:rPr>
        <w:t>Manriquez</w:t>
      </w:r>
      <w:r w:rsidRPr="003B16E1">
        <w:rPr>
          <w:rFonts w:eastAsia="Calibri"/>
        </w:rPr>
        <w:t xml:space="preserve">).)  </w:t>
      </w:r>
      <w:r>
        <w:rPr>
          <w:rFonts w:eastAsia="Calibri"/>
        </w:rPr>
        <w:t>We review questions of law de novo.</w:t>
      </w:r>
    </w:p>
    <w:p w14:paraId="503B8B76" w14:textId="4C12B365" w:rsidR="00277553" w:rsidRPr="003B16E1" w:rsidRDefault="003A0E16" w:rsidP="00166B72">
      <w:pPr>
        <w:ind w:firstLine="720"/>
        <w:contextualSpacing/>
        <w:rPr>
          <w:rFonts w:eastAsia="Calibri"/>
        </w:rPr>
      </w:pPr>
      <w:r w:rsidRPr="003B16E1">
        <w:rPr>
          <w:rFonts w:eastAsia="Calibri"/>
        </w:rPr>
        <w:t>When no reported California decision or administrative interpretation of a regulation exists, courts “interpret the regulation in accordance with applicable rules of statutory construction.”  (</w:t>
      </w:r>
      <w:r w:rsidR="000C32CE" w:rsidRPr="007B5255">
        <w:rPr>
          <w:rFonts w:eastAsia="Calibri"/>
          <w:i/>
          <w:iCs/>
        </w:rPr>
        <w:t>Manriquez</w:t>
      </w:r>
      <w:r w:rsidR="000C32CE" w:rsidRPr="00746EA1">
        <w:rPr>
          <w:rFonts w:eastAsia="Calibri"/>
        </w:rPr>
        <w:t>,</w:t>
      </w:r>
      <w:r w:rsidR="000C32CE">
        <w:rPr>
          <w:rFonts w:eastAsia="Calibri"/>
          <w:i/>
          <w:iCs/>
        </w:rPr>
        <w:t xml:space="preserve"> supra</w:t>
      </w:r>
      <w:r w:rsidR="00900CC4">
        <w:rPr>
          <w:rFonts w:eastAsia="Calibri"/>
        </w:rPr>
        <w:t xml:space="preserve">, </w:t>
      </w:r>
      <w:r w:rsidR="00900CC4" w:rsidRPr="003B16E1">
        <w:rPr>
          <w:rFonts w:eastAsia="Calibri"/>
        </w:rPr>
        <w:t>105 Cal.App.4</w:t>
      </w:r>
      <w:r w:rsidR="00900CC4" w:rsidRPr="00900CC4">
        <w:rPr>
          <w:rFonts w:eastAsia="Calibri"/>
        </w:rPr>
        <w:t>th</w:t>
      </w:r>
      <w:r w:rsidR="00900CC4">
        <w:rPr>
          <w:rFonts w:eastAsia="Calibri"/>
        </w:rPr>
        <w:t xml:space="preserve"> at p. 1235</w:t>
      </w:r>
      <w:r w:rsidRPr="003B16E1">
        <w:rPr>
          <w:rFonts w:eastAsia="Calibri"/>
        </w:rPr>
        <w:t xml:space="preserve">; </w:t>
      </w:r>
      <w:r w:rsidRPr="003B16E1">
        <w:rPr>
          <w:rFonts w:eastAsia="Calibri"/>
          <w:i/>
          <w:iCs/>
        </w:rPr>
        <w:t>Butts v</w:t>
      </w:r>
      <w:r w:rsidRPr="00746EA1">
        <w:rPr>
          <w:rFonts w:eastAsia="Calibri"/>
          <w:i/>
          <w:iCs/>
        </w:rPr>
        <w:t>.</w:t>
      </w:r>
      <w:r w:rsidRPr="003B16E1">
        <w:rPr>
          <w:rFonts w:eastAsia="Calibri"/>
          <w:i/>
          <w:iCs/>
        </w:rPr>
        <w:t xml:space="preserve"> Board of Trustees of California State University</w:t>
      </w:r>
      <w:r w:rsidRPr="003B16E1">
        <w:rPr>
          <w:rFonts w:eastAsia="Calibri"/>
        </w:rPr>
        <w:t xml:space="preserve"> (2014) 225 Cal.App.4th 825, 835 (</w:t>
      </w:r>
      <w:r w:rsidRPr="003B16E1">
        <w:rPr>
          <w:rFonts w:eastAsia="Calibri"/>
          <w:i/>
          <w:iCs/>
        </w:rPr>
        <w:t>Butts</w:t>
      </w:r>
      <w:r w:rsidRPr="003B16E1">
        <w:rPr>
          <w:rFonts w:eastAsia="Calibri"/>
        </w:rPr>
        <w:t>).)  “We give the regulatory language its plain, commonsense meaning.  If possible, we must accord meaning to every word and phrase in the regulation, and we must read regulations as a whole so that all of the parts are given effect.”  (</w:t>
      </w:r>
      <w:r w:rsidRPr="003B16E1">
        <w:rPr>
          <w:rFonts w:eastAsia="Calibri"/>
          <w:i/>
          <w:iCs/>
        </w:rPr>
        <w:t>Butts</w:t>
      </w:r>
      <w:r w:rsidRPr="003B16E1">
        <w:rPr>
          <w:rFonts w:eastAsia="Calibri"/>
        </w:rPr>
        <w:t>, at p.</w:t>
      </w:r>
      <w:r w:rsidR="00973819">
        <w:rPr>
          <w:rFonts w:eastAsia="Calibri"/>
        </w:rPr>
        <w:t> </w:t>
      </w:r>
      <w:r w:rsidRPr="003B16E1">
        <w:rPr>
          <w:rFonts w:eastAsia="Calibri"/>
        </w:rPr>
        <w:t>835.)  “When the agency’s intent cannot be discerned directly from the language of the regulation, we may look to a vari</w:t>
      </w:r>
      <w:r w:rsidRPr="003B16E1">
        <w:rPr>
          <w:rFonts w:eastAsia="Calibri"/>
        </w:rPr>
        <w:t>ety of extrinsic aids, including the purpose of the regulation, the legislative history, public policy, and the regulatory scheme of which the regulation is a part.  [Citation.]  Whenever possible, we will interpret the regulation to make it workable and reasonable.”  (</w:t>
      </w:r>
      <w:r w:rsidRPr="003B16E1">
        <w:rPr>
          <w:rFonts w:eastAsia="Calibri"/>
          <w:i/>
          <w:iCs/>
        </w:rPr>
        <w:t>Manriquez</w:t>
      </w:r>
      <w:r w:rsidRPr="003B16E1">
        <w:rPr>
          <w:rFonts w:eastAsia="Calibri"/>
        </w:rPr>
        <w:t>, at p. 1235.)</w:t>
      </w:r>
    </w:p>
    <w:bookmarkEnd w:id="0"/>
    <w:p w14:paraId="1762180B" w14:textId="3882B211" w:rsidR="00277553" w:rsidRPr="00602557" w:rsidRDefault="003A0E16" w:rsidP="00267625">
      <w:pPr>
        <w:widowControl w:val="0"/>
        <w:ind w:left="1440" w:hanging="720"/>
        <w:contextualSpacing/>
        <w:rPr>
          <w:rFonts w:eastAsia="Calibri"/>
          <w:b/>
          <w:bCs/>
        </w:rPr>
      </w:pPr>
      <w:r>
        <w:rPr>
          <w:rFonts w:eastAsia="Calibri"/>
          <w:b/>
          <w:bCs/>
        </w:rPr>
        <w:t>B.</w:t>
      </w:r>
      <w:r w:rsidR="0015440B">
        <w:rPr>
          <w:rFonts w:eastAsia="Calibri"/>
          <w:b/>
          <w:bCs/>
        </w:rPr>
        <w:tab/>
      </w:r>
      <w:r>
        <w:rPr>
          <w:rFonts w:eastAsia="Calibri"/>
          <w:b/>
          <w:bCs/>
        </w:rPr>
        <w:t>The meaning of capacity</w:t>
      </w:r>
    </w:p>
    <w:p w14:paraId="2941203C" w14:textId="3D5FFA97" w:rsidR="00277553" w:rsidRDefault="003A0E16" w:rsidP="00267625">
      <w:pPr>
        <w:widowControl w:val="0"/>
        <w:ind w:firstLine="720"/>
        <w:contextualSpacing/>
        <w:rPr>
          <w:rFonts w:eastAsia="Calibri"/>
        </w:rPr>
      </w:pPr>
      <w:r>
        <w:rPr>
          <w:rFonts w:eastAsia="Calibri"/>
        </w:rPr>
        <w:t>W</w:t>
      </w:r>
      <w:r w:rsidRPr="003B16E1">
        <w:rPr>
          <w:rFonts w:eastAsia="Calibri"/>
        </w:rPr>
        <w:t xml:space="preserve">e begin our analysis with the plain text of the regulations.  </w:t>
      </w:r>
      <w:r>
        <w:rPr>
          <w:rFonts w:eastAsia="Calibri"/>
        </w:rPr>
        <w:t xml:space="preserve">As noted above, section 101161, subdivision (a), prohibits a licensee from operating a child care center beyond the conditions specified in the license, including the “capacity limitation.”  </w:t>
      </w:r>
      <w:r w:rsidR="004A14AE">
        <w:rPr>
          <w:rFonts w:eastAsia="Calibri"/>
        </w:rPr>
        <w:t xml:space="preserve">Section </w:t>
      </w:r>
      <w:r w:rsidR="004A14AE" w:rsidRPr="003B16E1">
        <w:rPr>
          <w:rFonts w:eastAsia="Calibri"/>
        </w:rPr>
        <w:t>101152, subd</w:t>
      </w:r>
      <w:r w:rsidR="001A1CB4">
        <w:rPr>
          <w:rFonts w:eastAsia="Calibri"/>
        </w:rPr>
        <w:t>ivision</w:t>
      </w:r>
      <w:r w:rsidR="004A14AE" w:rsidRPr="003B16E1">
        <w:rPr>
          <w:rFonts w:eastAsia="Calibri"/>
        </w:rPr>
        <w:t xml:space="preserve"> (c)(2)</w:t>
      </w:r>
      <w:r w:rsidR="004A14AE">
        <w:rPr>
          <w:rFonts w:eastAsia="Calibri"/>
        </w:rPr>
        <w:t xml:space="preserve">, defines </w:t>
      </w:r>
      <w:r w:rsidR="004A14AE" w:rsidRPr="003B16E1">
        <w:rPr>
          <w:rFonts w:eastAsia="Calibri"/>
        </w:rPr>
        <w:lastRenderedPageBreak/>
        <w:t>“</w:t>
      </w:r>
      <w:r w:rsidR="00EB2142">
        <w:rPr>
          <w:rFonts w:eastAsia="Calibri"/>
        </w:rPr>
        <w:t> </w:t>
      </w:r>
      <w:r w:rsidR="00CE219F">
        <w:rPr>
          <w:rFonts w:eastAsia="Calibri"/>
        </w:rPr>
        <w:t>‘</w:t>
      </w:r>
      <w:r w:rsidR="004A14AE" w:rsidRPr="003B16E1">
        <w:rPr>
          <w:rFonts w:eastAsia="Calibri"/>
        </w:rPr>
        <w:t>capacity</w:t>
      </w:r>
      <w:r w:rsidR="00CE219F">
        <w:rPr>
          <w:rFonts w:eastAsia="Calibri"/>
        </w:rPr>
        <w:t>’ </w:t>
      </w:r>
      <w:r w:rsidR="004A14AE" w:rsidRPr="003B16E1">
        <w:rPr>
          <w:rFonts w:eastAsia="Calibri"/>
        </w:rPr>
        <w:t xml:space="preserve">” as “the maximum number of children authorized to be provided care and supervision at any one time in any licensed child care center.”  </w:t>
      </w:r>
      <w:r>
        <w:rPr>
          <w:rFonts w:eastAsia="Calibri"/>
        </w:rPr>
        <w:t>Section 101179, subdivision (a)</w:t>
      </w:r>
      <w:r w:rsidR="00384CC8">
        <w:rPr>
          <w:rFonts w:eastAsia="Calibri"/>
        </w:rPr>
        <w:t xml:space="preserve"> similarly</w:t>
      </w:r>
      <w:r w:rsidRPr="003B16E1">
        <w:rPr>
          <w:rFonts w:eastAsia="Calibri"/>
        </w:rPr>
        <w:t xml:space="preserve"> provides</w:t>
      </w:r>
      <w:r>
        <w:rPr>
          <w:rFonts w:eastAsia="Calibri"/>
        </w:rPr>
        <w:t xml:space="preserve"> that</w:t>
      </w:r>
      <w:r w:rsidRPr="003B16E1">
        <w:rPr>
          <w:rFonts w:eastAsia="Calibri"/>
        </w:rPr>
        <w:t xml:space="preserve"> “[a] lice</w:t>
      </w:r>
      <w:r w:rsidRPr="003B16E1">
        <w:rPr>
          <w:rFonts w:eastAsia="Calibri"/>
        </w:rPr>
        <w:t>nse shall be issued for a specific capacity, which shall be the maximum number of children that can be cared for at any given time.”</w:t>
      </w:r>
    </w:p>
    <w:p w14:paraId="427E6727" w14:textId="5BA3A64F" w:rsidR="00277553" w:rsidRPr="003B16E1" w:rsidRDefault="003A0E16" w:rsidP="00166B72">
      <w:pPr>
        <w:ind w:firstLine="720"/>
        <w:contextualSpacing/>
        <w:rPr>
          <w:rFonts w:eastAsia="Calibri"/>
        </w:rPr>
      </w:pPr>
      <w:r>
        <w:rPr>
          <w:rFonts w:eastAsia="Calibri"/>
        </w:rPr>
        <w:t xml:space="preserve">Both section 101152, subdivision (c)(2) and section 101179, subdivision (a), use phrases indicating “capacity” includes </w:t>
      </w:r>
      <w:r w:rsidRPr="003B16E1">
        <w:rPr>
          <w:rFonts w:eastAsia="Calibri"/>
        </w:rPr>
        <w:t>a temporal element</w:t>
      </w:r>
      <w:r>
        <w:rPr>
          <w:rFonts w:eastAsia="Calibri"/>
        </w:rPr>
        <w:t xml:space="preserve">, and </w:t>
      </w:r>
      <w:r w:rsidR="009A7A45">
        <w:rPr>
          <w:rFonts w:eastAsia="Calibri"/>
        </w:rPr>
        <w:t xml:space="preserve">both </w:t>
      </w:r>
      <w:r>
        <w:rPr>
          <w:rFonts w:eastAsia="Calibri"/>
        </w:rPr>
        <w:t xml:space="preserve">refer to the maximum </w:t>
      </w:r>
      <w:r w:rsidRPr="003B16E1">
        <w:rPr>
          <w:rFonts w:eastAsia="Calibri"/>
        </w:rPr>
        <w:t>number of children a child</w:t>
      </w:r>
      <w:r w:rsidR="003569AE">
        <w:rPr>
          <w:rFonts w:eastAsia="Calibri"/>
        </w:rPr>
        <w:t xml:space="preserve"> </w:t>
      </w:r>
      <w:r w:rsidRPr="003B16E1">
        <w:rPr>
          <w:rFonts w:eastAsia="Calibri"/>
        </w:rPr>
        <w:t xml:space="preserve">care center can provide care for at once. </w:t>
      </w:r>
      <w:r>
        <w:rPr>
          <w:rFonts w:eastAsia="Calibri"/>
        </w:rPr>
        <w:t xml:space="preserve"> A child care center can only provide care and supervision to children who are physically present at the center’s facility.  </w:t>
      </w:r>
      <w:r w:rsidRPr="003B16E1">
        <w:rPr>
          <w:rFonts w:eastAsia="Calibri"/>
        </w:rPr>
        <w:t>The phrase “at any one time,” in its ordinary usage, means at a given moment in time</w:t>
      </w:r>
      <w:r>
        <w:rPr>
          <w:rFonts w:eastAsia="Calibri"/>
        </w:rPr>
        <w:t>, as does “at any given time</w:t>
      </w:r>
      <w:r w:rsidRPr="003B16E1">
        <w:rPr>
          <w:rFonts w:eastAsia="Calibri"/>
        </w:rPr>
        <w:t>.</w:t>
      </w:r>
      <w:r>
        <w:rPr>
          <w:rFonts w:eastAsia="Calibri"/>
        </w:rPr>
        <w:t>”</w:t>
      </w:r>
      <w:r w:rsidRPr="003B16E1">
        <w:rPr>
          <w:rFonts w:eastAsia="Calibri"/>
        </w:rPr>
        <w:t xml:space="preserve"> </w:t>
      </w:r>
      <w:r>
        <w:rPr>
          <w:rFonts w:eastAsia="Calibri"/>
        </w:rPr>
        <w:t xml:space="preserve"> U</w:t>
      </w:r>
      <w:r w:rsidRPr="003B16E1">
        <w:rPr>
          <w:rFonts w:eastAsia="Calibri"/>
        </w:rPr>
        <w:t xml:space="preserve">nder the plain </w:t>
      </w:r>
      <w:r w:rsidR="00C620B2">
        <w:rPr>
          <w:rFonts w:eastAsia="Calibri"/>
        </w:rPr>
        <w:t>language</w:t>
      </w:r>
      <w:r w:rsidRPr="003B16E1">
        <w:rPr>
          <w:rFonts w:eastAsia="Calibri"/>
        </w:rPr>
        <w:t xml:space="preserve"> of the regulation, “capacity” is</w:t>
      </w:r>
      <w:r>
        <w:rPr>
          <w:rFonts w:eastAsia="Calibri"/>
        </w:rPr>
        <w:t xml:space="preserve"> an upper limit </w:t>
      </w:r>
      <w:r w:rsidR="00F97502">
        <w:rPr>
          <w:rFonts w:eastAsia="Calibri"/>
        </w:rPr>
        <w:t xml:space="preserve">on </w:t>
      </w:r>
      <w:r>
        <w:rPr>
          <w:rFonts w:eastAsia="Calibri"/>
        </w:rPr>
        <w:t xml:space="preserve">the number of </w:t>
      </w:r>
      <w:r w:rsidRPr="003B16E1">
        <w:rPr>
          <w:rFonts w:eastAsia="Calibri"/>
        </w:rPr>
        <w:t xml:space="preserve">children </w:t>
      </w:r>
      <w:r>
        <w:rPr>
          <w:rFonts w:eastAsia="Calibri"/>
        </w:rPr>
        <w:t xml:space="preserve">who may be physically present </w:t>
      </w:r>
      <w:r w:rsidRPr="003B16E1">
        <w:rPr>
          <w:rFonts w:eastAsia="Calibri"/>
        </w:rPr>
        <w:t>at a child</w:t>
      </w:r>
      <w:r w:rsidR="00F97502">
        <w:rPr>
          <w:rFonts w:eastAsia="Calibri"/>
        </w:rPr>
        <w:t xml:space="preserve"> </w:t>
      </w:r>
      <w:r w:rsidRPr="003B16E1">
        <w:rPr>
          <w:rFonts w:eastAsia="Calibri"/>
        </w:rPr>
        <w:t>care facilit</w:t>
      </w:r>
      <w:r w:rsidRPr="003B16E1">
        <w:rPr>
          <w:rFonts w:eastAsia="Calibri"/>
        </w:rPr>
        <w:t>y</w:t>
      </w:r>
      <w:r w:rsidR="00C620B2">
        <w:rPr>
          <w:rFonts w:eastAsia="Calibri"/>
        </w:rPr>
        <w:t xml:space="preserve"> while under the </w:t>
      </w:r>
      <w:r w:rsidR="008D573A">
        <w:rPr>
          <w:rFonts w:eastAsia="Calibri"/>
        </w:rPr>
        <w:t>facility’s care and supervision</w:t>
      </w:r>
      <w:r w:rsidRPr="003B16E1">
        <w:rPr>
          <w:rFonts w:eastAsia="Calibri"/>
        </w:rPr>
        <w:t>.</w:t>
      </w:r>
    </w:p>
    <w:p w14:paraId="06481658" w14:textId="581112E5" w:rsidR="00277553" w:rsidRDefault="003A0E16" w:rsidP="00166B72">
      <w:pPr>
        <w:ind w:firstLine="720"/>
        <w:contextualSpacing/>
        <w:rPr>
          <w:rFonts w:eastAsia="Calibri"/>
        </w:rPr>
      </w:pPr>
      <w:r>
        <w:rPr>
          <w:rFonts w:eastAsia="Calibri"/>
        </w:rPr>
        <w:t xml:space="preserve">Here, the parties disputed whether determining if Pacific Oaks exceeded “the maximum number of children that can be cared for at any given time” was properly measured by the number of children enrolled at the school, or by the number of children actually in attendance at any one time.  Plaintiffs argue the only relevant number is the number of children who were enrolled, irrespective of how many children were actually attending—physically present—at the school.  </w:t>
      </w:r>
      <w:r w:rsidR="00F801C4">
        <w:rPr>
          <w:rFonts w:eastAsia="Calibri"/>
        </w:rPr>
        <w:t xml:space="preserve">Yet, at least in this case, the enrollment numbers did not represent the number of children </w:t>
      </w:r>
      <w:r w:rsidR="00F81024">
        <w:rPr>
          <w:rFonts w:eastAsia="Calibri"/>
        </w:rPr>
        <w:t xml:space="preserve">simultaneously </w:t>
      </w:r>
      <w:r w:rsidR="00F801C4">
        <w:rPr>
          <w:rFonts w:eastAsia="Calibri"/>
        </w:rPr>
        <w:t>present</w:t>
      </w:r>
      <w:r w:rsidR="00071D8E">
        <w:rPr>
          <w:rFonts w:eastAsia="Calibri"/>
        </w:rPr>
        <w:t>, or expected to be present</w:t>
      </w:r>
      <w:r w:rsidR="00960014">
        <w:rPr>
          <w:rFonts w:eastAsia="Calibri"/>
        </w:rPr>
        <w:t>,</w:t>
      </w:r>
      <w:r w:rsidR="00071D8E">
        <w:rPr>
          <w:rFonts w:eastAsia="Calibri"/>
        </w:rPr>
        <w:t xml:space="preserve"> </w:t>
      </w:r>
      <w:r w:rsidR="004C54FC">
        <w:rPr>
          <w:rFonts w:eastAsia="Calibri"/>
        </w:rPr>
        <w:t>and under</w:t>
      </w:r>
      <w:r w:rsidR="00115F4A">
        <w:rPr>
          <w:rFonts w:eastAsia="Calibri"/>
        </w:rPr>
        <w:t xml:space="preserve"> Pacific Oak</w:t>
      </w:r>
      <w:r w:rsidR="00285AD5">
        <w:rPr>
          <w:rFonts w:eastAsia="Calibri"/>
        </w:rPr>
        <w:t>s</w:t>
      </w:r>
      <w:r w:rsidR="00115F4A">
        <w:rPr>
          <w:rFonts w:eastAsia="Calibri"/>
        </w:rPr>
        <w:t>’s care and supervision</w:t>
      </w:r>
      <w:r w:rsidR="00071D8E">
        <w:rPr>
          <w:rFonts w:eastAsia="Calibri"/>
        </w:rPr>
        <w:t xml:space="preserve">.  </w:t>
      </w:r>
      <w:r w:rsidR="000F74DB">
        <w:rPr>
          <w:rFonts w:eastAsia="Calibri"/>
        </w:rPr>
        <w:t xml:space="preserve">Pacific Oaks’s </w:t>
      </w:r>
      <w:r w:rsidR="007C5CAC">
        <w:rPr>
          <w:rFonts w:eastAsia="Calibri"/>
        </w:rPr>
        <w:t xml:space="preserve">total </w:t>
      </w:r>
      <w:r w:rsidR="000F74DB">
        <w:rPr>
          <w:rFonts w:eastAsia="Calibri"/>
        </w:rPr>
        <w:t>“e</w:t>
      </w:r>
      <w:r w:rsidR="00654126">
        <w:rPr>
          <w:rFonts w:eastAsia="Calibri"/>
        </w:rPr>
        <w:t>nrollment”</w:t>
      </w:r>
      <w:r w:rsidR="001A414F">
        <w:rPr>
          <w:rFonts w:eastAsia="Calibri"/>
        </w:rPr>
        <w:t xml:space="preserve"> therefore</w:t>
      </w:r>
      <w:r w:rsidR="00654126">
        <w:rPr>
          <w:rFonts w:eastAsia="Calibri"/>
        </w:rPr>
        <w:t xml:space="preserve"> does not align with the regulations’ definition</w:t>
      </w:r>
      <w:r w:rsidR="005507CB">
        <w:rPr>
          <w:rFonts w:eastAsia="Calibri"/>
        </w:rPr>
        <w:t xml:space="preserve"> of “capacity.”  </w:t>
      </w:r>
      <w:r>
        <w:rPr>
          <w:rFonts w:eastAsia="Calibri"/>
        </w:rPr>
        <w:t xml:space="preserve">The trial court properly rejected </w:t>
      </w:r>
      <w:r w:rsidR="00071D8E">
        <w:rPr>
          <w:rFonts w:eastAsia="Calibri"/>
        </w:rPr>
        <w:lastRenderedPageBreak/>
        <w:t>pla</w:t>
      </w:r>
      <w:r w:rsidR="005507CB">
        <w:rPr>
          <w:rFonts w:eastAsia="Calibri"/>
        </w:rPr>
        <w:t>i</w:t>
      </w:r>
      <w:r w:rsidR="00071D8E">
        <w:rPr>
          <w:rFonts w:eastAsia="Calibri"/>
        </w:rPr>
        <w:t>ntiffs’</w:t>
      </w:r>
      <w:r>
        <w:rPr>
          <w:rFonts w:eastAsia="Calibri"/>
        </w:rPr>
        <w:t xml:space="preserve"> argument as inconsistent with the plain language of the </w:t>
      </w:r>
      <w:r w:rsidR="001364BD">
        <w:rPr>
          <w:rFonts w:eastAsia="Calibri"/>
        </w:rPr>
        <w:t xml:space="preserve">relevant </w:t>
      </w:r>
      <w:r>
        <w:rPr>
          <w:rFonts w:eastAsia="Calibri"/>
        </w:rPr>
        <w:t>regulation</w:t>
      </w:r>
      <w:r w:rsidR="001364BD">
        <w:rPr>
          <w:rFonts w:eastAsia="Calibri"/>
        </w:rPr>
        <w:t>s.</w:t>
      </w:r>
      <w:r>
        <w:rPr>
          <w:rFonts w:eastAsia="Calibri"/>
        </w:rPr>
        <w:t xml:space="preserve"> </w:t>
      </w:r>
      <w:r w:rsidR="001364BD">
        <w:rPr>
          <w:rFonts w:eastAsia="Calibri"/>
        </w:rPr>
        <w:t xml:space="preserve"> </w:t>
      </w:r>
      <w:r w:rsidR="00B71C72">
        <w:rPr>
          <w:rFonts w:eastAsia="Calibri"/>
        </w:rPr>
        <w:t xml:space="preserve">Plaintiffs’ interpretation is also inconsistent </w:t>
      </w:r>
      <w:r>
        <w:rPr>
          <w:rFonts w:eastAsia="Calibri"/>
        </w:rPr>
        <w:t xml:space="preserve">with </w:t>
      </w:r>
      <w:r w:rsidR="00B71C72">
        <w:rPr>
          <w:rFonts w:eastAsia="Calibri"/>
        </w:rPr>
        <w:t>other regulatory provisions</w:t>
      </w:r>
      <w:r w:rsidR="00703D59">
        <w:rPr>
          <w:rFonts w:eastAsia="Calibri"/>
        </w:rPr>
        <w:t xml:space="preserve"> and with </w:t>
      </w:r>
      <w:r>
        <w:rPr>
          <w:rFonts w:eastAsia="Calibri"/>
        </w:rPr>
        <w:t xml:space="preserve">the </w:t>
      </w:r>
      <w:r w:rsidR="00B71C72">
        <w:rPr>
          <w:rFonts w:eastAsia="Calibri"/>
        </w:rPr>
        <w:t>legislative purpose and intent of the</w:t>
      </w:r>
      <w:r>
        <w:rPr>
          <w:rFonts w:eastAsia="Calibri"/>
        </w:rPr>
        <w:t xml:space="preserve"> authorizing </w:t>
      </w:r>
      <w:r w:rsidR="007C5CAC">
        <w:rPr>
          <w:rFonts w:eastAsia="Calibri"/>
        </w:rPr>
        <w:t>statute</w:t>
      </w:r>
      <w:r w:rsidR="00703D59">
        <w:rPr>
          <w:rFonts w:eastAsia="Calibri"/>
        </w:rPr>
        <w:t>.</w:t>
      </w:r>
    </w:p>
    <w:p w14:paraId="5FF99B33" w14:textId="42167604" w:rsidR="008F51BF" w:rsidRDefault="003A0E16" w:rsidP="008F51BF">
      <w:pPr>
        <w:ind w:firstLine="720"/>
        <w:contextualSpacing/>
        <w:rPr>
          <w:rFonts w:eastAsia="Calibri"/>
        </w:rPr>
      </w:pPr>
      <w:r w:rsidRPr="003B16E1">
        <w:rPr>
          <w:rFonts w:eastAsia="Calibri"/>
        </w:rPr>
        <w:t>F</w:t>
      </w:r>
      <w:r>
        <w:rPr>
          <w:rFonts w:eastAsia="Calibri"/>
        </w:rPr>
        <w:t>or example</w:t>
      </w:r>
      <w:r w:rsidRPr="003B16E1">
        <w:rPr>
          <w:rFonts w:eastAsia="Calibri"/>
        </w:rPr>
        <w:t xml:space="preserve">, </w:t>
      </w:r>
      <w:r>
        <w:rPr>
          <w:rFonts w:eastAsia="Calibri"/>
        </w:rPr>
        <w:t xml:space="preserve">section 101179 </w:t>
      </w:r>
      <w:r w:rsidRPr="003B16E1">
        <w:rPr>
          <w:rFonts w:eastAsia="Calibri"/>
        </w:rPr>
        <w:t>instructs DSS to determine “capacity” by considering several factors, including the fire clearance; the licensee’s ability to comply with applicable laws and regulations; the physical features of the center, including available space; and the number of available staff.  (§ 101179, subd. (b)(1)–(4).)  The regulatory focus on the physical features of a child</w:t>
      </w:r>
      <w:r w:rsidR="00910FCF">
        <w:rPr>
          <w:rFonts w:eastAsia="Calibri"/>
        </w:rPr>
        <w:t xml:space="preserve"> </w:t>
      </w:r>
      <w:r w:rsidRPr="003B16E1">
        <w:rPr>
          <w:rFonts w:eastAsia="Calibri"/>
        </w:rPr>
        <w:t>care facility</w:t>
      </w:r>
      <w:r>
        <w:rPr>
          <w:rFonts w:eastAsia="Calibri"/>
        </w:rPr>
        <w:t xml:space="preserve"> indicates</w:t>
      </w:r>
      <w:r w:rsidRPr="003B16E1">
        <w:rPr>
          <w:rFonts w:eastAsia="Calibri"/>
        </w:rPr>
        <w:t xml:space="preserve"> “capacity” functions as an upper limit on the number of children </w:t>
      </w:r>
      <w:r>
        <w:rPr>
          <w:rFonts w:eastAsia="Calibri"/>
        </w:rPr>
        <w:t>the</w:t>
      </w:r>
      <w:r w:rsidRPr="003B16E1">
        <w:rPr>
          <w:rFonts w:eastAsia="Calibri"/>
        </w:rPr>
        <w:t xml:space="preserve"> facility can </w:t>
      </w:r>
      <w:r>
        <w:rPr>
          <w:rFonts w:eastAsia="Calibri"/>
        </w:rPr>
        <w:t xml:space="preserve">physically </w:t>
      </w:r>
      <w:r w:rsidRPr="003B16E1">
        <w:rPr>
          <w:rFonts w:eastAsia="Calibri"/>
        </w:rPr>
        <w:t>accommoda</w:t>
      </w:r>
      <w:r w:rsidRPr="003B16E1">
        <w:rPr>
          <w:rFonts w:eastAsia="Calibri"/>
        </w:rPr>
        <w:t>te at a time</w:t>
      </w:r>
      <w:r>
        <w:rPr>
          <w:rFonts w:eastAsia="Calibri"/>
        </w:rPr>
        <w:t xml:space="preserve">.  When, as in this case, </w:t>
      </w:r>
      <w:r w:rsidR="004E0133">
        <w:rPr>
          <w:rFonts w:eastAsia="Calibri"/>
        </w:rPr>
        <w:t xml:space="preserve">all enrolled children are not </w:t>
      </w:r>
      <w:r w:rsidR="00A53250">
        <w:rPr>
          <w:rFonts w:eastAsia="Calibri"/>
        </w:rPr>
        <w:t>expected to be present at the same time at the facility</w:t>
      </w:r>
      <w:r w:rsidR="00062B3E">
        <w:rPr>
          <w:rFonts w:eastAsia="Calibri"/>
        </w:rPr>
        <w:t xml:space="preserve">, </w:t>
      </w:r>
      <w:r w:rsidR="00796AD7">
        <w:rPr>
          <w:rFonts w:eastAsia="Calibri"/>
        </w:rPr>
        <w:t xml:space="preserve">aggregate </w:t>
      </w:r>
      <w:r w:rsidR="00A53250">
        <w:rPr>
          <w:rFonts w:eastAsia="Calibri"/>
        </w:rPr>
        <w:t>enrollment numbers</w:t>
      </w:r>
      <w:r w:rsidR="00062B3E">
        <w:rPr>
          <w:rFonts w:eastAsia="Calibri"/>
        </w:rPr>
        <w:t xml:space="preserve"> </w:t>
      </w:r>
      <w:r w:rsidR="00796AD7">
        <w:rPr>
          <w:rFonts w:eastAsia="Calibri"/>
        </w:rPr>
        <w:t xml:space="preserve">do not assist </w:t>
      </w:r>
      <w:r w:rsidR="00AB23B3">
        <w:rPr>
          <w:rFonts w:eastAsia="Calibri"/>
        </w:rPr>
        <w:t xml:space="preserve">in determining whether </w:t>
      </w:r>
      <w:r w:rsidR="004E0133">
        <w:rPr>
          <w:rFonts w:eastAsia="Calibri"/>
        </w:rPr>
        <w:t xml:space="preserve">the facility has sufficient </w:t>
      </w:r>
      <w:r w:rsidR="00796AD7">
        <w:rPr>
          <w:rFonts w:eastAsia="Calibri"/>
        </w:rPr>
        <w:t xml:space="preserve">physical </w:t>
      </w:r>
      <w:r w:rsidR="004E0133">
        <w:rPr>
          <w:rFonts w:eastAsia="Calibri"/>
        </w:rPr>
        <w:t>space, or whether it can maintain required teacher-student ratios.</w:t>
      </w:r>
    </w:p>
    <w:p w14:paraId="168DD2E9" w14:textId="59F37A6E" w:rsidR="00277553" w:rsidRDefault="003A0E16" w:rsidP="00166B72">
      <w:pPr>
        <w:ind w:firstLine="720"/>
        <w:contextualSpacing/>
        <w:rPr>
          <w:rFonts w:eastAsia="Calibri"/>
        </w:rPr>
      </w:pPr>
      <w:r w:rsidRPr="003B16E1">
        <w:rPr>
          <w:rFonts w:eastAsia="Calibri"/>
        </w:rPr>
        <w:t xml:space="preserve">Measuring capacity by </w:t>
      </w:r>
      <w:r>
        <w:rPr>
          <w:rFonts w:eastAsia="Calibri"/>
        </w:rPr>
        <w:t xml:space="preserve">counting the children in </w:t>
      </w:r>
      <w:r w:rsidRPr="003B16E1">
        <w:rPr>
          <w:rFonts w:eastAsia="Calibri"/>
        </w:rPr>
        <w:t xml:space="preserve">attendance </w:t>
      </w:r>
      <w:r w:rsidR="005507CB">
        <w:rPr>
          <w:rFonts w:eastAsia="Calibri"/>
        </w:rPr>
        <w:t xml:space="preserve">is </w:t>
      </w:r>
      <w:r w:rsidR="007C5CAC">
        <w:rPr>
          <w:rFonts w:eastAsia="Calibri"/>
        </w:rPr>
        <w:t xml:space="preserve">also </w:t>
      </w:r>
      <w:r w:rsidR="005507CB">
        <w:rPr>
          <w:rFonts w:eastAsia="Calibri"/>
        </w:rPr>
        <w:t xml:space="preserve">consistent </w:t>
      </w:r>
      <w:r w:rsidRPr="003B16E1">
        <w:rPr>
          <w:rFonts w:eastAsia="Calibri"/>
        </w:rPr>
        <w:t>with the statute</w:t>
      </w:r>
      <w:r>
        <w:rPr>
          <w:rFonts w:eastAsia="Calibri"/>
        </w:rPr>
        <w:t xml:space="preserve"> authorizing the regulations</w:t>
      </w:r>
      <w:r w:rsidRPr="003B16E1">
        <w:rPr>
          <w:rFonts w:eastAsia="Calibri"/>
        </w:rPr>
        <w:t xml:space="preserve">, the California Child Day Care </w:t>
      </w:r>
      <w:r>
        <w:rPr>
          <w:rFonts w:eastAsia="Calibri"/>
        </w:rPr>
        <w:t xml:space="preserve">Facilities </w:t>
      </w:r>
      <w:r w:rsidRPr="003B16E1">
        <w:rPr>
          <w:rFonts w:eastAsia="Calibri"/>
        </w:rPr>
        <w:t xml:space="preserve">Act.  (Health &amp; Saf. Code, § 1596.70 et seq.)  The </w:t>
      </w:r>
      <w:r w:rsidR="000250A9">
        <w:rPr>
          <w:rFonts w:eastAsia="Calibri"/>
        </w:rPr>
        <w:t xml:space="preserve">express </w:t>
      </w:r>
      <w:r w:rsidRPr="003B16E1">
        <w:rPr>
          <w:rFonts w:eastAsia="Calibri"/>
        </w:rPr>
        <w:t xml:space="preserve">legislative intent </w:t>
      </w:r>
      <w:r w:rsidR="000250A9">
        <w:rPr>
          <w:rFonts w:eastAsia="Calibri"/>
        </w:rPr>
        <w:t xml:space="preserve">of the statute </w:t>
      </w:r>
      <w:r>
        <w:rPr>
          <w:rFonts w:eastAsia="Calibri"/>
        </w:rPr>
        <w:t>include</w:t>
      </w:r>
      <w:r w:rsidR="00483F16">
        <w:rPr>
          <w:rFonts w:eastAsia="Calibri"/>
        </w:rPr>
        <w:t>s</w:t>
      </w:r>
      <w:r w:rsidRPr="003B16E1">
        <w:rPr>
          <w:rFonts w:eastAsia="Calibri"/>
        </w:rPr>
        <w:t xml:space="preserve"> </w:t>
      </w:r>
      <w:r>
        <w:rPr>
          <w:rFonts w:eastAsia="Calibri"/>
        </w:rPr>
        <w:t>ensuring</w:t>
      </w:r>
      <w:r w:rsidRPr="003B16E1">
        <w:rPr>
          <w:rFonts w:eastAsia="Calibri"/>
        </w:rPr>
        <w:t xml:space="preserve"> </w:t>
      </w:r>
      <w:r>
        <w:rPr>
          <w:rFonts w:eastAsia="Calibri"/>
        </w:rPr>
        <w:t>“</w:t>
      </w:r>
      <w:r w:rsidRPr="003B16E1">
        <w:rPr>
          <w:rFonts w:eastAsia="Calibri"/>
        </w:rPr>
        <w:t>a quality childcare environment” and the well-being of children of working parents by regulating the quality of child</w:t>
      </w:r>
      <w:r w:rsidR="00D70BFD">
        <w:rPr>
          <w:rFonts w:eastAsia="Calibri"/>
        </w:rPr>
        <w:t xml:space="preserve"> </w:t>
      </w:r>
      <w:r w:rsidRPr="003B16E1">
        <w:rPr>
          <w:rFonts w:eastAsia="Calibri"/>
        </w:rPr>
        <w:t>care facilities.  (Health &amp; Saf. Code, § 1596.72, subds. (b), (e), (f).)</w:t>
      </w:r>
      <w:r w:rsidR="00CF1072">
        <w:rPr>
          <w:rFonts w:eastAsia="Calibri"/>
        </w:rPr>
        <w:t xml:space="preserve">  The Legislature also found </w:t>
      </w:r>
      <w:r w:rsidR="006E0FD3">
        <w:rPr>
          <w:rFonts w:eastAsia="Calibri"/>
        </w:rPr>
        <w:t>“California has a tremendous shortage of regulated childcare, and only a small fraction of families who need childcare have it</w:t>
      </w:r>
      <w:r w:rsidR="001457D0">
        <w:rPr>
          <w:rFonts w:eastAsia="Calibri"/>
        </w:rPr>
        <w:t>.”  (</w:t>
      </w:r>
      <w:r w:rsidR="001457D0">
        <w:rPr>
          <w:rFonts w:eastAsia="Calibri"/>
          <w:i/>
          <w:iCs/>
        </w:rPr>
        <w:t>Id</w:t>
      </w:r>
      <w:r w:rsidR="001457D0" w:rsidRPr="00542B36">
        <w:rPr>
          <w:rFonts w:eastAsia="Calibri"/>
        </w:rPr>
        <w:t>.</w:t>
      </w:r>
      <w:r w:rsidR="001457D0">
        <w:rPr>
          <w:rFonts w:eastAsia="Calibri"/>
        </w:rPr>
        <w:t xml:space="preserve">, subd. (f).)  </w:t>
      </w:r>
      <w:r w:rsidR="007C5CAC">
        <w:rPr>
          <w:rFonts w:eastAsia="Calibri"/>
        </w:rPr>
        <w:t xml:space="preserve">Yet, </w:t>
      </w:r>
      <w:r w:rsidR="004719C0">
        <w:rPr>
          <w:rFonts w:eastAsia="Calibri"/>
        </w:rPr>
        <w:t>plaintiffs’ interpretation of the regulations</w:t>
      </w:r>
      <w:r w:rsidR="00672D1A">
        <w:rPr>
          <w:rFonts w:eastAsia="Calibri"/>
        </w:rPr>
        <w:t xml:space="preserve"> would restrict, rather than expand, the amount of potentially available child care.  For example, using plaintiffs’ analysis,</w:t>
      </w:r>
      <w:r w:rsidR="004719C0">
        <w:rPr>
          <w:rFonts w:eastAsia="Calibri"/>
        </w:rPr>
        <w:t xml:space="preserve"> </w:t>
      </w:r>
      <w:r w:rsidR="006B0E2D">
        <w:rPr>
          <w:rFonts w:eastAsia="Calibri"/>
        </w:rPr>
        <w:t xml:space="preserve">if a facility </w:t>
      </w:r>
      <w:r w:rsidR="00F922A1">
        <w:rPr>
          <w:rFonts w:eastAsia="Calibri"/>
        </w:rPr>
        <w:t>with a</w:t>
      </w:r>
      <w:r w:rsidR="00046ED0">
        <w:rPr>
          <w:rFonts w:eastAsia="Calibri"/>
        </w:rPr>
        <w:t xml:space="preserve"> </w:t>
      </w:r>
      <w:r w:rsidR="00046ED0">
        <w:rPr>
          <w:rFonts w:eastAsia="Calibri"/>
        </w:rPr>
        <w:lastRenderedPageBreak/>
        <w:t xml:space="preserve">capacity limitation of 20 </w:t>
      </w:r>
      <w:r w:rsidR="000F2B8F">
        <w:rPr>
          <w:rFonts w:eastAsia="Calibri"/>
        </w:rPr>
        <w:t>p</w:t>
      </w:r>
      <w:r w:rsidR="006B0E2D">
        <w:rPr>
          <w:rFonts w:eastAsia="Calibri"/>
        </w:rPr>
        <w:t>rovide</w:t>
      </w:r>
      <w:r w:rsidR="00483F16">
        <w:rPr>
          <w:rFonts w:eastAsia="Calibri"/>
        </w:rPr>
        <w:t>s</w:t>
      </w:r>
      <w:r w:rsidR="006B0E2D">
        <w:rPr>
          <w:rFonts w:eastAsia="Calibri"/>
        </w:rPr>
        <w:t xml:space="preserve"> care to one group of </w:t>
      </w:r>
      <w:r w:rsidR="00046ED0">
        <w:rPr>
          <w:rFonts w:eastAsia="Calibri"/>
        </w:rPr>
        <w:t xml:space="preserve">15 </w:t>
      </w:r>
      <w:r w:rsidR="006B0E2D">
        <w:rPr>
          <w:rFonts w:eastAsia="Calibri"/>
        </w:rPr>
        <w:t>children in the morning, and a</w:t>
      </w:r>
      <w:r w:rsidR="00672D1A">
        <w:rPr>
          <w:rFonts w:eastAsia="Calibri"/>
        </w:rPr>
        <w:t>nother</w:t>
      </w:r>
      <w:r w:rsidR="006B0E2D">
        <w:rPr>
          <w:rFonts w:eastAsia="Calibri"/>
        </w:rPr>
        <w:t xml:space="preserve"> group of </w:t>
      </w:r>
      <w:r w:rsidR="00046ED0">
        <w:rPr>
          <w:rFonts w:eastAsia="Calibri"/>
        </w:rPr>
        <w:t xml:space="preserve">15 </w:t>
      </w:r>
      <w:r w:rsidR="006B0E2D">
        <w:rPr>
          <w:rFonts w:eastAsia="Calibri"/>
        </w:rPr>
        <w:t xml:space="preserve">children in the afternoon, </w:t>
      </w:r>
      <w:r w:rsidR="00046ED0">
        <w:rPr>
          <w:rFonts w:eastAsia="Calibri"/>
        </w:rPr>
        <w:t xml:space="preserve">with no overlapping times when all 30 children </w:t>
      </w:r>
      <w:r w:rsidR="00483F16">
        <w:rPr>
          <w:rFonts w:eastAsia="Calibri"/>
        </w:rPr>
        <w:t>a</w:t>
      </w:r>
      <w:r w:rsidR="00046ED0">
        <w:rPr>
          <w:rFonts w:eastAsia="Calibri"/>
        </w:rPr>
        <w:t xml:space="preserve">re present, </w:t>
      </w:r>
      <w:r w:rsidR="005B2347">
        <w:rPr>
          <w:rFonts w:eastAsia="Calibri"/>
        </w:rPr>
        <w:t xml:space="preserve">the facility </w:t>
      </w:r>
      <w:r w:rsidR="00672D1A">
        <w:rPr>
          <w:rFonts w:eastAsia="Calibri"/>
        </w:rPr>
        <w:t>would</w:t>
      </w:r>
      <w:r w:rsidR="00483F16">
        <w:rPr>
          <w:rFonts w:eastAsia="Calibri"/>
        </w:rPr>
        <w:t xml:space="preserve"> still </w:t>
      </w:r>
      <w:r w:rsidR="00672D1A">
        <w:rPr>
          <w:rFonts w:eastAsia="Calibri"/>
        </w:rPr>
        <w:t>violate</w:t>
      </w:r>
      <w:r w:rsidR="00483F16">
        <w:rPr>
          <w:rFonts w:eastAsia="Calibri"/>
        </w:rPr>
        <w:t xml:space="preserve"> its license</w:t>
      </w:r>
      <w:r w:rsidR="00A6594B">
        <w:rPr>
          <w:rFonts w:eastAsia="Calibri"/>
        </w:rPr>
        <w:t xml:space="preserve"> by having a total enrollment of 30 children.</w:t>
      </w:r>
      <w:r w:rsidR="00956E1B">
        <w:rPr>
          <w:rFonts w:eastAsia="Calibri"/>
        </w:rPr>
        <w:t xml:space="preserve">  </w:t>
      </w:r>
      <w:r w:rsidR="004B2486">
        <w:rPr>
          <w:rFonts w:eastAsia="Calibri"/>
        </w:rPr>
        <w:t xml:space="preserve">This interpretation of “capacity” would be inimical to </w:t>
      </w:r>
      <w:r w:rsidR="00FA1550">
        <w:rPr>
          <w:rFonts w:eastAsia="Calibri"/>
        </w:rPr>
        <w:t xml:space="preserve">the statute’s </w:t>
      </w:r>
      <w:r w:rsidR="00DE66F7">
        <w:rPr>
          <w:rFonts w:eastAsia="Calibri"/>
        </w:rPr>
        <w:t>purpose of promoting “the development and expansion of regulated childcare</w:t>
      </w:r>
      <w:r w:rsidR="00926901">
        <w:rPr>
          <w:rFonts w:eastAsia="Calibri"/>
        </w:rPr>
        <w:t>.</w:t>
      </w:r>
      <w:r w:rsidR="00DE66F7">
        <w:rPr>
          <w:rFonts w:eastAsia="Calibri"/>
        </w:rPr>
        <w:t>”</w:t>
      </w:r>
      <w:r w:rsidR="00E0226B">
        <w:rPr>
          <w:rFonts w:eastAsia="Calibri"/>
        </w:rPr>
        <w:t xml:space="preserve"> </w:t>
      </w:r>
      <w:r w:rsidR="00926901">
        <w:rPr>
          <w:rFonts w:eastAsia="Calibri"/>
        </w:rPr>
        <w:t xml:space="preserve"> </w:t>
      </w:r>
      <w:r w:rsidR="00E0226B">
        <w:rPr>
          <w:rFonts w:eastAsia="Calibri"/>
        </w:rPr>
        <w:t xml:space="preserve">(Health &amp; Saf. Code, </w:t>
      </w:r>
      <w:r w:rsidR="00E0226B" w:rsidRPr="00E0226B">
        <w:rPr>
          <w:rFonts w:eastAsia="Calibri"/>
        </w:rPr>
        <w:t xml:space="preserve">§ </w:t>
      </w:r>
      <w:r w:rsidR="00E0226B">
        <w:rPr>
          <w:rFonts w:eastAsia="Calibri"/>
        </w:rPr>
        <w:t>1596.73, subd. (f)</w:t>
      </w:r>
      <w:r w:rsidR="007C152C">
        <w:rPr>
          <w:rFonts w:eastAsia="Calibri"/>
        </w:rPr>
        <w:t>.</w:t>
      </w:r>
      <w:r w:rsidR="00E0226B">
        <w:rPr>
          <w:rFonts w:eastAsia="Calibri"/>
        </w:rPr>
        <w:t>)</w:t>
      </w:r>
    </w:p>
    <w:p w14:paraId="275D7A98" w14:textId="16C346DB" w:rsidR="00277553" w:rsidRDefault="003A0E16" w:rsidP="007B312D">
      <w:pPr>
        <w:ind w:firstLine="720"/>
        <w:contextualSpacing/>
        <w:rPr>
          <w:rFonts w:eastAsia="Calibri"/>
        </w:rPr>
      </w:pPr>
      <w:r>
        <w:rPr>
          <w:rFonts w:eastAsia="Calibri"/>
        </w:rPr>
        <w:t>We acknowledge that under some circumstances, enrollment numbers and attendance numbers might be functionally the same, or similar enough that enrollment numbers could provide circumstantial evidence or an inference of the number of children actually in attendance at any one time.  In this case, however, the evidence established that the enrollment numbers in question were not a reliable proxy for how many children were physically present at Pacific Oaks at any given time.  The enrollment numbers plaintiffs</w:t>
      </w:r>
      <w:r>
        <w:rPr>
          <w:rFonts w:eastAsia="Calibri"/>
        </w:rPr>
        <w:t xml:space="preserve"> sought to rely upon were aggregate numbers that did not take into account the timing of different programs.  </w:t>
      </w:r>
      <w:r w:rsidR="007A3DF7">
        <w:rPr>
          <w:rFonts w:eastAsia="Calibri"/>
        </w:rPr>
        <w:t>T</w:t>
      </w:r>
      <w:r>
        <w:rPr>
          <w:rFonts w:eastAsia="Calibri"/>
        </w:rPr>
        <w:t xml:space="preserve">he evidence affirmatively established that all enrolled children were not </w:t>
      </w:r>
      <w:r w:rsidR="00B06B0F">
        <w:rPr>
          <w:rFonts w:eastAsia="Calibri"/>
        </w:rPr>
        <w:t>on campus</w:t>
      </w:r>
      <w:r>
        <w:rPr>
          <w:rFonts w:eastAsia="Calibri"/>
        </w:rPr>
        <w:t xml:space="preserve"> at the same time.  Instead, in any given class, some children attended only in the morning, some only in the afternoon, some all day.  The enrollment numbers plaintiffs relied upon did not reflect these differences in attendance.  </w:t>
      </w:r>
      <w:r w:rsidR="00BB532F">
        <w:rPr>
          <w:rFonts w:eastAsia="Calibri"/>
        </w:rPr>
        <w:t>T</w:t>
      </w:r>
      <w:r>
        <w:rPr>
          <w:rFonts w:eastAsia="Calibri"/>
        </w:rPr>
        <w:t>h</w:t>
      </w:r>
      <w:r w:rsidR="00C01F40">
        <w:rPr>
          <w:rFonts w:eastAsia="Calibri"/>
        </w:rPr>
        <w:t>o</w:t>
      </w:r>
      <w:r w:rsidR="000250A9">
        <w:rPr>
          <w:rFonts w:eastAsia="Calibri"/>
        </w:rPr>
        <w:t>se</w:t>
      </w:r>
      <w:r>
        <w:rPr>
          <w:rFonts w:eastAsia="Calibri"/>
        </w:rPr>
        <w:t xml:space="preserve"> numbers alone were </w:t>
      </w:r>
      <w:r w:rsidR="00BB532F">
        <w:rPr>
          <w:rFonts w:eastAsia="Calibri"/>
        </w:rPr>
        <w:t xml:space="preserve">therefore </w:t>
      </w:r>
      <w:r>
        <w:rPr>
          <w:rFonts w:eastAsia="Calibri"/>
        </w:rPr>
        <w:t>insufficient to establish a violation of the DSS li</w:t>
      </w:r>
      <w:r>
        <w:rPr>
          <w:rFonts w:eastAsia="Calibri"/>
        </w:rPr>
        <w:t>cense capacity limit.</w:t>
      </w:r>
    </w:p>
    <w:p w14:paraId="4834EB7D" w14:textId="29AA010B" w:rsidR="00277553" w:rsidRPr="003B16E1" w:rsidRDefault="003A0E16" w:rsidP="00166B72">
      <w:pPr>
        <w:ind w:firstLine="720"/>
        <w:contextualSpacing/>
        <w:rPr>
          <w:rFonts w:eastAsia="Calibri"/>
        </w:rPr>
      </w:pPr>
      <w:r w:rsidRPr="003B16E1">
        <w:rPr>
          <w:rFonts w:eastAsia="Calibri"/>
        </w:rPr>
        <w:t xml:space="preserve">Plaintiffs’ citations to statutes and regulations defining “capacity” based on enrollment do not undermine this conclusion.  Plaintiffs </w:t>
      </w:r>
      <w:r>
        <w:rPr>
          <w:rFonts w:eastAsia="Calibri"/>
        </w:rPr>
        <w:t>contend that if the phrase “at any one time” in section</w:t>
      </w:r>
      <w:r w:rsidR="00E6107F">
        <w:rPr>
          <w:rFonts w:eastAsia="Calibri"/>
        </w:rPr>
        <w:t> </w:t>
      </w:r>
      <w:r>
        <w:rPr>
          <w:rFonts w:eastAsia="Calibri"/>
        </w:rPr>
        <w:t xml:space="preserve">101152, subdivision (c)(2) refers to children in attendance, </w:t>
      </w:r>
      <w:r>
        <w:rPr>
          <w:rFonts w:eastAsia="Calibri"/>
        </w:rPr>
        <w:lastRenderedPageBreak/>
        <w:t>the term “enrollment” in Health and Safety Code sections</w:t>
      </w:r>
      <w:r w:rsidR="00E6107F">
        <w:rPr>
          <w:rFonts w:eastAsia="Calibri"/>
        </w:rPr>
        <w:t> </w:t>
      </w:r>
      <w:r>
        <w:rPr>
          <w:rFonts w:eastAsia="Calibri"/>
        </w:rPr>
        <w:t>1596.807 and 1596.862 would have to be replaced with “attendance.”</w:t>
      </w:r>
      <w:r w:rsidRPr="00537E60">
        <w:rPr>
          <w:rFonts w:eastAsia="Calibri"/>
        </w:rPr>
        <w:t xml:space="preserve"> </w:t>
      </w:r>
      <w:r>
        <w:rPr>
          <w:rFonts w:eastAsia="Calibri"/>
        </w:rPr>
        <w:t xml:space="preserve"> We fail to see the connection between </w:t>
      </w:r>
      <w:r w:rsidR="0088602D">
        <w:rPr>
          <w:rFonts w:eastAsia="Calibri"/>
        </w:rPr>
        <w:t>section</w:t>
      </w:r>
      <w:r w:rsidR="00273988">
        <w:rPr>
          <w:rFonts w:eastAsia="Calibri"/>
        </w:rPr>
        <w:t> </w:t>
      </w:r>
      <w:r w:rsidR="0088602D">
        <w:rPr>
          <w:rFonts w:eastAsia="Calibri"/>
        </w:rPr>
        <w:t>10115</w:t>
      </w:r>
      <w:r w:rsidR="000D0D90">
        <w:rPr>
          <w:rFonts w:eastAsia="Calibri"/>
        </w:rPr>
        <w:t>2</w:t>
      </w:r>
      <w:r w:rsidR="0088602D">
        <w:rPr>
          <w:rFonts w:eastAsia="Calibri"/>
        </w:rPr>
        <w:t xml:space="preserve">, </w:t>
      </w:r>
      <w:r>
        <w:rPr>
          <w:rFonts w:eastAsia="Calibri"/>
        </w:rPr>
        <w:t xml:space="preserve">a regulation that uses neither the term attendance nor </w:t>
      </w:r>
      <w:r w:rsidR="00D86172">
        <w:rPr>
          <w:rFonts w:eastAsia="Calibri"/>
        </w:rPr>
        <w:t xml:space="preserve">the term </w:t>
      </w:r>
      <w:r>
        <w:rPr>
          <w:rFonts w:eastAsia="Calibri"/>
        </w:rPr>
        <w:t xml:space="preserve">enrollment, </w:t>
      </w:r>
      <w:r w:rsidR="0017592E">
        <w:rPr>
          <w:rFonts w:eastAsia="Calibri"/>
        </w:rPr>
        <w:t xml:space="preserve">and </w:t>
      </w:r>
      <w:r>
        <w:rPr>
          <w:rFonts w:eastAsia="Calibri"/>
        </w:rPr>
        <w:t>entirely unrelated provisions of the Health and Safety Code</w:t>
      </w:r>
      <w:r w:rsidR="00924286">
        <w:rPr>
          <w:rFonts w:eastAsia="Calibri"/>
        </w:rPr>
        <w:t>.</w:t>
      </w:r>
      <w:r>
        <w:rPr>
          <w:rFonts w:eastAsia="Calibri"/>
        </w:rPr>
        <w:t xml:space="preserve"> </w:t>
      </w:r>
      <w:r w:rsidR="00924286">
        <w:rPr>
          <w:rFonts w:eastAsia="Calibri"/>
        </w:rPr>
        <w:t xml:space="preserve"> P</w:t>
      </w:r>
      <w:r>
        <w:rPr>
          <w:rFonts w:eastAsia="Calibri"/>
        </w:rPr>
        <w:t>laintiffs offer no reasoning to explain their contention.</w:t>
      </w:r>
      <w:r>
        <w:rPr>
          <w:rStyle w:val="FootnoteReference"/>
          <w:rFonts w:eastAsia="Calibri"/>
        </w:rPr>
        <w:footnoteReference w:id="13"/>
      </w:r>
      <w:r>
        <w:rPr>
          <w:rFonts w:eastAsia="Calibri"/>
        </w:rPr>
        <w:t xml:space="preserve">  Similarly, Health and Safety Code section 1596.803 </w:t>
      </w:r>
      <w:r w:rsidR="000250A9">
        <w:rPr>
          <w:rFonts w:eastAsia="Calibri"/>
        </w:rPr>
        <w:t>lists</w:t>
      </w:r>
      <w:r>
        <w:rPr>
          <w:rFonts w:eastAsia="Calibri"/>
        </w:rPr>
        <w:t xml:space="preserve"> application fees for the issuance of a child day care facility </w:t>
      </w:r>
      <w:r w:rsidR="00D315EF">
        <w:rPr>
          <w:rFonts w:eastAsia="Calibri"/>
        </w:rPr>
        <w:t>license and</w:t>
      </w:r>
      <w:r>
        <w:rPr>
          <w:rFonts w:eastAsia="Calibri"/>
        </w:rPr>
        <w:t xml:space="preserve"> sets forth a graduated fee schedule that increases based on the capacity of the center.  Nothing about the provision “anchors capacity to enrollment,” because otherwise “the annual fee would fluctuate day to day, and hour to hour,” as plaintiffs claim. </w:t>
      </w:r>
      <w:r w:rsidR="00D96FAB">
        <w:rPr>
          <w:rFonts w:eastAsia="Calibri"/>
        </w:rPr>
        <w:t xml:space="preserve"> </w:t>
      </w:r>
      <w:r>
        <w:rPr>
          <w:rFonts w:eastAsia="Calibri"/>
        </w:rPr>
        <w:t>The regulations define capacity as the maximum number of children allowed at a facility.  That an application fee is based o</w:t>
      </w:r>
      <w:r>
        <w:rPr>
          <w:rFonts w:eastAsia="Calibri"/>
        </w:rPr>
        <w:t>n that maximum allowable number does not indicate “capacity” means the number of children allowed to enroll in the aggregate, rather than the number of children allowed to attend at any given time.</w:t>
      </w:r>
    </w:p>
    <w:p w14:paraId="313B052F" w14:textId="2F9F0D96" w:rsidR="00277553" w:rsidRPr="003B16E1" w:rsidRDefault="003A0E16" w:rsidP="00166B72">
      <w:pPr>
        <w:ind w:firstLine="720"/>
        <w:contextualSpacing/>
        <w:rPr>
          <w:rFonts w:eastAsia="Calibri"/>
        </w:rPr>
      </w:pPr>
      <w:r>
        <w:rPr>
          <w:rFonts w:eastAsia="Calibri"/>
        </w:rPr>
        <w:t xml:space="preserve">Plaintiffs have provided no legal authority that supports their </w:t>
      </w:r>
      <w:r w:rsidR="00AD7BB6">
        <w:rPr>
          <w:rFonts w:eastAsia="Calibri"/>
        </w:rPr>
        <w:t xml:space="preserve">argument.  Their reliance on </w:t>
      </w:r>
      <w:r w:rsidRPr="003B16E1">
        <w:rPr>
          <w:rFonts w:eastAsia="Calibri"/>
          <w:i/>
          <w:iCs/>
        </w:rPr>
        <w:t>Scott v</w:t>
      </w:r>
      <w:r w:rsidRPr="007B4874">
        <w:rPr>
          <w:rFonts w:eastAsia="Calibri"/>
          <w:i/>
          <w:iCs/>
        </w:rPr>
        <w:t>.</w:t>
      </w:r>
      <w:r w:rsidRPr="003B16E1">
        <w:rPr>
          <w:rFonts w:eastAsia="Calibri"/>
          <w:i/>
          <w:iCs/>
        </w:rPr>
        <w:t xml:space="preserve"> Phoenix Sch</w:t>
      </w:r>
      <w:r w:rsidR="000250A9">
        <w:rPr>
          <w:rFonts w:eastAsia="Calibri"/>
          <w:i/>
          <w:iCs/>
        </w:rPr>
        <w:t>ools</w:t>
      </w:r>
      <w:r w:rsidRPr="007B4874">
        <w:rPr>
          <w:rFonts w:eastAsia="Calibri"/>
          <w:i/>
          <w:iCs/>
        </w:rPr>
        <w:t>, Inc.</w:t>
      </w:r>
      <w:r w:rsidRPr="003B16E1">
        <w:rPr>
          <w:rFonts w:eastAsia="Calibri"/>
        </w:rPr>
        <w:t xml:space="preserve"> </w:t>
      </w:r>
      <w:r w:rsidRPr="003B16E1">
        <w:rPr>
          <w:rFonts w:eastAsia="Calibri"/>
        </w:rPr>
        <w:lastRenderedPageBreak/>
        <w:t>(2009) 175 Cal.App.4th 702 (</w:t>
      </w:r>
      <w:r w:rsidRPr="003B16E1">
        <w:rPr>
          <w:rFonts w:eastAsia="Calibri"/>
          <w:i/>
          <w:iCs/>
        </w:rPr>
        <w:t>Scott</w:t>
      </w:r>
      <w:r w:rsidRPr="003B16E1">
        <w:rPr>
          <w:rFonts w:eastAsia="Calibri"/>
        </w:rPr>
        <w:t xml:space="preserve">), is unavailing.  In </w:t>
      </w:r>
      <w:r w:rsidRPr="003B16E1">
        <w:rPr>
          <w:rFonts w:eastAsia="Calibri"/>
          <w:i/>
          <w:iCs/>
        </w:rPr>
        <w:t>Scott</w:t>
      </w:r>
      <w:r w:rsidRPr="003B16E1">
        <w:rPr>
          <w:rFonts w:eastAsia="Calibri"/>
        </w:rPr>
        <w:t>, a former preschool director sued her employer for wrongful termination in violation of public policy after she informed the parents of a prospective student that the school did not have space for their child.  (</w:t>
      </w:r>
      <w:r w:rsidRPr="003B16E1">
        <w:rPr>
          <w:rFonts w:eastAsia="Calibri"/>
          <w:i/>
          <w:iCs/>
        </w:rPr>
        <w:t>Id</w:t>
      </w:r>
      <w:r w:rsidRPr="00E6107F">
        <w:rPr>
          <w:rFonts w:eastAsia="Calibri"/>
        </w:rPr>
        <w:t>.</w:t>
      </w:r>
      <w:r w:rsidRPr="003B16E1">
        <w:rPr>
          <w:rFonts w:eastAsia="Calibri"/>
        </w:rPr>
        <w:t xml:space="preserve"> at p. 70</w:t>
      </w:r>
      <w:r w:rsidR="00150A94">
        <w:rPr>
          <w:rFonts w:eastAsia="Calibri"/>
        </w:rPr>
        <w:t>5</w:t>
      </w:r>
      <w:r w:rsidRPr="003B16E1">
        <w:rPr>
          <w:rFonts w:eastAsia="Calibri"/>
        </w:rPr>
        <w:t xml:space="preserve">.)  The plaintiff “asserted she was </w:t>
      </w:r>
      <w:r w:rsidRPr="003B16E1">
        <w:rPr>
          <w:rFonts w:eastAsia="Calibri"/>
        </w:rPr>
        <w:t>terminated for refusing to violate California Code of Regulations, title 22, section 101216.3,” which establishes teacher-child ratios at child</w:t>
      </w:r>
      <w:r w:rsidR="000250A9">
        <w:rPr>
          <w:rFonts w:eastAsia="Calibri"/>
        </w:rPr>
        <w:t xml:space="preserve"> </w:t>
      </w:r>
      <w:r w:rsidRPr="003B16E1">
        <w:rPr>
          <w:rFonts w:eastAsia="Calibri"/>
        </w:rPr>
        <w:t>care centers.</w:t>
      </w:r>
      <w:r>
        <w:rPr>
          <w:rStyle w:val="FootnoteReference"/>
          <w:rFonts w:eastAsia="Calibri"/>
        </w:rPr>
        <w:footnoteReference w:id="14"/>
      </w:r>
      <w:r w:rsidRPr="003B16E1">
        <w:rPr>
          <w:rFonts w:eastAsia="Calibri"/>
        </w:rPr>
        <w:t xml:space="preserve">  (</w:t>
      </w:r>
      <w:r w:rsidRPr="003B16E1">
        <w:rPr>
          <w:rFonts w:eastAsia="Calibri"/>
          <w:i/>
          <w:iCs/>
        </w:rPr>
        <w:t>Id</w:t>
      </w:r>
      <w:r w:rsidRPr="00E6107F">
        <w:rPr>
          <w:rFonts w:eastAsia="Calibri"/>
        </w:rPr>
        <w:t>.</w:t>
      </w:r>
      <w:r w:rsidRPr="003B16E1">
        <w:rPr>
          <w:rFonts w:eastAsia="Calibri"/>
        </w:rPr>
        <w:t xml:space="preserve"> at p. 709.)  After a jury found in the plaintiff’s favor, the school appealed.</w:t>
      </w:r>
    </w:p>
    <w:p w14:paraId="1EB2B2FF" w14:textId="7FBD0546" w:rsidR="009657F4" w:rsidRDefault="003A0E16">
      <w:pPr>
        <w:ind w:firstLine="720"/>
        <w:contextualSpacing/>
        <w:rPr>
          <w:rFonts w:eastAsia="Calibri"/>
        </w:rPr>
      </w:pPr>
      <w:r w:rsidRPr="003B16E1">
        <w:rPr>
          <w:rFonts w:eastAsia="Calibri"/>
        </w:rPr>
        <w:t>The Court of Appeal found substantial evidence supported the conclusion that enrolling the child would have violated the regulation.  (</w:t>
      </w:r>
      <w:r w:rsidRPr="003B16E1">
        <w:rPr>
          <w:rFonts w:eastAsia="Calibri"/>
          <w:i/>
          <w:iCs/>
        </w:rPr>
        <w:t>Scott</w:t>
      </w:r>
      <w:r w:rsidRPr="003B16E1">
        <w:rPr>
          <w:rFonts w:eastAsia="Calibri"/>
        </w:rPr>
        <w:t xml:space="preserve">, </w:t>
      </w:r>
      <w:r w:rsidR="00CC6436">
        <w:rPr>
          <w:rFonts w:eastAsia="Calibri"/>
          <w:i/>
          <w:iCs/>
        </w:rPr>
        <w:t>supra</w:t>
      </w:r>
      <w:r w:rsidR="00CC6436" w:rsidRPr="00170A85">
        <w:rPr>
          <w:rFonts w:eastAsia="Calibri"/>
        </w:rPr>
        <w:t>,</w:t>
      </w:r>
      <w:r w:rsidR="00CC6436">
        <w:rPr>
          <w:rFonts w:eastAsia="Calibri"/>
          <w:i/>
          <w:iCs/>
        </w:rPr>
        <w:t xml:space="preserve"> </w:t>
      </w:r>
      <w:r w:rsidR="00CC6436" w:rsidRPr="003B16E1">
        <w:rPr>
          <w:rFonts w:eastAsia="Calibri"/>
        </w:rPr>
        <w:t xml:space="preserve">175 Cal.App.4th </w:t>
      </w:r>
      <w:r w:rsidRPr="003B16E1">
        <w:rPr>
          <w:rFonts w:eastAsia="Calibri"/>
        </w:rPr>
        <w:t xml:space="preserve">at p. 709.)  In its analysis, the court summarized data in class rosters that reflected the number of students “scheduled to attend” the particular classroom </w:t>
      </w:r>
      <w:r w:rsidR="00732338">
        <w:rPr>
          <w:rFonts w:eastAsia="Calibri"/>
        </w:rPr>
        <w:t>in which</w:t>
      </w:r>
      <w:r w:rsidR="00732338" w:rsidRPr="003B16E1">
        <w:rPr>
          <w:rFonts w:eastAsia="Calibri"/>
        </w:rPr>
        <w:t xml:space="preserve"> </w:t>
      </w:r>
      <w:r w:rsidRPr="003B16E1">
        <w:rPr>
          <w:rFonts w:eastAsia="Calibri"/>
        </w:rPr>
        <w:t>the parents sought to enroll their child.  (</w:t>
      </w:r>
      <w:r w:rsidRPr="003B16E1">
        <w:rPr>
          <w:rFonts w:eastAsia="Calibri"/>
          <w:i/>
          <w:iCs/>
        </w:rPr>
        <w:t>Id</w:t>
      </w:r>
      <w:r w:rsidRPr="00E6107F">
        <w:rPr>
          <w:rFonts w:eastAsia="Calibri"/>
        </w:rPr>
        <w:t>.</w:t>
      </w:r>
      <w:r w:rsidRPr="003B16E1">
        <w:rPr>
          <w:rFonts w:eastAsia="Calibri"/>
        </w:rPr>
        <w:t xml:space="preserve"> at p. 710.)  The number fluctuated, sometimes requiring two qualified teachers under the regulation, and sometimes requiring a teacher and an aide.  (</w:t>
      </w:r>
      <w:r w:rsidRPr="003B16E1">
        <w:rPr>
          <w:rFonts w:eastAsia="Calibri"/>
          <w:i/>
          <w:iCs/>
        </w:rPr>
        <w:t>Ibid</w:t>
      </w:r>
      <w:r w:rsidRPr="00E6107F">
        <w:rPr>
          <w:rFonts w:eastAsia="Calibri"/>
        </w:rPr>
        <w:t>.</w:t>
      </w:r>
      <w:r w:rsidRPr="003B16E1">
        <w:rPr>
          <w:rFonts w:eastAsia="Calibri"/>
        </w:rPr>
        <w:t xml:space="preserve">)  The court noted that if the </w:t>
      </w:r>
      <w:r w:rsidR="00DF487D">
        <w:rPr>
          <w:rFonts w:eastAsia="Calibri"/>
        </w:rPr>
        <w:t xml:space="preserve">prospective </w:t>
      </w:r>
      <w:r w:rsidRPr="003B16E1">
        <w:rPr>
          <w:rFonts w:eastAsia="Calibri"/>
        </w:rPr>
        <w:t xml:space="preserve">parents sought to enroll their child on </w:t>
      </w:r>
      <w:r w:rsidR="006D1955">
        <w:rPr>
          <w:rFonts w:eastAsia="Calibri"/>
        </w:rPr>
        <w:t xml:space="preserve">certain </w:t>
      </w:r>
      <w:r w:rsidRPr="003B16E1">
        <w:rPr>
          <w:rFonts w:eastAsia="Calibri"/>
        </w:rPr>
        <w:t xml:space="preserve">specific days of the </w:t>
      </w:r>
      <w:r w:rsidRPr="003B16E1">
        <w:rPr>
          <w:rFonts w:eastAsia="Calibri"/>
        </w:rPr>
        <w:t>week, “the attendance of the . . . child would have violated the staffing ratios.”  (</w:t>
      </w:r>
      <w:r w:rsidRPr="003B16E1">
        <w:rPr>
          <w:rFonts w:eastAsia="Calibri"/>
          <w:i/>
          <w:iCs/>
        </w:rPr>
        <w:t>Ibid</w:t>
      </w:r>
      <w:r w:rsidRPr="00E6107F">
        <w:rPr>
          <w:rFonts w:eastAsia="Calibri"/>
        </w:rPr>
        <w:t>.</w:t>
      </w:r>
      <w:r w:rsidRPr="003B16E1">
        <w:rPr>
          <w:rFonts w:eastAsia="Calibri"/>
        </w:rPr>
        <w:t>)</w:t>
      </w:r>
      <w:r>
        <w:rPr>
          <w:rFonts w:eastAsia="Calibri"/>
        </w:rPr>
        <w:t xml:space="preserve"> </w:t>
      </w:r>
      <w:r w:rsidR="00E6107F">
        <w:rPr>
          <w:rFonts w:eastAsia="Calibri"/>
        </w:rPr>
        <w:t xml:space="preserve"> </w:t>
      </w:r>
      <w:r w:rsidR="00A52875">
        <w:rPr>
          <w:rFonts w:eastAsia="Calibri"/>
        </w:rPr>
        <w:t>Although</w:t>
      </w:r>
      <w:r w:rsidR="00A52875" w:rsidRPr="003B16E1">
        <w:rPr>
          <w:rFonts w:eastAsia="Calibri"/>
        </w:rPr>
        <w:t xml:space="preserve"> the evidence </w:t>
      </w:r>
      <w:r w:rsidR="00A52875">
        <w:rPr>
          <w:rFonts w:eastAsia="Calibri"/>
        </w:rPr>
        <w:t xml:space="preserve">was </w:t>
      </w:r>
      <w:r w:rsidR="00A52875" w:rsidRPr="003B16E1">
        <w:rPr>
          <w:rFonts w:eastAsia="Calibri"/>
        </w:rPr>
        <w:t xml:space="preserve">inconclusive regarding </w:t>
      </w:r>
      <w:r w:rsidR="00A52875">
        <w:rPr>
          <w:rFonts w:eastAsia="Calibri"/>
        </w:rPr>
        <w:t>both the</w:t>
      </w:r>
      <w:r w:rsidR="00A52875" w:rsidRPr="003B16E1">
        <w:rPr>
          <w:rFonts w:eastAsia="Calibri"/>
        </w:rPr>
        <w:t xml:space="preserve"> day</w:t>
      </w:r>
      <w:r w:rsidR="00A52875">
        <w:rPr>
          <w:rFonts w:eastAsia="Calibri"/>
        </w:rPr>
        <w:t>s</w:t>
      </w:r>
      <w:r w:rsidR="00A52875" w:rsidRPr="003B16E1">
        <w:rPr>
          <w:rFonts w:eastAsia="Calibri"/>
        </w:rPr>
        <w:t xml:space="preserve"> the </w:t>
      </w:r>
      <w:r w:rsidR="00A52875">
        <w:rPr>
          <w:rFonts w:eastAsia="Calibri"/>
        </w:rPr>
        <w:t xml:space="preserve">prospective </w:t>
      </w:r>
      <w:r w:rsidR="00A52875" w:rsidRPr="003B16E1">
        <w:rPr>
          <w:rFonts w:eastAsia="Calibri"/>
        </w:rPr>
        <w:t xml:space="preserve">parents </w:t>
      </w:r>
      <w:r w:rsidR="00A52875">
        <w:rPr>
          <w:rFonts w:eastAsia="Calibri"/>
        </w:rPr>
        <w:t xml:space="preserve">wanted their child to attend </w:t>
      </w:r>
      <w:r w:rsidR="00A52875" w:rsidRPr="003B16E1">
        <w:rPr>
          <w:rFonts w:eastAsia="Calibri"/>
        </w:rPr>
        <w:t xml:space="preserve">and </w:t>
      </w:r>
      <w:r w:rsidR="00A52875">
        <w:rPr>
          <w:rFonts w:eastAsia="Calibri"/>
        </w:rPr>
        <w:t>the number of</w:t>
      </w:r>
      <w:r w:rsidR="00A52875" w:rsidRPr="003B16E1">
        <w:rPr>
          <w:rFonts w:eastAsia="Calibri"/>
        </w:rPr>
        <w:t xml:space="preserve"> teachers or aides available to staff the classroom </w:t>
      </w:r>
      <w:r w:rsidR="00A52875">
        <w:rPr>
          <w:rFonts w:eastAsia="Calibri"/>
        </w:rPr>
        <w:t xml:space="preserve">in which </w:t>
      </w:r>
      <w:r w:rsidR="00A52875" w:rsidRPr="003B16E1">
        <w:rPr>
          <w:rFonts w:eastAsia="Calibri"/>
        </w:rPr>
        <w:t>the child would be enrolled</w:t>
      </w:r>
      <w:r w:rsidR="00A52875">
        <w:rPr>
          <w:rFonts w:eastAsia="Calibri"/>
        </w:rPr>
        <w:t>,</w:t>
      </w:r>
      <w:r w:rsidR="00A52875" w:rsidRPr="003B16E1">
        <w:rPr>
          <w:rFonts w:eastAsia="Calibri"/>
        </w:rPr>
        <w:t xml:space="preserve"> the court concluded it was reasonable to infer</w:t>
      </w:r>
      <w:r w:rsidR="00A52875">
        <w:rPr>
          <w:rFonts w:eastAsia="Calibri"/>
        </w:rPr>
        <w:t xml:space="preserve"> enrolling the child would lead to</w:t>
      </w:r>
      <w:r w:rsidR="00A52875" w:rsidRPr="003B16E1">
        <w:rPr>
          <w:rFonts w:eastAsia="Calibri"/>
        </w:rPr>
        <w:t xml:space="preserve"> a violation of the </w:t>
      </w:r>
      <w:r w:rsidR="00A52875" w:rsidRPr="003B16E1">
        <w:rPr>
          <w:rFonts w:eastAsia="Calibri"/>
        </w:rPr>
        <w:lastRenderedPageBreak/>
        <w:t xml:space="preserve">regulation based on </w:t>
      </w:r>
      <w:r w:rsidR="00A52875">
        <w:rPr>
          <w:rFonts w:eastAsia="Calibri"/>
        </w:rPr>
        <w:t xml:space="preserve">witness </w:t>
      </w:r>
      <w:r w:rsidR="00A52875" w:rsidRPr="003B16E1">
        <w:rPr>
          <w:rFonts w:eastAsia="Calibri"/>
        </w:rPr>
        <w:t xml:space="preserve">testimony that “the class was already operating at times in violation of </w:t>
      </w:r>
      <w:r w:rsidR="0060762D">
        <w:rPr>
          <w:rFonts w:eastAsia="Calibri"/>
        </w:rPr>
        <w:t xml:space="preserve">the </w:t>
      </w:r>
      <w:r w:rsidR="00A52875" w:rsidRPr="003B16E1">
        <w:rPr>
          <w:rFonts w:eastAsia="Calibri"/>
        </w:rPr>
        <w:t>staffing ratios, and that the school was short-staffed . . . .”  (</w:t>
      </w:r>
      <w:r w:rsidR="00A52875" w:rsidRPr="003B16E1">
        <w:rPr>
          <w:rFonts w:eastAsia="Calibri"/>
          <w:i/>
          <w:iCs/>
        </w:rPr>
        <w:t>Id</w:t>
      </w:r>
      <w:r w:rsidR="00A52875" w:rsidRPr="00E6107F">
        <w:rPr>
          <w:rFonts w:eastAsia="Calibri"/>
        </w:rPr>
        <w:t>.</w:t>
      </w:r>
      <w:r w:rsidR="00A52875" w:rsidRPr="003B16E1">
        <w:rPr>
          <w:rFonts w:eastAsia="Calibri"/>
        </w:rPr>
        <w:t xml:space="preserve"> at p. 711.</w:t>
      </w:r>
      <w:r w:rsidR="00E6107F">
        <w:rPr>
          <w:rFonts w:eastAsia="Calibri"/>
        </w:rPr>
        <w:t>)</w:t>
      </w:r>
    </w:p>
    <w:p w14:paraId="595B0E6A" w14:textId="285977B5" w:rsidR="00277553" w:rsidRPr="003B16E1" w:rsidRDefault="003A0E16" w:rsidP="00166B72">
      <w:pPr>
        <w:ind w:firstLine="720"/>
        <w:contextualSpacing/>
        <w:rPr>
          <w:rFonts w:eastAsia="Calibri"/>
        </w:rPr>
      </w:pPr>
      <w:r>
        <w:rPr>
          <w:rFonts w:eastAsia="Calibri"/>
        </w:rPr>
        <w:t xml:space="preserve">Thus, the </w:t>
      </w:r>
      <w:r w:rsidR="009657F4">
        <w:rPr>
          <w:rFonts w:eastAsia="Calibri"/>
          <w:i/>
          <w:iCs/>
        </w:rPr>
        <w:t xml:space="preserve">Scott </w:t>
      </w:r>
      <w:r>
        <w:rPr>
          <w:rFonts w:eastAsia="Calibri"/>
        </w:rPr>
        <w:t xml:space="preserve">court’s analysis of a potential violation was not based on enrollment alone, but instead a combination of enrollment numbers </w:t>
      </w:r>
      <w:r w:rsidR="00732338">
        <w:rPr>
          <w:rFonts w:eastAsia="Calibri"/>
        </w:rPr>
        <w:t>and</w:t>
      </w:r>
      <w:r>
        <w:rPr>
          <w:rFonts w:eastAsia="Calibri"/>
        </w:rPr>
        <w:t xml:space="preserve"> evidence showing when enrolled students were “scheduled to attend.”  </w:t>
      </w:r>
      <w:r w:rsidR="004C300F">
        <w:rPr>
          <w:rFonts w:eastAsia="Calibri"/>
        </w:rPr>
        <w:t>(</w:t>
      </w:r>
      <w:r w:rsidR="004C300F">
        <w:rPr>
          <w:rFonts w:eastAsia="Calibri"/>
          <w:i/>
          <w:iCs/>
        </w:rPr>
        <w:t>Scott</w:t>
      </w:r>
      <w:r w:rsidR="004C300F" w:rsidRPr="00170A85">
        <w:rPr>
          <w:rFonts w:eastAsia="Calibri"/>
        </w:rPr>
        <w:t>,</w:t>
      </w:r>
      <w:r w:rsidR="004C300F">
        <w:rPr>
          <w:rFonts w:eastAsia="Calibri"/>
          <w:i/>
          <w:iCs/>
        </w:rPr>
        <w:t xml:space="preserve"> supra</w:t>
      </w:r>
      <w:r w:rsidR="004C300F" w:rsidRPr="000466B8">
        <w:rPr>
          <w:rFonts w:eastAsia="Calibri"/>
        </w:rPr>
        <w:t>,</w:t>
      </w:r>
      <w:r w:rsidR="004C300F">
        <w:rPr>
          <w:rFonts w:eastAsia="Calibri"/>
          <w:i/>
          <w:iCs/>
        </w:rPr>
        <w:t xml:space="preserve"> </w:t>
      </w:r>
      <w:r w:rsidR="004C300F" w:rsidRPr="003B16E1">
        <w:rPr>
          <w:rFonts w:eastAsia="Calibri"/>
        </w:rPr>
        <w:t xml:space="preserve">175 Cal.App.4th </w:t>
      </w:r>
      <w:r w:rsidR="004C300F">
        <w:rPr>
          <w:rFonts w:eastAsia="Calibri"/>
        </w:rPr>
        <w:t xml:space="preserve">at p. 710.)  </w:t>
      </w:r>
      <w:r>
        <w:rPr>
          <w:rFonts w:eastAsia="Calibri"/>
        </w:rPr>
        <w:t xml:space="preserve">That combined evidence indicated that on </w:t>
      </w:r>
      <w:r w:rsidRPr="007510AA">
        <w:rPr>
          <w:rFonts w:eastAsia="Calibri"/>
        </w:rPr>
        <w:t>some</w:t>
      </w:r>
      <w:r w:rsidR="007057C2">
        <w:rPr>
          <w:rFonts w:eastAsia="Calibri"/>
        </w:rPr>
        <w:t xml:space="preserve"> </w:t>
      </w:r>
      <w:r>
        <w:rPr>
          <w:rFonts w:eastAsia="Calibri"/>
        </w:rPr>
        <w:t xml:space="preserve">days, </w:t>
      </w:r>
      <w:r w:rsidR="00BF3DB4">
        <w:rPr>
          <w:rFonts w:eastAsia="Calibri"/>
        </w:rPr>
        <w:t xml:space="preserve">enough </w:t>
      </w:r>
      <w:r w:rsidR="00732338">
        <w:rPr>
          <w:rFonts w:eastAsia="Calibri"/>
        </w:rPr>
        <w:t xml:space="preserve">enrolled </w:t>
      </w:r>
      <w:r w:rsidR="00BF3DB4">
        <w:rPr>
          <w:rFonts w:eastAsia="Calibri"/>
        </w:rPr>
        <w:t xml:space="preserve">children were scheduled to attend that adding one more child would cause the school to violate the teacher-child ratios the regulation required.  </w:t>
      </w:r>
      <w:r w:rsidR="00C5435E">
        <w:rPr>
          <w:rFonts w:eastAsia="Calibri"/>
        </w:rPr>
        <w:t>(</w:t>
      </w:r>
      <w:r w:rsidR="00C5435E" w:rsidRPr="004C300F">
        <w:rPr>
          <w:rFonts w:eastAsia="Calibri"/>
          <w:i/>
          <w:iCs/>
        </w:rPr>
        <w:t>I</w:t>
      </w:r>
      <w:r w:rsidR="00285AD5">
        <w:rPr>
          <w:rFonts w:eastAsia="Calibri"/>
          <w:i/>
          <w:iCs/>
        </w:rPr>
        <w:t>bi</w:t>
      </w:r>
      <w:r w:rsidR="00C5435E" w:rsidRPr="004C300F">
        <w:rPr>
          <w:rFonts w:eastAsia="Calibri"/>
          <w:i/>
          <w:iCs/>
        </w:rPr>
        <w:t>d</w:t>
      </w:r>
      <w:r w:rsidR="00C5435E" w:rsidRPr="00944EA0">
        <w:rPr>
          <w:rFonts w:eastAsia="Calibri"/>
        </w:rPr>
        <w:t>.</w:t>
      </w:r>
      <w:r w:rsidR="00352B9A">
        <w:rPr>
          <w:rFonts w:eastAsia="Calibri"/>
        </w:rPr>
        <w:t>)</w:t>
      </w:r>
      <w:r>
        <w:rPr>
          <w:rFonts w:eastAsia="Calibri"/>
        </w:rPr>
        <w:t xml:space="preserve"> </w:t>
      </w:r>
      <w:r w:rsidR="00352B9A">
        <w:rPr>
          <w:rFonts w:eastAsia="Calibri"/>
        </w:rPr>
        <w:t xml:space="preserve"> </w:t>
      </w:r>
      <w:r>
        <w:rPr>
          <w:rFonts w:eastAsia="Calibri"/>
        </w:rPr>
        <w:t xml:space="preserve">In this analysis, </w:t>
      </w:r>
      <w:r w:rsidRPr="003B16E1">
        <w:rPr>
          <w:rFonts w:eastAsia="Calibri"/>
        </w:rPr>
        <w:t>the court used attendance as a touchstone</w:t>
      </w:r>
      <w:r>
        <w:rPr>
          <w:rFonts w:eastAsia="Calibri"/>
        </w:rPr>
        <w:t>, as it was the</w:t>
      </w:r>
      <w:r w:rsidRPr="003B16E1">
        <w:rPr>
          <w:rFonts w:eastAsia="Calibri"/>
        </w:rPr>
        <w:t xml:space="preserve"> </w:t>
      </w:r>
      <w:r w:rsidRPr="003B16E1">
        <w:rPr>
          <w:rFonts w:eastAsia="Calibri"/>
          <w:i/>
          <w:iCs/>
        </w:rPr>
        <w:t>attendance</w:t>
      </w:r>
      <w:r w:rsidRPr="003B16E1">
        <w:rPr>
          <w:rFonts w:eastAsia="Calibri"/>
        </w:rPr>
        <w:t xml:space="preserve"> of the child</w:t>
      </w:r>
      <w:r>
        <w:rPr>
          <w:rFonts w:eastAsia="Calibri"/>
        </w:rPr>
        <w:t>, once enrolled, that</w:t>
      </w:r>
      <w:r w:rsidRPr="003B16E1">
        <w:rPr>
          <w:rFonts w:eastAsia="Calibri"/>
        </w:rPr>
        <w:t xml:space="preserve"> would have led to a violation.</w:t>
      </w:r>
    </w:p>
    <w:p w14:paraId="1544CEAE" w14:textId="2DC1A58E" w:rsidR="00277553" w:rsidRPr="003B16E1" w:rsidRDefault="003A0E16" w:rsidP="00166B72">
      <w:pPr>
        <w:ind w:firstLine="720"/>
        <w:contextualSpacing/>
        <w:rPr>
          <w:rFonts w:eastAsia="Calibri"/>
        </w:rPr>
      </w:pPr>
      <w:r>
        <w:rPr>
          <w:rFonts w:eastAsia="Calibri"/>
        </w:rPr>
        <w:t xml:space="preserve">Plaintiffs ignore the role of attendance in </w:t>
      </w:r>
      <w:r w:rsidRPr="00732338">
        <w:rPr>
          <w:rFonts w:eastAsia="Calibri"/>
          <w:i/>
          <w:iCs/>
        </w:rPr>
        <w:t>Scott</w:t>
      </w:r>
      <w:r>
        <w:rPr>
          <w:rFonts w:eastAsia="Calibri"/>
        </w:rPr>
        <w:t xml:space="preserve"> and instead focus on t</w:t>
      </w:r>
      <w:r w:rsidRPr="00732338">
        <w:rPr>
          <w:rFonts w:eastAsia="Calibri"/>
        </w:rPr>
        <w:t>he</w:t>
      </w:r>
      <w:r w:rsidRPr="003B16E1">
        <w:rPr>
          <w:rFonts w:eastAsia="Calibri"/>
        </w:rPr>
        <w:t xml:space="preserve"> court</w:t>
      </w:r>
      <w:r>
        <w:rPr>
          <w:rFonts w:eastAsia="Calibri"/>
        </w:rPr>
        <w:t>’s</w:t>
      </w:r>
      <w:r w:rsidRPr="003B16E1">
        <w:rPr>
          <w:rFonts w:eastAsia="Calibri"/>
        </w:rPr>
        <w:t xml:space="preserve"> reject</w:t>
      </w:r>
      <w:r>
        <w:rPr>
          <w:rFonts w:eastAsia="Calibri"/>
        </w:rPr>
        <w:t>ion of</w:t>
      </w:r>
      <w:r w:rsidRPr="003B16E1">
        <w:rPr>
          <w:rFonts w:eastAsia="Calibri"/>
        </w:rPr>
        <w:t xml:space="preserve"> the employer’s argument </w:t>
      </w:r>
      <w:r w:rsidR="00B8573F">
        <w:rPr>
          <w:rFonts w:eastAsia="Calibri"/>
        </w:rPr>
        <w:t xml:space="preserve">that </w:t>
      </w:r>
      <w:r w:rsidRPr="003B16E1">
        <w:rPr>
          <w:rFonts w:eastAsia="Calibri"/>
        </w:rPr>
        <w:t>“it had no notice that enrolling too many children could lead to liability because the regulation is tied to attendance rather than enrollment.”  (</w:t>
      </w:r>
      <w:r w:rsidRPr="003B16E1">
        <w:rPr>
          <w:rFonts w:eastAsia="Calibri"/>
          <w:i/>
          <w:iCs/>
        </w:rPr>
        <w:t>Scott</w:t>
      </w:r>
      <w:r w:rsidRPr="003B16E1">
        <w:rPr>
          <w:rFonts w:eastAsia="Calibri"/>
        </w:rPr>
        <w:t xml:space="preserve">, </w:t>
      </w:r>
      <w:r w:rsidR="00C867DA">
        <w:rPr>
          <w:rFonts w:eastAsia="Calibri"/>
          <w:i/>
          <w:iCs/>
        </w:rPr>
        <w:t>supra</w:t>
      </w:r>
      <w:r w:rsidR="00C867DA" w:rsidRPr="000466B8">
        <w:rPr>
          <w:rFonts w:eastAsia="Calibri"/>
        </w:rPr>
        <w:t>,</w:t>
      </w:r>
      <w:r w:rsidR="00C867DA">
        <w:rPr>
          <w:rFonts w:eastAsia="Calibri"/>
          <w:i/>
          <w:iCs/>
        </w:rPr>
        <w:t xml:space="preserve"> </w:t>
      </w:r>
      <w:r w:rsidR="00C867DA" w:rsidRPr="003B16E1">
        <w:rPr>
          <w:rFonts w:eastAsia="Calibri"/>
        </w:rPr>
        <w:t xml:space="preserve">175 Cal.App.4th </w:t>
      </w:r>
      <w:r w:rsidRPr="003B16E1">
        <w:rPr>
          <w:rFonts w:eastAsia="Calibri"/>
        </w:rPr>
        <w:t xml:space="preserve">at p. 714.)  The court </w:t>
      </w:r>
      <w:r>
        <w:rPr>
          <w:rFonts w:eastAsia="Calibri"/>
        </w:rPr>
        <w:t>reasoned</w:t>
      </w:r>
      <w:r w:rsidRPr="003B16E1">
        <w:rPr>
          <w:rFonts w:eastAsia="Calibri"/>
        </w:rPr>
        <w:t xml:space="preserve"> the employer “could legitimately assume that if the [parents] enrolled their daughter, they intended for her to attend.”  (</w:t>
      </w:r>
      <w:r w:rsidRPr="003B16E1">
        <w:rPr>
          <w:rFonts w:eastAsia="Calibri"/>
          <w:i/>
          <w:iCs/>
        </w:rPr>
        <w:t>Id</w:t>
      </w:r>
      <w:r w:rsidRPr="00D970B1">
        <w:rPr>
          <w:rFonts w:eastAsia="Calibri"/>
        </w:rPr>
        <w:t>.</w:t>
      </w:r>
      <w:r w:rsidRPr="003B16E1">
        <w:rPr>
          <w:rFonts w:eastAsia="Calibri"/>
        </w:rPr>
        <w:t xml:space="preserve"> at pp. 714–715.)  Therefore, “if the school forced its employees to enroll more children than t</w:t>
      </w:r>
      <w:r w:rsidRPr="003B16E1">
        <w:rPr>
          <w:rFonts w:eastAsia="Calibri"/>
        </w:rPr>
        <w:t>he school could legitimately accept because of staffing requirements, that may be seen as requiring the employees to violate the regulation.”  (</w:t>
      </w:r>
      <w:r w:rsidRPr="003B16E1">
        <w:rPr>
          <w:rFonts w:eastAsia="Calibri"/>
          <w:i/>
          <w:iCs/>
        </w:rPr>
        <w:t>Id</w:t>
      </w:r>
      <w:r w:rsidRPr="00D970B1">
        <w:rPr>
          <w:rFonts w:eastAsia="Calibri"/>
        </w:rPr>
        <w:t>.</w:t>
      </w:r>
      <w:r w:rsidRPr="003B16E1">
        <w:rPr>
          <w:rFonts w:eastAsia="Calibri"/>
        </w:rPr>
        <w:t xml:space="preserve"> at </w:t>
      </w:r>
      <w:r w:rsidR="00455DDC">
        <w:rPr>
          <w:rFonts w:eastAsia="Calibri"/>
        </w:rPr>
        <w:t xml:space="preserve">p. </w:t>
      </w:r>
      <w:r w:rsidRPr="003B16E1">
        <w:rPr>
          <w:rFonts w:eastAsia="Calibri"/>
        </w:rPr>
        <w:t>715.)</w:t>
      </w:r>
    </w:p>
    <w:p w14:paraId="780D18FA" w14:textId="63CA8065" w:rsidR="009F0AD3" w:rsidRDefault="003A0E16">
      <w:pPr>
        <w:ind w:firstLine="720"/>
        <w:contextualSpacing/>
      </w:pPr>
      <w:r>
        <w:rPr>
          <w:rFonts w:eastAsia="Calibri"/>
        </w:rPr>
        <w:t xml:space="preserve">Plaintiffs urge us to read </w:t>
      </w:r>
      <w:r w:rsidR="00732338">
        <w:rPr>
          <w:rFonts w:eastAsia="Calibri"/>
        </w:rPr>
        <w:t xml:space="preserve">this portion of </w:t>
      </w:r>
      <w:r>
        <w:rPr>
          <w:rFonts w:eastAsia="Calibri"/>
          <w:i/>
          <w:iCs/>
        </w:rPr>
        <w:t>Scott</w:t>
      </w:r>
      <w:r>
        <w:rPr>
          <w:rFonts w:eastAsia="Calibri"/>
        </w:rPr>
        <w:t xml:space="preserve"> as establishing a rule that under the child care center licensing regulations, enrollment is the equivalent of attendance in determining capacity.  As an initial matter, we note that </w:t>
      </w:r>
      <w:r>
        <w:rPr>
          <w:rFonts w:eastAsia="Calibri"/>
          <w:i/>
          <w:iCs/>
        </w:rPr>
        <w:t>Scott</w:t>
      </w:r>
      <w:r>
        <w:rPr>
          <w:rFonts w:eastAsia="Calibri"/>
        </w:rPr>
        <w:t xml:space="preserve"> did </w:t>
      </w:r>
      <w:r>
        <w:rPr>
          <w:rFonts w:eastAsia="Calibri"/>
        </w:rPr>
        <w:lastRenderedPageBreak/>
        <w:t>not concern capacity or sections 101152, subdivision (c)(2)</w:t>
      </w:r>
      <w:r w:rsidR="00185F57">
        <w:rPr>
          <w:rFonts w:eastAsia="Calibri"/>
        </w:rPr>
        <w:t>;</w:t>
      </w:r>
      <w:r>
        <w:rPr>
          <w:rFonts w:eastAsia="Calibri"/>
        </w:rPr>
        <w:t xml:space="preserve"> 101161, subdivision (a)</w:t>
      </w:r>
      <w:r w:rsidR="00185F57">
        <w:rPr>
          <w:rFonts w:eastAsia="Calibri"/>
        </w:rPr>
        <w:t>;</w:t>
      </w:r>
      <w:r>
        <w:rPr>
          <w:rFonts w:eastAsia="Calibri"/>
        </w:rPr>
        <w:t xml:space="preserve"> or 101179, subdivision (a).  </w:t>
      </w:r>
      <w:r w:rsidR="00732338">
        <w:rPr>
          <w:rFonts w:eastAsia="Calibri"/>
        </w:rPr>
        <w:t>The alleged v</w:t>
      </w:r>
      <w:r>
        <w:rPr>
          <w:rFonts w:eastAsia="Calibri"/>
        </w:rPr>
        <w:t xml:space="preserve">iolation of teacher-child ratios—the basis for the </w:t>
      </w:r>
      <w:r>
        <w:rPr>
          <w:rFonts w:eastAsia="Calibri"/>
          <w:i/>
          <w:iCs/>
        </w:rPr>
        <w:t>Scott</w:t>
      </w:r>
      <w:r>
        <w:t xml:space="preserve"> plaintiff’s wrongful termination claim—</w:t>
      </w:r>
      <w:r w:rsidR="00F57B4C">
        <w:t xml:space="preserve">is </w:t>
      </w:r>
      <w:r>
        <w:t xml:space="preserve">not at issue in this case.  That difference aside, however, the </w:t>
      </w:r>
      <w:r>
        <w:rPr>
          <w:i/>
          <w:iCs/>
        </w:rPr>
        <w:t>Scott</w:t>
      </w:r>
      <w:r>
        <w:t xml:space="preserve"> court’s discussion </w:t>
      </w:r>
      <w:r w:rsidR="00751F81">
        <w:t xml:space="preserve">of </w:t>
      </w:r>
      <w:r>
        <w:t xml:space="preserve">enrollment and attendance is inapplicable for more fundamental reasons.  The </w:t>
      </w:r>
      <w:r>
        <w:rPr>
          <w:i/>
          <w:iCs/>
        </w:rPr>
        <w:t>Scott</w:t>
      </w:r>
      <w:r>
        <w:t xml:space="preserve"> court </w:t>
      </w:r>
      <w:r w:rsidR="006831CB">
        <w:t xml:space="preserve">considered </w:t>
      </w:r>
      <w:r>
        <w:t>enrollment on a single classroom level, and the use of that specific enrollment data as an indication of attendance.  This was reasonable</w:t>
      </w:r>
      <w:r w:rsidR="006F6DCD">
        <w:t>,</w:t>
      </w:r>
      <w:r>
        <w:t xml:space="preserve"> in part</w:t>
      </w:r>
      <w:r w:rsidR="006F6DCD">
        <w:t>,</w:t>
      </w:r>
      <w:r>
        <w:t xml:space="preserve"> because the evidence established that at least on some days, </w:t>
      </w:r>
      <w:r w:rsidR="00FA3DF0">
        <w:t>the number of</w:t>
      </w:r>
      <w:r>
        <w:t xml:space="preserve"> enrolled children </w:t>
      </w:r>
      <w:r w:rsidR="007661C8">
        <w:t>scheduled</w:t>
      </w:r>
      <w:r>
        <w:t xml:space="preserve"> to attend</w:t>
      </w:r>
      <w:r w:rsidR="004213E8">
        <w:t xml:space="preserve"> would require two teachers, rather than </w:t>
      </w:r>
      <w:r w:rsidR="00255EC6">
        <w:t>the</w:t>
      </w:r>
      <w:r w:rsidR="004213E8">
        <w:t xml:space="preserve"> teacher and aide</w:t>
      </w:r>
      <w:r w:rsidR="00255EC6">
        <w:t xml:space="preserve"> </w:t>
      </w:r>
      <w:r w:rsidR="00CE1473">
        <w:t>who were assigned to the classroom on those days</w:t>
      </w:r>
      <w:r>
        <w:t>.  Given the number of personnel availabl</w:t>
      </w:r>
      <w:r>
        <w:t xml:space="preserve">e, the facility could reliably assume </w:t>
      </w:r>
      <w:r w:rsidR="005A226B">
        <w:t xml:space="preserve">that adding one more child would prevent </w:t>
      </w:r>
      <w:r w:rsidR="001C7CE0">
        <w:t xml:space="preserve">it from complying </w:t>
      </w:r>
      <w:r>
        <w:t>with teacher-child ratios on those days in particular.</w:t>
      </w:r>
      <w:r w:rsidR="00B7687C">
        <w:t xml:space="preserve">  Further, on some days, all enrolled children were scheduled to attend</w:t>
      </w:r>
      <w:r w:rsidR="00D00FD9">
        <w:t>.</w:t>
      </w:r>
    </w:p>
    <w:p w14:paraId="0BB99858" w14:textId="4BDFF09F" w:rsidR="00277553" w:rsidRPr="00602557" w:rsidRDefault="003A0E16" w:rsidP="00166B72">
      <w:pPr>
        <w:ind w:firstLine="720"/>
        <w:contextualSpacing/>
        <w:rPr>
          <w:rFonts w:cstheme="minorBidi"/>
          <w:kern w:val="2"/>
          <w14:ligatures w14:val="standardContextual"/>
        </w:rPr>
      </w:pPr>
      <w:r>
        <w:t xml:space="preserve">In contrast, here plaintiffs argued only that the </w:t>
      </w:r>
      <w:r w:rsidRPr="00166B72">
        <w:t xml:space="preserve">aggregate </w:t>
      </w:r>
      <w:r w:rsidR="540214F4" w:rsidRPr="00166B72">
        <w:t xml:space="preserve">annual enrollment </w:t>
      </w:r>
      <w:r w:rsidR="00157F1B">
        <w:t xml:space="preserve">numbers </w:t>
      </w:r>
      <w:r w:rsidR="00674573">
        <w:t>established a capacity violation</w:t>
      </w:r>
      <w:r>
        <w:t>, irrespective of actual anticipated attendance</w:t>
      </w:r>
      <w:r w:rsidR="00F231FB">
        <w:t>,</w:t>
      </w:r>
      <w:r>
        <w:t xml:space="preserve"> which varied based on </w:t>
      </w:r>
      <w:r w:rsidR="4F0896BB">
        <w:t xml:space="preserve">the classroom, </w:t>
      </w:r>
      <w:r>
        <w:t>the time of day</w:t>
      </w:r>
      <w:r w:rsidR="00771F1E">
        <w:t>,</w:t>
      </w:r>
      <w:r>
        <w:t xml:space="preserve"> and</w:t>
      </w:r>
      <w:r w:rsidR="300F4692">
        <w:t xml:space="preserve"> the</w:t>
      </w:r>
      <w:r>
        <w:t xml:space="preserve"> day of the week.</w:t>
      </w:r>
      <w:r w:rsidR="00674573">
        <w:t xml:space="preserve">  There was no evidence that all enrolled children were ever expected to be</w:t>
      </w:r>
      <w:r w:rsidR="00274CD3">
        <w:t xml:space="preserve"> under Pacific Oaks’s care and supervision at the campus at the same time.</w:t>
      </w:r>
      <w:r>
        <w:t xml:space="preserve">  </w:t>
      </w:r>
      <w:r w:rsidR="004C0F5B">
        <w:t xml:space="preserve">Rather than offering </w:t>
      </w:r>
      <w:r>
        <w:t xml:space="preserve">admissible evidence of enrollment numbers that could reasonably approximate </w:t>
      </w:r>
      <w:r w:rsidR="00CE6CCD">
        <w:t xml:space="preserve">the </w:t>
      </w:r>
      <w:r>
        <w:t>relevant attendance of children</w:t>
      </w:r>
      <w:r w:rsidR="007D1173">
        <w:t xml:space="preserve"> as in </w:t>
      </w:r>
      <w:r w:rsidR="007D1173">
        <w:rPr>
          <w:i/>
          <w:iCs/>
        </w:rPr>
        <w:t>Scott</w:t>
      </w:r>
      <w:r>
        <w:t xml:space="preserve">, </w:t>
      </w:r>
      <w:r w:rsidR="00F97900">
        <w:t xml:space="preserve">plaintiffs merely argued capacity under the license and enrollment were </w:t>
      </w:r>
      <w:r w:rsidR="000012CD">
        <w:t xml:space="preserve">one and </w:t>
      </w:r>
      <w:r w:rsidR="000012CD">
        <w:lastRenderedPageBreak/>
        <w:t>the same.</w:t>
      </w:r>
      <w:r>
        <w:rPr>
          <w:rStyle w:val="FootnoteReference"/>
        </w:rPr>
        <w:footnoteReference w:id="15"/>
      </w:r>
      <w:r>
        <w:t xml:space="preserve">  The </w:t>
      </w:r>
      <w:r>
        <w:rPr>
          <w:i/>
          <w:iCs/>
        </w:rPr>
        <w:t>Scott</w:t>
      </w:r>
      <w:r>
        <w:t xml:space="preserve"> court’s reasoning </w:t>
      </w:r>
      <w:r w:rsidR="006D0762">
        <w:t xml:space="preserve">using enrollment as a </w:t>
      </w:r>
      <w:r w:rsidR="00E4145B">
        <w:t xml:space="preserve">measure of expected attendance </w:t>
      </w:r>
      <w:r>
        <w:t>is therefore not applicable in this case.</w:t>
      </w:r>
    </w:p>
    <w:p w14:paraId="6A16251C" w14:textId="78095891" w:rsidR="00277553" w:rsidRPr="003B16E1" w:rsidRDefault="003A0E16" w:rsidP="004E71E9">
      <w:pPr>
        <w:ind w:firstLine="720"/>
        <w:contextualSpacing/>
        <w:rPr>
          <w:rFonts w:eastAsia="Calibri"/>
        </w:rPr>
      </w:pPr>
      <w:r w:rsidRPr="003B16E1">
        <w:rPr>
          <w:rFonts w:eastAsia="Calibri"/>
          <w:i/>
          <w:iCs/>
        </w:rPr>
        <w:t>Los Angeles Internat</w:t>
      </w:r>
      <w:r w:rsidR="006831CB">
        <w:rPr>
          <w:rFonts w:eastAsia="Calibri"/>
          <w:i/>
          <w:iCs/>
        </w:rPr>
        <w:t>ional</w:t>
      </w:r>
      <w:r w:rsidRPr="003B16E1">
        <w:rPr>
          <w:rFonts w:eastAsia="Calibri"/>
          <w:i/>
          <w:iCs/>
        </w:rPr>
        <w:t xml:space="preserve"> Charter High School v</w:t>
      </w:r>
      <w:r w:rsidRPr="007B4874">
        <w:rPr>
          <w:rFonts w:eastAsia="Calibri"/>
          <w:i/>
          <w:iCs/>
        </w:rPr>
        <w:t>.</w:t>
      </w:r>
      <w:r w:rsidRPr="003B16E1">
        <w:rPr>
          <w:rFonts w:eastAsia="Calibri"/>
          <w:i/>
          <w:iCs/>
        </w:rPr>
        <w:t xml:space="preserve"> Los Angeles</w:t>
      </w:r>
      <w:r w:rsidRPr="003B16E1">
        <w:rPr>
          <w:rFonts w:eastAsia="Calibri"/>
        </w:rPr>
        <w:t xml:space="preserve"> </w:t>
      </w:r>
      <w:r w:rsidRPr="003B16E1">
        <w:rPr>
          <w:rFonts w:eastAsia="Calibri"/>
          <w:i/>
          <w:iCs/>
        </w:rPr>
        <w:t xml:space="preserve">Unified School </w:t>
      </w:r>
      <w:r w:rsidRPr="007B4874">
        <w:rPr>
          <w:rFonts w:eastAsia="Calibri"/>
          <w:i/>
          <w:iCs/>
        </w:rPr>
        <w:t>Dist</w:t>
      </w:r>
      <w:r w:rsidR="006831CB">
        <w:rPr>
          <w:rFonts w:eastAsia="Calibri"/>
          <w:i/>
          <w:iCs/>
        </w:rPr>
        <w:t>rict</w:t>
      </w:r>
      <w:r w:rsidRPr="003B16E1">
        <w:rPr>
          <w:rFonts w:eastAsia="Calibri"/>
        </w:rPr>
        <w:t xml:space="preserve"> (2012) 209 Cal.App.4th 1348 (</w:t>
      </w:r>
      <w:r w:rsidR="006831CB">
        <w:rPr>
          <w:rFonts w:eastAsia="Calibri"/>
          <w:i/>
          <w:iCs/>
        </w:rPr>
        <w:t>Charter</w:t>
      </w:r>
      <w:r w:rsidRPr="003B16E1">
        <w:rPr>
          <w:rFonts w:eastAsia="Calibri"/>
        </w:rPr>
        <w:t xml:space="preserve">), </w:t>
      </w:r>
      <w:r w:rsidR="00093099">
        <w:rPr>
          <w:rFonts w:eastAsia="Calibri"/>
        </w:rPr>
        <w:t xml:space="preserve">which plaintiffs </w:t>
      </w:r>
      <w:r w:rsidRPr="003B16E1">
        <w:rPr>
          <w:rFonts w:eastAsia="Calibri"/>
        </w:rPr>
        <w:t xml:space="preserve">also cite, is even </w:t>
      </w:r>
      <w:r w:rsidR="00622DA4">
        <w:rPr>
          <w:rFonts w:eastAsia="Calibri"/>
        </w:rPr>
        <w:t>less relevant.</w:t>
      </w:r>
      <w:r w:rsidRPr="003B16E1">
        <w:rPr>
          <w:rFonts w:eastAsia="Calibri"/>
        </w:rPr>
        <w:t xml:space="preserve">  </w:t>
      </w:r>
      <w:r w:rsidR="003A2B13">
        <w:rPr>
          <w:rFonts w:eastAsia="Calibri"/>
          <w:i/>
          <w:iCs/>
        </w:rPr>
        <w:t xml:space="preserve">Charter </w:t>
      </w:r>
      <w:r>
        <w:rPr>
          <w:rFonts w:eastAsia="Calibri"/>
        </w:rPr>
        <w:t>concerned</w:t>
      </w:r>
      <w:r w:rsidRPr="003B16E1">
        <w:rPr>
          <w:rFonts w:eastAsia="Calibri"/>
        </w:rPr>
        <w:t xml:space="preserve"> a school district’s compliance with regulations</w:t>
      </w:r>
      <w:r>
        <w:rPr>
          <w:rFonts w:eastAsia="Calibri"/>
        </w:rPr>
        <w:t xml:space="preserve"> in </w:t>
      </w:r>
      <w:r w:rsidR="009A199A">
        <w:rPr>
          <w:rFonts w:eastAsia="Calibri"/>
        </w:rPr>
        <w:t>t</w:t>
      </w:r>
      <w:r>
        <w:rPr>
          <w:rFonts w:eastAsia="Calibri"/>
        </w:rPr>
        <w:t>itle 5 of the California Code of Regulations governing charter schools</w:t>
      </w:r>
      <w:r w:rsidRPr="003B16E1">
        <w:rPr>
          <w:rFonts w:eastAsia="Calibri"/>
        </w:rPr>
        <w:t>.  The court found the enrollment data for one campus was sufficient to show the district properly considered “capacity” under a regulation requiring it to determine whether public school facilities could accommodate</w:t>
      </w:r>
      <w:r w:rsidRPr="003B16E1">
        <w:rPr>
          <w:rFonts w:eastAsia="Calibri"/>
        </w:rPr>
        <w:t xml:space="preserve"> charter students.  (</w:t>
      </w:r>
      <w:r w:rsidR="00185F57">
        <w:rPr>
          <w:rFonts w:eastAsia="Calibri"/>
          <w:i/>
          <w:iCs/>
        </w:rPr>
        <w:t>Id</w:t>
      </w:r>
      <w:r w:rsidR="00185F57">
        <w:rPr>
          <w:rFonts w:eastAsia="Calibri"/>
        </w:rPr>
        <w:t>.</w:t>
      </w:r>
      <w:r w:rsidRPr="003B16E1">
        <w:rPr>
          <w:rFonts w:eastAsia="Calibri"/>
        </w:rPr>
        <w:t xml:space="preserve"> at p.</w:t>
      </w:r>
      <w:r w:rsidR="00184925">
        <w:rPr>
          <w:rFonts w:eastAsia="Calibri"/>
        </w:rPr>
        <w:t> </w:t>
      </w:r>
      <w:r w:rsidRPr="003B16E1">
        <w:rPr>
          <w:rFonts w:eastAsia="Calibri"/>
        </w:rPr>
        <w:t xml:space="preserve">1359.)  Whether enrollment or attendance </w:t>
      </w:r>
      <w:r>
        <w:rPr>
          <w:rFonts w:eastAsia="Calibri"/>
        </w:rPr>
        <w:t>wa</w:t>
      </w:r>
      <w:r w:rsidRPr="003B16E1">
        <w:rPr>
          <w:rFonts w:eastAsia="Calibri"/>
        </w:rPr>
        <w:t>s the appropriate measure of capacity was not at issue</w:t>
      </w:r>
      <w:r>
        <w:rPr>
          <w:rFonts w:eastAsia="Calibri"/>
        </w:rPr>
        <w:t xml:space="preserve">, nor is there any reasoning or analysis to suggest any holding </w:t>
      </w:r>
      <w:r w:rsidR="00232415">
        <w:rPr>
          <w:rFonts w:eastAsia="Calibri"/>
        </w:rPr>
        <w:t xml:space="preserve">in the case </w:t>
      </w:r>
      <w:r>
        <w:rPr>
          <w:rFonts w:eastAsia="Calibri"/>
        </w:rPr>
        <w:t xml:space="preserve">would be persuasive in analyzing compliance with a child care center license.  </w:t>
      </w:r>
      <w:bookmarkStart w:id="1" w:name="_Hlk156806418"/>
      <w:r w:rsidR="00212191">
        <w:rPr>
          <w:rFonts w:eastAsia="Calibri"/>
        </w:rPr>
        <w:t>C</w:t>
      </w:r>
      <w:r>
        <w:rPr>
          <w:rFonts w:eastAsia="Calibri"/>
        </w:rPr>
        <w:t xml:space="preserve">ases are not authority for propositions not considered.  </w:t>
      </w:r>
      <w:r w:rsidR="008A1214">
        <w:rPr>
          <w:rFonts w:eastAsia="Calibri"/>
        </w:rPr>
        <w:t>(</w:t>
      </w:r>
      <w:r w:rsidR="008A1214" w:rsidRPr="002B3C3A">
        <w:rPr>
          <w:rFonts w:eastAsia="Calibri"/>
          <w:i/>
          <w:iCs/>
        </w:rPr>
        <w:t>People v</w:t>
      </w:r>
      <w:r w:rsidR="008A1214" w:rsidRPr="00066C61">
        <w:rPr>
          <w:rFonts w:eastAsia="Calibri"/>
          <w:i/>
          <w:iCs/>
        </w:rPr>
        <w:t>.</w:t>
      </w:r>
      <w:r w:rsidR="008A1214" w:rsidRPr="002B3C3A">
        <w:rPr>
          <w:rFonts w:eastAsia="Calibri"/>
          <w:i/>
          <w:iCs/>
        </w:rPr>
        <w:t xml:space="preserve"> Ault</w:t>
      </w:r>
      <w:r w:rsidR="008A1214" w:rsidRPr="008A1214">
        <w:rPr>
          <w:rFonts w:eastAsia="Calibri"/>
        </w:rPr>
        <w:t xml:space="preserve"> (2004) 33 Cal.4th 1250, 1268</w:t>
      </w:r>
      <w:r w:rsidR="004E71E9">
        <w:rPr>
          <w:rFonts w:eastAsia="Calibri"/>
        </w:rPr>
        <w:t>, fn. 10</w:t>
      </w:r>
      <w:r>
        <w:rPr>
          <w:rFonts w:eastAsia="Calibri"/>
        </w:rPr>
        <w:t>.</w:t>
      </w:r>
      <w:r w:rsidR="004E71E9">
        <w:rPr>
          <w:rFonts w:eastAsia="Calibri"/>
        </w:rPr>
        <w:t>)</w:t>
      </w:r>
      <w:bookmarkEnd w:id="1"/>
    </w:p>
    <w:p w14:paraId="6E9A8566" w14:textId="54C1F5F9" w:rsidR="00277553" w:rsidRDefault="003A0E16" w:rsidP="00166B72">
      <w:pPr>
        <w:ind w:firstLine="720"/>
        <w:contextualSpacing/>
        <w:rPr>
          <w:rFonts w:eastAsia="Calibri"/>
        </w:rPr>
      </w:pPr>
      <w:r>
        <w:rPr>
          <w:rFonts w:eastAsia="Calibri"/>
        </w:rPr>
        <w:t xml:space="preserve">We </w:t>
      </w:r>
      <w:r w:rsidR="00732338">
        <w:rPr>
          <w:rFonts w:eastAsia="Calibri"/>
        </w:rPr>
        <w:t xml:space="preserve">thus </w:t>
      </w:r>
      <w:r>
        <w:rPr>
          <w:rFonts w:eastAsia="Calibri"/>
        </w:rPr>
        <w:t xml:space="preserve">reject plaintiffs’ strained and unsupported interpretation of section 101161, subdivision (a).  </w:t>
      </w:r>
      <w:r w:rsidRPr="003B16E1">
        <w:rPr>
          <w:rFonts w:eastAsia="Calibri"/>
        </w:rPr>
        <w:t xml:space="preserve">Section 101179, subdivision (a) </w:t>
      </w:r>
      <w:r>
        <w:rPr>
          <w:rFonts w:eastAsia="Calibri"/>
        </w:rPr>
        <w:t xml:space="preserve">and section 101152, subdivision (c)(2) offer an unambiguous definition of capacity that can only be reasonably understood as setting an upper limit on the number of children who may physically be present at a center’s premises at one time, and </w:t>
      </w:r>
      <w:r w:rsidR="00732338">
        <w:rPr>
          <w:rFonts w:eastAsia="Calibri"/>
        </w:rPr>
        <w:t xml:space="preserve">therefore </w:t>
      </w:r>
      <w:r>
        <w:rPr>
          <w:rFonts w:eastAsia="Calibri"/>
        </w:rPr>
        <w:t xml:space="preserve">under the facility’s care and supervision.  That number is reflected in attendance.  While in some cases </w:t>
      </w:r>
      <w:r w:rsidR="00732338">
        <w:rPr>
          <w:rFonts w:eastAsia="Calibri"/>
        </w:rPr>
        <w:t xml:space="preserve">the same </w:t>
      </w:r>
      <w:r>
        <w:rPr>
          <w:rFonts w:eastAsia="Calibri"/>
        </w:rPr>
        <w:lastRenderedPageBreak/>
        <w:t xml:space="preserve">number may </w:t>
      </w:r>
      <w:r w:rsidR="00732338">
        <w:rPr>
          <w:rFonts w:eastAsia="Calibri"/>
        </w:rPr>
        <w:t>be equivalent to</w:t>
      </w:r>
      <w:r>
        <w:rPr>
          <w:rFonts w:eastAsia="Calibri"/>
        </w:rPr>
        <w:t xml:space="preserve"> enrollment, that was not the case here.  The enrollment data plaintiffs relied upon did not reflect attendance, or, in other words, did not reflect the number of children physically present at Pacific Oaks at any given time.</w:t>
      </w:r>
      <w:r w:rsidR="00C65DFD">
        <w:rPr>
          <w:rFonts w:eastAsia="Calibri"/>
        </w:rPr>
        <w:t xml:space="preserve">  Plaintiffs never </w:t>
      </w:r>
      <w:r w:rsidR="007F1717">
        <w:rPr>
          <w:rFonts w:eastAsia="Calibri"/>
        </w:rPr>
        <w:t xml:space="preserve">proffered admissible evidence of enrollment </w:t>
      </w:r>
      <w:r w:rsidR="00CB7274">
        <w:rPr>
          <w:rFonts w:eastAsia="Calibri"/>
        </w:rPr>
        <w:t xml:space="preserve">similar to the evidence </w:t>
      </w:r>
      <w:r w:rsidR="00283EED">
        <w:rPr>
          <w:rFonts w:eastAsia="Calibri"/>
        </w:rPr>
        <w:t xml:space="preserve">at issue in </w:t>
      </w:r>
      <w:r w:rsidR="00283EED">
        <w:rPr>
          <w:rFonts w:eastAsia="Calibri"/>
          <w:i/>
          <w:iCs/>
        </w:rPr>
        <w:t>Scott</w:t>
      </w:r>
      <w:r w:rsidR="00283EED" w:rsidRPr="00184925">
        <w:rPr>
          <w:rFonts w:eastAsia="Calibri"/>
        </w:rPr>
        <w:t>.</w:t>
      </w:r>
      <w:r>
        <w:rPr>
          <w:rFonts w:eastAsia="Calibri"/>
        </w:rPr>
        <w:t xml:space="preserve"> </w:t>
      </w:r>
      <w:r w:rsidR="00283EED">
        <w:rPr>
          <w:rFonts w:eastAsia="Calibri"/>
        </w:rPr>
        <w:t xml:space="preserve"> </w:t>
      </w:r>
      <w:r>
        <w:rPr>
          <w:rFonts w:eastAsia="Calibri"/>
        </w:rPr>
        <w:t xml:space="preserve">The trial court properly concluded plaintiffs could not prove a violation of section 101161, subdivision (a) </w:t>
      </w:r>
      <w:r w:rsidR="00BF096E">
        <w:rPr>
          <w:rFonts w:eastAsia="Calibri"/>
        </w:rPr>
        <w:t>us</w:t>
      </w:r>
      <w:r w:rsidR="007010CB">
        <w:rPr>
          <w:rFonts w:eastAsia="Calibri"/>
        </w:rPr>
        <w:t>ing</w:t>
      </w:r>
      <w:r w:rsidR="00BF096E">
        <w:rPr>
          <w:rFonts w:eastAsia="Calibri"/>
        </w:rPr>
        <w:t xml:space="preserve"> </w:t>
      </w:r>
      <w:r w:rsidR="00F307B4">
        <w:rPr>
          <w:rFonts w:eastAsia="Calibri"/>
        </w:rPr>
        <w:t xml:space="preserve">Pacific Oaks’s </w:t>
      </w:r>
      <w:r w:rsidR="00B76A6E">
        <w:rPr>
          <w:rFonts w:eastAsia="Calibri"/>
        </w:rPr>
        <w:t>annual aggregate</w:t>
      </w:r>
      <w:r>
        <w:rPr>
          <w:rFonts w:eastAsia="Calibri"/>
        </w:rPr>
        <w:t xml:space="preserve"> enrollment data alone.</w:t>
      </w:r>
    </w:p>
    <w:p w14:paraId="33B2AFE3" w14:textId="77777777" w:rsidR="00A55060" w:rsidRDefault="00A55060" w:rsidP="00F25C1A">
      <w:pPr>
        <w:contextualSpacing/>
        <w:rPr>
          <w:rFonts w:eastAsia="Calibri"/>
        </w:rPr>
      </w:pPr>
    </w:p>
    <w:p w14:paraId="59BEBC09" w14:textId="62A84B93" w:rsidR="00C24765" w:rsidRDefault="003A0E16" w:rsidP="00A55060">
      <w:pPr>
        <w:spacing w:before="120" w:after="120"/>
        <w:contextualSpacing/>
        <w:jc w:val="center"/>
        <w:rPr>
          <w:rFonts w:eastAsia="Calibri"/>
        </w:rPr>
      </w:pPr>
      <w:r>
        <w:rPr>
          <w:rFonts w:eastAsia="Calibri"/>
        </w:rPr>
        <w:t>[[</w:t>
      </w:r>
      <w:r w:rsidR="00F07279">
        <w:rPr>
          <w:rFonts w:eastAsia="Calibri"/>
        </w:rPr>
        <w:t>Begin nonpublished portion.]]</w:t>
      </w:r>
    </w:p>
    <w:p w14:paraId="1D97D84A" w14:textId="77777777" w:rsidR="00A55060" w:rsidRDefault="00A55060" w:rsidP="00F25C1A">
      <w:pPr>
        <w:spacing w:before="120" w:after="120"/>
        <w:contextualSpacing/>
        <w:rPr>
          <w:rFonts w:eastAsia="Calibri"/>
        </w:rPr>
      </w:pPr>
    </w:p>
    <w:p w14:paraId="7F29F980" w14:textId="0688EBBF" w:rsidR="008A6D61" w:rsidRPr="004F2C4E" w:rsidRDefault="003A0E16" w:rsidP="0015440B">
      <w:pPr>
        <w:pStyle w:val="Heading20"/>
        <w:widowControl w:val="0"/>
        <w:numPr>
          <w:ilvl w:val="0"/>
          <w:numId w:val="1"/>
        </w:numPr>
        <w:ind w:left="720"/>
        <w:contextualSpacing/>
      </w:pPr>
      <w:r w:rsidRPr="00157F1B">
        <w:t xml:space="preserve">The Trial Court </w:t>
      </w:r>
      <w:r w:rsidR="002B6FE2">
        <w:t>Did Not Abuse Its Discretion in Defining the Class</w:t>
      </w:r>
    </w:p>
    <w:p w14:paraId="6E05E80B" w14:textId="2A04D396" w:rsidR="00CE0C15" w:rsidRDefault="003A0E16" w:rsidP="00700DEE">
      <w:pPr>
        <w:ind w:firstLine="720"/>
      </w:pPr>
      <w:r w:rsidRPr="00700DEE">
        <w:rPr>
          <w:rFonts w:eastAsia="Calibri"/>
        </w:rPr>
        <w:t xml:space="preserve">In the remainder of their arguments on appeal, plaintiffs contend the trial court’s rulings improperly limited their </w:t>
      </w:r>
      <w:r w:rsidRPr="00700DEE">
        <w:rPr>
          <w:rFonts w:eastAsia="Calibri"/>
        </w:rPr>
        <w:t>claims and prevented them from establishing that, even using attendance to measure capacity, Pacific Oaks violated the DSS license.  We find no error in the trial court’s rulings.</w:t>
      </w:r>
      <w:r>
        <w:rPr>
          <w:b/>
          <w:vertAlign w:val="superscript"/>
        </w:rPr>
        <w:footnoteReference w:id="16"/>
      </w:r>
    </w:p>
    <w:p w14:paraId="0F5068DF" w14:textId="2270F4A5" w:rsidR="00330CBC" w:rsidRPr="004F2C4E" w:rsidRDefault="003A0E16" w:rsidP="00166B72">
      <w:pPr>
        <w:ind w:firstLine="720"/>
        <w:contextualSpacing/>
      </w:pPr>
      <w:r w:rsidRPr="004F2C4E">
        <w:t xml:space="preserve">Plaintiffs contend the trial court erred by </w:t>
      </w:r>
      <w:r w:rsidR="0037525C">
        <w:t>redefining</w:t>
      </w:r>
      <w:r w:rsidR="0037525C" w:rsidRPr="004F2C4E">
        <w:t xml:space="preserve"> </w:t>
      </w:r>
      <w:r w:rsidRPr="004F2C4E">
        <w:t>the class</w:t>
      </w:r>
      <w:r w:rsidR="0037525C">
        <w:t xml:space="preserve"> in December 2019</w:t>
      </w:r>
      <w:r w:rsidR="00096C0B">
        <w:t xml:space="preserve">.  They also </w:t>
      </w:r>
      <w:r w:rsidRPr="004F2C4E">
        <w:t>ask this court to restore the original class definition, which included parents</w:t>
      </w:r>
      <w:r w:rsidR="00095EE8">
        <w:t xml:space="preserve"> and guardians</w:t>
      </w:r>
      <w:r w:rsidRPr="004F2C4E">
        <w:t xml:space="preserve"> </w:t>
      </w:r>
      <w:r w:rsidR="00096C0B">
        <w:t xml:space="preserve">whose children attended </w:t>
      </w:r>
      <w:r w:rsidR="0081208F">
        <w:t>the</w:t>
      </w:r>
      <w:r w:rsidRPr="004F2C4E">
        <w:t xml:space="preserve"> </w:t>
      </w:r>
      <w:r w:rsidR="0081208F">
        <w:t>infant</w:t>
      </w:r>
      <w:r w:rsidR="00126C11">
        <w:t>/</w:t>
      </w:r>
      <w:r w:rsidR="0081208F">
        <w:t>toddler program</w:t>
      </w:r>
      <w:r w:rsidRPr="004F2C4E">
        <w:t xml:space="preserve"> and the </w:t>
      </w:r>
      <w:r w:rsidR="0081208F">
        <w:t>school age program</w:t>
      </w:r>
      <w:r w:rsidR="00FE1FCD" w:rsidRPr="004F2C4E">
        <w:t>.</w:t>
      </w:r>
    </w:p>
    <w:p w14:paraId="67983520" w14:textId="2B6A7212" w:rsidR="00FE1FCD" w:rsidRPr="004F2C4E" w:rsidRDefault="003A0E16" w:rsidP="00166B72">
      <w:pPr>
        <w:ind w:firstLine="720"/>
        <w:contextualSpacing/>
      </w:pPr>
      <w:r>
        <w:t xml:space="preserve">Trial courts </w:t>
      </w:r>
      <w:r w:rsidR="00A55A2A">
        <w:t xml:space="preserve">may redefine a class </w:t>
      </w:r>
      <w:r w:rsidR="00840F3A">
        <w:t>“</w:t>
      </w:r>
      <w:r w:rsidR="00A55A2A">
        <w:t>to</w:t>
      </w:r>
      <w:r w:rsidR="00686D06">
        <w:t xml:space="preserve"> </w:t>
      </w:r>
      <w:r w:rsidR="00840F3A">
        <w:t>reduce or eliminate” a manageability problem “created by a potentially overbroad class definition.”  (</w:t>
      </w:r>
      <w:r w:rsidR="00912C05" w:rsidRPr="00166B72">
        <w:rPr>
          <w:i/>
          <w:iCs/>
        </w:rPr>
        <w:t>Sarun v</w:t>
      </w:r>
      <w:r w:rsidR="00912C05" w:rsidRPr="00066C61">
        <w:rPr>
          <w:i/>
          <w:iCs/>
        </w:rPr>
        <w:t>.</w:t>
      </w:r>
      <w:r w:rsidR="00912C05" w:rsidRPr="00166B72">
        <w:rPr>
          <w:i/>
          <w:iCs/>
        </w:rPr>
        <w:t xml:space="preserve"> Dignity Health</w:t>
      </w:r>
      <w:r w:rsidR="00BB5601">
        <w:t xml:space="preserve"> </w:t>
      </w:r>
      <w:r w:rsidR="00BB5601" w:rsidRPr="002B3C3A">
        <w:t>(2019)</w:t>
      </w:r>
      <w:r w:rsidR="00912C05">
        <w:t xml:space="preserve"> </w:t>
      </w:r>
      <w:r w:rsidR="00443BD1">
        <w:t xml:space="preserve">41 Cal.App.5th 1119, </w:t>
      </w:r>
      <w:r w:rsidR="00443BD1">
        <w:lastRenderedPageBreak/>
        <w:t>1137</w:t>
      </w:r>
      <w:r w:rsidR="0027756D">
        <w:t>–1138 &amp;</w:t>
      </w:r>
      <w:r w:rsidR="00856CCB">
        <w:t xml:space="preserve"> fn. 18.)  </w:t>
      </w:r>
      <w:r w:rsidR="0068120B">
        <w:t xml:space="preserve">“The trial court’s rulings regarding </w:t>
      </w:r>
      <w:r w:rsidR="00087463">
        <w:t>. . .</w:t>
      </w:r>
      <w:r w:rsidR="0068120B">
        <w:t xml:space="preserve"> the necessity of modifying an existing class certification are reviewed on appeal for abuse of discretion.”  (</w:t>
      </w:r>
      <w:r w:rsidR="0068120B" w:rsidRPr="00166B72">
        <w:rPr>
          <w:i/>
        </w:rPr>
        <w:t>Cristler v</w:t>
      </w:r>
      <w:r w:rsidR="0068120B" w:rsidRPr="0049611D">
        <w:rPr>
          <w:i/>
        </w:rPr>
        <w:t>.</w:t>
      </w:r>
      <w:r w:rsidR="0068120B" w:rsidRPr="00166B72">
        <w:rPr>
          <w:i/>
        </w:rPr>
        <w:t xml:space="preserve"> Express Messenger Systems</w:t>
      </w:r>
      <w:r w:rsidR="0068120B" w:rsidRPr="0049611D">
        <w:rPr>
          <w:i/>
        </w:rPr>
        <w:t>, Inc.</w:t>
      </w:r>
      <w:r w:rsidR="0068120B">
        <w:t xml:space="preserve"> (2009) 171 Cal.App.4th 72, 80.)</w:t>
      </w:r>
    </w:p>
    <w:p w14:paraId="529F12C2" w14:textId="204B1F73" w:rsidR="00FE1FCD" w:rsidRPr="004F2C4E" w:rsidRDefault="003A0E16" w:rsidP="0015440B">
      <w:pPr>
        <w:pStyle w:val="Heading30"/>
        <w:widowControl w:val="0"/>
        <w:numPr>
          <w:ilvl w:val="0"/>
          <w:numId w:val="7"/>
        </w:numPr>
        <w:ind w:hanging="720"/>
        <w:contextualSpacing/>
      </w:pPr>
      <w:r w:rsidRPr="004F2C4E">
        <w:t>Infant/</w:t>
      </w:r>
      <w:r w:rsidR="007A6CC8">
        <w:t>t</w:t>
      </w:r>
      <w:r w:rsidRPr="004F2C4E">
        <w:t>odd</w:t>
      </w:r>
      <w:r w:rsidR="00E04D1D" w:rsidRPr="004F2C4E">
        <w:t>l</w:t>
      </w:r>
      <w:r w:rsidRPr="004F2C4E">
        <w:t xml:space="preserve">er and </w:t>
      </w:r>
      <w:r w:rsidR="001933E5">
        <w:t>s</w:t>
      </w:r>
      <w:r w:rsidRPr="004F2C4E">
        <w:t xml:space="preserve">chool </w:t>
      </w:r>
      <w:r w:rsidR="001933E5">
        <w:t>a</w:t>
      </w:r>
      <w:r w:rsidRPr="004F2C4E">
        <w:t xml:space="preserve">ge </w:t>
      </w:r>
      <w:r w:rsidR="001933E5">
        <w:t>p</w:t>
      </w:r>
      <w:r w:rsidRPr="004F2C4E">
        <w:t>rograms</w:t>
      </w:r>
    </w:p>
    <w:p w14:paraId="30F2EF64" w14:textId="6BB8B10E" w:rsidR="00045BEE" w:rsidRDefault="003A0E16" w:rsidP="0015440B">
      <w:pPr>
        <w:pStyle w:val="ListParagraph"/>
        <w:widowControl w:val="0"/>
        <w:numPr>
          <w:ilvl w:val="0"/>
          <w:numId w:val="11"/>
        </w:numPr>
        <w:ind w:left="2160" w:hanging="720"/>
        <w:rPr>
          <w:b/>
          <w:bCs/>
        </w:rPr>
      </w:pPr>
      <w:r w:rsidRPr="00166B72">
        <w:rPr>
          <w:b/>
          <w:bCs/>
        </w:rPr>
        <w:t>Background</w:t>
      </w:r>
    </w:p>
    <w:p w14:paraId="03838AFE" w14:textId="4C831F2D" w:rsidR="000D67BF" w:rsidRDefault="003A0E16" w:rsidP="00166B72">
      <w:pPr>
        <w:ind w:firstLine="720"/>
        <w:contextualSpacing/>
      </w:pPr>
      <w:r>
        <w:t xml:space="preserve">In addition to programs for preschool age children, </w:t>
      </w:r>
      <w:r w:rsidR="007B6A2F">
        <w:t>Pacific Oaks at times operated a</w:t>
      </w:r>
      <w:r w:rsidR="002C006E">
        <w:t xml:space="preserve"> program for infants and toddlers and their parents, and a program for school age children.</w:t>
      </w:r>
      <w:r w:rsidR="008D209F">
        <w:t xml:space="preserve">  A Pacific Oaks handbook described the infant</w:t>
      </w:r>
      <w:r w:rsidR="00F76297">
        <w:t>/</w:t>
      </w:r>
      <w:r w:rsidR="008D209F">
        <w:t xml:space="preserve">toddler program as </w:t>
      </w:r>
      <w:r w:rsidR="008D209F" w:rsidRPr="004F2C4E">
        <w:rPr>
          <w:rFonts w:eastAsia="Calibri"/>
        </w:rPr>
        <w:t xml:space="preserve">an opportunity for </w:t>
      </w:r>
      <w:r w:rsidR="008D209F" w:rsidRPr="004F2C4E">
        <w:t xml:space="preserve">the adult parent, guardian, or caregiver to attend “two hours of play and developmental learning” </w:t>
      </w:r>
      <w:r w:rsidR="008D209F" w:rsidRPr="00166B72">
        <w:t>with</w:t>
      </w:r>
      <w:r w:rsidR="008D209F" w:rsidRPr="004F2C4E">
        <w:t xml:space="preserve"> their child.  The program allowed parents and caregivers to “begin the process of separation” while remaining “close at hand” and “readily available to their children” during the program.</w:t>
      </w:r>
    </w:p>
    <w:p w14:paraId="02B1731E" w14:textId="1486C749" w:rsidR="007B2959" w:rsidRDefault="003A0E16" w:rsidP="00166B72">
      <w:pPr>
        <w:ind w:firstLine="720"/>
        <w:contextualSpacing/>
      </w:pPr>
      <w:r w:rsidRPr="007B2959">
        <w:rPr>
          <w:bCs/>
        </w:rPr>
        <w:t xml:space="preserve">The </w:t>
      </w:r>
      <w:r w:rsidR="003C24D2">
        <w:rPr>
          <w:bCs/>
        </w:rPr>
        <w:t>school age program</w:t>
      </w:r>
      <w:r w:rsidRPr="007B2959">
        <w:rPr>
          <w:bCs/>
        </w:rPr>
        <w:t xml:space="preserve"> offered morning and afternoon care to children enrolled at </w:t>
      </w:r>
      <w:r w:rsidR="00D8698B">
        <w:rPr>
          <w:bCs/>
        </w:rPr>
        <w:t>Pacific Oaks,</w:t>
      </w:r>
      <w:r w:rsidRPr="007B2959">
        <w:rPr>
          <w:bCs/>
        </w:rPr>
        <w:t xml:space="preserve"> or other private or public schools in the area, and provided </w:t>
      </w:r>
      <w:r w:rsidR="00AF26A1" w:rsidRPr="007B2959">
        <w:rPr>
          <w:bCs/>
        </w:rPr>
        <w:t>full day</w:t>
      </w:r>
      <w:r w:rsidRPr="007B2959">
        <w:rPr>
          <w:bCs/>
        </w:rPr>
        <w:t xml:space="preserve"> child</w:t>
      </w:r>
      <w:r w:rsidR="00AF26A1">
        <w:rPr>
          <w:bCs/>
        </w:rPr>
        <w:t xml:space="preserve"> </w:t>
      </w:r>
      <w:r w:rsidRPr="007B2959">
        <w:rPr>
          <w:bCs/>
        </w:rPr>
        <w:t xml:space="preserve">care on school holidays and throughout summer. </w:t>
      </w:r>
      <w:r>
        <w:rPr>
          <w:bCs/>
        </w:rPr>
        <w:t xml:space="preserve"> </w:t>
      </w:r>
      <w:r w:rsidR="00AB4ED6" w:rsidRPr="004F2C4E">
        <w:rPr>
          <w:rFonts w:eastAsia="Calibri"/>
        </w:rPr>
        <w:t xml:space="preserve">Pacific Oaks had a </w:t>
      </w:r>
      <w:r w:rsidR="00AB4ED6" w:rsidRPr="004F2C4E">
        <w:t>separate license for school age children that contained its own capacity limitation.</w:t>
      </w:r>
      <w:r w:rsidR="00AB4ED6">
        <w:t xml:space="preserve">  However, </w:t>
      </w:r>
      <w:r w:rsidR="00357C9A" w:rsidRPr="004F2C4E">
        <w:t xml:space="preserve">Tambe’s undated letter informed DSS that </w:t>
      </w:r>
      <w:r w:rsidR="003C24D2">
        <w:t>the school age program</w:t>
      </w:r>
      <w:r w:rsidR="00D92F82" w:rsidRPr="004F2C4E">
        <w:t xml:space="preserve"> </w:t>
      </w:r>
      <w:r w:rsidR="00357C9A" w:rsidRPr="004F2C4E">
        <w:t xml:space="preserve">had “not been in use for </w:t>
      </w:r>
      <w:r w:rsidR="001E6BDB">
        <w:t>10</w:t>
      </w:r>
      <w:r w:rsidR="001E6BDB" w:rsidRPr="004F2C4E">
        <w:t xml:space="preserve"> </w:t>
      </w:r>
      <w:r w:rsidR="00357C9A" w:rsidRPr="004F2C4E">
        <w:t>years plus.”</w:t>
      </w:r>
      <w:r>
        <w:rPr>
          <w:rStyle w:val="FootnoteReference"/>
        </w:rPr>
        <w:footnoteReference w:id="17"/>
      </w:r>
      <w:r w:rsidR="00357C9A" w:rsidRPr="004F2C4E">
        <w:t xml:space="preserve">  When asked about the letter at her deposition, McComas testified</w:t>
      </w:r>
      <w:r w:rsidR="00D92F82">
        <w:t xml:space="preserve"> that</w:t>
      </w:r>
      <w:r w:rsidR="00357C9A" w:rsidRPr="004F2C4E">
        <w:t xml:space="preserve"> “the school did not have school age children as stated.”</w:t>
      </w:r>
    </w:p>
    <w:p w14:paraId="67D84E54" w14:textId="581DD8EB" w:rsidR="00162DDA" w:rsidRPr="007B2959" w:rsidRDefault="003A0E16" w:rsidP="00166B72">
      <w:pPr>
        <w:ind w:firstLine="720"/>
        <w:contextualSpacing/>
        <w:rPr>
          <w:bCs/>
        </w:rPr>
      </w:pPr>
      <w:r>
        <w:t>In December 2019</w:t>
      </w:r>
      <w:r w:rsidRPr="004F2C4E">
        <w:t xml:space="preserve">, </w:t>
      </w:r>
      <w:r w:rsidR="00CA5FC4">
        <w:t xml:space="preserve">the court </w:t>
      </w:r>
      <w:r w:rsidR="00302EBB">
        <w:t xml:space="preserve">redefined the class to “Parents and guardians of former Pacific Oaks’ students who paid tuition from January 1, 2007 through August 2013 and whose students </w:t>
      </w:r>
      <w:r w:rsidR="00302EBB">
        <w:lastRenderedPageBreak/>
        <w:t xml:space="preserve">were enrolled in any </w:t>
      </w:r>
      <w:r w:rsidR="00D94E9C">
        <w:t>‘</w:t>
      </w:r>
      <w:r w:rsidR="00302EBB">
        <w:t>Pre</w:t>
      </w:r>
      <w:r w:rsidR="00CA5FC4">
        <w:t>-School Program</w:t>
      </w:r>
      <w:r w:rsidR="00D94E9C">
        <w:t>’</w:t>
      </w:r>
      <w:r w:rsidR="00CA5FC4">
        <w:t xml:space="preserve"> offered by Pacific Oaks during that time period.”  This removed from the class parents </w:t>
      </w:r>
      <w:r w:rsidR="002C48CE">
        <w:t xml:space="preserve">and guardians </w:t>
      </w:r>
      <w:r w:rsidR="00CA5FC4">
        <w:t xml:space="preserve">whose </w:t>
      </w:r>
      <w:r w:rsidRPr="004F2C4E">
        <w:t>children</w:t>
      </w:r>
      <w:r w:rsidR="002C48CE">
        <w:t xml:space="preserve"> were enroll</w:t>
      </w:r>
      <w:r w:rsidR="006F4A60">
        <w:t>ed</w:t>
      </w:r>
      <w:r w:rsidRPr="004F2C4E">
        <w:t xml:space="preserve"> in Pacific Oaks’s </w:t>
      </w:r>
      <w:r>
        <w:t>infant</w:t>
      </w:r>
      <w:r w:rsidR="00B926E6">
        <w:t>/</w:t>
      </w:r>
      <w:r>
        <w:t>toddler</w:t>
      </w:r>
      <w:r w:rsidRPr="004F2C4E">
        <w:t xml:space="preserve"> and </w:t>
      </w:r>
      <w:r>
        <w:t>school age programs</w:t>
      </w:r>
      <w:r w:rsidR="009B5889">
        <w:t>.</w:t>
      </w:r>
      <w:r w:rsidR="007A23FB">
        <w:t xml:space="preserve">  The court concluded the day</w:t>
      </w:r>
      <w:r w:rsidR="00E609A3">
        <w:t xml:space="preserve"> </w:t>
      </w:r>
      <w:r w:rsidR="007A23FB">
        <w:t>care licensing regulations did not apply to the infant</w:t>
      </w:r>
      <w:r w:rsidR="0038004E">
        <w:t>/toddler program since parents and guardians attended with their children.  The court further determined the school age program was covered by a different license and</w:t>
      </w:r>
      <w:r w:rsidR="00FA0C29">
        <w:t>,</w:t>
      </w:r>
      <w:r w:rsidR="0038004E">
        <w:t xml:space="preserve"> in any event, was exempt from day</w:t>
      </w:r>
      <w:r w:rsidR="00B926E6">
        <w:t xml:space="preserve"> </w:t>
      </w:r>
      <w:r w:rsidR="0038004E">
        <w:t>care licensing requirements under Health and Safety Code section 1596.792</w:t>
      </w:r>
      <w:r w:rsidR="000514F1">
        <w:t>, subdivision (h).</w:t>
      </w:r>
    </w:p>
    <w:p w14:paraId="4E1A8DA4" w14:textId="0060AD5B" w:rsidR="00045BEE" w:rsidRPr="00166B72" w:rsidRDefault="003A0E16" w:rsidP="0015440B">
      <w:pPr>
        <w:pStyle w:val="ListParagraph"/>
        <w:numPr>
          <w:ilvl w:val="0"/>
          <w:numId w:val="11"/>
        </w:numPr>
        <w:ind w:left="2160" w:hanging="720"/>
        <w:rPr>
          <w:b/>
          <w:bCs/>
        </w:rPr>
      </w:pPr>
      <w:r>
        <w:rPr>
          <w:b/>
          <w:bCs/>
        </w:rPr>
        <w:t>Discussion</w:t>
      </w:r>
    </w:p>
    <w:p w14:paraId="08559E16" w14:textId="0C24707D" w:rsidR="008A6D61" w:rsidRPr="004F2C4E" w:rsidRDefault="003A0E16" w:rsidP="00166B72">
      <w:pPr>
        <w:ind w:firstLine="720"/>
        <w:contextualSpacing/>
      </w:pPr>
      <w:r w:rsidRPr="004F2C4E">
        <w:t xml:space="preserve">Plaintiffs contend the trial court’s ruling was incorrect </w:t>
      </w:r>
      <w:r w:rsidR="00631C93">
        <w:t>because</w:t>
      </w:r>
      <w:r w:rsidRPr="004F2C4E">
        <w:t xml:space="preserve"> </w:t>
      </w:r>
      <w:r w:rsidR="000B3A9F" w:rsidRPr="004F2C4E">
        <w:t xml:space="preserve">the </w:t>
      </w:r>
      <w:r w:rsidR="009B5889">
        <w:t xml:space="preserve">DSS </w:t>
      </w:r>
      <w:r w:rsidR="000B3A9F" w:rsidRPr="004F2C4E">
        <w:t>license</w:t>
      </w:r>
      <w:r w:rsidRPr="004F2C4E">
        <w:t xml:space="preserve"> </w:t>
      </w:r>
      <w:r w:rsidR="000B3A9F" w:rsidRPr="004F2C4E">
        <w:t>limit</w:t>
      </w:r>
      <w:r w:rsidR="007A489A">
        <w:t>ing</w:t>
      </w:r>
      <w:r w:rsidR="000B3A9F" w:rsidRPr="004F2C4E">
        <w:t xml:space="preserve"> capacity to 77 </w:t>
      </w:r>
      <w:r w:rsidRPr="004F2C4E">
        <w:t xml:space="preserve">applied to all </w:t>
      </w:r>
      <w:r w:rsidR="007A489A">
        <w:t xml:space="preserve">of </w:t>
      </w:r>
      <w:r w:rsidR="00893785" w:rsidRPr="004F2C4E">
        <w:t>Pacific Oaks’s</w:t>
      </w:r>
      <w:r w:rsidRPr="004F2C4E">
        <w:t xml:space="preserve"> child</w:t>
      </w:r>
      <w:r w:rsidR="00B926E6">
        <w:t xml:space="preserve"> </w:t>
      </w:r>
      <w:r w:rsidRPr="004F2C4E">
        <w:t>care programs without exception.</w:t>
      </w:r>
      <w:r w:rsidR="008C4E6F">
        <w:t xml:space="preserve">  We disagree.</w:t>
      </w:r>
    </w:p>
    <w:p w14:paraId="54A80B4C" w14:textId="6D582D45" w:rsidR="00926198" w:rsidRDefault="003A0E16" w:rsidP="00166B72">
      <w:pPr>
        <w:ind w:firstLine="720"/>
        <w:contextualSpacing/>
      </w:pPr>
      <w:r w:rsidRPr="004F2C4E">
        <w:t xml:space="preserve">Regarding the </w:t>
      </w:r>
      <w:r>
        <w:t>infant</w:t>
      </w:r>
      <w:r w:rsidR="00B926E6">
        <w:t>/</w:t>
      </w:r>
      <w:r>
        <w:t xml:space="preserve">toddler program, section 101152, subdivision (c)(7) </w:t>
      </w:r>
      <w:r w:rsidR="006771EC">
        <w:t>defines “</w:t>
      </w:r>
      <w:r w:rsidR="00214AC6">
        <w:t>C</w:t>
      </w:r>
      <w:r w:rsidR="006771EC">
        <w:t xml:space="preserve">hild </w:t>
      </w:r>
      <w:r w:rsidR="00214AC6">
        <w:t>C</w:t>
      </w:r>
      <w:r w:rsidR="006771EC">
        <w:t xml:space="preserve">are </w:t>
      </w:r>
      <w:r w:rsidR="00214AC6">
        <w:t>C</w:t>
      </w:r>
      <w:r w:rsidR="006771EC">
        <w:t>enter” or “</w:t>
      </w:r>
      <w:r w:rsidR="00214AC6">
        <w:t>D</w:t>
      </w:r>
      <w:r w:rsidR="006771EC">
        <w:t>a</w:t>
      </w:r>
      <w:r w:rsidR="006A327D">
        <w:t>y</w:t>
      </w:r>
      <w:r w:rsidR="006771EC">
        <w:t xml:space="preserve"> </w:t>
      </w:r>
      <w:r w:rsidR="00214AC6">
        <w:t>C</w:t>
      </w:r>
      <w:r w:rsidR="006771EC">
        <w:t xml:space="preserve">are </w:t>
      </w:r>
      <w:r w:rsidR="00214AC6">
        <w:t>C</w:t>
      </w:r>
      <w:r w:rsidR="006771EC">
        <w:t xml:space="preserve">enter” as any child care facility in which </w:t>
      </w:r>
      <w:r w:rsidR="00034CDA">
        <w:t xml:space="preserve">non-medical care and supervision are provided to children in a group setting.  </w:t>
      </w:r>
      <w:r w:rsidR="00D85D8C">
        <w:t xml:space="preserve">The regulations define </w:t>
      </w:r>
      <w:r w:rsidR="00D85D8C" w:rsidRPr="004F2C4E">
        <w:t>“</w:t>
      </w:r>
      <w:r w:rsidR="00D85D8C">
        <w:t>c</w:t>
      </w:r>
      <w:r w:rsidR="00D85D8C" w:rsidRPr="004F2C4E">
        <w:t>are and supervision” as any one of several activities “provided by a person or child care center to meet the needs of children in care.”</w:t>
      </w:r>
      <w:r>
        <w:rPr>
          <w:rStyle w:val="FootnoteReference"/>
        </w:rPr>
        <w:footnoteReference w:id="18"/>
      </w:r>
      <w:r w:rsidR="00D85D8C" w:rsidRPr="004F2C4E">
        <w:t xml:space="preserve">  (§ 101152, subd. (c)(3).)</w:t>
      </w:r>
      <w:r w:rsidR="00D85D8C">
        <w:t xml:space="preserve">  </w:t>
      </w:r>
      <w:r w:rsidR="00262181">
        <w:t xml:space="preserve">The </w:t>
      </w:r>
      <w:r w:rsidR="00262181">
        <w:lastRenderedPageBreak/>
        <w:t xml:space="preserve">evidence before the court indicated </w:t>
      </w:r>
      <w:r w:rsidR="006A327D">
        <w:t xml:space="preserve">parents </w:t>
      </w:r>
      <w:r w:rsidR="003C5DE6">
        <w:t>participated in the</w:t>
      </w:r>
      <w:r w:rsidR="00262181">
        <w:t xml:space="preserve"> infant</w:t>
      </w:r>
      <w:r w:rsidR="00B926E6">
        <w:t>/</w:t>
      </w:r>
      <w:r w:rsidR="00262181">
        <w:t>toddler</w:t>
      </w:r>
      <w:r w:rsidR="003C5DE6">
        <w:t xml:space="preserve"> program with their </w:t>
      </w:r>
      <w:r w:rsidR="00116582">
        <w:t xml:space="preserve">children </w:t>
      </w:r>
      <w:r w:rsidR="003C5DE6">
        <w:t xml:space="preserve">and were present at all times.  </w:t>
      </w:r>
      <w:r w:rsidR="00321F2B">
        <w:t xml:space="preserve">This </w:t>
      </w:r>
      <w:r w:rsidR="003C5DE6">
        <w:t xml:space="preserve">supported the trial court’s conclusion that the </w:t>
      </w:r>
      <w:r w:rsidR="00B86C9F">
        <w:t xml:space="preserve">children in the </w:t>
      </w:r>
      <w:r w:rsidR="003C5DE6">
        <w:t>infant</w:t>
      </w:r>
      <w:r w:rsidR="00B926E6">
        <w:t>/</w:t>
      </w:r>
      <w:r w:rsidR="003C5DE6">
        <w:t xml:space="preserve">toddler program </w:t>
      </w:r>
      <w:r w:rsidR="00B86C9F">
        <w:t xml:space="preserve">were not </w:t>
      </w:r>
      <w:r w:rsidR="00FB18B8">
        <w:t xml:space="preserve">under Pacific Oaks’s </w:t>
      </w:r>
      <w:r w:rsidR="00631C93">
        <w:t>“</w:t>
      </w:r>
      <w:r w:rsidR="00FB18B8">
        <w:t>care and supervision.</w:t>
      </w:r>
      <w:r w:rsidR="00631C93">
        <w:t>”</w:t>
      </w:r>
    </w:p>
    <w:p w14:paraId="4DBE8EE8" w14:textId="73757047" w:rsidR="008A6D61" w:rsidRPr="007510AA" w:rsidRDefault="003A0E16" w:rsidP="00166B72">
      <w:pPr>
        <w:ind w:firstLine="720"/>
        <w:contextualSpacing/>
      </w:pPr>
      <w:r>
        <w:t>On appeal, p</w:t>
      </w:r>
      <w:r w:rsidRPr="004F2C4E">
        <w:t xml:space="preserve">laintiffs do not challenge the trial court’s conclusion that </w:t>
      </w:r>
      <w:r w:rsidR="00831710">
        <w:t>the services Pacific Oaks provided in the infant</w:t>
      </w:r>
      <w:r w:rsidR="00B926E6">
        <w:t>/</w:t>
      </w:r>
      <w:r w:rsidR="00831710">
        <w:t>toddler program fall</w:t>
      </w:r>
      <w:r w:rsidRPr="004F2C4E">
        <w:t xml:space="preserve"> outside the regulatory definition of care and supervision.  Instead, plaintiffs </w:t>
      </w:r>
      <w:r w:rsidR="00255762">
        <w:t>argue that since</w:t>
      </w:r>
      <w:r w:rsidR="00255762" w:rsidRPr="004F2C4E">
        <w:t xml:space="preserve"> </w:t>
      </w:r>
      <w:r w:rsidRPr="004F2C4E">
        <w:t>Health and Safety Code section 1596.750 defines “</w:t>
      </w:r>
      <w:r w:rsidR="00780DB0">
        <w:t>[</w:t>
      </w:r>
      <w:r w:rsidRPr="004F2C4E">
        <w:t>c</w:t>
      </w:r>
      <w:r w:rsidR="00780DB0">
        <w:t>]</w:t>
      </w:r>
      <w:r w:rsidRPr="004F2C4E">
        <w:t xml:space="preserve">hild day care facility” </w:t>
      </w:r>
      <w:r w:rsidR="00C13E0D">
        <w:t>as</w:t>
      </w:r>
      <w:r w:rsidR="00C13E0D" w:rsidRPr="004F2C4E">
        <w:t xml:space="preserve"> </w:t>
      </w:r>
      <w:r w:rsidR="00C13E0D">
        <w:t>a facility providing care to</w:t>
      </w:r>
      <w:r w:rsidR="00C13E0D" w:rsidRPr="004F2C4E">
        <w:t xml:space="preserve"> </w:t>
      </w:r>
      <w:r w:rsidRPr="004F2C4E">
        <w:t>“children under 18 years of age,” P</w:t>
      </w:r>
      <w:r w:rsidR="00811BE4" w:rsidRPr="004F2C4E">
        <w:t>acific Oaks</w:t>
      </w:r>
      <w:r w:rsidRPr="004F2C4E">
        <w:t xml:space="preserve">’s </w:t>
      </w:r>
      <w:r w:rsidR="00A74B80">
        <w:t xml:space="preserve">DSS </w:t>
      </w:r>
      <w:r w:rsidRPr="004F2C4E">
        <w:t xml:space="preserve">license </w:t>
      </w:r>
      <w:r w:rsidR="00A74B80">
        <w:t>had to</w:t>
      </w:r>
      <w:r w:rsidR="00A74B80" w:rsidRPr="004F2C4E">
        <w:t xml:space="preserve"> </w:t>
      </w:r>
      <w:r w:rsidRPr="004F2C4E">
        <w:t xml:space="preserve">cover all children </w:t>
      </w:r>
      <w:r w:rsidR="00E86928">
        <w:t xml:space="preserve">on the </w:t>
      </w:r>
      <w:r w:rsidR="00811BE4" w:rsidRPr="004F2C4E">
        <w:t>Pacific Oaks</w:t>
      </w:r>
      <w:r w:rsidR="00E86928">
        <w:t xml:space="preserve"> campus</w:t>
      </w:r>
      <w:r w:rsidRPr="004F2C4E">
        <w:t>, regardless of</w:t>
      </w:r>
      <w:r w:rsidR="001124F0">
        <w:t xml:space="preserve"> the program</w:t>
      </w:r>
      <w:r w:rsidRPr="004F2C4E">
        <w:t>.</w:t>
      </w:r>
    </w:p>
    <w:p w14:paraId="55B03772" w14:textId="3D7A22DE" w:rsidR="004B1FBA" w:rsidRDefault="003A0E16" w:rsidP="00166B72">
      <w:pPr>
        <w:ind w:firstLine="720"/>
        <w:contextualSpacing/>
      </w:pPr>
      <w:r w:rsidRPr="004F2C4E">
        <w:t xml:space="preserve">Plaintiffs’ reliance on this provision is misplaced.  </w:t>
      </w:r>
      <w:r w:rsidR="00B50B54">
        <w:t>Health and Safety Code section 1596</w:t>
      </w:r>
      <w:r w:rsidR="00180E80">
        <w:t>.750</w:t>
      </w:r>
      <w:r w:rsidR="00B50B54" w:rsidRPr="004F2C4E">
        <w:t xml:space="preserve"> </w:t>
      </w:r>
      <w:r w:rsidR="003056A8">
        <w:t>merely defines</w:t>
      </w:r>
      <w:r w:rsidRPr="004F2C4E">
        <w:t xml:space="preserve"> the term “</w:t>
      </w:r>
      <w:r w:rsidR="00445163">
        <w:t>[</w:t>
      </w:r>
      <w:r w:rsidRPr="004F2C4E">
        <w:t>c</w:t>
      </w:r>
      <w:r w:rsidR="00445163">
        <w:t>]</w:t>
      </w:r>
      <w:r w:rsidRPr="004F2C4E">
        <w:t>hild day care facility”</w:t>
      </w:r>
      <w:r w:rsidR="000D2CFD">
        <w:t xml:space="preserve"> as “a facility that provides nonmedical care to children under 18 years of age in need of personal services, supervision, or assistance essential for sustaining the activities of daily living or for the protection of the individual</w:t>
      </w:r>
      <w:r w:rsidR="00212AA0">
        <w:t xml:space="preserve"> on a</w:t>
      </w:r>
      <w:r w:rsidR="000D2CFD">
        <w:t xml:space="preserve"> less than a 24-hour basis.”  This</w:t>
      </w:r>
      <w:r w:rsidRPr="004F2C4E">
        <w:t xml:space="preserve"> </w:t>
      </w:r>
      <w:r w:rsidR="000D2CFD">
        <w:t>definition supports, rather than undermines, the trial court’s</w:t>
      </w:r>
      <w:r w:rsidR="001078C2">
        <w:t xml:space="preserve"> conclusion that the infant</w:t>
      </w:r>
      <w:r w:rsidR="00B926E6">
        <w:t>/</w:t>
      </w:r>
      <w:r w:rsidR="001078C2">
        <w:t>toddler program was not providing the kind of “care” that necessitated a child day care fa</w:t>
      </w:r>
      <w:r w:rsidR="003611EB">
        <w:t xml:space="preserve">cility license.  The trial court could reasonably conclude based on the </w:t>
      </w:r>
      <w:r w:rsidR="008714E4">
        <w:t>evidence before it that children in the infant</w:t>
      </w:r>
      <w:r w:rsidR="00B926E6">
        <w:t>/</w:t>
      </w:r>
      <w:r w:rsidR="008714E4">
        <w:t>toddler program were not “in need of personal services, supervision, or assistance</w:t>
      </w:r>
      <w:r w:rsidR="00FF71DB">
        <w:t xml:space="preserve"> essential for sustaining the activities of </w:t>
      </w:r>
      <w:r w:rsidR="00FF71DB">
        <w:lastRenderedPageBreak/>
        <w:t xml:space="preserve">daily living” or </w:t>
      </w:r>
      <w:r w:rsidR="00C317CE">
        <w:t>“protection,” because they attend</w:t>
      </w:r>
      <w:r w:rsidR="00202D66">
        <w:t>ed</w:t>
      </w:r>
      <w:r w:rsidR="00C317CE">
        <w:t xml:space="preserve"> only with their parents or caregivers, who remained present at all times.</w:t>
      </w:r>
    </w:p>
    <w:p w14:paraId="3B41F889" w14:textId="2A8813BC" w:rsidR="008A6D61" w:rsidRPr="004F2C4E" w:rsidRDefault="003A0E16" w:rsidP="00166B72">
      <w:pPr>
        <w:ind w:firstLine="720"/>
        <w:contextualSpacing/>
      </w:pPr>
      <w:r>
        <w:t xml:space="preserve">Further, Health and Safety Code section 1596.750 </w:t>
      </w:r>
      <w:r w:rsidRPr="004F2C4E">
        <w:t xml:space="preserve">does not refer to licenses, let alone establish the scope of licenses, </w:t>
      </w:r>
      <w:r w:rsidR="004E4F0A">
        <w:t xml:space="preserve">that DSS </w:t>
      </w:r>
      <w:r w:rsidR="00BA1BFE" w:rsidRPr="004F2C4E">
        <w:t>issues</w:t>
      </w:r>
      <w:r w:rsidRPr="004F2C4E">
        <w:t xml:space="preserve"> to </w:t>
      </w:r>
      <w:r w:rsidR="002F054A">
        <w:t xml:space="preserve">child day care </w:t>
      </w:r>
      <w:r w:rsidRPr="004F2C4E">
        <w:t>facilities.  Plaintiffs fail to address the more detailed licensing regulations defining child</w:t>
      </w:r>
      <w:r w:rsidR="00D70BFD">
        <w:t xml:space="preserve"> </w:t>
      </w:r>
      <w:r w:rsidRPr="004F2C4E">
        <w:t xml:space="preserve">care centers, which the Health and Safety Code expressly authorizes </w:t>
      </w:r>
      <w:r w:rsidR="003342BF" w:rsidRPr="004F2C4E">
        <w:t>DSS</w:t>
      </w:r>
      <w:r w:rsidRPr="004F2C4E">
        <w:t xml:space="preserve"> to promulgate.  (Health and Saf. Code, § 1596.81 [</w:t>
      </w:r>
      <w:r w:rsidR="003342BF" w:rsidRPr="004F2C4E">
        <w:t>DSS</w:t>
      </w:r>
      <w:r w:rsidRPr="004F2C4E">
        <w:t xml:space="preserve"> “shall adopt, amend, or repeal . . . any rules or regulations which may be necessary to carry out this act”].)</w:t>
      </w:r>
      <w:r w:rsidR="00D908A0">
        <w:t xml:space="preserve">  </w:t>
      </w:r>
      <w:r w:rsidRPr="004F2C4E">
        <w:t>Plaintiffs do not explain or support with authority their implicit content</w:t>
      </w:r>
      <w:r w:rsidRPr="004F2C4E">
        <w:t xml:space="preserve">ion that Health and Safety Code </w:t>
      </w:r>
      <w:r w:rsidR="004472A9" w:rsidRPr="004F2C4E">
        <w:t>section 1596.</w:t>
      </w:r>
      <w:r w:rsidR="00583AAA">
        <w:t>750</w:t>
      </w:r>
      <w:r w:rsidR="004472A9" w:rsidRPr="004F2C4E">
        <w:t xml:space="preserve"> </w:t>
      </w:r>
      <w:r w:rsidRPr="004F2C4E">
        <w:t>displaces these</w:t>
      </w:r>
      <w:r w:rsidR="00511AE3" w:rsidRPr="004F2C4E">
        <w:t xml:space="preserve"> more specific</w:t>
      </w:r>
      <w:r w:rsidRPr="004F2C4E">
        <w:t xml:space="preserve"> definitions.</w:t>
      </w:r>
      <w:r w:rsidR="00583AAA">
        <w:t xml:space="preserve">  In addition, the evidence in this case indicated DSS issued </w:t>
      </w:r>
      <w:r w:rsidR="003056A8">
        <w:t xml:space="preserve">separate </w:t>
      </w:r>
      <w:r w:rsidR="00583AAA">
        <w:t xml:space="preserve">licenses for different programs.  There was no basis for the trial court to conclude </w:t>
      </w:r>
      <w:r w:rsidR="00B77BEA">
        <w:t>the DSS license</w:t>
      </w:r>
      <w:r w:rsidR="008E77ED">
        <w:t>,</w:t>
      </w:r>
      <w:r w:rsidR="00B77BEA">
        <w:t xml:space="preserve"> which specifically referred to preschool age children</w:t>
      </w:r>
      <w:r w:rsidR="00476C6C">
        <w:t>, nonetheless covered</w:t>
      </w:r>
      <w:r w:rsidR="00B77BEA">
        <w:t xml:space="preserve"> </w:t>
      </w:r>
      <w:r w:rsidR="00583AAA">
        <w:t>all children at Pacific Oaks</w:t>
      </w:r>
      <w:r w:rsidR="009A0584">
        <w:t>,</w:t>
      </w:r>
      <w:r w:rsidR="00583AAA">
        <w:t xml:space="preserve"> for any reason</w:t>
      </w:r>
      <w:r w:rsidR="008E77ED">
        <w:t>, or of any age.</w:t>
      </w:r>
    </w:p>
    <w:p w14:paraId="43E53E8F" w14:textId="3F184E65" w:rsidR="008A6D61" w:rsidRPr="004F2C4E" w:rsidRDefault="003A0E16" w:rsidP="007B312D">
      <w:pPr>
        <w:ind w:firstLine="720"/>
        <w:contextualSpacing/>
      </w:pPr>
      <w:r w:rsidRPr="004F2C4E">
        <w:rPr>
          <w:rFonts w:eastAsia="Calibri"/>
        </w:rPr>
        <w:t xml:space="preserve">With respect to the </w:t>
      </w:r>
      <w:r w:rsidR="003C24D2">
        <w:t>school age program</w:t>
      </w:r>
      <w:r w:rsidRPr="004F2C4E">
        <w:rPr>
          <w:rFonts w:eastAsia="Calibri"/>
        </w:rPr>
        <w:t xml:space="preserve">, it is undisputed that </w:t>
      </w:r>
      <w:r w:rsidR="00BA1BFE" w:rsidRPr="004F2C4E">
        <w:rPr>
          <w:rFonts w:eastAsia="Calibri"/>
        </w:rPr>
        <w:t>Pacific</w:t>
      </w:r>
      <w:r w:rsidR="009B2D4E" w:rsidRPr="004F2C4E">
        <w:rPr>
          <w:rFonts w:eastAsia="Calibri"/>
        </w:rPr>
        <w:t xml:space="preserve"> Oaks</w:t>
      </w:r>
      <w:r w:rsidRPr="004F2C4E">
        <w:rPr>
          <w:rFonts w:eastAsia="Calibri"/>
        </w:rPr>
        <w:t xml:space="preserve"> had a </w:t>
      </w:r>
      <w:r w:rsidRPr="004F2C4E">
        <w:t>separate license for school age children that contained its own capacity limitation.  Plaintiffs argue the program was covered by the day</w:t>
      </w:r>
      <w:r w:rsidR="00B926E6">
        <w:t xml:space="preserve"> </w:t>
      </w:r>
      <w:r w:rsidRPr="004F2C4E">
        <w:t xml:space="preserve">care center license after Tambe requested </w:t>
      </w:r>
      <w:r w:rsidR="003056A8">
        <w:t>that DSS</w:t>
      </w:r>
      <w:r w:rsidR="003056A8" w:rsidRPr="004F2C4E">
        <w:t xml:space="preserve"> </w:t>
      </w:r>
      <w:r w:rsidRPr="004F2C4E">
        <w:t xml:space="preserve">cancel the </w:t>
      </w:r>
      <w:r w:rsidR="00F8656F">
        <w:t>s</w:t>
      </w:r>
      <w:r w:rsidR="009B2D4E" w:rsidRPr="004F2C4E">
        <w:t xml:space="preserve">chool </w:t>
      </w:r>
      <w:r w:rsidR="00F8656F">
        <w:t>a</w:t>
      </w:r>
      <w:r w:rsidR="009B2D4E" w:rsidRPr="004F2C4E">
        <w:t xml:space="preserve">ge </w:t>
      </w:r>
      <w:r w:rsidR="00F8656F">
        <w:t>p</w:t>
      </w:r>
      <w:r w:rsidRPr="004F2C4E">
        <w:t xml:space="preserve">rogram’s license.  The evidence, in plaintiffs’ view, shows the </w:t>
      </w:r>
      <w:r w:rsidR="00C85830">
        <w:t>s</w:t>
      </w:r>
      <w:r w:rsidR="009B2D4E" w:rsidRPr="004F2C4E">
        <w:t xml:space="preserve">chool </w:t>
      </w:r>
      <w:r w:rsidR="00C85830">
        <w:t>a</w:t>
      </w:r>
      <w:r w:rsidR="009B2D4E" w:rsidRPr="004F2C4E">
        <w:t xml:space="preserve">ge </w:t>
      </w:r>
      <w:r w:rsidR="00C85830">
        <w:t>p</w:t>
      </w:r>
      <w:r w:rsidRPr="004F2C4E">
        <w:t xml:space="preserve">rogram’s </w:t>
      </w:r>
      <w:r w:rsidRPr="004F2C4E">
        <w:rPr>
          <w:i/>
          <w:iCs/>
        </w:rPr>
        <w:t>license</w:t>
      </w:r>
      <w:r w:rsidRPr="004F2C4E">
        <w:t xml:space="preserve"> was not in use during the class period.  However, </w:t>
      </w:r>
      <w:r w:rsidR="00C85830">
        <w:t>the</w:t>
      </w:r>
      <w:r w:rsidR="00C85830" w:rsidRPr="004F2C4E">
        <w:t xml:space="preserve"> </w:t>
      </w:r>
      <w:r w:rsidRPr="004F2C4E">
        <w:t xml:space="preserve">evidence </w:t>
      </w:r>
      <w:r w:rsidR="00600A09">
        <w:t>plaintiffs cite</w:t>
      </w:r>
      <w:r w:rsidRPr="004F2C4E">
        <w:t xml:space="preserve"> does not </w:t>
      </w:r>
      <w:r w:rsidR="00600A09">
        <w:t xml:space="preserve">support their argument.  </w:t>
      </w:r>
      <w:r w:rsidR="00C13FD3">
        <w:t xml:space="preserve">The extent of any </w:t>
      </w:r>
      <w:r w:rsidR="002A6EE7">
        <w:t>s</w:t>
      </w:r>
      <w:r w:rsidR="009B2D4E" w:rsidRPr="004F2C4E">
        <w:t xml:space="preserve">chool </w:t>
      </w:r>
      <w:r w:rsidR="002A6EE7">
        <w:t>a</w:t>
      </w:r>
      <w:r w:rsidR="009B2D4E" w:rsidRPr="004F2C4E">
        <w:t xml:space="preserve">ge </w:t>
      </w:r>
      <w:r w:rsidR="002A6EE7">
        <w:t>p</w:t>
      </w:r>
      <w:r w:rsidRPr="004F2C4E">
        <w:t>rog</w:t>
      </w:r>
      <w:r w:rsidRPr="004F2C4E">
        <w:t>ram during the class period</w:t>
      </w:r>
      <w:r w:rsidR="00065296">
        <w:t xml:space="preserve"> was unclear</w:t>
      </w:r>
      <w:r w:rsidRPr="004F2C4E">
        <w:t xml:space="preserve">.  For example, Tambe’s undated letter informed </w:t>
      </w:r>
      <w:r w:rsidR="003342BF" w:rsidRPr="004F2C4E">
        <w:t>DSS</w:t>
      </w:r>
      <w:r w:rsidRPr="004F2C4E">
        <w:t xml:space="preserve"> that </w:t>
      </w:r>
      <w:r w:rsidR="006A03F9">
        <w:t xml:space="preserve">the </w:t>
      </w:r>
      <w:r w:rsidRPr="004F2C4E">
        <w:t xml:space="preserve">“school age </w:t>
      </w:r>
      <w:r w:rsidRPr="004F2C4E">
        <w:rPr>
          <w:i/>
          <w:iCs/>
        </w:rPr>
        <w:t>program</w:t>
      </w:r>
      <w:r w:rsidRPr="004F2C4E">
        <w:t xml:space="preserve">”—not the school age </w:t>
      </w:r>
      <w:r w:rsidRPr="004F2C4E">
        <w:rPr>
          <w:i/>
          <w:iCs/>
        </w:rPr>
        <w:t>license</w:t>
      </w:r>
      <w:r w:rsidRPr="004F2C4E">
        <w:t xml:space="preserve">, as plaintiffs state in their brief—had “not been in use for </w:t>
      </w:r>
      <w:r w:rsidR="00BF3B33">
        <w:t>10</w:t>
      </w:r>
      <w:r w:rsidR="00BF3B33" w:rsidRPr="004F2C4E">
        <w:t xml:space="preserve"> </w:t>
      </w:r>
      <w:r w:rsidRPr="004F2C4E">
        <w:t xml:space="preserve">years plus.”  When asked about the letter at her deposition, McComas testified </w:t>
      </w:r>
      <w:r w:rsidRPr="004F2C4E">
        <w:lastRenderedPageBreak/>
        <w:t xml:space="preserve">“the school did not have school age children as stated.” </w:t>
      </w:r>
      <w:r w:rsidR="0066432D" w:rsidRPr="004F2C4E">
        <w:t xml:space="preserve"> </w:t>
      </w:r>
      <w:r w:rsidR="00065296">
        <w:t>E</w:t>
      </w:r>
      <w:r w:rsidRPr="004F2C4E">
        <w:t xml:space="preserve">ven assuming  </w:t>
      </w:r>
      <w:r w:rsidR="00065296">
        <w:t xml:space="preserve">Pacific Oaks operated </w:t>
      </w:r>
      <w:r w:rsidR="002D36EF">
        <w:t>a</w:t>
      </w:r>
      <w:r w:rsidR="002D36EF" w:rsidRPr="004F2C4E">
        <w:t xml:space="preserve"> </w:t>
      </w:r>
      <w:r w:rsidR="002D36EF">
        <w:t>s</w:t>
      </w:r>
      <w:r w:rsidR="00195367" w:rsidRPr="004F2C4E">
        <w:t xml:space="preserve">chool </w:t>
      </w:r>
      <w:r w:rsidR="002D36EF">
        <w:t>a</w:t>
      </w:r>
      <w:r w:rsidR="00195367" w:rsidRPr="004F2C4E">
        <w:t xml:space="preserve">ge </w:t>
      </w:r>
      <w:r w:rsidR="002D36EF">
        <w:t>p</w:t>
      </w:r>
      <w:r w:rsidRPr="004F2C4E">
        <w:t xml:space="preserve">rogram during </w:t>
      </w:r>
      <w:r w:rsidR="00DE1C4A">
        <w:t xml:space="preserve">some portion of </w:t>
      </w:r>
      <w:r w:rsidRPr="004F2C4E">
        <w:t xml:space="preserve">the class period, there is no evidence </w:t>
      </w:r>
      <w:r w:rsidR="00F00B47">
        <w:t>establishing</w:t>
      </w:r>
      <w:r w:rsidR="00F00B47" w:rsidRPr="004F2C4E">
        <w:t xml:space="preserve"> </w:t>
      </w:r>
      <w:r w:rsidR="003342BF" w:rsidRPr="004F2C4E">
        <w:t>DSS</w:t>
      </w:r>
      <w:r w:rsidRPr="004F2C4E">
        <w:t xml:space="preserve"> in fact cancelled </w:t>
      </w:r>
      <w:r w:rsidR="002D36EF">
        <w:t xml:space="preserve">the </w:t>
      </w:r>
      <w:r w:rsidRPr="004F2C4E">
        <w:t>license during the class period in response to Tambe’s request.  As stated above, plaintiffs did not call Tambe or a DSS official to testify</w:t>
      </w:r>
      <w:r w:rsidR="00C05A91">
        <w:t xml:space="preserve"> at trial</w:t>
      </w:r>
      <w:r w:rsidRPr="004F2C4E">
        <w:t>.</w:t>
      </w:r>
    </w:p>
    <w:p w14:paraId="3C22CFBD" w14:textId="08D10201" w:rsidR="00917735" w:rsidRPr="004F2C4E" w:rsidRDefault="003A0E16" w:rsidP="00166B72">
      <w:pPr>
        <w:ind w:firstLine="720"/>
        <w:contextualSpacing/>
      </w:pPr>
      <w:r w:rsidRPr="004F2C4E">
        <w:t xml:space="preserve">The trial court also found </w:t>
      </w:r>
      <w:r w:rsidR="00D133BC" w:rsidRPr="004F2C4E">
        <w:t xml:space="preserve">the </w:t>
      </w:r>
      <w:r w:rsidR="00E5695B">
        <w:t>s</w:t>
      </w:r>
      <w:r w:rsidR="00D133BC" w:rsidRPr="004F2C4E">
        <w:t xml:space="preserve">chool </w:t>
      </w:r>
      <w:r w:rsidR="00E5695B">
        <w:t>a</w:t>
      </w:r>
      <w:r w:rsidR="00D133BC" w:rsidRPr="004F2C4E">
        <w:t xml:space="preserve">ge </w:t>
      </w:r>
      <w:r w:rsidR="00E5695B">
        <w:t>p</w:t>
      </w:r>
      <w:r w:rsidR="00D133BC" w:rsidRPr="004F2C4E">
        <w:t xml:space="preserve">rogram </w:t>
      </w:r>
      <w:r w:rsidR="003056A8">
        <w:t>did not need a child care facility license pursuant to</w:t>
      </w:r>
      <w:r w:rsidR="00D133BC" w:rsidRPr="004F2C4E">
        <w:t xml:space="preserve"> </w:t>
      </w:r>
      <w:r w:rsidR="008A6D61" w:rsidRPr="004F2C4E">
        <w:t>Health and Safety Code section 1596.792, subdivision (h)</w:t>
      </w:r>
      <w:r w:rsidR="00757237" w:rsidRPr="004F2C4E">
        <w:t>, which exempts “[e]xtended daycare programs operated</w:t>
      </w:r>
      <w:r w:rsidR="005432E8" w:rsidRPr="004F2C4E">
        <w:t xml:space="preserve"> by public or private schools” from licensing requirements. </w:t>
      </w:r>
      <w:r w:rsidR="005263A8" w:rsidRPr="004F2C4E">
        <w:t xml:space="preserve"> </w:t>
      </w:r>
      <w:r w:rsidR="005432E8" w:rsidRPr="004F2C4E">
        <w:t xml:space="preserve">Plaintiffs contend this provision </w:t>
      </w:r>
      <w:r w:rsidR="008A6D61" w:rsidRPr="004F2C4E">
        <w:t xml:space="preserve">does not </w:t>
      </w:r>
      <w:r w:rsidR="00D438BD">
        <w:t xml:space="preserve">apply </w:t>
      </w:r>
      <w:r w:rsidR="008A6D61" w:rsidRPr="004F2C4E">
        <w:t xml:space="preserve">because </w:t>
      </w:r>
      <w:r w:rsidR="005263A8" w:rsidRPr="004F2C4E">
        <w:t>the</w:t>
      </w:r>
      <w:r w:rsidR="008A6D61" w:rsidRPr="004F2C4E">
        <w:t xml:space="preserve"> license</w:t>
      </w:r>
      <w:r w:rsidR="00DF7F2C">
        <w:t xml:space="preserve"> identified the licensee as </w:t>
      </w:r>
      <w:r w:rsidR="008A6D61" w:rsidRPr="004F2C4E">
        <w:t>“Pacific Oaks College and Children’s Programs</w:t>
      </w:r>
      <w:r w:rsidR="00040C41">
        <w:t>,</w:t>
      </w:r>
      <w:r w:rsidR="008A6D61" w:rsidRPr="004F2C4E">
        <w:t>”</w:t>
      </w:r>
      <w:r w:rsidR="00040C41">
        <w:t xml:space="preserve"> even though the</w:t>
      </w:r>
      <w:r w:rsidR="00D1214E">
        <w:t xml:space="preserve"> licensed</w:t>
      </w:r>
      <w:r w:rsidR="00040C41">
        <w:t xml:space="preserve"> </w:t>
      </w:r>
      <w:r w:rsidR="00040C41" w:rsidRPr="007510AA">
        <w:rPr>
          <w:i/>
          <w:iCs/>
        </w:rPr>
        <w:t>facility</w:t>
      </w:r>
      <w:r w:rsidR="00040C41">
        <w:t xml:space="preserve"> was identified as “Pacific Oaks Children’s School.”</w:t>
      </w:r>
      <w:r w:rsidR="008A6D61" w:rsidRPr="004F2C4E">
        <w:t xml:space="preserve">  </w:t>
      </w:r>
      <w:r w:rsidR="00D1214E">
        <w:t>They offer no other argument to explain their contention that Pacific Oaks is not a private school under the statute.</w:t>
      </w:r>
    </w:p>
    <w:p w14:paraId="4C9DCC24" w14:textId="2F805779" w:rsidR="008A6D61" w:rsidRDefault="003A0E16" w:rsidP="00166B72">
      <w:pPr>
        <w:ind w:firstLine="720"/>
        <w:contextualSpacing/>
      </w:pPr>
      <w:r>
        <w:t xml:space="preserve">Plaintiffs </w:t>
      </w:r>
      <w:r w:rsidR="00FA6E0C">
        <w:t>fail to provide any discussion of</w:t>
      </w:r>
      <w:r>
        <w:t xml:space="preserve"> the extended day</w:t>
      </w:r>
      <w:r w:rsidR="003A0BF9">
        <w:t xml:space="preserve"> </w:t>
      </w:r>
      <w:r>
        <w:t xml:space="preserve">care exception under Health and Safety Code section 1596.792.  They </w:t>
      </w:r>
      <w:r w:rsidR="00116AB5">
        <w:t xml:space="preserve">further </w:t>
      </w:r>
      <w:r w:rsidRPr="004F2C4E">
        <w:t xml:space="preserve">provide no support for the proposition that the </w:t>
      </w:r>
      <w:r w:rsidR="00171B91">
        <w:t xml:space="preserve">name of the </w:t>
      </w:r>
      <w:r w:rsidRPr="004F2C4E">
        <w:t xml:space="preserve">licensee </w:t>
      </w:r>
      <w:r w:rsidR="00171B91">
        <w:t xml:space="preserve">on the license </w:t>
      </w:r>
      <w:r w:rsidR="003056A8">
        <w:t>determines</w:t>
      </w:r>
      <w:r w:rsidRPr="004F2C4E">
        <w:t xml:space="preserve"> whether the exemption applies</w:t>
      </w:r>
      <w:r w:rsidR="00020E78">
        <w:t>, irrespective of the nature of the facility.</w:t>
      </w:r>
      <w:r w:rsidR="00A4401F">
        <w:t xml:space="preserve"> </w:t>
      </w:r>
      <w:r w:rsidR="00A4401F" w:rsidRPr="00A4401F">
        <w:t xml:space="preserve"> </w:t>
      </w:r>
      <w:r w:rsidR="00A4401F" w:rsidRPr="004F2C4E">
        <w:t>“When an appellant fails to raise a point, or asserts it but fails to support it with reasoned argument and citations to authority, we treat the point as waived.”  (</w:t>
      </w:r>
      <w:r w:rsidR="00A4401F" w:rsidRPr="004F2C4E">
        <w:rPr>
          <w:i/>
          <w:iCs/>
        </w:rPr>
        <w:t>Badie v</w:t>
      </w:r>
      <w:r w:rsidR="00A4401F" w:rsidRPr="00094F40">
        <w:rPr>
          <w:i/>
          <w:iCs/>
        </w:rPr>
        <w:t>.</w:t>
      </w:r>
      <w:r w:rsidR="00A4401F" w:rsidRPr="004F2C4E">
        <w:rPr>
          <w:i/>
          <w:iCs/>
        </w:rPr>
        <w:t xml:space="preserve"> Bank of America</w:t>
      </w:r>
      <w:r w:rsidR="00A4401F" w:rsidRPr="004F2C4E">
        <w:t xml:space="preserve"> (1998) 67 Cal.App.4th 779, 784–785.)</w:t>
      </w:r>
    </w:p>
    <w:p w14:paraId="2E76D42D" w14:textId="24E7186B" w:rsidR="003A43D1" w:rsidRPr="004F2C4E" w:rsidRDefault="003A0E16" w:rsidP="00166B72">
      <w:pPr>
        <w:ind w:firstLine="720"/>
        <w:contextualSpacing/>
      </w:pPr>
      <w:r>
        <w:t>Plaintiffs fail to show that t</w:t>
      </w:r>
      <w:r w:rsidR="00451F8B" w:rsidRPr="004F2C4E">
        <w:t>he trial</w:t>
      </w:r>
      <w:r w:rsidRPr="004F2C4E">
        <w:t xml:space="preserve"> court’s </w:t>
      </w:r>
      <w:r w:rsidR="00FE05B4">
        <w:t>redefinition of the class</w:t>
      </w:r>
      <w:r w:rsidRPr="004F2C4E">
        <w:t xml:space="preserve"> </w:t>
      </w:r>
      <w:r w:rsidR="00451F8B" w:rsidRPr="004F2C4E">
        <w:t xml:space="preserve">was </w:t>
      </w:r>
      <w:r w:rsidR="00801534">
        <w:t>un</w:t>
      </w:r>
      <w:r w:rsidR="00451F8B" w:rsidRPr="004F2C4E">
        <w:t xml:space="preserve">supported by substantial evidence, relied on </w:t>
      </w:r>
      <w:r w:rsidR="00801534">
        <w:t>im</w:t>
      </w:r>
      <w:r w:rsidR="00451F8B" w:rsidRPr="004F2C4E">
        <w:t xml:space="preserve">proper criteria, </w:t>
      </w:r>
      <w:r w:rsidR="00801534">
        <w:t>or</w:t>
      </w:r>
      <w:r w:rsidR="00451F8B" w:rsidRPr="004F2C4E">
        <w:t xml:space="preserve"> rest</w:t>
      </w:r>
      <w:r w:rsidR="00801534">
        <w:t>ed</w:t>
      </w:r>
      <w:r w:rsidR="00451F8B" w:rsidRPr="004F2C4E">
        <w:t xml:space="preserve"> on erroneous legal assumptions.  </w:t>
      </w:r>
      <w:r w:rsidR="00020E78">
        <w:t>(</w:t>
      </w:r>
      <w:r w:rsidR="00020E78">
        <w:rPr>
          <w:i/>
          <w:iCs/>
        </w:rPr>
        <w:t xml:space="preserve">Moen </w:t>
      </w:r>
      <w:r w:rsidR="00020E78" w:rsidRPr="00094F40">
        <w:rPr>
          <w:i/>
          <w:iCs/>
        </w:rPr>
        <w:t>v.</w:t>
      </w:r>
      <w:r w:rsidR="00020E78">
        <w:rPr>
          <w:i/>
          <w:iCs/>
        </w:rPr>
        <w:t xml:space="preserve"> Regents of University of California </w:t>
      </w:r>
      <w:r w:rsidR="00020E78">
        <w:t xml:space="preserve">(2018) 25 </w:t>
      </w:r>
      <w:r w:rsidR="00020E78">
        <w:lastRenderedPageBreak/>
        <w:t>Cal.App.5</w:t>
      </w:r>
      <w:r w:rsidR="00020E78" w:rsidRPr="00337475">
        <w:t>th</w:t>
      </w:r>
      <w:r w:rsidR="00020E78">
        <w:t xml:space="preserve"> </w:t>
      </w:r>
      <w:r w:rsidR="00337475">
        <w:t xml:space="preserve">845, 853.)  </w:t>
      </w:r>
      <w:r w:rsidR="00F02E0B">
        <w:t>We cannot find t</w:t>
      </w:r>
      <w:r w:rsidR="00935DDE">
        <w:t>he trial court abuse</w:t>
      </w:r>
      <w:r w:rsidR="00F02E0B">
        <w:t>d</w:t>
      </w:r>
      <w:r w:rsidR="00935DDE">
        <w:t xml:space="preserve"> its discretion in narrowing the class definition to apply only to </w:t>
      </w:r>
      <w:r w:rsidR="003C24D2">
        <w:t xml:space="preserve">parents and guardians whose children were enrolled in a </w:t>
      </w:r>
      <w:r w:rsidR="00CA5440">
        <w:t xml:space="preserve">Pacific Oaks </w:t>
      </w:r>
      <w:r w:rsidR="003C24D2">
        <w:t>preschool program during the relevant class period</w:t>
      </w:r>
      <w:r w:rsidR="00451F8B" w:rsidRPr="004F2C4E">
        <w:t>.</w:t>
      </w:r>
      <w:r>
        <w:rPr>
          <w:rStyle w:val="FootnoteReference"/>
        </w:rPr>
        <w:footnoteReference w:id="19"/>
      </w:r>
    </w:p>
    <w:p w14:paraId="4050926C" w14:textId="6FCAC71F" w:rsidR="005D35E7" w:rsidRPr="004F2C4E" w:rsidRDefault="003A0E16" w:rsidP="0015440B">
      <w:pPr>
        <w:pStyle w:val="Heading20"/>
        <w:widowControl w:val="0"/>
        <w:numPr>
          <w:ilvl w:val="0"/>
          <w:numId w:val="1"/>
        </w:numPr>
        <w:ind w:left="720"/>
        <w:contextualSpacing/>
      </w:pPr>
      <w:r w:rsidRPr="004F2C4E">
        <w:t>The Trial Court</w:t>
      </w:r>
      <w:r w:rsidR="009002AA" w:rsidRPr="004F2C4E">
        <w:t>’s Discovery Rulings Were Proper</w:t>
      </w:r>
    </w:p>
    <w:p w14:paraId="021A4669" w14:textId="10A9B975" w:rsidR="00450ED0" w:rsidRPr="004F2C4E" w:rsidRDefault="003A0E16" w:rsidP="0015440B">
      <w:pPr>
        <w:pStyle w:val="Heading30"/>
        <w:widowControl w:val="0"/>
        <w:numPr>
          <w:ilvl w:val="0"/>
          <w:numId w:val="9"/>
        </w:numPr>
        <w:ind w:hanging="720"/>
        <w:contextualSpacing/>
      </w:pPr>
      <w:r w:rsidRPr="004F2C4E">
        <w:t xml:space="preserve">December 2019 </w:t>
      </w:r>
      <w:r w:rsidR="00812F16">
        <w:t>d</w:t>
      </w:r>
      <w:r w:rsidRPr="004F2C4E">
        <w:t xml:space="preserve">iscovery </w:t>
      </w:r>
      <w:r w:rsidR="00812F16">
        <w:t>o</w:t>
      </w:r>
      <w:r w:rsidRPr="004F2C4E">
        <w:t>rder</w:t>
      </w:r>
    </w:p>
    <w:p w14:paraId="49DDD21B" w14:textId="5A3A00F0" w:rsidR="00372CBF" w:rsidRPr="00166B72" w:rsidRDefault="003A0E16" w:rsidP="0015440B">
      <w:pPr>
        <w:pStyle w:val="ListParagraph"/>
        <w:widowControl w:val="0"/>
        <w:numPr>
          <w:ilvl w:val="0"/>
          <w:numId w:val="13"/>
        </w:numPr>
        <w:ind w:left="2160" w:hanging="720"/>
        <w:rPr>
          <w:b/>
          <w:bCs/>
        </w:rPr>
      </w:pPr>
      <w:r>
        <w:rPr>
          <w:b/>
          <w:bCs/>
        </w:rPr>
        <w:t>Background</w:t>
      </w:r>
    </w:p>
    <w:p w14:paraId="4BA07D4A" w14:textId="284F835D" w:rsidR="00C86F6E" w:rsidRPr="00D6065E" w:rsidRDefault="003A0E16" w:rsidP="00166B72">
      <w:pPr>
        <w:ind w:firstLine="720"/>
        <w:contextualSpacing/>
      </w:pPr>
      <w:r w:rsidRPr="007161BA">
        <w:t xml:space="preserve">During pre-trial discovery, plaintiffs </w:t>
      </w:r>
      <w:r w:rsidR="00430F7A">
        <w:t>did</w:t>
      </w:r>
      <w:r w:rsidRPr="007161BA">
        <w:t xml:space="preserve"> not attemp</w:t>
      </w:r>
      <w:r w:rsidR="00430F7A">
        <w:t>t</w:t>
      </w:r>
      <w:r w:rsidRPr="007161BA">
        <w:t xml:space="preserve"> to procure documents or information reflecting Pacific Oaks’s daily or hourly anticipated attendance numbers.  </w:t>
      </w:r>
      <w:r w:rsidR="001A2B79" w:rsidRPr="00D6065E">
        <w:t>A</w:t>
      </w:r>
      <w:r w:rsidR="00791F19" w:rsidRPr="00D6065E">
        <w:t xml:space="preserve">fter the close of discovery, Pacific Oaks </w:t>
      </w:r>
      <w:r w:rsidR="00622249" w:rsidRPr="00D6065E">
        <w:t xml:space="preserve">argued </w:t>
      </w:r>
      <w:r w:rsidR="00791F19" w:rsidRPr="00D6065E">
        <w:t xml:space="preserve">in its motion for decertification that “a trier of fact would need to delve into which children attended which program on which days and whether the total attendance for that given day exceeded the school capacity.”  </w:t>
      </w:r>
      <w:r w:rsidR="00001D42" w:rsidRPr="00D6065E">
        <w:t>At the hearing</w:t>
      </w:r>
      <w:r w:rsidR="00622249" w:rsidRPr="00D6065E">
        <w:t xml:space="preserve"> on the </w:t>
      </w:r>
      <w:r w:rsidR="00A914DE">
        <w:t xml:space="preserve">decertification </w:t>
      </w:r>
      <w:r w:rsidR="00622249" w:rsidRPr="00D6065E">
        <w:t>motion</w:t>
      </w:r>
      <w:r w:rsidR="00001D42" w:rsidRPr="00D6065E">
        <w:t>, p</w:t>
      </w:r>
      <w:r w:rsidR="00791F19" w:rsidRPr="00D6065E">
        <w:t xml:space="preserve">laintiffs maintained that under their theory of liability, “it </w:t>
      </w:r>
      <w:r w:rsidR="00001D42" w:rsidRPr="00D6065E">
        <w:t>[was]</w:t>
      </w:r>
      <w:r w:rsidR="00791F19" w:rsidRPr="00D6065E">
        <w:t xml:space="preserve"> irrelevant, as a matter of law, that some portion of Defendant’s children’s school may, at some periods of time . . . or on some particular time or date, may have had attendance within the licensed capacity.”</w:t>
      </w:r>
    </w:p>
    <w:p w14:paraId="7106205B" w14:textId="2C3B8071" w:rsidR="009B2B35" w:rsidRDefault="003A0E16">
      <w:pPr>
        <w:ind w:firstLine="720"/>
        <w:contextualSpacing/>
      </w:pPr>
      <w:r w:rsidRPr="00D6065E">
        <w:t>Nonetheless</w:t>
      </w:r>
      <w:r w:rsidR="00C41125" w:rsidRPr="00D6065E">
        <w:t xml:space="preserve">, plaintiffs </w:t>
      </w:r>
      <w:r w:rsidR="00E90091">
        <w:t>subsequently</w:t>
      </w:r>
      <w:r w:rsidR="00E90091" w:rsidRPr="00D6065E">
        <w:t xml:space="preserve"> </w:t>
      </w:r>
      <w:r w:rsidR="00F60666" w:rsidRPr="00F60666">
        <w:t xml:space="preserve">served additional discovery requesting Pacific Oaks’s daily attendance </w:t>
      </w:r>
      <w:r w:rsidR="00A914DE">
        <w:t>records</w:t>
      </w:r>
      <w:r w:rsidR="00F60666" w:rsidRPr="00F60666">
        <w:t xml:space="preserve">.  The trial court found the requests were untimely as they were served after the discovery cut-off.  </w:t>
      </w:r>
      <w:r w:rsidR="007D07D7">
        <w:t xml:space="preserve">Plaintiffs then </w:t>
      </w:r>
      <w:r w:rsidR="009E0362" w:rsidRPr="00D6065E">
        <w:t>filed a motion for leave to serve additional</w:t>
      </w:r>
      <w:r w:rsidR="00527EBF" w:rsidRPr="00D6065E">
        <w:t xml:space="preserve"> </w:t>
      </w:r>
      <w:r w:rsidR="00791F19" w:rsidRPr="00D6065E">
        <w:t xml:space="preserve">discovery </w:t>
      </w:r>
      <w:r w:rsidR="00F13C4C" w:rsidRPr="00D6065E">
        <w:t>seeking, in part, “all records, if any, maintained by</w:t>
      </w:r>
      <w:r w:rsidR="00DE3353">
        <w:t xml:space="preserve"> </w:t>
      </w:r>
      <w:r w:rsidR="007816F7">
        <w:t>Pacific Oaks</w:t>
      </w:r>
      <w:r w:rsidR="00F13C4C" w:rsidRPr="00D6065E">
        <w:t xml:space="preserve"> of daily capacity of students during the </w:t>
      </w:r>
      <w:r w:rsidR="007816F7">
        <w:t>C</w:t>
      </w:r>
      <w:r w:rsidR="00F13C4C" w:rsidRPr="00D6065E">
        <w:t xml:space="preserve">lass </w:t>
      </w:r>
      <w:r w:rsidR="007816F7">
        <w:t>P</w:t>
      </w:r>
      <w:r w:rsidR="00F13C4C" w:rsidRPr="00D6065E">
        <w:t xml:space="preserve">eriod.” </w:t>
      </w:r>
      <w:r w:rsidR="00001D42" w:rsidRPr="00D6065E">
        <w:t xml:space="preserve"> </w:t>
      </w:r>
      <w:r w:rsidR="00E90091">
        <w:t>P</w:t>
      </w:r>
      <w:r w:rsidR="001716B6" w:rsidRPr="001716B6">
        <w:t xml:space="preserve">laintiffs </w:t>
      </w:r>
      <w:r w:rsidR="00E90091">
        <w:t xml:space="preserve">asserted </w:t>
      </w:r>
      <w:r w:rsidR="001716B6" w:rsidRPr="001716B6">
        <w:t xml:space="preserve">the request was justified </w:t>
      </w:r>
      <w:r w:rsidR="001716B6" w:rsidRPr="001716B6">
        <w:lastRenderedPageBreak/>
        <w:t xml:space="preserve">because Pacific Oaks changed its position about whether it violated the license during the class </w:t>
      </w:r>
      <w:r w:rsidR="002F7659" w:rsidRPr="001716B6">
        <w:t>period and</w:t>
      </w:r>
      <w:r w:rsidR="001716B6" w:rsidRPr="001716B6">
        <w:t xml:space="preserve"> was now claiming that “on some days it did not violate the 77 capacity-license.”</w:t>
      </w:r>
    </w:p>
    <w:p w14:paraId="70877081" w14:textId="1CD052D0" w:rsidR="0030332D" w:rsidRDefault="003A0E16" w:rsidP="00166B72">
      <w:pPr>
        <w:ind w:firstLine="720"/>
        <w:contextualSpacing/>
      </w:pPr>
      <w:r w:rsidRPr="00C057D8">
        <w:t xml:space="preserve">Plaintiffs, however, continued to maintain that enrollment numbers alone determined whether Pacific Oaks had violated the DSS license.  </w:t>
      </w:r>
      <w:r w:rsidR="00A3087E">
        <w:t xml:space="preserve">At </w:t>
      </w:r>
      <w:r w:rsidR="00651FBF" w:rsidRPr="00D6065E">
        <w:t xml:space="preserve">the </w:t>
      </w:r>
      <w:r w:rsidR="00E90091">
        <w:t xml:space="preserve">December 2019 </w:t>
      </w:r>
      <w:r w:rsidR="00651FBF" w:rsidRPr="00D6065E">
        <w:t>hearing on the motion</w:t>
      </w:r>
      <w:r w:rsidR="00D44E85">
        <w:t xml:space="preserve"> for leave to serve additional discovery</w:t>
      </w:r>
      <w:r w:rsidR="00651FBF" w:rsidRPr="00D6065E">
        <w:t xml:space="preserve">, the court observed plaintiffs’ request for </w:t>
      </w:r>
      <w:r w:rsidR="001150DC">
        <w:t xml:space="preserve">records of Pacific Oaks’s </w:t>
      </w:r>
      <w:r w:rsidR="00651FBF" w:rsidRPr="00D6065E">
        <w:t xml:space="preserve">daily </w:t>
      </w:r>
      <w:r w:rsidR="001150DC">
        <w:t>capacity</w:t>
      </w:r>
      <w:r w:rsidR="001150DC" w:rsidRPr="00D6065E">
        <w:t xml:space="preserve"> </w:t>
      </w:r>
      <w:r w:rsidR="00651FBF" w:rsidRPr="00D6065E">
        <w:t>“seems to be made only because Pacific Oaks argued in support of the decertification that the data was relevant to damages questions.”  The trial court</w:t>
      </w:r>
      <w:r w:rsidR="00A70BE7" w:rsidRPr="00D6065E">
        <w:t xml:space="preserve"> gave a tentative ruling that</w:t>
      </w:r>
      <w:r w:rsidR="003F441E" w:rsidRPr="00D6065E">
        <w:t xml:space="preserve"> if Pacific Oaks intended </w:t>
      </w:r>
      <w:r w:rsidR="009F707D" w:rsidRPr="00D6065E">
        <w:t xml:space="preserve">“at trial </w:t>
      </w:r>
      <w:r w:rsidR="00915149" w:rsidRPr="00D6065E">
        <w:t xml:space="preserve">to </w:t>
      </w:r>
      <w:r w:rsidR="00651FBF" w:rsidRPr="00D6065E">
        <w:t xml:space="preserve">introduce evidence of the days </w:t>
      </w:r>
      <w:r w:rsidR="004161A5" w:rsidRPr="00D6065E">
        <w:t xml:space="preserve">in which it contends it didn’t exceed its license capacity, </w:t>
      </w:r>
      <w:r w:rsidR="002C4069" w:rsidRPr="00D6065E">
        <w:t>including any summaries, it seems to me that data sufficient to verify the accuracy of the summary should be produced</w:t>
      </w:r>
      <w:r w:rsidR="00807DAE" w:rsidRPr="00D6065E">
        <w:t xml:space="preserve"> so as to expedite the trial proceedings.”</w:t>
      </w:r>
    </w:p>
    <w:p w14:paraId="696776B4" w14:textId="5FD04858" w:rsidR="00791F19" w:rsidRPr="004F2C4E" w:rsidRDefault="003A0E16" w:rsidP="00166B72">
      <w:pPr>
        <w:ind w:firstLine="720"/>
        <w:contextualSpacing/>
      </w:pPr>
      <w:r>
        <w:t xml:space="preserve">Pacific Oaks’s counsel </w:t>
      </w:r>
      <w:r w:rsidR="0039268E">
        <w:t>stated</w:t>
      </w:r>
      <w:r w:rsidR="00D15C33">
        <w:t xml:space="preserve"> it did not </w:t>
      </w:r>
      <w:r w:rsidR="0030332D">
        <w:t>“intend to rely on any additional records beyond what’s already in evidence right now at trial, which is the DSS records that indicate on certain days the school was already within its capacity.”  Pacific Oaks’s counsel</w:t>
      </w:r>
      <w:r w:rsidR="00AC5217">
        <w:t xml:space="preserve"> further</w:t>
      </w:r>
      <w:r w:rsidR="0030332D">
        <w:t xml:space="preserve"> confirmed those records had already been produced.  </w:t>
      </w:r>
      <w:r w:rsidR="00E87244">
        <w:t>Despite lengthy discussion</w:t>
      </w:r>
      <w:r w:rsidR="007B6D09">
        <w:t>s between the court and counsel about other aspects of the court’s tentative ruling, p</w:t>
      </w:r>
      <w:r w:rsidR="00E87244" w:rsidRPr="004F2C4E">
        <w:t>laintiffs did not object</w:t>
      </w:r>
      <w:r w:rsidR="007B6D09">
        <w:t xml:space="preserve"> to</w:t>
      </w:r>
      <w:r w:rsidR="002E58DE">
        <w:t xml:space="preserve"> or comment on</w:t>
      </w:r>
      <w:r w:rsidR="007B6D09">
        <w:t xml:space="preserve"> the tentative discovery order</w:t>
      </w:r>
      <w:r w:rsidR="00E87244" w:rsidRPr="004F2C4E">
        <w:t>.</w:t>
      </w:r>
      <w:r w:rsidR="007B6D09">
        <w:t xml:space="preserve">  </w:t>
      </w:r>
      <w:r w:rsidR="00E90091">
        <w:t>After the hearing, t</w:t>
      </w:r>
      <w:r w:rsidR="002E58DE">
        <w:t xml:space="preserve">he trial court issued a written </w:t>
      </w:r>
      <w:r w:rsidR="00655EFF">
        <w:t xml:space="preserve">order </w:t>
      </w:r>
      <w:r w:rsidR="002E58DE">
        <w:t xml:space="preserve">consistent with the tentative </w:t>
      </w:r>
      <w:r w:rsidR="00655EFF">
        <w:t>ruling that required Pacific Oaks to produce any</w:t>
      </w:r>
      <w:r w:rsidR="002E58DE">
        <w:t xml:space="preserve"> </w:t>
      </w:r>
      <w:r w:rsidR="009E3958">
        <w:t xml:space="preserve">responsive data </w:t>
      </w:r>
      <w:r w:rsidR="003A23A4" w:rsidRPr="004F2C4E">
        <w:t>at least 30 days before trial.</w:t>
      </w:r>
    </w:p>
    <w:p w14:paraId="60DA238D" w14:textId="0A9B189A" w:rsidR="009C6345" w:rsidRPr="00166B72" w:rsidRDefault="003A0E16" w:rsidP="00362276">
      <w:pPr>
        <w:pStyle w:val="ListParagraph"/>
        <w:widowControl w:val="0"/>
        <w:numPr>
          <w:ilvl w:val="0"/>
          <w:numId w:val="13"/>
        </w:numPr>
        <w:ind w:left="2160" w:hanging="720"/>
        <w:rPr>
          <w:b/>
          <w:bCs/>
        </w:rPr>
      </w:pPr>
      <w:r>
        <w:rPr>
          <w:b/>
          <w:bCs/>
        </w:rPr>
        <w:t>Discussion</w:t>
      </w:r>
    </w:p>
    <w:p w14:paraId="450BC8F1" w14:textId="439227FD" w:rsidR="00450ED0" w:rsidRPr="004F2C4E" w:rsidRDefault="003A0E16" w:rsidP="00362276">
      <w:pPr>
        <w:widowControl w:val="0"/>
        <w:ind w:firstLine="720"/>
        <w:contextualSpacing/>
      </w:pPr>
      <w:r w:rsidRPr="004F2C4E">
        <w:t xml:space="preserve">Plaintiffs </w:t>
      </w:r>
      <w:r w:rsidR="00C81D66" w:rsidRPr="004F2C4E">
        <w:t xml:space="preserve">now </w:t>
      </w:r>
      <w:r w:rsidRPr="004F2C4E">
        <w:t xml:space="preserve">contend the trial court’s December 2019 discovery order “violated established law that discovery is broad” </w:t>
      </w:r>
      <w:r w:rsidRPr="004F2C4E">
        <w:lastRenderedPageBreak/>
        <w:t>and “misapplied the burden of proof.”</w:t>
      </w:r>
      <w:r>
        <w:rPr>
          <w:rStyle w:val="FootnoteReference"/>
        </w:rPr>
        <w:footnoteReference w:id="20"/>
      </w:r>
      <w:r w:rsidRPr="004F2C4E">
        <w:t xml:space="preserve"> </w:t>
      </w:r>
      <w:r w:rsidR="00435166">
        <w:t xml:space="preserve"> </w:t>
      </w:r>
      <w:r w:rsidR="0039268E">
        <w:t>We find no error.</w:t>
      </w:r>
    </w:p>
    <w:p w14:paraId="70289221" w14:textId="7A783F57" w:rsidR="00450ED0" w:rsidRPr="004F2C4E" w:rsidRDefault="003A0E16" w:rsidP="00362276">
      <w:pPr>
        <w:widowControl w:val="0"/>
        <w:ind w:firstLine="720"/>
        <w:contextualSpacing/>
      </w:pPr>
      <w:r w:rsidRPr="004F2C4E">
        <w:t xml:space="preserve">A trial court has “broad </w:t>
      </w:r>
      <w:r w:rsidRPr="004F2C4E">
        <w:t>discretion in controlling the course of discovery and in making the various decisions necessitated by discovery proceedings.”  (</w:t>
      </w:r>
      <w:r w:rsidRPr="004F2C4E">
        <w:rPr>
          <w:i/>
          <w:iCs/>
        </w:rPr>
        <w:t>Obregon v</w:t>
      </w:r>
      <w:r w:rsidRPr="00094F40">
        <w:rPr>
          <w:i/>
          <w:iCs/>
        </w:rPr>
        <w:t>.</w:t>
      </w:r>
      <w:r w:rsidRPr="004F2C4E">
        <w:rPr>
          <w:i/>
          <w:iCs/>
        </w:rPr>
        <w:t xml:space="preserve"> Superior Court</w:t>
      </w:r>
      <w:r w:rsidRPr="004F2C4E">
        <w:t xml:space="preserve"> (1998) 67 Cal.App.4th 424, 431.)  “The trial judge’s application of discretion in discovery matters is presumed correct, and the complaining party must show how and why the court’s action constitutes an abuse of discretion in light of the particular circumstances involved.”  (</w:t>
      </w:r>
      <w:r w:rsidRPr="004F2C4E">
        <w:rPr>
          <w:i/>
          <w:iCs/>
        </w:rPr>
        <w:t>Id</w:t>
      </w:r>
      <w:r w:rsidRPr="00435166">
        <w:t>.</w:t>
      </w:r>
      <w:r w:rsidR="00FF0276">
        <w:t xml:space="preserve"> at p. </w:t>
      </w:r>
      <w:r w:rsidR="005F0EFE">
        <w:t>432</w:t>
      </w:r>
      <w:r w:rsidR="00D32DB0">
        <w:t>.</w:t>
      </w:r>
      <w:r w:rsidRPr="004F2C4E">
        <w:t>)</w:t>
      </w:r>
    </w:p>
    <w:p w14:paraId="6564D6DC" w14:textId="231F76C9" w:rsidR="00BA6866" w:rsidRPr="004F2C4E" w:rsidRDefault="003A0E16" w:rsidP="00A83B1F">
      <w:pPr>
        <w:ind w:firstLine="720"/>
        <w:contextualSpacing/>
      </w:pPr>
      <w:r w:rsidRPr="004F2C4E">
        <w:t xml:space="preserve">Throughout the litigation, plaintiffs elected to advance only one theory of liability for their UCL claim: </w:t>
      </w:r>
      <w:r w:rsidR="00AC5C80" w:rsidRPr="004F2C4E">
        <w:t xml:space="preserve">Pacific Oaks </w:t>
      </w:r>
      <w:r w:rsidRPr="004F2C4E">
        <w:t>violated child</w:t>
      </w:r>
      <w:r w:rsidR="00D70BFD">
        <w:t xml:space="preserve"> </w:t>
      </w:r>
      <w:r w:rsidRPr="004F2C4E">
        <w:t xml:space="preserve">care licensing regulations by </w:t>
      </w:r>
      <w:r w:rsidRPr="004F2C4E">
        <w:rPr>
          <w:i/>
          <w:iCs/>
        </w:rPr>
        <w:t>enrolling</w:t>
      </w:r>
      <w:r w:rsidRPr="004F2C4E">
        <w:t xml:space="preserve"> students in excess of its licensed capacity.</w:t>
      </w:r>
      <w:r w:rsidR="00180B8E" w:rsidRPr="004F2C4E">
        <w:t xml:space="preserve">  </w:t>
      </w:r>
      <w:r w:rsidR="0018207E" w:rsidRPr="004F2C4E">
        <w:t>At the time of the trial court’s December 2019 order, plaintiffs continued to argue</w:t>
      </w:r>
      <w:r w:rsidR="00E93365" w:rsidRPr="004F2C4E">
        <w:t xml:space="preserve"> that theory only, </w:t>
      </w:r>
      <w:r w:rsidR="007C7AE3" w:rsidRPr="004F2C4E">
        <w:t>asserting attendance was “irrelevant” to their theory of the case.</w:t>
      </w:r>
      <w:r w:rsidR="00A83B1F">
        <w:t xml:space="preserve">  </w:t>
      </w:r>
      <w:r w:rsidR="00E90091">
        <w:t>They did not disagree with the trial court’s assessment that the discovery was necessary only to respond to or evaluate arguments Pacific Oaks might make at trial</w:t>
      </w:r>
      <w:r w:rsidR="008C6837" w:rsidRPr="004F2C4E">
        <w:t>.</w:t>
      </w:r>
      <w:r w:rsidR="0038748E" w:rsidRPr="004F2C4E">
        <w:t xml:space="preserve">  </w:t>
      </w:r>
      <w:r w:rsidR="00E90091">
        <w:t>Indeed, e</w:t>
      </w:r>
      <w:r w:rsidR="0038748E" w:rsidRPr="004F2C4E">
        <w:t>ven after the court’s December 2019 ruling, plaintiffs continued to maintain attendance was not relevant to their theory of liability.</w:t>
      </w:r>
      <w:r w:rsidR="00402824" w:rsidRPr="004F2C4E">
        <w:t xml:space="preserve">  </w:t>
      </w:r>
      <w:r w:rsidR="0066258F">
        <w:t>(</w:t>
      </w:r>
      <w:r w:rsidR="0054734D" w:rsidRPr="00166B72">
        <w:rPr>
          <w:i/>
          <w:iCs/>
        </w:rPr>
        <w:t xml:space="preserve">Seahaus La Jolla Owners </w:t>
      </w:r>
      <w:r w:rsidR="0054734D" w:rsidRPr="00094F40">
        <w:rPr>
          <w:i/>
          <w:iCs/>
        </w:rPr>
        <w:t>Assn. v.</w:t>
      </w:r>
      <w:r w:rsidR="0054734D" w:rsidRPr="00166B72">
        <w:rPr>
          <w:i/>
          <w:iCs/>
        </w:rPr>
        <w:t xml:space="preserve"> Superior Court</w:t>
      </w:r>
      <w:r w:rsidR="0054734D">
        <w:t xml:space="preserve"> (2014) 224 Cal.App.4th 754, 767 [the “proper purpose</w:t>
      </w:r>
      <w:r w:rsidR="00771533">
        <w:t>[ ]</w:t>
      </w:r>
      <w:r w:rsidR="0054734D">
        <w:t xml:space="preserve"> of discovery” is to obtain relevant information]</w:t>
      </w:r>
      <w:r w:rsidR="0066258F">
        <w:t xml:space="preserve">.)  The trial court did not abuse its discretion in limiting the December 2019 order to information sufficient to </w:t>
      </w:r>
      <w:r w:rsidR="0066258F">
        <w:lastRenderedPageBreak/>
        <w:t xml:space="preserve">verify the accuracy of any arguments or </w:t>
      </w:r>
      <w:r w:rsidR="0039268E">
        <w:t>evidence</w:t>
      </w:r>
      <w:r w:rsidR="0066258F">
        <w:t xml:space="preserve"> Pacific Oaks intended to </w:t>
      </w:r>
      <w:r w:rsidR="0039268E">
        <w:t>o</w:t>
      </w:r>
      <w:r w:rsidR="005F4B7B">
        <w:t>ffer</w:t>
      </w:r>
      <w:r w:rsidR="0066258F">
        <w:t xml:space="preserve"> at trial.</w:t>
      </w:r>
    </w:p>
    <w:p w14:paraId="03FB8D69" w14:textId="7FA6F3C4" w:rsidR="009002AA" w:rsidRPr="00166B72" w:rsidRDefault="003A0E16" w:rsidP="0015440B">
      <w:pPr>
        <w:pStyle w:val="Heading30"/>
        <w:numPr>
          <w:ilvl w:val="0"/>
          <w:numId w:val="9"/>
        </w:numPr>
        <w:ind w:hanging="720"/>
        <w:contextualSpacing/>
      </w:pPr>
      <w:r w:rsidRPr="00166B72">
        <w:t>Enrollment records</w:t>
      </w:r>
      <w:r w:rsidR="000035AC">
        <w:t>, attendance records,</w:t>
      </w:r>
      <w:r w:rsidRPr="00166B72">
        <w:t xml:space="preserve"> and current rosters</w:t>
      </w:r>
    </w:p>
    <w:p w14:paraId="4A0BAFB1" w14:textId="2B3ADDD9" w:rsidR="00B32CD2" w:rsidRDefault="003A0E16" w:rsidP="007B312D">
      <w:pPr>
        <w:ind w:firstLine="720"/>
        <w:contextualSpacing/>
      </w:pPr>
      <w:r w:rsidRPr="004F2C4E">
        <w:t xml:space="preserve">Plaintiffs also </w:t>
      </w:r>
      <w:r w:rsidR="00613495">
        <w:t>challenge</w:t>
      </w:r>
      <w:r w:rsidRPr="004F2C4E">
        <w:t xml:space="preserve"> the trial court’s </w:t>
      </w:r>
      <w:r w:rsidR="005F5845">
        <w:t xml:space="preserve">February 2021 </w:t>
      </w:r>
      <w:r w:rsidRPr="004F2C4E">
        <w:t xml:space="preserve">order denying </w:t>
      </w:r>
      <w:r w:rsidR="00C82DC3">
        <w:t>their</w:t>
      </w:r>
      <w:r w:rsidR="00C82DC3" w:rsidRPr="004F2C4E">
        <w:t xml:space="preserve"> </w:t>
      </w:r>
      <w:r w:rsidR="00AB2409" w:rsidRPr="004F2C4E">
        <w:t>motion</w:t>
      </w:r>
      <w:r w:rsidRPr="004F2C4E">
        <w:t xml:space="preserve"> to compel </w:t>
      </w:r>
      <w:r w:rsidR="00AB2409" w:rsidRPr="004F2C4E">
        <w:t>Pacific Oaks</w:t>
      </w:r>
      <w:r w:rsidR="005F5845">
        <w:t xml:space="preserve"> to produce</w:t>
      </w:r>
      <w:r w:rsidRPr="004F2C4E">
        <w:t xml:space="preserve"> enrollment records</w:t>
      </w:r>
      <w:r w:rsidR="005F5845">
        <w:t xml:space="preserve"> in response to</w:t>
      </w:r>
      <w:r w:rsidR="00AF4F1D">
        <w:t xml:space="preserve"> their</w:t>
      </w:r>
      <w:r w:rsidR="005F5845">
        <w:t xml:space="preserve"> </w:t>
      </w:r>
      <w:r w:rsidR="00065ED8">
        <w:t xml:space="preserve">notice to </w:t>
      </w:r>
      <w:r w:rsidR="002301A4">
        <w:t xml:space="preserve">the custodian of records to </w:t>
      </w:r>
      <w:r w:rsidR="00065ED8">
        <w:t>attend trial and bring documents</w:t>
      </w:r>
      <w:r w:rsidRPr="004F2C4E">
        <w:t xml:space="preserve">. </w:t>
      </w:r>
      <w:r w:rsidR="003240D8" w:rsidRPr="004F2C4E">
        <w:t xml:space="preserve"> </w:t>
      </w:r>
      <w:r w:rsidRPr="004F2C4E">
        <w:t xml:space="preserve">The court </w:t>
      </w:r>
      <w:r w:rsidR="005F5845">
        <w:t>found</w:t>
      </w:r>
      <w:r w:rsidR="005F5845" w:rsidRPr="004F2C4E">
        <w:t xml:space="preserve"> </w:t>
      </w:r>
      <w:r w:rsidRPr="004F2C4E">
        <w:t xml:space="preserve">the request for enrollment records </w:t>
      </w:r>
      <w:r w:rsidR="005F5845">
        <w:t>was</w:t>
      </w:r>
      <w:r w:rsidR="005F5845" w:rsidRPr="004F2C4E">
        <w:t xml:space="preserve"> </w:t>
      </w:r>
      <w:r w:rsidRPr="004F2C4E">
        <w:t xml:space="preserve">improper because </w:t>
      </w:r>
      <w:r w:rsidR="0042219A">
        <w:t>it was</w:t>
      </w:r>
      <w:r w:rsidR="00A413AD" w:rsidRPr="00A413AD">
        <w:t xml:space="preserve"> “in the nature of a discovery device, [</w:t>
      </w:r>
      <w:r w:rsidRPr="004F2C4E">
        <w:t>did</w:t>
      </w:r>
      <w:r w:rsidR="00A413AD" w:rsidRPr="00A413AD">
        <w:t>]</w:t>
      </w:r>
      <w:r w:rsidRPr="004F2C4E">
        <w:t xml:space="preserve"> not </w:t>
      </w:r>
      <w:r w:rsidR="00A413AD" w:rsidRPr="00A413AD">
        <w:t>specify a specific document and [</w:t>
      </w:r>
      <w:r w:rsidR="00645FD1">
        <w:t>was</w:t>
      </w:r>
      <w:r w:rsidR="00A413AD" w:rsidRPr="00A413AD">
        <w:t>] not a proper use of a notice</w:t>
      </w:r>
      <w:r w:rsidRPr="004F2C4E">
        <w:t xml:space="preserve"> to </w:t>
      </w:r>
      <w:r w:rsidR="00A413AD" w:rsidRPr="00A413AD">
        <w:t xml:space="preserve">appear at trial.” </w:t>
      </w:r>
      <w:r w:rsidRPr="004F2C4E">
        <w:t xml:space="preserve"> Plaintiffs do not identify </w:t>
      </w:r>
      <w:r w:rsidR="00684691">
        <w:t>any alleged</w:t>
      </w:r>
      <w:r w:rsidR="00684691" w:rsidRPr="004F2C4E">
        <w:t xml:space="preserve"> </w:t>
      </w:r>
      <w:r w:rsidRPr="004F2C4E">
        <w:t>trial court error with respect to that fi</w:t>
      </w:r>
      <w:r w:rsidRPr="004F2C4E">
        <w:t>nding</w:t>
      </w:r>
      <w:r w:rsidR="005E5DEE">
        <w:t xml:space="preserve">, </w:t>
      </w:r>
      <w:r w:rsidR="00EE1242">
        <w:t>except to assert that the trial court “misapplied the law in construing enrollment as irrelevant</w:t>
      </w:r>
      <w:r w:rsidRPr="004F2C4E">
        <w:t>.</w:t>
      </w:r>
      <w:r w:rsidR="00EE1242">
        <w:t xml:space="preserve">”  This assertion ignores the trial court’s </w:t>
      </w:r>
      <w:r w:rsidR="00140FD5">
        <w:t xml:space="preserve">actual </w:t>
      </w:r>
      <w:r w:rsidR="00EE1242">
        <w:t>rul</w:t>
      </w:r>
      <w:r w:rsidR="00497746">
        <w:t>ing</w:t>
      </w:r>
      <w:r w:rsidR="00140FD5">
        <w:t>.</w:t>
      </w:r>
    </w:p>
    <w:p w14:paraId="66420A00" w14:textId="2C49C804" w:rsidR="00957FBC" w:rsidRPr="004F2C4E" w:rsidRDefault="003A0E16" w:rsidP="00166B72">
      <w:pPr>
        <w:ind w:firstLine="720"/>
        <w:contextualSpacing/>
        <w:rPr>
          <w:rFonts w:eastAsia="Calibri"/>
          <w:kern w:val="2"/>
          <w:szCs w:val="22"/>
          <w14:ligatures w14:val="standardContextual"/>
        </w:rPr>
      </w:pPr>
      <w:r w:rsidRPr="004F2C4E">
        <w:t xml:space="preserve">Similarly, </w:t>
      </w:r>
      <w:r w:rsidR="002D719F">
        <w:t xml:space="preserve">in a single sentence, </w:t>
      </w:r>
      <w:r w:rsidRPr="004F2C4E">
        <w:t>p</w:t>
      </w:r>
      <w:r w:rsidR="00A848AE" w:rsidRPr="004F2C4E">
        <w:t xml:space="preserve">laintiffs challenge the trial court’s denial of plaintiffs’ request for an </w:t>
      </w:r>
      <w:r w:rsidR="008046C5">
        <w:t>adverse</w:t>
      </w:r>
      <w:r w:rsidR="00FA4C26">
        <w:t xml:space="preserve"> </w:t>
      </w:r>
      <w:r w:rsidR="00A848AE" w:rsidRPr="004F2C4E">
        <w:t xml:space="preserve">inference because </w:t>
      </w:r>
      <w:r w:rsidR="00613495">
        <w:t>Pacific Oaks</w:t>
      </w:r>
      <w:r w:rsidRPr="004F2C4E">
        <w:t xml:space="preserve"> produce</w:t>
      </w:r>
      <w:r w:rsidR="00C836BF">
        <w:t>d only</w:t>
      </w:r>
      <w:r w:rsidRPr="004F2C4E">
        <w:t xml:space="preserve"> </w:t>
      </w:r>
      <w:r w:rsidR="00C836BF">
        <w:t>in</w:t>
      </w:r>
      <w:r w:rsidRPr="004F2C4E">
        <w:t>complete</w:t>
      </w:r>
      <w:r w:rsidR="00A848AE" w:rsidRPr="004F2C4E">
        <w:t xml:space="preserve"> attendance records. </w:t>
      </w:r>
      <w:r w:rsidR="00955008" w:rsidRPr="004F2C4E">
        <w:t xml:space="preserve"> </w:t>
      </w:r>
      <w:r w:rsidR="00A848AE" w:rsidRPr="004F2C4E">
        <w:t xml:space="preserve">Plaintiffs offer </w:t>
      </w:r>
      <w:r w:rsidR="00C836BF">
        <w:t>no</w:t>
      </w:r>
      <w:r w:rsidR="00C836BF" w:rsidRPr="004F2C4E">
        <w:t xml:space="preserve"> </w:t>
      </w:r>
      <w:r w:rsidR="00A848AE" w:rsidRPr="004F2C4E">
        <w:t xml:space="preserve">factual or legal support for </w:t>
      </w:r>
      <w:r w:rsidR="00625D87" w:rsidRPr="004F2C4E">
        <w:t>th</w:t>
      </w:r>
      <w:r w:rsidR="00645FD1">
        <w:t>i</w:t>
      </w:r>
      <w:r w:rsidR="00625D87" w:rsidRPr="004F2C4E">
        <w:t>s</w:t>
      </w:r>
      <w:r w:rsidR="00A848AE" w:rsidRPr="004F2C4E">
        <w:t xml:space="preserve"> argument.  </w:t>
      </w:r>
      <w:bookmarkStart w:id="2" w:name="_Hlk156810752"/>
      <w:r w:rsidR="00AB2409" w:rsidRPr="004F2C4E">
        <w:rPr>
          <w:rFonts w:eastAsia="Calibri"/>
          <w:kern w:val="2"/>
          <w:szCs w:val="22"/>
          <w14:ligatures w14:val="standardContextual"/>
        </w:rPr>
        <w:t>“We are not obliged to make other arguments for [appellant] [citation], nor are we obliged to speculate about which issues counsel intend to raise.”</w:t>
      </w:r>
      <w:r w:rsidR="00A83B1F">
        <w:rPr>
          <w:rFonts w:eastAsia="Calibri"/>
          <w:kern w:val="2"/>
          <w:szCs w:val="22"/>
          <w14:ligatures w14:val="standardContextual"/>
        </w:rPr>
        <w:t xml:space="preserve"> </w:t>
      </w:r>
      <w:r w:rsidR="00AB2409" w:rsidRPr="004F2C4E">
        <w:rPr>
          <w:rFonts w:eastAsia="Calibri"/>
          <w:kern w:val="2"/>
          <w:szCs w:val="22"/>
          <w14:ligatures w14:val="standardContextual"/>
        </w:rPr>
        <w:t xml:space="preserve"> (</w:t>
      </w:r>
      <w:r w:rsidR="00AB2409" w:rsidRPr="004F2C4E">
        <w:rPr>
          <w:rFonts w:eastAsia="Calibri"/>
          <w:i/>
          <w:iCs/>
          <w:kern w:val="2"/>
          <w:szCs w:val="22"/>
          <w14:ligatures w14:val="standardContextual"/>
        </w:rPr>
        <w:t>Opdyk v</w:t>
      </w:r>
      <w:r w:rsidR="00AB2409" w:rsidRPr="00094F40">
        <w:rPr>
          <w:rFonts w:eastAsia="Calibri"/>
          <w:i/>
          <w:iCs/>
          <w:kern w:val="2"/>
          <w:szCs w:val="22"/>
          <w14:ligatures w14:val="standardContextual"/>
        </w:rPr>
        <w:t xml:space="preserve">. </w:t>
      </w:r>
      <w:r w:rsidR="00AB2409" w:rsidRPr="004F2C4E">
        <w:rPr>
          <w:rFonts w:eastAsia="Calibri"/>
          <w:i/>
          <w:iCs/>
          <w:kern w:val="2"/>
          <w:szCs w:val="22"/>
          <w14:ligatures w14:val="standardContextual"/>
        </w:rPr>
        <w:t>California Horse Racing Bd</w:t>
      </w:r>
      <w:r w:rsidR="00AB2409" w:rsidRPr="00094F40">
        <w:rPr>
          <w:rFonts w:eastAsia="Calibri"/>
          <w:i/>
          <w:iCs/>
          <w:kern w:val="2"/>
          <w:szCs w:val="22"/>
          <w14:ligatures w14:val="standardContextual"/>
        </w:rPr>
        <w:t>.</w:t>
      </w:r>
      <w:r w:rsidR="00A83B1F">
        <w:rPr>
          <w:rFonts w:eastAsia="Calibri"/>
          <w:kern w:val="2"/>
          <w:szCs w:val="22"/>
          <w14:ligatures w14:val="standardContextual"/>
        </w:rPr>
        <w:t xml:space="preserve"> </w:t>
      </w:r>
      <w:r w:rsidR="00AB2409" w:rsidRPr="004F2C4E">
        <w:rPr>
          <w:rFonts w:eastAsia="Calibri"/>
          <w:kern w:val="2"/>
          <w:szCs w:val="22"/>
          <w14:ligatures w14:val="standardContextual"/>
        </w:rPr>
        <w:t>(1995) 34 Cal.App.4th 1826, 1831, fn. 4;</w:t>
      </w:r>
      <w:r w:rsidR="00A83B1F">
        <w:rPr>
          <w:rFonts w:eastAsia="Calibri"/>
          <w:kern w:val="2"/>
          <w:szCs w:val="22"/>
          <w14:ligatures w14:val="standardContextual"/>
        </w:rPr>
        <w:t xml:space="preserve"> </w:t>
      </w:r>
      <w:r w:rsidR="00AB2409" w:rsidRPr="004F2C4E">
        <w:rPr>
          <w:rFonts w:eastAsia="Calibri"/>
          <w:i/>
          <w:iCs/>
          <w:kern w:val="2"/>
          <w:szCs w:val="22"/>
          <w14:ligatures w14:val="standardContextual"/>
        </w:rPr>
        <w:t>In re Marriage of Falcone &amp; Fyke</w:t>
      </w:r>
      <w:r w:rsidR="00A83B1F">
        <w:rPr>
          <w:rFonts w:eastAsia="Calibri"/>
          <w:kern w:val="2"/>
          <w:szCs w:val="22"/>
          <w14:ligatures w14:val="standardContextual"/>
        </w:rPr>
        <w:t xml:space="preserve"> </w:t>
      </w:r>
      <w:r w:rsidR="00AB2409" w:rsidRPr="004F2C4E">
        <w:rPr>
          <w:rFonts w:eastAsia="Calibri"/>
          <w:kern w:val="2"/>
          <w:szCs w:val="22"/>
          <w14:ligatures w14:val="standardContextual"/>
        </w:rPr>
        <w:t>(2008) 164 Cal.App.4th 814, 830 [“We are not bound to develop appellants’ arguments for them”].)</w:t>
      </w:r>
      <w:r w:rsidR="000035AC" w:rsidRPr="000035AC">
        <w:t xml:space="preserve"> </w:t>
      </w:r>
      <w:r w:rsidR="000035AC">
        <w:t xml:space="preserve"> </w:t>
      </w:r>
      <w:bookmarkEnd w:id="2"/>
      <w:r w:rsidR="000035AC" w:rsidRPr="004F2C4E">
        <w:t>We deem the argument forfeited.</w:t>
      </w:r>
    </w:p>
    <w:p w14:paraId="463BAF40" w14:textId="56AA89AF" w:rsidR="00332B5A" w:rsidRPr="004F2C4E" w:rsidRDefault="003A0E16" w:rsidP="0015440B">
      <w:pPr>
        <w:ind w:firstLine="720"/>
        <w:contextualSpacing/>
      </w:pPr>
      <w:r w:rsidRPr="00B71C5E">
        <w:t xml:space="preserve">Plaintiffs </w:t>
      </w:r>
      <w:r w:rsidR="004E6950" w:rsidRPr="00B71C5E">
        <w:t xml:space="preserve">further </w:t>
      </w:r>
      <w:r w:rsidR="004144DC" w:rsidRPr="00B71C5E">
        <w:t xml:space="preserve">argue </w:t>
      </w:r>
      <w:r w:rsidR="0056208C" w:rsidRPr="00B71C5E">
        <w:t xml:space="preserve">the </w:t>
      </w:r>
      <w:r w:rsidR="004E6950" w:rsidRPr="00B71C5E">
        <w:t xml:space="preserve">trial </w:t>
      </w:r>
      <w:r w:rsidR="0056208C" w:rsidRPr="00B71C5E">
        <w:t xml:space="preserve">court </w:t>
      </w:r>
      <w:r w:rsidR="004E6950" w:rsidRPr="00B71C5E">
        <w:t>was compelled to draw an adver</w:t>
      </w:r>
      <w:r w:rsidR="00A46243" w:rsidRPr="00B71C5E">
        <w:t>se inference against</w:t>
      </w:r>
      <w:r w:rsidR="0056208C" w:rsidRPr="00B71C5E">
        <w:t xml:space="preserve"> </w:t>
      </w:r>
      <w:r w:rsidRPr="00B71C5E">
        <w:t xml:space="preserve">Pacific Oaks </w:t>
      </w:r>
      <w:r w:rsidR="00A46243" w:rsidRPr="00B71C5E">
        <w:t>because it</w:t>
      </w:r>
      <w:r w:rsidRPr="00B71C5E">
        <w:t xml:space="preserve"> </w:t>
      </w:r>
      <w:r w:rsidR="00A46243" w:rsidRPr="00B71C5E">
        <w:t xml:space="preserve">failed </w:t>
      </w:r>
      <w:r w:rsidRPr="00B71C5E">
        <w:t>to produce “current rosters</w:t>
      </w:r>
      <w:r w:rsidR="0056208C" w:rsidRPr="00B71C5E">
        <w:t xml:space="preserve">.” </w:t>
      </w:r>
      <w:r w:rsidR="00D6387A" w:rsidRPr="00B71C5E">
        <w:t xml:space="preserve"> They rely on </w:t>
      </w:r>
      <w:r w:rsidR="00D6387A" w:rsidRPr="00B71C5E">
        <w:rPr>
          <w:i/>
        </w:rPr>
        <w:t>Scott</w:t>
      </w:r>
      <w:r w:rsidR="006C0F23" w:rsidRPr="00B71C5E">
        <w:t xml:space="preserve">, </w:t>
      </w:r>
      <w:r w:rsidR="006C0F23" w:rsidRPr="00B71C5E">
        <w:rPr>
          <w:rFonts w:cs="CenturySchoolbook"/>
          <w:i/>
          <w:szCs w:val="26"/>
        </w:rPr>
        <w:t>supra</w:t>
      </w:r>
      <w:r w:rsidR="006C0F23" w:rsidRPr="00B71C5E">
        <w:t>,</w:t>
      </w:r>
      <w:r w:rsidR="00914970" w:rsidRPr="00B71C5E">
        <w:t xml:space="preserve"> 175 Cal.App.4th 702,</w:t>
      </w:r>
      <w:r w:rsidR="006C0F23" w:rsidRPr="00B71C5E">
        <w:rPr>
          <w:i/>
        </w:rPr>
        <w:t xml:space="preserve"> </w:t>
      </w:r>
      <w:r w:rsidR="003676A4" w:rsidRPr="00B71C5E">
        <w:t xml:space="preserve">for the proposition that rosters </w:t>
      </w:r>
      <w:r w:rsidR="002E569E" w:rsidRPr="00B71C5E">
        <w:t xml:space="preserve">would reveal </w:t>
      </w:r>
      <w:r w:rsidR="003676A4" w:rsidRPr="00B71C5E">
        <w:lastRenderedPageBreak/>
        <w:t>enrollment</w:t>
      </w:r>
      <w:r w:rsidR="00524D27">
        <w:t xml:space="preserve"> information</w:t>
      </w:r>
      <w:r w:rsidR="002E569E" w:rsidRPr="00B71C5E">
        <w:t xml:space="preserve"> relevant to the licensing regulations</w:t>
      </w:r>
      <w:r w:rsidR="003676A4" w:rsidRPr="00B71C5E">
        <w:t xml:space="preserve">. </w:t>
      </w:r>
      <w:r w:rsidR="00D6387A" w:rsidRPr="00B71C5E">
        <w:rPr>
          <w:i/>
        </w:rPr>
        <w:t xml:space="preserve"> </w:t>
      </w:r>
      <w:r w:rsidR="003676A4" w:rsidRPr="00B71C5E">
        <w:t>Plaintiffs’ argument</w:t>
      </w:r>
      <w:r w:rsidR="00C15C1B" w:rsidRPr="00B71C5E">
        <w:t xml:space="preserve"> </w:t>
      </w:r>
      <w:r w:rsidR="00A46243" w:rsidRPr="00B71C5E">
        <w:t>incorrectly</w:t>
      </w:r>
      <w:r w:rsidR="00C15C1B" w:rsidRPr="00B71C5E">
        <w:t xml:space="preserve"> equates the rosters in </w:t>
      </w:r>
      <w:r w:rsidR="00C15C1B" w:rsidRPr="00B71C5E">
        <w:rPr>
          <w:i/>
        </w:rPr>
        <w:t>Scott</w:t>
      </w:r>
      <w:r w:rsidR="00C15C1B" w:rsidRPr="00B71C5E">
        <w:t xml:space="preserve"> with</w:t>
      </w:r>
      <w:r w:rsidR="00C15C1B" w:rsidRPr="004F2C4E">
        <w:t xml:space="preserve"> </w:t>
      </w:r>
      <w:r w:rsidR="00C15C1B" w:rsidRPr="00B71C5E">
        <w:t>plaintiffs’ specific request</w:t>
      </w:r>
      <w:r w:rsidR="0017757B" w:rsidRPr="00166B72">
        <w:t>, which was</w:t>
      </w:r>
      <w:r w:rsidR="00C15C1B" w:rsidRPr="00B71C5E">
        <w:t xml:space="preserve"> for rosters under Health and Safety Code section 1596.841</w:t>
      </w:r>
      <w:r w:rsidR="00C15C1B" w:rsidRPr="004F2C4E">
        <w:t>.</w:t>
      </w:r>
      <w:r w:rsidR="00043BF8">
        <w:t xml:space="preserve"> </w:t>
      </w:r>
      <w:r w:rsidR="00C15C1B" w:rsidRPr="004F2C4E">
        <w:t xml:space="preserve"> </w:t>
      </w:r>
      <w:r w:rsidR="00E90091" w:rsidRPr="00B71C5E">
        <w:t>Health and Safety Code section 1596.841</w:t>
      </w:r>
      <w:r w:rsidR="00C15C1B" w:rsidRPr="00B71C5E">
        <w:t xml:space="preserve"> </w:t>
      </w:r>
      <w:r w:rsidR="00957FBC" w:rsidRPr="00B71C5E">
        <w:t>does not require t</w:t>
      </w:r>
      <w:r w:rsidR="00684AA9" w:rsidRPr="00B71C5E">
        <w:t>hat</w:t>
      </w:r>
      <w:r w:rsidR="00957FBC" w:rsidRPr="00B71C5E">
        <w:t xml:space="preserve"> rosters show which programs </w:t>
      </w:r>
      <w:r w:rsidR="00FC73A2" w:rsidRPr="00B71C5E">
        <w:t xml:space="preserve">children </w:t>
      </w:r>
      <w:r w:rsidR="00957FBC" w:rsidRPr="00B71C5E">
        <w:t xml:space="preserve">are enrolled in </w:t>
      </w:r>
      <w:r w:rsidR="00FC73A2" w:rsidRPr="00B71C5E">
        <w:t>or the hours of the day</w:t>
      </w:r>
      <w:r w:rsidR="00957FBC" w:rsidRPr="00B71C5E">
        <w:t xml:space="preserve"> they </w:t>
      </w:r>
      <w:r w:rsidR="00FC73A2" w:rsidRPr="00B71C5E">
        <w:t>attend</w:t>
      </w:r>
      <w:r w:rsidR="00957FBC" w:rsidRPr="00B71C5E">
        <w:t>.  (Health &amp; Saf. Code, § 1596.841 [roster shall include “the name, address, and daytime telephone number of the child’s parent or guardian, and the name and telephone number of the child’s physician</w:t>
      </w:r>
      <w:r w:rsidR="005C3189">
        <w:t>”</w:t>
      </w:r>
      <w:r w:rsidR="00957FBC" w:rsidRPr="00B71C5E">
        <w:t xml:space="preserve">].)  The trial court </w:t>
      </w:r>
      <w:r w:rsidR="00E90091">
        <w:t xml:space="preserve">therefore reasonably </w:t>
      </w:r>
      <w:r w:rsidR="005C3189">
        <w:t>declined to infer that the rosters would have established Pacific Oaks violated the DSS license</w:t>
      </w:r>
      <w:r w:rsidR="0097111C">
        <w:t xml:space="preserve">.  The court explained </w:t>
      </w:r>
      <w:r w:rsidR="00957FBC" w:rsidRPr="00B71C5E">
        <w:t xml:space="preserve">it “cannot infer that the rosters would contain information that the statute does not require.”  We find no </w:t>
      </w:r>
      <w:r w:rsidR="00684AA9" w:rsidRPr="00B71C5E">
        <w:t>abuse of discretion</w:t>
      </w:r>
      <w:r w:rsidR="00957FBC" w:rsidRPr="00B71C5E">
        <w:t>.</w:t>
      </w:r>
    </w:p>
    <w:p w14:paraId="029108C6" w14:textId="3C5D2B0D" w:rsidR="00E61180" w:rsidRPr="004F2C4E" w:rsidRDefault="003A0E16" w:rsidP="0043279D">
      <w:pPr>
        <w:pStyle w:val="Heading20"/>
        <w:widowControl w:val="0"/>
        <w:numPr>
          <w:ilvl w:val="0"/>
          <w:numId w:val="1"/>
        </w:numPr>
        <w:ind w:left="720"/>
        <w:contextualSpacing/>
      </w:pPr>
      <w:r w:rsidRPr="004F2C4E">
        <w:t xml:space="preserve">The Trial Court’s </w:t>
      </w:r>
      <w:r w:rsidR="0051735F">
        <w:t xml:space="preserve">Evidentiary Rulings and Determinations Were </w:t>
      </w:r>
      <w:r w:rsidRPr="004F2C4E">
        <w:t>Proper</w:t>
      </w:r>
    </w:p>
    <w:p w14:paraId="1C5924BC" w14:textId="6BCB9CD4" w:rsidR="009C2582" w:rsidRPr="00166B72" w:rsidRDefault="003A0E16" w:rsidP="00166B72">
      <w:pPr>
        <w:ind w:firstLine="720"/>
        <w:contextualSpacing/>
      </w:pPr>
      <w:r w:rsidRPr="004F2C4E">
        <w:t xml:space="preserve">Plaintiffs contend the trial court erroneously excluded evidence </w:t>
      </w:r>
      <w:r w:rsidR="000B0D71">
        <w:t>and</w:t>
      </w:r>
      <w:r w:rsidRPr="004F2C4E">
        <w:t xml:space="preserve"> incorrectly </w:t>
      </w:r>
      <w:r w:rsidR="000B0D71">
        <w:t>discounted</w:t>
      </w:r>
      <w:r w:rsidR="000B0D71" w:rsidRPr="004F2C4E">
        <w:t xml:space="preserve"> </w:t>
      </w:r>
      <w:r w:rsidRPr="004F2C4E">
        <w:t xml:space="preserve">evidence </w:t>
      </w:r>
      <w:r w:rsidR="000B0D71">
        <w:t>they claim established</w:t>
      </w:r>
      <w:r w:rsidR="000B0D71" w:rsidRPr="004F2C4E">
        <w:t xml:space="preserve"> </w:t>
      </w:r>
      <w:r w:rsidRPr="004F2C4E">
        <w:t xml:space="preserve">Pacific Oaks violated </w:t>
      </w:r>
      <w:r w:rsidR="000B0D71">
        <w:t>the DSS</w:t>
      </w:r>
      <w:r w:rsidRPr="004F2C4E">
        <w:t xml:space="preserve"> license.  We find no error.</w:t>
      </w:r>
    </w:p>
    <w:p w14:paraId="5AE71F01" w14:textId="5534B638" w:rsidR="002224AD" w:rsidRPr="004F2C4E" w:rsidRDefault="003A0E16" w:rsidP="006D4A53">
      <w:pPr>
        <w:pStyle w:val="Heading30"/>
        <w:widowControl w:val="0"/>
        <w:numPr>
          <w:ilvl w:val="0"/>
          <w:numId w:val="2"/>
        </w:numPr>
        <w:ind w:hanging="720"/>
        <w:contextualSpacing/>
      </w:pPr>
      <w:r>
        <w:t>Sign-in sheets</w:t>
      </w:r>
    </w:p>
    <w:p w14:paraId="687C6317" w14:textId="379A34B6" w:rsidR="00D361A9" w:rsidRPr="004F2C4E" w:rsidRDefault="003A0E16" w:rsidP="00166B72">
      <w:pPr>
        <w:ind w:firstLine="720"/>
        <w:contextualSpacing/>
      </w:pPr>
      <w:r w:rsidRPr="004F2C4E">
        <w:t>T</w:t>
      </w:r>
      <w:r w:rsidR="00D62D3E" w:rsidRPr="004F2C4E">
        <w:t>he trial</w:t>
      </w:r>
      <w:r w:rsidR="00C24A15" w:rsidRPr="004F2C4E">
        <w:t xml:space="preserve"> court </w:t>
      </w:r>
      <w:r w:rsidR="009A08AC" w:rsidRPr="004F2C4E">
        <w:t xml:space="preserve">admitted the printed portions of </w:t>
      </w:r>
      <w:r w:rsidRPr="004F2C4E">
        <w:t xml:space="preserve">the sign-in sheets as party admissions </w:t>
      </w:r>
      <w:r w:rsidR="009A08AC" w:rsidRPr="004F2C4E">
        <w:t>“</w:t>
      </w:r>
      <w:r w:rsidRPr="004F2C4E">
        <w:t>as to the number of children expected in each program on the date specified on the sign in sheets.</w:t>
      </w:r>
      <w:r w:rsidR="009A08AC" w:rsidRPr="004F2C4E">
        <w:t xml:space="preserve">” </w:t>
      </w:r>
      <w:r w:rsidRPr="004F2C4E">
        <w:t xml:space="preserve"> </w:t>
      </w:r>
      <w:r w:rsidR="009A08AC" w:rsidRPr="004F2C4E">
        <w:t xml:space="preserve">However, the court </w:t>
      </w:r>
      <w:r w:rsidR="00740461">
        <w:t xml:space="preserve">ruled </w:t>
      </w:r>
      <w:r w:rsidR="0032324A" w:rsidRPr="004F2C4E">
        <w:t xml:space="preserve">plaintiffs </w:t>
      </w:r>
      <w:r w:rsidR="00E90091">
        <w:t>did</w:t>
      </w:r>
      <w:r w:rsidR="0032324A" w:rsidRPr="004F2C4E">
        <w:t xml:space="preserve"> not </w:t>
      </w:r>
      <w:r w:rsidR="00E90091">
        <w:t>establish</w:t>
      </w:r>
      <w:r w:rsidR="0032324A" w:rsidRPr="004F2C4E">
        <w:t xml:space="preserve"> the signatures </w:t>
      </w:r>
      <w:r w:rsidR="0097111C">
        <w:t xml:space="preserve">or handwritten times </w:t>
      </w:r>
      <w:r w:rsidR="0032324A" w:rsidRPr="004F2C4E">
        <w:t>were subject to a hearsay exception</w:t>
      </w:r>
      <w:r w:rsidR="00CD6E98" w:rsidRPr="004F2C4E">
        <w:t>, such that they could be offered to show “which children were dropped off and picked up on each day and at what time</w:t>
      </w:r>
      <w:r w:rsidR="0032324A" w:rsidRPr="004F2C4E">
        <w:t>.</w:t>
      </w:r>
      <w:r w:rsidR="003E57AC" w:rsidRPr="004F2C4E">
        <w:t>”</w:t>
      </w:r>
      <w:r w:rsidR="0032324A" w:rsidRPr="004F2C4E">
        <w:t xml:space="preserve"> </w:t>
      </w:r>
      <w:r w:rsidR="003E57AC" w:rsidRPr="004F2C4E">
        <w:t xml:space="preserve"> Plaintiffs argue on appeal that the signatures </w:t>
      </w:r>
      <w:r w:rsidR="00B60897">
        <w:t xml:space="preserve">and handwritten </w:t>
      </w:r>
      <w:r w:rsidR="00B60897">
        <w:lastRenderedPageBreak/>
        <w:t xml:space="preserve">times </w:t>
      </w:r>
      <w:r w:rsidR="003E57AC" w:rsidRPr="004F2C4E">
        <w:t>were admissible under the business records exception to the hearsay rule.</w:t>
      </w:r>
    </w:p>
    <w:p w14:paraId="7F15298A" w14:textId="04C7D652" w:rsidR="00074201" w:rsidRPr="004F2C4E" w:rsidRDefault="003A0E16" w:rsidP="00166B72">
      <w:pPr>
        <w:ind w:firstLine="720"/>
        <w:contextualSpacing/>
      </w:pPr>
      <w:r w:rsidRPr="004F2C4E">
        <w:t>“[A] trial court has broad discretion to determine whether a party has established the foundational requirements for a hearsay exception [citation] and ‘[a] ruling on the admissibility of evidence implies whatever finding of fact is prerequisite thereto.’  (Evid. Code</w:t>
      </w:r>
      <w:r w:rsidR="00FE16B0" w:rsidRPr="004F2C4E">
        <w:t>,</w:t>
      </w:r>
      <w:r w:rsidRPr="004F2C4E">
        <w:t xml:space="preserve"> § 402, subd. (c).)  We review the trial court’s conclusions regarding foundational facts for substantial evidence.  [Citation.]  We review the trial court’s ultimate ruling for an abuse of discretion [citations], reversing only if ‘ “the trial court exercised its discretion in an arbitrary, capricious, or patently absurd manner that resulted in a manifest miscarriage of justice.” ’ </w:t>
      </w:r>
      <w:r w:rsidR="005A7BB4">
        <w:t xml:space="preserve"> [Citation.]</w:t>
      </w:r>
      <w:r w:rsidRPr="004F2C4E">
        <w:t>”  (</w:t>
      </w:r>
      <w:r w:rsidRPr="004F2C4E">
        <w:rPr>
          <w:i/>
          <w:iCs/>
        </w:rPr>
        <w:t>People v</w:t>
      </w:r>
      <w:r w:rsidRPr="00094F40">
        <w:rPr>
          <w:i/>
          <w:iCs/>
        </w:rPr>
        <w:t>.</w:t>
      </w:r>
      <w:r w:rsidRPr="004F2C4E">
        <w:rPr>
          <w:i/>
          <w:iCs/>
        </w:rPr>
        <w:t xml:space="preserve"> DeHoyos</w:t>
      </w:r>
      <w:r w:rsidRPr="004F2C4E">
        <w:t xml:space="preserve"> (2013) 57 Cal.4th 79, 132; </w:t>
      </w:r>
      <w:r w:rsidRPr="004F2C4E">
        <w:rPr>
          <w:i/>
          <w:iCs/>
        </w:rPr>
        <w:t>People ex rel</w:t>
      </w:r>
      <w:r w:rsidRPr="00094F40">
        <w:rPr>
          <w:i/>
          <w:iCs/>
        </w:rPr>
        <w:t>.</w:t>
      </w:r>
      <w:r w:rsidRPr="004F2C4E">
        <w:rPr>
          <w:i/>
          <w:iCs/>
        </w:rPr>
        <w:t xml:space="preserve"> Owen v</w:t>
      </w:r>
      <w:r w:rsidRPr="00094F40">
        <w:rPr>
          <w:i/>
          <w:iCs/>
        </w:rPr>
        <w:t>.</w:t>
      </w:r>
      <w:r w:rsidRPr="004F2C4E">
        <w:rPr>
          <w:i/>
          <w:iCs/>
        </w:rPr>
        <w:t xml:space="preserve"> Media One Direc</w:t>
      </w:r>
      <w:r w:rsidRPr="00094F40">
        <w:rPr>
          <w:i/>
          <w:iCs/>
        </w:rPr>
        <w:t>t,</w:t>
      </w:r>
      <w:r w:rsidRPr="004F2C4E">
        <w:rPr>
          <w:i/>
          <w:iCs/>
        </w:rPr>
        <w:t xml:space="preserve"> LLC</w:t>
      </w:r>
      <w:r w:rsidRPr="004F2C4E">
        <w:t xml:space="preserve"> (2013) 213 Cal.App.</w:t>
      </w:r>
      <w:r w:rsidRPr="004F2C4E">
        <w:t>4th 1480, 148</w:t>
      </w:r>
      <w:r w:rsidR="00AE7DA2" w:rsidRPr="004F2C4E">
        <w:t>3–1484</w:t>
      </w:r>
      <w:r w:rsidRPr="004F2C4E">
        <w:t>.)</w:t>
      </w:r>
    </w:p>
    <w:p w14:paraId="358A3D59" w14:textId="4EB832E3" w:rsidR="005F5C83" w:rsidRPr="004F2C4E" w:rsidRDefault="003A0E16" w:rsidP="00166B72">
      <w:pPr>
        <w:ind w:firstLine="720"/>
        <w:contextualSpacing/>
      </w:pPr>
      <w:r w:rsidRPr="004F2C4E">
        <w:t xml:space="preserve">The </w:t>
      </w:r>
      <w:r w:rsidR="00743752">
        <w:t>sign-in sheets</w:t>
      </w:r>
      <w:r w:rsidRPr="004F2C4E">
        <w:t xml:space="preserve"> contained multiple hearsay statements.  To introduce the </w:t>
      </w:r>
      <w:r w:rsidR="00334B92">
        <w:t>sign-in sheets</w:t>
      </w:r>
      <w:r w:rsidR="00334B92" w:rsidRPr="004F2C4E">
        <w:t xml:space="preserve"> </w:t>
      </w:r>
      <w:r w:rsidRPr="004F2C4E">
        <w:t>for the truth of the matter</w:t>
      </w:r>
      <w:r w:rsidR="00E90091">
        <w:t xml:space="preserve"> asserted</w:t>
      </w:r>
      <w:r w:rsidRPr="004F2C4E">
        <w:t xml:space="preserve">—the specific times </w:t>
      </w:r>
      <w:r w:rsidR="00E90091">
        <w:t xml:space="preserve">and </w:t>
      </w:r>
      <w:r w:rsidRPr="004F2C4E">
        <w:t xml:space="preserve">specific days children were signed in and signed out of </w:t>
      </w:r>
      <w:r w:rsidR="00334B92">
        <w:t>Pacific Oaks</w:t>
      </w:r>
      <w:r w:rsidRPr="004F2C4E">
        <w:t xml:space="preserve">—plaintiffs were required to show that the </w:t>
      </w:r>
      <w:r w:rsidR="00C02ED4">
        <w:t>sheets</w:t>
      </w:r>
      <w:r w:rsidRPr="004F2C4E">
        <w:t xml:space="preserve"> </w:t>
      </w:r>
      <w:r w:rsidR="002A2CF9" w:rsidRPr="004F2C4E">
        <w:t xml:space="preserve">themselves, </w:t>
      </w:r>
      <w:r w:rsidR="002B6A0E" w:rsidRPr="004F2C4E">
        <w:t xml:space="preserve">and the sign-in and sign-out times </w:t>
      </w:r>
      <w:r w:rsidR="00B60897">
        <w:t xml:space="preserve">and signatures </w:t>
      </w:r>
      <w:r w:rsidR="002B6A0E" w:rsidRPr="004F2C4E">
        <w:t>written by parents and caregivers</w:t>
      </w:r>
      <w:r w:rsidR="002A2CF9" w:rsidRPr="004F2C4E">
        <w:t xml:space="preserve">, </w:t>
      </w:r>
      <w:r w:rsidRPr="004F2C4E">
        <w:t xml:space="preserve">were </w:t>
      </w:r>
      <w:r w:rsidR="002A2CF9" w:rsidRPr="004F2C4E">
        <w:t xml:space="preserve">each </w:t>
      </w:r>
      <w:r w:rsidRPr="004F2C4E">
        <w:t xml:space="preserve">subject to a </w:t>
      </w:r>
      <w:r w:rsidRPr="004F2C4E">
        <w:t>hearsay exception.  (</w:t>
      </w:r>
      <w:r w:rsidRPr="004F2C4E">
        <w:rPr>
          <w:i/>
          <w:iCs/>
        </w:rPr>
        <w:t>Caliber Paving Co</w:t>
      </w:r>
      <w:r w:rsidR="00512D04" w:rsidRPr="00094F40">
        <w:rPr>
          <w:i/>
          <w:iCs/>
        </w:rPr>
        <w:t>.</w:t>
      </w:r>
      <w:r w:rsidRPr="00094F40">
        <w:rPr>
          <w:i/>
          <w:iCs/>
        </w:rPr>
        <w:t>, Inc. v.</w:t>
      </w:r>
      <w:r w:rsidRPr="004F2C4E">
        <w:rPr>
          <w:i/>
          <w:iCs/>
        </w:rPr>
        <w:t xml:space="preserve"> Rexford Industrial Realty </w:t>
      </w:r>
      <w:r w:rsidR="00202529">
        <w:rPr>
          <w:i/>
          <w:iCs/>
        </w:rPr>
        <w:t>&amp;</w:t>
      </w:r>
      <w:r w:rsidR="00202529" w:rsidRPr="004F2C4E">
        <w:rPr>
          <w:i/>
          <w:iCs/>
        </w:rPr>
        <w:t xml:space="preserve"> </w:t>
      </w:r>
      <w:r w:rsidRPr="004F2C4E">
        <w:rPr>
          <w:i/>
          <w:iCs/>
        </w:rPr>
        <w:t>Management</w:t>
      </w:r>
      <w:r w:rsidRPr="00094F40">
        <w:rPr>
          <w:i/>
          <w:iCs/>
        </w:rPr>
        <w:t>, Inc.</w:t>
      </w:r>
      <w:r w:rsidRPr="00A83B1F">
        <w:t xml:space="preserve"> </w:t>
      </w:r>
      <w:r w:rsidRPr="004F2C4E">
        <w:t xml:space="preserve">(2020) 54 Cal.App.5th 175, 189 [double hearsay statement admissible </w:t>
      </w:r>
      <w:r w:rsidR="00A33C33">
        <w:t xml:space="preserve">only </w:t>
      </w:r>
      <w:r w:rsidRPr="004F2C4E">
        <w:t>if each level of hearsay comes within an exception to hearsay rule].)</w:t>
      </w:r>
      <w:r w:rsidR="00C76D1A" w:rsidRPr="00C76D1A">
        <w:t xml:space="preserve"> </w:t>
      </w:r>
      <w:r w:rsidR="00C76D1A">
        <w:t xml:space="preserve"> </w:t>
      </w:r>
      <w:r w:rsidR="00C76D1A" w:rsidRPr="004F2C4E">
        <w:t xml:space="preserve">Plaintiffs contend </w:t>
      </w:r>
      <w:r w:rsidR="00C76D1A">
        <w:t>the handwritten portions of the sign-in sheets were</w:t>
      </w:r>
      <w:r w:rsidR="00C76D1A" w:rsidRPr="004F2C4E">
        <w:t xml:space="preserve"> admissible under the business records exception.  </w:t>
      </w:r>
      <w:r w:rsidR="00C76D1A">
        <w:rPr>
          <w:rFonts w:eastAsia="Calibri"/>
          <w:kern w:val="2"/>
          <w:szCs w:val="22"/>
          <w14:ligatures w14:val="standardContextual"/>
        </w:rPr>
        <w:t>We disagree.</w:t>
      </w:r>
    </w:p>
    <w:p w14:paraId="500FEADE" w14:textId="1997977F" w:rsidR="00E76689" w:rsidRDefault="003A0E16" w:rsidP="00C76D1A">
      <w:pPr>
        <w:ind w:firstLine="720"/>
        <w:contextualSpacing/>
      </w:pPr>
      <w:r w:rsidRPr="004F2C4E">
        <w:rPr>
          <w:rFonts w:eastAsia="Calibri"/>
          <w:kern w:val="2"/>
          <w:szCs w:val="22"/>
          <w14:ligatures w14:val="standardContextual"/>
        </w:rPr>
        <w:t>Evidence Code section 1271 exempts</w:t>
      </w:r>
      <w:r w:rsidR="00676EB1" w:rsidRPr="004F2C4E">
        <w:rPr>
          <w:rFonts w:eastAsia="Calibri"/>
          <w:kern w:val="2"/>
          <w:szCs w:val="22"/>
          <w14:ligatures w14:val="standardContextual"/>
        </w:rPr>
        <w:t xml:space="preserve"> writings</w:t>
      </w:r>
      <w:r w:rsidRPr="004F2C4E">
        <w:rPr>
          <w:rFonts w:eastAsia="Calibri"/>
          <w:kern w:val="2"/>
          <w:szCs w:val="22"/>
          <w14:ligatures w14:val="standardContextual"/>
        </w:rPr>
        <w:t xml:space="preserve"> from the hearsay rule if</w:t>
      </w:r>
      <w:r w:rsidR="0099789E">
        <w:rPr>
          <w:rFonts w:eastAsia="Calibri"/>
          <w:kern w:val="2"/>
          <w:szCs w:val="22"/>
          <w14:ligatures w14:val="standardContextual"/>
        </w:rPr>
        <w:t xml:space="preserve">, among other things, </w:t>
      </w:r>
      <w:r w:rsidRPr="004F2C4E">
        <w:rPr>
          <w:rFonts w:eastAsia="Calibri"/>
          <w:kern w:val="2"/>
          <w:szCs w:val="22"/>
          <w14:ligatures w14:val="standardContextual"/>
        </w:rPr>
        <w:t>“</w:t>
      </w:r>
      <w:r w:rsidR="00244D72">
        <w:rPr>
          <w:rFonts w:eastAsia="Calibri"/>
          <w:kern w:val="2"/>
          <w:szCs w:val="22"/>
          <w14:ligatures w14:val="standardContextual"/>
        </w:rPr>
        <w:t>[t]</w:t>
      </w:r>
      <w:r w:rsidRPr="004F2C4E">
        <w:rPr>
          <w:rFonts w:eastAsia="Calibri"/>
          <w:kern w:val="2"/>
          <w:szCs w:val="22"/>
          <w14:ligatures w14:val="standardContextual"/>
        </w:rPr>
        <w:t xml:space="preserve">he writing was made in </w:t>
      </w:r>
      <w:r w:rsidRPr="004F2C4E">
        <w:rPr>
          <w:rFonts w:eastAsia="Calibri"/>
          <w:kern w:val="2"/>
          <w:szCs w:val="22"/>
          <w14:ligatures w14:val="standardContextual"/>
        </w:rPr>
        <w:lastRenderedPageBreak/>
        <w:t>the regular course of a business</w:t>
      </w:r>
      <w:r w:rsidR="00E803EE">
        <w:rPr>
          <w:rFonts w:eastAsia="Calibri"/>
          <w:kern w:val="2"/>
          <w:szCs w:val="22"/>
          <w14:ligatures w14:val="standardContextual"/>
        </w:rPr>
        <w:t>” and “[t]</w:t>
      </w:r>
      <w:r w:rsidRPr="004F2C4E">
        <w:rPr>
          <w:rFonts w:eastAsia="Calibri"/>
          <w:kern w:val="2"/>
          <w:szCs w:val="22"/>
          <w14:ligatures w14:val="standardContextual"/>
        </w:rPr>
        <w:t xml:space="preserve">he sources of information and method and time of preparation were such to indicate its trustworthiness.”  </w:t>
      </w:r>
      <w:r w:rsidR="00E803EE">
        <w:rPr>
          <w:rFonts w:eastAsia="Calibri"/>
          <w:kern w:val="2"/>
          <w:szCs w:val="22"/>
          <w14:ligatures w14:val="standardContextual"/>
        </w:rPr>
        <w:t>(</w:t>
      </w:r>
      <w:r w:rsidR="00E825E2" w:rsidRPr="00E825E2">
        <w:rPr>
          <w:rFonts w:eastAsia="Calibri"/>
          <w:i/>
          <w:iCs/>
          <w:kern w:val="2"/>
          <w:szCs w:val="22"/>
          <w14:ligatures w14:val="standardContextual"/>
        </w:rPr>
        <w:t>Id.</w:t>
      </w:r>
      <w:r w:rsidR="00E803EE">
        <w:rPr>
          <w:rFonts w:eastAsia="Calibri"/>
          <w:kern w:val="2"/>
          <w:szCs w:val="22"/>
          <w14:ligatures w14:val="standardContextual"/>
        </w:rPr>
        <w:t>, subds. (a), (d).)</w:t>
      </w:r>
      <w:r w:rsidRPr="004F2C4E">
        <w:rPr>
          <w:rFonts w:eastAsia="Calibri"/>
          <w:kern w:val="2"/>
          <w:szCs w:val="22"/>
          <w14:ligatures w14:val="standardContextual"/>
        </w:rPr>
        <w:t xml:space="preserve"> </w:t>
      </w:r>
      <w:r w:rsidR="00C02ED4">
        <w:rPr>
          <w:rFonts w:eastAsia="Calibri"/>
          <w:kern w:val="2"/>
          <w:szCs w:val="22"/>
          <w14:ligatures w14:val="standardContextual"/>
        </w:rPr>
        <w:t xml:space="preserve"> </w:t>
      </w:r>
      <w:r w:rsidRPr="004F2C4E">
        <w:t xml:space="preserve">“ ‘The chief foundation of the special reliability of business records is the requirement that they </w:t>
      </w:r>
      <w:r w:rsidRPr="004F2C4E">
        <w:t>must be based upon the first-hand observation of someone whose job it is to know the facts recorded.</w:t>
      </w:r>
      <w:r w:rsidR="008517AF">
        <w:t> . . .</w:t>
      </w:r>
      <w:r w:rsidRPr="004F2C4E">
        <w:t xml:space="preserve">  But if the evidence in the particular case discloses that the record was not based upon the report of an informant having the business duty to observe and report, then the record is not admissible under this exception, to show the truth of the matter reported to the recorder.’ ”  (</w:t>
      </w:r>
      <w:r w:rsidRPr="004F2C4E">
        <w:rPr>
          <w:i/>
          <w:iCs/>
        </w:rPr>
        <w:t>MacLean v</w:t>
      </w:r>
      <w:r w:rsidRPr="00A43659">
        <w:rPr>
          <w:i/>
          <w:iCs/>
        </w:rPr>
        <w:t>.</w:t>
      </w:r>
      <w:r w:rsidRPr="004F2C4E">
        <w:rPr>
          <w:i/>
          <w:iCs/>
        </w:rPr>
        <w:t xml:space="preserve"> City </w:t>
      </w:r>
      <w:r w:rsidR="00FB16F1">
        <w:rPr>
          <w:i/>
          <w:iCs/>
        </w:rPr>
        <w:t>&amp;</w:t>
      </w:r>
      <w:r w:rsidR="00FB16F1" w:rsidRPr="004F2C4E">
        <w:rPr>
          <w:i/>
          <w:iCs/>
        </w:rPr>
        <w:t xml:space="preserve"> </w:t>
      </w:r>
      <w:r w:rsidRPr="004F2C4E">
        <w:rPr>
          <w:i/>
          <w:iCs/>
        </w:rPr>
        <w:t>County of San Francisco</w:t>
      </w:r>
      <w:r w:rsidRPr="004F2C4E">
        <w:t xml:space="preserve"> (1957) 151 Cal.App.2d 133, 143, quoting McCormick on Evidence, p. 602, §</w:t>
      </w:r>
      <w:r w:rsidR="000C61D9">
        <w:t> </w:t>
      </w:r>
      <w:r w:rsidRPr="004F2C4E">
        <w:t>286.)</w:t>
      </w:r>
    </w:p>
    <w:p w14:paraId="5051F13F" w14:textId="6DFDE52C" w:rsidR="00A611DD" w:rsidRPr="004F2C4E" w:rsidRDefault="003A0E16" w:rsidP="00C76D1A">
      <w:pPr>
        <w:ind w:firstLine="720"/>
        <w:contextualSpacing/>
      </w:pPr>
      <w:r w:rsidRPr="004F2C4E">
        <w:t>“ ‘Applying this standard, the cases have rejected a variety of business records on the ground that they were not based on the personal knowledge of the recorder or of someone with a business duty to report to the recorder.’ ”  (</w:t>
      </w:r>
      <w:r w:rsidRPr="004F2C4E">
        <w:rPr>
          <w:i/>
          <w:iCs/>
        </w:rPr>
        <w:t>Zanone v</w:t>
      </w:r>
      <w:r w:rsidRPr="00A43659">
        <w:rPr>
          <w:i/>
          <w:iCs/>
        </w:rPr>
        <w:t>.</w:t>
      </w:r>
      <w:r w:rsidRPr="004F2C4E">
        <w:rPr>
          <w:i/>
          <w:iCs/>
        </w:rPr>
        <w:t xml:space="preserve"> City of Whittier</w:t>
      </w:r>
      <w:r w:rsidRPr="004F2C4E">
        <w:t xml:space="preserve"> (2008) 162 Cal.App.4th 174, 191 (</w:t>
      </w:r>
      <w:r w:rsidRPr="004F2C4E">
        <w:rPr>
          <w:i/>
          <w:iCs/>
        </w:rPr>
        <w:t>Zanone</w:t>
      </w:r>
      <w:r w:rsidRPr="004F2C4E">
        <w:t xml:space="preserve">), quoting Cal. Law Revision Com. </w:t>
      </w:r>
      <w:r w:rsidR="00AC5B2A" w:rsidRPr="004F2C4E">
        <w:t>c</w:t>
      </w:r>
      <w:r w:rsidRPr="004F2C4E">
        <w:t>om.,</w:t>
      </w:r>
      <w:r w:rsidR="00AC5B2A" w:rsidRPr="004F2C4E">
        <w:t xml:space="preserve"> 29B pt. 4</w:t>
      </w:r>
      <w:r w:rsidR="00E67F4B" w:rsidRPr="004F2C4E">
        <w:t>,</w:t>
      </w:r>
      <w:r w:rsidRPr="004F2C4E">
        <w:t xml:space="preserve"> </w:t>
      </w:r>
      <w:r w:rsidR="00440E53">
        <w:t xml:space="preserve">West’s Ann. </w:t>
      </w:r>
      <w:r w:rsidRPr="004F2C4E">
        <w:t>Evid. Code</w:t>
      </w:r>
      <w:r w:rsidR="00440E53">
        <w:t xml:space="preserve"> (</w:t>
      </w:r>
      <w:r w:rsidR="00350331">
        <w:t>1995 ed.) foll.</w:t>
      </w:r>
      <w:r w:rsidRPr="004F2C4E">
        <w:t xml:space="preserve"> § 1271.)  “</w:t>
      </w:r>
      <w:r w:rsidR="00545830">
        <w:t>T</w:t>
      </w:r>
      <w:r w:rsidRPr="004F2C4E">
        <w:t>o qualify as a business . . . record, a document must be created by an employee of the business . . . .”  (</w:t>
      </w:r>
      <w:r w:rsidRPr="004F2C4E">
        <w:rPr>
          <w:i/>
          <w:iCs/>
        </w:rPr>
        <w:t>People v</w:t>
      </w:r>
      <w:r w:rsidRPr="00A43659">
        <w:rPr>
          <w:i/>
          <w:iCs/>
        </w:rPr>
        <w:t>.</w:t>
      </w:r>
      <w:r w:rsidRPr="004F2C4E">
        <w:rPr>
          <w:i/>
          <w:iCs/>
        </w:rPr>
        <w:t xml:space="preserve"> Campos</w:t>
      </w:r>
      <w:r w:rsidRPr="004F2C4E">
        <w:t xml:space="preserve"> (1995) 32 Cal.App.4th 304, 309.)</w:t>
      </w:r>
    </w:p>
    <w:p w14:paraId="62D44C48" w14:textId="7AC1E6E8" w:rsidR="00095160" w:rsidRPr="00D75429" w:rsidRDefault="003A0E16" w:rsidP="00166B72">
      <w:pPr>
        <w:ind w:firstLine="720"/>
        <w:contextualSpacing/>
      </w:pPr>
      <w:r w:rsidRPr="004F2C4E">
        <w:t>Here,</w:t>
      </w:r>
      <w:r w:rsidR="00E8013B" w:rsidRPr="004F2C4E">
        <w:t xml:space="preserve"> parents or caregivers of each child signed the sheets and identified the times their children were signed into and out of </w:t>
      </w:r>
      <w:r w:rsidR="00C02ED4">
        <w:t>Pacific Oaks</w:t>
      </w:r>
      <w:r w:rsidR="00C02ED4" w:rsidRPr="004F2C4E">
        <w:t xml:space="preserve">’s </w:t>
      </w:r>
      <w:r w:rsidR="00E8013B" w:rsidRPr="004F2C4E">
        <w:t>care.  The</w:t>
      </w:r>
      <w:r w:rsidR="00D21E16">
        <w:t>re was no evidence the parents</w:t>
      </w:r>
      <w:r w:rsidR="00E8013B" w:rsidRPr="004F2C4E">
        <w:t xml:space="preserve"> </w:t>
      </w:r>
      <w:r w:rsidR="00D21E16">
        <w:t xml:space="preserve">and caregivers </w:t>
      </w:r>
      <w:r w:rsidRPr="004F2C4E">
        <w:t xml:space="preserve">were acting in the course of </w:t>
      </w:r>
      <w:r w:rsidR="007C0E6C" w:rsidRPr="004F2C4E">
        <w:t>Pacific Oaks’s</w:t>
      </w:r>
      <w:r w:rsidR="00851709" w:rsidRPr="004F2C4E">
        <w:t xml:space="preserve"> </w:t>
      </w:r>
      <w:r w:rsidRPr="004F2C4E">
        <w:t>business</w:t>
      </w:r>
      <w:r w:rsidR="00D21E16">
        <w:t>,</w:t>
      </w:r>
      <w:r w:rsidR="00851709" w:rsidRPr="004F2C4E">
        <w:t xml:space="preserve"> or their </w:t>
      </w:r>
      <w:r w:rsidR="009415A4" w:rsidRPr="004F2C4E">
        <w:t>own</w:t>
      </w:r>
      <w:r w:rsidR="00D21E16">
        <w:t>,</w:t>
      </w:r>
      <w:r w:rsidR="009415A4" w:rsidRPr="004F2C4E">
        <w:t xml:space="preserve"> and</w:t>
      </w:r>
      <w:r w:rsidRPr="004F2C4E">
        <w:t xml:space="preserve"> </w:t>
      </w:r>
      <w:r w:rsidR="004C2DE9">
        <w:t xml:space="preserve">they </w:t>
      </w:r>
      <w:r w:rsidRPr="004F2C4E">
        <w:t xml:space="preserve">had no business duty to accurately </w:t>
      </w:r>
      <w:r w:rsidR="009415A4" w:rsidRPr="004F2C4E">
        <w:t xml:space="preserve">observe and </w:t>
      </w:r>
      <w:r w:rsidRPr="004F2C4E">
        <w:t xml:space="preserve">report their children’s arrival and departure times to </w:t>
      </w:r>
      <w:r w:rsidR="00565B96" w:rsidRPr="004F2C4E">
        <w:t>Pacific Oaks</w:t>
      </w:r>
      <w:r w:rsidRPr="004F2C4E">
        <w:t>.  (</w:t>
      </w:r>
      <w:r w:rsidR="00C3251F" w:rsidRPr="004F2C4E">
        <w:rPr>
          <w:rFonts w:eastAsia="Calibri"/>
          <w:i/>
          <w:iCs/>
        </w:rPr>
        <w:t xml:space="preserve">People </w:t>
      </w:r>
      <w:r w:rsidR="00C3251F" w:rsidRPr="00A43659">
        <w:rPr>
          <w:rFonts w:eastAsia="Calibri"/>
          <w:i/>
          <w:iCs/>
        </w:rPr>
        <w:t>v.</w:t>
      </w:r>
      <w:r w:rsidR="00C3251F" w:rsidRPr="004F2C4E">
        <w:rPr>
          <w:rFonts w:eastAsia="Calibri"/>
          <w:i/>
          <w:iCs/>
        </w:rPr>
        <w:t xml:space="preserve"> McDaniel</w:t>
      </w:r>
      <w:r w:rsidR="00C3251F" w:rsidRPr="004F2C4E">
        <w:rPr>
          <w:rFonts w:eastAsia="Calibri"/>
        </w:rPr>
        <w:t xml:space="preserve"> (2019) 38 Cal.App.5th 986, 1002</w:t>
      </w:r>
      <w:r w:rsidRPr="004F2C4E">
        <w:t xml:space="preserve">; </w:t>
      </w:r>
      <w:r w:rsidR="00864A8A" w:rsidRPr="004F2C4E">
        <w:rPr>
          <w:i/>
          <w:iCs/>
        </w:rPr>
        <w:t>Zanone</w:t>
      </w:r>
      <w:r w:rsidR="00864A8A" w:rsidRPr="004F2C4E">
        <w:t>,</w:t>
      </w:r>
      <w:r w:rsidR="00864A8A" w:rsidRPr="004F2C4E">
        <w:rPr>
          <w:i/>
          <w:iCs/>
        </w:rPr>
        <w:t xml:space="preserve"> supra</w:t>
      </w:r>
      <w:r w:rsidR="00864A8A" w:rsidRPr="004F2C4E">
        <w:t>, 162 Cal.App.4th at pp. 191</w:t>
      </w:r>
      <w:r w:rsidR="00A83B1F">
        <w:t>–</w:t>
      </w:r>
      <w:r w:rsidR="00864A8A" w:rsidRPr="004F2C4E">
        <w:t>192</w:t>
      </w:r>
      <w:r w:rsidR="00541157" w:rsidRPr="004F2C4E">
        <w:t xml:space="preserve">.) </w:t>
      </w:r>
      <w:r w:rsidR="003457AC" w:rsidRPr="004F2C4E">
        <w:t xml:space="preserve"> </w:t>
      </w:r>
      <w:r w:rsidR="00100A3F" w:rsidRPr="004F2C4E">
        <w:t xml:space="preserve">The </w:t>
      </w:r>
      <w:r w:rsidR="009F3520" w:rsidRPr="004F2C4E">
        <w:t xml:space="preserve">times noted </w:t>
      </w:r>
      <w:r w:rsidR="009F3520" w:rsidRPr="004F2C4E">
        <w:lastRenderedPageBreak/>
        <w:t xml:space="preserve">on the records </w:t>
      </w:r>
      <w:r w:rsidR="00100A3F" w:rsidRPr="004F2C4E">
        <w:t xml:space="preserve">were not based on the observations of </w:t>
      </w:r>
      <w:r w:rsidR="00837D52" w:rsidRPr="004F2C4E">
        <w:t>people</w:t>
      </w:r>
      <w:r w:rsidR="00100A3F" w:rsidRPr="004F2C4E">
        <w:t xml:space="preserve"> “whose job it </w:t>
      </w:r>
      <w:r w:rsidR="00837D52" w:rsidRPr="004F2C4E">
        <w:t>[was]</w:t>
      </w:r>
      <w:r w:rsidR="00100A3F" w:rsidRPr="004F2C4E">
        <w:t xml:space="preserve"> to know the facts recorded.”  </w:t>
      </w:r>
      <w:r w:rsidR="00C76D1A">
        <w:t>(</w:t>
      </w:r>
      <w:r w:rsidR="002D4B02" w:rsidRPr="004F2C4E">
        <w:rPr>
          <w:i/>
          <w:iCs/>
        </w:rPr>
        <w:t>Taylor v</w:t>
      </w:r>
      <w:r w:rsidR="002D4B02" w:rsidRPr="00A43659">
        <w:rPr>
          <w:i/>
          <w:iCs/>
        </w:rPr>
        <w:t>.</w:t>
      </w:r>
      <w:r w:rsidR="002D4B02" w:rsidRPr="004F2C4E">
        <w:rPr>
          <w:i/>
          <w:iCs/>
        </w:rPr>
        <w:t xml:space="preserve"> Centennial Bowl</w:t>
      </w:r>
      <w:r w:rsidR="002D4B02" w:rsidRPr="00A43659">
        <w:rPr>
          <w:i/>
          <w:iCs/>
        </w:rPr>
        <w:t>, Inc.</w:t>
      </w:r>
      <w:r w:rsidR="002D4B02" w:rsidRPr="004F2C4E">
        <w:t xml:space="preserve"> (1966) 65 Cal.2d 114, 126</w:t>
      </w:r>
      <w:r w:rsidR="00A61356">
        <w:t>.)</w:t>
      </w:r>
      <w:r w:rsidR="002D4B02" w:rsidRPr="004F2C4E">
        <w:t xml:space="preserve">  </w:t>
      </w:r>
      <w:r w:rsidR="0041346E" w:rsidRPr="004F2C4E">
        <w:t xml:space="preserve">The trial court did not abuse its discretion by finding the </w:t>
      </w:r>
      <w:r w:rsidR="00D65B56" w:rsidRPr="004F2C4E">
        <w:t xml:space="preserve">handwritten portions of the </w:t>
      </w:r>
      <w:r w:rsidR="004C2DE9">
        <w:t>sign-in sheets</w:t>
      </w:r>
      <w:r w:rsidR="0041346E" w:rsidRPr="004F2C4E">
        <w:t xml:space="preserve"> did not qualify </w:t>
      </w:r>
      <w:r w:rsidR="0041346E" w:rsidRPr="00D75429">
        <w:t>under the business records exception to the hearsay rule</w:t>
      </w:r>
      <w:r w:rsidR="00EA44E6" w:rsidRPr="00D75429">
        <w:t>.</w:t>
      </w:r>
    </w:p>
    <w:p w14:paraId="73CE7335" w14:textId="417C8C25" w:rsidR="00AB6896" w:rsidRPr="00166B72" w:rsidRDefault="003A0E16" w:rsidP="006D4A53">
      <w:pPr>
        <w:pStyle w:val="Heading30"/>
        <w:widowControl w:val="0"/>
        <w:contextualSpacing/>
        <w:rPr>
          <w:b w:val="0"/>
          <w:highlight w:val="yellow"/>
        </w:rPr>
      </w:pPr>
      <w:r>
        <w:t>B.</w:t>
      </w:r>
      <w:r>
        <w:tab/>
        <w:t>S</w:t>
      </w:r>
      <w:r w:rsidR="00531AD8" w:rsidRPr="00A32A07">
        <w:t>henoi</w:t>
      </w:r>
      <w:r w:rsidR="00531AD8" w:rsidRPr="00D75429">
        <w:t xml:space="preserve"> Declaration and summaries</w:t>
      </w:r>
    </w:p>
    <w:p w14:paraId="532C7346" w14:textId="1C33128C" w:rsidR="00AB6896" w:rsidRPr="007151C0" w:rsidRDefault="003A0E16" w:rsidP="00B71C1F">
      <w:pPr>
        <w:ind w:firstLine="720"/>
        <w:contextualSpacing/>
        <w:rPr>
          <w:rFonts w:eastAsia="Calibri"/>
        </w:rPr>
      </w:pPr>
      <w:r w:rsidRPr="007151C0">
        <w:rPr>
          <w:rFonts w:eastAsia="Calibri"/>
        </w:rPr>
        <w:t xml:space="preserve">Plaintiffs also contend the trial court erred </w:t>
      </w:r>
      <w:r w:rsidR="00545830">
        <w:rPr>
          <w:rFonts w:eastAsia="Calibri"/>
        </w:rPr>
        <w:t>in</w:t>
      </w:r>
      <w:r w:rsidRPr="007151C0">
        <w:rPr>
          <w:rFonts w:eastAsia="Calibri"/>
        </w:rPr>
        <w:t xml:space="preserve"> exclud</w:t>
      </w:r>
      <w:r w:rsidR="00545830">
        <w:rPr>
          <w:rFonts w:eastAsia="Calibri"/>
        </w:rPr>
        <w:t>ing</w:t>
      </w:r>
      <w:r w:rsidRPr="007151C0">
        <w:rPr>
          <w:rFonts w:eastAsia="Calibri"/>
        </w:rPr>
        <w:t xml:space="preserve"> the </w:t>
      </w:r>
      <w:r w:rsidR="00692D53">
        <w:rPr>
          <w:rFonts w:eastAsia="Calibri"/>
        </w:rPr>
        <w:t xml:space="preserve">exhibits attached to the </w:t>
      </w:r>
      <w:r w:rsidRPr="007151C0">
        <w:rPr>
          <w:rFonts w:eastAsia="Calibri"/>
        </w:rPr>
        <w:t xml:space="preserve">declaration of </w:t>
      </w:r>
      <w:r w:rsidR="00606FDD">
        <w:rPr>
          <w:rFonts w:eastAsia="Calibri"/>
        </w:rPr>
        <w:t>p</w:t>
      </w:r>
      <w:r w:rsidRPr="007151C0">
        <w:rPr>
          <w:rFonts w:eastAsia="Calibri"/>
        </w:rPr>
        <w:t xml:space="preserve">laintiffs’ counsel (the Shenoi Declaration) that plaintiffs submitted with their closing brief.  In his declaration, Shenoi explained that plaintiffs had compiled Pacific Oaks’s 6,510 sign-in sheets into summaries.  The summaries are two sets of charts attached as exhibits to the declaration.  The charts in </w:t>
      </w:r>
      <w:r w:rsidR="0037101E">
        <w:rPr>
          <w:rFonts w:eastAsia="Calibri"/>
        </w:rPr>
        <w:t>e</w:t>
      </w:r>
      <w:r w:rsidR="0037101E" w:rsidRPr="007151C0">
        <w:rPr>
          <w:rFonts w:eastAsia="Calibri"/>
        </w:rPr>
        <w:t xml:space="preserve">xhibit </w:t>
      </w:r>
      <w:r w:rsidRPr="007151C0">
        <w:rPr>
          <w:rFonts w:eastAsia="Calibri"/>
        </w:rPr>
        <w:t xml:space="preserve">A tally the number of students enrolled in each program on days during the class period for which attendance records were provided.  The </w:t>
      </w:r>
      <w:r w:rsidRPr="007151C0">
        <w:rPr>
          <w:rFonts w:eastAsia="Calibri"/>
        </w:rPr>
        <w:t xml:space="preserve">count is based on the printed names on each sign-in sheet.  The charts in </w:t>
      </w:r>
      <w:r w:rsidR="0037101E">
        <w:rPr>
          <w:rFonts w:eastAsia="Calibri"/>
        </w:rPr>
        <w:t>e</w:t>
      </w:r>
      <w:r w:rsidRPr="007151C0">
        <w:rPr>
          <w:rFonts w:eastAsia="Calibri"/>
        </w:rPr>
        <w:t>xhibit B tally the number of students in actual attendance “based on drop-off signatures on each sign-in sheet.”</w:t>
      </w:r>
    </w:p>
    <w:p w14:paraId="6B4F1FEA" w14:textId="5787866E" w:rsidR="00AB6896" w:rsidRPr="007151C0" w:rsidRDefault="003A0E16" w:rsidP="00166B72">
      <w:pPr>
        <w:ind w:firstLine="720"/>
        <w:contextualSpacing/>
        <w:rPr>
          <w:rFonts w:eastAsia="Calibri"/>
        </w:rPr>
      </w:pPr>
      <w:bookmarkStart w:id="3" w:name="_Hlk151971027"/>
      <w:r w:rsidRPr="007151C0">
        <w:rPr>
          <w:rFonts w:eastAsia="Calibri"/>
        </w:rPr>
        <w:t xml:space="preserve">Shenoi </w:t>
      </w:r>
      <w:r w:rsidR="007A5266">
        <w:rPr>
          <w:rFonts w:eastAsia="Calibri"/>
        </w:rPr>
        <w:t>declared</w:t>
      </w:r>
      <w:r w:rsidRPr="007151C0">
        <w:rPr>
          <w:rFonts w:eastAsia="Calibri"/>
        </w:rPr>
        <w:t xml:space="preserve"> that he “oversaw the preparation” of the summaries.  He explained that</w:t>
      </w:r>
      <w:r w:rsidR="004A6229">
        <w:rPr>
          <w:rFonts w:eastAsia="Calibri"/>
        </w:rPr>
        <w:t>, first,</w:t>
      </w:r>
      <w:r w:rsidRPr="007151C0">
        <w:rPr>
          <w:rFonts w:eastAsia="Calibri"/>
        </w:rPr>
        <w:t xml:space="preserve"> </w:t>
      </w:r>
      <w:r w:rsidR="001B7E27">
        <w:rPr>
          <w:rFonts w:eastAsia="Calibri"/>
        </w:rPr>
        <w:t>“</w:t>
      </w:r>
      <w:r w:rsidR="00946034">
        <w:rPr>
          <w:rFonts w:eastAsia="Calibri"/>
        </w:rPr>
        <w:t>[</w:t>
      </w:r>
      <w:r w:rsidR="001B7E27">
        <w:rPr>
          <w:rFonts w:eastAsia="Calibri"/>
        </w:rPr>
        <w:t>d</w:t>
      </w:r>
      <w:r w:rsidR="00946034">
        <w:rPr>
          <w:rFonts w:eastAsia="Calibri"/>
        </w:rPr>
        <w:t>]</w:t>
      </w:r>
      <w:r w:rsidR="001B7E27">
        <w:rPr>
          <w:rFonts w:eastAsia="Calibri"/>
        </w:rPr>
        <w:t>ata entry was performed</w:t>
      </w:r>
      <w:r w:rsidR="004A7523">
        <w:rPr>
          <w:rFonts w:eastAsia="Calibri"/>
        </w:rPr>
        <w:t>”</w:t>
      </w:r>
      <w:r w:rsidR="001B7E27">
        <w:rPr>
          <w:rFonts w:eastAsia="Calibri"/>
        </w:rPr>
        <w:t xml:space="preserve"> on the sign-in sheets.  </w:t>
      </w:r>
      <w:r w:rsidR="00921149">
        <w:rPr>
          <w:rFonts w:eastAsia="Calibri"/>
        </w:rPr>
        <w:t>S</w:t>
      </w:r>
      <w:r w:rsidRPr="007151C0">
        <w:rPr>
          <w:rFonts w:eastAsia="Calibri"/>
        </w:rPr>
        <w:t xml:space="preserve">ign-in </w:t>
      </w:r>
      <w:r w:rsidR="007A5266">
        <w:rPr>
          <w:rFonts w:eastAsia="Calibri"/>
        </w:rPr>
        <w:t>sheets</w:t>
      </w:r>
      <w:r w:rsidR="001B7E27">
        <w:rPr>
          <w:rFonts w:eastAsia="Calibri"/>
        </w:rPr>
        <w:t xml:space="preserve"> </w:t>
      </w:r>
      <w:r w:rsidRPr="007151C0">
        <w:rPr>
          <w:rFonts w:eastAsia="Calibri"/>
        </w:rPr>
        <w:t xml:space="preserve">were excluded if they were duplicative, contained data for programs for which plaintiffs were not seeking restitution, or were incomplete.  The remaining 3,580 sign-in sheets </w:t>
      </w:r>
      <w:r w:rsidR="00921149">
        <w:rPr>
          <w:rFonts w:eastAsia="Calibri"/>
        </w:rPr>
        <w:t>related to</w:t>
      </w:r>
      <w:r w:rsidRPr="007151C0">
        <w:rPr>
          <w:rFonts w:eastAsia="Calibri"/>
        </w:rPr>
        <w:t xml:space="preserve"> programs held on 353 days</w:t>
      </w:r>
      <w:r>
        <w:rPr>
          <w:rFonts w:eastAsia="Calibri"/>
        </w:rPr>
        <w:t xml:space="preserve"> during the class period</w:t>
      </w:r>
      <w:r w:rsidRPr="007151C0">
        <w:rPr>
          <w:rFonts w:eastAsia="Calibri"/>
        </w:rPr>
        <w:t xml:space="preserve">.  Shenoi </w:t>
      </w:r>
      <w:r w:rsidR="00464747">
        <w:rPr>
          <w:rFonts w:eastAsia="Calibri"/>
        </w:rPr>
        <w:t>declared</w:t>
      </w:r>
      <w:r w:rsidRPr="007151C0">
        <w:rPr>
          <w:rFonts w:eastAsia="Calibri"/>
        </w:rPr>
        <w:t xml:space="preserve"> enrollment exceeded Pacific Oaks’s capacity license </w:t>
      </w:r>
      <w:r w:rsidR="00921149">
        <w:rPr>
          <w:rFonts w:eastAsia="Calibri"/>
        </w:rPr>
        <w:t>on</w:t>
      </w:r>
      <w:r w:rsidR="00921149" w:rsidRPr="007151C0">
        <w:rPr>
          <w:rFonts w:eastAsia="Calibri"/>
        </w:rPr>
        <w:t xml:space="preserve"> </w:t>
      </w:r>
      <w:r w:rsidRPr="007151C0">
        <w:rPr>
          <w:rFonts w:eastAsia="Calibri"/>
        </w:rPr>
        <w:t xml:space="preserve">352 of 353 days, excluding the </w:t>
      </w:r>
      <w:r w:rsidR="001C2C66">
        <w:rPr>
          <w:rFonts w:eastAsia="Calibri"/>
        </w:rPr>
        <w:t>i</w:t>
      </w:r>
      <w:r w:rsidRPr="007151C0">
        <w:rPr>
          <w:rFonts w:eastAsia="Calibri"/>
        </w:rPr>
        <w:t>nfant/</w:t>
      </w:r>
      <w:r w:rsidR="001C2C66">
        <w:rPr>
          <w:rFonts w:eastAsia="Calibri"/>
        </w:rPr>
        <w:t>t</w:t>
      </w:r>
      <w:r w:rsidRPr="007151C0">
        <w:rPr>
          <w:rFonts w:eastAsia="Calibri"/>
        </w:rPr>
        <w:t>oddler</w:t>
      </w:r>
      <w:r w:rsidR="001C2C66">
        <w:rPr>
          <w:rFonts w:eastAsia="Calibri"/>
        </w:rPr>
        <w:t xml:space="preserve"> </w:t>
      </w:r>
      <w:r w:rsidRPr="007151C0">
        <w:rPr>
          <w:rFonts w:eastAsia="Calibri"/>
        </w:rPr>
        <w:t xml:space="preserve">and </w:t>
      </w:r>
      <w:r w:rsidR="001C2C66">
        <w:rPr>
          <w:rFonts w:eastAsia="Calibri"/>
        </w:rPr>
        <w:t>s</w:t>
      </w:r>
      <w:r w:rsidRPr="007151C0">
        <w:rPr>
          <w:rFonts w:eastAsia="Calibri"/>
        </w:rPr>
        <w:t xml:space="preserve">chool </w:t>
      </w:r>
      <w:r w:rsidR="001C2C66">
        <w:rPr>
          <w:rFonts w:eastAsia="Calibri"/>
        </w:rPr>
        <w:t>a</w:t>
      </w:r>
      <w:r w:rsidRPr="007151C0">
        <w:rPr>
          <w:rFonts w:eastAsia="Calibri"/>
        </w:rPr>
        <w:t xml:space="preserve">ge </w:t>
      </w:r>
      <w:r w:rsidR="001C2C66">
        <w:rPr>
          <w:rFonts w:eastAsia="Calibri"/>
        </w:rPr>
        <w:t>p</w:t>
      </w:r>
      <w:r w:rsidRPr="007151C0">
        <w:rPr>
          <w:rFonts w:eastAsia="Calibri"/>
        </w:rPr>
        <w:t>rogram</w:t>
      </w:r>
      <w:r w:rsidR="006631B4">
        <w:rPr>
          <w:rFonts w:eastAsia="Calibri"/>
        </w:rPr>
        <w:t>s</w:t>
      </w:r>
      <w:r w:rsidRPr="007151C0">
        <w:rPr>
          <w:rFonts w:eastAsia="Calibri"/>
        </w:rPr>
        <w:t xml:space="preserve">.  Further, Shenoi averred that attendance exceeded the capacity license on 343 of 353 days.  </w:t>
      </w:r>
      <w:r w:rsidR="001A5EBD">
        <w:rPr>
          <w:rFonts w:eastAsia="Calibri"/>
        </w:rPr>
        <w:t>He</w:t>
      </w:r>
      <w:r w:rsidR="001A5EBD" w:rsidRPr="007151C0">
        <w:rPr>
          <w:rFonts w:eastAsia="Calibri"/>
        </w:rPr>
        <w:t xml:space="preserve"> </w:t>
      </w:r>
      <w:r w:rsidR="00921149">
        <w:rPr>
          <w:rFonts w:eastAsia="Calibri"/>
        </w:rPr>
        <w:t>indicated</w:t>
      </w:r>
      <w:r w:rsidRPr="007151C0">
        <w:rPr>
          <w:rFonts w:eastAsia="Calibri"/>
        </w:rPr>
        <w:t xml:space="preserve"> plaintiffs’ analysis showed</w:t>
      </w:r>
      <w:r w:rsidRPr="007151C0">
        <w:rPr>
          <w:rFonts w:eastAsia="Calibri"/>
        </w:rPr>
        <w:t xml:space="preserve"> </w:t>
      </w:r>
      <w:r w:rsidRPr="007151C0">
        <w:rPr>
          <w:rFonts w:eastAsia="Calibri"/>
        </w:rPr>
        <w:lastRenderedPageBreak/>
        <w:t xml:space="preserve">enrollment and attendance exceeded capacity on five days when the “census counts” in DSS Facility Evaluation Reports were below </w:t>
      </w:r>
      <w:r w:rsidR="005B51EC">
        <w:rPr>
          <w:rFonts w:eastAsia="Calibri"/>
        </w:rPr>
        <w:t>the</w:t>
      </w:r>
      <w:r w:rsidRPr="007151C0">
        <w:rPr>
          <w:rFonts w:eastAsia="Calibri"/>
        </w:rPr>
        <w:t xml:space="preserve"> capacity </w:t>
      </w:r>
      <w:r w:rsidR="005B51EC">
        <w:rPr>
          <w:rFonts w:eastAsia="Calibri"/>
        </w:rPr>
        <w:t>limit</w:t>
      </w:r>
      <w:r w:rsidRPr="007151C0">
        <w:rPr>
          <w:rFonts w:eastAsia="Calibri"/>
        </w:rPr>
        <w:t>.</w:t>
      </w:r>
    </w:p>
    <w:bookmarkEnd w:id="3"/>
    <w:p w14:paraId="55884BE4" w14:textId="3E34C70C" w:rsidR="00AB6896" w:rsidRPr="007151C0" w:rsidRDefault="003A0E16" w:rsidP="00166B72">
      <w:pPr>
        <w:ind w:firstLine="720"/>
        <w:contextualSpacing/>
        <w:rPr>
          <w:rFonts w:eastAsia="Calibri"/>
        </w:rPr>
      </w:pPr>
      <w:r w:rsidRPr="007151C0">
        <w:rPr>
          <w:rFonts w:eastAsia="Calibri"/>
        </w:rPr>
        <w:t xml:space="preserve">Pacific Oaks moved to exclude the declaration and summaries, including on </w:t>
      </w:r>
      <w:r w:rsidR="00921149">
        <w:rPr>
          <w:rFonts w:eastAsia="Calibri"/>
        </w:rPr>
        <w:t xml:space="preserve">the </w:t>
      </w:r>
      <w:r w:rsidRPr="007151C0">
        <w:rPr>
          <w:rFonts w:eastAsia="Calibri"/>
        </w:rPr>
        <w:t xml:space="preserve">ground that </w:t>
      </w:r>
      <w:r w:rsidR="00921149">
        <w:rPr>
          <w:rFonts w:eastAsia="Calibri"/>
        </w:rPr>
        <w:t>both</w:t>
      </w:r>
      <w:r w:rsidRPr="007151C0">
        <w:rPr>
          <w:rFonts w:eastAsia="Calibri"/>
        </w:rPr>
        <w:t xml:space="preserve"> </w:t>
      </w:r>
      <w:r w:rsidR="005B51EC">
        <w:rPr>
          <w:rFonts w:eastAsia="Calibri"/>
        </w:rPr>
        <w:t>were</w:t>
      </w:r>
      <w:r w:rsidR="005B51EC" w:rsidRPr="007151C0">
        <w:rPr>
          <w:rFonts w:eastAsia="Calibri"/>
        </w:rPr>
        <w:t xml:space="preserve"> </w:t>
      </w:r>
      <w:r w:rsidR="00921149">
        <w:rPr>
          <w:rFonts w:eastAsia="Calibri"/>
        </w:rPr>
        <w:t xml:space="preserve">inadmissible </w:t>
      </w:r>
      <w:r w:rsidRPr="007151C0">
        <w:rPr>
          <w:rFonts w:eastAsia="Calibri"/>
        </w:rPr>
        <w:t xml:space="preserve">hearsay.  The court granted the motion, finding the Shenoi Declaration was “post-trial evidence on which Pacific Oaks did not have an opportunity to cross-examine,” hearsay without exception, and a violation of the advocate-witness rule because it “place[d] counsel in the role of a witness on a disputed issue of fact.”  The court </w:t>
      </w:r>
      <w:r w:rsidR="00921149">
        <w:rPr>
          <w:rFonts w:eastAsia="Calibri"/>
        </w:rPr>
        <w:t>also found</w:t>
      </w:r>
      <w:r w:rsidR="00921149" w:rsidRPr="007151C0">
        <w:rPr>
          <w:rFonts w:eastAsia="Calibri"/>
        </w:rPr>
        <w:t xml:space="preserve"> </w:t>
      </w:r>
      <w:r w:rsidR="00EE3BD7">
        <w:rPr>
          <w:rFonts w:eastAsia="Calibri"/>
        </w:rPr>
        <w:t>e</w:t>
      </w:r>
      <w:r w:rsidRPr="007151C0">
        <w:rPr>
          <w:rFonts w:eastAsia="Calibri"/>
        </w:rPr>
        <w:t xml:space="preserve">xhibit B inadmissible because it was based on signatures the court </w:t>
      </w:r>
      <w:r w:rsidR="00921149">
        <w:rPr>
          <w:rFonts w:eastAsia="Calibri"/>
        </w:rPr>
        <w:t xml:space="preserve">had </w:t>
      </w:r>
      <w:r w:rsidR="00B938B8">
        <w:rPr>
          <w:rFonts w:eastAsia="Calibri"/>
        </w:rPr>
        <w:t>excluded as</w:t>
      </w:r>
      <w:r w:rsidR="00B938B8" w:rsidRPr="007151C0">
        <w:rPr>
          <w:rFonts w:eastAsia="Calibri"/>
        </w:rPr>
        <w:t xml:space="preserve"> </w:t>
      </w:r>
      <w:r w:rsidRPr="007151C0">
        <w:rPr>
          <w:rFonts w:eastAsia="Calibri"/>
        </w:rPr>
        <w:t>inadmissible</w:t>
      </w:r>
      <w:r w:rsidR="00B938B8">
        <w:rPr>
          <w:rFonts w:eastAsia="Calibri"/>
        </w:rPr>
        <w:t xml:space="preserve"> hearsay</w:t>
      </w:r>
      <w:r w:rsidRPr="007151C0">
        <w:rPr>
          <w:rFonts w:eastAsia="Calibri"/>
        </w:rPr>
        <w:t xml:space="preserve">. </w:t>
      </w:r>
      <w:r>
        <w:rPr>
          <w:rFonts w:eastAsia="Calibri"/>
        </w:rPr>
        <w:t xml:space="preserve"> </w:t>
      </w:r>
      <w:r w:rsidRPr="007151C0">
        <w:rPr>
          <w:rFonts w:eastAsia="Calibri"/>
        </w:rPr>
        <w:t>We review the trial cou</w:t>
      </w:r>
      <w:r w:rsidRPr="007151C0">
        <w:rPr>
          <w:rFonts w:eastAsia="Calibri"/>
        </w:rPr>
        <w:t xml:space="preserve">rt’s ruling for abuse of </w:t>
      </w:r>
      <w:r w:rsidRPr="007151C0">
        <w:rPr>
          <w:rFonts w:eastAsia="Calibri"/>
        </w:rPr>
        <w:t>discretion.  (</w:t>
      </w:r>
      <w:r w:rsidRPr="007151C0">
        <w:rPr>
          <w:rFonts w:eastAsia="Calibri"/>
          <w:i/>
          <w:iCs/>
        </w:rPr>
        <w:t xml:space="preserve">Gordon </w:t>
      </w:r>
      <w:r w:rsidRPr="00CF7703">
        <w:rPr>
          <w:rFonts w:eastAsia="Calibri"/>
          <w:i/>
          <w:iCs/>
        </w:rPr>
        <w:t>v.</w:t>
      </w:r>
      <w:r w:rsidRPr="007151C0">
        <w:rPr>
          <w:rFonts w:eastAsia="Calibri"/>
          <w:i/>
          <w:iCs/>
        </w:rPr>
        <w:t xml:space="preserve"> Nissan Motor Co</w:t>
      </w:r>
      <w:r w:rsidRPr="00CF7703">
        <w:rPr>
          <w:rFonts w:eastAsia="Calibri"/>
          <w:i/>
          <w:iCs/>
        </w:rPr>
        <w:t>., Ltd.</w:t>
      </w:r>
      <w:r w:rsidRPr="001248AB">
        <w:rPr>
          <w:rFonts w:eastAsia="Calibri"/>
        </w:rPr>
        <w:t xml:space="preserve"> </w:t>
      </w:r>
      <w:r w:rsidRPr="007151C0">
        <w:rPr>
          <w:rFonts w:eastAsia="Calibri"/>
        </w:rPr>
        <w:t>(2009) 170 Cal.App.4th 1103, 1111.)</w:t>
      </w:r>
    </w:p>
    <w:p w14:paraId="68D45BA4" w14:textId="5E126DB3" w:rsidR="00AB6896" w:rsidRDefault="003A0E16" w:rsidP="006D4A53">
      <w:pPr>
        <w:ind w:firstLine="720"/>
        <w:contextualSpacing/>
        <w:rPr>
          <w:rFonts w:eastAsia="Calibri"/>
        </w:rPr>
      </w:pPr>
      <w:r>
        <w:rPr>
          <w:rFonts w:eastAsia="Calibri"/>
        </w:rPr>
        <w:t xml:space="preserve">Plaintiffs challenge only the trial court’s exclusion of the summaries.  </w:t>
      </w:r>
      <w:r w:rsidR="00921149">
        <w:rPr>
          <w:rFonts w:eastAsia="Calibri"/>
        </w:rPr>
        <w:t>W</w:t>
      </w:r>
      <w:r>
        <w:rPr>
          <w:rFonts w:eastAsia="Calibri"/>
        </w:rPr>
        <w:t>e note</w:t>
      </w:r>
      <w:r w:rsidR="00921149">
        <w:rPr>
          <w:rFonts w:eastAsia="Calibri"/>
        </w:rPr>
        <w:t>, however,</w:t>
      </w:r>
      <w:r>
        <w:rPr>
          <w:rFonts w:eastAsia="Calibri"/>
        </w:rPr>
        <w:t xml:space="preserve"> that plaintiffs offered the summaries only as exhibits to the Shenoi Declaration, which the trial court also excluded.  O</w:t>
      </w:r>
      <w:r w:rsidRPr="007151C0">
        <w:rPr>
          <w:rFonts w:eastAsia="Calibri"/>
        </w:rPr>
        <w:t xml:space="preserve">n appeal, plaintiffs do not challenge the trial court’s </w:t>
      </w:r>
      <w:r w:rsidR="0064698E">
        <w:rPr>
          <w:rFonts w:eastAsia="Calibri"/>
        </w:rPr>
        <w:t>ruling</w:t>
      </w:r>
      <w:r w:rsidR="0064698E" w:rsidRPr="007151C0">
        <w:rPr>
          <w:rFonts w:eastAsia="Calibri"/>
        </w:rPr>
        <w:t xml:space="preserve"> </w:t>
      </w:r>
      <w:r w:rsidRPr="007151C0">
        <w:rPr>
          <w:rFonts w:eastAsia="Calibri"/>
        </w:rPr>
        <w:t xml:space="preserve">that the declaration was hearsay not subject to an exception.  </w:t>
      </w:r>
      <w:r w:rsidRPr="003010F0">
        <w:rPr>
          <w:rFonts w:eastAsia="Calibri"/>
        </w:rPr>
        <w:t>(</w:t>
      </w:r>
      <w:r w:rsidRPr="003010F0">
        <w:rPr>
          <w:rFonts w:eastAsia="Calibri"/>
          <w:i/>
          <w:iCs/>
        </w:rPr>
        <w:t xml:space="preserve">Elkins </w:t>
      </w:r>
      <w:r w:rsidRPr="00CF7703">
        <w:rPr>
          <w:rFonts w:eastAsia="Calibri"/>
          <w:i/>
          <w:iCs/>
        </w:rPr>
        <w:t>v.</w:t>
      </w:r>
      <w:r w:rsidRPr="003010F0">
        <w:rPr>
          <w:rFonts w:eastAsia="Calibri"/>
          <w:i/>
          <w:iCs/>
        </w:rPr>
        <w:t xml:space="preserve"> Superior Court</w:t>
      </w:r>
      <w:r w:rsidRPr="003010F0">
        <w:rPr>
          <w:rFonts w:eastAsia="Calibri"/>
        </w:rPr>
        <w:t xml:space="preserve"> (2007) 41 Cal.4th 1337, 1354 [“It is well established . . . that declarations constitute hearsay and are inadmissible at trial . . . unless the parties stipulate to the admission of the declarations or fail to enter a hea</w:t>
      </w:r>
      <w:r w:rsidRPr="003010F0">
        <w:rPr>
          <w:rFonts w:eastAsia="Calibri"/>
        </w:rPr>
        <w:t xml:space="preserve">rsay objection”].)  </w:t>
      </w:r>
      <w:r w:rsidRPr="007151C0">
        <w:rPr>
          <w:rFonts w:eastAsia="Calibri"/>
        </w:rPr>
        <w:t>Because plaintiffs have failed to affirmatively demonstrate error with respect to the ruling</w:t>
      </w:r>
      <w:r w:rsidR="00921149">
        <w:rPr>
          <w:rFonts w:eastAsia="Calibri"/>
        </w:rPr>
        <w:t xml:space="preserve"> excluding the declaration</w:t>
      </w:r>
      <w:r w:rsidRPr="007151C0">
        <w:rPr>
          <w:rFonts w:eastAsia="Calibri"/>
        </w:rPr>
        <w:t>, we presume the trial court’s decision was correct.  (</w:t>
      </w:r>
      <w:r w:rsidRPr="007151C0">
        <w:rPr>
          <w:rFonts w:eastAsia="Calibri"/>
          <w:i/>
          <w:iCs/>
        </w:rPr>
        <w:t>People v</w:t>
      </w:r>
      <w:r w:rsidRPr="00CF7703">
        <w:rPr>
          <w:rFonts w:eastAsia="Calibri"/>
          <w:i/>
          <w:iCs/>
        </w:rPr>
        <w:t>.</w:t>
      </w:r>
      <w:r w:rsidRPr="007151C0">
        <w:rPr>
          <w:rFonts w:eastAsia="Calibri"/>
          <w:i/>
          <w:iCs/>
        </w:rPr>
        <w:t xml:space="preserve"> Sullivan</w:t>
      </w:r>
      <w:r w:rsidRPr="007151C0">
        <w:rPr>
          <w:rFonts w:eastAsia="Calibri"/>
        </w:rPr>
        <w:t xml:space="preserve"> (2007) 151 Cal.App.4th 524, 549.)</w:t>
      </w:r>
    </w:p>
    <w:p w14:paraId="35CC9F69" w14:textId="1F12FAD3" w:rsidR="00AB6896" w:rsidRDefault="003A0E16" w:rsidP="00166B72">
      <w:pPr>
        <w:ind w:firstLine="720"/>
        <w:contextualSpacing/>
        <w:rPr>
          <w:rFonts w:eastAsia="Calibri"/>
        </w:rPr>
      </w:pPr>
      <w:r>
        <w:rPr>
          <w:rFonts w:eastAsia="Calibri"/>
        </w:rPr>
        <w:t xml:space="preserve">Moreover, plaintiffs’ arguments as to the summaries themselves lack merit.  As explained above, the trial court </w:t>
      </w:r>
      <w:r>
        <w:rPr>
          <w:rFonts w:eastAsia="Calibri"/>
        </w:rPr>
        <w:lastRenderedPageBreak/>
        <w:t>admitted portions of the sign</w:t>
      </w:r>
      <w:r w:rsidR="00606FDD">
        <w:rPr>
          <w:rFonts w:eastAsia="Calibri"/>
        </w:rPr>
        <w:t>-</w:t>
      </w:r>
      <w:r>
        <w:rPr>
          <w:rFonts w:eastAsia="Calibri"/>
        </w:rPr>
        <w:t xml:space="preserve">in sheets and excluded others.  Exhibit B contained summaries of the sign-in sheets </w:t>
      </w:r>
      <w:r w:rsidR="00A97785">
        <w:rPr>
          <w:rFonts w:eastAsia="Calibri"/>
        </w:rPr>
        <w:t>based</w:t>
      </w:r>
      <w:r>
        <w:rPr>
          <w:rFonts w:eastAsia="Calibri"/>
        </w:rPr>
        <w:t xml:space="preserve"> </w:t>
      </w:r>
      <w:r w:rsidR="00825960">
        <w:rPr>
          <w:rFonts w:eastAsia="Calibri"/>
        </w:rPr>
        <w:t>on</w:t>
      </w:r>
      <w:r>
        <w:rPr>
          <w:rFonts w:eastAsia="Calibri"/>
        </w:rPr>
        <w:t xml:space="preserve"> the handwritten notations the trial court found inadmissible.  We have concluded the trial court did not abuse its discretion in excluding those notations</w:t>
      </w:r>
      <w:r w:rsidR="00921149">
        <w:rPr>
          <w:rFonts w:eastAsia="Calibri"/>
        </w:rPr>
        <w:t xml:space="preserve"> and a</w:t>
      </w:r>
      <w:r w:rsidR="00825960">
        <w:rPr>
          <w:rFonts w:eastAsia="Calibri"/>
        </w:rPr>
        <w:t xml:space="preserve"> summary of in</w:t>
      </w:r>
      <w:r w:rsidR="002E1CE2">
        <w:rPr>
          <w:rFonts w:eastAsia="Calibri"/>
        </w:rPr>
        <w:t xml:space="preserve">admissible evidence is itself inadmissible.  </w:t>
      </w:r>
      <w:r>
        <w:rPr>
          <w:rFonts w:eastAsia="Calibri"/>
        </w:rPr>
        <w:t xml:space="preserve">Plaintiffs’ reliance on the secondary evidence rule </w:t>
      </w:r>
      <w:r w:rsidR="00B80C29">
        <w:rPr>
          <w:rFonts w:eastAsia="Calibri"/>
        </w:rPr>
        <w:t xml:space="preserve">for a contrary result </w:t>
      </w:r>
      <w:r>
        <w:rPr>
          <w:rFonts w:eastAsia="Calibri"/>
        </w:rPr>
        <w:t xml:space="preserve">is misplaced.  Evidence </w:t>
      </w:r>
      <w:r w:rsidR="00606FDD">
        <w:rPr>
          <w:rFonts w:eastAsia="Calibri"/>
        </w:rPr>
        <w:t>C</w:t>
      </w:r>
      <w:r>
        <w:rPr>
          <w:rFonts w:eastAsia="Calibri"/>
        </w:rPr>
        <w:t>ode section 1521 “ ‘</w:t>
      </w:r>
      <w:r w:rsidRPr="007448C1">
        <w:rPr>
          <w:rFonts w:eastAsia="Calibri"/>
        </w:rPr>
        <w:t xml:space="preserve">permits the introduction of </w:t>
      </w:r>
      <w:r>
        <w:rPr>
          <w:rFonts w:eastAsia="Calibri"/>
        </w:rPr>
        <w:t>“</w:t>
      </w:r>
      <w:r w:rsidRPr="007448C1">
        <w:rPr>
          <w:rFonts w:eastAsia="Calibri"/>
        </w:rPr>
        <w:t xml:space="preserve">otherwise </w:t>
      </w:r>
      <w:r w:rsidRPr="007448C1">
        <w:rPr>
          <w:rFonts w:eastAsia="Calibri"/>
        </w:rPr>
        <w:t>admissible secondary evidence</w:t>
      </w:r>
      <w:r>
        <w:rPr>
          <w:rFonts w:eastAsia="Calibri"/>
        </w:rPr>
        <w:t>”</w:t>
      </w:r>
      <w:r w:rsidRPr="007448C1">
        <w:rPr>
          <w:rFonts w:eastAsia="Calibri"/>
        </w:rPr>
        <w:t xml:space="preserve"> to prove the contents of a writing. </w:t>
      </w:r>
      <w:r w:rsidR="00DF02A4">
        <w:rPr>
          <w:rFonts w:eastAsia="Calibri"/>
        </w:rPr>
        <w:t xml:space="preserve"> </w:t>
      </w:r>
      <w:r w:rsidRPr="007448C1">
        <w:rPr>
          <w:rFonts w:eastAsia="Calibri"/>
        </w:rPr>
        <w:t>It</w:t>
      </w:r>
      <w:r w:rsidR="00DF02A4">
        <w:rPr>
          <w:rFonts w:eastAsia="Calibri"/>
        </w:rPr>
        <w:t xml:space="preserve"> </w:t>
      </w:r>
      <w:r w:rsidRPr="007448C1">
        <w:rPr>
          <w:rFonts w:eastAsia="Calibri"/>
        </w:rPr>
        <w:t>does not excuse the proponent from complying with other rules of evidence, most notably, the hearsay rule.</w:t>
      </w:r>
      <w:r>
        <w:rPr>
          <w:rFonts w:eastAsia="Calibri"/>
        </w:rPr>
        <w:t>’</w:t>
      </w:r>
      <w:r w:rsidR="00DF02A4">
        <w:rPr>
          <w:rFonts w:eastAsia="Calibri"/>
        </w:rPr>
        <w:t> </w:t>
      </w:r>
      <w:r>
        <w:rPr>
          <w:rFonts w:eastAsia="Calibri"/>
        </w:rPr>
        <w:t>”  (</w:t>
      </w:r>
      <w:r w:rsidRPr="00336FA5">
        <w:rPr>
          <w:rFonts w:eastAsia="Calibri"/>
          <w:i/>
          <w:iCs/>
        </w:rPr>
        <w:t>Chambers v</w:t>
      </w:r>
      <w:r w:rsidRPr="00CF7703">
        <w:rPr>
          <w:rFonts w:eastAsia="Calibri"/>
          <w:i/>
          <w:iCs/>
        </w:rPr>
        <w:t>.</w:t>
      </w:r>
      <w:r w:rsidRPr="00336FA5">
        <w:rPr>
          <w:rFonts w:eastAsia="Calibri"/>
          <w:i/>
          <w:iCs/>
        </w:rPr>
        <w:t xml:space="preserve"> Crown Asset Management</w:t>
      </w:r>
      <w:r w:rsidRPr="00CF7703">
        <w:rPr>
          <w:rFonts w:eastAsia="Calibri"/>
          <w:i/>
          <w:iCs/>
        </w:rPr>
        <w:t>,</w:t>
      </w:r>
      <w:r w:rsidRPr="00336FA5">
        <w:rPr>
          <w:rFonts w:eastAsia="Calibri"/>
          <w:i/>
          <w:iCs/>
        </w:rPr>
        <w:t xml:space="preserve"> LLC</w:t>
      </w:r>
      <w:r w:rsidRPr="007448C1">
        <w:rPr>
          <w:rFonts w:eastAsia="Calibri"/>
        </w:rPr>
        <w:t xml:space="preserve"> (2021) 71 Cal.App.5th 583, 594</w:t>
      </w:r>
      <w:r>
        <w:rPr>
          <w:rFonts w:eastAsia="Calibri"/>
        </w:rPr>
        <w:t xml:space="preserve">.)  The trial court did not abuse its discretion in excluding summaries </w:t>
      </w:r>
      <w:r w:rsidR="00921149">
        <w:rPr>
          <w:rFonts w:eastAsia="Calibri"/>
        </w:rPr>
        <w:t xml:space="preserve">that were </w:t>
      </w:r>
      <w:r>
        <w:rPr>
          <w:rFonts w:eastAsia="Calibri"/>
        </w:rPr>
        <w:t>based on inadmissible evidence.</w:t>
      </w:r>
    </w:p>
    <w:p w14:paraId="6C0504BA" w14:textId="2557C634" w:rsidR="00AB6896" w:rsidRDefault="003A0E16" w:rsidP="00166B72">
      <w:pPr>
        <w:ind w:firstLine="720"/>
        <w:contextualSpacing/>
        <w:rPr>
          <w:rFonts w:eastAsia="Calibri"/>
        </w:rPr>
      </w:pPr>
      <w:r>
        <w:rPr>
          <w:rFonts w:eastAsia="Calibri"/>
        </w:rPr>
        <w:t xml:space="preserve">The trial court also did not abuse its discretion in excluding </w:t>
      </w:r>
      <w:r w:rsidR="00222E78">
        <w:rPr>
          <w:rFonts w:eastAsia="Calibri"/>
        </w:rPr>
        <w:t>e</w:t>
      </w:r>
      <w:r>
        <w:rPr>
          <w:rFonts w:eastAsia="Calibri"/>
        </w:rPr>
        <w:t>xhibit A.  Under Evidence Code section 1521</w:t>
      </w:r>
      <w:r w:rsidR="003D0642">
        <w:rPr>
          <w:rFonts w:eastAsia="Calibri"/>
        </w:rPr>
        <w:t>,</w:t>
      </w:r>
      <w:r>
        <w:rPr>
          <w:rFonts w:eastAsia="Calibri"/>
        </w:rPr>
        <w:t xml:space="preserve"> the content of a writing may be proved by otherwise admissible evidence, but the court must exclude secondary evidence if the court determine</w:t>
      </w:r>
      <w:r w:rsidR="00B80C29">
        <w:rPr>
          <w:rFonts w:eastAsia="Calibri"/>
        </w:rPr>
        <w:t>s</w:t>
      </w:r>
      <w:r>
        <w:rPr>
          <w:rFonts w:eastAsia="Calibri"/>
        </w:rPr>
        <w:t xml:space="preserve"> either “</w:t>
      </w:r>
      <w:r w:rsidR="0009192C">
        <w:rPr>
          <w:rFonts w:eastAsia="Calibri"/>
        </w:rPr>
        <w:t>[</w:t>
      </w:r>
      <w:r>
        <w:rPr>
          <w:rFonts w:eastAsia="Calibri"/>
        </w:rPr>
        <w:t>a</w:t>
      </w:r>
      <w:r w:rsidR="0009192C">
        <w:rPr>
          <w:rFonts w:eastAsia="Calibri"/>
        </w:rPr>
        <w:t>]</w:t>
      </w:r>
      <w:r>
        <w:rPr>
          <w:rFonts w:eastAsia="Calibri"/>
        </w:rPr>
        <w:t xml:space="preserve"> genuine dispute exists concerning material terms of the writing and justice requires the exclusion,” or “</w:t>
      </w:r>
      <w:r w:rsidR="0009192C">
        <w:rPr>
          <w:rFonts w:eastAsia="Calibri"/>
        </w:rPr>
        <w:t>[</w:t>
      </w:r>
      <w:r>
        <w:rPr>
          <w:rFonts w:eastAsia="Calibri"/>
        </w:rPr>
        <w:t>a</w:t>
      </w:r>
      <w:r w:rsidR="0009192C">
        <w:rPr>
          <w:rFonts w:eastAsia="Calibri"/>
        </w:rPr>
        <w:t>]</w:t>
      </w:r>
      <w:r>
        <w:rPr>
          <w:rFonts w:eastAsia="Calibri"/>
        </w:rPr>
        <w:t xml:space="preserve">dmission of the secondary evidence would be unfair.”  </w:t>
      </w:r>
      <w:r w:rsidR="002C6D7B">
        <w:rPr>
          <w:rFonts w:eastAsia="Calibri"/>
        </w:rPr>
        <w:t>(</w:t>
      </w:r>
      <w:r w:rsidR="002C6D7B" w:rsidRPr="002C6D7B">
        <w:rPr>
          <w:rFonts w:eastAsia="Calibri"/>
          <w:i/>
          <w:iCs/>
        </w:rPr>
        <w:t>Id.</w:t>
      </w:r>
      <w:r w:rsidR="002C6D7B">
        <w:rPr>
          <w:rFonts w:eastAsia="Calibri"/>
        </w:rPr>
        <w:t xml:space="preserve">, subds. (a), (b).)  </w:t>
      </w:r>
      <w:r>
        <w:rPr>
          <w:rFonts w:eastAsia="Calibri"/>
        </w:rPr>
        <w:t>The trial court could reasonably conclude both circumstances were present in this case.</w:t>
      </w:r>
    </w:p>
    <w:p w14:paraId="060C4A27" w14:textId="6F8271E9" w:rsidR="00AB6896" w:rsidRDefault="003A0E16" w:rsidP="00166B72">
      <w:pPr>
        <w:ind w:firstLine="720"/>
        <w:contextualSpacing/>
        <w:rPr>
          <w:rFonts w:eastAsia="Calibri"/>
        </w:rPr>
      </w:pPr>
      <w:r>
        <w:rPr>
          <w:rFonts w:eastAsia="Calibri"/>
        </w:rPr>
        <w:t>Exhibit A was not simply a summary of previously admitted documents.  Instead, according to the Shenoi Declaration, counsel “performed” data entry on the documents, made decisions about which documents would be excluded from the summaries “</w:t>
      </w:r>
      <w:r w:rsidR="00EA0BE9">
        <w:rPr>
          <w:rFonts w:eastAsia="Calibri"/>
        </w:rPr>
        <w:t>[</w:t>
      </w:r>
      <w:r>
        <w:rPr>
          <w:rFonts w:eastAsia="Calibri"/>
        </w:rPr>
        <w:t>c</w:t>
      </w:r>
      <w:r w:rsidR="00EA0BE9">
        <w:rPr>
          <w:rFonts w:eastAsia="Calibri"/>
        </w:rPr>
        <w:t>]</w:t>
      </w:r>
      <w:r>
        <w:rPr>
          <w:rFonts w:eastAsia="Calibri"/>
        </w:rPr>
        <w:t xml:space="preserve">onsistent with plaintiffs’ </w:t>
      </w:r>
      <w:r w:rsidR="00D87AF4">
        <w:rPr>
          <w:rFonts w:eastAsia="Calibri"/>
        </w:rPr>
        <w:t>[</w:t>
      </w:r>
      <w:r>
        <w:rPr>
          <w:rFonts w:eastAsia="Calibri"/>
        </w:rPr>
        <w:t>litigation</w:t>
      </w:r>
      <w:r w:rsidR="00D87AF4">
        <w:rPr>
          <w:rFonts w:eastAsia="Calibri"/>
        </w:rPr>
        <w:t>]</w:t>
      </w:r>
      <w:r>
        <w:rPr>
          <w:rFonts w:eastAsia="Calibri"/>
        </w:rPr>
        <w:t xml:space="preserve"> position,</w:t>
      </w:r>
      <w:r w:rsidR="00D87AF4">
        <w:rPr>
          <w:rFonts w:eastAsia="Calibri"/>
        </w:rPr>
        <w:t>”</w:t>
      </w:r>
      <w:r>
        <w:rPr>
          <w:rFonts w:eastAsia="Calibri"/>
        </w:rPr>
        <w:t xml:space="preserve"> analyzed the records in connection with other documents to </w:t>
      </w:r>
      <w:r>
        <w:rPr>
          <w:rFonts w:eastAsia="Calibri"/>
        </w:rPr>
        <w:lastRenderedPageBreak/>
        <w:t>decide what to include in the summar</w:t>
      </w:r>
      <w:r w:rsidR="00B80C29">
        <w:rPr>
          <w:rFonts w:eastAsia="Calibri"/>
        </w:rPr>
        <w:t>ies</w:t>
      </w:r>
      <w:r>
        <w:rPr>
          <w:rFonts w:eastAsia="Calibri"/>
        </w:rPr>
        <w:t xml:space="preserve">, and made analytical decisions about which records were “useable.”  </w:t>
      </w:r>
      <w:r w:rsidR="00484020">
        <w:rPr>
          <w:rFonts w:eastAsia="Calibri"/>
        </w:rPr>
        <w:t>Counsel determined t</w:t>
      </w:r>
      <w:r>
        <w:rPr>
          <w:rFonts w:eastAsia="Calibri"/>
        </w:rPr>
        <w:t xml:space="preserve">he methodology and described </w:t>
      </w:r>
      <w:r w:rsidR="00484020">
        <w:rPr>
          <w:rFonts w:eastAsia="Calibri"/>
        </w:rPr>
        <w:t xml:space="preserve">it </w:t>
      </w:r>
      <w:r>
        <w:rPr>
          <w:rFonts w:eastAsia="Calibri"/>
        </w:rPr>
        <w:t xml:space="preserve">only in a declaration, not </w:t>
      </w:r>
      <w:r w:rsidR="006C5BAB">
        <w:rPr>
          <w:rFonts w:eastAsia="Calibri"/>
        </w:rPr>
        <w:t xml:space="preserve">in </w:t>
      </w:r>
      <w:r>
        <w:rPr>
          <w:rFonts w:eastAsia="Calibri"/>
        </w:rPr>
        <w:t xml:space="preserve">testimony subject to cross-examination.  Pacific Oaks had access to the underlying </w:t>
      </w:r>
      <w:r w:rsidR="00CB6862">
        <w:rPr>
          <w:rFonts w:eastAsia="Calibri"/>
        </w:rPr>
        <w:t>documents but</w:t>
      </w:r>
      <w:r>
        <w:rPr>
          <w:rFonts w:eastAsia="Calibri"/>
        </w:rPr>
        <w:t xml:space="preserve"> had no means to test or challenge the process by which </w:t>
      </w:r>
      <w:r w:rsidR="00484020">
        <w:rPr>
          <w:rFonts w:eastAsia="Calibri"/>
        </w:rPr>
        <w:t xml:space="preserve">plaintiffs prepared </w:t>
      </w:r>
      <w:r>
        <w:rPr>
          <w:rFonts w:eastAsia="Calibri"/>
        </w:rPr>
        <w:t>the summar</w:t>
      </w:r>
      <w:r w:rsidR="00E51846">
        <w:rPr>
          <w:rFonts w:eastAsia="Calibri"/>
        </w:rPr>
        <w:t>ies</w:t>
      </w:r>
      <w:r w:rsidR="00CE616C">
        <w:rPr>
          <w:rFonts w:eastAsia="Calibri"/>
        </w:rPr>
        <w:t>,</w:t>
      </w:r>
      <w:r>
        <w:rPr>
          <w:rFonts w:eastAsia="Calibri"/>
        </w:rPr>
        <w:t xml:space="preserve"> or the accuracy or validity of the numerous decisions plaintiffs’ counsel </w:t>
      </w:r>
      <w:r w:rsidR="00E51846">
        <w:rPr>
          <w:rFonts w:eastAsia="Calibri"/>
        </w:rPr>
        <w:t xml:space="preserve">made </w:t>
      </w:r>
      <w:r>
        <w:rPr>
          <w:rFonts w:eastAsia="Calibri"/>
        </w:rPr>
        <w:t>in preparing the summar</w:t>
      </w:r>
      <w:r w:rsidR="00E51846">
        <w:rPr>
          <w:rFonts w:eastAsia="Calibri"/>
        </w:rPr>
        <w:t>ies</w:t>
      </w:r>
      <w:r>
        <w:rPr>
          <w:rFonts w:eastAsia="Calibri"/>
        </w:rPr>
        <w:t xml:space="preserve">.  The trial court could reasonably conclude that under these circumstances, Evidence Code section 1521 </w:t>
      </w:r>
      <w:r w:rsidR="00CB6862">
        <w:rPr>
          <w:rFonts w:eastAsia="Calibri"/>
        </w:rPr>
        <w:t>required</w:t>
      </w:r>
      <w:r>
        <w:rPr>
          <w:rFonts w:eastAsia="Calibri"/>
        </w:rPr>
        <w:t xml:space="preserve"> the exclusion of the summar</w:t>
      </w:r>
      <w:r w:rsidR="00E51846">
        <w:rPr>
          <w:rFonts w:eastAsia="Calibri"/>
        </w:rPr>
        <w:t>ies</w:t>
      </w:r>
      <w:r>
        <w:rPr>
          <w:rFonts w:eastAsia="Calibri"/>
        </w:rPr>
        <w:t>.</w:t>
      </w:r>
    </w:p>
    <w:p w14:paraId="78B2AACA" w14:textId="36A16E84" w:rsidR="002A6EDF" w:rsidRDefault="003A0E16">
      <w:pPr>
        <w:ind w:firstLine="720"/>
        <w:contextualSpacing/>
        <w:rPr>
          <w:rFonts w:eastAsia="Calibri"/>
        </w:rPr>
      </w:pPr>
      <w:r w:rsidRPr="00301312">
        <w:rPr>
          <w:rFonts w:eastAsia="Calibri"/>
        </w:rPr>
        <w:t>P</w:t>
      </w:r>
      <w:r w:rsidR="00AB6896" w:rsidRPr="00301312">
        <w:rPr>
          <w:rFonts w:eastAsia="Calibri"/>
        </w:rPr>
        <w:t>laintiffs argue that a summary of voluminous business records may be admissible.  However, plaintiffs fail to acknowledge the full extent of the rule</w:t>
      </w:r>
      <w:r w:rsidR="00940119">
        <w:rPr>
          <w:rFonts w:eastAsia="Calibri"/>
        </w:rPr>
        <w:t xml:space="preserve"> they indirectly</w:t>
      </w:r>
      <w:r w:rsidR="00141F03">
        <w:rPr>
          <w:rFonts w:eastAsia="Calibri"/>
        </w:rPr>
        <w:t xml:space="preserve"> reference</w:t>
      </w:r>
      <w:r w:rsidR="00AB6896" w:rsidRPr="00301312">
        <w:rPr>
          <w:rFonts w:eastAsia="Calibri"/>
        </w:rPr>
        <w:t xml:space="preserve">, Evidence Code section 1523, which provides: “(a) Except as otherwise provided by statute, oral testimony is not admissible to prove the content of a writing. </w:t>
      </w:r>
      <w:r w:rsidR="0047113B">
        <w:rPr>
          <w:rFonts w:eastAsia="Calibri"/>
        </w:rPr>
        <w:t xml:space="preserve"> [</w:t>
      </w:r>
      <w:r w:rsidR="0022755D">
        <w:rPr>
          <w:rFonts w:eastAsia="Calibri"/>
        </w:rPr>
        <w:t xml:space="preserve">¶] </w:t>
      </w:r>
      <w:r w:rsidR="00AB6896" w:rsidRPr="00301312">
        <w:rPr>
          <w:rFonts w:eastAsia="Calibri"/>
        </w:rPr>
        <w:t>. . .</w:t>
      </w:r>
      <w:r w:rsidR="0022755D">
        <w:rPr>
          <w:rFonts w:eastAsia="Calibri"/>
        </w:rPr>
        <w:t xml:space="preserve"> [¶]</w:t>
      </w:r>
      <w:r w:rsidR="00530DB4">
        <w:rPr>
          <w:rFonts w:eastAsia="Calibri"/>
        </w:rPr>
        <w:t xml:space="preserve"> </w:t>
      </w:r>
      <w:r w:rsidR="00AB6896" w:rsidRPr="00301312">
        <w:rPr>
          <w:rFonts w:eastAsia="Calibri"/>
        </w:rPr>
        <w:t>(d) Oral testimony of the content of a writing is not made inadmissible by subdivision</w:t>
      </w:r>
      <w:r w:rsidR="00517849">
        <w:rPr>
          <w:rFonts w:eastAsia="Calibri"/>
        </w:rPr>
        <w:t> </w:t>
      </w:r>
      <w:r w:rsidR="00AB6896" w:rsidRPr="00301312">
        <w:rPr>
          <w:rFonts w:eastAsia="Calibri"/>
        </w:rPr>
        <w:t>(a) if the writing consists of numerous accounts or other writings that cannot be examined in court without great loss of time, and the evidence sought from them is only the general result of the whole.”</w:t>
      </w:r>
    </w:p>
    <w:p w14:paraId="3D63B97B" w14:textId="66416197" w:rsidR="00AB6896" w:rsidRPr="00166B72" w:rsidRDefault="003A0E16" w:rsidP="00166B72">
      <w:pPr>
        <w:ind w:firstLine="720"/>
        <w:contextualSpacing/>
        <w:rPr>
          <w:highlight w:val="yellow"/>
        </w:rPr>
      </w:pPr>
      <w:r w:rsidRPr="00301312">
        <w:rPr>
          <w:rFonts w:eastAsia="Calibri"/>
        </w:rPr>
        <w:t>Plaintiffs did not offer “oral testimony” as a substitute for the voluminous records, and instead attempted to proffer a summary</w:t>
      </w:r>
      <w:r w:rsidR="00CB7A65">
        <w:rPr>
          <w:rFonts w:eastAsia="Calibri"/>
        </w:rPr>
        <w:t xml:space="preserve"> </w:t>
      </w:r>
      <w:r w:rsidRPr="00301312">
        <w:rPr>
          <w:rFonts w:eastAsia="Calibri"/>
        </w:rPr>
        <w:t>authenticated</w:t>
      </w:r>
      <w:r w:rsidR="006962A1">
        <w:rPr>
          <w:rFonts w:eastAsia="Calibri"/>
        </w:rPr>
        <w:t xml:space="preserve"> only</w:t>
      </w:r>
      <w:r w:rsidRPr="00301312">
        <w:rPr>
          <w:rFonts w:eastAsia="Calibri"/>
        </w:rPr>
        <w:t xml:space="preserve"> by a hearsay declaration.  </w:t>
      </w:r>
      <w:r w:rsidR="006962A1">
        <w:rPr>
          <w:rFonts w:eastAsia="Calibri"/>
        </w:rPr>
        <w:t xml:space="preserve">(Cf. </w:t>
      </w:r>
      <w:r w:rsidR="006962A1">
        <w:rPr>
          <w:rFonts w:eastAsia="Calibri"/>
          <w:i/>
          <w:iCs/>
        </w:rPr>
        <w:t>Vanguard Recording Society</w:t>
      </w:r>
      <w:r w:rsidR="006962A1" w:rsidRPr="00530DB4">
        <w:rPr>
          <w:rFonts w:eastAsia="Calibri"/>
          <w:i/>
          <w:iCs/>
        </w:rPr>
        <w:t>, Inc. v. Fantasy Records, Inc.</w:t>
      </w:r>
      <w:r w:rsidR="006962A1">
        <w:rPr>
          <w:rFonts w:eastAsia="Calibri"/>
          <w:i/>
          <w:iCs/>
        </w:rPr>
        <w:t xml:space="preserve"> </w:t>
      </w:r>
      <w:r w:rsidR="006962A1">
        <w:rPr>
          <w:rFonts w:eastAsia="Calibri"/>
        </w:rPr>
        <w:t>(1972) 24 Cal.</w:t>
      </w:r>
      <w:r w:rsidR="00B977FA">
        <w:rPr>
          <w:rFonts w:eastAsia="Calibri"/>
        </w:rPr>
        <w:t>App.</w:t>
      </w:r>
      <w:r w:rsidR="005D7817">
        <w:rPr>
          <w:rFonts w:eastAsia="Calibri"/>
        </w:rPr>
        <w:t>3d. 410, 418–419 [</w:t>
      </w:r>
      <w:r w:rsidR="009E34EE">
        <w:rPr>
          <w:rFonts w:eastAsia="Calibri"/>
        </w:rPr>
        <w:t>plaintiffs’</w:t>
      </w:r>
      <w:r w:rsidR="005D7817">
        <w:rPr>
          <w:rFonts w:eastAsia="Calibri"/>
        </w:rPr>
        <w:t xml:space="preserve"> summary of voluminous </w:t>
      </w:r>
      <w:r w:rsidR="00DB616B">
        <w:rPr>
          <w:rFonts w:eastAsia="Calibri"/>
        </w:rPr>
        <w:t xml:space="preserve">invoices admissible </w:t>
      </w:r>
      <w:r w:rsidR="0001098C">
        <w:rPr>
          <w:rFonts w:eastAsia="Calibri"/>
        </w:rPr>
        <w:t>whe</w:t>
      </w:r>
      <w:r w:rsidR="00E00F65">
        <w:rPr>
          <w:rFonts w:eastAsia="Calibri"/>
        </w:rPr>
        <w:t>re</w:t>
      </w:r>
      <w:r w:rsidR="0001098C">
        <w:rPr>
          <w:rFonts w:eastAsia="Calibri"/>
        </w:rPr>
        <w:t xml:space="preserve"> </w:t>
      </w:r>
      <w:r w:rsidR="00E00F65">
        <w:rPr>
          <w:rFonts w:eastAsia="Calibri"/>
        </w:rPr>
        <w:t xml:space="preserve">plaintiffs’ controller prepared the </w:t>
      </w:r>
      <w:r w:rsidR="0001098C">
        <w:rPr>
          <w:rFonts w:eastAsia="Calibri"/>
        </w:rPr>
        <w:t>summary</w:t>
      </w:r>
      <w:r w:rsidR="008B3C76">
        <w:rPr>
          <w:rFonts w:eastAsia="Calibri"/>
        </w:rPr>
        <w:t xml:space="preserve">, </w:t>
      </w:r>
      <w:r w:rsidR="00E00F65">
        <w:rPr>
          <w:rFonts w:eastAsia="Calibri"/>
        </w:rPr>
        <w:t xml:space="preserve">defendant deposed </w:t>
      </w:r>
      <w:r w:rsidR="008B3C76">
        <w:rPr>
          <w:rFonts w:eastAsia="Calibri"/>
        </w:rPr>
        <w:t>plaintiffs’ secretary-treasurer about the preparation of the summar</w:t>
      </w:r>
      <w:r w:rsidR="008F7292">
        <w:rPr>
          <w:rFonts w:eastAsia="Calibri"/>
        </w:rPr>
        <w:t>y</w:t>
      </w:r>
      <w:r w:rsidR="000D63FB">
        <w:rPr>
          <w:rFonts w:eastAsia="Calibri"/>
        </w:rPr>
        <w:t>,</w:t>
      </w:r>
      <w:r w:rsidR="008F7292">
        <w:rPr>
          <w:rFonts w:eastAsia="Calibri"/>
        </w:rPr>
        <w:t xml:space="preserve"> and underlying records were </w:t>
      </w:r>
      <w:r w:rsidR="008F7292">
        <w:rPr>
          <w:rFonts w:eastAsia="Calibri"/>
        </w:rPr>
        <w:lastRenderedPageBreak/>
        <w:t xml:space="preserve">admissible].) </w:t>
      </w:r>
      <w:r w:rsidR="009E34EE">
        <w:rPr>
          <w:rFonts w:eastAsia="Calibri"/>
        </w:rPr>
        <w:t xml:space="preserve"> </w:t>
      </w:r>
      <w:r w:rsidRPr="00301312">
        <w:rPr>
          <w:rFonts w:eastAsia="Calibri"/>
        </w:rPr>
        <w:t xml:space="preserve">Further, the </w:t>
      </w:r>
      <w:r w:rsidR="00322216">
        <w:rPr>
          <w:rFonts w:eastAsia="Calibri"/>
        </w:rPr>
        <w:t>summary of</w:t>
      </w:r>
      <w:r w:rsidRPr="00301312">
        <w:rPr>
          <w:rFonts w:eastAsia="Calibri"/>
        </w:rPr>
        <w:t xml:space="preserve"> the </w:t>
      </w:r>
      <w:r w:rsidR="00322216">
        <w:rPr>
          <w:rFonts w:eastAsia="Calibri"/>
        </w:rPr>
        <w:t>records</w:t>
      </w:r>
      <w:r w:rsidR="00322216" w:rsidRPr="00301312">
        <w:rPr>
          <w:rFonts w:eastAsia="Calibri"/>
        </w:rPr>
        <w:t xml:space="preserve"> </w:t>
      </w:r>
      <w:r w:rsidRPr="00301312">
        <w:rPr>
          <w:rFonts w:eastAsia="Calibri"/>
        </w:rPr>
        <w:t xml:space="preserve">was not “the general result of the whole” </w:t>
      </w:r>
      <w:r w:rsidR="00173E2A">
        <w:rPr>
          <w:rFonts w:eastAsia="Calibri"/>
        </w:rPr>
        <w:t xml:space="preserve">(Evid. Code </w:t>
      </w:r>
      <w:r w:rsidR="00173E2A" w:rsidRPr="00173E2A">
        <w:rPr>
          <w:rFonts w:eastAsia="Calibri"/>
        </w:rPr>
        <w:t>§</w:t>
      </w:r>
      <w:r w:rsidR="00173E2A">
        <w:rPr>
          <w:rFonts w:eastAsia="Calibri"/>
        </w:rPr>
        <w:t xml:space="preserve"> 1523, subd. (d)),</w:t>
      </w:r>
      <w:r w:rsidRPr="00301312">
        <w:rPr>
          <w:rFonts w:eastAsia="Calibri"/>
        </w:rPr>
        <w:t xml:space="preserve"> but rather excerpts curated solely by plaintiffs’ counsel.  We find no abuse of discretion in the trial court’s exclusion of either the Shenoi Declaration or the attached summaries.</w:t>
      </w:r>
      <w:r>
        <w:rPr>
          <w:rStyle w:val="FootnoteReference"/>
          <w:rFonts w:eastAsia="Calibri"/>
        </w:rPr>
        <w:footnoteReference w:id="21"/>
      </w:r>
    </w:p>
    <w:p w14:paraId="453ADF77" w14:textId="4D423F58" w:rsidR="00801D7F" w:rsidRDefault="003A0E16" w:rsidP="005B7C88">
      <w:pPr>
        <w:pStyle w:val="Heading30"/>
        <w:keepNext/>
        <w:keepLines/>
        <w:widowControl w:val="0"/>
        <w:numPr>
          <w:ilvl w:val="0"/>
          <w:numId w:val="9"/>
        </w:numPr>
        <w:ind w:hanging="720"/>
        <w:contextualSpacing/>
      </w:pPr>
      <w:r>
        <w:t xml:space="preserve">DSS </w:t>
      </w:r>
      <w:r w:rsidR="00492016">
        <w:t>s</w:t>
      </w:r>
      <w:r>
        <w:t>tatement in Tambe’s 2013 e-mail</w:t>
      </w:r>
    </w:p>
    <w:p w14:paraId="2E8AA976" w14:textId="0317B374" w:rsidR="00801D7F" w:rsidRPr="004F2C4E" w:rsidRDefault="003A0E16" w:rsidP="005B7C88">
      <w:pPr>
        <w:keepNext/>
        <w:keepLines/>
        <w:widowControl w:val="0"/>
        <w:ind w:firstLine="720"/>
        <w:contextualSpacing/>
      </w:pPr>
      <w:r>
        <w:t xml:space="preserve">As </w:t>
      </w:r>
      <w:r w:rsidR="009E0293">
        <w:t>described</w:t>
      </w:r>
      <w:r>
        <w:t xml:space="preserve"> above, in </w:t>
      </w:r>
      <w:r w:rsidR="004A43C9">
        <w:t>August</w:t>
      </w:r>
      <w:r w:rsidRPr="004F2C4E">
        <w:t xml:space="preserve"> 2013</w:t>
      </w:r>
      <w:r>
        <w:t xml:space="preserve">, </w:t>
      </w:r>
      <w:r w:rsidR="009E0293">
        <w:t xml:space="preserve">then </w:t>
      </w:r>
      <w:r w:rsidRPr="004F2C4E">
        <w:t>Executive Director Tambe</w:t>
      </w:r>
      <w:r>
        <w:t xml:space="preserve"> </w:t>
      </w:r>
      <w:r w:rsidR="00E00F65">
        <w:t>informed</w:t>
      </w:r>
      <w:r>
        <w:t xml:space="preserve"> parents </w:t>
      </w:r>
      <w:r w:rsidR="00E00F65">
        <w:t xml:space="preserve">by e-mail </w:t>
      </w:r>
      <w:r w:rsidRPr="004F2C4E">
        <w:t xml:space="preserve">that Pacific Oaks was notified in May 2013 “by the Department of Social Services Community Care Licensing Division (CCLD) that [Pacific Oaks’s] license did not reflect the actual number of students on campus.”  </w:t>
      </w:r>
      <w:r>
        <w:t xml:space="preserve">At trial, the court </w:t>
      </w:r>
      <w:r w:rsidRPr="004F2C4E">
        <w:t xml:space="preserve">admitted the statement </w:t>
      </w:r>
      <w:r>
        <w:t xml:space="preserve">only </w:t>
      </w:r>
      <w:r w:rsidRPr="004F2C4E">
        <w:t xml:space="preserve">“as an admission by Pacific Oaks as to what parents were told.”  </w:t>
      </w:r>
      <w:r w:rsidR="009E0293">
        <w:t>The court</w:t>
      </w:r>
      <w:r w:rsidRPr="004F2C4E">
        <w:t xml:space="preserve"> declined to admit the statement for its truth—that DSS said “the license did not reflect</w:t>
      </w:r>
      <w:r w:rsidRPr="004F2C4E">
        <w:t xml:space="preserve"> the actual number of children on campus”—</w:t>
      </w:r>
      <w:r>
        <w:t>finding</w:t>
      </w:r>
      <w:r w:rsidRPr="004F2C4E">
        <w:t xml:space="preserve"> it was inadmissible hearsay.</w:t>
      </w:r>
    </w:p>
    <w:p w14:paraId="1893E7CA" w14:textId="7AFA302F" w:rsidR="00801D7F" w:rsidRPr="004F2C4E" w:rsidRDefault="003A0E16" w:rsidP="00801D7F">
      <w:pPr>
        <w:ind w:firstLine="720"/>
        <w:contextualSpacing/>
      </w:pPr>
      <w:r w:rsidRPr="004F2C4E">
        <w:t xml:space="preserve">Plaintiffs </w:t>
      </w:r>
      <w:r>
        <w:t xml:space="preserve">contend </w:t>
      </w:r>
      <w:r w:rsidRPr="004F2C4E">
        <w:t xml:space="preserve">the trial court erred </w:t>
      </w:r>
      <w:r>
        <w:t>in</w:t>
      </w:r>
      <w:r w:rsidRPr="004F2C4E">
        <w:t xml:space="preserve"> admitting the statement for a limited purpose and </w:t>
      </w:r>
      <w:r>
        <w:t xml:space="preserve">in rejecting their argument that the statement </w:t>
      </w:r>
      <w:r w:rsidRPr="004F2C4E">
        <w:t xml:space="preserve">was admissible as an adoptive admission by Pacific Oaks that it violated its license.  Plaintiffs have forfeited this </w:t>
      </w:r>
      <w:r w:rsidR="00B90A67">
        <w:t xml:space="preserve">contention </w:t>
      </w:r>
      <w:r>
        <w:t xml:space="preserve">by failing to support </w:t>
      </w:r>
      <w:r w:rsidR="00B90A67">
        <w:t>it</w:t>
      </w:r>
      <w:r>
        <w:t xml:space="preserve"> with any reasoned argument</w:t>
      </w:r>
      <w:r w:rsidRPr="004F2C4E">
        <w:t>.  Aside from alleging the trial court</w:t>
      </w:r>
      <w:r w:rsidR="00321B50">
        <w:t xml:space="preserve"> </w:t>
      </w:r>
      <w:r w:rsidR="00B46AB7">
        <w:t xml:space="preserve">erred </w:t>
      </w:r>
      <w:r w:rsidRPr="004F2C4E">
        <w:t xml:space="preserve">and citing the Evidence Code </w:t>
      </w:r>
      <w:r w:rsidR="00321B50">
        <w:t xml:space="preserve">regarding </w:t>
      </w:r>
      <w:r w:rsidRPr="004F2C4E">
        <w:t xml:space="preserve">adoptive admissions, plaintiffs have provided no analysis.  </w:t>
      </w:r>
      <w:r>
        <w:t xml:space="preserve">This is insufficient.  </w:t>
      </w:r>
      <w:r w:rsidRPr="004F2C4E">
        <w:t xml:space="preserve">“[T]o demonstrate error, an appellant must </w:t>
      </w:r>
      <w:r w:rsidRPr="004F2C4E">
        <w:t xml:space="preserve">supply the reviewing court with some cogent argument supported by legal analysis and citation to the </w:t>
      </w:r>
      <w:r w:rsidRPr="004F2C4E">
        <w:lastRenderedPageBreak/>
        <w:t>record</w:t>
      </w:r>
      <w:r>
        <w:t>.”</w:t>
      </w:r>
      <w:r w:rsidRPr="007C7C10">
        <w:rPr>
          <w:i/>
          <w:iCs/>
        </w:rPr>
        <w:t xml:space="preserve"> </w:t>
      </w:r>
      <w:r>
        <w:rPr>
          <w:i/>
          <w:iCs/>
        </w:rPr>
        <w:t xml:space="preserve"> </w:t>
      </w:r>
      <w:r>
        <w:t>(</w:t>
      </w:r>
      <w:r w:rsidRPr="004F2C4E">
        <w:rPr>
          <w:i/>
          <w:iCs/>
        </w:rPr>
        <w:t>City of Santa Maria v</w:t>
      </w:r>
      <w:r w:rsidRPr="00EA72CC">
        <w:rPr>
          <w:i/>
          <w:iCs/>
        </w:rPr>
        <w:t>.</w:t>
      </w:r>
      <w:r w:rsidRPr="004F2C4E">
        <w:rPr>
          <w:i/>
          <w:iCs/>
        </w:rPr>
        <w:t xml:space="preserve"> Adam</w:t>
      </w:r>
      <w:r w:rsidRPr="004F2C4E">
        <w:t xml:space="preserve"> (2012) 211 Cal.App.4th 266, 286–287.)</w:t>
      </w:r>
    </w:p>
    <w:p w14:paraId="7D2FF4A4" w14:textId="5801FEBE" w:rsidR="00801D7F" w:rsidRPr="004F2C4E" w:rsidRDefault="003A0E16" w:rsidP="00801D7F">
      <w:pPr>
        <w:ind w:firstLine="720"/>
        <w:contextualSpacing/>
      </w:pPr>
      <w:r>
        <w:t xml:space="preserve">Even were we to consider </w:t>
      </w:r>
      <w:r w:rsidRPr="004F2C4E">
        <w:t>plaintiffs’ argument</w:t>
      </w:r>
      <w:r>
        <w:t>, we would find it</w:t>
      </w:r>
      <w:r w:rsidRPr="004F2C4E">
        <w:t xml:space="preserve"> fails on the merits.  </w:t>
      </w:r>
      <w:r w:rsidR="00B90A67">
        <w:t xml:space="preserve">Under </w:t>
      </w:r>
      <w:r w:rsidRPr="004F2C4E">
        <w:t>Evidence Code section 1221</w:t>
      </w:r>
      <w:r w:rsidR="00B90A67">
        <w:t>, a statement offered against a party is not</w:t>
      </w:r>
      <w:r w:rsidRPr="004F2C4E">
        <w:t xml:space="preserve"> </w:t>
      </w:r>
      <w:r w:rsidR="00B90A67">
        <w:t>inadmissible hearsay if the</w:t>
      </w:r>
      <w:r w:rsidRPr="004F2C4E">
        <w:t xml:space="preserve"> party, “by words or other conduct,” manifest</w:t>
      </w:r>
      <w:r w:rsidR="00B90A67">
        <w:t>ed</w:t>
      </w:r>
      <w:r w:rsidRPr="004F2C4E">
        <w:t xml:space="preserve"> </w:t>
      </w:r>
      <w:r w:rsidR="00B90A67">
        <w:t xml:space="preserve">his </w:t>
      </w:r>
      <w:r w:rsidRPr="004F2C4E">
        <w:t xml:space="preserve">“adoption or </w:t>
      </w:r>
      <w:r w:rsidR="008451F3">
        <w:t xml:space="preserve">his </w:t>
      </w:r>
      <w:r w:rsidRPr="004F2C4E">
        <w:t xml:space="preserve">belief in </w:t>
      </w:r>
      <w:r w:rsidR="00B90A67">
        <w:t>[the statement’s]</w:t>
      </w:r>
      <w:r w:rsidRPr="004F2C4E">
        <w:t xml:space="preserve"> truth.”  “The theory of adoptive admissions expressed in section 1221 ‘ “is that the hearsay declaration is in effect repeated by the party; his conduct is intended by him to express the same proposition as that stated by the declarant.” ’ </w:t>
      </w:r>
      <w:r w:rsidR="00E0052A">
        <w:t xml:space="preserve"> [Citations.]</w:t>
      </w:r>
      <w:r w:rsidRPr="004F2C4E">
        <w:t>”  (</w:t>
      </w:r>
      <w:r w:rsidRPr="004F2C4E">
        <w:rPr>
          <w:i/>
          <w:iCs/>
        </w:rPr>
        <w:t>Jazayeri</w:t>
      </w:r>
      <w:r w:rsidRPr="004F2C4E">
        <w:t xml:space="preserve"> </w:t>
      </w:r>
      <w:r w:rsidRPr="004F2C4E">
        <w:rPr>
          <w:i/>
          <w:iCs/>
        </w:rPr>
        <w:t>v</w:t>
      </w:r>
      <w:r w:rsidRPr="00EA72CC">
        <w:rPr>
          <w:i/>
          <w:iCs/>
        </w:rPr>
        <w:t>.</w:t>
      </w:r>
      <w:r w:rsidRPr="004F2C4E">
        <w:rPr>
          <w:i/>
          <w:iCs/>
        </w:rPr>
        <w:t xml:space="preserve"> Mao</w:t>
      </w:r>
      <w:r w:rsidRPr="004F2C4E">
        <w:t xml:space="preserve"> (2009) 174 Cal.App.4th 301, 326.)</w:t>
      </w:r>
    </w:p>
    <w:p w14:paraId="33C923A0" w14:textId="02D3B46F" w:rsidR="00801D7F" w:rsidRPr="004F2C4E" w:rsidRDefault="003A0E16" w:rsidP="007B312D">
      <w:pPr>
        <w:ind w:firstLine="720"/>
        <w:contextualSpacing/>
      </w:pPr>
      <w:r w:rsidRPr="004F2C4E">
        <w:t xml:space="preserve">Plaintiffs </w:t>
      </w:r>
      <w:r>
        <w:t xml:space="preserve">identify no </w:t>
      </w:r>
      <w:r w:rsidRPr="004F2C4E">
        <w:t xml:space="preserve">evidence </w:t>
      </w:r>
      <w:r w:rsidR="003B0337">
        <w:t>showing</w:t>
      </w:r>
      <w:r w:rsidRPr="004F2C4E">
        <w:t xml:space="preserve"> Pacific Oaks’s administrators, officers, or agents conceded the accuracy of DSS’s statement that Pacific Oaks’s license did not reflect the number of students on campus.</w:t>
      </w:r>
      <w:r>
        <w:t xml:space="preserve">  To the extent any of McComas’s testimony could be understood to have referred to the DSS statement in Tambe’s e-mail, the court rejected the testimony because McComas lacked personal knowledge.</w:t>
      </w:r>
      <w:r w:rsidRPr="004F2C4E">
        <w:t xml:space="preserve">  Nor </w:t>
      </w:r>
      <w:r>
        <w:t>did</w:t>
      </w:r>
      <w:r w:rsidRPr="004F2C4E">
        <w:t xml:space="preserve"> Tambe’s recitation of DSS’s purported notification manifest </w:t>
      </w:r>
      <w:r>
        <w:t>Pacific Oaks’s</w:t>
      </w:r>
      <w:r w:rsidRPr="004F2C4E">
        <w:t xml:space="preserve"> belief in the truth of DSS’s concl</w:t>
      </w:r>
      <w:r w:rsidRPr="004F2C4E">
        <w:t>usion.  “</w:t>
      </w:r>
      <w:r w:rsidR="00374A32">
        <w:t xml:space="preserve"> ‘</w:t>
      </w:r>
      <w:r w:rsidRPr="004F2C4E">
        <w:t xml:space="preserve">[T]he mere recital or description of another’s statement does not necessarily constitute an adoption of it: </w:t>
      </w:r>
      <w:r w:rsidR="00374A32">
        <w:t>“</w:t>
      </w:r>
      <w:r w:rsidRPr="004F2C4E">
        <w:t>[A] statement describing another’s declaration is normally not regarded as an admission of the fact asserted by the other.  One does not admit everything he recounts or describes merely by reason of the relating of it.</w:t>
      </w:r>
      <w:r w:rsidR="00374A32">
        <w:t>”  [Citation.]</w:t>
      </w:r>
      <w:r w:rsidR="00BA22EB">
        <w:t>’  Citation.]</w:t>
      </w:r>
      <w:r w:rsidRPr="004F2C4E">
        <w:t>”  (</w:t>
      </w:r>
      <w:r w:rsidRPr="004F2C4E">
        <w:rPr>
          <w:i/>
          <w:iCs/>
        </w:rPr>
        <w:t>People v</w:t>
      </w:r>
      <w:r w:rsidRPr="00EA72CC">
        <w:rPr>
          <w:i/>
          <w:iCs/>
        </w:rPr>
        <w:t xml:space="preserve">. </w:t>
      </w:r>
      <w:r w:rsidRPr="004F2C4E">
        <w:rPr>
          <w:i/>
          <w:iCs/>
        </w:rPr>
        <w:t>Hayes</w:t>
      </w:r>
      <w:r w:rsidRPr="004F2C4E">
        <w:t xml:space="preserve"> (1999) 21 Cal.4th 1211, 1258.)</w:t>
      </w:r>
    </w:p>
    <w:p w14:paraId="62537888" w14:textId="062623A7" w:rsidR="00801D7F" w:rsidRPr="001703C2" w:rsidRDefault="003A0E16" w:rsidP="00166B72">
      <w:pPr>
        <w:ind w:firstLine="720"/>
        <w:contextualSpacing/>
      </w:pPr>
      <w:r>
        <w:t>Further, w</w:t>
      </w:r>
      <w:r w:rsidR="001419CB">
        <w:t xml:space="preserve">hile Tambe’s 2013 e-mail indicated the school would not be able to </w:t>
      </w:r>
      <w:r w:rsidR="00B90A67">
        <w:t>accommodate</w:t>
      </w:r>
      <w:r w:rsidR="001419CB">
        <w:t xml:space="preserve"> some children in the 2013</w:t>
      </w:r>
      <w:r w:rsidR="00B90A67">
        <w:t>–</w:t>
      </w:r>
      <w:r w:rsidR="001419CB">
        <w:t xml:space="preserve">2014 school year because DSS denied its application to increase </w:t>
      </w:r>
      <w:r w:rsidR="001419CB">
        <w:lastRenderedPageBreak/>
        <w:t xml:space="preserve">capacity, there was no evidence the existing or planned student population was actually </w:t>
      </w:r>
      <w:r w:rsidR="00CB6862">
        <w:t>reduced,</w:t>
      </w:r>
      <w:r w:rsidR="001419CB">
        <w:t xml:space="preserve"> or </w:t>
      </w:r>
      <w:r w:rsidR="00FE18C9">
        <w:t xml:space="preserve">that </w:t>
      </w:r>
      <w:r w:rsidR="001419CB">
        <w:t xml:space="preserve">any admissions offers were rescinded.  Indeed, McComas testified that </w:t>
      </w:r>
      <w:r w:rsidR="001419CB" w:rsidRPr="008260AA">
        <w:t xml:space="preserve">DSS did not require </w:t>
      </w:r>
      <w:r w:rsidR="001419CB">
        <w:t>Pacific Oaks</w:t>
      </w:r>
      <w:r w:rsidR="001419CB" w:rsidRPr="008260AA">
        <w:t xml:space="preserve"> to meet any conditions before it approved the increase in capacity</w:t>
      </w:r>
      <w:r w:rsidR="001419CB">
        <w:t xml:space="preserve"> in April 2014.  Plaintiffs’ counsel claimed in his</w:t>
      </w:r>
      <w:r w:rsidR="00D0219B">
        <w:t xml:space="preserve"> c</w:t>
      </w:r>
      <w:r w:rsidR="001703C2">
        <w:t>losing</w:t>
      </w:r>
      <w:r w:rsidR="001419CB">
        <w:t xml:space="preserve"> argument that </w:t>
      </w:r>
      <w:r w:rsidR="001419CB" w:rsidRPr="007A0CFD">
        <w:t xml:space="preserve">DSS required </w:t>
      </w:r>
      <w:r w:rsidR="001419CB">
        <w:t>Pacific Oaks</w:t>
      </w:r>
      <w:r w:rsidR="001419CB" w:rsidRPr="007A0CFD">
        <w:t xml:space="preserve"> to expel </w:t>
      </w:r>
      <w:r w:rsidR="00491603">
        <w:t>“</w:t>
      </w:r>
      <w:r w:rsidR="001419CB">
        <w:t>30</w:t>
      </w:r>
      <w:r w:rsidR="00491603">
        <w:t xml:space="preserve"> or more</w:t>
      </w:r>
      <w:r w:rsidR="001419CB">
        <w:t xml:space="preserve"> </w:t>
      </w:r>
      <w:r w:rsidR="00491603">
        <w:t>families”</w:t>
      </w:r>
      <w:r w:rsidR="001419CB" w:rsidRPr="007A0CFD">
        <w:t xml:space="preserve"> </w:t>
      </w:r>
      <w:r w:rsidR="001419CB">
        <w:t>before increasing the capacity limit</w:t>
      </w:r>
      <w:r w:rsidR="001419CB" w:rsidRPr="007A0CFD">
        <w:t xml:space="preserve">, </w:t>
      </w:r>
      <w:r w:rsidR="001419CB">
        <w:t xml:space="preserve">but he </w:t>
      </w:r>
      <w:r w:rsidR="001419CB" w:rsidRPr="007A0CFD">
        <w:t xml:space="preserve">conceded </w:t>
      </w:r>
      <w:r w:rsidR="001419CB">
        <w:t>there was no evidence of this in the record</w:t>
      </w:r>
      <w:r w:rsidR="001419CB" w:rsidRPr="007A0CFD">
        <w:t xml:space="preserve">. </w:t>
      </w:r>
      <w:r w:rsidRPr="004F2C4E">
        <w:t xml:space="preserve"> The trial court did not abuse its discretion in </w:t>
      </w:r>
      <w:r>
        <w:t>rejecting plaintiffs’ argument that the</w:t>
      </w:r>
      <w:r w:rsidRPr="004F2C4E">
        <w:t xml:space="preserve"> DSS statement in Tambe’s </w:t>
      </w:r>
      <w:r>
        <w:t>e-mail wa</w:t>
      </w:r>
      <w:r w:rsidRPr="004F2C4E">
        <w:t xml:space="preserve">s admissible </w:t>
      </w:r>
      <w:r>
        <w:t>for its truth</w:t>
      </w:r>
      <w:r w:rsidR="001703C2">
        <w:t xml:space="preserve"> as an adoptive admission</w:t>
      </w:r>
      <w:r w:rsidRPr="004F2C4E">
        <w:t>.</w:t>
      </w:r>
    </w:p>
    <w:p w14:paraId="75FCBED4" w14:textId="55309E6F" w:rsidR="00E25B82" w:rsidRPr="004F2C4E" w:rsidRDefault="003A0E16" w:rsidP="006D4A53">
      <w:pPr>
        <w:pStyle w:val="Heading30"/>
        <w:keepNext/>
        <w:keepLines/>
        <w:widowControl w:val="0"/>
        <w:numPr>
          <w:ilvl w:val="0"/>
          <w:numId w:val="9"/>
        </w:numPr>
        <w:ind w:hanging="720"/>
        <w:contextualSpacing/>
      </w:pPr>
      <w:r w:rsidRPr="004F2C4E">
        <w:t>Challenges to the trial court’s resolution of contradictions in the evidence</w:t>
      </w:r>
    </w:p>
    <w:p w14:paraId="5B1DAAE7" w14:textId="579925C0" w:rsidR="008C76DE" w:rsidRPr="004F2C4E" w:rsidRDefault="003A0E16" w:rsidP="006D4A53">
      <w:pPr>
        <w:pStyle w:val="Heading40"/>
        <w:keepNext/>
        <w:keepLines/>
        <w:widowControl w:val="0"/>
        <w:numPr>
          <w:ilvl w:val="0"/>
          <w:numId w:val="6"/>
        </w:numPr>
        <w:ind w:left="2160" w:hanging="720"/>
        <w:contextualSpacing/>
      </w:pPr>
      <w:r w:rsidRPr="004F2C4E">
        <w:t>The trial court did not abuse its discretion</w:t>
      </w:r>
      <w:r w:rsidR="00E25B82" w:rsidRPr="004F2C4E">
        <w:t xml:space="preserve"> when weighing documentary evidence</w:t>
      </w:r>
    </w:p>
    <w:p w14:paraId="1CCC30B5" w14:textId="0B0B5933" w:rsidR="002F62A1" w:rsidRDefault="003A0E16" w:rsidP="00166B72">
      <w:pPr>
        <w:ind w:firstLine="720"/>
        <w:contextualSpacing/>
      </w:pPr>
      <w:r>
        <w:t>P</w:t>
      </w:r>
      <w:r w:rsidR="00A678E5" w:rsidRPr="004F2C4E">
        <w:t xml:space="preserve">laintiffs </w:t>
      </w:r>
      <w:r w:rsidR="004413B8">
        <w:t>assert the trial court improperly discredited a report from the Pasadena Fire Department and improperly cred</w:t>
      </w:r>
      <w:r>
        <w:t xml:space="preserve">ited DSS reports.  </w:t>
      </w:r>
      <w:r w:rsidR="006B7E09">
        <w:t>We find no error.</w:t>
      </w:r>
    </w:p>
    <w:p w14:paraId="66057D99" w14:textId="64CC27E1" w:rsidR="00170726" w:rsidRDefault="003A0E16" w:rsidP="00166B72">
      <w:pPr>
        <w:ind w:firstLine="720"/>
        <w:contextualSpacing/>
      </w:pPr>
      <w:r w:rsidRPr="004F2C4E">
        <w:t xml:space="preserve">During McComas’s testimony, plaintiffs </w:t>
      </w:r>
      <w:r w:rsidR="00FA25D4">
        <w:t>sought</w:t>
      </w:r>
      <w:r w:rsidRPr="004F2C4E">
        <w:t xml:space="preserve"> to admit a report from the Pasadena Fire Department. </w:t>
      </w:r>
      <w:r>
        <w:t xml:space="preserve"> </w:t>
      </w:r>
      <w:r w:rsidR="00DB5EAC" w:rsidRPr="004F2C4E">
        <w:t xml:space="preserve">The report included a section for the fire department to note “item(s) which must be corrected in order to meet minimum fire and life safety requirements.”  In this section, the inspector noted, “177 students,” with no further explanation or context.  The trial court admitted the report but refused to “conclude from the document that anyone has counted 177 students on this date.”  The court noted plaintiffs </w:t>
      </w:r>
      <w:r w:rsidR="00B90A67">
        <w:t>did</w:t>
      </w:r>
      <w:r w:rsidR="00B90A67" w:rsidRPr="004F2C4E">
        <w:t xml:space="preserve"> </w:t>
      </w:r>
      <w:r w:rsidR="00DB5EAC" w:rsidRPr="004F2C4E">
        <w:t>not call a witness from the fire department to testify as to how the document was prepared and declined to “deduce from the document on its face [that] 177 students were at the location in the particular programs that are at issue.”</w:t>
      </w:r>
    </w:p>
    <w:p w14:paraId="026AD628" w14:textId="05FE2B1A" w:rsidR="00DB5EAC" w:rsidRPr="004F2C4E" w:rsidRDefault="003A0E16" w:rsidP="00166B72">
      <w:pPr>
        <w:ind w:firstLine="720"/>
        <w:contextualSpacing/>
      </w:pPr>
      <w:r>
        <w:lastRenderedPageBreak/>
        <w:t>P</w:t>
      </w:r>
      <w:r w:rsidR="00170726">
        <w:t xml:space="preserve">laintiffs do not argue this </w:t>
      </w:r>
      <w:r>
        <w:t xml:space="preserve">specific </w:t>
      </w:r>
      <w:r w:rsidR="00170726">
        <w:t xml:space="preserve">ruling was </w:t>
      </w:r>
      <w:r w:rsidR="006B7E09">
        <w:t>erroneous</w:t>
      </w:r>
      <w:r w:rsidR="00170726">
        <w:t xml:space="preserve">, but instead assert the fire department record </w:t>
      </w:r>
      <w:r w:rsidR="00E37E06">
        <w:t xml:space="preserve">was the “only count of actual attendance on </w:t>
      </w:r>
      <w:r w:rsidR="00DC73B0">
        <w:t xml:space="preserve">[Pacific Oaks’s] </w:t>
      </w:r>
      <w:r w:rsidR="00DA7FEA">
        <w:t xml:space="preserve">premises during the </w:t>
      </w:r>
      <w:r w:rsidR="007302F0">
        <w:t>C</w:t>
      </w:r>
      <w:r w:rsidR="00DA7FEA">
        <w:t xml:space="preserve">lass </w:t>
      </w:r>
      <w:r w:rsidR="007302F0">
        <w:t>P</w:t>
      </w:r>
      <w:r w:rsidR="00DA7FEA">
        <w:t>eriod.”</w:t>
      </w:r>
      <w:r>
        <w:rPr>
          <w:rStyle w:val="FootnoteReference"/>
        </w:rPr>
        <w:footnoteReference w:id="22"/>
      </w:r>
      <w:r w:rsidR="00DA7FEA">
        <w:t xml:space="preserve"> </w:t>
      </w:r>
      <w:r w:rsidR="003D0CDF">
        <w:t xml:space="preserve"> </w:t>
      </w:r>
      <w:r w:rsidR="00D11E35">
        <w:t>They contend</w:t>
      </w:r>
      <w:r w:rsidR="00D46225">
        <w:t xml:space="preserve">, without further explanation, that the trial court erred in </w:t>
      </w:r>
      <w:r w:rsidR="00AA1EFE">
        <w:t>not accepting th</w:t>
      </w:r>
      <w:r w:rsidR="00004628">
        <w:t xml:space="preserve">eir interpretation of the report and in failing to rely on </w:t>
      </w:r>
      <w:r w:rsidR="002F6BC6">
        <w:t xml:space="preserve">it. </w:t>
      </w:r>
      <w:r w:rsidR="00EB5013">
        <w:t xml:space="preserve"> </w:t>
      </w:r>
      <w:r w:rsidR="003D0CDF">
        <w:t xml:space="preserve">This </w:t>
      </w:r>
      <w:r w:rsidR="00602B5C">
        <w:t>contention does not state a cognizable legal argument on appeal as it</w:t>
      </w:r>
      <w:r w:rsidR="003D0CDF">
        <w:t xml:space="preserve"> ignores </w:t>
      </w:r>
      <w:r w:rsidR="00C50C39">
        <w:t xml:space="preserve">both </w:t>
      </w:r>
      <w:r w:rsidR="003D0CDF">
        <w:t>the trial court</w:t>
      </w:r>
      <w:r w:rsidR="00D11E35">
        <w:t>’s evidentiary ruling</w:t>
      </w:r>
      <w:r w:rsidR="006C7EF7">
        <w:t xml:space="preserve"> and its role as the trier of fact.</w:t>
      </w:r>
    </w:p>
    <w:p w14:paraId="3715F659" w14:textId="254AD2C6" w:rsidR="0021604F" w:rsidRPr="006D4A53" w:rsidRDefault="003A0E16" w:rsidP="00166B72">
      <w:pPr>
        <w:ind w:firstLine="720"/>
        <w:contextualSpacing/>
      </w:pPr>
      <w:r>
        <w:t>The challenged</w:t>
      </w:r>
      <w:r w:rsidRPr="004F2C4E">
        <w:t xml:space="preserve"> </w:t>
      </w:r>
      <w:r w:rsidR="00267E43" w:rsidRPr="004F2C4E">
        <w:t xml:space="preserve">DSS </w:t>
      </w:r>
      <w:r>
        <w:t>records were</w:t>
      </w:r>
      <w:r w:rsidR="00267E43" w:rsidRPr="004F2C4E">
        <w:t xml:space="preserve"> </w:t>
      </w:r>
      <w:r w:rsidR="00013BB0" w:rsidRPr="004F2C4E">
        <w:t>Facility Evaluation Reports</w:t>
      </w:r>
      <w:r w:rsidR="00267E43" w:rsidRPr="004F2C4E">
        <w:t xml:space="preserve"> from six different days during the class period.</w:t>
      </w:r>
      <w:r w:rsidR="00CF0A1A" w:rsidRPr="004F2C4E">
        <w:t xml:space="preserve"> </w:t>
      </w:r>
      <w:r w:rsidR="00267E43" w:rsidRPr="004F2C4E">
        <w:t xml:space="preserve"> </w:t>
      </w:r>
      <w:r w:rsidR="00532BBD" w:rsidRPr="004F2C4E">
        <w:t xml:space="preserve">The reports contain </w:t>
      </w:r>
      <w:r w:rsidR="007A3D57" w:rsidRPr="004F2C4E">
        <w:t xml:space="preserve">narratives that reflect they were completed by </w:t>
      </w:r>
      <w:r w:rsidR="00CC6203" w:rsidRPr="004F2C4E">
        <w:t xml:space="preserve">an official from DSS’s Community Care Licensing Division after visits to </w:t>
      </w:r>
      <w:r w:rsidR="00B36A36" w:rsidRPr="004F2C4E">
        <w:t>Pacific Oaks’s facility.</w:t>
      </w:r>
      <w:r w:rsidR="00DB5117" w:rsidRPr="004F2C4E">
        <w:t xml:space="preserve">  Each report includes a “census” </w:t>
      </w:r>
      <w:r w:rsidR="00B36A36" w:rsidRPr="004F2C4E">
        <w:t>number</w:t>
      </w:r>
      <w:r w:rsidR="00D577A4" w:rsidRPr="004F2C4E">
        <w:t xml:space="preserve">.  </w:t>
      </w:r>
      <w:r w:rsidR="00EB4F5B" w:rsidRPr="004F2C4E">
        <w:t xml:space="preserve">The trial court </w:t>
      </w:r>
      <w:r w:rsidR="001F0FA1" w:rsidRPr="004F2C4E">
        <w:t>admitted these records under the public</w:t>
      </w:r>
      <w:r w:rsidR="005E0B0D" w:rsidRPr="004F2C4E">
        <w:t xml:space="preserve"> records exception to the hearsay rul</w:t>
      </w:r>
      <w:r w:rsidR="00B82B4A" w:rsidRPr="004F2C4E">
        <w:t>e and noted that as public records, they were “presumed to be accurate when prepared as part of [a public employee’s] official duties</w:t>
      </w:r>
      <w:r w:rsidR="005E0B0D" w:rsidRPr="004F2C4E">
        <w:t>.</w:t>
      </w:r>
      <w:r w:rsidR="00B82B4A" w:rsidRPr="004F2C4E">
        <w:t>”</w:t>
      </w:r>
      <w:r w:rsidR="00B36A36" w:rsidRPr="004F2C4E">
        <w:t xml:space="preserve"> </w:t>
      </w:r>
      <w:r w:rsidR="00A46E4E" w:rsidRPr="004F2C4E">
        <w:t xml:space="preserve"> The court did not find the reports </w:t>
      </w:r>
      <w:r w:rsidR="004652D1" w:rsidRPr="004F2C4E">
        <w:t xml:space="preserve">“definitively establish[ed] compliance” but </w:t>
      </w:r>
      <w:r>
        <w:t xml:space="preserve">considered them in concluding </w:t>
      </w:r>
      <w:r w:rsidR="004652D1" w:rsidRPr="004F2C4E">
        <w:t>plaintiffs</w:t>
      </w:r>
      <w:r w:rsidR="00D95D31">
        <w:t xml:space="preserve"> </w:t>
      </w:r>
      <w:r w:rsidR="004652D1" w:rsidRPr="004F2C4E">
        <w:t xml:space="preserve">did not establish a violation of the </w:t>
      </w:r>
      <w:r w:rsidR="00D95D31">
        <w:t xml:space="preserve">DSS </w:t>
      </w:r>
      <w:r w:rsidR="004652D1" w:rsidRPr="004F2C4E">
        <w:t>license.</w:t>
      </w:r>
    </w:p>
    <w:p w14:paraId="4AC90D05" w14:textId="4429F8FA" w:rsidR="00D6505B" w:rsidRPr="004F2C4E" w:rsidRDefault="003A0E16" w:rsidP="00166B72">
      <w:pPr>
        <w:ind w:firstLine="720"/>
        <w:contextualSpacing/>
      </w:pPr>
      <w:r w:rsidRPr="004F2C4E">
        <w:t xml:space="preserve">On appeal, </w:t>
      </w:r>
      <w:r w:rsidR="00D95D31">
        <w:t>plaintiffs argue their summaries</w:t>
      </w:r>
      <w:r w:rsidR="00E41336">
        <w:t xml:space="preserve"> of the sign-in sheets established the DSS records did not count “peak attendance” on five of the six </w:t>
      </w:r>
      <w:r w:rsidR="00805395">
        <w:t xml:space="preserve">reported days. </w:t>
      </w:r>
      <w:r w:rsidR="00D551E6">
        <w:t xml:space="preserve"> However, the trial court excluded the summaries.  We have concluded that ruling </w:t>
      </w:r>
      <w:r w:rsidR="00D551E6">
        <w:lastRenderedPageBreak/>
        <w:t>was not an abuse of discretion.  Plaintiffs may not challenge the trial court’s factual findings with evidence not admitted.</w:t>
      </w:r>
    </w:p>
    <w:p w14:paraId="2382C6E5" w14:textId="02B0CE25" w:rsidR="00D6505B" w:rsidRPr="004F2C4E" w:rsidRDefault="003A0E16" w:rsidP="00166B72">
      <w:pPr>
        <w:ind w:firstLine="720"/>
        <w:contextualSpacing/>
      </w:pPr>
      <w:r>
        <w:t>Moreover</w:t>
      </w:r>
      <w:r w:rsidR="001D0E96" w:rsidRPr="004F2C4E">
        <w:t xml:space="preserve">, </w:t>
      </w:r>
      <w:r w:rsidR="005D271F" w:rsidRPr="004F2C4E">
        <w:t xml:space="preserve">it </w:t>
      </w:r>
      <w:r w:rsidR="001A16A4" w:rsidRPr="004F2C4E">
        <w:t xml:space="preserve">is within the province of the trial court to resolve conflicts in the evidence. </w:t>
      </w:r>
      <w:r w:rsidR="00C37AF2" w:rsidRPr="004F2C4E">
        <w:t xml:space="preserve"> </w:t>
      </w:r>
      <w:r w:rsidR="005D271F" w:rsidRPr="004F2C4E">
        <w:t>“[T]he trial court is the sole arbiter of all conflicts in the evidence . . . and, in the exercise of sound legal discretion, [the trial court]</w:t>
      </w:r>
      <w:r w:rsidRPr="004F2C4E">
        <w:t xml:space="preserve"> </w:t>
      </w:r>
      <w:r w:rsidR="005D271F" w:rsidRPr="004F2C4E">
        <w:t>may draw or may refuse to draw inferences reasonably deducible</w:t>
      </w:r>
      <w:r w:rsidRPr="004F2C4E">
        <w:t xml:space="preserve"> </w:t>
      </w:r>
      <w:r w:rsidR="005D271F" w:rsidRPr="004F2C4E">
        <w:t>from the evidence</w:t>
      </w:r>
      <w:r>
        <w:t>.</w:t>
      </w:r>
      <w:r w:rsidR="005D271F" w:rsidRPr="004F2C4E">
        <w:t>”</w:t>
      </w:r>
      <w:r w:rsidR="00B55D1F" w:rsidRPr="004F2C4E">
        <w:t xml:space="preserve"> </w:t>
      </w:r>
      <w:r w:rsidR="005B7C88">
        <w:t xml:space="preserve"> </w:t>
      </w:r>
      <w:r>
        <w:t>(</w:t>
      </w:r>
      <w:r w:rsidRPr="004F2C4E">
        <w:rPr>
          <w:i/>
          <w:iCs/>
        </w:rPr>
        <w:t>California Teachers Assn</w:t>
      </w:r>
      <w:r w:rsidRPr="00EA72CC">
        <w:rPr>
          <w:i/>
          <w:iCs/>
        </w:rPr>
        <w:t>. v.</w:t>
      </w:r>
      <w:r w:rsidRPr="004F2C4E">
        <w:rPr>
          <w:i/>
          <w:iCs/>
        </w:rPr>
        <w:t xml:space="preserve"> Governing Board</w:t>
      </w:r>
      <w:r w:rsidRPr="004F2C4E">
        <w:t xml:space="preserve"> (1983) 144 Cal.App.3d 27, 37</w:t>
      </w:r>
      <w:r w:rsidR="001B79D1">
        <w:t>.)</w:t>
      </w:r>
      <w:r w:rsidR="00B55D1F" w:rsidRPr="004F2C4E">
        <w:t xml:space="preserve"> </w:t>
      </w:r>
      <w:r w:rsidR="001A16A4" w:rsidRPr="004F2C4E">
        <w:t xml:space="preserve"> </w:t>
      </w:r>
      <w:r w:rsidR="00F966B5" w:rsidRPr="004F2C4E">
        <w:t>Plaintiffs’ disagreement with the trial court’s resolution of conflicting evidence is not a basis for reversal</w:t>
      </w:r>
      <w:r w:rsidRPr="004F2C4E">
        <w:t>.</w:t>
      </w:r>
    </w:p>
    <w:p w14:paraId="6540D27F" w14:textId="625EB51F" w:rsidR="00E7380C" w:rsidRPr="004F2C4E" w:rsidRDefault="003A0E16" w:rsidP="006D4A53">
      <w:pPr>
        <w:pStyle w:val="Heading40"/>
        <w:widowControl w:val="0"/>
        <w:numPr>
          <w:ilvl w:val="0"/>
          <w:numId w:val="6"/>
        </w:numPr>
        <w:ind w:left="2160" w:hanging="720"/>
        <w:contextualSpacing/>
      </w:pPr>
      <w:r w:rsidRPr="004F2C4E">
        <w:t>The trial court</w:t>
      </w:r>
      <w:r w:rsidR="009E60BD" w:rsidRPr="004F2C4E">
        <w:t xml:space="preserve"> </w:t>
      </w:r>
      <w:r w:rsidR="00D62273">
        <w:t xml:space="preserve">did not err in </w:t>
      </w:r>
      <w:r w:rsidR="009E60BD" w:rsidRPr="004F2C4E">
        <w:t xml:space="preserve">weighing </w:t>
      </w:r>
      <w:r w:rsidR="0038051E" w:rsidRPr="004F2C4E">
        <w:t>McComas’s testimony</w:t>
      </w:r>
    </w:p>
    <w:p w14:paraId="217B748B" w14:textId="7D3149F0" w:rsidR="00CE4622" w:rsidRPr="004F2C4E" w:rsidRDefault="003A0E16" w:rsidP="00166B72">
      <w:pPr>
        <w:ind w:firstLine="720"/>
        <w:contextualSpacing/>
      </w:pPr>
      <w:r w:rsidRPr="004F2C4E">
        <w:t>Plaintiffs argue t</w:t>
      </w:r>
      <w:r w:rsidR="003D6AE1" w:rsidRPr="004F2C4E">
        <w:t xml:space="preserve">he </w:t>
      </w:r>
      <w:r w:rsidR="00F679E9" w:rsidRPr="004F2C4E">
        <w:t xml:space="preserve">trial court </w:t>
      </w:r>
      <w:r w:rsidRPr="004F2C4E">
        <w:t xml:space="preserve">erred by declining </w:t>
      </w:r>
      <w:r w:rsidR="00F679E9" w:rsidRPr="004F2C4E">
        <w:t xml:space="preserve">to </w:t>
      </w:r>
      <w:r w:rsidR="00D62273">
        <w:t xml:space="preserve">accept as true </w:t>
      </w:r>
      <w:r w:rsidR="00F679E9" w:rsidRPr="004F2C4E">
        <w:t xml:space="preserve">McComas’s </w:t>
      </w:r>
      <w:r w:rsidR="001F7AFD">
        <w:t xml:space="preserve">deposition </w:t>
      </w:r>
      <w:r w:rsidR="00F679E9" w:rsidRPr="004F2C4E">
        <w:t>testimony and her 2016 declaration</w:t>
      </w:r>
      <w:r w:rsidR="00A64924" w:rsidRPr="004F2C4E">
        <w:t xml:space="preserve"> </w:t>
      </w:r>
      <w:r w:rsidR="001F1A09" w:rsidRPr="004F2C4E">
        <w:t xml:space="preserve">admission </w:t>
      </w:r>
      <w:r w:rsidR="001F7AFD">
        <w:t xml:space="preserve">appearing to concede </w:t>
      </w:r>
      <w:r w:rsidR="001F1A09" w:rsidRPr="004F2C4E">
        <w:t xml:space="preserve">that </w:t>
      </w:r>
      <w:r w:rsidR="00271CE0" w:rsidRPr="004F2C4E">
        <w:t>P</w:t>
      </w:r>
      <w:r w:rsidR="001F7AFD">
        <w:t>acific Oaks</w:t>
      </w:r>
      <w:r w:rsidR="00A64924" w:rsidRPr="004F2C4E">
        <w:t xml:space="preserve"> violated the </w:t>
      </w:r>
      <w:r w:rsidR="00215FC8">
        <w:t>DSS license capacity limit</w:t>
      </w:r>
      <w:r w:rsidR="00A64924" w:rsidRPr="004F2C4E">
        <w:t>.</w:t>
      </w:r>
      <w:r w:rsidR="001F1A09" w:rsidRPr="004F2C4E">
        <w:t xml:space="preserve">  </w:t>
      </w:r>
      <w:r w:rsidRPr="004F2C4E">
        <w:t>We find no error.</w:t>
      </w:r>
    </w:p>
    <w:p w14:paraId="7AB04578" w14:textId="3CBBB2A5" w:rsidR="00C71082" w:rsidRPr="004F2C4E" w:rsidRDefault="003A0E16" w:rsidP="00166B72">
      <w:pPr>
        <w:ind w:firstLine="720"/>
        <w:contextualSpacing/>
      </w:pPr>
      <w:r w:rsidRPr="004F2C4E">
        <w:t>It is the sole province of the trial court to weigh evidence and testimony, including the credibility of statements made in declarations.  (</w:t>
      </w:r>
      <w:r w:rsidRPr="004F2C4E">
        <w:rPr>
          <w:i/>
          <w:iCs/>
        </w:rPr>
        <w:t xml:space="preserve">DiRaffael </w:t>
      </w:r>
      <w:r w:rsidRPr="00EA72CC">
        <w:rPr>
          <w:i/>
          <w:iCs/>
        </w:rPr>
        <w:t>v.</w:t>
      </w:r>
      <w:r w:rsidRPr="004F2C4E">
        <w:rPr>
          <w:i/>
          <w:iCs/>
        </w:rPr>
        <w:t xml:space="preserve"> California Army National Guard</w:t>
      </w:r>
      <w:r w:rsidRPr="004F2C4E">
        <w:t xml:space="preserve"> (2019) 35 Cal.App.5th 692, 718; </w:t>
      </w:r>
      <w:r w:rsidRPr="004F2C4E">
        <w:rPr>
          <w:i/>
          <w:iCs/>
        </w:rPr>
        <w:t>Schmidt</w:t>
      </w:r>
      <w:r w:rsidR="00953889">
        <w:rPr>
          <w:i/>
          <w:iCs/>
        </w:rPr>
        <w:t xml:space="preserve"> v</w:t>
      </w:r>
      <w:r w:rsidR="00953889" w:rsidRPr="00EA72CC">
        <w:rPr>
          <w:i/>
          <w:iCs/>
        </w:rPr>
        <w:t>.</w:t>
      </w:r>
      <w:r w:rsidR="00953889">
        <w:rPr>
          <w:i/>
          <w:iCs/>
        </w:rPr>
        <w:t xml:space="preserve"> Superior Court </w:t>
      </w:r>
      <w:r w:rsidR="00953889">
        <w:t>(2020)</w:t>
      </w:r>
      <w:r w:rsidRPr="004F2C4E">
        <w:rPr>
          <w:i/>
          <w:iCs/>
        </w:rPr>
        <w:t xml:space="preserve"> </w:t>
      </w:r>
      <w:r w:rsidRPr="004F2C4E">
        <w:t>44 Cal.App.</w:t>
      </w:r>
      <w:r w:rsidR="00576C7F">
        <w:t>5</w:t>
      </w:r>
      <w:r w:rsidRPr="004F2C4E">
        <w:t xml:space="preserve">th </w:t>
      </w:r>
      <w:r w:rsidR="00953889">
        <w:t>570,</w:t>
      </w:r>
      <w:r w:rsidRPr="004F2C4E">
        <w:t xml:space="preserve"> 582</w:t>
      </w:r>
      <w:r w:rsidRPr="004F2C4E">
        <w:rPr>
          <w:i/>
          <w:iCs/>
        </w:rPr>
        <w:t>.</w:t>
      </w:r>
      <w:r w:rsidRPr="004F2C4E">
        <w:t xml:space="preserve">)  </w:t>
      </w:r>
      <w:r w:rsidR="002B4738" w:rsidRPr="004F2C4E">
        <w:t>W</w:t>
      </w:r>
      <w:r w:rsidRPr="004F2C4E">
        <w:t>hen, as here</w:t>
      </w:r>
      <w:r w:rsidR="00390673" w:rsidRPr="004F2C4E">
        <w:t>,</w:t>
      </w:r>
      <w:r w:rsidRPr="004F2C4E">
        <w:t xml:space="preserve"> “witnesses give conflicting factual accounts and the fact finder makes credibility assessments to resolve these conflicts, we defer to the fact finder’s determinations.”  (</w:t>
      </w:r>
      <w:r w:rsidRPr="004F2C4E">
        <w:rPr>
          <w:i/>
          <w:iCs/>
        </w:rPr>
        <w:t>RMR Equipment Rental</w:t>
      </w:r>
      <w:r w:rsidRPr="00EA72CC">
        <w:rPr>
          <w:i/>
          <w:iCs/>
        </w:rPr>
        <w:t>, Inc. v.</w:t>
      </w:r>
      <w:r w:rsidRPr="004F2C4E">
        <w:rPr>
          <w:i/>
          <w:iCs/>
        </w:rPr>
        <w:t xml:space="preserve"> Residential Fund 1347, LLC</w:t>
      </w:r>
      <w:r w:rsidRPr="004F2C4E">
        <w:t xml:space="preserve"> (2021) 65 Cal.App.5th 383, 392</w:t>
      </w:r>
      <w:r w:rsidR="002F57A6">
        <w:t xml:space="preserve"> (</w:t>
      </w:r>
      <w:r w:rsidR="002F57A6" w:rsidRPr="00173E2A">
        <w:rPr>
          <w:i/>
        </w:rPr>
        <w:t>RMR</w:t>
      </w:r>
      <w:r w:rsidR="002F57A6">
        <w:t>)</w:t>
      </w:r>
      <w:r w:rsidRPr="004F2C4E">
        <w:t>.)</w:t>
      </w:r>
    </w:p>
    <w:p w14:paraId="2CD6DB8D" w14:textId="21EC4FF7" w:rsidR="00CE4622" w:rsidRPr="004F2C4E" w:rsidRDefault="003A0E16" w:rsidP="00166B72">
      <w:pPr>
        <w:ind w:firstLine="720"/>
        <w:contextualSpacing/>
      </w:pPr>
      <w:r w:rsidRPr="004F2C4E">
        <w:t xml:space="preserve">McComas </w:t>
      </w:r>
      <w:r w:rsidR="003A2A68">
        <w:t xml:space="preserve">gave </w:t>
      </w:r>
      <w:r w:rsidR="00B90A67">
        <w:t xml:space="preserve">sworn statements </w:t>
      </w:r>
      <w:r w:rsidR="003A2A68">
        <w:t>about Pacific Oaks’s compliance with the DSS license</w:t>
      </w:r>
      <w:r w:rsidR="003A2A68" w:rsidRPr="004F2C4E">
        <w:t xml:space="preserve"> </w:t>
      </w:r>
      <w:r w:rsidRPr="004F2C4E">
        <w:t xml:space="preserve">in her deposition, </w:t>
      </w:r>
      <w:r w:rsidR="00B90A67">
        <w:t xml:space="preserve">in </w:t>
      </w:r>
      <w:r w:rsidRPr="004F2C4E">
        <w:t>two subsequent declarations, and at trial</w:t>
      </w:r>
      <w:r w:rsidR="00215FC8">
        <w:t>.</w:t>
      </w:r>
      <w:r w:rsidRPr="004F2C4E">
        <w:t xml:space="preserve">  In its role as the trier of fact, the trial court assigned weight to McComas’s </w:t>
      </w:r>
      <w:r w:rsidR="003A2A68">
        <w:t xml:space="preserve">various </w:t>
      </w:r>
      <w:r w:rsidRPr="004F2C4E">
        <w:t xml:space="preserve">statements.  </w:t>
      </w:r>
      <w:r w:rsidR="003267D4" w:rsidRPr="004F2C4E">
        <w:t xml:space="preserve">The trial court </w:t>
      </w:r>
      <w:r w:rsidR="00EE1ACA" w:rsidRPr="004F2C4E">
        <w:t xml:space="preserve">reasonably credited </w:t>
      </w:r>
      <w:r w:rsidR="003267D4" w:rsidRPr="004F2C4E">
        <w:t xml:space="preserve">parts of </w:t>
      </w:r>
      <w:r w:rsidR="003267D4" w:rsidRPr="004F2C4E">
        <w:lastRenderedPageBreak/>
        <w:t xml:space="preserve">McComas’s testimony and </w:t>
      </w:r>
      <w:r w:rsidR="00EE1ACA" w:rsidRPr="004F2C4E">
        <w:t>gave</w:t>
      </w:r>
      <w:r w:rsidR="003267D4" w:rsidRPr="004F2C4E">
        <w:t xml:space="preserve"> little </w:t>
      </w:r>
      <w:r w:rsidR="00EE1ACA" w:rsidRPr="004F2C4E">
        <w:t>weight</w:t>
      </w:r>
      <w:r w:rsidR="003267D4" w:rsidRPr="004F2C4E">
        <w:t xml:space="preserve"> to others.  We will not disturb the trial court’s determinations of McComas’s credibility on appeal.  </w:t>
      </w:r>
      <w:r w:rsidR="00895C07" w:rsidRPr="004F2C4E">
        <w:t>(</w:t>
      </w:r>
      <w:r w:rsidR="002F57A6">
        <w:rPr>
          <w:i/>
          <w:iCs/>
        </w:rPr>
        <w:t>RMR</w:t>
      </w:r>
      <w:r w:rsidR="002F57A6" w:rsidRPr="002F57A6">
        <w:t>,</w:t>
      </w:r>
      <w:r w:rsidR="002F57A6">
        <w:rPr>
          <w:i/>
          <w:iCs/>
        </w:rPr>
        <w:t xml:space="preserve"> </w:t>
      </w:r>
      <w:r w:rsidR="002F57A6" w:rsidRPr="002F57A6">
        <w:rPr>
          <w:rFonts w:cs="CenturySchoolbook"/>
          <w:i/>
          <w:iCs/>
          <w:szCs w:val="26"/>
        </w:rPr>
        <w:t>supra</w:t>
      </w:r>
      <w:r w:rsidR="002F57A6" w:rsidRPr="00173E2A">
        <w:t>,</w:t>
      </w:r>
      <w:r w:rsidR="002F57A6">
        <w:rPr>
          <w:i/>
          <w:iCs/>
        </w:rPr>
        <w:t xml:space="preserve"> </w:t>
      </w:r>
      <w:r w:rsidR="002F57A6" w:rsidRPr="00173E2A">
        <w:t>65 Cal.App.5th at p. 392</w:t>
      </w:r>
      <w:r w:rsidR="00895C07" w:rsidRPr="005B7C88">
        <w:t>.</w:t>
      </w:r>
      <w:r w:rsidR="00895C07" w:rsidRPr="004F2C4E">
        <w:t>)</w:t>
      </w:r>
    </w:p>
    <w:p w14:paraId="6A01F2B6" w14:textId="6D9C30B9" w:rsidR="00C241B8" w:rsidRPr="004F2C4E" w:rsidRDefault="003A0E16" w:rsidP="00166B72">
      <w:pPr>
        <w:ind w:firstLine="720"/>
        <w:contextualSpacing/>
      </w:pPr>
      <w:r w:rsidRPr="004F2C4E">
        <w:t xml:space="preserve">Plaintiffs </w:t>
      </w:r>
      <w:r w:rsidR="00773D19" w:rsidRPr="004F2C4E">
        <w:t xml:space="preserve">argue McComas’s testimony admitting </w:t>
      </w:r>
      <w:r w:rsidR="002A7497">
        <w:t xml:space="preserve">Pacific Oaks’s noncompliance with the DSS license </w:t>
      </w:r>
      <w:r w:rsidR="00773D19" w:rsidRPr="004F2C4E">
        <w:t>constitute</w:t>
      </w:r>
      <w:r w:rsidR="002A7497">
        <w:t>d</w:t>
      </w:r>
      <w:r w:rsidR="00773D19" w:rsidRPr="004F2C4E">
        <w:t xml:space="preserve"> a binding admission on </w:t>
      </w:r>
      <w:r w:rsidR="002A7497">
        <w:t>Pacific Oaks</w:t>
      </w:r>
      <w:r w:rsidR="002A7497" w:rsidRPr="004F2C4E">
        <w:t xml:space="preserve"> </w:t>
      </w:r>
      <w:r w:rsidR="00773D19" w:rsidRPr="004F2C4E">
        <w:t xml:space="preserve">because McComas was its administrator and agent; she testified as the person most </w:t>
      </w:r>
      <w:r w:rsidR="00060C4B">
        <w:t>knowledgeable</w:t>
      </w:r>
      <w:r w:rsidR="008C2B31" w:rsidRPr="004F2C4E">
        <w:t>; and her statements qualified</w:t>
      </w:r>
      <w:r w:rsidR="00E939DE" w:rsidRPr="004F2C4E">
        <w:t xml:space="preserve"> </w:t>
      </w:r>
      <w:r w:rsidR="008C2B31" w:rsidRPr="004F2C4E">
        <w:t xml:space="preserve">as </w:t>
      </w:r>
      <w:r w:rsidRPr="004F2C4E">
        <w:t>party admission</w:t>
      </w:r>
      <w:r w:rsidR="008C2B31" w:rsidRPr="004F2C4E">
        <w:t>s</w:t>
      </w:r>
      <w:r w:rsidR="00E939DE" w:rsidRPr="004F2C4E">
        <w:t>.</w:t>
      </w:r>
      <w:r w:rsidR="00923436" w:rsidRPr="004F2C4E">
        <w:t xml:space="preserve"> </w:t>
      </w:r>
      <w:r w:rsidR="00E939DE" w:rsidRPr="004F2C4E">
        <w:t xml:space="preserve"> </w:t>
      </w:r>
      <w:r w:rsidR="00060C4B">
        <w:t>However, t</w:t>
      </w:r>
      <w:r w:rsidR="004914C3">
        <w:t>his argument</w:t>
      </w:r>
      <w:r w:rsidR="004914C3" w:rsidRPr="004F2C4E">
        <w:t xml:space="preserve"> </w:t>
      </w:r>
      <w:r w:rsidR="00EE09AE" w:rsidRPr="004F2C4E">
        <w:t>conflate</w:t>
      </w:r>
      <w:r w:rsidR="004914C3">
        <w:t>s</w:t>
      </w:r>
      <w:r w:rsidR="00021C3B" w:rsidRPr="004F2C4E">
        <w:t xml:space="preserve"> </w:t>
      </w:r>
      <w:r w:rsidR="00EE09AE" w:rsidRPr="004F2C4E">
        <w:t xml:space="preserve">the admissibility of evidence with </w:t>
      </w:r>
      <w:r w:rsidR="00773D19" w:rsidRPr="004F2C4E">
        <w:t>determinations of its weight</w:t>
      </w:r>
      <w:r w:rsidR="00EE09AE" w:rsidRPr="004F2C4E">
        <w:t xml:space="preserve">.  </w:t>
      </w:r>
      <w:r w:rsidR="009045F0" w:rsidRPr="004F2C4E">
        <w:t xml:space="preserve">The code sections plaintiffs </w:t>
      </w:r>
      <w:r w:rsidR="004914C3" w:rsidRPr="004F2C4E">
        <w:t>cite</w:t>
      </w:r>
      <w:r w:rsidR="009045F0" w:rsidRPr="004F2C4E">
        <w:t xml:space="preserve"> </w:t>
      </w:r>
      <w:r w:rsidR="00DA6FD7" w:rsidRPr="004F2C4E">
        <w:t xml:space="preserve">in their opening brief </w:t>
      </w:r>
      <w:r w:rsidR="009045F0" w:rsidRPr="004F2C4E">
        <w:t xml:space="preserve">merely </w:t>
      </w:r>
      <w:r w:rsidR="00060C4B">
        <w:t>describe when</w:t>
      </w:r>
      <w:r w:rsidR="00060C4B" w:rsidRPr="004F2C4E">
        <w:t xml:space="preserve"> </w:t>
      </w:r>
      <w:r w:rsidR="007B503F" w:rsidRPr="004F2C4E">
        <w:t>certain party testimony</w:t>
      </w:r>
      <w:r w:rsidR="009A5AE0" w:rsidRPr="004F2C4E">
        <w:t xml:space="preserve"> </w:t>
      </w:r>
      <w:r w:rsidR="00060C4B">
        <w:t xml:space="preserve">is </w:t>
      </w:r>
      <w:r w:rsidR="009A5AE0" w:rsidRPr="004F2C4E">
        <w:t>admissible</w:t>
      </w:r>
      <w:r w:rsidR="007B503F" w:rsidRPr="004F2C4E">
        <w:t>; they do not</w:t>
      </w:r>
      <w:r w:rsidR="009A5AE0" w:rsidRPr="004F2C4E">
        <w:t xml:space="preserve"> </w:t>
      </w:r>
      <w:r w:rsidR="00AA2716" w:rsidRPr="004F2C4E">
        <w:t xml:space="preserve">establish the </w:t>
      </w:r>
      <w:r w:rsidR="00C411F4" w:rsidRPr="004F2C4E">
        <w:t xml:space="preserve">degree to which a factfinder must find the </w:t>
      </w:r>
      <w:r w:rsidR="008A24DB" w:rsidRPr="004F2C4E">
        <w:t>testimony probative</w:t>
      </w:r>
      <w:r w:rsidR="00730905" w:rsidRPr="004F2C4E">
        <w:t xml:space="preserve"> or </w:t>
      </w:r>
      <w:r w:rsidR="005E6E4C" w:rsidRPr="004F2C4E">
        <w:t xml:space="preserve">establish </w:t>
      </w:r>
      <w:r w:rsidR="008A24DB" w:rsidRPr="004F2C4E">
        <w:t xml:space="preserve">that the testimony </w:t>
      </w:r>
      <w:r w:rsidR="005B5225" w:rsidRPr="004F2C4E">
        <w:t>must be accepted as true</w:t>
      </w:r>
      <w:r w:rsidR="00D56634" w:rsidRPr="004F2C4E">
        <w:t>.</w:t>
      </w:r>
      <w:r w:rsidR="00DA6FD7" w:rsidRPr="004F2C4E">
        <w:t xml:space="preserve">  (C</w:t>
      </w:r>
      <w:r w:rsidR="00E939DE" w:rsidRPr="004F2C4E">
        <w:t xml:space="preserve">ode of </w:t>
      </w:r>
      <w:r w:rsidR="00DA6FD7" w:rsidRPr="004F2C4E">
        <w:t>Civ. Proc.</w:t>
      </w:r>
      <w:r w:rsidR="00BC2DC1" w:rsidRPr="004F2C4E">
        <w:t>,</w:t>
      </w:r>
      <w:r w:rsidR="00DA6FD7" w:rsidRPr="004F2C4E">
        <w:t xml:space="preserve"> § </w:t>
      </w:r>
      <w:r w:rsidR="00E939DE" w:rsidRPr="004F2C4E">
        <w:t>2025.620</w:t>
      </w:r>
      <w:r w:rsidR="00DA6FD7" w:rsidRPr="004F2C4E">
        <w:t xml:space="preserve">, subd. </w:t>
      </w:r>
      <w:r w:rsidR="00E939DE" w:rsidRPr="004F2C4E">
        <w:t xml:space="preserve">(b) </w:t>
      </w:r>
      <w:r w:rsidR="00BC2DC1" w:rsidRPr="004F2C4E">
        <w:t>[</w:t>
      </w:r>
      <w:r w:rsidR="00DA6FD7" w:rsidRPr="004F2C4E">
        <w:t>a party’s</w:t>
      </w:r>
      <w:r w:rsidR="00E939DE" w:rsidRPr="004F2C4E">
        <w:t xml:space="preserve"> deposition testimony at trial </w:t>
      </w:r>
      <w:r w:rsidR="00BC2DC1" w:rsidRPr="004F2C4E">
        <w:t xml:space="preserve">is admissible when offered </w:t>
      </w:r>
      <w:r w:rsidR="00E939DE" w:rsidRPr="004F2C4E">
        <w:t xml:space="preserve">by an adverse party regardless of </w:t>
      </w:r>
      <w:r w:rsidR="00BC2DC1" w:rsidRPr="004F2C4E">
        <w:t>availability</w:t>
      </w:r>
      <w:r w:rsidR="0017371E" w:rsidRPr="004F2C4E">
        <w:t>]</w:t>
      </w:r>
      <w:r w:rsidR="00BC2DC1" w:rsidRPr="004F2C4E">
        <w:t xml:space="preserve">; </w:t>
      </w:r>
      <w:r w:rsidR="00EE09AE" w:rsidRPr="004F2C4E">
        <w:t>Evid</w:t>
      </w:r>
      <w:r w:rsidR="00BC2DC1" w:rsidRPr="004F2C4E">
        <w:t xml:space="preserve">. </w:t>
      </w:r>
      <w:r w:rsidR="00EE09AE" w:rsidRPr="004F2C4E">
        <w:t>Code</w:t>
      </w:r>
      <w:r w:rsidR="00BC2DC1" w:rsidRPr="004F2C4E">
        <w:t>,</w:t>
      </w:r>
      <w:r w:rsidR="00EE09AE" w:rsidRPr="004F2C4E">
        <w:t xml:space="preserve"> </w:t>
      </w:r>
      <w:r w:rsidR="00BC2DC1" w:rsidRPr="004F2C4E">
        <w:t>§</w:t>
      </w:r>
      <w:r w:rsidR="00554B92" w:rsidRPr="004F2C4E">
        <w:t>§</w:t>
      </w:r>
      <w:r w:rsidR="00EE09AE" w:rsidRPr="004F2C4E">
        <w:t xml:space="preserve"> 122</w:t>
      </w:r>
      <w:r w:rsidR="00B6665F" w:rsidRPr="004F2C4E">
        <w:t>0, 122</w:t>
      </w:r>
      <w:r w:rsidR="00416965" w:rsidRPr="004F2C4E">
        <w:t>1</w:t>
      </w:r>
      <w:r w:rsidR="00EE09AE" w:rsidRPr="004F2C4E">
        <w:t xml:space="preserve"> </w:t>
      </w:r>
      <w:r w:rsidR="00BC2DC1" w:rsidRPr="004F2C4E">
        <w:t>[</w:t>
      </w:r>
      <w:r w:rsidR="00B6665F" w:rsidRPr="004F2C4E">
        <w:t xml:space="preserve">party admissions and </w:t>
      </w:r>
      <w:r w:rsidR="00554B92" w:rsidRPr="004F2C4E">
        <w:t>adoptive</w:t>
      </w:r>
      <w:r w:rsidR="00EE09AE" w:rsidRPr="004F2C4E">
        <w:t xml:space="preserve"> admissions are “</w:t>
      </w:r>
      <w:r w:rsidR="00EE09AE" w:rsidRPr="004F2C4E">
        <w:rPr>
          <w:i/>
          <w:iCs/>
        </w:rPr>
        <w:t>not made inadmissible</w:t>
      </w:r>
      <w:r w:rsidR="00EE09AE" w:rsidRPr="004F2C4E">
        <w:t xml:space="preserve"> by the hearsay rule</w:t>
      </w:r>
      <w:r w:rsidR="0082451F" w:rsidRPr="004F2C4E">
        <w:t>,</w:t>
      </w:r>
      <w:r w:rsidR="00C90B0B" w:rsidRPr="004F2C4E">
        <w:t>”</w:t>
      </w:r>
      <w:r w:rsidR="00EE09AE" w:rsidRPr="004F2C4E">
        <w:t xml:space="preserve"> </w:t>
      </w:r>
      <w:r w:rsidR="00C90B0B" w:rsidRPr="004F2C4E">
        <w:t>i</w:t>
      </w:r>
      <w:r w:rsidR="00EE09AE" w:rsidRPr="004F2C4E">
        <w:t>talics added</w:t>
      </w:r>
      <w:r w:rsidR="00C90B0B" w:rsidRPr="004F2C4E">
        <w:t xml:space="preserve">].)  </w:t>
      </w:r>
      <w:r w:rsidR="003267D4" w:rsidRPr="004F2C4E">
        <w:t>The trial court did not find McComas’s</w:t>
      </w:r>
      <w:r w:rsidR="00A64932" w:rsidRPr="004F2C4E">
        <w:t xml:space="preserve"> testimony</w:t>
      </w:r>
      <w:r w:rsidR="003267D4" w:rsidRPr="004F2C4E">
        <w:t xml:space="preserve"> inadmissible.  It </w:t>
      </w:r>
      <w:r w:rsidR="00A64932" w:rsidRPr="004F2C4E">
        <w:t>assigned weight to her testimony based on</w:t>
      </w:r>
      <w:r w:rsidR="00773D19" w:rsidRPr="004F2C4E">
        <w:t xml:space="preserve"> its assessment of the</w:t>
      </w:r>
      <w:r w:rsidR="00A64932" w:rsidRPr="004F2C4E">
        <w:t xml:space="preserve"> facts in the record.  Plaintiffs’ arguments are </w:t>
      </w:r>
      <w:r w:rsidR="00127EBA">
        <w:t>therefore</w:t>
      </w:r>
      <w:r w:rsidR="00A64932" w:rsidRPr="004F2C4E">
        <w:t xml:space="preserve"> inapposite.</w:t>
      </w:r>
    </w:p>
    <w:p w14:paraId="64112186" w14:textId="5F3D58C2" w:rsidR="006341E0" w:rsidRPr="004F2C4E" w:rsidRDefault="003A0E16" w:rsidP="00166B72">
      <w:pPr>
        <w:ind w:firstLine="720"/>
        <w:contextualSpacing/>
      </w:pPr>
      <w:r>
        <w:t>The case</w:t>
      </w:r>
      <w:r w:rsidR="00953889">
        <w:t xml:space="preserve"> </w:t>
      </w:r>
      <w:r>
        <w:t>law p</w:t>
      </w:r>
      <w:r w:rsidR="00FE1258" w:rsidRPr="004F2C4E">
        <w:t>laintiffs</w:t>
      </w:r>
      <w:r w:rsidR="001A7151" w:rsidRPr="004F2C4E">
        <w:t xml:space="preserve"> cite </w:t>
      </w:r>
      <w:r w:rsidR="003A2A68">
        <w:t>does not</w:t>
      </w:r>
      <w:r w:rsidR="001A7151" w:rsidRPr="004F2C4E">
        <w:t xml:space="preserve"> aid their argument</w:t>
      </w:r>
      <w:r w:rsidR="00C100F8" w:rsidRPr="004F2C4E">
        <w:t xml:space="preserve">.  </w:t>
      </w:r>
      <w:r w:rsidR="001A7151" w:rsidRPr="004F2C4E">
        <w:t>In</w:t>
      </w:r>
      <w:r w:rsidR="00C100F8" w:rsidRPr="004F2C4E">
        <w:t xml:space="preserve"> </w:t>
      </w:r>
      <w:r w:rsidR="00C100F8" w:rsidRPr="004F2C4E">
        <w:rPr>
          <w:i/>
          <w:iCs/>
        </w:rPr>
        <w:t xml:space="preserve">Hejmadi </w:t>
      </w:r>
      <w:r w:rsidR="00C100F8" w:rsidRPr="00DA2CAA">
        <w:rPr>
          <w:i/>
          <w:iCs/>
        </w:rPr>
        <w:t>v.</w:t>
      </w:r>
      <w:r w:rsidR="00C100F8" w:rsidRPr="004F2C4E">
        <w:rPr>
          <w:i/>
          <w:iCs/>
        </w:rPr>
        <w:t xml:space="preserve"> </w:t>
      </w:r>
      <w:r w:rsidR="003C6A5C" w:rsidRPr="004F2C4E">
        <w:rPr>
          <w:i/>
          <w:iCs/>
        </w:rPr>
        <w:t>AMFAC</w:t>
      </w:r>
      <w:r w:rsidR="003C6A5C" w:rsidRPr="00DA2CAA">
        <w:rPr>
          <w:i/>
          <w:iCs/>
        </w:rPr>
        <w:t>,</w:t>
      </w:r>
      <w:r w:rsidR="00C100F8" w:rsidRPr="00DA2CAA">
        <w:rPr>
          <w:i/>
          <w:iCs/>
        </w:rPr>
        <w:t xml:space="preserve"> Inc.</w:t>
      </w:r>
      <w:r w:rsidR="00C100F8" w:rsidRPr="005B7C88">
        <w:t xml:space="preserve"> </w:t>
      </w:r>
      <w:r w:rsidR="00C100F8" w:rsidRPr="004F2C4E">
        <w:t xml:space="preserve">(1988) 202 Cal.App.3d 525, </w:t>
      </w:r>
      <w:r w:rsidR="001A7151" w:rsidRPr="004F2C4E">
        <w:t xml:space="preserve">the court </w:t>
      </w:r>
      <w:r w:rsidR="00C4404F" w:rsidRPr="004F2C4E">
        <w:t xml:space="preserve">affirmed </w:t>
      </w:r>
      <w:r w:rsidR="0031030C" w:rsidRPr="004F2C4E">
        <w:t>the</w:t>
      </w:r>
      <w:r w:rsidR="00C4404F" w:rsidRPr="004F2C4E">
        <w:t xml:space="preserve"> summary </w:t>
      </w:r>
      <w:r w:rsidR="00CB247D" w:rsidRPr="004F2C4E">
        <w:t>adjudication</w:t>
      </w:r>
      <w:r w:rsidR="00C4404F" w:rsidRPr="004F2C4E">
        <w:t xml:space="preserve"> of a defamation claim</w:t>
      </w:r>
      <w:r w:rsidR="00C31352" w:rsidRPr="004F2C4E">
        <w:t xml:space="preserve"> </w:t>
      </w:r>
      <w:r w:rsidR="0031030C" w:rsidRPr="004F2C4E">
        <w:t>because</w:t>
      </w:r>
      <w:r w:rsidR="00C31352" w:rsidRPr="004F2C4E">
        <w:t xml:space="preserve"> the plaintiff conceded</w:t>
      </w:r>
      <w:r w:rsidR="00DD7EAA" w:rsidRPr="004F2C4E">
        <w:t xml:space="preserve"> in a deposition and in</w:t>
      </w:r>
      <w:r w:rsidR="00B426A5">
        <w:t xml:space="preserve"> </w:t>
      </w:r>
      <w:r w:rsidR="00DD7EAA" w:rsidRPr="004F2C4E">
        <w:t>opposition</w:t>
      </w:r>
      <w:r w:rsidR="00C31352" w:rsidRPr="004F2C4E">
        <w:t xml:space="preserve"> </w:t>
      </w:r>
      <w:r w:rsidR="001E61C4">
        <w:t>papers</w:t>
      </w:r>
      <w:r w:rsidR="00327732">
        <w:t xml:space="preserve"> </w:t>
      </w:r>
      <w:r w:rsidR="00C31352" w:rsidRPr="004F2C4E">
        <w:t xml:space="preserve">that the </w:t>
      </w:r>
      <w:r w:rsidR="00890708">
        <w:t xml:space="preserve">defendant’s </w:t>
      </w:r>
      <w:r w:rsidR="00C31352" w:rsidRPr="004F2C4E">
        <w:t xml:space="preserve">allegedly defamatory </w:t>
      </w:r>
      <w:r w:rsidR="00803802" w:rsidRPr="004F2C4E">
        <w:t>statement</w:t>
      </w:r>
      <w:r w:rsidR="00C31352" w:rsidRPr="004F2C4E">
        <w:t xml:space="preserve"> was true.  (</w:t>
      </w:r>
      <w:r w:rsidR="00C31352" w:rsidRPr="004F2C4E">
        <w:rPr>
          <w:i/>
          <w:iCs/>
        </w:rPr>
        <w:t>Id</w:t>
      </w:r>
      <w:r w:rsidR="00C31352" w:rsidRPr="005B7C88">
        <w:t>.</w:t>
      </w:r>
      <w:r w:rsidR="00C31352" w:rsidRPr="004F2C4E">
        <w:t xml:space="preserve"> at</w:t>
      </w:r>
      <w:r w:rsidR="00D8190C">
        <w:t xml:space="preserve"> p</w:t>
      </w:r>
      <w:r w:rsidR="007F7942">
        <w:t>p</w:t>
      </w:r>
      <w:r w:rsidR="00D8190C">
        <w:t>.</w:t>
      </w:r>
      <w:r w:rsidR="00C31352" w:rsidRPr="004F2C4E">
        <w:t xml:space="preserve"> 552</w:t>
      </w:r>
      <w:r w:rsidR="00CF2C3F">
        <w:t>–553</w:t>
      </w:r>
      <w:r w:rsidR="0014721D" w:rsidRPr="004F2C4E">
        <w:t xml:space="preserve">, citing </w:t>
      </w:r>
      <w:r w:rsidR="0014721D" w:rsidRPr="004F2C4E">
        <w:rPr>
          <w:i/>
          <w:iCs/>
        </w:rPr>
        <w:t xml:space="preserve">D’Amico </w:t>
      </w:r>
      <w:r w:rsidR="0014721D" w:rsidRPr="00DA2CAA">
        <w:rPr>
          <w:i/>
          <w:iCs/>
        </w:rPr>
        <w:t>v.</w:t>
      </w:r>
      <w:r w:rsidR="0014721D" w:rsidRPr="004F2C4E">
        <w:rPr>
          <w:i/>
          <w:iCs/>
        </w:rPr>
        <w:t xml:space="preserve"> Board of Medical Examiners</w:t>
      </w:r>
      <w:r w:rsidR="0014721D" w:rsidRPr="004F2C4E">
        <w:t xml:space="preserve"> (1974) 11 Cal.3d 1 (</w:t>
      </w:r>
      <w:r w:rsidR="0014721D" w:rsidRPr="004F2C4E">
        <w:rPr>
          <w:i/>
          <w:iCs/>
        </w:rPr>
        <w:t>D’Amico</w:t>
      </w:r>
      <w:r w:rsidR="0014721D" w:rsidRPr="004F2C4E">
        <w:t>)</w:t>
      </w:r>
      <w:r w:rsidR="00C31352" w:rsidRPr="004F2C4E">
        <w:t>.)</w:t>
      </w:r>
      <w:r w:rsidR="00B01630" w:rsidRPr="004F2C4E">
        <w:t xml:space="preserve">  </w:t>
      </w:r>
      <w:r w:rsidR="00B01630" w:rsidRPr="004F2C4E">
        <w:rPr>
          <w:i/>
          <w:iCs/>
        </w:rPr>
        <w:t>D’Amico</w:t>
      </w:r>
      <w:r w:rsidR="009C4F41" w:rsidRPr="004F2C4E">
        <w:t xml:space="preserve"> held</w:t>
      </w:r>
      <w:r w:rsidR="00127EBA" w:rsidRPr="004F2C4E">
        <w:t xml:space="preserve"> a plaintiff’s statements in a declaration</w:t>
      </w:r>
      <w:r w:rsidR="00127EBA">
        <w:t xml:space="preserve"> </w:t>
      </w:r>
      <w:r w:rsidR="00A56660">
        <w:t>d</w:t>
      </w:r>
      <w:r w:rsidR="00A56660" w:rsidRPr="004F2C4E">
        <w:t xml:space="preserve">o not </w:t>
      </w:r>
      <w:r w:rsidR="00A56660">
        <w:t>create</w:t>
      </w:r>
      <w:r w:rsidR="00A56660" w:rsidRPr="004F2C4E">
        <w:t xml:space="preserve"> a triable issue </w:t>
      </w:r>
      <w:r w:rsidR="00A56660" w:rsidRPr="004F2C4E">
        <w:lastRenderedPageBreak/>
        <w:t>of fact</w:t>
      </w:r>
      <w:r w:rsidR="00A56660">
        <w:t xml:space="preserve"> if they </w:t>
      </w:r>
      <w:r w:rsidR="00566B73">
        <w:t>contradict</w:t>
      </w:r>
      <w:r w:rsidR="009C4F41" w:rsidRPr="004F2C4E">
        <w:t xml:space="preserve"> </w:t>
      </w:r>
      <w:r w:rsidR="001422F6" w:rsidRPr="004F2C4E">
        <w:t>“</w:t>
      </w:r>
      <w:r w:rsidR="0020763F">
        <w:t xml:space="preserve"> ‘</w:t>
      </w:r>
      <w:r w:rsidRPr="004F2C4E">
        <w:t>a clear and unequivocal admission by the plaintiff</w:t>
      </w:r>
      <w:r w:rsidR="0020763F">
        <w:t xml:space="preserve">’ </w:t>
      </w:r>
      <w:r w:rsidR="009437E5" w:rsidRPr="004F2C4E">
        <w:t>” in a deposition.</w:t>
      </w:r>
      <w:r w:rsidR="006B366E" w:rsidRPr="004F2C4E">
        <w:t xml:space="preserve">  (</w:t>
      </w:r>
      <w:r w:rsidR="00000F73" w:rsidRPr="004F2C4E">
        <w:rPr>
          <w:i/>
          <w:iCs/>
        </w:rPr>
        <w:t>D’Amico</w:t>
      </w:r>
      <w:r w:rsidR="00000F73" w:rsidRPr="004F2C4E">
        <w:t xml:space="preserve">, </w:t>
      </w:r>
      <w:r w:rsidR="00953889">
        <w:t xml:space="preserve">at </w:t>
      </w:r>
      <w:r w:rsidR="00000F73" w:rsidRPr="004F2C4E">
        <w:t>p. 21.)</w:t>
      </w:r>
      <w:r w:rsidR="002C7644" w:rsidRPr="004F2C4E">
        <w:t xml:space="preserve"> </w:t>
      </w:r>
      <w:r w:rsidR="00AA04EF" w:rsidRPr="004F2C4E">
        <w:t xml:space="preserve"> </w:t>
      </w:r>
      <w:r w:rsidR="009D727C" w:rsidRPr="004F2C4E">
        <w:t xml:space="preserve">The instant </w:t>
      </w:r>
      <w:r w:rsidR="008B5D79" w:rsidRPr="004F2C4E">
        <w:t>case</w:t>
      </w:r>
      <w:r w:rsidR="009D727C" w:rsidRPr="004F2C4E">
        <w:t xml:space="preserve"> is easily distinguishable.  </w:t>
      </w:r>
      <w:r w:rsidR="00566B73">
        <w:t>The trial court was not tasked with determining whether there was a triable issue of fact</w:t>
      </w:r>
      <w:r w:rsidR="003A2A68">
        <w:t>.</w:t>
      </w:r>
      <w:r w:rsidR="00566B73">
        <w:t xml:space="preserve"> </w:t>
      </w:r>
      <w:r w:rsidR="003A2A68">
        <w:t xml:space="preserve"> I</w:t>
      </w:r>
      <w:r w:rsidR="00566B73">
        <w:t>nstead</w:t>
      </w:r>
      <w:r w:rsidR="003A2A68">
        <w:t>, the court</w:t>
      </w:r>
      <w:r w:rsidR="00566B73">
        <w:t xml:space="preserve"> was the trier of fact who was required to </w:t>
      </w:r>
      <w:r w:rsidR="003A2A68">
        <w:t>assess</w:t>
      </w:r>
      <w:r w:rsidR="00566B73">
        <w:t xml:space="preserve"> credi</w:t>
      </w:r>
      <w:r w:rsidR="00CE650F">
        <w:t>bility, resolve evidentiary conflicts, and make factual findings.  Further,</w:t>
      </w:r>
      <w:r w:rsidR="00C76B66" w:rsidRPr="004F2C4E">
        <w:t xml:space="preserve"> </w:t>
      </w:r>
      <w:r w:rsidR="00A63300" w:rsidRPr="004F2C4E">
        <w:t>McComas’s</w:t>
      </w:r>
      <w:r w:rsidR="00AC20E4" w:rsidRPr="004F2C4E">
        <w:t xml:space="preserve"> statements </w:t>
      </w:r>
      <w:r w:rsidR="00C76B66" w:rsidRPr="004F2C4E">
        <w:t xml:space="preserve">were </w:t>
      </w:r>
      <w:r w:rsidR="00A63300" w:rsidRPr="004F2C4E">
        <w:t xml:space="preserve">not “clear and unequivocal” </w:t>
      </w:r>
      <w:r w:rsidR="00AC20E4" w:rsidRPr="004F2C4E">
        <w:t>such that they compel</w:t>
      </w:r>
      <w:r w:rsidR="00D34E7B" w:rsidRPr="004F2C4E">
        <w:t xml:space="preserve">led the trial court to accept them as </w:t>
      </w:r>
      <w:r w:rsidR="008946A0">
        <w:t xml:space="preserve">irrefutable </w:t>
      </w:r>
      <w:r w:rsidR="00D34E7B" w:rsidRPr="004F2C4E">
        <w:t>admission</w:t>
      </w:r>
      <w:r w:rsidR="007C0C1E">
        <w:t>s</w:t>
      </w:r>
      <w:r w:rsidR="00D34E7B" w:rsidRPr="004F2C4E">
        <w:t>.</w:t>
      </w:r>
    </w:p>
    <w:p w14:paraId="563DACBB" w14:textId="69C63C0F" w:rsidR="00A81CEE" w:rsidRPr="004F2C4E" w:rsidRDefault="003A0E16" w:rsidP="006D4A53">
      <w:pPr>
        <w:ind w:firstLine="720"/>
        <w:contextualSpacing/>
        <w:rPr>
          <w:bCs/>
        </w:rPr>
      </w:pPr>
      <w:r>
        <w:t>Indeed</w:t>
      </w:r>
      <w:r w:rsidR="00611A2F" w:rsidRPr="004F2C4E">
        <w:t xml:space="preserve">, the record does not support plaintiffs’ claim that there was only one reasonable interpretation of McComas’s testimony.  </w:t>
      </w:r>
      <w:r w:rsidR="003C0B0E" w:rsidRPr="004F2C4E">
        <w:t xml:space="preserve">Even in the select excerpts </w:t>
      </w:r>
      <w:r w:rsidR="00B93961" w:rsidRPr="004F2C4E">
        <w:t xml:space="preserve">plaintiffs </w:t>
      </w:r>
      <w:r w:rsidR="003C0B0E" w:rsidRPr="004F2C4E">
        <w:t xml:space="preserve">cite, McComas </w:t>
      </w:r>
      <w:r w:rsidR="00B93961">
        <w:t>did not</w:t>
      </w:r>
      <w:r w:rsidR="00B93961" w:rsidRPr="004F2C4E">
        <w:t xml:space="preserve"> </w:t>
      </w:r>
      <w:r w:rsidR="003C0B0E" w:rsidRPr="004F2C4E">
        <w:t>testif</w:t>
      </w:r>
      <w:r w:rsidR="00B93961">
        <w:t>y</w:t>
      </w:r>
      <w:r w:rsidR="00ED2519" w:rsidRPr="004F2C4E">
        <w:t xml:space="preserve"> that </w:t>
      </w:r>
      <w:r w:rsidR="00B93961">
        <w:t>the statements in</w:t>
      </w:r>
      <w:r w:rsidR="00ED2519" w:rsidRPr="004F2C4E">
        <w:t xml:space="preserve"> </w:t>
      </w:r>
      <w:r w:rsidR="00906A59" w:rsidRPr="004F2C4E">
        <w:t xml:space="preserve">her 2016 declaration </w:t>
      </w:r>
      <w:r w:rsidR="00ED2519" w:rsidRPr="004F2C4E">
        <w:t xml:space="preserve">were based on a specific definition of “capacity.”  </w:t>
      </w:r>
      <w:r w:rsidR="00B26378" w:rsidRPr="004F2C4E">
        <w:t xml:space="preserve">We find no basis to disturb the court’s resolution of </w:t>
      </w:r>
      <w:r w:rsidR="004A136F">
        <w:t>McComas’s</w:t>
      </w:r>
      <w:r w:rsidR="00B26378" w:rsidRPr="004F2C4E">
        <w:t xml:space="preserve"> contradictory </w:t>
      </w:r>
      <w:r w:rsidR="008C2B31" w:rsidRPr="004F2C4E">
        <w:t>testimony.</w:t>
      </w:r>
      <w:r>
        <w:rPr>
          <w:rStyle w:val="FootnoteReference"/>
        </w:rPr>
        <w:footnoteReference w:id="23"/>
      </w:r>
    </w:p>
    <w:p w14:paraId="6123FD83" w14:textId="4D353B84" w:rsidR="00E06368" w:rsidRPr="00166B72" w:rsidRDefault="003A0E16" w:rsidP="006D4A53">
      <w:pPr>
        <w:pStyle w:val="Heading20"/>
        <w:widowControl w:val="0"/>
        <w:numPr>
          <w:ilvl w:val="0"/>
          <w:numId w:val="1"/>
        </w:numPr>
        <w:ind w:left="720"/>
        <w:contextualSpacing/>
      </w:pPr>
      <w:r w:rsidRPr="00166B72">
        <w:t>The Trial Court Correctly Found Plaintiffs Lacked Standing as to Their UCL Unlawful Conduct Claim</w:t>
      </w:r>
    </w:p>
    <w:p w14:paraId="04FF46D4" w14:textId="3ACDD874" w:rsidR="00E825B4" w:rsidRDefault="003A0E16" w:rsidP="00E825B4">
      <w:pPr>
        <w:ind w:firstLine="720"/>
      </w:pPr>
      <w:r>
        <w:t xml:space="preserve">Plaintiffs contend the trial court erred by finding that even if the inference could be drawn from the sign-in sheets that Pacific Oaks had more children in attendance than the license </w:t>
      </w:r>
      <w:r>
        <w:lastRenderedPageBreak/>
        <w:t>allowed during the 2009</w:t>
      </w:r>
      <w:r w:rsidR="00B431FE">
        <w:t>–</w:t>
      </w:r>
      <w:r>
        <w:t xml:space="preserve">2010 school year, plaintiffs did not establish standing under the UCL.  </w:t>
      </w:r>
      <w:r w:rsidR="003A2A68">
        <w:t>We again find no error.</w:t>
      </w:r>
    </w:p>
    <w:p w14:paraId="1F56E3A2" w14:textId="118EF928" w:rsidR="00275ED9" w:rsidRPr="00166B72" w:rsidRDefault="003A0E16" w:rsidP="00275ED9">
      <w:pPr>
        <w:ind w:firstLine="720"/>
      </w:pPr>
      <w:r>
        <w:t>In their objections to the statement of decision, plaintiffs identified one day in the 2009–2010 school year</w:t>
      </w:r>
      <w:r w:rsidR="00EE435A">
        <w:t xml:space="preserve"> on which they claimed</w:t>
      </w:r>
      <w:r>
        <w:t xml:space="preserve"> Pacific Oaks exceeded its capacity in the afternoon.  However, the trial court noted plaintiffs’ children’s names were not listed on the attendance records for that day.  In fact, the trial court found </w:t>
      </w:r>
      <w:r w:rsidR="00B22D0C">
        <w:t xml:space="preserve">the </w:t>
      </w:r>
      <w:r>
        <w:t xml:space="preserve">evidence established plaintiffs’ children did not attend Pacific Oaks until the 2010–2011 school year.  Further, </w:t>
      </w:r>
      <w:r w:rsidR="003A2A68">
        <w:t xml:space="preserve">at a post-trial hearing, </w:t>
      </w:r>
      <w:r>
        <w:t>plaintiffs’ counsel conceded plaintiffs never had proof</w:t>
      </w:r>
      <w:r w:rsidR="00CC2129">
        <w:t>,</w:t>
      </w:r>
      <w:r>
        <w:t xml:space="preserve"> “and did not attempt to present” proof at trial</w:t>
      </w:r>
      <w:r w:rsidR="00CC2129">
        <w:t>,</w:t>
      </w:r>
      <w:r>
        <w:t xml:space="preserve"> that plaintiffs’ children attended a pa</w:t>
      </w:r>
      <w:r>
        <w:t xml:space="preserve">rticular program while it was overcapacity.  Plaintiffs’ counsel further stated he had not examined the attendance records to determine whether more than 77 students attended Pacific Oaks on dates the named plaintiffs’ children were present because “[t]hat is not the theory of [plaintiffs’] case.” </w:t>
      </w:r>
      <w:r w:rsidR="003F07F4">
        <w:t xml:space="preserve"> In its statement of decision, the trial court found plaintiffs </w:t>
      </w:r>
      <w:r w:rsidR="00CC2129">
        <w:t xml:space="preserve">lacked standing because they </w:t>
      </w:r>
      <w:r w:rsidR="003F07F4">
        <w:t xml:space="preserve">did not prove “that </w:t>
      </w:r>
      <w:r w:rsidR="003F07F4" w:rsidRPr="002A6AFD">
        <w:rPr>
          <w:i/>
          <w:iCs/>
        </w:rPr>
        <w:t>Plaintiffs’</w:t>
      </w:r>
      <w:r w:rsidR="003F07F4" w:rsidRPr="002A6AFD">
        <w:t xml:space="preserve"> </w:t>
      </w:r>
      <w:r w:rsidR="003F07F4">
        <w:t>children attended at a time when the number of children in attendance, or expected to be in attendance, exceeded the capacity license.”</w:t>
      </w:r>
    </w:p>
    <w:p w14:paraId="6367754C" w14:textId="77777777" w:rsidR="00275ED9" w:rsidRDefault="003A0E16" w:rsidP="00275ED9">
      <w:pPr>
        <w:ind w:firstLine="720"/>
      </w:pPr>
      <w:r>
        <w:t>Plaintiffs contend the trial court’s standing determination was erroneous as a matter of law.</w:t>
      </w:r>
      <w:r>
        <w:rPr>
          <w:rStyle w:val="FootnoteReference"/>
        </w:rPr>
        <w:footnoteReference w:id="24"/>
      </w:r>
      <w:r>
        <w:t xml:space="preserve">  We review questions of law </w:t>
      </w:r>
      <w:r>
        <w:lastRenderedPageBreak/>
        <w:t>related to standing</w:t>
      </w:r>
      <w:r w:rsidRPr="00892293">
        <w:t xml:space="preserve"> </w:t>
      </w:r>
      <w:r>
        <w:t>de novo and find no error.  (</w:t>
      </w:r>
      <w:r w:rsidRPr="00D776EF">
        <w:rPr>
          <w:i/>
          <w:iCs/>
        </w:rPr>
        <w:t>San Luis Rey Racing</w:t>
      </w:r>
      <w:r w:rsidRPr="00DA2CAA">
        <w:rPr>
          <w:i/>
          <w:iCs/>
        </w:rPr>
        <w:t>, Inc. v. California Horse Racing Bd.</w:t>
      </w:r>
      <w:r>
        <w:t xml:space="preserve"> (2017) 15 Cal.App.5th 67, 73.)</w:t>
      </w:r>
    </w:p>
    <w:p w14:paraId="130BCE56" w14:textId="5CB1BE14" w:rsidR="00275ED9" w:rsidRDefault="003A0E16" w:rsidP="00275ED9">
      <w:pPr>
        <w:ind w:firstLine="720"/>
      </w:pPr>
      <w:r>
        <w:t xml:space="preserve">Business and Professions Code section 17203 permits a private plaintiff to pursue “relief on behalf of others” under the UCL only if the plaintiff “meets the standing requirements of Section 17204 . . . .”  </w:t>
      </w:r>
      <w:r w:rsidR="00AC3F05">
        <w:t>Business and Professions Code s</w:t>
      </w:r>
      <w:r>
        <w:t>ection 17204 authorizes “a person who has suffered injury in fact and has lost money or property as a result of the unfair competition” to prosecute an action for relief.  (</w:t>
      </w:r>
      <w:r w:rsidRPr="00D6303B">
        <w:t>See</w:t>
      </w:r>
      <w:r w:rsidRPr="00D776EF">
        <w:rPr>
          <w:i/>
          <w:iCs/>
        </w:rPr>
        <w:t xml:space="preserve"> California Medical Assn</w:t>
      </w:r>
      <w:r w:rsidRPr="00DA2CAA">
        <w:rPr>
          <w:i/>
          <w:iCs/>
        </w:rPr>
        <w:t>. v.</w:t>
      </w:r>
      <w:r w:rsidRPr="00D776EF">
        <w:rPr>
          <w:i/>
          <w:iCs/>
        </w:rPr>
        <w:t xml:space="preserve"> Aetna Health of California Inc</w:t>
      </w:r>
      <w:r w:rsidRPr="00DA2CAA">
        <w:rPr>
          <w:i/>
          <w:iCs/>
        </w:rPr>
        <w:t>.</w:t>
      </w:r>
      <w:r>
        <w:t xml:space="preserve"> (2023) 14 Cal.5th 1075, 1082.)</w:t>
      </w:r>
    </w:p>
    <w:p w14:paraId="46F77808" w14:textId="12766148" w:rsidR="00275ED9" w:rsidRDefault="003A0E16" w:rsidP="00275ED9">
      <w:pPr>
        <w:ind w:firstLine="720"/>
      </w:pPr>
      <w:r>
        <w:t>“</w:t>
      </w:r>
      <w:r w:rsidRPr="006F7F19">
        <w:t xml:space="preserve">To satisfy the </w:t>
      </w:r>
      <w:r w:rsidR="00482E1A">
        <w:t>[</w:t>
      </w:r>
      <w:r w:rsidRPr="006F7F19">
        <w:t>UCL</w:t>
      </w:r>
      <w:r w:rsidR="007C02F3">
        <w:t>]</w:t>
      </w:r>
      <w:r w:rsidRPr="006F7F19">
        <w:t xml:space="preserve"> standing requirement</w:t>
      </w:r>
      <w:r w:rsidR="007C02F3">
        <w:t>s[</w:t>
      </w:r>
      <w:r w:rsidRPr="006F7F19">
        <w:t>,</w:t>
      </w:r>
      <w:r w:rsidR="007C02F3">
        <w:t>]</w:t>
      </w:r>
      <w:r w:rsidRPr="006F7F19">
        <w:t xml:space="preserve"> </w:t>
      </w:r>
      <w:r w:rsidR="006E1089">
        <w:t xml:space="preserve">. . . </w:t>
      </w:r>
      <w:r w:rsidR="00BB5432">
        <w:t>[</w:t>
      </w:r>
      <w:r w:rsidRPr="006F7F19">
        <w:t>the plaintiff</w:t>
      </w:r>
      <w:r w:rsidR="006E1089">
        <w:t>]</w:t>
      </w:r>
      <w:r w:rsidRPr="006F7F19">
        <w:t xml:space="preserve"> must </w:t>
      </w:r>
      <w:r w:rsidR="00A1343F">
        <w:t xml:space="preserve">. . . </w:t>
      </w:r>
      <w:r w:rsidRPr="006F7F19">
        <w:t>(1) establish a loss or deprivation of money or property sufficient to qualify as injury in fact, i.e., economic injury, and (2)</w:t>
      </w:r>
      <w:r w:rsidR="00D65B82">
        <w:t> </w:t>
      </w:r>
      <w:r w:rsidRPr="006F7F19">
        <w:t xml:space="preserve">show that that economic injury was the result of, i.e., caused by, the unfair business practice or false advertising that is the gravamen of the claim.” </w:t>
      </w:r>
      <w:r>
        <w:t xml:space="preserve"> </w:t>
      </w:r>
      <w:r w:rsidRPr="006F7F19">
        <w:t>(</w:t>
      </w:r>
      <w:r w:rsidRPr="00A148E4">
        <w:rPr>
          <w:i/>
          <w:iCs/>
        </w:rPr>
        <w:t>Kwikset Corp</w:t>
      </w:r>
      <w:r w:rsidRPr="00EB7E8D">
        <w:rPr>
          <w:i/>
          <w:iCs/>
        </w:rPr>
        <w:t>. v.</w:t>
      </w:r>
      <w:r w:rsidRPr="00A148E4">
        <w:rPr>
          <w:i/>
          <w:iCs/>
        </w:rPr>
        <w:t xml:space="preserve"> Superior Court </w:t>
      </w:r>
      <w:r w:rsidRPr="00A148E4">
        <w:t>(2011) 51 Cal.4th 310, 322, italics omitted</w:t>
      </w:r>
      <w:r w:rsidRPr="006F7F19">
        <w:t>.)</w:t>
      </w:r>
      <w:r>
        <w:t xml:space="preserve">  Where economic injury is concerned, as here, “[t]</w:t>
      </w:r>
      <w:r w:rsidRPr="00CE248D">
        <w:t>he relevant inquiry f</w:t>
      </w:r>
      <w:r w:rsidRPr="00CE248D">
        <w:t>or standing purposes is whether a defendant</w:t>
      </w:r>
      <w:r>
        <w:t>’</w:t>
      </w:r>
      <w:r w:rsidRPr="00CE248D">
        <w:t>s unlawful conduct caused the plaintiff to part with money</w:t>
      </w:r>
      <w:r>
        <w:t>.”  (</w:t>
      </w:r>
      <w:r w:rsidRPr="00CE248D">
        <w:rPr>
          <w:i/>
          <w:iCs/>
        </w:rPr>
        <w:t>Mayron v</w:t>
      </w:r>
      <w:r w:rsidRPr="00EB7E8D">
        <w:rPr>
          <w:i/>
          <w:iCs/>
        </w:rPr>
        <w:t>.</w:t>
      </w:r>
      <w:r w:rsidRPr="00CE248D">
        <w:rPr>
          <w:i/>
          <w:iCs/>
        </w:rPr>
        <w:t xml:space="preserve"> Google LLC</w:t>
      </w:r>
      <w:r w:rsidRPr="00CE248D">
        <w:t xml:space="preserve"> (2020) 54 Cal.App.5th 566, 575</w:t>
      </w:r>
      <w:r>
        <w:t xml:space="preserve"> (</w:t>
      </w:r>
      <w:r w:rsidRPr="00B854B6">
        <w:rPr>
          <w:i/>
          <w:iCs/>
        </w:rPr>
        <w:t>Mayron</w:t>
      </w:r>
      <w:r>
        <w:t>).)</w:t>
      </w:r>
    </w:p>
    <w:p w14:paraId="7A2D36D4" w14:textId="5D365AEE" w:rsidR="00275ED9" w:rsidRDefault="003A0E16" w:rsidP="00275ED9">
      <w:pPr>
        <w:ind w:firstLine="720"/>
      </w:pPr>
      <w:r>
        <w:lastRenderedPageBreak/>
        <w:t>“In order to pursue a UCL claim, the plaintiff must show that the practices that it characterizes as unlawful caused it to suffer an actual economic injury.”</w:t>
      </w:r>
      <w:r w:rsidRPr="002F1849">
        <w:rPr>
          <w:i/>
          <w:iCs/>
        </w:rPr>
        <w:t xml:space="preserve"> </w:t>
      </w:r>
      <w:r>
        <w:rPr>
          <w:i/>
          <w:iCs/>
        </w:rPr>
        <w:t xml:space="preserve"> </w:t>
      </w:r>
      <w:r>
        <w:t>(</w:t>
      </w:r>
      <w:r w:rsidRPr="00812ADE">
        <w:rPr>
          <w:i/>
          <w:iCs/>
        </w:rPr>
        <w:t>Two Jinn</w:t>
      </w:r>
      <w:r w:rsidRPr="00EB7E8D">
        <w:rPr>
          <w:i/>
          <w:iCs/>
        </w:rPr>
        <w:t>, Inc. v. Government Payment Service, Inc.</w:t>
      </w:r>
      <w:r w:rsidRPr="00812ADE">
        <w:rPr>
          <w:i/>
          <w:iCs/>
        </w:rPr>
        <w:t xml:space="preserve"> </w:t>
      </w:r>
      <w:r w:rsidRPr="00812ADE">
        <w:t>(2015) 233 Cal.App.4th 1321, 133</w:t>
      </w:r>
      <w:r w:rsidR="006C2CC5">
        <w:t>3</w:t>
      </w:r>
      <w:r>
        <w:t xml:space="preserve">.)  Thus, standing for a UCL claim based on alleged unlawful conduct requires that the plaintiff show the unlawful conduct itself caused the economic injury plaintiffs claim they suffered.  Plaintiffs cannot make that showing here based on unlawful conduct that occurred only when their children were not enrolled at Pacific Oaks.  Plaintiffs appear to claim </w:t>
      </w:r>
      <w:r w:rsidR="003A2A68">
        <w:t>they have</w:t>
      </w:r>
      <w:r>
        <w:t xml:space="preserve"> standing </w:t>
      </w:r>
      <w:r w:rsidR="003A2A68">
        <w:t>because</w:t>
      </w:r>
      <w:r>
        <w:t xml:space="preserve"> they would </w:t>
      </w:r>
      <w:r w:rsidR="003A2A68">
        <w:t xml:space="preserve">not </w:t>
      </w:r>
      <w:r>
        <w:t xml:space="preserve">have enrolled </w:t>
      </w:r>
      <w:r w:rsidR="003A2A68">
        <w:t>their children had</w:t>
      </w:r>
      <w:r>
        <w:t xml:space="preserve"> they </w:t>
      </w:r>
      <w:r w:rsidR="003A2A68">
        <w:t>known</w:t>
      </w:r>
      <w:r>
        <w:t xml:space="preserve"> Pacific Oaks operated in violation of the DSS license in the school</w:t>
      </w:r>
      <w:r>
        <w:t xml:space="preserve"> year </w:t>
      </w:r>
      <w:r w:rsidRPr="002A6AFD">
        <w:rPr>
          <w:i/>
          <w:iCs/>
        </w:rPr>
        <w:t>before</w:t>
      </w:r>
      <w:r>
        <w:t xml:space="preserve"> they began attending the school, even if they cannot establish a license violation in the years they actually attended.  Yet this theory, even if valid, would only relate to claims in which the un</w:t>
      </w:r>
      <w:r w:rsidR="003A2A68">
        <w:t>lawful</w:t>
      </w:r>
      <w:r>
        <w:t xml:space="preserve"> business practice was the failure to inform parents of the lack of compliance with the license.</w:t>
      </w:r>
      <w:r w:rsidR="00931394">
        <w:t xml:space="preserve">  This was the allegation underpinning plaintiffs’ </w:t>
      </w:r>
      <w:r w:rsidR="006E6137">
        <w:t>fraud-based claims</w:t>
      </w:r>
      <w:r w:rsidR="00900D22">
        <w:t xml:space="preserve">.  It </w:t>
      </w:r>
      <w:r w:rsidR="006E6137">
        <w:t xml:space="preserve">was insufficient as a basis for standing </w:t>
      </w:r>
      <w:r w:rsidR="00FC2CDC">
        <w:t>for the unlawful conduct claim pled and litigated by plaintiffs that Pacific Oaks only operated unlawfully by exceeding its</w:t>
      </w:r>
      <w:r w:rsidR="00DC26C3">
        <w:t xml:space="preserve"> capacity license in violation of state regulations</w:t>
      </w:r>
      <w:r w:rsidR="006E6137">
        <w:t xml:space="preserve">. </w:t>
      </w:r>
      <w:r w:rsidR="0060274B">
        <w:t xml:space="preserve"> </w:t>
      </w:r>
      <w:r w:rsidR="006E6137">
        <w:t>(</w:t>
      </w:r>
      <w:r w:rsidR="006E6137" w:rsidRPr="002A6AFD">
        <w:rPr>
          <w:i/>
          <w:iCs/>
        </w:rPr>
        <w:t>Medrazo v</w:t>
      </w:r>
      <w:r w:rsidR="006E6137" w:rsidRPr="00EB7E8D">
        <w:rPr>
          <w:i/>
          <w:iCs/>
        </w:rPr>
        <w:t xml:space="preserve">. </w:t>
      </w:r>
      <w:r w:rsidR="006E6137" w:rsidRPr="002A6AFD">
        <w:rPr>
          <w:i/>
          <w:iCs/>
        </w:rPr>
        <w:t>Honda of North Hollywood</w:t>
      </w:r>
      <w:r w:rsidR="006E6137">
        <w:t xml:space="preserve"> (2012) 205 Cal.App.4th 1, 11–12 [trial court erred by “fail[ing] to take into account the different prongs of the UCL”].)</w:t>
      </w:r>
    </w:p>
    <w:p w14:paraId="1A96ADC6" w14:textId="4E0D1A7E" w:rsidR="00C5423E" w:rsidRDefault="003A0E16" w:rsidP="00275ED9">
      <w:pPr>
        <w:ind w:firstLine="720"/>
      </w:pPr>
      <w:r>
        <w:t xml:space="preserve">As we understand plaintiffs’ argument, they further contend a reference in </w:t>
      </w:r>
      <w:r w:rsidRPr="00D776EF">
        <w:rPr>
          <w:i/>
          <w:iCs/>
        </w:rPr>
        <w:t>In re Tobacco II Cases</w:t>
      </w:r>
      <w:r>
        <w:t xml:space="preserve"> (2009) 46 Cal.4th 298, 322</w:t>
      </w:r>
      <w:r w:rsidR="00914052">
        <w:t xml:space="preserve"> (</w:t>
      </w:r>
      <w:r w:rsidR="00914052" w:rsidRPr="00D776EF">
        <w:rPr>
          <w:i/>
          <w:iCs/>
        </w:rPr>
        <w:t>Tobacco II</w:t>
      </w:r>
      <w:r w:rsidR="00914052" w:rsidRPr="00FB5352">
        <w:t>)</w:t>
      </w:r>
      <w:r>
        <w:t xml:space="preserve">, which expressed doubt about the validity of an appellate court decision in </w:t>
      </w:r>
      <w:r>
        <w:rPr>
          <w:i/>
          <w:iCs/>
        </w:rPr>
        <w:t>Collins v</w:t>
      </w:r>
      <w:r w:rsidRPr="00EB7E8D">
        <w:rPr>
          <w:i/>
          <w:iCs/>
        </w:rPr>
        <w:t>.</w:t>
      </w:r>
      <w:r>
        <w:rPr>
          <w:i/>
          <w:iCs/>
        </w:rPr>
        <w:t xml:space="preserve"> Safeway Stores</w:t>
      </w:r>
      <w:r>
        <w:t xml:space="preserve"> (1986) 187 Cal.App.3d 62</w:t>
      </w:r>
      <w:r w:rsidR="00A355F8">
        <w:t xml:space="preserve"> (</w:t>
      </w:r>
      <w:r w:rsidR="00A355F8">
        <w:rPr>
          <w:i/>
          <w:iCs/>
        </w:rPr>
        <w:t>Collins</w:t>
      </w:r>
      <w:r w:rsidR="00A355F8" w:rsidRPr="000B79A7">
        <w:t>)</w:t>
      </w:r>
      <w:r>
        <w:t xml:space="preserve">, </w:t>
      </w:r>
      <w:r w:rsidRPr="002A6AFD">
        <w:rPr>
          <w:i/>
          <w:iCs/>
        </w:rPr>
        <w:t>affirming</w:t>
      </w:r>
      <w:r>
        <w:t xml:space="preserve"> the trial court’s denial of </w:t>
      </w:r>
      <w:r>
        <w:lastRenderedPageBreak/>
        <w:t>class certification, stands for the proposition that plaintiffs may have standing under the UCL even when it is impossible to determine whether they actually purchased a defective product.  Even if this reference was binding precedent, we would find it inapplicable here du</w:t>
      </w:r>
      <w:r>
        <w:t>e to the disparate facts of this case.</w:t>
      </w:r>
    </w:p>
    <w:p w14:paraId="339D69D0" w14:textId="52AA30B0" w:rsidR="00275ED9" w:rsidRPr="00B05D5B" w:rsidRDefault="003A0E16" w:rsidP="00275ED9">
      <w:pPr>
        <w:ind w:firstLine="720"/>
      </w:pPr>
      <w:r>
        <w:t xml:space="preserve">In </w:t>
      </w:r>
      <w:r>
        <w:rPr>
          <w:i/>
          <w:iCs/>
        </w:rPr>
        <w:t>Collins</w:t>
      </w:r>
      <w:r>
        <w:t xml:space="preserve">, it was </w:t>
      </w:r>
      <w:r w:rsidR="00C5423E">
        <w:t xml:space="preserve">undisputed </w:t>
      </w:r>
      <w:r>
        <w:t>that contaminated eggs were sold to some consumers within a certain time period.</w:t>
      </w:r>
      <w:r w:rsidR="00B431FE">
        <w:t xml:space="preserve"> </w:t>
      </w:r>
      <w:r>
        <w:t xml:space="preserve"> (</w:t>
      </w:r>
      <w:r w:rsidRPr="002A6AFD">
        <w:rPr>
          <w:i/>
          <w:iCs/>
        </w:rPr>
        <w:t>Collins</w:t>
      </w:r>
      <w:r>
        <w:t>,</w:t>
      </w:r>
      <w:r w:rsidR="00A355F8">
        <w:t xml:space="preserve"> </w:t>
      </w:r>
      <w:r w:rsidR="00A355F8">
        <w:rPr>
          <w:i/>
          <w:iCs/>
        </w:rPr>
        <w:t>supra</w:t>
      </w:r>
      <w:r w:rsidR="00A355F8">
        <w:t xml:space="preserve">, 187 Cal.App.3d 62 </w:t>
      </w:r>
      <w:r w:rsidRPr="002A6AFD">
        <w:rPr>
          <w:rFonts w:cs="CenturySchoolbook"/>
          <w:szCs w:val="26"/>
        </w:rPr>
        <w:t>at pp. 66–67</w:t>
      </w:r>
      <w:r>
        <w:t xml:space="preserve">.) </w:t>
      </w:r>
      <w:r w:rsidR="00B431FE">
        <w:t xml:space="preserve"> </w:t>
      </w:r>
      <w:r>
        <w:t>The unknown was which particular consumers received contaminated eggs in their purchase.  In contrast, here, the trial court did not find that there were violations of the DSS license during the entire class period.  Instead, the court indicated there was an inference of a violation in the 2009</w:t>
      </w:r>
      <w:r w:rsidR="00B431FE">
        <w:t>–</w:t>
      </w:r>
      <w:r>
        <w:t xml:space="preserve">2010 school year, a year in which </w:t>
      </w:r>
      <w:r w:rsidR="003A2A68">
        <w:t>the trial court found</w:t>
      </w:r>
      <w:r>
        <w:t xml:space="preserve"> </w:t>
      </w:r>
      <w:r w:rsidR="00CE616C">
        <w:t>plaintiffs’</w:t>
      </w:r>
      <w:r>
        <w:t xml:space="preserve"> children were </w:t>
      </w:r>
      <w:r>
        <w:rPr>
          <w:i/>
          <w:iCs/>
        </w:rPr>
        <w:t>not</w:t>
      </w:r>
      <w:r>
        <w:t xml:space="preserve"> attending.  We further note that </w:t>
      </w:r>
      <w:r>
        <w:rPr>
          <w:i/>
          <w:iCs/>
        </w:rPr>
        <w:t>Tobacco II</w:t>
      </w:r>
      <w:r>
        <w:t xml:space="preserve">’s discussion of standing </w:t>
      </w:r>
      <w:r w:rsidR="005172F7">
        <w:t xml:space="preserve">generally </w:t>
      </w:r>
      <w:r>
        <w:t>was in the cont</w:t>
      </w:r>
      <w:r>
        <w:t xml:space="preserve">ext of fraud-based UCL claims alone. </w:t>
      </w:r>
      <w:r w:rsidR="003A2A68">
        <w:t xml:space="preserve"> </w:t>
      </w:r>
      <w:r w:rsidR="00FE2BB1">
        <w:t>(</w:t>
      </w:r>
      <w:r w:rsidR="00B415CE" w:rsidRPr="00D776EF">
        <w:rPr>
          <w:i/>
          <w:iCs/>
        </w:rPr>
        <w:t>Tobacco II</w:t>
      </w:r>
      <w:r w:rsidR="00BB7883" w:rsidRPr="000B79A7">
        <w:t>,</w:t>
      </w:r>
      <w:r w:rsidR="00BB7883">
        <w:rPr>
          <w:i/>
          <w:iCs/>
        </w:rPr>
        <w:t xml:space="preserve"> supra</w:t>
      </w:r>
      <w:r w:rsidR="00BB7883" w:rsidRPr="000B79A7">
        <w:t>,</w:t>
      </w:r>
      <w:r w:rsidR="00B415CE" w:rsidRPr="00D776EF">
        <w:rPr>
          <w:i/>
          <w:iCs/>
        </w:rPr>
        <w:t xml:space="preserve"> </w:t>
      </w:r>
      <w:r w:rsidR="00BB7883">
        <w:t xml:space="preserve">46 Cal.4th 298 </w:t>
      </w:r>
      <w:r w:rsidR="00FE2BB1">
        <w:t>at p</w:t>
      </w:r>
      <w:r w:rsidR="00173E2A">
        <w:t>p</w:t>
      </w:r>
      <w:r w:rsidR="00FE2BB1">
        <w:t xml:space="preserve">. </w:t>
      </w:r>
      <w:r w:rsidR="00E3270F">
        <w:t>31</w:t>
      </w:r>
      <w:r w:rsidR="00173E2A">
        <w:t>1–</w:t>
      </w:r>
      <w:r w:rsidR="00E3270F">
        <w:t xml:space="preserve">312 </w:t>
      </w:r>
      <w:r w:rsidR="000B79A7">
        <w:t xml:space="preserve">&amp; </w:t>
      </w:r>
      <w:r w:rsidR="00E3270F">
        <w:t>fn. 7.)</w:t>
      </w:r>
      <w:r>
        <w:t xml:space="preserve"> </w:t>
      </w:r>
      <w:r w:rsidR="00E3270F">
        <w:t xml:space="preserve"> </w:t>
      </w:r>
      <w:r>
        <w:t xml:space="preserve">Plaintiffs fail to demonstrate that the trial court’s ruling was incorrect under either </w:t>
      </w:r>
      <w:r>
        <w:rPr>
          <w:i/>
          <w:iCs/>
        </w:rPr>
        <w:t>Collins</w:t>
      </w:r>
      <w:r>
        <w:t xml:space="preserve"> or </w:t>
      </w:r>
      <w:r>
        <w:rPr>
          <w:i/>
          <w:iCs/>
        </w:rPr>
        <w:t>Tobacco II</w:t>
      </w:r>
      <w:r w:rsidRPr="00D65B82">
        <w:t>.</w:t>
      </w:r>
    </w:p>
    <w:p w14:paraId="4CC5C6FC" w14:textId="6B7D5387" w:rsidR="00275ED9" w:rsidRDefault="003A0E16" w:rsidP="0070000B">
      <w:pPr>
        <w:ind w:firstLine="720"/>
      </w:pPr>
      <w:r>
        <w:t xml:space="preserve">Because plaintiffs did not present any evidence of a causal link between </w:t>
      </w:r>
      <w:r w:rsidR="000576DB">
        <w:t>any</w:t>
      </w:r>
      <w:r>
        <w:t xml:space="preserve"> underlying </w:t>
      </w:r>
      <w:r w:rsidR="005172F7">
        <w:t xml:space="preserve">regulatory </w:t>
      </w:r>
      <w:r>
        <w:t xml:space="preserve">violation and the nature of their </w:t>
      </w:r>
      <w:r w:rsidR="005172F7">
        <w:t xml:space="preserve">alleged </w:t>
      </w:r>
      <w:r>
        <w:t>loss, their payment of tuition did not establish standing under the UCL.  (</w:t>
      </w:r>
      <w:r w:rsidR="005172F7" w:rsidRPr="00B854B6">
        <w:rPr>
          <w:i/>
          <w:iCs/>
        </w:rPr>
        <w:t>Mayron</w:t>
      </w:r>
      <w:r w:rsidR="005172F7">
        <w:t xml:space="preserve">, </w:t>
      </w:r>
      <w:r w:rsidR="005172F7" w:rsidRPr="00975CFF">
        <w:rPr>
          <w:i/>
          <w:iCs/>
        </w:rPr>
        <w:t>supra</w:t>
      </w:r>
      <w:r w:rsidR="005172F7">
        <w:t xml:space="preserve">, </w:t>
      </w:r>
      <w:r w:rsidR="005172F7" w:rsidRPr="00CE248D">
        <w:t xml:space="preserve">54 Cal.App.5th </w:t>
      </w:r>
      <w:r w:rsidR="005172F7">
        <w:t>at p.</w:t>
      </w:r>
      <w:r w:rsidR="00D65B82">
        <w:t> </w:t>
      </w:r>
      <w:r w:rsidR="005172F7">
        <w:t xml:space="preserve">576; </w:t>
      </w:r>
      <w:r w:rsidRPr="00A148E4">
        <w:rPr>
          <w:i/>
          <w:iCs/>
        </w:rPr>
        <w:t>Demeter v</w:t>
      </w:r>
      <w:r w:rsidRPr="00EB7E8D">
        <w:rPr>
          <w:i/>
          <w:iCs/>
        </w:rPr>
        <w:t>.</w:t>
      </w:r>
      <w:r w:rsidRPr="00A148E4">
        <w:rPr>
          <w:i/>
          <w:iCs/>
        </w:rPr>
        <w:t xml:space="preserve"> Taxi Computer Services</w:t>
      </w:r>
      <w:r w:rsidRPr="00EB7E8D">
        <w:rPr>
          <w:i/>
          <w:iCs/>
        </w:rPr>
        <w:t>, Inc.</w:t>
      </w:r>
      <w:r>
        <w:t xml:space="preserve"> (2018) 21 Cal.App.5th 903, 915 [plaintiff failed to show standing where he adduced no evidence that the defendant’s “alleged failure to provide him with a written contract containing the terms required by” law caused him to purchase a membership].)</w:t>
      </w:r>
    </w:p>
    <w:p w14:paraId="405BE4A1" w14:textId="257C5CD1" w:rsidR="00D365F2" w:rsidRPr="00166B72" w:rsidRDefault="003A0E16" w:rsidP="006D4A53">
      <w:pPr>
        <w:pStyle w:val="Heading20"/>
        <w:keepNext/>
        <w:widowControl w:val="0"/>
        <w:numPr>
          <w:ilvl w:val="0"/>
          <w:numId w:val="1"/>
        </w:numPr>
        <w:ind w:left="720"/>
        <w:contextualSpacing/>
      </w:pPr>
      <w:r w:rsidRPr="00166B72">
        <w:lastRenderedPageBreak/>
        <w:t>Plaintiffs</w:t>
      </w:r>
      <w:r w:rsidR="004A136F">
        <w:t>’</w:t>
      </w:r>
      <w:r w:rsidRPr="00166B72">
        <w:t xml:space="preserve"> Other </w:t>
      </w:r>
      <w:r w:rsidR="004A136F" w:rsidRPr="00CA6A59">
        <w:t>Arguments</w:t>
      </w:r>
    </w:p>
    <w:p w14:paraId="1599BEB8" w14:textId="20FEA41E" w:rsidR="008722B1" w:rsidRPr="004F2C4E" w:rsidRDefault="003A0E16" w:rsidP="00166B72">
      <w:pPr>
        <w:ind w:firstLine="720"/>
        <w:contextualSpacing/>
      </w:pPr>
      <w:r w:rsidRPr="004F2C4E">
        <w:t xml:space="preserve">Plaintiffs make myriad arguments, some for the first time on appeal, that are insufficiently supported by the record and legal authority.  We deem </w:t>
      </w:r>
      <w:r w:rsidR="00130FDD">
        <w:t>such arguments</w:t>
      </w:r>
      <w:r w:rsidR="00130FDD" w:rsidRPr="004F2C4E">
        <w:t xml:space="preserve"> </w:t>
      </w:r>
      <w:r w:rsidRPr="004F2C4E">
        <w:t xml:space="preserve">forfeited </w:t>
      </w:r>
      <w:r w:rsidR="00E0609B">
        <w:t>and conclude we need not address others in light of our conclusions above</w:t>
      </w:r>
      <w:r w:rsidRPr="004F2C4E">
        <w:t>.</w:t>
      </w:r>
    </w:p>
    <w:p w14:paraId="444E8146" w14:textId="2F25F4EC" w:rsidR="00012287" w:rsidRPr="004F2C4E" w:rsidRDefault="003A0E16" w:rsidP="006D4A53">
      <w:pPr>
        <w:pStyle w:val="Heading30"/>
        <w:widowControl w:val="0"/>
        <w:numPr>
          <w:ilvl w:val="0"/>
          <w:numId w:val="8"/>
        </w:numPr>
        <w:ind w:hanging="720"/>
        <w:contextualSpacing/>
      </w:pPr>
      <w:r w:rsidRPr="004F2C4E">
        <w:t xml:space="preserve">Other </w:t>
      </w:r>
      <w:r w:rsidR="004A136F">
        <w:t xml:space="preserve">alleged </w:t>
      </w:r>
      <w:r w:rsidRPr="004F2C4E">
        <w:t>unlawful conduct</w:t>
      </w:r>
      <w:r w:rsidR="00D533BA" w:rsidRPr="004F2C4E">
        <w:t xml:space="preserve"> under UCL</w:t>
      </w:r>
    </w:p>
    <w:p w14:paraId="4F61181C" w14:textId="606B266A" w:rsidR="00192835" w:rsidRDefault="003A0E16" w:rsidP="006D4A53">
      <w:pPr>
        <w:ind w:firstLine="720"/>
        <w:contextualSpacing/>
      </w:pPr>
      <w:r>
        <w:t>F</w:t>
      </w:r>
      <w:r w:rsidR="00012287" w:rsidRPr="004F2C4E">
        <w:t xml:space="preserve">or the first time </w:t>
      </w:r>
      <w:r>
        <w:t xml:space="preserve">on appeal, plaintiffs argue </w:t>
      </w:r>
      <w:r w:rsidR="00C2770D">
        <w:t>Pacific Oak</w:t>
      </w:r>
      <w:r w:rsidR="00DD3C96">
        <w:t>s</w:t>
      </w:r>
      <w:r w:rsidR="00012287" w:rsidRPr="004F2C4E">
        <w:t>’s failure to regularly monitor daily attendance constitute</w:t>
      </w:r>
      <w:r w:rsidR="001447D5">
        <w:t>d</w:t>
      </w:r>
      <w:r w:rsidR="00012287" w:rsidRPr="004F2C4E">
        <w:t xml:space="preserve"> an unlawful practice under the UCL.  </w:t>
      </w:r>
      <w:r>
        <w:t>Plaintiffs also contend</w:t>
      </w:r>
      <w:r w:rsidR="005125AA">
        <w:t xml:space="preserve"> that under Health and Safety Code section 1596</w:t>
      </w:r>
      <w:r w:rsidR="003961CA">
        <w:t>.76,</w:t>
      </w:r>
      <w:r w:rsidR="00B90998">
        <w:t xml:space="preserve"> it was unlawful for</w:t>
      </w:r>
      <w:r w:rsidR="00AF2E60">
        <w:t xml:space="preserve"> </w:t>
      </w:r>
      <w:r w:rsidR="00291CB3">
        <w:t xml:space="preserve">Pacific </w:t>
      </w:r>
      <w:r w:rsidR="00D60DA6">
        <w:t>Oaks</w:t>
      </w:r>
      <w:r w:rsidR="001314C3">
        <w:t xml:space="preserve"> </w:t>
      </w:r>
      <w:r w:rsidR="00B90998">
        <w:t>to exclude</w:t>
      </w:r>
      <w:r w:rsidR="006E2051">
        <w:t xml:space="preserve"> children</w:t>
      </w:r>
      <w:r w:rsidR="00DA23F3">
        <w:t xml:space="preserve"> </w:t>
      </w:r>
      <w:r w:rsidR="00503437">
        <w:t xml:space="preserve">younger than two, or older than </w:t>
      </w:r>
      <w:r w:rsidR="007E1E0D">
        <w:t>five</w:t>
      </w:r>
      <w:r w:rsidR="00503437">
        <w:t xml:space="preserve">, when </w:t>
      </w:r>
      <w:r w:rsidR="00833703">
        <w:t xml:space="preserve">determining whether the school was </w:t>
      </w:r>
      <w:r w:rsidR="00B90998">
        <w:t>in compliance with the DSS license capacity limit</w:t>
      </w:r>
      <w:r w:rsidR="006E2051">
        <w:t>.</w:t>
      </w:r>
    </w:p>
    <w:p w14:paraId="37C65FD1" w14:textId="599F7DC8" w:rsidR="00012287" w:rsidRPr="004F2C4E" w:rsidRDefault="003A0E16" w:rsidP="00166B72">
      <w:pPr>
        <w:ind w:firstLine="720"/>
        <w:contextualSpacing/>
      </w:pPr>
      <w:r w:rsidRPr="004F2C4E">
        <w:t>Plaintiffs did not raise th</w:t>
      </w:r>
      <w:r w:rsidR="00303405">
        <w:t xml:space="preserve">ese theories </w:t>
      </w:r>
      <w:r w:rsidRPr="004F2C4E">
        <w:t xml:space="preserve">of </w:t>
      </w:r>
      <w:r w:rsidR="00DD3C96">
        <w:t xml:space="preserve">UCL </w:t>
      </w:r>
      <w:r w:rsidRPr="004F2C4E">
        <w:t xml:space="preserve">liability below.  </w:t>
      </w:r>
      <w:r w:rsidR="00413100" w:rsidRPr="004F2C4E">
        <w:t>C</w:t>
      </w:r>
      <w:r w:rsidRPr="004F2C4E">
        <w:t xml:space="preserve">onsequently, the trial court had no opportunity to consider </w:t>
      </w:r>
      <w:r w:rsidR="00303405">
        <w:t>them</w:t>
      </w:r>
      <w:r w:rsidRPr="004F2C4E">
        <w:t>, nor did P</w:t>
      </w:r>
      <w:r w:rsidR="004A136F">
        <w:t>a</w:t>
      </w:r>
      <w:r w:rsidR="00303405">
        <w:t>cif</w:t>
      </w:r>
      <w:r w:rsidR="004A136F">
        <w:t>ic Oaks</w:t>
      </w:r>
      <w:r w:rsidRPr="004F2C4E">
        <w:t xml:space="preserve"> have an opportunity to respond.  “ ‘[A]ppealing parties must adhere to the theory (or theories) on which their cases were tried.  This rule is based on fairness—it would be unfair, both to the trial court and the opposing litigants, to permit a change of theory on appeal</w:t>
      </w:r>
      <w:r w:rsidR="00B4199C">
        <w:t xml:space="preserve"> </w:t>
      </w:r>
      <w:r w:rsidRPr="004F2C4E">
        <w:t>.</w:t>
      </w:r>
      <w:r w:rsidR="00B4199C">
        <w:t xml:space="preserve"> . . .</w:t>
      </w:r>
      <w:r w:rsidRPr="004F2C4E">
        <w:t xml:space="preserve">’ </w:t>
      </w:r>
      <w:r w:rsidR="00B4199C">
        <w:t xml:space="preserve"> [Citation.]</w:t>
      </w:r>
      <w:r w:rsidRPr="004F2C4E">
        <w:t>”  (</w:t>
      </w:r>
      <w:r w:rsidRPr="004F2C4E">
        <w:rPr>
          <w:i/>
          <w:iCs/>
        </w:rPr>
        <w:t>Nellie Gail Ranch Owners Assn</w:t>
      </w:r>
      <w:r w:rsidRPr="00EB7E8D">
        <w:rPr>
          <w:i/>
          <w:iCs/>
        </w:rPr>
        <w:t>. v.</w:t>
      </w:r>
      <w:r w:rsidRPr="004F2C4E">
        <w:rPr>
          <w:i/>
          <w:iCs/>
        </w:rPr>
        <w:t xml:space="preserve"> McMullin</w:t>
      </w:r>
      <w:r w:rsidRPr="004F2C4E">
        <w:t xml:space="preserve"> (2016) 4 Cal.App.5th 982, 997; </w:t>
      </w:r>
      <w:bookmarkStart w:id="4" w:name="_Hlk156815849"/>
      <w:r w:rsidRPr="004F2C4E">
        <w:rPr>
          <w:i/>
          <w:iCs/>
        </w:rPr>
        <w:t>Brandwein v</w:t>
      </w:r>
      <w:r w:rsidRPr="00EB7E8D">
        <w:rPr>
          <w:i/>
          <w:iCs/>
        </w:rPr>
        <w:t>.</w:t>
      </w:r>
      <w:r w:rsidRPr="004F2C4E">
        <w:rPr>
          <w:i/>
          <w:iCs/>
        </w:rPr>
        <w:t xml:space="preserve"> Bu</w:t>
      </w:r>
      <w:r w:rsidRPr="004F2C4E">
        <w:rPr>
          <w:i/>
          <w:iCs/>
        </w:rPr>
        <w:t>tler</w:t>
      </w:r>
      <w:r w:rsidRPr="004F2C4E">
        <w:t xml:space="preserve"> (2013) 218 Cal.App.4th 1485, 1519 [“ ‘Bait and switch on appeal not only subjects the parties to avoidable expense, but also wreaks havoc on a judicial system too burdened to retry cases on theories that could have been raised earlier’ ”].)  </w:t>
      </w:r>
      <w:bookmarkEnd w:id="4"/>
      <w:r w:rsidRPr="004F2C4E">
        <w:t xml:space="preserve">We will not consider on appeal plaintiffs’ </w:t>
      </w:r>
      <w:r w:rsidR="00DD3C96">
        <w:t>new</w:t>
      </w:r>
      <w:r w:rsidR="00DD3C96" w:rsidRPr="004F2C4E">
        <w:t xml:space="preserve"> </w:t>
      </w:r>
      <w:r w:rsidRPr="004F2C4E">
        <w:t>theor</w:t>
      </w:r>
      <w:r w:rsidR="00EA2FF7">
        <w:t>ies</w:t>
      </w:r>
      <w:r w:rsidRPr="004F2C4E">
        <w:t xml:space="preserve"> of liability under the UCL.</w:t>
      </w:r>
    </w:p>
    <w:p w14:paraId="3991054E" w14:textId="621CB8C6" w:rsidR="00FA5BD0" w:rsidRPr="004F2C4E" w:rsidRDefault="003A0E16" w:rsidP="00917F9D">
      <w:pPr>
        <w:pStyle w:val="Heading30"/>
        <w:keepNext/>
        <w:numPr>
          <w:ilvl w:val="0"/>
          <w:numId w:val="8"/>
        </w:numPr>
        <w:ind w:hanging="720"/>
        <w:contextualSpacing/>
      </w:pPr>
      <w:r w:rsidRPr="004F2C4E">
        <w:lastRenderedPageBreak/>
        <w:t xml:space="preserve">UCL </w:t>
      </w:r>
      <w:r w:rsidR="002D6E91">
        <w:t xml:space="preserve">claim based on fraud by misrepresentation </w:t>
      </w:r>
      <w:r w:rsidR="00D65ED7">
        <w:t xml:space="preserve">and omission </w:t>
      </w:r>
      <w:r w:rsidR="002D6E91">
        <w:t>theor</w:t>
      </w:r>
      <w:r w:rsidR="00D65ED7">
        <w:t>ies</w:t>
      </w:r>
    </w:p>
    <w:p w14:paraId="044149C6" w14:textId="4D6BC233" w:rsidR="00CE3B67" w:rsidRDefault="003A0E16" w:rsidP="00166B72">
      <w:pPr>
        <w:ind w:firstLine="720"/>
        <w:contextualSpacing/>
      </w:pPr>
      <w:r w:rsidRPr="004F2C4E">
        <w:t xml:space="preserve">The trial court decertified plaintiffs’ UCL claim based on </w:t>
      </w:r>
      <w:r w:rsidR="005B2E19">
        <w:t xml:space="preserve">a fraud by </w:t>
      </w:r>
      <w:r w:rsidRPr="004F2C4E">
        <w:t>misrepresentation</w:t>
      </w:r>
      <w:r w:rsidR="005B2E19">
        <w:t xml:space="preserve"> theory</w:t>
      </w:r>
      <w:r w:rsidRPr="004F2C4E">
        <w:t xml:space="preserve">.  </w:t>
      </w:r>
      <w:r w:rsidR="00EF77A4">
        <w:t xml:space="preserve">The court also granted summary adjudication of plaintiffs’ UCL claim based on </w:t>
      </w:r>
      <w:r w:rsidR="005B2E19">
        <w:t xml:space="preserve">a fraud by omission theory.  </w:t>
      </w:r>
      <w:r w:rsidRPr="004F2C4E">
        <w:t xml:space="preserve">Plaintiffs do not identify </w:t>
      </w:r>
      <w:r w:rsidR="00D51E9D">
        <w:t>any</w:t>
      </w:r>
      <w:r w:rsidRPr="004F2C4E">
        <w:t xml:space="preserve"> error </w:t>
      </w:r>
      <w:r w:rsidR="002C37DA">
        <w:t>in the trial court’s</w:t>
      </w:r>
      <w:r w:rsidRPr="004F2C4E">
        <w:t xml:space="preserve"> decertification order</w:t>
      </w:r>
      <w:r w:rsidR="005B2E19">
        <w:t>, or the summary adjudication order,</w:t>
      </w:r>
      <w:r w:rsidRPr="004F2C4E">
        <w:t xml:space="preserve"> with respect to these claims.  Instead, </w:t>
      </w:r>
      <w:r w:rsidR="00D51E9D">
        <w:t>p</w:t>
      </w:r>
      <w:r w:rsidRPr="004F2C4E">
        <w:t>laintiffs cursorily argue the trial court’s ruling should be reversed because parents “were likely to be deceived by [Pacific Oaks’</w:t>
      </w:r>
      <w:r w:rsidR="00DD3C96">
        <w:t>s</w:t>
      </w:r>
      <w:r w:rsidRPr="004F2C4E">
        <w:t xml:space="preserve">] business practices,” even if not “illegal </w:t>
      </w:r>
      <w:r w:rsidRPr="004F2C4E">
        <w:rPr>
          <w:i/>
        </w:rPr>
        <w:t>per se</w:t>
      </w:r>
      <w:r w:rsidRPr="004F2C4E">
        <w:t>.”  Plaintiffs do not identify the tria</w:t>
      </w:r>
      <w:r w:rsidRPr="004F2C4E">
        <w:t>l court’s purported errors, explain how their claim satisfies class requirements or how the facts raise</w:t>
      </w:r>
      <w:r w:rsidR="00D51E9D">
        <w:t>d</w:t>
      </w:r>
      <w:r w:rsidRPr="004F2C4E">
        <w:t xml:space="preserve"> a triable issue, or otherwise support their position with reasoned argument or citation to authority. </w:t>
      </w:r>
      <w:r w:rsidR="000C3C91">
        <w:t xml:space="preserve"> </w:t>
      </w:r>
      <w:r w:rsidR="00E35D01">
        <w:t>We deem</w:t>
      </w:r>
      <w:r w:rsidRPr="004F2C4E">
        <w:t xml:space="preserve"> </w:t>
      </w:r>
      <w:r w:rsidR="00DC00F4">
        <w:t>these</w:t>
      </w:r>
      <w:r w:rsidR="00DC00F4" w:rsidRPr="004F2C4E">
        <w:t xml:space="preserve"> </w:t>
      </w:r>
      <w:r w:rsidRPr="004F2C4E">
        <w:t>argument</w:t>
      </w:r>
      <w:r w:rsidR="00DC00F4">
        <w:t>s</w:t>
      </w:r>
      <w:r w:rsidR="00DC00F4" w:rsidRPr="004F2C4E">
        <w:t xml:space="preserve"> </w:t>
      </w:r>
      <w:r w:rsidRPr="004F2C4E">
        <w:t>forfeited.  (</w:t>
      </w:r>
      <w:r w:rsidRPr="004F2C4E">
        <w:rPr>
          <w:i/>
          <w:iCs/>
        </w:rPr>
        <w:t>Hearn v</w:t>
      </w:r>
      <w:r w:rsidRPr="00EB7E8D">
        <w:rPr>
          <w:i/>
          <w:iCs/>
        </w:rPr>
        <w:t>.</w:t>
      </w:r>
      <w:r w:rsidRPr="004F2C4E">
        <w:rPr>
          <w:i/>
          <w:iCs/>
        </w:rPr>
        <w:t xml:space="preserve"> Howard</w:t>
      </w:r>
      <w:r w:rsidRPr="004F2C4E">
        <w:t xml:space="preserve"> (2009) 177 Cal.App.4th 1193, 1207.</w:t>
      </w:r>
      <w:r w:rsidR="00F81F97">
        <w:t>)</w:t>
      </w:r>
    </w:p>
    <w:p w14:paraId="4CB68D31" w14:textId="5639C5A0" w:rsidR="00CE3B67" w:rsidRDefault="003A0E16" w:rsidP="006D4A53">
      <w:pPr>
        <w:pStyle w:val="ListParagraph"/>
        <w:widowControl w:val="0"/>
        <w:numPr>
          <w:ilvl w:val="0"/>
          <w:numId w:val="8"/>
        </w:numPr>
        <w:ind w:hanging="720"/>
        <w:rPr>
          <w:b/>
        </w:rPr>
      </w:pPr>
      <w:r>
        <w:rPr>
          <w:b/>
        </w:rPr>
        <w:t>Common law fraud claims</w:t>
      </w:r>
    </w:p>
    <w:p w14:paraId="393EBFF7" w14:textId="472E9B3B" w:rsidR="009F7171" w:rsidRDefault="003A0E16" w:rsidP="006D4A53">
      <w:pPr>
        <w:pStyle w:val="Heading20"/>
        <w:widowControl w:val="0"/>
        <w:ind w:left="0" w:firstLine="720"/>
        <w:contextualSpacing/>
        <w:rPr>
          <w:b w:val="0"/>
          <w:bCs/>
        </w:rPr>
      </w:pPr>
      <w:r>
        <w:rPr>
          <w:b w:val="0"/>
          <w:szCs w:val="20"/>
        </w:rPr>
        <w:t xml:space="preserve">Our conclusion </w:t>
      </w:r>
      <w:r w:rsidR="00C7431E">
        <w:rPr>
          <w:b w:val="0"/>
          <w:szCs w:val="20"/>
        </w:rPr>
        <w:t>that enrollment numbers alone could not demonstrate a violation of the DSS license fatally undermines plaintiffs</w:t>
      </w:r>
      <w:r w:rsidR="00E3399C">
        <w:rPr>
          <w:b w:val="0"/>
          <w:szCs w:val="20"/>
        </w:rPr>
        <w:t>’</w:t>
      </w:r>
      <w:r w:rsidR="00C7431E">
        <w:rPr>
          <w:b w:val="0"/>
          <w:szCs w:val="20"/>
        </w:rPr>
        <w:t xml:space="preserve"> </w:t>
      </w:r>
      <w:r w:rsidR="00E3399C">
        <w:rPr>
          <w:b w:val="0"/>
          <w:szCs w:val="20"/>
        </w:rPr>
        <w:t>argument</w:t>
      </w:r>
      <w:r w:rsidR="00C7431E">
        <w:rPr>
          <w:b w:val="0"/>
          <w:szCs w:val="20"/>
        </w:rPr>
        <w:t xml:space="preserve"> that the trial court erred in denying class certification of the common law fraud claim</w:t>
      </w:r>
      <w:r w:rsidR="00E3399C">
        <w:rPr>
          <w:b w:val="0"/>
          <w:szCs w:val="20"/>
        </w:rPr>
        <w:t xml:space="preserve">.  Plaintiffs </w:t>
      </w:r>
      <w:r w:rsidR="00A3693A">
        <w:rPr>
          <w:b w:val="0"/>
          <w:szCs w:val="20"/>
        </w:rPr>
        <w:t xml:space="preserve">appear to </w:t>
      </w:r>
      <w:r w:rsidR="00E3399C">
        <w:rPr>
          <w:b w:val="0"/>
          <w:szCs w:val="20"/>
        </w:rPr>
        <w:t xml:space="preserve">assert </w:t>
      </w:r>
      <w:r w:rsidR="00D80C71">
        <w:rPr>
          <w:b w:val="0"/>
          <w:szCs w:val="20"/>
        </w:rPr>
        <w:t>that even if they failed to show</w:t>
      </w:r>
      <w:r w:rsidR="00A3693A">
        <w:rPr>
          <w:b w:val="0"/>
          <w:szCs w:val="20"/>
        </w:rPr>
        <w:t xml:space="preserve"> Pacific Oaks engaged in any illegal activity, the school’s undefined “practices unquestionably impacted the safety of children</w:t>
      </w:r>
      <w:r w:rsidR="0048354E">
        <w:rPr>
          <w:b w:val="0"/>
          <w:szCs w:val="20"/>
        </w:rPr>
        <w:t>,</w:t>
      </w:r>
      <w:r w:rsidR="00A3693A">
        <w:rPr>
          <w:b w:val="0"/>
          <w:szCs w:val="20"/>
        </w:rPr>
        <w:t>”</w:t>
      </w:r>
      <w:r w:rsidR="0048354E">
        <w:rPr>
          <w:b w:val="0"/>
          <w:szCs w:val="20"/>
        </w:rPr>
        <w:t xml:space="preserve"> thus </w:t>
      </w:r>
      <w:r w:rsidR="00781646">
        <w:rPr>
          <w:b w:val="0"/>
          <w:szCs w:val="20"/>
        </w:rPr>
        <w:t>unidentified “material omission[s]” presented common questions of law and fact as to reliance.</w:t>
      </w:r>
      <w:r w:rsidR="00A3693A">
        <w:rPr>
          <w:b w:val="0"/>
          <w:szCs w:val="20"/>
        </w:rPr>
        <w:t xml:space="preserve"> </w:t>
      </w:r>
      <w:r w:rsidR="006E5602">
        <w:rPr>
          <w:b w:val="0"/>
          <w:szCs w:val="20"/>
        </w:rPr>
        <w:t xml:space="preserve"> We disagree.  The trial court </w:t>
      </w:r>
      <w:r w:rsidR="009B5EB3">
        <w:rPr>
          <w:b w:val="0"/>
          <w:szCs w:val="20"/>
        </w:rPr>
        <w:t xml:space="preserve">denied class certification </w:t>
      </w:r>
      <w:r w:rsidR="00E26440">
        <w:rPr>
          <w:b w:val="0"/>
          <w:szCs w:val="20"/>
        </w:rPr>
        <w:t>on the ground that</w:t>
      </w:r>
      <w:r w:rsidR="0078359F">
        <w:rPr>
          <w:b w:val="0"/>
          <w:szCs w:val="20"/>
        </w:rPr>
        <w:t xml:space="preserve"> whether any omission was material would require individualized inquiries</w:t>
      </w:r>
      <w:r w:rsidR="00A75E93">
        <w:rPr>
          <w:b w:val="0"/>
          <w:szCs w:val="20"/>
        </w:rPr>
        <w:t xml:space="preserve">.  After evaluating the evidence and the parties’ arguments, the court concluded the evidence was insufficient to conclude </w:t>
      </w:r>
      <w:r w:rsidR="00AA610C">
        <w:rPr>
          <w:b w:val="0"/>
          <w:szCs w:val="20"/>
        </w:rPr>
        <w:t>class-</w:t>
      </w:r>
      <w:r w:rsidR="00AA610C">
        <w:rPr>
          <w:b w:val="0"/>
          <w:szCs w:val="20"/>
        </w:rPr>
        <w:lastRenderedPageBreak/>
        <w:t xml:space="preserve">wide reliance could be presumed by the materiality of the alleged omission.  </w:t>
      </w:r>
      <w:r w:rsidR="00485192">
        <w:rPr>
          <w:b w:val="0"/>
          <w:szCs w:val="20"/>
        </w:rPr>
        <w:t>(</w:t>
      </w:r>
      <w:r w:rsidR="00485192">
        <w:rPr>
          <w:b w:val="0"/>
          <w:i/>
          <w:iCs/>
          <w:szCs w:val="20"/>
        </w:rPr>
        <w:t>In re Vioxx Class Cases</w:t>
      </w:r>
      <w:r w:rsidR="00485192" w:rsidRPr="00EB7E8D">
        <w:rPr>
          <w:b w:val="0"/>
          <w:bCs/>
        </w:rPr>
        <w:t xml:space="preserve"> </w:t>
      </w:r>
      <w:r w:rsidR="00485192">
        <w:rPr>
          <w:b w:val="0"/>
          <w:bCs/>
        </w:rPr>
        <w:t xml:space="preserve">(2009) 180 </w:t>
      </w:r>
      <w:r w:rsidR="00485192" w:rsidRPr="00485192">
        <w:rPr>
          <w:b w:val="0"/>
          <w:bCs/>
        </w:rPr>
        <w:t xml:space="preserve">Cal.App.4th </w:t>
      </w:r>
      <w:r w:rsidR="00485192">
        <w:rPr>
          <w:b w:val="0"/>
          <w:bCs/>
        </w:rPr>
        <w:t>116, 133.)</w:t>
      </w:r>
      <w:r w:rsidR="006B394F">
        <w:rPr>
          <w:b w:val="0"/>
          <w:bCs/>
        </w:rPr>
        <w:t xml:space="preserve">  </w:t>
      </w:r>
      <w:r w:rsidR="0056068E">
        <w:rPr>
          <w:b w:val="0"/>
          <w:bCs/>
        </w:rPr>
        <w:t xml:space="preserve">The court’s reasoning </w:t>
      </w:r>
      <w:r w:rsidR="003E2FF3">
        <w:rPr>
          <w:b w:val="0"/>
          <w:bCs/>
        </w:rPr>
        <w:t xml:space="preserve">was proper based on the evidence before it, and </w:t>
      </w:r>
      <w:r w:rsidR="00DD335C">
        <w:rPr>
          <w:b w:val="0"/>
          <w:bCs/>
        </w:rPr>
        <w:t xml:space="preserve">is further bolstered by the subsequent determination, which we affirm, that </w:t>
      </w:r>
      <w:r w:rsidR="00FA658C">
        <w:rPr>
          <w:b w:val="0"/>
          <w:bCs/>
        </w:rPr>
        <w:t xml:space="preserve">plaintiffs have been unable to show </w:t>
      </w:r>
      <w:r w:rsidR="00476203">
        <w:rPr>
          <w:b w:val="0"/>
          <w:bCs/>
        </w:rPr>
        <w:t>a violation of the DSS license based on enrollment numbers</w:t>
      </w:r>
      <w:r w:rsidR="00134A93">
        <w:rPr>
          <w:b w:val="0"/>
          <w:bCs/>
        </w:rPr>
        <w:t xml:space="preserve">, </w:t>
      </w:r>
      <w:r w:rsidR="00476203">
        <w:rPr>
          <w:b w:val="0"/>
          <w:bCs/>
        </w:rPr>
        <w:t xml:space="preserve">and any potential violation </w:t>
      </w:r>
      <w:r w:rsidR="00C14249">
        <w:rPr>
          <w:b w:val="0"/>
          <w:bCs/>
        </w:rPr>
        <w:t>could not be characterized simply as Pacific Oaks enrolled more children than the DSS license allowed.</w:t>
      </w:r>
      <w:r w:rsidR="00EB1EE4">
        <w:rPr>
          <w:b w:val="0"/>
          <w:bCs/>
        </w:rPr>
        <w:t xml:space="preserve">  Plaintiffs have failed to show the trial court abused its discretion in denying class certification </w:t>
      </w:r>
      <w:r w:rsidR="00891E26">
        <w:rPr>
          <w:b w:val="0"/>
          <w:bCs/>
        </w:rPr>
        <w:t>as to the common law fraud claim.</w:t>
      </w:r>
    </w:p>
    <w:p w14:paraId="60708829" w14:textId="7B2F1134" w:rsidR="004876A2" w:rsidRDefault="003A0E16" w:rsidP="006D4A53">
      <w:pPr>
        <w:pStyle w:val="Heading20"/>
        <w:widowControl w:val="0"/>
        <w:numPr>
          <w:ilvl w:val="0"/>
          <w:numId w:val="8"/>
        </w:numPr>
        <w:ind w:hanging="720"/>
        <w:contextualSpacing/>
      </w:pPr>
      <w:r>
        <w:t>Restitution arguments</w:t>
      </w:r>
    </w:p>
    <w:p w14:paraId="0D908873" w14:textId="0122A826" w:rsidR="00541901" w:rsidRDefault="003A0E16" w:rsidP="001133C8">
      <w:pPr>
        <w:pStyle w:val="Heading20"/>
        <w:widowControl w:val="0"/>
        <w:spacing w:after="120"/>
        <w:ind w:left="0" w:firstLine="720"/>
        <w:rPr>
          <w:b w:val="0"/>
          <w:bCs/>
        </w:rPr>
      </w:pPr>
      <w:r>
        <w:rPr>
          <w:b w:val="0"/>
          <w:bCs/>
        </w:rPr>
        <w:t>Finally, plaintiffs assert the trial court committed numerous</w:t>
      </w:r>
      <w:r w:rsidR="003B2B11">
        <w:rPr>
          <w:b w:val="0"/>
          <w:bCs/>
        </w:rPr>
        <w:t xml:space="preserve"> </w:t>
      </w:r>
      <w:r>
        <w:rPr>
          <w:b w:val="0"/>
          <w:bCs/>
        </w:rPr>
        <w:t>reversible errors in rejecting plaintiffs’ claims for restitution</w:t>
      </w:r>
      <w:r w:rsidR="003B2B11">
        <w:rPr>
          <w:b w:val="0"/>
          <w:bCs/>
        </w:rPr>
        <w:t xml:space="preserve">.  We need not address these arguments.  Restitution </w:t>
      </w:r>
      <w:r w:rsidR="002A0ED6">
        <w:rPr>
          <w:b w:val="0"/>
          <w:bCs/>
        </w:rPr>
        <w:t>was not at issue unless plaintiffs established entitlement to relief.  We have affirmed the trial court’s ruling that plaintiffs did not make that threshold showing.</w:t>
      </w:r>
    </w:p>
    <w:p w14:paraId="030A0346" w14:textId="77777777" w:rsidR="001133C8" w:rsidRDefault="001133C8" w:rsidP="001133C8">
      <w:pPr>
        <w:pStyle w:val="Heading20"/>
        <w:widowControl w:val="0"/>
        <w:spacing w:after="120"/>
        <w:rPr>
          <w:b w:val="0"/>
          <w:bCs/>
        </w:rPr>
      </w:pPr>
    </w:p>
    <w:p w14:paraId="71CDF1F7" w14:textId="3A9864E6" w:rsidR="008C358F" w:rsidRPr="00E258F0" w:rsidRDefault="003A0E16" w:rsidP="000B79A7">
      <w:pPr>
        <w:pStyle w:val="Heading20"/>
        <w:widowControl w:val="0"/>
        <w:spacing w:before="120" w:after="120"/>
        <w:jc w:val="center"/>
        <w:rPr>
          <w:b w:val="0"/>
          <w:bCs/>
        </w:rPr>
      </w:pPr>
      <w:r>
        <w:rPr>
          <w:b w:val="0"/>
          <w:bCs/>
        </w:rPr>
        <w:t>[[End nonpublished portion.]]</w:t>
      </w:r>
    </w:p>
    <w:p w14:paraId="640DA8DC" w14:textId="77777777" w:rsidR="00937C64" w:rsidRPr="004F2C4E" w:rsidRDefault="003A0E16" w:rsidP="00166B72">
      <w:pPr>
        <w:pStyle w:val="Heading10"/>
        <w:keepNext/>
        <w:keepLines/>
        <w:widowControl w:val="0"/>
        <w:spacing w:before="0" w:after="0"/>
        <w:contextualSpacing/>
      </w:pPr>
      <w:r w:rsidRPr="004F2C4E">
        <w:lastRenderedPageBreak/>
        <w:t>DISPOSITION</w:t>
      </w:r>
    </w:p>
    <w:p w14:paraId="7B13EB97" w14:textId="51093E46" w:rsidR="00937C64" w:rsidRPr="004F2C4E" w:rsidRDefault="003A0E16" w:rsidP="006D4A53">
      <w:pPr>
        <w:keepNext/>
        <w:keepLines/>
        <w:widowControl w:val="0"/>
        <w:ind w:firstLine="720"/>
        <w:contextualSpacing/>
      </w:pPr>
      <w:r w:rsidRPr="004F2C4E">
        <w:t xml:space="preserve">The trial court’s order is affirmed.  </w:t>
      </w:r>
      <w:r w:rsidR="002A0ED6">
        <w:t>Pacific Oaks</w:t>
      </w:r>
      <w:r w:rsidR="002A0ED6" w:rsidRPr="004F2C4E">
        <w:t xml:space="preserve"> </w:t>
      </w:r>
      <w:r w:rsidRPr="004F2C4E">
        <w:t>to recover its costs on appeal.</w:t>
      </w:r>
    </w:p>
    <w:p w14:paraId="464200BB" w14:textId="33AB88D0" w:rsidR="00937C64" w:rsidRPr="004F2C4E" w:rsidRDefault="003A0E16" w:rsidP="006D4A53">
      <w:pPr>
        <w:keepNext/>
        <w:keepLines/>
        <w:widowControl w:val="0"/>
        <w:ind w:firstLine="720"/>
        <w:contextualSpacing/>
        <w:rPr>
          <w:b/>
          <w:bCs/>
          <w:szCs w:val="26"/>
        </w:rPr>
      </w:pPr>
      <w:r>
        <w:rPr>
          <w:b/>
          <w:bCs/>
          <w:szCs w:val="26"/>
        </w:rPr>
        <w:t>CERTIFIED FOR PARTIAL PUBLICATION</w:t>
      </w:r>
    </w:p>
    <w:p w14:paraId="6D22EFF4" w14:textId="77777777" w:rsidR="00937C64" w:rsidRPr="004F2C4E" w:rsidRDefault="00937C64" w:rsidP="00166B72">
      <w:pPr>
        <w:keepNext/>
        <w:keepLines/>
        <w:widowControl w:val="0"/>
        <w:contextualSpacing/>
        <w:rPr>
          <w:b/>
          <w:bCs/>
          <w:szCs w:val="26"/>
        </w:rPr>
      </w:pPr>
    </w:p>
    <w:p w14:paraId="705C64AA" w14:textId="77777777" w:rsidR="00937C64" w:rsidRPr="004F2C4E" w:rsidRDefault="00937C64" w:rsidP="00166B72">
      <w:pPr>
        <w:keepNext/>
        <w:keepLines/>
        <w:widowControl w:val="0"/>
        <w:contextualSpacing/>
        <w:rPr>
          <w:b/>
          <w:bCs/>
          <w:szCs w:val="26"/>
        </w:rPr>
      </w:pPr>
    </w:p>
    <w:p w14:paraId="238EC5DF" w14:textId="77777777" w:rsidR="00937C64" w:rsidRPr="004F2C4E" w:rsidRDefault="00937C64" w:rsidP="00166B72">
      <w:pPr>
        <w:keepNext/>
        <w:keepLines/>
        <w:widowControl w:val="0"/>
        <w:contextualSpacing/>
        <w:rPr>
          <w:b/>
          <w:bCs/>
          <w:szCs w:val="26"/>
        </w:rPr>
      </w:pPr>
    </w:p>
    <w:p w14:paraId="3749B615" w14:textId="77777777" w:rsidR="00937C64" w:rsidRPr="004F2C4E" w:rsidRDefault="00937C64" w:rsidP="00166B72">
      <w:pPr>
        <w:keepNext/>
        <w:keepLines/>
        <w:widowControl w:val="0"/>
        <w:contextualSpacing/>
        <w:rPr>
          <w:bCs/>
          <w:szCs w:val="26"/>
        </w:rPr>
      </w:pPr>
    </w:p>
    <w:p w14:paraId="21DB14B4" w14:textId="77777777" w:rsidR="00937C64" w:rsidRPr="004F2C4E" w:rsidRDefault="003A0E16" w:rsidP="00166B72">
      <w:pPr>
        <w:keepNext/>
        <w:keepLines/>
        <w:widowControl w:val="0"/>
        <w:contextualSpacing/>
      </w:pPr>
      <w:r w:rsidRPr="004F2C4E">
        <w:rPr>
          <w:bCs/>
          <w:szCs w:val="26"/>
        </w:rPr>
        <w:tab/>
      </w:r>
      <w:r w:rsidRPr="004F2C4E">
        <w:rPr>
          <w:bCs/>
          <w:szCs w:val="26"/>
        </w:rPr>
        <w:tab/>
      </w:r>
      <w:r w:rsidRPr="004F2C4E">
        <w:rPr>
          <w:bCs/>
          <w:szCs w:val="26"/>
        </w:rPr>
        <w:tab/>
      </w:r>
      <w:r w:rsidRPr="004F2C4E">
        <w:rPr>
          <w:bCs/>
          <w:szCs w:val="26"/>
        </w:rPr>
        <w:tab/>
      </w:r>
      <w:r w:rsidRPr="004F2C4E">
        <w:rPr>
          <w:bCs/>
          <w:szCs w:val="26"/>
        </w:rPr>
        <w:tab/>
      </w:r>
      <w:r w:rsidRPr="004F2C4E">
        <w:rPr>
          <w:bCs/>
          <w:szCs w:val="26"/>
        </w:rPr>
        <w:tab/>
      </w:r>
      <w:r w:rsidRPr="004F2C4E">
        <w:rPr>
          <w:bCs/>
          <w:szCs w:val="26"/>
        </w:rPr>
        <w:tab/>
      </w:r>
      <w:r w:rsidRPr="004F2C4E">
        <w:t>ADAMS, J.</w:t>
      </w:r>
    </w:p>
    <w:p w14:paraId="6CB60565" w14:textId="77777777" w:rsidR="00937C64" w:rsidRPr="004F2C4E" w:rsidRDefault="00937C64" w:rsidP="00166B72">
      <w:pPr>
        <w:keepNext/>
        <w:keepLines/>
        <w:widowControl w:val="0"/>
        <w:contextualSpacing/>
        <w:rPr>
          <w:bCs/>
          <w:szCs w:val="26"/>
        </w:rPr>
      </w:pPr>
    </w:p>
    <w:p w14:paraId="1DF9E2E3" w14:textId="77777777" w:rsidR="00937C64" w:rsidRPr="004F2C4E" w:rsidRDefault="00937C64" w:rsidP="00166B72">
      <w:pPr>
        <w:keepNext/>
        <w:keepLines/>
        <w:widowControl w:val="0"/>
        <w:contextualSpacing/>
        <w:rPr>
          <w:bCs/>
          <w:szCs w:val="26"/>
        </w:rPr>
      </w:pPr>
    </w:p>
    <w:p w14:paraId="1681E739" w14:textId="77777777" w:rsidR="00937C64" w:rsidRPr="004F2C4E" w:rsidRDefault="003A0E16" w:rsidP="00166B72">
      <w:pPr>
        <w:keepNext/>
        <w:keepLines/>
        <w:widowControl w:val="0"/>
        <w:contextualSpacing/>
        <w:rPr>
          <w:bCs/>
          <w:szCs w:val="26"/>
        </w:rPr>
      </w:pPr>
      <w:r w:rsidRPr="004F2C4E">
        <w:rPr>
          <w:bCs/>
          <w:szCs w:val="26"/>
        </w:rPr>
        <w:t>We concur:</w:t>
      </w:r>
    </w:p>
    <w:p w14:paraId="1090377F" w14:textId="77777777" w:rsidR="00937C64" w:rsidRPr="004F2C4E" w:rsidRDefault="00937C64" w:rsidP="00166B72">
      <w:pPr>
        <w:keepNext/>
        <w:keepLines/>
        <w:widowControl w:val="0"/>
        <w:contextualSpacing/>
        <w:rPr>
          <w:bCs/>
          <w:szCs w:val="26"/>
        </w:rPr>
      </w:pPr>
    </w:p>
    <w:p w14:paraId="07ADC90C" w14:textId="77777777" w:rsidR="00937C64" w:rsidRPr="004F2C4E" w:rsidRDefault="00937C64" w:rsidP="00166B72">
      <w:pPr>
        <w:keepNext/>
        <w:keepLines/>
        <w:widowControl w:val="0"/>
        <w:contextualSpacing/>
        <w:rPr>
          <w:bCs/>
          <w:szCs w:val="26"/>
        </w:rPr>
      </w:pPr>
    </w:p>
    <w:p w14:paraId="310696E5" w14:textId="77777777" w:rsidR="00937C64" w:rsidRPr="004F2C4E" w:rsidRDefault="00937C64" w:rsidP="00166B72">
      <w:pPr>
        <w:keepNext/>
        <w:keepLines/>
        <w:widowControl w:val="0"/>
        <w:contextualSpacing/>
        <w:rPr>
          <w:bCs/>
          <w:szCs w:val="26"/>
        </w:rPr>
      </w:pPr>
    </w:p>
    <w:p w14:paraId="64D7983F" w14:textId="77777777" w:rsidR="00937C64" w:rsidRPr="004F2C4E" w:rsidRDefault="00937C64" w:rsidP="00166B72">
      <w:pPr>
        <w:keepNext/>
        <w:keepLines/>
        <w:widowControl w:val="0"/>
        <w:contextualSpacing/>
        <w:rPr>
          <w:bCs/>
          <w:szCs w:val="26"/>
        </w:rPr>
      </w:pPr>
    </w:p>
    <w:p w14:paraId="3DF8868C" w14:textId="78FFAACC" w:rsidR="00937C64" w:rsidRPr="004F2C4E" w:rsidRDefault="003A0E16" w:rsidP="00166B72">
      <w:pPr>
        <w:keepNext/>
        <w:keepLines/>
        <w:widowControl w:val="0"/>
        <w:contextualSpacing/>
      </w:pPr>
      <w:r w:rsidRPr="004F2C4E">
        <w:rPr>
          <w:bCs/>
          <w:szCs w:val="26"/>
        </w:rPr>
        <w:tab/>
      </w:r>
      <w:r w:rsidRPr="004F2C4E">
        <w:rPr>
          <w:bCs/>
          <w:szCs w:val="26"/>
        </w:rPr>
        <w:tab/>
      </w:r>
      <w:r w:rsidRPr="004F2C4E">
        <w:rPr>
          <w:bCs/>
          <w:szCs w:val="26"/>
        </w:rPr>
        <w:tab/>
        <w:t>LAVIN</w:t>
      </w:r>
      <w:r w:rsidRPr="004F2C4E">
        <w:t>, Acting P. J.</w:t>
      </w:r>
    </w:p>
    <w:p w14:paraId="024E84A7" w14:textId="77777777" w:rsidR="00937C64" w:rsidRPr="004F2C4E" w:rsidRDefault="00937C64" w:rsidP="00166B72">
      <w:pPr>
        <w:keepNext/>
        <w:keepLines/>
        <w:widowControl w:val="0"/>
        <w:contextualSpacing/>
      </w:pPr>
    </w:p>
    <w:p w14:paraId="19439B57" w14:textId="77777777" w:rsidR="00937C64" w:rsidRPr="004F2C4E" w:rsidRDefault="00937C64" w:rsidP="00166B72">
      <w:pPr>
        <w:keepNext/>
        <w:keepLines/>
        <w:widowControl w:val="0"/>
        <w:contextualSpacing/>
      </w:pPr>
    </w:p>
    <w:p w14:paraId="51AB1393" w14:textId="77777777" w:rsidR="00937C64" w:rsidRPr="004F2C4E" w:rsidRDefault="00937C64" w:rsidP="00166B72">
      <w:pPr>
        <w:keepNext/>
        <w:keepLines/>
        <w:widowControl w:val="0"/>
        <w:contextualSpacing/>
      </w:pPr>
    </w:p>
    <w:p w14:paraId="2B1ADD5F" w14:textId="77777777" w:rsidR="00937C64" w:rsidRPr="004F2C4E" w:rsidRDefault="00937C64" w:rsidP="00643147">
      <w:pPr>
        <w:pStyle w:val="FootnoteText"/>
      </w:pPr>
    </w:p>
    <w:p w14:paraId="49061A23" w14:textId="74EAA67A" w:rsidR="00937C64" w:rsidRDefault="003A0E16" w:rsidP="00E258F0">
      <w:pPr>
        <w:keepNext/>
        <w:keepLines/>
        <w:widowControl w:val="0"/>
        <w:contextualSpacing/>
      </w:pPr>
      <w:r w:rsidRPr="004F2C4E">
        <w:tab/>
      </w:r>
      <w:r w:rsidRPr="004F2C4E">
        <w:tab/>
      </w:r>
      <w:r w:rsidRPr="004F2C4E">
        <w:tab/>
        <w:t>EGERTON, J.</w:t>
      </w:r>
    </w:p>
    <w:sectPr w:rsidR="00937C64" w:rsidSect="00CA1A5E">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0B4F" w14:textId="77777777" w:rsidR="003A0E16" w:rsidRDefault="003A0E16">
      <w:pPr>
        <w:spacing w:line="240" w:lineRule="auto"/>
      </w:pPr>
      <w:r>
        <w:separator/>
      </w:r>
    </w:p>
  </w:endnote>
  <w:endnote w:type="continuationSeparator" w:id="0">
    <w:p w14:paraId="372A13F8" w14:textId="77777777" w:rsidR="003A0E16" w:rsidRDefault="003A0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930086"/>
      <w:docPartObj>
        <w:docPartGallery w:val="Page Numbers (Bottom of Page)"/>
        <w:docPartUnique/>
      </w:docPartObj>
    </w:sdtPr>
    <w:sdtEndPr>
      <w:rPr>
        <w:noProof/>
      </w:rPr>
    </w:sdtEndPr>
    <w:sdtContent>
      <w:p w14:paraId="6F8CB9B8" w14:textId="77777777" w:rsidR="00CA1A5E" w:rsidRDefault="003A0E16">
        <w:pPr>
          <w:pStyle w:val="Footer"/>
          <w:jc w:val="center"/>
        </w:pPr>
        <w:r>
          <w:fldChar w:fldCharType="begin"/>
        </w:r>
        <w:r>
          <w:instrText xml:space="preserve"> PAGE   \* MERGEFORMAT </w:instrText>
        </w:r>
        <w:r>
          <w:fldChar w:fldCharType="separate"/>
        </w:r>
        <w:r w:rsidR="00C83707">
          <w:rPr>
            <w:noProof/>
          </w:rPr>
          <w:t>2</w:t>
        </w:r>
        <w:r>
          <w:rPr>
            <w:noProof/>
          </w:rPr>
          <w:fldChar w:fldCharType="end"/>
        </w:r>
      </w:p>
    </w:sdtContent>
  </w:sdt>
  <w:p w14:paraId="04BDC760" w14:textId="77777777" w:rsidR="00770E63" w:rsidRDefault="00770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8105" w14:textId="77777777" w:rsidR="00CA1A5E" w:rsidRDefault="00CA1A5E">
    <w:pPr>
      <w:pStyle w:val="Footer"/>
      <w:jc w:val="center"/>
    </w:pPr>
  </w:p>
  <w:p w14:paraId="62ED85F0" w14:textId="77777777" w:rsidR="00770E63" w:rsidRDefault="00770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3A67" w14:textId="77777777" w:rsidR="0050418F" w:rsidRDefault="003A0E16" w:rsidP="00032B4F">
      <w:pPr>
        <w:spacing w:line="240" w:lineRule="auto"/>
      </w:pPr>
      <w:r>
        <w:separator/>
      </w:r>
    </w:p>
  </w:footnote>
  <w:footnote w:type="continuationSeparator" w:id="0">
    <w:p w14:paraId="4E057F46" w14:textId="77777777" w:rsidR="0050418F" w:rsidRDefault="003A0E16" w:rsidP="00032B4F">
      <w:pPr>
        <w:spacing w:line="240" w:lineRule="auto"/>
      </w:pPr>
      <w:r>
        <w:continuationSeparator/>
      </w:r>
    </w:p>
  </w:footnote>
  <w:footnote w:type="continuationNotice" w:id="1">
    <w:p w14:paraId="7B3C1E7C" w14:textId="77777777" w:rsidR="0050418F" w:rsidRDefault="0050418F">
      <w:pPr>
        <w:spacing w:line="240" w:lineRule="auto"/>
      </w:pPr>
    </w:p>
  </w:footnote>
  <w:footnote w:id="2">
    <w:p w14:paraId="745DDBFD" w14:textId="77777777" w:rsidR="00CA6926" w:rsidRPr="00FB032E" w:rsidRDefault="00CA6926" w:rsidP="00CA6926">
      <w:pPr>
        <w:pStyle w:val="FootnoteText"/>
        <w:rPr>
          <w:szCs w:val="26"/>
        </w:rPr>
      </w:pPr>
      <w:r w:rsidRPr="00FB032E">
        <w:rPr>
          <w:rStyle w:val="FootnoteReference"/>
          <w:b w:val="0"/>
          <w:szCs w:val="26"/>
        </w:rPr>
        <w:t>*</w:t>
      </w:r>
      <w:r w:rsidRPr="00FB032E">
        <w:rPr>
          <w:szCs w:val="26"/>
        </w:rPr>
        <w:t xml:space="preserve"> </w:t>
      </w:r>
      <w:r w:rsidRPr="00FB032E">
        <w:rPr>
          <w:szCs w:val="26"/>
        </w:rPr>
        <w:tab/>
        <w:t>Pursuant to California Rules of Court, rules 8.1100 and 8.1110, this opinion is certified for publication with the exception of parts II, III, IV, V, and VI of the Discussion section.</w:t>
      </w:r>
    </w:p>
  </w:footnote>
  <w:footnote w:id="3">
    <w:p w14:paraId="60F5DE26" w14:textId="1F356496" w:rsidR="00FF5C56" w:rsidRDefault="003A0E16" w:rsidP="00643147">
      <w:pPr>
        <w:pStyle w:val="FootnoteText"/>
      </w:pPr>
      <w:r>
        <w:rPr>
          <w:rStyle w:val="FootnoteReference"/>
        </w:rPr>
        <w:t>*</w:t>
      </w:r>
      <w:r>
        <w:t xml:space="preserve"> </w:t>
      </w:r>
      <w:r>
        <w:tab/>
        <w:t>Pursuant to California Rules of Court, rules 8.1100 and 8.1110, this opinion is certified for publication with the exception of part</w:t>
      </w:r>
      <w:r w:rsidR="0020273F">
        <w:t xml:space="preserve">s </w:t>
      </w:r>
      <w:r w:rsidR="00B56228">
        <w:t>II</w:t>
      </w:r>
      <w:r w:rsidR="0020273F">
        <w:t xml:space="preserve">, </w:t>
      </w:r>
      <w:r w:rsidR="00B56228">
        <w:t>III</w:t>
      </w:r>
      <w:r w:rsidR="0020273F">
        <w:t xml:space="preserve">, </w:t>
      </w:r>
      <w:r w:rsidR="00B56228">
        <w:t>IV</w:t>
      </w:r>
      <w:r w:rsidR="0020273F">
        <w:t xml:space="preserve">, </w:t>
      </w:r>
      <w:r w:rsidR="00B56228">
        <w:t>V</w:t>
      </w:r>
      <w:r w:rsidR="0020273F">
        <w:t xml:space="preserve">, and </w:t>
      </w:r>
      <w:r w:rsidR="00B56228">
        <w:t>VI</w:t>
      </w:r>
      <w:r w:rsidR="0020273F">
        <w:t xml:space="preserve"> of the Discussion section.</w:t>
      </w:r>
    </w:p>
  </w:footnote>
  <w:footnote w:id="4">
    <w:p w14:paraId="2D313B21" w14:textId="193F6FE9" w:rsidR="007366A3" w:rsidRDefault="003A0E16" w:rsidP="00643147">
      <w:pPr>
        <w:pStyle w:val="FootnoteText"/>
      </w:pPr>
      <w:r>
        <w:rPr>
          <w:rStyle w:val="FootnoteReference"/>
        </w:rPr>
        <w:footnoteRef/>
      </w:r>
      <w:r>
        <w:t xml:space="preserve"> </w:t>
      </w:r>
      <w:r>
        <w:tab/>
      </w:r>
      <w:r w:rsidRPr="00C04F6F">
        <w:t xml:space="preserve">The named </w:t>
      </w:r>
      <w:r w:rsidRPr="00C04F6F">
        <w:t>plaintiffs</w:t>
      </w:r>
      <w:r>
        <w:t xml:space="preserve"> are Matteo Baker, a </w:t>
      </w:r>
      <w:r w:rsidR="00E45236">
        <w:t>m</w:t>
      </w:r>
      <w:r>
        <w:t xml:space="preserve">inor </w:t>
      </w:r>
      <w:r w:rsidR="00E45236">
        <w:t>c</w:t>
      </w:r>
      <w:r>
        <w:t xml:space="preserve">hild, by and through his </w:t>
      </w:r>
      <w:r w:rsidR="00E45236">
        <w:t>g</w:t>
      </w:r>
      <w:r>
        <w:t xml:space="preserve">uardian </w:t>
      </w:r>
      <w:r w:rsidR="00E45236">
        <w:t xml:space="preserve">ad litem </w:t>
      </w:r>
      <w:r>
        <w:t xml:space="preserve">Mark Baker; Leo Valadez, a </w:t>
      </w:r>
      <w:r w:rsidR="00E45236">
        <w:t>m</w:t>
      </w:r>
      <w:r>
        <w:t xml:space="preserve">inor </w:t>
      </w:r>
      <w:r w:rsidR="00E45236">
        <w:t>c</w:t>
      </w:r>
      <w:r>
        <w:t>hild</w:t>
      </w:r>
      <w:r w:rsidR="00E45236">
        <w:t>,</w:t>
      </w:r>
      <w:r>
        <w:t xml:space="preserve"> by and through his </w:t>
      </w:r>
      <w:r w:rsidR="00E45236">
        <w:t>g</w:t>
      </w:r>
      <w:r>
        <w:t xml:space="preserve">uardian </w:t>
      </w:r>
      <w:r w:rsidR="00E45236">
        <w:t>a</w:t>
      </w:r>
      <w:r>
        <w:t xml:space="preserve">d </w:t>
      </w:r>
      <w:r w:rsidR="00E45236">
        <w:t>l</w:t>
      </w:r>
      <w:r>
        <w:t xml:space="preserve">item Sharal Churchill; Mark Baker; Yesika Baker; </w:t>
      </w:r>
      <w:r w:rsidR="00934523">
        <w:t xml:space="preserve">the Estate of </w:t>
      </w:r>
      <w:r>
        <w:t>Sharal Churchill; and Karen Keen (collectively plaintiffs).</w:t>
      </w:r>
    </w:p>
    <w:p w14:paraId="54B61AD5" w14:textId="77777777" w:rsidR="007366A3" w:rsidRDefault="007366A3" w:rsidP="00643147">
      <w:pPr>
        <w:pStyle w:val="FootnoteText"/>
      </w:pPr>
    </w:p>
  </w:footnote>
  <w:footnote w:id="5">
    <w:p w14:paraId="201B6522" w14:textId="31B4FB50" w:rsidR="001F1A17" w:rsidRDefault="003A0E16" w:rsidP="00643147">
      <w:pPr>
        <w:pStyle w:val="FootnoteText"/>
      </w:pPr>
      <w:r>
        <w:rPr>
          <w:rStyle w:val="FootnoteReference"/>
        </w:rPr>
        <w:footnoteRef/>
      </w:r>
      <w:r>
        <w:t xml:space="preserve"> </w:t>
      </w:r>
      <w:r w:rsidR="00E021AE">
        <w:tab/>
      </w:r>
      <w:r w:rsidR="009C6DFF">
        <w:t xml:space="preserve">All further undesignated </w:t>
      </w:r>
      <w:r w:rsidR="0086665C">
        <w:t>regulatory</w:t>
      </w:r>
      <w:r w:rsidR="009C6DFF">
        <w:t xml:space="preserve"> references are to </w:t>
      </w:r>
      <w:r w:rsidR="00104F7E">
        <w:t>t</w:t>
      </w:r>
      <w:r w:rsidR="009C6DFF">
        <w:t>itle 22 of the California Code of Regulations.</w:t>
      </w:r>
    </w:p>
  </w:footnote>
  <w:footnote w:id="6">
    <w:p w14:paraId="3CC88A73" w14:textId="4D4DA09B" w:rsidR="00441999" w:rsidRDefault="003A0E16" w:rsidP="00643147">
      <w:pPr>
        <w:pStyle w:val="FootnoteText"/>
      </w:pPr>
      <w:r w:rsidRPr="007510AA">
        <w:rPr>
          <w:b/>
          <w:vertAlign w:val="superscript"/>
        </w:rPr>
        <w:footnoteRef/>
      </w:r>
      <w:r w:rsidRPr="007510AA">
        <w:rPr>
          <w:b/>
          <w:vertAlign w:val="superscript"/>
        </w:rPr>
        <w:t xml:space="preserve"> </w:t>
      </w:r>
      <w:r w:rsidR="00CA05D8">
        <w:rPr>
          <w:b/>
          <w:vertAlign w:val="superscript"/>
        </w:rPr>
        <w:tab/>
      </w:r>
      <w:r w:rsidRPr="00CA05D8">
        <w:t xml:space="preserve">Health and Safety Code section 1596.81, subdivision (a) authorizes the </w:t>
      </w:r>
      <w:r w:rsidR="003E5CAE">
        <w:t>DSS</w:t>
      </w:r>
      <w:r w:rsidRPr="00CA05D8">
        <w:t xml:space="preserve"> to issue rules or regulations necessary to carry out the California Child Day Care</w:t>
      </w:r>
      <w:r w:rsidR="00E45236">
        <w:t xml:space="preserve"> Facilities</w:t>
      </w:r>
      <w:r w:rsidRPr="00CA05D8">
        <w:t xml:space="preserve"> Act.</w:t>
      </w:r>
      <w:r w:rsidR="0014383E">
        <w:t xml:space="preserve">  </w:t>
      </w:r>
      <w:r w:rsidRPr="00CA05D8">
        <w:t>(Health &amp; Saf. Code, § 1596.70 et seq.)</w:t>
      </w:r>
      <w:r w:rsidR="006F503E">
        <w:t xml:space="preserve">  </w:t>
      </w:r>
      <w:r w:rsidRPr="00CA05D8">
        <w:t>The DSS, through its Community Care Licensing Division (CCLD), is also responsible for issuing licenses to day</w:t>
      </w:r>
      <w:r w:rsidR="003A0BF9">
        <w:t xml:space="preserve"> </w:t>
      </w:r>
      <w:r w:rsidRPr="00CA05D8">
        <w:t>care and other child</w:t>
      </w:r>
      <w:r w:rsidR="00D70BFD">
        <w:t xml:space="preserve"> </w:t>
      </w:r>
      <w:r w:rsidRPr="00CA05D8">
        <w:t>care facilities, monitoring compliance, and administering corrective action for violations of licensing laws and regulations.</w:t>
      </w:r>
      <w:r w:rsidR="00C43594">
        <w:t xml:space="preserve"> </w:t>
      </w:r>
      <w:r w:rsidR="00441AA8">
        <w:t xml:space="preserve"> </w:t>
      </w:r>
      <w:r w:rsidR="00856897">
        <w:t>(</w:t>
      </w:r>
      <w:r w:rsidR="006A2ABE" w:rsidRPr="00CD0855">
        <w:t>S</w:t>
      </w:r>
      <w:r w:rsidR="000020C7">
        <w:t xml:space="preserve">ee </w:t>
      </w:r>
      <w:r w:rsidR="000020C7" w:rsidRPr="00856897">
        <w:t>Health</w:t>
      </w:r>
      <w:r w:rsidR="000020C7">
        <w:t xml:space="preserve"> &amp; Saf. Code, </w:t>
      </w:r>
      <w:r w:rsidR="00C43594">
        <w:t>§</w:t>
      </w:r>
      <w:r w:rsidR="008E2783">
        <w:t> </w:t>
      </w:r>
      <w:r w:rsidR="00C43594">
        <w:t>1596.816</w:t>
      </w:r>
      <w:r w:rsidR="000020C7">
        <w:t>.)</w:t>
      </w:r>
    </w:p>
  </w:footnote>
  <w:footnote w:id="7">
    <w:p w14:paraId="24EC2D55" w14:textId="6044D390" w:rsidR="00BF27C9" w:rsidRDefault="003A0E16" w:rsidP="00643147">
      <w:pPr>
        <w:pStyle w:val="FootnoteText"/>
      </w:pPr>
      <w:r>
        <w:rPr>
          <w:rStyle w:val="FootnoteReference"/>
        </w:rPr>
        <w:footnoteRef/>
      </w:r>
      <w:r>
        <w:t xml:space="preserve"> </w:t>
      </w:r>
      <w:r>
        <w:tab/>
        <w:t xml:space="preserve">DSS </w:t>
      </w:r>
      <w:r w:rsidR="006B2F1D">
        <w:t>cited the</w:t>
      </w:r>
      <w:r w:rsidR="001870F8">
        <w:t xml:space="preserve"> </w:t>
      </w:r>
      <w:r w:rsidR="001870F8" w:rsidRPr="006B2F1D">
        <w:t>following regulations</w:t>
      </w:r>
      <w:r w:rsidR="006B2F1D" w:rsidRPr="006B2F1D">
        <w:t xml:space="preserve"> in its letter</w:t>
      </w:r>
      <w:r w:rsidR="001870F8" w:rsidRPr="006B2F1D">
        <w:t xml:space="preserve">: </w:t>
      </w:r>
      <w:r w:rsidRPr="006B2F1D">
        <w:t>section</w:t>
      </w:r>
      <w:r w:rsidR="00441AA8">
        <w:t> </w:t>
      </w:r>
      <w:r w:rsidRPr="006B2F1D">
        <w:t>101229</w:t>
      </w:r>
      <w:r w:rsidR="00752792" w:rsidRPr="006B2F1D">
        <w:t xml:space="preserve">, subdivision </w:t>
      </w:r>
      <w:r w:rsidRPr="006B2F1D">
        <w:t>(</w:t>
      </w:r>
      <w:r w:rsidR="00E358F0" w:rsidRPr="006B2F1D">
        <w:t>a</w:t>
      </w:r>
      <w:r w:rsidRPr="006B2F1D">
        <w:t>)(1)</w:t>
      </w:r>
      <w:r w:rsidR="00B3725A" w:rsidRPr="006B2F1D">
        <w:t>; section</w:t>
      </w:r>
      <w:r w:rsidRPr="006B2F1D">
        <w:t xml:space="preserve"> 101223</w:t>
      </w:r>
      <w:r w:rsidR="00B3725A" w:rsidRPr="006B2F1D">
        <w:t>, subdivision</w:t>
      </w:r>
      <w:r w:rsidR="00441AA8">
        <w:t> </w:t>
      </w:r>
      <w:r w:rsidRPr="006B2F1D">
        <w:t>(a)(2)</w:t>
      </w:r>
      <w:r w:rsidR="00B3725A" w:rsidRPr="006B2F1D">
        <w:t>;</w:t>
      </w:r>
      <w:r w:rsidR="00182ACE" w:rsidRPr="006B2F1D">
        <w:t xml:space="preserve"> section</w:t>
      </w:r>
      <w:r w:rsidRPr="006B2F1D">
        <w:t xml:space="preserve"> 101212</w:t>
      </w:r>
      <w:r w:rsidR="00182ACE" w:rsidRPr="006B2F1D">
        <w:t xml:space="preserve">, subdivision </w:t>
      </w:r>
      <w:r w:rsidRPr="006B2F1D">
        <w:t>(a)(1)(B)</w:t>
      </w:r>
      <w:r w:rsidR="00182ACE" w:rsidRPr="006B2F1D">
        <w:t xml:space="preserve">; </w:t>
      </w:r>
      <w:r w:rsidRPr="006B2F1D">
        <w:t xml:space="preserve">and </w:t>
      </w:r>
      <w:r w:rsidR="00182ACE" w:rsidRPr="006B2F1D">
        <w:t xml:space="preserve">section </w:t>
      </w:r>
      <w:r w:rsidRPr="006B2F1D">
        <w:t>101206</w:t>
      </w:r>
      <w:r w:rsidR="00182ACE" w:rsidRPr="006B2F1D">
        <w:t xml:space="preserve">, subdivision </w:t>
      </w:r>
      <w:r w:rsidRPr="006B2F1D">
        <w:t>(a)(1)(e).</w:t>
      </w:r>
      <w:r>
        <w:t xml:space="preserve"> </w:t>
      </w:r>
      <w:r w:rsidR="006B2F1D">
        <w:t xml:space="preserve"> The first </w:t>
      </w:r>
      <w:r w:rsidR="0062702F">
        <w:t>two</w:t>
      </w:r>
      <w:r w:rsidR="003F7DDE">
        <w:t xml:space="preserve"> </w:t>
      </w:r>
      <w:r w:rsidR="00827F7F">
        <w:t xml:space="preserve">provisions </w:t>
      </w:r>
      <w:r w:rsidR="0062702F">
        <w:t>concern supervision and “personal rights,” and do not mention capacity</w:t>
      </w:r>
      <w:r w:rsidR="003F7DDE">
        <w:t xml:space="preserve">.  </w:t>
      </w:r>
      <w:r w:rsidR="001D41CE">
        <w:t xml:space="preserve">Neither the current Code of Regulations, nor the </w:t>
      </w:r>
      <w:r w:rsidR="00C236C2" w:rsidRPr="00CD0855">
        <w:t>c</w:t>
      </w:r>
      <w:r w:rsidR="001D41CE" w:rsidRPr="00CD0855">
        <w:t>ode</w:t>
      </w:r>
      <w:r w:rsidR="001D41CE">
        <w:t xml:space="preserve"> in effect in 2013, appears to include a section 101212, </w:t>
      </w:r>
      <w:r w:rsidR="001D41CE" w:rsidRPr="006B2F1D">
        <w:t>subdivision (a)(1)(B)</w:t>
      </w:r>
      <w:r w:rsidR="001D41CE">
        <w:t xml:space="preserve"> or section 101206, </w:t>
      </w:r>
      <w:r w:rsidR="001D41CE" w:rsidRPr="006B2F1D">
        <w:t>subdivision (a)(1)(e)</w:t>
      </w:r>
      <w:r w:rsidR="003F7DDE">
        <w:t>.</w:t>
      </w:r>
    </w:p>
  </w:footnote>
  <w:footnote w:id="8">
    <w:p w14:paraId="7B58CC28" w14:textId="7FC3F36B" w:rsidR="00C5329F" w:rsidRDefault="003A0E16" w:rsidP="00643147">
      <w:pPr>
        <w:pStyle w:val="FootnoteText"/>
      </w:pPr>
      <w:r>
        <w:rPr>
          <w:rStyle w:val="FootnoteReference"/>
        </w:rPr>
        <w:footnoteRef/>
      </w:r>
      <w:r>
        <w:t xml:space="preserve"> </w:t>
      </w:r>
      <w:r>
        <w:tab/>
      </w:r>
      <w:r w:rsidR="00557568">
        <w:t>P</w:t>
      </w:r>
      <w:r>
        <w:t xml:space="preserve">laintiffs filed a petition for writ of mandate </w:t>
      </w:r>
      <w:r w:rsidR="00B67E94">
        <w:t>in</w:t>
      </w:r>
      <w:r>
        <w:t xml:space="preserve"> this court </w:t>
      </w:r>
      <w:r w:rsidR="00B67E94">
        <w:t>challenging</w:t>
      </w:r>
      <w:r>
        <w:t xml:space="preserve"> the trial court</w:t>
      </w:r>
      <w:r w:rsidR="00A75B45">
        <w:t>’s order denying</w:t>
      </w:r>
      <w:r>
        <w:t xml:space="preserve"> summary adjudication in</w:t>
      </w:r>
      <w:r w:rsidR="00A75B45">
        <w:t xml:space="preserve"> their</w:t>
      </w:r>
      <w:r>
        <w:t xml:space="preserve"> favor</w:t>
      </w:r>
      <w:r w:rsidR="00A75B45">
        <w:t>.</w:t>
      </w:r>
      <w:r>
        <w:t xml:space="preserve">  (</w:t>
      </w:r>
      <w:r w:rsidRPr="003F1127">
        <w:rPr>
          <w:i/>
          <w:iCs/>
        </w:rPr>
        <w:t>Baker</w:t>
      </w:r>
      <w:r>
        <w:rPr>
          <w:i/>
          <w:iCs/>
        </w:rPr>
        <w:t xml:space="preserve"> et al</w:t>
      </w:r>
      <w:r w:rsidRPr="001579D1">
        <w:rPr>
          <w:i/>
          <w:iCs/>
        </w:rPr>
        <w:t>.</w:t>
      </w:r>
      <w:r w:rsidRPr="003F1127">
        <w:rPr>
          <w:i/>
          <w:iCs/>
        </w:rPr>
        <w:t xml:space="preserve"> v</w:t>
      </w:r>
      <w:r w:rsidRPr="00495600">
        <w:rPr>
          <w:i/>
          <w:iCs/>
        </w:rPr>
        <w:t>.</w:t>
      </w:r>
      <w:r w:rsidRPr="003F1127">
        <w:rPr>
          <w:i/>
          <w:iCs/>
        </w:rPr>
        <w:t xml:space="preserve"> Superior Court of Los Angeles County</w:t>
      </w:r>
      <w:r>
        <w:t xml:space="preserve"> </w:t>
      </w:r>
      <w:r w:rsidRPr="0041440C">
        <w:rPr>
          <w:i/>
          <w:iCs/>
        </w:rPr>
        <w:t>et al</w:t>
      </w:r>
      <w:r w:rsidRPr="001579D1">
        <w:rPr>
          <w:i/>
          <w:iCs/>
        </w:rPr>
        <w:t>.</w:t>
      </w:r>
      <w:r w:rsidRPr="00441AA8">
        <w:t xml:space="preserve"> </w:t>
      </w:r>
      <w:r>
        <w:t>(Oct</w:t>
      </w:r>
      <w:r w:rsidR="008B545F">
        <w:t>.</w:t>
      </w:r>
      <w:r>
        <w:t xml:space="preserve"> 15, 2020, B307819).)  </w:t>
      </w:r>
      <w:r w:rsidR="0038699F">
        <w:t>We</w:t>
      </w:r>
      <w:r>
        <w:t xml:space="preserve"> denied the petition.</w:t>
      </w:r>
    </w:p>
  </w:footnote>
  <w:footnote w:id="9">
    <w:p w14:paraId="793C710B" w14:textId="2CC4D54A" w:rsidR="00B54462" w:rsidRDefault="003A0E16" w:rsidP="00643147">
      <w:pPr>
        <w:pStyle w:val="FootnoteText"/>
      </w:pPr>
      <w:r>
        <w:rPr>
          <w:rStyle w:val="FootnoteReference"/>
        </w:rPr>
        <w:footnoteRef/>
      </w:r>
      <w:r>
        <w:t xml:space="preserve"> </w:t>
      </w:r>
      <w:r w:rsidR="004130A2">
        <w:tab/>
      </w:r>
      <w:r>
        <w:t xml:space="preserve">The trial was conducted remotely.  </w:t>
      </w:r>
      <w:r w:rsidR="00DA6F74">
        <w:t>T</w:t>
      </w:r>
      <w:r>
        <w:t>he court heard witness testimony</w:t>
      </w:r>
      <w:r w:rsidR="00DA6F74" w:rsidRPr="00DA6F74">
        <w:t xml:space="preserve"> </w:t>
      </w:r>
      <w:r w:rsidR="00DA6F74">
        <w:t>over four days in February 2021</w:t>
      </w:r>
      <w:r>
        <w:t xml:space="preserve">.  </w:t>
      </w:r>
      <w:r w:rsidR="001C2D63">
        <w:t xml:space="preserve">After the parties </w:t>
      </w:r>
      <w:r w:rsidR="009578FE">
        <w:t xml:space="preserve">conditionally </w:t>
      </w:r>
      <w:r w:rsidR="001C2D63">
        <w:t>rested, t</w:t>
      </w:r>
      <w:r>
        <w:t xml:space="preserve">he trial </w:t>
      </w:r>
      <w:r w:rsidR="001C2D63">
        <w:t xml:space="preserve">court set a </w:t>
      </w:r>
      <w:r w:rsidR="00A731AD">
        <w:t xml:space="preserve">schedule </w:t>
      </w:r>
      <w:r>
        <w:t xml:space="preserve">for further briefing on the admissibility of documentary evidence </w:t>
      </w:r>
      <w:r w:rsidR="00A731AD">
        <w:t xml:space="preserve">and </w:t>
      </w:r>
      <w:r w:rsidR="00257463">
        <w:t xml:space="preserve">submission of </w:t>
      </w:r>
      <w:r w:rsidR="00A731AD">
        <w:t>the parties’ closing briefs</w:t>
      </w:r>
      <w:r>
        <w:t xml:space="preserve">.  </w:t>
      </w:r>
      <w:r w:rsidR="004977CE">
        <w:t>In April 2021</w:t>
      </w:r>
      <w:r w:rsidR="0082580D">
        <w:t xml:space="preserve">, the trial court ruled on the admissibility of the </w:t>
      </w:r>
      <w:r w:rsidR="00257463">
        <w:t xml:space="preserve">challenged </w:t>
      </w:r>
      <w:r w:rsidR="0082580D">
        <w:t>documentary evidence</w:t>
      </w:r>
      <w:r w:rsidR="00C57D97">
        <w:t>.</w:t>
      </w:r>
      <w:r w:rsidR="0082580D">
        <w:t xml:space="preserve"> </w:t>
      </w:r>
      <w:r w:rsidR="007203D2">
        <w:t xml:space="preserve"> </w:t>
      </w:r>
      <w:r w:rsidR="00442750">
        <w:t xml:space="preserve">In August 2021, the court </w:t>
      </w:r>
      <w:r w:rsidR="00E152F9">
        <w:t xml:space="preserve">held a further hearing on evidentiary issues and </w:t>
      </w:r>
      <w:r w:rsidR="001900C5">
        <w:t xml:space="preserve">the parties gave their </w:t>
      </w:r>
      <w:r w:rsidR="00E152F9">
        <w:t>closing arguments</w:t>
      </w:r>
      <w:r w:rsidR="00BE3672">
        <w:t>.</w:t>
      </w:r>
      <w:r w:rsidR="00E152F9">
        <w:t xml:space="preserve">  </w:t>
      </w:r>
      <w:r w:rsidR="00BE3672">
        <w:t>In November 2021, t</w:t>
      </w:r>
      <w:r w:rsidR="0082580D">
        <w:t xml:space="preserve">he </w:t>
      </w:r>
      <w:r>
        <w:t xml:space="preserve">trial court issued a </w:t>
      </w:r>
      <w:r w:rsidR="006357FC">
        <w:t>proposed statement of decision</w:t>
      </w:r>
      <w:r w:rsidR="00257463">
        <w:t xml:space="preserve"> and, in April 2022, </w:t>
      </w:r>
      <w:r w:rsidR="00760B82">
        <w:t>a final statement of decision.</w:t>
      </w:r>
    </w:p>
  </w:footnote>
  <w:footnote w:id="10">
    <w:p w14:paraId="13FE1E6C" w14:textId="035A6B5B" w:rsidR="00306504" w:rsidRDefault="003A0E16" w:rsidP="00643147">
      <w:pPr>
        <w:pStyle w:val="FootnoteText"/>
      </w:pPr>
      <w:r>
        <w:rPr>
          <w:rStyle w:val="FootnoteReference"/>
        </w:rPr>
        <w:footnoteRef/>
      </w:r>
      <w:r>
        <w:t xml:space="preserve"> </w:t>
      </w:r>
      <w:r>
        <w:tab/>
        <w:t xml:space="preserve">Pacific Oaks gathered the sign-in sheets in response to the </w:t>
      </w:r>
      <w:r w:rsidR="00AB0F17">
        <w:t>notice to attend trial and bring documents</w:t>
      </w:r>
      <w:r w:rsidR="0073723A">
        <w:t>.</w:t>
      </w:r>
      <w:r w:rsidR="006108A1">
        <w:t xml:space="preserve"> </w:t>
      </w:r>
      <w:r>
        <w:t xml:space="preserve"> </w:t>
      </w:r>
      <w:r w:rsidR="0073723A">
        <w:t xml:space="preserve">The </w:t>
      </w:r>
      <w:r>
        <w:t>custodian of records testified at trial</w:t>
      </w:r>
      <w:r w:rsidR="006108A1">
        <w:t>.</w:t>
      </w:r>
      <w:r>
        <w:t xml:space="preserve">  However, because the trial was conducted remotely, plaintiffs did not have physical access to the documents at trial.  Pacific Oaks further argued plaintiffs were not entitled to a copy of the records until the court admitted them into evidence.</w:t>
      </w:r>
    </w:p>
  </w:footnote>
  <w:footnote w:id="11">
    <w:p w14:paraId="6275F95D" w14:textId="3B6D2B5B" w:rsidR="00FE1D84" w:rsidRDefault="003A0E16" w:rsidP="00643147">
      <w:pPr>
        <w:pStyle w:val="FootnoteText"/>
      </w:pPr>
      <w:r>
        <w:rPr>
          <w:rStyle w:val="FootnoteReference"/>
        </w:rPr>
        <w:footnoteRef/>
      </w:r>
      <w:r>
        <w:t xml:space="preserve"> </w:t>
      </w:r>
      <w:r w:rsidR="004C5213">
        <w:tab/>
      </w:r>
      <w:r>
        <w:t>Health and Safety Code section 1596.841</w:t>
      </w:r>
      <w:r w:rsidR="000C7AE0">
        <w:t xml:space="preserve"> requires a child day care facility to “maintain a current roster of children who are provided care in the facility.  The roster shall include the name, address, and daytime telephone number of the child’s parent or guardian, and the name and telephone number of the child’s physician.”</w:t>
      </w:r>
    </w:p>
  </w:footnote>
  <w:footnote w:id="12">
    <w:p w14:paraId="7BF41A78" w14:textId="65E46A0F" w:rsidR="00CA1B6F" w:rsidRDefault="003A0E16" w:rsidP="00643147">
      <w:pPr>
        <w:pStyle w:val="FootnoteText"/>
      </w:pPr>
      <w:r>
        <w:rPr>
          <w:rStyle w:val="FootnoteReference"/>
        </w:rPr>
        <w:footnoteRef/>
      </w:r>
      <w:r>
        <w:t xml:space="preserve"> </w:t>
      </w:r>
      <w:r w:rsidR="002A525D">
        <w:tab/>
      </w:r>
      <w:r w:rsidR="00710CB5">
        <w:t>T</w:t>
      </w:r>
      <w:r w:rsidR="004F29FC">
        <w:t xml:space="preserve">he trial court’s findings and order in favor of Pacific Oaks </w:t>
      </w:r>
      <w:r w:rsidR="00783B4C">
        <w:t>is a</w:t>
      </w:r>
      <w:r w:rsidR="004F29FC">
        <w:t xml:space="preserve"> final determination of the merits of plaintiffs’ UCL class claim for unlawful conduct</w:t>
      </w:r>
      <w:r w:rsidR="00783B4C">
        <w:t xml:space="preserve"> </w:t>
      </w:r>
      <w:r w:rsidR="00616BAA">
        <w:t xml:space="preserve">and it </w:t>
      </w:r>
      <w:r w:rsidR="004F29FC">
        <w:t xml:space="preserve">terminated </w:t>
      </w:r>
      <w:r w:rsidR="00783B4C">
        <w:t>all class action litigation.</w:t>
      </w:r>
      <w:r w:rsidR="0007210D">
        <w:t xml:space="preserve"> </w:t>
      </w:r>
      <w:r w:rsidR="00783B4C">
        <w:t xml:space="preserve"> </w:t>
      </w:r>
      <w:r w:rsidR="004F29FC">
        <w:t>(</w:t>
      </w:r>
      <w:r w:rsidR="004F29FC">
        <w:rPr>
          <w:i/>
          <w:iCs/>
        </w:rPr>
        <w:t>Estate of Lock</w:t>
      </w:r>
      <w:r w:rsidR="004F29FC">
        <w:t xml:space="preserve"> (1981) 122 Cal.App.3d 892, 896 [a memorandum of decision is an appealable order when its “substance or effect” is a final determination on the merits</w:t>
      </w:r>
      <w:r w:rsidR="00783B4C">
        <w:t>].)  T</w:t>
      </w:r>
      <w:r w:rsidR="004F29FC">
        <w:t xml:space="preserve">he </w:t>
      </w:r>
      <w:r w:rsidR="004B501A">
        <w:t>order</w:t>
      </w:r>
      <w:r w:rsidR="004F29FC">
        <w:t xml:space="preserve"> is </w:t>
      </w:r>
      <w:r w:rsidR="00783B4C">
        <w:t>therefore</w:t>
      </w:r>
      <w:r w:rsidR="004F29FC">
        <w:t xml:space="preserve"> appealable under the death knell exception to the one final judgment rule.</w:t>
      </w:r>
      <w:r w:rsidR="00EA6DCC">
        <w:t xml:space="preserve"> </w:t>
      </w:r>
      <w:r w:rsidR="004F29FC">
        <w:t xml:space="preserve"> (Cf. </w:t>
      </w:r>
      <w:r w:rsidR="004F29FC">
        <w:rPr>
          <w:i/>
          <w:iCs/>
        </w:rPr>
        <w:t>Kight v</w:t>
      </w:r>
      <w:r w:rsidR="004F29FC" w:rsidRPr="00040615">
        <w:rPr>
          <w:i/>
          <w:iCs/>
        </w:rPr>
        <w:t>.</w:t>
      </w:r>
      <w:r w:rsidR="004F29FC">
        <w:rPr>
          <w:i/>
          <w:iCs/>
        </w:rPr>
        <w:t xml:space="preserve"> </w:t>
      </w:r>
      <w:r w:rsidR="004F29FC" w:rsidRPr="00040615">
        <w:rPr>
          <w:i/>
          <w:iCs/>
        </w:rPr>
        <w:t>CashCall,</w:t>
      </w:r>
      <w:r w:rsidR="004F29FC">
        <w:rPr>
          <w:i/>
          <w:iCs/>
        </w:rPr>
        <w:t xml:space="preserve"> </w:t>
      </w:r>
      <w:r w:rsidR="004F29FC" w:rsidRPr="00040615">
        <w:rPr>
          <w:i/>
          <w:iCs/>
        </w:rPr>
        <w:t>Inc.</w:t>
      </w:r>
      <w:r w:rsidR="004F29FC" w:rsidRPr="00EA6DCC">
        <w:t xml:space="preserve"> </w:t>
      </w:r>
      <w:r w:rsidR="004F29FC">
        <w:t>(2011) 200 Cal.App.4th 1377, 1386, fn. 2.)</w:t>
      </w:r>
    </w:p>
  </w:footnote>
  <w:footnote w:id="13">
    <w:p w14:paraId="248FCAB6" w14:textId="23B613E4" w:rsidR="00277553" w:rsidRDefault="003A0E16" w:rsidP="00643147">
      <w:pPr>
        <w:pStyle w:val="FootnoteText"/>
      </w:pPr>
      <w:r>
        <w:rPr>
          <w:rStyle w:val="FootnoteReference"/>
        </w:rPr>
        <w:footnoteRef/>
      </w:r>
      <w:r>
        <w:t xml:space="preserve"> </w:t>
      </w:r>
      <w:r w:rsidR="00924286">
        <w:tab/>
      </w:r>
      <w:r w:rsidRPr="00602557">
        <w:t xml:space="preserve">Health and Safety Code section 1596.807 concerns DSS’s ability to allow an extended daycare program to serve additional children at a school site, so long as the additional children are “currently enrolled in a school,” and the number of additional children “does not exceed 15 percent of the total enrollment in the extended daycare program.  In no case shall the enrollment of the extended daycare program exceed the enrollment during the regular schoolday.”  Plaintiffs also refer to Health and Safety Code </w:t>
      </w:r>
      <w:r w:rsidRPr="00602557">
        <w:t>section 1596.862, which concerns written requests for “enrollment or retention of a nonminor student at a schoolage child care center.”</w:t>
      </w:r>
    </w:p>
  </w:footnote>
  <w:footnote w:id="14">
    <w:p w14:paraId="3B606D94" w14:textId="28E6F2A7" w:rsidR="00277553" w:rsidRPr="00602557" w:rsidRDefault="003A0E16" w:rsidP="00643147">
      <w:pPr>
        <w:pStyle w:val="FootnoteText"/>
      </w:pPr>
      <w:r>
        <w:rPr>
          <w:rStyle w:val="FootnoteReference"/>
        </w:rPr>
        <w:footnoteRef/>
      </w:r>
      <w:r>
        <w:t xml:space="preserve"> </w:t>
      </w:r>
      <w:r w:rsidR="004F725D">
        <w:tab/>
      </w:r>
      <w:r w:rsidRPr="00602557">
        <w:t>Section 101216.3, subdivision (a) requires “a ratio of one teacher visually observing and supervising no more than 12 children in attendance,” except as otherwise provided in the regulation.</w:t>
      </w:r>
    </w:p>
  </w:footnote>
  <w:footnote w:id="15">
    <w:p w14:paraId="6469177E" w14:textId="119924F3" w:rsidR="00F277CC" w:rsidRDefault="003A0E16" w:rsidP="00643147">
      <w:pPr>
        <w:pStyle w:val="FootnoteText"/>
      </w:pPr>
      <w:r>
        <w:rPr>
          <w:rStyle w:val="FootnoteReference"/>
        </w:rPr>
        <w:footnoteRef/>
      </w:r>
      <w:r>
        <w:t xml:space="preserve"> </w:t>
      </w:r>
      <w:r w:rsidR="00437BE8">
        <w:tab/>
      </w:r>
      <w:r>
        <w:t>To the extent plaintiffs eventually pivoted and argued a narrower set of enrollment numbers would establish a violation, they failed to provide admissible evidence to support their claim, as discussed more fully below.</w:t>
      </w:r>
    </w:p>
  </w:footnote>
  <w:footnote w:id="16">
    <w:p w14:paraId="6ED432CB" w14:textId="77777777" w:rsidR="00CE0C15" w:rsidRDefault="003A0E16" w:rsidP="00643147">
      <w:pPr>
        <w:pStyle w:val="FootnoteText"/>
      </w:pPr>
      <w:r>
        <w:rPr>
          <w:rStyle w:val="FootnoteReference"/>
        </w:rPr>
        <w:footnoteRef/>
      </w:r>
      <w:r>
        <w:t xml:space="preserve"> </w:t>
      </w:r>
      <w:r>
        <w:tab/>
        <w:t>Because we affirm the trial court order, we need not address Pacific Oaks’s cross-appeal.  We deny Pacific Oaks’s motion to augment the record as moot.</w:t>
      </w:r>
    </w:p>
  </w:footnote>
  <w:footnote w:id="17">
    <w:p w14:paraId="2091B229" w14:textId="4AABFF8B" w:rsidR="000F792F" w:rsidRDefault="003A0E16" w:rsidP="00643147">
      <w:pPr>
        <w:pStyle w:val="FootnoteText"/>
      </w:pPr>
      <w:r>
        <w:rPr>
          <w:rStyle w:val="FootnoteReference"/>
        </w:rPr>
        <w:footnoteRef/>
      </w:r>
      <w:r>
        <w:t xml:space="preserve"> </w:t>
      </w:r>
      <w:r w:rsidR="0015440B">
        <w:tab/>
      </w:r>
      <w:r>
        <w:t xml:space="preserve">Although there was no date on the letter, it was signed by Tambe as Executive Director, a post she held from </w:t>
      </w:r>
      <w:r w:rsidR="00372B3B">
        <w:t>Jun</w:t>
      </w:r>
      <w:r w:rsidR="00372B3B" w:rsidRPr="00372B3B">
        <w:t xml:space="preserve">e </w:t>
      </w:r>
      <w:r w:rsidR="00372B3B" w:rsidRPr="002B3C3A">
        <w:t>2013</w:t>
      </w:r>
      <w:r w:rsidRPr="002B3C3A">
        <w:t xml:space="preserve"> to </w:t>
      </w:r>
      <w:r w:rsidR="00372B3B" w:rsidRPr="00372B3B">
        <w:t>March 2014</w:t>
      </w:r>
      <w:r w:rsidRPr="00372B3B">
        <w:t>.</w:t>
      </w:r>
    </w:p>
  </w:footnote>
  <w:footnote w:id="18">
    <w:p w14:paraId="56F4B5B0" w14:textId="19C5BF58" w:rsidR="00D85D8C" w:rsidRDefault="003A0E16" w:rsidP="00643147">
      <w:pPr>
        <w:pStyle w:val="FootnoteText"/>
      </w:pPr>
      <w:r>
        <w:rPr>
          <w:rStyle w:val="FootnoteReference"/>
        </w:rPr>
        <w:footnoteRef/>
      </w:r>
      <w:r>
        <w:t xml:space="preserve"> </w:t>
      </w:r>
      <w:r>
        <w:tab/>
      </w:r>
      <w:r w:rsidRPr="00FF2BDF">
        <w:t xml:space="preserve">These activities include: “(A) Assistance in diapering, toileting, dressing, grooming, </w:t>
      </w:r>
      <w:r w:rsidR="009B11E3" w:rsidRPr="00FF2BDF">
        <w:t>bathing,</w:t>
      </w:r>
      <w:r w:rsidRPr="00FF2BDF">
        <w:t xml:space="preserve"> and other personal hygiene.  [¶] (B) Assistance with taking medications as specified in Sections 101226(e)(3) and (e)(4).  [¶]</w:t>
      </w:r>
      <w:r w:rsidR="007F2127">
        <w:t xml:space="preserve"> </w:t>
      </w:r>
      <w:r w:rsidRPr="00FF2BDF">
        <w:t>(C) Storing and/or distribution of medications as specified in Section 101226(e).  [¶] (D) Arrangement of and assistance with medical and dental care.  [¶] (E) Maintenance of rules for the protection of children.  [¶] (F)</w:t>
      </w:r>
      <w:r w:rsidR="00435FCA">
        <w:t> </w:t>
      </w:r>
      <w:r w:rsidRPr="00FF2BDF">
        <w:t>Supervision of children</w:t>
      </w:r>
      <w:r>
        <w:t>’</w:t>
      </w:r>
      <w:r w:rsidRPr="00FF2BDF">
        <w:t>s schedules and activities for the protection of children.  [¶] (G) Monitoring food intake or special diets.  [¶] (H) Providing basic serv</w:t>
      </w:r>
      <w:r w:rsidRPr="00FF2BDF">
        <w:t>ices as defined in Section</w:t>
      </w:r>
      <w:r w:rsidR="00FE3C04">
        <w:t> </w:t>
      </w:r>
      <w:r w:rsidRPr="00FF2BDF">
        <w:t>101152.b.(1).”  (§ 101152, subd. (c)(3).)</w:t>
      </w:r>
    </w:p>
  </w:footnote>
  <w:footnote w:id="19">
    <w:p w14:paraId="7A22E13D" w14:textId="5AADA5E3" w:rsidR="006F7FF3" w:rsidRDefault="003A0E16" w:rsidP="00643147">
      <w:pPr>
        <w:pStyle w:val="FootnoteText"/>
      </w:pPr>
      <w:r>
        <w:rPr>
          <w:rStyle w:val="FootnoteReference"/>
        </w:rPr>
        <w:footnoteRef/>
      </w:r>
      <w:r>
        <w:t xml:space="preserve"> </w:t>
      </w:r>
      <w:r w:rsidR="00B926E6">
        <w:tab/>
      </w:r>
      <w:r>
        <w:t>We need not address plaintiffs’ additional argument that the trial court erred in finding the school age program was also exempt under Health and Safety Code section 1596.792, subdivision (k).</w:t>
      </w:r>
    </w:p>
  </w:footnote>
  <w:footnote w:id="20">
    <w:p w14:paraId="39A0ACDB" w14:textId="6C3CC8D3" w:rsidR="00F03F48" w:rsidRDefault="003A0E16" w:rsidP="00643147">
      <w:pPr>
        <w:pStyle w:val="FootnoteText"/>
      </w:pPr>
      <w:r>
        <w:rPr>
          <w:rStyle w:val="FootnoteReference"/>
        </w:rPr>
        <w:footnoteRef/>
      </w:r>
      <w:r>
        <w:t xml:space="preserve"> </w:t>
      </w:r>
      <w:r>
        <w:tab/>
      </w:r>
      <w:r w:rsidRPr="00F03F48">
        <w:t xml:space="preserve">Plaintiffs vaguely refer to the trial court’s misapplication of an unidentified “criminal law standard,” without citation to authority, in </w:t>
      </w:r>
      <w:r w:rsidR="005F4B7B">
        <w:t>their</w:t>
      </w:r>
      <w:r w:rsidR="005F4B7B" w:rsidRPr="00F03F48">
        <w:t xml:space="preserve"> </w:t>
      </w:r>
      <w:r w:rsidRPr="00F03F48">
        <w:t xml:space="preserve">reply brief. </w:t>
      </w:r>
      <w:r w:rsidR="00C845F0">
        <w:t xml:space="preserve"> To the extent plaintiffs are raising a different argument for the first time in their reply brief, without citation to legal authority, </w:t>
      </w:r>
      <w:r w:rsidR="00C82DC3">
        <w:t xml:space="preserve">the argument </w:t>
      </w:r>
      <w:r w:rsidR="00C845F0">
        <w:t>is forfeited.</w:t>
      </w:r>
    </w:p>
  </w:footnote>
  <w:footnote w:id="21">
    <w:p w14:paraId="50CE511F" w14:textId="2DB2A442" w:rsidR="00C57BA4" w:rsidRDefault="003A0E16" w:rsidP="00643147">
      <w:pPr>
        <w:pStyle w:val="FootnoteText"/>
      </w:pPr>
      <w:r>
        <w:rPr>
          <w:rStyle w:val="FootnoteReference"/>
        </w:rPr>
        <w:footnoteRef/>
      </w:r>
      <w:r>
        <w:t xml:space="preserve"> </w:t>
      </w:r>
      <w:r>
        <w:tab/>
      </w:r>
      <w:r w:rsidR="002A6EDF">
        <w:t>In light of this conclusion, w</w:t>
      </w:r>
      <w:r w:rsidR="00B64BEF">
        <w:t xml:space="preserve">e need not address plaintiffs’ other arguments regarding </w:t>
      </w:r>
      <w:r w:rsidR="00111647">
        <w:t xml:space="preserve">the </w:t>
      </w:r>
      <w:r w:rsidR="0005123A">
        <w:t>trial court’s exclusion of the summaries.</w:t>
      </w:r>
    </w:p>
  </w:footnote>
  <w:footnote w:id="22">
    <w:p w14:paraId="67DDB43F" w14:textId="140BC3D3" w:rsidR="001703C2" w:rsidRPr="006604C3" w:rsidRDefault="003A0E16" w:rsidP="00643147">
      <w:pPr>
        <w:pStyle w:val="FootnoteText"/>
      </w:pPr>
      <w:r>
        <w:rPr>
          <w:rStyle w:val="FootnoteReference"/>
        </w:rPr>
        <w:footnoteRef/>
      </w:r>
      <w:r>
        <w:t xml:space="preserve"> </w:t>
      </w:r>
      <w:r w:rsidR="00D629D5">
        <w:tab/>
      </w:r>
      <w:r>
        <w:t>Plaintiffs’ additional assertions about the fire department report rely on misleading</w:t>
      </w:r>
      <w:r w:rsidR="00D629D5">
        <w:t xml:space="preserve"> and inaccurate</w:t>
      </w:r>
      <w:r>
        <w:t xml:space="preserve"> characterizations of the reporter’s transcript.  </w:t>
      </w:r>
      <w:r w:rsidR="006B7E09">
        <w:t>Neither Rosenberg nor McComas testified that the fire department counted children to determine compliance with the DSS license</w:t>
      </w:r>
      <w:r w:rsidR="00221843">
        <w:t>, or attested to the accuracy of the fire department report as a record of the number of children present in the preschool programs.</w:t>
      </w:r>
    </w:p>
  </w:footnote>
  <w:footnote w:id="23">
    <w:p w14:paraId="4687F8DB" w14:textId="2C5E69B6" w:rsidR="00134B89" w:rsidRDefault="003A0E16" w:rsidP="00643147">
      <w:pPr>
        <w:pStyle w:val="FootnoteText"/>
      </w:pPr>
      <w:r>
        <w:rPr>
          <w:rStyle w:val="FootnoteReference"/>
        </w:rPr>
        <w:footnoteRef/>
      </w:r>
      <w:r>
        <w:t xml:space="preserve"> </w:t>
      </w:r>
      <w:r w:rsidR="00A11A41">
        <w:tab/>
        <w:t>Plaintiffs also contend the trial court</w:t>
      </w:r>
      <w:r w:rsidR="00C654D1">
        <w:t xml:space="preserve"> </w:t>
      </w:r>
      <w:r w:rsidR="0001628A">
        <w:t>disregarded</w:t>
      </w:r>
      <w:r w:rsidR="00D32034">
        <w:t xml:space="preserve"> undisputed evidence that Pacific Oaks administrators used “enrollment</w:t>
      </w:r>
      <w:r w:rsidR="00D401AA">
        <w:t xml:space="preserve">” interchangeably with “capacity.” </w:t>
      </w:r>
      <w:r w:rsidR="00E77AA6">
        <w:t xml:space="preserve"> </w:t>
      </w:r>
      <w:r w:rsidR="00D92A63">
        <w:t xml:space="preserve">Rosenberg’s testimony, which </w:t>
      </w:r>
      <w:r w:rsidR="00E77AA6">
        <w:t xml:space="preserve">plaintiffs cite in support </w:t>
      </w:r>
      <w:r w:rsidR="00D92A63">
        <w:t xml:space="preserve">of this claim, </w:t>
      </w:r>
      <w:r w:rsidR="00E77AA6">
        <w:t xml:space="preserve">does not </w:t>
      </w:r>
      <w:r w:rsidR="008E5DDC">
        <w:t xml:space="preserve">reflect </w:t>
      </w:r>
      <w:r w:rsidR="00D92A63">
        <w:t>that she used the t</w:t>
      </w:r>
      <w:r w:rsidR="003B73F6">
        <w:t xml:space="preserve">erms </w:t>
      </w:r>
      <w:r w:rsidR="00C458C0">
        <w:t>synonymously</w:t>
      </w:r>
      <w:r w:rsidR="008E5DDC">
        <w:t>.  Further,</w:t>
      </w:r>
      <w:r w:rsidR="00D401AA">
        <w:t xml:space="preserve"> </w:t>
      </w:r>
      <w:r w:rsidR="008E5DDC">
        <w:t xml:space="preserve">even if </w:t>
      </w:r>
      <w:r w:rsidR="008656E9">
        <w:t>testimony demonst</w:t>
      </w:r>
      <w:r w:rsidR="005D61B8">
        <w:t>rated</w:t>
      </w:r>
      <w:r w:rsidR="008E5DDC">
        <w:t xml:space="preserve"> Pacific Oaks administrators </w:t>
      </w:r>
      <w:r w:rsidR="00914253">
        <w:t xml:space="preserve">used </w:t>
      </w:r>
      <w:r w:rsidR="003A2A68">
        <w:t>the</w:t>
      </w:r>
      <w:r w:rsidR="00914253">
        <w:t xml:space="preserve"> term </w:t>
      </w:r>
      <w:r w:rsidR="003A2A68">
        <w:t xml:space="preserve">“enrollment” </w:t>
      </w:r>
      <w:r w:rsidR="00914253">
        <w:t xml:space="preserve">when </w:t>
      </w:r>
      <w:r w:rsidR="005B5F4C">
        <w:t>discussing capacity limits</w:t>
      </w:r>
      <w:r w:rsidR="008E5DDC">
        <w:t xml:space="preserve">, </w:t>
      </w:r>
      <w:r w:rsidR="001E3CCF">
        <w:t>the</w:t>
      </w:r>
      <w:r w:rsidR="00057DBA">
        <w:t xml:space="preserve"> proper interpretation of section 1</w:t>
      </w:r>
      <w:r w:rsidR="00953889">
        <w:t>0</w:t>
      </w:r>
      <w:r w:rsidR="00057DBA">
        <w:t>1</w:t>
      </w:r>
      <w:r w:rsidR="00953889">
        <w:t>1</w:t>
      </w:r>
      <w:r w:rsidR="00057DBA">
        <w:t xml:space="preserve">61 and related regulations </w:t>
      </w:r>
      <w:r w:rsidR="00600FD7">
        <w:t>i</w:t>
      </w:r>
      <w:r w:rsidR="00057DBA">
        <w:t>s a question of law</w:t>
      </w:r>
      <w:r w:rsidR="005B5F4C">
        <w:t>.  L</w:t>
      </w:r>
      <w:r w:rsidR="002F4CA0">
        <w:t xml:space="preserve">ay witness testimony on that issue was not </w:t>
      </w:r>
      <w:r w:rsidR="0047569C">
        <w:t>determinative</w:t>
      </w:r>
      <w:r w:rsidR="000E1E28">
        <w:t>.</w:t>
      </w:r>
    </w:p>
  </w:footnote>
  <w:footnote w:id="24">
    <w:p w14:paraId="5A6F8936" w14:textId="40C85DB4" w:rsidR="00275ED9" w:rsidRPr="0041786F" w:rsidRDefault="003A0E16" w:rsidP="00643147">
      <w:pPr>
        <w:pStyle w:val="FootnoteText"/>
      </w:pPr>
      <w:r w:rsidRPr="0041786F">
        <w:rPr>
          <w:rStyle w:val="FootnoteReference"/>
          <w:szCs w:val="26"/>
        </w:rPr>
        <w:footnoteRef/>
      </w:r>
      <w:r>
        <w:t xml:space="preserve"> </w:t>
      </w:r>
      <w:r>
        <w:tab/>
      </w:r>
      <w:r w:rsidRPr="00C27A67">
        <w:t xml:space="preserve">Plaintiffs </w:t>
      </w:r>
      <w:r>
        <w:t xml:space="preserve">do not contend the evidence was insufficient to support the trial court’s factual findings.  Instead, for the first time on appeal, they </w:t>
      </w:r>
      <w:r w:rsidRPr="00C27A67">
        <w:t>cite evidence that a named plaintiff’s child was present on the morning of November 15, 2011, when the number of children in attendance</w:t>
      </w:r>
      <w:r>
        <w:t xml:space="preserve"> exceeded 77</w:t>
      </w:r>
      <w:r w:rsidRPr="00C27A67">
        <w:t xml:space="preserve"> according to signatures on the sign-in sheets.  </w:t>
      </w:r>
      <w:r>
        <w:t xml:space="preserve">Not only did plaintiffs fail to make this argument in the trial court, </w:t>
      </w:r>
      <w:r w:rsidR="003E501D">
        <w:t>it</w:t>
      </w:r>
      <w:r>
        <w:t xml:space="preserve"> is</w:t>
      </w:r>
      <w:r w:rsidR="005957D1">
        <w:t xml:space="preserve"> also</w:t>
      </w:r>
      <w:r>
        <w:t xml:space="preserve"> based on evidence the trial court found inadmissible, a ruling we have concluded was proper.  We therefore do not consider the argument.  We similarly disagree that the notation of “1</w:t>
      </w:r>
      <w:r w:rsidR="003E501D">
        <w:t>7</w:t>
      </w:r>
      <w:r>
        <w:t xml:space="preserve">7 students” on the Pasadena Fire Department’s report established standing.  We have found no abuse of discretion in the trial court’s </w:t>
      </w:r>
      <w:r w:rsidR="003A2A68">
        <w:t>ruling</w:t>
      </w:r>
      <w:r>
        <w:t xml:space="preserve"> that the fire department report’s notation </w:t>
      </w:r>
      <w:r w:rsidR="003A2A68">
        <w:t xml:space="preserve">did not </w:t>
      </w:r>
      <w:r>
        <w:t xml:space="preserve">conclusively reflect the number of students present at Pacific Oaks </w:t>
      </w:r>
      <w:r w:rsidR="00331201">
        <w:t xml:space="preserve">in the preschool programs </w:t>
      </w:r>
      <w:r>
        <w:t>on the day the report was made</w:t>
      </w:r>
      <w:r w:rsidRPr="000E20E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FD8"/>
    <w:multiLevelType w:val="hybridMultilevel"/>
    <w:tmpl w:val="6DA4AB7E"/>
    <w:lvl w:ilvl="0" w:tplc="64523306">
      <w:start w:val="1"/>
      <w:numFmt w:val="decimal"/>
      <w:lvlText w:val="%1."/>
      <w:lvlJc w:val="left"/>
      <w:pPr>
        <w:ind w:left="1080" w:hanging="360"/>
      </w:pPr>
      <w:rPr>
        <w:rFonts w:hint="default"/>
      </w:rPr>
    </w:lvl>
    <w:lvl w:ilvl="1" w:tplc="CA885C14" w:tentative="1">
      <w:start w:val="1"/>
      <w:numFmt w:val="lowerLetter"/>
      <w:lvlText w:val="%2."/>
      <w:lvlJc w:val="left"/>
      <w:pPr>
        <w:ind w:left="1800" w:hanging="360"/>
      </w:pPr>
    </w:lvl>
    <w:lvl w:ilvl="2" w:tplc="D0EC9002" w:tentative="1">
      <w:start w:val="1"/>
      <w:numFmt w:val="lowerRoman"/>
      <w:lvlText w:val="%3."/>
      <w:lvlJc w:val="right"/>
      <w:pPr>
        <w:ind w:left="2520" w:hanging="180"/>
      </w:pPr>
    </w:lvl>
    <w:lvl w:ilvl="3" w:tplc="3FD65376" w:tentative="1">
      <w:start w:val="1"/>
      <w:numFmt w:val="decimal"/>
      <w:lvlText w:val="%4."/>
      <w:lvlJc w:val="left"/>
      <w:pPr>
        <w:ind w:left="3240" w:hanging="360"/>
      </w:pPr>
    </w:lvl>
    <w:lvl w:ilvl="4" w:tplc="599052A2" w:tentative="1">
      <w:start w:val="1"/>
      <w:numFmt w:val="lowerLetter"/>
      <w:lvlText w:val="%5."/>
      <w:lvlJc w:val="left"/>
      <w:pPr>
        <w:ind w:left="3960" w:hanging="360"/>
      </w:pPr>
    </w:lvl>
    <w:lvl w:ilvl="5" w:tplc="808019C4" w:tentative="1">
      <w:start w:val="1"/>
      <w:numFmt w:val="lowerRoman"/>
      <w:lvlText w:val="%6."/>
      <w:lvlJc w:val="right"/>
      <w:pPr>
        <w:ind w:left="4680" w:hanging="180"/>
      </w:pPr>
    </w:lvl>
    <w:lvl w:ilvl="6" w:tplc="C5F27208" w:tentative="1">
      <w:start w:val="1"/>
      <w:numFmt w:val="decimal"/>
      <w:lvlText w:val="%7."/>
      <w:lvlJc w:val="left"/>
      <w:pPr>
        <w:ind w:left="5400" w:hanging="360"/>
      </w:pPr>
    </w:lvl>
    <w:lvl w:ilvl="7" w:tplc="2752BD72" w:tentative="1">
      <w:start w:val="1"/>
      <w:numFmt w:val="lowerLetter"/>
      <w:lvlText w:val="%8."/>
      <w:lvlJc w:val="left"/>
      <w:pPr>
        <w:ind w:left="6120" w:hanging="360"/>
      </w:pPr>
    </w:lvl>
    <w:lvl w:ilvl="8" w:tplc="5E4C1F2C" w:tentative="1">
      <w:start w:val="1"/>
      <w:numFmt w:val="lowerRoman"/>
      <w:lvlText w:val="%9."/>
      <w:lvlJc w:val="right"/>
      <w:pPr>
        <w:ind w:left="6840" w:hanging="180"/>
      </w:pPr>
    </w:lvl>
  </w:abstractNum>
  <w:abstractNum w:abstractNumId="1" w15:restartNumberingAfterBreak="0">
    <w:nsid w:val="0B696016"/>
    <w:multiLevelType w:val="hybridMultilevel"/>
    <w:tmpl w:val="AEFC7A22"/>
    <w:lvl w:ilvl="0" w:tplc="07F6E802">
      <w:start w:val="1"/>
      <w:numFmt w:val="upperLetter"/>
      <w:lvlText w:val="%1."/>
      <w:lvlJc w:val="left"/>
      <w:pPr>
        <w:ind w:left="1140" w:hanging="420"/>
      </w:pPr>
      <w:rPr>
        <w:rFonts w:hint="default"/>
      </w:rPr>
    </w:lvl>
    <w:lvl w:ilvl="1" w:tplc="23D03A96" w:tentative="1">
      <w:start w:val="1"/>
      <w:numFmt w:val="lowerLetter"/>
      <w:lvlText w:val="%2."/>
      <w:lvlJc w:val="left"/>
      <w:pPr>
        <w:ind w:left="1800" w:hanging="360"/>
      </w:pPr>
    </w:lvl>
    <w:lvl w:ilvl="2" w:tplc="E9F88804" w:tentative="1">
      <w:start w:val="1"/>
      <w:numFmt w:val="lowerRoman"/>
      <w:lvlText w:val="%3."/>
      <w:lvlJc w:val="right"/>
      <w:pPr>
        <w:ind w:left="2520" w:hanging="180"/>
      </w:pPr>
    </w:lvl>
    <w:lvl w:ilvl="3" w:tplc="ACD0387A" w:tentative="1">
      <w:start w:val="1"/>
      <w:numFmt w:val="decimal"/>
      <w:lvlText w:val="%4."/>
      <w:lvlJc w:val="left"/>
      <w:pPr>
        <w:ind w:left="3240" w:hanging="360"/>
      </w:pPr>
    </w:lvl>
    <w:lvl w:ilvl="4" w:tplc="04EE8BF4" w:tentative="1">
      <w:start w:val="1"/>
      <w:numFmt w:val="lowerLetter"/>
      <w:lvlText w:val="%5."/>
      <w:lvlJc w:val="left"/>
      <w:pPr>
        <w:ind w:left="3960" w:hanging="360"/>
      </w:pPr>
    </w:lvl>
    <w:lvl w:ilvl="5" w:tplc="808E3F82" w:tentative="1">
      <w:start w:val="1"/>
      <w:numFmt w:val="lowerRoman"/>
      <w:lvlText w:val="%6."/>
      <w:lvlJc w:val="right"/>
      <w:pPr>
        <w:ind w:left="4680" w:hanging="180"/>
      </w:pPr>
    </w:lvl>
    <w:lvl w:ilvl="6" w:tplc="DB9CABEC" w:tentative="1">
      <w:start w:val="1"/>
      <w:numFmt w:val="decimal"/>
      <w:lvlText w:val="%7."/>
      <w:lvlJc w:val="left"/>
      <w:pPr>
        <w:ind w:left="5400" w:hanging="360"/>
      </w:pPr>
    </w:lvl>
    <w:lvl w:ilvl="7" w:tplc="250CBE82" w:tentative="1">
      <w:start w:val="1"/>
      <w:numFmt w:val="lowerLetter"/>
      <w:lvlText w:val="%8."/>
      <w:lvlJc w:val="left"/>
      <w:pPr>
        <w:ind w:left="6120" w:hanging="360"/>
      </w:pPr>
    </w:lvl>
    <w:lvl w:ilvl="8" w:tplc="0BA4100A" w:tentative="1">
      <w:start w:val="1"/>
      <w:numFmt w:val="lowerRoman"/>
      <w:lvlText w:val="%9."/>
      <w:lvlJc w:val="right"/>
      <w:pPr>
        <w:ind w:left="6840" w:hanging="180"/>
      </w:pPr>
    </w:lvl>
  </w:abstractNum>
  <w:abstractNum w:abstractNumId="2" w15:restartNumberingAfterBreak="0">
    <w:nsid w:val="10833681"/>
    <w:multiLevelType w:val="hybridMultilevel"/>
    <w:tmpl w:val="74349184"/>
    <w:lvl w:ilvl="0" w:tplc="72A6E6EA">
      <w:start w:val="1"/>
      <w:numFmt w:val="decimal"/>
      <w:lvlText w:val="%1."/>
      <w:lvlJc w:val="left"/>
      <w:pPr>
        <w:ind w:left="720" w:hanging="360"/>
      </w:pPr>
    </w:lvl>
    <w:lvl w:ilvl="1" w:tplc="49D28FA8" w:tentative="1">
      <w:start w:val="1"/>
      <w:numFmt w:val="lowerLetter"/>
      <w:lvlText w:val="%2."/>
      <w:lvlJc w:val="left"/>
      <w:pPr>
        <w:ind w:left="1440" w:hanging="360"/>
      </w:pPr>
    </w:lvl>
    <w:lvl w:ilvl="2" w:tplc="CAA49DC4" w:tentative="1">
      <w:start w:val="1"/>
      <w:numFmt w:val="lowerRoman"/>
      <w:lvlText w:val="%3."/>
      <w:lvlJc w:val="right"/>
      <w:pPr>
        <w:ind w:left="2160" w:hanging="180"/>
      </w:pPr>
    </w:lvl>
    <w:lvl w:ilvl="3" w:tplc="09F443DE" w:tentative="1">
      <w:start w:val="1"/>
      <w:numFmt w:val="decimal"/>
      <w:lvlText w:val="%4."/>
      <w:lvlJc w:val="left"/>
      <w:pPr>
        <w:ind w:left="2880" w:hanging="360"/>
      </w:pPr>
    </w:lvl>
    <w:lvl w:ilvl="4" w:tplc="0A329312" w:tentative="1">
      <w:start w:val="1"/>
      <w:numFmt w:val="lowerLetter"/>
      <w:lvlText w:val="%5."/>
      <w:lvlJc w:val="left"/>
      <w:pPr>
        <w:ind w:left="3600" w:hanging="360"/>
      </w:pPr>
    </w:lvl>
    <w:lvl w:ilvl="5" w:tplc="C6D6967E" w:tentative="1">
      <w:start w:val="1"/>
      <w:numFmt w:val="lowerRoman"/>
      <w:lvlText w:val="%6."/>
      <w:lvlJc w:val="right"/>
      <w:pPr>
        <w:ind w:left="4320" w:hanging="180"/>
      </w:pPr>
    </w:lvl>
    <w:lvl w:ilvl="6" w:tplc="F9D635C0" w:tentative="1">
      <w:start w:val="1"/>
      <w:numFmt w:val="decimal"/>
      <w:lvlText w:val="%7."/>
      <w:lvlJc w:val="left"/>
      <w:pPr>
        <w:ind w:left="5040" w:hanging="360"/>
      </w:pPr>
    </w:lvl>
    <w:lvl w:ilvl="7" w:tplc="8280DB6A" w:tentative="1">
      <w:start w:val="1"/>
      <w:numFmt w:val="lowerLetter"/>
      <w:lvlText w:val="%8."/>
      <w:lvlJc w:val="left"/>
      <w:pPr>
        <w:ind w:left="5760" w:hanging="360"/>
      </w:pPr>
    </w:lvl>
    <w:lvl w:ilvl="8" w:tplc="2D9895B4" w:tentative="1">
      <w:start w:val="1"/>
      <w:numFmt w:val="lowerRoman"/>
      <w:lvlText w:val="%9."/>
      <w:lvlJc w:val="right"/>
      <w:pPr>
        <w:ind w:left="6480" w:hanging="180"/>
      </w:pPr>
    </w:lvl>
  </w:abstractNum>
  <w:abstractNum w:abstractNumId="3" w15:restartNumberingAfterBreak="0">
    <w:nsid w:val="123D700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4FB0F4F"/>
    <w:multiLevelType w:val="hybridMultilevel"/>
    <w:tmpl w:val="EA58B0CA"/>
    <w:lvl w:ilvl="0" w:tplc="A40C03C4">
      <w:start w:val="1"/>
      <w:numFmt w:val="decimal"/>
      <w:lvlText w:val="%1."/>
      <w:lvlJc w:val="left"/>
      <w:pPr>
        <w:ind w:left="1800" w:hanging="360"/>
      </w:pPr>
      <w:rPr>
        <w:rFonts w:hint="default"/>
      </w:rPr>
    </w:lvl>
    <w:lvl w:ilvl="1" w:tplc="B0A8B236" w:tentative="1">
      <w:start w:val="1"/>
      <w:numFmt w:val="lowerLetter"/>
      <w:lvlText w:val="%2."/>
      <w:lvlJc w:val="left"/>
      <w:pPr>
        <w:ind w:left="1800" w:hanging="360"/>
      </w:pPr>
    </w:lvl>
    <w:lvl w:ilvl="2" w:tplc="5EDEE55A" w:tentative="1">
      <w:start w:val="1"/>
      <w:numFmt w:val="lowerRoman"/>
      <w:lvlText w:val="%3."/>
      <w:lvlJc w:val="right"/>
      <w:pPr>
        <w:ind w:left="2520" w:hanging="180"/>
      </w:pPr>
    </w:lvl>
    <w:lvl w:ilvl="3" w:tplc="4D8A2B6C" w:tentative="1">
      <w:start w:val="1"/>
      <w:numFmt w:val="decimal"/>
      <w:lvlText w:val="%4."/>
      <w:lvlJc w:val="left"/>
      <w:pPr>
        <w:ind w:left="3240" w:hanging="360"/>
      </w:pPr>
    </w:lvl>
    <w:lvl w:ilvl="4" w:tplc="480683E0" w:tentative="1">
      <w:start w:val="1"/>
      <w:numFmt w:val="lowerLetter"/>
      <w:lvlText w:val="%5."/>
      <w:lvlJc w:val="left"/>
      <w:pPr>
        <w:ind w:left="3960" w:hanging="360"/>
      </w:pPr>
    </w:lvl>
    <w:lvl w:ilvl="5" w:tplc="C0F623AC" w:tentative="1">
      <w:start w:val="1"/>
      <w:numFmt w:val="lowerRoman"/>
      <w:lvlText w:val="%6."/>
      <w:lvlJc w:val="right"/>
      <w:pPr>
        <w:ind w:left="4680" w:hanging="180"/>
      </w:pPr>
    </w:lvl>
    <w:lvl w:ilvl="6" w:tplc="EFEE0EA8" w:tentative="1">
      <w:start w:val="1"/>
      <w:numFmt w:val="decimal"/>
      <w:lvlText w:val="%7."/>
      <w:lvlJc w:val="left"/>
      <w:pPr>
        <w:ind w:left="5400" w:hanging="360"/>
      </w:pPr>
    </w:lvl>
    <w:lvl w:ilvl="7" w:tplc="A738A31C" w:tentative="1">
      <w:start w:val="1"/>
      <w:numFmt w:val="lowerLetter"/>
      <w:lvlText w:val="%8."/>
      <w:lvlJc w:val="left"/>
      <w:pPr>
        <w:ind w:left="6120" w:hanging="360"/>
      </w:pPr>
    </w:lvl>
    <w:lvl w:ilvl="8" w:tplc="F460B8E8" w:tentative="1">
      <w:start w:val="1"/>
      <w:numFmt w:val="lowerRoman"/>
      <w:lvlText w:val="%9."/>
      <w:lvlJc w:val="right"/>
      <w:pPr>
        <w:ind w:left="6840" w:hanging="180"/>
      </w:pPr>
    </w:lvl>
  </w:abstractNum>
  <w:abstractNum w:abstractNumId="5" w15:restartNumberingAfterBreak="0">
    <w:nsid w:val="29CC3918"/>
    <w:multiLevelType w:val="multilevel"/>
    <w:tmpl w:val="0C64D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E1263C"/>
    <w:multiLevelType w:val="hybridMultilevel"/>
    <w:tmpl w:val="20246D20"/>
    <w:lvl w:ilvl="0" w:tplc="51C0966C">
      <w:start w:val="1"/>
      <w:numFmt w:val="upperRoman"/>
      <w:lvlText w:val="%1."/>
      <w:lvlJc w:val="left"/>
      <w:pPr>
        <w:ind w:left="1080" w:hanging="720"/>
      </w:pPr>
      <w:rPr>
        <w:rFonts w:hint="default"/>
      </w:rPr>
    </w:lvl>
    <w:lvl w:ilvl="1" w:tplc="13342F5C">
      <w:start w:val="1"/>
      <w:numFmt w:val="lowerLetter"/>
      <w:lvlText w:val="%2."/>
      <w:lvlJc w:val="left"/>
      <w:pPr>
        <w:ind w:left="1440" w:hanging="360"/>
      </w:pPr>
    </w:lvl>
    <w:lvl w:ilvl="2" w:tplc="65B078E2" w:tentative="1">
      <w:start w:val="1"/>
      <w:numFmt w:val="lowerRoman"/>
      <w:lvlText w:val="%3."/>
      <w:lvlJc w:val="right"/>
      <w:pPr>
        <w:ind w:left="2160" w:hanging="180"/>
      </w:pPr>
    </w:lvl>
    <w:lvl w:ilvl="3" w:tplc="0DBE76F8" w:tentative="1">
      <w:start w:val="1"/>
      <w:numFmt w:val="decimal"/>
      <w:lvlText w:val="%4."/>
      <w:lvlJc w:val="left"/>
      <w:pPr>
        <w:ind w:left="2880" w:hanging="360"/>
      </w:pPr>
    </w:lvl>
    <w:lvl w:ilvl="4" w:tplc="892CD8E6" w:tentative="1">
      <w:start w:val="1"/>
      <w:numFmt w:val="lowerLetter"/>
      <w:lvlText w:val="%5."/>
      <w:lvlJc w:val="left"/>
      <w:pPr>
        <w:ind w:left="3600" w:hanging="360"/>
      </w:pPr>
    </w:lvl>
    <w:lvl w:ilvl="5" w:tplc="7F0C8408" w:tentative="1">
      <w:start w:val="1"/>
      <w:numFmt w:val="lowerRoman"/>
      <w:lvlText w:val="%6."/>
      <w:lvlJc w:val="right"/>
      <w:pPr>
        <w:ind w:left="4320" w:hanging="180"/>
      </w:pPr>
    </w:lvl>
    <w:lvl w:ilvl="6" w:tplc="A1D842BE" w:tentative="1">
      <w:start w:val="1"/>
      <w:numFmt w:val="decimal"/>
      <w:lvlText w:val="%7."/>
      <w:lvlJc w:val="left"/>
      <w:pPr>
        <w:ind w:left="5040" w:hanging="360"/>
      </w:pPr>
    </w:lvl>
    <w:lvl w:ilvl="7" w:tplc="00589E8C" w:tentative="1">
      <w:start w:val="1"/>
      <w:numFmt w:val="lowerLetter"/>
      <w:lvlText w:val="%8."/>
      <w:lvlJc w:val="left"/>
      <w:pPr>
        <w:ind w:left="5760" w:hanging="360"/>
      </w:pPr>
    </w:lvl>
    <w:lvl w:ilvl="8" w:tplc="06A2B4F8" w:tentative="1">
      <w:start w:val="1"/>
      <w:numFmt w:val="lowerRoman"/>
      <w:lvlText w:val="%9."/>
      <w:lvlJc w:val="right"/>
      <w:pPr>
        <w:ind w:left="6480" w:hanging="180"/>
      </w:pPr>
    </w:lvl>
  </w:abstractNum>
  <w:abstractNum w:abstractNumId="7" w15:restartNumberingAfterBreak="0">
    <w:nsid w:val="4E874CC2"/>
    <w:multiLevelType w:val="hybridMultilevel"/>
    <w:tmpl w:val="4350E828"/>
    <w:lvl w:ilvl="0" w:tplc="078A87A2">
      <w:start w:val="1"/>
      <w:numFmt w:val="upperLetter"/>
      <w:lvlText w:val="%1."/>
      <w:lvlJc w:val="left"/>
      <w:pPr>
        <w:ind w:left="1440" w:hanging="360"/>
      </w:pPr>
      <w:rPr>
        <w:rFonts w:hint="default"/>
        <w:b/>
        <w:bCs/>
      </w:rPr>
    </w:lvl>
    <w:lvl w:ilvl="1" w:tplc="E648E14C" w:tentative="1">
      <w:start w:val="1"/>
      <w:numFmt w:val="lowerLetter"/>
      <w:lvlText w:val="%2."/>
      <w:lvlJc w:val="left"/>
      <w:pPr>
        <w:ind w:left="2160" w:hanging="360"/>
      </w:pPr>
    </w:lvl>
    <w:lvl w:ilvl="2" w:tplc="A95C9FF8" w:tentative="1">
      <w:start w:val="1"/>
      <w:numFmt w:val="lowerRoman"/>
      <w:lvlText w:val="%3."/>
      <w:lvlJc w:val="right"/>
      <w:pPr>
        <w:ind w:left="2880" w:hanging="180"/>
      </w:pPr>
    </w:lvl>
    <w:lvl w:ilvl="3" w:tplc="9412F774" w:tentative="1">
      <w:start w:val="1"/>
      <w:numFmt w:val="decimal"/>
      <w:lvlText w:val="%4."/>
      <w:lvlJc w:val="left"/>
      <w:pPr>
        <w:ind w:left="3600" w:hanging="360"/>
      </w:pPr>
    </w:lvl>
    <w:lvl w:ilvl="4" w:tplc="BCB023FC" w:tentative="1">
      <w:start w:val="1"/>
      <w:numFmt w:val="lowerLetter"/>
      <w:lvlText w:val="%5."/>
      <w:lvlJc w:val="left"/>
      <w:pPr>
        <w:ind w:left="4320" w:hanging="360"/>
      </w:pPr>
    </w:lvl>
    <w:lvl w:ilvl="5" w:tplc="E9D66F40" w:tentative="1">
      <w:start w:val="1"/>
      <w:numFmt w:val="lowerRoman"/>
      <w:lvlText w:val="%6."/>
      <w:lvlJc w:val="right"/>
      <w:pPr>
        <w:ind w:left="5040" w:hanging="180"/>
      </w:pPr>
    </w:lvl>
    <w:lvl w:ilvl="6" w:tplc="4822A8A6" w:tentative="1">
      <w:start w:val="1"/>
      <w:numFmt w:val="decimal"/>
      <w:lvlText w:val="%7."/>
      <w:lvlJc w:val="left"/>
      <w:pPr>
        <w:ind w:left="5760" w:hanging="360"/>
      </w:pPr>
    </w:lvl>
    <w:lvl w:ilvl="7" w:tplc="8ED4D924" w:tentative="1">
      <w:start w:val="1"/>
      <w:numFmt w:val="lowerLetter"/>
      <w:lvlText w:val="%8."/>
      <w:lvlJc w:val="left"/>
      <w:pPr>
        <w:ind w:left="6480" w:hanging="360"/>
      </w:pPr>
    </w:lvl>
    <w:lvl w:ilvl="8" w:tplc="DD1C17CE" w:tentative="1">
      <w:start w:val="1"/>
      <w:numFmt w:val="lowerRoman"/>
      <w:lvlText w:val="%9."/>
      <w:lvlJc w:val="right"/>
      <w:pPr>
        <w:ind w:left="7200" w:hanging="180"/>
      </w:pPr>
    </w:lvl>
  </w:abstractNum>
  <w:abstractNum w:abstractNumId="8" w15:restartNumberingAfterBreak="0">
    <w:nsid w:val="55CE75C0"/>
    <w:multiLevelType w:val="hybridMultilevel"/>
    <w:tmpl w:val="2E48ECB6"/>
    <w:lvl w:ilvl="0" w:tplc="E7F2EAE2">
      <w:start w:val="1"/>
      <w:numFmt w:val="upperLetter"/>
      <w:lvlText w:val="%1."/>
      <w:lvlJc w:val="left"/>
      <w:pPr>
        <w:ind w:left="1440" w:hanging="360"/>
      </w:pPr>
      <w:rPr>
        <w:rFonts w:hint="default"/>
      </w:rPr>
    </w:lvl>
    <w:lvl w:ilvl="1" w:tplc="5DB8B468" w:tentative="1">
      <w:start w:val="1"/>
      <w:numFmt w:val="lowerLetter"/>
      <w:lvlText w:val="%2."/>
      <w:lvlJc w:val="left"/>
      <w:pPr>
        <w:ind w:left="2160" w:hanging="360"/>
      </w:pPr>
    </w:lvl>
    <w:lvl w:ilvl="2" w:tplc="A8D6C4F2" w:tentative="1">
      <w:start w:val="1"/>
      <w:numFmt w:val="lowerRoman"/>
      <w:lvlText w:val="%3."/>
      <w:lvlJc w:val="right"/>
      <w:pPr>
        <w:ind w:left="2880" w:hanging="180"/>
      </w:pPr>
    </w:lvl>
    <w:lvl w:ilvl="3" w:tplc="33D0080E" w:tentative="1">
      <w:start w:val="1"/>
      <w:numFmt w:val="decimal"/>
      <w:lvlText w:val="%4."/>
      <w:lvlJc w:val="left"/>
      <w:pPr>
        <w:ind w:left="3600" w:hanging="360"/>
      </w:pPr>
    </w:lvl>
    <w:lvl w:ilvl="4" w:tplc="7B26BFEE" w:tentative="1">
      <w:start w:val="1"/>
      <w:numFmt w:val="lowerLetter"/>
      <w:lvlText w:val="%5."/>
      <w:lvlJc w:val="left"/>
      <w:pPr>
        <w:ind w:left="4320" w:hanging="360"/>
      </w:pPr>
    </w:lvl>
    <w:lvl w:ilvl="5" w:tplc="AD8EB8A6" w:tentative="1">
      <w:start w:val="1"/>
      <w:numFmt w:val="lowerRoman"/>
      <w:lvlText w:val="%6."/>
      <w:lvlJc w:val="right"/>
      <w:pPr>
        <w:ind w:left="5040" w:hanging="180"/>
      </w:pPr>
    </w:lvl>
    <w:lvl w:ilvl="6" w:tplc="714046D6" w:tentative="1">
      <w:start w:val="1"/>
      <w:numFmt w:val="decimal"/>
      <w:lvlText w:val="%7."/>
      <w:lvlJc w:val="left"/>
      <w:pPr>
        <w:ind w:left="5760" w:hanging="360"/>
      </w:pPr>
    </w:lvl>
    <w:lvl w:ilvl="7" w:tplc="F558EE58" w:tentative="1">
      <w:start w:val="1"/>
      <w:numFmt w:val="lowerLetter"/>
      <w:lvlText w:val="%8."/>
      <w:lvlJc w:val="left"/>
      <w:pPr>
        <w:ind w:left="6480" w:hanging="360"/>
      </w:pPr>
    </w:lvl>
    <w:lvl w:ilvl="8" w:tplc="2CFE76D6" w:tentative="1">
      <w:start w:val="1"/>
      <w:numFmt w:val="lowerRoman"/>
      <w:lvlText w:val="%9."/>
      <w:lvlJc w:val="right"/>
      <w:pPr>
        <w:ind w:left="7200" w:hanging="180"/>
      </w:pPr>
    </w:lvl>
  </w:abstractNum>
  <w:abstractNum w:abstractNumId="9" w15:restartNumberingAfterBreak="0">
    <w:nsid w:val="56BE7C92"/>
    <w:multiLevelType w:val="hybridMultilevel"/>
    <w:tmpl w:val="542A60B8"/>
    <w:lvl w:ilvl="0" w:tplc="5E16F74E">
      <w:start w:val="1"/>
      <w:numFmt w:val="decimal"/>
      <w:lvlText w:val="%1."/>
      <w:lvlJc w:val="left"/>
      <w:pPr>
        <w:ind w:left="720" w:hanging="360"/>
      </w:pPr>
    </w:lvl>
    <w:lvl w:ilvl="1" w:tplc="011E35FA" w:tentative="1">
      <w:start w:val="1"/>
      <w:numFmt w:val="lowerLetter"/>
      <w:lvlText w:val="%2."/>
      <w:lvlJc w:val="left"/>
      <w:pPr>
        <w:ind w:left="1440" w:hanging="360"/>
      </w:pPr>
    </w:lvl>
    <w:lvl w:ilvl="2" w:tplc="1748A5FA" w:tentative="1">
      <w:start w:val="1"/>
      <w:numFmt w:val="lowerRoman"/>
      <w:lvlText w:val="%3."/>
      <w:lvlJc w:val="right"/>
      <w:pPr>
        <w:ind w:left="2160" w:hanging="180"/>
      </w:pPr>
    </w:lvl>
    <w:lvl w:ilvl="3" w:tplc="D24A100C" w:tentative="1">
      <w:start w:val="1"/>
      <w:numFmt w:val="decimal"/>
      <w:lvlText w:val="%4."/>
      <w:lvlJc w:val="left"/>
      <w:pPr>
        <w:ind w:left="2880" w:hanging="360"/>
      </w:pPr>
    </w:lvl>
    <w:lvl w:ilvl="4" w:tplc="F74CABD6" w:tentative="1">
      <w:start w:val="1"/>
      <w:numFmt w:val="lowerLetter"/>
      <w:lvlText w:val="%5."/>
      <w:lvlJc w:val="left"/>
      <w:pPr>
        <w:ind w:left="3600" w:hanging="360"/>
      </w:pPr>
    </w:lvl>
    <w:lvl w:ilvl="5" w:tplc="BA12F2CC" w:tentative="1">
      <w:start w:val="1"/>
      <w:numFmt w:val="lowerRoman"/>
      <w:lvlText w:val="%6."/>
      <w:lvlJc w:val="right"/>
      <w:pPr>
        <w:ind w:left="4320" w:hanging="180"/>
      </w:pPr>
    </w:lvl>
    <w:lvl w:ilvl="6" w:tplc="42901F22" w:tentative="1">
      <w:start w:val="1"/>
      <w:numFmt w:val="decimal"/>
      <w:lvlText w:val="%7."/>
      <w:lvlJc w:val="left"/>
      <w:pPr>
        <w:ind w:left="5040" w:hanging="360"/>
      </w:pPr>
    </w:lvl>
    <w:lvl w:ilvl="7" w:tplc="E65C0F92" w:tentative="1">
      <w:start w:val="1"/>
      <w:numFmt w:val="lowerLetter"/>
      <w:lvlText w:val="%8."/>
      <w:lvlJc w:val="left"/>
      <w:pPr>
        <w:ind w:left="5760" w:hanging="360"/>
      </w:pPr>
    </w:lvl>
    <w:lvl w:ilvl="8" w:tplc="AC4C5CCE" w:tentative="1">
      <w:start w:val="1"/>
      <w:numFmt w:val="lowerRoman"/>
      <w:lvlText w:val="%9."/>
      <w:lvlJc w:val="right"/>
      <w:pPr>
        <w:ind w:left="6480" w:hanging="180"/>
      </w:pPr>
    </w:lvl>
  </w:abstractNum>
  <w:abstractNum w:abstractNumId="10" w15:restartNumberingAfterBreak="0">
    <w:nsid w:val="69761221"/>
    <w:multiLevelType w:val="hybridMultilevel"/>
    <w:tmpl w:val="D69491AA"/>
    <w:lvl w:ilvl="0" w:tplc="8B8CE19C">
      <w:start w:val="1"/>
      <w:numFmt w:val="upperLetter"/>
      <w:lvlText w:val="%1."/>
      <w:lvlJc w:val="left"/>
      <w:pPr>
        <w:ind w:left="1440" w:hanging="360"/>
      </w:pPr>
      <w:rPr>
        <w:rFonts w:hint="default"/>
      </w:rPr>
    </w:lvl>
    <w:lvl w:ilvl="1" w:tplc="B2749B0E" w:tentative="1">
      <w:start w:val="1"/>
      <w:numFmt w:val="lowerLetter"/>
      <w:lvlText w:val="%2."/>
      <w:lvlJc w:val="left"/>
      <w:pPr>
        <w:ind w:left="2160" w:hanging="360"/>
      </w:pPr>
    </w:lvl>
    <w:lvl w:ilvl="2" w:tplc="D9DEA864" w:tentative="1">
      <w:start w:val="1"/>
      <w:numFmt w:val="lowerRoman"/>
      <w:lvlText w:val="%3."/>
      <w:lvlJc w:val="right"/>
      <w:pPr>
        <w:ind w:left="2880" w:hanging="180"/>
      </w:pPr>
    </w:lvl>
    <w:lvl w:ilvl="3" w:tplc="A330E0CA" w:tentative="1">
      <w:start w:val="1"/>
      <w:numFmt w:val="decimal"/>
      <w:lvlText w:val="%4."/>
      <w:lvlJc w:val="left"/>
      <w:pPr>
        <w:ind w:left="3600" w:hanging="360"/>
      </w:pPr>
    </w:lvl>
    <w:lvl w:ilvl="4" w:tplc="4EA8DC2A" w:tentative="1">
      <w:start w:val="1"/>
      <w:numFmt w:val="lowerLetter"/>
      <w:lvlText w:val="%5."/>
      <w:lvlJc w:val="left"/>
      <w:pPr>
        <w:ind w:left="4320" w:hanging="360"/>
      </w:pPr>
    </w:lvl>
    <w:lvl w:ilvl="5" w:tplc="C9929CAC" w:tentative="1">
      <w:start w:val="1"/>
      <w:numFmt w:val="lowerRoman"/>
      <w:lvlText w:val="%6."/>
      <w:lvlJc w:val="right"/>
      <w:pPr>
        <w:ind w:left="5040" w:hanging="180"/>
      </w:pPr>
    </w:lvl>
    <w:lvl w:ilvl="6" w:tplc="EF7E3334" w:tentative="1">
      <w:start w:val="1"/>
      <w:numFmt w:val="decimal"/>
      <w:lvlText w:val="%7."/>
      <w:lvlJc w:val="left"/>
      <w:pPr>
        <w:ind w:left="5760" w:hanging="360"/>
      </w:pPr>
    </w:lvl>
    <w:lvl w:ilvl="7" w:tplc="AC9A27DA" w:tentative="1">
      <w:start w:val="1"/>
      <w:numFmt w:val="lowerLetter"/>
      <w:lvlText w:val="%8."/>
      <w:lvlJc w:val="left"/>
      <w:pPr>
        <w:ind w:left="6480" w:hanging="360"/>
      </w:pPr>
    </w:lvl>
    <w:lvl w:ilvl="8" w:tplc="3E0E05C2" w:tentative="1">
      <w:start w:val="1"/>
      <w:numFmt w:val="lowerRoman"/>
      <w:lvlText w:val="%9."/>
      <w:lvlJc w:val="right"/>
      <w:pPr>
        <w:ind w:left="7200" w:hanging="180"/>
      </w:pPr>
    </w:lvl>
  </w:abstractNum>
  <w:abstractNum w:abstractNumId="11" w15:restartNumberingAfterBreak="0">
    <w:nsid w:val="6C1F2DBC"/>
    <w:multiLevelType w:val="hybridMultilevel"/>
    <w:tmpl w:val="B71E9F36"/>
    <w:lvl w:ilvl="0" w:tplc="F4366FB4">
      <w:start w:val="1"/>
      <w:numFmt w:val="upperLetter"/>
      <w:lvlText w:val="%1."/>
      <w:lvlJc w:val="left"/>
      <w:pPr>
        <w:ind w:left="1440" w:hanging="360"/>
      </w:pPr>
    </w:lvl>
    <w:lvl w:ilvl="1" w:tplc="BFF6B620" w:tentative="1">
      <w:start w:val="1"/>
      <w:numFmt w:val="lowerLetter"/>
      <w:lvlText w:val="%2."/>
      <w:lvlJc w:val="left"/>
      <w:pPr>
        <w:ind w:left="2160" w:hanging="360"/>
      </w:pPr>
    </w:lvl>
    <w:lvl w:ilvl="2" w:tplc="969C46EA" w:tentative="1">
      <w:start w:val="1"/>
      <w:numFmt w:val="lowerRoman"/>
      <w:lvlText w:val="%3."/>
      <w:lvlJc w:val="right"/>
      <w:pPr>
        <w:ind w:left="2880" w:hanging="180"/>
      </w:pPr>
    </w:lvl>
    <w:lvl w:ilvl="3" w:tplc="1616C2B4" w:tentative="1">
      <w:start w:val="1"/>
      <w:numFmt w:val="decimal"/>
      <w:lvlText w:val="%4."/>
      <w:lvlJc w:val="left"/>
      <w:pPr>
        <w:ind w:left="3600" w:hanging="360"/>
      </w:pPr>
    </w:lvl>
    <w:lvl w:ilvl="4" w:tplc="0FE0420A" w:tentative="1">
      <w:start w:val="1"/>
      <w:numFmt w:val="lowerLetter"/>
      <w:lvlText w:val="%5."/>
      <w:lvlJc w:val="left"/>
      <w:pPr>
        <w:ind w:left="4320" w:hanging="360"/>
      </w:pPr>
    </w:lvl>
    <w:lvl w:ilvl="5" w:tplc="FE4A02C6" w:tentative="1">
      <w:start w:val="1"/>
      <w:numFmt w:val="lowerRoman"/>
      <w:lvlText w:val="%6."/>
      <w:lvlJc w:val="right"/>
      <w:pPr>
        <w:ind w:left="5040" w:hanging="180"/>
      </w:pPr>
    </w:lvl>
    <w:lvl w:ilvl="6" w:tplc="D2E409DA" w:tentative="1">
      <w:start w:val="1"/>
      <w:numFmt w:val="decimal"/>
      <w:lvlText w:val="%7."/>
      <w:lvlJc w:val="left"/>
      <w:pPr>
        <w:ind w:left="5760" w:hanging="360"/>
      </w:pPr>
    </w:lvl>
    <w:lvl w:ilvl="7" w:tplc="4F9A2432" w:tentative="1">
      <w:start w:val="1"/>
      <w:numFmt w:val="lowerLetter"/>
      <w:lvlText w:val="%8."/>
      <w:lvlJc w:val="left"/>
      <w:pPr>
        <w:ind w:left="6480" w:hanging="360"/>
      </w:pPr>
    </w:lvl>
    <w:lvl w:ilvl="8" w:tplc="1682E070" w:tentative="1">
      <w:start w:val="1"/>
      <w:numFmt w:val="lowerRoman"/>
      <w:lvlText w:val="%9."/>
      <w:lvlJc w:val="right"/>
      <w:pPr>
        <w:ind w:left="7200" w:hanging="180"/>
      </w:pPr>
    </w:lvl>
  </w:abstractNum>
  <w:abstractNum w:abstractNumId="12" w15:restartNumberingAfterBreak="0">
    <w:nsid w:val="70D01987"/>
    <w:multiLevelType w:val="hybridMultilevel"/>
    <w:tmpl w:val="6E427C38"/>
    <w:lvl w:ilvl="0" w:tplc="44AE4300">
      <w:start w:val="1"/>
      <w:numFmt w:val="upperLetter"/>
      <w:lvlText w:val="%1."/>
      <w:lvlJc w:val="left"/>
      <w:pPr>
        <w:ind w:left="1440" w:hanging="360"/>
      </w:pPr>
    </w:lvl>
    <w:lvl w:ilvl="1" w:tplc="D668D392" w:tentative="1">
      <w:start w:val="1"/>
      <w:numFmt w:val="lowerLetter"/>
      <w:lvlText w:val="%2."/>
      <w:lvlJc w:val="left"/>
      <w:pPr>
        <w:ind w:left="2160" w:hanging="360"/>
      </w:pPr>
    </w:lvl>
    <w:lvl w:ilvl="2" w:tplc="06589616" w:tentative="1">
      <w:start w:val="1"/>
      <w:numFmt w:val="lowerRoman"/>
      <w:lvlText w:val="%3."/>
      <w:lvlJc w:val="right"/>
      <w:pPr>
        <w:ind w:left="2880" w:hanging="180"/>
      </w:pPr>
    </w:lvl>
    <w:lvl w:ilvl="3" w:tplc="6CEE67F4" w:tentative="1">
      <w:start w:val="1"/>
      <w:numFmt w:val="decimal"/>
      <w:lvlText w:val="%4."/>
      <w:lvlJc w:val="left"/>
      <w:pPr>
        <w:ind w:left="3600" w:hanging="360"/>
      </w:pPr>
    </w:lvl>
    <w:lvl w:ilvl="4" w:tplc="51A8F990" w:tentative="1">
      <w:start w:val="1"/>
      <w:numFmt w:val="lowerLetter"/>
      <w:lvlText w:val="%5."/>
      <w:lvlJc w:val="left"/>
      <w:pPr>
        <w:ind w:left="4320" w:hanging="360"/>
      </w:pPr>
    </w:lvl>
    <w:lvl w:ilvl="5" w:tplc="94F289A0" w:tentative="1">
      <w:start w:val="1"/>
      <w:numFmt w:val="lowerRoman"/>
      <w:lvlText w:val="%6."/>
      <w:lvlJc w:val="right"/>
      <w:pPr>
        <w:ind w:left="5040" w:hanging="180"/>
      </w:pPr>
    </w:lvl>
    <w:lvl w:ilvl="6" w:tplc="22822AE6" w:tentative="1">
      <w:start w:val="1"/>
      <w:numFmt w:val="decimal"/>
      <w:lvlText w:val="%7."/>
      <w:lvlJc w:val="left"/>
      <w:pPr>
        <w:ind w:left="5760" w:hanging="360"/>
      </w:pPr>
    </w:lvl>
    <w:lvl w:ilvl="7" w:tplc="22323300" w:tentative="1">
      <w:start w:val="1"/>
      <w:numFmt w:val="lowerLetter"/>
      <w:lvlText w:val="%8."/>
      <w:lvlJc w:val="left"/>
      <w:pPr>
        <w:ind w:left="6480" w:hanging="360"/>
      </w:pPr>
    </w:lvl>
    <w:lvl w:ilvl="8" w:tplc="F2A07C54" w:tentative="1">
      <w:start w:val="1"/>
      <w:numFmt w:val="lowerRoman"/>
      <w:lvlText w:val="%9."/>
      <w:lvlJc w:val="right"/>
      <w:pPr>
        <w:ind w:left="7200" w:hanging="180"/>
      </w:pPr>
    </w:lvl>
  </w:abstractNum>
  <w:abstractNum w:abstractNumId="13" w15:restartNumberingAfterBreak="0">
    <w:nsid w:val="7C936056"/>
    <w:multiLevelType w:val="hybridMultilevel"/>
    <w:tmpl w:val="27F432B0"/>
    <w:lvl w:ilvl="0" w:tplc="11FA0D82">
      <w:start w:val="1"/>
      <w:numFmt w:val="decimal"/>
      <w:lvlText w:val="%1."/>
      <w:lvlJc w:val="left"/>
      <w:pPr>
        <w:ind w:left="720" w:hanging="360"/>
      </w:pPr>
    </w:lvl>
    <w:lvl w:ilvl="1" w:tplc="95F8BB6C" w:tentative="1">
      <w:start w:val="1"/>
      <w:numFmt w:val="lowerLetter"/>
      <w:lvlText w:val="%2."/>
      <w:lvlJc w:val="left"/>
      <w:pPr>
        <w:ind w:left="1440" w:hanging="360"/>
      </w:pPr>
    </w:lvl>
    <w:lvl w:ilvl="2" w:tplc="98DA5AC4" w:tentative="1">
      <w:start w:val="1"/>
      <w:numFmt w:val="lowerRoman"/>
      <w:lvlText w:val="%3."/>
      <w:lvlJc w:val="right"/>
      <w:pPr>
        <w:ind w:left="2160" w:hanging="180"/>
      </w:pPr>
    </w:lvl>
    <w:lvl w:ilvl="3" w:tplc="8D346614" w:tentative="1">
      <w:start w:val="1"/>
      <w:numFmt w:val="decimal"/>
      <w:lvlText w:val="%4."/>
      <w:lvlJc w:val="left"/>
      <w:pPr>
        <w:ind w:left="2880" w:hanging="360"/>
      </w:pPr>
    </w:lvl>
    <w:lvl w:ilvl="4" w:tplc="748A48AE" w:tentative="1">
      <w:start w:val="1"/>
      <w:numFmt w:val="lowerLetter"/>
      <w:lvlText w:val="%5."/>
      <w:lvlJc w:val="left"/>
      <w:pPr>
        <w:ind w:left="3600" w:hanging="360"/>
      </w:pPr>
    </w:lvl>
    <w:lvl w:ilvl="5" w:tplc="BDEA3F12" w:tentative="1">
      <w:start w:val="1"/>
      <w:numFmt w:val="lowerRoman"/>
      <w:lvlText w:val="%6."/>
      <w:lvlJc w:val="right"/>
      <w:pPr>
        <w:ind w:left="4320" w:hanging="180"/>
      </w:pPr>
    </w:lvl>
    <w:lvl w:ilvl="6" w:tplc="EE5867E0" w:tentative="1">
      <w:start w:val="1"/>
      <w:numFmt w:val="decimal"/>
      <w:lvlText w:val="%7."/>
      <w:lvlJc w:val="left"/>
      <w:pPr>
        <w:ind w:left="5040" w:hanging="360"/>
      </w:pPr>
    </w:lvl>
    <w:lvl w:ilvl="7" w:tplc="99C80EC4" w:tentative="1">
      <w:start w:val="1"/>
      <w:numFmt w:val="lowerLetter"/>
      <w:lvlText w:val="%8."/>
      <w:lvlJc w:val="left"/>
      <w:pPr>
        <w:ind w:left="5760" w:hanging="360"/>
      </w:pPr>
    </w:lvl>
    <w:lvl w:ilvl="8" w:tplc="D884E480" w:tentative="1">
      <w:start w:val="1"/>
      <w:numFmt w:val="lowerRoman"/>
      <w:lvlText w:val="%9."/>
      <w:lvlJc w:val="right"/>
      <w:pPr>
        <w:ind w:left="6480" w:hanging="180"/>
      </w:pPr>
    </w:lvl>
  </w:abstractNum>
  <w:num w:numId="1" w16cid:durableId="467362981">
    <w:abstractNumId w:val="6"/>
  </w:num>
  <w:num w:numId="2" w16cid:durableId="1573349008">
    <w:abstractNumId w:val="7"/>
  </w:num>
  <w:num w:numId="3" w16cid:durableId="1092505200">
    <w:abstractNumId w:val="3"/>
  </w:num>
  <w:num w:numId="4" w16cid:durableId="1247229036">
    <w:abstractNumId w:val="10"/>
  </w:num>
  <w:num w:numId="5" w16cid:durableId="711735153">
    <w:abstractNumId w:val="2"/>
  </w:num>
  <w:num w:numId="6" w16cid:durableId="170529730">
    <w:abstractNumId w:val="9"/>
  </w:num>
  <w:num w:numId="7" w16cid:durableId="1170557956">
    <w:abstractNumId w:val="11"/>
  </w:num>
  <w:num w:numId="8" w16cid:durableId="2113042888">
    <w:abstractNumId w:val="8"/>
  </w:num>
  <w:num w:numId="9" w16cid:durableId="445462755">
    <w:abstractNumId w:val="12"/>
  </w:num>
  <w:num w:numId="10" w16cid:durableId="1149396067">
    <w:abstractNumId w:val="1"/>
  </w:num>
  <w:num w:numId="11" w16cid:durableId="167142217">
    <w:abstractNumId w:val="4"/>
  </w:num>
  <w:num w:numId="12" w16cid:durableId="2082674311">
    <w:abstractNumId w:val="13"/>
  </w:num>
  <w:num w:numId="13" w16cid:durableId="1442414421">
    <w:abstractNumId w:val="0"/>
  </w:num>
  <w:num w:numId="14" w16cid:durableId="152504910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4F"/>
    <w:rsid w:val="00000104"/>
    <w:rsid w:val="00000B09"/>
    <w:rsid w:val="00000F2B"/>
    <w:rsid w:val="00000F73"/>
    <w:rsid w:val="00000FCE"/>
    <w:rsid w:val="000012CD"/>
    <w:rsid w:val="000013B8"/>
    <w:rsid w:val="00001C6F"/>
    <w:rsid w:val="00001D42"/>
    <w:rsid w:val="00001DA6"/>
    <w:rsid w:val="00001FDB"/>
    <w:rsid w:val="000020C7"/>
    <w:rsid w:val="0000257B"/>
    <w:rsid w:val="00002C78"/>
    <w:rsid w:val="00002E86"/>
    <w:rsid w:val="0000309C"/>
    <w:rsid w:val="000035AC"/>
    <w:rsid w:val="0000399C"/>
    <w:rsid w:val="00003DC3"/>
    <w:rsid w:val="00003E8C"/>
    <w:rsid w:val="00003FB4"/>
    <w:rsid w:val="00003FC4"/>
    <w:rsid w:val="0000426B"/>
    <w:rsid w:val="0000450A"/>
    <w:rsid w:val="00004628"/>
    <w:rsid w:val="000058DB"/>
    <w:rsid w:val="00005AF8"/>
    <w:rsid w:val="00006032"/>
    <w:rsid w:val="0000611C"/>
    <w:rsid w:val="0000662F"/>
    <w:rsid w:val="00006762"/>
    <w:rsid w:val="00007FFE"/>
    <w:rsid w:val="000101D3"/>
    <w:rsid w:val="000108BD"/>
    <w:rsid w:val="0001098C"/>
    <w:rsid w:val="00010B04"/>
    <w:rsid w:val="00010B35"/>
    <w:rsid w:val="00010B62"/>
    <w:rsid w:val="0001153C"/>
    <w:rsid w:val="00011B10"/>
    <w:rsid w:val="00011D3A"/>
    <w:rsid w:val="00012287"/>
    <w:rsid w:val="00012473"/>
    <w:rsid w:val="00012AA4"/>
    <w:rsid w:val="00012B01"/>
    <w:rsid w:val="00012E44"/>
    <w:rsid w:val="00013127"/>
    <w:rsid w:val="000131EF"/>
    <w:rsid w:val="00013656"/>
    <w:rsid w:val="00013B7F"/>
    <w:rsid w:val="00013BB0"/>
    <w:rsid w:val="00013F39"/>
    <w:rsid w:val="00014062"/>
    <w:rsid w:val="000144BB"/>
    <w:rsid w:val="000144BD"/>
    <w:rsid w:val="00014880"/>
    <w:rsid w:val="000160A3"/>
    <w:rsid w:val="0001628A"/>
    <w:rsid w:val="00017572"/>
    <w:rsid w:val="00017D4B"/>
    <w:rsid w:val="00020237"/>
    <w:rsid w:val="000204B2"/>
    <w:rsid w:val="000204C4"/>
    <w:rsid w:val="00020728"/>
    <w:rsid w:val="00020E78"/>
    <w:rsid w:val="00020EB1"/>
    <w:rsid w:val="000215D4"/>
    <w:rsid w:val="0002173E"/>
    <w:rsid w:val="000219CF"/>
    <w:rsid w:val="00021C3B"/>
    <w:rsid w:val="00021C54"/>
    <w:rsid w:val="00021D3B"/>
    <w:rsid w:val="00021E90"/>
    <w:rsid w:val="0002277A"/>
    <w:rsid w:val="00022BA5"/>
    <w:rsid w:val="00022BD5"/>
    <w:rsid w:val="00022E18"/>
    <w:rsid w:val="0002376C"/>
    <w:rsid w:val="000239B3"/>
    <w:rsid w:val="00023AA4"/>
    <w:rsid w:val="00023B77"/>
    <w:rsid w:val="00023C28"/>
    <w:rsid w:val="00023F01"/>
    <w:rsid w:val="0002475D"/>
    <w:rsid w:val="0002480F"/>
    <w:rsid w:val="00024D47"/>
    <w:rsid w:val="00024D9B"/>
    <w:rsid w:val="000250A9"/>
    <w:rsid w:val="000259D2"/>
    <w:rsid w:val="00025C77"/>
    <w:rsid w:val="00025D3F"/>
    <w:rsid w:val="00025F87"/>
    <w:rsid w:val="00026535"/>
    <w:rsid w:val="00027024"/>
    <w:rsid w:val="000271F3"/>
    <w:rsid w:val="00027236"/>
    <w:rsid w:val="00027552"/>
    <w:rsid w:val="00027FBB"/>
    <w:rsid w:val="00030644"/>
    <w:rsid w:val="00030F09"/>
    <w:rsid w:val="000319F0"/>
    <w:rsid w:val="00032689"/>
    <w:rsid w:val="00032823"/>
    <w:rsid w:val="00032A05"/>
    <w:rsid w:val="00032B4F"/>
    <w:rsid w:val="00032C62"/>
    <w:rsid w:val="00032ED0"/>
    <w:rsid w:val="0003301A"/>
    <w:rsid w:val="000331F1"/>
    <w:rsid w:val="00033227"/>
    <w:rsid w:val="00033C04"/>
    <w:rsid w:val="00033CDA"/>
    <w:rsid w:val="0003422D"/>
    <w:rsid w:val="00034576"/>
    <w:rsid w:val="00034711"/>
    <w:rsid w:val="00034AE3"/>
    <w:rsid w:val="00034CDA"/>
    <w:rsid w:val="00035268"/>
    <w:rsid w:val="0003526A"/>
    <w:rsid w:val="000358E2"/>
    <w:rsid w:val="00035B2D"/>
    <w:rsid w:val="000360C1"/>
    <w:rsid w:val="000367DF"/>
    <w:rsid w:val="00037720"/>
    <w:rsid w:val="00040615"/>
    <w:rsid w:val="00040B48"/>
    <w:rsid w:val="00040C41"/>
    <w:rsid w:val="00040C7A"/>
    <w:rsid w:val="00040C8D"/>
    <w:rsid w:val="00041B89"/>
    <w:rsid w:val="00043224"/>
    <w:rsid w:val="0004367A"/>
    <w:rsid w:val="0004375B"/>
    <w:rsid w:val="00043BF8"/>
    <w:rsid w:val="00043D8E"/>
    <w:rsid w:val="000441B4"/>
    <w:rsid w:val="000443AA"/>
    <w:rsid w:val="00044640"/>
    <w:rsid w:val="00044837"/>
    <w:rsid w:val="00044A3C"/>
    <w:rsid w:val="00044C63"/>
    <w:rsid w:val="00045461"/>
    <w:rsid w:val="00045918"/>
    <w:rsid w:val="00045A8D"/>
    <w:rsid w:val="00045B16"/>
    <w:rsid w:val="00045BEE"/>
    <w:rsid w:val="00045E47"/>
    <w:rsid w:val="00045EA0"/>
    <w:rsid w:val="00045FD6"/>
    <w:rsid w:val="00046062"/>
    <w:rsid w:val="000465A4"/>
    <w:rsid w:val="000466B8"/>
    <w:rsid w:val="000469D9"/>
    <w:rsid w:val="00046ED0"/>
    <w:rsid w:val="0004703D"/>
    <w:rsid w:val="00050738"/>
    <w:rsid w:val="00050C85"/>
    <w:rsid w:val="0005123A"/>
    <w:rsid w:val="000514F1"/>
    <w:rsid w:val="00051BEA"/>
    <w:rsid w:val="00051F3C"/>
    <w:rsid w:val="000521E9"/>
    <w:rsid w:val="00052E76"/>
    <w:rsid w:val="00053981"/>
    <w:rsid w:val="0005424D"/>
    <w:rsid w:val="000542CD"/>
    <w:rsid w:val="00054836"/>
    <w:rsid w:val="000554A0"/>
    <w:rsid w:val="00055557"/>
    <w:rsid w:val="00055687"/>
    <w:rsid w:val="00055C59"/>
    <w:rsid w:val="00055CD7"/>
    <w:rsid w:val="00055D9D"/>
    <w:rsid w:val="00055E50"/>
    <w:rsid w:val="000561BC"/>
    <w:rsid w:val="000564BA"/>
    <w:rsid w:val="000566EA"/>
    <w:rsid w:val="00056C4F"/>
    <w:rsid w:val="00056DCA"/>
    <w:rsid w:val="00057687"/>
    <w:rsid w:val="000576A2"/>
    <w:rsid w:val="000576DB"/>
    <w:rsid w:val="000577DF"/>
    <w:rsid w:val="00057D80"/>
    <w:rsid w:val="00057DBA"/>
    <w:rsid w:val="00057FB6"/>
    <w:rsid w:val="0006030A"/>
    <w:rsid w:val="0006030C"/>
    <w:rsid w:val="00060370"/>
    <w:rsid w:val="00060C4B"/>
    <w:rsid w:val="00060E16"/>
    <w:rsid w:val="0006162C"/>
    <w:rsid w:val="00061992"/>
    <w:rsid w:val="00061A6F"/>
    <w:rsid w:val="00061FC5"/>
    <w:rsid w:val="000628A6"/>
    <w:rsid w:val="00062B3E"/>
    <w:rsid w:val="0006332A"/>
    <w:rsid w:val="000637B6"/>
    <w:rsid w:val="00063BDA"/>
    <w:rsid w:val="00063F7B"/>
    <w:rsid w:val="0006450D"/>
    <w:rsid w:val="00064D41"/>
    <w:rsid w:val="00065296"/>
    <w:rsid w:val="000652CA"/>
    <w:rsid w:val="00065AA4"/>
    <w:rsid w:val="00065B57"/>
    <w:rsid w:val="00065ED8"/>
    <w:rsid w:val="00066252"/>
    <w:rsid w:val="000662A4"/>
    <w:rsid w:val="00066491"/>
    <w:rsid w:val="0006652E"/>
    <w:rsid w:val="000665DA"/>
    <w:rsid w:val="0006665C"/>
    <w:rsid w:val="0006676E"/>
    <w:rsid w:val="00066AC4"/>
    <w:rsid w:val="00066C61"/>
    <w:rsid w:val="0006751F"/>
    <w:rsid w:val="000679CA"/>
    <w:rsid w:val="00067AB8"/>
    <w:rsid w:val="00067F3B"/>
    <w:rsid w:val="000701F4"/>
    <w:rsid w:val="0007040B"/>
    <w:rsid w:val="0007143D"/>
    <w:rsid w:val="00071705"/>
    <w:rsid w:val="00071C20"/>
    <w:rsid w:val="00071D8E"/>
    <w:rsid w:val="00071E57"/>
    <w:rsid w:val="0007210D"/>
    <w:rsid w:val="000731E4"/>
    <w:rsid w:val="00073594"/>
    <w:rsid w:val="000738C0"/>
    <w:rsid w:val="00073C49"/>
    <w:rsid w:val="00074178"/>
    <w:rsid w:val="00074201"/>
    <w:rsid w:val="000744F9"/>
    <w:rsid w:val="00074979"/>
    <w:rsid w:val="00075278"/>
    <w:rsid w:val="0007547C"/>
    <w:rsid w:val="00075719"/>
    <w:rsid w:val="0007583E"/>
    <w:rsid w:val="00075B29"/>
    <w:rsid w:val="00075F84"/>
    <w:rsid w:val="0007623B"/>
    <w:rsid w:val="00076461"/>
    <w:rsid w:val="0007651E"/>
    <w:rsid w:val="00076D8B"/>
    <w:rsid w:val="00076E3A"/>
    <w:rsid w:val="0007728F"/>
    <w:rsid w:val="00080DAA"/>
    <w:rsid w:val="00081B0E"/>
    <w:rsid w:val="00081CF8"/>
    <w:rsid w:val="0008244D"/>
    <w:rsid w:val="00083493"/>
    <w:rsid w:val="00083C6A"/>
    <w:rsid w:val="00083D29"/>
    <w:rsid w:val="000843E5"/>
    <w:rsid w:val="00084C71"/>
    <w:rsid w:val="000857E2"/>
    <w:rsid w:val="00086702"/>
    <w:rsid w:val="00087259"/>
    <w:rsid w:val="00087463"/>
    <w:rsid w:val="000877D5"/>
    <w:rsid w:val="00087D9A"/>
    <w:rsid w:val="00087E19"/>
    <w:rsid w:val="00087E77"/>
    <w:rsid w:val="00087F7F"/>
    <w:rsid w:val="000903AD"/>
    <w:rsid w:val="00090566"/>
    <w:rsid w:val="0009087F"/>
    <w:rsid w:val="00090926"/>
    <w:rsid w:val="0009192C"/>
    <w:rsid w:val="00091A94"/>
    <w:rsid w:val="00091B3A"/>
    <w:rsid w:val="00091E2C"/>
    <w:rsid w:val="0009224A"/>
    <w:rsid w:val="00092AA5"/>
    <w:rsid w:val="00092BD9"/>
    <w:rsid w:val="00093099"/>
    <w:rsid w:val="000933BC"/>
    <w:rsid w:val="00093525"/>
    <w:rsid w:val="000937E0"/>
    <w:rsid w:val="0009458E"/>
    <w:rsid w:val="00094DED"/>
    <w:rsid w:val="00094EB4"/>
    <w:rsid w:val="00094F40"/>
    <w:rsid w:val="00095160"/>
    <w:rsid w:val="000951F4"/>
    <w:rsid w:val="000955D3"/>
    <w:rsid w:val="00095EE8"/>
    <w:rsid w:val="00096A85"/>
    <w:rsid w:val="00096B77"/>
    <w:rsid w:val="00096BB7"/>
    <w:rsid w:val="00096C0B"/>
    <w:rsid w:val="0009756C"/>
    <w:rsid w:val="000975EE"/>
    <w:rsid w:val="00097A0C"/>
    <w:rsid w:val="00097A23"/>
    <w:rsid w:val="00097A28"/>
    <w:rsid w:val="00097D54"/>
    <w:rsid w:val="000A08F0"/>
    <w:rsid w:val="000A0AE7"/>
    <w:rsid w:val="000A0E7A"/>
    <w:rsid w:val="000A108E"/>
    <w:rsid w:val="000A1653"/>
    <w:rsid w:val="000A1D97"/>
    <w:rsid w:val="000A2B45"/>
    <w:rsid w:val="000A2CA0"/>
    <w:rsid w:val="000A2DBC"/>
    <w:rsid w:val="000A3426"/>
    <w:rsid w:val="000A3B1C"/>
    <w:rsid w:val="000A3C2B"/>
    <w:rsid w:val="000A3D1B"/>
    <w:rsid w:val="000A3F03"/>
    <w:rsid w:val="000A43C7"/>
    <w:rsid w:val="000A4526"/>
    <w:rsid w:val="000A45BF"/>
    <w:rsid w:val="000A468D"/>
    <w:rsid w:val="000A46C9"/>
    <w:rsid w:val="000A4739"/>
    <w:rsid w:val="000A4897"/>
    <w:rsid w:val="000A5004"/>
    <w:rsid w:val="000A5044"/>
    <w:rsid w:val="000A540C"/>
    <w:rsid w:val="000A618A"/>
    <w:rsid w:val="000A6416"/>
    <w:rsid w:val="000A6884"/>
    <w:rsid w:val="000A6EBB"/>
    <w:rsid w:val="000A6FD9"/>
    <w:rsid w:val="000A706D"/>
    <w:rsid w:val="000A7412"/>
    <w:rsid w:val="000A76CD"/>
    <w:rsid w:val="000B0C38"/>
    <w:rsid w:val="000B0D71"/>
    <w:rsid w:val="000B0DCB"/>
    <w:rsid w:val="000B16E9"/>
    <w:rsid w:val="000B253F"/>
    <w:rsid w:val="000B2B36"/>
    <w:rsid w:val="000B2D42"/>
    <w:rsid w:val="000B304D"/>
    <w:rsid w:val="000B3536"/>
    <w:rsid w:val="000B3657"/>
    <w:rsid w:val="000B3902"/>
    <w:rsid w:val="000B392E"/>
    <w:rsid w:val="000B3A9F"/>
    <w:rsid w:val="000B3F1F"/>
    <w:rsid w:val="000B4052"/>
    <w:rsid w:val="000B417A"/>
    <w:rsid w:val="000B420C"/>
    <w:rsid w:val="000B4690"/>
    <w:rsid w:val="000B4F3F"/>
    <w:rsid w:val="000B5334"/>
    <w:rsid w:val="000B5539"/>
    <w:rsid w:val="000B57FE"/>
    <w:rsid w:val="000B5914"/>
    <w:rsid w:val="000B5C3B"/>
    <w:rsid w:val="000B63D7"/>
    <w:rsid w:val="000B665D"/>
    <w:rsid w:val="000B68E1"/>
    <w:rsid w:val="000B705B"/>
    <w:rsid w:val="000B7491"/>
    <w:rsid w:val="000B79A7"/>
    <w:rsid w:val="000B7A8D"/>
    <w:rsid w:val="000B7DBF"/>
    <w:rsid w:val="000C09D6"/>
    <w:rsid w:val="000C0DEF"/>
    <w:rsid w:val="000C0DF6"/>
    <w:rsid w:val="000C0F5F"/>
    <w:rsid w:val="000C13A1"/>
    <w:rsid w:val="000C1963"/>
    <w:rsid w:val="000C1BD3"/>
    <w:rsid w:val="000C21EC"/>
    <w:rsid w:val="000C28B8"/>
    <w:rsid w:val="000C32CE"/>
    <w:rsid w:val="000C36B5"/>
    <w:rsid w:val="000C3C91"/>
    <w:rsid w:val="000C4B2D"/>
    <w:rsid w:val="000C4D90"/>
    <w:rsid w:val="000C4EFA"/>
    <w:rsid w:val="000C61D9"/>
    <w:rsid w:val="000C6235"/>
    <w:rsid w:val="000C6308"/>
    <w:rsid w:val="000C6B4D"/>
    <w:rsid w:val="000C6E87"/>
    <w:rsid w:val="000C6F6B"/>
    <w:rsid w:val="000C7775"/>
    <w:rsid w:val="000C7912"/>
    <w:rsid w:val="000C7999"/>
    <w:rsid w:val="000C79FF"/>
    <w:rsid w:val="000C7A66"/>
    <w:rsid w:val="000C7AE0"/>
    <w:rsid w:val="000C7D7E"/>
    <w:rsid w:val="000D0B96"/>
    <w:rsid w:val="000D0D90"/>
    <w:rsid w:val="000D1E10"/>
    <w:rsid w:val="000D2217"/>
    <w:rsid w:val="000D2342"/>
    <w:rsid w:val="000D2980"/>
    <w:rsid w:val="000D2CFD"/>
    <w:rsid w:val="000D2D6F"/>
    <w:rsid w:val="000D2F5D"/>
    <w:rsid w:val="000D3B9C"/>
    <w:rsid w:val="000D3C4D"/>
    <w:rsid w:val="000D3F92"/>
    <w:rsid w:val="000D4ACB"/>
    <w:rsid w:val="000D4B5F"/>
    <w:rsid w:val="000D5448"/>
    <w:rsid w:val="000D5586"/>
    <w:rsid w:val="000D63FB"/>
    <w:rsid w:val="000D66AD"/>
    <w:rsid w:val="000D67BF"/>
    <w:rsid w:val="000D67FA"/>
    <w:rsid w:val="000D75DD"/>
    <w:rsid w:val="000E088F"/>
    <w:rsid w:val="000E09DA"/>
    <w:rsid w:val="000E0C0C"/>
    <w:rsid w:val="000E0EBB"/>
    <w:rsid w:val="000E1508"/>
    <w:rsid w:val="000E1E28"/>
    <w:rsid w:val="000E20E8"/>
    <w:rsid w:val="000E2238"/>
    <w:rsid w:val="000E3599"/>
    <w:rsid w:val="000E371C"/>
    <w:rsid w:val="000E3A3C"/>
    <w:rsid w:val="000E42D7"/>
    <w:rsid w:val="000E4430"/>
    <w:rsid w:val="000E4EEF"/>
    <w:rsid w:val="000E5542"/>
    <w:rsid w:val="000E5BE6"/>
    <w:rsid w:val="000E5CCE"/>
    <w:rsid w:val="000E5E1B"/>
    <w:rsid w:val="000E60E4"/>
    <w:rsid w:val="000E6656"/>
    <w:rsid w:val="000E6A9C"/>
    <w:rsid w:val="000E6D55"/>
    <w:rsid w:val="000E6DE2"/>
    <w:rsid w:val="000E7152"/>
    <w:rsid w:val="000E7DEA"/>
    <w:rsid w:val="000F014F"/>
    <w:rsid w:val="000F04C1"/>
    <w:rsid w:val="000F0759"/>
    <w:rsid w:val="000F0DC7"/>
    <w:rsid w:val="000F0F67"/>
    <w:rsid w:val="000F121E"/>
    <w:rsid w:val="000F1465"/>
    <w:rsid w:val="000F149B"/>
    <w:rsid w:val="000F193B"/>
    <w:rsid w:val="000F1A38"/>
    <w:rsid w:val="000F1A45"/>
    <w:rsid w:val="000F1B3D"/>
    <w:rsid w:val="000F1D21"/>
    <w:rsid w:val="000F1F1A"/>
    <w:rsid w:val="000F2B8F"/>
    <w:rsid w:val="000F2BF4"/>
    <w:rsid w:val="000F3098"/>
    <w:rsid w:val="000F3274"/>
    <w:rsid w:val="000F328D"/>
    <w:rsid w:val="000F3C1C"/>
    <w:rsid w:val="000F444F"/>
    <w:rsid w:val="000F5281"/>
    <w:rsid w:val="000F6246"/>
    <w:rsid w:val="000F6341"/>
    <w:rsid w:val="000F663A"/>
    <w:rsid w:val="000F6A45"/>
    <w:rsid w:val="000F6AFA"/>
    <w:rsid w:val="000F6CA1"/>
    <w:rsid w:val="000F6E86"/>
    <w:rsid w:val="000F6EB7"/>
    <w:rsid w:val="000F74DB"/>
    <w:rsid w:val="000F7687"/>
    <w:rsid w:val="000F792F"/>
    <w:rsid w:val="000F799A"/>
    <w:rsid w:val="000F7EC8"/>
    <w:rsid w:val="001002FC"/>
    <w:rsid w:val="0010063C"/>
    <w:rsid w:val="00100741"/>
    <w:rsid w:val="00100A3F"/>
    <w:rsid w:val="00101177"/>
    <w:rsid w:val="00101BDA"/>
    <w:rsid w:val="00102589"/>
    <w:rsid w:val="00102610"/>
    <w:rsid w:val="00102998"/>
    <w:rsid w:val="00102B2C"/>
    <w:rsid w:val="00102FF9"/>
    <w:rsid w:val="00103246"/>
    <w:rsid w:val="001033FA"/>
    <w:rsid w:val="00103556"/>
    <w:rsid w:val="001039FF"/>
    <w:rsid w:val="00104359"/>
    <w:rsid w:val="00104451"/>
    <w:rsid w:val="0010456D"/>
    <w:rsid w:val="001046B5"/>
    <w:rsid w:val="0010497B"/>
    <w:rsid w:val="00104F7E"/>
    <w:rsid w:val="00104F9C"/>
    <w:rsid w:val="00105E8D"/>
    <w:rsid w:val="0010610B"/>
    <w:rsid w:val="0010614F"/>
    <w:rsid w:val="00106421"/>
    <w:rsid w:val="0010653E"/>
    <w:rsid w:val="00106793"/>
    <w:rsid w:val="001068A1"/>
    <w:rsid w:val="00106950"/>
    <w:rsid w:val="001078C2"/>
    <w:rsid w:val="00107A60"/>
    <w:rsid w:val="00107F93"/>
    <w:rsid w:val="00110412"/>
    <w:rsid w:val="00110B61"/>
    <w:rsid w:val="00110EFF"/>
    <w:rsid w:val="00111647"/>
    <w:rsid w:val="001117CA"/>
    <w:rsid w:val="00112314"/>
    <w:rsid w:val="001124F0"/>
    <w:rsid w:val="00112681"/>
    <w:rsid w:val="00112A41"/>
    <w:rsid w:val="00112D4B"/>
    <w:rsid w:val="00112D6E"/>
    <w:rsid w:val="001133C8"/>
    <w:rsid w:val="00113A79"/>
    <w:rsid w:val="00113B45"/>
    <w:rsid w:val="00114401"/>
    <w:rsid w:val="001150DC"/>
    <w:rsid w:val="0011523D"/>
    <w:rsid w:val="00115A5C"/>
    <w:rsid w:val="00115F4A"/>
    <w:rsid w:val="00116582"/>
    <w:rsid w:val="0011688C"/>
    <w:rsid w:val="00116AB5"/>
    <w:rsid w:val="00116AD3"/>
    <w:rsid w:val="00116D5D"/>
    <w:rsid w:val="00116E1B"/>
    <w:rsid w:val="001178EE"/>
    <w:rsid w:val="00117A50"/>
    <w:rsid w:val="001200FC"/>
    <w:rsid w:val="00120396"/>
    <w:rsid w:val="00120455"/>
    <w:rsid w:val="0012085E"/>
    <w:rsid w:val="00121319"/>
    <w:rsid w:val="0012176C"/>
    <w:rsid w:val="00121D09"/>
    <w:rsid w:val="00121EC3"/>
    <w:rsid w:val="001220CE"/>
    <w:rsid w:val="00122112"/>
    <w:rsid w:val="00122908"/>
    <w:rsid w:val="001231AB"/>
    <w:rsid w:val="0012435F"/>
    <w:rsid w:val="0012438B"/>
    <w:rsid w:val="0012442B"/>
    <w:rsid w:val="001248AB"/>
    <w:rsid w:val="00124A61"/>
    <w:rsid w:val="00125463"/>
    <w:rsid w:val="00125D2F"/>
    <w:rsid w:val="00125FCE"/>
    <w:rsid w:val="00126402"/>
    <w:rsid w:val="00126A32"/>
    <w:rsid w:val="00126A73"/>
    <w:rsid w:val="00126C11"/>
    <w:rsid w:val="00126F78"/>
    <w:rsid w:val="001270F7"/>
    <w:rsid w:val="00127EBA"/>
    <w:rsid w:val="00127F66"/>
    <w:rsid w:val="001303EA"/>
    <w:rsid w:val="001304CA"/>
    <w:rsid w:val="001305F5"/>
    <w:rsid w:val="001308ED"/>
    <w:rsid w:val="00130BF3"/>
    <w:rsid w:val="00130F7D"/>
    <w:rsid w:val="00130FDD"/>
    <w:rsid w:val="001314C3"/>
    <w:rsid w:val="001316B8"/>
    <w:rsid w:val="00131E2B"/>
    <w:rsid w:val="001333C4"/>
    <w:rsid w:val="001333CB"/>
    <w:rsid w:val="001334F6"/>
    <w:rsid w:val="00133595"/>
    <w:rsid w:val="001336DC"/>
    <w:rsid w:val="001336FA"/>
    <w:rsid w:val="00133BE7"/>
    <w:rsid w:val="00133D63"/>
    <w:rsid w:val="00133FD2"/>
    <w:rsid w:val="00134358"/>
    <w:rsid w:val="00134486"/>
    <w:rsid w:val="001348F9"/>
    <w:rsid w:val="001349E6"/>
    <w:rsid w:val="00134A93"/>
    <w:rsid w:val="00134A9B"/>
    <w:rsid w:val="00134B89"/>
    <w:rsid w:val="00135076"/>
    <w:rsid w:val="00135C87"/>
    <w:rsid w:val="00135CC3"/>
    <w:rsid w:val="001364BD"/>
    <w:rsid w:val="001367E0"/>
    <w:rsid w:val="00136861"/>
    <w:rsid w:val="00136865"/>
    <w:rsid w:val="00136B90"/>
    <w:rsid w:val="00136C28"/>
    <w:rsid w:val="00136ED3"/>
    <w:rsid w:val="0013728C"/>
    <w:rsid w:val="00140448"/>
    <w:rsid w:val="00140778"/>
    <w:rsid w:val="0014084B"/>
    <w:rsid w:val="00140DDB"/>
    <w:rsid w:val="00140FD5"/>
    <w:rsid w:val="001410D6"/>
    <w:rsid w:val="001419CB"/>
    <w:rsid w:val="00141A2E"/>
    <w:rsid w:val="00141AF6"/>
    <w:rsid w:val="00141BD7"/>
    <w:rsid w:val="00141F03"/>
    <w:rsid w:val="001422F6"/>
    <w:rsid w:val="00142CA2"/>
    <w:rsid w:val="0014383E"/>
    <w:rsid w:val="00143B8D"/>
    <w:rsid w:val="00143FCE"/>
    <w:rsid w:val="001440DD"/>
    <w:rsid w:val="001440EB"/>
    <w:rsid w:val="0014445A"/>
    <w:rsid w:val="001447D5"/>
    <w:rsid w:val="001449AA"/>
    <w:rsid w:val="00144A13"/>
    <w:rsid w:val="00144A77"/>
    <w:rsid w:val="00144F6C"/>
    <w:rsid w:val="0014501C"/>
    <w:rsid w:val="001451E4"/>
    <w:rsid w:val="001454D5"/>
    <w:rsid w:val="001455EA"/>
    <w:rsid w:val="001457D0"/>
    <w:rsid w:val="0014594B"/>
    <w:rsid w:val="001459DC"/>
    <w:rsid w:val="00145AD1"/>
    <w:rsid w:val="0014608E"/>
    <w:rsid w:val="00146BE6"/>
    <w:rsid w:val="001471C9"/>
    <w:rsid w:val="0014721D"/>
    <w:rsid w:val="001479B0"/>
    <w:rsid w:val="00147EDE"/>
    <w:rsid w:val="001502A4"/>
    <w:rsid w:val="00150662"/>
    <w:rsid w:val="00150A94"/>
    <w:rsid w:val="00150BA0"/>
    <w:rsid w:val="00151AF8"/>
    <w:rsid w:val="00152238"/>
    <w:rsid w:val="0015254C"/>
    <w:rsid w:val="001525A5"/>
    <w:rsid w:val="00153DDD"/>
    <w:rsid w:val="00154144"/>
    <w:rsid w:val="00154299"/>
    <w:rsid w:val="0015440B"/>
    <w:rsid w:val="00154692"/>
    <w:rsid w:val="00154770"/>
    <w:rsid w:val="00154A7D"/>
    <w:rsid w:val="00155043"/>
    <w:rsid w:val="0015557F"/>
    <w:rsid w:val="00155E7D"/>
    <w:rsid w:val="001567D9"/>
    <w:rsid w:val="00156EB4"/>
    <w:rsid w:val="00157427"/>
    <w:rsid w:val="001579D1"/>
    <w:rsid w:val="00157F1B"/>
    <w:rsid w:val="00157F86"/>
    <w:rsid w:val="00160251"/>
    <w:rsid w:val="00160D1E"/>
    <w:rsid w:val="001617A5"/>
    <w:rsid w:val="0016189A"/>
    <w:rsid w:val="00161F04"/>
    <w:rsid w:val="0016207C"/>
    <w:rsid w:val="001620BF"/>
    <w:rsid w:val="00162173"/>
    <w:rsid w:val="00162C6C"/>
    <w:rsid w:val="00162DDA"/>
    <w:rsid w:val="00162FC6"/>
    <w:rsid w:val="0016308D"/>
    <w:rsid w:val="001633CB"/>
    <w:rsid w:val="001636A5"/>
    <w:rsid w:val="00164353"/>
    <w:rsid w:val="0016441E"/>
    <w:rsid w:val="00164A4D"/>
    <w:rsid w:val="00164F13"/>
    <w:rsid w:val="001650B3"/>
    <w:rsid w:val="001656EF"/>
    <w:rsid w:val="00165701"/>
    <w:rsid w:val="001657D7"/>
    <w:rsid w:val="00165DD9"/>
    <w:rsid w:val="001667DE"/>
    <w:rsid w:val="00166904"/>
    <w:rsid w:val="00166AFE"/>
    <w:rsid w:val="00166B72"/>
    <w:rsid w:val="001673C6"/>
    <w:rsid w:val="00167697"/>
    <w:rsid w:val="00167818"/>
    <w:rsid w:val="0016782B"/>
    <w:rsid w:val="00167FC9"/>
    <w:rsid w:val="0017010F"/>
    <w:rsid w:val="001703C2"/>
    <w:rsid w:val="00170726"/>
    <w:rsid w:val="00170806"/>
    <w:rsid w:val="00170864"/>
    <w:rsid w:val="00170A85"/>
    <w:rsid w:val="00170AF3"/>
    <w:rsid w:val="00170B69"/>
    <w:rsid w:val="00170DB2"/>
    <w:rsid w:val="001716B6"/>
    <w:rsid w:val="001717A8"/>
    <w:rsid w:val="00171833"/>
    <w:rsid w:val="00171843"/>
    <w:rsid w:val="00171B91"/>
    <w:rsid w:val="00171CA9"/>
    <w:rsid w:val="001723F5"/>
    <w:rsid w:val="0017272C"/>
    <w:rsid w:val="0017279D"/>
    <w:rsid w:val="0017310E"/>
    <w:rsid w:val="001731CB"/>
    <w:rsid w:val="0017371E"/>
    <w:rsid w:val="001737A1"/>
    <w:rsid w:val="00173CBC"/>
    <w:rsid w:val="00173E2A"/>
    <w:rsid w:val="0017434C"/>
    <w:rsid w:val="00174365"/>
    <w:rsid w:val="001743C0"/>
    <w:rsid w:val="00174406"/>
    <w:rsid w:val="0017468D"/>
    <w:rsid w:val="001750C2"/>
    <w:rsid w:val="0017544D"/>
    <w:rsid w:val="0017592E"/>
    <w:rsid w:val="00175BCB"/>
    <w:rsid w:val="00175E75"/>
    <w:rsid w:val="00176504"/>
    <w:rsid w:val="00176DB9"/>
    <w:rsid w:val="00176F02"/>
    <w:rsid w:val="00177440"/>
    <w:rsid w:val="0017757B"/>
    <w:rsid w:val="001776BD"/>
    <w:rsid w:val="00180274"/>
    <w:rsid w:val="001802DE"/>
    <w:rsid w:val="001803B9"/>
    <w:rsid w:val="00180B8E"/>
    <w:rsid w:val="00180E80"/>
    <w:rsid w:val="00181931"/>
    <w:rsid w:val="00181984"/>
    <w:rsid w:val="00181D98"/>
    <w:rsid w:val="00181DC2"/>
    <w:rsid w:val="0018207E"/>
    <w:rsid w:val="00182461"/>
    <w:rsid w:val="0018256D"/>
    <w:rsid w:val="00182867"/>
    <w:rsid w:val="001829C7"/>
    <w:rsid w:val="00182ACE"/>
    <w:rsid w:val="00182C6A"/>
    <w:rsid w:val="00182C8A"/>
    <w:rsid w:val="00183163"/>
    <w:rsid w:val="001834B8"/>
    <w:rsid w:val="0018375D"/>
    <w:rsid w:val="00183ABC"/>
    <w:rsid w:val="00183B2A"/>
    <w:rsid w:val="00183F75"/>
    <w:rsid w:val="001842F0"/>
    <w:rsid w:val="001843A7"/>
    <w:rsid w:val="001846E1"/>
    <w:rsid w:val="00184925"/>
    <w:rsid w:val="00184DB3"/>
    <w:rsid w:val="0018505C"/>
    <w:rsid w:val="001853D0"/>
    <w:rsid w:val="001859C8"/>
    <w:rsid w:val="00185D7D"/>
    <w:rsid w:val="00185EB7"/>
    <w:rsid w:val="00185EF8"/>
    <w:rsid w:val="00185F57"/>
    <w:rsid w:val="00186488"/>
    <w:rsid w:val="0018698B"/>
    <w:rsid w:val="001870F8"/>
    <w:rsid w:val="0018767D"/>
    <w:rsid w:val="001878A0"/>
    <w:rsid w:val="001879C3"/>
    <w:rsid w:val="001900C5"/>
    <w:rsid w:val="00190256"/>
    <w:rsid w:val="001906CB"/>
    <w:rsid w:val="001909EE"/>
    <w:rsid w:val="00190A48"/>
    <w:rsid w:val="00191546"/>
    <w:rsid w:val="00191664"/>
    <w:rsid w:val="0019222A"/>
    <w:rsid w:val="001923A3"/>
    <w:rsid w:val="00192621"/>
    <w:rsid w:val="00192835"/>
    <w:rsid w:val="00193003"/>
    <w:rsid w:val="001933E5"/>
    <w:rsid w:val="00193E75"/>
    <w:rsid w:val="00194087"/>
    <w:rsid w:val="00194400"/>
    <w:rsid w:val="001944F2"/>
    <w:rsid w:val="00194565"/>
    <w:rsid w:val="001949E9"/>
    <w:rsid w:val="00195316"/>
    <w:rsid w:val="00195367"/>
    <w:rsid w:val="001957C4"/>
    <w:rsid w:val="00195937"/>
    <w:rsid w:val="001959FC"/>
    <w:rsid w:val="001960B6"/>
    <w:rsid w:val="00196A82"/>
    <w:rsid w:val="00196FDA"/>
    <w:rsid w:val="00197926"/>
    <w:rsid w:val="00197AE6"/>
    <w:rsid w:val="00197CE2"/>
    <w:rsid w:val="00197FB7"/>
    <w:rsid w:val="001A0044"/>
    <w:rsid w:val="001A02C7"/>
    <w:rsid w:val="001A089B"/>
    <w:rsid w:val="001A09F0"/>
    <w:rsid w:val="001A0FB5"/>
    <w:rsid w:val="001A16A4"/>
    <w:rsid w:val="001A1CB4"/>
    <w:rsid w:val="001A1EE2"/>
    <w:rsid w:val="001A222E"/>
    <w:rsid w:val="001A2B79"/>
    <w:rsid w:val="001A2F36"/>
    <w:rsid w:val="001A4085"/>
    <w:rsid w:val="001A414F"/>
    <w:rsid w:val="001A42FB"/>
    <w:rsid w:val="001A4591"/>
    <w:rsid w:val="001A51F1"/>
    <w:rsid w:val="001A59F1"/>
    <w:rsid w:val="001A5AEC"/>
    <w:rsid w:val="001A5B64"/>
    <w:rsid w:val="001A5C65"/>
    <w:rsid w:val="001A5CEF"/>
    <w:rsid w:val="001A5EBD"/>
    <w:rsid w:val="001A61E7"/>
    <w:rsid w:val="001A6FB2"/>
    <w:rsid w:val="001A7151"/>
    <w:rsid w:val="001A7AC2"/>
    <w:rsid w:val="001B033F"/>
    <w:rsid w:val="001B0BF8"/>
    <w:rsid w:val="001B0FA2"/>
    <w:rsid w:val="001B108A"/>
    <w:rsid w:val="001B15B4"/>
    <w:rsid w:val="001B203C"/>
    <w:rsid w:val="001B20DB"/>
    <w:rsid w:val="001B21BC"/>
    <w:rsid w:val="001B22CE"/>
    <w:rsid w:val="001B25B1"/>
    <w:rsid w:val="001B2775"/>
    <w:rsid w:val="001B2915"/>
    <w:rsid w:val="001B2DE6"/>
    <w:rsid w:val="001B3BA6"/>
    <w:rsid w:val="001B3E83"/>
    <w:rsid w:val="001B51A8"/>
    <w:rsid w:val="001B5352"/>
    <w:rsid w:val="001B55AA"/>
    <w:rsid w:val="001B5CB5"/>
    <w:rsid w:val="001B5D39"/>
    <w:rsid w:val="001B5D45"/>
    <w:rsid w:val="001B5F15"/>
    <w:rsid w:val="001B6697"/>
    <w:rsid w:val="001B72B5"/>
    <w:rsid w:val="001B792C"/>
    <w:rsid w:val="001B79D1"/>
    <w:rsid w:val="001B7CCF"/>
    <w:rsid w:val="001B7E27"/>
    <w:rsid w:val="001C0277"/>
    <w:rsid w:val="001C0DE6"/>
    <w:rsid w:val="001C15EB"/>
    <w:rsid w:val="001C2C66"/>
    <w:rsid w:val="001C2D63"/>
    <w:rsid w:val="001C32EB"/>
    <w:rsid w:val="001C356F"/>
    <w:rsid w:val="001C35E5"/>
    <w:rsid w:val="001C378F"/>
    <w:rsid w:val="001C3FA1"/>
    <w:rsid w:val="001C42BE"/>
    <w:rsid w:val="001C439A"/>
    <w:rsid w:val="001C43A5"/>
    <w:rsid w:val="001C43D7"/>
    <w:rsid w:val="001C4D03"/>
    <w:rsid w:val="001C4E6C"/>
    <w:rsid w:val="001C53C4"/>
    <w:rsid w:val="001C5AAD"/>
    <w:rsid w:val="001C5C01"/>
    <w:rsid w:val="001C5D8D"/>
    <w:rsid w:val="001C5DEF"/>
    <w:rsid w:val="001C5F8D"/>
    <w:rsid w:val="001C604B"/>
    <w:rsid w:val="001C6793"/>
    <w:rsid w:val="001C69F2"/>
    <w:rsid w:val="001C7C59"/>
    <w:rsid w:val="001C7CE0"/>
    <w:rsid w:val="001C7E63"/>
    <w:rsid w:val="001C7F7A"/>
    <w:rsid w:val="001D00B3"/>
    <w:rsid w:val="001D0279"/>
    <w:rsid w:val="001D0534"/>
    <w:rsid w:val="001D07D8"/>
    <w:rsid w:val="001D08D3"/>
    <w:rsid w:val="001D0E96"/>
    <w:rsid w:val="001D1648"/>
    <w:rsid w:val="001D1762"/>
    <w:rsid w:val="001D1D7A"/>
    <w:rsid w:val="001D1F76"/>
    <w:rsid w:val="001D29E1"/>
    <w:rsid w:val="001D2AC0"/>
    <w:rsid w:val="001D3530"/>
    <w:rsid w:val="001D3674"/>
    <w:rsid w:val="001D3853"/>
    <w:rsid w:val="001D39AF"/>
    <w:rsid w:val="001D3D18"/>
    <w:rsid w:val="001D3EC5"/>
    <w:rsid w:val="001D41CE"/>
    <w:rsid w:val="001D4581"/>
    <w:rsid w:val="001D4DB5"/>
    <w:rsid w:val="001D514B"/>
    <w:rsid w:val="001D534F"/>
    <w:rsid w:val="001D5757"/>
    <w:rsid w:val="001D5868"/>
    <w:rsid w:val="001D61EB"/>
    <w:rsid w:val="001D62E2"/>
    <w:rsid w:val="001D63AB"/>
    <w:rsid w:val="001D660A"/>
    <w:rsid w:val="001D66C8"/>
    <w:rsid w:val="001D69D3"/>
    <w:rsid w:val="001D6ABA"/>
    <w:rsid w:val="001E016D"/>
    <w:rsid w:val="001E0D36"/>
    <w:rsid w:val="001E0D3A"/>
    <w:rsid w:val="001E1BAD"/>
    <w:rsid w:val="001E1BEE"/>
    <w:rsid w:val="001E2346"/>
    <w:rsid w:val="001E2E03"/>
    <w:rsid w:val="001E3A50"/>
    <w:rsid w:val="001E3CCF"/>
    <w:rsid w:val="001E4081"/>
    <w:rsid w:val="001E4196"/>
    <w:rsid w:val="001E4E74"/>
    <w:rsid w:val="001E517F"/>
    <w:rsid w:val="001E5498"/>
    <w:rsid w:val="001E5762"/>
    <w:rsid w:val="001E618F"/>
    <w:rsid w:val="001E61C4"/>
    <w:rsid w:val="001E64D3"/>
    <w:rsid w:val="001E6980"/>
    <w:rsid w:val="001E6B18"/>
    <w:rsid w:val="001E6BDB"/>
    <w:rsid w:val="001E701C"/>
    <w:rsid w:val="001E72FF"/>
    <w:rsid w:val="001E767E"/>
    <w:rsid w:val="001E76D6"/>
    <w:rsid w:val="001E7F6C"/>
    <w:rsid w:val="001F013F"/>
    <w:rsid w:val="001F093E"/>
    <w:rsid w:val="001F0C08"/>
    <w:rsid w:val="001F0FA1"/>
    <w:rsid w:val="001F1139"/>
    <w:rsid w:val="001F1732"/>
    <w:rsid w:val="001F1A09"/>
    <w:rsid w:val="001F1A12"/>
    <w:rsid w:val="001F1A17"/>
    <w:rsid w:val="001F2F04"/>
    <w:rsid w:val="001F3049"/>
    <w:rsid w:val="001F3678"/>
    <w:rsid w:val="001F3919"/>
    <w:rsid w:val="001F3BCE"/>
    <w:rsid w:val="001F3C6F"/>
    <w:rsid w:val="001F466E"/>
    <w:rsid w:val="001F5375"/>
    <w:rsid w:val="001F56A1"/>
    <w:rsid w:val="001F5CCF"/>
    <w:rsid w:val="001F5FF5"/>
    <w:rsid w:val="001F652D"/>
    <w:rsid w:val="001F6ADD"/>
    <w:rsid w:val="001F6EEB"/>
    <w:rsid w:val="001F6EED"/>
    <w:rsid w:val="001F72BA"/>
    <w:rsid w:val="001F73F9"/>
    <w:rsid w:val="001F793E"/>
    <w:rsid w:val="001F7AFD"/>
    <w:rsid w:val="001F7EBB"/>
    <w:rsid w:val="002018EE"/>
    <w:rsid w:val="00201C18"/>
    <w:rsid w:val="00201EE8"/>
    <w:rsid w:val="00202529"/>
    <w:rsid w:val="00202682"/>
    <w:rsid w:val="0020273F"/>
    <w:rsid w:val="0020281D"/>
    <w:rsid w:val="00202842"/>
    <w:rsid w:val="0020293F"/>
    <w:rsid w:val="00202B62"/>
    <w:rsid w:val="00202D66"/>
    <w:rsid w:val="00203269"/>
    <w:rsid w:val="002037C2"/>
    <w:rsid w:val="0020426D"/>
    <w:rsid w:val="0020438A"/>
    <w:rsid w:val="00204608"/>
    <w:rsid w:val="002049B1"/>
    <w:rsid w:val="00204CC1"/>
    <w:rsid w:val="00204E95"/>
    <w:rsid w:val="002054A8"/>
    <w:rsid w:val="002054BB"/>
    <w:rsid w:val="002058DF"/>
    <w:rsid w:val="00205E0D"/>
    <w:rsid w:val="00206810"/>
    <w:rsid w:val="002071F0"/>
    <w:rsid w:val="0020763F"/>
    <w:rsid w:val="0021032A"/>
    <w:rsid w:val="0021069D"/>
    <w:rsid w:val="002106F3"/>
    <w:rsid w:val="00210BD5"/>
    <w:rsid w:val="00210DFC"/>
    <w:rsid w:val="002116C5"/>
    <w:rsid w:val="00211DE1"/>
    <w:rsid w:val="00211DE9"/>
    <w:rsid w:val="00211EE1"/>
    <w:rsid w:val="00212191"/>
    <w:rsid w:val="00212335"/>
    <w:rsid w:val="00212677"/>
    <w:rsid w:val="00212AA0"/>
    <w:rsid w:val="00212B0D"/>
    <w:rsid w:val="00212FAB"/>
    <w:rsid w:val="00213912"/>
    <w:rsid w:val="0021425B"/>
    <w:rsid w:val="0021447D"/>
    <w:rsid w:val="00214AC6"/>
    <w:rsid w:val="00214EF6"/>
    <w:rsid w:val="002150D5"/>
    <w:rsid w:val="00215214"/>
    <w:rsid w:val="002158DF"/>
    <w:rsid w:val="00215C39"/>
    <w:rsid w:val="00215EBE"/>
    <w:rsid w:val="00215FC8"/>
    <w:rsid w:val="0021604F"/>
    <w:rsid w:val="00216ED5"/>
    <w:rsid w:val="00217031"/>
    <w:rsid w:val="002175F2"/>
    <w:rsid w:val="00217765"/>
    <w:rsid w:val="00217E6A"/>
    <w:rsid w:val="002201A2"/>
    <w:rsid w:val="00220834"/>
    <w:rsid w:val="00220983"/>
    <w:rsid w:val="00220B88"/>
    <w:rsid w:val="00220D86"/>
    <w:rsid w:val="00221210"/>
    <w:rsid w:val="0022159A"/>
    <w:rsid w:val="00221843"/>
    <w:rsid w:val="00221947"/>
    <w:rsid w:val="00221EB0"/>
    <w:rsid w:val="00221FE0"/>
    <w:rsid w:val="00222054"/>
    <w:rsid w:val="00222125"/>
    <w:rsid w:val="002224AD"/>
    <w:rsid w:val="00222D80"/>
    <w:rsid w:val="00222E78"/>
    <w:rsid w:val="00222F9A"/>
    <w:rsid w:val="00223648"/>
    <w:rsid w:val="00223C55"/>
    <w:rsid w:val="00223CA7"/>
    <w:rsid w:val="00224A79"/>
    <w:rsid w:val="00225404"/>
    <w:rsid w:val="002254FD"/>
    <w:rsid w:val="0022608B"/>
    <w:rsid w:val="00226432"/>
    <w:rsid w:val="002269E9"/>
    <w:rsid w:val="0022719A"/>
    <w:rsid w:val="0022724F"/>
    <w:rsid w:val="0022755D"/>
    <w:rsid w:val="0022764B"/>
    <w:rsid w:val="00227891"/>
    <w:rsid w:val="002301A4"/>
    <w:rsid w:val="00230CC9"/>
    <w:rsid w:val="00230EB2"/>
    <w:rsid w:val="002320B2"/>
    <w:rsid w:val="00232191"/>
    <w:rsid w:val="00232415"/>
    <w:rsid w:val="002330C1"/>
    <w:rsid w:val="002332E5"/>
    <w:rsid w:val="00233555"/>
    <w:rsid w:val="00233A26"/>
    <w:rsid w:val="00233D34"/>
    <w:rsid w:val="00233DA1"/>
    <w:rsid w:val="00233E56"/>
    <w:rsid w:val="00233FE6"/>
    <w:rsid w:val="00234979"/>
    <w:rsid w:val="00234BF1"/>
    <w:rsid w:val="002355BD"/>
    <w:rsid w:val="0023560A"/>
    <w:rsid w:val="00235789"/>
    <w:rsid w:val="0023594D"/>
    <w:rsid w:val="00235A4B"/>
    <w:rsid w:val="00235FFF"/>
    <w:rsid w:val="002376A5"/>
    <w:rsid w:val="00237925"/>
    <w:rsid w:val="00240C4F"/>
    <w:rsid w:val="00241BF8"/>
    <w:rsid w:val="00242227"/>
    <w:rsid w:val="00242770"/>
    <w:rsid w:val="00242AF1"/>
    <w:rsid w:val="00242B46"/>
    <w:rsid w:val="0024312E"/>
    <w:rsid w:val="00243622"/>
    <w:rsid w:val="00243D0C"/>
    <w:rsid w:val="00243FE1"/>
    <w:rsid w:val="0024483A"/>
    <w:rsid w:val="00244D72"/>
    <w:rsid w:val="00244F64"/>
    <w:rsid w:val="00245387"/>
    <w:rsid w:val="00245907"/>
    <w:rsid w:val="00245AFA"/>
    <w:rsid w:val="00245B18"/>
    <w:rsid w:val="00245D00"/>
    <w:rsid w:val="00245E58"/>
    <w:rsid w:val="00245F4A"/>
    <w:rsid w:val="0024609B"/>
    <w:rsid w:val="002461BE"/>
    <w:rsid w:val="00246837"/>
    <w:rsid w:val="00247B62"/>
    <w:rsid w:val="00247F5C"/>
    <w:rsid w:val="00250646"/>
    <w:rsid w:val="002506CE"/>
    <w:rsid w:val="002506ED"/>
    <w:rsid w:val="002511CE"/>
    <w:rsid w:val="00251296"/>
    <w:rsid w:val="002513F0"/>
    <w:rsid w:val="00251538"/>
    <w:rsid w:val="0025178C"/>
    <w:rsid w:val="00252457"/>
    <w:rsid w:val="002529B6"/>
    <w:rsid w:val="00252FA9"/>
    <w:rsid w:val="00253ED9"/>
    <w:rsid w:val="0025442C"/>
    <w:rsid w:val="002548A3"/>
    <w:rsid w:val="00254CAF"/>
    <w:rsid w:val="00254EC0"/>
    <w:rsid w:val="002550E0"/>
    <w:rsid w:val="00255100"/>
    <w:rsid w:val="002554BC"/>
    <w:rsid w:val="00255762"/>
    <w:rsid w:val="00255854"/>
    <w:rsid w:val="00255864"/>
    <w:rsid w:val="00255EC6"/>
    <w:rsid w:val="0025689F"/>
    <w:rsid w:val="0025690E"/>
    <w:rsid w:val="00256D33"/>
    <w:rsid w:val="00257463"/>
    <w:rsid w:val="0025762C"/>
    <w:rsid w:val="00257B3C"/>
    <w:rsid w:val="00257C20"/>
    <w:rsid w:val="00257F27"/>
    <w:rsid w:val="002603ED"/>
    <w:rsid w:val="00260ED2"/>
    <w:rsid w:val="00261016"/>
    <w:rsid w:val="00261E49"/>
    <w:rsid w:val="00262181"/>
    <w:rsid w:val="00262346"/>
    <w:rsid w:val="002624B9"/>
    <w:rsid w:val="00262CAE"/>
    <w:rsid w:val="00262EC4"/>
    <w:rsid w:val="00263366"/>
    <w:rsid w:val="00263617"/>
    <w:rsid w:val="00263694"/>
    <w:rsid w:val="00263822"/>
    <w:rsid w:val="00263FE1"/>
    <w:rsid w:val="00264001"/>
    <w:rsid w:val="00264487"/>
    <w:rsid w:val="002644CC"/>
    <w:rsid w:val="002652A5"/>
    <w:rsid w:val="0026590E"/>
    <w:rsid w:val="00266357"/>
    <w:rsid w:val="00266508"/>
    <w:rsid w:val="002665E8"/>
    <w:rsid w:val="00266866"/>
    <w:rsid w:val="00266B4F"/>
    <w:rsid w:val="00266C74"/>
    <w:rsid w:val="00266E64"/>
    <w:rsid w:val="00267144"/>
    <w:rsid w:val="00267161"/>
    <w:rsid w:val="00267625"/>
    <w:rsid w:val="00267B7C"/>
    <w:rsid w:val="00267E43"/>
    <w:rsid w:val="00270052"/>
    <w:rsid w:val="002703BD"/>
    <w:rsid w:val="00271426"/>
    <w:rsid w:val="0027150E"/>
    <w:rsid w:val="00271CE0"/>
    <w:rsid w:val="00272173"/>
    <w:rsid w:val="002724A6"/>
    <w:rsid w:val="0027266D"/>
    <w:rsid w:val="0027280A"/>
    <w:rsid w:val="00272BA0"/>
    <w:rsid w:val="00272DB6"/>
    <w:rsid w:val="00273988"/>
    <w:rsid w:val="00273C05"/>
    <w:rsid w:val="00273CD1"/>
    <w:rsid w:val="00273EBE"/>
    <w:rsid w:val="002741D9"/>
    <w:rsid w:val="002744E2"/>
    <w:rsid w:val="0027472B"/>
    <w:rsid w:val="002749B1"/>
    <w:rsid w:val="00274AB1"/>
    <w:rsid w:val="00274CD3"/>
    <w:rsid w:val="00274DE4"/>
    <w:rsid w:val="00275455"/>
    <w:rsid w:val="002755DD"/>
    <w:rsid w:val="00275830"/>
    <w:rsid w:val="00275ED9"/>
    <w:rsid w:val="00275EFF"/>
    <w:rsid w:val="00276348"/>
    <w:rsid w:val="0027680D"/>
    <w:rsid w:val="00276939"/>
    <w:rsid w:val="002770F7"/>
    <w:rsid w:val="00277553"/>
    <w:rsid w:val="0027756D"/>
    <w:rsid w:val="00277E37"/>
    <w:rsid w:val="00280370"/>
    <w:rsid w:val="00280537"/>
    <w:rsid w:val="00280977"/>
    <w:rsid w:val="00280DA4"/>
    <w:rsid w:val="002813B1"/>
    <w:rsid w:val="00281521"/>
    <w:rsid w:val="00281A85"/>
    <w:rsid w:val="00281D94"/>
    <w:rsid w:val="002822B0"/>
    <w:rsid w:val="00282743"/>
    <w:rsid w:val="00282A40"/>
    <w:rsid w:val="0028340C"/>
    <w:rsid w:val="00283657"/>
    <w:rsid w:val="00283B80"/>
    <w:rsid w:val="00283C4E"/>
    <w:rsid w:val="00283EED"/>
    <w:rsid w:val="00283F13"/>
    <w:rsid w:val="002842B5"/>
    <w:rsid w:val="00284307"/>
    <w:rsid w:val="002844C2"/>
    <w:rsid w:val="00284B23"/>
    <w:rsid w:val="00284BA7"/>
    <w:rsid w:val="002851D9"/>
    <w:rsid w:val="00285930"/>
    <w:rsid w:val="00285AD5"/>
    <w:rsid w:val="00285B72"/>
    <w:rsid w:val="00285B84"/>
    <w:rsid w:val="00286088"/>
    <w:rsid w:val="002860AF"/>
    <w:rsid w:val="0028633E"/>
    <w:rsid w:val="0028673D"/>
    <w:rsid w:val="0028681A"/>
    <w:rsid w:val="00286A6F"/>
    <w:rsid w:val="00286EBA"/>
    <w:rsid w:val="002872C2"/>
    <w:rsid w:val="0028738F"/>
    <w:rsid w:val="00287EB5"/>
    <w:rsid w:val="00287F3A"/>
    <w:rsid w:val="002909BC"/>
    <w:rsid w:val="00290E60"/>
    <w:rsid w:val="00291C75"/>
    <w:rsid w:val="00291CB3"/>
    <w:rsid w:val="00291D9D"/>
    <w:rsid w:val="00291DA5"/>
    <w:rsid w:val="00291E1D"/>
    <w:rsid w:val="00291F4A"/>
    <w:rsid w:val="002922FE"/>
    <w:rsid w:val="00292BD7"/>
    <w:rsid w:val="00293313"/>
    <w:rsid w:val="002937BC"/>
    <w:rsid w:val="00293CE0"/>
    <w:rsid w:val="00293EF3"/>
    <w:rsid w:val="00294808"/>
    <w:rsid w:val="00294B7F"/>
    <w:rsid w:val="00295575"/>
    <w:rsid w:val="00295AD4"/>
    <w:rsid w:val="00295B90"/>
    <w:rsid w:val="00295BFF"/>
    <w:rsid w:val="00295DA1"/>
    <w:rsid w:val="00296AF9"/>
    <w:rsid w:val="00296CF2"/>
    <w:rsid w:val="00297264"/>
    <w:rsid w:val="00297270"/>
    <w:rsid w:val="00297655"/>
    <w:rsid w:val="00297C74"/>
    <w:rsid w:val="00297C89"/>
    <w:rsid w:val="002A0155"/>
    <w:rsid w:val="002A0219"/>
    <w:rsid w:val="002A0466"/>
    <w:rsid w:val="002A0ED6"/>
    <w:rsid w:val="002A10FC"/>
    <w:rsid w:val="002A13E2"/>
    <w:rsid w:val="002A1445"/>
    <w:rsid w:val="002A1767"/>
    <w:rsid w:val="002A2945"/>
    <w:rsid w:val="002A29E6"/>
    <w:rsid w:val="002A2B82"/>
    <w:rsid w:val="002A2CF9"/>
    <w:rsid w:val="002A303F"/>
    <w:rsid w:val="002A31D3"/>
    <w:rsid w:val="002A3991"/>
    <w:rsid w:val="002A3C1A"/>
    <w:rsid w:val="002A3D87"/>
    <w:rsid w:val="002A3FA9"/>
    <w:rsid w:val="002A402F"/>
    <w:rsid w:val="002A46C0"/>
    <w:rsid w:val="002A499A"/>
    <w:rsid w:val="002A4D5A"/>
    <w:rsid w:val="002A4D5B"/>
    <w:rsid w:val="002A4F99"/>
    <w:rsid w:val="002A4FDE"/>
    <w:rsid w:val="002A525D"/>
    <w:rsid w:val="002A54BA"/>
    <w:rsid w:val="002A5C00"/>
    <w:rsid w:val="002A61CA"/>
    <w:rsid w:val="002A64EC"/>
    <w:rsid w:val="002A6AFD"/>
    <w:rsid w:val="002A6D7A"/>
    <w:rsid w:val="002A6DEB"/>
    <w:rsid w:val="002A6EDF"/>
    <w:rsid w:val="002A6EE7"/>
    <w:rsid w:val="002A7349"/>
    <w:rsid w:val="002A7497"/>
    <w:rsid w:val="002A7759"/>
    <w:rsid w:val="002A7CF0"/>
    <w:rsid w:val="002B03CD"/>
    <w:rsid w:val="002B113A"/>
    <w:rsid w:val="002B119D"/>
    <w:rsid w:val="002B165B"/>
    <w:rsid w:val="002B1B1E"/>
    <w:rsid w:val="002B1C35"/>
    <w:rsid w:val="002B2789"/>
    <w:rsid w:val="002B296A"/>
    <w:rsid w:val="002B2A62"/>
    <w:rsid w:val="002B3276"/>
    <w:rsid w:val="002B34B7"/>
    <w:rsid w:val="002B3C3A"/>
    <w:rsid w:val="002B3DCA"/>
    <w:rsid w:val="002B3E4A"/>
    <w:rsid w:val="002B4135"/>
    <w:rsid w:val="002B4738"/>
    <w:rsid w:val="002B4A2C"/>
    <w:rsid w:val="002B5426"/>
    <w:rsid w:val="002B5956"/>
    <w:rsid w:val="002B655D"/>
    <w:rsid w:val="002B6A0E"/>
    <w:rsid w:val="002B6FE2"/>
    <w:rsid w:val="002B6FF6"/>
    <w:rsid w:val="002B7069"/>
    <w:rsid w:val="002B727C"/>
    <w:rsid w:val="002B75CA"/>
    <w:rsid w:val="002C006E"/>
    <w:rsid w:val="002C085D"/>
    <w:rsid w:val="002C1579"/>
    <w:rsid w:val="002C1652"/>
    <w:rsid w:val="002C1D81"/>
    <w:rsid w:val="002C1F64"/>
    <w:rsid w:val="002C239D"/>
    <w:rsid w:val="002C29CA"/>
    <w:rsid w:val="002C2C8A"/>
    <w:rsid w:val="002C37DA"/>
    <w:rsid w:val="002C3E3C"/>
    <w:rsid w:val="002C3F42"/>
    <w:rsid w:val="002C4069"/>
    <w:rsid w:val="002C4106"/>
    <w:rsid w:val="002C41C4"/>
    <w:rsid w:val="002C4765"/>
    <w:rsid w:val="002C48CE"/>
    <w:rsid w:val="002C4BAE"/>
    <w:rsid w:val="002C593E"/>
    <w:rsid w:val="002C5BED"/>
    <w:rsid w:val="002C5CCC"/>
    <w:rsid w:val="002C60A6"/>
    <w:rsid w:val="002C63F3"/>
    <w:rsid w:val="002C6CBD"/>
    <w:rsid w:val="002C6D29"/>
    <w:rsid w:val="002C6D7B"/>
    <w:rsid w:val="002C6EF0"/>
    <w:rsid w:val="002C6FEA"/>
    <w:rsid w:val="002C7484"/>
    <w:rsid w:val="002C7644"/>
    <w:rsid w:val="002C79DF"/>
    <w:rsid w:val="002C7A29"/>
    <w:rsid w:val="002C7A8F"/>
    <w:rsid w:val="002C7D67"/>
    <w:rsid w:val="002D005F"/>
    <w:rsid w:val="002D0882"/>
    <w:rsid w:val="002D0B3A"/>
    <w:rsid w:val="002D0EBA"/>
    <w:rsid w:val="002D1061"/>
    <w:rsid w:val="002D1E20"/>
    <w:rsid w:val="002D36EF"/>
    <w:rsid w:val="002D3720"/>
    <w:rsid w:val="002D3A2B"/>
    <w:rsid w:val="002D3A34"/>
    <w:rsid w:val="002D3BE2"/>
    <w:rsid w:val="002D3CAD"/>
    <w:rsid w:val="002D3ED3"/>
    <w:rsid w:val="002D4253"/>
    <w:rsid w:val="002D4B02"/>
    <w:rsid w:val="002D5ACB"/>
    <w:rsid w:val="002D5B37"/>
    <w:rsid w:val="002D5E60"/>
    <w:rsid w:val="002D5EC6"/>
    <w:rsid w:val="002D5FA1"/>
    <w:rsid w:val="002D6E91"/>
    <w:rsid w:val="002D6F06"/>
    <w:rsid w:val="002D719F"/>
    <w:rsid w:val="002D7C21"/>
    <w:rsid w:val="002E046F"/>
    <w:rsid w:val="002E1646"/>
    <w:rsid w:val="002E1CE2"/>
    <w:rsid w:val="002E2261"/>
    <w:rsid w:val="002E2A26"/>
    <w:rsid w:val="002E2F45"/>
    <w:rsid w:val="002E3180"/>
    <w:rsid w:val="002E32A8"/>
    <w:rsid w:val="002E34AD"/>
    <w:rsid w:val="002E36EA"/>
    <w:rsid w:val="002E3D25"/>
    <w:rsid w:val="002E4B36"/>
    <w:rsid w:val="002E54E4"/>
    <w:rsid w:val="002E569E"/>
    <w:rsid w:val="002E58DE"/>
    <w:rsid w:val="002E5B3F"/>
    <w:rsid w:val="002E651A"/>
    <w:rsid w:val="002E657B"/>
    <w:rsid w:val="002E6FD0"/>
    <w:rsid w:val="002E7532"/>
    <w:rsid w:val="002F021E"/>
    <w:rsid w:val="002F042F"/>
    <w:rsid w:val="002F054A"/>
    <w:rsid w:val="002F05C9"/>
    <w:rsid w:val="002F0825"/>
    <w:rsid w:val="002F0848"/>
    <w:rsid w:val="002F08DB"/>
    <w:rsid w:val="002F0B10"/>
    <w:rsid w:val="002F0FEA"/>
    <w:rsid w:val="002F11F1"/>
    <w:rsid w:val="002F1849"/>
    <w:rsid w:val="002F25AF"/>
    <w:rsid w:val="002F2647"/>
    <w:rsid w:val="002F2AD7"/>
    <w:rsid w:val="002F330A"/>
    <w:rsid w:val="002F3C98"/>
    <w:rsid w:val="002F3D19"/>
    <w:rsid w:val="002F44FD"/>
    <w:rsid w:val="002F4830"/>
    <w:rsid w:val="002F4978"/>
    <w:rsid w:val="002F4CA0"/>
    <w:rsid w:val="002F57A6"/>
    <w:rsid w:val="002F5BF0"/>
    <w:rsid w:val="002F60E9"/>
    <w:rsid w:val="002F62A1"/>
    <w:rsid w:val="002F6809"/>
    <w:rsid w:val="002F6826"/>
    <w:rsid w:val="002F6BC6"/>
    <w:rsid w:val="002F71DB"/>
    <w:rsid w:val="002F7659"/>
    <w:rsid w:val="002F788A"/>
    <w:rsid w:val="00300740"/>
    <w:rsid w:val="00300C49"/>
    <w:rsid w:val="00300D42"/>
    <w:rsid w:val="003010F0"/>
    <w:rsid w:val="00301312"/>
    <w:rsid w:val="00301D46"/>
    <w:rsid w:val="00302A82"/>
    <w:rsid w:val="00302B5D"/>
    <w:rsid w:val="00302EBB"/>
    <w:rsid w:val="0030332D"/>
    <w:rsid w:val="00303405"/>
    <w:rsid w:val="00303538"/>
    <w:rsid w:val="00303B18"/>
    <w:rsid w:val="00303C80"/>
    <w:rsid w:val="00303DC7"/>
    <w:rsid w:val="00304A97"/>
    <w:rsid w:val="00304A98"/>
    <w:rsid w:val="00304F3B"/>
    <w:rsid w:val="00304FF2"/>
    <w:rsid w:val="003056A8"/>
    <w:rsid w:val="00305E3B"/>
    <w:rsid w:val="00306504"/>
    <w:rsid w:val="00306536"/>
    <w:rsid w:val="00306BB3"/>
    <w:rsid w:val="00306F76"/>
    <w:rsid w:val="003077F0"/>
    <w:rsid w:val="0031030C"/>
    <w:rsid w:val="00310502"/>
    <w:rsid w:val="003106B1"/>
    <w:rsid w:val="00310B03"/>
    <w:rsid w:val="00310E8F"/>
    <w:rsid w:val="003116AA"/>
    <w:rsid w:val="003118DA"/>
    <w:rsid w:val="0031190A"/>
    <w:rsid w:val="00311911"/>
    <w:rsid w:val="00312375"/>
    <w:rsid w:val="00312532"/>
    <w:rsid w:val="00312797"/>
    <w:rsid w:val="003130BF"/>
    <w:rsid w:val="0031331F"/>
    <w:rsid w:val="0031359B"/>
    <w:rsid w:val="0031379E"/>
    <w:rsid w:val="00313B89"/>
    <w:rsid w:val="00313FC7"/>
    <w:rsid w:val="003140AA"/>
    <w:rsid w:val="003147EA"/>
    <w:rsid w:val="00314C70"/>
    <w:rsid w:val="00314CB2"/>
    <w:rsid w:val="00314D57"/>
    <w:rsid w:val="00315647"/>
    <w:rsid w:val="00315E34"/>
    <w:rsid w:val="003164E7"/>
    <w:rsid w:val="0031676A"/>
    <w:rsid w:val="00316EB1"/>
    <w:rsid w:val="003170B8"/>
    <w:rsid w:val="003174F9"/>
    <w:rsid w:val="003176DA"/>
    <w:rsid w:val="00317874"/>
    <w:rsid w:val="00317BEA"/>
    <w:rsid w:val="00320474"/>
    <w:rsid w:val="00320557"/>
    <w:rsid w:val="003205B0"/>
    <w:rsid w:val="00321B50"/>
    <w:rsid w:val="00321D80"/>
    <w:rsid w:val="00321F2B"/>
    <w:rsid w:val="00322216"/>
    <w:rsid w:val="00322AFB"/>
    <w:rsid w:val="0032324A"/>
    <w:rsid w:val="00323719"/>
    <w:rsid w:val="00323C6D"/>
    <w:rsid w:val="003240D8"/>
    <w:rsid w:val="0032415E"/>
    <w:rsid w:val="00324955"/>
    <w:rsid w:val="00324EE8"/>
    <w:rsid w:val="00325014"/>
    <w:rsid w:val="00325302"/>
    <w:rsid w:val="003254D0"/>
    <w:rsid w:val="00325C51"/>
    <w:rsid w:val="00325E49"/>
    <w:rsid w:val="00326720"/>
    <w:rsid w:val="003267D4"/>
    <w:rsid w:val="00326959"/>
    <w:rsid w:val="0032698B"/>
    <w:rsid w:val="003269FD"/>
    <w:rsid w:val="00326A2D"/>
    <w:rsid w:val="00326A91"/>
    <w:rsid w:val="00326CF0"/>
    <w:rsid w:val="00326DB3"/>
    <w:rsid w:val="00327732"/>
    <w:rsid w:val="00327D84"/>
    <w:rsid w:val="00330137"/>
    <w:rsid w:val="00330282"/>
    <w:rsid w:val="00330CBC"/>
    <w:rsid w:val="00330F76"/>
    <w:rsid w:val="00331201"/>
    <w:rsid w:val="00331370"/>
    <w:rsid w:val="00331892"/>
    <w:rsid w:val="00331BE0"/>
    <w:rsid w:val="00331EAE"/>
    <w:rsid w:val="0033220B"/>
    <w:rsid w:val="003325E7"/>
    <w:rsid w:val="00332B5A"/>
    <w:rsid w:val="00332B89"/>
    <w:rsid w:val="00332D3A"/>
    <w:rsid w:val="00333CD3"/>
    <w:rsid w:val="00333DAA"/>
    <w:rsid w:val="00333F7A"/>
    <w:rsid w:val="00334123"/>
    <w:rsid w:val="003342BF"/>
    <w:rsid w:val="003344CB"/>
    <w:rsid w:val="00334ABD"/>
    <w:rsid w:val="00334AEF"/>
    <w:rsid w:val="00334B92"/>
    <w:rsid w:val="00334EB3"/>
    <w:rsid w:val="003352BC"/>
    <w:rsid w:val="003358AC"/>
    <w:rsid w:val="00335B04"/>
    <w:rsid w:val="00336795"/>
    <w:rsid w:val="00336859"/>
    <w:rsid w:val="00336BB0"/>
    <w:rsid w:val="00336FA5"/>
    <w:rsid w:val="003372BD"/>
    <w:rsid w:val="003372CD"/>
    <w:rsid w:val="00337475"/>
    <w:rsid w:val="0034028B"/>
    <w:rsid w:val="00340B4C"/>
    <w:rsid w:val="0034137E"/>
    <w:rsid w:val="00341394"/>
    <w:rsid w:val="003419BE"/>
    <w:rsid w:val="00341B33"/>
    <w:rsid w:val="00342088"/>
    <w:rsid w:val="00342616"/>
    <w:rsid w:val="0034281F"/>
    <w:rsid w:val="00342F59"/>
    <w:rsid w:val="003435BA"/>
    <w:rsid w:val="003436B6"/>
    <w:rsid w:val="003438AF"/>
    <w:rsid w:val="00343934"/>
    <w:rsid w:val="00343DB0"/>
    <w:rsid w:val="00344B65"/>
    <w:rsid w:val="00344B8E"/>
    <w:rsid w:val="003457AC"/>
    <w:rsid w:val="00345A2F"/>
    <w:rsid w:val="00345C77"/>
    <w:rsid w:val="00345D10"/>
    <w:rsid w:val="00345DE8"/>
    <w:rsid w:val="00345FC2"/>
    <w:rsid w:val="003465D0"/>
    <w:rsid w:val="00346637"/>
    <w:rsid w:val="0034676E"/>
    <w:rsid w:val="0034694A"/>
    <w:rsid w:val="00346E39"/>
    <w:rsid w:val="00347400"/>
    <w:rsid w:val="00347467"/>
    <w:rsid w:val="00347944"/>
    <w:rsid w:val="00347FC8"/>
    <w:rsid w:val="00350141"/>
    <w:rsid w:val="00350331"/>
    <w:rsid w:val="0035094C"/>
    <w:rsid w:val="003516F7"/>
    <w:rsid w:val="003525D5"/>
    <w:rsid w:val="00352975"/>
    <w:rsid w:val="00352B9A"/>
    <w:rsid w:val="00352C91"/>
    <w:rsid w:val="003539F6"/>
    <w:rsid w:val="00353B5A"/>
    <w:rsid w:val="00353E5F"/>
    <w:rsid w:val="00353FB7"/>
    <w:rsid w:val="00354079"/>
    <w:rsid w:val="0035425D"/>
    <w:rsid w:val="0035450E"/>
    <w:rsid w:val="00354999"/>
    <w:rsid w:val="00354C8A"/>
    <w:rsid w:val="00354D6E"/>
    <w:rsid w:val="00355667"/>
    <w:rsid w:val="0035575D"/>
    <w:rsid w:val="003559F4"/>
    <w:rsid w:val="00355E52"/>
    <w:rsid w:val="0035601B"/>
    <w:rsid w:val="003569AE"/>
    <w:rsid w:val="00356BCB"/>
    <w:rsid w:val="003572E3"/>
    <w:rsid w:val="00357384"/>
    <w:rsid w:val="00357936"/>
    <w:rsid w:val="00357C9A"/>
    <w:rsid w:val="00360234"/>
    <w:rsid w:val="00360E8D"/>
    <w:rsid w:val="003611EB"/>
    <w:rsid w:val="00362276"/>
    <w:rsid w:val="003626A1"/>
    <w:rsid w:val="00362739"/>
    <w:rsid w:val="00362CF9"/>
    <w:rsid w:val="00363FE8"/>
    <w:rsid w:val="003643D4"/>
    <w:rsid w:val="0036480E"/>
    <w:rsid w:val="00364C94"/>
    <w:rsid w:val="00364D12"/>
    <w:rsid w:val="00365010"/>
    <w:rsid w:val="003650D2"/>
    <w:rsid w:val="003652EC"/>
    <w:rsid w:val="003654A7"/>
    <w:rsid w:val="00366386"/>
    <w:rsid w:val="00366697"/>
    <w:rsid w:val="0036682A"/>
    <w:rsid w:val="00366971"/>
    <w:rsid w:val="00366E6E"/>
    <w:rsid w:val="003674D4"/>
    <w:rsid w:val="00367686"/>
    <w:rsid w:val="003676A4"/>
    <w:rsid w:val="003678C1"/>
    <w:rsid w:val="00367C92"/>
    <w:rsid w:val="0037040A"/>
    <w:rsid w:val="0037101E"/>
    <w:rsid w:val="00371218"/>
    <w:rsid w:val="003713C1"/>
    <w:rsid w:val="003719B5"/>
    <w:rsid w:val="00371B74"/>
    <w:rsid w:val="00371DE3"/>
    <w:rsid w:val="003723CE"/>
    <w:rsid w:val="00372A28"/>
    <w:rsid w:val="00372B3B"/>
    <w:rsid w:val="00372C1A"/>
    <w:rsid w:val="00372CBF"/>
    <w:rsid w:val="00373006"/>
    <w:rsid w:val="003730BE"/>
    <w:rsid w:val="003733E5"/>
    <w:rsid w:val="00373E4D"/>
    <w:rsid w:val="00374438"/>
    <w:rsid w:val="003747E8"/>
    <w:rsid w:val="00374A32"/>
    <w:rsid w:val="00375028"/>
    <w:rsid w:val="0037525C"/>
    <w:rsid w:val="00375992"/>
    <w:rsid w:val="00375D8E"/>
    <w:rsid w:val="00376584"/>
    <w:rsid w:val="0037692E"/>
    <w:rsid w:val="00376995"/>
    <w:rsid w:val="003769FF"/>
    <w:rsid w:val="00376AA8"/>
    <w:rsid w:val="00376B83"/>
    <w:rsid w:val="00376ED8"/>
    <w:rsid w:val="003775C9"/>
    <w:rsid w:val="003776D0"/>
    <w:rsid w:val="00377C2B"/>
    <w:rsid w:val="0038004E"/>
    <w:rsid w:val="0038051E"/>
    <w:rsid w:val="00380A26"/>
    <w:rsid w:val="00380C65"/>
    <w:rsid w:val="0038163E"/>
    <w:rsid w:val="00381A6F"/>
    <w:rsid w:val="00381E8C"/>
    <w:rsid w:val="00382004"/>
    <w:rsid w:val="00382270"/>
    <w:rsid w:val="003826F3"/>
    <w:rsid w:val="00382A25"/>
    <w:rsid w:val="00382E45"/>
    <w:rsid w:val="003834BE"/>
    <w:rsid w:val="00383510"/>
    <w:rsid w:val="003836F4"/>
    <w:rsid w:val="003838A6"/>
    <w:rsid w:val="00383A51"/>
    <w:rsid w:val="00383CC3"/>
    <w:rsid w:val="003840E1"/>
    <w:rsid w:val="00384233"/>
    <w:rsid w:val="003849AF"/>
    <w:rsid w:val="00384CC8"/>
    <w:rsid w:val="00384E8B"/>
    <w:rsid w:val="00385034"/>
    <w:rsid w:val="0038524D"/>
    <w:rsid w:val="00385253"/>
    <w:rsid w:val="0038553B"/>
    <w:rsid w:val="00385FCA"/>
    <w:rsid w:val="00386244"/>
    <w:rsid w:val="00386312"/>
    <w:rsid w:val="0038699F"/>
    <w:rsid w:val="00386E8F"/>
    <w:rsid w:val="00386F6C"/>
    <w:rsid w:val="00386FB1"/>
    <w:rsid w:val="003870F0"/>
    <w:rsid w:val="0038748E"/>
    <w:rsid w:val="00387C1F"/>
    <w:rsid w:val="00387FF5"/>
    <w:rsid w:val="00390673"/>
    <w:rsid w:val="003908AE"/>
    <w:rsid w:val="00391E53"/>
    <w:rsid w:val="0039268E"/>
    <w:rsid w:val="00392734"/>
    <w:rsid w:val="00392904"/>
    <w:rsid w:val="00393506"/>
    <w:rsid w:val="00393727"/>
    <w:rsid w:val="00393F43"/>
    <w:rsid w:val="0039407D"/>
    <w:rsid w:val="00394585"/>
    <w:rsid w:val="00394FC1"/>
    <w:rsid w:val="00395C3A"/>
    <w:rsid w:val="00395CA9"/>
    <w:rsid w:val="003961CA"/>
    <w:rsid w:val="00396ACC"/>
    <w:rsid w:val="00396FC4"/>
    <w:rsid w:val="00397165"/>
    <w:rsid w:val="003976A8"/>
    <w:rsid w:val="00397EB8"/>
    <w:rsid w:val="003A03F2"/>
    <w:rsid w:val="003A0884"/>
    <w:rsid w:val="003A0BF9"/>
    <w:rsid w:val="003A0CCB"/>
    <w:rsid w:val="003A0D32"/>
    <w:rsid w:val="003A0D84"/>
    <w:rsid w:val="003A0E16"/>
    <w:rsid w:val="003A0FF8"/>
    <w:rsid w:val="003A1574"/>
    <w:rsid w:val="003A1678"/>
    <w:rsid w:val="003A1812"/>
    <w:rsid w:val="003A1D60"/>
    <w:rsid w:val="003A2265"/>
    <w:rsid w:val="003A23A4"/>
    <w:rsid w:val="003A2637"/>
    <w:rsid w:val="003A2A47"/>
    <w:rsid w:val="003A2A68"/>
    <w:rsid w:val="003A2B13"/>
    <w:rsid w:val="003A2F9F"/>
    <w:rsid w:val="003A362E"/>
    <w:rsid w:val="003A38D5"/>
    <w:rsid w:val="003A43D1"/>
    <w:rsid w:val="003A44E3"/>
    <w:rsid w:val="003A46A0"/>
    <w:rsid w:val="003A4C97"/>
    <w:rsid w:val="003A6C0C"/>
    <w:rsid w:val="003A6EA3"/>
    <w:rsid w:val="003A705B"/>
    <w:rsid w:val="003A706E"/>
    <w:rsid w:val="003A7726"/>
    <w:rsid w:val="003A78AB"/>
    <w:rsid w:val="003A7E08"/>
    <w:rsid w:val="003A7FC6"/>
    <w:rsid w:val="003B0337"/>
    <w:rsid w:val="003B0792"/>
    <w:rsid w:val="003B12EF"/>
    <w:rsid w:val="003B1315"/>
    <w:rsid w:val="003B1695"/>
    <w:rsid w:val="003B16E1"/>
    <w:rsid w:val="003B1785"/>
    <w:rsid w:val="003B1956"/>
    <w:rsid w:val="003B1C9A"/>
    <w:rsid w:val="003B1F36"/>
    <w:rsid w:val="003B2123"/>
    <w:rsid w:val="003B224D"/>
    <w:rsid w:val="003B2723"/>
    <w:rsid w:val="003B2743"/>
    <w:rsid w:val="003B2B11"/>
    <w:rsid w:val="003B2D82"/>
    <w:rsid w:val="003B2EB7"/>
    <w:rsid w:val="003B308A"/>
    <w:rsid w:val="003B3846"/>
    <w:rsid w:val="003B39DD"/>
    <w:rsid w:val="003B3FAC"/>
    <w:rsid w:val="003B44A7"/>
    <w:rsid w:val="003B5438"/>
    <w:rsid w:val="003B589B"/>
    <w:rsid w:val="003B5B03"/>
    <w:rsid w:val="003B5B93"/>
    <w:rsid w:val="003B6382"/>
    <w:rsid w:val="003B660A"/>
    <w:rsid w:val="003B69F0"/>
    <w:rsid w:val="003B6C86"/>
    <w:rsid w:val="003B6DCE"/>
    <w:rsid w:val="003B73F6"/>
    <w:rsid w:val="003B750E"/>
    <w:rsid w:val="003B763D"/>
    <w:rsid w:val="003B768D"/>
    <w:rsid w:val="003B76F7"/>
    <w:rsid w:val="003B7CAE"/>
    <w:rsid w:val="003C0925"/>
    <w:rsid w:val="003C0B0E"/>
    <w:rsid w:val="003C0E54"/>
    <w:rsid w:val="003C102C"/>
    <w:rsid w:val="003C1270"/>
    <w:rsid w:val="003C1CC5"/>
    <w:rsid w:val="003C20A1"/>
    <w:rsid w:val="003C24D2"/>
    <w:rsid w:val="003C263B"/>
    <w:rsid w:val="003C32DB"/>
    <w:rsid w:val="003C3585"/>
    <w:rsid w:val="003C3C58"/>
    <w:rsid w:val="003C3F1A"/>
    <w:rsid w:val="003C43F0"/>
    <w:rsid w:val="003C5904"/>
    <w:rsid w:val="003C5DE6"/>
    <w:rsid w:val="003C6193"/>
    <w:rsid w:val="003C672D"/>
    <w:rsid w:val="003C6A5C"/>
    <w:rsid w:val="003C6BDB"/>
    <w:rsid w:val="003C7791"/>
    <w:rsid w:val="003C7FF6"/>
    <w:rsid w:val="003D0047"/>
    <w:rsid w:val="003D0219"/>
    <w:rsid w:val="003D0642"/>
    <w:rsid w:val="003D0B5A"/>
    <w:rsid w:val="003D0CB1"/>
    <w:rsid w:val="003D0CDF"/>
    <w:rsid w:val="003D1C67"/>
    <w:rsid w:val="003D1E7F"/>
    <w:rsid w:val="003D2023"/>
    <w:rsid w:val="003D27CD"/>
    <w:rsid w:val="003D33FC"/>
    <w:rsid w:val="003D36E0"/>
    <w:rsid w:val="003D3B41"/>
    <w:rsid w:val="003D3F95"/>
    <w:rsid w:val="003D3FAA"/>
    <w:rsid w:val="003D4FDA"/>
    <w:rsid w:val="003D5966"/>
    <w:rsid w:val="003D6033"/>
    <w:rsid w:val="003D6137"/>
    <w:rsid w:val="003D6832"/>
    <w:rsid w:val="003D6AE1"/>
    <w:rsid w:val="003D715D"/>
    <w:rsid w:val="003D77AC"/>
    <w:rsid w:val="003D7A96"/>
    <w:rsid w:val="003D7AFB"/>
    <w:rsid w:val="003D7CEE"/>
    <w:rsid w:val="003D7E12"/>
    <w:rsid w:val="003D7F1D"/>
    <w:rsid w:val="003E014F"/>
    <w:rsid w:val="003E04AD"/>
    <w:rsid w:val="003E063C"/>
    <w:rsid w:val="003E06C4"/>
    <w:rsid w:val="003E0955"/>
    <w:rsid w:val="003E0D7A"/>
    <w:rsid w:val="003E0FF4"/>
    <w:rsid w:val="003E121D"/>
    <w:rsid w:val="003E15A9"/>
    <w:rsid w:val="003E1903"/>
    <w:rsid w:val="003E1B25"/>
    <w:rsid w:val="003E2446"/>
    <w:rsid w:val="003E2844"/>
    <w:rsid w:val="003E2FF3"/>
    <w:rsid w:val="003E30CF"/>
    <w:rsid w:val="003E35FE"/>
    <w:rsid w:val="003E4B5A"/>
    <w:rsid w:val="003E4D90"/>
    <w:rsid w:val="003E4F34"/>
    <w:rsid w:val="003E501D"/>
    <w:rsid w:val="003E52E2"/>
    <w:rsid w:val="003E562D"/>
    <w:rsid w:val="003E56F1"/>
    <w:rsid w:val="003E57AC"/>
    <w:rsid w:val="003E58AD"/>
    <w:rsid w:val="003E5C73"/>
    <w:rsid w:val="003E5CAE"/>
    <w:rsid w:val="003E5DE8"/>
    <w:rsid w:val="003E68AC"/>
    <w:rsid w:val="003E696D"/>
    <w:rsid w:val="003E73EC"/>
    <w:rsid w:val="003E7AE0"/>
    <w:rsid w:val="003E7E9E"/>
    <w:rsid w:val="003E7EE4"/>
    <w:rsid w:val="003F0241"/>
    <w:rsid w:val="003F0465"/>
    <w:rsid w:val="003F051B"/>
    <w:rsid w:val="003F07F4"/>
    <w:rsid w:val="003F0817"/>
    <w:rsid w:val="003F0A2D"/>
    <w:rsid w:val="003F0C84"/>
    <w:rsid w:val="003F0E31"/>
    <w:rsid w:val="003F10CA"/>
    <w:rsid w:val="003F1127"/>
    <w:rsid w:val="003F179F"/>
    <w:rsid w:val="003F1EC0"/>
    <w:rsid w:val="003F21A6"/>
    <w:rsid w:val="003F230A"/>
    <w:rsid w:val="003F2CF6"/>
    <w:rsid w:val="003F2D49"/>
    <w:rsid w:val="003F3189"/>
    <w:rsid w:val="003F31A2"/>
    <w:rsid w:val="003F3273"/>
    <w:rsid w:val="003F33EB"/>
    <w:rsid w:val="003F35BB"/>
    <w:rsid w:val="003F3BE5"/>
    <w:rsid w:val="003F441E"/>
    <w:rsid w:val="003F456B"/>
    <w:rsid w:val="003F45D2"/>
    <w:rsid w:val="003F48AD"/>
    <w:rsid w:val="003F4B6B"/>
    <w:rsid w:val="003F4F37"/>
    <w:rsid w:val="003F5271"/>
    <w:rsid w:val="003F5507"/>
    <w:rsid w:val="003F5C88"/>
    <w:rsid w:val="003F5D2A"/>
    <w:rsid w:val="003F629D"/>
    <w:rsid w:val="003F69D8"/>
    <w:rsid w:val="003F6B7E"/>
    <w:rsid w:val="003F6E29"/>
    <w:rsid w:val="003F7194"/>
    <w:rsid w:val="003F7220"/>
    <w:rsid w:val="003F73CE"/>
    <w:rsid w:val="003F7972"/>
    <w:rsid w:val="003F79A7"/>
    <w:rsid w:val="003F7BE5"/>
    <w:rsid w:val="003F7DDE"/>
    <w:rsid w:val="003F7FDB"/>
    <w:rsid w:val="004003A5"/>
    <w:rsid w:val="0040051C"/>
    <w:rsid w:val="00401298"/>
    <w:rsid w:val="004014BF"/>
    <w:rsid w:val="00402600"/>
    <w:rsid w:val="004027E9"/>
    <w:rsid w:val="00402824"/>
    <w:rsid w:val="00402D91"/>
    <w:rsid w:val="00402FBE"/>
    <w:rsid w:val="00403061"/>
    <w:rsid w:val="004030F2"/>
    <w:rsid w:val="004035A5"/>
    <w:rsid w:val="00403798"/>
    <w:rsid w:val="00403B2D"/>
    <w:rsid w:val="00403C0D"/>
    <w:rsid w:val="00403C1D"/>
    <w:rsid w:val="00403E59"/>
    <w:rsid w:val="00403F50"/>
    <w:rsid w:val="0040424D"/>
    <w:rsid w:val="0040435C"/>
    <w:rsid w:val="00404A73"/>
    <w:rsid w:val="0040556D"/>
    <w:rsid w:val="00405B74"/>
    <w:rsid w:val="00405DBD"/>
    <w:rsid w:val="00406075"/>
    <w:rsid w:val="004064FF"/>
    <w:rsid w:val="004065CD"/>
    <w:rsid w:val="00406667"/>
    <w:rsid w:val="00406BAE"/>
    <w:rsid w:val="00406CF8"/>
    <w:rsid w:val="00406D39"/>
    <w:rsid w:val="00406F00"/>
    <w:rsid w:val="004077C1"/>
    <w:rsid w:val="00407ACD"/>
    <w:rsid w:val="00407FCD"/>
    <w:rsid w:val="004107BE"/>
    <w:rsid w:val="00410B59"/>
    <w:rsid w:val="00411D41"/>
    <w:rsid w:val="00412329"/>
    <w:rsid w:val="00412DB0"/>
    <w:rsid w:val="004130A2"/>
    <w:rsid w:val="00413100"/>
    <w:rsid w:val="0041330B"/>
    <w:rsid w:val="00413387"/>
    <w:rsid w:val="0041340F"/>
    <w:rsid w:val="0041346E"/>
    <w:rsid w:val="00413BC3"/>
    <w:rsid w:val="0041440C"/>
    <w:rsid w:val="0041446C"/>
    <w:rsid w:val="004144DC"/>
    <w:rsid w:val="0041463F"/>
    <w:rsid w:val="0041472A"/>
    <w:rsid w:val="004147BC"/>
    <w:rsid w:val="004148C5"/>
    <w:rsid w:val="00414EBA"/>
    <w:rsid w:val="004150EC"/>
    <w:rsid w:val="00415182"/>
    <w:rsid w:val="00415BD2"/>
    <w:rsid w:val="00415F48"/>
    <w:rsid w:val="004161A5"/>
    <w:rsid w:val="0041643E"/>
    <w:rsid w:val="00416965"/>
    <w:rsid w:val="004169BF"/>
    <w:rsid w:val="00416B7F"/>
    <w:rsid w:val="00416ED4"/>
    <w:rsid w:val="00416FDD"/>
    <w:rsid w:val="004170CA"/>
    <w:rsid w:val="004171A3"/>
    <w:rsid w:val="004176B8"/>
    <w:rsid w:val="00417713"/>
    <w:rsid w:val="0041776C"/>
    <w:rsid w:val="0041786F"/>
    <w:rsid w:val="00417932"/>
    <w:rsid w:val="00420087"/>
    <w:rsid w:val="004205E6"/>
    <w:rsid w:val="004213E8"/>
    <w:rsid w:val="00421F97"/>
    <w:rsid w:val="0042219A"/>
    <w:rsid w:val="00422347"/>
    <w:rsid w:val="00423B51"/>
    <w:rsid w:val="00423BE9"/>
    <w:rsid w:val="00423D2B"/>
    <w:rsid w:val="00424CBA"/>
    <w:rsid w:val="00425288"/>
    <w:rsid w:val="00425495"/>
    <w:rsid w:val="00426048"/>
    <w:rsid w:val="00426458"/>
    <w:rsid w:val="004265D8"/>
    <w:rsid w:val="0042661B"/>
    <w:rsid w:val="00426826"/>
    <w:rsid w:val="00426C33"/>
    <w:rsid w:val="00427515"/>
    <w:rsid w:val="0042764B"/>
    <w:rsid w:val="004300BA"/>
    <w:rsid w:val="00430D13"/>
    <w:rsid w:val="00430F7A"/>
    <w:rsid w:val="0043145B"/>
    <w:rsid w:val="004315D0"/>
    <w:rsid w:val="00431F0A"/>
    <w:rsid w:val="0043279D"/>
    <w:rsid w:val="00432D0B"/>
    <w:rsid w:val="004331DE"/>
    <w:rsid w:val="00433A7D"/>
    <w:rsid w:val="00433CA9"/>
    <w:rsid w:val="00433E0E"/>
    <w:rsid w:val="00434095"/>
    <w:rsid w:val="00434C6A"/>
    <w:rsid w:val="00434D87"/>
    <w:rsid w:val="00435166"/>
    <w:rsid w:val="00435597"/>
    <w:rsid w:val="00435BF6"/>
    <w:rsid w:val="00435E2D"/>
    <w:rsid w:val="00435FCA"/>
    <w:rsid w:val="00436039"/>
    <w:rsid w:val="00436312"/>
    <w:rsid w:val="00436B67"/>
    <w:rsid w:val="004374AF"/>
    <w:rsid w:val="0043775A"/>
    <w:rsid w:val="00437BE8"/>
    <w:rsid w:val="004405A2"/>
    <w:rsid w:val="0044066F"/>
    <w:rsid w:val="00440DBA"/>
    <w:rsid w:val="00440E53"/>
    <w:rsid w:val="00440EE6"/>
    <w:rsid w:val="00441271"/>
    <w:rsid w:val="004413B8"/>
    <w:rsid w:val="0044143A"/>
    <w:rsid w:val="0044156D"/>
    <w:rsid w:val="004418C3"/>
    <w:rsid w:val="00441935"/>
    <w:rsid w:val="00441999"/>
    <w:rsid w:val="00441A0D"/>
    <w:rsid w:val="00441A80"/>
    <w:rsid w:val="00441AA8"/>
    <w:rsid w:val="00441D62"/>
    <w:rsid w:val="00442208"/>
    <w:rsid w:val="004423AC"/>
    <w:rsid w:val="00442750"/>
    <w:rsid w:val="004432BA"/>
    <w:rsid w:val="004432F4"/>
    <w:rsid w:val="004433E3"/>
    <w:rsid w:val="004436E7"/>
    <w:rsid w:val="00443BD1"/>
    <w:rsid w:val="00443C1C"/>
    <w:rsid w:val="00444172"/>
    <w:rsid w:val="004443CA"/>
    <w:rsid w:val="00444865"/>
    <w:rsid w:val="004448F4"/>
    <w:rsid w:val="004450DA"/>
    <w:rsid w:val="00445163"/>
    <w:rsid w:val="00445771"/>
    <w:rsid w:val="00445D5F"/>
    <w:rsid w:val="004467C5"/>
    <w:rsid w:val="00446876"/>
    <w:rsid w:val="00446960"/>
    <w:rsid w:val="00446E21"/>
    <w:rsid w:val="004472A9"/>
    <w:rsid w:val="00447342"/>
    <w:rsid w:val="00447559"/>
    <w:rsid w:val="004476F1"/>
    <w:rsid w:val="0044771D"/>
    <w:rsid w:val="00447B06"/>
    <w:rsid w:val="00447B12"/>
    <w:rsid w:val="00447C35"/>
    <w:rsid w:val="00447C96"/>
    <w:rsid w:val="00450D2D"/>
    <w:rsid w:val="00450E72"/>
    <w:rsid w:val="00450ED0"/>
    <w:rsid w:val="004513D4"/>
    <w:rsid w:val="00451A08"/>
    <w:rsid w:val="00451D3B"/>
    <w:rsid w:val="00451DCA"/>
    <w:rsid w:val="00451F8B"/>
    <w:rsid w:val="004522F7"/>
    <w:rsid w:val="004524F7"/>
    <w:rsid w:val="00452B26"/>
    <w:rsid w:val="00452EEE"/>
    <w:rsid w:val="00452FBC"/>
    <w:rsid w:val="004535B1"/>
    <w:rsid w:val="004536B0"/>
    <w:rsid w:val="0045408B"/>
    <w:rsid w:val="00454935"/>
    <w:rsid w:val="0045599C"/>
    <w:rsid w:val="00455AFC"/>
    <w:rsid w:val="00455DDC"/>
    <w:rsid w:val="00455EBD"/>
    <w:rsid w:val="0045600E"/>
    <w:rsid w:val="0045704A"/>
    <w:rsid w:val="00457196"/>
    <w:rsid w:val="004579A6"/>
    <w:rsid w:val="004600CA"/>
    <w:rsid w:val="004602DD"/>
    <w:rsid w:val="004603D8"/>
    <w:rsid w:val="004604A5"/>
    <w:rsid w:val="00460536"/>
    <w:rsid w:val="004605DA"/>
    <w:rsid w:val="004614EB"/>
    <w:rsid w:val="00461BCC"/>
    <w:rsid w:val="00461EDB"/>
    <w:rsid w:val="004624C1"/>
    <w:rsid w:val="004627FA"/>
    <w:rsid w:val="00462A8F"/>
    <w:rsid w:val="004633FA"/>
    <w:rsid w:val="004634E0"/>
    <w:rsid w:val="00463EA8"/>
    <w:rsid w:val="004641EE"/>
    <w:rsid w:val="00464336"/>
    <w:rsid w:val="00464747"/>
    <w:rsid w:val="00464B6A"/>
    <w:rsid w:val="00464B8C"/>
    <w:rsid w:val="00464F06"/>
    <w:rsid w:val="00464F0E"/>
    <w:rsid w:val="004652D1"/>
    <w:rsid w:val="00465755"/>
    <w:rsid w:val="004658D8"/>
    <w:rsid w:val="00465C27"/>
    <w:rsid w:val="004662AE"/>
    <w:rsid w:val="00466C64"/>
    <w:rsid w:val="00466D95"/>
    <w:rsid w:val="00466DEF"/>
    <w:rsid w:val="00466E73"/>
    <w:rsid w:val="00466F4B"/>
    <w:rsid w:val="00467887"/>
    <w:rsid w:val="004678BD"/>
    <w:rsid w:val="0046793A"/>
    <w:rsid w:val="00467A94"/>
    <w:rsid w:val="00467B36"/>
    <w:rsid w:val="00467D3B"/>
    <w:rsid w:val="00470120"/>
    <w:rsid w:val="004708AA"/>
    <w:rsid w:val="00470911"/>
    <w:rsid w:val="00470FFB"/>
    <w:rsid w:val="004710E8"/>
    <w:rsid w:val="0047113B"/>
    <w:rsid w:val="0047131D"/>
    <w:rsid w:val="0047131E"/>
    <w:rsid w:val="00471548"/>
    <w:rsid w:val="00471703"/>
    <w:rsid w:val="004718D2"/>
    <w:rsid w:val="004719C0"/>
    <w:rsid w:val="00471BAA"/>
    <w:rsid w:val="004721AB"/>
    <w:rsid w:val="00473C52"/>
    <w:rsid w:val="0047408E"/>
    <w:rsid w:val="00474B6A"/>
    <w:rsid w:val="00474DA3"/>
    <w:rsid w:val="00474E2D"/>
    <w:rsid w:val="00474F39"/>
    <w:rsid w:val="0047569C"/>
    <w:rsid w:val="0047589B"/>
    <w:rsid w:val="004759B5"/>
    <w:rsid w:val="00475EAD"/>
    <w:rsid w:val="00476203"/>
    <w:rsid w:val="00476C6C"/>
    <w:rsid w:val="00476C98"/>
    <w:rsid w:val="0047724E"/>
    <w:rsid w:val="004812C6"/>
    <w:rsid w:val="0048138C"/>
    <w:rsid w:val="0048169A"/>
    <w:rsid w:val="0048180D"/>
    <w:rsid w:val="00481CAC"/>
    <w:rsid w:val="00481DAD"/>
    <w:rsid w:val="004820C9"/>
    <w:rsid w:val="0048214C"/>
    <w:rsid w:val="004823A1"/>
    <w:rsid w:val="00482714"/>
    <w:rsid w:val="00482E1A"/>
    <w:rsid w:val="00483298"/>
    <w:rsid w:val="0048354E"/>
    <w:rsid w:val="00483C2D"/>
    <w:rsid w:val="00483F16"/>
    <w:rsid w:val="00483F4D"/>
    <w:rsid w:val="00483F77"/>
    <w:rsid w:val="00484020"/>
    <w:rsid w:val="004846DE"/>
    <w:rsid w:val="0048479D"/>
    <w:rsid w:val="004849EB"/>
    <w:rsid w:val="00484AE6"/>
    <w:rsid w:val="00484C8A"/>
    <w:rsid w:val="00484E1B"/>
    <w:rsid w:val="00485107"/>
    <w:rsid w:val="00485192"/>
    <w:rsid w:val="004852E8"/>
    <w:rsid w:val="004853F0"/>
    <w:rsid w:val="0048566B"/>
    <w:rsid w:val="0048577A"/>
    <w:rsid w:val="00485881"/>
    <w:rsid w:val="00485DEE"/>
    <w:rsid w:val="00486033"/>
    <w:rsid w:val="00486110"/>
    <w:rsid w:val="004866C6"/>
    <w:rsid w:val="004869F7"/>
    <w:rsid w:val="004871B1"/>
    <w:rsid w:val="0048746E"/>
    <w:rsid w:val="004876A2"/>
    <w:rsid w:val="004876EA"/>
    <w:rsid w:val="004877BF"/>
    <w:rsid w:val="0049022A"/>
    <w:rsid w:val="00490427"/>
    <w:rsid w:val="00490A95"/>
    <w:rsid w:val="00490D81"/>
    <w:rsid w:val="004914C3"/>
    <w:rsid w:val="00491603"/>
    <w:rsid w:val="00492016"/>
    <w:rsid w:val="0049201A"/>
    <w:rsid w:val="004922B8"/>
    <w:rsid w:val="00492335"/>
    <w:rsid w:val="00492413"/>
    <w:rsid w:val="00492453"/>
    <w:rsid w:val="004927C5"/>
    <w:rsid w:val="00492C66"/>
    <w:rsid w:val="00492CB5"/>
    <w:rsid w:val="00492D16"/>
    <w:rsid w:val="00493080"/>
    <w:rsid w:val="004938EB"/>
    <w:rsid w:val="00493AA6"/>
    <w:rsid w:val="00493E99"/>
    <w:rsid w:val="00493F9D"/>
    <w:rsid w:val="004949BE"/>
    <w:rsid w:val="00494F36"/>
    <w:rsid w:val="0049513B"/>
    <w:rsid w:val="00495197"/>
    <w:rsid w:val="0049530B"/>
    <w:rsid w:val="00495600"/>
    <w:rsid w:val="00495604"/>
    <w:rsid w:val="00495AE0"/>
    <w:rsid w:val="00495CCE"/>
    <w:rsid w:val="0049611D"/>
    <w:rsid w:val="00496355"/>
    <w:rsid w:val="004965EC"/>
    <w:rsid w:val="00496623"/>
    <w:rsid w:val="00496CA4"/>
    <w:rsid w:val="00497108"/>
    <w:rsid w:val="0049711A"/>
    <w:rsid w:val="00497423"/>
    <w:rsid w:val="00497746"/>
    <w:rsid w:val="004977CE"/>
    <w:rsid w:val="00497B2C"/>
    <w:rsid w:val="004A0975"/>
    <w:rsid w:val="004A0E5A"/>
    <w:rsid w:val="004A11D7"/>
    <w:rsid w:val="004A136F"/>
    <w:rsid w:val="004A14AE"/>
    <w:rsid w:val="004A158F"/>
    <w:rsid w:val="004A1E81"/>
    <w:rsid w:val="004A223D"/>
    <w:rsid w:val="004A2B32"/>
    <w:rsid w:val="004A2B76"/>
    <w:rsid w:val="004A2EC2"/>
    <w:rsid w:val="004A2F15"/>
    <w:rsid w:val="004A30F5"/>
    <w:rsid w:val="004A3957"/>
    <w:rsid w:val="004A3CB6"/>
    <w:rsid w:val="004A3D6A"/>
    <w:rsid w:val="004A4354"/>
    <w:rsid w:val="004A43C9"/>
    <w:rsid w:val="004A464F"/>
    <w:rsid w:val="004A4A73"/>
    <w:rsid w:val="004A4A83"/>
    <w:rsid w:val="004A50A3"/>
    <w:rsid w:val="004A6229"/>
    <w:rsid w:val="004A6526"/>
    <w:rsid w:val="004A68F3"/>
    <w:rsid w:val="004A6AED"/>
    <w:rsid w:val="004A7523"/>
    <w:rsid w:val="004A765A"/>
    <w:rsid w:val="004A76DD"/>
    <w:rsid w:val="004B017F"/>
    <w:rsid w:val="004B05FD"/>
    <w:rsid w:val="004B0C57"/>
    <w:rsid w:val="004B1D07"/>
    <w:rsid w:val="004B1FBA"/>
    <w:rsid w:val="004B208D"/>
    <w:rsid w:val="004B2486"/>
    <w:rsid w:val="004B2A4A"/>
    <w:rsid w:val="004B2EC0"/>
    <w:rsid w:val="004B3268"/>
    <w:rsid w:val="004B3AE2"/>
    <w:rsid w:val="004B3D63"/>
    <w:rsid w:val="004B41DE"/>
    <w:rsid w:val="004B48F2"/>
    <w:rsid w:val="004B501A"/>
    <w:rsid w:val="004B5910"/>
    <w:rsid w:val="004B5C1A"/>
    <w:rsid w:val="004B5DC9"/>
    <w:rsid w:val="004B648E"/>
    <w:rsid w:val="004B6B22"/>
    <w:rsid w:val="004B77E5"/>
    <w:rsid w:val="004C0313"/>
    <w:rsid w:val="004C0423"/>
    <w:rsid w:val="004C0F5B"/>
    <w:rsid w:val="004C11BB"/>
    <w:rsid w:val="004C13C1"/>
    <w:rsid w:val="004C18BA"/>
    <w:rsid w:val="004C1E83"/>
    <w:rsid w:val="004C2552"/>
    <w:rsid w:val="004C2DE9"/>
    <w:rsid w:val="004C300F"/>
    <w:rsid w:val="004C3A6D"/>
    <w:rsid w:val="004C3BD6"/>
    <w:rsid w:val="004C3D5D"/>
    <w:rsid w:val="004C3F78"/>
    <w:rsid w:val="004C45E2"/>
    <w:rsid w:val="004C46E9"/>
    <w:rsid w:val="004C4A95"/>
    <w:rsid w:val="004C5018"/>
    <w:rsid w:val="004C5213"/>
    <w:rsid w:val="004C54FC"/>
    <w:rsid w:val="004C5677"/>
    <w:rsid w:val="004C57A9"/>
    <w:rsid w:val="004C5E94"/>
    <w:rsid w:val="004C5EAD"/>
    <w:rsid w:val="004C6688"/>
    <w:rsid w:val="004C747C"/>
    <w:rsid w:val="004C7602"/>
    <w:rsid w:val="004C7C8F"/>
    <w:rsid w:val="004D06F0"/>
    <w:rsid w:val="004D0958"/>
    <w:rsid w:val="004D0D81"/>
    <w:rsid w:val="004D111C"/>
    <w:rsid w:val="004D15A3"/>
    <w:rsid w:val="004D15F3"/>
    <w:rsid w:val="004D1EE3"/>
    <w:rsid w:val="004D20BC"/>
    <w:rsid w:val="004D2507"/>
    <w:rsid w:val="004D3041"/>
    <w:rsid w:val="004D3161"/>
    <w:rsid w:val="004D39E4"/>
    <w:rsid w:val="004D3AF9"/>
    <w:rsid w:val="004D3B49"/>
    <w:rsid w:val="004D3D04"/>
    <w:rsid w:val="004D3F15"/>
    <w:rsid w:val="004D47C3"/>
    <w:rsid w:val="004D47CE"/>
    <w:rsid w:val="004D4804"/>
    <w:rsid w:val="004D4A77"/>
    <w:rsid w:val="004D50F4"/>
    <w:rsid w:val="004D5F25"/>
    <w:rsid w:val="004D5FC6"/>
    <w:rsid w:val="004D667A"/>
    <w:rsid w:val="004D6798"/>
    <w:rsid w:val="004D698F"/>
    <w:rsid w:val="004D6BE8"/>
    <w:rsid w:val="004D772C"/>
    <w:rsid w:val="004D795A"/>
    <w:rsid w:val="004D7A1E"/>
    <w:rsid w:val="004D7B13"/>
    <w:rsid w:val="004D7B91"/>
    <w:rsid w:val="004D7BFC"/>
    <w:rsid w:val="004D7C41"/>
    <w:rsid w:val="004E0096"/>
    <w:rsid w:val="004E0133"/>
    <w:rsid w:val="004E01A3"/>
    <w:rsid w:val="004E0263"/>
    <w:rsid w:val="004E0684"/>
    <w:rsid w:val="004E10AC"/>
    <w:rsid w:val="004E19FA"/>
    <w:rsid w:val="004E1B06"/>
    <w:rsid w:val="004E205D"/>
    <w:rsid w:val="004E30C3"/>
    <w:rsid w:val="004E3AA5"/>
    <w:rsid w:val="004E3ADE"/>
    <w:rsid w:val="004E3B59"/>
    <w:rsid w:val="004E3F83"/>
    <w:rsid w:val="004E4232"/>
    <w:rsid w:val="004E44CC"/>
    <w:rsid w:val="004E471D"/>
    <w:rsid w:val="004E4F0A"/>
    <w:rsid w:val="004E506F"/>
    <w:rsid w:val="004E56F1"/>
    <w:rsid w:val="004E5B05"/>
    <w:rsid w:val="004E5DE5"/>
    <w:rsid w:val="004E6385"/>
    <w:rsid w:val="004E68E7"/>
    <w:rsid w:val="004E6950"/>
    <w:rsid w:val="004E6B1A"/>
    <w:rsid w:val="004E6C50"/>
    <w:rsid w:val="004E71E9"/>
    <w:rsid w:val="004E72D7"/>
    <w:rsid w:val="004E7372"/>
    <w:rsid w:val="004F03AF"/>
    <w:rsid w:val="004F0C34"/>
    <w:rsid w:val="004F102E"/>
    <w:rsid w:val="004F1057"/>
    <w:rsid w:val="004F113E"/>
    <w:rsid w:val="004F1485"/>
    <w:rsid w:val="004F171D"/>
    <w:rsid w:val="004F21AD"/>
    <w:rsid w:val="004F29FC"/>
    <w:rsid w:val="004F2C4E"/>
    <w:rsid w:val="004F2D69"/>
    <w:rsid w:val="004F2E32"/>
    <w:rsid w:val="004F346C"/>
    <w:rsid w:val="004F35C8"/>
    <w:rsid w:val="004F3910"/>
    <w:rsid w:val="004F44F8"/>
    <w:rsid w:val="004F4799"/>
    <w:rsid w:val="004F4F53"/>
    <w:rsid w:val="004F547F"/>
    <w:rsid w:val="004F54C7"/>
    <w:rsid w:val="004F5536"/>
    <w:rsid w:val="004F5542"/>
    <w:rsid w:val="004F5994"/>
    <w:rsid w:val="004F5ABD"/>
    <w:rsid w:val="004F6172"/>
    <w:rsid w:val="004F667D"/>
    <w:rsid w:val="004F6D3E"/>
    <w:rsid w:val="004F725D"/>
    <w:rsid w:val="004F76E6"/>
    <w:rsid w:val="004F789B"/>
    <w:rsid w:val="004F7C9C"/>
    <w:rsid w:val="004F7CDD"/>
    <w:rsid w:val="005000EA"/>
    <w:rsid w:val="0050067A"/>
    <w:rsid w:val="00500835"/>
    <w:rsid w:val="005010A1"/>
    <w:rsid w:val="00501D3C"/>
    <w:rsid w:val="00501DDD"/>
    <w:rsid w:val="005020A6"/>
    <w:rsid w:val="00502809"/>
    <w:rsid w:val="00502F42"/>
    <w:rsid w:val="00503097"/>
    <w:rsid w:val="005030F8"/>
    <w:rsid w:val="005031D1"/>
    <w:rsid w:val="00503399"/>
    <w:rsid w:val="005033CE"/>
    <w:rsid w:val="00503437"/>
    <w:rsid w:val="0050358E"/>
    <w:rsid w:val="0050407C"/>
    <w:rsid w:val="0050418F"/>
    <w:rsid w:val="00504F7C"/>
    <w:rsid w:val="00504FDD"/>
    <w:rsid w:val="0050500A"/>
    <w:rsid w:val="00505B6B"/>
    <w:rsid w:val="00505F57"/>
    <w:rsid w:val="005069EF"/>
    <w:rsid w:val="00506F87"/>
    <w:rsid w:val="005076A9"/>
    <w:rsid w:val="005076BF"/>
    <w:rsid w:val="0050774F"/>
    <w:rsid w:val="0050785A"/>
    <w:rsid w:val="00507B4F"/>
    <w:rsid w:val="00510048"/>
    <w:rsid w:val="00510065"/>
    <w:rsid w:val="00511AE3"/>
    <w:rsid w:val="005125AA"/>
    <w:rsid w:val="005125FF"/>
    <w:rsid w:val="00512D04"/>
    <w:rsid w:val="00512D2B"/>
    <w:rsid w:val="005130B8"/>
    <w:rsid w:val="00513434"/>
    <w:rsid w:val="005134BF"/>
    <w:rsid w:val="0051353E"/>
    <w:rsid w:val="00513E59"/>
    <w:rsid w:val="0051423E"/>
    <w:rsid w:val="005154F7"/>
    <w:rsid w:val="00515D7F"/>
    <w:rsid w:val="00515EB8"/>
    <w:rsid w:val="005172F7"/>
    <w:rsid w:val="0051735F"/>
    <w:rsid w:val="005173E4"/>
    <w:rsid w:val="00517849"/>
    <w:rsid w:val="00517A78"/>
    <w:rsid w:val="00520233"/>
    <w:rsid w:val="00520305"/>
    <w:rsid w:val="005205EA"/>
    <w:rsid w:val="005206C5"/>
    <w:rsid w:val="00520837"/>
    <w:rsid w:val="00520C09"/>
    <w:rsid w:val="00520CA7"/>
    <w:rsid w:val="0052107A"/>
    <w:rsid w:val="0052118E"/>
    <w:rsid w:val="00521668"/>
    <w:rsid w:val="00521E94"/>
    <w:rsid w:val="0052202C"/>
    <w:rsid w:val="005220A3"/>
    <w:rsid w:val="00522131"/>
    <w:rsid w:val="00522433"/>
    <w:rsid w:val="00522544"/>
    <w:rsid w:val="00522BEE"/>
    <w:rsid w:val="00523297"/>
    <w:rsid w:val="00523418"/>
    <w:rsid w:val="005235B7"/>
    <w:rsid w:val="00523896"/>
    <w:rsid w:val="00524557"/>
    <w:rsid w:val="005246DB"/>
    <w:rsid w:val="00524884"/>
    <w:rsid w:val="00524D27"/>
    <w:rsid w:val="0052533D"/>
    <w:rsid w:val="00525719"/>
    <w:rsid w:val="00525A2A"/>
    <w:rsid w:val="00525AF3"/>
    <w:rsid w:val="00525D06"/>
    <w:rsid w:val="005263A8"/>
    <w:rsid w:val="00526739"/>
    <w:rsid w:val="00526ADA"/>
    <w:rsid w:val="00526FDE"/>
    <w:rsid w:val="00527384"/>
    <w:rsid w:val="005273F6"/>
    <w:rsid w:val="005274BA"/>
    <w:rsid w:val="00527CB4"/>
    <w:rsid w:val="00527EA4"/>
    <w:rsid w:val="00527EBF"/>
    <w:rsid w:val="005306C0"/>
    <w:rsid w:val="005307B3"/>
    <w:rsid w:val="0053096C"/>
    <w:rsid w:val="00530DB4"/>
    <w:rsid w:val="005312E5"/>
    <w:rsid w:val="00531325"/>
    <w:rsid w:val="0053171C"/>
    <w:rsid w:val="0053174E"/>
    <w:rsid w:val="00531AD8"/>
    <w:rsid w:val="00532733"/>
    <w:rsid w:val="00532BBD"/>
    <w:rsid w:val="00532F40"/>
    <w:rsid w:val="00533822"/>
    <w:rsid w:val="00533B67"/>
    <w:rsid w:val="005343C0"/>
    <w:rsid w:val="00534582"/>
    <w:rsid w:val="00534F1B"/>
    <w:rsid w:val="005351EA"/>
    <w:rsid w:val="005356B9"/>
    <w:rsid w:val="0053572E"/>
    <w:rsid w:val="00535F86"/>
    <w:rsid w:val="005366BC"/>
    <w:rsid w:val="0053772B"/>
    <w:rsid w:val="005379C7"/>
    <w:rsid w:val="00537D24"/>
    <w:rsid w:val="00537E60"/>
    <w:rsid w:val="00540021"/>
    <w:rsid w:val="00540228"/>
    <w:rsid w:val="00540C76"/>
    <w:rsid w:val="00540D5A"/>
    <w:rsid w:val="00540EC4"/>
    <w:rsid w:val="00541157"/>
    <w:rsid w:val="00541310"/>
    <w:rsid w:val="00541376"/>
    <w:rsid w:val="00541549"/>
    <w:rsid w:val="00541901"/>
    <w:rsid w:val="005419DD"/>
    <w:rsid w:val="00541C3C"/>
    <w:rsid w:val="00541C63"/>
    <w:rsid w:val="005421DC"/>
    <w:rsid w:val="005423F6"/>
    <w:rsid w:val="00542B36"/>
    <w:rsid w:val="00542C31"/>
    <w:rsid w:val="00542E40"/>
    <w:rsid w:val="005431DC"/>
    <w:rsid w:val="005432E8"/>
    <w:rsid w:val="00543327"/>
    <w:rsid w:val="00543B5B"/>
    <w:rsid w:val="00544F65"/>
    <w:rsid w:val="0054531C"/>
    <w:rsid w:val="00545384"/>
    <w:rsid w:val="005456F4"/>
    <w:rsid w:val="00545830"/>
    <w:rsid w:val="00545B24"/>
    <w:rsid w:val="00546D5E"/>
    <w:rsid w:val="0054734D"/>
    <w:rsid w:val="00547450"/>
    <w:rsid w:val="005502FF"/>
    <w:rsid w:val="005505CC"/>
    <w:rsid w:val="00550792"/>
    <w:rsid w:val="005507CB"/>
    <w:rsid w:val="005508EF"/>
    <w:rsid w:val="00550C4F"/>
    <w:rsid w:val="00550D1B"/>
    <w:rsid w:val="005517B0"/>
    <w:rsid w:val="005518F8"/>
    <w:rsid w:val="00551E08"/>
    <w:rsid w:val="00552128"/>
    <w:rsid w:val="00552204"/>
    <w:rsid w:val="005522C4"/>
    <w:rsid w:val="00552F2A"/>
    <w:rsid w:val="0055303F"/>
    <w:rsid w:val="0055394B"/>
    <w:rsid w:val="00553C01"/>
    <w:rsid w:val="00553E97"/>
    <w:rsid w:val="00554180"/>
    <w:rsid w:val="005543AC"/>
    <w:rsid w:val="0055474A"/>
    <w:rsid w:val="005547C0"/>
    <w:rsid w:val="00554B92"/>
    <w:rsid w:val="00554F40"/>
    <w:rsid w:val="00555257"/>
    <w:rsid w:val="00555361"/>
    <w:rsid w:val="005557FB"/>
    <w:rsid w:val="0055587B"/>
    <w:rsid w:val="00556277"/>
    <w:rsid w:val="005563B6"/>
    <w:rsid w:val="00556ADD"/>
    <w:rsid w:val="00556C57"/>
    <w:rsid w:val="00557424"/>
    <w:rsid w:val="00557447"/>
    <w:rsid w:val="00557568"/>
    <w:rsid w:val="005576B9"/>
    <w:rsid w:val="00557D2D"/>
    <w:rsid w:val="00560562"/>
    <w:rsid w:val="0056066E"/>
    <w:rsid w:val="0056068E"/>
    <w:rsid w:val="00560C92"/>
    <w:rsid w:val="00560E41"/>
    <w:rsid w:val="005610DB"/>
    <w:rsid w:val="00561826"/>
    <w:rsid w:val="00561A12"/>
    <w:rsid w:val="00561C35"/>
    <w:rsid w:val="00561E2F"/>
    <w:rsid w:val="0056208C"/>
    <w:rsid w:val="005629C0"/>
    <w:rsid w:val="00562A15"/>
    <w:rsid w:val="0056341A"/>
    <w:rsid w:val="00563451"/>
    <w:rsid w:val="0056377D"/>
    <w:rsid w:val="005640C6"/>
    <w:rsid w:val="00564440"/>
    <w:rsid w:val="0056496C"/>
    <w:rsid w:val="00565178"/>
    <w:rsid w:val="0056552D"/>
    <w:rsid w:val="00565B96"/>
    <w:rsid w:val="0056616B"/>
    <w:rsid w:val="0056676B"/>
    <w:rsid w:val="00566B73"/>
    <w:rsid w:val="00566BF8"/>
    <w:rsid w:val="00567094"/>
    <w:rsid w:val="00567182"/>
    <w:rsid w:val="00567601"/>
    <w:rsid w:val="00570041"/>
    <w:rsid w:val="00570177"/>
    <w:rsid w:val="005705A9"/>
    <w:rsid w:val="00570A86"/>
    <w:rsid w:val="00571523"/>
    <w:rsid w:val="0057168D"/>
    <w:rsid w:val="00571DE8"/>
    <w:rsid w:val="00574013"/>
    <w:rsid w:val="00574041"/>
    <w:rsid w:val="005743DA"/>
    <w:rsid w:val="00574C8E"/>
    <w:rsid w:val="005750E3"/>
    <w:rsid w:val="005751E0"/>
    <w:rsid w:val="0057583E"/>
    <w:rsid w:val="0057588F"/>
    <w:rsid w:val="00575A45"/>
    <w:rsid w:val="00575B3A"/>
    <w:rsid w:val="00576C7F"/>
    <w:rsid w:val="00576F1C"/>
    <w:rsid w:val="005773F4"/>
    <w:rsid w:val="00577834"/>
    <w:rsid w:val="0057797E"/>
    <w:rsid w:val="0058005D"/>
    <w:rsid w:val="0058021D"/>
    <w:rsid w:val="005806D3"/>
    <w:rsid w:val="0058098C"/>
    <w:rsid w:val="00580BD4"/>
    <w:rsid w:val="005813D9"/>
    <w:rsid w:val="0058189E"/>
    <w:rsid w:val="00581C38"/>
    <w:rsid w:val="00581E79"/>
    <w:rsid w:val="00582043"/>
    <w:rsid w:val="00582211"/>
    <w:rsid w:val="00582374"/>
    <w:rsid w:val="0058317B"/>
    <w:rsid w:val="005833B3"/>
    <w:rsid w:val="005834C2"/>
    <w:rsid w:val="00583683"/>
    <w:rsid w:val="00583749"/>
    <w:rsid w:val="00583AAA"/>
    <w:rsid w:val="00583B3F"/>
    <w:rsid w:val="00583E18"/>
    <w:rsid w:val="005849BB"/>
    <w:rsid w:val="005853CB"/>
    <w:rsid w:val="00585D49"/>
    <w:rsid w:val="00585D7E"/>
    <w:rsid w:val="00585F2D"/>
    <w:rsid w:val="00586298"/>
    <w:rsid w:val="00586BC6"/>
    <w:rsid w:val="00586D0A"/>
    <w:rsid w:val="00587065"/>
    <w:rsid w:val="00587E05"/>
    <w:rsid w:val="0059028F"/>
    <w:rsid w:val="00590B44"/>
    <w:rsid w:val="00590C69"/>
    <w:rsid w:val="00590E42"/>
    <w:rsid w:val="0059100F"/>
    <w:rsid w:val="00591237"/>
    <w:rsid w:val="00591786"/>
    <w:rsid w:val="00591C2C"/>
    <w:rsid w:val="005920CB"/>
    <w:rsid w:val="0059245E"/>
    <w:rsid w:val="005925E7"/>
    <w:rsid w:val="005926BC"/>
    <w:rsid w:val="005926CB"/>
    <w:rsid w:val="00592C10"/>
    <w:rsid w:val="00592F57"/>
    <w:rsid w:val="0059437C"/>
    <w:rsid w:val="005945D1"/>
    <w:rsid w:val="00594C8D"/>
    <w:rsid w:val="0059528C"/>
    <w:rsid w:val="005952AA"/>
    <w:rsid w:val="005957D1"/>
    <w:rsid w:val="00595E0A"/>
    <w:rsid w:val="00595E6F"/>
    <w:rsid w:val="00595EA3"/>
    <w:rsid w:val="00596440"/>
    <w:rsid w:val="00596654"/>
    <w:rsid w:val="005967A7"/>
    <w:rsid w:val="00596AB9"/>
    <w:rsid w:val="00596D7E"/>
    <w:rsid w:val="00596F25"/>
    <w:rsid w:val="00597276"/>
    <w:rsid w:val="0059733D"/>
    <w:rsid w:val="005974BE"/>
    <w:rsid w:val="005977AB"/>
    <w:rsid w:val="00597BEF"/>
    <w:rsid w:val="00597CFC"/>
    <w:rsid w:val="005A1914"/>
    <w:rsid w:val="005A1AAB"/>
    <w:rsid w:val="005A200C"/>
    <w:rsid w:val="005A226B"/>
    <w:rsid w:val="005A2A2F"/>
    <w:rsid w:val="005A2CAF"/>
    <w:rsid w:val="005A2F53"/>
    <w:rsid w:val="005A3449"/>
    <w:rsid w:val="005A3A75"/>
    <w:rsid w:val="005A3C4E"/>
    <w:rsid w:val="005A459C"/>
    <w:rsid w:val="005A475E"/>
    <w:rsid w:val="005A4AAD"/>
    <w:rsid w:val="005A5CF9"/>
    <w:rsid w:val="005A61E2"/>
    <w:rsid w:val="005A66B4"/>
    <w:rsid w:val="005A6AC2"/>
    <w:rsid w:val="005A6CC8"/>
    <w:rsid w:val="005A6CCB"/>
    <w:rsid w:val="005A71F4"/>
    <w:rsid w:val="005A75A0"/>
    <w:rsid w:val="005A7730"/>
    <w:rsid w:val="005A79A2"/>
    <w:rsid w:val="005A7BB4"/>
    <w:rsid w:val="005A7C4F"/>
    <w:rsid w:val="005B0059"/>
    <w:rsid w:val="005B081E"/>
    <w:rsid w:val="005B08B9"/>
    <w:rsid w:val="005B0D7E"/>
    <w:rsid w:val="005B1154"/>
    <w:rsid w:val="005B11B0"/>
    <w:rsid w:val="005B140C"/>
    <w:rsid w:val="005B17CF"/>
    <w:rsid w:val="005B1BF8"/>
    <w:rsid w:val="005B2347"/>
    <w:rsid w:val="005B2E19"/>
    <w:rsid w:val="005B31B8"/>
    <w:rsid w:val="005B32EC"/>
    <w:rsid w:val="005B3E80"/>
    <w:rsid w:val="005B4699"/>
    <w:rsid w:val="005B4CE5"/>
    <w:rsid w:val="005B5157"/>
    <w:rsid w:val="005B51EC"/>
    <w:rsid w:val="005B5225"/>
    <w:rsid w:val="005B571C"/>
    <w:rsid w:val="005B588C"/>
    <w:rsid w:val="005B5D05"/>
    <w:rsid w:val="005B5EAA"/>
    <w:rsid w:val="005B5F4C"/>
    <w:rsid w:val="005B65E8"/>
    <w:rsid w:val="005B66A5"/>
    <w:rsid w:val="005B66F2"/>
    <w:rsid w:val="005B6EA7"/>
    <w:rsid w:val="005B6F5E"/>
    <w:rsid w:val="005B6FA3"/>
    <w:rsid w:val="005B6FFD"/>
    <w:rsid w:val="005B70AE"/>
    <w:rsid w:val="005B74E7"/>
    <w:rsid w:val="005B7994"/>
    <w:rsid w:val="005B7C88"/>
    <w:rsid w:val="005C0150"/>
    <w:rsid w:val="005C09D1"/>
    <w:rsid w:val="005C0D5D"/>
    <w:rsid w:val="005C13C9"/>
    <w:rsid w:val="005C1BB0"/>
    <w:rsid w:val="005C3183"/>
    <w:rsid w:val="005C3189"/>
    <w:rsid w:val="005C32E0"/>
    <w:rsid w:val="005C3317"/>
    <w:rsid w:val="005C3BE8"/>
    <w:rsid w:val="005C3CDC"/>
    <w:rsid w:val="005C4886"/>
    <w:rsid w:val="005C4AA8"/>
    <w:rsid w:val="005C5AD3"/>
    <w:rsid w:val="005C61F3"/>
    <w:rsid w:val="005C6B75"/>
    <w:rsid w:val="005C6B9A"/>
    <w:rsid w:val="005C7289"/>
    <w:rsid w:val="005C7445"/>
    <w:rsid w:val="005C7820"/>
    <w:rsid w:val="005C791D"/>
    <w:rsid w:val="005C7CB6"/>
    <w:rsid w:val="005C7EA5"/>
    <w:rsid w:val="005D0201"/>
    <w:rsid w:val="005D021B"/>
    <w:rsid w:val="005D0476"/>
    <w:rsid w:val="005D0566"/>
    <w:rsid w:val="005D0599"/>
    <w:rsid w:val="005D08EC"/>
    <w:rsid w:val="005D0AF7"/>
    <w:rsid w:val="005D0F5C"/>
    <w:rsid w:val="005D17CB"/>
    <w:rsid w:val="005D1831"/>
    <w:rsid w:val="005D19CA"/>
    <w:rsid w:val="005D1F59"/>
    <w:rsid w:val="005D2119"/>
    <w:rsid w:val="005D26C7"/>
    <w:rsid w:val="005D271F"/>
    <w:rsid w:val="005D2B01"/>
    <w:rsid w:val="005D2B11"/>
    <w:rsid w:val="005D2CB8"/>
    <w:rsid w:val="005D3241"/>
    <w:rsid w:val="005D35E7"/>
    <w:rsid w:val="005D38CB"/>
    <w:rsid w:val="005D38FC"/>
    <w:rsid w:val="005D3E02"/>
    <w:rsid w:val="005D4957"/>
    <w:rsid w:val="005D4E69"/>
    <w:rsid w:val="005D4EC9"/>
    <w:rsid w:val="005D5256"/>
    <w:rsid w:val="005D53DA"/>
    <w:rsid w:val="005D588E"/>
    <w:rsid w:val="005D5B0C"/>
    <w:rsid w:val="005D613E"/>
    <w:rsid w:val="005D6179"/>
    <w:rsid w:val="005D61B8"/>
    <w:rsid w:val="005D61BF"/>
    <w:rsid w:val="005D67A5"/>
    <w:rsid w:val="005D6CE0"/>
    <w:rsid w:val="005D75EF"/>
    <w:rsid w:val="005D769B"/>
    <w:rsid w:val="005D7817"/>
    <w:rsid w:val="005D7ECA"/>
    <w:rsid w:val="005E0371"/>
    <w:rsid w:val="005E0898"/>
    <w:rsid w:val="005E0B0D"/>
    <w:rsid w:val="005E0BB0"/>
    <w:rsid w:val="005E0CF3"/>
    <w:rsid w:val="005E10E7"/>
    <w:rsid w:val="005E1218"/>
    <w:rsid w:val="005E18A8"/>
    <w:rsid w:val="005E1936"/>
    <w:rsid w:val="005E1F44"/>
    <w:rsid w:val="005E2214"/>
    <w:rsid w:val="005E254B"/>
    <w:rsid w:val="005E2698"/>
    <w:rsid w:val="005E28B5"/>
    <w:rsid w:val="005E2C8E"/>
    <w:rsid w:val="005E347B"/>
    <w:rsid w:val="005E365F"/>
    <w:rsid w:val="005E4344"/>
    <w:rsid w:val="005E573C"/>
    <w:rsid w:val="005E5C9A"/>
    <w:rsid w:val="005E5DEE"/>
    <w:rsid w:val="005E6366"/>
    <w:rsid w:val="005E6E4C"/>
    <w:rsid w:val="005E72F1"/>
    <w:rsid w:val="005E74E3"/>
    <w:rsid w:val="005E7867"/>
    <w:rsid w:val="005F014C"/>
    <w:rsid w:val="005F0EFE"/>
    <w:rsid w:val="005F0F47"/>
    <w:rsid w:val="005F14DD"/>
    <w:rsid w:val="005F1891"/>
    <w:rsid w:val="005F1A85"/>
    <w:rsid w:val="005F1DED"/>
    <w:rsid w:val="005F2383"/>
    <w:rsid w:val="005F239D"/>
    <w:rsid w:val="005F24FB"/>
    <w:rsid w:val="005F26F8"/>
    <w:rsid w:val="005F27FE"/>
    <w:rsid w:val="005F285B"/>
    <w:rsid w:val="005F2E54"/>
    <w:rsid w:val="005F37D7"/>
    <w:rsid w:val="005F4473"/>
    <w:rsid w:val="005F4745"/>
    <w:rsid w:val="005F47C1"/>
    <w:rsid w:val="005F4B7B"/>
    <w:rsid w:val="005F4F8F"/>
    <w:rsid w:val="005F5845"/>
    <w:rsid w:val="005F5C83"/>
    <w:rsid w:val="005F5EBB"/>
    <w:rsid w:val="005F5EE0"/>
    <w:rsid w:val="005F6305"/>
    <w:rsid w:val="005F65F4"/>
    <w:rsid w:val="005F6913"/>
    <w:rsid w:val="005F70AF"/>
    <w:rsid w:val="005F7684"/>
    <w:rsid w:val="005F7C6C"/>
    <w:rsid w:val="005F7CB8"/>
    <w:rsid w:val="00600049"/>
    <w:rsid w:val="006003EB"/>
    <w:rsid w:val="006004F3"/>
    <w:rsid w:val="00600A09"/>
    <w:rsid w:val="00600A0A"/>
    <w:rsid w:val="00600D80"/>
    <w:rsid w:val="00600FD7"/>
    <w:rsid w:val="0060124A"/>
    <w:rsid w:val="00601E6A"/>
    <w:rsid w:val="00601EA4"/>
    <w:rsid w:val="0060211C"/>
    <w:rsid w:val="00602557"/>
    <w:rsid w:val="0060274B"/>
    <w:rsid w:val="00602B5C"/>
    <w:rsid w:val="00602D95"/>
    <w:rsid w:val="006030F0"/>
    <w:rsid w:val="00603CC0"/>
    <w:rsid w:val="00603E62"/>
    <w:rsid w:val="00604069"/>
    <w:rsid w:val="0060428B"/>
    <w:rsid w:val="006049EC"/>
    <w:rsid w:val="00605099"/>
    <w:rsid w:val="00605D86"/>
    <w:rsid w:val="00605E5A"/>
    <w:rsid w:val="00605EA0"/>
    <w:rsid w:val="00606538"/>
    <w:rsid w:val="00606903"/>
    <w:rsid w:val="00606DFC"/>
    <w:rsid w:val="00606FDD"/>
    <w:rsid w:val="0060762D"/>
    <w:rsid w:val="00607ED3"/>
    <w:rsid w:val="00607F37"/>
    <w:rsid w:val="006100BC"/>
    <w:rsid w:val="0061073C"/>
    <w:rsid w:val="0061087B"/>
    <w:rsid w:val="006108A1"/>
    <w:rsid w:val="006108CA"/>
    <w:rsid w:val="0061104C"/>
    <w:rsid w:val="006110EF"/>
    <w:rsid w:val="0061118D"/>
    <w:rsid w:val="00611A2F"/>
    <w:rsid w:val="00611FAC"/>
    <w:rsid w:val="006121C6"/>
    <w:rsid w:val="006122B6"/>
    <w:rsid w:val="006123A0"/>
    <w:rsid w:val="00612453"/>
    <w:rsid w:val="006125CC"/>
    <w:rsid w:val="006127F9"/>
    <w:rsid w:val="00612CFE"/>
    <w:rsid w:val="00613495"/>
    <w:rsid w:val="00613937"/>
    <w:rsid w:val="006140E8"/>
    <w:rsid w:val="006141C8"/>
    <w:rsid w:val="00614259"/>
    <w:rsid w:val="00614262"/>
    <w:rsid w:val="00614875"/>
    <w:rsid w:val="00615307"/>
    <w:rsid w:val="006155A1"/>
    <w:rsid w:val="00616BAA"/>
    <w:rsid w:val="0061759B"/>
    <w:rsid w:val="00617AFF"/>
    <w:rsid w:val="00617EF7"/>
    <w:rsid w:val="0062017E"/>
    <w:rsid w:val="00620364"/>
    <w:rsid w:val="006204A3"/>
    <w:rsid w:val="00620523"/>
    <w:rsid w:val="0062076D"/>
    <w:rsid w:val="00620FA7"/>
    <w:rsid w:val="006210D2"/>
    <w:rsid w:val="0062133D"/>
    <w:rsid w:val="006213C8"/>
    <w:rsid w:val="0062161A"/>
    <w:rsid w:val="00621A0D"/>
    <w:rsid w:val="00622159"/>
    <w:rsid w:val="00622249"/>
    <w:rsid w:val="00622455"/>
    <w:rsid w:val="006224AD"/>
    <w:rsid w:val="00622822"/>
    <w:rsid w:val="00622823"/>
    <w:rsid w:val="00622DA4"/>
    <w:rsid w:val="00623028"/>
    <w:rsid w:val="006236C4"/>
    <w:rsid w:val="00623805"/>
    <w:rsid w:val="00623853"/>
    <w:rsid w:val="006246FB"/>
    <w:rsid w:val="00624CD3"/>
    <w:rsid w:val="0062501B"/>
    <w:rsid w:val="006250F6"/>
    <w:rsid w:val="00625292"/>
    <w:rsid w:val="0062538A"/>
    <w:rsid w:val="006253E0"/>
    <w:rsid w:val="006254FB"/>
    <w:rsid w:val="00625540"/>
    <w:rsid w:val="006256FD"/>
    <w:rsid w:val="00625BFD"/>
    <w:rsid w:val="00625D87"/>
    <w:rsid w:val="00625F6E"/>
    <w:rsid w:val="0062604C"/>
    <w:rsid w:val="00626114"/>
    <w:rsid w:val="0062614F"/>
    <w:rsid w:val="00626527"/>
    <w:rsid w:val="00626A7D"/>
    <w:rsid w:val="00626AC7"/>
    <w:rsid w:val="00626D19"/>
    <w:rsid w:val="0062702F"/>
    <w:rsid w:val="006271FA"/>
    <w:rsid w:val="0062793D"/>
    <w:rsid w:val="00627982"/>
    <w:rsid w:val="00627D32"/>
    <w:rsid w:val="00627F62"/>
    <w:rsid w:val="00627FEF"/>
    <w:rsid w:val="00630439"/>
    <w:rsid w:val="00630B91"/>
    <w:rsid w:val="00630F6D"/>
    <w:rsid w:val="00631B71"/>
    <w:rsid w:val="00631BB0"/>
    <w:rsid w:val="00631C93"/>
    <w:rsid w:val="00631FE5"/>
    <w:rsid w:val="00632C53"/>
    <w:rsid w:val="006332FF"/>
    <w:rsid w:val="0063347D"/>
    <w:rsid w:val="0063349A"/>
    <w:rsid w:val="006334EA"/>
    <w:rsid w:val="006340A3"/>
    <w:rsid w:val="006341E0"/>
    <w:rsid w:val="00634FD3"/>
    <w:rsid w:val="006357FC"/>
    <w:rsid w:val="0063630A"/>
    <w:rsid w:val="0063653B"/>
    <w:rsid w:val="006373B8"/>
    <w:rsid w:val="00637A2F"/>
    <w:rsid w:val="006402F2"/>
    <w:rsid w:val="0064117D"/>
    <w:rsid w:val="00641412"/>
    <w:rsid w:val="006414E9"/>
    <w:rsid w:val="00641FA9"/>
    <w:rsid w:val="006421F9"/>
    <w:rsid w:val="006426E6"/>
    <w:rsid w:val="00642C6F"/>
    <w:rsid w:val="00643147"/>
    <w:rsid w:val="00643689"/>
    <w:rsid w:val="00643AB9"/>
    <w:rsid w:val="00643B06"/>
    <w:rsid w:val="00643B2F"/>
    <w:rsid w:val="00644603"/>
    <w:rsid w:val="006446A4"/>
    <w:rsid w:val="006449FF"/>
    <w:rsid w:val="00644C81"/>
    <w:rsid w:val="00644D81"/>
    <w:rsid w:val="00644E68"/>
    <w:rsid w:val="00645FD1"/>
    <w:rsid w:val="00646011"/>
    <w:rsid w:val="0064698E"/>
    <w:rsid w:val="00646CD5"/>
    <w:rsid w:val="00646F26"/>
    <w:rsid w:val="0064765A"/>
    <w:rsid w:val="006478FF"/>
    <w:rsid w:val="00647960"/>
    <w:rsid w:val="00647D09"/>
    <w:rsid w:val="00647E31"/>
    <w:rsid w:val="00647FA2"/>
    <w:rsid w:val="00650080"/>
    <w:rsid w:val="0065057E"/>
    <w:rsid w:val="00650DC5"/>
    <w:rsid w:val="006510B9"/>
    <w:rsid w:val="00651149"/>
    <w:rsid w:val="00651260"/>
    <w:rsid w:val="00651FBF"/>
    <w:rsid w:val="00652507"/>
    <w:rsid w:val="0065262A"/>
    <w:rsid w:val="00652A3B"/>
    <w:rsid w:val="0065375A"/>
    <w:rsid w:val="00653A49"/>
    <w:rsid w:val="00653B36"/>
    <w:rsid w:val="00653CE7"/>
    <w:rsid w:val="00653CFC"/>
    <w:rsid w:val="00654096"/>
    <w:rsid w:val="00654126"/>
    <w:rsid w:val="00654137"/>
    <w:rsid w:val="00654297"/>
    <w:rsid w:val="006550C7"/>
    <w:rsid w:val="00655389"/>
    <w:rsid w:val="006557A3"/>
    <w:rsid w:val="006557DA"/>
    <w:rsid w:val="006557E6"/>
    <w:rsid w:val="00655839"/>
    <w:rsid w:val="00655EFF"/>
    <w:rsid w:val="006571B4"/>
    <w:rsid w:val="006572C3"/>
    <w:rsid w:val="00657BC6"/>
    <w:rsid w:val="00657CB8"/>
    <w:rsid w:val="00657ED4"/>
    <w:rsid w:val="00660149"/>
    <w:rsid w:val="006604C3"/>
    <w:rsid w:val="006604F6"/>
    <w:rsid w:val="006607FF"/>
    <w:rsid w:val="00660A96"/>
    <w:rsid w:val="00660D60"/>
    <w:rsid w:val="006616CE"/>
    <w:rsid w:val="00661936"/>
    <w:rsid w:val="00661A7B"/>
    <w:rsid w:val="00661ED8"/>
    <w:rsid w:val="0066258F"/>
    <w:rsid w:val="00662CD1"/>
    <w:rsid w:val="00662CED"/>
    <w:rsid w:val="00662E0F"/>
    <w:rsid w:val="0066314E"/>
    <w:rsid w:val="006631B4"/>
    <w:rsid w:val="00663830"/>
    <w:rsid w:val="0066432D"/>
    <w:rsid w:val="00664998"/>
    <w:rsid w:val="00664FDD"/>
    <w:rsid w:val="006658CC"/>
    <w:rsid w:val="00666007"/>
    <w:rsid w:val="0066668B"/>
    <w:rsid w:val="0066679D"/>
    <w:rsid w:val="0067071E"/>
    <w:rsid w:val="00670A45"/>
    <w:rsid w:val="00671CFB"/>
    <w:rsid w:val="006720F3"/>
    <w:rsid w:val="00672BCA"/>
    <w:rsid w:val="00672D1A"/>
    <w:rsid w:val="00672D5A"/>
    <w:rsid w:val="00672F1D"/>
    <w:rsid w:val="0067324D"/>
    <w:rsid w:val="00673915"/>
    <w:rsid w:val="006741A8"/>
    <w:rsid w:val="006741EF"/>
    <w:rsid w:val="006742FB"/>
    <w:rsid w:val="00674573"/>
    <w:rsid w:val="0067461F"/>
    <w:rsid w:val="006747CB"/>
    <w:rsid w:val="006748BE"/>
    <w:rsid w:val="00675B48"/>
    <w:rsid w:val="00675F81"/>
    <w:rsid w:val="00676A65"/>
    <w:rsid w:val="00676EB1"/>
    <w:rsid w:val="0067704E"/>
    <w:rsid w:val="006771EC"/>
    <w:rsid w:val="00677608"/>
    <w:rsid w:val="00677A6C"/>
    <w:rsid w:val="00677CAC"/>
    <w:rsid w:val="00680612"/>
    <w:rsid w:val="0068120B"/>
    <w:rsid w:val="006815D7"/>
    <w:rsid w:val="006819BC"/>
    <w:rsid w:val="006819BD"/>
    <w:rsid w:val="00682043"/>
    <w:rsid w:val="00682064"/>
    <w:rsid w:val="0068233A"/>
    <w:rsid w:val="00682793"/>
    <w:rsid w:val="00682E18"/>
    <w:rsid w:val="006831CB"/>
    <w:rsid w:val="006836BB"/>
    <w:rsid w:val="0068380D"/>
    <w:rsid w:val="006838ED"/>
    <w:rsid w:val="00683F8D"/>
    <w:rsid w:val="00684691"/>
    <w:rsid w:val="0068476D"/>
    <w:rsid w:val="0068485C"/>
    <w:rsid w:val="00684914"/>
    <w:rsid w:val="00684971"/>
    <w:rsid w:val="00684AA9"/>
    <w:rsid w:val="006864E0"/>
    <w:rsid w:val="00686B88"/>
    <w:rsid w:val="00686D06"/>
    <w:rsid w:val="0068706C"/>
    <w:rsid w:val="006879FD"/>
    <w:rsid w:val="00687A89"/>
    <w:rsid w:val="00687B13"/>
    <w:rsid w:val="00690288"/>
    <w:rsid w:val="006902A0"/>
    <w:rsid w:val="0069050C"/>
    <w:rsid w:val="00692D53"/>
    <w:rsid w:val="00692DDC"/>
    <w:rsid w:val="00692E50"/>
    <w:rsid w:val="00693037"/>
    <w:rsid w:val="006930A0"/>
    <w:rsid w:val="006933AA"/>
    <w:rsid w:val="0069382A"/>
    <w:rsid w:val="00694343"/>
    <w:rsid w:val="006948E6"/>
    <w:rsid w:val="00694D45"/>
    <w:rsid w:val="006951BF"/>
    <w:rsid w:val="006954E7"/>
    <w:rsid w:val="0069550C"/>
    <w:rsid w:val="00695FA2"/>
    <w:rsid w:val="0069627B"/>
    <w:rsid w:val="006962A1"/>
    <w:rsid w:val="006962A4"/>
    <w:rsid w:val="006962FE"/>
    <w:rsid w:val="006964B0"/>
    <w:rsid w:val="00696C74"/>
    <w:rsid w:val="00697047"/>
    <w:rsid w:val="00697517"/>
    <w:rsid w:val="0069760E"/>
    <w:rsid w:val="006977D2"/>
    <w:rsid w:val="0069792C"/>
    <w:rsid w:val="006979CC"/>
    <w:rsid w:val="00697ADE"/>
    <w:rsid w:val="006A03F9"/>
    <w:rsid w:val="006A0CCB"/>
    <w:rsid w:val="006A17BC"/>
    <w:rsid w:val="006A1971"/>
    <w:rsid w:val="006A1AB5"/>
    <w:rsid w:val="006A1D66"/>
    <w:rsid w:val="006A2019"/>
    <w:rsid w:val="006A2ABE"/>
    <w:rsid w:val="006A2BD4"/>
    <w:rsid w:val="006A327D"/>
    <w:rsid w:val="006A3348"/>
    <w:rsid w:val="006A3B52"/>
    <w:rsid w:val="006A3C5D"/>
    <w:rsid w:val="006A40BB"/>
    <w:rsid w:val="006A4102"/>
    <w:rsid w:val="006A4431"/>
    <w:rsid w:val="006A50F3"/>
    <w:rsid w:val="006A5193"/>
    <w:rsid w:val="006A5D99"/>
    <w:rsid w:val="006A5E48"/>
    <w:rsid w:val="006A5F2B"/>
    <w:rsid w:val="006A5F94"/>
    <w:rsid w:val="006A638F"/>
    <w:rsid w:val="006A66B2"/>
    <w:rsid w:val="006A7030"/>
    <w:rsid w:val="006A74A3"/>
    <w:rsid w:val="006A7594"/>
    <w:rsid w:val="006B00CA"/>
    <w:rsid w:val="006B0205"/>
    <w:rsid w:val="006B04B2"/>
    <w:rsid w:val="006B0A79"/>
    <w:rsid w:val="006B0BCC"/>
    <w:rsid w:val="006B0C08"/>
    <w:rsid w:val="006B0D38"/>
    <w:rsid w:val="006B0E2D"/>
    <w:rsid w:val="006B0E5D"/>
    <w:rsid w:val="006B1700"/>
    <w:rsid w:val="006B1F0B"/>
    <w:rsid w:val="006B1FB5"/>
    <w:rsid w:val="006B2625"/>
    <w:rsid w:val="006B2F1D"/>
    <w:rsid w:val="006B30BD"/>
    <w:rsid w:val="006B319A"/>
    <w:rsid w:val="006B366E"/>
    <w:rsid w:val="006B394F"/>
    <w:rsid w:val="006B39D1"/>
    <w:rsid w:val="006B3F63"/>
    <w:rsid w:val="006B4660"/>
    <w:rsid w:val="006B4AD4"/>
    <w:rsid w:val="006B4E30"/>
    <w:rsid w:val="006B5503"/>
    <w:rsid w:val="006B567F"/>
    <w:rsid w:val="006B5B37"/>
    <w:rsid w:val="006B5CC7"/>
    <w:rsid w:val="006B5E68"/>
    <w:rsid w:val="006B6495"/>
    <w:rsid w:val="006B688F"/>
    <w:rsid w:val="006B6A33"/>
    <w:rsid w:val="006B6CE1"/>
    <w:rsid w:val="006B75A5"/>
    <w:rsid w:val="006B7D8B"/>
    <w:rsid w:val="006B7E09"/>
    <w:rsid w:val="006B7E43"/>
    <w:rsid w:val="006C04A2"/>
    <w:rsid w:val="006C0837"/>
    <w:rsid w:val="006C09A0"/>
    <w:rsid w:val="006C0F23"/>
    <w:rsid w:val="006C13F0"/>
    <w:rsid w:val="006C1533"/>
    <w:rsid w:val="006C1723"/>
    <w:rsid w:val="006C2353"/>
    <w:rsid w:val="006C2CC5"/>
    <w:rsid w:val="006C36E3"/>
    <w:rsid w:val="006C3814"/>
    <w:rsid w:val="006C38D4"/>
    <w:rsid w:val="006C3E29"/>
    <w:rsid w:val="006C415A"/>
    <w:rsid w:val="006C44B3"/>
    <w:rsid w:val="006C44D7"/>
    <w:rsid w:val="006C45AC"/>
    <w:rsid w:val="006C489A"/>
    <w:rsid w:val="006C49D8"/>
    <w:rsid w:val="006C5111"/>
    <w:rsid w:val="006C52A5"/>
    <w:rsid w:val="006C52CA"/>
    <w:rsid w:val="006C5BAB"/>
    <w:rsid w:val="006C5C55"/>
    <w:rsid w:val="006C6D6A"/>
    <w:rsid w:val="006C7CCE"/>
    <w:rsid w:val="006C7EF7"/>
    <w:rsid w:val="006D0313"/>
    <w:rsid w:val="006D0762"/>
    <w:rsid w:val="006D1262"/>
    <w:rsid w:val="006D14ED"/>
    <w:rsid w:val="006D162D"/>
    <w:rsid w:val="006D1955"/>
    <w:rsid w:val="006D1B71"/>
    <w:rsid w:val="006D2447"/>
    <w:rsid w:val="006D28CD"/>
    <w:rsid w:val="006D35CA"/>
    <w:rsid w:val="006D37D7"/>
    <w:rsid w:val="006D3A01"/>
    <w:rsid w:val="006D41FE"/>
    <w:rsid w:val="006D42E8"/>
    <w:rsid w:val="006D4A53"/>
    <w:rsid w:val="006D4BD9"/>
    <w:rsid w:val="006D4C54"/>
    <w:rsid w:val="006D4CFA"/>
    <w:rsid w:val="006D4E51"/>
    <w:rsid w:val="006D4EA5"/>
    <w:rsid w:val="006D5323"/>
    <w:rsid w:val="006D555A"/>
    <w:rsid w:val="006D5650"/>
    <w:rsid w:val="006D5828"/>
    <w:rsid w:val="006D5941"/>
    <w:rsid w:val="006D5C34"/>
    <w:rsid w:val="006D5E18"/>
    <w:rsid w:val="006D6323"/>
    <w:rsid w:val="006D648B"/>
    <w:rsid w:val="006D6719"/>
    <w:rsid w:val="006D6BA1"/>
    <w:rsid w:val="006D7061"/>
    <w:rsid w:val="006D7078"/>
    <w:rsid w:val="006D71DF"/>
    <w:rsid w:val="006D7220"/>
    <w:rsid w:val="006D785F"/>
    <w:rsid w:val="006E0398"/>
    <w:rsid w:val="006E06E8"/>
    <w:rsid w:val="006E0751"/>
    <w:rsid w:val="006E0969"/>
    <w:rsid w:val="006E0DA1"/>
    <w:rsid w:val="006E0E45"/>
    <w:rsid w:val="006E0FD3"/>
    <w:rsid w:val="006E1089"/>
    <w:rsid w:val="006E140D"/>
    <w:rsid w:val="006E19E9"/>
    <w:rsid w:val="006E1AD2"/>
    <w:rsid w:val="006E1D0B"/>
    <w:rsid w:val="006E2051"/>
    <w:rsid w:val="006E369D"/>
    <w:rsid w:val="006E3A87"/>
    <w:rsid w:val="006E3B10"/>
    <w:rsid w:val="006E3D46"/>
    <w:rsid w:val="006E4296"/>
    <w:rsid w:val="006E45FF"/>
    <w:rsid w:val="006E4887"/>
    <w:rsid w:val="006E527A"/>
    <w:rsid w:val="006E55C3"/>
    <w:rsid w:val="006E5602"/>
    <w:rsid w:val="006E611E"/>
    <w:rsid w:val="006E6137"/>
    <w:rsid w:val="006E7625"/>
    <w:rsid w:val="006E7965"/>
    <w:rsid w:val="006E7BCB"/>
    <w:rsid w:val="006E7D78"/>
    <w:rsid w:val="006F05F3"/>
    <w:rsid w:val="006F0B74"/>
    <w:rsid w:val="006F1201"/>
    <w:rsid w:val="006F1229"/>
    <w:rsid w:val="006F1290"/>
    <w:rsid w:val="006F1D87"/>
    <w:rsid w:val="006F2505"/>
    <w:rsid w:val="006F2B5B"/>
    <w:rsid w:val="006F2B65"/>
    <w:rsid w:val="006F2FDB"/>
    <w:rsid w:val="006F3068"/>
    <w:rsid w:val="006F328A"/>
    <w:rsid w:val="006F328F"/>
    <w:rsid w:val="006F3C36"/>
    <w:rsid w:val="006F4260"/>
    <w:rsid w:val="006F4A60"/>
    <w:rsid w:val="006F4E1A"/>
    <w:rsid w:val="006F503E"/>
    <w:rsid w:val="006F545D"/>
    <w:rsid w:val="006F5CE6"/>
    <w:rsid w:val="006F6DCD"/>
    <w:rsid w:val="006F78D9"/>
    <w:rsid w:val="006F7B7B"/>
    <w:rsid w:val="006F7D2F"/>
    <w:rsid w:val="006F7DFE"/>
    <w:rsid w:val="006F7E7F"/>
    <w:rsid w:val="006F7F19"/>
    <w:rsid w:val="006F7FF3"/>
    <w:rsid w:val="0070000B"/>
    <w:rsid w:val="007006E0"/>
    <w:rsid w:val="00700B16"/>
    <w:rsid w:val="00700C47"/>
    <w:rsid w:val="00700C77"/>
    <w:rsid w:val="00700DEE"/>
    <w:rsid w:val="0070106B"/>
    <w:rsid w:val="007010CB"/>
    <w:rsid w:val="00701186"/>
    <w:rsid w:val="00701740"/>
    <w:rsid w:val="00701BFF"/>
    <w:rsid w:val="00701D6E"/>
    <w:rsid w:val="007020D5"/>
    <w:rsid w:val="00702CEB"/>
    <w:rsid w:val="00702D03"/>
    <w:rsid w:val="00703104"/>
    <w:rsid w:val="007032DF"/>
    <w:rsid w:val="00703356"/>
    <w:rsid w:val="007033CA"/>
    <w:rsid w:val="007039ED"/>
    <w:rsid w:val="00703C6E"/>
    <w:rsid w:val="00703D59"/>
    <w:rsid w:val="00705100"/>
    <w:rsid w:val="007052BB"/>
    <w:rsid w:val="0070552E"/>
    <w:rsid w:val="007057C2"/>
    <w:rsid w:val="00705F88"/>
    <w:rsid w:val="007063D1"/>
    <w:rsid w:val="007066F7"/>
    <w:rsid w:val="00706BE1"/>
    <w:rsid w:val="00706BFA"/>
    <w:rsid w:val="00706DF6"/>
    <w:rsid w:val="00706FB0"/>
    <w:rsid w:val="007076AB"/>
    <w:rsid w:val="00707916"/>
    <w:rsid w:val="00707C44"/>
    <w:rsid w:val="00710533"/>
    <w:rsid w:val="0071089D"/>
    <w:rsid w:val="00710968"/>
    <w:rsid w:val="00710CB5"/>
    <w:rsid w:val="00710F87"/>
    <w:rsid w:val="007112F7"/>
    <w:rsid w:val="007114BF"/>
    <w:rsid w:val="0071177E"/>
    <w:rsid w:val="007122AF"/>
    <w:rsid w:val="00712371"/>
    <w:rsid w:val="007125E9"/>
    <w:rsid w:val="0071287B"/>
    <w:rsid w:val="007128EB"/>
    <w:rsid w:val="0071290D"/>
    <w:rsid w:val="0071295F"/>
    <w:rsid w:val="0071313E"/>
    <w:rsid w:val="0071355A"/>
    <w:rsid w:val="00713DFE"/>
    <w:rsid w:val="007146AA"/>
    <w:rsid w:val="007149D4"/>
    <w:rsid w:val="007151A2"/>
    <w:rsid w:val="007151C0"/>
    <w:rsid w:val="00715369"/>
    <w:rsid w:val="00715516"/>
    <w:rsid w:val="007159F9"/>
    <w:rsid w:val="00715AD0"/>
    <w:rsid w:val="00715CD7"/>
    <w:rsid w:val="007161BA"/>
    <w:rsid w:val="00716203"/>
    <w:rsid w:val="00716304"/>
    <w:rsid w:val="00716D80"/>
    <w:rsid w:val="00716F76"/>
    <w:rsid w:val="0071705E"/>
    <w:rsid w:val="00717247"/>
    <w:rsid w:val="00717730"/>
    <w:rsid w:val="00717977"/>
    <w:rsid w:val="007203D2"/>
    <w:rsid w:val="00720C1C"/>
    <w:rsid w:val="00720C68"/>
    <w:rsid w:val="007213AA"/>
    <w:rsid w:val="0072147F"/>
    <w:rsid w:val="0072165E"/>
    <w:rsid w:val="007221F7"/>
    <w:rsid w:val="0072266A"/>
    <w:rsid w:val="007232FB"/>
    <w:rsid w:val="0072341D"/>
    <w:rsid w:val="007239E1"/>
    <w:rsid w:val="00723BAC"/>
    <w:rsid w:val="00723C42"/>
    <w:rsid w:val="007240BD"/>
    <w:rsid w:val="007249F7"/>
    <w:rsid w:val="00724A85"/>
    <w:rsid w:val="00724A9F"/>
    <w:rsid w:val="00725181"/>
    <w:rsid w:val="00725D30"/>
    <w:rsid w:val="00725D67"/>
    <w:rsid w:val="00726177"/>
    <w:rsid w:val="00726304"/>
    <w:rsid w:val="007264B7"/>
    <w:rsid w:val="007268DA"/>
    <w:rsid w:val="0072696A"/>
    <w:rsid w:val="00726BB0"/>
    <w:rsid w:val="007271BF"/>
    <w:rsid w:val="0072763B"/>
    <w:rsid w:val="00727791"/>
    <w:rsid w:val="00727BD9"/>
    <w:rsid w:val="0073004A"/>
    <w:rsid w:val="007302F0"/>
    <w:rsid w:val="00730905"/>
    <w:rsid w:val="00730E9C"/>
    <w:rsid w:val="00732338"/>
    <w:rsid w:val="0073238B"/>
    <w:rsid w:val="0073255D"/>
    <w:rsid w:val="007327E7"/>
    <w:rsid w:val="00732B84"/>
    <w:rsid w:val="00733E6A"/>
    <w:rsid w:val="00734474"/>
    <w:rsid w:val="00734B5A"/>
    <w:rsid w:val="0073530F"/>
    <w:rsid w:val="007355CF"/>
    <w:rsid w:val="007359FF"/>
    <w:rsid w:val="00735C34"/>
    <w:rsid w:val="00735D4C"/>
    <w:rsid w:val="007366A3"/>
    <w:rsid w:val="007368AE"/>
    <w:rsid w:val="0073720F"/>
    <w:rsid w:val="0073723A"/>
    <w:rsid w:val="007376AD"/>
    <w:rsid w:val="007377B6"/>
    <w:rsid w:val="00737BF6"/>
    <w:rsid w:val="00737D74"/>
    <w:rsid w:val="00740393"/>
    <w:rsid w:val="00740461"/>
    <w:rsid w:val="00740BFF"/>
    <w:rsid w:val="00740CB5"/>
    <w:rsid w:val="00740DAE"/>
    <w:rsid w:val="00740DCD"/>
    <w:rsid w:val="00741005"/>
    <w:rsid w:val="00741120"/>
    <w:rsid w:val="00741287"/>
    <w:rsid w:val="00741DDC"/>
    <w:rsid w:val="00742528"/>
    <w:rsid w:val="00742D38"/>
    <w:rsid w:val="00742DD6"/>
    <w:rsid w:val="007433FB"/>
    <w:rsid w:val="00743752"/>
    <w:rsid w:val="00743A6F"/>
    <w:rsid w:val="00743FAB"/>
    <w:rsid w:val="00744786"/>
    <w:rsid w:val="00744878"/>
    <w:rsid w:val="007448B6"/>
    <w:rsid w:val="007448C1"/>
    <w:rsid w:val="00745039"/>
    <w:rsid w:val="00745053"/>
    <w:rsid w:val="00745287"/>
    <w:rsid w:val="007454E0"/>
    <w:rsid w:val="007456AD"/>
    <w:rsid w:val="007468D6"/>
    <w:rsid w:val="00746A89"/>
    <w:rsid w:val="00746B03"/>
    <w:rsid w:val="00746EA1"/>
    <w:rsid w:val="00746F43"/>
    <w:rsid w:val="00747E02"/>
    <w:rsid w:val="00750C37"/>
    <w:rsid w:val="00750D09"/>
    <w:rsid w:val="00750EC0"/>
    <w:rsid w:val="007510AA"/>
    <w:rsid w:val="00751B2A"/>
    <w:rsid w:val="00751E3A"/>
    <w:rsid w:val="00751F81"/>
    <w:rsid w:val="00752113"/>
    <w:rsid w:val="0075232E"/>
    <w:rsid w:val="007525BC"/>
    <w:rsid w:val="00752792"/>
    <w:rsid w:val="00752C85"/>
    <w:rsid w:val="00753352"/>
    <w:rsid w:val="007535A3"/>
    <w:rsid w:val="007535FF"/>
    <w:rsid w:val="007539A1"/>
    <w:rsid w:val="00753FF0"/>
    <w:rsid w:val="00754429"/>
    <w:rsid w:val="00754483"/>
    <w:rsid w:val="00754BCD"/>
    <w:rsid w:val="00754D1F"/>
    <w:rsid w:val="00755089"/>
    <w:rsid w:val="00755529"/>
    <w:rsid w:val="00755664"/>
    <w:rsid w:val="00755B1F"/>
    <w:rsid w:val="00755B3A"/>
    <w:rsid w:val="0075616C"/>
    <w:rsid w:val="007563E7"/>
    <w:rsid w:val="00756B33"/>
    <w:rsid w:val="00756B6E"/>
    <w:rsid w:val="00756C64"/>
    <w:rsid w:val="00757237"/>
    <w:rsid w:val="0075778B"/>
    <w:rsid w:val="00757854"/>
    <w:rsid w:val="00757E93"/>
    <w:rsid w:val="00757F03"/>
    <w:rsid w:val="00760570"/>
    <w:rsid w:val="007606E7"/>
    <w:rsid w:val="00760B82"/>
    <w:rsid w:val="00760FA4"/>
    <w:rsid w:val="00761F2D"/>
    <w:rsid w:val="00762145"/>
    <w:rsid w:val="00762284"/>
    <w:rsid w:val="007628A9"/>
    <w:rsid w:val="007628B3"/>
    <w:rsid w:val="00762B82"/>
    <w:rsid w:val="00762CC4"/>
    <w:rsid w:val="00763108"/>
    <w:rsid w:val="00763E83"/>
    <w:rsid w:val="00763EE6"/>
    <w:rsid w:val="007657C7"/>
    <w:rsid w:val="00765921"/>
    <w:rsid w:val="00765B16"/>
    <w:rsid w:val="00765C39"/>
    <w:rsid w:val="007661C8"/>
    <w:rsid w:val="007664AF"/>
    <w:rsid w:val="007668BA"/>
    <w:rsid w:val="00766DDB"/>
    <w:rsid w:val="00767388"/>
    <w:rsid w:val="00767474"/>
    <w:rsid w:val="007678F6"/>
    <w:rsid w:val="0076798C"/>
    <w:rsid w:val="00767AEA"/>
    <w:rsid w:val="00767F14"/>
    <w:rsid w:val="00770555"/>
    <w:rsid w:val="00770A53"/>
    <w:rsid w:val="00770CC2"/>
    <w:rsid w:val="00770CC3"/>
    <w:rsid w:val="00770E63"/>
    <w:rsid w:val="00771061"/>
    <w:rsid w:val="00771498"/>
    <w:rsid w:val="00771533"/>
    <w:rsid w:val="00771B05"/>
    <w:rsid w:val="00771EEB"/>
    <w:rsid w:val="00771F1E"/>
    <w:rsid w:val="007723C7"/>
    <w:rsid w:val="00772774"/>
    <w:rsid w:val="00772ADE"/>
    <w:rsid w:val="00772DE4"/>
    <w:rsid w:val="00772F92"/>
    <w:rsid w:val="007732BB"/>
    <w:rsid w:val="00773C3F"/>
    <w:rsid w:val="00773D19"/>
    <w:rsid w:val="0077442B"/>
    <w:rsid w:val="007747BC"/>
    <w:rsid w:val="00775393"/>
    <w:rsid w:val="007754BB"/>
    <w:rsid w:val="007759B6"/>
    <w:rsid w:val="00775B20"/>
    <w:rsid w:val="00775CA8"/>
    <w:rsid w:val="00776049"/>
    <w:rsid w:val="00776327"/>
    <w:rsid w:val="00776579"/>
    <w:rsid w:val="0077667B"/>
    <w:rsid w:val="007767C5"/>
    <w:rsid w:val="007772C2"/>
    <w:rsid w:val="007779D2"/>
    <w:rsid w:val="00777F0C"/>
    <w:rsid w:val="007802D0"/>
    <w:rsid w:val="0078030E"/>
    <w:rsid w:val="00780D7E"/>
    <w:rsid w:val="00780DB0"/>
    <w:rsid w:val="00781435"/>
    <w:rsid w:val="0078144D"/>
    <w:rsid w:val="00781646"/>
    <w:rsid w:val="007816F7"/>
    <w:rsid w:val="00781A64"/>
    <w:rsid w:val="00781C07"/>
    <w:rsid w:val="00781DA9"/>
    <w:rsid w:val="007823F6"/>
    <w:rsid w:val="007825FF"/>
    <w:rsid w:val="00782F97"/>
    <w:rsid w:val="0078359F"/>
    <w:rsid w:val="007838B5"/>
    <w:rsid w:val="00783B4C"/>
    <w:rsid w:val="00784729"/>
    <w:rsid w:val="007856D6"/>
    <w:rsid w:val="00785975"/>
    <w:rsid w:val="00785BB8"/>
    <w:rsid w:val="00786083"/>
    <w:rsid w:val="00787249"/>
    <w:rsid w:val="00787C17"/>
    <w:rsid w:val="007901B8"/>
    <w:rsid w:val="00790C55"/>
    <w:rsid w:val="007911C9"/>
    <w:rsid w:val="00791275"/>
    <w:rsid w:val="007914C0"/>
    <w:rsid w:val="007917C8"/>
    <w:rsid w:val="00791F19"/>
    <w:rsid w:val="0079301B"/>
    <w:rsid w:val="007938E1"/>
    <w:rsid w:val="00793D3D"/>
    <w:rsid w:val="00794244"/>
    <w:rsid w:val="00794562"/>
    <w:rsid w:val="0079459C"/>
    <w:rsid w:val="00794B97"/>
    <w:rsid w:val="00794ED4"/>
    <w:rsid w:val="00795256"/>
    <w:rsid w:val="007952EE"/>
    <w:rsid w:val="00795394"/>
    <w:rsid w:val="00795536"/>
    <w:rsid w:val="00795BA0"/>
    <w:rsid w:val="00795CEC"/>
    <w:rsid w:val="00795D38"/>
    <w:rsid w:val="00795F77"/>
    <w:rsid w:val="0079613A"/>
    <w:rsid w:val="00796A2E"/>
    <w:rsid w:val="00796AD7"/>
    <w:rsid w:val="007979C0"/>
    <w:rsid w:val="007A012D"/>
    <w:rsid w:val="007A027C"/>
    <w:rsid w:val="007A0CFD"/>
    <w:rsid w:val="007A12CC"/>
    <w:rsid w:val="007A1356"/>
    <w:rsid w:val="007A1407"/>
    <w:rsid w:val="007A15C1"/>
    <w:rsid w:val="007A173B"/>
    <w:rsid w:val="007A1A7C"/>
    <w:rsid w:val="007A1B30"/>
    <w:rsid w:val="007A1E11"/>
    <w:rsid w:val="007A1EF4"/>
    <w:rsid w:val="007A23FB"/>
    <w:rsid w:val="007A273B"/>
    <w:rsid w:val="007A2FEC"/>
    <w:rsid w:val="007A351B"/>
    <w:rsid w:val="007A3641"/>
    <w:rsid w:val="007A3D57"/>
    <w:rsid w:val="007A3DF7"/>
    <w:rsid w:val="007A47F9"/>
    <w:rsid w:val="007A489A"/>
    <w:rsid w:val="007A5148"/>
    <w:rsid w:val="007A5196"/>
    <w:rsid w:val="007A5266"/>
    <w:rsid w:val="007A5E51"/>
    <w:rsid w:val="007A61CC"/>
    <w:rsid w:val="007A662B"/>
    <w:rsid w:val="007A67E1"/>
    <w:rsid w:val="007A6CC8"/>
    <w:rsid w:val="007A6E4F"/>
    <w:rsid w:val="007A6F20"/>
    <w:rsid w:val="007A765A"/>
    <w:rsid w:val="007A7853"/>
    <w:rsid w:val="007A7A66"/>
    <w:rsid w:val="007B04F9"/>
    <w:rsid w:val="007B0E63"/>
    <w:rsid w:val="007B0FAA"/>
    <w:rsid w:val="007B1726"/>
    <w:rsid w:val="007B1F8E"/>
    <w:rsid w:val="007B2080"/>
    <w:rsid w:val="007B2372"/>
    <w:rsid w:val="007B2599"/>
    <w:rsid w:val="007B2959"/>
    <w:rsid w:val="007B30A9"/>
    <w:rsid w:val="007B312D"/>
    <w:rsid w:val="007B44A6"/>
    <w:rsid w:val="007B4874"/>
    <w:rsid w:val="007B4F9A"/>
    <w:rsid w:val="007B503F"/>
    <w:rsid w:val="007B5255"/>
    <w:rsid w:val="007B5D84"/>
    <w:rsid w:val="007B5F43"/>
    <w:rsid w:val="007B61D3"/>
    <w:rsid w:val="007B6A2F"/>
    <w:rsid w:val="007B6D09"/>
    <w:rsid w:val="007B6DBF"/>
    <w:rsid w:val="007B782F"/>
    <w:rsid w:val="007B7B81"/>
    <w:rsid w:val="007B7BE9"/>
    <w:rsid w:val="007B7E50"/>
    <w:rsid w:val="007C011B"/>
    <w:rsid w:val="007C02F3"/>
    <w:rsid w:val="007C040B"/>
    <w:rsid w:val="007C0740"/>
    <w:rsid w:val="007C08D6"/>
    <w:rsid w:val="007C0C1E"/>
    <w:rsid w:val="007C0D48"/>
    <w:rsid w:val="007C0E49"/>
    <w:rsid w:val="007C0E6C"/>
    <w:rsid w:val="007C0F97"/>
    <w:rsid w:val="007C0FEA"/>
    <w:rsid w:val="007C152C"/>
    <w:rsid w:val="007C1681"/>
    <w:rsid w:val="007C1BA9"/>
    <w:rsid w:val="007C20CC"/>
    <w:rsid w:val="007C248F"/>
    <w:rsid w:val="007C25F6"/>
    <w:rsid w:val="007C2657"/>
    <w:rsid w:val="007C2D16"/>
    <w:rsid w:val="007C314E"/>
    <w:rsid w:val="007C3994"/>
    <w:rsid w:val="007C3E07"/>
    <w:rsid w:val="007C40A0"/>
    <w:rsid w:val="007C4937"/>
    <w:rsid w:val="007C4B3D"/>
    <w:rsid w:val="007C5CAC"/>
    <w:rsid w:val="007C5F57"/>
    <w:rsid w:val="007C614C"/>
    <w:rsid w:val="007C75D6"/>
    <w:rsid w:val="007C77F0"/>
    <w:rsid w:val="007C7AE3"/>
    <w:rsid w:val="007C7C10"/>
    <w:rsid w:val="007D0562"/>
    <w:rsid w:val="007D05D3"/>
    <w:rsid w:val="007D07D7"/>
    <w:rsid w:val="007D0A77"/>
    <w:rsid w:val="007D1173"/>
    <w:rsid w:val="007D1C24"/>
    <w:rsid w:val="007D1C46"/>
    <w:rsid w:val="007D1E3E"/>
    <w:rsid w:val="007D26A5"/>
    <w:rsid w:val="007D2D63"/>
    <w:rsid w:val="007D33E8"/>
    <w:rsid w:val="007D4692"/>
    <w:rsid w:val="007D49C7"/>
    <w:rsid w:val="007D4CD5"/>
    <w:rsid w:val="007D5256"/>
    <w:rsid w:val="007D5A69"/>
    <w:rsid w:val="007D667D"/>
    <w:rsid w:val="007D67AE"/>
    <w:rsid w:val="007D6C18"/>
    <w:rsid w:val="007D6FFC"/>
    <w:rsid w:val="007D723F"/>
    <w:rsid w:val="007D72DB"/>
    <w:rsid w:val="007D7996"/>
    <w:rsid w:val="007D7DD9"/>
    <w:rsid w:val="007E01F0"/>
    <w:rsid w:val="007E0F06"/>
    <w:rsid w:val="007E0FA9"/>
    <w:rsid w:val="007E153B"/>
    <w:rsid w:val="007E1DB7"/>
    <w:rsid w:val="007E1E0D"/>
    <w:rsid w:val="007E1E15"/>
    <w:rsid w:val="007E206C"/>
    <w:rsid w:val="007E20CB"/>
    <w:rsid w:val="007E2769"/>
    <w:rsid w:val="007E2D7A"/>
    <w:rsid w:val="007E2E51"/>
    <w:rsid w:val="007E3157"/>
    <w:rsid w:val="007E32A7"/>
    <w:rsid w:val="007E352A"/>
    <w:rsid w:val="007E37FB"/>
    <w:rsid w:val="007E3F0F"/>
    <w:rsid w:val="007E3F15"/>
    <w:rsid w:val="007E447E"/>
    <w:rsid w:val="007E4789"/>
    <w:rsid w:val="007E4CBB"/>
    <w:rsid w:val="007E4DE4"/>
    <w:rsid w:val="007E548E"/>
    <w:rsid w:val="007E6555"/>
    <w:rsid w:val="007E6846"/>
    <w:rsid w:val="007E6E04"/>
    <w:rsid w:val="007E6EE4"/>
    <w:rsid w:val="007E6FF1"/>
    <w:rsid w:val="007F0321"/>
    <w:rsid w:val="007F0401"/>
    <w:rsid w:val="007F0DF4"/>
    <w:rsid w:val="007F0FA1"/>
    <w:rsid w:val="007F1717"/>
    <w:rsid w:val="007F1C57"/>
    <w:rsid w:val="007F1F3B"/>
    <w:rsid w:val="007F1FFB"/>
    <w:rsid w:val="007F2127"/>
    <w:rsid w:val="007F2340"/>
    <w:rsid w:val="007F2B74"/>
    <w:rsid w:val="007F31A2"/>
    <w:rsid w:val="007F31C9"/>
    <w:rsid w:val="007F323E"/>
    <w:rsid w:val="007F3501"/>
    <w:rsid w:val="007F367F"/>
    <w:rsid w:val="007F3B6B"/>
    <w:rsid w:val="007F3D6D"/>
    <w:rsid w:val="007F3DC9"/>
    <w:rsid w:val="007F4072"/>
    <w:rsid w:val="007F5196"/>
    <w:rsid w:val="007F531E"/>
    <w:rsid w:val="007F5662"/>
    <w:rsid w:val="007F5830"/>
    <w:rsid w:val="007F5947"/>
    <w:rsid w:val="007F5E22"/>
    <w:rsid w:val="007F618F"/>
    <w:rsid w:val="007F629F"/>
    <w:rsid w:val="007F655E"/>
    <w:rsid w:val="007F6F01"/>
    <w:rsid w:val="007F6FAD"/>
    <w:rsid w:val="007F7422"/>
    <w:rsid w:val="007F7918"/>
    <w:rsid w:val="007F7942"/>
    <w:rsid w:val="007F7B09"/>
    <w:rsid w:val="007F7D12"/>
    <w:rsid w:val="00801512"/>
    <w:rsid w:val="00801534"/>
    <w:rsid w:val="00801D5E"/>
    <w:rsid w:val="00801D7F"/>
    <w:rsid w:val="008023C0"/>
    <w:rsid w:val="00802FA7"/>
    <w:rsid w:val="0080335F"/>
    <w:rsid w:val="00803802"/>
    <w:rsid w:val="00803F22"/>
    <w:rsid w:val="0080419C"/>
    <w:rsid w:val="008046C5"/>
    <w:rsid w:val="00804BDA"/>
    <w:rsid w:val="00804F4F"/>
    <w:rsid w:val="008050BD"/>
    <w:rsid w:val="0080522D"/>
    <w:rsid w:val="00805395"/>
    <w:rsid w:val="00805767"/>
    <w:rsid w:val="008061C8"/>
    <w:rsid w:val="00806B0B"/>
    <w:rsid w:val="00806FCA"/>
    <w:rsid w:val="0080736E"/>
    <w:rsid w:val="00807623"/>
    <w:rsid w:val="008076AE"/>
    <w:rsid w:val="00807BD3"/>
    <w:rsid w:val="00807DAE"/>
    <w:rsid w:val="00807E51"/>
    <w:rsid w:val="00807FA0"/>
    <w:rsid w:val="00810561"/>
    <w:rsid w:val="00810915"/>
    <w:rsid w:val="00811091"/>
    <w:rsid w:val="008119AC"/>
    <w:rsid w:val="00811BE4"/>
    <w:rsid w:val="00811CEF"/>
    <w:rsid w:val="0081208F"/>
    <w:rsid w:val="00812178"/>
    <w:rsid w:val="0081231B"/>
    <w:rsid w:val="008125C1"/>
    <w:rsid w:val="00812ADE"/>
    <w:rsid w:val="00812F16"/>
    <w:rsid w:val="00813002"/>
    <w:rsid w:val="00813169"/>
    <w:rsid w:val="00813D26"/>
    <w:rsid w:val="00813E17"/>
    <w:rsid w:val="00814167"/>
    <w:rsid w:val="00814314"/>
    <w:rsid w:val="008149B4"/>
    <w:rsid w:val="008154CC"/>
    <w:rsid w:val="00815754"/>
    <w:rsid w:val="00815C9F"/>
    <w:rsid w:val="00816182"/>
    <w:rsid w:val="00816371"/>
    <w:rsid w:val="00816BC9"/>
    <w:rsid w:val="00817011"/>
    <w:rsid w:val="0081763B"/>
    <w:rsid w:val="008177BA"/>
    <w:rsid w:val="008201BA"/>
    <w:rsid w:val="00820365"/>
    <w:rsid w:val="008204A0"/>
    <w:rsid w:val="00821948"/>
    <w:rsid w:val="00821A99"/>
    <w:rsid w:val="00821C28"/>
    <w:rsid w:val="00821EFF"/>
    <w:rsid w:val="0082200D"/>
    <w:rsid w:val="0082208A"/>
    <w:rsid w:val="00822556"/>
    <w:rsid w:val="00822B0D"/>
    <w:rsid w:val="00822B3A"/>
    <w:rsid w:val="00823763"/>
    <w:rsid w:val="008239C1"/>
    <w:rsid w:val="00823AFB"/>
    <w:rsid w:val="008240B3"/>
    <w:rsid w:val="008240C4"/>
    <w:rsid w:val="0082451F"/>
    <w:rsid w:val="00824B03"/>
    <w:rsid w:val="0082580D"/>
    <w:rsid w:val="00825960"/>
    <w:rsid w:val="00825E1E"/>
    <w:rsid w:val="008260AA"/>
    <w:rsid w:val="00826A1C"/>
    <w:rsid w:val="00826E57"/>
    <w:rsid w:val="008275A8"/>
    <w:rsid w:val="008276AD"/>
    <w:rsid w:val="00827F7F"/>
    <w:rsid w:val="008301D4"/>
    <w:rsid w:val="00830345"/>
    <w:rsid w:val="00830899"/>
    <w:rsid w:val="00831187"/>
    <w:rsid w:val="008314D4"/>
    <w:rsid w:val="00831670"/>
    <w:rsid w:val="00831710"/>
    <w:rsid w:val="00831A97"/>
    <w:rsid w:val="00831CF8"/>
    <w:rsid w:val="00831F8D"/>
    <w:rsid w:val="00832B18"/>
    <w:rsid w:val="00833057"/>
    <w:rsid w:val="00833062"/>
    <w:rsid w:val="00833662"/>
    <w:rsid w:val="00833703"/>
    <w:rsid w:val="00833A96"/>
    <w:rsid w:val="0083451D"/>
    <w:rsid w:val="008347EF"/>
    <w:rsid w:val="00834D70"/>
    <w:rsid w:val="00834D72"/>
    <w:rsid w:val="008350CA"/>
    <w:rsid w:val="0083513D"/>
    <w:rsid w:val="0083598E"/>
    <w:rsid w:val="008359F4"/>
    <w:rsid w:val="00835CCF"/>
    <w:rsid w:val="00835DA5"/>
    <w:rsid w:val="00835E66"/>
    <w:rsid w:val="00835F24"/>
    <w:rsid w:val="008360C6"/>
    <w:rsid w:val="0083620F"/>
    <w:rsid w:val="0083695A"/>
    <w:rsid w:val="00836C9D"/>
    <w:rsid w:val="00836FBC"/>
    <w:rsid w:val="008371AE"/>
    <w:rsid w:val="00837343"/>
    <w:rsid w:val="00837949"/>
    <w:rsid w:val="00837BC9"/>
    <w:rsid w:val="00837D52"/>
    <w:rsid w:val="00840022"/>
    <w:rsid w:val="00840744"/>
    <w:rsid w:val="008407BF"/>
    <w:rsid w:val="00840AF6"/>
    <w:rsid w:val="00840EC8"/>
    <w:rsid w:val="00840EF5"/>
    <w:rsid w:val="00840F3A"/>
    <w:rsid w:val="008410B5"/>
    <w:rsid w:val="00841345"/>
    <w:rsid w:val="00841AF2"/>
    <w:rsid w:val="00841C5A"/>
    <w:rsid w:val="008420F0"/>
    <w:rsid w:val="008421C1"/>
    <w:rsid w:val="00842787"/>
    <w:rsid w:val="00842F1E"/>
    <w:rsid w:val="0084374F"/>
    <w:rsid w:val="0084420C"/>
    <w:rsid w:val="008442AC"/>
    <w:rsid w:val="00844783"/>
    <w:rsid w:val="00844BD2"/>
    <w:rsid w:val="008451F3"/>
    <w:rsid w:val="0084537A"/>
    <w:rsid w:val="00846084"/>
    <w:rsid w:val="008460FC"/>
    <w:rsid w:val="00846C32"/>
    <w:rsid w:val="00847140"/>
    <w:rsid w:val="008472E9"/>
    <w:rsid w:val="00847484"/>
    <w:rsid w:val="008474EA"/>
    <w:rsid w:val="0085002D"/>
    <w:rsid w:val="00850107"/>
    <w:rsid w:val="00850DA9"/>
    <w:rsid w:val="00850E3D"/>
    <w:rsid w:val="00851709"/>
    <w:rsid w:val="008517AF"/>
    <w:rsid w:val="008518AF"/>
    <w:rsid w:val="00851CEE"/>
    <w:rsid w:val="00851E84"/>
    <w:rsid w:val="00852EE3"/>
    <w:rsid w:val="008534AF"/>
    <w:rsid w:val="00853634"/>
    <w:rsid w:val="00853779"/>
    <w:rsid w:val="00853CB9"/>
    <w:rsid w:val="00853CC3"/>
    <w:rsid w:val="00853CF0"/>
    <w:rsid w:val="008540E4"/>
    <w:rsid w:val="00854339"/>
    <w:rsid w:val="00855322"/>
    <w:rsid w:val="00855A93"/>
    <w:rsid w:val="00855C30"/>
    <w:rsid w:val="00856496"/>
    <w:rsid w:val="00856897"/>
    <w:rsid w:val="00856AFB"/>
    <w:rsid w:val="00856BF4"/>
    <w:rsid w:val="00856C8C"/>
    <w:rsid w:val="00856CCB"/>
    <w:rsid w:val="00856FAA"/>
    <w:rsid w:val="0085739E"/>
    <w:rsid w:val="00857763"/>
    <w:rsid w:val="008577FF"/>
    <w:rsid w:val="00857928"/>
    <w:rsid w:val="00857C05"/>
    <w:rsid w:val="00857E7E"/>
    <w:rsid w:val="00860094"/>
    <w:rsid w:val="0086023E"/>
    <w:rsid w:val="00860E8D"/>
    <w:rsid w:val="00860F1D"/>
    <w:rsid w:val="0086104F"/>
    <w:rsid w:val="008610AA"/>
    <w:rsid w:val="008612B5"/>
    <w:rsid w:val="00861F95"/>
    <w:rsid w:val="00862205"/>
    <w:rsid w:val="00862342"/>
    <w:rsid w:val="0086276B"/>
    <w:rsid w:val="00862772"/>
    <w:rsid w:val="00863206"/>
    <w:rsid w:val="008638F0"/>
    <w:rsid w:val="00863B41"/>
    <w:rsid w:val="008646DA"/>
    <w:rsid w:val="00864961"/>
    <w:rsid w:val="00864A8A"/>
    <w:rsid w:val="00864EB5"/>
    <w:rsid w:val="008652EF"/>
    <w:rsid w:val="008656E9"/>
    <w:rsid w:val="00865AFB"/>
    <w:rsid w:val="0086615B"/>
    <w:rsid w:val="0086665C"/>
    <w:rsid w:val="00866CE0"/>
    <w:rsid w:val="00866EE8"/>
    <w:rsid w:val="0086706D"/>
    <w:rsid w:val="00867162"/>
    <w:rsid w:val="00867296"/>
    <w:rsid w:val="0086733F"/>
    <w:rsid w:val="008679FB"/>
    <w:rsid w:val="00867ECE"/>
    <w:rsid w:val="00870085"/>
    <w:rsid w:val="0087016E"/>
    <w:rsid w:val="008704EB"/>
    <w:rsid w:val="0087067C"/>
    <w:rsid w:val="008710D6"/>
    <w:rsid w:val="008714E4"/>
    <w:rsid w:val="00871648"/>
    <w:rsid w:val="0087178C"/>
    <w:rsid w:val="0087186A"/>
    <w:rsid w:val="00871C35"/>
    <w:rsid w:val="00871E64"/>
    <w:rsid w:val="008722B1"/>
    <w:rsid w:val="00872B51"/>
    <w:rsid w:val="00872DAB"/>
    <w:rsid w:val="00873D8B"/>
    <w:rsid w:val="0087439C"/>
    <w:rsid w:val="008743B8"/>
    <w:rsid w:val="0087445F"/>
    <w:rsid w:val="00874942"/>
    <w:rsid w:val="00875E3D"/>
    <w:rsid w:val="00875F88"/>
    <w:rsid w:val="0087638A"/>
    <w:rsid w:val="00876452"/>
    <w:rsid w:val="00876B7F"/>
    <w:rsid w:val="00876EF9"/>
    <w:rsid w:val="00877475"/>
    <w:rsid w:val="00880301"/>
    <w:rsid w:val="00880833"/>
    <w:rsid w:val="00880E96"/>
    <w:rsid w:val="00881385"/>
    <w:rsid w:val="008813FE"/>
    <w:rsid w:val="0088186D"/>
    <w:rsid w:val="008820FA"/>
    <w:rsid w:val="00882792"/>
    <w:rsid w:val="00883007"/>
    <w:rsid w:val="008836E8"/>
    <w:rsid w:val="00883E6B"/>
    <w:rsid w:val="00884267"/>
    <w:rsid w:val="00885051"/>
    <w:rsid w:val="008856CC"/>
    <w:rsid w:val="0088602D"/>
    <w:rsid w:val="00886512"/>
    <w:rsid w:val="00886D75"/>
    <w:rsid w:val="00887052"/>
    <w:rsid w:val="00887149"/>
    <w:rsid w:val="00887B2F"/>
    <w:rsid w:val="00887CF1"/>
    <w:rsid w:val="0089024F"/>
    <w:rsid w:val="00890708"/>
    <w:rsid w:val="00890783"/>
    <w:rsid w:val="00890925"/>
    <w:rsid w:val="00891E26"/>
    <w:rsid w:val="00891E3E"/>
    <w:rsid w:val="00892220"/>
    <w:rsid w:val="00892293"/>
    <w:rsid w:val="00892CDF"/>
    <w:rsid w:val="008931DF"/>
    <w:rsid w:val="00893292"/>
    <w:rsid w:val="0089343D"/>
    <w:rsid w:val="008935C2"/>
    <w:rsid w:val="00893785"/>
    <w:rsid w:val="00893930"/>
    <w:rsid w:val="00893ADA"/>
    <w:rsid w:val="008946A0"/>
    <w:rsid w:val="008948CE"/>
    <w:rsid w:val="00894C0C"/>
    <w:rsid w:val="008959CD"/>
    <w:rsid w:val="00895A69"/>
    <w:rsid w:val="00895C07"/>
    <w:rsid w:val="008965E9"/>
    <w:rsid w:val="008971A6"/>
    <w:rsid w:val="00897325"/>
    <w:rsid w:val="008A0CDF"/>
    <w:rsid w:val="008A1214"/>
    <w:rsid w:val="008A1CC0"/>
    <w:rsid w:val="008A2133"/>
    <w:rsid w:val="008A21AB"/>
    <w:rsid w:val="008A24DB"/>
    <w:rsid w:val="008A2A3A"/>
    <w:rsid w:val="008A3418"/>
    <w:rsid w:val="008A359D"/>
    <w:rsid w:val="008A3768"/>
    <w:rsid w:val="008A37A7"/>
    <w:rsid w:val="008A39BF"/>
    <w:rsid w:val="008A3DEE"/>
    <w:rsid w:val="008A44BA"/>
    <w:rsid w:val="008A4DC7"/>
    <w:rsid w:val="008A4FDE"/>
    <w:rsid w:val="008A529E"/>
    <w:rsid w:val="008A5848"/>
    <w:rsid w:val="008A5C8F"/>
    <w:rsid w:val="008A5DB9"/>
    <w:rsid w:val="008A6D61"/>
    <w:rsid w:val="008A7292"/>
    <w:rsid w:val="008A72AD"/>
    <w:rsid w:val="008A7DE4"/>
    <w:rsid w:val="008A7E43"/>
    <w:rsid w:val="008B016B"/>
    <w:rsid w:val="008B0303"/>
    <w:rsid w:val="008B0679"/>
    <w:rsid w:val="008B06AC"/>
    <w:rsid w:val="008B0EE9"/>
    <w:rsid w:val="008B1354"/>
    <w:rsid w:val="008B16B5"/>
    <w:rsid w:val="008B1DE1"/>
    <w:rsid w:val="008B2256"/>
    <w:rsid w:val="008B2475"/>
    <w:rsid w:val="008B264C"/>
    <w:rsid w:val="008B2DD1"/>
    <w:rsid w:val="008B2FED"/>
    <w:rsid w:val="008B358C"/>
    <w:rsid w:val="008B3B56"/>
    <w:rsid w:val="008B3C76"/>
    <w:rsid w:val="008B41D0"/>
    <w:rsid w:val="008B4225"/>
    <w:rsid w:val="008B5071"/>
    <w:rsid w:val="008B509E"/>
    <w:rsid w:val="008B545F"/>
    <w:rsid w:val="008B5D79"/>
    <w:rsid w:val="008B6874"/>
    <w:rsid w:val="008B6D83"/>
    <w:rsid w:val="008B6EBB"/>
    <w:rsid w:val="008B6EEA"/>
    <w:rsid w:val="008B70E0"/>
    <w:rsid w:val="008B768D"/>
    <w:rsid w:val="008B7A09"/>
    <w:rsid w:val="008B7DCC"/>
    <w:rsid w:val="008B7E85"/>
    <w:rsid w:val="008B7F95"/>
    <w:rsid w:val="008C08F1"/>
    <w:rsid w:val="008C0DF9"/>
    <w:rsid w:val="008C1D6E"/>
    <w:rsid w:val="008C2931"/>
    <w:rsid w:val="008C2B31"/>
    <w:rsid w:val="008C2B6C"/>
    <w:rsid w:val="008C3047"/>
    <w:rsid w:val="008C332B"/>
    <w:rsid w:val="008C3368"/>
    <w:rsid w:val="008C358F"/>
    <w:rsid w:val="008C3F70"/>
    <w:rsid w:val="008C4E6F"/>
    <w:rsid w:val="008C4F41"/>
    <w:rsid w:val="008C56A4"/>
    <w:rsid w:val="008C5C1F"/>
    <w:rsid w:val="008C61F1"/>
    <w:rsid w:val="008C67FC"/>
    <w:rsid w:val="008C6837"/>
    <w:rsid w:val="008C733E"/>
    <w:rsid w:val="008C76DE"/>
    <w:rsid w:val="008C7924"/>
    <w:rsid w:val="008D0071"/>
    <w:rsid w:val="008D0232"/>
    <w:rsid w:val="008D0346"/>
    <w:rsid w:val="008D06BA"/>
    <w:rsid w:val="008D0AD1"/>
    <w:rsid w:val="008D1924"/>
    <w:rsid w:val="008D1F6E"/>
    <w:rsid w:val="008D1F8D"/>
    <w:rsid w:val="008D209F"/>
    <w:rsid w:val="008D2831"/>
    <w:rsid w:val="008D2867"/>
    <w:rsid w:val="008D2889"/>
    <w:rsid w:val="008D340D"/>
    <w:rsid w:val="008D3C0A"/>
    <w:rsid w:val="008D47BB"/>
    <w:rsid w:val="008D4888"/>
    <w:rsid w:val="008D49D4"/>
    <w:rsid w:val="008D4AA0"/>
    <w:rsid w:val="008D573A"/>
    <w:rsid w:val="008D5C87"/>
    <w:rsid w:val="008D63E5"/>
    <w:rsid w:val="008D675D"/>
    <w:rsid w:val="008D77ED"/>
    <w:rsid w:val="008D7BB6"/>
    <w:rsid w:val="008D7FA9"/>
    <w:rsid w:val="008E066F"/>
    <w:rsid w:val="008E092B"/>
    <w:rsid w:val="008E0FE3"/>
    <w:rsid w:val="008E1469"/>
    <w:rsid w:val="008E1711"/>
    <w:rsid w:val="008E1AE0"/>
    <w:rsid w:val="008E1EA4"/>
    <w:rsid w:val="008E2014"/>
    <w:rsid w:val="008E20BC"/>
    <w:rsid w:val="008E2454"/>
    <w:rsid w:val="008E2783"/>
    <w:rsid w:val="008E2B92"/>
    <w:rsid w:val="008E3115"/>
    <w:rsid w:val="008E3660"/>
    <w:rsid w:val="008E37AB"/>
    <w:rsid w:val="008E47AB"/>
    <w:rsid w:val="008E4C12"/>
    <w:rsid w:val="008E4D1E"/>
    <w:rsid w:val="008E5425"/>
    <w:rsid w:val="008E5793"/>
    <w:rsid w:val="008E57BC"/>
    <w:rsid w:val="008E5DDC"/>
    <w:rsid w:val="008E5EEC"/>
    <w:rsid w:val="008E6006"/>
    <w:rsid w:val="008E6931"/>
    <w:rsid w:val="008E72EA"/>
    <w:rsid w:val="008E7336"/>
    <w:rsid w:val="008E77ED"/>
    <w:rsid w:val="008E785F"/>
    <w:rsid w:val="008E78F5"/>
    <w:rsid w:val="008E7A14"/>
    <w:rsid w:val="008F0606"/>
    <w:rsid w:val="008F0D29"/>
    <w:rsid w:val="008F10B5"/>
    <w:rsid w:val="008F13F5"/>
    <w:rsid w:val="008F16A6"/>
    <w:rsid w:val="008F1C39"/>
    <w:rsid w:val="008F1C9D"/>
    <w:rsid w:val="008F2766"/>
    <w:rsid w:val="008F329B"/>
    <w:rsid w:val="008F42C2"/>
    <w:rsid w:val="008F459F"/>
    <w:rsid w:val="008F45A2"/>
    <w:rsid w:val="008F46FB"/>
    <w:rsid w:val="008F4899"/>
    <w:rsid w:val="008F49C6"/>
    <w:rsid w:val="008F4AD6"/>
    <w:rsid w:val="008F51BF"/>
    <w:rsid w:val="008F523F"/>
    <w:rsid w:val="008F58C8"/>
    <w:rsid w:val="008F58D3"/>
    <w:rsid w:val="008F5908"/>
    <w:rsid w:val="008F5D3B"/>
    <w:rsid w:val="008F645D"/>
    <w:rsid w:val="008F6B41"/>
    <w:rsid w:val="008F6D7A"/>
    <w:rsid w:val="008F7182"/>
    <w:rsid w:val="008F7292"/>
    <w:rsid w:val="008F7B73"/>
    <w:rsid w:val="008F7FA3"/>
    <w:rsid w:val="009002AA"/>
    <w:rsid w:val="00900442"/>
    <w:rsid w:val="00900CC4"/>
    <w:rsid w:val="00900D22"/>
    <w:rsid w:val="00900D4E"/>
    <w:rsid w:val="009010FA"/>
    <w:rsid w:val="009014C6"/>
    <w:rsid w:val="00901BA6"/>
    <w:rsid w:val="00902DD1"/>
    <w:rsid w:val="009032E3"/>
    <w:rsid w:val="00903399"/>
    <w:rsid w:val="00903FFA"/>
    <w:rsid w:val="009041BB"/>
    <w:rsid w:val="009045F0"/>
    <w:rsid w:val="009047A1"/>
    <w:rsid w:val="00904933"/>
    <w:rsid w:val="00904B1E"/>
    <w:rsid w:val="00904F3B"/>
    <w:rsid w:val="0090576B"/>
    <w:rsid w:val="009058D7"/>
    <w:rsid w:val="00905A25"/>
    <w:rsid w:val="00905A53"/>
    <w:rsid w:val="00905DA0"/>
    <w:rsid w:val="00906004"/>
    <w:rsid w:val="00906487"/>
    <w:rsid w:val="00906A59"/>
    <w:rsid w:val="0090707D"/>
    <w:rsid w:val="00907492"/>
    <w:rsid w:val="00907BDB"/>
    <w:rsid w:val="00907D39"/>
    <w:rsid w:val="00907F46"/>
    <w:rsid w:val="00910276"/>
    <w:rsid w:val="00910FCF"/>
    <w:rsid w:val="00911C7C"/>
    <w:rsid w:val="00912C05"/>
    <w:rsid w:val="009133A1"/>
    <w:rsid w:val="009137B1"/>
    <w:rsid w:val="00913CF6"/>
    <w:rsid w:val="00913E18"/>
    <w:rsid w:val="00913F3F"/>
    <w:rsid w:val="00914052"/>
    <w:rsid w:val="00914253"/>
    <w:rsid w:val="00914970"/>
    <w:rsid w:val="009149FF"/>
    <w:rsid w:val="00915149"/>
    <w:rsid w:val="0091535D"/>
    <w:rsid w:val="009157F5"/>
    <w:rsid w:val="00915E65"/>
    <w:rsid w:val="0091603C"/>
    <w:rsid w:val="00916171"/>
    <w:rsid w:val="00916FCB"/>
    <w:rsid w:val="009176D4"/>
    <w:rsid w:val="00917735"/>
    <w:rsid w:val="009179AE"/>
    <w:rsid w:val="00917BDE"/>
    <w:rsid w:val="00917F9D"/>
    <w:rsid w:val="0092040B"/>
    <w:rsid w:val="0092073A"/>
    <w:rsid w:val="00920B43"/>
    <w:rsid w:val="00921149"/>
    <w:rsid w:val="0092152F"/>
    <w:rsid w:val="00921E66"/>
    <w:rsid w:val="00921ECA"/>
    <w:rsid w:val="00921F47"/>
    <w:rsid w:val="00921FE6"/>
    <w:rsid w:val="0092200C"/>
    <w:rsid w:val="00922578"/>
    <w:rsid w:val="00922A7B"/>
    <w:rsid w:val="00922D03"/>
    <w:rsid w:val="00922D6A"/>
    <w:rsid w:val="00923436"/>
    <w:rsid w:val="009238A3"/>
    <w:rsid w:val="00923927"/>
    <w:rsid w:val="00923CE9"/>
    <w:rsid w:val="00924286"/>
    <w:rsid w:val="00924732"/>
    <w:rsid w:val="00925224"/>
    <w:rsid w:val="009252BE"/>
    <w:rsid w:val="0092535A"/>
    <w:rsid w:val="0092537B"/>
    <w:rsid w:val="00925AE7"/>
    <w:rsid w:val="00926198"/>
    <w:rsid w:val="00926346"/>
    <w:rsid w:val="00926679"/>
    <w:rsid w:val="0092669F"/>
    <w:rsid w:val="00926828"/>
    <w:rsid w:val="00926901"/>
    <w:rsid w:val="00926C13"/>
    <w:rsid w:val="00927187"/>
    <w:rsid w:val="009271E9"/>
    <w:rsid w:val="00927527"/>
    <w:rsid w:val="0092773F"/>
    <w:rsid w:val="00927B9A"/>
    <w:rsid w:val="0093009E"/>
    <w:rsid w:val="00930158"/>
    <w:rsid w:val="00930F60"/>
    <w:rsid w:val="00931394"/>
    <w:rsid w:val="009318F5"/>
    <w:rsid w:val="0093269C"/>
    <w:rsid w:val="00932E79"/>
    <w:rsid w:val="00932F4B"/>
    <w:rsid w:val="00933B23"/>
    <w:rsid w:val="00933C3F"/>
    <w:rsid w:val="00934518"/>
    <w:rsid w:val="00934523"/>
    <w:rsid w:val="009346DA"/>
    <w:rsid w:val="0093492B"/>
    <w:rsid w:val="00934AEC"/>
    <w:rsid w:val="00934C93"/>
    <w:rsid w:val="00934DD7"/>
    <w:rsid w:val="00935DDE"/>
    <w:rsid w:val="00936291"/>
    <w:rsid w:val="009364D6"/>
    <w:rsid w:val="00936875"/>
    <w:rsid w:val="0093688B"/>
    <w:rsid w:val="00936B55"/>
    <w:rsid w:val="00936CF4"/>
    <w:rsid w:val="009372EA"/>
    <w:rsid w:val="009375CF"/>
    <w:rsid w:val="00937B55"/>
    <w:rsid w:val="00937C64"/>
    <w:rsid w:val="00940119"/>
    <w:rsid w:val="009404BE"/>
    <w:rsid w:val="00940795"/>
    <w:rsid w:val="00940849"/>
    <w:rsid w:val="009415A4"/>
    <w:rsid w:val="00942756"/>
    <w:rsid w:val="00943084"/>
    <w:rsid w:val="009437E5"/>
    <w:rsid w:val="00943AB8"/>
    <w:rsid w:val="00943AE3"/>
    <w:rsid w:val="00943EAB"/>
    <w:rsid w:val="0094402F"/>
    <w:rsid w:val="00944068"/>
    <w:rsid w:val="009444BF"/>
    <w:rsid w:val="00944588"/>
    <w:rsid w:val="00944A36"/>
    <w:rsid w:val="00944EA0"/>
    <w:rsid w:val="009453EC"/>
    <w:rsid w:val="00945776"/>
    <w:rsid w:val="00946034"/>
    <w:rsid w:val="00946501"/>
    <w:rsid w:val="009471CC"/>
    <w:rsid w:val="009472CF"/>
    <w:rsid w:val="00950677"/>
    <w:rsid w:val="00950769"/>
    <w:rsid w:val="00950A3F"/>
    <w:rsid w:val="009511E3"/>
    <w:rsid w:val="0095137A"/>
    <w:rsid w:val="009513EC"/>
    <w:rsid w:val="00951E35"/>
    <w:rsid w:val="009526CE"/>
    <w:rsid w:val="00952FE9"/>
    <w:rsid w:val="00953889"/>
    <w:rsid w:val="0095398A"/>
    <w:rsid w:val="00954269"/>
    <w:rsid w:val="00954427"/>
    <w:rsid w:val="00954497"/>
    <w:rsid w:val="00954B1B"/>
    <w:rsid w:val="00955008"/>
    <w:rsid w:val="0095513C"/>
    <w:rsid w:val="00955568"/>
    <w:rsid w:val="00955D39"/>
    <w:rsid w:val="009567AB"/>
    <w:rsid w:val="00956E1B"/>
    <w:rsid w:val="00956F98"/>
    <w:rsid w:val="0095774D"/>
    <w:rsid w:val="009578FE"/>
    <w:rsid w:val="00957B25"/>
    <w:rsid w:val="00957E37"/>
    <w:rsid w:val="00957FBC"/>
    <w:rsid w:val="00960014"/>
    <w:rsid w:val="0096079B"/>
    <w:rsid w:val="0096088B"/>
    <w:rsid w:val="00960E3E"/>
    <w:rsid w:val="00960F68"/>
    <w:rsid w:val="00961175"/>
    <w:rsid w:val="009613F3"/>
    <w:rsid w:val="009617E2"/>
    <w:rsid w:val="009622FE"/>
    <w:rsid w:val="0096256D"/>
    <w:rsid w:val="00962938"/>
    <w:rsid w:val="00962E5E"/>
    <w:rsid w:val="00962EC2"/>
    <w:rsid w:val="0096311E"/>
    <w:rsid w:val="0096320C"/>
    <w:rsid w:val="00963629"/>
    <w:rsid w:val="00963A5B"/>
    <w:rsid w:val="00963F33"/>
    <w:rsid w:val="00964595"/>
    <w:rsid w:val="0096472E"/>
    <w:rsid w:val="00964B8A"/>
    <w:rsid w:val="00964DD8"/>
    <w:rsid w:val="009651EC"/>
    <w:rsid w:val="009657F4"/>
    <w:rsid w:val="00966686"/>
    <w:rsid w:val="00966D5E"/>
    <w:rsid w:val="00967199"/>
    <w:rsid w:val="009671F7"/>
    <w:rsid w:val="009675D0"/>
    <w:rsid w:val="00967C42"/>
    <w:rsid w:val="00967CEA"/>
    <w:rsid w:val="00970DDA"/>
    <w:rsid w:val="0097111C"/>
    <w:rsid w:val="0097120E"/>
    <w:rsid w:val="0097126F"/>
    <w:rsid w:val="00971755"/>
    <w:rsid w:val="00971D17"/>
    <w:rsid w:val="00971EC9"/>
    <w:rsid w:val="00972069"/>
    <w:rsid w:val="00972711"/>
    <w:rsid w:val="009729DB"/>
    <w:rsid w:val="00972AB5"/>
    <w:rsid w:val="00972DA9"/>
    <w:rsid w:val="00973260"/>
    <w:rsid w:val="00973524"/>
    <w:rsid w:val="0097374B"/>
    <w:rsid w:val="00973800"/>
    <w:rsid w:val="00973819"/>
    <w:rsid w:val="00973FB1"/>
    <w:rsid w:val="00974142"/>
    <w:rsid w:val="0097458D"/>
    <w:rsid w:val="0097494C"/>
    <w:rsid w:val="00974991"/>
    <w:rsid w:val="00974D1F"/>
    <w:rsid w:val="00974D69"/>
    <w:rsid w:val="00974DCF"/>
    <w:rsid w:val="00974E3B"/>
    <w:rsid w:val="0097532B"/>
    <w:rsid w:val="00975B01"/>
    <w:rsid w:val="00975CFF"/>
    <w:rsid w:val="00975DFE"/>
    <w:rsid w:val="00976324"/>
    <w:rsid w:val="009763BB"/>
    <w:rsid w:val="0097645D"/>
    <w:rsid w:val="00976674"/>
    <w:rsid w:val="00976B05"/>
    <w:rsid w:val="00976BDF"/>
    <w:rsid w:val="00976CD5"/>
    <w:rsid w:val="009772F5"/>
    <w:rsid w:val="0098030E"/>
    <w:rsid w:val="00981058"/>
    <w:rsid w:val="0098204A"/>
    <w:rsid w:val="00982061"/>
    <w:rsid w:val="00982147"/>
    <w:rsid w:val="0098255D"/>
    <w:rsid w:val="009825E4"/>
    <w:rsid w:val="00982877"/>
    <w:rsid w:val="00982A53"/>
    <w:rsid w:val="0098343A"/>
    <w:rsid w:val="00983FC9"/>
    <w:rsid w:val="009845C7"/>
    <w:rsid w:val="00984820"/>
    <w:rsid w:val="00985610"/>
    <w:rsid w:val="009856A3"/>
    <w:rsid w:val="009861B3"/>
    <w:rsid w:val="0098643E"/>
    <w:rsid w:val="00986578"/>
    <w:rsid w:val="00986FA6"/>
    <w:rsid w:val="0098726E"/>
    <w:rsid w:val="009873C6"/>
    <w:rsid w:val="00987F21"/>
    <w:rsid w:val="00990254"/>
    <w:rsid w:val="009902D9"/>
    <w:rsid w:val="0099096B"/>
    <w:rsid w:val="00991105"/>
    <w:rsid w:val="00991110"/>
    <w:rsid w:val="009911DD"/>
    <w:rsid w:val="00991C8F"/>
    <w:rsid w:val="00991E46"/>
    <w:rsid w:val="009920C0"/>
    <w:rsid w:val="009922C1"/>
    <w:rsid w:val="00992716"/>
    <w:rsid w:val="009935E2"/>
    <w:rsid w:val="0099429D"/>
    <w:rsid w:val="00994563"/>
    <w:rsid w:val="009947CB"/>
    <w:rsid w:val="00994B57"/>
    <w:rsid w:val="00994C69"/>
    <w:rsid w:val="00996A1B"/>
    <w:rsid w:val="00996DD1"/>
    <w:rsid w:val="00996F43"/>
    <w:rsid w:val="009970F8"/>
    <w:rsid w:val="00997419"/>
    <w:rsid w:val="0099789E"/>
    <w:rsid w:val="00997F99"/>
    <w:rsid w:val="009A023E"/>
    <w:rsid w:val="009A0584"/>
    <w:rsid w:val="009A0720"/>
    <w:rsid w:val="009A08AC"/>
    <w:rsid w:val="009A09DB"/>
    <w:rsid w:val="009A0F8A"/>
    <w:rsid w:val="009A1254"/>
    <w:rsid w:val="009A1353"/>
    <w:rsid w:val="009A199A"/>
    <w:rsid w:val="009A1A44"/>
    <w:rsid w:val="009A1F8E"/>
    <w:rsid w:val="009A22F7"/>
    <w:rsid w:val="009A23BC"/>
    <w:rsid w:val="009A24C4"/>
    <w:rsid w:val="009A2853"/>
    <w:rsid w:val="009A28A5"/>
    <w:rsid w:val="009A2DDF"/>
    <w:rsid w:val="009A31C5"/>
    <w:rsid w:val="009A31ED"/>
    <w:rsid w:val="009A3598"/>
    <w:rsid w:val="009A391F"/>
    <w:rsid w:val="009A3E4D"/>
    <w:rsid w:val="009A3E82"/>
    <w:rsid w:val="009A3EA5"/>
    <w:rsid w:val="009A42CF"/>
    <w:rsid w:val="009A42D9"/>
    <w:rsid w:val="009A44D9"/>
    <w:rsid w:val="009A48F2"/>
    <w:rsid w:val="009A4B40"/>
    <w:rsid w:val="009A4D6E"/>
    <w:rsid w:val="009A4DC2"/>
    <w:rsid w:val="009A5568"/>
    <w:rsid w:val="009A5675"/>
    <w:rsid w:val="009A5708"/>
    <w:rsid w:val="009A57E7"/>
    <w:rsid w:val="009A5AE0"/>
    <w:rsid w:val="009A63F9"/>
    <w:rsid w:val="009A66AA"/>
    <w:rsid w:val="009A67B8"/>
    <w:rsid w:val="009A7048"/>
    <w:rsid w:val="009A7903"/>
    <w:rsid w:val="009A7A45"/>
    <w:rsid w:val="009A7CBA"/>
    <w:rsid w:val="009A7DC4"/>
    <w:rsid w:val="009A7ECE"/>
    <w:rsid w:val="009B00B5"/>
    <w:rsid w:val="009B0445"/>
    <w:rsid w:val="009B0479"/>
    <w:rsid w:val="009B04A8"/>
    <w:rsid w:val="009B0CF4"/>
    <w:rsid w:val="009B0D9A"/>
    <w:rsid w:val="009B1006"/>
    <w:rsid w:val="009B11E3"/>
    <w:rsid w:val="009B1978"/>
    <w:rsid w:val="009B1C2B"/>
    <w:rsid w:val="009B2034"/>
    <w:rsid w:val="009B2107"/>
    <w:rsid w:val="009B2318"/>
    <w:rsid w:val="009B2871"/>
    <w:rsid w:val="009B299B"/>
    <w:rsid w:val="009B29FA"/>
    <w:rsid w:val="009B2B35"/>
    <w:rsid w:val="009B2D4E"/>
    <w:rsid w:val="009B2EC3"/>
    <w:rsid w:val="009B34A6"/>
    <w:rsid w:val="009B367F"/>
    <w:rsid w:val="009B396E"/>
    <w:rsid w:val="009B3C4B"/>
    <w:rsid w:val="009B4B24"/>
    <w:rsid w:val="009B4D39"/>
    <w:rsid w:val="009B54B9"/>
    <w:rsid w:val="009B5826"/>
    <w:rsid w:val="009B5889"/>
    <w:rsid w:val="009B5B5F"/>
    <w:rsid w:val="009B5E22"/>
    <w:rsid w:val="009B5EB3"/>
    <w:rsid w:val="009B6119"/>
    <w:rsid w:val="009B6415"/>
    <w:rsid w:val="009B6770"/>
    <w:rsid w:val="009B67FF"/>
    <w:rsid w:val="009B6848"/>
    <w:rsid w:val="009B6862"/>
    <w:rsid w:val="009B6D28"/>
    <w:rsid w:val="009B732A"/>
    <w:rsid w:val="009B7470"/>
    <w:rsid w:val="009B76BC"/>
    <w:rsid w:val="009B7749"/>
    <w:rsid w:val="009B7E7B"/>
    <w:rsid w:val="009B7ECC"/>
    <w:rsid w:val="009C00A6"/>
    <w:rsid w:val="009C01E8"/>
    <w:rsid w:val="009C0593"/>
    <w:rsid w:val="009C0B1C"/>
    <w:rsid w:val="009C0EFE"/>
    <w:rsid w:val="009C11A1"/>
    <w:rsid w:val="009C1225"/>
    <w:rsid w:val="009C1CAA"/>
    <w:rsid w:val="009C23F8"/>
    <w:rsid w:val="009C2582"/>
    <w:rsid w:val="009C290A"/>
    <w:rsid w:val="009C2F7F"/>
    <w:rsid w:val="009C2FAE"/>
    <w:rsid w:val="009C3015"/>
    <w:rsid w:val="009C329D"/>
    <w:rsid w:val="009C38A2"/>
    <w:rsid w:val="009C3E47"/>
    <w:rsid w:val="009C4F41"/>
    <w:rsid w:val="009C4FFF"/>
    <w:rsid w:val="009C52E7"/>
    <w:rsid w:val="009C5839"/>
    <w:rsid w:val="009C5DFE"/>
    <w:rsid w:val="009C601A"/>
    <w:rsid w:val="009C61D5"/>
    <w:rsid w:val="009C6345"/>
    <w:rsid w:val="009C6DFF"/>
    <w:rsid w:val="009C72A2"/>
    <w:rsid w:val="009C7AE2"/>
    <w:rsid w:val="009C7D9A"/>
    <w:rsid w:val="009C7DA4"/>
    <w:rsid w:val="009D014F"/>
    <w:rsid w:val="009D0159"/>
    <w:rsid w:val="009D094E"/>
    <w:rsid w:val="009D0A4A"/>
    <w:rsid w:val="009D0DB2"/>
    <w:rsid w:val="009D1507"/>
    <w:rsid w:val="009D1CD1"/>
    <w:rsid w:val="009D256D"/>
    <w:rsid w:val="009D2BE9"/>
    <w:rsid w:val="009D34ED"/>
    <w:rsid w:val="009D3F13"/>
    <w:rsid w:val="009D42D2"/>
    <w:rsid w:val="009D458B"/>
    <w:rsid w:val="009D459D"/>
    <w:rsid w:val="009D4CCB"/>
    <w:rsid w:val="009D4DD7"/>
    <w:rsid w:val="009D4F61"/>
    <w:rsid w:val="009D5222"/>
    <w:rsid w:val="009D52CF"/>
    <w:rsid w:val="009D54AA"/>
    <w:rsid w:val="009D593B"/>
    <w:rsid w:val="009D5CEA"/>
    <w:rsid w:val="009D6157"/>
    <w:rsid w:val="009D618F"/>
    <w:rsid w:val="009D65B2"/>
    <w:rsid w:val="009D692F"/>
    <w:rsid w:val="009D70C5"/>
    <w:rsid w:val="009D727C"/>
    <w:rsid w:val="009D7612"/>
    <w:rsid w:val="009D7DF0"/>
    <w:rsid w:val="009D7F97"/>
    <w:rsid w:val="009E014A"/>
    <w:rsid w:val="009E0293"/>
    <w:rsid w:val="009E0362"/>
    <w:rsid w:val="009E0807"/>
    <w:rsid w:val="009E09CB"/>
    <w:rsid w:val="009E11FA"/>
    <w:rsid w:val="009E2693"/>
    <w:rsid w:val="009E2B27"/>
    <w:rsid w:val="009E2B2C"/>
    <w:rsid w:val="009E2DBB"/>
    <w:rsid w:val="009E2F70"/>
    <w:rsid w:val="009E2FFA"/>
    <w:rsid w:val="009E325D"/>
    <w:rsid w:val="009E32F8"/>
    <w:rsid w:val="009E34BB"/>
    <w:rsid w:val="009E34EE"/>
    <w:rsid w:val="009E3566"/>
    <w:rsid w:val="009E3958"/>
    <w:rsid w:val="009E39C5"/>
    <w:rsid w:val="009E46B2"/>
    <w:rsid w:val="009E46BC"/>
    <w:rsid w:val="009E47F1"/>
    <w:rsid w:val="009E4DE4"/>
    <w:rsid w:val="009E4F14"/>
    <w:rsid w:val="009E5917"/>
    <w:rsid w:val="009E5B6E"/>
    <w:rsid w:val="009E5CB6"/>
    <w:rsid w:val="009E60BD"/>
    <w:rsid w:val="009E617E"/>
    <w:rsid w:val="009E63E7"/>
    <w:rsid w:val="009E67BE"/>
    <w:rsid w:val="009E6CCA"/>
    <w:rsid w:val="009E73CC"/>
    <w:rsid w:val="009E7A55"/>
    <w:rsid w:val="009E7ADE"/>
    <w:rsid w:val="009E7AF7"/>
    <w:rsid w:val="009F0AD3"/>
    <w:rsid w:val="009F0C80"/>
    <w:rsid w:val="009F10D6"/>
    <w:rsid w:val="009F1796"/>
    <w:rsid w:val="009F19A9"/>
    <w:rsid w:val="009F266D"/>
    <w:rsid w:val="009F275E"/>
    <w:rsid w:val="009F3010"/>
    <w:rsid w:val="009F305D"/>
    <w:rsid w:val="009F3308"/>
    <w:rsid w:val="009F3520"/>
    <w:rsid w:val="009F355C"/>
    <w:rsid w:val="009F4022"/>
    <w:rsid w:val="009F43FD"/>
    <w:rsid w:val="009F45B2"/>
    <w:rsid w:val="009F4B85"/>
    <w:rsid w:val="009F4D97"/>
    <w:rsid w:val="009F5275"/>
    <w:rsid w:val="009F53A5"/>
    <w:rsid w:val="009F54E8"/>
    <w:rsid w:val="009F5B62"/>
    <w:rsid w:val="009F636D"/>
    <w:rsid w:val="009F707D"/>
    <w:rsid w:val="009F7171"/>
    <w:rsid w:val="009F731A"/>
    <w:rsid w:val="00A0082A"/>
    <w:rsid w:val="00A008A6"/>
    <w:rsid w:val="00A0097A"/>
    <w:rsid w:val="00A00B0D"/>
    <w:rsid w:val="00A00F7C"/>
    <w:rsid w:val="00A0134D"/>
    <w:rsid w:val="00A01BE2"/>
    <w:rsid w:val="00A01DF4"/>
    <w:rsid w:val="00A02201"/>
    <w:rsid w:val="00A02A54"/>
    <w:rsid w:val="00A03154"/>
    <w:rsid w:val="00A03685"/>
    <w:rsid w:val="00A038F6"/>
    <w:rsid w:val="00A0402C"/>
    <w:rsid w:val="00A041E9"/>
    <w:rsid w:val="00A04307"/>
    <w:rsid w:val="00A04363"/>
    <w:rsid w:val="00A044EA"/>
    <w:rsid w:val="00A04638"/>
    <w:rsid w:val="00A046C2"/>
    <w:rsid w:val="00A0495F"/>
    <w:rsid w:val="00A04B6A"/>
    <w:rsid w:val="00A04E55"/>
    <w:rsid w:val="00A051AA"/>
    <w:rsid w:val="00A05391"/>
    <w:rsid w:val="00A056D2"/>
    <w:rsid w:val="00A05813"/>
    <w:rsid w:val="00A059DD"/>
    <w:rsid w:val="00A0642D"/>
    <w:rsid w:val="00A06BBE"/>
    <w:rsid w:val="00A06D39"/>
    <w:rsid w:val="00A06E54"/>
    <w:rsid w:val="00A06F20"/>
    <w:rsid w:val="00A07146"/>
    <w:rsid w:val="00A07551"/>
    <w:rsid w:val="00A077D9"/>
    <w:rsid w:val="00A07907"/>
    <w:rsid w:val="00A07C82"/>
    <w:rsid w:val="00A07CEF"/>
    <w:rsid w:val="00A10D7F"/>
    <w:rsid w:val="00A10E34"/>
    <w:rsid w:val="00A1106C"/>
    <w:rsid w:val="00A113A1"/>
    <w:rsid w:val="00A11A41"/>
    <w:rsid w:val="00A1286D"/>
    <w:rsid w:val="00A12DB4"/>
    <w:rsid w:val="00A1343F"/>
    <w:rsid w:val="00A13907"/>
    <w:rsid w:val="00A13D55"/>
    <w:rsid w:val="00A13FCB"/>
    <w:rsid w:val="00A1400D"/>
    <w:rsid w:val="00A14849"/>
    <w:rsid w:val="00A148E4"/>
    <w:rsid w:val="00A14A29"/>
    <w:rsid w:val="00A14C9C"/>
    <w:rsid w:val="00A14E3B"/>
    <w:rsid w:val="00A152DC"/>
    <w:rsid w:val="00A15357"/>
    <w:rsid w:val="00A15DAC"/>
    <w:rsid w:val="00A160D3"/>
    <w:rsid w:val="00A16570"/>
    <w:rsid w:val="00A175F1"/>
    <w:rsid w:val="00A1792C"/>
    <w:rsid w:val="00A17B76"/>
    <w:rsid w:val="00A20096"/>
    <w:rsid w:val="00A20130"/>
    <w:rsid w:val="00A207F9"/>
    <w:rsid w:val="00A20AE7"/>
    <w:rsid w:val="00A21A71"/>
    <w:rsid w:val="00A21BFD"/>
    <w:rsid w:val="00A21F67"/>
    <w:rsid w:val="00A225A9"/>
    <w:rsid w:val="00A226FB"/>
    <w:rsid w:val="00A22A2F"/>
    <w:rsid w:val="00A22F56"/>
    <w:rsid w:val="00A2377B"/>
    <w:rsid w:val="00A23FAB"/>
    <w:rsid w:val="00A24702"/>
    <w:rsid w:val="00A24753"/>
    <w:rsid w:val="00A247FA"/>
    <w:rsid w:val="00A24869"/>
    <w:rsid w:val="00A24EF3"/>
    <w:rsid w:val="00A25AD2"/>
    <w:rsid w:val="00A26870"/>
    <w:rsid w:val="00A26B52"/>
    <w:rsid w:val="00A272AD"/>
    <w:rsid w:val="00A27493"/>
    <w:rsid w:val="00A27728"/>
    <w:rsid w:val="00A2776B"/>
    <w:rsid w:val="00A27AA3"/>
    <w:rsid w:val="00A30305"/>
    <w:rsid w:val="00A305A8"/>
    <w:rsid w:val="00A305B0"/>
    <w:rsid w:val="00A3087E"/>
    <w:rsid w:val="00A308F5"/>
    <w:rsid w:val="00A31750"/>
    <w:rsid w:val="00A32969"/>
    <w:rsid w:val="00A32A07"/>
    <w:rsid w:val="00A32ACA"/>
    <w:rsid w:val="00A32D94"/>
    <w:rsid w:val="00A33C33"/>
    <w:rsid w:val="00A34428"/>
    <w:rsid w:val="00A346FB"/>
    <w:rsid w:val="00A355F8"/>
    <w:rsid w:val="00A356D1"/>
    <w:rsid w:val="00A356F7"/>
    <w:rsid w:val="00A36299"/>
    <w:rsid w:val="00A363BD"/>
    <w:rsid w:val="00A3693A"/>
    <w:rsid w:val="00A3694F"/>
    <w:rsid w:val="00A36990"/>
    <w:rsid w:val="00A36F02"/>
    <w:rsid w:val="00A36F17"/>
    <w:rsid w:val="00A37339"/>
    <w:rsid w:val="00A37982"/>
    <w:rsid w:val="00A37A0A"/>
    <w:rsid w:val="00A400D4"/>
    <w:rsid w:val="00A40A4F"/>
    <w:rsid w:val="00A40C2F"/>
    <w:rsid w:val="00A413AD"/>
    <w:rsid w:val="00A41577"/>
    <w:rsid w:val="00A416B4"/>
    <w:rsid w:val="00A4252A"/>
    <w:rsid w:val="00A426D5"/>
    <w:rsid w:val="00A43659"/>
    <w:rsid w:val="00A4373A"/>
    <w:rsid w:val="00A438A2"/>
    <w:rsid w:val="00A4401F"/>
    <w:rsid w:val="00A44335"/>
    <w:rsid w:val="00A4475A"/>
    <w:rsid w:val="00A44DD4"/>
    <w:rsid w:val="00A45131"/>
    <w:rsid w:val="00A45163"/>
    <w:rsid w:val="00A45BE1"/>
    <w:rsid w:val="00A4617C"/>
    <w:rsid w:val="00A46243"/>
    <w:rsid w:val="00A4648A"/>
    <w:rsid w:val="00A46B52"/>
    <w:rsid w:val="00A46D3F"/>
    <w:rsid w:val="00A46E08"/>
    <w:rsid w:val="00A46E4E"/>
    <w:rsid w:val="00A471B4"/>
    <w:rsid w:val="00A47BA1"/>
    <w:rsid w:val="00A5058F"/>
    <w:rsid w:val="00A50726"/>
    <w:rsid w:val="00A5080F"/>
    <w:rsid w:val="00A50BCD"/>
    <w:rsid w:val="00A510BB"/>
    <w:rsid w:val="00A51612"/>
    <w:rsid w:val="00A51938"/>
    <w:rsid w:val="00A51D9B"/>
    <w:rsid w:val="00A51F5C"/>
    <w:rsid w:val="00A52875"/>
    <w:rsid w:val="00A528D4"/>
    <w:rsid w:val="00A52ABF"/>
    <w:rsid w:val="00A53250"/>
    <w:rsid w:val="00A53536"/>
    <w:rsid w:val="00A53641"/>
    <w:rsid w:val="00A53ED7"/>
    <w:rsid w:val="00A53F5E"/>
    <w:rsid w:val="00A544EF"/>
    <w:rsid w:val="00A54575"/>
    <w:rsid w:val="00A54A75"/>
    <w:rsid w:val="00A54F3A"/>
    <w:rsid w:val="00A55060"/>
    <w:rsid w:val="00A557AC"/>
    <w:rsid w:val="00A55A00"/>
    <w:rsid w:val="00A55A2A"/>
    <w:rsid w:val="00A55F8D"/>
    <w:rsid w:val="00A55FA6"/>
    <w:rsid w:val="00A55FFE"/>
    <w:rsid w:val="00A56113"/>
    <w:rsid w:val="00A561A3"/>
    <w:rsid w:val="00A56660"/>
    <w:rsid w:val="00A56956"/>
    <w:rsid w:val="00A56959"/>
    <w:rsid w:val="00A56F5E"/>
    <w:rsid w:val="00A56FBF"/>
    <w:rsid w:val="00A5743D"/>
    <w:rsid w:val="00A57586"/>
    <w:rsid w:val="00A578C5"/>
    <w:rsid w:val="00A57A48"/>
    <w:rsid w:val="00A57B8D"/>
    <w:rsid w:val="00A57C29"/>
    <w:rsid w:val="00A57EB5"/>
    <w:rsid w:val="00A60553"/>
    <w:rsid w:val="00A607F1"/>
    <w:rsid w:val="00A60E35"/>
    <w:rsid w:val="00A611DD"/>
    <w:rsid w:val="00A61356"/>
    <w:rsid w:val="00A61AEA"/>
    <w:rsid w:val="00A62C6B"/>
    <w:rsid w:val="00A62C95"/>
    <w:rsid w:val="00A62D34"/>
    <w:rsid w:val="00A63300"/>
    <w:rsid w:val="00A63385"/>
    <w:rsid w:val="00A63D06"/>
    <w:rsid w:val="00A6488F"/>
    <w:rsid w:val="00A64924"/>
    <w:rsid w:val="00A64932"/>
    <w:rsid w:val="00A64BD1"/>
    <w:rsid w:val="00A64D31"/>
    <w:rsid w:val="00A64DBE"/>
    <w:rsid w:val="00A6594B"/>
    <w:rsid w:val="00A65AB8"/>
    <w:rsid w:val="00A669EF"/>
    <w:rsid w:val="00A66CBD"/>
    <w:rsid w:val="00A66CED"/>
    <w:rsid w:val="00A6756B"/>
    <w:rsid w:val="00A678E5"/>
    <w:rsid w:val="00A67E53"/>
    <w:rsid w:val="00A700BD"/>
    <w:rsid w:val="00A70116"/>
    <w:rsid w:val="00A704CE"/>
    <w:rsid w:val="00A707DE"/>
    <w:rsid w:val="00A709AD"/>
    <w:rsid w:val="00A70BE7"/>
    <w:rsid w:val="00A70F65"/>
    <w:rsid w:val="00A71126"/>
    <w:rsid w:val="00A716AA"/>
    <w:rsid w:val="00A718F1"/>
    <w:rsid w:val="00A71B8D"/>
    <w:rsid w:val="00A727D2"/>
    <w:rsid w:val="00A728BA"/>
    <w:rsid w:val="00A7318E"/>
    <w:rsid w:val="00A731AD"/>
    <w:rsid w:val="00A73290"/>
    <w:rsid w:val="00A73294"/>
    <w:rsid w:val="00A737C6"/>
    <w:rsid w:val="00A73F06"/>
    <w:rsid w:val="00A74670"/>
    <w:rsid w:val="00A7471C"/>
    <w:rsid w:val="00A74A29"/>
    <w:rsid w:val="00A74B80"/>
    <w:rsid w:val="00A751BC"/>
    <w:rsid w:val="00A75ACE"/>
    <w:rsid w:val="00A75B45"/>
    <w:rsid w:val="00A75E5F"/>
    <w:rsid w:val="00A75E93"/>
    <w:rsid w:val="00A75E9F"/>
    <w:rsid w:val="00A75F65"/>
    <w:rsid w:val="00A768A9"/>
    <w:rsid w:val="00A77465"/>
    <w:rsid w:val="00A80E54"/>
    <w:rsid w:val="00A81086"/>
    <w:rsid w:val="00A816AF"/>
    <w:rsid w:val="00A81CEE"/>
    <w:rsid w:val="00A81E5C"/>
    <w:rsid w:val="00A820DD"/>
    <w:rsid w:val="00A8247B"/>
    <w:rsid w:val="00A8249B"/>
    <w:rsid w:val="00A82CD7"/>
    <w:rsid w:val="00A82D23"/>
    <w:rsid w:val="00A83002"/>
    <w:rsid w:val="00A83723"/>
    <w:rsid w:val="00A83AD6"/>
    <w:rsid w:val="00A83B1F"/>
    <w:rsid w:val="00A83BED"/>
    <w:rsid w:val="00A83D64"/>
    <w:rsid w:val="00A848AE"/>
    <w:rsid w:val="00A850F0"/>
    <w:rsid w:val="00A857D7"/>
    <w:rsid w:val="00A85957"/>
    <w:rsid w:val="00A859E5"/>
    <w:rsid w:val="00A8652B"/>
    <w:rsid w:val="00A867DC"/>
    <w:rsid w:val="00A8757C"/>
    <w:rsid w:val="00A878E5"/>
    <w:rsid w:val="00A8799F"/>
    <w:rsid w:val="00A87CC7"/>
    <w:rsid w:val="00A90B66"/>
    <w:rsid w:val="00A90B82"/>
    <w:rsid w:val="00A90E57"/>
    <w:rsid w:val="00A911CF"/>
    <w:rsid w:val="00A9129A"/>
    <w:rsid w:val="00A914DE"/>
    <w:rsid w:val="00A91686"/>
    <w:rsid w:val="00A918DB"/>
    <w:rsid w:val="00A91BA9"/>
    <w:rsid w:val="00A922AE"/>
    <w:rsid w:val="00A922EC"/>
    <w:rsid w:val="00A92F50"/>
    <w:rsid w:val="00A93053"/>
    <w:rsid w:val="00A931A7"/>
    <w:rsid w:val="00A94127"/>
    <w:rsid w:val="00A94FEF"/>
    <w:rsid w:val="00A95AD9"/>
    <w:rsid w:val="00A96CE4"/>
    <w:rsid w:val="00A970E3"/>
    <w:rsid w:val="00A9715B"/>
    <w:rsid w:val="00A97785"/>
    <w:rsid w:val="00A97F18"/>
    <w:rsid w:val="00AA0328"/>
    <w:rsid w:val="00AA04EF"/>
    <w:rsid w:val="00AA0538"/>
    <w:rsid w:val="00AA0667"/>
    <w:rsid w:val="00AA0932"/>
    <w:rsid w:val="00AA0D3F"/>
    <w:rsid w:val="00AA14B4"/>
    <w:rsid w:val="00AA1890"/>
    <w:rsid w:val="00AA18B0"/>
    <w:rsid w:val="00AA1EFE"/>
    <w:rsid w:val="00AA2716"/>
    <w:rsid w:val="00AA2921"/>
    <w:rsid w:val="00AA2BEE"/>
    <w:rsid w:val="00AA381C"/>
    <w:rsid w:val="00AA3ABA"/>
    <w:rsid w:val="00AA436F"/>
    <w:rsid w:val="00AA4920"/>
    <w:rsid w:val="00AA4C37"/>
    <w:rsid w:val="00AA4D88"/>
    <w:rsid w:val="00AA51A6"/>
    <w:rsid w:val="00AA5348"/>
    <w:rsid w:val="00AA56C1"/>
    <w:rsid w:val="00AA5851"/>
    <w:rsid w:val="00AA5AF6"/>
    <w:rsid w:val="00AA5B27"/>
    <w:rsid w:val="00AA5C04"/>
    <w:rsid w:val="00AA5FF1"/>
    <w:rsid w:val="00AA610C"/>
    <w:rsid w:val="00AA6F34"/>
    <w:rsid w:val="00AA705F"/>
    <w:rsid w:val="00AA76E5"/>
    <w:rsid w:val="00AA7CD4"/>
    <w:rsid w:val="00AB0260"/>
    <w:rsid w:val="00AB03B0"/>
    <w:rsid w:val="00AB0AD0"/>
    <w:rsid w:val="00AB0C8E"/>
    <w:rsid w:val="00AB0F17"/>
    <w:rsid w:val="00AB11AB"/>
    <w:rsid w:val="00AB1C79"/>
    <w:rsid w:val="00AB1C88"/>
    <w:rsid w:val="00AB1EAD"/>
    <w:rsid w:val="00AB23B3"/>
    <w:rsid w:val="00AB2409"/>
    <w:rsid w:val="00AB29BB"/>
    <w:rsid w:val="00AB2E5D"/>
    <w:rsid w:val="00AB31C0"/>
    <w:rsid w:val="00AB357E"/>
    <w:rsid w:val="00AB36DB"/>
    <w:rsid w:val="00AB3AAE"/>
    <w:rsid w:val="00AB4531"/>
    <w:rsid w:val="00AB4950"/>
    <w:rsid w:val="00AB4AE8"/>
    <w:rsid w:val="00AB4ED6"/>
    <w:rsid w:val="00AB5487"/>
    <w:rsid w:val="00AB568C"/>
    <w:rsid w:val="00AB5A9F"/>
    <w:rsid w:val="00AB6264"/>
    <w:rsid w:val="00AB6310"/>
    <w:rsid w:val="00AB6650"/>
    <w:rsid w:val="00AB66BE"/>
    <w:rsid w:val="00AB6896"/>
    <w:rsid w:val="00AB722B"/>
    <w:rsid w:val="00AB73B0"/>
    <w:rsid w:val="00AB78C8"/>
    <w:rsid w:val="00AB7A88"/>
    <w:rsid w:val="00AB7B50"/>
    <w:rsid w:val="00AB7D73"/>
    <w:rsid w:val="00AB7EAD"/>
    <w:rsid w:val="00AC033E"/>
    <w:rsid w:val="00AC05C8"/>
    <w:rsid w:val="00AC08F4"/>
    <w:rsid w:val="00AC1813"/>
    <w:rsid w:val="00AC197F"/>
    <w:rsid w:val="00AC20E4"/>
    <w:rsid w:val="00AC2BAD"/>
    <w:rsid w:val="00AC2D72"/>
    <w:rsid w:val="00AC358C"/>
    <w:rsid w:val="00AC3834"/>
    <w:rsid w:val="00AC3AB0"/>
    <w:rsid w:val="00AC3B11"/>
    <w:rsid w:val="00AC3BFA"/>
    <w:rsid w:val="00AC3D55"/>
    <w:rsid w:val="00AC3DFF"/>
    <w:rsid w:val="00AC3F05"/>
    <w:rsid w:val="00AC4560"/>
    <w:rsid w:val="00AC4A2F"/>
    <w:rsid w:val="00AC5217"/>
    <w:rsid w:val="00AC5316"/>
    <w:rsid w:val="00AC53DB"/>
    <w:rsid w:val="00AC5453"/>
    <w:rsid w:val="00AC545C"/>
    <w:rsid w:val="00AC5B2A"/>
    <w:rsid w:val="00AC5B80"/>
    <w:rsid w:val="00AC5C23"/>
    <w:rsid w:val="00AC5C49"/>
    <w:rsid w:val="00AC5C80"/>
    <w:rsid w:val="00AC5F56"/>
    <w:rsid w:val="00AC6108"/>
    <w:rsid w:val="00AC6198"/>
    <w:rsid w:val="00AC6B84"/>
    <w:rsid w:val="00AC79A5"/>
    <w:rsid w:val="00AC7E8E"/>
    <w:rsid w:val="00AD0015"/>
    <w:rsid w:val="00AD084B"/>
    <w:rsid w:val="00AD0D62"/>
    <w:rsid w:val="00AD12B8"/>
    <w:rsid w:val="00AD1468"/>
    <w:rsid w:val="00AD16CA"/>
    <w:rsid w:val="00AD199E"/>
    <w:rsid w:val="00AD1CEC"/>
    <w:rsid w:val="00AD21E8"/>
    <w:rsid w:val="00AD2972"/>
    <w:rsid w:val="00AD2A3A"/>
    <w:rsid w:val="00AD2CD7"/>
    <w:rsid w:val="00AD3151"/>
    <w:rsid w:val="00AD3A4F"/>
    <w:rsid w:val="00AD3CCB"/>
    <w:rsid w:val="00AD4784"/>
    <w:rsid w:val="00AD4B4D"/>
    <w:rsid w:val="00AD4B96"/>
    <w:rsid w:val="00AD504A"/>
    <w:rsid w:val="00AD5213"/>
    <w:rsid w:val="00AD5511"/>
    <w:rsid w:val="00AD59F4"/>
    <w:rsid w:val="00AD5A33"/>
    <w:rsid w:val="00AD5DE7"/>
    <w:rsid w:val="00AD68A0"/>
    <w:rsid w:val="00AD6B6D"/>
    <w:rsid w:val="00AD6BB6"/>
    <w:rsid w:val="00AD6C76"/>
    <w:rsid w:val="00AD6DF1"/>
    <w:rsid w:val="00AD6F71"/>
    <w:rsid w:val="00AD791E"/>
    <w:rsid w:val="00AD798A"/>
    <w:rsid w:val="00AD7A37"/>
    <w:rsid w:val="00AD7BB6"/>
    <w:rsid w:val="00AE049B"/>
    <w:rsid w:val="00AE096B"/>
    <w:rsid w:val="00AE0E21"/>
    <w:rsid w:val="00AE0E82"/>
    <w:rsid w:val="00AE184D"/>
    <w:rsid w:val="00AE1BA1"/>
    <w:rsid w:val="00AE1BCF"/>
    <w:rsid w:val="00AE1F16"/>
    <w:rsid w:val="00AE1F2F"/>
    <w:rsid w:val="00AE2312"/>
    <w:rsid w:val="00AE2520"/>
    <w:rsid w:val="00AE260D"/>
    <w:rsid w:val="00AE3568"/>
    <w:rsid w:val="00AE3BBE"/>
    <w:rsid w:val="00AE3E42"/>
    <w:rsid w:val="00AE4033"/>
    <w:rsid w:val="00AE42D8"/>
    <w:rsid w:val="00AE436B"/>
    <w:rsid w:val="00AE44F8"/>
    <w:rsid w:val="00AE4B92"/>
    <w:rsid w:val="00AE4F37"/>
    <w:rsid w:val="00AE4F64"/>
    <w:rsid w:val="00AE5188"/>
    <w:rsid w:val="00AE5205"/>
    <w:rsid w:val="00AE6334"/>
    <w:rsid w:val="00AE6380"/>
    <w:rsid w:val="00AE695C"/>
    <w:rsid w:val="00AE6A0A"/>
    <w:rsid w:val="00AE6E97"/>
    <w:rsid w:val="00AE72C1"/>
    <w:rsid w:val="00AE7720"/>
    <w:rsid w:val="00AE791C"/>
    <w:rsid w:val="00AE7C6E"/>
    <w:rsid w:val="00AE7DA2"/>
    <w:rsid w:val="00AF001D"/>
    <w:rsid w:val="00AF00EE"/>
    <w:rsid w:val="00AF02AA"/>
    <w:rsid w:val="00AF0C6B"/>
    <w:rsid w:val="00AF0CF9"/>
    <w:rsid w:val="00AF1427"/>
    <w:rsid w:val="00AF1E56"/>
    <w:rsid w:val="00AF20B8"/>
    <w:rsid w:val="00AF26A1"/>
    <w:rsid w:val="00AF2B18"/>
    <w:rsid w:val="00AF2E60"/>
    <w:rsid w:val="00AF314C"/>
    <w:rsid w:val="00AF3187"/>
    <w:rsid w:val="00AF34E9"/>
    <w:rsid w:val="00AF352F"/>
    <w:rsid w:val="00AF3FBB"/>
    <w:rsid w:val="00AF4178"/>
    <w:rsid w:val="00AF42FB"/>
    <w:rsid w:val="00AF4320"/>
    <w:rsid w:val="00AF4F1D"/>
    <w:rsid w:val="00AF6243"/>
    <w:rsid w:val="00AF630F"/>
    <w:rsid w:val="00AF7807"/>
    <w:rsid w:val="00B0058B"/>
    <w:rsid w:val="00B00FF1"/>
    <w:rsid w:val="00B01630"/>
    <w:rsid w:val="00B0181E"/>
    <w:rsid w:val="00B018D4"/>
    <w:rsid w:val="00B02009"/>
    <w:rsid w:val="00B0233C"/>
    <w:rsid w:val="00B03785"/>
    <w:rsid w:val="00B039DE"/>
    <w:rsid w:val="00B03E39"/>
    <w:rsid w:val="00B04347"/>
    <w:rsid w:val="00B043E3"/>
    <w:rsid w:val="00B04D7B"/>
    <w:rsid w:val="00B04FC4"/>
    <w:rsid w:val="00B05280"/>
    <w:rsid w:val="00B05332"/>
    <w:rsid w:val="00B05D5B"/>
    <w:rsid w:val="00B06179"/>
    <w:rsid w:val="00B0631F"/>
    <w:rsid w:val="00B065BB"/>
    <w:rsid w:val="00B06AB9"/>
    <w:rsid w:val="00B06B0F"/>
    <w:rsid w:val="00B07709"/>
    <w:rsid w:val="00B10077"/>
    <w:rsid w:val="00B103D7"/>
    <w:rsid w:val="00B10788"/>
    <w:rsid w:val="00B107A7"/>
    <w:rsid w:val="00B10ED4"/>
    <w:rsid w:val="00B11185"/>
    <w:rsid w:val="00B11F0D"/>
    <w:rsid w:val="00B11F3C"/>
    <w:rsid w:val="00B11FB3"/>
    <w:rsid w:val="00B12572"/>
    <w:rsid w:val="00B126B3"/>
    <w:rsid w:val="00B12A7D"/>
    <w:rsid w:val="00B12C7B"/>
    <w:rsid w:val="00B12EE6"/>
    <w:rsid w:val="00B135C4"/>
    <w:rsid w:val="00B139DC"/>
    <w:rsid w:val="00B13D43"/>
    <w:rsid w:val="00B14177"/>
    <w:rsid w:val="00B146B4"/>
    <w:rsid w:val="00B15486"/>
    <w:rsid w:val="00B158D0"/>
    <w:rsid w:val="00B15C42"/>
    <w:rsid w:val="00B16068"/>
    <w:rsid w:val="00B16269"/>
    <w:rsid w:val="00B16631"/>
    <w:rsid w:val="00B16CD6"/>
    <w:rsid w:val="00B16DD6"/>
    <w:rsid w:val="00B16F26"/>
    <w:rsid w:val="00B173E5"/>
    <w:rsid w:val="00B177F6"/>
    <w:rsid w:val="00B17B1D"/>
    <w:rsid w:val="00B17DE5"/>
    <w:rsid w:val="00B20310"/>
    <w:rsid w:val="00B20994"/>
    <w:rsid w:val="00B20D32"/>
    <w:rsid w:val="00B21022"/>
    <w:rsid w:val="00B21C9B"/>
    <w:rsid w:val="00B2259B"/>
    <w:rsid w:val="00B22D0C"/>
    <w:rsid w:val="00B22F79"/>
    <w:rsid w:val="00B2336E"/>
    <w:rsid w:val="00B237A1"/>
    <w:rsid w:val="00B2391F"/>
    <w:rsid w:val="00B23A9D"/>
    <w:rsid w:val="00B23AB1"/>
    <w:rsid w:val="00B2453F"/>
    <w:rsid w:val="00B2465F"/>
    <w:rsid w:val="00B257FB"/>
    <w:rsid w:val="00B25C1B"/>
    <w:rsid w:val="00B25CE0"/>
    <w:rsid w:val="00B26378"/>
    <w:rsid w:val="00B271ED"/>
    <w:rsid w:val="00B278EE"/>
    <w:rsid w:val="00B27B21"/>
    <w:rsid w:val="00B27F3B"/>
    <w:rsid w:val="00B27FBB"/>
    <w:rsid w:val="00B30EBE"/>
    <w:rsid w:val="00B30F25"/>
    <w:rsid w:val="00B30F29"/>
    <w:rsid w:val="00B31050"/>
    <w:rsid w:val="00B317B5"/>
    <w:rsid w:val="00B31848"/>
    <w:rsid w:val="00B31F1E"/>
    <w:rsid w:val="00B324AB"/>
    <w:rsid w:val="00B324C6"/>
    <w:rsid w:val="00B32CD2"/>
    <w:rsid w:val="00B32CE2"/>
    <w:rsid w:val="00B33699"/>
    <w:rsid w:val="00B3417C"/>
    <w:rsid w:val="00B3472B"/>
    <w:rsid w:val="00B34D48"/>
    <w:rsid w:val="00B352A5"/>
    <w:rsid w:val="00B35A42"/>
    <w:rsid w:val="00B35CCC"/>
    <w:rsid w:val="00B35ECB"/>
    <w:rsid w:val="00B36300"/>
    <w:rsid w:val="00B36546"/>
    <w:rsid w:val="00B369B1"/>
    <w:rsid w:val="00B36A36"/>
    <w:rsid w:val="00B36B23"/>
    <w:rsid w:val="00B36FDC"/>
    <w:rsid w:val="00B3725A"/>
    <w:rsid w:val="00B37B5A"/>
    <w:rsid w:val="00B37CBD"/>
    <w:rsid w:val="00B37CCA"/>
    <w:rsid w:val="00B37EF2"/>
    <w:rsid w:val="00B40027"/>
    <w:rsid w:val="00B4016E"/>
    <w:rsid w:val="00B40389"/>
    <w:rsid w:val="00B404F4"/>
    <w:rsid w:val="00B409DF"/>
    <w:rsid w:val="00B40DEE"/>
    <w:rsid w:val="00B40F8A"/>
    <w:rsid w:val="00B4100A"/>
    <w:rsid w:val="00B4128E"/>
    <w:rsid w:val="00B412C9"/>
    <w:rsid w:val="00B415CE"/>
    <w:rsid w:val="00B4195C"/>
    <w:rsid w:val="00B4199C"/>
    <w:rsid w:val="00B41BF5"/>
    <w:rsid w:val="00B41E98"/>
    <w:rsid w:val="00B41F2A"/>
    <w:rsid w:val="00B422EB"/>
    <w:rsid w:val="00B426A5"/>
    <w:rsid w:val="00B428F4"/>
    <w:rsid w:val="00B4300C"/>
    <w:rsid w:val="00B431FE"/>
    <w:rsid w:val="00B43249"/>
    <w:rsid w:val="00B433F3"/>
    <w:rsid w:val="00B43CD7"/>
    <w:rsid w:val="00B43F1F"/>
    <w:rsid w:val="00B43F4D"/>
    <w:rsid w:val="00B4409E"/>
    <w:rsid w:val="00B44150"/>
    <w:rsid w:val="00B44988"/>
    <w:rsid w:val="00B44A06"/>
    <w:rsid w:val="00B44C29"/>
    <w:rsid w:val="00B44EE8"/>
    <w:rsid w:val="00B45358"/>
    <w:rsid w:val="00B457D6"/>
    <w:rsid w:val="00B45B57"/>
    <w:rsid w:val="00B45CC3"/>
    <w:rsid w:val="00B45F0B"/>
    <w:rsid w:val="00B46AB7"/>
    <w:rsid w:val="00B46B60"/>
    <w:rsid w:val="00B46C18"/>
    <w:rsid w:val="00B46D37"/>
    <w:rsid w:val="00B46D8A"/>
    <w:rsid w:val="00B46DA6"/>
    <w:rsid w:val="00B46FD4"/>
    <w:rsid w:val="00B474E1"/>
    <w:rsid w:val="00B475AA"/>
    <w:rsid w:val="00B4784E"/>
    <w:rsid w:val="00B47E61"/>
    <w:rsid w:val="00B50608"/>
    <w:rsid w:val="00B506D4"/>
    <w:rsid w:val="00B50B07"/>
    <w:rsid w:val="00B50B54"/>
    <w:rsid w:val="00B514E7"/>
    <w:rsid w:val="00B51694"/>
    <w:rsid w:val="00B521BF"/>
    <w:rsid w:val="00B523B2"/>
    <w:rsid w:val="00B52B19"/>
    <w:rsid w:val="00B533C1"/>
    <w:rsid w:val="00B53629"/>
    <w:rsid w:val="00B53D0A"/>
    <w:rsid w:val="00B53DF0"/>
    <w:rsid w:val="00B53E2B"/>
    <w:rsid w:val="00B540EB"/>
    <w:rsid w:val="00B54335"/>
    <w:rsid w:val="00B54454"/>
    <w:rsid w:val="00B54462"/>
    <w:rsid w:val="00B54BCC"/>
    <w:rsid w:val="00B54CA8"/>
    <w:rsid w:val="00B54F9E"/>
    <w:rsid w:val="00B55412"/>
    <w:rsid w:val="00B55A7D"/>
    <w:rsid w:val="00B55D1F"/>
    <w:rsid w:val="00B56228"/>
    <w:rsid w:val="00B565D9"/>
    <w:rsid w:val="00B56A73"/>
    <w:rsid w:val="00B56B2F"/>
    <w:rsid w:val="00B56BAC"/>
    <w:rsid w:val="00B56C57"/>
    <w:rsid w:val="00B56ECF"/>
    <w:rsid w:val="00B5716B"/>
    <w:rsid w:val="00B57938"/>
    <w:rsid w:val="00B57B06"/>
    <w:rsid w:val="00B57EFC"/>
    <w:rsid w:val="00B60897"/>
    <w:rsid w:val="00B61073"/>
    <w:rsid w:val="00B618FB"/>
    <w:rsid w:val="00B62A7E"/>
    <w:rsid w:val="00B62D81"/>
    <w:rsid w:val="00B633A9"/>
    <w:rsid w:val="00B63459"/>
    <w:rsid w:val="00B63991"/>
    <w:rsid w:val="00B63CC0"/>
    <w:rsid w:val="00B6417E"/>
    <w:rsid w:val="00B641CA"/>
    <w:rsid w:val="00B641E3"/>
    <w:rsid w:val="00B642DD"/>
    <w:rsid w:val="00B6470D"/>
    <w:rsid w:val="00B649AD"/>
    <w:rsid w:val="00B64BEF"/>
    <w:rsid w:val="00B652C3"/>
    <w:rsid w:val="00B65FAB"/>
    <w:rsid w:val="00B6649A"/>
    <w:rsid w:val="00B6665F"/>
    <w:rsid w:val="00B66B31"/>
    <w:rsid w:val="00B66FE0"/>
    <w:rsid w:val="00B670F5"/>
    <w:rsid w:val="00B67C5E"/>
    <w:rsid w:val="00B67C74"/>
    <w:rsid w:val="00B67D09"/>
    <w:rsid w:val="00B67D96"/>
    <w:rsid w:val="00B67E94"/>
    <w:rsid w:val="00B70091"/>
    <w:rsid w:val="00B70666"/>
    <w:rsid w:val="00B7089D"/>
    <w:rsid w:val="00B70CEF"/>
    <w:rsid w:val="00B7106D"/>
    <w:rsid w:val="00B71B6B"/>
    <w:rsid w:val="00B71C1F"/>
    <w:rsid w:val="00B71C5E"/>
    <w:rsid w:val="00B71C72"/>
    <w:rsid w:val="00B72170"/>
    <w:rsid w:val="00B72A1A"/>
    <w:rsid w:val="00B72C20"/>
    <w:rsid w:val="00B73515"/>
    <w:rsid w:val="00B7361D"/>
    <w:rsid w:val="00B73C0D"/>
    <w:rsid w:val="00B73D80"/>
    <w:rsid w:val="00B74968"/>
    <w:rsid w:val="00B74EA7"/>
    <w:rsid w:val="00B74EE9"/>
    <w:rsid w:val="00B75934"/>
    <w:rsid w:val="00B75C01"/>
    <w:rsid w:val="00B75C03"/>
    <w:rsid w:val="00B76821"/>
    <w:rsid w:val="00B76873"/>
    <w:rsid w:val="00B7687C"/>
    <w:rsid w:val="00B7687E"/>
    <w:rsid w:val="00B76A6E"/>
    <w:rsid w:val="00B76C41"/>
    <w:rsid w:val="00B76D93"/>
    <w:rsid w:val="00B777BA"/>
    <w:rsid w:val="00B77BC4"/>
    <w:rsid w:val="00B77BEA"/>
    <w:rsid w:val="00B77C56"/>
    <w:rsid w:val="00B80116"/>
    <w:rsid w:val="00B805EA"/>
    <w:rsid w:val="00B8061F"/>
    <w:rsid w:val="00B8088D"/>
    <w:rsid w:val="00B80C29"/>
    <w:rsid w:val="00B80EB3"/>
    <w:rsid w:val="00B81414"/>
    <w:rsid w:val="00B8176E"/>
    <w:rsid w:val="00B81F62"/>
    <w:rsid w:val="00B821A4"/>
    <w:rsid w:val="00B82394"/>
    <w:rsid w:val="00B8239E"/>
    <w:rsid w:val="00B82B4A"/>
    <w:rsid w:val="00B83321"/>
    <w:rsid w:val="00B83A85"/>
    <w:rsid w:val="00B8437D"/>
    <w:rsid w:val="00B846F4"/>
    <w:rsid w:val="00B84AA2"/>
    <w:rsid w:val="00B850E3"/>
    <w:rsid w:val="00B851A0"/>
    <w:rsid w:val="00B854B6"/>
    <w:rsid w:val="00B854EE"/>
    <w:rsid w:val="00B8573F"/>
    <w:rsid w:val="00B85CE9"/>
    <w:rsid w:val="00B85ED6"/>
    <w:rsid w:val="00B85F79"/>
    <w:rsid w:val="00B86373"/>
    <w:rsid w:val="00B86C9F"/>
    <w:rsid w:val="00B86E3C"/>
    <w:rsid w:val="00B871E1"/>
    <w:rsid w:val="00B8785F"/>
    <w:rsid w:val="00B87CC6"/>
    <w:rsid w:val="00B87E56"/>
    <w:rsid w:val="00B9015C"/>
    <w:rsid w:val="00B904FF"/>
    <w:rsid w:val="00B90998"/>
    <w:rsid w:val="00B90A67"/>
    <w:rsid w:val="00B90EF0"/>
    <w:rsid w:val="00B91289"/>
    <w:rsid w:val="00B912D1"/>
    <w:rsid w:val="00B91349"/>
    <w:rsid w:val="00B91854"/>
    <w:rsid w:val="00B91A29"/>
    <w:rsid w:val="00B91D64"/>
    <w:rsid w:val="00B92418"/>
    <w:rsid w:val="00B926E6"/>
    <w:rsid w:val="00B92824"/>
    <w:rsid w:val="00B92FCF"/>
    <w:rsid w:val="00B93076"/>
    <w:rsid w:val="00B93430"/>
    <w:rsid w:val="00B9359A"/>
    <w:rsid w:val="00B9360E"/>
    <w:rsid w:val="00B938B8"/>
    <w:rsid w:val="00B93961"/>
    <w:rsid w:val="00B93AAC"/>
    <w:rsid w:val="00B95294"/>
    <w:rsid w:val="00B95AFA"/>
    <w:rsid w:val="00B95DD8"/>
    <w:rsid w:val="00B95E82"/>
    <w:rsid w:val="00B95EAB"/>
    <w:rsid w:val="00B95FE0"/>
    <w:rsid w:val="00B960B7"/>
    <w:rsid w:val="00B970CF"/>
    <w:rsid w:val="00B97217"/>
    <w:rsid w:val="00B97504"/>
    <w:rsid w:val="00B975F8"/>
    <w:rsid w:val="00B977FA"/>
    <w:rsid w:val="00B97D57"/>
    <w:rsid w:val="00BA01AC"/>
    <w:rsid w:val="00BA05E4"/>
    <w:rsid w:val="00BA11B8"/>
    <w:rsid w:val="00BA11C1"/>
    <w:rsid w:val="00BA15B8"/>
    <w:rsid w:val="00BA1840"/>
    <w:rsid w:val="00BA1BFE"/>
    <w:rsid w:val="00BA2149"/>
    <w:rsid w:val="00BA2212"/>
    <w:rsid w:val="00BA22EB"/>
    <w:rsid w:val="00BA281E"/>
    <w:rsid w:val="00BA2E22"/>
    <w:rsid w:val="00BA31F6"/>
    <w:rsid w:val="00BA386D"/>
    <w:rsid w:val="00BA3DEE"/>
    <w:rsid w:val="00BA46DC"/>
    <w:rsid w:val="00BA4A40"/>
    <w:rsid w:val="00BA5173"/>
    <w:rsid w:val="00BA519F"/>
    <w:rsid w:val="00BA6866"/>
    <w:rsid w:val="00BA6914"/>
    <w:rsid w:val="00BA7538"/>
    <w:rsid w:val="00BB0143"/>
    <w:rsid w:val="00BB02F8"/>
    <w:rsid w:val="00BB044E"/>
    <w:rsid w:val="00BB0DA2"/>
    <w:rsid w:val="00BB1046"/>
    <w:rsid w:val="00BB108A"/>
    <w:rsid w:val="00BB18F2"/>
    <w:rsid w:val="00BB192F"/>
    <w:rsid w:val="00BB19EC"/>
    <w:rsid w:val="00BB1D54"/>
    <w:rsid w:val="00BB23B4"/>
    <w:rsid w:val="00BB2541"/>
    <w:rsid w:val="00BB2A17"/>
    <w:rsid w:val="00BB3151"/>
    <w:rsid w:val="00BB32CC"/>
    <w:rsid w:val="00BB3464"/>
    <w:rsid w:val="00BB3482"/>
    <w:rsid w:val="00BB399B"/>
    <w:rsid w:val="00BB40A0"/>
    <w:rsid w:val="00BB4629"/>
    <w:rsid w:val="00BB4BC3"/>
    <w:rsid w:val="00BB4BCE"/>
    <w:rsid w:val="00BB4CF6"/>
    <w:rsid w:val="00BB532F"/>
    <w:rsid w:val="00BB5432"/>
    <w:rsid w:val="00BB5597"/>
    <w:rsid w:val="00BB5601"/>
    <w:rsid w:val="00BB57A4"/>
    <w:rsid w:val="00BB5865"/>
    <w:rsid w:val="00BB5F17"/>
    <w:rsid w:val="00BB5FE9"/>
    <w:rsid w:val="00BB6251"/>
    <w:rsid w:val="00BB7087"/>
    <w:rsid w:val="00BB73E3"/>
    <w:rsid w:val="00BB7873"/>
    <w:rsid w:val="00BB7883"/>
    <w:rsid w:val="00BB7DD7"/>
    <w:rsid w:val="00BB7F04"/>
    <w:rsid w:val="00BC0135"/>
    <w:rsid w:val="00BC0414"/>
    <w:rsid w:val="00BC0520"/>
    <w:rsid w:val="00BC0D88"/>
    <w:rsid w:val="00BC0F1B"/>
    <w:rsid w:val="00BC0F21"/>
    <w:rsid w:val="00BC16DE"/>
    <w:rsid w:val="00BC1890"/>
    <w:rsid w:val="00BC1E81"/>
    <w:rsid w:val="00BC1EA6"/>
    <w:rsid w:val="00BC2B2D"/>
    <w:rsid w:val="00BC2CC1"/>
    <w:rsid w:val="00BC2DC1"/>
    <w:rsid w:val="00BC2FD5"/>
    <w:rsid w:val="00BC3C4B"/>
    <w:rsid w:val="00BC408A"/>
    <w:rsid w:val="00BC4A76"/>
    <w:rsid w:val="00BC4C1D"/>
    <w:rsid w:val="00BC4E8F"/>
    <w:rsid w:val="00BC5F44"/>
    <w:rsid w:val="00BC6ABD"/>
    <w:rsid w:val="00BC712F"/>
    <w:rsid w:val="00BC7366"/>
    <w:rsid w:val="00BD0233"/>
    <w:rsid w:val="00BD04C7"/>
    <w:rsid w:val="00BD0CF4"/>
    <w:rsid w:val="00BD0D4D"/>
    <w:rsid w:val="00BD0D8B"/>
    <w:rsid w:val="00BD0E86"/>
    <w:rsid w:val="00BD12F8"/>
    <w:rsid w:val="00BD142B"/>
    <w:rsid w:val="00BD176C"/>
    <w:rsid w:val="00BD186D"/>
    <w:rsid w:val="00BD21B2"/>
    <w:rsid w:val="00BD256C"/>
    <w:rsid w:val="00BD2BC8"/>
    <w:rsid w:val="00BD3563"/>
    <w:rsid w:val="00BD42A2"/>
    <w:rsid w:val="00BD449B"/>
    <w:rsid w:val="00BD47F6"/>
    <w:rsid w:val="00BD4BDA"/>
    <w:rsid w:val="00BD4D5A"/>
    <w:rsid w:val="00BD54B9"/>
    <w:rsid w:val="00BD5975"/>
    <w:rsid w:val="00BD59F9"/>
    <w:rsid w:val="00BD5E7E"/>
    <w:rsid w:val="00BD62AF"/>
    <w:rsid w:val="00BD7461"/>
    <w:rsid w:val="00BE016E"/>
    <w:rsid w:val="00BE078E"/>
    <w:rsid w:val="00BE084B"/>
    <w:rsid w:val="00BE0A45"/>
    <w:rsid w:val="00BE12CF"/>
    <w:rsid w:val="00BE1332"/>
    <w:rsid w:val="00BE1679"/>
    <w:rsid w:val="00BE18E4"/>
    <w:rsid w:val="00BE19C9"/>
    <w:rsid w:val="00BE19FA"/>
    <w:rsid w:val="00BE1BCB"/>
    <w:rsid w:val="00BE2471"/>
    <w:rsid w:val="00BE28DE"/>
    <w:rsid w:val="00BE2B9C"/>
    <w:rsid w:val="00BE2D6A"/>
    <w:rsid w:val="00BE307D"/>
    <w:rsid w:val="00BE322A"/>
    <w:rsid w:val="00BE3672"/>
    <w:rsid w:val="00BE38A0"/>
    <w:rsid w:val="00BE3F85"/>
    <w:rsid w:val="00BE45A0"/>
    <w:rsid w:val="00BE4B52"/>
    <w:rsid w:val="00BE58BF"/>
    <w:rsid w:val="00BE5B78"/>
    <w:rsid w:val="00BE5D86"/>
    <w:rsid w:val="00BE5E85"/>
    <w:rsid w:val="00BE6515"/>
    <w:rsid w:val="00BE6C2A"/>
    <w:rsid w:val="00BE6F00"/>
    <w:rsid w:val="00BE7336"/>
    <w:rsid w:val="00BE7676"/>
    <w:rsid w:val="00BF0050"/>
    <w:rsid w:val="00BF03AB"/>
    <w:rsid w:val="00BF06EA"/>
    <w:rsid w:val="00BF0710"/>
    <w:rsid w:val="00BF096E"/>
    <w:rsid w:val="00BF0E18"/>
    <w:rsid w:val="00BF1566"/>
    <w:rsid w:val="00BF1604"/>
    <w:rsid w:val="00BF1825"/>
    <w:rsid w:val="00BF1ABD"/>
    <w:rsid w:val="00BF27C9"/>
    <w:rsid w:val="00BF28B7"/>
    <w:rsid w:val="00BF3463"/>
    <w:rsid w:val="00BF358A"/>
    <w:rsid w:val="00BF3758"/>
    <w:rsid w:val="00BF39B4"/>
    <w:rsid w:val="00BF3B33"/>
    <w:rsid w:val="00BF3B4F"/>
    <w:rsid w:val="00BF3D5F"/>
    <w:rsid w:val="00BF3DA2"/>
    <w:rsid w:val="00BF3DB4"/>
    <w:rsid w:val="00BF3EBA"/>
    <w:rsid w:val="00BF4068"/>
    <w:rsid w:val="00BF4562"/>
    <w:rsid w:val="00BF4912"/>
    <w:rsid w:val="00BF4D6B"/>
    <w:rsid w:val="00BF4EB0"/>
    <w:rsid w:val="00BF5AD2"/>
    <w:rsid w:val="00BF5B6A"/>
    <w:rsid w:val="00BF5FF9"/>
    <w:rsid w:val="00BF68D8"/>
    <w:rsid w:val="00BF6EA4"/>
    <w:rsid w:val="00BF70BE"/>
    <w:rsid w:val="00BF7841"/>
    <w:rsid w:val="00BF78FA"/>
    <w:rsid w:val="00BF7CC0"/>
    <w:rsid w:val="00C00329"/>
    <w:rsid w:val="00C00ADA"/>
    <w:rsid w:val="00C00FA9"/>
    <w:rsid w:val="00C01125"/>
    <w:rsid w:val="00C017BE"/>
    <w:rsid w:val="00C01F40"/>
    <w:rsid w:val="00C021A9"/>
    <w:rsid w:val="00C0243C"/>
    <w:rsid w:val="00C02476"/>
    <w:rsid w:val="00C024CE"/>
    <w:rsid w:val="00C02ED4"/>
    <w:rsid w:val="00C03422"/>
    <w:rsid w:val="00C037E4"/>
    <w:rsid w:val="00C039D9"/>
    <w:rsid w:val="00C03B8C"/>
    <w:rsid w:val="00C04211"/>
    <w:rsid w:val="00C0496D"/>
    <w:rsid w:val="00C04A74"/>
    <w:rsid w:val="00C04AF0"/>
    <w:rsid w:val="00C04C2E"/>
    <w:rsid w:val="00C04F6F"/>
    <w:rsid w:val="00C04FC0"/>
    <w:rsid w:val="00C0527A"/>
    <w:rsid w:val="00C0533B"/>
    <w:rsid w:val="00C057D8"/>
    <w:rsid w:val="00C05A91"/>
    <w:rsid w:val="00C05C17"/>
    <w:rsid w:val="00C06D64"/>
    <w:rsid w:val="00C07203"/>
    <w:rsid w:val="00C073C9"/>
    <w:rsid w:val="00C073D3"/>
    <w:rsid w:val="00C07FAA"/>
    <w:rsid w:val="00C100C7"/>
    <w:rsid w:val="00C100F8"/>
    <w:rsid w:val="00C11646"/>
    <w:rsid w:val="00C11C03"/>
    <w:rsid w:val="00C1204E"/>
    <w:rsid w:val="00C123E5"/>
    <w:rsid w:val="00C12C3B"/>
    <w:rsid w:val="00C131F7"/>
    <w:rsid w:val="00C133E1"/>
    <w:rsid w:val="00C136A0"/>
    <w:rsid w:val="00C13E0D"/>
    <w:rsid w:val="00C13EEB"/>
    <w:rsid w:val="00C13FD3"/>
    <w:rsid w:val="00C14249"/>
    <w:rsid w:val="00C14337"/>
    <w:rsid w:val="00C15A91"/>
    <w:rsid w:val="00C15C1B"/>
    <w:rsid w:val="00C15FA0"/>
    <w:rsid w:val="00C164A3"/>
    <w:rsid w:val="00C16B24"/>
    <w:rsid w:val="00C1700F"/>
    <w:rsid w:val="00C17544"/>
    <w:rsid w:val="00C20595"/>
    <w:rsid w:val="00C20759"/>
    <w:rsid w:val="00C20A71"/>
    <w:rsid w:val="00C20CE2"/>
    <w:rsid w:val="00C21181"/>
    <w:rsid w:val="00C21382"/>
    <w:rsid w:val="00C2213F"/>
    <w:rsid w:val="00C222F3"/>
    <w:rsid w:val="00C2271D"/>
    <w:rsid w:val="00C2291A"/>
    <w:rsid w:val="00C231B2"/>
    <w:rsid w:val="00C2320E"/>
    <w:rsid w:val="00C232CF"/>
    <w:rsid w:val="00C2353B"/>
    <w:rsid w:val="00C236C2"/>
    <w:rsid w:val="00C23891"/>
    <w:rsid w:val="00C2391A"/>
    <w:rsid w:val="00C23F3B"/>
    <w:rsid w:val="00C241B8"/>
    <w:rsid w:val="00C24765"/>
    <w:rsid w:val="00C2493B"/>
    <w:rsid w:val="00C24A15"/>
    <w:rsid w:val="00C24A55"/>
    <w:rsid w:val="00C25527"/>
    <w:rsid w:val="00C25A58"/>
    <w:rsid w:val="00C25F71"/>
    <w:rsid w:val="00C26AAC"/>
    <w:rsid w:val="00C27502"/>
    <w:rsid w:val="00C2770D"/>
    <w:rsid w:val="00C277A7"/>
    <w:rsid w:val="00C279DF"/>
    <w:rsid w:val="00C27A0C"/>
    <w:rsid w:val="00C27A67"/>
    <w:rsid w:val="00C300F4"/>
    <w:rsid w:val="00C303B4"/>
    <w:rsid w:val="00C30AD5"/>
    <w:rsid w:val="00C31212"/>
    <w:rsid w:val="00C31352"/>
    <w:rsid w:val="00C317CE"/>
    <w:rsid w:val="00C31E49"/>
    <w:rsid w:val="00C32175"/>
    <w:rsid w:val="00C321B1"/>
    <w:rsid w:val="00C3251F"/>
    <w:rsid w:val="00C32852"/>
    <w:rsid w:val="00C34061"/>
    <w:rsid w:val="00C34076"/>
    <w:rsid w:val="00C3418C"/>
    <w:rsid w:val="00C3458B"/>
    <w:rsid w:val="00C355ED"/>
    <w:rsid w:val="00C35614"/>
    <w:rsid w:val="00C36E4B"/>
    <w:rsid w:val="00C37887"/>
    <w:rsid w:val="00C3798A"/>
    <w:rsid w:val="00C37AF2"/>
    <w:rsid w:val="00C37B70"/>
    <w:rsid w:val="00C37F78"/>
    <w:rsid w:val="00C4004F"/>
    <w:rsid w:val="00C40419"/>
    <w:rsid w:val="00C40A74"/>
    <w:rsid w:val="00C41125"/>
    <w:rsid w:val="00C411F4"/>
    <w:rsid w:val="00C41252"/>
    <w:rsid w:val="00C41779"/>
    <w:rsid w:val="00C41E21"/>
    <w:rsid w:val="00C42A52"/>
    <w:rsid w:val="00C42FC5"/>
    <w:rsid w:val="00C43592"/>
    <w:rsid w:val="00C43594"/>
    <w:rsid w:val="00C43918"/>
    <w:rsid w:val="00C43999"/>
    <w:rsid w:val="00C43B69"/>
    <w:rsid w:val="00C4404F"/>
    <w:rsid w:val="00C44128"/>
    <w:rsid w:val="00C44365"/>
    <w:rsid w:val="00C44762"/>
    <w:rsid w:val="00C4495A"/>
    <w:rsid w:val="00C44D12"/>
    <w:rsid w:val="00C45050"/>
    <w:rsid w:val="00C45676"/>
    <w:rsid w:val="00C458C0"/>
    <w:rsid w:val="00C45B27"/>
    <w:rsid w:val="00C45CF8"/>
    <w:rsid w:val="00C45E34"/>
    <w:rsid w:val="00C45F83"/>
    <w:rsid w:val="00C46A33"/>
    <w:rsid w:val="00C47265"/>
    <w:rsid w:val="00C47D8A"/>
    <w:rsid w:val="00C504EC"/>
    <w:rsid w:val="00C5075B"/>
    <w:rsid w:val="00C50C39"/>
    <w:rsid w:val="00C50E75"/>
    <w:rsid w:val="00C510B5"/>
    <w:rsid w:val="00C51145"/>
    <w:rsid w:val="00C512EC"/>
    <w:rsid w:val="00C5171D"/>
    <w:rsid w:val="00C5180A"/>
    <w:rsid w:val="00C5188B"/>
    <w:rsid w:val="00C51BA3"/>
    <w:rsid w:val="00C51C55"/>
    <w:rsid w:val="00C51F87"/>
    <w:rsid w:val="00C5201E"/>
    <w:rsid w:val="00C52155"/>
    <w:rsid w:val="00C52498"/>
    <w:rsid w:val="00C525C5"/>
    <w:rsid w:val="00C52880"/>
    <w:rsid w:val="00C52B60"/>
    <w:rsid w:val="00C52C04"/>
    <w:rsid w:val="00C5329F"/>
    <w:rsid w:val="00C532EC"/>
    <w:rsid w:val="00C53302"/>
    <w:rsid w:val="00C534A2"/>
    <w:rsid w:val="00C53588"/>
    <w:rsid w:val="00C5360C"/>
    <w:rsid w:val="00C5412E"/>
    <w:rsid w:val="00C541CC"/>
    <w:rsid w:val="00C5423E"/>
    <w:rsid w:val="00C5435E"/>
    <w:rsid w:val="00C54620"/>
    <w:rsid w:val="00C5483B"/>
    <w:rsid w:val="00C54B5F"/>
    <w:rsid w:val="00C54B7D"/>
    <w:rsid w:val="00C54FDB"/>
    <w:rsid w:val="00C55206"/>
    <w:rsid w:val="00C556DF"/>
    <w:rsid w:val="00C55722"/>
    <w:rsid w:val="00C55973"/>
    <w:rsid w:val="00C55B4C"/>
    <w:rsid w:val="00C55D69"/>
    <w:rsid w:val="00C561C7"/>
    <w:rsid w:val="00C5627E"/>
    <w:rsid w:val="00C5649E"/>
    <w:rsid w:val="00C56972"/>
    <w:rsid w:val="00C56A9A"/>
    <w:rsid w:val="00C56B4E"/>
    <w:rsid w:val="00C57307"/>
    <w:rsid w:val="00C57BA4"/>
    <w:rsid w:val="00C57D97"/>
    <w:rsid w:val="00C608A2"/>
    <w:rsid w:val="00C60B2C"/>
    <w:rsid w:val="00C60C56"/>
    <w:rsid w:val="00C60D79"/>
    <w:rsid w:val="00C60E10"/>
    <w:rsid w:val="00C61076"/>
    <w:rsid w:val="00C614A1"/>
    <w:rsid w:val="00C617C5"/>
    <w:rsid w:val="00C61890"/>
    <w:rsid w:val="00C61B88"/>
    <w:rsid w:val="00C61DA7"/>
    <w:rsid w:val="00C61E1D"/>
    <w:rsid w:val="00C620B2"/>
    <w:rsid w:val="00C62319"/>
    <w:rsid w:val="00C62A30"/>
    <w:rsid w:val="00C6302E"/>
    <w:rsid w:val="00C6308C"/>
    <w:rsid w:val="00C64E21"/>
    <w:rsid w:val="00C652A8"/>
    <w:rsid w:val="00C652FC"/>
    <w:rsid w:val="00C65364"/>
    <w:rsid w:val="00C654D1"/>
    <w:rsid w:val="00C6575F"/>
    <w:rsid w:val="00C65DFD"/>
    <w:rsid w:val="00C6675B"/>
    <w:rsid w:val="00C66A84"/>
    <w:rsid w:val="00C66B24"/>
    <w:rsid w:val="00C6750D"/>
    <w:rsid w:val="00C67BD6"/>
    <w:rsid w:val="00C67DE1"/>
    <w:rsid w:val="00C7000D"/>
    <w:rsid w:val="00C705EB"/>
    <w:rsid w:val="00C707C7"/>
    <w:rsid w:val="00C70FBF"/>
    <w:rsid w:val="00C7107D"/>
    <w:rsid w:val="00C71082"/>
    <w:rsid w:val="00C71708"/>
    <w:rsid w:val="00C71A9C"/>
    <w:rsid w:val="00C71AFD"/>
    <w:rsid w:val="00C72456"/>
    <w:rsid w:val="00C72CDE"/>
    <w:rsid w:val="00C731FC"/>
    <w:rsid w:val="00C73281"/>
    <w:rsid w:val="00C73930"/>
    <w:rsid w:val="00C739E6"/>
    <w:rsid w:val="00C7431E"/>
    <w:rsid w:val="00C743E3"/>
    <w:rsid w:val="00C74488"/>
    <w:rsid w:val="00C74754"/>
    <w:rsid w:val="00C7483B"/>
    <w:rsid w:val="00C74D16"/>
    <w:rsid w:val="00C74F4C"/>
    <w:rsid w:val="00C75032"/>
    <w:rsid w:val="00C7510B"/>
    <w:rsid w:val="00C7526F"/>
    <w:rsid w:val="00C755A1"/>
    <w:rsid w:val="00C75D5C"/>
    <w:rsid w:val="00C75DA4"/>
    <w:rsid w:val="00C76344"/>
    <w:rsid w:val="00C76B2C"/>
    <w:rsid w:val="00C76B66"/>
    <w:rsid w:val="00C76C7A"/>
    <w:rsid w:val="00C76D1A"/>
    <w:rsid w:val="00C7724A"/>
    <w:rsid w:val="00C77BE4"/>
    <w:rsid w:val="00C81D66"/>
    <w:rsid w:val="00C82DC3"/>
    <w:rsid w:val="00C82E07"/>
    <w:rsid w:val="00C82E94"/>
    <w:rsid w:val="00C82FC4"/>
    <w:rsid w:val="00C836BF"/>
    <w:rsid w:val="00C83707"/>
    <w:rsid w:val="00C83D13"/>
    <w:rsid w:val="00C83FEA"/>
    <w:rsid w:val="00C845F0"/>
    <w:rsid w:val="00C850B4"/>
    <w:rsid w:val="00C853A4"/>
    <w:rsid w:val="00C85830"/>
    <w:rsid w:val="00C85DCE"/>
    <w:rsid w:val="00C85F40"/>
    <w:rsid w:val="00C867DA"/>
    <w:rsid w:val="00C86A97"/>
    <w:rsid w:val="00C86C9A"/>
    <w:rsid w:val="00C86D7C"/>
    <w:rsid w:val="00C86F6E"/>
    <w:rsid w:val="00C86FEF"/>
    <w:rsid w:val="00C870F5"/>
    <w:rsid w:val="00C8767E"/>
    <w:rsid w:val="00C876A7"/>
    <w:rsid w:val="00C904E1"/>
    <w:rsid w:val="00C90B0B"/>
    <w:rsid w:val="00C90C63"/>
    <w:rsid w:val="00C90F7A"/>
    <w:rsid w:val="00C9265A"/>
    <w:rsid w:val="00C92898"/>
    <w:rsid w:val="00C92B7C"/>
    <w:rsid w:val="00C92D79"/>
    <w:rsid w:val="00C93A34"/>
    <w:rsid w:val="00C93F54"/>
    <w:rsid w:val="00C942D2"/>
    <w:rsid w:val="00C94384"/>
    <w:rsid w:val="00C946E9"/>
    <w:rsid w:val="00C9496D"/>
    <w:rsid w:val="00C94D50"/>
    <w:rsid w:val="00C94F22"/>
    <w:rsid w:val="00C950F1"/>
    <w:rsid w:val="00C95207"/>
    <w:rsid w:val="00C9527A"/>
    <w:rsid w:val="00C953C5"/>
    <w:rsid w:val="00C9589A"/>
    <w:rsid w:val="00C9624A"/>
    <w:rsid w:val="00C966FE"/>
    <w:rsid w:val="00C969FF"/>
    <w:rsid w:val="00C96AE8"/>
    <w:rsid w:val="00C9734D"/>
    <w:rsid w:val="00C97A02"/>
    <w:rsid w:val="00C97AE3"/>
    <w:rsid w:val="00C97C59"/>
    <w:rsid w:val="00CA05D8"/>
    <w:rsid w:val="00CA07B5"/>
    <w:rsid w:val="00CA1007"/>
    <w:rsid w:val="00CA1507"/>
    <w:rsid w:val="00CA1701"/>
    <w:rsid w:val="00CA1A5E"/>
    <w:rsid w:val="00CA1B6F"/>
    <w:rsid w:val="00CA3154"/>
    <w:rsid w:val="00CA3D13"/>
    <w:rsid w:val="00CA3D20"/>
    <w:rsid w:val="00CA3F2E"/>
    <w:rsid w:val="00CA413B"/>
    <w:rsid w:val="00CA4E08"/>
    <w:rsid w:val="00CA5440"/>
    <w:rsid w:val="00CA58CF"/>
    <w:rsid w:val="00CA5A9E"/>
    <w:rsid w:val="00CA5FC4"/>
    <w:rsid w:val="00CA6605"/>
    <w:rsid w:val="00CA6926"/>
    <w:rsid w:val="00CA6A59"/>
    <w:rsid w:val="00CA6BBF"/>
    <w:rsid w:val="00CA6DAF"/>
    <w:rsid w:val="00CA6F97"/>
    <w:rsid w:val="00CA6FC6"/>
    <w:rsid w:val="00CA77B4"/>
    <w:rsid w:val="00CA7B45"/>
    <w:rsid w:val="00CB01FB"/>
    <w:rsid w:val="00CB0ABE"/>
    <w:rsid w:val="00CB1059"/>
    <w:rsid w:val="00CB1A4F"/>
    <w:rsid w:val="00CB1D06"/>
    <w:rsid w:val="00CB1D7E"/>
    <w:rsid w:val="00CB21A0"/>
    <w:rsid w:val="00CB247D"/>
    <w:rsid w:val="00CB25BD"/>
    <w:rsid w:val="00CB25D5"/>
    <w:rsid w:val="00CB2664"/>
    <w:rsid w:val="00CB3195"/>
    <w:rsid w:val="00CB35C4"/>
    <w:rsid w:val="00CB36FD"/>
    <w:rsid w:val="00CB3774"/>
    <w:rsid w:val="00CB3B74"/>
    <w:rsid w:val="00CB429D"/>
    <w:rsid w:val="00CB4382"/>
    <w:rsid w:val="00CB47C9"/>
    <w:rsid w:val="00CB4B0E"/>
    <w:rsid w:val="00CB4B99"/>
    <w:rsid w:val="00CB4D3C"/>
    <w:rsid w:val="00CB523B"/>
    <w:rsid w:val="00CB547D"/>
    <w:rsid w:val="00CB5B0E"/>
    <w:rsid w:val="00CB5BD9"/>
    <w:rsid w:val="00CB6456"/>
    <w:rsid w:val="00CB64CC"/>
    <w:rsid w:val="00CB65AC"/>
    <w:rsid w:val="00CB6862"/>
    <w:rsid w:val="00CB6CBA"/>
    <w:rsid w:val="00CB7274"/>
    <w:rsid w:val="00CB775C"/>
    <w:rsid w:val="00CB7A65"/>
    <w:rsid w:val="00CC0624"/>
    <w:rsid w:val="00CC0B17"/>
    <w:rsid w:val="00CC0F4C"/>
    <w:rsid w:val="00CC2129"/>
    <w:rsid w:val="00CC2AE0"/>
    <w:rsid w:val="00CC3104"/>
    <w:rsid w:val="00CC357D"/>
    <w:rsid w:val="00CC38A7"/>
    <w:rsid w:val="00CC3987"/>
    <w:rsid w:val="00CC482A"/>
    <w:rsid w:val="00CC48E0"/>
    <w:rsid w:val="00CC4C13"/>
    <w:rsid w:val="00CC4DA2"/>
    <w:rsid w:val="00CC54FF"/>
    <w:rsid w:val="00CC559C"/>
    <w:rsid w:val="00CC5D99"/>
    <w:rsid w:val="00CC5FFA"/>
    <w:rsid w:val="00CC6203"/>
    <w:rsid w:val="00CC6436"/>
    <w:rsid w:val="00CC66C3"/>
    <w:rsid w:val="00CC6E13"/>
    <w:rsid w:val="00CC7760"/>
    <w:rsid w:val="00CC7D7A"/>
    <w:rsid w:val="00CC7FA1"/>
    <w:rsid w:val="00CD032B"/>
    <w:rsid w:val="00CD06C3"/>
    <w:rsid w:val="00CD06CA"/>
    <w:rsid w:val="00CD079C"/>
    <w:rsid w:val="00CD0855"/>
    <w:rsid w:val="00CD0895"/>
    <w:rsid w:val="00CD0EA9"/>
    <w:rsid w:val="00CD18E0"/>
    <w:rsid w:val="00CD23A8"/>
    <w:rsid w:val="00CD2488"/>
    <w:rsid w:val="00CD26EA"/>
    <w:rsid w:val="00CD2A73"/>
    <w:rsid w:val="00CD2D83"/>
    <w:rsid w:val="00CD3197"/>
    <w:rsid w:val="00CD3A5C"/>
    <w:rsid w:val="00CD4A26"/>
    <w:rsid w:val="00CD4C53"/>
    <w:rsid w:val="00CD4D18"/>
    <w:rsid w:val="00CD4EF6"/>
    <w:rsid w:val="00CD585A"/>
    <w:rsid w:val="00CD5CBB"/>
    <w:rsid w:val="00CD5DD4"/>
    <w:rsid w:val="00CD621C"/>
    <w:rsid w:val="00CD6D65"/>
    <w:rsid w:val="00CD6E98"/>
    <w:rsid w:val="00CD712F"/>
    <w:rsid w:val="00CD719C"/>
    <w:rsid w:val="00CD71F7"/>
    <w:rsid w:val="00CE0C15"/>
    <w:rsid w:val="00CE0F10"/>
    <w:rsid w:val="00CE1473"/>
    <w:rsid w:val="00CE1882"/>
    <w:rsid w:val="00CE1D9B"/>
    <w:rsid w:val="00CE219F"/>
    <w:rsid w:val="00CE248D"/>
    <w:rsid w:val="00CE3938"/>
    <w:rsid w:val="00CE3B67"/>
    <w:rsid w:val="00CE3DEE"/>
    <w:rsid w:val="00CE4315"/>
    <w:rsid w:val="00CE4622"/>
    <w:rsid w:val="00CE4E32"/>
    <w:rsid w:val="00CE520F"/>
    <w:rsid w:val="00CE5778"/>
    <w:rsid w:val="00CE5AD7"/>
    <w:rsid w:val="00CE616C"/>
    <w:rsid w:val="00CE618E"/>
    <w:rsid w:val="00CE650F"/>
    <w:rsid w:val="00CE6CCD"/>
    <w:rsid w:val="00CE6E1D"/>
    <w:rsid w:val="00CE73B3"/>
    <w:rsid w:val="00CE7EEC"/>
    <w:rsid w:val="00CE7F20"/>
    <w:rsid w:val="00CE7FDA"/>
    <w:rsid w:val="00CF005B"/>
    <w:rsid w:val="00CF008A"/>
    <w:rsid w:val="00CF00B8"/>
    <w:rsid w:val="00CF010D"/>
    <w:rsid w:val="00CF0A1A"/>
    <w:rsid w:val="00CF1072"/>
    <w:rsid w:val="00CF11BF"/>
    <w:rsid w:val="00CF16F2"/>
    <w:rsid w:val="00CF1A1F"/>
    <w:rsid w:val="00CF1ED4"/>
    <w:rsid w:val="00CF20B0"/>
    <w:rsid w:val="00CF22D0"/>
    <w:rsid w:val="00CF274D"/>
    <w:rsid w:val="00CF29D5"/>
    <w:rsid w:val="00CF2C3F"/>
    <w:rsid w:val="00CF2E9D"/>
    <w:rsid w:val="00CF3B4F"/>
    <w:rsid w:val="00CF4531"/>
    <w:rsid w:val="00CF454E"/>
    <w:rsid w:val="00CF4BC0"/>
    <w:rsid w:val="00CF5B8C"/>
    <w:rsid w:val="00CF5C33"/>
    <w:rsid w:val="00CF5C92"/>
    <w:rsid w:val="00CF5DC8"/>
    <w:rsid w:val="00CF6640"/>
    <w:rsid w:val="00CF67F5"/>
    <w:rsid w:val="00CF6F53"/>
    <w:rsid w:val="00CF74A8"/>
    <w:rsid w:val="00CF7703"/>
    <w:rsid w:val="00CF7D57"/>
    <w:rsid w:val="00D007CD"/>
    <w:rsid w:val="00D00A99"/>
    <w:rsid w:val="00D00BC4"/>
    <w:rsid w:val="00D00DA2"/>
    <w:rsid w:val="00D00F4B"/>
    <w:rsid w:val="00D00FD9"/>
    <w:rsid w:val="00D0109C"/>
    <w:rsid w:val="00D010A1"/>
    <w:rsid w:val="00D0125F"/>
    <w:rsid w:val="00D0175A"/>
    <w:rsid w:val="00D01E61"/>
    <w:rsid w:val="00D0219B"/>
    <w:rsid w:val="00D02CAD"/>
    <w:rsid w:val="00D033F1"/>
    <w:rsid w:val="00D0356E"/>
    <w:rsid w:val="00D03CA2"/>
    <w:rsid w:val="00D04C68"/>
    <w:rsid w:val="00D0525D"/>
    <w:rsid w:val="00D05386"/>
    <w:rsid w:val="00D053EF"/>
    <w:rsid w:val="00D05577"/>
    <w:rsid w:val="00D055E5"/>
    <w:rsid w:val="00D05E86"/>
    <w:rsid w:val="00D060C4"/>
    <w:rsid w:val="00D062BA"/>
    <w:rsid w:val="00D06776"/>
    <w:rsid w:val="00D067D5"/>
    <w:rsid w:val="00D06DC2"/>
    <w:rsid w:val="00D0735E"/>
    <w:rsid w:val="00D074FA"/>
    <w:rsid w:val="00D075E3"/>
    <w:rsid w:val="00D076D9"/>
    <w:rsid w:val="00D07C8C"/>
    <w:rsid w:val="00D10451"/>
    <w:rsid w:val="00D109DB"/>
    <w:rsid w:val="00D10E3F"/>
    <w:rsid w:val="00D10FC0"/>
    <w:rsid w:val="00D111C8"/>
    <w:rsid w:val="00D1170A"/>
    <w:rsid w:val="00D11E35"/>
    <w:rsid w:val="00D11F55"/>
    <w:rsid w:val="00D1214E"/>
    <w:rsid w:val="00D12169"/>
    <w:rsid w:val="00D121D6"/>
    <w:rsid w:val="00D12635"/>
    <w:rsid w:val="00D12F58"/>
    <w:rsid w:val="00D13314"/>
    <w:rsid w:val="00D133BC"/>
    <w:rsid w:val="00D136C2"/>
    <w:rsid w:val="00D137F6"/>
    <w:rsid w:val="00D13B85"/>
    <w:rsid w:val="00D14C0E"/>
    <w:rsid w:val="00D14DC7"/>
    <w:rsid w:val="00D1596E"/>
    <w:rsid w:val="00D15C33"/>
    <w:rsid w:val="00D162F9"/>
    <w:rsid w:val="00D164DA"/>
    <w:rsid w:val="00D16685"/>
    <w:rsid w:val="00D169A1"/>
    <w:rsid w:val="00D17928"/>
    <w:rsid w:val="00D17F36"/>
    <w:rsid w:val="00D17FBF"/>
    <w:rsid w:val="00D20379"/>
    <w:rsid w:val="00D204EB"/>
    <w:rsid w:val="00D219B2"/>
    <w:rsid w:val="00D21A69"/>
    <w:rsid w:val="00D21E16"/>
    <w:rsid w:val="00D21EE5"/>
    <w:rsid w:val="00D21FDD"/>
    <w:rsid w:val="00D22295"/>
    <w:rsid w:val="00D2252B"/>
    <w:rsid w:val="00D22BE8"/>
    <w:rsid w:val="00D2324B"/>
    <w:rsid w:val="00D23B8F"/>
    <w:rsid w:val="00D23F37"/>
    <w:rsid w:val="00D243DB"/>
    <w:rsid w:val="00D243E0"/>
    <w:rsid w:val="00D2474C"/>
    <w:rsid w:val="00D24B79"/>
    <w:rsid w:val="00D24D01"/>
    <w:rsid w:val="00D24D29"/>
    <w:rsid w:val="00D24D65"/>
    <w:rsid w:val="00D24E62"/>
    <w:rsid w:val="00D2505F"/>
    <w:rsid w:val="00D25319"/>
    <w:rsid w:val="00D255E6"/>
    <w:rsid w:val="00D25EA6"/>
    <w:rsid w:val="00D265B2"/>
    <w:rsid w:val="00D26734"/>
    <w:rsid w:val="00D2673F"/>
    <w:rsid w:val="00D26BFA"/>
    <w:rsid w:val="00D2760E"/>
    <w:rsid w:val="00D27B65"/>
    <w:rsid w:val="00D30132"/>
    <w:rsid w:val="00D3064A"/>
    <w:rsid w:val="00D30A35"/>
    <w:rsid w:val="00D30CF8"/>
    <w:rsid w:val="00D30D87"/>
    <w:rsid w:val="00D31072"/>
    <w:rsid w:val="00D314CA"/>
    <w:rsid w:val="00D315EF"/>
    <w:rsid w:val="00D31865"/>
    <w:rsid w:val="00D31FEC"/>
    <w:rsid w:val="00D32034"/>
    <w:rsid w:val="00D328B5"/>
    <w:rsid w:val="00D32C10"/>
    <w:rsid w:val="00D32DB0"/>
    <w:rsid w:val="00D32DEB"/>
    <w:rsid w:val="00D32E20"/>
    <w:rsid w:val="00D32F84"/>
    <w:rsid w:val="00D330A6"/>
    <w:rsid w:val="00D33154"/>
    <w:rsid w:val="00D336EB"/>
    <w:rsid w:val="00D33996"/>
    <w:rsid w:val="00D339FD"/>
    <w:rsid w:val="00D33BB1"/>
    <w:rsid w:val="00D33D4B"/>
    <w:rsid w:val="00D3424A"/>
    <w:rsid w:val="00D342A3"/>
    <w:rsid w:val="00D34412"/>
    <w:rsid w:val="00D34660"/>
    <w:rsid w:val="00D34CB9"/>
    <w:rsid w:val="00D34E7B"/>
    <w:rsid w:val="00D35A91"/>
    <w:rsid w:val="00D35CE5"/>
    <w:rsid w:val="00D35EFA"/>
    <w:rsid w:val="00D361A9"/>
    <w:rsid w:val="00D365F2"/>
    <w:rsid w:val="00D377B6"/>
    <w:rsid w:val="00D40168"/>
    <w:rsid w:val="00D401AA"/>
    <w:rsid w:val="00D40523"/>
    <w:rsid w:val="00D40736"/>
    <w:rsid w:val="00D40CA8"/>
    <w:rsid w:val="00D40E4B"/>
    <w:rsid w:val="00D4111D"/>
    <w:rsid w:val="00D41637"/>
    <w:rsid w:val="00D422D5"/>
    <w:rsid w:val="00D4269E"/>
    <w:rsid w:val="00D42786"/>
    <w:rsid w:val="00D42BB0"/>
    <w:rsid w:val="00D43336"/>
    <w:rsid w:val="00D433C2"/>
    <w:rsid w:val="00D438BD"/>
    <w:rsid w:val="00D4421E"/>
    <w:rsid w:val="00D444BC"/>
    <w:rsid w:val="00D449B7"/>
    <w:rsid w:val="00D44E85"/>
    <w:rsid w:val="00D450F2"/>
    <w:rsid w:val="00D451B8"/>
    <w:rsid w:val="00D454DF"/>
    <w:rsid w:val="00D4559C"/>
    <w:rsid w:val="00D457A2"/>
    <w:rsid w:val="00D45862"/>
    <w:rsid w:val="00D45947"/>
    <w:rsid w:val="00D45BDD"/>
    <w:rsid w:val="00D45C07"/>
    <w:rsid w:val="00D46225"/>
    <w:rsid w:val="00D46880"/>
    <w:rsid w:val="00D469BB"/>
    <w:rsid w:val="00D46C74"/>
    <w:rsid w:val="00D46D1E"/>
    <w:rsid w:val="00D46F0B"/>
    <w:rsid w:val="00D47059"/>
    <w:rsid w:val="00D470F3"/>
    <w:rsid w:val="00D47377"/>
    <w:rsid w:val="00D474E4"/>
    <w:rsid w:val="00D47FDB"/>
    <w:rsid w:val="00D50015"/>
    <w:rsid w:val="00D50A26"/>
    <w:rsid w:val="00D50D86"/>
    <w:rsid w:val="00D51571"/>
    <w:rsid w:val="00D5160D"/>
    <w:rsid w:val="00D51AC2"/>
    <w:rsid w:val="00D51DF0"/>
    <w:rsid w:val="00D51E9D"/>
    <w:rsid w:val="00D51EAB"/>
    <w:rsid w:val="00D5225C"/>
    <w:rsid w:val="00D52564"/>
    <w:rsid w:val="00D52BD6"/>
    <w:rsid w:val="00D530E0"/>
    <w:rsid w:val="00D53281"/>
    <w:rsid w:val="00D533BA"/>
    <w:rsid w:val="00D5354F"/>
    <w:rsid w:val="00D541E9"/>
    <w:rsid w:val="00D544C4"/>
    <w:rsid w:val="00D544F8"/>
    <w:rsid w:val="00D545A6"/>
    <w:rsid w:val="00D54642"/>
    <w:rsid w:val="00D54666"/>
    <w:rsid w:val="00D5497A"/>
    <w:rsid w:val="00D551E6"/>
    <w:rsid w:val="00D55396"/>
    <w:rsid w:val="00D554A8"/>
    <w:rsid w:val="00D55D5F"/>
    <w:rsid w:val="00D5626D"/>
    <w:rsid w:val="00D56634"/>
    <w:rsid w:val="00D56A43"/>
    <w:rsid w:val="00D56B7D"/>
    <w:rsid w:val="00D56E90"/>
    <w:rsid w:val="00D5727E"/>
    <w:rsid w:val="00D57740"/>
    <w:rsid w:val="00D577A4"/>
    <w:rsid w:val="00D57AF2"/>
    <w:rsid w:val="00D602DA"/>
    <w:rsid w:val="00D6062A"/>
    <w:rsid w:val="00D6065E"/>
    <w:rsid w:val="00D60741"/>
    <w:rsid w:val="00D60805"/>
    <w:rsid w:val="00D60883"/>
    <w:rsid w:val="00D60DA6"/>
    <w:rsid w:val="00D61113"/>
    <w:rsid w:val="00D6150B"/>
    <w:rsid w:val="00D62152"/>
    <w:rsid w:val="00D62273"/>
    <w:rsid w:val="00D62464"/>
    <w:rsid w:val="00D629D5"/>
    <w:rsid w:val="00D62ACC"/>
    <w:rsid w:val="00D62D3E"/>
    <w:rsid w:val="00D6300A"/>
    <w:rsid w:val="00D6303B"/>
    <w:rsid w:val="00D6387A"/>
    <w:rsid w:val="00D6388D"/>
    <w:rsid w:val="00D63A6F"/>
    <w:rsid w:val="00D643C8"/>
    <w:rsid w:val="00D64576"/>
    <w:rsid w:val="00D64616"/>
    <w:rsid w:val="00D6467F"/>
    <w:rsid w:val="00D6505B"/>
    <w:rsid w:val="00D651C1"/>
    <w:rsid w:val="00D654AF"/>
    <w:rsid w:val="00D65616"/>
    <w:rsid w:val="00D656D9"/>
    <w:rsid w:val="00D65A13"/>
    <w:rsid w:val="00D65B56"/>
    <w:rsid w:val="00D65B82"/>
    <w:rsid w:val="00D65ED7"/>
    <w:rsid w:val="00D65F86"/>
    <w:rsid w:val="00D66A3B"/>
    <w:rsid w:val="00D67E19"/>
    <w:rsid w:val="00D67FEA"/>
    <w:rsid w:val="00D70BFD"/>
    <w:rsid w:val="00D71165"/>
    <w:rsid w:val="00D7118D"/>
    <w:rsid w:val="00D71427"/>
    <w:rsid w:val="00D7148D"/>
    <w:rsid w:val="00D71517"/>
    <w:rsid w:val="00D71B80"/>
    <w:rsid w:val="00D71D1F"/>
    <w:rsid w:val="00D71FCC"/>
    <w:rsid w:val="00D72166"/>
    <w:rsid w:val="00D729E0"/>
    <w:rsid w:val="00D72D45"/>
    <w:rsid w:val="00D72F69"/>
    <w:rsid w:val="00D7327E"/>
    <w:rsid w:val="00D7398B"/>
    <w:rsid w:val="00D73CBA"/>
    <w:rsid w:val="00D73CCC"/>
    <w:rsid w:val="00D74170"/>
    <w:rsid w:val="00D7456D"/>
    <w:rsid w:val="00D7470C"/>
    <w:rsid w:val="00D74931"/>
    <w:rsid w:val="00D74D52"/>
    <w:rsid w:val="00D74E46"/>
    <w:rsid w:val="00D752F6"/>
    <w:rsid w:val="00D75429"/>
    <w:rsid w:val="00D754B1"/>
    <w:rsid w:val="00D755E2"/>
    <w:rsid w:val="00D75ED1"/>
    <w:rsid w:val="00D766D5"/>
    <w:rsid w:val="00D776EF"/>
    <w:rsid w:val="00D778D1"/>
    <w:rsid w:val="00D77D42"/>
    <w:rsid w:val="00D80C71"/>
    <w:rsid w:val="00D80E62"/>
    <w:rsid w:val="00D810D3"/>
    <w:rsid w:val="00D814CF"/>
    <w:rsid w:val="00D8190C"/>
    <w:rsid w:val="00D81961"/>
    <w:rsid w:val="00D81F3E"/>
    <w:rsid w:val="00D821A0"/>
    <w:rsid w:val="00D8244D"/>
    <w:rsid w:val="00D82685"/>
    <w:rsid w:val="00D829A6"/>
    <w:rsid w:val="00D82BE3"/>
    <w:rsid w:val="00D82D40"/>
    <w:rsid w:val="00D82F05"/>
    <w:rsid w:val="00D834F6"/>
    <w:rsid w:val="00D83C58"/>
    <w:rsid w:val="00D83D39"/>
    <w:rsid w:val="00D83F9F"/>
    <w:rsid w:val="00D84352"/>
    <w:rsid w:val="00D84516"/>
    <w:rsid w:val="00D84577"/>
    <w:rsid w:val="00D84877"/>
    <w:rsid w:val="00D84B2A"/>
    <w:rsid w:val="00D84D83"/>
    <w:rsid w:val="00D84DB0"/>
    <w:rsid w:val="00D84DD6"/>
    <w:rsid w:val="00D84E24"/>
    <w:rsid w:val="00D84F71"/>
    <w:rsid w:val="00D84FC4"/>
    <w:rsid w:val="00D85383"/>
    <w:rsid w:val="00D859EC"/>
    <w:rsid w:val="00D85D8C"/>
    <w:rsid w:val="00D86172"/>
    <w:rsid w:val="00D8686E"/>
    <w:rsid w:val="00D8698B"/>
    <w:rsid w:val="00D86D24"/>
    <w:rsid w:val="00D86EED"/>
    <w:rsid w:val="00D87179"/>
    <w:rsid w:val="00D87601"/>
    <w:rsid w:val="00D87AF4"/>
    <w:rsid w:val="00D908A0"/>
    <w:rsid w:val="00D90A2F"/>
    <w:rsid w:val="00D90B56"/>
    <w:rsid w:val="00D90E02"/>
    <w:rsid w:val="00D91297"/>
    <w:rsid w:val="00D913E4"/>
    <w:rsid w:val="00D91551"/>
    <w:rsid w:val="00D916A3"/>
    <w:rsid w:val="00D920CD"/>
    <w:rsid w:val="00D9243E"/>
    <w:rsid w:val="00D92A63"/>
    <w:rsid w:val="00D92E67"/>
    <w:rsid w:val="00D92EBE"/>
    <w:rsid w:val="00D92F82"/>
    <w:rsid w:val="00D9304F"/>
    <w:rsid w:val="00D93505"/>
    <w:rsid w:val="00D93EB0"/>
    <w:rsid w:val="00D9457C"/>
    <w:rsid w:val="00D94E9C"/>
    <w:rsid w:val="00D95B84"/>
    <w:rsid w:val="00D95D31"/>
    <w:rsid w:val="00D95DC6"/>
    <w:rsid w:val="00D96048"/>
    <w:rsid w:val="00D96400"/>
    <w:rsid w:val="00D96A46"/>
    <w:rsid w:val="00D96FAB"/>
    <w:rsid w:val="00D970B1"/>
    <w:rsid w:val="00D97226"/>
    <w:rsid w:val="00D976DA"/>
    <w:rsid w:val="00D976DF"/>
    <w:rsid w:val="00D97761"/>
    <w:rsid w:val="00DA07A5"/>
    <w:rsid w:val="00DA0ACD"/>
    <w:rsid w:val="00DA116A"/>
    <w:rsid w:val="00DA1259"/>
    <w:rsid w:val="00DA15F2"/>
    <w:rsid w:val="00DA169D"/>
    <w:rsid w:val="00DA18AB"/>
    <w:rsid w:val="00DA1CE4"/>
    <w:rsid w:val="00DA2018"/>
    <w:rsid w:val="00DA23F3"/>
    <w:rsid w:val="00DA2693"/>
    <w:rsid w:val="00DA2CAA"/>
    <w:rsid w:val="00DA2CFB"/>
    <w:rsid w:val="00DA39D4"/>
    <w:rsid w:val="00DA3A51"/>
    <w:rsid w:val="00DA3AA9"/>
    <w:rsid w:val="00DA3B8F"/>
    <w:rsid w:val="00DA459E"/>
    <w:rsid w:val="00DA4CA0"/>
    <w:rsid w:val="00DA4E20"/>
    <w:rsid w:val="00DA57CE"/>
    <w:rsid w:val="00DA5F46"/>
    <w:rsid w:val="00DA62C6"/>
    <w:rsid w:val="00DA6567"/>
    <w:rsid w:val="00DA6D5E"/>
    <w:rsid w:val="00DA6F74"/>
    <w:rsid w:val="00DA6FD7"/>
    <w:rsid w:val="00DA75F2"/>
    <w:rsid w:val="00DA7FEA"/>
    <w:rsid w:val="00DB0410"/>
    <w:rsid w:val="00DB0874"/>
    <w:rsid w:val="00DB1026"/>
    <w:rsid w:val="00DB1738"/>
    <w:rsid w:val="00DB1B17"/>
    <w:rsid w:val="00DB2257"/>
    <w:rsid w:val="00DB2A8B"/>
    <w:rsid w:val="00DB2EEB"/>
    <w:rsid w:val="00DB2FE5"/>
    <w:rsid w:val="00DB311A"/>
    <w:rsid w:val="00DB360B"/>
    <w:rsid w:val="00DB3EFF"/>
    <w:rsid w:val="00DB4A65"/>
    <w:rsid w:val="00DB4D56"/>
    <w:rsid w:val="00DB4D9A"/>
    <w:rsid w:val="00DB5117"/>
    <w:rsid w:val="00DB5508"/>
    <w:rsid w:val="00DB593F"/>
    <w:rsid w:val="00DB5C1A"/>
    <w:rsid w:val="00DB5C5D"/>
    <w:rsid w:val="00DB5D6E"/>
    <w:rsid w:val="00DB5EAC"/>
    <w:rsid w:val="00DB5F9D"/>
    <w:rsid w:val="00DB616B"/>
    <w:rsid w:val="00DB635D"/>
    <w:rsid w:val="00DB6842"/>
    <w:rsid w:val="00DB6A2B"/>
    <w:rsid w:val="00DB7017"/>
    <w:rsid w:val="00DB7D02"/>
    <w:rsid w:val="00DC00F4"/>
    <w:rsid w:val="00DC02B2"/>
    <w:rsid w:val="00DC0657"/>
    <w:rsid w:val="00DC06E2"/>
    <w:rsid w:val="00DC154A"/>
    <w:rsid w:val="00DC1726"/>
    <w:rsid w:val="00DC1736"/>
    <w:rsid w:val="00DC173A"/>
    <w:rsid w:val="00DC1793"/>
    <w:rsid w:val="00DC1AEF"/>
    <w:rsid w:val="00DC2111"/>
    <w:rsid w:val="00DC26C3"/>
    <w:rsid w:val="00DC27AA"/>
    <w:rsid w:val="00DC27C6"/>
    <w:rsid w:val="00DC40AB"/>
    <w:rsid w:val="00DC5015"/>
    <w:rsid w:val="00DC5018"/>
    <w:rsid w:val="00DC58C7"/>
    <w:rsid w:val="00DC5E93"/>
    <w:rsid w:val="00DC5FBE"/>
    <w:rsid w:val="00DC6383"/>
    <w:rsid w:val="00DC65CB"/>
    <w:rsid w:val="00DC7329"/>
    <w:rsid w:val="00DC73B0"/>
    <w:rsid w:val="00DC74A1"/>
    <w:rsid w:val="00DC75B6"/>
    <w:rsid w:val="00DC76B1"/>
    <w:rsid w:val="00DC78DA"/>
    <w:rsid w:val="00DD013C"/>
    <w:rsid w:val="00DD01A9"/>
    <w:rsid w:val="00DD0853"/>
    <w:rsid w:val="00DD093E"/>
    <w:rsid w:val="00DD16BB"/>
    <w:rsid w:val="00DD1D7D"/>
    <w:rsid w:val="00DD2F2D"/>
    <w:rsid w:val="00DD335C"/>
    <w:rsid w:val="00DD395C"/>
    <w:rsid w:val="00DD3C41"/>
    <w:rsid w:val="00DD3C96"/>
    <w:rsid w:val="00DD4763"/>
    <w:rsid w:val="00DD50DE"/>
    <w:rsid w:val="00DD5114"/>
    <w:rsid w:val="00DD5174"/>
    <w:rsid w:val="00DD5390"/>
    <w:rsid w:val="00DD54DF"/>
    <w:rsid w:val="00DD5590"/>
    <w:rsid w:val="00DD5A55"/>
    <w:rsid w:val="00DD614A"/>
    <w:rsid w:val="00DD63A9"/>
    <w:rsid w:val="00DD6DFD"/>
    <w:rsid w:val="00DD6F21"/>
    <w:rsid w:val="00DD762F"/>
    <w:rsid w:val="00DD7731"/>
    <w:rsid w:val="00DD7A00"/>
    <w:rsid w:val="00DD7AF6"/>
    <w:rsid w:val="00DD7EAA"/>
    <w:rsid w:val="00DE030B"/>
    <w:rsid w:val="00DE0716"/>
    <w:rsid w:val="00DE0A94"/>
    <w:rsid w:val="00DE0E5E"/>
    <w:rsid w:val="00DE11DF"/>
    <w:rsid w:val="00DE161F"/>
    <w:rsid w:val="00DE1791"/>
    <w:rsid w:val="00DE199B"/>
    <w:rsid w:val="00DE1BF3"/>
    <w:rsid w:val="00DE1C4A"/>
    <w:rsid w:val="00DE1C53"/>
    <w:rsid w:val="00DE2122"/>
    <w:rsid w:val="00DE225A"/>
    <w:rsid w:val="00DE2433"/>
    <w:rsid w:val="00DE2575"/>
    <w:rsid w:val="00DE314B"/>
    <w:rsid w:val="00DE3353"/>
    <w:rsid w:val="00DE35A0"/>
    <w:rsid w:val="00DE35E4"/>
    <w:rsid w:val="00DE364B"/>
    <w:rsid w:val="00DE3849"/>
    <w:rsid w:val="00DE43D2"/>
    <w:rsid w:val="00DE46A1"/>
    <w:rsid w:val="00DE638F"/>
    <w:rsid w:val="00DE643A"/>
    <w:rsid w:val="00DE66F7"/>
    <w:rsid w:val="00DE6B69"/>
    <w:rsid w:val="00DE6E61"/>
    <w:rsid w:val="00DE6E8E"/>
    <w:rsid w:val="00DE770C"/>
    <w:rsid w:val="00DE77D3"/>
    <w:rsid w:val="00DE7BAF"/>
    <w:rsid w:val="00DF0084"/>
    <w:rsid w:val="00DF012B"/>
    <w:rsid w:val="00DF013F"/>
    <w:rsid w:val="00DF02A4"/>
    <w:rsid w:val="00DF0C2E"/>
    <w:rsid w:val="00DF0EAF"/>
    <w:rsid w:val="00DF1EE5"/>
    <w:rsid w:val="00DF26B2"/>
    <w:rsid w:val="00DF274F"/>
    <w:rsid w:val="00DF29D6"/>
    <w:rsid w:val="00DF2BFB"/>
    <w:rsid w:val="00DF2FA6"/>
    <w:rsid w:val="00DF3831"/>
    <w:rsid w:val="00DF39BE"/>
    <w:rsid w:val="00DF3A65"/>
    <w:rsid w:val="00DF3A79"/>
    <w:rsid w:val="00DF4320"/>
    <w:rsid w:val="00DF487D"/>
    <w:rsid w:val="00DF4A29"/>
    <w:rsid w:val="00DF5004"/>
    <w:rsid w:val="00DF5344"/>
    <w:rsid w:val="00DF5391"/>
    <w:rsid w:val="00DF60C0"/>
    <w:rsid w:val="00DF657D"/>
    <w:rsid w:val="00DF681A"/>
    <w:rsid w:val="00DF6C3C"/>
    <w:rsid w:val="00DF6E17"/>
    <w:rsid w:val="00DF720A"/>
    <w:rsid w:val="00DF7420"/>
    <w:rsid w:val="00DF7605"/>
    <w:rsid w:val="00DF7C71"/>
    <w:rsid w:val="00DF7C82"/>
    <w:rsid w:val="00DF7EAD"/>
    <w:rsid w:val="00DF7F2C"/>
    <w:rsid w:val="00E00009"/>
    <w:rsid w:val="00E0018E"/>
    <w:rsid w:val="00E0052A"/>
    <w:rsid w:val="00E00F65"/>
    <w:rsid w:val="00E00FB3"/>
    <w:rsid w:val="00E015B0"/>
    <w:rsid w:val="00E0178A"/>
    <w:rsid w:val="00E01D22"/>
    <w:rsid w:val="00E01E77"/>
    <w:rsid w:val="00E021AE"/>
    <w:rsid w:val="00E021EA"/>
    <w:rsid w:val="00E0226B"/>
    <w:rsid w:val="00E0236A"/>
    <w:rsid w:val="00E0309C"/>
    <w:rsid w:val="00E033F3"/>
    <w:rsid w:val="00E03F62"/>
    <w:rsid w:val="00E04099"/>
    <w:rsid w:val="00E0458A"/>
    <w:rsid w:val="00E0469F"/>
    <w:rsid w:val="00E04A0F"/>
    <w:rsid w:val="00E04D1D"/>
    <w:rsid w:val="00E05582"/>
    <w:rsid w:val="00E05B3A"/>
    <w:rsid w:val="00E05F2B"/>
    <w:rsid w:val="00E0609B"/>
    <w:rsid w:val="00E060D4"/>
    <w:rsid w:val="00E06368"/>
    <w:rsid w:val="00E06ED0"/>
    <w:rsid w:val="00E072B2"/>
    <w:rsid w:val="00E07385"/>
    <w:rsid w:val="00E07A4B"/>
    <w:rsid w:val="00E07D70"/>
    <w:rsid w:val="00E07DF6"/>
    <w:rsid w:val="00E10001"/>
    <w:rsid w:val="00E10014"/>
    <w:rsid w:val="00E1001F"/>
    <w:rsid w:val="00E10119"/>
    <w:rsid w:val="00E1049C"/>
    <w:rsid w:val="00E1051F"/>
    <w:rsid w:val="00E10827"/>
    <w:rsid w:val="00E10C29"/>
    <w:rsid w:val="00E10D7C"/>
    <w:rsid w:val="00E117F6"/>
    <w:rsid w:val="00E11938"/>
    <w:rsid w:val="00E12532"/>
    <w:rsid w:val="00E129FC"/>
    <w:rsid w:val="00E12F4D"/>
    <w:rsid w:val="00E1341F"/>
    <w:rsid w:val="00E135A5"/>
    <w:rsid w:val="00E1392C"/>
    <w:rsid w:val="00E139CB"/>
    <w:rsid w:val="00E13A19"/>
    <w:rsid w:val="00E13E86"/>
    <w:rsid w:val="00E14013"/>
    <w:rsid w:val="00E14829"/>
    <w:rsid w:val="00E14A8E"/>
    <w:rsid w:val="00E14B67"/>
    <w:rsid w:val="00E14C5F"/>
    <w:rsid w:val="00E151D3"/>
    <w:rsid w:val="00E152F9"/>
    <w:rsid w:val="00E15319"/>
    <w:rsid w:val="00E157C5"/>
    <w:rsid w:val="00E1580C"/>
    <w:rsid w:val="00E15EA6"/>
    <w:rsid w:val="00E16296"/>
    <w:rsid w:val="00E163FD"/>
    <w:rsid w:val="00E16594"/>
    <w:rsid w:val="00E166A6"/>
    <w:rsid w:val="00E16818"/>
    <w:rsid w:val="00E16ACA"/>
    <w:rsid w:val="00E16B30"/>
    <w:rsid w:val="00E16F38"/>
    <w:rsid w:val="00E1718C"/>
    <w:rsid w:val="00E20A03"/>
    <w:rsid w:val="00E214D9"/>
    <w:rsid w:val="00E215EF"/>
    <w:rsid w:val="00E218E7"/>
    <w:rsid w:val="00E21BD5"/>
    <w:rsid w:val="00E22168"/>
    <w:rsid w:val="00E2238D"/>
    <w:rsid w:val="00E22721"/>
    <w:rsid w:val="00E22E51"/>
    <w:rsid w:val="00E23A9C"/>
    <w:rsid w:val="00E23C3E"/>
    <w:rsid w:val="00E23C85"/>
    <w:rsid w:val="00E23DCE"/>
    <w:rsid w:val="00E23F49"/>
    <w:rsid w:val="00E23F92"/>
    <w:rsid w:val="00E252BE"/>
    <w:rsid w:val="00E252D1"/>
    <w:rsid w:val="00E25425"/>
    <w:rsid w:val="00E25504"/>
    <w:rsid w:val="00E2571D"/>
    <w:rsid w:val="00E258F0"/>
    <w:rsid w:val="00E25B82"/>
    <w:rsid w:val="00E26440"/>
    <w:rsid w:val="00E2678D"/>
    <w:rsid w:val="00E26A7D"/>
    <w:rsid w:val="00E26B22"/>
    <w:rsid w:val="00E2746C"/>
    <w:rsid w:val="00E27878"/>
    <w:rsid w:val="00E27BBE"/>
    <w:rsid w:val="00E27DD1"/>
    <w:rsid w:val="00E27DDD"/>
    <w:rsid w:val="00E30015"/>
    <w:rsid w:val="00E3041C"/>
    <w:rsid w:val="00E308BB"/>
    <w:rsid w:val="00E30931"/>
    <w:rsid w:val="00E30B5E"/>
    <w:rsid w:val="00E31AF9"/>
    <w:rsid w:val="00E320FB"/>
    <w:rsid w:val="00E322FD"/>
    <w:rsid w:val="00E3270F"/>
    <w:rsid w:val="00E329D7"/>
    <w:rsid w:val="00E32E11"/>
    <w:rsid w:val="00E33022"/>
    <w:rsid w:val="00E33051"/>
    <w:rsid w:val="00E3335C"/>
    <w:rsid w:val="00E33998"/>
    <w:rsid w:val="00E3399C"/>
    <w:rsid w:val="00E33AF0"/>
    <w:rsid w:val="00E33F5A"/>
    <w:rsid w:val="00E33F96"/>
    <w:rsid w:val="00E34124"/>
    <w:rsid w:val="00E342BF"/>
    <w:rsid w:val="00E34367"/>
    <w:rsid w:val="00E34455"/>
    <w:rsid w:val="00E34ACA"/>
    <w:rsid w:val="00E34D0F"/>
    <w:rsid w:val="00E34EB1"/>
    <w:rsid w:val="00E35073"/>
    <w:rsid w:val="00E35339"/>
    <w:rsid w:val="00E355B3"/>
    <w:rsid w:val="00E3581A"/>
    <w:rsid w:val="00E358BC"/>
    <w:rsid w:val="00E358F0"/>
    <w:rsid w:val="00E35D01"/>
    <w:rsid w:val="00E35E97"/>
    <w:rsid w:val="00E36248"/>
    <w:rsid w:val="00E3653B"/>
    <w:rsid w:val="00E36ADA"/>
    <w:rsid w:val="00E36F39"/>
    <w:rsid w:val="00E37C9F"/>
    <w:rsid w:val="00E37E06"/>
    <w:rsid w:val="00E40153"/>
    <w:rsid w:val="00E401E4"/>
    <w:rsid w:val="00E40514"/>
    <w:rsid w:val="00E4078F"/>
    <w:rsid w:val="00E407B3"/>
    <w:rsid w:val="00E40A14"/>
    <w:rsid w:val="00E40B4D"/>
    <w:rsid w:val="00E40CF1"/>
    <w:rsid w:val="00E40F7D"/>
    <w:rsid w:val="00E411D6"/>
    <w:rsid w:val="00E41239"/>
    <w:rsid w:val="00E41336"/>
    <w:rsid w:val="00E4145B"/>
    <w:rsid w:val="00E41C14"/>
    <w:rsid w:val="00E41C62"/>
    <w:rsid w:val="00E4297F"/>
    <w:rsid w:val="00E42E45"/>
    <w:rsid w:val="00E42F92"/>
    <w:rsid w:val="00E431A1"/>
    <w:rsid w:val="00E43881"/>
    <w:rsid w:val="00E439E9"/>
    <w:rsid w:val="00E43D1B"/>
    <w:rsid w:val="00E43F36"/>
    <w:rsid w:val="00E443C4"/>
    <w:rsid w:val="00E44E51"/>
    <w:rsid w:val="00E45236"/>
    <w:rsid w:val="00E4525A"/>
    <w:rsid w:val="00E4575D"/>
    <w:rsid w:val="00E45E34"/>
    <w:rsid w:val="00E45F8A"/>
    <w:rsid w:val="00E46668"/>
    <w:rsid w:val="00E47643"/>
    <w:rsid w:val="00E50351"/>
    <w:rsid w:val="00E508EA"/>
    <w:rsid w:val="00E50E81"/>
    <w:rsid w:val="00E50F0B"/>
    <w:rsid w:val="00E514D8"/>
    <w:rsid w:val="00E514E0"/>
    <w:rsid w:val="00E514FC"/>
    <w:rsid w:val="00E51639"/>
    <w:rsid w:val="00E51846"/>
    <w:rsid w:val="00E5191D"/>
    <w:rsid w:val="00E524AE"/>
    <w:rsid w:val="00E52D15"/>
    <w:rsid w:val="00E5372D"/>
    <w:rsid w:val="00E53D3A"/>
    <w:rsid w:val="00E53F45"/>
    <w:rsid w:val="00E541B0"/>
    <w:rsid w:val="00E54215"/>
    <w:rsid w:val="00E54770"/>
    <w:rsid w:val="00E5488C"/>
    <w:rsid w:val="00E5513B"/>
    <w:rsid w:val="00E55708"/>
    <w:rsid w:val="00E55B05"/>
    <w:rsid w:val="00E56193"/>
    <w:rsid w:val="00E567CF"/>
    <w:rsid w:val="00E5695B"/>
    <w:rsid w:val="00E56B89"/>
    <w:rsid w:val="00E56C3F"/>
    <w:rsid w:val="00E56E84"/>
    <w:rsid w:val="00E5712E"/>
    <w:rsid w:val="00E576DA"/>
    <w:rsid w:val="00E57974"/>
    <w:rsid w:val="00E60187"/>
    <w:rsid w:val="00E607F2"/>
    <w:rsid w:val="00E609A3"/>
    <w:rsid w:val="00E6107F"/>
    <w:rsid w:val="00E610B7"/>
    <w:rsid w:val="00E61180"/>
    <w:rsid w:val="00E6161E"/>
    <w:rsid w:val="00E61B23"/>
    <w:rsid w:val="00E61BEF"/>
    <w:rsid w:val="00E62014"/>
    <w:rsid w:val="00E620B3"/>
    <w:rsid w:val="00E62614"/>
    <w:rsid w:val="00E628A3"/>
    <w:rsid w:val="00E62A98"/>
    <w:rsid w:val="00E63246"/>
    <w:rsid w:val="00E64552"/>
    <w:rsid w:val="00E64CD6"/>
    <w:rsid w:val="00E650AC"/>
    <w:rsid w:val="00E652E6"/>
    <w:rsid w:val="00E65E35"/>
    <w:rsid w:val="00E6618B"/>
    <w:rsid w:val="00E670E2"/>
    <w:rsid w:val="00E67484"/>
    <w:rsid w:val="00E67BC2"/>
    <w:rsid w:val="00E67CBA"/>
    <w:rsid w:val="00E67CC2"/>
    <w:rsid w:val="00E67F4B"/>
    <w:rsid w:val="00E701D5"/>
    <w:rsid w:val="00E7038B"/>
    <w:rsid w:val="00E7040B"/>
    <w:rsid w:val="00E70A2A"/>
    <w:rsid w:val="00E70D30"/>
    <w:rsid w:val="00E720F0"/>
    <w:rsid w:val="00E72100"/>
    <w:rsid w:val="00E7215F"/>
    <w:rsid w:val="00E72290"/>
    <w:rsid w:val="00E7294E"/>
    <w:rsid w:val="00E735C8"/>
    <w:rsid w:val="00E7368A"/>
    <w:rsid w:val="00E7380C"/>
    <w:rsid w:val="00E74660"/>
    <w:rsid w:val="00E748CE"/>
    <w:rsid w:val="00E74ADD"/>
    <w:rsid w:val="00E74E5E"/>
    <w:rsid w:val="00E75122"/>
    <w:rsid w:val="00E75252"/>
    <w:rsid w:val="00E75275"/>
    <w:rsid w:val="00E76689"/>
    <w:rsid w:val="00E76B5B"/>
    <w:rsid w:val="00E771A0"/>
    <w:rsid w:val="00E77489"/>
    <w:rsid w:val="00E77AA6"/>
    <w:rsid w:val="00E77AC9"/>
    <w:rsid w:val="00E77BDE"/>
    <w:rsid w:val="00E8013B"/>
    <w:rsid w:val="00E8023C"/>
    <w:rsid w:val="00E803EE"/>
    <w:rsid w:val="00E81F59"/>
    <w:rsid w:val="00E825B4"/>
    <w:rsid w:val="00E825E2"/>
    <w:rsid w:val="00E83562"/>
    <w:rsid w:val="00E83665"/>
    <w:rsid w:val="00E83D13"/>
    <w:rsid w:val="00E83D25"/>
    <w:rsid w:val="00E84120"/>
    <w:rsid w:val="00E841FD"/>
    <w:rsid w:val="00E84F73"/>
    <w:rsid w:val="00E85178"/>
    <w:rsid w:val="00E85DCC"/>
    <w:rsid w:val="00E85EB7"/>
    <w:rsid w:val="00E86928"/>
    <w:rsid w:val="00E8694E"/>
    <w:rsid w:val="00E87244"/>
    <w:rsid w:val="00E8789D"/>
    <w:rsid w:val="00E87A20"/>
    <w:rsid w:val="00E87BB8"/>
    <w:rsid w:val="00E87BE0"/>
    <w:rsid w:val="00E87E1E"/>
    <w:rsid w:val="00E90091"/>
    <w:rsid w:val="00E90D2A"/>
    <w:rsid w:val="00E90DAA"/>
    <w:rsid w:val="00E91197"/>
    <w:rsid w:val="00E9165A"/>
    <w:rsid w:val="00E91C83"/>
    <w:rsid w:val="00E91CE4"/>
    <w:rsid w:val="00E922D1"/>
    <w:rsid w:val="00E92488"/>
    <w:rsid w:val="00E9286A"/>
    <w:rsid w:val="00E92FE5"/>
    <w:rsid w:val="00E9318F"/>
    <w:rsid w:val="00E93365"/>
    <w:rsid w:val="00E936A0"/>
    <w:rsid w:val="00E9390D"/>
    <w:rsid w:val="00E939DE"/>
    <w:rsid w:val="00E94035"/>
    <w:rsid w:val="00E94DB3"/>
    <w:rsid w:val="00E953DD"/>
    <w:rsid w:val="00E95977"/>
    <w:rsid w:val="00E95BB1"/>
    <w:rsid w:val="00E95F1F"/>
    <w:rsid w:val="00E960E8"/>
    <w:rsid w:val="00E9669C"/>
    <w:rsid w:val="00E967BE"/>
    <w:rsid w:val="00E9693C"/>
    <w:rsid w:val="00E97D0F"/>
    <w:rsid w:val="00EA0151"/>
    <w:rsid w:val="00EA0364"/>
    <w:rsid w:val="00EA0509"/>
    <w:rsid w:val="00EA0823"/>
    <w:rsid w:val="00EA0B11"/>
    <w:rsid w:val="00EA0BE9"/>
    <w:rsid w:val="00EA0D5D"/>
    <w:rsid w:val="00EA0F29"/>
    <w:rsid w:val="00EA1063"/>
    <w:rsid w:val="00EA117A"/>
    <w:rsid w:val="00EA13D9"/>
    <w:rsid w:val="00EA158F"/>
    <w:rsid w:val="00EA15F2"/>
    <w:rsid w:val="00EA1C17"/>
    <w:rsid w:val="00EA2CFD"/>
    <w:rsid w:val="00EA2EDC"/>
    <w:rsid w:val="00EA2FF7"/>
    <w:rsid w:val="00EA318E"/>
    <w:rsid w:val="00EA37DE"/>
    <w:rsid w:val="00EA3BAE"/>
    <w:rsid w:val="00EA3E07"/>
    <w:rsid w:val="00EA413C"/>
    <w:rsid w:val="00EA4357"/>
    <w:rsid w:val="00EA44E6"/>
    <w:rsid w:val="00EA491E"/>
    <w:rsid w:val="00EA525D"/>
    <w:rsid w:val="00EA59BD"/>
    <w:rsid w:val="00EA5BEB"/>
    <w:rsid w:val="00EA5CA0"/>
    <w:rsid w:val="00EA5E2F"/>
    <w:rsid w:val="00EA5EAB"/>
    <w:rsid w:val="00EA626A"/>
    <w:rsid w:val="00EA693B"/>
    <w:rsid w:val="00EA6B0B"/>
    <w:rsid w:val="00EA6C49"/>
    <w:rsid w:val="00EA6CBA"/>
    <w:rsid w:val="00EA6DCC"/>
    <w:rsid w:val="00EA6EC0"/>
    <w:rsid w:val="00EA7062"/>
    <w:rsid w:val="00EA72CC"/>
    <w:rsid w:val="00EA77E6"/>
    <w:rsid w:val="00EA7840"/>
    <w:rsid w:val="00EB0DC2"/>
    <w:rsid w:val="00EB0E14"/>
    <w:rsid w:val="00EB0E82"/>
    <w:rsid w:val="00EB0F5C"/>
    <w:rsid w:val="00EB140F"/>
    <w:rsid w:val="00EB1CFE"/>
    <w:rsid w:val="00EB1EE4"/>
    <w:rsid w:val="00EB1F5A"/>
    <w:rsid w:val="00EB2142"/>
    <w:rsid w:val="00EB2792"/>
    <w:rsid w:val="00EB4A1C"/>
    <w:rsid w:val="00EB4D7B"/>
    <w:rsid w:val="00EB4F5B"/>
    <w:rsid w:val="00EB5013"/>
    <w:rsid w:val="00EB5470"/>
    <w:rsid w:val="00EB5651"/>
    <w:rsid w:val="00EB5AAA"/>
    <w:rsid w:val="00EB5BA3"/>
    <w:rsid w:val="00EB60B1"/>
    <w:rsid w:val="00EB63C5"/>
    <w:rsid w:val="00EB66D3"/>
    <w:rsid w:val="00EB6BC0"/>
    <w:rsid w:val="00EB6FFB"/>
    <w:rsid w:val="00EB7437"/>
    <w:rsid w:val="00EB78BA"/>
    <w:rsid w:val="00EB7CF4"/>
    <w:rsid w:val="00EB7E49"/>
    <w:rsid w:val="00EB7E8D"/>
    <w:rsid w:val="00EC041B"/>
    <w:rsid w:val="00EC09B5"/>
    <w:rsid w:val="00EC0F7C"/>
    <w:rsid w:val="00EC0FDE"/>
    <w:rsid w:val="00EC153B"/>
    <w:rsid w:val="00EC15D7"/>
    <w:rsid w:val="00EC191F"/>
    <w:rsid w:val="00EC1E36"/>
    <w:rsid w:val="00EC23F9"/>
    <w:rsid w:val="00EC273A"/>
    <w:rsid w:val="00EC2C96"/>
    <w:rsid w:val="00EC2E98"/>
    <w:rsid w:val="00EC386D"/>
    <w:rsid w:val="00EC39AF"/>
    <w:rsid w:val="00EC3F18"/>
    <w:rsid w:val="00EC41FA"/>
    <w:rsid w:val="00EC519D"/>
    <w:rsid w:val="00EC529F"/>
    <w:rsid w:val="00EC578D"/>
    <w:rsid w:val="00EC5BE9"/>
    <w:rsid w:val="00EC5EFC"/>
    <w:rsid w:val="00EC6021"/>
    <w:rsid w:val="00EC6B64"/>
    <w:rsid w:val="00EC797B"/>
    <w:rsid w:val="00EC7A0A"/>
    <w:rsid w:val="00EC7B63"/>
    <w:rsid w:val="00ED0111"/>
    <w:rsid w:val="00ED04F8"/>
    <w:rsid w:val="00ED06FF"/>
    <w:rsid w:val="00ED08A5"/>
    <w:rsid w:val="00ED0D63"/>
    <w:rsid w:val="00ED137F"/>
    <w:rsid w:val="00ED14F7"/>
    <w:rsid w:val="00ED1538"/>
    <w:rsid w:val="00ED1A33"/>
    <w:rsid w:val="00ED1A3B"/>
    <w:rsid w:val="00ED1C28"/>
    <w:rsid w:val="00ED1CEC"/>
    <w:rsid w:val="00ED2060"/>
    <w:rsid w:val="00ED23FB"/>
    <w:rsid w:val="00ED2519"/>
    <w:rsid w:val="00ED25ED"/>
    <w:rsid w:val="00ED2A1C"/>
    <w:rsid w:val="00ED2A57"/>
    <w:rsid w:val="00ED2DED"/>
    <w:rsid w:val="00ED33AE"/>
    <w:rsid w:val="00ED381A"/>
    <w:rsid w:val="00ED38C6"/>
    <w:rsid w:val="00ED3B6E"/>
    <w:rsid w:val="00ED4809"/>
    <w:rsid w:val="00ED4CDE"/>
    <w:rsid w:val="00ED50C5"/>
    <w:rsid w:val="00ED50DE"/>
    <w:rsid w:val="00ED53FE"/>
    <w:rsid w:val="00ED5ADD"/>
    <w:rsid w:val="00ED5BF3"/>
    <w:rsid w:val="00ED5E2A"/>
    <w:rsid w:val="00ED6553"/>
    <w:rsid w:val="00ED6583"/>
    <w:rsid w:val="00ED6792"/>
    <w:rsid w:val="00ED7265"/>
    <w:rsid w:val="00EE05F7"/>
    <w:rsid w:val="00EE09AE"/>
    <w:rsid w:val="00EE0EEE"/>
    <w:rsid w:val="00EE1242"/>
    <w:rsid w:val="00EE12DA"/>
    <w:rsid w:val="00EE16D2"/>
    <w:rsid w:val="00EE1ACA"/>
    <w:rsid w:val="00EE2115"/>
    <w:rsid w:val="00EE2183"/>
    <w:rsid w:val="00EE2566"/>
    <w:rsid w:val="00EE25BD"/>
    <w:rsid w:val="00EE33B4"/>
    <w:rsid w:val="00EE34AB"/>
    <w:rsid w:val="00EE362E"/>
    <w:rsid w:val="00EE391C"/>
    <w:rsid w:val="00EE3BD7"/>
    <w:rsid w:val="00EE3F2A"/>
    <w:rsid w:val="00EE435A"/>
    <w:rsid w:val="00EE43EF"/>
    <w:rsid w:val="00EE4D48"/>
    <w:rsid w:val="00EE4EEE"/>
    <w:rsid w:val="00EE57B4"/>
    <w:rsid w:val="00EE7A5E"/>
    <w:rsid w:val="00EF01F5"/>
    <w:rsid w:val="00EF03AC"/>
    <w:rsid w:val="00EF056A"/>
    <w:rsid w:val="00EF060C"/>
    <w:rsid w:val="00EF0DEE"/>
    <w:rsid w:val="00EF0F19"/>
    <w:rsid w:val="00EF1431"/>
    <w:rsid w:val="00EF1648"/>
    <w:rsid w:val="00EF193F"/>
    <w:rsid w:val="00EF1AA6"/>
    <w:rsid w:val="00EF213C"/>
    <w:rsid w:val="00EF2BFC"/>
    <w:rsid w:val="00EF3251"/>
    <w:rsid w:val="00EF3377"/>
    <w:rsid w:val="00EF3583"/>
    <w:rsid w:val="00EF35A2"/>
    <w:rsid w:val="00EF39BF"/>
    <w:rsid w:val="00EF3BC7"/>
    <w:rsid w:val="00EF3F8F"/>
    <w:rsid w:val="00EF4540"/>
    <w:rsid w:val="00EF47F3"/>
    <w:rsid w:val="00EF482A"/>
    <w:rsid w:val="00EF4A0C"/>
    <w:rsid w:val="00EF5012"/>
    <w:rsid w:val="00EF5133"/>
    <w:rsid w:val="00EF51CA"/>
    <w:rsid w:val="00EF5E1D"/>
    <w:rsid w:val="00EF5F6B"/>
    <w:rsid w:val="00EF66D9"/>
    <w:rsid w:val="00EF6B50"/>
    <w:rsid w:val="00EF701B"/>
    <w:rsid w:val="00EF70EE"/>
    <w:rsid w:val="00EF77A4"/>
    <w:rsid w:val="00EF7C4D"/>
    <w:rsid w:val="00EF7E2E"/>
    <w:rsid w:val="00EF7EEE"/>
    <w:rsid w:val="00F000E4"/>
    <w:rsid w:val="00F00215"/>
    <w:rsid w:val="00F00A36"/>
    <w:rsid w:val="00F00B47"/>
    <w:rsid w:val="00F014A7"/>
    <w:rsid w:val="00F015AA"/>
    <w:rsid w:val="00F02206"/>
    <w:rsid w:val="00F02E0B"/>
    <w:rsid w:val="00F033C6"/>
    <w:rsid w:val="00F03AC4"/>
    <w:rsid w:val="00F03DA5"/>
    <w:rsid w:val="00F03F48"/>
    <w:rsid w:val="00F0419C"/>
    <w:rsid w:val="00F046AB"/>
    <w:rsid w:val="00F0475F"/>
    <w:rsid w:val="00F04A2C"/>
    <w:rsid w:val="00F04B52"/>
    <w:rsid w:val="00F05172"/>
    <w:rsid w:val="00F058F6"/>
    <w:rsid w:val="00F05FEA"/>
    <w:rsid w:val="00F063B1"/>
    <w:rsid w:val="00F0660D"/>
    <w:rsid w:val="00F066BC"/>
    <w:rsid w:val="00F06DC9"/>
    <w:rsid w:val="00F07279"/>
    <w:rsid w:val="00F078D9"/>
    <w:rsid w:val="00F07C47"/>
    <w:rsid w:val="00F100DC"/>
    <w:rsid w:val="00F10152"/>
    <w:rsid w:val="00F102BB"/>
    <w:rsid w:val="00F10550"/>
    <w:rsid w:val="00F106A4"/>
    <w:rsid w:val="00F110A8"/>
    <w:rsid w:val="00F1236D"/>
    <w:rsid w:val="00F12ACF"/>
    <w:rsid w:val="00F1343C"/>
    <w:rsid w:val="00F134E6"/>
    <w:rsid w:val="00F13AE9"/>
    <w:rsid w:val="00F13B37"/>
    <w:rsid w:val="00F13C4C"/>
    <w:rsid w:val="00F1420B"/>
    <w:rsid w:val="00F14254"/>
    <w:rsid w:val="00F1448B"/>
    <w:rsid w:val="00F14C3C"/>
    <w:rsid w:val="00F14D26"/>
    <w:rsid w:val="00F155CC"/>
    <w:rsid w:val="00F15852"/>
    <w:rsid w:val="00F1625F"/>
    <w:rsid w:val="00F16277"/>
    <w:rsid w:val="00F16FE8"/>
    <w:rsid w:val="00F174AC"/>
    <w:rsid w:val="00F17625"/>
    <w:rsid w:val="00F20070"/>
    <w:rsid w:val="00F20B82"/>
    <w:rsid w:val="00F2153D"/>
    <w:rsid w:val="00F21643"/>
    <w:rsid w:val="00F21E6E"/>
    <w:rsid w:val="00F220AF"/>
    <w:rsid w:val="00F22A52"/>
    <w:rsid w:val="00F23144"/>
    <w:rsid w:val="00F231FB"/>
    <w:rsid w:val="00F234BB"/>
    <w:rsid w:val="00F242F0"/>
    <w:rsid w:val="00F243B9"/>
    <w:rsid w:val="00F244F4"/>
    <w:rsid w:val="00F24500"/>
    <w:rsid w:val="00F24867"/>
    <w:rsid w:val="00F248EE"/>
    <w:rsid w:val="00F24E02"/>
    <w:rsid w:val="00F24F98"/>
    <w:rsid w:val="00F24FD1"/>
    <w:rsid w:val="00F251D8"/>
    <w:rsid w:val="00F257E8"/>
    <w:rsid w:val="00F258F9"/>
    <w:rsid w:val="00F25C1A"/>
    <w:rsid w:val="00F25CF6"/>
    <w:rsid w:val="00F26D29"/>
    <w:rsid w:val="00F277CC"/>
    <w:rsid w:val="00F30079"/>
    <w:rsid w:val="00F300B2"/>
    <w:rsid w:val="00F307B4"/>
    <w:rsid w:val="00F30E42"/>
    <w:rsid w:val="00F3227A"/>
    <w:rsid w:val="00F32966"/>
    <w:rsid w:val="00F32BB7"/>
    <w:rsid w:val="00F32CFA"/>
    <w:rsid w:val="00F32EBA"/>
    <w:rsid w:val="00F3389B"/>
    <w:rsid w:val="00F33AAA"/>
    <w:rsid w:val="00F33AE7"/>
    <w:rsid w:val="00F342AD"/>
    <w:rsid w:val="00F342B3"/>
    <w:rsid w:val="00F34876"/>
    <w:rsid w:val="00F3502B"/>
    <w:rsid w:val="00F35118"/>
    <w:rsid w:val="00F35A74"/>
    <w:rsid w:val="00F36936"/>
    <w:rsid w:val="00F36BC5"/>
    <w:rsid w:val="00F36D60"/>
    <w:rsid w:val="00F36D9C"/>
    <w:rsid w:val="00F377A7"/>
    <w:rsid w:val="00F37F14"/>
    <w:rsid w:val="00F404B6"/>
    <w:rsid w:val="00F40501"/>
    <w:rsid w:val="00F40847"/>
    <w:rsid w:val="00F408D9"/>
    <w:rsid w:val="00F40FA7"/>
    <w:rsid w:val="00F411C4"/>
    <w:rsid w:val="00F41280"/>
    <w:rsid w:val="00F412D3"/>
    <w:rsid w:val="00F41BEA"/>
    <w:rsid w:val="00F424BF"/>
    <w:rsid w:val="00F426F8"/>
    <w:rsid w:val="00F432A1"/>
    <w:rsid w:val="00F43AB0"/>
    <w:rsid w:val="00F44F95"/>
    <w:rsid w:val="00F45149"/>
    <w:rsid w:val="00F4533D"/>
    <w:rsid w:val="00F4539C"/>
    <w:rsid w:val="00F45557"/>
    <w:rsid w:val="00F47FCB"/>
    <w:rsid w:val="00F50238"/>
    <w:rsid w:val="00F502C0"/>
    <w:rsid w:val="00F50770"/>
    <w:rsid w:val="00F51382"/>
    <w:rsid w:val="00F514A0"/>
    <w:rsid w:val="00F5154E"/>
    <w:rsid w:val="00F5287D"/>
    <w:rsid w:val="00F52BCB"/>
    <w:rsid w:val="00F52C6E"/>
    <w:rsid w:val="00F540AF"/>
    <w:rsid w:val="00F54716"/>
    <w:rsid w:val="00F547D3"/>
    <w:rsid w:val="00F54C29"/>
    <w:rsid w:val="00F54CC8"/>
    <w:rsid w:val="00F55309"/>
    <w:rsid w:val="00F55B79"/>
    <w:rsid w:val="00F55E48"/>
    <w:rsid w:val="00F5668D"/>
    <w:rsid w:val="00F56F94"/>
    <w:rsid w:val="00F578D3"/>
    <w:rsid w:val="00F579E1"/>
    <w:rsid w:val="00F57B4C"/>
    <w:rsid w:val="00F57FBC"/>
    <w:rsid w:val="00F60133"/>
    <w:rsid w:val="00F60666"/>
    <w:rsid w:val="00F606F4"/>
    <w:rsid w:val="00F6143E"/>
    <w:rsid w:val="00F617BB"/>
    <w:rsid w:val="00F61C07"/>
    <w:rsid w:val="00F61E6E"/>
    <w:rsid w:val="00F61EB3"/>
    <w:rsid w:val="00F62456"/>
    <w:rsid w:val="00F626C9"/>
    <w:rsid w:val="00F62B6E"/>
    <w:rsid w:val="00F62C4F"/>
    <w:rsid w:val="00F62DEC"/>
    <w:rsid w:val="00F62F32"/>
    <w:rsid w:val="00F63B00"/>
    <w:rsid w:val="00F64190"/>
    <w:rsid w:val="00F64946"/>
    <w:rsid w:val="00F64953"/>
    <w:rsid w:val="00F649E6"/>
    <w:rsid w:val="00F64CA2"/>
    <w:rsid w:val="00F64FAA"/>
    <w:rsid w:val="00F662BC"/>
    <w:rsid w:val="00F66401"/>
    <w:rsid w:val="00F66FBE"/>
    <w:rsid w:val="00F67489"/>
    <w:rsid w:val="00F676B6"/>
    <w:rsid w:val="00F679E9"/>
    <w:rsid w:val="00F70250"/>
    <w:rsid w:val="00F709B4"/>
    <w:rsid w:val="00F70EF8"/>
    <w:rsid w:val="00F7139A"/>
    <w:rsid w:val="00F71E5D"/>
    <w:rsid w:val="00F72641"/>
    <w:rsid w:val="00F7264C"/>
    <w:rsid w:val="00F72EFE"/>
    <w:rsid w:val="00F72F55"/>
    <w:rsid w:val="00F73283"/>
    <w:rsid w:val="00F738BD"/>
    <w:rsid w:val="00F73FF5"/>
    <w:rsid w:val="00F7452B"/>
    <w:rsid w:val="00F74677"/>
    <w:rsid w:val="00F74DD4"/>
    <w:rsid w:val="00F74FC5"/>
    <w:rsid w:val="00F7509A"/>
    <w:rsid w:val="00F755C1"/>
    <w:rsid w:val="00F75895"/>
    <w:rsid w:val="00F75D15"/>
    <w:rsid w:val="00F76297"/>
    <w:rsid w:val="00F769CA"/>
    <w:rsid w:val="00F769F3"/>
    <w:rsid w:val="00F770BF"/>
    <w:rsid w:val="00F7779F"/>
    <w:rsid w:val="00F778C2"/>
    <w:rsid w:val="00F77C98"/>
    <w:rsid w:val="00F801C4"/>
    <w:rsid w:val="00F8064D"/>
    <w:rsid w:val="00F80B99"/>
    <w:rsid w:val="00F81008"/>
    <w:rsid w:val="00F81024"/>
    <w:rsid w:val="00F8148C"/>
    <w:rsid w:val="00F81F97"/>
    <w:rsid w:val="00F82051"/>
    <w:rsid w:val="00F820E6"/>
    <w:rsid w:val="00F82B29"/>
    <w:rsid w:val="00F82FE0"/>
    <w:rsid w:val="00F82FF5"/>
    <w:rsid w:val="00F836A2"/>
    <w:rsid w:val="00F837B0"/>
    <w:rsid w:val="00F83944"/>
    <w:rsid w:val="00F83A94"/>
    <w:rsid w:val="00F83E12"/>
    <w:rsid w:val="00F83E40"/>
    <w:rsid w:val="00F84781"/>
    <w:rsid w:val="00F86216"/>
    <w:rsid w:val="00F8656F"/>
    <w:rsid w:val="00F86E5E"/>
    <w:rsid w:val="00F872E9"/>
    <w:rsid w:val="00F877B2"/>
    <w:rsid w:val="00F87BFD"/>
    <w:rsid w:val="00F87E8B"/>
    <w:rsid w:val="00F908A5"/>
    <w:rsid w:val="00F90E04"/>
    <w:rsid w:val="00F90E1A"/>
    <w:rsid w:val="00F90FA6"/>
    <w:rsid w:val="00F91157"/>
    <w:rsid w:val="00F9155F"/>
    <w:rsid w:val="00F922A1"/>
    <w:rsid w:val="00F926B4"/>
    <w:rsid w:val="00F92946"/>
    <w:rsid w:val="00F93029"/>
    <w:rsid w:val="00F93031"/>
    <w:rsid w:val="00F93A9A"/>
    <w:rsid w:val="00F941B1"/>
    <w:rsid w:val="00F9460F"/>
    <w:rsid w:val="00F947CD"/>
    <w:rsid w:val="00F94A07"/>
    <w:rsid w:val="00F94A1C"/>
    <w:rsid w:val="00F9551C"/>
    <w:rsid w:val="00F9585B"/>
    <w:rsid w:val="00F96468"/>
    <w:rsid w:val="00F966B5"/>
    <w:rsid w:val="00F969E0"/>
    <w:rsid w:val="00F96BE0"/>
    <w:rsid w:val="00F971AA"/>
    <w:rsid w:val="00F97502"/>
    <w:rsid w:val="00F97749"/>
    <w:rsid w:val="00F97900"/>
    <w:rsid w:val="00F979FB"/>
    <w:rsid w:val="00FA0680"/>
    <w:rsid w:val="00FA0849"/>
    <w:rsid w:val="00FA0C29"/>
    <w:rsid w:val="00FA0C34"/>
    <w:rsid w:val="00FA14FB"/>
    <w:rsid w:val="00FA1550"/>
    <w:rsid w:val="00FA1A06"/>
    <w:rsid w:val="00FA2077"/>
    <w:rsid w:val="00FA25D4"/>
    <w:rsid w:val="00FA31A2"/>
    <w:rsid w:val="00FA32A2"/>
    <w:rsid w:val="00FA35E6"/>
    <w:rsid w:val="00FA38E3"/>
    <w:rsid w:val="00FA39A5"/>
    <w:rsid w:val="00FA3DF0"/>
    <w:rsid w:val="00FA47DD"/>
    <w:rsid w:val="00FA49C6"/>
    <w:rsid w:val="00FA4C26"/>
    <w:rsid w:val="00FA51BC"/>
    <w:rsid w:val="00FA5627"/>
    <w:rsid w:val="00FA57E1"/>
    <w:rsid w:val="00FA5BD0"/>
    <w:rsid w:val="00FA5C8A"/>
    <w:rsid w:val="00FA5D72"/>
    <w:rsid w:val="00FA658C"/>
    <w:rsid w:val="00FA6E0C"/>
    <w:rsid w:val="00FA6EE5"/>
    <w:rsid w:val="00FA7195"/>
    <w:rsid w:val="00FA741F"/>
    <w:rsid w:val="00FA755E"/>
    <w:rsid w:val="00FA78DD"/>
    <w:rsid w:val="00FA7BD2"/>
    <w:rsid w:val="00FA7BE8"/>
    <w:rsid w:val="00FA7C39"/>
    <w:rsid w:val="00FA7EBA"/>
    <w:rsid w:val="00FB03C3"/>
    <w:rsid w:val="00FB0B36"/>
    <w:rsid w:val="00FB147B"/>
    <w:rsid w:val="00FB14DC"/>
    <w:rsid w:val="00FB16F1"/>
    <w:rsid w:val="00FB18B8"/>
    <w:rsid w:val="00FB1A77"/>
    <w:rsid w:val="00FB278D"/>
    <w:rsid w:val="00FB27A2"/>
    <w:rsid w:val="00FB2FD4"/>
    <w:rsid w:val="00FB3744"/>
    <w:rsid w:val="00FB378D"/>
    <w:rsid w:val="00FB38AA"/>
    <w:rsid w:val="00FB3A60"/>
    <w:rsid w:val="00FB47F8"/>
    <w:rsid w:val="00FB4BC6"/>
    <w:rsid w:val="00FB5217"/>
    <w:rsid w:val="00FB5352"/>
    <w:rsid w:val="00FB5776"/>
    <w:rsid w:val="00FB5ADC"/>
    <w:rsid w:val="00FB5D73"/>
    <w:rsid w:val="00FB6B0C"/>
    <w:rsid w:val="00FB723B"/>
    <w:rsid w:val="00FB7C66"/>
    <w:rsid w:val="00FC0385"/>
    <w:rsid w:val="00FC0CB8"/>
    <w:rsid w:val="00FC0CD1"/>
    <w:rsid w:val="00FC0F61"/>
    <w:rsid w:val="00FC1385"/>
    <w:rsid w:val="00FC13C1"/>
    <w:rsid w:val="00FC142C"/>
    <w:rsid w:val="00FC15FB"/>
    <w:rsid w:val="00FC1A81"/>
    <w:rsid w:val="00FC1A9C"/>
    <w:rsid w:val="00FC1B3D"/>
    <w:rsid w:val="00FC20E1"/>
    <w:rsid w:val="00FC2509"/>
    <w:rsid w:val="00FC2797"/>
    <w:rsid w:val="00FC2950"/>
    <w:rsid w:val="00FC2CDC"/>
    <w:rsid w:val="00FC3282"/>
    <w:rsid w:val="00FC3393"/>
    <w:rsid w:val="00FC39BC"/>
    <w:rsid w:val="00FC3B5A"/>
    <w:rsid w:val="00FC42D9"/>
    <w:rsid w:val="00FC4524"/>
    <w:rsid w:val="00FC55C1"/>
    <w:rsid w:val="00FC569A"/>
    <w:rsid w:val="00FC57A4"/>
    <w:rsid w:val="00FC582E"/>
    <w:rsid w:val="00FC596E"/>
    <w:rsid w:val="00FC5ADE"/>
    <w:rsid w:val="00FC6CC7"/>
    <w:rsid w:val="00FC73A2"/>
    <w:rsid w:val="00FC7BDB"/>
    <w:rsid w:val="00FD0000"/>
    <w:rsid w:val="00FD085D"/>
    <w:rsid w:val="00FD0A81"/>
    <w:rsid w:val="00FD0F76"/>
    <w:rsid w:val="00FD179E"/>
    <w:rsid w:val="00FD1D1E"/>
    <w:rsid w:val="00FD2380"/>
    <w:rsid w:val="00FD2C38"/>
    <w:rsid w:val="00FD34BF"/>
    <w:rsid w:val="00FD3B26"/>
    <w:rsid w:val="00FD4304"/>
    <w:rsid w:val="00FD432C"/>
    <w:rsid w:val="00FD4608"/>
    <w:rsid w:val="00FD4819"/>
    <w:rsid w:val="00FD484E"/>
    <w:rsid w:val="00FD5290"/>
    <w:rsid w:val="00FD58D6"/>
    <w:rsid w:val="00FD5CD2"/>
    <w:rsid w:val="00FD5E32"/>
    <w:rsid w:val="00FD5EEE"/>
    <w:rsid w:val="00FD7AF3"/>
    <w:rsid w:val="00FD7E19"/>
    <w:rsid w:val="00FD7E34"/>
    <w:rsid w:val="00FE05B4"/>
    <w:rsid w:val="00FE1258"/>
    <w:rsid w:val="00FE12F0"/>
    <w:rsid w:val="00FE16B0"/>
    <w:rsid w:val="00FE18C9"/>
    <w:rsid w:val="00FE1D84"/>
    <w:rsid w:val="00FE1FCD"/>
    <w:rsid w:val="00FE227E"/>
    <w:rsid w:val="00FE2561"/>
    <w:rsid w:val="00FE25C2"/>
    <w:rsid w:val="00FE2BB1"/>
    <w:rsid w:val="00FE2D19"/>
    <w:rsid w:val="00FE340D"/>
    <w:rsid w:val="00FE360C"/>
    <w:rsid w:val="00FE3C04"/>
    <w:rsid w:val="00FE42D5"/>
    <w:rsid w:val="00FE4416"/>
    <w:rsid w:val="00FE49E1"/>
    <w:rsid w:val="00FE4B3C"/>
    <w:rsid w:val="00FE4DCA"/>
    <w:rsid w:val="00FE5774"/>
    <w:rsid w:val="00FE580A"/>
    <w:rsid w:val="00FE5827"/>
    <w:rsid w:val="00FE5861"/>
    <w:rsid w:val="00FE5A09"/>
    <w:rsid w:val="00FE5AB8"/>
    <w:rsid w:val="00FE5B47"/>
    <w:rsid w:val="00FE690F"/>
    <w:rsid w:val="00FE695E"/>
    <w:rsid w:val="00FE696C"/>
    <w:rsid w:val="00FE69CA"/>
    <w:rsid w:val="00FE7333"/>
    <w:rsid w:val="00FE7629"/>
    <w:rsid w:val="00FE7A61"/>
    <w:rsid w:val="00FF01C8"/>
    <w:rsid w:val="00FF0276"/>
    <w:rsid w:val="00FF047D"/>
    <w:rsid w:val="00FF132B"/>
    <w:rsid w:val="00FF135A"/>
    <w:rsid w:val="00FF13C1"/>
    <w:rsid w:val="00FF1E3D"/>
    <w:rsid w:val="00FF202B"/>
    <w:rsid w:val="00FF239C"/>
    <w:rsid w:val="00FF28CC"/>
    <w:rsid w:val="00FF2BDF"/>
    <w:rsid w:val="00FF2D25"/>
    <w:rsid w:val="00FF330F"/>
    <w:rsid w:val="00FF3484"/>
    <w:rsid w:val="00FF3698"/>
    <w:rsid w:val="00FF3757"/>
    <w:rsid w:val="00FF3B9E"/>
    <w:rsid w:val="00FF3F71"/>
    <w:rsid w:val="00FF4908"/>
    <w:rsid w:val="00FF4AAD"/>
    <w:rsid w:val="00FF539C"/>
    <w:rsid w:val="00FF5C56"/>
    <w:rsid w:val="00FF5DC0"/>
    <w:rsid w:val="00FF62B5"/>
    <w:rsid w:val="00FF6507"/>
    <w:rsid w:val="00FF71DB"/>
    <w:rsid w:val="00FF723E"/>
    <w:rsid w:val="00FF7253"/>
    <w:rsid w:val="00FF72AB"/>
    <w:rsid w:val="00FF78AC"/>
    <w:rsid w:val="100B0452"/>
    <w:rsid w:val="106DB62A"/>
    <w:rsid w:val="1AEEC54E"/>
    <w:rsid w:val="1E01F5A2"/>
    <w:rsid w:val="2047FF7B"/>
    <w:rsid w:val="257409E1"/>
    <w:rsid w:val="2A8E6B2C"/>
    <w:rsid w:val="300F4692"/>
    <w:rsid w:val="340BB38C"/>
    <w:rsid w:val="3F728F62"/>
    <w:rsid w:val="4F0896BB"/>
    <w:rsid w:val="540214F4"/>
    <w:rsid w:val="556FB8E3"/>
    <w:rsid w:val="55802A6C"/>
    <w:rsid w:val="6E59EC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9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B4F"/>
    <w:pPr>
      <w:spacing w:after="0" w:line="288" w:lineRule="auto"/>
    </w:pPr>
    <w:rPr>
      <w:rFonts w:ascii="Century Schoolbook" w:hAnsi="Century Schoolbook"/>
      <w:sz w:val="26"/>
    </w:rPr>
  </w:style>
  <w:style w:type="paragraph" w:styleId="Heading1">
    <w:name w:val="heading 1"/>
    <w:basedOn w:val="Normal"/>
    <w:next w:val="Normal"/>
    <w:link w:val="Heading1Char"/>
    <w:uiPriority w:val="9"/>
    <w:qFormat/>
    <w:rsid w:val="00545384"/>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1180"/>
    <w:pPr>
      <w:keepNext/>
      <w:keepLines/>
      <w:numPr>
        <w:ilvl w:val="1"/>
        <w:numId w:val="3"/>
      </w:numPr>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545384"/>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45384"/>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91854"/>
    <w:pPr>
      <w:keepNext/>
      <w:keepLines/>
      <w:numPr>
        <w:ilvl w:val="4"/>
        <w:numId w:val="3"/>
      </w:numPr>
      <w:spacing w:before="4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545384"/>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5384"/>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4538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538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A1A7C"/>
    <w:rPr>
      <w:rFonts w:ascii="Century Schoolbook" w:hAnsi="Century Schoolbook"/>
      <w:b/>
      <w:sz w:val="26"/>
      <w:vertAlign w:val="superscript"/>
    </w:rPr>
  </w:style>
  <w:style w:type="paragraph" w:styleId="FootnoteText">
    <w:name w:val="footnote text"/>
    <w:basedOn w:val="Normal"/>
    <w:link w:val="FootnoteTextChar"/>
    <w:autoRedefine/>
    <w:uiPriority w:val="99"/>
    <w:qFormat/>
    <w:rsid w:val="00643147"/>
    <w:pPr>
      <w:tabs>
        <w:tab w:val="left" w:pos="720"/>
      </w:tabs>
      <w:spacing w:line="240" w:lineRule="auto"/>
    </w:pPr>
    <w:rPr>
      <w:rFonts w:eastAsia="Times New Roman" w:cstheme="minorBidi"/>
      <w:bCs/>
    </w:rPr>
  </w:style>
  <w:style w:type="character" w:customStyle="1" w:styleId="FootnoteTextChar">
    <w:name w:val="Footnote Text Char"/>
    <w:basedOn w:val="DefaultParagraphFont"/>
    <w:link w:val="FootnoteText"/>
    <w:uiPriority w:val="99"/>
    <w:rsid w:val="00643147"/>
    <w:rPr>
      <w:rFonts w:ascii="Century Schoolbook" w:eastAsia="Times New Roman" w:hAnsi="Century Schoolbook" w:cstheme="minorBidi"/>
      <w:bCs/>
      <w:sz w:val="26"/>
    </w:rPr>
  </w:style>
  <w:style w:type="paragraph" w:styleId="BodyText">
    <w:name w:val="Body Text"/>
    <w:aliases w:val="Ken"/>
    <w:basedOn w:val="Normal"/>
    <w:link w:val="BodyTextChar"/>
    <w:uiPriority w:val="99"/>
    <w:semiHidden/>
    <w:unhideWhenUsed/>
    <w:qFormat/>
    <w:rsid w:val="00B87CC6"/>
    <w:pPr>
      <w:spacing w:line="480" w:lineRule="auto"/>
      <w:ind w:firstLine="720"/>
    </w:pPr>
    <w:rPr>
      <w:szCs w:val="22"/>
    </w:rPr>
  </w:style>
  <w:style w:type="character" w:customStyle="1" w:styleId="BodyTextChar">
    <w:name w:val="Body Text Char"/>
    <w:aliases w:val="Ken Char"/>
    <w:basedOn w:val="DefaultParagraphFont"/>
    <w:link w:val="BodyText"/>
    <w:uiPriority w:val="99"/>
    <w:semiHidden/>
    <w:rsid w:val="00B87CC6"/>
    <w:rPr>
      <w:rFonts w:ascii="Times New Roman" w:hAnsi="Times New Roman"/>
      <w:sz w:val="26"/>
      <w:szCs w:val="22"/>
    </w:rPr>
  </w:style>
  <w:style w:type="paragraph" w:styleId="BodyText2">
    <w:name w:val="Body Text 2"/>
    <w:aliases w:val="KEN BODY TEXT"/>
    <w:basedOn w:val="Normal"/>
    <w:link w:val="BodyText2Char"/>
    <w:uiPriority w:val="99"/>
    <w:semiHidden/>
    <w:unhideWhenUsed/>
    <w:qFormat/>
    <w:rsid w:val="006902A0"/>
    <w:pPr>
      <w:spacing w:line="480" w:lineRule="auto"/>
      <w:ind w:firstLine="720"/>
    </w:pPr>
    <w:rPr>
      <w:szCs w:val="22"/>
    </w:rPr>
  </w:style>
  <w:style w:type="character" w:customStyle="1" w:styleId="BodyText2Char">
    <w:name w:val="Body Text 2 Char"/>
    <w:aliases w:val="KEN BODY TEXT Char"/>
    <w:basedOn w:val="DefaultParagraphFont"/>
    <w:link w:val="BodyText2"/>
    <w:uiPriority w:val="99"/>
    <w:semiHidden/>
    <w:rsid w:val="006902A0"/>
    <w:rPr>
      <w:rFonts w:ascii="Times New Roman" w:hAnsi="Times New Roman"/>
      <w:sz w:val="26"/>
      <w:szCs w:val="22"/>
    </w:rPr>
  </w:style>
  <w:style w:type="paragraph" w:styleId="Footer">
    <w:name w:val="footer"/>
    <w:basedOn w:val="Normal"/>
    <w:link w:val="FooterChar"/>
    <w:uiPriority w:val="99"/>
    <w:unhideWhenUsed/>
    <w:rsid w:val="00032B4F"/>
    <w:pPr>
      <w:tabs>
        <w:tab w:val="center" w:pos="4680"/>
        <w:tab w:val="right" w:pos="9360"/>
      </w:tabs>
      <w:spacing w:line="240" w:lineRule="auto"/>
    </w:pPr>
  </w:style>
  <w:style w:type="character" w:customStyle="1" w:styleId="FooterChar">
    <w:name w:val="Footer Char"/>
    <w:basedOn w:val="DefaultParagraphFont"/>
    <w:link w:val="Footer"/>
    <w:uiPriority w:val="99"/>
    <w:rsid w:val="00032B4F"/>
    <w:rPr>
      <w:rFonts w:ascii="Century Schoolbook" w:hAnsi="Century Schoolbook"/>
      <w:sz w:val="26"/>
    </w:rPr>
  </w:style>
  <w:style w:type="paragraph" w:styleId="Header">
    <w:name w:val="header"/>
    <w:basedOn w:val="Normal"/>
    <w:link w:val="HeaderChar"/>
    <w:uiPriority w:val="99"/>
    <w:unhideWhenUsed/>
    <w:rsid w:val="00032B4F"/>
    <w:pPr>
      <w:tabs>
        <w:tab w:val="center" w:pos="4680"/>
        <w:tab w:val="right" w:pos="9360"/>
      </w:tabs>
      <w:spacing w:line="240" w:lineRule="auto"/>
    </w:pPr>
  </w:style>
  <w:style w:type="character" w:customStyle="1" w:styleId="HeaderChar">
    <w:name w:val="Header Char"/>
    <w:basedOn w:val="DefaultParagraphFont"/>
    <w:link w:val="Header"/>
    <w:uiPriority w:val="99"/>
    <w:rsid w:val="00032B4F"/>
    <w:rPr>
      <w:rFonts w:ascii="Century Schoolbook" w:hAnsi="Century Schoolbook"/>
      <w:sz w:val="26"/>
    </w:rPr>
  </w:style>
  <w:style w:type="paragraph" w:customStyle="1" w:styleId="Style1">
    <w:name w:val="Style1"/>
    <w:basedOn w:val="Normal"/>
    <w:link w:val="Style1Char"/>
    <w:qFormat/>
    <w:rsid w:val="004D3041"/>
    <w:rPr>
      <w:bCs/>
      <w:szCs w:val="26"/>
    </w:rPr>
  </w:style>
  <w:style w:type="paragraph" w:customStyle="1" w:styleId="Heading10">
    <w:name w:val="Heading1"/>
    <w:basedOn w:val="Style1"/>
    <w:link w:val="Heading1Char0"/>
    <w:qFormat/>
    <w:rsid w:val="00122908"/>
    <w:pPr>
      <w:spacing w:before="120" w:after="120"/>
      <w:jc w:val="center"/>
    </w:pPr>
    <w:rPr>
      <w:b/>
      <w:bCs w:val="0"/>
    </w:rPr>
  </w:style>
  <w:style w:type="paragraph" w:customStyle="1" w:styleId="Heading20">
    <w:name w:val="Heading2"/>
    <w:basedOn w:val="Normal"/>
    <w:link w:val="Heading2Char0"/>
    <w:qFormat/>
    <w:rsid w:val="00DA3B8F"/>
    <w:pPr>
      <w:ind w:left="720" w:hanging="720"/>
    </w:pPr>
    <w:rPr>
      <w:b/>
      <w:szCs w:val="26"/>
    </w:rPr>
  </w:style>
  <w:style w:type="character" w:customStyle="1" w:styleId="Style1Char">
    <w:name w:val="Style1 Char"/>
    <w:basedOn w:val="DefaultParagraphFont"/>
    <w:link w:val="Style1"/>
    <w:rsid w:val="00122908"/>
    <w:rPr>
      <w:rFonts w:ascii="Century Schoolbook" w:hAnsi="Century Schoolbook"/>
      <w:bCs/>
      <w:sz w:val="26"/>
      <w:szCs w:val="26"/>
    </w:rPr>
  </w:style>
  <w:style w:type="character" w:customStyle="1" w:styleId="Heading1Char0">
    <w:name w:val="Heading1 Char"/>
    <w:basedOn w:val="Style1Char"/>
    <w:link w:val="Heading10"/>
    <w:rsid w:val="00122908"/>
    <w:rPr>
      <w:rFonts w:ascii="Century Schoolbook" w:hAnsi="Century Schoolbook"/>
      <w:b/>
      <w:bCs w:val="0"/>
      <w:sz w:val="26"/>
      <w:szCs w:val="26"/>
    </w:rPr>
  </w:style>
  <w:style w:type="character" w:customStyle="1" w:styleId="Heading2Char0">
    <w:name w:val="Heading2 Char"/>
    <w:basedOn w:val="DefaultParagraphFont"/>
    <w:link w:val="Heading20"/>
    <w:rsid w:val="00DA3B8F"/>
    <w:rPr>
      <w:rFonts w:ascii="Century Schoolbook" w:hAnsi="Century Schoolbook"/>
      <w:b/>
      <w:sz w:val="26"/>
      <w:szCs w:val="26"/>
    </w:rPr>
  </w:style>
  <w:style w:type="paragraph" w:customStyle="1" w:styleId="Heading30">
    <w:name w:val="Heading3"/>
    <w:basedOn w:val="Normal"/>
    <w:link w:val="Heading3Char0"/>
    <w:qFormat/>
    <w:rsid w:val="00214EF6"/>
    <w:pPr>
      <w:ind w:left="1440" w:hanging="720"/>
    </w:pPr>
    <w:rPr>
      <w:b/>
      <w:szCs w:val="26"/>
    </w:rPr>
  </w:style>
  <w:style w:type="paragraph" w:customStyle="1" w:styleId="Heading40">
    <w:name w:val="Heading4"/>
    <w:basedOn w:val="Normal"/>
    <w:link w:val="Heading4Char0"/>
    <w:qFormat/>
    <w:rsid w:val="00FA0849"/>
    <w:rPr>
      <w:b/>
      <w:szCs w:val="26"/>
    </w:rPr>
  </w:style>
  <w:style w:type="character" w:customStyle="1" w:styleId="Heading3Char0">
    <w:name w:val="Heading3 Char"/>
    <w:basedOn w:val="DefaultParagraphFont"/>
    <w:link w:val="Heading30"/>
    <w:rsid w:val="00214EF6"/>
    <w:rPr>
      <w:rFonts w:ascii="Century Schoolbook" w:hAnsi="Century Schoolbook"/>
      <w:b/>
      <w:sz w:val="26"/>
      <w:szCs w:val="26"/>
    </w:rPr>
  </w:style>
  <w:style w:type="character" w:customStyle="1" w:styleId="Heading4Char0">
    <w:name w:val="Heading4 Char"/>
    <w:basedOn w:val="DefaultParagraphFont"/>
    <w:link w:val="Heading40"/>
    <w:rsid w:val="00FA0849"/>
    <w:rPr>
      <w:rFonts w:ascii="Century Schoolbook" w:hAnsi="Century Schoolbook"/>
      <w:b/>
      <w:sz w:val="26"/>
      <w:szCs w:val="26"/>
    </w:rPr>
  </w:style>
  <w:style w:type="character" w:customStyle="1" w:styleId="right">
    <w:name w:val="right"/>
    <w:basedOn w:val="DefaultParagraphFont"/>
    <w:rsid w:val="005557FB"/>
  </w:style>
  <w:style w:type="character" w:styleId="Hyperlink">
    <w:name w:val="Hyperlink"/>
    <w:basedOn w:val="DefaultParagraphFont"/>
    <w:uiPriority w:val="99"/>
    <w:unhideWhenUsed/>
    <w:rsid w:val="00893930"/>
    <w:rPr>
      <w:color w:val="0000FF" w:themeColor="hyperlink"/>
      <w:u w:val="single"/>
    </w:rPr>
  </w:style>
  <w:style w:type="character" w:customStyle="1" w:styleId="UnresolvedMention1">
    <w:name w:val="Unresolved Mention1"/>
    <w:basedOn w:val="DefaultParagraphFont"/>
    <w:uiPriority w:val="99"/>
    <w:semiHidden/>
    <w:unhideWhenUsed/>
    <w:rsid w:val="00893930"/>
    <w:rPr>
      <w:color w:val="605E5C"/>
      <w:shd w:val="clear" w:color="auto" w:fill="E1DFDD"/>
    </w:rPr>
  </w:style>
  <w:style w:type="paragraph" w:styleId="ListParagraph">
    <w:name w:val="List Paragraph"/>
    <w:basedOn w:val="Normal"/>
    <w:uiPriority w:val="34"/>
    <w:qFormat/>
    <w:rsid w:val="00895A69"/>
    <w:pPr>
      <w:ind w:left="720"/>
      <w:contextualSpacing/>
    </w:pPr>
  </w:style>
  <w:style w:type="character" w:styleId="CommentReference">
    <w:name w:val="annotation reference"/>
    <w:basedOn w:val="DefaultParagraphFont"/>
    <w:uiPriority w:val="99"/>
    <w:semiHidden/>
    <w:unhideWhenUsed/>
    <w:rsid w:val="00E7040B"/>
    <w:rPr>
      <w:sz w:val="16"/>
      <w:szCs w:val="16"/>
    </w:rPr>
  </w:style>
  <w:style w:type="paragraph" w:styleId="CommentText">
    <w:name w:val="annotation text"/>
    <w:basedOn w:val="Normal"/>
    <w:link w:val="CommentTextChar"/>
    <w:uiPriority w:val="99"/>
    <w:unhideWhenUsed/>
    <w:rsid w:val="00E7040B"/>
    <w:pPr>
      <w:spacing w:line="240" w:lineRule="auto"/>
    </w:pPr>
    <w:rPr>
      <w:sz w:val="20"/>
    </w:rPr>
  </w:style>
  <w:style w:type="character" w:customStyle="1" w:styleId="CommentTextChar">
    <w:name w:val="Comment Text Char"/>
    <w:basedOn w:val="DefaultParagraphFont"/>
    <w:link w:val="CommentText"/>
    <w:uiPriority w:val="99"/>
    <w:rsid w:val="00E7040B"/>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E7040B"/>
    <w:rPr>
      <w:b/>
      <w:bCs/>
    </w:rPr>
  </w:style>
  <w:style w:type="character" w:customStyle="1" w:styleId="CommentSubjectChar">
    <w:name w:val="Comment Subject Char"/>
    <w:basedOn w:val="CommentTextChar"/>
    <w:link w:val="CommentSubject"/>
    <w:uiPriority w:val="99"/>
    <w:semiHidden/>
    <w:rsid w:val="00E7040B"/>
    <w:rPr>
      <w:rFonts w:ascii="Century Schoolbook" w:hAnsi="Century Schoolbook"/>
      <w:b/>
      <w:bCs/>
    </w:rPr>
  </w:style>
  <w:style w:type="paragraph" w:styleId="Revision">
    <w:name w:val="Revision"/>
    <w:hidden/>
    <w:uiPriority w:val="99"/>
    <w:semiHidden/>
    <w:rsid w:val="005743DA"/>
    <w:pPr>
      <w:spacing w:after="0"/>
    </w:pPr>
    <w:rPr>
      <w:rFonts w:ascii="Century Schoolbook" w:hAnsi="Century Schoolbook"/>
      <w:sz w:val="26"/>
    </w:rPr>
  </w:style>
  <w:style w:type="character" w:customStyle="1" w:styleId="Heading2Char">
    <w:name w:val="Heading 2 Char"/>
    <w:basedOn w:val="DefaultParagraphFont"/>
    <w:link w:val="Heading2"/>
    <w:uiPriority w:val="9"/>
    <w:rsid w:val="00E61180"/>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rsid w:val="00B91854"/>
    <w:rPr>
      <w:rFonts w:ascii="Century Schoolbook" w:eastAsiaTheme="majorEastAsia" w:hAnsi="Century Schoolbook" w:cstheme="majorBidi"/>
      <w:i/>
      <w:sz w:val="26"/>
    </w:rPr>
  </w:style>
  <w:style w:type="character" w:customStyle="1" w:styleId="Heading1Char">
    <w:name w:val="Heading 1 Char"/>
    <w:basedOn w:val="DefaultParagraphFont"/>
    <w:link w:val="Heading1"/>
    <w:uiPriority w:val="9"/>
    <w:rsid w:val="0054538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4538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45384"/>
    <w:rPr>
      <w:rFonts w:asciiTheme="majorHAnsi" w:eastAsiaTheme="majorEastAsia" w:hAnsiTheme="majorHAnsi" w:cstheme="majorBidi"/>
      <w:i/>
      <w:iCs/>
      <w:color w:val="365F91" w:themeColor="accent1" w:themeShade="BF"/>
      <w:sz w:val="26"/>
    </w:rPr>
  </w:style>
  <w:style w:type="character" w:customStyle="1" w:styleId="Heading6Char">
    <w:name w:val="Heading 6 Char"/>
    <w:basedOn w:val="DefaultParagraphFont"/>
    <w:link w:val="Heading6"/>
    <w:uiPriority w:val="9"/>
    <w:semiHidden/>
    <w:rsid w:val="00545384"/>
    <w:rPr>
      <w:rFonts w:asciiTheme="majorHAnsi" w:eastAsiaTheme="majorEastAsia" w:hAnsiTheme="majorHAnsi" w:cstheme="majorBidi"/>
      <w:color w:val="243F60" w:themeColor="accent1" w:themeShade="7F"/>
      <w:sz w:val="26"/>
    </w:rPr>
  </w:style>
  <w:style w:type="character" w:customStyle="1" w:styleId="Heading7Char">
    <w:name w:val="Heading 7 Char"/>
    <w:basedOn w:val="DefaultParagraphFont"/>
    <w:link w:val="Heading7"/>
    <w:uiPriority w:val="9"/>
    <w:semiHidden/>
    <w:rsid w:val="00545384"/>
    <w:rPr>
      <w:rFonts w:asciiTheme="majorHAnsi" w:eastAsiaTheme="majorEastAsia" w:hAnsiTheme="majorHAnsi" w:cstheme="majorBidi"/>
      <w:i/>
      <w:iCs/>
      <w:color w:val="243F60" w:themeColor="accent1" w:themeShade="7F"/>
      <w:sz w:val="26"/>
    </w:rPr>
  </w:style>
  <w:style w:type="character" w:customStyle="1" w:styleId="Heading8Char">
    <w:name w:val="Heading 8 Char"/>
    <w:basedOn w:val="DefaultParagraphFont"/>
    <w:link w:val="Heading8"/>
    <w:uiPriority w:val="9"/>
    <w:semiHidden/>
    <w:rsid w:val="005453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5384"/>
    <w:rPr>
      <w:rFonts w:asciiTheme="majorHAnsi" w:eastAsiaTheme="majorEastAsia" w:hAnsiTheme="majorHAnsi" w:cstheme="majorBidi"/>
      <w:i/>
      <w:iCs/>
      <w:color w:val="272727" w:themeColor="text1" w:themeTint="D8"/>
      <w:sz w:val="21"/>
      <w:szCs w:val="21"/>
    </w:rPr>
  </w:style>
  <w:style w:type="character" w:customStyle="1" w:styleId="Mention1">
    <w:name w:val="Mention1"/>
    <w:basedOn w:val="DefaultParagraphFont"/>
    <w:uiPriority w:val="99"/>
    <w:unhideWhenUsed/>
    <w:rsid w:val="0000399C"/>
    <w:rPr>
      <w:color w:val="2B579A"/>
      <w:shd w:val="clear" w:color="auto" w:fill="E1DFDD"/>
    </w:rPr>
  </w:style>
  <w:style w:type="numbering" w:customStyle="1" w:styleId="CurrentList1">
    <w:name w:val="Current List1"/>
    <w:uiPriority w:val="99"/>
    <w:rsid w:val="00A3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0487b9c-86e3-4630-b4fc-00c6ffcb68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E9E9F517B1A429BDCB6C76CA5869B" ma:contentTypeVersion="13" ma:contentTypeDescription="Create a new document." ma:contentTypeScope="" ma:versionID="1a0c82b02e631dd4a44cb87127598dc5">
  <xsd:schema xmlns:xsd="http://www.w3.org/2001/XMLSchema" xmlns:xs="http://www.w3.org/2001/XMLSchema" xmlns:p="http://schemas.microsoft.com/office/2006/metadata/properties" xmlns:ns3="30487b9c-86e3-4630-b4fc-00c6ffcb688f" xmlns:ns4="83e43d49-753e-4b09-a1b3-71a526c8efbc" targetNamespace="http://schemas.microsoft.com/office/2006/metadata/properties" ma:root="true" ma:fieldsID="ce28165f49a7f822421fd7a6c52426da" ns3:_="" ns4:_="">
    <xsd:import namespace="30487b9c-86e3-4630-b4fc-00c6ffcb688f"/>
    <xsd:import namespace="83e43d49-753e-4b09-a1b3-71a526c8ef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87b9c-86e3-4630-b4fc-00c6ffcb6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43d49-753e-4b09-a1b3-71a526c8ef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3C536-046B-4066-B144-7CF0E47B943A}">
  <ds:schemaRefs>
    <ds:schemaRef ds:uri="http://schemas.microsoft.com/office/2006/metadata/properties"/>
    <ds:schemaRef ds:uri="http://schemas.microsoft.com/office/infopath/2007/PartnerControls"/>
    <ds:schemaRef ds:uri="30487b9c-86e3-4630-b4fc-00c6ffcb688f"/>
  </ds:schemaRefs>
</ds:datastoreItem>
</file>

<file path=customXml/itemProps2.xml><?xml version="1.0" encoding="utf-8"?>
<ds:datastoreItem xmlns:ds="http://schemas.openxmlformats.org/officeDocument/2006/customXml" ds:itemID="{966ADC42-BB31-4E30-9E41-0893CA28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87b9c-86e3-4630-b4fc-00c6ffcb688f"/>
    <ds:schemaRef ds:uri="83e43d49-753e-4b09-a1b3-71a526c8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65A5F-784C-4019-A16B-23E416E5950C}">
  <ds:schemaRefs>
    <ds:schemaRef ds:uri="http://schemas.openxmlformats.org/officeDocument/2006/bibliography"/>
  </ds:schemaRefs>
</ds:datastoreItem>
</file>

<file path=customXml/itemProps4.xml><?xml version="1.0" encoding="utf-8"?>
<ds:datastoreItem xmlns:ds="http://schemas.openxmlformats.org/officeDocument/2006/customXml" ds:itemID="{93A4F5DE-EBC6-4F53-AEF8-8661A23B26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14588</Words>
  <Characters>78813</Characters>
  <Application>Microsoft Office Word</Application>
  <DocSecurity>0</DocSecurity>
  <Lines>1651</Lines>
  <Paragraphs>216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2024-02-21T18:34:00Z</dcterms:created>
  <dcterms:modified xsi:type="dcterms:W3CDTF">2024-02-21T18:34:00Z</dcterms:modified>
  <cp:category/>
</cp:coreProperties>
</file>