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E0A99" w:rsidRPr="00BE0A99" w:rsidP="00BE0A99" w14:paraId="1C17175F" w14:textId="2EF0AA97">
      <w:pPr>
        <w:spacing w:after="0" w:line="240" w:lineRule="auto"/>
        <w:rPr>
          <w:bCs/>
          <w:sz w:val="20"/>
          <w:szCs w:val="20"/>
        </w:rPr>
      </w:pPr>
      <w:r>
        <w:rPr>
          <w:bCs/>
          <w:sz w:val="20"/>
          <w:szCs w:val="20"/>
        </w:rPr>
        <w:t>Filed 12/18/23</w:t>
      </w:r>
    </w:p>
    <w:p w:rsidR="00350795" w:rsidP="007F6E2A" w14:paraId="4EC6FBB4" w14:textId="1EED9919">
      <w:pPr>
        <w:spacing w:after="0" w:line="240" w:lineRule="auto"/>
        <w:jc w:val="center"/>
        <w:rPr>
          <w:b/>
        </w:rPr>
      </w:pPr>
      <w:r>
        <w:rPr>
          <w:b/>
        </w:rPr>
        <w:t>CERTIFIED FOR PUBLICATION</w:t>
      </w:r>
    </w:p>
    <w:p w:rsidR="00350795" w:rsidRPr="00C97CBB" w:rsidP="00350795" w14:paraId="42B31184" w14:textId="77777777">
      <w:pPr>
        <w:spacing w:after="0" w:line="240" w:lineRule="auto"/>
      </w:pPr>
    </w:p>
    <w:p w:rsidR="0032230D" w:rsidRPr="00C97CBB" w14:paraId="6AB3C8B8" w14:textId="77777777">
      <w:pPr>
        <w:spacing w:after="0" w:line="240" w:lineRule="auto"/>
        <w:jc w:val="center"/>
      </w:pPr>
      <w:r w:rsidRPr="00C97CBB">
        <w:t>IN THE COURT OF APPEAL OF THE STATE OF CALIFORNIA</w:t>
      </w:r>
    </w:p>
    <w:p w:rsidR="0032230D" w:rsidRPr="00C97CBB" w14:paraId="0E283DE6" w14:textId="77777777">
      <w:pPr>
        <w:spacing w:after="0" w:line="240" w:lineRule="auto"/>
        <w:jc w:val="center"/>
      </w:pPr>
    </w:p>
    <w:p w:rsidR="0032230D" w:rsidRPr="00C97CBB" w14:paraId="38DB481E" w14:textId="77777777">
      <w:pPr>
        <w:spacing w:after="0" w:line="240" w:lineRule="auto"/>
        <w:jc w:val="center"/>
      </w:pPr>
      <w:r w:rsidRPr="00C97CBB">
        <w:t>SECOND APPELLATE DISTRICT</w:t>
      </w:r>
    </w:p>
    <w:p w:rsidR="0032230D" w:rsidRPr="00C97CBB" w14:paraId="4F6A7D24" w14:textId="77777777">
      <w:pPr>
        <w:spacing w:after="0" w:line="240" w:lineRule="auto"/>
        <w:jc w:val="center"/>
      </w:pPr>
    </w:p>
    <w:p w:rsidR="0032230D" w:rsidRPr="00C97CBB" w14:paraId="434FAA8A" w14:textId="77777777">
      <w:pPr>
        <w:spacing w:after="0" w:line="240" w:lineRule="auto"/>
        <w:jc w:val="center"/>
      </w:pPr>
      <w:r w:rsidRPr="00C97CBB">
        <w:t xml:space="preserve">DIVISION </w:t>
      </w:r>
      <w:r w:rsidRPr="00C97CBB" w:rsidR="00E5296D">
        <w:t>SEVEN</w:t>
      </w:r>
    </w:p>
    <w:p w:rsidR="0032230D" w:rsidRPr="00C97CBB" w14:paraId="624E4F84" w14:textId="77777777">
      <w:pPr>
        <w:spacing w:after="0" w:line="240" w:lineRule="auto"/>
        <w:jc w:val="center"/>
      </w:pPr>
    </w:p>
    <w:p w:rsidR="0032230D" w:rsidRPr="00C97CBB" w14:paraId="714D5D8E" w14:textId="77777777">
      <w:pPr>
        <w:spacing w:after="0" w:line="240" w:lineRule="auto"/>
        <w:jc w:val="center"/>
      </w:pPr>
    </w:p>
    <w:tbl>
      <w:tblPr>
        <w:tblW w:w="9576" w:type="dxa"/>
        <w:tblLayout w:type="fixed"/>
        <w:tblCellMar>
          <w:left w:w="115" w:type="dxa"/>
          <w:right w:w="115" w:type="dxa"/>
        </w:tblCellMar>
        <w:tblLook w:val="0000"/>
      </w:tblPr>
      <w:tblGrid>
        <w:gridCol w:w="4788"/>
        <w:gridCol w:w="4788"/>
      </w:tblGrid>
      <w:tr w14:paraId="45F0E3AA" w14:textId="77777777">
        <w:tblPrEx>
          <w:tblW w:w="9576" w:type="dxa"/>
          <w:tblLayout w:type="fixed"/>
          <w:tblCellMar>
            <w:left w:w="115" w:type="dxa"/>
            <w:right w:w="115" w:type="dxa"/>
          </w:tblCellMar>
          <w:tblLook w:val="0000"/>
        </w:tblPrEx>
        <w:tc>
          <w:tcPr>
            <w:tcW w:w="4788" w:type="dxa"/>
            <w:tcBorders>
              <w:right w:val="single" w:sz="4" w:space="0" w:color="000000"/>
            </w:tcBorders>
            <w:shd w:val="clear" w:color="auto" w:fill="auto"/>
          </w:tcPr>
          <w:p w:rsidR="0032230D" w:rsidRPr="00C97CBB" w14:paraId="400B124A" w14:textId="1EF0107A">
            <w:pPr>
              <w:spacing w:after="0" w:line="240" w:lineRule="auto"/>
            </w:pPr>
            <w:r w:rsidRPr="00C97CBB">
              <w:t>ZURICH AMERICAN</w:t>
            </w:r>
            <w:r w:rsidRPr="00C97CBB" w:rsidR="005615E3">
              <w:t xml:space="preserve"> </w:t>
            </w:r>
            <w:r w:rsidRPr="00C97CBB">
              <w:t>INSURANCE COMPANY,</w:t>
            </w:r>
          </w:p>
          <w:p w:rsidR="0032230D" w:rsidRPr="00C97CBB" w14:paraId="03C9648C" w14:textId="77777777">
            <w:pPr>
              <w:spacing w:after="0" w:line="240" w:lineRule="auto"/>
            </w:pPr>
          </w:p>
          <w:p w:rsidR="0032230D" w:rsidRPr="00C97CBB" w14:paraId="60230328" w14:textId="77777777">
            <w:pPr>
              <w:spacing w:after="0" w:line="240" w:lineRule="auto"/>
            </w:pPr>
            <w:r w:rsidRPr="00C97CBB">
              <w:tab/>
              <w:t>Petitioner,</w:t>
            </w:r>
          </w:p>
          <w:p w:rsidR="0032230D" w:rsidRPr="00C97CBB" w14:paraId="3A3D0D7E" w14:textId="77777777">
            <w:pPr>
              <w:spacing w:after="0" w:line="240" w:lineRule="auto"/>
            </w:pPr>
          </w:p>
          <w:p w:rsidR="0032230D" w:rsidRPr="00C97CBB" w14:paraId="533B6D32" w14:textId="77777777">
            <w:pPr>
              <w:spacing w:after="0" w:line="240" w:lineRule="auto"/>
            </w:pPr>
            <w:r w:rsidRPr="00C97CBB">
              <w:tab/>
              <w:t>v.</w:t>
            </w:r>
          </w:p>
          <w:p w:rsidR="0032230D" w:rsidRPr="00C97CBB" w14:paraId="29D8E983" w14:textId="77777777">
            <w:pPr>
              <w:spacing w:after="0" w:line="240" w:lineRule="auto"/>
            </w:pPr>
          </w:p>
          <w:p w:rsidR="0032230D" w:rsidRPr="00C97CBB" w14:paraId="018311F9" w14:textId="11CDF600">
            <w:pPr>
              <w:spacing w:after="0" w:line="240" w:lineRule="auto"/>
            </w:pPr>
            <w:r w:rsidRPr="00C97CBB">
              <w:t>WORKERS’ COMPENSATION APPEALS BOARD</w:t>
            </w:r>
            <w:r w:rsidRPr="00885067" w:rsidR="00885067">
              <w:t>,</w:t>
            </w:r>
          </w:p>
          <w:p w:rsidR="0032230D" w:rsidRPr="00C97CBB" w14:paraId="1C552698" w14:textId="77777777">
            <w:pPr>
              <w:spacing w:after="0" w:line="240" w:lineRule="auto"/>
            </w:pPr>
          </w:p>
          <w:p w:rsidR="0032230D" w:rsidRPr="00C97CBB" w14:paraId="09B66459" w14:textId="00F54AC8">
            <w:pPr>
              <w:spacing w:after="0" w:line="240" w:lineRule="auto"/>
            </w:pPr>
            <w:r w:rsidRPr="00C97CBB">
              <w:tab/>
              <w:t>Respondent</w:t>
            </w:r>
            <w:r w:rsidR="00453B9A">
              <w:t>;</w:t>
            </w:r>
          </w:p>
          <w:p w:rsidR="0032230D" w:rsidRPr="00C97CBB" w14:paraId="3534621E" w14:textId="77777777">
            <w:pPr>
              <w:spacing w:after="0" w:line="240" w:lineRule="auto"/>
            </w:pPr>
          </w:p>
          <w:p w:rsidR="0032230D" w:rsidRPr="00C97CBB" w14:paraId="35A4E870" w14:textId="77777777">
            <w:pPr>
              <w:spacing w:after="0" w:line="240" w:lineRule="auto"/>
            </w:pPr>
            <w:r w:rsidRPr="00C97CBB">
              <w:t>CALIFORNIA INSURANCE GUARANTEE ASSOCIATION</w:t>
            </w:r>
            <w:r w:rsidRPr="00C97CBB" w:rsidR="005615E3">
              <w:t>,</w:t>
            </w:r>
          </w:p>
          <w:p w:rsidR="0032230D" w:rsidRPr="00C97CBB" w14:paraId="1275D01E" w14:textId="77777777">
            <w:pPr>
              <w:spacing w:after="0" w:line="240" w:lineRule="auto"/>
            </w:pPr>
          </w:p>
          <w:p w:rsidR="0032230D" w:rsidRPr="00C97CBB" w14:paraId="4CBDCC57" w14:textId="77777777">
            <w:pPr>
              <w:spacing w:after="0" w:line="240" w:lineRule="auto"/>
            </w:pPr>
            <w:r w:rsidRPr="00C97CBB">
              <w:t xml:space="preserve">          Real Part</w:t>
            </w:r>
            <w:r w:rsidRPr="00C97CBB" w:rsidR="00E5296D">
              <w:t>y</w:t>
            </w:r>
            <w:r w:rsidRPr="00C97CBB">
              <w:t xml:space="preserve"> in Interest.</w:t>
            </w:r>
          </w:p>
        </w:tc>
        <w:tc>
          <w:tcPr>
            <w:tcW w:w="4788" w:type="dxa"/>
            <w:tcBorders>
              <w:left w:val="single" w:sz="4" w:space="0" w:color="000000"/>
            </w:tcBorders>
            <w:shd w:val="clear" w:color="auto" w:fill="auto"/>
          </w:tcPr>
          <w:p w:rsidR="0032230D" w:rsidRPr="00C97CBB" w14:paraId="2854FD59" w14:textId="77777777">
            <w:pPr>
              <w:tabs>
                <w:tab w:val="left" w:pos="432"/>
              </w:tabs>
              <w:spacing w:after="0" w:line="240" w:lineRule="auto"/>
            </w:pPr>
            <w:r w:rsidRPr="00C97CBB">
              <w:tab/>
              <w:t>B3</w:t>
            </w:r>
            <w:r w:rsidRPr="00C97CBB" w:rsidR="00E5296D">
              <w:t>21864</w:t>
            </w:r>
          </w:p>
          <w:p w:rsidR="0032230D" w:rsidRPr="00C97CBB" w14:paraId="5F880DB5" w14:textId="77777777">
            <w:pPr>
              <w:tabs>
                <w:tab w:val="left" w:pos="432"/>
              </w:tabs>
              <w:spacing w:after="0" w:line="240" w:lineRule="auto"/>
            </w:pPr>
          </w:p>
          <w:p w:rsidR="0032230D" w:rsidRPr="00C97CBB" w:rsidP="00BE1E35" w14:paraId="0182B272" w14:textId="77777777">
            <w:pPr>
              <w:tabs>
                <w:tab w:val="left" w:pos="432"/>
              </w:tabs>
              <w:spacing w:after="0" w:line="240" w:lineRule="auto"/>
            </w:pPr>
            <w:r w:rsidRPr="00C97CBB">
              <w:tab/>
              <w:t>(W.C.A.B. No</w:t>
            </w:r>
            <w:r w:rsidRPr="00C97CBB" w:rsidR="00E5296D">
              <w:t>. ADJ487398</w:t>
            </w:r>
            <w:r w:rsidRPr="00C97CBB">
              <w:t>)</w:t>
            </w:r>
          </w:p>
          <w:p w:rsidR="0032230D" w:rsidRPr="00C97CBB" w14:paraId="0E048327" w14:textId="77777777">
            <w:pPr>
              <w:tabs>
                <w:tab w:val="left" w:pos="432"/>
              </w:tabs>
              <w:spacing w:after="0" w:line="240" w:lineRule="auto"/>
            </w:pPr>
          </w:p>
          <w:p w:rsidR="0032230D" w:rsidRPr="00C97CBB" w14:paraId="5E282A70" w14:textId="77777777">
            <w:pPr>
              <w:tabs>
                <w:tab w:val="left" w:pos="432"/>
              </w:tabs>
              <w:spacing w:after="0" w:line="240" w:lineRule="auto"/>
            </w:pPr>
          </w:p>
        </w:tc>
      </w:tr>
      <w:tr w14:paraId="789F5AF5" w14:textId="77777777" w:rsidTr="00B0163F">
        <w:tblPrEx>
          <w:tblW w:w="9576" w:type="dxa"/>
          <w:tblLayout w:type="fixed"/>
          <w:tblCellMar>
            <w:left w:w="108" w:type="dxa"/>
            <w:right w:w="108" w:type="dxa"/>
          </w:tblCellMar>
          <w:tblLook w:val="04A0"/>
        </w:tblPrEx>
        <w:trPr>
          <w:trHeight w:val="180"/>
        </w:trPr>
        <w:tc>
          <w:tcPr>
            <w:tcW w:w="4785" w:type="dxa"/>
            <w:tcBorders>
              <w:top w:val="nil"/>
              <w:left w:val="nil"/>
              <w:bottom w:val="single" w:sz="4" w:space="0" w:color="000000"/>
              <w:right w:val="single" w:sz="4" w:space="0" w:color="000000"/>
            </w:tcBorders>
          </w:tcPr>
          <w:p w:rsidR="009F3E50" w:rsidRPr="00C97CBB" w14:paraId="455AD22A" w14:textId="77777777">
            <w:pPr>
              <w:spacing w:after="0" w:line="240" w:lineRule="auto"/>
            </w:pPr>
          </w:p>
        </w:tc>
        <w:tc>
          <w:tcPr>
            <w:tcW w:w="4785" w:type="dxa"/>
            <w:tcBorders>
              <w:top w:val="nil"/>
              <w:left w:val="single" w:sz="4" w:space="0" w:color="000000"/>
              <w:bottom w:val="nil"/>
              <w:right w:val="nil"/>
            </w:tcBorders>
          </w:tcPr>
          <w:p w:rsidR="009F3E50" w:rsidRPr="00C97CBB" w14:paraId="483D7431" w14:textId="77777777">
            <w:pPr>
              <w:tabs>
                <w:tab w:val="left" w:pos="432"/>
              </w:tabs>
              <w:spacing w:after="0" w:line="240" w:lineRule="auto"/>
            </w:pPr>
          </w:p>
        </w:tc>
      </w:tr>
    </w:tbl>
    <w:p w:rsidR="0032230D" w:rsidRPr="00C97CBB" w14:paraId="14715D12" w14:textId="77777777">
      <w:pPr>
        <w:spacing w:after="0" w:line="288" w:lineRule="auto"/>
      </w:pPr>
    </w:p>
    <w:p w:rsidR="0032230D" w:rsidRPr="00C97CBB" w:rsidP="00855270" w14:paraId="5C0C3CF3" w14:textId="77777777">
      <w:pPr>
        <w:widowControl w:val="0"/>
        <w:spacing w:after="0" w:line="288" w:lineRule="auto"/>
        <w:ind w:firstLine="720"/>
      </w:pPr>
      <w:r w:rsidRPr="00C97CBB">
        <w:t>ORIGINAL PROCEEDING</w:t>
      </w:r>
      <w:r w:rsidRPr="00C97CBB" w:rsidR="00F46606">
        <w:t xml:space="preserve">; </w:t>
      </w:r>
      <w:r w:rsidRPr="00C97CBB" w:rsidR="00667B2F">
        <w:t>petition for writ of mandate.</w:t>
      </w:r>
      <w:r w:rsidRPr="00C97CBB" w:rsidR="005615E3">
        <w:t xml:space="preserve">  Petition granted.</w:t>
      </w:r>
    </w:p>
    <w:p w:rsidR="00B73E58" w:rsidRPr="00C97CBB" w:rsidP="00855270" w14:paraId="5C8B2612" w14:textId="77777777">
      <w:pPr>
        <w:widowControl w:val="0"/>
        <w:spacing w:after="0" w:line="288" w:lineRule="auto"/>
        <w:ind w:firstLine="720"/>
      </w:pPr>
      <w:r w:rsidRPr="00C97CBB">
        <w:t>Law Offices of Tracey Lazarus and Patrick D. O’Kee</w:t>
      </w:r>
      <w:r w:rsidRPr="00C97CBB" w:rsidR="00BF7545">
        <w:t>f</w:t>
      </w:r>
      <w:r w:rsidRPr="00C97CBB">
        <w:t>fe for</w:t>
      </w:r>
      <w:r w:rsidRPr="00C97CBB" w:rsidR="005615E3">
        <w:t xml:space="preserve"> Petitioner.</w:t>
      </w:r>
      <w:r w:rsidRPr="00C97CBB">
        <w:t xml:space="preserve"> </w:t>
      </w:r>
    </w:p>
    <w:p w:rsidR="0032230D" w:rsidRPr="00C97CBB" w:rsidP="00350795" w14:paraId="61405AAD" w14:textId="77777777">
      <w:pPr>
        <w:widowControl w:val="0"/>
        <w:spacing w:after="0" w:line="288" w:lineRule="auto"/>
        <w:ind w:firstLine="720"/>
      </w:pPr>
      <w:r w:rsidRPr="00C97CBB">
        <w:t>Allison J. Fairchild for Respondent.</w:t>
      </w:r>
    </w:p>
    <w:p w:rsidR="0032230D" w:rsidRPr="00C97CBB" w:rsidP="00B0163F" w14:paraId="7CE38C64" w14:textId="77777777">
      <w:pPr>
        <w:keepLines/>
        <w:widowControl w:val="0"/>
        <w:spacing w:after="0" w:line="288" w:lineRule="auto"/>
        <w:ind w:firstLine="720"/>
      </w:pPr>
      <w:r w:rsidRPr="00C97CBB">
        <w:t xml:space="preserve">Guilford Sarvas &amp; Carbonara and Justin </w:t>
      </w:r>
      <w:r w:rsidRPr="00C97CBB" w:rsidR="00627957">
        <w:t xml:space="preserve">P. </w:t>
      </w:r>
      <w:r w:rsidRPr="00C97CBB">
        <w:t xml:space="preserve">Harrison </w:t>
      </w:r>
      <w:r w:rsidRPr="00C97CBB" w:rsidR="00DC5031">
        <w:t xml:space="preserve">for </w:t>
      </w:r>
      <w:r w:rsidRPr="00C97CBB" w:rsidR="00B73E58">
        <w:t>Real Part</w:t>
      </w:r>
      <w:r w:rsidRPr="00C97CBB">
        <w:t>y</w:t>
      </w:r>
      <w:r w:rsidRPr="00C97CBB" w:rsidR="00B73E58">
        <w:t xml:space="preserve"> </w:t>
      </w:r>
      <w:r w:rsidRPr="00C97CBB" w:rsidR="005615E3">
        <w:t xml:space="preserve">in </w:t>
      </w:r>
      <w:r w:rsidRPr="00C97CBB" w:rsidR="00B73E58">
        <w:t>Interest</w:t>
      </w:r>
      <w:r w:rsidRPr="00C97CBB" w:rsidR="005615E3">
        <w:t>.</w:t>
      </w:r>
    </w:p>
    <w:p w:rsidR="0032230D" w:rsidRPr="00C97CBB" w:rsidP="00350795" w14:paraId="408DC799" w14:textId="77777777">
      <w:pPr>
        <w:widowControl w:val="0"/>
        <w:spacing w:after="0" w:line="288" w:lineRule="auto"/>
        <w:jc w:val="center"/>
      </w:pPr>
      <w:r w:rsidRPr="00C97CBB">
        <w:t>_________________________________</w:t>
      </w:r>
    </w:p>
    <w:p w:rsidR="0032230D" w:rsidRPr="00C97CBB" w:rsidP="00350795" w14:paraId="1A2F0862" w14:textId="77777777">
      <w:pPr>
        <w:spacing w:after="0" w:line="288" w:lineRule="auto"/>
      </w:pPr>
    </w:p>
    <w:p w:rsidR="0061711C" w:rsidRPr="00C97CBB" w:rsidP="00350795" w14:paraId="19615C3D" w14:textId="258EC49D">
      <w:pPr>
        <w:spacing w:after="0" w:line="288" w:lineRule="auto"/>
        <w:ind w:firstLine="720"/>
        <w:rPr>
          <w:rFonts w:eastAsia="Times New Roman"/>
        </w:rPr>
      </w:pPr>
      <w:r w:rsidRPr="00C97CBB">
        <w:t xml:space="preserve">Labor Code section 5909 </w:t>
      </w:r>
      <w:r w:rsidRPr="00C97CBB" w:rsidR="005602F2">
        <w:t>provides</w:t>
      </w:r>
      <w:r w:rsidRPr="00C97CBB">
        <w:t xml:space="preserve"> that if the Workers’ Compensation Appeals Board (Board) does not act on a party’s petition for reconsideration </w:t>
      </w:r>
      <w:r w:rsidRPr="00C97CBB" w:rsidR="00EA6144">
        <w:t xml:space="preserve">of </w:t>
      </w:r>
      <w:r w:rsidRPr="00C97CBB" w:rsidR="003111BE">
        <w:t xml:space="preserve">a decision </w:t>
      </w:r>
      <w:r w:rsidRPr="00C97CBB" w:rsidR="00E1746C">
        <w:t>by</w:t>
      </w:r>
      <w:r w:rsidRPr="00C97CBB" w:rsidR="003111BE">
        <w:t xml:space="preserve"> the workers’ compensation judge </w:t>
      </w:r>
      <w:r w:rsidR="00D9061E">
        <w:t xml:space="preserve">(or arbitrator) </w:t>
      </w:r>
      <w:r w:rsidRPr="00C97CBB">
        <w:t>within 60 days</w:t>
      </w:r>
      <w:r w:rsidRPr="00C97CBB" w:rsidR="00D409D0">
        <w:t>,</w:t>
      </w:r>
      <w:r w:rsidRPr="00C97CBB">
        <w:t xml:space="preserve"> the petition is “deemed to have been denied.”</w:t>
      </w:r>
      <w:r>
        <w:rPr>
          <w:rStyle w:val="FootnoteReference"/>
        </w:rPr>
        <w:footnoteReference w:id="3"/>
      </w:r>
      <w:r w:rsidRPr="00C97CBB">
        <w:t xml:space="preserve">  In this case, the Board </w:t>
      </w:r>
      <w:r w:rsidRPr="00C97CBB" w:rsidR="008E730D">
        <w:t>granted</w:t>
      </w:r>
      <w:r w:rsidRPr="00C97CBB">
        <w:t xml:space="preserve"> a petition for reconsideration filed by real party in interest</w:t>
      </w:r>
      <w:r w:rsidR="003A5BB3">
        <w:t>,</w:t>
      </w:r>
      <w:r w:rsidRPr="00C97CBB">
        <w:t xml:space="preserve"> </w:t>
      </w:r>
      <w:r w:rsidRPr="00C97CBB">
        <w:rPr>
          <w:rFonts w:eastAsia="Times New Roman"/>
        </w:rPr>
        <w:t>California Insurance Guarantee Association (CIGA)</w:t>
      </w:r>
      <w:r w:rsidR="003A5BB3">
        <w:rPr>
          <w:rFonts w:eastAsia="Times New Roman"/>
        </w:rPr>
        <w:t>,</w:t>
      </w:r>
      <w:r w:rsidRPr="00C97CBB">
        <w:rPr>
          <w:rFonts w:eastAsia="Times New Roman"/>
        </w:rPr>
        <w:t xml:space="preserve"> more than nine months after CIGA filed </w:t>
      </w:r>
      <w:r w:rsidRPr="00C97CBB" w:rsidR="00761193">
        <w:rPr>
          <w:rFonts w:eastAsia="Times New Roman"/>
        </w:rPr>
        <w:t>its</w:t>
      </w:r>
      <w:r w:rsidRPr="00C97CBB">
        <w:rPr>
          <w:rFonts w:eastAsia="Times New Roman"/>
        </w:rPr>
        <w:t xml:space="preserve"> petition</w:t>
      </w:r>
      <w:r w:rsidRPr="00C97CBB" w:rsidR="00FA23AF">
        <w:rPr>
          <w:rFonts w:eastAsia="Times New Roman"/>
        </w:rPr>
        <w:t xml:space="preserve">.  The Board sought to justify its late decision on the basis its </w:t>
      </w:r>
      <w:r w:rsidRPr="00C97CBB" w:rsidR="000115B8">
        <w:rPr>
          <w:rFonts w:eastAsia="Times New Roman"/>
        </w:rPr>
        <w:t xml:space="preserve">delay was the result of </w:t>
      </w:r>
      <w:r w:rsidRPr="00C97CBB" w:rsidR="00524BC2">
        <w:rPr>
          <w:rFonts w:eastAsia="Times New Roman"/>
        </w:rPr>
        <w:t xml:space="preserve">an </w:t>
      </w:r>
      <w:r w:rsidRPr="00C97CBB" w:rsidR="00524BC2">
        <w:t xml:space="preserve">“administrative irregularity” </w:t>
      </w:r>
      <w:r w:rsidRPr="00C97CBB" w:rsidR="00FA23AF">
        <w:t xml:space="preserve">in the workers’ compensation appeals process </w:t>
      </w:r>
      <w:r w:rsidRPr="00C97CBB" w:rsidR="00524BC2">
        <w:t xml:space="preserve">that delayed transmission of CIGA’s </w:t>
      </w:r>
      <w:r w:rsidRPr="00C97CBB" w:rsidR="00DE7C56">
        <w:t>timely</w:t>
      </w:r>
      <w:r w:rsidR="00501B47">
        <w:t xml:space="preserve"> </w:t>
      </w:r>
      <w:r w:rsidRPr="00C97CBB" w:rsidR="00DE7C56">
        <w:t xml:space="preserve">filed </w:t>
      </w:r>
      <w:r w:rsidRPr="00C97CBB" w:rsidR="00524BC2">
        <w:t>petition to the Board</w:t>
      </w:r>
      <w:r w:rsidRPr="00C97CBB">
        <w:rPr>
          <w:rFonts w:eastAsia="Times New Roman"/>
        </w:rPr>
        <w:t xml:space="preserve">.  </w:t>
      </w:r>
      <w:r w:rsidRPr="00C97CBB" w:rsidR="007A78E5">
        <w:rPr>
          <w:rFonts w:eastAsia="Times New Roman"/>
        </w:rPr>
        <w:t xml:space="preserve">Zurich American Insurance Company seeks a writ of mandate directing the Board to rescind its </w:t>
      </w:r>
      <w:r w:rsidRPr="00C97CBB" w:rsidR="00D409D0">
        <w:rPr>
          <w:rFonts w:eastAsia="Times New Roman"/>
        </w:rPr>
        <w:t>order granting</w:t>
      </w:r>
      <w:r w:rsidRPr="00C97CBB" w:rsidR="007A78E5">
        <w:rPr>
          <w:rFonts w:eastAsia="Times New Roman"/>
        </w:rPr>
        <w:t xml:space="preserve"> CIGA’s petition</w:t>
      </w:r>
      <w:r w:rsidRPr="00C97CBB" w:rsidR="00EB57F7">
        <w:rPr>
          <w:rFonts w:eastAsia="Times New Roman"/>
        </w:rPr>
        <w:t>, arguing the petition</w:t>
      </w:r>
      <w:r w:rsidRPr="00C97CBB" w:rsidR="00026DBC">
        <w:rPr>
          <w:rFonts w:eastAsia="Times New Roman"/>
        </w:rPr>
        <w:t xml:space="preserve"> had already been denied </w:t>
      </w:r>
      <w:r w:rsidRPr="00C97CBB" w:rsidR="00D409D0">
        <w:rPr>
          <w:rFonts w:eastAsia="Times New Roman"/>
        </w:rPr>
        <w:t>by operation of law under section 5909</w:t>
      </w:r>
      <w:r w:rsidRPr="00C97CBB" w:rsidR="007A78E5">
        <w:rPr>
          <w:rFonts w:eastAsia="Times New Roman"/>
        </w:rPr>
        <w:t>.</w:t>
      </w:r>
    </w:p>
    <w:p w:rsidR="00761193" w:rsidRPr="00C97CBB" w:rsidP="00350795" w14:paraId="471C5252" w14:textId="7E893A74">
      <w:pPr>
        <w:spacing w:after="0" w:line="288" w:lineRule="auto"/>
        <w:ind w:firstLine="720"/>
        <w:rPr>
          <w:rFonts w:eastAsia="Times New Roman"/>
        </w:rPr>
      </w:pPr>
      <w:r w:rsidRPr="00C97CBB">
        <w:rPr>
          <w:rFonts w:eastAsia="Times New Roman"/>
        </w:rPr>
        <w:t>In response, t</w:t>
      </w:r>
      <w:r w:rsidRPr="00C97CBB" w:rsidR="0061711C">
        <w:rPr>
          <w:rFonts w:eastAsia="Times New Roman"/>
        </w:rPr>
        <w:t xml:space="preserve">he Board </w:t>
      </w:r>
      <w:r w:rsidRPr="00C97CBB" w:rsidR="00575514">
        <w:rPr>
          <w:rFonts w:eastAsia="Times New Roman"/>
        </w:rPr>
        <w:t xml:space="preserve">relies on </w:t>
      </w:r>
      <w:r w:rsidRPr="00C97CBB" w:rsidR="0061711C">
        <w:rPr>
          <w:rFonts w:eastAsia="Times New Roman"/>
        </w:rPr>
        <w:t xml:space="preserve">an exception to </w:t>
      </w:r>
      <w:r w:rsidRPr="00C97CBB">
        <w:rPr>
          <w:rFonts w:eastAsia="Times New Roman"/>
        </w:rPr>
        <w:t>section</w:t>
      </w:r>
      <w:r w:rsidRPr="00C97CBB" w:rsidR="00C3426F">
        <w:rPr>
          <w:rFonts w:eastAsia="Times New Roman"/>
        </w:rPr>
        <w:t> </w:t>
      </w:r>
      <w:r w:rsidRPr="00C97CBB">
        <w:rPr>
          <w:rFonts w:eastAsia="Times New Roman"/>
        </w:rPr>
        <w:t>5909’s</w:t>
      </w:r>
      <w:r w:rsidRPr="00C97CBB" w:rsidR="0061711C">
        <w:rPr>
          <w:rFonts w:eastAsia="Times New Roman"/>
        </w:rPr>
        <w:t xml:space="preserve"> </w:t>
      </w:r>
      <w:r w:rsidRPr="00C97CBB" w:rsidR="009D24D7">
        <w:rPr>
          <w:rFonts w:eastAsia="Times New Roman"/>
        </w:rPr>
        <w:t>60-</w:t>
      </w:r>
      <w:r w:rsidRPr="00C97CBB" w:rsidR="0061711C">
        <w:rPr>
          <w:rFonts w:eastAsia="Times New Roman"/>
        </w:rPr>
        <w:t xml:space="preserve">day </w:t>
      </w:r>
      <w:r w:rsidRPr="00C97CBB" w:rsidR="007F4E93">
        <w:rPr>
          <w:rFonts w:eastAsia="Times New Roman"/>
        </w:rPr>
        <w:t xml:space="preserve">deadline </w:t>
      </w:r>
      <w:r w:rsidRPr="00C97CBB" w:rsidR="009246FC">
        <w:rPr>
          <w:rFonts w:eastAsia="Times New Roman"/>
        </w:rPr>
        <w:t>recognized over three decades ago by</w:t>
      </w:r>
      <w:r w:rsidRPr="00C97CBB" w:rsidR="0061711C">
        <w:rPr>
          <w:rFonts w:eastAsia="Times New Roman"/>
        </w:rPr>
        <w:t xml:space="preserve"> </w:t>
      </w:r>
      <w:r w:rsidR="00501B47">
        <w:rPr>
          <w:rFonts w:eastAsia="Times New Roman"/>
        </w:rPr>
        <w:t xml:space="preserve">the Court of Appeal </w:t>
      </w:r>
      <w:r w:rsidRPr="00C97CBB" w:rsidR="00575514">
        <w:rPr>
          <w:rFonts w:eastAsia="Times New Roman"/>
        </w:rPr>
        <w:t>in</w:t>
      </w:r>
      <w:r w:rsidRPr="00C97CBB" w:rsidR="00D409D0">
        <w:rPr>
          <w:rFonts w:eastAsia="Times New Roman"/>
        </w:rPr>
        <w:t xml:space="preserve"> </w:t>
      </w:r>
      <w:r w:rsidRPr="00C97CBB">
        <w:rPr>
          <w:rFonts w:eastAsia="Times New Roman"/>
          <w:i/>
          <w:iCs/>
        </w:rPr>
        <w:t xml:space="preserve">Shipley v. Workers’ Comp. Appeals Bd. </w:t>
      </w:r>
      <w:r w:rsidRPr="00C97CBB">
        <w:rPr>
          <w:rFonts w:eastAsia="Times New Roman"/>
        </w:rPr>
        <w:t>(1992) 7 Cal.App.4th 1104 (</w:t>
      </w:r>
      <w:r w:rsidRPr="00C97CBB">
        <w:rPr>
          <w:rFonts w:eastAsia="Times New Roman"/>
          <w:i/>
          <w:iCs/>
        </w:rPr>
        <w:t>Shipley</w:t>
      </w:r>
      <w:r w:rsidRPr="00C97CBB">
        <w:rPr>
          <w:rFonts w:eastAsia="Times New Roman"/>
        </w:rPr>
        <w:t>)</w:t>
      </w:r>
      <w:r w:rsidRPr="00C97CBB" w:rsidR="00941613">
        <w:rPr>
          <w:rFonts w:eastAsia="Times New Roman"/>
        </w:rPr>
        <w:t xml:space="preserve">, which found the </w:t>
      </w:r>
      <w:r w:rsidRPr="00C97CBB" w:rsidR="007A51E2">
        <w:rPr>
          <w:rFonts w:eastAsia="Times New Roman"/>
        </w:rPr>
        <w:t xml:space="preserve">60-day </w:t>
      </w:r>
      <w:r w:rsidRPr="00C97CBB" w:rsidR="00941613">
        <w:rPr>
          <w:rFonts w:eastAsia="Times New Roman"/>
        </w:rPr>
        <w:t xml:space="preserve">deadline </w:t>
      </w:r>
      <w:r w:rsidR="00501B47">
        <w:rPr>
          <w:rFonts w:eastAsia="Times New Roman"/>
        </w:rPr>
        <w:t xml:space="preserve">was </w:t>
      </w:r>
      <w:r w:rsidRPr="00C97CBB" w:rsidR="006A35D7">
        <w:rPr>
          <w:rFonts w:eastAsia="Times New Roman"/>
        </w:rPr>
        <w:t xml:space="preserve">tolled </w:t>
      </w:r>
      <w:r w:rsidR="00501B47">
        <w:rPr>
          <w:rFonts w:eastAsia="Times New Roman"/>
        </w:rPr>
        <w:t>becau</w:t>
      </w:r>
      <w:r w:rsidR="00A91F29">
        <w:rPr>
          <w:rFonts w:eastAsia="Times New Roman"/>
        </w:rPr>
        <w:t>s</w:t>
      </w:r>
      <w:r w:rsidR="00501B47">
        <w:rPr>
          <w:rFonts w:eastAsia="Times New Roman"/>
        </w:rPr>
        <w:t>e</w:t>
      </w:r>
      <w:r w:rsidRPr="00C97CBB" w:rsidR="003509CB">
        <w:rPr>
          <w:rFonts w:eastAsia="Times New Roman"/>
        </w:rPr>
        <w:t xml:space="preserve"> the claimant diligently inquired </w:t>
      </w:r>
      <w:r w:rsidRPr="00C97CBB" w:rsidR="006421B0">
        <w:rPr>
          <w:rFonts w:eastAsia="Times New Roman"/>
        </w:rPr>
        <w:t xml:space="preserve">into the status of </w:t>
      </w:r>
      <w:r w:rsidRPr="00C97CBB" w:rsidR="003509CB">
        <w:rPr>
          <w:rFonts w:eastAsia="Times New Roman"/>
        </w:rPr>
        <w:t xml:space="preserve">his petition </w:t>
      </w:r>
      <w:r w:rsidRPr="00C97CBB" w:rsidR="009F570D">
        <w:rPr>
          <w:rFonts w:eastAsia="Times New Roman"/>
        </w:rPr>
        <w:t xml:space="preserve">for reconsideration </w:t>
      </w:r>
      <w:r w:rsidRPr="00C97CBB" w:rsidR="003509CB">
        <w:rPr>
          <w:rFonts w:eastAsia="Times New Roman"/>
        </w:rPr>
        <w:t xml:space="preserve">and </w:t>
      </w:r>
      <w:r w:rsidRPr="00C97CBB" w:rsidR="006A35D7">
        <w:rPr>
          <w:rFonts w:eastAsia="Times New Roman"/>
        </w:rPr>
        <w:t>the Board</w:t>
      </w:r>
      <w:r w:rsidRPr="00C97CBB" w:rsidR="003509CB">
        <w:rPr>
          <w:rFonts w:eastAsia="Times New Roman"/>
        </w:rPr>
        <w:t xml:space="preserve"> misled </w:t>
      </w:r>
      <w:r w:rsidRPr="00C97CBB" w:rsidR="00B90508">
        <w:rPr>
          <w:rFonts w:eastAsia="Times New Roman"/>
        </w:rPr>
        <w:t xml:space="preserve">the </w:t>
      </w:r>
      <w:r w:rsidRPr="00C97CBB" w:rsidR="00E648C5">
        <w:rPr>
          <w:rFonts w:eastAsia="Times New Roman"/>
        </w:rPr>
        <w:t>claimant</w:t>
      </w:r>
      <w:r w:rsidRPr="00C97CBB" w:rsidR="00B90508">
        <w:rPr>
          <w:rFonts w:eastAsia="Times New Roman"/>
        </w:rPr>
        <w:t xml:space="preserve"> to believe his </w:t>
      </w:r>
      <w:r w:rsidRPr="00C97CBB" w:rsidR="008A3285">
        <w:rPr>
          <w:rFonts w:eastAsia="Times New Roman"/>
        </w:rPr>
        <w:t xml:space="preserve">petition would be </w:t>
      </w:r>
      <w:r w:rsidR="00305595">
        <w:rPr>
          <w:rFonts w:eastAsia="Times New Roman"/>
        </w:rPr>
        <w:t>considered</w:t>
      </w:r>
      <w:r w:rsidRPr="00C97CBB" w:rsidR="00AA6060">
        <w:rPr>
          <w:rFonts w:eastAsia="Times New Roman"/>
        </w:rPr>
        <w:t xml:space="preserve"> once </w:t>
      </w:r>
      <w:r w:rsidRPr="00C97CBB" w:rsidR="00D85BF2">
        <w:rPr>
          <w:rFonts w:eastAsia="Times New Roman"/>
        </w:rPr>
        <w:t>the lost file on his case</w:t>
      </w:r>
      <w:r w:rsidRPr="00C97CBB" w:rsidR="00AA6060">
        <w:rPr>
          <w:rFonts w:eastAsia="Times New Roman"/>
        </w:rPr>
        <w:t xml:space="preserve"> was retrieved or </w:t>
      </w:r>
      <w:r w:rsidRPr="00C97CBB" w:rsidR="00B55919">
        <w:rPr>
          <w:rFonts w:eastAsia="Times New Roman"/>
        </w:rPr>
        <w:t>rec</w:t>
      </w:r>
      <w:r w:rsidRPr="00C97CBB" w:rsidR="00D85BF2">
        <w:rPr>
          <w:rFonts w:eastAsia="Times New Roman"/>
        </w:rPr>
        <w:t>onstructed</w:t>
      </w:r>
      <w:r w:rsidRPr="00C97CBB">
        <w:rPr>
          <w:rFonts w:eastAsia="Times New Roman"/>
        </w:rPr>
        <w:t xml:space="preserve">.  </w:t>
      </w:r>
    </w:p>
    <w:p w:rsidR="000C2061" w:rsidRPr="00775201" w:rsidP="003C448D" w14:paraId="248EFC8A" w14:textId="4AFB8014">
      <w:pPr>
        <w:spacing w:after="0" w:line="288" w:lineRule="auto"/>
        <w:ind w:firstLine="720"/>
        <w:rPr>
          <w:rFonts w:eastAsia="Times New Roman"/>
        </w:rPr>
      </w:pPr>
      <w:r w:rsidRPr="00967FBD">
        <w:rPr>
          <w:rFonts w:eastAsia="Times New Roman"/>
        </w:rPr>
        <w:t xml:space="preserve">We conclude the </w:t>
      </w:r>
      <w:r w:rsidRPr="00967FBD" w:rsidR="00AD5F57">
        <w:rPr>
          <w:rFonts w:eastAsia="Times New Roman"/>
        </w:rPr>
        <w:t xml:space="preserve">language and purpose </w:t>
      </w:r>
      <w:r w:rsidRPr="00967FBD" w:rsidR="001E6D99">
        <w:rPr>
          <w:rFonts w:eastAsia="Times New Roman"/>
        </w:rPr>
        <w:t>of section</w:t>
      </w:r>
      <w:r w:rsidR="00286E2F">
        <w:rPr>
          <w:rFonts w:eastAsia="Times New Roman"/>
        </w:rPr>
        <w:t> </w:t>
      </w:r>
      <w:r w:rsidRPr="00967FBD" w:rsidR="001E6D99">
        <w:rPr>
          <w:rFonts w:eastAsia="Times New Roman"/>
        </w:rPr>
        <w:t xml:space="preserve">5909 </w:t>
      </w:r>
      <w:r w:rsidRPr="00967FBD" w:rsidR="00765E8B">
        <w:rPr>
          <w:rFonts w:eastAsia="Times New Roman"/>
        </w:rPr>
        <w:t xml:space="preserve">show </w:t>
      </w:r>
      <w:r w:rsidRPr="00967FBD" w:rsidR="00AD5F57">
        <w:rPr>
          <w:rFonts w:eastAsia="Times New Roman"/>
        </w:rPr>
        <w:t>a</w:t>
      </w:r>
      <w:r w:rsidRPr="00967FBD" w:rsidR="00765E8B">
        <w:rPr>
          <w:rFonts w:eastAsia="Times New Roman"/>
        </w:rPr>
        <w:t xml:space="preserve"> </w:t>
      </w:r>
      <w:r w:rsidRPr="00967FBD" w:rsidR="00157F66">
        <w:rPr>
          <w:rFonts w:eastAsia="Times New Roman"/>
        </w:rPr>
        <w:t xml:space="preserve">clear legislative </w:t>
      </w:r>
      <w:r w:rsidRPr="00967FBD" w:rsidR="00765E8B">
        <w:rPr>
          <w:rFonts w:eastAsia="Times New Roman"/>
        </w:rPr>
        <w:t xml:space="preserve">intent </w:t>
      </w:r>
      <w:r w:rsidRPr="00967FBD" w:rsidR="00157F66">
        <w:rPr>
          <w:rFonts w:eastAsia="Times New Roman"/>
        </w:rPr>
        <w:t xml:space="preserve">to </w:t>
      </w:r>
      <w:r w:rsidRPr="00967FBD" w:rsidR="009A13A1">
        <w:rPr>
          <w:rFonts w:eastAsia="Times New Roman"/>
        </w:rPr>
        <w:t xml:space="preserve">terminate </w:t>
      </w:r>
      <w:r w:rsidRPr="00967FBD" w:rsidR="00157F66">
        <w:rPr>
          <w:rFonts w:eastAsia="Times New Roman"/>
        </w:rPr>
        <w:t>the Board</w:t>
      </w:r>
      <w:r w:rsidRPr="00967FBD" w:rsidR="004D3255">
        <w:rPr>
          <w:rFonts w:eastAsia="Times New Roman"/>
        </w:rPr>
        <w:t>’s</w:t>
      </w:r>
      <w:r w:rsidRPr="00967FBD" w:rsidR="000E3C24">
        <w:rPr>
          <w:rFonts w:eastAsia="Times New Roman"/>
        </w:rPr>
        <w:t xml:space="preserve"> </w:t>
      </w:r>
      <w:r w:rsidRPr="00967FBD" w:rsidR="003B5F70">
        <w:rPr>
          <w:rFonts w:eastAsia="Times New Roman"/>
        </w:rPr>
        <w:t>jurisdiction</w:t>
      </w:r>
      <w:r w:rsidRPr="00967FBD" w:rsidR="000E3C24">
        <w:rPr>
          <w:rFonts w:eastAsia="Times New Roman"/>
        </w:rPr>
        <w:t xml:space="preserve"> to consider a petition for reconsideration after the 60</w:t>
      </w:r>
      <w:r w:rsidRPr="00967FBD" w:rsidR="00610265">
        <w:rPr>
          <w:rFonts w:eastAsia="Times New Roman"/>
        </w:rPr>
        <w:t> </w:t>
      </w:r>
      <w:r w:rsidRPr="00967FBD" w:rsidR="000E3C24">
        <w:rPr>
          <w:rFonts w:eastAsia="Times New Roman"/>
        </w:rPr>
        <w:t xml:space="preserve">days </w:t>
      </w:r>
      <w:r w:rsidRPr="00967FBD" w:rsidR="00C825FF">
        <w:rPr>
          <w:rFonts w:eastAsia="Times New Roman"/>
        </w:rPr>
        <w:t xml:space="preserve">have </w:t>
      </w:r>
      <w:r w:rsidRPr="00967FBD" w:rsidR="000E3C24">
        <w:rPr>
          <w:rFonts w:eastAsia="Times New Roman"/>
        </w:rPr>
        <w:t>passed</w:t>
      </w:r>
      <w:r w:rsidRPr="00967FBD" w:rsidR="00311DA5">
        <w:rPr>
          <w:rFonts w:eastAsia="Times New Roman"/>
        </w:rPr>
        <w:t xml:space="preserve">, </w:t>
      </w:r>
      <w:r w:rsidRPr="00967FBD" w:rsidR="00B7385A">
        <w:rPr>
          <w:rFonts w:eastAsia="Times New Roman"/>
        </w:rPr>
        <w:t xml:space="preserve">and thus, </w:t>
      </w:r>
      <w:r w:rsidRPr="00967FBD" w:rsidR="00311DA5">
        <w:rPr>
          <w:rFonts w:eastAsia="Times New Roman"/>
        </w:rPr>
        <w:t xml:space="preserve">decisions on the petition </w:t>
      </w:r>
      <w:r w:rsidRPr="00967FBD" w:rsidR="00B7385A">
        <w:rPr>
          <w:rFonts w:eastAsia="Times New Roman"/>
        </w:rPr>
        <w:t xml:space="preserve">made </w:t>
      </w:r>
      <w:r w:rsidRPr="00967FBD" w:rsidR="00311DA5">
        <w:rPr>
          <w:rFonts w:eastAsia="Times New Roman"/>
        </w:rPr>
        <w:t>after that date</w:t>
      </w:r>
      <w:r w:rsidRPr="00967FBD" w:rsidR="00B7385A">
        <w:rPr>
          <w:rFonts w:eastAsia="Times New Roman"/>
        </w:rPr>
        <w:t xml:space="preserve"> are</w:t>
      </w:r>
      <w:r w:rsidRPr="00967FBD" w:rsidR="00311DA5">
        <w:rPr>
          <w:rFonts w:eastAsia="Times New Roman"/>
        </w:rPr>
        <w:t xml:space="preserve"> void as in excess of the agency’s jurisdiction</w:t>
      </w:r>
      <w:r w:rsidRPr="00967FBD" w:rsidR="000E3C24">
        <w:rPr>
          <w:rFonts w:eastAsia="Times New Roman"/>
        </w:rPr>
        <w:t xml:space="preserve">.  </w:t>
      </w:r>
      <w:r w:rsidRPr="00967FBD" w:rsidR="00EE1992">
        <w:rPr>
          <w:rFonts w:eastAsia="Times New Roman"/>
        </w:rPr>
        <w:t>After</w:t>
      </w:r>
      <w:r w:rsidRPr="00967FBD" w:rsidR="00555743">
        <w:rPr>
          <w:rFonts w:eastAsia="Times New Roman"/>
        </w:rPr>
        <w:t xml:space="preserve"> 60 days</w:t>
      </w:r>
      <w:r w:rsidR="00CF2EEB">
        <w:rPr>
          <w:rFonts w:eastAsia="Times New Roman"/>
        </w:rPr>
        <w:t xml:space="preserve"> the administrative process is final, and a petitioner </w:t>
      </w:r>
      <w:r w:rsidR="006C5976">
        <w:rPr>
          <w:rFonts w:eastAsia="Times New Roman"/>
        </w:rPr>
        <w:t xml:space="preserve">has 45 days </w:t>
      </w:r>
      <w:r w:rsidR="004D4026">
        <w:rPr>
          <w:rFonts w:eastAsia="Times New Roman"/>
        </w:rPr>
        <w:t>under section</w:t>
      </w:r>
      <w:r w:rsidR="001F6047">
        <w:rPr>
          <w:rFonts w:eastAsia="Times New Roman"/>
        </w:rPr>
        <w:t> </w:t>
      </w:r>
      <w:r w:rsidR="004D4026">
        <w:rPr>
          <w:rFonts w:eastAsia="Times New Roman"/>
        </w:rPr>
        <w:t xml:space="preserve">5950 </w:t>
      </w:r>
      <w:r w:rsidR="006C5976">
        <w:rPr>
          <w:rFonts w:eastAsia="Times New Roman"/>
        </w:rPr>
        <w:t xml:space="preserve">in which to </w:t>
      </w:r>
      <w:r w:rsidR="00162077">
        <w:rPr>
          <w:rFonts w:eastAsia="Times New Roman"/>
        </w:rPr>
        <w:t xml:space="preserve">seek a writ of </w:t>
      </w:r>
      <w:r w:rsidR="009366C9">
        <w:rPr>
          <w:rFonts w:eastAsia="Times New Roman"/>
        </w:rPr>
        <w:t xml:space="preserve">review </w:t>
      </w:r>
      <w:r w:rsidR="006730F2">
        <w:rPr>
          <w:rFonts w:eastAsia="Times New Roman"/>
        </w:rPr>
        <w:t xml:space="preserve">of the decision </w:t>
      </w:r>
      <w:r w:rsidR="00C825FF">
        <w:rPr>
          <w:rFonts w:eastAsia="Times New Roman"/>
        </w:rPr>
        <w:t xml:space="preserve">of </w:t>
      </w:r>
      <w:r w:rsidR="006730F2">
        <w:rPr>
          <w:rFonts w:eastAsia="Times New Roman"/>
        </w:rPr>
        <w:t xml:space="preserve">the workers’ compensation judge or arbitrator </w:t>
      </w:r>
      <w:r w:rsidR="009366C9">
        <w:rPr>
          <w:rFonts w:eastAsia="Times New Roman"/>
        </w:rPr>
        <w:t xml:space="preserve">by </w:t>
      </w:r>
      <w:r w:rsidRPr="00B92713" w:rsidR="00B92713">
        <w:rPr>
          <w:rFonts w:eastAsia="Times New Roman"/>
        </w:rPr>
        <w:t xml:space="preserve">the Court of Appeal or Supreme Court.  </w:t>
      </w:r>
      <w:r w:rsidR="005D1E38">
        <w:rPr>
          <w:rFonts w:eastAsia="Times New Roman"/>
        </w:rPr>
        <w:t>T</w:t>
      </w:r>
      <w:r w:rsidR="00CF2EEB">
        <w:rPr>
          <w:rFonts w:eastAsia="Times New Roman"/>
        </w:rPr>
        <w:t xml:space="preserve">he Board’s </w:t>
      </w:r>
      <w:r w:rsidR="005D1E38">
        <w:rPr>
          <w:rFonts w:eastAsia="Times New Roman"/>
        </w:rPr>
        <w:t xml:space="preserve">contrary </w:t>
      </w:r>
      <w:r w:rsidRPr="00775201" w:rsidR="00CF2EEB">
        <w:rPr>
          <w:rFonts w:eastAsia="Times New Roman"/>
        </w:rPr>
        <w:t xml:space="preserve">interpretation—that it retains jurisdiction to </w:t>
      </w:r>
      <w:r w:rsidRPr="00775201" w:rsidR="002A5AC5">
        <w:rPr>
          <w:rFonts w:eastAsia="Times New Roman"/>
        </w:rPr>
        <w:t xml:space="preserve">consider a petition well after the 60-day deadline has run—would deprive the parties of finality and create uncertainty as to when the clock </w:t>
      </w:r>
      <w:r w:rsidRPr="00775201" w:rsidR="00225FE3">
        <w:rPr>
          <w:rFonts w:eastAsia="Times New Roman"/>
        </w:rPr>
        <w:t>begins</w:t>
      </w:r>
      <w:r w:rsidRPr="00775201" w:rsidR="002A5AC5">
        <w:rPr>
          <w:rFonts w:eastAsia="Times New Roman"/>
        </w:rPr>
        <w:t xml:space="preserve"> to run on a petitioner’s right to seek judicial review.</w:t>
      </w:r>
      <w:r w:rsidR="002E3A36">
        <w:rPr>
          <w:rFonts w:eastAsia="Times New Roman"/>
        </w:rPr>
        <w:t xml:space="preserve"> </w:t>
      </w:r>
    </w:p>
    <w:p w:rsidR="00E53F8A" w:rsidP="00E53F8A" w14:paraId="1C7B116D" w14:textId="7A309875">
      <w:pPr>
        <w:spacing w:after="0" w:line="288" w:lineRule="auto"/>
        <w:ind w:firstLine="720"/>
        <w:rPr>
          <w:rFonts w:eastAsia="Times New Roman"/>
        </w:rPr>
      </w:pPr>
      <w:r w:rsidRPr="00286E2F">
        <w:t>Because section 5909 divests the Board of jurisdiction to consider a deemed-denied petition for reconsideration after 60</w:t>
      </w:r>
      <w:r w:rsidR="00286E2F">
        <w:t> </w:t>
      </w:r>
      <w:r w:rsidRPr="00286E2F">
        <w:t>days has passed, w</w:t>
      </w:r>
      <w:r w:rsidRPr="00286E2F" w:rsidR="000A6C10">
        <w:t xml:space="preserve">e disagree with the conclusion in </w:t>
      </w:r>
      <w:r w:rsidRPr="00286E2F" w:rsidR="000A6C10">
        <w:rPr>
          <w:i/>
          <w:iCs/>
        </w:rPr>
        <w:t>Shipley</w:t>
      </w:r>
      <w:r w:rsidRPr="00286E2F" w:rsidR="002E3A36">
        <w:rPr>
          <w:i/>
          <w:iCs/>
        </w:rPr>
        <w:t>, supra</w:t>
      </w:r>
      <w:r w:rsidRPr="00286E2F" w:rsidR="002E3A36">
        <w:t>,</w:t>
      </w:r>
      <w:r w:rsidRPr="00286E2F" w:rsidR="000A6C10">
        <w:t xml:space="preserve"> </w:t>
      </w:r>
      <w:r w:rsidRPr="00286E2F" w:rsidR="002E3A36">
        <w:t xml:space="preserve">7 Cal.App.4th at page </w:t>
      </w:r>
      <w:r w:rsidRPr="00286E2F" w:rsidR="000222D2">
        <w:t xml:space="preserve">1108 </w:t>
      </w:r>
      <w:r w:rsidRPr="00286E2F" w:rsidR="000A6C10">
        <w:t>that a petitioner has a due process right to review by the Board</w:t>
      </w:r>
      <w:r w:rsidRPr="00286E2F">
        <w:t xml:space="preserve"> after the deadline</w:t>
      </w:r>
      <w:r w:rsidRPr="00286E2F" w:rsidR="000A6C10">
        <w:t xml:space="preserve">.  </w:t>
      </w:r>
      <w:r w:rsidRPr="00286E2F" w:rsidR="00983811">
        <w:t>But even</w:t>
      </w:r>
      <w:r w:rsidRPr="00286E2F" w:rsidR="00C60E6C">
        <w:t xml:space="preserve"> if</w:t>
      </w:r>
      <w:r w:rsidRPr="00286E2F" w:rsidR="00983811">
        <w:t xml:space="preserve"> </w:t>
      </w:r>
      <w:r w:rsidRPr="00286E2F" w:rsidR="000239F4">
        <w:rPr>
          <w:rFonts w:eastAsia="Times New Roman"/>
          <w:i/>
          <w:iCs/>
        </w:rPr>
        <w:t xml:space="preserve">Shipley </w:t>
      </w:r>
      <w:r w:rsidRPr="00286E2F" w:rsidR="003A7B10">
        <w:rPr>
          <w:rFonts w:eastAsia="Times New Roman"/>
        </w:rPr>
        <w:t xml:space="preserve">can be read to </w:t>
      </w:r>
      <w:r w:rsidRPr="00286E2F" w:rsidR="001431D6">
        <w:rPr>
          <w:rFonts w:eastAsia="Times New Roman"/>
        </w:rPr>
        <w:t xml:space="preserve">apply equitable principles to </w:t>
      </w:r>
      <w:r w:rsidRPr="00286E2F" w:rsidR="00DF7180">
        <w:rPr>
          <w:rFonts w:eastAsia="Times New Roman"/>
        </w:rPr>
        <w:t xml:space="preserve">allow the Board to consider a petition for reconsideration </w:t>
      </w:r>
      <w:r w:rsidRPr="00286E2F" w:rsidR="00C70632">
        <w:rPr>
          <w:rFonts w:eastAsia="Times New Roman"/>
        </w:rPr>
        <w:t xml:space="preserve">beyond </w:t>
      </w:r>
      <w:r w:rsidRPr="00286E2F" w:rsidR="00766765">
        <w:rPr>
          <w:rFonts w:eastAsia="Times New Roman"/>
        </w:rPr>
        <w:t>the statutory deadline</w:t>
      </w:r>
      <w:r w:rsidRPr="00286E2F" w:rsidR="00303DE0">
        <w:rPr>
          <w:rFonts w:eastAsia="Times New Roman"/>
        </w:rPr>
        <w:t>,</w:t>
      </w:r>
      <w:r w:rsidRPr="00775201" w:rsidR="00303DE0">
        <w:rPr>
          <w:rFonts w:eastAsia="Times New Roman"/>
        </w:rPr>
        <w:t xml:space="preserve"> </w:t>
      </w:r>
      <w:r w:rsidRPr="00775201" w:rsidR="0028000C">
        <w:rPr>
          <w:rFonts w:eastAsia="Times New Roman"/>
        </w:rPr>
        <w:t>the exception must</w:t>
      </w:r>
      <w:r w:rsidRPr="00775201" w:rsidR="00C63E1D">
        <w:rPr>
          <w:rFonts w:eastAsia="Times New Roman"/>
        </w:rPr>
        <w:t xml:space="preserve"> be </w:t>
      </w:r>
      <w:r w:rsidRPr="00775201" w:rsidR="00F2658F">
        <w:rPr>
          <w:rFonts w:eastAsia="Times New Roman"/>
        </w:rPr>
        <w:t xml:space="preserve">applied </w:t>
      </w:r>
      <w:r w:rsidRPr="00775201" w:rsidR="00DF5240">
        <w:rPr>
          <w:rFonts w:eastAsia="Times New Roman"/>
        </w:rPr>
        <w:t xml:space="preserve">only </w:t>
      </w:r>
      <w:r w:rsidRPr="00775201" w:rsidR="007E6B5A">
        <w:rPr>
          <w:rFonts w:eastAsia="Times New Roman"/>
        </w:rPr>
        <w:t>(1)</w:t>
      </w:r>
      <w:r w:rsidRPr="00775201" w:rsidR="00B832AF">
        <w:rPr>
          <w:rFonts w:eastAsia="Times New Roman"/>
        </w:rPr>
        <w:t> </w:t>
      </w:r>
      <w:r w:rsidRPr="00775201" w:rsidR="0091235A">
        <w:rPr>
          <w:rFonts w:eastAsia="Times New Roman"/>
        </w:rPr>
        <w:t>where a diligent petitioner’s rights were violated due to the fault of the Board</w:t>
      </w:r>
      <w:r w:rsidRPr="00775201" w:rsidR="00310CE1">
        <w:rPr>
          <w:rFonts w:eastAsia="Times New Roman"/>
        </w:rPr>
        <w:t xml:space="preserve"> </w:t>
      </w:r>
      <w:r w:rsidRPr="00775201" w:rsidR="00DF5240">
        <w:rPr>
          <w:rFonts w:eastAsia="Times New Roman"/>
        </w:rPr>
        <w:t>(such as a lost petition)</w:t>
      </w:r>
      <w:r w:rsidRPr="00775201" w:rsidR="00573C95">
        <w:rPr>
          <w:rFonts w:eastAsia="Times New Roman"/>
        </w:rPr>
        <w:t xml:space="preserve">, and </w:t>
      </w:r>
      <w:r w:rsidRPr="00775201" w:rsidR="007E6B5A">
        <w:rPr>
          <w:rFonts w:eastAsia="Times New Roman"/>
        </w:rPr>
        <w:t xml:space="preserve">(2) </w:t>
      </w:r>
      <w:r w:rsidRPr="00775201" w:rsidR="00573C95">
        <w:rPr>
          <w:rFonts w:eastAsia="Times New Roman"/>
        </w:rPr>
        <w:t xml:space="preserve">the </w:t>
      </w:r>
      <w:r w:rsidRPr="00775201" w:rsidR="00B64971">
        <w:rPr>
          <w:rFonts w:eastAsia="Times New Roman"/>
        </w:rPr>
        <w:t xml:space="preserve">Board misled the petitioner in a manner that deprived the petitioner of a right to </w:t>
      </w:r>
      <w:r w:rsidRPr="00775201" w:rsidR="00741FAD">
        <w:rPr>
          <w:rFonts w:eastAsia="Times New Roman"/>
        </w:rPr>
        <w:t>review by the</w:t>
      </w:r>
      <w:r w:rsidRPr="00775201" w:rsidR="00085C8D">
        <w:rPr>
          <w:rFonts w:eastAsia="Times New Roman"/>
        </w:rPr>
        <w:t xml:space="preserve"> Board or the</w:t>
      </w:r>
      <w:r w:rsidRPr="00775201" w:rsidR="00741FAD">
        <w:rPr>
          <w:rFonts w:eastAsia="Times New Roman"/>
        </w:rPr>
        <w:t xml:space="preserve"> appellate courts</w:t>
      </w:r>
      <w:r w:rsidRPr="00775201" w:rsidR="007E6B5A">
        <w:rPr>
          <w:rFonts w:eastAsia="Times New Roman"/>
        </w:rPr>
        <w:t>.</w:t>
      </w:r>
      <w:r w:rsidR="007E6B5A">
        <w:rPr>
          <w:rFonts w:eastAsia="Times New Roman"/>
        </w:rPr>
        <w:t xml:space="preserve">  </w:t>
      </w:r>
    </w:p>
    <w:p w:rsidR="007A1440" w:rsidRPr="00C97CBB" w:rsidP="00C3426F" w14:paraId="38584D87" w14:textId="59EC4180">
      <w:pPr>
        <w:spacing w:after="0" w:line="288" w:lineRule="auto"/>
        <w:ind w:firstLine="720"/>
        <w:rPr>
          <w:rFonts w:eastAsia="Times New Roman"/>
        </w:rPr>
      </w:pPr>
      <w:r>
        <w:rPr>
          <w:rFonts w:eastAsia="Times New Roman"/>
        </w:rPr>
        <w:t xml:space="preserve">The Board </w:t>
      </w:r>
      <w:r w:rsidR="008A2889">
        <w:rPr>
          <w:rFonts w:eastAsia="Times New Roman"/>
        </w:rPr>
        <w:t xml:space="preserve">asserts </w:t>
      </w:r>
      <w:r w:rsidRPr="00C97CBB" w:rsidR="0082624E">
        <w:rPr>
          <w:rFonts w:eastAsia="Times New Roman"/>
        </w:rPr>
        <w:t xml:space="preserve">the workers’ compensation </w:t>
      </w:r>
      <w:r w:rsidRPr="00C97CBB" w:rsidR="00475591">
        <w:rPr>
          <w:rFonts w:eastAsia="Times New Roman"/>
        </w:rPr>
        <w:t>appeals process</w:t>
      </w:r>
      <w:r w:rsidRPr="00C97CBB" w:rsidR="005D0A94">
        <w:rPr>
          <w:rFonts w:eastAsia="Times New Roman"/>
        </w:rPr>
        <w:t xml:space="preserve"> </w:t>
      </w:r>
      <w:r w:rsidRPr="00C97CBB" w:rsidR="002B3B77">
        <w:rPr>
          <w:rFonts w:eastAsia="Times New Roman"/>
        </w:rPr>
        <w:t xml:space="preserve">system is </w:t>
      </w:r>
      <w:r w:rsidR="00501B47">
        <w:rPr>
          <w:rFonts w:eastAsia="Times New Roman"/>
        </w:rPr>
        <w:t>inefficient</w:t>
      </w:r>
      <w:r w:rsidRPr="00C97CBB" w:rsidR="005D0A94">
        <w:rPr>
          <w:rFonts w:eastAsia="Times New Roman"/>
        </w:rPr>
        <w:t>, with petitions e</w:t>
      </w:r>
      <w:r w:rsidR="005136A1">
        <w:rPr>
          <w:rFonts w:eastAsia="Times New Roman"/>
        </w:rPr>
        <w:t>le</w:t>
      </w:r>
      <w:r w:rsidRPr="00C97CBB" w:rsidR="005D0A94">
        <w:rPr>
          <w:rFonts w:eastAsia="Times New Roman"/>
        </w:rPr>
        <w:t xml:space="preserve">ctronically filed or submitted to a district office being lost </w:t>
      </w:r>
      <w:r w:rsidR="008A2889">
        <w:rPr>
          <w:rFonts w:eastAsia="Times New Roman"/>
        </w:rPr>
        <w:t>or</w:t>
      </w:r>
      <w:r w:rsidR="002966E3">
        <w:rPr>
          <w:rFonts w:eastAsia="Times New Roman"/>
        </w:rPr>
        <w:t>, as</w:t>
      </w:r>
      <w:r w:rsidRPr="00C97CBB" w:rsidR="000B5810">
        <w:rPr>
          <w:rFonts w:eastAsia="Times New Roman"/>
        </w:rPr>
        <w:t xml:space="preserve"> here, the arbitrator fail</w:t>
      </w:r>
      <w:r w:rsidR="00EE055D">
        <w:rPr>
          <w:rFonts w:eastAsia="Times New Roman"/>
        </w:rPr>
        <w:t>ing</w:t>
      </w:r>
      <w:r w:rsidRPr="00C97CBB" w:rsidR="000B5810">
        <w:rPr>
          <w:rFonts w:eastAsia="Times New Roman"/>
        </w:rPr>
        <w:t xml:space="preserve"> to submit the arbitration record to the Board.  </w:t>
      </w:r>
      <w:r w:rsidR="00B46B44">
        <w:rPr>
          <w:rFonts w:eastAsia="Times New Roman"/>
        </w:rPr>
        <w:t>W</w:t>
      </w:r>
      <w:r w:rsidRPr="00C97CBB" w:rsidR="00CF0E37">
        <w:rPr>
          <w:rFonts w:eastAsia="Times New Roman"/>
        </w:rPr>
        <w:t xml:space="preserve">e reject </w:t>
      </w:r>
      <w:r w:rsidRPr="00C97CBB" w:rsidR="000B5810">
        <w:rPr>
          <w:rFonts w:eastAsia="Times New Roman"/>
        </w:rPr>
        <w:t xml:space="preserve">the Board’s </w:t>
      </w:r>
      <w:r w:rsidR="002966E3">
        <w:rPr>
          <w:rFonts w:eastAsia="Times New Roman"/>
        </w:rPr>
        <w:t>assertion</w:t>
      </w:r>
      <w:r w:rsidRPr="00C97CBB" w:rsidR="002966E3">
        <w:rPr>
          <w:rFonts w:eastAsia="Times New Roman"/>
        </w:rPr>
        <w:t xml:space="preserve"> </w:t>
      </w:r>
      <w:r w:rsidRPr="00C97CBB" w:rsidR="004426BE">
        <w:rPr>
          <w:rFonts w:eastAsia="Times New Roman"/>
        </w:rPr>
        <w:t xml:space="preserve">it is powerless to </w:t>
      </w:r>
      <w:r w:rsidRPr="00C97CBB" w:rsidR="00547B3D">
        <w:rPr>
          <w:rFonts w:eastAsia="Times New Roman"/>
        </w:rPr>
        <w:t>address these failures</w:t>
      </w:r>
      <w:r w:rsidRPr="00C97CBB" w:rsidR="004426BE">
        <w:rPr>
          <w:rFonts w:eastAsia="Times New Roman"/>
        </w:rPr>
        <w:t xml:space="preserve">.  Nor is the </w:t>
      </w:r>
      <w:r w:rsidRPr="00C97CBB" w:rsidR="00F02E39">
        <w:rPr>
          <w:rFonts w:eastAsia="Times New Roman"/>
        </w:rPr>
        <w:t>remedy</w:t>
      </w:r>
      <w:r w:rsidRPr="00C97CBB" w:rsidR="004426BE">
        <w:rPr>
          <w:rFonts w:eastAsia="Times New Roman"/>
        </w:rPr>
        <w:t xml:space="preserve"> </w:t>
      </w:r>
      <w:r w:rsidRPr="00C97CBB" w:rsidR="001A73E9">
        <w:rPr>
          <w:rFonts w:eastAsia="Times New Roman"/>
        </w:rPr>
        <w:t>for the Board to</w:t>
      </w:r>
      <w:r w:rsidRPr="00C97CBB" w:rsidR="004426BE">
        <w:rPr>
          <w:rFonts w:eastAsia="Times New Roman"/>
        </w:rPr>
        <w:t xml:space="preserve"> ignore the Constitutional mandate </w:t>
      </w:r>
      <w:r w:rsidRPr="00C97CBB" w:rsidR="001E5550">
        <w:rPr>
          <w:rFonts w:eastAsia="Times New Roman"/>
        </w:rPr>
        <w:t xml:space="preserve">in </w:t>
      </w:r>
      <w:r w:rsidR="00B832AF">
        <w:rPr>
          <w:rFonts w:eastAsia="Times New Roman"/>
        </w:rPr>
        <w:t>a</w:t>
      </w:r>
      <w:r w:rsidRPr="00C97CBB" w:rsidR="00B832AF">
        <w:rPr>
          <w:rFonts w:eastAsia="Times New Roman"/>
        </w:rPr>
        <w:t xml:space="preserve">rticle </w:t>
      </w:r>
      <w:r w:rsidRPr="00C97CBB" w:rsidR="00FE1F15">
        <w:rPr>
          <w:rFonts w:eastAsia="Times New Roman"/>
        </w:rPr>
        <w:t>XIV, section 4</w:t>
      </w:r>
      <w:r w:rsidRPr="00C97CBB" w:rsidR="001E5550">
        <w:rPr>
          <w:rFonts w:eastAsia="Times New Roman"/>
        </w:rPr>
        <w:t xml:space="preserve"> that</w:t>
      </w:r>
      <w:r w:rsidRPr="00C97CBB" w:rsidR="00FE1F15">
        <w:rPr>
          <w:rFonts w:eastAsia="Times New Roman"/>
        </w:rPr>
        <w:t xml:space="preserve"> the Board </w:t>
      </w:r>
      <w:r w:rsidRPr="00C97CBB" w:rsidR="00B65A29">
        <w:rPr>
          <w:rFonts w:eastAsia="Times New Roman"/>
        </w:rPr>
        <w:t>“</w:t>
      </w:r>
      <w:r w:rsidRPr="00C97CBB" w:rsidR="001E5550">
        <w:rPr>
          <w:rFonts w:eastAsia="Times New Roman"/>
        </w:rPr>
        <w:t>expeditiously</w:t>
      </w:r>
      <w:r w:rsidRPr="00C97CBB" w:rsidR="00B65A29">
        <w:rPr>
          <w:rFonts w:eastAsia="Times New Roman"/>
        </w:rPr>
        <w:t>”</w:t>
      </w:r>
      <w:r w:rsidRPr="00C97CBB" w:rsidR="00FE1F15">
        <w:rPr>
          <w:rFonts w:eastAsia="Times New Roman"/>
        </w:rPr>
        <w:t xml:space="preserve"> determine matters under the Workers’ </w:t>
      </w:r>
      <w:r w:rsidRPr="007E6B5A" w:rsidR="00FE1F15">
        <w:rPr>
          <w:rFonts w:eastAsia="Times New Roman"/>
        </w:rPr>
        <w:t>Compensation Act (§ 3201 et seq.)</w:t>
      </w:r>
      <w:r w:rsidRPr="007E6B5A" w:rsidR="001E5550">
        <w:rPr>
          <w:rFonts w:eastAsia="Times New Roman"/>
        </w:rPr>
        <w:t>.</w:t>
      </w:r>
      <w:r w:rsidRPr="007E6B5A" w:rsidR="004426BE">
        <w:rPr>
          <w:rFonts w:eastAsia="Times New Roman"/>
        </w:rPr>
        <w:t xml:space="preserve">  </w:t>
      </w:r>
      <w:r w:rsidR="00F562E7">
        <w:rPr>
          <w:rFonts w:eastAsia="Times New Roman"/>
        </w:rPr>
        <w:t>P</w:t>
      </w:r>
      <w:r w:rsidRPr="007E6B5A" w:rsidR="0009757F">
        <w:rPr>
          <w:rFonts w:eastAsia="Times New Roman"/>
        </w:rPr>
        <w:t>etitioners</w:t>
      </w:r>
      <w:r w:rsidRPr="007E6B5A" w:rsidR="004426BE">
        <w:rPr>
          <w:rFonts w:eastAsia="Times New Roman"/>
        </w:rPr>
        <w:t xml:space="preserve"> must be diligent—</w:t>
      </w:r>
      <w:r w:rsidRPr="007E6B5A" w:rsidR="00E2256F">
        <w:rPr>
          <w:rFonts w:eastAsia="Times New Roman"/>
        </w:rPr>
        <w:t>promptly inquiring of the Board as to the status of their petitions</w:t>
      </w:r>
      <w:r w:rsidRPr="007E6B5A" w:rsidR="0009757F">
        <w:rPr>
          <w:rFonts w:eastAsia="Times New Roman"/>
        </w:rPr>
        <w:t xml:space="preserve"> </w:t>
      </w:r>
      <w:r w:rsidR="0046543A">
        <w:rPr>
          <w:rFonts w:eastAsia="Times New Roman"/>
        </w:rPr>
        <w:t>and</w:t>
      </w:r>
      <w:r w:rsidRPr="007E6B5A" w:rsidR="00501B47">
        <w:rPr>
          <w:rFonts w:eastAsia="Times New Roman"/>
        </w:rPr>
        <w:t>,</w:t>
      </w:r>
      <w:r w:rsidRPr="007E6B5A" w:rsidR="00E2256F">
        <w:rPr>
          <w:rFonts w:eastAsia="Times New Roman"/>
        </w:rPr>
        <w:t xml:space="preserve"> if the</w:t>
      </w:r>
      <w:r w:rsidRPr="00C97CBB" w:rsidR="00E2256F">
        <w:rPr>
          <w:rFonts w:eastAsia="Times New Roman"/>
        </w:rPr>
        <w:t xml:space="preserve"> Board does not act within </w:t>
      </w:r>
      <w:r w:rsidR="0064517F">
        <w:rPr>
          <w:rFonts w:eastAsia="Times New Roman"/>
        </w:rPr>
        <w:t>the 60-day time period</w:t>
      </w:r>
      <w:r w:rsidRPr="00C97CBB" w:rsidR="00E2256F">
        <w:rPr>
          <w:rFonts w:eastAsia="Times New Roman"/>
        </w:rPr>
        <w:t xml:space="preserve">, </w:t>
      </w:r>
      <w:r w:rsidRPr="00C97CBB" w:rsidR="008C56C6">
        <w:rPr>
          <w:rFonts w:eastAsia="Times New Roman"/>
        </w:rPr>
        <w:t xml:space="preserve">seeking review </w:t>
      </w:r>
      <w:r w:rsidR="00501B47">
        <w:rPr>
          <w:rFonts w:eastAsia="Times New Roman"/>
        </w:rPr>
        <w:t xml:space="preserve">of the deemed-denied petition </w:t>
      </w:r>
      <w:r w:rsidRPr="00C97CBB" w:rsidR="008C56C6">
        <w:rPr>
          <w:rFonts w:eastAsia="Times New Roman"/>
        </w:rPr>
        <w:t>under section</w:t>
      </w:r>
      <w:r w:rsidR="00286E2F">
        <w:rPr>
          <w:rFonts w:eastAsia="Times New Roman"/>
        </w:rPr>
        <w:t> </w:t>
      </w:r>
      <w:r w:rsidRPr="00C97CBB" w:rsidR="008C56C6">
        <w:rPr>
          <w:rFonts w:eastAsia="Times New Roman"/>
        </w:rPr>
        <w:t>5950 within 45</w:t>
      </w:r>
      <w:r w:rsidR="00DD3F0F">
        <w:rPr>
          <w:rFonts w:eastAsia="Times New Roman"/>
        </w:rPr>
        <w:t> </w:t>
      </w:r>
      <w:r w:rsidRPr="00C97CBB" w:rsidR="008C56C6">
        <w:rPr>
          <w:rFonts w:eastAsia="Times New Roman"/>
        </w:rPr>
        <w:t xml:space="preserve">days.  Had CIGA timely </w:t>
      </w:r>
      <w:r w:rsidR="008040A6">
        <w:rPr>
          <w:rFonts w:eastAsia="Times New Roman"/>
        </w:rPr>
        <w:t xml:space="preserve">filed a petition for </w:t>
      </w:r>
      <w:r w:rsidRPr="00C97CBB" w:rsidR="008C56C6">
        <w:rPr>
          <w:rFonts w:eastAsia="Times New Roman"/>
        </w:rPr>
        <w:t xml:space="preserve">review, </w:t>
      </w:r>
      <w:r w:rsidRPr="00C97CBB" w:rsidR="00F8774D">
        <w:rPr>
          <w:rFonts w:eastAsia="Times New Roman"/>
        </w:rPr>
        <w:t xml:space="preserve">it could have obtained </w:t>
      </w:r>
      <w:r w:rsidR="00D66B20">
        <w:rPr>
          <w:rFonts w:eastAsia="Times New Roman"/>
        </w:rPr>
        <w:t>judicial</w:t>
      </w:r>
      <w:r w:rsidRPr="00C97CBB" w:rsidR="00D66B20">
        <w:rPr>
          <w:rFonts w:eastAsia="Times New Roman"/>
        </w:rPr>
        <w:t xml:space="preserve"> </w:t>
      </w:r>
      <w:r w:rsidRPr="00C97CBB" w:rsidR="00F8774D">
        <w:rPr>
          <w:rFonts w:eastAsia="Times New Roman"/>
        </w:rPr>
        <w:t xml:space="preserve">review of the arbitrator’s </w:t>
      </w:r>
      <w:r w:rsidRPr="00C97CBB" w:rsidR="000C0B00">
        <w:rPr>
          <w:rFonts w:eastAsia="Times New Roman"/>
        </w:rPr>
        <w:t>initial decision.</w:t>
      </w:r>
      <w:r w:rsidRPr="00C97CBB" w:rsidR="00A70142">
        <w:rPr>
          <w:rFonts w:eastAsia="Times New Roman"/>
        </w:rPr>
        <w:t xml:space="preserve">  </w:t>
      </w:r>
    </w:p>
    <w:p w:rsidR="00553051" w:rsidRPr="00C97CBB" w:rsidP="00C3426F" w14:paraId="2EA30019" w14:textId="1C9046C1">
      <w:pPr>
        <w:spacing w:after="0" w:line="288" w:lineRule="auto"/>
        <w:ind w:firstLine="720"/>
        <w:rPr>
          <w:rFonts w:eastAsia="Times New Roman"/>
        </w:rPr>
      </w:pPr>
      <w:r w:rsidRPr="00C97CBB">
        <w:rPr>
          <w:rFonts w:eastAsia="Times New Roman"/>
        </w:rPr>
        <w:t xml:space="preserve">We issue a writ </w:t>
      </w:r>
      <w:r w:rsidRPr="00C97CBB" w:rsidR="00383FB4">
        <w:rPr>
          <w:rFonts w:eastAsia="Times New Roman"/>
        </w:rPr>
        <w:t xml:space="preserve">of mandate </w:t>
      </w:r>
      <w:r w:rsidRPr="00C97CBB">
        <w:rPr>
          <w:rFonts w:eastAsia="Times New Roman"/>
        </w:rPr>
        <w:t xml:space="preserve">directing the Board to </w:t>
      </w:r>
      <w:r w:rsidRPr="00C97CBB" w:rsidR="00671012">
        <w:rPr>
          <w:rFonts w:eastAsia="Times New Roman"/>
        </w:rPr>
        <w:t>rescind</w:t>
      </w:r>
      <w:r w:rsidRPr="00C97CBB" w:rsidR="00383FB4">
        <w:rPr>
          <w:rFonts w:eastAsia="Times New Roman"/>
        </w:rPr>
        <w:t xml:space="preserve"> its order granting CIGA’s petition for reconsideration and </w:t>
      </w:r>
      <w:r w:rsidRPr="00C97CBB" w:rsidR="006B615E">
        <w:rPr>
          <w:rFonts w:eastAsia="Times New Roman"/>
        </w:rPr>
        <w:t xml:space="preserve"> order</w:t>
      </w:r>
      <w:r w:rsidR="000040EA">
        <w:rPr>
          <w:rFonts w:eastAsia="Times New Roman"/>
        </w:rPr>
        <w:t>ing</w:t>
      </w:r>
      <w:r w:rsidRPr="00C97CBB" w:rsidR="006B615E">
        <w:rPr>
          <w:rFonts w:eastAsia="Times New Roman"/>
        </w:rPr>
        <w:t xml:space="preserve"> </w:t>
      </w:r>
      <w:r w:rsidRPr="00C97CBB" w:rsidR="006D5851">
        <w:rPr>
          <w:rFonts w:eastAsia="Times New Roman"/>
        </w:rPr>
        <w:t>Zur</w:t>
      </w:r>
      <w:r w:rsidRPr="00C97CBB" w:rsidR="00201565">
        <w:rPr>
          <w:rFonts w:eastAsia="Times New Roman"/>
        </w:rPr>
        <w:t>i</w:t>
      </w:r>
      <w:r w:rsidRPr="00C97CBB" w:rsidR="006D5851">
        <w:rPr>
          <w:rFonts w:eastAsia="Times New Roman"/>
        </w:rPr>
        <w:t xml:space="preserve">ch </w:t>
      </w:r>
      <w:r w:rsidRPr="00C97CBB" w:rsidR="006B615E">
        <w:rPr>
          <w:rFonts w:eastAsia="Times New Roman"/>
        </w:rPr>
        <w:t xml:space="preserve">dismissed as a party defendant </w:t>
      </w:r>
      <w:r w:rsidRPr="00C97CBB" w:rsidR="006D5851">
        <w:rPr>
          <w:rFonts w:eastAsia="Times New Roman"/>
        </w:rPr>
        <w:t>from the proceeding</w:t>
      </w:r>
      <w:r w:rsidRPr="00C97CBB">
        <w:rPr>
          <w:rFonts w:eastAsia="Times New Roman"/>
        </w:rPr>
        <w:t xml:space="preserve">.  </w:t>
      </w:r>
    </w:p>
    <w:p w:rsidR="00C3426F" w:rsidRPr="00C97CBB" w:rsidP="007223F8" w14:paraId="3E478092" w14:textId="77777777">
      <w:pPr>
        <w:spacing w:after="0" w:line="288" w:lineRule="auto"/>
        <w:ind w:firstLine="720"/>
      </w:pPr>
    </w:p>
    <w:p w:rsidR="0040368D" w:rsidRPr="00C97CBB" w:rsidP="00912032" w14:paraId="581C3170" w14:textId="77777777">
      <w:pPr>
        <w:pStyle w:val="Heading1"/>
        <w:spacing w:before="0" w:after="0" w:line="240" w:lineRule="auto"/>
        <w:jc w:val="center"/>
        <w:rPr>
          <w:rFonts w:eastAsia="Calibri" w:cs="Times New Roman"/>
          <w:sz w:val="26"/>
          <w:szCs w:val="26"/>
        </w:rPr>
      </w:pPr>
      <w:r w:rsidRPr="00C97CBB">
        <w:rPr>
          <w:rFonts w:eastAsia="Calibri" w:cs="Times New Roman"/>
          <w:sz w:val="26"/>
          <w:szCs w:val="26"/>
        </w:rPr>
        <w:t>FACTUAL AND PROCEDURAL BACKGROUND</w:t>
      </w:r>
    </w:p>
    <w:p w:rsidR="00C3426F" w:rsidRPr="00C97CBB" w:rsidP="007223F8" w14:paraId="4CA16BB4" w14:textId="77777777">
      <w:pPr>
        <w:spacing w:after="0" w:line="288" w:lineRule="auto"/>
      </w:pPr>
    </w:p>
    <w:p w:rsidR="00F32FDE" w:rsidRPr="00C97CBB" w:rsidP="007223F8" w14:paraId="67ADC64F" w14:textId="77777777">
      <w:pPr>
        <w:keepNext/>
        <w:widowControl w:val="0"/>
        <w:spacing w:after="0" w:line="288" w:lineRule="auto"/>
        <w:ind w:left="720" w:right="720" w:hanging="720"/>
        <w:outlineLvl w:val="0"/>
        <w:rPr>
          <w:i/>
          <w:iCs/>
        </w:rPr>
      </w:pPr>
      <w:r w:rsidRPr="00C97CBB">
        <w:t>A.</w:t>
      </w:r>
      <w:r w:rsidRPr="00C97CBB">
        <w:rPr>
          <w:i/>
          <w:iCs/>
        </w:rPr>
        <w:tab/>
        <w:t>The Underlying Workers’ Compensation Claim</w:t>
      </w:r>
    </w:p>
    <w:p w:rsidR="00D549B2" w:rsidRPr="00C97CBB" w:rsidP="008C7EF0" w14:paraId="109DB073" w14:textId="3308F527">
      <w:pPr>
        <w:spacing w:after="0" w:line="288" w:lineRule="auto"/>
        <w:ind w:firstLine="720"/>
      </w:pPr>
      <w:r w:rsidRPr="00C97CBB">
        <w:t>On</w:t>
      </w:r>
      <w:r w:rsidRPr="00C97CBB" w:rsidR="00B168A8">
        <w:t xml:space="preserve"> September 27, 2000</w:t>
      </w:r>
      <w:r w:rsidRPr="00C97CBB">
        <w:t xml:space="preserve"> </w:t>
      </w:r>
      <w:r w:rsidRPr="00C97CBB" w:rsidR="00F32FDE">
        <w:t xml:space="preserve">Carlos Uribe </w:t>
      </w:r>
      <w:r w:rsidRPr="00C97CBB" w:rsidR="00B168A8">
        <w:t xml:space="preserve">suffered an industrial injury during his employment with </w:t>
      </w:r>
      <w:r w:rsidRPr="00C97CBB" w:rsidR="00A44CF8">
        <w:t>XCEL</w:t>
      </w:r>
      <w:r w:rsidRPr="00C97CBB" w:rsidR="00F32FDE">
        <w:t xml:space="preserve"> Mechanical System</w:t>
      </w:r>
      <w:r w:rsidRPr="00C97CBB" w:rsidR="00A44CF8">
        <w:t>s</w:t>
      </w:r>
      <w:r w:rsidRPr="00C97CBB" w:rsidR="00546946">
        <w:t>,</w:t>
      </w:r>
      <w:r w:rsidRPr="00C97CBB" w:rsidR="00A44CF8">
        <w:t xml:space="preserve"> Inc.</w:t>
      </w:r>
      <w:r w:rsidR="002966E3">
        <w:t>,</w:t>
      </w:r>
      <w:r w:rsidRPr="00C97CBB" w:rsidR="00546946">
        <w:t xml:space="preserve"> and he thereafter filed a workers’ compensation claim</w:t>
      </w:r>
      <w:r w:rsidRPr="00C97CBB" w:rsidR="00F32FDE">
        <w:t xml:space="preserve">. </w:t>
      </w:r>
      <w:r w:rsidR="00AA2F36">
        <w:t xml:space="preserve"> </w:t>
      </w:r>
      <w:r w:rsidRPr="00C97CBB" w:rsidR="00F32FDE">
        <w:t xml:space="preserve">At the time of </w:t>
      </w:r>
      <w:r w:rsidRPr="00C97CBB" w:rsidR="00F3317B">
        <w:t>Uribe’s</w:t>
      </w:r>
      <w:r w:rsidRPr="00C97CBB" w:rsidR="00F32FDE">
        <w:t xml:space="preserve"> injury, </w:t>
      </w:r>
      <w:r w:rsidRPr="00C97CBB" w:rsidR="00A44CF8">
        <w:t>XCEL</w:t>
      </w:r>
      <w:r w:rsidRPr="00C97CBB" w:rsidR="00F32FDE">
        <w:t xml:space="preserve"> was insured for workers’ compensation by Reliance Insurance.  Reliance was subsequently declared insolvent and placed in liquidation.  CIGA </w:t>
      </w:r>
      <w:r w:rsidRPr="00C97CBB" w:rsidR="00F30DCB">
        <w:t xml:space="preserve">assumed administration of </w:t>
      </w:r>
      <w:r w:rsidRPr="00C97CBB" w:rsidR="00F32FDE">
        <w:t>Uribe’s claim.</w:t>
      </w:r>
      <w:r>
        <w:rPr>
          <w:vertAlign w:val="superscript"/>
        </w:rPr>
        <w:footnoteReference w:id="4"/>
      </w:r>
      <w:r w:rsidRPr="00C97CBB" w:rsidR="00F32FDE">
        <w:t xml:space="preserve">   </w:t>
      </w:r>
    </w:p>
    <w:p w:rsidR="00F32FDE" w:rsidRPr="00C97CBB" w:rsidP="00912032" w14:paraId="2E54C518" w14:textId="77777777">
      <w:pPr>
        <w:keepNext/>
        <w:widowControl w:val="0"/>
        <w:spacing w:after="0" w:line="288" w:lineRule="auto"/>
        <w:ind w:left="720" w:right="720" w:hanging="720"/>
        <w:outlineLvl w:val="0"/>
      </w:pPr>
      <w:r w:rsidRPr="00C97CBB">
        <w:t>B.</w:t>
      </w:r>
      <w:r w:rsidRPr="00C97CBB">
        <w:tab/>
      </w:r>
      <w:r w:rsidRPr="00912032">
        <w:rPr>
          <w:i/>
          <w:iCs/>
        </w:rPr>
        <w:t>CIGA’s Claim Against Zurich</w:t>
      </w:r>
    </w:p>
    <w:p w:rsidR="00F32FDE" w:rsidRPr="00C97CBB" w:rsidP="00D27C5A" w14:paraId="051A04C3" w14:textId="18043690">
      <w:pPr>
        <w:spacing w:after="0" w:line="288" w:lineRule="auto"/>
        <w:ind w:firstLine="720"/>
      </w:pPr>
      <w:r w:rsidRPr="00C97CBB">
        <w:t>Nearly 20 years after Uribe’s injury, on August 3, 2020</w:t>
      </w:r>
      <w:r w:rsidRPr="00C97CBB" w:rsidR="005A69B0">
        <w:t xml:space="preserve"> </w:t>
      </w:r>
      <w:r w:rsidRPr="00C97CBB">
        <w:t>CIGA</w:t>
      </w:r>
      <w:r w:rsidR="00B46B44">
        <w:t xml:space="preserve">, which had been </w:t>
      </w:r>
      <w:r w:rsidR="00CB3F78">
        <w:t xml:space="preserve">paying benefits on Uribe’s </w:t>
      </w:r>
      <w:r w:rsidR="001F57E7">
        <w:t>workers’ compensation claim</w:t>
      </w:r>
      <w:r w:rsidR="00B46B44">
        <w:t>,</w:t>
      </w:r>
      <w:r w:rsidRPr="00C97CBB">
        <w:t xml:space="preserve"> petitioned to join Zurich in the </w:t>
      </w:r>
      <w:r w:rsidRPr="00C97CBB" w:rsidR="00BF0336">
        <w:t xml:space="preserve">workers’ compensation </w:t>
      </w:r>
      <w:r w:rsidRPr="00C97CBB">
        <w:t>proceeding based on a December 17, 2018 report prepared by the Workers’ Compensation Insurance Rating Bureau</w:t>
      </w:r>
      <w:r w:rsidRPr="00C97CBB" w:rsidR="006C3787">
        <w:t xml:space="preserve"> </w:t>
      </w:r>
      <w:r w:rsidRPr="00C97CBB">
        <w:t>show</w:t>
      </w:r>
      <w:r w:rsidRPr="00C97CBB" w:rsidR="006C3787">
        <w:t>ing</w:t>
      </w:r>
      <w:r w:rsidRPr="00C97CBB">
        <w:t xml:space="preserve"> that Zurich provided coverage for </w:t>
      </w:r>
      <w:r w:rsidRPr="00C97CBB" w:rsidR="00A44CF8">
        <w:t>XCEL</w:t>
      </w:r>
      <w:r w:rsidRPr="00C97CBB">
        <w:t xml:space="preserve"> during </w:t>
      </w:r>
      <w:r w:rsidRPr="00C97CBB" w:rsidR="00F967B3">
        <w:t>the</w:t>
      </w:r>
      <w:r w:rsidRPr="00C97CBB">
        <w:t xml:space="preserve"> policy period </w:t>
      </w:r>
      <w:r w:rsidRPr="00C97CBB" w:rsidR="007765E1">
        <w:t>from</w:t>
      </w:r>
      <w:r w:rsidRPr="00C97CBB">
        <w:t xml:space="preserve"> February 1, 2000 through February 1, 2001.  </w:t>
      </w:r>
      <w:r w:rsidRPr="00C97CBB" w:rsidR="008A79FF">
        <w:t xml:space="preserve">On September 1, 2020 the Board ordered </w:t>
      </w:r>
      <w:r w:rsidRPr="00C97CBB">
        <w:t xml:space="preserve">Zurich joined as a party defendant.  </w:t>
      </w:r>
      <w:r w:rsidRPr="00C97CBB" w:rsidR="0070494C">
        <w:t xml:space="preserve">On October 13 </w:t>
      </w:r>
      <w:r w:rsidRPr="00C97CBB" w:rsidR="004C0053">
        <w:t xml:space="preserve">Zurich </w:t>
      </w:r>
      <w:r w:rsidRPr="00C97CBB" w:rsidR="0070494C">
        <w:t xml:space="preserve">sent a letter to Uribe stating that it was handling Uribe’s claim for </w:t>
      </w:r>
      <w:r w:rsidRPr="00C97CBB" w:rsidR="00A44CF8">
        <w:t>XCEL</w:t>
      </w:r>
      <w:r w:rsidRPr="00C97CBB" w:rsidR="0070494C">
        <w:t xml:space="preserve">, and it </w:t>
      </w:r>
      <w:r w:rsidRPr="00C97CBB" w:rsidR="00CE200F">
        <w:t xml:space="preserve">was denying </w:t>
      </w:r>
      <w:r w:rsidRPr="00C97CBB" w:rsidR="00E945C9">
        <w:t xml:space="preserve">liability for </w:t>
      </w:r>
      <w:r w:rsidRPr="00C97CBB" w:rsidR="00CE200F">
        <w:t>Uribe</w:t>
      </w:r>
      <w:r w:rsidRPr="00C97CBB" w:rsidR="00E945C9">
        <w:t xml:space="preserve">’s injury </w:t>
      </w:r>
      <w:r w:rsidRPr="00C97CBB" w:rsidR="00450C13">
        <w:t>for lack of medical evidence to support his injury and proof that he was working on a job site insured by Zurich.</w:t>
      </w:r>
      <w:r>
        <w:rPr>
          <w:vertAlign w:val="superscript"/>
        </w:rPr>
        <w:footnoteReference w:id="5"/>
      </w:r>
      <w:r w:rsidRPr="00C97CBB" w:rsidR="004C0053">
        <w:t xml:space="preserve"> </w:t>
      </w:r>
      <w:r w:rsidRPr="00C97CBB">
        <w:t xml:space="preserve"> </w:t>
      </w:r>
    </w:p>
    <w:p w:rsidR="00286E2F" w:rsidP="00BE0A99" w14:paraId="511C89EB" w14:textId="56E5D4F4">
      <w:pPr>
        <w:spacing w:after="0" w:line="288" w:lineRule="auto"/>
        <w:ind w:firstLine="720"/>
      </w:pPr>
      <w:r w:rsidRPr="00C97CBB">
        <w:t xml:space="preserve">The </w:t>
      </w:r>
      <w:r w:rsidRPr="00C97CBB" w:rsidR="004C0053">
        <w:t xml:space="preserve">parties arbitrated </w:t>
      </w:r>
      <w:r w:rsidR="00B46B44">
        <w:t>whether Zurich was liable for payments made on Uribe’s claim</w:t>
      </w:r>
      <w:r w:rsidRPr="00C97CBB">
        <w:t>.</w:t>
      </w:r>
      <w:r>
        <w:rPr>
          <w:vertAlign w:val="superscript"/>
        </w:rPr>
        <w:footnoteReference w:id="6"/>
      </w:r>
      <w:r w:rsidRPr="00C97CBB">
        <w:t xml:space="preserve">  On August 23, 2021 the arbitrator </w:t>
      </w:r>
      <w:r w:rsidR="005E17B6">
        <w:t>d</w:t>
      </w:r>
      <w:r w:rsidR="00491530">
        <w:t xml:space="preserve">enied CIGA’s petition, finding </w:t>
      </w:r>
      <w:r w:rsidRPr="00C97CBB">
        <w:t xml:space="preserve">CIGA’s claim </w:t>
      </w:r>
      <w:r w:rsidRPr="00C97CBB" w:rsidR="001565EC">
        <w:t>that</w:t>
      </w:r>
      <w:r w:rsidRPr="00C97CBB" w:rsidR="001200BD">
        <w:t xml:space="preserve"> </w:t>
      </w:r>
      <w:r w:rsidRPr="00C97CBB" w:rsidR="009639BD">
        <w:t xml:space="preserve">Zurich </w:t>
      </w:r>
      <w:r w:rsidRPr="00C97CBB" w:rsidR="001565EC">
        <w:t>provided coverage for</w:t>
      </w:r>
      <w:r w:rsidRPr="00C97CBB" w:rsidR="0094053C">
        <w:t xml:space="preserve"> </w:t>
      </w:r>
      <w:r w:rsidRPr="00C97CBB" w:rsidR="00A44CF8">
        <w:t>XCEL</w:t>
      </w:r>
      <w:r w:rsidRPr="00C97CBB" w:rsidR="0094053C">
        <w:t xml:space="preserve"> </w:t>
      </w:r>
      <w:r w:rsidRPr="00C97CBB" w:rsidR="006D7123">
        <w:t>with respect to</w:t>
      </w:r>
      <w:r w:rsidRPr="00C97CBB" w:rsidR="009639BD">
        <w:t xml:space="preserve"> Uribe’s injury </w:t>
      </w:r>
      <w:r w:rsidRPr="00C97CBB">
        <w:t>was not supported by substantial evidence.</w:t>
      </w:r>
      <w:r w:rsidRPr="00C97CBB" w:rsidR="004C0053">
        <w:t xml:space="preserve"> </w:t>
      </w:r>
      <w:r w:rsidRPr="00C97CBB">
        <w:t xml:space="preserve"> </w:t>
      </w:r>
      <w:r w:rsidR="00FA0042">
        <w:t xml:space="preserve">Therefore, </w:t>
      </w:r>
      <w:r w:rsidR="00CE7948">
        <w:t>CIGA</w:t>
      </w:r>
      <w:r w:rsidR="006F485C">
        <w:t xml:space="preserve"> was required to continue to administer Uribe’s claim and pay all lawful benefits, without reimbursement from Zurich.</w:t>
      </w:r>
      <w:r w:rsidRPr="00C97CBB">
        <w:t xml:space="preserve"> </w:t>
      </w:r>
    </w:p>
    <w:p w:rsidR="00A66CC2" w:rsidP="00BE0A99" w14:paraId="144607F4" w14:textId="77777777">
      <w:pPr>
        <w:spacing w:after="0" w:line="288" w:lineRule="auto"/>
        <w:ind w:firstLine="720"/>
      </w:pPr>
    </w:p>
    <w:p w:rsidR="00F32FDE" w:rsidRPr="00912032" w:rsidP="00912032" w14:paraId="1A1908A4" w14:textId="77777777">
      <w:pPr>
        <w:keepNext/>
        <w:widowControl w:val="0"/>
        <w:spacing w:after="0" w:line="288" w:lineRule="auto"/>
        <w:ind w:left="720" w:right="720" w:hanging="720"/>
        <w:outlineLvl w:val="0"/>
      </w:pPr>
      <w:r w:rsidRPr="00C97CBB">
        <w:t>C.</w:t>
      </w:r>
      <w:r w:rsidRPr="00C97CBB">
        <w:tab/>
      </w:r>
      <w:r w:rsidRPr="00912032" w:rsidR="00D409D0">
        <w:rPr>
          <w:i/>
          <w:iCs/>
        </w:rPr>
        <w:t>CIGA’s</w:t>
      </w:r>
      <w:r w:rsidRPr="00912032">
        <w:rPr>
          <w:i/>
          <w:iCs/>
        </w:rPr>
        <w:t xml:space="preserve"> Petition for Reconsideration and the Board’s</w:t>
      </w:r>
      <w:r w:rsidRPr="00912032" w:rsidR="00350795">
        <w:rPr>
          <w:i/>
          <w:iCs/>
        </w:rPr>
        <w:t xml:space="preserve"> </w:t>
      </w:r>
      <w:r w:rsidRPr="00912032">
        <w:rPr>
          <w:i/>
          <w:iCs/>
        </w:rPr>
        <w:t>Delayed Response</w:t>
      </w:r>
    </w:p>
    <w:p w:rsidR="00F32FDE" w:rsidRPr="00C97CBB" w:rsidP="00D27C5A" w14:paraId="4D6D3559" w14:textId="5F0B4158">
      <w:pPr>
        <w:spacing w:after="0" w:line="288" w:lineRule="auto"/>
        <w:ind w:firstLine="720"/>
      </w:pPr>
      <w:r w:rsidRPr="00C97CBB">
        <w:t>On August 31, 2021 CIGA filed a petition</w:t>
      </w:r>
      <w:r w:rsidR="000B4935">
        <w:t xml:space="preserve"> with the Board</w:t>
      </w:r>
      <w:r w:rsidRPr="00C97CBB">
        <w:t xml:space="preserve"> for reconsideration</w:t>
      </w:r>
      <w:r w:rsidRPr="00C97CBB" w:rsidR="00D409D0">
        <w:t xml:space="preserve"> of the arbitrator’s ruling</w:t>
      </w:r>
      <w:r w:rsidRPr="00C97CBB">
        <w:t>.  Zurich answer</w:t>
      </w:r>
      <w:r w:rsidRPr="00C97CBB" w:rsidR="004C0053">
        <w:t>ed the petition</w:t>
      </w:r>
      <w:r w:rsidRPr="00C97CBB">
        <w:t xml:space="preserve"> on September 7, 2021.  Under section 5909, the last day for the Board to act </w:t>
      </w:r>
      <w:r w:rsidRPr="00C97CBB" w:rsidR="004C0053">
        <w:t>on CIGA’s</w:t>
      </w:r>
      <w:r w:rsidRPr="00C97CBB">
        <w:t xml:space="preserve"> petition was November 1, 2021</w:t>
      </w:r>
      <w:r w:rsidR="00D17614">
        <w:t>, the first business day following expiration of the 60-day period</w:t>
      </w:r>
      <w:r w:rsidRPr="00C97CBB">
        <w:t>.</w:t>
      </w:r>
      <w:r w:rsidR="001754ED">
        <w:t xml:space="preserve">  (See </w:t>
      </w:r>
      <w:r w:rsidR="00D220D7">
        <w:t>Cal.</w:t>
      </w:r>
      <w:r w:rsidR="00C237EA">
        <w:t xml:space="preserve"> </w:t>
      </w:r>
      <w:r w:rsidR="009C2DF6">
        <w:t>Code</w:t>
      </w:r>
      <w:r w:rsidR="00C237EA">
        <w:t xml:space="preserve"> Regs. </w:t>
      </w:r>
      <w:r w:rsidR="007C2D8E">
        <w:t>tit. 8, § </w:t>
      </w:r>
      <w:r w:rsidR="009C2DF6">
        <w:t>10600</w:t>
      </w:r>
      <w:r w:rsidR="00392D2B">
        <w:t xml:space="preserve">, subd. </w:t>
      </w:r>
      <w:r w:rsidR="009C2DF6">
        <w:t>(b) [“</w:t>
      </w:r>
      <w:r w:rsidRPr="009C2DF6" w:rsidR="009C2DF6">
        <w:t>Unless otherwise provided by law, if the last day for exercising or performing any right or duty to act or respond falls on a weekend, or on a holiday for which the offices of the Workers</w:t>
      </w:r>
      <w:r w:rsidR="00DF5240">
        <w:t>’</w:t>
      </w:r>
      <w:r w:rsidRPr="009C2DF6" w:rsidR="009C2DF6">
        <w:t xml:space="preserve"> Compensation Appeals Board are closed, the act or response may be performed or exercised upon the next business day.</w:t>
      </w:r>
      <w:r w:rsidR="009C2DF6">
        <w:t>”].)</w:t>
      </w:r>
      <w:r w:rsidRPr="00C97CBB">
        <w:t xml:space="preserve"> </w:t>
      </w:r>
    </w:p>
    <w:p w:rsidR="00F32FDE" w:rsidRPr="00B03EF4" w:rsidP="00350795" w14:paraId="71A472E4" w14:textId="3354FB6E">
      <w:pPr>
        <w:spacing w:after="0" w:line="288" w:lineRule="auto"/>
        <w:ind w:firstLine="720"/>
      </w:pPr>
      <w:r w:rsidRPr="00C97CBB">
        <w:t xml:space="preserve">On December </w:t>
      </w:r>
      <w:r w:rsidR="005F2996">
        <w:t>7</w:t>
      </w:r>
      <w:r w:rsidRPr="00C97CBB">
        <w:t xml:space="preserve">, 2021, </w:t>
      </w:r>
      <w:r w:rsidRPr="00C97CBB" w:rsidR="006607E7">
        <w:t xml:space="preserve">Zurich filed </w:t>
      </w:r>
      <w:r w:rsidRPr="00C97CBB" w:rsidR="00E5506B">
        <w:t xml:space="preserve">with the Board </w:t>
      </w:r>
      <w:r w:rsidRPr="00C97CBB">
        <w:t xml:space="preserve">a </w:t>
      </w:r>
      <w:r w:rsidRPr="00B03EF4">
        <w:t>“</w:t>
      </w:r>
      <w:r w:rsidR="004413EC">
        <w:t>n</w:t>
      </w:r>
      <w:r w:rsidRPr="00B03EF4">
        <w:t xml:space="preserve">otice of </w:t>
      </w:r>
      <w:r w:rsidRPr="00B03EF4" w:rsidR="00501B47">
        <w:t>l</w:t>
      </w:r>
      <w:r w:rsidRPr="00B03EF4">
        <w:t>odgment”</w:t>
      </w:r>
      <w:r>
        <w:rPr>
          <w:rStyle w:val="FootnoteReference"/>
        </w:rPr>
        <w:footnoteReference w:id="7"/>
      </w:r>
      <w:r w:rsidRPr="00B03EF4">
        <w:t xml:space="preserve"> of the arbitrator’s </w:t>
      </w:r>
      <w:r w:rsidRPr="00B03EF4" w:rsidR="000B4935">
        <w:t xml:space="preserve">amended </w:t>
      </w:r>
      <w:r w:rsidRPr="00B03EF4">
        <w:t>findings</w:t>
      </w:r>
      <w:r w:rsidR="003C3D3C">
        <w:t>, attaching the arbitrator’s decision and requesting</w:t>
      </w:r>
      <w:r w:rsidRPr="00B03EF4" w:rsidR="004D1A93">
        <w:t xml:space="preserve"> </w:t>
      </w:r>
      <w:r w:rsidRPr="00B03EF4" w:rsidR="00501B47">
        <w:t xml:space="preserve">the Board </w:t>
      </w:r>
      <w:r w:rsidRPr="00B03EF4" w:rsidR="004D1A93">
        <w:t xml:space="preserve">dismiss </w:t>
      </w:r>
      <w:r w:rsidRPr="00B03EF4" w:rsidR="00DE1AE5">
        <w:t>it</w:t>
      </w:r>
      <w:r w:rsidRPr="00B03EF4" w:rsidR="004D1A93">
        <w:t xml:space="preserve"> </w:t>
      </w:r>
      <w:r w:rsidRPr="00B03EF4" w:rsidR="00501B47">
        <w:t xml:space="preserve">from the proceeding </w:t>
      </w:r>
      <w:r w:rsidRPr="00B03EF4" w:rsidR="000375CF">
        <w:t xml:space="preserve">because </w:t>
      </w:r>
      <w:r w:rsidRPr="00B03EF4" w:rsidR="00AB0D76">
        <w:t>the</w:t>
      </w:r>
      <w:r w:rsidRPr="00B03EF4" w:rsidR="000375CF">
        <w:t xml:space="preserve"> arbitrator’s</w:t>
      </w:r>
      <w:r w:rsidRPr="00B03EF4" w:rsidR="00AB0D76">
        <w:t xml:space="preserve"> decision </w:t>
      </w:r>
      <w:r w:rsidR="00A11FD7">
        <w:t>had become</w:t>
      </w:r>
      <w:r w:rsidRPr="00B03EF4" w:rsidR="000375CF">
        <w:t xml:space="preserve"> </w:t>
      </w:r>
      <w:r w:rsidRPr="00B03EF4" w:rsidR="00AB0D76">
        <w:t>final</w:t>
      </w:r>
      <w:r w:rsidRPr="00B03EF4" w:rsidR="00B975B9">
        <w:t xml:space="preserve">.  Zurich noted </w:t>
      </w:r>
      <w:r w:rsidRPr="00B03EF4" w:rsidR="0090283F">
        <w:t xml:space="preserve">the Board did not </w:t>
      </w:r>
      <w:r w:rsidRPr="00B03EF4" w:rsidR="00DC4766">
        <w:t xml:space="preserve">act on the petition </w:t>
      </w:r>
      <w:r w:rsidR="00DD68F3">
        <w:t>before</w:t>
      </w:r>
      <w:r w:rsidRPr="00B03EF4" w:rsidR="00DC4766">
        <w:t xml:space="preserve"> </w:t>
      </w:r>
      <w:r w:rsidRPr="00B03EF4" w:rsidR="00F14A6C">
        <w:t xml:space="preserve">the </w:t>
      </w:r>
      <w:r w:rsidRPr="00B03EF4" w:rsidR="00501B47">
        <w:t>60-day deadline,</w:t>
      </w:r>
      <w:r w:rsidRPr="00B03EF4" w:rsidR="00F14A6C">
        <w:t xml:space="preserve"> and </w:t>
      </w:r>
      <w:r w:rsidR="00FE31DD">
        <w:t>CIGA</w:t>
      </w:r>
      <w:r w:rsidRPr="00B03EF4" w:rsidR="00F14A6C">
        <w:t xml:space="preserve"> did not file a petition for review </w:t>
      </w:r>
      <w:r w:rsidRPr="00B03EF4" w:rsidR="00A47D1E">
        <w:t xml:space="preserve">in the Court of </w:t>
      </w:r>
      <w:r w:rsidRPr="00B03EF4" w:rsidR="00F14A6C">
        <w:t>Ap</w:t>
      </w:r>
      <w:r w:rsidRPr="00B03EF4" w:rsidR="00A47D1E">
        <w:t xml:space="preserve">peal </w:t>
      </w:r>
      <w:r w:rsidR="00A70B6F">
        <w:t xml:space="preserve">pursuant to section 5950 </w:t>
      </w:r>
      <w:r w:rsidRPr="00B03EF4" w:rsidR="00A47D1E">
        <w:t xml:space="preserve">within 45 days </w:t>
      </w:r>
      <w:r w:rsidRPr="00B03EF4" w:rsidR="00501B47">
        <w:t xml:space="preserve">from the </w:t>
      </w:r>
      <w:r w:rsidR="00DD68F3">
        <w:t xml:space="preserve">date </w:t>
      </w:r>
      <w:r w:rsidR="00FE31DD">
        <w:t xml:space="preserve">the petition </w:t>
      </w:r>
      <w:r w:rsidR="009E1A35">
        <w:t xml:space="preserve">for reconsideration </w:t>
      </w:r>
      <w:r w:rsidR="00FE31DD">
        <w:t>was denied by operation of law</w:t>
      </w:r>
      <w:r w:rsidRPr="00B03EF4" w:rsidR="006607E7">
        <w:t>.</w:t>
      </w:r>
      <w:r>
        <w:rPr>
          <w:rStyle w:val="FootnoteReference"/>
        </w:rPr>
        <w:footnoteReference w:id="8"/>
      </w:r>
      <w:r w:rsidRPr="00B03EF4" w:rsidR="006607E7">
        <w:t xml:space="preserve"> </w:t>
      </w:r>
      <w:r w:rsidRPr="00B03EF4">
        <w:t xml:space="preserve"> </w:t>
      </w:r>
    </w:p>
    <w:p w:rsidR="00F32FDE" w:rsidRPr="00C97CBB" w:rsidP="00350795" w14:paraId="4CD893AE" w14:textId="2A5637AD">
      <w:pPr>
        <w:spacing w:after="0" w:line="288" w:lineRule="auto"/>
        <w:ind w:firstLine="720"/>
      </w:pPr>
      <w:r w:rsidRPr="00B03EF4">
        <w:t>O</w:t>
      </w:r>
      <w:r w:rsidRPr="00B03EF4" w:rsidR="00FC1FBE">
        <w:t xml:space="preserve">n December 13, 2021 </w:t>
      </w:r>
      <w:r w:rsidRPr="00C97CBB">
        <w:t xml:space="preserve">CIGA </w:t>
      </w:r>
      <w:r w:rsidRPr="00C97CBB" w:rsidR="00190ABB">
        <w:t xml:space="preserve">submitted a reply brief in which it </w:t>
      </w:r>
      <w:r w:rsidRPr="00C97CBB">
        <w:t xml:space="preserve">argued the Board retained jurisdiction over </w:t>
      </w:r>
      <w:r w:rsidR="00443990">
        <w:t>CIGA’s</w:t>
      </w:r>
      <w:r w:rsidRPr="00C97CBB">
        <w:t xml:space="preserve"> petition for reconsideration</w:t>
      </w:r>
      <w:r w:rsidRPr="00C97CBB" w:rsidR="00992FA1">
        <w:t xml:space="preserve"> because </w:t>
      </w:r>
      <w:r w:rsidRPr="00C97CBB" w:rsidR="00B74DB4">
        <w:t>the</w:t>
      </w:r>
      <w:r w:rsidRPr="00C97CBB">
        <w:t xml:space="preserve"> petition </w:t>
      </w:r>
      <w:r w:rsidRPr="00C97CBB" w:rsidR="00FC1FBE">
        <w:t>had not been forwarded to the Board’s</w:t>
      </w:r>
      <w:r w:rsidRPr="00C97CBB">
        <w:t xml:space="preserve"> </w:t>
      </w:r>
      <w:r w:rsidRPr="00C97CBB" w:rsidR="00FC1FBE">
        <w:t xml:space="preserve">reconsideration unit </w:t>
      </w:r>
      <w:r w:rsidRPr="00C97CBB">
        <w:t xml:space="preserve">until October 6, 2021, a month and a half after CIGA </w:t>
      </w:r>
      <w:r w:rsidRPr="00C97CBB" w:rsidR="00FC1FBE">
        <w:t>filed its</w:t>
      </w:r>
      <w:r w:rsidRPr="00C97CBB">
        <w:t xml:space="preserve"> petition</w:t>
      </w:r>
      <w:r w:rsidRPr="00C97CBB" w:rsidR="00992FA1">
        <w:t xml:space="preserve">.  Thus, CIGA </w:t>
      </w:r>
      <w:r w:rsidRPr="00C97CBB" w:rsidR="00B74DB4">
        <w:t>suggested</w:t>
      </w:r>
      <w:r w:rsidRPr="00C97CBB" w:rsidR="00992FA1">
        <w:t xml:space="preserve">, </w:t>
      </w:r>
      <w:r w:rsidRPr="00C97CBB">
        <w:t xml:space="preserve">the Board </w:t>
      </w:r>
      <w:r w:rsidRPr="00C97CBB" w:rsidR="00FC1FBE">
        <w:t>“</w:t>
      </w:r>
      <w:r w:rsidRPr="00C97CBB">
        <w:t xml:space="preserve">may not have </w:t>
      </w:r>
      <w:r w:rsidRPr="00C97CBB" w:rsidR="00FC1FBE">
        <w:t>been given</w:t>
      </w:r>
      <w:r w:rsidRPr="00C97CBB">
        <w:t xml:space="preserve"> enough time to properly respond to CIGA’s contentions</w:t>
      </w:r>
      <w:r w:rsidRPr="00C97CBB" w:rsidR="00FC1FBE">
        <w:t xml:space="preserve">.” </w:t>
      </w:r>
      <w:r w:rsidRPr="00C97CBB" w:rsidR="00992FA1">
        <w:t xml:space="preserve"> </w:t>
      </w:r>
      <w:r w:rsidRPr="00C97CBB" w:rsidR="00FC1FBE">
        <w:t xml:space="preserve">Citing </w:t>
      </w:r>
      <w:r w:rsidRPr="00C97CBB" w:rsidR="00FC1FBE">
        <w:rPr>
          <w:i/>
          <w:iCs/>
        </w:rPr>
        <w:t>Shipley, supra</w:t>
      </w:r>
      <w:r w:rsidRPr="00806926" w:rsidR="00FC1FBE">
        <w:t>,</w:t>
      </w:r>
      <w:r w:rsidRPr="00C97CBB" w:rsidR="00FC1FBE">
        <w:rPr>
          <w:i/>
          <w:iCs/>
        </w:rPr>
        <w:t xml:space="preserve"> </w:t>
      </w:r>
      <w:r w:rsidRPr="00C97CBB" w:rsidR="00FC1FBE">
        <w:t>7 Cal.App.4th 1104, CIGA claimed</w:t>
      </w:r>
      <w:r w:rsidR="002459C2">
        <w:t>,</w:t>
      </w:r>
      <w:r w:rsidRPr="00C97CBB" w:rsidR="00FC1FBE">
        <w:t xml:space="preserve"> “</w:t>
      </w:r>
      <w:r w:rsidR="00A417C3">
        <w:t>T</w:t>
      </w:r>
      <w:r w:rsidRPr="00C97CBB" w:rsidR="00FC1FBE">
        <w:t>he Board’s jurisdiction continues to the extent its failure to act on CIGA’s petition for reconsideration within 60 days of its filing was due to the Board’s mistake or inadvertence and not caused by petitioner.”</w:t>
      </w:r>
      <w:r w:rsidRPr="00C97CBB">
        <w:t xml:space="preserve">  </w:t>
      </w:r>
    </w:p>
    <w:p w:rsidR="008D3A55" w:rsidRPr="00C97CBB" w:rsidP="00350795" w14:paraId="2BA667FC" w14:textId="26019937">
      <w:pPr>
        <w:spacing w:after="0" w:line="288" w:lineRule="auto"/>
        <w:ind w:firstLine="720"/>
      </w:pPr>
      <w:r w:rsidRPr="00C97CBB">
        <w:t xml:space="preserve">The Board </w:t>
      </w:r>
      <w:r w:rsidRPr="00C97CBB" w:rsidR="00522F70">
        <w:t xml:space="preserve">failed to act (again) </w:t>
      </w:r>
      <w:r w:rsidRPr="00C97CBB">
        <w:t xml:space="preserve">until June 13, 2022.  </w:t>
      </w:r>
      <w:r w:rsidRPr="00C97CBB" w:rsidR="00522F70">
        <w:t xml:space="preserve">By this time, more </w:t>
      </w:r>
      <w:r w:rsidRPr="00C97CBB">
        <w:t xml:space="preserve">than nine months </w:t>
      </w:r>
      <w:r w:rsidRPr="00C97CBB" w:rsidR="00522F70">
        <w:t>had passed since</w:t>
      </w:r>
      <w:r w:rsidRPr="00C97CBB">
        <w:t xml:space="preserve"> </w:t>
      </w:r>
      <w:r w:rsidRPr="00C97CBB" w:rsidR="00FC1FBE">
        <w:t xml:space="preserve">CIGA had filed its </w:t>
      </w:r>
      <w:r w:rsidRPr="00C97CBB">
        <w:t>petition for reconsideration</w:t>
      </w:r>
      <w:r w:rsidRPr="00C97CBB" w:rsidR="00522F70">
        <w:t xml:space="preserve">.  The </w:t>
      </w:r>
      <w:r w:rsidRPr="00C97CBB">
        <w:t>Board issued a</w:t>
      </w:r>
      <w:r w:rsidR="00501B47">
        <w:t>n</w:t>
      </w:r>
      <w:r w:rsidR="000C3A06">
        <w:t xml:space="preserve"> </w:t>
      </w:r>
      <w:r w:rsidRPr="00C97CBB">
        <w:t>order</w:t>
      </w:r>
      <w:r w:rsidRPr="00C97CBB" w:rsidR="008479AC">
        <w:t xml:space="preserve"> </w:t>
      </w:r>
      <w:r w:rsidRPr="00C97CBB">
        <w:t xml:space="preserve">granting the petition for reconsideration </w:t>
      </w:r>
      <w:r w:rsidRPr="00C97CBB" w:rsidR="00D409D0">
        <w:t xml:space="preserve">for the purpose of allowing an </w:t>
      </w:r>
      <w:r w:rsidRPr="00C97CBB">
        <w:t xml:space="preserve">opportunity </w:t>
      </w:r>
      <w:r w:rsidRPr="00C97CBB" w:rsidR="00D409D0">
        <w:t>for</w:t>
      </w:r>
      <w:r w:rsidRPr="00C97CBB">
        <w:t xml:space="preserve"> further study </w:t>
      </w:r>
      <w:r w:rsidRPr="00C97CBB" w:rsidR="00D409D0">
        <w:t xml:space="preserve">of </w:t>
      </w:r>
      <w:r w:rsidRPr="00C97CBB">
        <w:t>the factual and legal issues</w:t>
      </w:r>
      <w:r w:rsidR="00501B47">
        <w:t xml:space="preserve"> (a “grant-for-study” order)</w:t>
      </w:r>
      <w:r w:rsidRPr="00C97CBB">
        <w:t xml:space="preserve">.  The order explained, “[B]ased upon our initial review of the record, we believe reconsideration must be granted to allow sufficient opportunity to further study the factual and legal issues in this case.  We believe that this action is necessary to give us a complete understanding of the record and to enable us to issue a just and reasoned decision.” </w:t>
      </w:r>
      <w:r w:rsidRPr="00C97CBB" w:rsidR="004A1EF1">
        <w:t xml:space="preserve"> </w:t>
      </w:r>
    </w:p>
    <w:p w:rsidR="00BC3143" w:rsidP="0040243A" w14:paraId="29EFE5FF" w14:textId="265FA507">
      <w:pPr>
        <w:spacing w:after="0" w:line="288" w:lineRule="auto"/>
        <w:ind w:firstLine="720"/>
      </w:pPr>
      <w:r w:rsidRPr="00C97CBB">
        <w:t xml:space="preserve">The </w:t>
      </w:r>
      <w:r w:rsidRPr="00C97CBB" w:rsidR="00522F70">
        <w:t xml:space="preserve">Board’s </w:t>
      </w:r>
      <w:r w:rsidRPr="00C97CBB">
        <w:t>June 13</w:t>
      </w:r>
      <w:r w:rsidRPr="00C97CBB" w:rsidR="008D3A55">
        <w:t xml:space="preserve"> </w:t>
      </w:r>
      <w:r w:rsidRPr="00C97CBB">
        <w:t>order attached a “</w:t>
      </w:r>
      <w:r w:rsidR="00A04CD6">
        <w:t>n</w:t>
      </w:r>
      <w:r w:rsidRPr="00C97CBB">
        <w:t xml:space="preserve">otice </w:t>
      </w:r>
      <w:r w:rsidR="00831DE9">
        <w:t>p</w:t>
      </w:r>
      <w:r w:rsidRPr="00C97CBB">
        <w:t xml:space="preserve">ursuant </w:t>
      </w:r>
      <w:r w:rsidR="00251E32">
        <w:t>t</w:t>
      </w:r>
      <w:r w:rsidRPr="00C97CBB">
        <w:t xml:space="preserve">o </w:t>
      </w:r>
      <w:r w:rsidRPr="00C97CBB">
        <w:rPr>
          <w:i/>
          <w:iCs/>
        </w:rPr>
        <w:t xml:space="preserve">Shipley v. Workers’ Comp. Appeals Bd. </w:t>
      </w:r>
      <w:r w:rsidRPr="00C97CBB">
        <w:t>(1992) 7</w:t>
      </w:r>
      <w:r w:rsidRPr="00C97CBB" w:rsidR="00C3426F">
        <w:t> </w:t>
      </w:r>
      <w:r w:rsidRPr="00C97CBB">
        <w:t xml:space="preserve">Cal.App.4th </w:t>
      </w:r>
      <w:r w:rsidRPr="00F979A7">
        <w:t>1104.”</w:t>
      </w:r>
      <w:r w:rsidRPr="00F979A7" w:rsidR="00D27C5A">
        <w:t xml:space="preserve">  </w:t>
      </w:r>
      <w:r w:rsidRPr="00F979A7">
        <w:t xml:space="preserve">The </w:t>
      </w:r>
      <w:r w:rsidRPr="00F979A7" w:rsidR="00D27C5A">
        <w:t xml:space="preserve">notice </w:t>
      </w:r>
      <w:r w:rsidRPr="00F979A7">
        <w:t>stated the Board “first received notice of</w:t>
      </w:r>
      <w:r w:rsidRPr="00F979A7" w:rsidR="00B83FD2">
        <w:t xml:space="preserve"> the petition[</w:t>
      </w:r>
      <w:r w:rsidRPr="00F979A7" w:rsidR="00737515">
        <w:t>]</w:t>
      </w:r>
      <w:r w:rsidRPr="00F979A7" w:rsidR="00B83FD2">
        <w:t xml:space="preserve"> </w:t>
      </w:r>
      <w:r w:rsidRPr="00F979A7" w:rsidR="00737515">
        <w:t>[</w:t>
      </w:r>
      <w:r w:rsidRPr="00F979A7" w:rsidR="00B83FD2">
        <w:t xml:space="preserve">for reconsideration] on or </w:t>
      </w:r>
      <w:r w:rsidRPr="00F979A7">
        <w:t xml:space="preserve">about April 13, 2022.”  Citing </w:t>
      </w:r>
      <w:r w:rsidRPr="00F979A7">
        <w:rPr>
          <w:i/>
          <w:iCs/>
        </w:rPr>
        <w:t>Shipley</w:t>
      </w:r>
      <w:r w:rsidRPr="00F979A7">
        <w:t xml:space="preserve">, the </w:t>
      </w:r>
      <w:r w:rsidRPr="00F979A7" w:rsidR="0088395F">
        <w:t>n</w:t>
      </w:r>
      <w:r w:rsidRPr="00F979A7">
        <w:t>otice concluded the “</w:t>
      </w:r>
      <w:r w:rsidR="00A417C3">
        <w:t>[o]</w:t>
      </w:r>
      <w:r w:rsidRPr="00F979A7">
        <w:t xml:space="preserve">pinion and </w:t>
      </w:r>
      <w:r w:rsidR="00AE31F2">
        <w:t>o</w:t>
      </w:r>
      <w:r w:rsidRPr="00F979A7">
        <w:t xml:space="preserve">rder </w:t>
      </w:r>
      <w:r w:rsidR="00AE31F2">
        <w:t>g</w:t>
      </w:r>
      <w:r w:rsidRPr="00F979A7">
        <w:t xml:space="preserve">ranting </w:t>
      </w:r>
      <w:r w:rsidR="00AE31F2">
        <w:t>p</w:t>
      </w:r>
      <w:r w:rsidRPr="00F979A7">
        <w:t xml:space="preserve">etition for </w:t>
      </w:r>
      <w:r w:rsidR="00AE31F2">
        <w:t>r</w:t>
      </w:r>
      <w:r w:rsidRPr="00F979A7">
        <w:t xml:space="preserve">econsideration filed simultaneously with this </w:t>
      </w:r>
      <w:r w:rsidR="00AE31F2">
        <w:t>n</w:t>
      </w:r>
      <w:r w:rsidRPr="00F979A7">
        <w:t>otice may be considered timely if issued within 60 days of the Appeals Board receiving notice of the petition</w:t>
      </w:r>
      <w:r w:rsidRPr="00F979A7" w:rsidR="00D27C5A">
        <w:t>[]</w:t>
      </w:r>
      <w:r w:rsidRPr="00F979A7">
        <w:t xml:space="preserve">.” </w:t>
      </w:r>
      <w:r w:rsidRPr="00C97CBB">
        <w:t xml:space="preserve">  </w:t>
      </w:r>
    </w:p>
    <w:p w:rsidR="00BC3143" w:rsidRPr="00C97CBB" w:rsidP="00350795" w14:paraId="73572AFF" w14:textId="77777777">
      <w:pPr>
        <w:spacing w:after="0" w:line="288" w:lineRule="auto"/>
        <w:ind w:firstLine="720"/>
      </w:pPr>
    </w:p>
    <w:p w:rsidR="00F32FDE" w:rsidRPr="00912032" w:rsidP="00912032" w14:paraId="72195DCA" w14:textId="77777777">
      <w:pPr>
        <w:keepNext/>
        <w:widowControl w:val="0"/>
        <w:spacing w:after="0" w:line="288" w:lineRule="auto"/>
        <w:ind w:left="720" w:right="720" w:hanging="720"/>
        <w:outlineLvl w:val="0"/>
      </w:pPr>
      <w:r w:rsidRPr="00912032">
        <w:t>D</w:t>
      </w:r>
      <w:r w:rsidRPr="00912032" w:rsidR="00A92A46">
        <w:t>.</w:t>
      </w:r>
      <w:r w:rsidR="00912032">
        <w:tab/>
      </w:r>
      <w:r w:rsidRPr="00912032" w:rsidR="00E4422C">
        <w:rPr>
          <w:i/>
          <w:iCs/>
        </w:rPr>
        <w:t xml:space="preserve">Zurich’s </w:t>
      </w:r>
      <w:r w:rsidRPr="00912032">
        <w:rPr>
          <w:i/>
          <w:iCs/>
        </w:rPr>
        <w:t>Petition for Writ of Mandate</w:t>
      </w:r>
      <w:r w:rsidRPr="00912032">
        <w:t xml:space="preserve"> </w:t>
      </w:r>
    </w:p>
    <w:p w:rsidR="009B0CB1" w:rsidRPr="00C97CBB" w:rsidP="00D27C5A" w14:paraId="522FF09D" w14:textId="3E4AD369">
      <w:pPr>
        <w:spacing w:after="0" w:line="288" w:lineRule="auto"/>
        <w:ind w:firstLine="720"/>
      </w:pPr>
      <w:r w:rsidRPr="00912032">
        <w:t xml:space="preserve">In response to the Board’s grant-for-study order, Zurich </w:t>
      </w:r>
      <w:r w:rsidRPr="00C97CBB">
        <w:t>filed a</w:t>
      </w:r>
      <w:r w:rsidRPr="00C97CBB" w:rsidR="00F32FDE">
        <w:t xml:space="preserve"> petition for writ of mandate </w:t>
      </w:r>
      <w:r w:rsidRPr="00C97CBB" w:rsidR="00C35613">
        <w:t>in</w:t>
      </w:r>
      <w:r w:rsidRPr="00C97CBB">
        <w:t xml:space="preserve"> this court request</w:t>
      </w:r>
      <w:r w:rsidRPr="00C97CBB" w:rsidR="00C35613">
        <w:t>ing</w:t>
      </w:r>
      <w:r w:rsidRPr="00C97CBB">
        <w:t xml:space="preserve"> </w:t>
      </w:r>
      <w:r w:rsidR="005660D4">
        <w:t xml:space="preserve">we issue </w:t>
      </w:r>
      <w:r w:rsidRPr="00C97CBB">
        <w:t xml:space="preserve">an order directing the Board to </w:t>
      </w:r>
      <w:r w:rsidR="00470DFB">
        <w:t>rescind</w:t>
      </w:r>
      <w:r w:rsidRPr="00C97CBB">
        <w:t xml:space="preserve"> its June 13, 2022 order and </w:t>
      </w:r>
      <w:r w:rsidRPr="00C97CBB" w:rsidR="003A355F">
        <w:t>dismissing</w:t>
      </w:r>
      <w:r w:rsidRPr="00C97CBB">
        <w:t xml:space="preserve"> Zurich as a defendant.</w:t>
      </w:r>
      <w:r w:rsidRPr="00D27C5A" w:rsidR="00D27C5A">
        <w:t xml:space="preserve"> </w:t>
      </w:r>
      <w:r w:rsidRPr="00C97CBB" w:rsidR="00F32FDE">
        <w:t xml:space="preserve">  </w:t>
      </w:r>
    </w:p>
    <w:p w:rsidR="00F32FDE" w:rsidRPr="00C97CBB" w:rsidP="00350795" w14:paraId="5A3C2A40" w14:textId="361F737A">
      <w:pPr>
        <w:spacing w:after="0" w:line="288" w:lineRule="auto"/>
        <w:ind w:firstLine="720"/>
      </w:pPr>
      <w:r w:rsidRPr="00C97CBB">
        <w:t>In t</w:t>
      </w:r>
      <w:r w:rsidRPr="00C97CBB" w:rsidR="00E4422C">
        <w:t xml:space="preserve">he </w:t>
      </w:r>
      <w:r w:rsidRPr="00C97CBB">
        <w:t xml:space="preserve">Board’s </w:t>
      </w:r>
      <w:r w:rsidRPr="00C97CBB" w:rsidR="0069783B">
        <w:t xml:space="preserve">letter response, </w:t>
      </w:r>
      <w:r w:rsidRPr="00C97CBB">
        <w:t xml:space="preserve">it </w:t>
      </w:r>
      <w:r w:rsidRPr="00C97CBB" w:rsidR="00EB1361">
        <w:t xml:space="preserve">explained that due to an “administrative irregularity,” the Board </w:t>
      </w:r>
      <w:r w:rsidRPr="00C97CBB" w:rsidR="00297052">
        <w:t>did not</w:t>
      </w:r>
      <w:r w:rsidRPr="00C97CBB" w:rsidR="00EB1361">
        <w:t xml:space="preserve"> receive CIGA’s petition until after the </w:t>
      </w:r>
      <w:r w:rsidRPr="00C97CBB" w:rsidR="006144D5">
        <w:t>60-</w:t>
      </w:r>
      <w:r w:rsidRPr="00C97CBB" w:rsidR="00EB1361">
        <w:t>day time period under section</w:t>
      </w:r>
      <w:r w:rsidR="002459C2">
        <w:t> </w:t>
      </w:r>
      <w:r w:rsidRPr="00C97CBB" w:rsidR="00EB1361">
        <w:t>5909 had passed.</w:t>
      </w:r>
      <w:r w:rsidRPr="00C97CBB" w:rsidR="00CC4ED2">
        <w:t xml:space="preserve">  Further, the Board pointed out that petitions for reconsideration are filed in the district office or electronically through the electronic adjudication management system (EAMS)</w:t>
      </w:r>
      <w:r w:rsidRPr="00C97CBB" w:rsidR="006B7352">
        <w:t>,</w:t>
      </w:r>
      <w:r w:rsidRPr="00C97CBB" w:rsidR="002C1985">
        <w:t xml:space="preserve"> and that staff must manually notify the Board that reconsideration was being sought.  As a result,</w:t>
      </w:r>
      <w:r w:rsidRPr="00C97CBB" w:rsidR="006B7352">
        <w:t xml:space="preserve"> delays in the transmission from the district office to the Board </w:t>
      </w:r>
      <w:r w:rsidRPr="00C97CBB" w:rsidR="00E14483">
        <w:t>often occur because of “the nature of EAMS” or “normal human error.”</w:t>
      </w:r>
      <w:r w:rsidRPr="00C97CBB" w:rsidR="00EB1361">
        <w:t xml:space="preserve">  </w:t>
      </w:r>
      <w:r w:rsidRPr="00C97CBB" w:rsidR="00E61FD6">
        <w:t>According to the Board, these irregular</w:t>
      </w:r>
      <w:r w:rsidRPr="00C97CBB" w:rsidR="002C1985">
        <w:t>i</w:t>
      </w:r>
      <w:r w:rsidRPr="00C97CBB" w:rsidR="00E61FD6">
        <w:t xml:space="preserve">ties arose in approximately </w:t>
      </w:r>
      <w:r w:rsidRPr="00C97CBB" w:rsidR="00F7659D">
        <w:t>1</w:t>
      </w:r>
      <w:r w:rsidRPr="00C97CBB" w:rsidR="00E61FD6">
        <w:t xml:space="preserve"> percent of petitions </w:t>
      </w:r>
      <w:r w:rsidRPr="00C97CBB" w:rsidR="001F5D24">
        <w:t xml:space="preserve">before the COVID-19 </w:t>
      </w:r>
      <w:r w:rsidRPr="00C97CBB" w:rsidR="00E61FD6">
        <w:t xml:space="preserve">pandemic and </w:t>
      </w:r>
      <w:r w:rsidRPr="00C97CBB" w:rsidR="00F7659D">
        <w:t>5</w:t>
      </w:r>
      <w:r w:rsidRPr="00C97CBB" w:rsidR="00E61FD6">
        <w:t xml:space="preserve"> percent thereafter.  </w:t>
      </w:r>
      <w:r w:rsidRPr="00C97CBB" w:rsidR="00EB1361">
        <w:t>The Board stated this irregularity was “not within the control of CIGA or Zurich.”</w:t>
      </w:r>
      <w:r w:rsidRPr="00C97CBB" w:rsidR="00C75E03">
        <w:t xml:space="preserve">  The Board observed </w:t>
      </w:r>
      <w:r w:rsidRPr="00C97CBB" w:rsidR="00221FA7">
        <w:t xml:space="preserve">the current </w:t>
      </w:r>
      <w:r w:rsidRPr="00C97CBB" w:rsidR="00AB2220">
        <w:t>“Workers’ Compensation system is much larger</w:t>
      </w:r>
      <w:r w:rsidRPr="00C97CBB" w:rsidR="006272D3">
        <w:t xml:space="preserve"> [than before]</w:t>
      </w:r>
      <w:r w:rsidRPr="00C97CBB" w:rsidR="00AB2220">
        <w:t>, with the number of claims filed increasing exponentially since the latter part of the 20th century, without a concomitant increase in resources to handle those claims.”</w:t>
      </w:r>
      <w:r w:rsidRPr="00C97CBB" w:rsidR="00EB1361">
        <w:t xml:space="preserve"> </w:t>
      </w:r>
      <w:r w:rsidRPr="00C97CBB" w:rsidR="009E4D52">
        <w:t xml:space="preserve"> </w:t>
      </w:r>
      <w:r w:rsidRPr="00C97CBB" w:rsidR="004E3AE3">
        <w:t xml:space="preserve">Thus, </w:t>
      </w:r>
      <w:r w:rsidR="000054C6">
        <w:t xml:space="preserve">an </w:t>
      </w:r>
      <w:r w:rsidRPr="00C97CBB" w:rsidR="004E3AE3">
        <w:t xml:space="preserve">extension of the time in which to respond was necessary </w:t>
      </w:r>
      <w:r w:rsidRPr="00C97CBB" w:rsidR="00ED66E2">
        <w:t>“</w:t>
      </w:r>
      <w:r w:rsidRPr="00C97CBB" w:rsidR="004E3AE3">
        <w:t>to ensure due process to all parties.</w:t>
      </w:r>
      <w:r w:rsidRPr="00C97CBB" w:rsidR="00ED66E2">
        <w:t>”</w:t>
      </w:r>
      <w:r w:rsidRPr="00C97CBB" w:rsidR="004E3AE3">
        <w:t xml:space="preserve"> </w:t>
      </w:r>
      <w:r w:rsidRPr="00C97CBB">
        <w:t xml:space="preserve"> </w:t>
      </w:r>
      <w:r w:rsidRPr="00C97CBB" w:rsidR="0055611A">
        <w:t xml:space="preserve">The opinion </w:t>
      </w:r>
      <w:r w:rsidRPr="00C97CBB" w:rsidR="00526D88">
        <w:t xml:space="preserve">noted </w:t>
      </w:r>
      <w:r w:rsidRPr="00C97CBB" w:rsidR="0055611A">
        <w:t xml:space="preserve">the arbitrator filed </w:t>
      </w:r>
      <w:r w:rsidRPr="00C97CBB" w:rsidR="00336D1A">
        <w:t>his</w:t>
      </w:r>
      <w:r w:rsidRPr="00C97CBB" w:rsidR="0055611A">
        <w:t xml:space="preserve"> </w:t>
      </w:r>
      <w:r w:rsidR="00EC07B0">
        <w:t>r</w:t>
      </w:r>
      <w:r w:rsidRPr="00C97CBB" w:rsidR="0055611A">
        <w:t>eport but did not submit to the district office an electronic copy of the complete arbitration file.  As a result, the Board did not receive the arbitrator’s record, including the exhibits filed by the parties, transcripts and summaries of the witness</w:t>
      </w:r>
      <w:r w:rsidRPr="00C97CBB" w:rsidR="004E2A40">
        <w:t>e</w:t>
      </w:r>
      <w:r w:rsidRPr="00C97CBB" w:rsidR="0055611A">
        <w:t>s</w:t>
      </w:r>
      <w:r w:rsidRPr="00C97CBB" w:rsidR="004E2A40">
        <w:t>’</w:t>
      </w:r>
      <w:r w:rsidRPr="00C97CBB" w:rsidR="0055611A">
        <w:t xml:space="preserve"> testimony, </w:t>
      </w:r>
      <w:r w:rsidRPr="00C97CBB" w:rsidR="00332053">
        <w:t xml:space="preserve">party </w:t>
      </w:r>
      <w:r w:rsidRPr="00C97CBB" w:rsidR="005D77F8">
        <w:t xml:space="preserve">stipulations, or </w:t>
      </w:r>
      <w:r w:rsidRPr="00C97CBB" w:rsidR="00AB09A5">
        <w:t xml:space="preserve">the </w:t>
      </w:r>
      <w:r w:rsidRPr="00C97CBB" w:rsidR="0055611A">
        <w:t xml:space="preserve">arbitrator’s evidentiary rulings </w:t>
      </w:r>
      <w:r w:rsidRPr="00C97CBB" w:rsidR="005D77F8">
        <w:t>and</w:t>
      </w:r>
      <w:r w:rsidRPr="00C97CBB" w:rsidR="0055611A">
        <w:t xml:space="preserve"> findings. </w:t>
      </w:r>
    </w:p>
    <w:p w:rsidR="00A417C3" w:rsidP="0040243A" w14:paraId="512DCD50" w14:textId="77777777">
      <w:pPr>
        <w:spacing w:after="0" w:line="288" w:lineRule="auto"/>
        <w:ind w:firstLine="720"/>
      </w:pPr>
      <w:r w:rsidRPr="00C97CBB">
        <w:t>We issued an order to show cause</w:t>
      </w:r>
      <w:r w:rsidRPr="00C97CBB" w:rsidR="00725E5E">
        <w:t xml:space="preserve"> requesting the Board address in its return </w:t>
      </w:r>
      <w:r w:rsidRPr="00C97CBB" w:rsidR="00DA26EA">
        <w:t xml:space="preserve">(1) </w:t>
      </w:r>
      <w:r w:rsidR="00814959">
        <w:t xml:space="preserve">whether there were </w:t>
      </w:r>
      <w:r w:rsidRPr="00C97CBB" w:rsidR="00725E5E">
        <w:t>any communi</w:t>
      </w:r>
      <w:r w:rsidRPr="00C97CBB" w:rsidR="00D11562">
        <w:t>c</w:t>
      </w:r>
      <w:r w:rsidRPr="00C97CBB" w:rsidR="00725E5E">
        <w:t xml:space="preserve">ations between </w:t>
      </w:r>
      <w:r w:rsidRPr="00C97CBB" w:rsidR="00A07741">
        <w:t xml:space="preserve">CIGA and </w:t>
      </w:r>
      <w:r w:rsidRPr="00C97CBB" w:rsidR="00725E5E">
        <w:t xml:space="preserve">the Board </w:t>
      </w:r>
      <w:r w:rsidRPr="00C97CBB" w:rsidR="00A07741">
        <w:t>w</w:t>
      </w:r>
      <w:r w:rsidRPr="00C97CBB" w:rsidR="00725E5E">
        <w:t>hile the petition for reconsideration was pending</w:t>
      </w:r>
      <w:r w:rsidRPr="00C97CBB" w:rsidR="00D11562">
        <w:t xml:space="preserve"> </w:t>
      </w:r>
      <w:r w:rsidRPr="00C97CBB" w:rsidR="00D172C9">
        <w:t xml:space="preserve">and before the Board granted </w:t>
      </w:r>
      <w:r w:rsidRPr="00C97CBB" w:rsidR="00D11562">
        <w:t>reconsideration</w:t>
      </w:r>
      <w:r w:rsidRPr="00C97CBB" w:rsidR="00DA26EA">
        <w:t>,</w:t>
      </w:r>
      <w:r w:rsidRPr="00C97CBB" w:rsidR="00D11562">
        <w:t xml:space="preserve"> and </w:t>
      </w:r>
      <w:r w:rsidRPr="00C97CBB" w:rsidR="00DA26EA">
        <w:t xml:space="preserve">(2) </w:t>
      </w:r>
      <w:r w:rsidRPr="00C97CBB" w:rsidR="00D11562">
        <w:t xml:space="preserve">whether the </w:t>
      </w:r>
      <w:r w:rsidRPr="00C97CBB" w:rsidR="00D11562">
        <w:rPr>
          <w:i/>
          <w:iCs/>
        </w:rPr>
        <w:t>Shipley</w:t>
      </w:r>
      <w:r w:rsidRPr="00C97CBB" w:rsidR="00D11562">
        <w:t xml:space="preserve"> exception to the time limitation in section 5909</w:t>
      </w:r>
      <w:r w:rsidRPr="00C97CBB" w:rsidR="00D172C9">
        <w:t xml:space="preserve"> </w:t>
      </w:r>
      <w:r w:rsidRPr="00C97CBB" w:rsidR="008A04AC">
        <w:t>should be limited to situations in which a party that has filed a petition for reconsideration with the Board relies to its detriment on communi</w:t>
      </w:r>
      <w:r w:rsidRPr="00C97CBB" w:rsidR="00201FBA">
        <w:t>c</w:t>
      </w:r>
      <w:r w:rsidRPr="00C97CBB" w:rsidR="008A04AC">
        <w:t>ations from the</w:t>
      </w:r>
      <w:r w:rsidRPr="00C97CBB" w:rsidR="00201FBA">
        <w:t xml:space="preserve"> </w:t>
      </w:r>
      <w:r w:rsidRPr="00C97CBB" w:rsidR="008A04AC">
        <w:t>Board about the status of the petition</w:t>
      </w:r>
      <w:r w:rsidRPr="00C97CBB" w:rsidR="00D172C9">
        <w:t xml:space="preserve">. </w:t>
      </w:r>
      <w:r w:rsidR="00814959">
        <w:t xml:space="preserve"> </w:t>
      </w:r>
    </w:p>
    <w:p w:rsidR="0097402C" w:rsidP="0040243A" w14:paraId="652A5DC3" w14:textId="43D91D4D">
      <w:pPr>
        <w:spacing w:after="0" w:line="288" w:lineRule="auto"/>
        <w:ind w:firstLine="720"/>
      </w:pPr>
      <w:r w:rsidRPr="00C97CBB">
        <w:t xml:space="preserve">The </w:t>
      </w:r>
      <w:r w:rsidRPr="00C97CBB" w:rsidR="00754F4D">
        <w:t xml:space="preserve">Board </w:t>
      </w:r>
      <w:r w:rsidRPr="00C97CBB">
        <w:t>filed a return</w:t>
      </w:r>
      <w:r w:rsidR="00A726C3">
        <w:t xml:space="preserve"> stating </w:t>
      </w:r>
      <w:r w:rsidR="00221512">
        <w:t xml:space="preserve">CIGA </w:t>
      </w:r>
      <w:r w:rsidR="000D7C4F">
        <w:t xml:space="preserve">was not required to and </w:t>
      </w:r>
      <w:r w:rsidR="00221512">
        <w:t>did not contact the Board while its petition for reconsideration was pending</w:t>
      </w:r>
      <w:r w:rsidR="000077F5">
        <w:t>,</w:t>
      </w:r>
      <w:r w:rsidR="000D7C4F">
        <w:t xml:space="preserve"> and</w:t>
      </w:r>
      <w:r w:rsidRPr="000077F5" w:rsidR="000077F5">
        <w:t xml:space="preserve"> CIGA had a due process right to reconsideration by the Board regardless of </w:t>
      </w:r>
      <w:r w:rsidR="00191C55">
        <w:t>CIGA’s</w:t>
      </w:r>
      <w:r w:rsidRPr="000077F5" w:rsidR="000077F5">
        <w:t xml:space="preserve"> diligence</w:t>
      </w:r>
      <w:r w:rsidR="000D7C4F">
        <w:t xml:space="preserve">. </w:t>
      </w:r>
      <w:r w:rsidRPr="00C97CBB" w:rsidR="000D7C4F">
        <w:t xml:space="preserve"> </w:t>
      </w:r>
      <w:r w:rsidRPr="00C97CBB" w:rsidR="00930628">
        <w:t>Zurich</w:t>
      </w:r>
      <w:r w:rsidRPr="00C97CBB" w:rsidR="00531D8D">
        <w:t xml:space="preserve"> filed a reply</w:t>
      </w:r>
      <w:r w:rsidRPr="00C97CBB" w:rsidR="00D03F5F">
        <w:t xml:space="preserve"> asserting </w:t>
      </w:r>
      <w:r w:rsidR="005E22C0">
        <w:t xml:space="preserve">the Board lacked jurisdiction once the 60-day deadline had passed, and further, </w:t>
      </w:r>
      <w:r w:rsidRPr="00C97CBB" w:rsidR="00B464A4">
        <w:rPr>
          <w:i/>
          <w:iCs/>
        </w:rPr>
        <w:t>Shipley</w:t>
      </w:r>
      <w:r w:rsidRPr="00C97CBB" w:rsidR="00B464A4">
        <w:t xml:space="preserve"> should not apply in light of CIGA’s lack of diligence</w:t>
      </w:r>
      <w:r w:rsidRPr="00C97CBB" w:rsidR="00F32FDE">
        <w:t>.</w:t>
      </w:r>
      <w:r w:rsidRPr="00C97CBB" w:rsidR="00FD42E2">
        <w:t xml:space="preserve">  CIGA submitted a letter </w:t>
      </w:r>
      <w:r w:rsidRPr="00C97CBB" w:rsidR="007D23D6">
        <w:t xml:space="preserve">stating simply </w:t>
      </w:r>
      <w:r w:rsidRPr="00C97CBB" w:rsidR="00220CB6">
        <w:t xml:space="preserve">that </w:t>
      </w:r>
      <w:r w:rsidRPr="00C97CBB" w:rsidR="007D23D6">
        <w:t xml:space="preserve">it “concurs with the analysis and reasoning provided” by the Board in its </w:t>
      </w:r>
      <w:r w:rsidRPr="00C97CBB" w:rsidR="009D609F">
        <w:t>return</w:t>
      </w:r>
      <w:r w:rsidRPr="00C97CBB" w:rsidR="00FD42E2">
        <w:t>.</w:t>
      </w:r>
      <w:r w:rsidRPr="00C97CBB" w:rsidR="00F32FDE">
        <w:t xml:space="preserve">  </w:t>
      </w:r>
      <w:r w:rsidRPr="00C97CBB" w:rsidR="00E4422C">
        <w:t xml:space="preserve">We </w:t>
      </w:r>
      <w:r w:rsidRPr="00C97CBB" w:rsidR="00AF2458">
        <w:t xml:space="preserve">now </w:t>
      </w:r>
      <w:r w:rsidRPr="00C97CBB" w:rsidR="00E4422C">
        <w:t xml:space="preserve">grant </w:t>
      </w:r>
      <w:r w:rsidRPr="00C97CBB" w:rsidR="007938C3">
        <w:t xml:space="preserve">the </w:t>
      </w:r>
      <w:r w:rsidRPr="00C97CBB" w:rsidR="00E4422C">
        <w:t>petition.</w:t>
      </w:r>
    </w:p>
    <w:p w:rsidR="00BE0A99" w:rsidP="0040243A" w14:paraId="1B5DD965" w14:textId="77777777">
      <w:pPr>
        <w:spacing w:after="0" w:line="288" w:lineRule="auto"/>
        <w:ind w:firstLine="720"/>
      </w:pPr>
    </w:p>
    <w:p w:rsidR="004A6BC0" w:rsidP="00912032" w14:paraId="52465A04" w14:textId="77777777">
      <w:pPr>
        <w:pStyle w:val="Heading1"/>
        <w:spacing w:before="0" w:after="0" w:line="240" w:lineRule="auto"/>
        <w:jc w:val="center"/>
        <w:rPr>
          <w:rFonts w:eastAsia="Calibri" w:cs="Times New Roman"/>
          <w:sz w:val="26"/>
          <w:szCs w:val="26"/>
        </w:rPr>
      </w:pPr>
      <w:r w:rsidRPr="00912032">
        <w:rPr>
          <w:rFonts w:eastAsia="Calibri" w:cs="Times New Roman"/>
          <w:sz w:val="26"/>
          <w:szCs w:val="26"/>
        </w:rPr>
        <w:t>DISCUSSIO</w:t>
      </w:r>
      <w:r w:rsidRPr="00912032" w:rsidR="00D550C6">
        <w:rPr>
          <w:rFonts w:eastAsia="Calibri" w:cs="Times New Roman"/>
          <w:sz w:val="26"/>
          <w:szCs w:val="26"/>
        </w:rPr>
        <w:t>N</w:t>
      </w:r>
    </w:p>
    <w:p w:rsidR="00912032" w:rsidP="003A2554" w14:paraId="6FF8389F" w14:textId="77777777">
      <w:pPr>
        <w:spacing w:after="0" w:line="288" w:lineRule="auto"/>
      </w:pPr>
    </w:p>
    <w:p w:rsidR="004A6BC0" w:rsidRPr="00912032" w:rsidP="00912032" w14:paraId="20A11E8E" w14:textId="77777777">
      <w:pPr>
        <w:keepNext/>
        <w:widowControl w:val="0"/>
        <w:spacing w:after="0" w:line="288" w:lineRule="auto"/>
        <w:ind w:left="720" w:right="720" w:hanging="720"/>
        <w:outlineLvl w:val="0"/>
      </w:pPr>
      <w:r w:rsidRPr="00912032">
        <w:t>A.</w:t>
      </w:r>
      <w:r w:rsidRPr="00912032">
        <w:tab/>
      </w:r>
      <w:r w:rsidRPr="00912032" w:rsidR="00D550C6">
        <w:rPr>
          <w:i/>
          <w:iCs/>
        </w:rPr>
        <w:t xml:space="preserve">Writ </w:t>
      </w:r>
      <w:r w:rsidR="001645D5">
        <w:rPr>
          <w:i/>
          <w:iCs/>
        </w:rPr>
        <w:t>Review</w:t>
      </w:r>
      <w:r w:rsidRPr="00912032" w:rsidR="001645D5">
        <w:rPr>
          <w:i/>
          <w:iCs/>
        </w:rPr>
        <w:t xml:space="preserve"> </w:t>
      </w:r>
      <w:r w:rsidRPr="00912032" w:rsidR="00D550C6">
        <w:rPr>
          <w:i/>
          <w:iCs/>
        </w:rPr>
        <w:t>Is Appropriate</w:t>
      </w:r>
      <w:r w:rsidRPr="00912032" w:rsidR="00D550C6">
        <w:t xml:space="preserve"> </w:t>
      </w:r>
    </w:p>
    <w:p w:rsidR="00844685" w:rsidRPr="00C97CBB" w:rsidP="00855270" w14:paraId="601DEB8D" w14:textId="7B45F62D">
      <w:pPr>
        <w:spacing w:after="0" w:line="288" w:lineRule="auto"/>
        <w:ind w:firstLine="720"/>
      </w:pPr>
      <w:r w:rsidRPr="00C97CBB">
        <w:t xml:space="preserve">The Board contends </w:t>
      </w:r>
      <w:r w:rsidRPr="00C97CBB" w:rsidR="007A3257">
        <w:t xml:space="preserve">writ relief is not appropriate because </w:t>
      </w:r>
      <w:r w:rsidRPr="00C97CBB">
        <w:t xml:space="preserve">its decision to apply an exception to section 5909 </w:t>
      </w:r>
      <w:r w:rsidRPr="00C97CBB" w:rsidR="007A3257">
        <w:t>constituted</w:t>
      </w:r>
      <w:r w:rsidRPr="00C97CBB">
        <w:t xml:space="preserve"> a discretionary application of the exception recognized in </w:t>
      </w:r>
      <w:r w:rsidRPr="00C97CBB">
        <w:rPr>
          <w:i/>
          <w:iCs/>
        </w:rPr>
        <w:t>Shipley</w:t>
      </w:r>
      <w:r w:rsidRPr="00C97CBB" w:rsidR="007A3257">
        <w:t>, and further, the petition was premature because</w:t>
      </w:r>
      <w:r w:rsidRPr="00C97CBB" w:rsidR="00CF5FF4">
        <w:t xml:space="preserve"> Zurich could seek a writ once</w:t>
      </w:r>
      <w:r w:rsidRPr="00C97CBB" w:rsidR="007A3257">
        <w:t xml:space="preserve"> the Board issued </w:t>
      </w:r>
      <w:r w:rsidRPr="00C97CBB" w:rsidR="00CF5FF4">
        <w:t>its</w:t>
      </w:r>
      <w:r w:rsidRPr="00C97CBB" w:rsidR="007A3257">
        <w:t xml:space="preserve"> final order on CIGA’s petition for reconsideration. </w:t>
      </w:r>
      <w:r w:rsidRPr="00C97CBB" w:rsidR="008A1972">
        <w:t xml:space="preserve"> </w:t>
      </w:r>
      <w:r w:rsidRPr="00C97CBB" w:rsidR="00C4690F">
        <w:t>Neither contention has merit.</w:t>
      </w:r>
      <w:r w:rsidRPr="00C97CBB">
        <w:t xml:space="preserve">  </w:t>
      </w:r>
    </w:p>
    <w:p w:rsidR="00D550C6" w:rsidRPr="00C97CBB" w:rsidP="008C7B95" w14:paraId="76E26260" w14:textId="77777777">
      <w:pPr>
        <w:spacing w:after="0" w:line="288" w:lineRule="auto"/>
        <w:ind w:firstLine="720"/>
      </w:pPr>
      <w:r w:rsidRPr="00C97CBB">
        <w:t>Section 5955 provides the Supreme Court and Courts of Appeal</w:t>
      </w:r>
      <w:r w:rsidRPr="00C97CBB" w:rsidR="002818F4">
        <w:t xml:space="preserve"> </w:t>
      </w:r>
      <w:r w:rsidRPr="00C97CBB" w:rsidR="007C68EF">
        <w:t xml:space="preserve">have </w:t>
      </w:r>
      <w:r w:rsidRPr="00C97CBB" w:rsidR="002818F4">
        <w:t>jurisdiction to issue a writ of mandate</w:t>
      </w:r>
      <w:r w:rsidRPr="00C97CBB" w:rsidR="00E51BC3">
        <w:t xml:space="preserve"> </w:t>
      </w:r>
      <w:r w:rsidRPr="00C97CBB" w:rsidR="00626CD3">
        <w:t xml:space="preserve">“in all proper cases” </w:t>
      </w:r>
      <w:r w:rsidRPr="00C97CBB" w:rsidR="00E51BC3">
        <w:t>to, among other things,</w:t>
      </w:r>
      <w:r w:rsidRPr="00C97CBB" w:rsidR="002818F4">
        <w:t xml:space="preserve"> </w:t>
      </w:r>
      <w:r w:rsidRPr="00C97CBB" w:rsidR="00882006">
        <w:t>“review, reverse, correct, or annul any order, rule, decision, or award” of the Board</w:t>
      </w:r>
      <w:r w:rsidRPr="00C97CBB" w:rsidR="00E51BC3">
        <w:t xml:space="preserve">.  </w:t>
      </w:r>
      <w:r w:rsidRPr="00C97CBB">
        <w:t>“</w:t>
      </w:r>
      <w:r w:rsidR="00813803">
        <w:t>‘[</w:t>
      </w:r>
      <w:r w:rsidRPr="00C97CBB">
        <w:t>P</w:t>
      </w:r>
      <w:r w:rsidR="00813803">
        <w:t>]</w:t>
      </w:r>
      <w:r w:rsidRPr="00C97CBB">
        <w:t>roper cases</w:t>
      </w:r>
      <w:r w:rsidR="00813803">
        <w:t>’</w:t>
      </w:r>
      <w:r w:rsidRPr="00C97CBB">
        <w:t>” include those in which “mandamus is available under Code of Civil Procedure section 1085.”  (</w:t>
      </w:r>
      <w:r w:rsidRPr="00C97CBB">
        <w:rPr>
          <w:i/>
          <w:iCs/>
        </w:rPr>
        <w:t xml:space="preserve">Greener v. Workers’ Comp. Appeals Bd. </w:t>
      </w:r>
      <w:r w:rsidRPr="00C97CBB">
        <w:t>(1993) 6 Cal.4th 1028, 1046</w:t>
      </w:r>
      <w:r w:rsidRPr="00C97CBB" w:rsidR="00341400">
        <w:t xml:space="preserve">; accord, </w:t>
      </w:r>
      <w:r w:rsidRPr="00C97CBB" w:rsidR="008C7B95">
        <w:rPr>
          <w:i/>
          <w:iCs/>
        </w:rPr>
        <w:t>Earley v. Workers’ Comp. Appeals Bd.</w:t>
      </w:r>
      <w:r w:rsidRPr="00C97CBB" w:rsidR="00904B49">
        <w:t xml:space="preserve"> (2023)</w:t>
      </w:r>
      <w:r w:rsidRPr="00C97CBB" w:rsidR="008C7B95">
        <w:t xml:space="preserve"> 94 Cal.App.5th 1, 10</w:t>
      </w:r>
      <w:r w:rsidRPr="00C97CBB" w:rsidR="00904B49">
        <w:t xml:space="preserve"> (</w:t>
      </w:r>
      <w:r w:rsidRPr="00C97CBB" w:rsidR="00904B49">
        <w:rPr>
          <w:i/>
          <w:iCs/>
        </w:rPr>
        <w:t>Earley</w:t>
      </w:r>
      <w:r w:rsidRPr="00C97CBB" w:rsidR="00904B49">
        <w:t>)</w:t>
      </w:r>
      <w:r w:rsidRPr="00C97CBB">
        <w:t xml:space="preserve">.)  </w:t>
      </w:r>
      <w:r w:rsidRPr="00C97CBB" w:rsidR="003A355F">
        <w:rPr>
          <w:rFonts w:eastAsia="Times New Roman"/>
        </w:rPr>
        <w:t>A petitioner seeking a writ of mandate</w:t>
      </w:r>
      <w:r w:rsidRPr="00C97CBB" w:rsidR="007810AE">
        <w:rPr>
          <w:rFonts w:eastAsia="Times New Roman"/>
        </w:rPr>
        <w:t xml:space="preserve"> </w:t>
      </w:r>
      <w:r w:rsidRPr="00C97CBB" w:rsidR="003A355F">
        <w:rPr>
          <w:rFonts w:eastAsia="Times New Roman"/>
        </w:rPr>
        <w:t>must show “‘(1)</w:t>
      </w:r>
      <w:r w:rsidR="00DD3F0F">
        <w:rPr>
          <w:rFonts w:eastAsia="Times New Roman"/>
        </w:rPr>
        <w:t> </w:t>
      </w:r>
      <w:r w:rsidRPr="00C97CBB" w:rsidR="003A355F">
        <w:rPr>
          <w:rFonts w:eastAsia="Times New Roman"/>
        </w:rPr>
        <w:t>a clear, present and usually ministerial duty on the part of the respondent . . .</w:t>
      </w:r>
      <w:r w:rsidRPr="00C97CBB" w:rsidR="00576883">
        <w:rPr>
          <w:rFonts w:eastAsia="Times New Roman"/>
        </w:rPr>
        <w:t xml:space="preserve"> </w:t>
      </w:r>
      <w:r w:rsidRPr="00C97CBB" w:rsidR="003A355F">
        <w:rPr>
          <w:rFonts w:eastAsia="Times New Roman"/>
        </w:rPr>
        <w:t>; and (2) a clear, present and beneficial right in the petitioner to the performance of that duty . . . .</w:t>
      </w:r>
      <w:r w:rsidR="00CA2527">
        <w:rPr>
          <w:rFonts w:eastAsia="Times New Roman"/>
        </w:rPr>
        <w:t>’</w:t>
      </w:r>
      <w:r w:rsidRPr="00C97CBB" w:rsidR="003A355F">
        <w:rPr>
          <w:rFonts w:eastAsia="Times New Roman"/>
        </w:rPr>
        <w:t>”  (</w:t>
      </w:r>
      <w:r w:rsidRPr="00C97CBB" w:rsidR="003A355F">
        <w:rPr>
          <w:rFonts w:eastAsia="Times New Roman"/>
          <w:i/>
          <w:iCs/>
        </w:rPr>
        <w:t xml:space="preserve">Santa Clara County Counsel Attys. Assn. v. Woodside </w:t>
      </w:r>
      <w:r w:rsidRPr="00C97CBB" w:rsidR="003A355F">
        <w:rPr>
          <w:rFonts w:eastAsia="Times New Roman"/>
        </w:rPr>
        <w:t>(1994) 7 Cal.4th 525, 539-540</w:t>
      </w:r>
      <w:r w:rsidRPr="00C97CBB" w:rsidR="00982589">
        <w:rPr>
          <w:rFonts w:eastAsia="Times New Roman"/>
        </w:rPr>
        <w:t xml:space="preserve">; see </w:t>
      </w:r>
      <w:r w:rsidRPr="00C97CBB" w:rsidR="00982589">
        <w:rPr>
          <w:rFonts w:eastAsia="Times New Roman"/>
          <w:i/>
          <w:iCs/>
        </w:rPr>
        <w:t>Earl</w:t>
      </w:r>
      <w:r w:rsidRPr="00C97CBB" w:rsidR="00A008DD">
        <w:rPr>
          <w:rFonts w:eastAsia="Times New Roman"/>
          <w:i/>
          <w:iCs/>
        </w:rPr>
        <w:t>e</w:t>
      </w:r>
      <w:r w:rsidRPr="00C97CBB" w:rsidR="00982589">
        <w:rPr>
          <w:rFonts w:eastAsia="Times New Roman"/>
          <w:i/>
          <w:iCs/>
        </w:rPr>
        <w:t>y</w:t>
      </w:r>
      <w:r w:rsidRPr="00C97CBB" w:rsidR="00982589">
        <w:rPr>
          <w:rFonts w:eastAsia="Times New Roman"/>
        </w:rPr>
        <w:t xml:space="preserve">, at p. </w:t>
      </w:r>
      <w:r w:rsidRPr="00C97CBB" w:rsidR="00A008DD">
        <w:rPr>
          <w:rFonts w:eastAsia="Times New Roman"/>
        </w:rPr>
        <w:t>10</w:t>
      </w:r>
      <w:r w:rsidRPr="00C97CBB" w:rsidR="003A355F">
        <w:rPr>
          <w:rFonts w:eastAsia="Times New Roman"/>
        </w:rPr>
        <w:t xml:space="preserve">.)  </w:t>
      </w:r>
    </w:p>
    <w:p w:rsidR="00D550C6" w:rsidRPr="00C97CBB" w:rsidP="00350795" w14:paraId="65E4FB21" w14:textId="77777777">
      <w:pPr>
        <w:spacing w:after="0" w:line="288" w:lineRule="auto"/>
        <w:ind w:firstLine="720"/>
        <w:rPr>
          <w:rFonts w:eastAsia="Times New Roman"/>
        </w:rPr>
      </w:pPr>
      <w:r w:rsidRPr="00C97CBB">
        <w:t xml:space="preserve">Zurich’s petition </w:t>
      </w:r>
      <w:r w:rsidRPr="00C97CBB" w:rsidR="00F83B49">
        <w:t xml:space="preserve">sought </w:t>
      </w:r>
      <w:r w:rsidRPr="00C97CBB">
        <w:t xml:space="preserve">an order </w:t>
      </w:r>
      <w:r w:rsidRPr="00C97CBB" w:rsidR="00705521">
        <w:t>requiring the Board to</w:t>
      </w:r>
      <w:r w:rsidRPr="00C97CBB" w:rsidR="00F83B49">
        <w:t xml:space="preserve"> </w:t>
      </w:r>
      <w:r w:rsidRPr="00C97CBB" w:rsidR="004C44BF">
        <w:t>withdraw</w:t>
      </w:r>
      <w:r w:rsidRPr="00C97CBB" w:rsidR="00F83B49">
        <w:t xml:space="preserve"> its June 13, 2022 order and </w:t>
      </w:r>
      <w:r w:rsidRPr="00C97CBB" w:rsidR="00973425">
        <w:t>dismiss Zurich as a defendant</w:t>
      </w:r>
      <w:r w:rsidRPr="00C97CBB" w:rsidR="00662C19">
        <w:t xml:space="preserve"> on the basis </w:t>
      </w:r>
      <w:r w:rsidRPr="00C97CBB" w:rsidR="00386CF4">
        <w:t>CIGA’s</w:t>
      </w:r>
      <w:r w:rsidRPr="00C97CBB" w:rsidR="00662C19">
        <w:t xml:space="preserve"> petition had already been deemed denied under section 5909</w:t>
      </w:r>
      <w:r w:rsidRPr="00C97CBB" w:rsidR="00EB1AC8">
        <w:t xml:space="preserve">.  </w:t>
      </w:r>
      <w:r w:rsidRPr="00122AF4" w:rsidR="00492BBF">
        <w:t xml:space="preserve">Determination of whether </w:t>
      </w:r>
      <w:r w:rsidRPr="00541A87" w:rsidR="002714C8">
        <w:t xml:space="preserve">the </w:t>
      </w:r>
      <w:r w:rsidRPr="00541A87" w:rsidR="00CF6ECE">
        <w:t xml:space="preserve">60-day deadline under </w:t>
      </w:r>
      <w:r w:rsidRPr="00541A87" w:rsidR="00AC6CAC">
        <w:t>section</w:t>
      </w:r>
      <w:r w:rsidRPr="00541A87" w:rsidR="00DD3F0F">
        <w:t> </w:t>
      </w:r>
      <w:r w:rsidRPr="00541A87" w:rsidR="00AC6CAC">
        <w:t>5909</w:t>
      </w:r>
      <w:r w:rsidRPr="00541A87" w:rsidR="00C01202">
        <w:t xml:space="preserve"> </w:t>
      </w:r>
      <w:r w:rsidRPr="00541A87" w:rsidR="00CF6ECE">
        <w:t>is jurisdictional</w:t>
      </w:r>
      <w:r w:rsidRPr="00541A87" w:rsidR="00C01202">
        <w:t xml:space="preserve"> is the proper subject of writ relief because </w:t>
      </w:r>
      <w:r w:rsidRPr="00541A87" w:rsidR="00E66F5C">
        <w:t xml:space="preserve">the </w:t>
      </w:r>
      <w:r w:rsidRPr="00541A87" w:rsidR="00C01202">
        <w:t>question</w:t>
      </w:r>
      <w:r w:rsidRPr="00541A87" w:rsidR="00E66F5C">
        <w:t xml:space="preserve"> involve</w:t>
      </w:r>
      <w:r w:rsidR="00455E12">
        <w:t>s</w:t>
      </w:r>
      <w:r w:rsidRPr="00541A87" w:rsidR="00AC6CAC">
        <w:t xml:space="preserve"> statutory interpretation</w:t>
      </w:r>
      <w:r w:rsidRPr="00541A87" w:rsidR="00AE079A">
        <w:t>,</w:t>
      </w:r>
      <w:r w:rsidRPr="00541A87" w:rsidR="00C01202">
        <w:t xml:space="preserve"> not </w:t>
      </w:r>
      <w:r w:rsidRPr="00541A87" w:rsidR="00AC6CAC">
        <w:t>administrative discretion</w:t>
      </w:r>
      <w:r w:rsidRPr="0041765A" w:rsidR="00AC6CAC">
        <w:t>.</w:t>
      </w:r>
      <w:r w:rsidRPr="00C97CBB" w:rsidR="00AC6CAC">
        <w:t xml:space="preserve">  </w:t>
      </w:r>
      <w:r w:rsidRPr="00C97CBB" w:rsidR="00AE079A">
        <w:rPr>
          <w:rFonts w:eastAsia="Times New Roman"/>
        </w:rPr>
        <w:t xml:space="preserve">(See </w:t>
      </w:r>
      <w:r w:rsidRPr="00C97CBB" w:rsidR="00AE079A">
        <w:rPr>
          <w:rFonts w:eastAsia="Times New Roman"/>
          <w:i/>
          <w:iCs/>
        </w:rPr>
        <w:t>Earley</w:t>
      </w:r>
      <w:r w:rsidRPr="00C97CBB" w:rsidR="003F6F67">
        <w:rPr>
          <w:rFonts w:eastAsia="Times New Roman"/>
          <w:i/>
          <w:iCs/>
        </w:rPr>
        <w:t>, supra</w:t>
      </w:r>
      <w:r w:rsidRPr="00C97CBB" w:rsidR="003F6F67">
        <w:rPr>
          <w:rFonts w:eastAsia="Times New Roman"/>
        </w:rPr>
        <w:t xml:space="preserve">, </w:t>
      </w:r>
      <w:r w:rsidRPr="00C97CBB" w:rsidR="00AE079A">
        <w:rPr>
          <w:rFonts w:eastAsia="Times New Roman"/>
        </w:rPr>
        <w:t xml:space="preserve">94 Cal.App.5th </w:t>
      </w:r>
      <w:r w:rsidRPr="00C97CBB" w:rsidR="003F6F67">
        <w:rPr>
          <w:rFonts w:eastAsia="Times New Roman"/>
        </w:rPr>
        <w:t>at p.</w:t>
      </w:r>
      <w:r w:rsidR="008A1868">
        <w:rPr>
          <w:rFonts w:eastAsia="Times New Roman"/>
        </w:rPr>
        <w:t> </w:t>
      </w:r>
      <w:r w:rsidRPr="00C97CBB" w:rsidR="00AE079A">
        <w:rPr>
          <w:rFonts w:eastAsia="Times New Roman"/>
        </w:rPr>
        <w:t xml:space="preserve">10 </w:t>
      </w:r>
      <w:r w:rsidRPr="00C97CBB" w:rsidR="003F6F67">
        <w:rPr>
          <w:rFonts w:eastAsia="Times New Roman"/>
        </w:rPr>
        <w:t xml:space="preserve">[writ of mandate was proper to compel Board to comply with its duty </w:t>
      </w:r>
      <w:r w:rsidRPr="00C97CBB" w:rsidR="005A4008">
        <w:rPr>
          <w:rFonts w:eastAsia="Times New Roman"/>
        </w:rPr>
        <w:t>under section</w:t>
      </w:r>
      <w:r w:rsidR="00DD3F0F">
        <w:rPr>
          <w:rFonts w:eastAsia="Times New Roman"/>
        </w:rPr>
        <w:t> </w:t>
      </w:r>
      <w:r w:rsidRPr="00C97CBB" w:rsidR="005A4008">
        <w:rPr>
          <w:rFonts w:eastAsia="Times New Roman"/>
        </w:rPr>
        <w:t>5908.5 to explain its reasons for granting reconsideration and identify the evidence supporting its decision]</w:t>
      </w:r>
      <w:r w:rsidRPr="00C97CBB" w:rsidR="009837FD">
        <w:rPr>
          <w:rFonts w:eastAsia="Times New Roman"/>
        </w:rPr>
        <w:t>;</w:t>
      </w:r>
      <w:r>
        <w:rPr>
          <w:rFonts w:eastAsia="Times New Roman"/>
          <w:vertAlign w:val="superscript"/>
        </w:rPr>
        <w:footnoteReference w:id="9"/>
      </w:r>
      <w:r w:rsidRPr="00C97CBB" w:rsidR="009837FD">
        <w:rPr>
          <w:rFonts w:eastAsia="Times New Roman"/>
        </w:rPr>
        <w:t xml:space="preserve"> </w:t>
      </w:r>
      <w:r w:rsidRPr="00C97CBB" w:rsidR="00AC6CAC">
        <w:rPr>
          <w:rFonts w:eastAsia="Times New Roman"/>
          <w:i/>
          <w:iCs/>
        </w:rPr>
        <w:t xml:space="preserve">Rea v. Workers’ Comp. Appeals Bd. </w:t>
      </w:r>
      <w:r w:rsidRPr="00C97CBB" w:rsidR="00AC6CAC">
        <w:rPr>
          <w:rFonts w:eastAsia="Times New Roman"/>
        </w:rPr>
        <w:t>(2005) 127</w:t>
      </w:r>
      <w:r w:rsidR="000054C6">
        <w:rPr>
          <w:rFonts w:eastAsia="Times New Roman"/>
        </w:rPr>
        <w:t> </w:t>
      </w:r>
      <w:r w:rsidRPr="00C97CBB" w:rsidR="00AC6CAC">
        <w:rPr>
          <w:rFonts w:eastAsia="Times New Roman"/>
        </w:rPr>
        <w:t xml:space="preserve">Cal.App.4th 625, </w:t>
      </w:r>
      <w:r w:rsidRPr="00C97CBB" w:rsidR="00DE2565">
        <w:rPr>
          <w:rFonts w:eastAsia="Times New Roman"/>
        </w:rPr>
        <w:t xml:space="preserve">632-633, </w:t>
      </w:r>
      <w:r w:rsidRPr="00C97CBB" w:rsidR="00560044">
        <w:rPr>
          <w:rFonts w:eastAsia="Times New Roman"/>
        </w:rPr>
        <w:t>643</w:t>
      </w:r>
      <w:r w:rsidRPr="00C97CBB" w:rsidR="00AC6CAC">
        <w:rPr>
          <w:rFonts w:eastAsia="Times New Roman"/>
        </w:rPr>
        <w:t xml:space="preserve"> [</w:t>
      </w:r>
      <w:r w:rsidRPr="00C97CBB" w:rsidR="00C05659">
        <w:rPr>
          <w:rFonts w:eastAsia="Times New Roman"/>
        </w:rPr>
        <w:t xml:space="preserve">granting writ </w:t>
      </w:r>
      <w:r w:rsidRPr="00C97CBB" w:rsidR="00DE2565">
        <w:rPr>
          <w:rFonts w:eastAsia="Times New Roman"/>
        </w:rPr>
        <w:t xml:space="preserve">relief </w:t>
      </w:r>
      <w:r w:rsidRPr="00C97CBB" w:rsidR="0018195F">
        <w:rPr>
          <w:rFonts w:eastAsia="Times New Roman"/>
        </w:rPr>
        <w:t>under section</w:t>
      </w:r>
      <w:r w:rsidR="000054C6">
        <w:rPr>
          <w:rFonts w:eastAsia="Times New Roman"/>
        </w:rPr>
        <w:t> </w:t>
      </w:r>
      <w:r w:rsidRPr="00C97CBB" w:rsidR="0018195F">
        <w:rPr>
          <w:rFonts w:eastAsia="Times New Roman"/>
        </w:rPr>
        <w:t>5950</w:t>
      </w:r>
      <w:r w:rsidRPr="00C97CBB" w:rsidR="00555218">
        <w:rPr>
          <w:rFonts w:eastAsia="Times New Roman"/>
        </w:rPr>
        <w:t xml:space="preserve"> </w:t>
      </w:r>
      <w:r w:rsidRPr="00C97CBB" w:rsidR="008F4B74">
        <w:rPr>
          <w:rFonts w:eastAsia="Times New Roman"/>
        </w:rPr>
        <w:t>annulling Board’s</w:t>
      </w:r>
      <w:r w:rsidRPr="00C97CBB" w:rsidR="00100978">
        <w:rPr>
          <w:rFonts w:eastAsia="Times New Roman"/>
        </w:rPr>
        <w:t xml:space="preserve"> new procedures involving the Uninsured Employers Fund</w:t>
      </w:r>
      <w:r w:rsidRPr="00C97CBB" w:rsidR="00AC6CAC">
        <w:rPr>
          <w:rFonts w:eastAsia="Times New Roman"/>
        </w:rPr>
        <w:t>].)</w:t>
      </w:r>
    </w:p>
    <w:p w:rsidR="00D550C6" w:rsidP="00350795" w14:paraId="1C82FD61" w14:textId="77777777">
      <w:pPr>
        <w:spacing w:after="0" w:line="288" w:lineRule="auto"/>
        <w:ind w:firstLine="720"/>
        <w:rPr>
          <w:rFonts w:eastAsia="Times New Roman"/>
        </w:rPr>
      </w:pPr>
      <w:r w:rsidRPr="00C97CBB">
        <w:rPr>
          <w:rFonts w:eastAsia="Times New Roman"/>
        </w:rPr>
        <w:t xml:space="preserve">Further, Zurich’s petition is not premature because </w:t>
      </w:r>
      <w:r w:rsidRPr="00C97CBB" w:rsidR="0045304E">
        <w:rPr>
          <w:rFonts w:eastAsia="Times New Roman"/>
        </w:rPr>
        <w:t xml:space="preserve">its challenge is not to the merits of the Board’s decision, but rather, </w:t>
      </w:r>
      <w:r w:rsidRPr="00C97CBB" w:rsidR="0010597B">
        <w:rPr>
          <w:rFonts w:eastAsia="Times New Roman"/>
        </w:rPr>
        <w:t>to</w:t>
      </w:r>
      <w:r w:rsidRPr="00C97CBB" w:rsidR="0045304E">
        <w:rPr>
          <w:rFonts w:eastAsia="Times New Roman"/>
        </w:rPr>
        <w:t xml:space="preserve"> </w:t>
      </w:r>
      <w:r w:rsidRPr="00C97CBB" w:rsidR="00DD17B8">
        <w:rPr>
          <w:rFonts w:eastAsia="Times New Roman"/>
        </w:rPr>
        <w:t>the Board</w:t>
      </w:r>
      <w:r w:rsidRPr="00C97CBB" w:rsidR="0010597B">
        <w:rPr>
          <w:rFonts w:eastAsia="Times New Roman"/>
        </w:rPr>
        <w:t xml:space="preserve">’s consideration of </w:t>
      </w:r>
      <w:r w:rsidRPr="00C97CBB" w:rsidR="00DD17B8">
        <w:rPr>
          <w:rFonts w:eastAsia="Times New Roman"/>
        </w:rPr>
        <w:t xml:space="preserve">CIGA’s petition for reconsideration once </w:t>
      </w:r>
      <w:r w:rsidRPr="00C97CBB" w:rsidR="0010597B">
        <w:rPr>
          <w:rFonts w:eastAsia="Times New Roman"/>
        </w:rPr>
        <w:t>the petition</w:t>
      </w:r>
      <w:r w:rsidRPr="00C97CBB" w:rsidR="00DD17B8">
        <w:rPr>
          <w:rFonts w:eastAsia="Times New Roman"/>
        </w:rPr>
        <w:t xml:space="preserve"> was deemed denied.  Zurich lacked an adequate remedy at law if it had to wait for the conclusion of a void procedure to seek relief in this court.</w:t>
      </w:r>
    </w:p>
    <w:p w:rsidR="00191C55" w:rsidRPr="00C97CBB" w:rsidP="00350795" w14:paraId="6DDD4197" w14:textId="77777777">
      <w:pPr>
        <w:spacing w:after="0" w:line="288" w:lineRule="auto"/>
        <w:ind w:firstLine="720"/>
        <w:rPr>
          <w:rFonts w:eastAsia="Times New Roman"/>
        </w:rPr>
      </w:pPr>
    </w:p>
    <w:p w:rsidR="009C5565" w:rsidRPr="00912032" w:rsidP="00912032" w14:paraId="5960119C" w14:textId="77777777">
      <w:pPr>
        <w:keepNext/>
        <w:widowControl w:val="0"/>
        <w:spacing w:after="0" w:line="288" w:lineRule="auto"/>
        <w:ind w:left="720" w:right="720" w:hanging="720"/>
        <w:outlineLvl w:val="0"/>
      </w:pPr>
      <w:r w:rsidRPr="00C97CBB">
        <w:t>B.</w:t>
      </w:r>
      <w:r w:rsidRPr="00C97CBB">
        <w:tab/>
      </w:r>
      <w:r w:rsidRPr="00912032">
        <w:rPr>
          <w:i/>
          <w:iCs/>
        </w:rPr>
        <w:t xml:space="preserve">CIGA’s Petition for Reconsideration Was Denied </w:t>
      </w:r>
      <w:r w:rsidRPr="00912032" w:rsidR="00470072">
        <w:rPr>
          <w:i/>
          <w:iCs/>
        </w:rPr>
        <w:t>b</w:t>
      </w:r>
      <w:r w:rsidRPr="00912032">
        <w:rPr>
          <w:i/>
          <w:iCs/>
        </w:rPr>
        <w:t>y Operation of Law</w:t>
      </w:r>
      <w:r w:rsidRPr="00912032" w:rsidR="0091737F">
        <w:rPr>
          <w:i/>
          <w:iCs/>
        </w:rPr>
        <w:t xml:space="preserve"> </w:t>
      </w:r>
      <w:r w:rsidRPr="00912032" w:rsidR="0037512A">
        <w:rPr>
          <w:i/>
          <w:iCs/>
        </w:rPr>
        <w:t xml:space="preserve">60 Days After </w:t>
      </w:r>
      <w:r w:rsidRPr="00912032" w:rsidR="00652A72">
        <w:rPr>
          <w:i/>
          <w:iCs/>
        </w:rPr>
        <w:t>It</w:t>
      </w:r>
      <w:r w:rsidRPr="00912032" w:rsidR="0037512A">
        <w:rPr>
          <w:i/>
          <w:iCs/>
        </w:rPr>
        <w:t xml:space="preserve"> Was Filed</w:t>
      </w:r>
    </w:p>
    <w:p w:rsidR="00C04D73" w:rsidRPr="00C97CBB" w:rsidP="007F6E2A" w14:paraId="559068A2" w14:textId="02F61BB9">
      <w:pPr>
        <w:spacing w:after="0" w:line="288" w:lineRule="auto"/>
        <w:ind w:left="720"/>
        <w:rPr>
          <w:i/>
          <w:iCs/>
        </w:rPr>
      </w:pPr>
      <w:r>
        <w:t xml:space="preserve">1. </w:t>
      </w:r>
      <w:r>
        <w:tab/>
      </w:r>
      <w:r w:rsidRPr="007F6E2A" w:rsidR="0000392A">
        <w:rPr>
          <w:i/>
          <w:iCs/>
        </w:rPr>
        <w:t xml:space="preserve">Principles of </w:t>
      </w:r>
      <w:r w:rsidR="00896408">
        <w:rPr>
          <w:i/>
          <w:iCs/>
        </w:rPr>
        <w:t>j</w:t>
      </w:r>
      <w:r w:rsidRPr="007F6E2A" w:rsidR="0000392A">
        <w:rPr>
          <w:i/>
          <w:iCs/>
        </w:rPr>
        <w:t>urisdiction</w:t>
      </w:r>
      <w:r w:rsidRPr="0081547E">
        <w:rPr>
          <w:i/>
          <w:iCs/>
        </w:rPr>
        <w:t xml:space="preserve"> </w:t>
      </w:r>
      <w:r w:rsidRPr="0081547E">
        <w:rPr>
          <w:i/>
          <w:iCs/>
        </w:rPr>
        <w:tab/>
      </w:r>
    </w:p>
    <w:p w:rsidR="0072640F" w:rsidP="00305F8F" w14:paraId="200AFC53" w14:textId="61073B17">
      <w:pPr>
        <w:spacing w:after="0" w:line="288" w:lineRule="auto"/>
        <w:ind w:firstLine="720"/>
      </w:pPr>
      <w:r>
        <w:t xml:space="preserve">The Supreme Court in </w:t>
      </w:r>
      <w:r w:rsidRPr="00615536">
        <w:rPr>
          <w:i/>
          <w:iCs/>
        </w:rPr>
        <w:t>Law Finance Group, LLC v. Key</w:t>
      </w:r>
      <w:r w:rsidRPr="00615536">
        <w:t xml:space="preserve"> (2023) 14 Cal.5th 932, </w:t>
      </w:r>
      <w:r w:rsidR="00654E4C">
        <w:t xml:space="preserve">at pages </w:t>
      </w:r>
      <w:r w:rsidR="00827B4A">
        <w:t>949</w:t>
      </w:r>
      <w:r w:rsidR="006B39C9">
        <w:t xml:space="preserve"> to </w:t>
      </w:r>
      <w:r w:rsidRPr="00615536">
        <w:t>950</w:t>
      </w:r>
      <w:r w:rsidR="005E487F">
        <w:t xml:space="preserve"> (</w:t>
      </w:r>
      <w:r w:rsidRPr="005E487F" w:rsidR="005E487F">
        <w:rPr>
          <w:i/>
          <w:iCs/>
        </w:rPr>
        <w:t>Law Finance</w:t>
      </w:r>
      <w:r w:rsidR="005E487F">
        <w:t>)</w:t>
      </w:r>
      <w:r w:rsidRPr="00615536">
        <w:t xml:space="preserve"> </w:t>
      </w:r>
      <w:r w:rsidR="00040E1E">
        <w:t>recently discussed the framework</w:t>
      </w:r>
      <w:r w:rsidR="00645BFB">
        <w:t xml:space="preserve"> for determining whether </w:t>
      </w:r>
      <w:r w:rsidR="00F96F4A">
        <w:t>a</w:t>
      </w:r>
      <w:r w:rsidR="00645BFB">
        <w:t xml:space="preserve"> trial or reviewing court </w:t>
      </w:r>
      <w:r w:rsidR="00423807">
        <w:t>has</w:t>
      </w:r>
      <w:r w:rsidR="00645BFB">
        <w:t xml:space="preserve"> </w:t>
      </w:r>
      <w:r w:rsidR="00090FEB">
        <w:t>“</w:t>
      </w:r>
      <w:r w:rsidR="00645BFB">
        <w:t>fundamental jurisdiction</w:t>
      </w:r>
      <w:r w:rsidR="00090FEB">
        <w:t>”</w:t>
      </w:r>
      <w:r w:rsidR="00645BFB">
        <w:t xml:space="preserve"> to decide a </w:t>
      </w:r>
      <w:r w:rsidR="00F47654">
        <w:t xml:space="preserve">dispute </w:t>
      </w:r>
      <w:r w:rsidR="00040E1E">
        <w:t>where a statutory deadline for action has passed</w:t>
      </w:r>
      <w:r w:rsidR="00C06A3A">
        <w:t xml:space="preserve">.  </w:t>
      </w:r>
      <w:r w:rsidR="00AD1C2D">
        <w:t xml:space="preserve">The court </w:t>
      </w:r>
      <w:r w:rsidR="003907BF">
        <w:t>observed</w:t>
      </w:r>
      <w:r w:rsidR="006F73BE">
        <w:t>,</w:t>
      </w:r>
      <w:r w:rsidR="00391C7F">
        <w:t xml:space="preserve"> </w:t>
      </w:r>
      <w:r w:rsidRPr="007D67D1" w:rsidR="007D67D1">
        <w:t>“</w:t>
      </w:r>
      <w:r w:rsidR="00FA6D4B">
        <w:t>‘</w:t>
      </w:r>
      <w:r w:rsidR="006F73BE">
        <w:t>A</w:t>
      </w:r>
      <w:r w:rsidRPr="007D67D1" w:rsidR="007D67D1">
        <w:t xml:space="preserve"> lack of fundamental jurisdiction is “‘</w:t>
      </w:r>
      <w:r w:rsidR="005C5266">
        <w:t>“</w:t>
      </w:r>
      <w:r w:rsidRPr="007D67D1" w:rsidR="007D67D1">
        <w:t>an entire absence of power to hear or determine the case, an absence of authority over the subject matter or the parties.</w:t>
      </w:r>
      <w:r w:rsidR="00F37640">
        <w:t>”</w:t>
      </w:r>
      <w:r w:rsidRPr="007D67D1" w:rsidR="007D67D1">
        <w:t>’”’”</w:t>
      </w:r>
      <w:r w:rsidR="00F37640">
        <w:t xml:space="preserve">  (</w:t>
      </w:r>
      <w:r w:rsidRPr="00F505E3" w:rsidR="003D33E6">
        <w:rPr>
          <w:i/>
          <w:iCs/>
        </w:rPr>
        <w:t>Id</w:t>
      </w:r>
      <w:r w:rsidR="003D33E6">
        <w:t>.</w:t>
      </w:r>
      <w:r w:rsidR="00F37640">
        <w:t xml:space="preserve"> at p</w:t>
      </w:r>
      <w:r w:rsidR="006B39C9">
        <w:t>. </w:t>
      </w:r>
      <w:r w:rsidR="00F37640">
        <w:t>949</w:t>
      </w:r>
      <w:r w:rsidR="00AB2A18">
        <w:t>, quoting</w:t>
      </w:r>
      <w:r w:rsidR="00FB4072">
        <w:t xml:space="preserve"> </w:t>
      </w:r>
      <w:r w:rsidRPr="00D73C36" w:rsidR="00FB4072">
        <w:rPr>
          <w:rFonts w:eastAsia="Times New Roman"/>
          <w:i/>
          <w:iCs/>
        </w:rPr>
        <w:t>Kabran v. Sharp Memorial Hospital</w:t>
      </w:r>
      <w:r w:rsidRPr="00D73C36" w:rsidR="00FB4072">
        <w:rPr>
          <w:rFonts w:eastAsia="Times New Roman"/>
        </w:rPr>
        <w:t xml:space="preserve"> (2017) 2</w:t>
      </w:r>
      <w:r w:rsidR="00967FBD">
        <w:rPr>
          <w:rFonts w:eastAsia="Times New Roman"/>
        </w:rPr>
        <w:t> </w:t>
      </w:r>
      <w:r w:rsidRPr="00D73C36" w:rsidR="00FB4072">
        <w:rPr>
          <w:rFonts w:eastAsia="Times New Roman"/>
        </w:rPr>
        <w:t>Cal.5th 330, 3</w:t>
      </w:r>
      <w:r w:rsidR="00FB4072">
        <w:rPr>
          <w:rFonts w:eastAsia="Times New Roman"/>
        </w:rPr>
        <w:t>39 (</w:t>
      </w:r>
      <w:r w:rsidRPr="00D73C36" w:rsidR="00FB4072">
        <w:rPr>
          <w:rFonts w:eastAsia="Times New Roman"/>
          <w:i/>
          <w:iCs/>
        </w:rPr>
        <w:t>Kabran</w:t>
      </w:r>
      <w:r w:rsidR="00FB4072">
        <w:rPr>
          <w:rFonts w:eastAsia="Times New Roman"/>
        </w:rPr>
        <w:t>)</w:t>
      </w:r>
      <w:r w:rsidR="006F73BE">
        <w:t>.)</w:t>
      </w:r>
      <w:r w:rsidR="00D50EF0">
        <w:t xml:space="preserve">  </w:t>
      </w:r>
      <w:r w:rsidR="003A5404">
        <w:t>T</w:t>
      </w:r>
      <w:r w:rsidR="000E5A30">
        <w:t>he</w:t>
      </w:r>
      <w:r w:rsidR="008E4198">
        <w:t xml:space="preserve"> </w:t>
      </w:r>
      <w:r w:rsidR="00090FEB">
        <w:t>court</w:t>
      </w:r>
      <w:r w:rsidRPr="000E5A30" w:rsidR="000E5A30">
        <w:rPr>
          <w:i/>
          <w:iCs/>
        </w:rPr>
        <w:t xml:space="preserve"> </w:t>
      </w:r>
      <w:r w:rsidR="003907BF">
        <w:t>explained</w:t>
      </w:r>
      <w:r w:rsidR="007A2722">
        <w:t>, “</w:t>
      </w:r>
      <w:r w:rsidRPr="000E5A30" w:rsidR="000E5A30">
        <w:t xml:space="preserve">Because of those harsh consequences, we apply a </w:t>
      </w:r>
      <w:r w:rsidR="007A2722">
        <w:t>‘</w:t>
      </w:r>
      <w:r w:rsidRPr="000E5A30" w:rsidR="000E5A30">
        <w:t>presumption that statutes do not limit the courts</w:t>
      </w:r>
      <w:r w:rsidR="007A2722">
        <w:t>’</w:t>
      </w:r>
      <w:r w:rsidRPr="000E5A30" w:rsidR="000E5A30">
        <w:t xml:space="preserve"> fundamental jurisdiction absent a clear indication of legislative intent to do so.</w:t>
      </w:r>
      <w:r w:rsidR="007A2722">
        <w:t>’  [Citations.]</w:t>
      </w:r>
      <w:r w:rsidRPr="000E5A30" w:rsidR="000E5A30">
        <w:t xml:space="preserve"> </w:t>
      </w:r>
      <w:r w:rsidR="007A2722">
        <w:t xml:space="preserve"> </w:t>
      </w:r>
      <w:r w:rsidRPr="000E5A30" w:rsidR="000E5A30">
        <w:t>This approach reflects ‘</w:t>
      </w:r>
      <w:r w:rsidR="007A2722">
        <w:t>“</w:t>
      </w:r>
      <w:r w:rsidRPr="000E5A30" w:rsidR="000E5A30">
        <w:t>a preference for the resolution of litigation and the underlying conflicts on their merits by the judiciary.”</w:t>
      </w:r>
      <w:r w:rsidR="007A2722">
        <w:t>’</w:t>
      </w:r>
      <w:r w:rsidR="007F0BF2">
        <w:t xml:space="preserve">  [Citations.]</w:t>
      </w:r>
      <w:r w:rsidRPr="000E5A30" w:rsidR="000E5A30">
        <w:t xml:space="preserve"> </w:t>
      </w:r>
      <w:r w:rsidR="007F0BF2">
        <w:t xml:space="preserve"> </w:t>
      </w:r>
      <w:r w:rsidRPr="000E5A30" w:rsidR="000E5A30">
        <w:t xml:space="preserve">To be sure, mandatory procedural rules—like many statutes of limitations or other filing deadlines—serve important policy goals, and courts must enforce them when properly raised. </w:t>
      </w:r>
      <w:r w:rsidR="00861BB9">
        <w:t xml:space="preserve"> </w:t>
      </w:r>
      <w:r w:rsidRPr="000E5A30" w:rsidR="000E5A30">
        <w:t xml:space="preserve">(See </w:t>
      </w:r>
      <w:r w:rsidRPr="000833B5" w:rsidR="000E5A30">
        <w:rPr>
          <w:i/>
          <w:iCs/>
        </w:rPr>
        <w:t>Kabran</w:t>
      </w:r>
      <w:r w:rsidR="00CB7AB5">
        <w:t xml:space="preserve">, </w:t>
      </w:r>
      <w:r w:rsidRPr="000E5A30" w:rsidR="000E5A30">
        <w:t>at pp.</w:t>
      </w:r>
      <w:r w:rsidR="0041765A">
        <w:t> </w:t>
      </w:r>
      <w:r w:rsidRPr="000E5A30" w:rsidR="000E5A30">
        <w:t>341</w:t>
      </w:r>
      <w:r w:rsidR="00861BB9">
        <w:t>-</w:t>
      </w:r>
      <w:r w:rsidRPr="000E5A30" w:rsidR="000E5A30">
        <w:t xml:space="preserve">342.) </w:t>
      </w:r>
      <w:r w:rsidR="00E91D7F">
        <w:t xml:space="preserve"> </w:t>
      </w:r>
      <w:r w:rsidRPr="00E91D7F" w:rsidR="00E91D7F">
        <w:t xml:space="preserve">But we will not assume that the Legislature intended to imbue a time bar with jurisdictional consequences merely because the statute speaks in mandatory terms; as we have said, </w:t>
      </w:r>
      <w:r w:rsidR="00DA6F93">
        <w:t>‘</w:t>
      </w:r>
      <w:r w:rsidRPr="00E91D7F" w:rsidR="00E91D7F">
        <w:t>jurisdictional rules are mandatory, but mandatory rules are not necessarily jurisdictional</w:t>
      </w:r>
      <w:r w:rsidRPr="00E91D7F" w:rsidR="00DA6F93">
        <w:t>.</w:t>
      </w:r>
      <w:r w:rsidR="00DA6F93">
        <w:t xml:space="preserve">’  </w:t>
      </w:r>
      <w:r w:rsidR="00E91D7F">
        <w:t>(</w:t>
      </w:r>
      <w:r w:rsidRPr="00F30EDC" w:rsidR="00E91D7F">
        <w:rPr>
          <w:i/>
          <w:iCs/>
        </w:rPr>
        <w:t>Id</w:t>
      </w:r>
      <w:r w:rsidR="00E91D7F">
        <w:t>. at p. 342</w:t>
      </w:r>
      <w:r w:rsidR="0003151D">
        <w:t xml:space="preserve">; see </w:t>
      </w:r>
      <w:r w:rsidRPr="00F30EDC" w:rsidR="0003151D">
        <w:rPr>
          <w:i/>
          <w:iCs/>
        </w:rPr>
        <w:t>id</w:t>
      </w:r>
      <w:r w:rsidR="0003151D">
        <w:t>. at pp. 340-342.)</w:t>
      </w:r>
      <w:r w:rsidRPr="00E91D7F" w:rsidR="00E91D7F">
        <w:t xml:space="preserve"> </w:t>
      </w:r>
      <w:r w:rsidR="0003151D">
        <w:t xml:space="preserve"> </w:t>
      </w:r>
      <w:r w:rsidRPr="00E91D7F" w:rsidR="00E91D7F">
        <w:t xml:space="preserve">To establish that a particular filing deadline is jurisdictional, more is required. </w:t>
      </w:r>
      <w:r w:rsidR="0003151D">
        <w:t xml:space="preserve"> </w:t>
      </w:r>
      <w:r w:rsidRPr="00E91D7F" w:rsidR="00E91D7F">
        <w:t xml:space="preserve">Much as the high court has said of Congress, our Legislature </w:t>
      </w:r>
      <w:r w:rsidR="0003151D">
        <w:t>‘</w:t>
      </w:r>
      <w:r w:rsidRPr="00E91D7F" w:rsidR="00E91D7F">
        <w:t>must do something special, beyond setting an exception-free deadline, to tag a statute of limitations as jurisdictional</w:t>
      </w:r>
      <w:r w:rsidR="00E10DD8">
        <w:t>’</w:t>
      </w:r>
      <w:r w:rsidRPr="00E91D7F" w:rsidR="00E91D7F">
        <w:t xml:space="preserve"> in the fundamental sense.</w:t>
      </w:r>
      <w:r w:rsidR="00E10DD8">
        <w:t>”</w:t>
      </w:r>
      <w:r w:rsidR="00E7021F">
        <w:t xml:space="preserve">  (</w:t>
      </w:r>
      <w:r w:rsidRPr="00456E26" w:rsidR="00456E26">
        <w:rPr>
          <w:i/>
          <w:iCs/>
        </w:rPr>
        <w:t>Law Finance</w:t>
      </w:r>
      <w:r w:rsidRPr="00164557" w:rsidR="00456E26">
        <w:t>,</w:t>
      </w:r>
      <w:r w:rsidRPr="00456E26" w:rsidR="00456E26">
        <w:rPr>
          <w:i/>
          <w:iCs/>
        </w:rPr>
        <w:t xml:space="preserve"> </w:t>
      </w:r>
      <w:r w:rsidRPr="00456E26" w:rsidR="00456E26">
        <w:t xml:space="preserve">at </w:t>
      </w:r>
      <w:r w:rsidR="00E7021F">
        <w:t>p.</w:t>
      </w:r>
      <w:r w:rsidR="00F94A65">
        <w:t> </w:t>
      </w:r>
      <w:r w:rsidRPr="00456E26" w:rsidR="00456E26">
        <w:t>950</w:t>
      </w:r>
      <w:r w:rsidR="00E7021F">
        <w:t>.)</w:t>
      </w:r>
    </w:p>
    <w:p w:rsidR="00097614" w:rsidP="00305F8F" w14:paraId="607EBE16" w14:textId="66A07FC7">
      <w:pPr>
        <w:spacing w:after="0" w:line="288" w:lineRule="auto"/>
        <w:ind w:firstLine="720"/>
      </w:pPr>
      <w:r>
        <w:t xml:space="preserve">The </w:t>
      </w:r>
      <w:r w:rsidRPr="00647120" w:rsidR="00823B17">
        <w:rPr>
          <w:i/>
          <w:iCs/>
        </w:rPr>
        <w:t>Law Finance</w:t>
      </w:r>
      <w:r w:rsidR="00823B17">
        <w:t xml:space="preserve"> </w:t>
      </w:r>
      <w:r>
        <w:t xml:space="preserve">court concluded </w:t>
      </w:r>
      <w:r w:rsidR="00664F1C">
        <w:t>the deadline in Code of Civil Procedure section 1288.</w:t>
      </w:r>
      <w:r w:rsidR="009E05E7">
        <w:t xml:space="preserve">2 </w:t>
      </w:r>
      <w:r w:rsidRPr="0072640F" w:rsidR="0072640F">
        <w:t xml:space="preserve">for a party to file a request to vacate an arbitration award within 100 days of service of the final award </w:t>
      </w:r>
      <w:r w:rsidR="009F4E76">
        <w:t>in</w:t>
      </w:r>
      <w:r w:rsidRPr="0072640F" w:rsidR="0072640F">
        <w:t xml:space="preserve"> response to a petition to confirm an award </w:t>
      </w:r>
      <w:r w:rsidR="00845698">
        <w:t>did not affect the court’s fundamental jurisdiction because “</w:t>
      </w:r>
      <w:r w:rsidRPr="00845698" w:rsidR="00845698">
        <w:t>nothing in section 1288.2</w:t>
      </w:r>
      <w:r w:rsidR="00845698">
        <w:t>’</w:t>
      </w:r>
      <w:r w:rsidRPr="00845698" w:rsidR="00845698">
        <w:t>s instructions for the timing of responses requesting vacatur clearly indicates the Legislature</w:t>
      </w:r>
      <w:r w:rsidR="00B66CC2">
        <w:t>’</w:t>
      </w:r>
      <w:r w:rsidRPr="00845698" w:rsidR="00845698">
        <w:t>s intent to remove a class of cases from the court</w:t>
      </w:r>
      <w:r w:rsidR="005B453A">
        <w:t>’</w:t>
      </w:r>
      <w:r w:rsidRPr="00845698" w:rsidR="00845698">
        <w:t xml:space="preserve">s fundamental jurisdiction. </w:t>
      </w:r>
      <w:r w:rsidR="005B453A">
        <w:t xml:space="preserve"> </w:t>
      </w:r>
      <w:r w:rsidRPr="00845698" w:rsidR="00845698">
        <w:t>Section 1288.2 speaks only to obligations of the litigants and makes no reference at all to the power of the courts—in other words, the section reads as an ordinary statute of limitations.</w:t>
      </w:r>
      <w:r w:rsidR="005B453A">
        <w:t>”  (</w:t>
      </w:r>
      <w:r w:rsidRPr="0036365A" w:rsidR="0036365A">
        <w:rPr>
          <w:i/>
          <w:iCs/>
        </w:rPr>
        <w:t>Law Finance, supra</w:t>
      </w:r>
      <w:r w:rsidRPr="0036365A" w:rsidR="0036365A">
        <w:t xml:space="preserve">, 14 Cal.5th </w:t>
      </w:r>
      <w:r w:rsidR="005B453A">
        <w:t xml:space="preserve">at </w:t>
      </w:r>
      <w:r w:rsidRPr="00D12044" w:rsidR="00D12044">
        <w:t xml:space="preserve">pp. 946-947, </w:t>
      </w:r>
      <w:r w:rsidR="005B453A">
        <w:t>950.)</w:t>
      </w:r>
      <w:r w:rsidRPr="00845698" w:rsidR="00845698">
        <w:t xml:space="preserve"> </w:t>
      </w:r>
    </w:p>
    <w:p w:rsidR="004C04BA" w:rsidP="00305F8F" w14:paraId="794F4C32" w14:textId="2F9FA596">
      <w:pPr>
        <w:spacing w:after="0" w:line="288" w:lineRule="auto"/>
        <w:ind w:firstLine="720"/>
      </w:pPr>
      <w:r>
        <w:t xml:space="preserve">By contrast, </w:t>
      </w:r>
      <w:r w:rsidR="0035189E">
        <w:t>i</w:t>
      </w:r>
      <w:r>
        <w:t xml:space="preserve">n </w:t>
      </w:r>
      <w:r w:rsidRPr="003F6A42">
        <w:rPr>
          <w:i/>
          <w:iCs/>
        </w:rPr>
        <w:t>Kabran, supra</w:t>
      </w:r>
      <w:r>
        <w:t>,</w:t>
      </w:r>
      <w:r w:rsidRPr="00E91D7F" w:rsidR="00E91D7F">
        <w:t xml:space="preserve"> </w:t>
      </w:r>
      <w:r w:rsidRPr="005B453A">
        <w:t xml:space="preserve">2 Cal.5th </w:t>
      </w:r>
      <w:r>
        <w:t xml:space="preserve">at page </w:t>
      </w:r>
      <w:r w:rsidR="00135AA0">
        <w:t>342</w:t>
      </w:r>
      <w:r>
        <w:t xml:space="preserve">, </w:t>
      </w:r>
      <w:r w:rsidRPr="00CE6D38" w:rsidR="00CE6D38">
        <w:t xml:space="preserve">the Supreme Court </w:t>
      </w:r>
      <w:r w:rsidR="00B92BBD">
        <w:t xml:space="preserve">held </w:t>
      </w:r>
      <w:r w:rsidRPr="00CE6D38" w:rsidR="00CE6D38">
        <w:t xml:space="preserve">Code of Civil Procedure </w:t>
      </w:r>
      <w:r w:rsidRPr="00F94A65" w:rsidR="00CE6D38">
        <w:t>section</w:t>
      </w:r>
      <w:r w:rsidRPr="00F94A65" w:rsidR="004D18E3">
        <w:t>s 657, 659, and</w:t>
      </w:r>
      <w:r w:rsidRPr="00F94A65" w:rsidR="00C83879">
        <w:t xml:space="preserve"> former section </w:t>
      </w:r>
      <w:r w:rsidRPr="00F94A65" w:rsidR="004D18E3">
        <w:t>660</w:t>
      </w:r>
      <w:r w:rsidR="00E46B96">
        <w:t xml:space="preserve">, which govern when and how a party may </w:t>
      </w:r>
      <w:r w:rsidR="00145D78">
        <w:t>litigate a motion for new trial</w:t>
      </w:r>
      <w:r w:rsidR="009B55AD">
        <w:t xml:space="preserve">, </w:t>
      </w:r>
      <w:r w:rsidR="00315214">
        <w:t xml:space="preserve">affect </w:t>
      </w:r>
      <w:r w:rsidR="0038756C">
        <w:t xml:space="preserve">a trial </w:t>
      </w:r>
      <w:r w:rsidR="00315214">
        <w:t xml:space="preserve">court’s fundamental jurisdiction.  </w:t>
      </w:r>
      <w:r w:rsidR="00135AA0">
        <w:t>T</w:t>
      </w:r>
      <w:r w:rsidR="001E54F7">
        <w:t>he court explained</w:t>
      </w:r>
      <w:r w:rsidR="00994FB5">
        <w:t xml:space="preserve">, </w:t>
      </w:r>
      <w:r w:rsidR="00604648">
        <w:t>“</w:t>
      </w:r>
      <w:r w:rsidRPr="00604648" w:rsidR="00604648">
        <w:t>Not only is a party</w:t>
      </w:r>
      <w:r w:rsidR="00604648">
        <w:t>’</w:t>
      </w:r>
      <w:r w:rsidRPr="00604648" w:rsidR="00604648">
        <w:t xml:space="preserve">s attempt to file a notice of intent </w:t>
      </w:r>
      <w:r w:rsidR="00604648">
        <w:t xml:space="preserve">[to </w:t>
      </w:r>
      <w:r w:rsidR="005C0C30">
        <w:t>move for a</w:t>
      </w:r>
      <w:r w:rsidR="00604648">
        <w:t xml:space="preserve"> new </w:t>
      </w:r>
      <w:r w:rsidR="0033048D">
        <w:t>trial</w:t>
      </w:r>
      <w:r w:rsidR="00604648">
        <w:t xml:space="preserve">] </w:t>
      </w:r>
      <w:r w:rsidRPr="00604648" w:rsidR="00604648">
        <w:t>after the relevant deadline invalid, but the court has no power to issue a ruling on the basis of an untimely filed notice or on a ground not set forth in the statute.</w:t>
      </w:r>
      <w:r w:rsidR="00604648">
        <w:t>”  (</w:t>
      </w:r>
      <w:r w:rsidRPr="00647120" w:rsidR="00604648">
        <w:rPr>
          <w:i/>
          <w:iCs/>
        </w:rPr>
        <w:t>Kabran</w:t>
      </w:r>
      <w:r w:rsidR="00604648">
        <w:t>, at p. 342</w:t>
      </w:r>
      <w:r w:rsidR="00F978B4">
        <w:t>.)</w:t>
      </w:r>
      <w:r w:rsidR="0037103D">
        <w:t xml:space="preserve"> </w:t>
      </w:r>
      <w:r w:rsidR="000D7791">
        <w:t xml:space="preserve"> </w:t>
      </w:r>
      <w:r w:rsidRPr="00E8557B" w:rsidR="000D7791">
        <w:t xml:space="preserve">Nor does a trial court have jurisdiction to grant a motion for new trial after expiration of the statutory time for </w:t>
      </w:r>
      <w:r w:rsidR="00243F55">
        <w:t>deciding a motion for new trial</w:t>
      </w:r>
      <w:r w:rsidRPr="00E8557B" w:rsidR="000D7791">
        <w:t>.  (</w:t>
      </w:r>
      <w:r w:rsidRPr="00E8557B" w:rsidR="000D7791">
        <w:rPr>
          <w:i/>
          <w:iCs/>
        </w:rPr>
        <w:t>Id</w:t>
      </w:r>
      <w:r w:rsidRPr="00E8557B" w:rsidR="000D7791">
        <w:t>. at p.</w:t>
      </w:r>
      <w:r w:rsidR="008A11A7">
        <w:t> </w:t>
      </w:r>
      <w:r w:rsidRPr="00E8557B" w:rsidR="000D7791">
        <w:t>337;</w:t>
      </w:r>
      <w:r w:rsidR="000D7791">
        <w:t xml:space="preserve"> accord, </w:t>
      </w:r>
      <w:r w:rsidRPr="00C97CBB" w:rsidR="0014383C">
        <w:rPr>
          <w:i/>
          <w:iCs/>
        </w:rPr>
        <w:t>Siegal v. Superior Court</w:t>
      </w:r>
      <w:r w:rsidR="00827109">
        <w:rPr>
          <w:i/>
          <w:iCs/>
        </w:rPr>
        <w:t xml:space="preserve"> of Los Angeles County</w:t>
      </w:r>
      <w:r w:rsidRPr="00C97CBB" w:rsidR="0014383C">
        <w:rPr>
          <w:i/>
          <w:iCs/>
        </w:rPr>
        <w:t xml:space="preserve"> </w:t>
      </w:r>
      <w:r w:rsidRPr="00C97CBB" w:rsidR="0014383C">
        <w:t>(1968) 68 Cal.2d 97, 101</w:t>
      </w:r>
      <w:r w:rsidR="00305F8F">
        <w:t xml:space="preserve"> [</w:t>
      </w:r>
      <w:r w:rsidRPr="00C97CBB" w:rsidR="0014383C">
        <w:t xml:space="preserve">“[t]he time limits of </w:t>
      </w:r>
      <w:r w:rsidRPr="00F94A65" w:rsidR="0014383C">
        <w:t>section</w:t>
      </w:r>
      <w:r w:rsidR="00F94A65">
        <w:t> </w:t>
      </w:r>
      <w:r w:rsidRPr="00F94A65" w:rsidR="0014383C">
        <w:t>660</w:t>
      </w:r>
      <w:r w:rsidRPr="00C97CBB" w:rsidR="0014383C">
        <w:t xml:space="preserve"> are mandatory and jurisdictional”</w:t>
      </w:r>
      <w:r w:rsidR="00B776D8">
        <w:t>]</w:t>
      </w:r>
      <w:r w:rsidR="00145FF9">
        <w:t>.)</w:t>
      </w:r>
    </w:p>
    <w:p w:rsidR="003D03C6" w:rsidP="00243F55" w14:paraId="7C17E906" w14:textId="0DD2546A">
      <w:pPr>
        <w:spacing w:after="0" w:line="288" w:lineRule="auto"/>
        <w:ind w:firstLine="720"/>
      </w:pPr>
      <w:r>
        <w:t xml:space="preserve">The Supreme Court in </w:t>
      </w:r>
      <w:r w:rsidRPr="001B117D">
        <w:rPr>
          <w:i/>
          <w:iCs/>
        </w:rPr>
        <w:t xml:space="preserve">Kabran </w:t>
      </w:r>
      <w:r>
        <w:t xml:space="preserve">explained that </w:t>
      </w:r>
      <w:r w:rsidR="00616A8D">
        <w:t>indicia of legislative intent to make a deadline jurisdictional</w:t>
      </w:r>
      <w:r w:rsidR="00621EB0">
        <w:t xml:space="preserve">, </w:t>
      </w:r>
      <w:r w:rsidR="00E71250">
        <w:t xml:space="preserve">thereby </w:t>
      </w:r>
      <w:r w:rsidR="00621EB0">
        <w:t xml:space="preserve">overcoming the presumption </w:t>
      </w:r>
      <w:r w:rsidR="00BE025A">
        <w:t>deadlines</w:t>
      </w:r>
      <w:r w:rsidR="00113E81">
        <w:t xml:space="preserve"> generally are not</w:t>
      </w:r>
      <w:r w:rsidR="00621EB0">
        <w:t xml:space="preserve">, </w:t>
      </w:r>
      <w:r w:rsidR="00164557">
        <w:t xml:space="preserve">include </w:t>
      </w:r>
      <w:r w:rsidR="00621EB0">
        <w:t xml:space="preserve">where </w:t>
      </w:r>
      <w:r w:rsidRPr="00621EB0" w:rsidR="00621EB0">
        <w:t>“‘</w:t>
      </w:r>
      <w:r w:rsidR="002959BF">
        <w:t>“</w:t>
      </w:r>
      <w:r w:rsidRPr="00621EB0" w:rsidR="00621EB0">
        <w:t>a consequence or penalty is provided for failure to do the act within the time commanded.</w:t>
      </w:r>
      <w:r w:rsidR="002959BF">
        <w:t>”</w:t>
      </w:r>
      <w:r w:rsidRPr="00621EB0" w:rsidR="00621EB0">
        <w:t>’”</w:t>
      </w:r>
      <w:r w:rsidR="002959BF">
        <w:t xml:space="preserve">  (</w:t>
      </w:r>
      <w:r w:rsidRPr="001B117D" w:rsidR="002959BF">
        <w:rPr>
          <w:i/>
          <w:iCs/>
        </w:rPr>
        <w:t>Kabran, supra</w:t>
      </w:r>
      <w:r w:rsidR="002959BF">
        <w:t xml:space="preserve">, </w:t>
      </w:r>
      <w:r w:rsidRPr="00621EB0" w:rsidR="00621EB0">
        <w:t xml:space="preserve">2 Cal.5th </w:t>
      </w:r>
      <w:r w:rsidR="002959BF">
        <w:t>at p.</w:t>
      </w:r>
      <w:r w:rsidRPr="00621EB0" w:rsidR="00621EB0">
        <w:t xml:space="preserve"> 343</w:t>
      </w:r>
      <w:r w:rsidR="002959BF">
        <w:t xml:space="preserve">.)  </w:t>
      </w:r>
      <w:r w:rsidR="004D53D6">
        <w:t>C</w:t>
      </w:r>
      <w:r w:rsidRPr="00891E5A" w:rsidR="00891E5A">
        <w:t>ourts have</w:t>
      </w:r>
      <w:r w:rsidR="004D53D6">
        <w:t xml:space="preserve"> also </w:t>
      </w:r>
      <w:r w:rsidRPr="00891E5A" w:rsidR="00891E5A">
        <w:t>“looked to whether the consequences of holding a time limitation mandatory or jurisdictional ‘would defeat or promote the purpose of the enactment.’”  (</w:t>
      </w:r>
      <w:r w:rsidRPr="00891E5A" w:rsidR="00891E5A">
        <w:rPr>
          <w:i/>
          <w:iCs/>
        </w:rPr>
        <w:t>I</w:t>
      </w:r>
      <w:r w:rsidR="00D45924">
        <w:rPr>
          <w:i/>
          <w:iCs/>
        </w:rPr>
        <w:t>bi</w:t>
      </w:r>
      <w:r w:rsidRPr="00891E5A" w:rsidR="00891E5A">
        <w:rPr>
          <w:i/>
          <w:iCs/>
        </w:rPr>
        <w:t>d</w:t>
      </w:r>
      <w:r w:rsidRPr="00891E5A" w:rsidR="00891E5A">
        <w:t>.)</w:t>
      </w:r>
      <w:r w:rsidR="00243F55">
        <w:t xml:space="preserve">  </w:t>
      </w:r>
      <w:r w:rsidR="00C97FEB">
        <w:t xml:space="preserve">The court held </w:t>
      </w:r>
      <w:r w:rsidR="000E3C91">
        <w:t xml:space="preserve">Code of Civil Procedure </w:t>
      </w:r>
      <w:r w:rsidR="00434C76">
        <w:t>s</w:t>
      </w:r>
      <w:r w:rsidRPr="004C04BA">
        <w:t xml:space="preserve">ection 659 and </w:t>
      </w:r>
      <w:r w:rsidR="00C375C1">
        <w:t xml:space="preserve">former </w:t>
      </w:r>
      <w:r w:rsidR="00264DAE">
        <w:t>section</w:t>
      </w:r>
      <w:r w:rsidR="00FF5490">
        <w:t> </w:t>
      </w:r>
      <w:r w:rsidRPr="004C04BA">
        <w:t xml:space="preserve">660 </w:t>
      </w:r>
      <w:r w:rsidR="00264DAE">
        <w:t>“</w:t>
      </w:r>
      <w:r w:rsidRPr="004C04BA">
        <w:t>include such clear markers of legislative intent that their respective deadlines are jurisdictional.</w:t>
      </w:r>
      <w:r w:rsidR="005222A8">
        <w:t xml:space="preserve">”  </w:t>
      </w:r>
      <w:r w:rsidR="00333EDF">
        <w:t>(</w:t>
      </w:r>
      <w:r w:rsidRPr="00647120" w:rsidR="00333EDF">
        <w:rPr>
          <w:i/>
          <w:iCs/>
        </w:rPr>
        <w:t>Kabran</w:t>
      </w:r>
      <w:r w:rsidR="00333EDF">
        <w:t xml:space="preserve">, </w:t>
      </w:r>
      <w:r w:rsidRPr="00891E5A" w:rsidR="00891E5A">
        <w:rPr>
          <w:i/>
          <w:iCs/>
        </w:rPr>
        <w:t>supra</w:t>
      </w:r>
      <w:r w:rsidRPr="00891E5A" w:rsidR="00891E5A">
        <w:t>, 2</w:t>
      </w:r>
      <w:r w:rsidR="00392D2B">
        <w:t> </w:t>
      </w:r>
      <w:r w:rsidRPr="00891E5A" w:rsidR="00891E5A">
        <w:t xml:space="preserve">Cal.5th </w:t>
      </w:r>
      <w:r w:rsidR="00333EDF">
        <w:t>at p.</w:t>
      </w:r>
      <w:r w:rsidR="00264067">
        <w:t> </w:t>
      </w:r>
      <w:r w:rsidR="005E793A">
        <w:t>344</w:t>
      </w:r>
      <w:r w:rsidR="00333EDF">
        <w:t xml:space="preserve">.)  </w:t>
      </w:r>
      <w:r w:rsidR="00D10256">
        <w:t>Code of Civil Procedure f</w:t>
      </w:r>
      <w:r w:rsidR="00333EDF">
        <w:t>ormer section</w:t>
      </w:r>
      <w:r w:rsidR="005F2C00">
        <w:t> </w:t>
      </w:r>
      <w:r w:rsidR="00333EDF">
        <w:t xml:space="preserve">660 </w:t>
      </w:r>
      <w:r w:rsidRPr="004C04BA">
        <w:t>expressly</w:t>
      </w:r>
      <w:r w:rsidR="00333EDF">
        <w:t xml:space="preserve"> </w:t>
      </w:r>
      <w:r w:rsidR="00563D3F">
        <w:t>stated</w:t>
      </w:r>
      <w:r w:rsidRPr="004C04BA" w:rsidR="00563D3F">
        <w:t xml:space="preserve"> </w:t>
      </w:r>
      <w:r w:rsidRPr="004C04BA">
        <w:t>“</w:t>
      </w:r>
      <w:r w:rsidR="002F0B23">
        <w:t>‘</w:t>
      </w:r>
      <w:r w:rsidR="00333EDF">
        <w:t>t</w:t>
      </w:r>
      <w:r w:rsidRPr="004C04BA">
        <w:t>he power of the court to rule on a motion for a new trial shall expire 60</w:t>
      </w:r>
      <w:r w:rsidR="00071748">
        <w:t> </w:t>
      </w:r>
      <w:r w:rsidRPr="004C04BA">
        <w:t>days from</w:t>
      </w:r>
      <w:r w:rsidR="00DA388C">
        <w:t>”</w:t>
      </w:r>
      <w:r w:rsidR="002F0B23">
        <w:t>’</w:t>
      </w:r>
      <w:r w:rsidRPr="004C04BA">
        <w:t xml:space="preserve"> the filing of the notice of intent or service of notice of entry of judgment</w:t>
      </w:r>
      <w:r w:rsidR="00333EDF">
        <w:t xml:space="preserve">, and further, </w:t>
      </w:r>
      <w:r w:rsidR="00434C76">
        <w:t>“</w:t>
      </w:r>
      <w:r w:rsidR="002F0B23">
        <w:t>‘</w:t>
      </w:r>
      <w:r w:rsidR="00333EDF">
        <w:t>[i]</w:t>
      </w:r>
      <w:r w:rsidRPr="004C04BA">
        <w:t>f such motion is not determined within said period of 60</w:t>
      </w:r>
      <w:r w:rsidR="00264067">
        <w:t> </w:t>
      </w:r>
      <w:r w:rsidRPr="004C04BA">
        <w:t>days,</w:t>
      </w:r>
      <w:r w:rsidR="002F0B23">
        <w:t> . . . </w:t>
      </w:r>
      <w:r w:rsidRPr="004C04BA">
        <w:t>the effect shall be a denial of the motion without further order of the court.</w:t>
      </w:r>
      <w:r w:rsidR="002F0B23">
        <w:t>’</w:t>
      </w:r>
      <w:r w:rsidRPr="004C04BA">
        <w:t>”</w:t>
      </w:r>
      <w:r>
        <w:rPr>
          <w:rStyle w:val="FootnoteReference"/>
        </w:rPr>
        <w:footnoteReference w:id="10"/>
      </w:r>
      <w:r w:rsidR="002F0B23">
        <w:t xml:space="preserve">  (</w:t>
      </w:r>
      <w:r w:rsidRPr="001B117D" w:rsidR="002F0B23">
        <w:rPr>
          <w:i/>
          <w:iCs/>
        </w:rPr>
        <w:t>Kabran</w:t>
      </w:r>
      <w:r w:rsidR="002F0B23">
        <w:t>, at p.</w:t>
      </w:r>
      <w:r w:rsidR="00B10580">
        <w:t> </w:t>
      </w:r>
      <w:r w:rsidR="002F0B23">
        <w:t>344.)</w:t>
      </w:r>
      <w:r w:rsidR="00092B2E">
        <w:t xml:space="preserve">  </w:t>
      </w:r>
      <w:r w:rsidR="004D53D6">
        <w:t>By contrast,</w:t>
      </w:r>
      <w:r w:rsidR="00092B2E">
        <w:t xml:space="preserve"> Code of Civil Procedure section 659</w:t>
      </w:r>
      <w:r w:rsidR="00D36B2F">
        <w:t>a</w:t>
      </w:r>
      <w:r w:rsidR="00092B2E">
        <w:t>, which</w:t>
      </w:r>
      <w:r w:rsidR="00AE641D">
        <w:t xml:space="preserve"> provides that either party “shall serve” and file any brief, affidavits, and supporting documents</w:t>
      </w:r>
      <w:r w:rsidR="00331377">
        <w:t xml:space="preserve"> within 10</w:t>
      </w:r>
      <w:r w:rsidR="00B10580">
        <w:t> </w:t>
      </w:r>
      <w:r w:rsidR="00331377">
        <w:t>days of filing the party’s intent to move for a new trial</w:t>
      </w:r>
      <w:r w:rsidR="00872D62">
        <w:t>,</w:t>
      </w:r>
      <w:r w:rsidR="00D36B2F">
        <w:t xml:space="preserve"> </w:t>
      </w:r>
      <w:r w:rsidR="002B547B">
        <w:t xml:space="preserve">is </w:t>
      </w:r>
      <w:r w:rsidR="00CE654E">
        <w:t>not</w:t>
      </w:r>
      <w:r w:rsidR="00CF503B">
        <w:t xml:space="preserve"> jurisdictional</w:t>
      </w:r>
      <w:r w:rsidR="004E6B41">
        <w:t xml:space="preserve"> </w:t>
      </w:r>
      <w:r w:rsidR="001D65B3">
        <w:t>because</w:t>
      </w:r>
      <w:r w:rsidR="00CF503B">
        <w:t xml:space="preserve"> there </w:t>
      </w:r>
      <w:r w:rsidR="009F34E2">
        <w:t>is</w:t>
      </w:r>
      <w:r w:rsidR="00CF503B">
        <w:t xml:space="preserve"> no “‘“consequence or penalty”’” in the section for noncompliance with t</w:t>
      </w:r>
      <w:r w:rsidR="00F47296">
        <w:t>h</w:t>
      </w:r>
      <w:r w:rsidR="00CF503B">
        <w:t>e filing deadli</w:t>
      </w:r>
      <w:r w:rsidR="00F47296">
        <w:t>n</w:t>
      </w:r>
      <w:r w:rsidR="00CF503B">
        <w:t>e</w:t>
      </w:r>
      <w:r w:rsidR="00B6606C">
        <w:t>, and</w:t>
      </w:r>
      <w:r w:rsidR="00CF503B">
        <w:t xml:space="preserve"> </w:t>
      </w:r>
      <w:r w:rsidR="00A85EF3">
        <w:t>“</w:t>
      </w:r>
      <w:r w:rsidRPr="00A85EF3" w:rsidR="00A85EF3">
        <w:t>nothing that suggests a legislative intent to deprive courts of jurisdiction to consider affidavits filed outside of the specified time limits</w:t>
      </w:r>
      <w:r w:rsidR="00F7485F">
        <w:t>.</w:t>
      </w:r>
      <w:r w:rsidR="00A85EF3">
        <w:t xml:space="preserve">” </w:t>
      </w:r>
      <w:r w:rsidR="001112FC">
        <w:t xml:space="preserve"> </w:t>
      </w:r>
      <w:r w:rsidR="00A85EF3">
        <w:t>(</w:t>
      </w:r>
      <w:r w:rsidRPr="00647120" w:rsidR="00F7485F">
        <w:rPr>
          <w:i/>
          <w:iCs/>
        </w:rPr>
        <w:t>Kabran</w:t>
      </w:r>
      <w:r w:rsidR="00F7485F">
        <w:t xml:space="preserve">, </w:t>
      </w:r>
      <w:r w:rsidR="00A85EF3">
        <w:t>at p</w:t>
      </w:r>
      <w:r w:rsidR="00872D62">
        <w:t>p</w:t>
      </w:r>
      <w:r w:rsidR="00A85EF3">
        <w:t>. 34</w:t>
      </w:r>
      <w:r w:rsidR="00872D62">
        <w:t>4-34</w:t>
      </w:r>
      <w:r w:rsidR="00A85EF3">
        <w:t>5</w:t>
      </w:r>
      <w:r w:rsidR="00F94A65">
        <w:t>.</w:t>
      </w:r>
      <w:r w:rsidR="00A85EF3">
        <w:t>)</w:t>
      </w:r>
      <w:r w:rsidR="00C74CD5">
        <w:t xml:space="preserve">  </w:t>
      </w:r>
    </w:p>
    <w:p w:rsidR="00BF0A29" w:rsidRPr="00B13CF8" w:rsidP="00C1400B" w14:paraId="72441AD9" w14:textId="5610424B">
      <w:pPr>
        <w:spacing w:after="0" w:line="288" w:lineRule="auto"/>
        <w:ind w:firstLine="720"/>
        <w:rPr>
          <w:highlight w:val="yellow"/>
        </w:rPr>
      </w:pPr>
      <w:r w:rsidRPr="00967FBD">
        <w:t xml:space="preserve">The language in </w:t>
      </w:r>
      <w:r w:rsidRPr="00967FBD" w:rsidR="00FC1A03">
        <w:t xml:space="preserve">Labor Code </w:t>
      </w:r>
      <w:r w:rsidRPr="00967FBD">
        <w:t xml:space="preserve">section 5909 </w:t>
      </w:r>
      <w:r w:rsidRPr="00967FBD" w:rsidR="00557CE4">
        <w:t>is similar to</w:t>
      </w:r>
      <w:r w:rsidRPr="00967FBD" w:rsidR="006037AA">
        <w:t xml:space="preserve"> </w:t>
      </w:r>
      <w:r w:rsidRPr="00967FBD" w:rsidR="00FB5E70">
        <w:t xml:space="preserve">Code of Civil Procedure </w:t>
      </w:r>
      <w:r w:rsidRPr="00967FBD">
        <w:t xml:space="preserve">former </w:t>
      </w:r>
      <w:r w:rsidRPr="00967FBD" w:rsidR="006037AA">
        <w:t>section</w:t>
      </w:r>
      <w:r w:rsidRPr="00967FBD" w:rsidR="00FB5E70">
        <w:t> </w:t>
      </w:r>
      <w:r w:rsidRPr="00967FBD" w:rsidR="006037AA">
        <w:t>660</w:t>
      </w:r>
      <w:r w:rsidRPr="00967FBD" w:rsidR="004B0CD1">
        <w:t xml:space="preserve"> (</w:t>
      </w:r>
      <w:r w:rsidRPr="00967FBD" w:rsidR="00557CE4">
        <w:t xml:space="preserve">and </w:t>
      </w:r>
      <w:r w:rsidRPr="00967FBD" w:rsidR="004B0CD1">
        <w:t xml:space="preserve">stands </w:t>
      </w:r>
      <w:r w:rsidRPr="00967FBD" w:rsidR="00557CE4">
        <w:t xml:space="preserve">in contrast to Code of Civil Procedure </w:t>
      </w:r>
      <w:r w:rsidRPr="00967FBD" w:rsidR="00103AC5">
        <w:t xml:space="preserve">section </w:t>
      </w:r>
      <w:r w:rsidRPr="00967FBD" w:rsidR="00557CE4">
        <w:t>659a</w:t>
      </w:r>
      <w:r w:rsidRPr="00967FBD" w:rsidR="004B0CD1">
        <w:t>)</w:t>
      </w:r>
      <w:r w:rsidRPr="00967FBD" w:rsidR="0093160C">
        <w:t xml:space="preserve"> </w:t>
      </w:r>
      <w:r w:rsidRPr="00967FBD" w:rsidR="00FC1A03">
        <w:t>in including the deemed</w:t>
      </w:r>
      <w:r w:rsidRPr="00967FBD" w:rsidR="005B30D0">
        <w:t>-</w:t>
      </w:r>
      <w:r w:rsidRPr="00967FBD" w:rsidR="00FC1A03">
        <w:t>denied language</w:t>
      </w:r>
      <w:r w:rsidRPr="00967FBD" w:rsidR="00D614AF">
        <w:t xml:space="preserve"> as a “‘“consequence . . . for failure to do the act within the time commanded.”’”  (</w:t>
      </w:r>
      <w:r w:rsidRPr="00967FBD" w:rsidR="00D614AF">
        <w:rPr>
          <w:i/>
          <w:iCs/>
        </w:rPr>
        <w:t>Kabran, supra</w:t>
      </w:r>
      <w:r w:rsidRPr="00967FBD" w:rsidR="00D614AF">
        <w:t>, 2 Cal.5th at p.</w:t>
      </w:r>
      <w:r w:rsidR="00967FBD">
        <w:t> </w:t>
      </w:r>
      <w:r w:rsidRPr="00967FBD" w:rsidR="00D614AF">
        <w:t>343.)</w:t>
      </w:r>
      <w:r w:rsidRPr="00967FBD" w:rsidR="0093160C">
        <w:t xml:space="preserve">  </w:t>
      </w:r>
      <w:r w:rsidRPr="00967FBD" w:rsidR="00D614AF">
        <w:t xml:space="preserve">However, </w:t>
      </w:r>
      <w:r w:rsidRPr="00967FBD" w:rsidR="00622ED3">
        <w:t xml:space="preserve">unlike </w:t>
      </w:r>
      <w:r w:rsidRPr="00967FBD" w:rsidR="00D614AF">
        <w:t xml:space="preserve">former </w:t>
      </w:r>
      <w:r w:rsidRPr="00967FBD" w:rsidR="00622ED3">
        <w:t xml:space="preserve">section 660, </w:t>
      </w:r>
      <w:r w:rsidRPr="00967FBD" w:rsidR="003D1001">
        <w:t xml:space="preserve">Labor Code </w:t>
      </w:r>
      <w:r w:rsidRPr="00967FBD" w:rsidR="00FC75B8">
        <w:t>section</w:t>
      </w:r>
      <w:r w:rsidR="00967FBD">
        <w:t> </w:t>
      </w:r>
      <w:r w:rsidRPr="00967FBD" w:rsidR="00FC75B8">
        <w:t xml:space="preserve">5909 does not </w:t>
      </w:r>
      <w:r w:rsidRPr="00967FBD" w:rsidR="00C1400B">
        <w:t xml:space="preserve">contain language </w:t>
      </w:r>
      <w:r w:rsidRPr="00967FBD" w:rsidR="00D614AF">
        <w:t>making explicit</w:t>
      </w:r>
      <w:r w:rsidRPr="00967FBD" w:rsidR="004A39B3">
        <w:t xml:space="preserve"> </w:t>
      </w:r>
      <w:r w:rsidRPr="00967FBD" w:rsidR="00D02D81">
        <w:t>that</w:t>
      </w:r>
      <w:r w:rsidRPr="00967FBD" w:rsidR="006037AA">
        <w:t xml:space="preserve"> “the power of the court to rule on a motion for a new trial shall expire” </w:t>
      </w:r>
      <w:r w:rsidRPr="00967FBD" w:rsidR="00C11DF5">
        <w:t>beyond a set deadline</w:t>
      </w:r>
      <w:r w:rsidRPr="00967FBD" w:rsidR="003A3E37">
        <w:t xml:space="preserve">.  </w:t>
      </w:r>
      <w:r w:rsidRPr="00967FBD" w:rsidR="00D614AF">
        <w:t>Nonetheless</w:t>
      </w:r>
      <w:r w:rsidRPr="00967FBD" w:rsidR="003A3E37">
        <w:t xml:space="preserve">, </w:t>
      </w:r>
      <w:r w:rsidRPr="00967FBD" w:rsidR="006037AA">
        <w:t xml:space="preserve">the Supreme Court has held that </w:t>
      </w:r>
      <w:r w:rsidRPr="00967FBD" w:rsidR="00001D5E">
        <w:t>statutory provisions</w:t>
      </w:r>
      <w:r w:rsidRPr="00967FBD" w:rsidR="006037AA">
        <w:t xml:space="preserve"> </w:t>
      </w:r>
      <w:r w:rsidRPr="00967FBD" w:rsidR="00465EA1">
        <w:t>stating</w:t>
      </w:r>
      <w:r w:rsidRPr="00967FBD" w:rsidR="00851423">
        <w:t xml:space="preserve"> that petitions</w:t>
      </w:r>
      <w:r w:rsidRPr="00967FBD" w:rsidR="002F28A8">
        <w:t xml:space="preserve"> or other requests </w:t>
      </w:r>
      <w:r w:rsidRPr="00967FBD" w:rsidR="006E233E">
        <w:t xml:space="preserve">to an agency </w:t>
      </w:r>
      <w:r w:rsidRPr="00967FBD" w:rsidR="006037AA">
        <w:t xml:space="preserve">are deemed denied by </w:t>
      </w:r>
      <w:r w:rsidRPr="00967FBD" w:rsidR="00001D5E">
        <w:t xml:space="preserve">a </w:t>
      </w:r>
      <w:r w:rsidRPr="00967FBD" w:rsidR="006037AA">
        <w:t>sp</w:t>
      </w:r>
      <w:r w:rsidRPr="00967FBD" w:rsidR="00465EA1">
        <w:t>ecified</w:t>
      </w:r>
      <w:r w:rsidRPr="00967FBD" w:rsidR="006037AA">
        <w:t xml:space="preserve"> date</w:t>
      </w:r>
      <w:r w:rsidRPr="00967FBD" w:rsidR="00001D5E">
        <w:t xml:space="preserve"> limit</w:t>
      </w:r>
      <w:r w:rsidRPr="00967FBD" w:rsidR="00B35CA9">
        <w:t xml:space="preserve"> </w:t>
      </w:r>
      <w:r w:rsidRPr="00967FBD" w:rsidR="004A39B3">
        <w:t>an</w:t>
      </w:r>
      <w:r w:rsidRPr="00967FBD" w:rsidR="00602EE6">
        <w:t xml:space="preserve"> agency’s </w:t>
      </w:r>
      <w:r w:rsidRPr="00967FBD" w:rsidR="00B35CA9">
        <w:t>jurisdiction</w:t>
      </w:r>
      <w:r w:rsidRPr="00967FBD" w:rsidR="00001D5E">
        <w:t xml:space="preserve">, and </w:t>
      </w:r>
      <w:r w:rsidRPr="00967FBD" w:rsidR="007166F1">
        <w:t>decision</w:t>
      </w:r>
      <w:r w:rsidRPr="00967FBD" w:rsidR="00001D5E">
        <w:t>s</w:t>
      </w:r>
      <w:r w:rsidRPr="00967FBD" w:rsidR="007166F1">
        <w:t xml:space="preserve"> </w:t>
      </w:r>
      <w:r w:rsidRPr="00967FBD" w:rsidR="00B35CA9">
        <w:t>made after the deadline</w:t>
      </w:r>
      <w:r w:rsidRPr="00967FBD" w:rsidR="004A39B3">
        <w:t>s</w:t>
      </w:r>
      <w:r w:rsidRPr="00967FBD" w:rsidR="00B35CA9">
        <w:t xml:space="preserve"> </w:t>
      </w:r>
      <w:r w:rsidRPr="00967FBD" w:rsidR="00001D5E">
        <w:t xml:space="preserve">are </w:t>
      </w:r>
      <w:r w:rsidRPr="00967FBD" w:rsidR="007166F1">
        <w:t xml:space="preserve">void </w:t>
      </w:r>
      <w:r w:rsidRPr="00967FBD" w:rsidR="00001D5E">
        <w:t xml:space="preserve">as in excess of </w:t>
      </w:r>
      <w:r w:rsidRPr="00967FBD" w:rsidR="006037AA">
        <w:t>jurisdiction</w:t>
      </w:r>
      <w:r w:rsidRPr="00967FBD" w:rsidR="00001D5E">
        <w:t>.</w:t>
      </w:r>
      <w:r w:rsidRPr="00967FBD" w:rsidR="00805515">
        <w:t xml:space="preserve">  </w:t>
      </w:r>
      <w:r w:rsidRPr="00967FBD" w:rsidR="000B7368">
        <w:t>For example</w:t>
      </w:r>
      <w:r w:rsidRPr="00967FBD">
        <w:t xml:space="preserve">, in </w:t>
      </w:r>
      <w:r w:rsidRPr="00967FBD">
        <w:rPr>
          <w:i/>
          <w:iCs/>
        </w:rPr>
        <w:t>Bonnell v. Medical Board</w:t>
      </w:r>
      <w:r w:rsidRPr="00967FBD">
        <w:t xml:space="preserve"> (2003) 31 Cal.4th 1255, 1259</w:t>
      </w:r>
      <w:r w:rsidRPr="00BF0A29">
        <w:t xml:space="preserve"> the Supreme Court considered Government Code section 11521, subdivision (a), which authorizes a state agency to order reconsideration of its own administrative adjudication within 30 days, with up to a 10-day stay of the deadline if necessary for the agency to evaluate a petition for reconsideration.  Government Code section 11521, subdivision (a), provides further, similar to Labor Code section 5909, that “[i]f no action is taken on a petition within the time allowed for ordering reconsideration, the petition shall be deemed denied.”  The Supreme Court held “section 11521(a) is unambiguous and allows a maximum 10-day stay for agency review of an already filed petition for reconsideration.  As a result, the Board’s decision to order a reconsideration [after the expiration of the 10-day stay] </w:t>
      </w:r>
      <w:r w:rsidRPr="00602EE6">
        <w:rPr>
          <w:i/>
          <w:iCs/>
        </w:rPr>
        <w:t>is void for lack of jurisdiction</w:t>
      </w:r>
      <w:r w:rsidRPr="00BF0A29">
        <w:t xml:space="preserve">.”  </w:t>
      </w:r>
      <w:r w:rsidRPr="00207A7C">
        <w:t>(</w:t>
      </w:r>
      <w:r w:rsidRPr="00207A7C">
        <w:rPr>
          <w:i/>
          <w:iCs/>
        </w:rPr>
        <w:t>Bonnell</w:t>
      </w:r>
      <w:r w:rsidRPr="00207A7C">
        <w:t>, at p. 1265</w:t>
      </w:r>
      <w:r w:rsidRPr="00602EE6">
        <w:t xml:space="preserve">, italics added.)  In reaching its conclusion, the court relied on its prior holding in </w:t>
      </w:r>
      <w:r w:rsidRPr="00602EE6">
        <w:rPr>
          <w:i/>
          <w:iCs/>
        </w:rPr>
        <w:t>American Federation of Labor v. Unemployment Ins. Appeals Bd.</w:t>
      </w:r>
      <w:r w:rsidRPr="00602EE6">
        <w:t xml:space="preserve"> (1996) 13 Cal.4th 1017, 1042 </w:t>
      </w:r>
      <w:r w:rsidRPr="00602EE6" w:rsidR="00E27854">
        <w:t>that</w:t>
      </w:r>
      <w:r w:rsidRPr="00602EE6">
        <w:t xml:space="preserve"> “</w:t>
      </w:r>
      <w:r w:rsidRPr="00602EE6" w:rsidR="00E27854">
        <w:t>[a]</w:t>
      </w:r>
      <w:r w:rsidRPr="00602EE6">
        <w:t>n administrative agency must act within the powers conferred upon it by law and may not act in excess of those powers.  [Citation.]  Actions exceeding those powers are void, and administrative mandate will lie to nullify the void acts.”</w:t>
      </w:r>
    </w:p>
    <w:p w:rsidR="00ED37DC" w:rsidRPr="008C4DA0" w:rsidP="00ED37DC" w14:paraId="5134017E" w14:textId="5B7D3FBD">
      <w:pPr>
        <w:spacing w:after="0" w:line="288" w:lineRule="auto"/>
        <w:ind w:firstLine="720"/>
      </w:pPr>
      <w:r>
        <w:t>Further, a</w:t>
      </w:r>
      <w:r w:rsidRPr="00602EE6" w:rsidR="00B02377">
        <w:t xml:space="preserve">s the Supreme Court explained in </w:t>
      </w:r>
      <w:r w:rsidRPr="00602EE6" w:rsidR="00A31500">
        <w:rPr>
          <w:i/>
          <w:iCs/>
        </w:rPr>
        <w:t>People v. Chavez</w:t>
      </w:r>
      <w:r w:rsidRPr="00602EE6" w:rsidR="00A31500">
        <w:t xml:space="preserve"> (2018) 4 Cal.5th 771, 780, </w:t>
      </w:r>
      <w:r w:rsidRPr="00602EE6">
        <w:t xml:space="preserve">footnote omitted, </w:t>
      </w:r>
      <w:r w:rsidRPr="00602EE6" w:rsidR="00A31500">
        <w:t>“Even when there’s no question that a court</w:t>
      </w:r>
      <w:r w:rsidRPr="00602EE6" w:rsidR="00FF59A3">
        <w:t>’</w:t>
      </w:r>
      <w:r w:rsidRPr="00602EE6" w:rsidR="00A31500">
        <w:t xml:space="preserve">s action is well within the scope of its fundamental jurisdiction, the court may still exceed constraints placed on it by statutes, the </w:t>
      </w:r>
      <w:r w:rsidR="00207A7C">
        <w:t>C</w:t>
      </w:r>
      <w:r w:rsidRPr="00001D5E" w:rsidR="00207A7C">
        <w:t>onstitution</w:t>
      </w:r>
      <w:r w:rsidRPr="00602EE6" w:rsidR="00A31500">
        <w:t xml:space="preserve">, or common </w:t>
      </w:r>
      <w:r w:rsidRPr="00602EE6" w:rsidR="00836E14">
        <w:t xml:space="preserve">law.  [Citation.]  </w:t>
      </w:r>
      <w:r w:rsidRPr="00602EE6" w:rsidR="00A31500">
        <w:t>When a trial court fails to act within the manner prescribed by such sources of law, it is said to have taken an ordinary act in excess of jurisdiction</w:t>
      </w:r>
      <w:r w:rsidRPr="00602EE6" w:rsidR="005F13AE">
        <w:t xml:space="preserve">.  [Citation.]  </w:t>
      </w:r>
      <w:r w:rsidRPr="00602EE6" w:rsidR="00A31500">
        <w:t xml:space="preserve">Such </w:t>
      </w:r>
      <w:r w:rsidRPr="00602EE6" w:rsidR="005F13AE">
        <w:t>‘</w:t>
      </w:r>
      <w:r w:rsidRPr="00602EE6" w:rsidR="00A31500">
        <w:t>ordinary</w:t>
      </w:r>
      <w:r w:rsidRPr="00602EE6" w:rsidR="005F13AE">
        <w:t>’</w:t>
      </w:r>
      <w:r w:rsidRPr="00602EE6" w:rsidR="00A31500">
        <w:t xml:space="preserve"> jurisdiction, unlike fundamental jurisdiction, can be conferred by the parties</w:t>
      </w:r>
      <w:r w:rsidRPr="00602EE6" w:rsidR="005F13AE">
        <w:t>’</w:t>
      </w:r>
      <w:r w:rsidRPr="00602EE6" w:rsidR="00A31500">
        <w:t xml:space="preserve"> decisions—such as a decision not to object to any perceived deficiency—and so is subject to defenses like estoppel, waiver, and consent.</w:t>
      </w:r>
      <w:r w:rsidRPr="00602EE6" w:rsidR="002F3DA2">
        <w:t xml:space="preserve">”  The </w:t>
      </w:r>
      <w:r w:rsidRPr="00602EE6" w:rsidR="002F3DA2">
        <w:rPr>
          <w:i/>
          <w:iCs/>
        </w:rPr>
        <w:t>Chavez</w:t>
      </w:r>
      <w:r w:rsidRPr="00602EE6" w:rsidR="002F3DA2">
        <w:t xml:space="preserve"> court </w:t>
      </w:r>
      <w:r w:rsidRPr="00602EE6" w:rsidR="00814A0A">
        <w:t xml:space="preserve">considered whether </w:t>
      </w:r>
      <w:r w:rsidRPr="00602EE6" w:rsidR="00FB7D14">
        <w:t>the</w:t>
      </w:r>
      <w:r w:rsidRPr="00602EE6" w:rsidR="00814A0A">
        <w:t xml:space="preserve"> trial court ha</w:t>
      </w:r>
      <w:r w:rsidRPr="00602EE6" w:rsidR="00FB7D14">
        <w:t>d</w:t>
      </w:r>
      <w:r w:rsidRPr="00602EE6" w:rsidR="00652846">
        <w:t xml:space="preserve"> authority under Penal </w:t>
      </w:r>
      <w:r w:rsidRPr="00C43DAB" w:rsidR="00652846">
        <w:t xml:space="preserve">Code section 1385 to dismiss an action </w:t>
      </w:r>
      <w:r w:rsidRPr="00C43DAB" w:rsidR="00E24AC6">
        <w:t xml:space="preserve">in furtherance of justice </w:t>
      </w:r>
      <w:r w:rsidRPr="00C43DAB" w:rsidR="00652846">
        <w:t xml:space="preserve">after a defendant </w:t>
      </w:r>
      <w:r w:rsidRPr="00C43DAB" w:rsidR="00E24AC6">
        <w:t>ha</w:t>
      </w:r>
      <w:r w:rsidRPr="00C43DAB" w:rsidR="00A262C3">
        <w:t>d</w:t>
      </w:r>
      <w:r w:rsidRPr="00C43DAB" w:rsidR="00E24AC6">
        <w:t xml:space="preserve"> </w:t>
      </w:r>
      <w:r w:rsidRPr="00C43DAB" w:rsidR="00652846">
        <w:t xml:space="preserve">completed probation, concluding </w:t>
      </w:r>
      <w:r w:rsidRPr="00C43DAB" w:rsidR="008C4DA0">
        <w:t>that “[d]espite having fundamental jurisdiction, the court acts in excess</w:t>
      </w:r>
      <w:r w:rsidRPr="00602EE6" w:rsidR="008C4DA0">
        <w:t xml:space="preserve"> of its jurisdiction, as conferred by section</w:t>
      </w:r>
      <w:r w:rsidR="00207A7C">
        <w:t> </w:t>
      </w:r>
      <w:r w:rsidRPr="00602EE6" w:rsidR="008C4DA0">
        <w:t>1385, if it dismisses an action under that section that is no longer pending.</w:t>
      </w:r>
      <w:r w:rsidRPr="00602EE6">
        <w:t>”  (</w:t>
      </w:r>
      <w:r w:rsidRPr="00602EE6">
        <w:rPr>
          <w:i/>
          <w:iCs/>
        </w:rPr>
        <w:t>Chavez</w:t>
      </w:r>
      <w:r w:rsidRPr="00602EE6">
        <w:t>, at p. 787.)</w:t>
      </w:r>
    </w:p>
    <w:p w:rsidR="0041034E" w:rsidP="00805515" w14:paraId="783264AC" w14:textId="2CE988EB">
      <w:pPr>
        <w:spacing w:after="0" w:line="288" w:lineRule="auto"/>
        <w:ind w:firstLine="720"/>
      </w:pPr>
      <w:r>
        <w:t>The Supreme Court’s decision in</w:t>
      </w:r>
      <w:r w:rsidRPr="00FD2BEB">
        <w:t> </w:t>
      </w:r>
      <w:r w:rsidRPr="00FD2BEB">
        <w:rPr>
          <w:i/>
          <w:iCs/>
        </w:rPr>
        <w:t>J.M. v. Huntington Beach Union High School Dist.</w:t>
      </w:r>
      <w:r w:rsidRPr="00FD2BEB">
        <w:t xml:space="preserve"> (2017) 2 Cal.5th 648, 652</w:t>
      </w:r>
      <w:r w:rsidR="00207A7C">
        <w:t xml:space="preserve"> (</w:t>
      </w:r>
      <w:r w:rsidRPr="00001D5E" w:rsidR="00207A7C">
        <w:rPr>
          <w:i/>
          <w:iCs/>
        </w:rPr>
        <w:t>J.M.</w:t>
      </w:r>
      <w:r w:rsidR="00207A7C">
        <w:t>)</w:t>
      </w:r>
      <w:r>
        <w:t xml:space="preserve">, addressing the deadline in the Government Claims Act </w:t>
      </w:r>
      <w:r w:rsidRPr="00AE021F">
        <w:t>(Gov. Code, § 810 et seq.)</w:t>
      </w:r>
      <w:r>
        <w:t xml:space="preserve"> for an injured party to file an application under Government Code section 911.4 for relief from the deadline for filing a claim against a public entity, is on point.  Government Code section 911.6, subdivision (c), provides that “[i]</w:t>
      </w:r>
      <w:r w:rsidRPr="00C173C9">
        <w:t xml:space="preserve">f the board </w:t>
      </w:r>
      <w:r>
        <w:t xml:space="preserve">[of the public entity] </w:t>
      </w:r>
      <w:r w:rsidRPr="00C173C9">
        <w:t>fails or refuses to act on an application within the time prescribed by this section, the application shall be deemed to have been denied on the 45th day</w:t>
      </w:r>
      <w:r w:rsidR="008663FF">
        <w:t xml:space="preserve"> </w:t>
      </w:r>
      <w:r>
        <w:t>. . . .”  (</w:t>
      </w:r>
      <w:r w:rsidRPr="00ED6723">
        <w:rPr>
          <w:i/>
          <w:iCs/>
        </w:rPr>
        <w:t>Id</w:t>
      </w:r>
      <w:r>
        <w:t xml:space="preserve">., § 911.6, subd. (c).)  The Supreme Court held that where the public entity failed to act on </w:t>
      </w:r>
      <w:r w:rsidR="00391329">
        <w:t>a</w:t>
      </w:r>
      <w:r>
        <w:t xml:space="preserve"> minor claimant’s claim within 45</w:t>
      </w:r>
      <w:r w:rsidR="008663FF">
        <w:t> </w:t>
      </w:r>
      <w:r>
        <w:t>days, “</w:t>
      </w:r>
      <w:r w:rsidRPr="009C5E1C">
        <w:t xml:space="preserve">by operation of law, </w:t>
      </w:r>
      <w:r>
        <w:t>[the minor’s]</w:t>
      </w:r>
      <w:r w:rsidRPr="009C5E1C">
        <w:t xml:space="preserve"> application was deemed denied on December 8, 2012</w:t>
      </w:r>
      <w:r>
        <w:t>” (</w:t>
      </w:r>
      <w:r w:rsidRPr="002077D2">
        <w:t>the 45th day</w:t>
      </w:r>
      <w:r>
        <w:t xml:space="preserve"> after the claim was presented).  The court explained, “A </w:t>
      </w:r>
      <w:r w:rsidRPr="001107F5">
        <w:t>minor is ordinarily entitled to relief upon a timely application under section</w:t>
      </w:r>
      <w:r w:rsidR="00207A7C">
        <w:t> </w:t>
      </w:r>
      <w:r w:rsidRPr="001107F5">
        <w:t xml:space="preserve">911.6(b)(2). </w:t>
      </w:r>
      <w:r>
        <w:t xml:space="preserve"> </w:t>
      </w:r>
      <w:r w:rsidRPr="001107F5">
        <w:t xml:space="preserve">We do not suggest it would be proper for an entity to routinely ignore late claim applications and resort to the </w:t>
      </w:r>
      <w:r>
        <w:t>‘</w:t>
      </w:r>
      <w:r w:rsidRPr="001107F5">
        <w:t>deemed</w:t>
      </w:r>
      <w:r>
        <w:t> . . . </w:t>
      </w:r>
      <w:r w:rsidRPr="001107F5">
        <w:t>denied</w:t>
      </w:r>
      <w:r>
        <w:t>’</w:t>
      </w:r>
      <w:r w:rsidRPr="001107F5">
        <w:t xml:space="preserve"> provision of section</w:t>
      </w:r>
      <w:r>
        <w:t> </w:t>
      </w:r>
      <w:r w:rsidRPr="001107F5">
        <w:t xml:space="preserve">911.6(c) as a default procedure. </w:t>
      </w:r>
      <w:r>
        <w:t xml:space="preserve"> </w:t>
      </w:r>
      <w:r w:rsidRPr="001107F5">
        <w:t xml:space="preserve">Such applications should normally be reviewed and acted upon. </w:t>
      </w:r>
      <w:r>
        <w:t xml:space="preserve"> </w:t>
      </w:r>
      <w:r w:rsidRPr="001107F5">
        <w:t xml:space="preserve">But an entity may </w:t>
      </w:r>
      <w:r>
        <w:t>‘</w:t>
      </w:r>
      <w:r w:rsidRPr="001107F5">
        <w:t>fail[] or refuse[] to act</w:t>
      </w:r>
      <w:r>
        <w:t>’</w:t>
      </w:r>
      <w:r w:rsidRPr="001107F5">
        <w:t xml:space="preserve"> for a variety of reasons.</w:t>
      </w:r>
      <w:r>
        <w:t>”</w:t>
      </w:r>
      <w:r w:rsidRPr="001107F5">
        <w:t xml:space="preserve"> </w:t>
      </w:r>
      <w:r>
        <w:t xml:space="preserve"> </w:t>
      </w:r>
      <w:r w:rsidRPr="001107F5">
        <w:t>(</w:t>
      </w:r>
      <w:r w:rsidRPr="00541A87">
        <w:rPr>
          <w:i/>
          <w:iCs/>
        </w:rPr>
        <w:t>J.M.</w:t>
      </w:r>
      <w:r>
        <w:t>, at p. 653</w:t>
      </w:r>
      <w:r w:rsidRPr="001107F5">
        <w:t>.)</w:t>
      </w:r>
      <w:r>
        <w:t xml:space="preserve">  The court elaborated, “</w:t>
      </w:r>
      <w:r w:rsidRPr="001107F5">
        <w:t xml:space="preserve">The timeliness of the application may be questionable due to uncertainty over when the cause of action accrued. </w:t>
      </w:r>
      <w:r>
        <w:t xml:space="preserve"> </w:t>
      </w:r>
      <w:r w:rsidRPr="001107F5">
        <w:t>The applicant</w:t>
      </w:r>
      <w:r>
        <w:t>’</w:t>
      </w:r>
      <w:r w:rsidRPr="001107F5">
        <w:t xml:space="preserve">s status as a minor </w:t>
      </w:r>
      <w:r>
        <w:t>d</w:t>
      </w:r>
      <w:r w:rsidRPr="001107F5">
        <w:t xml:space="preserve">uring the relevant period may be disputable. </w:t>
      </w:r>
      <w:r>
        <w:t xml:space="preserve"> </w:t>
      </w:r>
      <w:r w:rsidRPr="001107F5">
        <w:t xml:space="preserve">The entity may have been unable to complete its investigation within the allotted time. </w:t>
      </w:r>
      <w:r>
        <w:t xml:space="preserve"> </w:t>
      </w:r>
      <w:r w:rsidRPr="001107F5">
        <w:t xml:space="preserve">The entity might also simply fail to act on an application through inadvertence. </w:t>
      </w:r>
      <w:r>
        <w:t xml:space="preserve"> </w:t>
      </w:r>
      <w:r w:rsidRPr="001107F5">
        <w:t>In all circumstances, a late claim application is deemed denied after 45</w:t>
      </w:r>
      <w:r w:rsidR="00427A0F">
        <w:t> </w:t>
      </w:r>
      <w:r w:rsidRPr="001107F5">
        <w:t>days, even though section 911.6(b)(2) would entitle the minor to relief if the application had merit.</w:t>
      </w:r>
      <w:r w:rsidRPr="00675EA8">
        <w:rPr>
          <w:vertAlign w:val="superscript"/>
        </w:rPr>
        <w:t>[</w:t>
      </w:r>
      <w:r>
        <w:rPr>
          <w:vertAlign w:val="superscript"/>
        </w:rPr>
        <w:footnoteReference w:id="11"/>
      </w:r>
      <w:r w:rsidRPr="00675EA8">
        <w:rPr>
          <w:vertAlign w:val="superscript"/>
        </w:rPr>
        <w:t xml:space="preserve">]  </w:t>
      </w:r>
      <w:r w:rsidRPr="00844E34">
        <w:t>By placing this limitation on the entity’s time to act, the Legislature ensured that applications would not languish.</w:t>
      </w:r>
      <w:r w:rsidRPr="00D34863">
        <w:t>”  (</w:t>
      </w:r>
      <w:r w:rsidRPr="00001D5E">
        <w:rPr>
          <w:i/>
          <w:iCs/>
        </w:rPr>
        <w:t>Id.</w:t>
      </w:r>
      <w:r w:rsidRPr="00D34863">
        <w:t xml:space="preserve"> at p. 653</w:t>
      </w:r>
      <w:r>
        <w:t>; footnote omitted.)</w:t>
      </w:r>
    </w:p>
    <w:p w:rsidR="003A6B82" w:rsidP="00BC5CE8" w14:paraId="3C53962C" w14:textId="1CBD2872">
      <w:pPr>
        <w:spacing w:after="0" w:line="288" w:lineRule="auto"/>
        <w:ind w:firstLine="720"/>
      </w:pPr>
      <w:r w:rsidRPr="00001D5E">
        <w:t>Moreover, the government claims statutory scheme</w:t>
      </w:r>
      <w:r w:rsidRPr="00001D5E" w:rsidR="00605D43">
        <w:t xml:space="preserve"> at issue in </w:t>
      </w:r>
      <w:r w:rsidRPr="00001D5E" w:rsidR="00605D43">
        <w:rPr>
          <w:i/>
          <w:iCs/>
        </w:rPr>
        <w:t>J.M.</w:t>
      </w:r>
      <w:r w:rsidRPr="00001D5E">
        <w:t xml:space="preserve">, like the workers’ compensation procedure for Board review, provides a remedy if the public </w:t>
      </w:r>
      <w:r w:rsidRPr="00E24AC6">
        <w:t>entity denies the application or fails to act, allowing the applicant six months to seek relief in the superior court from denial of the application to file a late claim.  (Gov. Code, § 946.6, subd. (b).)</w:t>
      </w:r>
      <w:r w:rsidRPr="00E24AC6" w:rsidR="00EA3AAA">
        <w:t xml:space="preserve">  The </w:t>
      </w:r>
      <w:r w:rsidRPr="00E24AC6" w:rsidR="004B3E32">
        <w:t xml:space="preserve">minor claimant in </w:t>
      </w:r>
      <w:r w:rsidRPr="00E24AC6" w:rsidR="004B3E32">
        <w:rPr>
          <w:i/>
          <w:iCs/>
        </w:rPr>
        <w:t>J.M</w:t>
      </w:r>
      <w:r w:rsidRPr="00E24AC6" w:rsidR="004B3E32">
        <w:t xml:space="preserve">. </w:t>
      </w:r>
      <w:r w:rsidRPr="00E24AC6" w:rsidR="00FF700E">
        <w:t xml:space="preserve">missed the six-month deadline for </w:t>
      </w:r>
      <w:r w:rsidRPr="00E24AC6" w:rsidR="00933096">
        <w:t xml:space="preserve">seeking relief in the superior court from the </w:t>
      </w:r>
      <w:r w:rsidR="00E24AC6">
        <w:t xml:space="preserve">school district’s </w:t>
      </w:r>
      <w:r w:rsidRPr="00E24AC6" w:rsidR="00933096">
        <w:t xml:space="preserve">deemed denial of his application to file </w:t>
      </w:r>
      <w:r w:rsidRPr="00E24AC6" w:rsidR="00912962">
        <w:t>a late claim.</w:t>
      </w:r>
      <w:r w:rsidRPr="00E24AC6">
        <w:t xml:space="preserve"> </w:t>
      </w:r>
      <w:r w:rsidRPr="00E24AC6" w:rsidR="00F04754">
        <w:t xml:space="preserve"> </w:t>
      </w:r>
      <w:r w:rsidRPr="00E24AC6" w:rsidR="00912962">
        <w:t>(</w:t>
      </w:r>
      <w:r w:rsidRPr="00E24AC6" w:rsidR="00912962">
        <w:rPr>
          <w:i/>
          <w:iCs/>
        </w:rPr>
        <w:t>J.M., supra</w:t>
      </w:r>
      <w:r w:rsidRPr="00E24AC6" w:rsidR="00912962">
        <w:t xml:space="preserve">, 2 Cal.5th at </w:t>
      </w:r>
      <w:r w:rsidRPr="00001D5E" w:rsidR="00912962">
        <w:t>p.</w:t>
      </w:r>
      <w:r w:rsidR="005F2C00">
        <w:t> </w:t>
      </w:r>
      <w:r w:rsidRPr="00001D5E" w:rsidR="00A308B3">
        <w:t>65</w:t>
      </w:r>
      <w:r w:rsidRPr="00001D5E" w:rsidR="00001D5E">
        <w:t>1</w:t>
      </w:r>
      <w:r w:rsidRPr="00001D5E" w:rsidR="00A308B3">
        <w:t>.</w:t>
      </w:r>
      <w:r w:rsidRPr="00E24AC6" w:rsidR="00A308B3">
        <w:t>)</w:t>
      </w:r>
      <w:r w:rsidRPr="00E24AC6" w:rsidR="00AB77CE">
        <w:t xml:space="preserve">  The Supreme Court rejected the claimant’s argument he was </w:t>
      </w:r>
      <w:r w:rsidRPr="00E24AC6" w:rsidR="003D5B63">
        <w:t xml:space="preserve">entitled to yet another extension of time, </w:t>
      </w:r>
      <w:r w:rsidRPr="00E24AC6" w:rsidR="00E57EB2">
        <w:t xml:space="preserve">explaining </w:t>
      </w:r>
      <w:r w:rsidRPr="00E24AC6" w:rsidR="00290DDB">
        <w:t>“</w:t>
      </w:r>
      <w:r w:rsidRPr="00E24AC6" w:rsidR="00E57EB2">
        <w:t>the statutes provide no recourse for counsel’s failure to petition the court within six months of the deemed denial of J.M.</w:t>
      </w:r>
      <w:r w:rsidRPr="00E24AC6" w:rsidR="00105785">
        <w:t>’</w:t>
      </w:r>
      <w:r w:rsidRPr="00E24AC6" w:rsidR="00E57EB2">
        <w:t>s late claim application.”  (</w:t>
      </w:r>
      <w:r w:rsidRPr="00E24AC6" w:rsidR="00E57EB2">
        <w:rPr>
          <w:i/>
          <w:iCs/>
        </w:rPr>
        <w:t>J.M.</w:t>
      </w:r>
      <w:r w:rsidRPr="00E24AC6" w:rsidR="00E57EB2">
        <w:t>, at p. 656</w:t>
      </w:r>
      <w:r w:rsidRPr="00E24AC6" w:rsidR="009E1C88">
        <w:t>;</w:t>
      </w:r>
      <w:r w:rsidR="009E1C88">
        <w:t xml:space="preserve"> see</w:t>
      </w:r>
      <w:r w:rsidR="00AC645B">
        <w:t xml:space="preserve"> </w:t>
      </w:r>
      <w:r w:rsidRPr="00757DE0">
        <w:rPr>
          <w:i/>
          <w:iCs/>
        </w:rPr>
        <w:t xml:space="preserve">Pineda v. Williams-Sonoma Stores, Inc. </w:t>
      </w:r>
      <w:r w:rsidRPr="00757DE0">
        <w:t xml:space="preserve">(2011) 51 </w:t>
      </w:r>
      <w:r w:rsidRPr="007D097E">
        <w:t>Cal.4th 524, 529</w:t>
      </w:r>
      <w:r w:rsidRPr="00757DE0">
        <w:t xml:space="preserve">, fn. </w:t>
      </w:r>
      <w:r>
        <w:t xml:space="preserve">5 [Supreme Court’s grant of review under </w:t>
      </w:r>
      <w:r w:rsidRPr="00757DE0">
        <w:t xml:space="preserve">California Rules of Court, rule 8.512(b)(2), which provides a party’s petition for review of an appellate opinion is </w:t>
      </w:r>
      <w:r>
        <w:t>“</w:t>
      </w:r>
      <w:r w:rsidRPr="00757DE0">
        <w:t>deemed denied</w:t>
      </w:r>
      <w:r>
        <w:t>”</w:t>
      </w:r>
      <w:r w:rsidRPr="00757DE0">
        <w:t xml:space="preserve"> if the Supreme Court does not rule on the petition within 60 days after the last petition for review is filed</w:t>
      </w:r>
      <w:r>
        <w:t xml:space="preserve"> or </w:t>
      </w:r>
      <w:r w:rsidRPr="00757DE0">
        <w:t xml:space="preserve">within 90 days if </w:t>
      </w:r>
      <w:r w:rsidR="009771D0">
        <w:t xml:space="preserve">the deadline </w:t>
      </w:r>
      <w:r w:rsidR="004920D7">
        <w:t xml:space="preserve">is </w:t>
      </w:r>
      <w:r>
        <w:t>extended,</w:t>
      </w:r>
      <w:r w:rsidRPr="00757DE0">
        <w:t xml:space="preserve"> “was within this court’s jurisdiction” </w:t>
      </w:r>
      <w:r>
        <w:t>where</w:t>
      </w:r>
      <w:r w:rsidRPr="00757DE0">
        <w:t xml:space="preserve"> a nunc pro tunc</w:t>
      </w:r>
      <w:r w:rsidRPr="00757DE0">
        <w:rPr>
          <w:i/>
          <w:iCs/>
        </w:rPr>
        <w:t xml:space="preserve"> </w:t>
      </w:r>
      <w:r w:rsidRPr="00757DE0">
        <w:t xml:space="preserve">order </w:t>
      </w:r>
      <w:r w:rsidR="009C468D">
        <w:t xml:space="preserve">correcting a clerical error </w:t>
      </w:r>
      <w:r w:rsidRPr="00757DE0">
        <w:t>extended the time for review so the grant of review was within the 90-day time period</w:t>
      </w:r>
      <w:r>
        <w:t>]</w:t>
      </w:r>
      <w:r w:rsidRPr="00757DE0">
        <w:t>.</w:t>
      </w:r>
      <w:r>
        <w:t>)</w:t>
      </w:r>
      <w:r w:rsidRPr="00757DE0">
        <w:t xml:space="preserve">  </w:t>
      </w:r>
    </w:p>
    <w:p w:rsidR="00AC645B" w:rsidP="00BC5CE8" w14:paraId="5142D2D5" w14:textId="77777777">
      <w:pPr>
        <w:spacing w:after="0" w:line="288" w:lineRule="auto"/>
        <w:ind w:firstLine="720"/>
      </w:pPr>
    </w:p>
    <w:p w:rsidR="00E37CB2" w:rsidP="00967FBD" w14:paraId="0BAD0BC2" w14:textId="2C71D674">
      <w:pPr>
        <w:keepNext/>
        <w:spacing w:after="0" w:line="288" w:lineRule="auto"/>
        <w:ind w:left="1440" w:hanging="720"/>
        <w:rPr>
          <w:rFonts w:eastAsia="Calibri" w:cs="Times New Roman"/>
          <w:szCs w:val="22"/>
        </w:rPr>
      </w:pPr>
      <w:r>
        <w:rPr>
          <w:rFonts w:eastAsia="Calibri" w:cs="Times New Roman"/>
          <w:szCs w:val="22"/>
        </w:rPr>
        <w:t xml:space="preserve">2. </w:t>
      </w:r>
      <w:r w:rsidRPr="009768CB">
        <w:rPr>
          <w:rFonts w:eastAsia="Calibri" w:cs="Times New Roman"/>
          <w:szCs w:val="22"/>
        </w:rPr>
        <w:tab/>
      </w:r>
      <w:r w:rsidRPr="00E24AC6">
        <w:rPr>
          <w:rFonts w:eastAsia="Calibri" w:cs="Times New Roman"/>
          <w:i/>
          <w:iCs/>
          <w:szCs w:val="22"/>
        </w:rPr>
        <w:t>The Board</w:t>
      </w:r>
      <w:r w:rsidRPr="00E24AC6" w:rsidR="009805AD">
        <w:rPr>
          <w:rFonts w:eastAsia="Calibri" w:cs="Times New Roman"/>
          <w:i/>
          <w:iCs/>
          <w:szCs w:val="22"/>
        </w:rPr>
        <w:t xml:space="preserve"> acted in excess of its jurisdiction in granting </w:t>
      </w:r>
      <w:r w:rsidRPr="00E24AC6">
        <w:rPr>
          <w:rFonts w:eastAsia="Calibri" w:cs="Times New Roman"/>
          <w:i/>
          <w:iCs/>
          <w:szCs w:val="22"/>
        </w:rPr>
        <w:t xml:space="preserve">CIGA’s petition for reconsideration </w:t>
      </w:r>
      <w:r w:rsidRPr="00E24AC6" w:rsidR="009805AD">
        <w:rPr>
          <w:rFonts w:eastAsia="Calibri" w:cs="Times New Roman"/>
          <w:i/>
          <w:iCs/>
          <w:szCs w:val="22"/>
        </w:rPr>
        <w:t>after the petition was deemed denied under section 5909</w:t>
      </w:r>
      <w:r w:rsidR="009805AD">
        <w:rPr>
          <w:rFonts w:eastAsia="Calibri" w:cs="Times New Roman"/>
          <w:i/>
          <w:iCs/>
          <w:szCs w:val="22"/>
        </w:rPr>
        <w:t xml:space="preserve"> </w:t>
      </w:r>
    </w:p>
    <w:p w:rsidR="00E37CB2" w:rsidRPr="00E37CB2" w:rsidP="000D683D" w14:paraId="08A8BCCA" w14:textId="77777777">
      <w:pPr>
        <w:spacing w:after="0" w:line="288" w:lineRule="auto"/>
        <w:ind w:firstLine="720"/>
        <w:rPr>
          <w:rFonts w:eastAsia="Calibri" w:cs="Times New Roman"/>
          <w:szCs w:val="22"/>
        </w:rPr>
      </w:pPr>
      <w:r>
        <w:rPr>
          <w:rFonts w:eastAsia="Calibri" w:cs="Times New Roman"/>
          <w:szCs w:val="22"/>
        </w:rPr>
        <w:t>As discussed, s</w:t>
      </w:r>
      <w:r w:rsidRPr="00E37CB2">
        <w:rPr>
          <w:rFonts w:eastAsia="Calibri" w:cs="Times New Roman"/>
          <w:szCs w:val="22"/>
        </w:rPr>
        <w:t xml:space="preserve">ection 5909 </w:t>
      </w:r>
      <w:r>
        <w:rPr>
          <w:rFonts w:eastAsia="Calibri" w:cs="Times New Roman"/>
          <w:szCs w:val="22"/>
        </w:rPr>
        <w:t>provides,</w:t>
      </w:r>
      <w:r w:rsidRPr="00E37CB2">
        <w:rPr>
          <w:rFonts w:eastAsia="Calibri" w:cs="Times New Roman"/>
          <w:szCs w:val="22"/>
        </w:rPr>
        <w:t xml:space="preserve"> “A petition for reconsideration is deemed to have been denied by the appeals board unless it is acted upon</w:t>
      </w:r>
      <w:r w:rsidR="00900D0F">
        <w:rPr>
          <w:rFonts w:eastAsia="Calibri" w:cs="Times New Roman"/>
          <w:szCs w:val="22"/>
        </w:rPr>
        <w:t xml:space="preserve"> </w:t>
      </w:r>
      <w:r w:rsidRPr="00E37CB2">
        <w:rPr>
          <w:rFonts w:eastAsia="Calibri" w:cs="Times New Roman"/>
          <w:szCs w:val="22"/>
        </w:rPr>
        <w:t xml:space="preserve">within 60 days from the date of filing.”  </w:t>
      </w:r>
      <w:r w:rsidR="009D1EA2">
        <w:rPr>
          <w:rFonts w:eastAsia="Calibri" w:cs="Times New Roman"/>
          <w:szCs w:val="22"/>
        </w:rPr>
        <w:t xml:space="preserve">We review </w:t>
      </w:r>
      <w:r w:rsidR="00900D0F">
        <w:rPr>
          <w:rFonts w:eastAsia="Calibri" w:cs="Times New Roman"/>
          <w:szCs w:val="22"/>
        </w:rPr>
        <w:t>the interpretation of section</w:t>
      </w:r>
      <w:r w:rsidR="00431971">
        <w:rPr>
          <w:rFonts w:eastAsia="Calibri" w:cs="Times New Roman"/>
          <w:szCs w:val="22"/>
        </w:rPr>
        <w:t> </w:t>
      </w:r>
      <w:r w:rsidR="00900D0F">
        <w:rPr>
          <w:rFonts w:eastAsia="Calibri" w:cs="Times New Roman"/>
          <w:szCs w:val="22"/>
        </w:rPr>
        <w:t>5909</w:t>
      </w:r>
      <w:r w:rsidR="009D1EA2">
        <w:rPr>
          <w:rFonts w:eastAsia="Calibri" w:cs="Times New Roman"/>
          <w:szCs w:val="22"/>
        </w:rPr>
        <w:t xml:space="preserve"> de novo.  </w:t>
      </w:r>
      <w:r w:rsidRPr="00E37CB2">
        <w:rPr>
          <w:rFonts w:eastAsia="Calibri" w:cs="Times New Roman"/>
          <w:szCs w:val="22"/>
        </w:rPr>
        <w:t>(</w:t>
      </w:r>
      <w:r w:rsidRPr="00E37CB2">
        <w:rPr>
          <w:rFonts w:eastAsia="Calibri" w:cs="Times New Roman"/>
          <w:i/>
          <w:iCs/>
          <w:szCs w:val="22"/>
        </w:rPr>
        <w:t>Segal v. ASICS America Corp.</w:t>
      </w:r>
      <w:r w:rsidRPr="00E37CB2">
        <w:rPr>
          <w:rFonts w:eastAsia="Calibri" w:cs="Times New Roman"/>
          <w:szCs w:val="22"/>
        </w:rPr>
        <w:t xml:space="preserve"> (2022) 12 Cal.5th 651, 658; </w:t>
      </w:r>
      <w:r w:rsidRPr="00E37CB2">
        <w:rPr>
          <w:rFonts w:eastAsia="Calibri" w:cs="Times New Roman"/>
          <w:i/>
          <w:iCs/>
          <w:szCs w:val="22"/>
        </w:rPr>
        <w:t>Smith v. Workers’ Comp. Appeals Bd.</w:t>
      </w:r>
      <w:r w:rsidRPr="00E37CB2">
        <w:rPr>
          <w:rFonts w:eastAsia="Calibri" w:cs="Times New Roman"/>
          <w:szCs w:val="22"/>
        </w:rPr>
        <w:t xml:space="preserve"> (2009) 46 Cal.4th 272, 277 [“We independently review the construction of workers’ compensation statutes.”].)  </w:t>
      </w:r>
    </w:p>
    <w:p w:rsidR="00E37CB2" w:rsidRPr="00E37CB2" w:rsidP="00E37CB2" w14:paraId="4C5F4469" w14:textId="3F926048">
      <w:pPr>
        <w:spacing w:after="0" w:line="288" w:lineRule="auto"/>
        <w:ind w:firstLine="720"/>
        <w:rPr>
          <w:rFonts w:eastAsia="Calibri" w:cs="Times New Roman"/>
          <w:szCs w:val="22"/>
        </w:rPr>
      </w:pPr>
      <w:r>
        <w:rPr>
          <w:rFonts w:eastAsia="Calibri" w:cs="Times New Roman"/>
          <w:szCs w:val="22"/>
        </w:rPr>
        <w:t>We agree with our</w:t>
      </w:r>
      <w:r w:rsidRPr="00E37CB2">
        <w:rPr>
          <w:rFonts w:eastAsia="Calibri" w:cs="Times New Roman"/>
          <w:szCs w:val="22"/>
        </w:rPr>
        <w:t xml:space="preserve"> colleagues in </w:t>
      </w:r>
      <w:r w:rsidRPr="00E37CB2">
        <w:rPr>
          <w:rFonts w:eastAsia="Calibri" w:cs="Times New Roman"/>
          <w:i/>
          <w:iCs/>
          <w:szCs w:val="22"/>
        </w:rPr>
        <w:t>Earley, supra</w:t>
      </w:r>
      <w:r w:rsidRPr="00164557">
        <w:rPr>
          <w:rFonts w:eastAsia="Calibri" w:cs="Times New Roman"/>
          <w:szCs w:val="22"/>
        </w:rPr>
        <w:t>,</w:t>
      </w:r>
      <w:r w:rsidRPr="00E37CB2">
        <w:rPr>
          <w:rFonts w:eastAsia="Calibri" w:cs="Times New Roman"/>
          <w:i/>
          <w:iCs/>
          <w:szCs w:val="22"/>
        </w:rPr>
        <w:t xml:space="preserve"> </w:t>
      </w:r>
      <w:r w:rsidRPr="00E37CB2">
        <w:rPr>
          <w:rFonts w:eastAsia="Calibri" w:cs="Times New Roman"/>
          <w:szCs w:val="22"/>
        </w:rPr>
        <w:t xml:space="preserve">94 Cal.App.5th at page 12 </w:t>
      </w:r>
      <w:r w:rsidR="00EF0459">
        <w:rPr>
          <w:rFonts w:eastAsia="Calibri" w:cs="Times New Roman"/>
          <w:szCs w:val="22"/>
        </w:rPr>
        <w:t>that</w:t>
      </w:r>
      <w:r w:rsidRPr="00E37CB2">
        <w:rPr>
          <w:rFonts w:eastAsia="Calibri" w:cs="Times New Roman"/>
          <w:szCs w:val="22"/>
        </w:rPr>
        <w:t xml:space="preserve"> section 5909 does not require the Board to issue a final ruling on a petition for reconsideration within 60 days.  Rather, section 5906 envisions that the Board may grant a petition for reconsideration and rule based on the evidence previously submitted in the case or elect to grant reconsideration and then “direct the taking of additional evidence.”</w:t>
      </w:r>
      <w:r>
        <w:rPr>
          <w:rFonts w:eastAsia="Calibri" w:cs="Times New Roman"/>
          <w:szCs w:val="22"/>
          <w:vertAlign w:val="superscript"/>
        </w:rPr>
        <w:footnoteReference w:id="12"/>
      </w:r>
      <w:r w:rsidRPr="00E37CB2">
        <w:rPr>
          <w:rFonts w:eastAsia="Calibri" w:cs="Times New Roman"/>
          <w:szCs w:val="22"/>
        </w:rPr>
        <w:t xml:space="preserve">  (</w:t>
      </w:r>
      <w:r w:rsidRPr="00E37CB2">
        <w:rPr>
          <w:rFonts w:eastAsia="Calibri" w:cs="Times New Roman"/>
          <w:i/>
          <w:iCs/>
          <w:szCs w:val="22"/>
        </w:rPr>
        <w:t>Earley</w:t>
      </w:r>
      <w:r w:rsidRPr="00E37CB2">
        <w:rPr>
          <w:rFonts w:eastAsia="Calibri" w:cs="Times New Roman"/>
          <w:szCs w:val="22"/>
        </w:rPr>
        <w:t>, at p. 13, italics omitted.)  And section</w:t>
      </w:r>
      <w:r w:rsidR="00431971">
        <w:rPr>
          <w:rFonts w:eastAsia="Calibri" w:cs="Times New Roman"/>
          <w:szCs w:val="22"/>
        </w:rPr>
        <w:t> </w:t>
      </w:r>
      <w:r w:rsidRPr="00E37CB2">
        <w:rPr>
          <w:rFonts w:eastAsia="Calibri" w:cs="Times New Roman"/>
          <w:szCs w:val="22"/>
        </w:rPr>
        <w:t>5908.5 requires the Board to state what evidence it relies on and the reasons for its decision—both in granting or denying a petition for reconsideration, and</w:t>
      </w:r>
      <w:r w:rsidR="008663FF">
        <w:rPr>
          <w:rFonts w:eastAsia="Calibri" w:cs="Times New Roman"/>
          <w:szCs w:val="22"/>
        </w:rPr>
        <w:t xml:space="preserve"> in</w:t>
      </w:r>
      <w:r w:rsidRPr="00E37CB2">
        <w:rPr>
          <w:rFonts w:eastAsia="Calibri" w:cs="Times New Roman"/>
          <w:szCs w:val="22"/>
        </w:rPr>
        <w:t xml:space="preserve"> its final decision affirming, rescinding, altering, or amending the initial findings or order.</w:t>
      </w:r>
      <w:r>
        <w:rPr>
          <w:rFonts w:eastAsia="Calibri" w:cs="Times New Roman"/>
          <w:szCs w:val="22"/>
          <w:vertAlign w:val="superscript"/>
        </w:rPr>
        <w:footnoteReference w:id="13"/>
      </w:r>
      <w:r w:rsidRPr="00E37CB2">
        <w:rPr>
          <w:rFonts w:eastAsia="Calibri" w:cs="Times New Roman"/>
          <w:szCs w:val="22"/>
        </w:rPr>
        <w:t xml:space="preserve">  (See </w:t>
      </w:r>
      <w:r w:rsidRPr="00E37CB2">
        <w:rPr>
          <w:rFonts w:eastAsia="Calibri" w:cs="Times New Roman"/>
          <w:i/>
          <w:iCs/>
          <w:szCs w:val="22"/>
        </w:rPr>
        <w:t>Earley</w:t>
      </w:r>
      <w:r w:rsidRPr="00E37CB2">
        <w:rPr>
          <w:rFonts w:eastAsia="Calibri" w:cs="Times New Roman"/>
          <w:szCs w:val="22"/>
        </w:rPr>
        <w:t>, at p. 13.)  But the plain language of section</w:t>
      </w:r>
      <w:r w:rsidR="00071748">
        <w:rPr>
          <w:rFonts w:eastAsia="Calibri" w:cs="Times New Roman"/>
          <w:szCs w:val="22"/>
        </w:rPr>
        <w:t> </w:t>
      </w:r>
      <w:r w:rsidRPr="00E37CB2">
        <w:rPr>
          <w:rFonts w:eastAsia="Calibri" w:cs="Times New Roman"/>
          <w:szCs w:val="22"/>
        </w:rPr>
        <w:t xml:space="preserve">5909 </w:t>
      </w:r>
      <w:r w:rsidR="00C86425">
        <w:rPr>
          <w:rFonts w:eastAsia="Calibri" w:cs="Times New Roman"/>
          <w:szCs w:val="22"/>
        </w:rPr>
        <w:t xml:space="preserve">and its legislative history </w:t>
      </w:r>
      <w:r w:rsidRPr="00E37CB2">
        <w:rPr>
          <w:rFonts w:eastAsia="Calibri" w:cs="Times New Roman"/>
          <w:szCs w:val="22"/>
        </w:rPr>
        <w:t xml:space="preserve">make clear what the Board cannot do—ignore the 60-day deadline and then rule on the petition for reconsideration—because after 60 days, the Board no longer has jurisdiction to consider the petition.  </w:t>
      </w:r>
    </w:p>
    <w:p w:rsidR="006263EA" w:rsidP="000344BA" w14:paraId="24813895" w14:textId="77777777">
      <w:pPr>
        <w:spacing w:after="0" w:line="288" w:lineRule="auto"/>
        <w:ind w:firstLine="720"/>
        <w:rPr>
          <w:rFonts w:eastAsia="Calibri" w:cs="Times New Roman"/>
          <w:szCs w:val="22"/>
        </w:rPr>
      </w:pPr>
    </w:p>
    <w:p w:rsidR="002A2708" w:rsidRPr="00DA3C4E" w:rsidP="00464047" w14:paraId="3F5F92C1" w14:textId="77777777">
      <w:pPr>
        <w:spacing w:after="0" w:line="288" w:lineRule="auto"/>
        <w:ind w:left="720" w:firstLine="720"/>
        <w:rPr>
          <w:rFonts w:eastAsia="Calibri" w:cs="Times New Roman"/>
          <w:i/>
          <w:iCs/>
          <w:szCs w:val="22"/>
        </w:rPr>
      </w:pPr>
      <w:r>
        <w:rPr>
          <w:rFonts w:eastAsia="Calibri" w:cs="Times New Roman"/>
          <w:i/>
          <w:iCs/>
          <w:szCs w:val="22"/>
        </w:rPr>
        <w:t>a.</w:t>
      </w:r>
      <w:r>
        <w:rPr>
          <w:rFonts w:eastAsia="Calibri" w:cs="Times New Roman"/>
          <w:i/>
          <w:iCs/>
          <w:szCs w:val="22"/>
        </w:rPr>
        <w:tab/>
      </w:r>
      <w:r w:rsidRPr="00DA3C4E">
        <w:rPr>
          <w:rFonts w:eastAsia="Calibri" w:cs="Times New Roman"/>
          <w:i/>
          <w:iCs/>
          <w:szCs w:val="22"/>
        </w:rPr>
        <w:t>The statutory language</w:t>
      </w:r>
    </w:p>
    <w:p w:rsidR="009F7A7E" w:rsidP="00CF2BC1" w14:paraId="49668882" w14:textId="1D91244C">
      <w:pPr>
        <w:spacing w:after="0" w:line="288" w:lineRule="auto"/>
        <w:ind w:firstLine="720"/>
      </w:pPr>
      <w:r>
        <w:t>S</w:t>
      </w:r>
      <w:r w:rsidRPr="007D38F1" w:rsidR="00BE20CD">
        <w:t>ection</w:t>
      </w:r>
      <w:r w:rsidRPr="00BE20CD" w:rsidR="00BE20CD">
        <w:t xml:space="preserve"> 5909 specifies a consequence </w:t>
      </w:r>
      <w:r w:rsidR="00431971">
        <w:t>for</w:t>
      </w:r>
      <w:r w:rsidRPr="00BE20CD" w:rsidR="00431971">
        <w:t xml:space="preserve"> </w:t>
      </w:r>
      <w:r w:rsidRPr="00BE20CD" w:rsidR="00BE20CD">
        <w:t xml:space="preserve">failure of the </w:t>
      </w:r>
      <w:r w:rsidRPr="00D75F39" w:rsidR="00BE20CD">
        <w:t xml:space="preserve">Board to act within 60 days—the petition for reconsideration is deemed denied.  </w:t>
      </w:r>
      <w:r w:rsidRPr="00D75F39">
        <w:t xml:space="preserve">As discussed, </w:t>
      </w:r>
      <w:r w:rsidRPr="00D75F39" w:rsidR="00CA46DF">
        <w:t xml:space="preserve">the Supreme Court has found similar deadlines </w:t>
      </w:r>
      <w:r w:rsidRPr="00D75F39" w:rsidR="00976BD1">
        <w:t>are jurisdictional</w:t>
      </w:r>
      <w:r w:rsidRPr="00D75F39" w:rsidR="006E41DD">
        <w:t xml:space="preserve">, </w:t>
      </w:r>
      <w:r w:rsidRPr="00D75F39" w:rsidR="00BF0BF8">
        <w:t xml:space="preserve">whether </w:t>
      </w:r>
      <w:r w:rsidRPr="00D75F39" w:rsidR="006E41DD">
        <w:t xml:space="preserve">for lack of fundamental jurisdiction </w:t>
      </w:r>
      <w:r w:rsidRPr="00D75F39" w:rsidR="00976BD1">
        <w:t>(</w:t>
      </w:r>
      <w:r w:rsidRPr="00D75F39" w:rsidR="00976BD1">
        <w:rPr>
          <w:i/>
          <w:iCs/>
        </w:rPr>
        <w:t>Kabran, supra</w:t>
      </w:r>
      <w:r w:rsidRPr="00D75F39" w:rsidR="00976BD1">
        <w:t>, 2</w:t>
      </w:r>
      <w:r w:rsidRPr="00D75F39" w:rsidR="00431971">
        <w:t> </w:t>
      </w:r>
      <w:r w:rsidRPr="00D75F39" w:rsidR="00976BD1">
        <w:t xml:space="preserve">Cal.5th at p. </w:t>
      </w:r>
      <w:r w:rsidRPr="00D75F39" w:rsidR="00506604">
        <w:t>344</w:t>
      </w:r>
      <w:r w:rsidRPr="00D75F39" w:rsidR="006E41DD">
        <w:t>)</w:t>
      </w:r>
      <w:r w:rsidRPr="00D75F39" w:rsidR="00BF0BF8">
        <w:t xml:space="preserve"> or where an agency acts in excess of its jurisdiction (</w:t>
      </w:r>
      <w:r w:rsidRPr="00D75F39" w:rsidR="00EE4D11">
        <w:rPr>
          <w:i/>
          <w:iCs/>
        </w:rPr>
        <w:t>Bonnell v. Medical Board, supra</w:t>
      </w:r>
      <w:r w:rsidRPr="00D75F39" w:rsidR="00EE4D11">
        <w:t>, 31 Cal.4th at p</w:t>
      </w:r>
      <w:r w:rsidRPr="00D75F39" w:rsidR="000D1D91">
        <w:t>p</w:t>
      </w:r>
      <w:r w:rsidRPr="00D75F39" w:rsidR="00EE4D11">
        <w:t>.</w:t>
      </w:r>
      <w:r w:rsidRPr="00D75F39" w:rsidR="00207A7C">
        <w:t> </w:t>
      </w:r>
      <w:r w:rsidRPr="00D75F39" w:rsidR="00EE4D11">
        <w:t>1259</w:t>
      </w:r>
      <w:r w:rsidRPr="00D75F39" w:rsidR="000D1D91">
        <w:t>-1260</w:t>
      </w:r>
      <w:r w:rsidRPr="00D75F39" w:rsidR="00BF0BF8">
        <w:t>)</w:t>
      </w:r>
      <w:r w:rsidR="000A09DD">
        <w:t>.</w:t>
      </w:r>
      <w:r w:rsidRPr="00E84B79" w:rsidR="00EE4D11">
        <w:t xml:space="preserve"> </w:t>
      </w:r>
      <w:r w:rsidR="002869F1">
        <w:t xml:space="preserve"> </w:t>
      </w:r>
      <w:r w:rsidRPr="00BE20CD" w:rsidR="00BE20CD">
        <w:t xml:space="preserve">By contrast, statutory deadlines the Supreme Court has found not to affect a </w:t>
      </w:r>
      <w:r w:rsidR="00720CB4">
        <w:t>court</w:t>
      </w:r>
      <w:r w:rsidR="00361110">
        <w:t xml:space="preserve">’s or administrative </w:t>
      </w:r>
      <w:r w:rsidR="009D7689">
        <w:t>agency</w:t>
      </w:r>
      <w:r w:rsidR="00361110">
        <w:t>’s</w:t>
      </w:r>
      <w:r w:rsidRPr="00BE20CD" w:rsidR="00BE20CD">
        <w:t xml:space="preserve"> jurisdiction generally </w:t>
      </w:r>
      <w:r w:rsidR="00F4267C">
        <w:t xml:space="preserve">set </w:t>
      </w:r>
      <w:r w:rsidRPr="00BE20CD" w:rsidR="00BE20CD">
        <w:t xml:space="preserve">time limits but not a consequence for the failure to </w:t>
      </w:r>
      <w:r w:rsidR="002F42C3">
        <w:t>act by the deadline</w:t>
      </w:r>
      <w:r w:rsidRPr="00BE20CD" w:rsidR="00BE20CD">
        <w:t xml:space="preserve">.  (See, e.g., </w:t>
      </w:r>
      <w:r w:rsidRPr="00BE20CD" w:rsidR="00BE20CD">
        <w:rPr>
          <w:i/>
          <w:iCs/>
        </w:rPr>
        <w:t>Kabran, supra</w:t>
      </w:r>
      <w:r w:rsidRPr="00BE20CD" w:rsidR="00BE20CD">
        <w:t>, 2</w:t>
      </w:r>
      <w:r w:rsidR="00464047">
        <w:t> </w:t>
      </w:r>
      <w:r w:rsidRPr="00BE20CD" w:rsidR="00BE20CD">
        <w:t>Cal.5th at p. 343 [</w:t>
      </w:r>
      <w:r w:rsidR="00FE7C22">
        <w:t xml:space="preserve">10-day limit in </w:t>
      </w:r>
      <w:r w:rsidRPr="00BE20CD" w:rsidR="00BE20CD">
        <w:t>Code of Civil Procedure section</w:t>
      </w:r>
      <w:r w:rsidR="00C8731A">
        <w:t> </w:t>
      </w:r>
      <w:r w:rsidRPr="00BE20CD" w:rsidR="00BE20CD">
        <w:t>659a has no consequence o</w:t>
      </w:r>
      <w:r w:rsidR="00790F06">
        <w:t>r</w:t>
      </w:r>
      <w:r w:rsidRPr="00BE20CD" w:rsidR="00BE20CD">
        <w:t xml:space="preserve"> penalty, and therefore does not implicate court’s fundamental jurisdiction]; </w:t>
      </w:r>
      <w:r w:rsidRPr="00D806FC" w:rsidR="007D4A93">
        <w:rPr>
          <w:i/>
          <w:iCs/>
        </w:rPr>
        <w:t xml:space="preserve">California </w:t>
      </w:r>
      <w:bookmarkStart w:id="0" w:name="_Hlk147934661"/>
      <w:r w:rsidRPr="00D806FC" w:rsidR="007D4A93">
        <w:rPr>
          <w:i/>
          <w:iCs/>
        </w:rPr>
        <w:t>Correctional Peace Officers Assn. v. State Personnel Bd.</w:t>
      </w:r>
      <w:r w:rsidRPr="00D806FC" w:rsidR="007D4A93">
        <w:t xml:space="preserve"> (1995) 10</w:t>
      </w:r>
      <w:r w:rsidR="00C8731A">
        <w:t> </w:t>
      </w:r>
      <w:r w:rsidRPr="00D806FC" w:rsidR="007D4A93">
        <w:t xml:space="preserve">Cal.4th 1133, </w:t>
      </w:r>
      <w:r w:rsidR="004A35C1">
        <w:t>1137-</w:t>
      </w:r>
      <w:r w:rsidR="00A270B7">
        <w:t>1138</w:t>
      </w:r>
      <w:r w:rsidR="00E84C87">
        <w:t>, 114</w:t>
      </w:r>
      <w:r w:rsidR="0025210A">
        <w:t>8</w:t>
      </w:r>
      <w:r w:rsidRPr="00D806FC" w:rsidR="007D4A93">
        <w:t xml:space="preserve"> </w:t>
      </w:r>
      <w:bookmarkEnd w:id="0"/>
      <w:r w:rsidR="007D4A93">
        <w:t>[Government Code s</w:t>
      </w:r>
      <w:r w:rsidRPr="00D806FC" w:rsidR="00D806FC">
        <w:t>ection</w:t>
      </w:r>
      <w:r w:rsidR="00C8731A">
        <w:t> </w:t>
      </w:r>
      <w:r w:rsidRPr="00D806FC" w:rsidR="00D806FC">
        <w:t>18671.1</w:t>
      </w:r>
      <w:r w:rsidR="007D4A93">
        <w:t xml:space="preserve">’s </w:t>
      </w:r>
      <w:r w:rsidR="0043763B">
        <w:t>deadline</w:t>
      </w:r>
      <w:r w:rsidR="007E4AD9">
        <w:t>s</w:t>
      </w:r>
      <w:r w:rsidRPr="00D806FC" w:rsidR="00D806FC">
        <w:t xml:space="preserve"> </w:t>
      </w:r>
      <w:r w:rsidR="008866F6">
        <w:t>for the State Personnel Board to render a decision following a hearing or investigation of a state employee’s appeal from a departmental disciplinary hearing</w:t>
      </w:r>
      <w:r w:rsidR="007E4AD9">
        <w:t xml:space="preserve"> </w:t>
      </w:r>
      <w:r w:rsidR="001E485F">
        <w:t xml:space="preserve">are not jurisdictional because </w:t>
      </w:r>
      <w:r w:rsidR="006A5774">
        <w:t>there is no “</w:t>
      </w:r>
      <w:r w:rsidRPr="006A5774" w:rsidR="006A5774">
        <w:t>statutory penalty or consequence which clearly reflects legislative intent to deprive the Board of further jurisdiction over an employee appeal and thereby invalidate future actions whenever the Board fails to render a timely decision</w:t>
      </w:r>
      <w:r w:rsidR="006A5774">
        <w:t>”].)</w:t>
      </w:r>
      <w:r w:rsidR="00CF2BC1">
        <w:t xml:space="preserve">  </w:t>
      </w:r>
    </w:p>
    <w:p w:rsidR="00094586" w:rsidP="00CF2BC1" w14:paraId="53EF8248" w14:textId="77777777">
      <w:pPr>
        <w:spacing w:after="0" w:line="288" w:lineRule="auto"/>
        <w:ind w:firstLine="720"/>
      </w:pPr>
    </w:p>
    <w:p w:rsidR="00336BF0" w:rsidP="00F94A65" w14:paraId="22C392E8" w14:textId="77777777">
      <w:pPr>
        <w:spacing w:after="0" w:line="288" w:lineRule="auto"/>
        <w:ind w:left="720" w:firstLine="720"/>
      </w:pPr>
      <w:r>
        <w:t xml:space="preserve">b. </w:t>
      </w:r>
      <w:r>
        <w:tab/>
      </w:r>
      <w:r w:rsidRPr="00336BF0">
        <w:rPr>
          <w:i/>
          <w:iCs/>
        </w:rPr>
        <w:t>The legislative history</w:t>
      </w:r>
    </w:p>
    <w:p w:rsidR="001179D0" w:rsidRPr="001179D0" w:rsidP="001179D0" w14:paraId="43E7898D" w14:textId="641376D1">
      <w:pPr>
        <w:spacing w:after="0" w:line="288" w:lineRule="auto"/>
        <w:ind w:firstLine="720"/>
      </w:pPr>
      <w:r w:rsidRPr="001179D0">
        <w:t>The legislative history also supports a finding section</w:t>
      </w:r>
      <w:r w:rsidR="005B1C2F">
        <w:t> </w:t>
      </w:r>
      <w:r w:rsidRPr="001179D0">
        <w:t xml:space="preserve">5909 </w:t>
      </w:r>
      <w:r w:rsidR="00450249">
        <w:t>limits</w:t>
      </w:r>
      <w:r w:rsidRPr="001179D0">
        <w:t xml:space="preserve"> the Board’s jurisdiction.  In 1911, in response to </w:t>
      </w:r>
      <w:r w:rsidR="00F92830">
        <w:t xml:space="preserve">a </w:t>
      </w:r>
      <w:r w:rsidR="00E6467B">
        <w:t>“</w:t>
      </w:r>
      <w:r w:rsidRPr="001179D0">
        <w:t>public clamor</w:t>
      </w:r>
      <w:r w:rsidR="00E6467B">
        <w:t> . . . </w:t>
      </w:r>
      <w:r w:rsidRPr="001179D0">
        <w:t>for reform of the laws relating to recovery for injuries received at work,</w:t>
      </w:r>
      <w:r w:rsidR="006C5AC4">
        <w:t>”</w:t>
      </w:r>
      <w:r w:rsidRPr="001179D0">
        <w:t xml:space="preserve"> the</w:t>
      </w:r>
      <w:r w:rsidR="005C6E9F">
        <w:t xml:space="preserve"> Legislature enacted the</w:t>
      </w:r>
      <w:r w:rsidRPr="001179D0">
        <w:t xml:space="preserve"> Roseberry Ac</w:t>
      </w:r>
      <w:r w:rsidR="005C6E9F">
        <w:t>t</w:t>
      </w:r>
      <w:r w:rsidR="00F92830">
        <w:t>,</w:t>
      </w:r>
      <w:r w:rsidRPr="001179D0" w:rsidR="00D35D14">
        <w:t xml:space="preserve"> establish</w:t>
      </w:r>
      <w:r w:rsidR="00130B13">
        <w:t>ing</w:t>
      </w:r>
      <w:r w:rsidRPr="001179D0" w:rsidR="00D35D14">
        <w:t xml:space="preserve"> a voluntary system of work</w:t>
      </w:r>
      <w:r w:rsidR="003F57CA">
        <w:t>ers’</w:t>
      </w:r>
      <w:r w:rsidRPr="001179D0" w:rsidR="00D35D14">
        <w:t xml:space="preserve"> compensation </w:t>
      </w:r>
      <w:r w:rsidR="005C698D">
        <w:t xml:space="preserve">that provided </w:t>
      </w:r>
      <w:r w:rsidRPr="001179D0" w:rsidR="00D35D14">
        <w:t xml:space="preserve">compensation </w:t>
      </w:r>
      <w:r w:rsidR="005C698D">
        <w:t>for employee</w:t>
      </w:r>
      <w:r w:rsidR="00E64439">
        <w:t>s’</w:t>
      </w:r>
      <w:r w:rsidR="005C698D">
        <w:t xml:space="preserve"> injuries w</w:t>
      </w:r>
      <w:r w:rsidRPr="001179D0" w:rsidR="00D35D14">
        <w:t>ithout regard to negligence</w:t>
      </w:r>
      <w:r w:rsidR="00721A93">
        <w:t>,</w:t>
      </w:r>
      <w:r w:rsidR="001D1A16">
        <w:t xml:space="preserve"> in lieu of other forms of </w:t>
      </w:r>
      <w:r w:rsidRPr="001179D0" w:rsidR="00D35D14">
        <w:t>liability.</w:t>
      </w:r>
      <w:r w:rsidR="001D1A16">
        <w:t xml:space="preserve">  (</w:t>
      </w:r>
      <w:r w:rsidRPr="00130B13" w:rsidR="00130B13">
        <w:rPr>
          <w:i/>
          <w:iCs/>
        </w:rPr>
        <w:t>Mathews v. Workers’ Comp. Appeals Bd.</w:t>
      </w:r>
      <w:r w:rsidRPr="00130B13" w:rsidR="00130B13">
        <w:t xml:space="preserve"> (1972) 6 Cal.3d 719, 728-729; see Stats. 1911, ch. 399, §</w:t>
      </w:r>
      <w:r w:rsidR="00130B13">
        <w:t>§</w:t>
      </w:r>
      <w:r w:rsidRPr="00130B13" w:rsidR="00130B13">
        <w:t xml:space="preserve"> 1, </w:t>
      </w:r>
      <w:r w:rsidR="00130B13">
        <w:t xml:space="preserve">3, </w:t>
      </w:r>
      <w:r w:rsidRPr="00130B13" w:rsidR="00130B13">
        <w:t xml:space="preserve">p. 796.)  </w:t>
      </w:r>
      <w:r w:rsidRPr="001179D0">
        <w:t xml:space="preserve">  </w:t>
      </w:r>
    </w:p>
    <w:p w:rsidR="001179D0" w:rsidRPr="001179D0" w:rsidP="001179D0" w14:paraId="2494B3B3" w14:textId="77777777">
      <w:pPr>
        <w:spacing w:after="0" w:line="288" w:lineRule="auto"/>
        <w:ind w:firstLine="720"/>
      </w:pPr>
      <w:r>
        <w:t xml:space="preserve">Under </w:t>
      </w:r>
      <w:r w:rsidRPr="001179D0">
        <w:t>the Roseberry Act</w:t>
      </w:r>
      <w:r>
        <w:t xml:space="preserve">, the industrial accident </w:t>
      </w:r>
      <w:r w:rsidR="00B841EE">
        <w:t>board heard and decided employee</w:t>
      </w:r>
      <w:r w:rsidRPr="001179D0">
        <w:t xml:space="preserve"> application</w:t>
      </w:r>
      <w:r w:rsidR="00B841EE">
        <w:t>s</w:t>
      </w:r>
      <w:r w:rsidRPr="001179D0">
        <w:t xml:space="preserve"> for compensation</w:t>
      </w:r>
      <w:r w:rsidR="00325411">
        <w:t xml:space="preserve">, made findings, and </w:t>
      </w:r>
      <w:r w:rsidRPr="00325411" w:rsidR="00325411">
        <w:t>issued award</w:t>
      </w:r>
      <w:r w:rsidR="00721A93">
        <w:t>s</w:t>
      </w:r>
      <w:r w:rsidRPr="00325411" w:rsidR="00325411">
        <w:t xml:space="preserve"> determining the rights of the parties</w:t>
      </w:r>
      <w:r w:rsidR="00325411">
        <w:t>.</w:t>
      </w:r>
      <w:r w:rsidRPr="001179D0">
        <w:t xml:space="preserve">  (Stats. 1911, ch. 399, </w:t>
      </w:r>
      <w:r w:rsidR="00CA5F93">
        <w:t>§</w:t>
      </w:r>
      <w:r w:rsidRPr="001179D0">
        <w:t>§ 15</w:t>
      </w:r>
      <w:r w:rsidR="00CA5F93">
        <w:t>, 16</w:t>
      </w:r>
      <w:r w:rsidR="0071289F">
        <w:t xml:space="preserve">, </w:t>
      </w:r>
      <w:r w:rsidRPr="001179D0" w:rsidR="0071289F">
        <w:t>p. 803</w:t>
      </w:r>
      <w:r w:rsidR="00CA5F93">
        <w:t>.</w:t>
      </w:r>
      <w:r w:rsidRPr="001179D0">
        <w:t>)</w:t>
      </w:r>
      <w:r w:rsidR="006A004A">
        <w:t xml:space="preserve">  </w:t>
      </w:r>
      <w:r w:rsidR="009C03DC">
        <w:t xml:space="preserve">An aggrieved party could </w:t>
      </w:r>
      <w:r w:rsidR="00D23138">
        <w:t>only o</w:t>
      </w:r>
      <w:r w:rsidR="009C03DC">
        <w:t>btain review of t</w:t>
      </w:r>
      <w:r w:rsidRPr="001179D0">
        <w:t xml:space="preserve">he board’s findings and award </w:t>
      </w:r>
      <w:r w:rsidR="009C03DC">
        <w:t xml:space="preserve">by </w:t>
      </w:r>
      <w:r w:rsidRPr="001179D0">
        <w:t>filing an application for review within 30 days of the date of the award</w:t>
      </w:r>
      <w:r w:rsidR="00690495">
        <w:t>, which would be considered by the superior court</w:t>
      </w:r>
      <w:r w:rsidRPr="001179D0">
        <w:t>.  (</w:t>
      </w:r>
      <w:r w:rsidRPr="00CB1F0F" w:rsidR="00CB1F0F">
        <w:rPr>
          <w:i/>
          <w:iCs/>
        </w:rPr>
        <w:t>Id</w:t>
      </w:r>
      <w:r w:rsidR="00CB1F0F">
        <w:t>.,</w:t>
      </w:r>
      <w:r w:rsidR="00956106">
        <w:t xml:space="preserve"> </w:t>
      </w:r>
      <w:r w:rsidR="0071289F">
        <w:t>§ </w:t>
      </w:r>
      <w:r w:rsidRPr="001179D0" w:rsidR="0071289F">
        <w:t>18</w:t>
      </w:r>
      <w:r w:rsidR="0071289F">
        <w:t xml:space="preserve">, </w:t>
      </w:r>
      <w:r w:rsidR="00956106">
        <w:t>p.</w:t>
      </w:r>
      <w:r w:rsidR="009F4E76">
        <w:t> </w:t>
      </w:r>
      <w:r w:rsidRPr="001179D0">
        <w:t xml:space="preserve">804.)  </w:t>
      </w:r>
      <w:r w:rsidR="00690495">
        <w:t>But t</w:t>
      </w:r>
      <w:r w:rsidRPr="001179D0">
        <w:t>he</w:t>
      </w:r>
      <w:r w:rsidR="0043610A">
        <w:t xml:space="preserve">re was no </w:t>
      </w:r>
      <w:r w:rsidR="000A4E7F">
        <w:t xml:space="preserve">deadline for </w:t>
      </w:r>
      <w:r w:rsidRPr="001179D0">
        <w:t>the superior court to confirm or set aside the board’s findings and award.</w:t>
      </w:r>
      <w:r w:rsidR="000A4E7F">
        <w:t xml:space="preserve">  </w:t>
      </w:r>
      <w:r w:rsidR="006C38C6">
        <w:t>O</w:t>
      </w:r>
      <w:r w:rsidR="000A4E7F">
        <w:t>nce the superior court made a decision,</w:t>
      </w:r>
      <w:r w:rsidR="00AA01E3">
        <w:t xml:space="preserve"> however,</w:t>
      </w:r>
      <w:r w:rsidR="000A4E7F">
        <w:t xml:space="preserve"> </w:t>
      </w:r>
      <w:r w:rsidR="008B1001">
        <w:t xml:space="preserve">an aggrieved party could appeal the judgment </w:t>
      </w:r>
      <w:r w:rsidRPr="001179D0">
        <w:t xml:space="preserve">to the </w:t>
      </w:r>
      <w:r w:rsidR="002175D6">
        <w:t>Supreme Court</w:t>
      </w:r>
      <w:r w:rsidRPr="001179D0">
        <w:t xml:space="preserve"> in the same time and manner as </w:t>
      </w:r>
      <w:r w:rsidR="00036997">
        <w:t>o</w:t>
      </w:r>
      <w:r w:rsidRPr="001179D0">
        <w:t xml:space="preserve">ther appeals </w:t>
      </w:r>
      <w:r w:rsidR="00036997">
        <w:t>from the</w:t>
      </w:r>
      <w:r w:rsidRPr="001179D0">
        <w:t xml:space="preserve"> superior court.  (</w:t>
      </w:r>
      <w:r w:rsidRPr="00036997" w:rsidR="00036997">
        <w:rPr>
          <w:i/>
          <w:iCs/>
        </w:rPr>
        <w:t>Id</w:t>
      </w:r>
      <w:r w:rsidR="00036997">
        <w:t xml:space="preserve">., </w:t>
      </w:r>
      <w:r w:rsidRPr="001179D0">
        <w:t>§</w:t>
      </w:r>
      <w:r w:rsidR="00BE4312">
        <w:t> </w:t>
      </w:r>
      <w:r w:rsidRPr="001179D0">
        <w:t>20</w:t>
      </w:r>
      <w:r w:rsidR="002175D6">
        <w:t xml:space="preserve">, </w:t>
      </w:r>
      <w:r w:rsidRPr="001179D0" w:rsidR="002175D6">
        <w:t>p.</w:t>
      </w:r>
      <w:r w:rsidR="002175D6">
        <w:t> </w:t>
      </w:r>
      <w:r w:rsidRPr="001179D0" w:rsidR="002175D6">
        <w:t>80</w:t>
      </w:r>
      <w:r w:rsidR="002175D6">
        <w:t>4</w:t>
      </w:r>
      <w:r w:rsidRPr="001179D0">
        <w:t xml:space="preserve">.)  Thus, while the Roseberry Act provided for a streamlined no-fault system, </w:t>
      </w:r>
      <w:r w:rsidR="00AA47D0">
        <w:t xml:space="preserve">the </w:t>
      </w:r>
      <w:r w:rsidR="00E62FA2">
        <w:t xml:space="preserve">board had no deadline for issuing its award, and the </w:t>
      </w:r>
      <w:r w:rsidR="00AA47D0">
        <w:t>initial review of</w:t>
      </w:r>
      <w:r w:rsidR="00E62FA2">
        <w:t xml:space="preserve"> the</w:t>
      </w:r>
      <w:r w:rsidR="00AA47D0">
        <w:t xml:space="preserve"> award was by the superior court with no deadline for a decision.</w:t>
      </w:r>
      <w:r w:rsidR="00C53597">
        <w:t xml:space="preserve">  </w:t>
      </w:r>
    </w:p>
    <w:p w:rsidR="001179D0" w:rsidRPr="001179D0" w:rsidP="001179D0" w14:paraId="77BEACD2" w14:textId="73BFF4C3">
      <w:pPr>
        <w:spacing w:after="0" w:line="288" w:lineRule="auto"/>
        <w:ind w:firstLine="720"/>
      </w:pPr>
      <w:r>
        <w:t xml:space="preserve">Shortly </w:t>
      </w:r>
      <w:r w:rsidR="00214ECF">
        <w:t xml:space="preserve">after </w:t>
      </w:r>
      <w:r w:rsidRPr="001179D0">
        <w:t>the Roseberry Act became effective, voters</w:t>
      </w:r>
      <w:r w:rsidR="00845CC4">
        <w:t xml:space="preserve"> approved </w:t>
      </w:r>
      <w:r w:rsidR="00253FBA">
        <w:t xml:space="preserve">the </w:t>
      </w:r>
      <w:r w:rsidR="009D1BF3">
        <w:t xml:space="preserve">addition of section 21 </w:t>
      </w:r>
      <w:r w:rsidR="00845CC4">
        <w:t xml:space="preserve">to article XX of the </w:t>
      </w:r>
      <w:r w:rsidRPr="001179D0">
        <w:t>Constitution</w:t>
      </w:r>
      <w:r w:rsidR="00F0076E">
        <w:t xml:space="preserve">, </w:t>
      </w:r>
      <w:r w:rsidR="008943DB">
        <w:t>authoriz</w:t>
      </w:r>
      <w:r w:rsidR="00416E13">
        <w:t>ing</w:t>
      </w:r>
      <w:r w:rsidR="000D016B">
        <w:t xml:space="preserve"> establishment of </w:t>
      </w:r>
      <w:r w:rsidRPr="001179D0">
        <w:t>a compulsory workers’ compensation system</w:t>
      </w:r>
      <w:r w:rsidR="000D016B">
        <w:t xml:space="preserve"> that would </w:t>
      </w:r>
      <w:r w:rsidR="00B17345">
        <w:t>make</w:t>
      </w:r>
      <w:r w:rsidR="0070507E">
        <w:t xml:space="preserve"> employers </w:t>
      </w:r>
      <w:r w:rsidR="008943DB">
        <w:t>liabl</w:t>
      </w:r>
      <w:r w:rsidR="00F0076E">
        <w:t>e</w:t>
      </w:r>
      <w:r w:rsidR="008943DB">
        <w:t xml:space="preserve"> for</w:t>
      </w:r>
      <w:r w:rsidR="00B17345">
        <w:t xml:space="preserve"> paying</w:t>
      </w:r>
      <w:r w:rsidR="008943DB">
        <w:t xml:space="preserve"> compensation to</w:t>
      </w:r>
      <w:r w:rsidR="0070507E">
        <w:t xml:space="preserve"> their employees for injuries </w:t>
      </w:r>
      <w:r w:rsidR="00894F68">
        <w:t xml:space="preserve">incurred </w:t>
      </w:r>
      <w:r w:rsidR="0070507E">
        <w:t xml:space="preserve">during the course of their employment </w:t>
      </w:r>
      <w:r w:rsidRPr="00C12BC9" w:rsidR="0070507E">
        <w:t>“</w:t>
      </w:r>
      <w:r w:rsidRPr="00C12BC9" w:rsidR="00EB613A">
        <w:t>‘</w:t>
      </w:r>
      <w:r w:rsidRPr="003351F6">
        <w:t>irrespective of the fault of either party</w:t>
      </w:r>
      <w:r w:rsidRPr="00C12BC9">
        <w:t>.</w:t>
      </w:r>
      <w:r w:rsidRPr="00C12BC9" w:rsidR="00EB613A">
        <w:t>’</w:t>
      </w:r>
      <w:r w:rsidRPr="00C12BC9" w:rsidR="0070507E">
        <w:t>”</w:t>
      </w:r>
      <w:r w:rsidRPr="001179D0">
        <w:t xml:space="preserve">  (</w:t>
      </w:r>
      <w:r w:rsidRPr="001179D0">
        <w:rPr>
          <w:i/>
          <w:iCs/>
        </w:rPr>
        <w:t>Mathews</w:t>
      </w:r>
      <w:r w:rsidR="0002523D">
        <w:rPr>
          <w:i/>
          <w:iCs/>
        </w:rPr>
        <w:t xml:space="preserve"> </w:t>
      </w:r>
      <w:r w:rsidRPr="00130B13" w:rsidR="0002523D">
        <w:rPr>
          <w:i/>
          <w:iCs/>
        </w:rPr>
        <w:t>v. Workers’ Comp. Appeals Bd.</w:t>
      </w:r>
      <w:r w:rsidRPr="001179D0">
        <w:t xml:space="preserve">, </w:t>
      </w:r>
      <w:r w:rsidRPr="001179D0">
        <w:rPr>
          <w:i/>
          <w:iCs/>
        </w:rPr>
        <w:t>supra</w:t>
      </w:r>
      <w:r w:rsidRPr="001179D0">
        <w:t>, 6</w:t>
      </w:r>
      <w:r w:rsidR="00464047">
        <w:t> </w:t>
      </w:r>
      <w:r w:rsidRPr="001179D0">
        <w:t>Cal.3d at p. 730</w:t>
      </w:r>
      <w:r w:rsidR="00C12BC9">
        <w:t>, italics omitted</w:t>
      </w:r>
      <w:r w:rsidR="009645A7">
        <w:t xml:space="preserve">; </w:t>
      </w:r>
      <w:r w:rsidR="0088100B">
        <w:t xml:space="preserve">see </w:t>
      </w:r>
      <w:r w:rsidR="009645A7">
        <w:t>Cal. Const.</w:t>
      </w:r>
      <w:r w:rsidR="00732C4F">
        <w:t>,</w:t>
      </w:r>
      <w:r w:rsidR="009645A7">
        <w:t xml:space="preserve"> </w:t>
      </w:r>
      <w:r w:rsidR="003E5A9E">
        <w:t xml:space="preserve">former </w:t>
      </w:r>
      <w:r w:rsidR="009D6DAB">
        <w:t>a</w:t>
      </w:r>
      <w:r w:rsidRPr="001179D0" w:rsidR="009D6DAB">
        <w:t>rt</w:t>
      </w:r>
      <w:r w:rsidRPr="001179D0" w:rsidR="009645A7">
        <w:t xml:space="preserve">. XX, </w:t>
      </w:r>
      <w:r w:rsidR="00732C4F">
        <w:t>§</w:t>
      </w:r>
      <w:r w:rsidR="008A3F2F">
        <w:t> </w:t>
      </w:r>
      <w:r w:rsidRPr="001179D0" w:rsidR="009645A7">
        <w:t>21</w:t>
      </w:r>
      <w:r w:rsidR="003E5A9E">
        <w:t>.</w:t>
      </w:r>
      <w:r w:rsidRPr="001179D0">
        <w:t>)</w:t>
      </w:r>
      <w:r w:rsidR="006A5D3F">
        <w:t xml:space="preserve">  </w:t>
      </w:r>
      <w:r w:rsidR="00732C4F">
        <w:t xml:space="preserve">Former </w:t>
      </w:r>
      <w:r w:rsidR="00BE4312">
        <w:t>article </w:t>
      </w:r>
      <w:r w:rsidR="006A5D3F">
        <w:t>XX, section</w:t>
      </w:r>
      <w:r w:rsidR="0002523D">
        <w:t> </w:t>
      </w:r>
      <w:r w:rsidR="006A5D3F">
        <w:t>21 of the Constitution</w:t>
      </w:r>
      <w:r w:rsidR="00B512EF">
        <w:t xml:space="preserve">, as amended in </w:t>
      </w:r>
      <w:r w:rsidR="00AF2D28">
        <w:t>1918</w:t>
      </w:r>
      <w:r w:rsidR="006A5D3F">
        <w:t xml:space="preserve"> </w:t>
      </w:r>
      <w:r w:rsidR="00BC4A3F">
        <w:t>(</w:t>
      </w:r>
      <w:r w:rsidR="00416E13">
        <w:t xml:space="preserve">now found in </w:t>
      </w:r>
      <w:r w:rsidR="00AC6098">
        <w:t>article</w:t>
      </w:r>
      <w:r w:rsidR="00464047">
        <w:t> </w:t>
      </w:r>
      <w:r w:rsidR="00AC6098">
        <w:t>XIV, section 4)</w:t>
      </w:r>
      <w:r>
        <w:rPr>
          <w:rStyle w:val="FootnoteReference"/>
        </w:rPr>
        <w:footnoteReference w:id="14"/>
      </w:r>
      <w:r w:rsidR="00AC6098">
        <w:t xml:space="preserve"> </w:t>
      </w:r>
      <w:r w:rsidR="0008665D">
        <w:t xml:space="preserve">specified </w:t>
      </w:r>
      <w:r w:rsidR="000E696C">
        <w:t>the goal of any</w:t>
      </w:r>
      <w:r w:rsidR="009403E7">
        <w:t xml:space="preserve"> </w:t>
      </w:r>
      <w:r w:rsidR="00BC4A3F">
        <w:t>workers’ compensation system</w:t>
      </w:r>
      <w:r w:rsidR="00416E13">
        <w:t xml:space="preserve"> </w:t>
      </w:r>
      <w:r w:rsidR="0008665D">
        <w:t xml:space="preserve">that </w:t>
      </w:r>
      <w:r w:rsidR="00416E13">
        <w:t>“</w:t>
      </w:r>
      <w:r w:rsidRPr="00BC4A3F" w:rsidR="00BC4A3F">
        <w:t>the administration of such legislation shall accomplish substantial justice in all cases expeditiously, inexpensively, and without incumbrance of any character</w:t>
      </w:r>
      <w:bookmarkStart w:id="2" w:name="_Hlk148601710"/>
      <w:r w:rsidR="00416E13">
        <w:t xml:space="preserve">.”  </w:t>
      </w:r>
      <w:r w:rsidR="004A13DF">
        <w:t xml:space="preserve">In response to the constitutional amendment, the Legislature in </w:t>
      </w:r>
      <w:r w:rsidR="002A0728">
        <w:t xml:space="preserve">1913 </w:t>
      </w:r>
      <w:r w:rsidR="004A13DF">
        <w:t xml:space="preserve">enacted the first compulsory </w:t>
      </w:r>
      <w:r w:rsidR="00474DE7">
        <w:t>workers’ compensation system</w:t>
      </w:r>
      <w:r w:rsidR="00F04D64">
        <w:t>,</w:t>
      </w:r>
      <w:r w:rsidR="00474DE7">
        <w:t xml:space="preserve"> </w:t>
      </w:r>
      <w:r w:rsidR="004A13DF">
        <w:t xml:space="preserve">with </w:t>
      </w:r>
      <w:r w:rsidR="00F04D64">
        <w:t>p</w:t>
      </w:r>
      <w:r w:rsidR="004A13DF">
        <w:t xml:space="preserve">rovisions </w:t>
      </w:r>
      <w:r w:rsidR="00F04D64">
        <w:t xml:space="preserve">similar </w:t>
      </w:r>
      <w:r w:rsidR="004A13DF">
        <w:t xml:space="preserve">to those </w:t>
      </w:r>
      <w:r w:rsidR="00B6532C">
        <w:t xml:space="preserve">that govern workers’ compensation proceedings today.  </w:t>
      </w:r>
      <w:r w:rsidRPr="001179D0">
        <w:t>(</w:t>
      </w:r>
      <w:r w:rsidRPr="00C310AB" w:rsidR="00F95EF2">
        <w:rPr>
          <w:i/>
          <w:iCs/>
        </w:rPr>
        <w:t xml:space="preserve">Mathews, </w:t>
      </w:r>
      <w:r w:rsidR="00F95EF2">
        <w:t>at p.</w:t>
      </w:r>
      <w:r w:rsidR="0002523D">
        <w:t> </w:t>
      </w:r>
      <w:r w:rsidRPr="00F95EF2" w:rsidR="00F95EF2">
        <w:t>730</w:t>
      </w:r>
      <w:r w:rsidR="00F95EF2">
        <w:t xml:space="preserve">; </w:t>
      </w:r>
      <w:r w:rsidRPr="001179D0">
        <w:rPr>
          <w:i/>
          <w:iCs/>
        </w:rPr>
        <w:t xml:space="preserve">Great Western Power Co. v. Industrial Accident Commission </w:t>
      </w:r>
      <w:r w:rsidRPr="001179D0">
        <w:t>(1925) 196</w:t>
      </w:r>
      <w:r w:rsidR="003B321D">
        <w:t> </w:t>
      </w:r>
      <w:r w:rsidRPr="001179D0">
        <w:t>Cal. 593, 602</w:t>
      </w:r>
      <w:r w:rsidR="00B921F2">
        <w:t xml:space="preserve">; </w:t>
      </w:r>
      <w:r w:rsidR="00E938C2">
        <w:t xml:space="preserve">see </w:t>
      </w:r>
      <w:r w:rsidRPr="001179D0">
        <w:t>Stats.</w:t>
      </w:r>
      <w:r w:rsidR="00464047">
        <w:t> </w:t>
      </w:r>
      <w:r w:rsidRPr="001179D0">
        <w:t xml:space="preserve">1913, ch. 176, </w:t>
      </w:r>
      <w:r w:rsidR="00365AF1">
        <w:t>p</w:t>
      </w:r>
      <w:r w:rsidRPr="001179D0">
        <w:t>p.</w:t>
      </w:r>
      <w:r w:rsidR="00427A0F">
        <w:t> </w:t>
      </w:r>
      <w:r w:rsidRPr="001179D0">
        <w:t>279</w:t>
      </w:r>
      <w:r w:rsidR="00365AF1">
        <w:t>-320</w:t>
      </w:r>
      <w:r w:rsidRPr="001179D0">
        <w:t>.)</w:t>
      </w:r>
      <w:bookmarkEnd w:id="2"/>
      <w:r w:rsidR="00E938C2">
        <w:t xml:space="preserve">  </w:t>
      </w:r>
      <w:r w:rsidR="00A76F9A">
        <w:t>T</w:t>
      </w:r>
      <w:r w:rsidR="005A40B0">
        <w:t xml:space="preserve">he </w:t>
      </w:r>
      <w:r w:rsidR="00D44066">
        <w:t>Boynton Act</w:t>
      </w:r>
      <w:r w:rsidR="000815EF">
        <w:t xml:space="preserve">, </w:t>
      </w:r>
      <w:r w:rsidR="00977AC1">
        <w:t xml:space="preserve">officially known as </w:t>
      </w:r>
      <w:r w:rsidR="000815EF">
        <w:t xml:space="preserve">the </w:t>
      </w:r>
      <w:r w:rsidRPr="004F0428" w:rsidR="004F0428">
        <w:rPr>
          <w:rFonts w:eastAsia="Times New Roman"/>
        </w:rPr>
        <w:t>Workmen’s Compensation, Insurance, and Safety Act</w:t>
      </w:r>
      <w:r w:rsidR="000815EF">
        <w:rPr>
          <w:rFonts w:eastAsia="Times New Roman"/>
        </w:rPr>
        <w:t>,</w:t>
      </w:r>
      <w:r w:rsidR="005A40B0">
        <w:t xml:space="preserve"> created an </w:t>
      </w:r>
      <w:r w:rsidR="004B52EA">
        <w:t>“</w:t>
      </w:r>
      <w:r w:rsidR="005A40B0">
        <w:t>industrial accident commission</w:t>
      </w:r>
      <w:r w:rsidR="0070090C">
        <w:t xml:space="preserve">, </w:t>
      </w:r>
      <w:r w:rsidRPr="001179D0" w:rsidR="006330C6">
        <w:t xml:space="preserve">providing for its organization, defining its powers and duties </w:t>
      </w:r>
      <w:r w:rsidRPr="007F6E2A" w:rsidR="006330C6">
        <w:rPr>
          <w:i/>
          <w:iCs/>
        </w:rPr>
        <w:t xml:space="preserve">and providing for a review of its </w:t>
      </w:r>
      <w:r w:rsidRPr="004F346E" w:rsidR="006330C6">
        <w:rPr>
          <w:i/>
          <w:iCs/>
        </w:rPr>
        <w:t>orders, decisions and award</w:t>
      </w:r>
      <w:r w:rsidRPr="001179D0" w:rsidR="006330C6">
        <w:t>.”</w:t>
      </w:r>
      <w:r w:rsidR="004B52EA">
        <w:t xml:space="preserve">  (</w:t>
      </w:r>
      <w:r w:rsidRPr="001179D0" w:rsidR="004B52EA">
        <w:t>Stats. 1913, ch. 176,</w:t>
      </w:r>
      <w:r w:rsidR="004B52EA">
        <w:t xml:space="preserve"> preamble,</w:t>
      </w:r>
      <w:r w:rsidRPr="001179D0" w:rsidR="004B52EA">
        <w:t xml:space="preserve"> p.</w:t>
      </w:r>
      <w:r w:rsidR="00464047">
        <w:t> </w:t>
      </w:r>
      <w:r w:rsidRPr="001179D0" w:rsidR="004B52EA">
        <w:t>279</w:t>
      </w:r>
      <w:r w:rsidR="006A7412">
        <w:t xml:space="preserve">, italics </w:t>
      </w:r>
      <w:r w:rsidR="00C12FE5">
        <w:t>partially omitted</w:t>
      </w:r>
      <w:r w:rsidR="004B52EA">
        <w:t>.)</w:t>
      </w:r>
      <w:r w:rsidRPr="001179D0" w:rsidR="006330C6">
        <w:t xml:space="preserve"> </w:t>
      </w:r>
      <w:r w:rsidRPr="001179D0">
        <w:t xml:space="preserve">  </w:t>
      </w:r>
    </w:p>
    <w:p w:rsidR="00541A87" w:rsidRPr="00541A87" w:rsidP="00541A87" w14:paraId="68F8E97A" w14:textId="5C31622A">
      <w:pPr>
        <w:spacing w:after="0" w:line="288" w:lineRule="auto"/>
        <w:ind w:firstLine="720"/>
      </w:pPr>
      <w:r w:rsidRPr="00541A87">
        <w:t xml:space="preserve">In contrast to the Roseberry Act, the Boynton Act required the industrial accident commission (commission) to issue its findings and award </w:t>
      </w:r>
      <w:r w:rsidR="00EE088B">
        <w:t xml:space="preserve">within 30 days </w:t>
      </w:r>
      <w:r w:rsidR="005D581F">
        <w:t>of the hearing.</w:t>
      </w:r>
      <w:r w:rsidRPr="00541A87">
        <w:t xml:space="preserve">  (Stats.</w:t>
      </w:r>
      <w:r w:rsidR="00071748">
        <w:t> </w:t>
      </w:r>
      <w:r w:rsidRPr="00541A87">
        <w:t xml:space="preserve">1913, ch. 176, </w:t>
      </w:r>
      <w:r w:rsidRPr="00541A87" w:rsidR="00D22BD1">
        <w:t>§</w:t>
      </w:r>
      <w:r w:rsidR="0005032C">
        <w:t> </w:t>
      </w:r>
      <w:r w:rsidRPr="00541A87" w:rsidR="00D22BD1">
        <w:t>25</w:t>
      </w:r>
      <w:r w:rsidR="00D22BD1">
        <w:t xml:space="preserve">, </w:t>
      </w:r>
      <w:r w:rsidRPr="00541A87">
        <w:t>p.</w:t>
      </w:r>
      <w:r w:rsidR="009F4E76">
        <w:t> </w:t>
      </w:r>
      <w:r w:rsidRPr="00541A87">
        <w:t xml:space="preserve">292).  </w:t>
      </w:r>
      <w:r w:rsidR="005D581F">
        <w:t>T</w:t>
      </w:r>
      <w:r w:rsidRPr="00541A87">
        <w:t>he commission could appoint referees to hear matters and report their findings and conclusions to the commission within 20 days.  (</w:t>
      </w:r>
      <w:r w:rsidRPr="00541A87">
        <w:rPr>
          <w:i/>
          <w:iCs/>
        </w:rPr>
        <w:t>Id</w:t>
      </w:r>
      <w:r w:rsidRPr="00541A87">
        <w:t>., §</w:t>
      </w:r>
      <w:r w:rsidR="00255E2F">
        <w:t> </w:t>
      </w:r>
      <w:r w:rsidRPr="00541A87">
        <w:t>76, subds.</w:t>
      </w:r>
      <w:r w:rsidR="005078FD">
        <w:t> </w:t>
      </w:r>
      <w:r w:rsidRPr="00541A87">
        <w:t>(a), (b) &amp; (e)</w:t>
      </w:r>
      <w:r w:rsidR="00D22BD1">
        <w:t xml:space="preserve">, </w:t>
      </w:r>
      <w:r w:rsidRPr="00541A87" w:rsidR="00D22BD1">
        <w:t>pp.</w:t>
      </w:r>
      <w:r w:rsidR="00427A0F">
        <w:t> </w:t>
      </w:r>
      <w:r w:rsidRPr="00541A87" w:rsidR="00D22BD1">
        <w:t>312-313</w:t>
      </w:r>
      <w:r w:rsidRPr="00541A87">
        <w:t>.)  However, a single commissioner’s or a referee’s finding, order, decision, or award could only be deemed a decision of the commission if approved and confirmed by a majority of the members of the commission.  (</w:t>
      </w:r>
      <w:r w:rsidRPr="00541A87">
        <w:rPr>
          <w:i/>
          <w:iCs/>
        </w:rPr>
        <w:t>Id</w:t>
      </w:r>
      <w:r w:rsidRPr="00541A87">
        <w:t xml:space="preserve">., </w:t>
      </w:r>
      <w:r w:rsidRPr="00541A87" w:rsidR="00F95DB1">
        <w:t>§ 4</w:t>
      </w:r>
      <w:r w:rsidRPr="00541A87">
        <w:t xml:space="preserve">, </w:t>
      </w:r>
      <w:r w:rsidR="00F95DB1">
        <w:t>p</w:t>
      </w:r>
      <w:r w:rsidRPr="00541A87">
        <w:t>p.</w:t>
      </w:r>
      <w:r w:rsidR="00AE4464">
        <w:t xml:space="preserve"> </w:t>
      </w:r>
      <w:r w:rsidR="001D3C49">
        <w:t>280-</w:t>
      </w:r>
      <w:r w:rsidRPr="00541A87">
        <w:t xml:space="preserve">281.)  </w:t>
      </w:r>
    </w:p>
    <w:p w:rsidR="00CB455D" w:rsidP="00CB455D" w14:paraId="3021CA75" w14:textId="325CEB48">
      <w:pPr>
        <w:spacing w:after="0" w:line="288" w:lineRule="auto"/>
        <w:ind w:firstLine="720"/>
      </w:pPr>
      <w:r>
        <w:t>Significantly, t</w:t>
      </w:r>
      <w:r w:rsidRPr="001179D0">
        <w:t xml:space="preserve">he Boynton Act </w:t>
      </w:r>
      <w:r>
        <w:t xml:space="preserve">replaced the Roseberry Act’s procedure for review by the superior court with a procedure for an aggrieved party to file </w:t>
      </w:r>
      <w:r w:rsidR="007E569B">
        <w:t xml:space="preserve">a </w:t>
      </w:r>
      <w:r>
        <w:t>petition for a rehearing (now called a petition for reconsideration)</w:t>
      </w:r>
      <w:r>
        <w:rPr>
          <w:rStyle w:val="FootnoteReference"/>
        </w:rPr>
        <w:footnoteReference w:id="15"/>
      </w:r>
      <w:r>
        <w:t xml:space="preserve"> of the commission’s decision within specified deadlines.  </w:t>
      </w:r>
      <w:r w:rsidRPr="001179D0">
        <w:t>Section</w:t>
      </w:r>
      <w:r>
        <w:t>s</w:t>
      </w:r>
      <w:r w:rsidRPr="001179D0">
        <w:t xml:space="preserve"> 81 </w:t>
      </w:r>
      <w:r>
        <w:t xml:space="preserve">and 82 </w:t>
      </w:r>
      <w:r w:rsidRPr="001179D0">
        <w:t xml:space="preserve">allowed any person aggrieved by the </w:t>
      </w:r>
      <w:r>
        <w:t>c</w:t>
      </w:r>
      <w:r w:rsidRPr="001179D0">
        <w:t>ommission’s final decision to apply to the commission for a rehearing within 20 days of the final order or decision of the commission.  (Stats. 1913, ch. 176, §§</w:t>
      </w:r>
      <w:r>
        <w:t> </w:t>
      </w:r>
      <w:r w:rsidRPr="001179D0">
        <w:t>81, subd.</w:t>
      </w:r>
      <w:r w:rsidR="00071748">
        <w:t> </w:t>
      </w:r>
      <w:r w:rsidRPr="001179D0">
        <w:t>(a), 82, subd.</w:t>
      </w:r>
      <w:r w:rsidR="00255E2F">
        <w:t> </w:t>
      </w:r>
      <w:r w:rsidRPr="001179D0">
        <w:t>(a)</w:t>
      </w:r>
      <w:r w:rsidR="000B62D0">
        <w:t>, pp. 315-317</w:t>
      </w:r>
      <w:r w:rsidRPr="001179D0">
        <w:t>.)  Section</w:t>
      </w:r>
      <w:r w:rsidR="007E569B">
        <w:t> </w:t>
      </w:r>
      <w:r w:rsidRPr="001179D0">
        <w:t>81</w:t>
      </w:r>
      <w:r>
        <w:t>, subdivision</w:t>
      </w:r>
      <w:r w:rsidR="00071748">
        <w:t> </w:t>
      </w:r>
      <w:r>
        <w:t>(f),</w:t>
      </w:r>
      <w:r w:rsidRPr="001179D0">
        <w:t xml:space="preserve"> </w:t>
      </w:r>
      <w:r>
        <w:t xml:space="preserve">provided further </w:t>
      </w:r>
      <w:r w:rsidRPr="001179D0">
        <w:t xml:space="preserve">that “[a]n application for a rehearing shall be deemed to have been denied by the commission unless it shall have been acted upon within thirty days from the date of filing; </w:t>
      </w:r>
      <w:r w:rsidRPr="001179D0">
        <w:rPr>
          <w:i/>
          <w:iCs/>
        </w:rPr>
        <w:t>provided, however</w:t>
      </w:r>
      <w:r w:rsidRPr="001179D0">
        <w:t>, that the commission may upon good cause being shown therefor, extend the time within which it may act upon such application for rehearing for not exceeding thirty days.”  (</w:t>
      </w:r>
      <w:r w:rsidRPr="002E2B03">
        <w:rPr>
          <w:i/>
          <w:iCs/>
        </w:rPr>
        <w:t>Id</w:t>
      </w:r>
      <w:r>
        <w:t xml:space="preserve">., </w:t>
      </w:r>
      <w:r w:rsidRPr="001179D0">
        <w:t>§</w:t>
      </w:r>
      <w:r w:rsidR="00101A76">
        <w:t> </w:t>
      </w:r>
      <w:r w:rsidRPr="001179D0">
        <w:t>81, subd.</w:t>
      </w:r>
      <w:r w:rsidR="000B62D0">
        <w:t> </w:t>
      </w:r>
      <w:r w:rsidRPr="001179D0">
        <w:t>(f)</w:t>
      </w:r>
      <w:r w:rsidR="000B62D0">
        <w:t>, p. 317</w:t>
      </w:r>
      <w:r w:rsidRPr="001179D0">
        <w:t>.)</w:t>
      </w:r>
      <w:r>
        <w:t xml:space="preserve">  </w:t>
      </w:r>
      <w:r w:rsidRPr="00C76F3D">
        <w:t xml:space="preserve">The </w:t>
      </w:r>
      <w:r>
        <w:t>ac</w:t>
      </w:r>
      <w:r w:rsidRPr="00C76F3D">
        <w:t xml:space="preserve">t also </w:t>
      </w:r>
      <w:r>
        <w:t>created a procedure for</w:t>
      </w:r>
      <w:r w:rsidRPr="00C76F3D">
        <w:t xml:space="preserve"> judicial review </w:t>
      </w:r>
      <w:r>
        <w:t xml:space="preserve">of a denial of a petition for rehearing (or a decision following a grant of rehearing), allowing an aggrieved party to file </w:t>
      </w:r>
      <w:r w:rsidRPr="00C76F3D">
        <w:t>a</w:t>
      </w:r>
      <w:r>
        <w:t xml:space="preserve"> petition for</w:t>
      </w:r>
      <w:r w:rsidRPr="00C76F3D">
        <w:t xml:space="preserve"> </w:t>
      </w:r>
      <w:r w:rsidR="009C0713">
        <w:t xml:space="preserve">a </w:t>
      </w:r>
      <w:r w:rsidRPr="00C76F3D">
        <w:t xml:space="preserve">writ of review </w:t>
      </w:r>
      <w:r>
        <w:t>in</w:t>
      </w:r>
      <w:r w:rsidRPr="00C76F3D">
        <w:t xml:space="preserve"> the </w:t>
      </w:r>
      <w:r w:rsidR="000B62D0">
        <w:t xml:space="preserve">Court </w:t>
      </w:r>
      <w:r>
        <w:t xml:space="preserve">of </w:t>
      </w:r>
      <w:r w:rsidR="000B62D0">
        <w:t xml:space="preserve">Appeal </w:t>
      </w:r>
      <w:r>
        <w:t xml:space="preserve">or </w:t>
      </w:r>
      <w:r w:rsidR="000B62D0">
        <w:t>the S</w:t>
      </w:r>
      <w:r w:rsidRPr="00C76F3D">
        <w:t xml:space="preserve">upreme </w:t>
      </w:r>
      <w:r w:rsidR="000B62D0">
        <w:t>C</w:t>
      </w:r>
      <w:r w:rsidRPr="00C76F3D" w:rsidR="000B62D0">
        <w:t xml:space="preserve">ourt </w:t>
      </w:r>
      <w:r w:rsidRPr="00C76F3D">
        <w:t xml:space="preserve">within 30 days of </w:t>
      </w:r>
      <w:r w:rsidR="007E569B">
        <w:t xml:space="preserve">the </w:t>
      </w:r>
      <w:r>
        <w:t>denial of the petition or the</w:t>
      </w:r>
      <w:r w:rsidRPr="00C76F3D">
        <w:t xml:space="preserve"> decision</w:t>
      </w:r>
      <w:r>
        <w:t xml:space="preserve"> following a grant</w:t>
      </w:r>
      <w:r w:rsidRPr="00D95EA4">
        <w:t>.  (</w:t>
      </w:r>
      <w:r w:rsidRPr="00101A76" w:rsidR="000B62D0">
        <w:rPr>
          <w:i/>
          <w:iCs/>
        </w:rPr>
        <w:t>Id</w:t>
      </w:r>
      <w:r w:rsidR="000B62D0">
        <w:t>.</w:t>
      </w:r>
      <w:r w:rsidRPr="00D95EA4">
        <w:t>, §</w:t>
      </w:r>
      <w:r w:rsidR="000B62D0">
        <w:t> </w:t>
      </w:r>
      <w:r w:rsidRPr="00D95EA4">
        <w:t>84, subd.</w:t>
      </w:r>
      <w:r w:rsidR="00071748">
        <w:t> </w:t>
      </w:r>
      <w:r w:rsidRPr="00D95EA4">
        <w:t>(a)</w:t>
      </w:r>
      <w:r w:rsidR="000B62D0">
        <w:t>, p.</w:t>
      </w:r>
      <w:r w:rsidR="00071748">
        <w:t> </w:t>
      </w:r>
      <w:r w:rsidR="000B62D0">
        <w:t>318</w:t>
      </w:r>
      <w:r w:rsidRPr="00D95EA4">
        <w:t xml:space="preserve">.)  </w:t>
      </w:r>
    </w:p>
    <w:p w:rsidR="00CB455D" w:rsidRPr="00A41627" w:rsidP="00CB455D" w14:paraId="1B60BBE1" w14:textId="3F4155DA">
      <w:pPr>
        <w:spacing w:after="0" w:line="288" w:lineRule="auto"/>
        <w:ind w:firstLine="720"/>
      </w:pPr>
      <w:bookmarkStart w:id="3" w:name="_Hlk148355018"/>
      <w:r w:rsidRPr="00A41627">
        <w:t xml:space="preserve">A Report of the Industrial Accident Commission on the status of the Boynton Act through June 30, </w:t>
      </w:r>
      <w:r w:rsidR="00FB60B2">
        <w:t>1914</w:t>
      </w:r>
      <w:r>
        <w:t xml:space="preserve"> addressed </w:t>
      </w:r>
      <w:r w:rsidRPr="00A41627">
        <w:t>“</w:t>
      </w:r>
      <w:r>
        <w:t>[o]</w:t>
      </w:r>
      <w:r w:rsidRPr="00A41627">
        <w:t xml:space="preserve">ne </w:t>
      </w:r>
      <w:r>
        <w:t>[c]</w:t>
      </w:r>
      <w:r w:rsidRPr="00A41627">
        <w:t xml:space="preserve">rucial </w:t>
      </w:r>
      <w:r>
        <w:t>[i]</w:t>
      </w:r>
      <w:r w:rsidRPr="00A41627">
        <w:t xml:space="preserve">ssue” that was “fundamentally important to the successful operation” of the Boynton Act.  The </w:t>
      </w:r>
      <w:r>
        <w:t xml:space="preserve">report </w:t>
      </w:r>
      <w:r w:rsidR="0038050A">
        <w:t xml:space="preserve">rejected the position of </w:t>
      </w:r>
      <w:r w:rsidRPr="00A41627">
        <w:t xml:space="preserve">the </w:t>
      </w:r>
      <w:r w:rsidRPr="00AD282A">
        <w:t xml:space="preserve">workers’ compensation bar </w:t>
      </w:r>
      <w:r w:rsidRPr="00AD282A" w:rsidR="0038050A">
        <w:t>that</w:t>
      </w:r>
      <w:r w:rsidRPr="00AD282A">
        <w:t xml:space="preserve"> </w:t>
      </w:r>
      <w:r w:rsidRPr="00AD282A" w:rsidR="00AD282A">
        <w:t>attorneys</w:t>
      </w:r>
      <w:r w:rsidRPr="00AD282A">
        <w:t xml:space="preserve"> should be able to present their case</w:t>
      </w:r>
      <w:r w:rsidRPr="00AD282A" w:rsidR="0038050A">
        <w:t>s</w:t>
      </w:r>
      <w:r w:rsidRPr="00AD282A">
        <w:t xml:space="preserve"> in the </w:t>
      </w:r>
      <w:r w:rsidRPr="00AD282A" w:rsidR="003351F6">
        <w:t xml:space="preserve">same </w:t>
      </w:r>
      <w:r w:rsidRPr="00AD282A">
        <w:t>manner they could before a court</w:t>
      </w:r>
      <w:r w:rsidRPr="00AD282A" w:rsidR="00092098">
        <w:t>, explaining,</w:t>
      </w:r>
      <w:r w:rsidRPr="00AD282A">
        <w:t xml:space="preserve"> “It is</w:t>
      </w:r>
      <w:r w:rsidRPr="00A41627">
        <w:t xml:space="preserve"> better for the state and for the people of the state that what may be termed ‘average justice’ shall be speedily and inexpensively administered than exact justice shall be striven for at a cost that, in many cases, would consume the entire amount involved and leave the applicant indebted for costs and expenses besides. </w:t>
      </w:r>
      <w:r w:rsidR="007161F4">
        <w:t xml:space="preserve"> </w:t>
      </w:r>
      <w:r w:rsidR="00716548">
        <w:t>[</w:t>
      </w:r>
      <w:r w:rsidR="007161F4">
        <w:t>¶</w:t>
      </w:r>
      <w:r w:rsidR="00716548">
        <w:t>]</w:t>
      </w:r>
      <w:r w:rsidR="005F2C00">
        <w:t xml:space="preserve"> </w:t>
      </w:r>
      <w:r w:rsidR="00716548">
        <w:t xml:space="preserve"> </w:t>
      </w:r>
      <w:r w:rsidRPr="00A41627">
        <w:t>. . .  In short, it is the purpose of the Commission to afford an object lesson as to how to determine issues of minor consequence with reasonable certainty and without delay or burdensome expenditure.”  (</w:t>
      </w:r>
      <w:r w:rsidRPr="004D3AB6" w:rsidR="004D3AB6">
        <w:t>Cal. Industrial Accident Com., Rep. of the Industrial Accident Com. of the State of Cal. for the Year 1913 and from January 1 to June</w:t>
      </w:r>
      <w:r w:rsidR="008663FF">
        <w:t> </w:t>
      </w:r>
      <w:r w:rsidRPr="004D3AB6" w:rsidR="004D3AB6">
        <w:t>30, 1914 (1914) pp. 8-9</w:t>
      </w:r>
      <w:r w:rsidRPr="00A41627">
        <w:t>.)</w:t>
      </w:r>
    </w:p>
    <w:bookmarkEnd w:id="3"/>
    <w:p w:rsidR="00CB455D" w:rsidRPr="00CB455D" w:rsidP="00CB455D" w14:paraId="69146441" w14:textId="77777777">
      <w:pPr>
        <w:spacing w:after="0" w:line="288" w:lineRule="auto"/>
        <w:ind w:firstLine="720"/>
      </w:pPr>
      <w:r w:rsidRPr="00EB01CA">
        <w:t>In 1937</w:t>
      </w:r>
      <w:r w:rsidRPr="00D95EA4">
        <w:t xml:space="preserve"> the Labor Code was enacted</w:t>
      </w:r>
      <w:r w:rsidRPr="00EB01CA">
        <w:t xml:space="preserve">, including former </w:t>
      </w:r>
      <w:r w:rsidRPr="00CB455D">
        <w:t>section</w:t>
      </w:r>
      <w:r w:rsidR="00C6369F">
        <w:t> </w:t>
      </w:r>
      <w:r w:rsidRPr="00CB455D">
        <w:t xml:space="preserve">5909, which incorporated </w:t>
      </w:r>
      <w:r w:rsidR="00BF2E29">
        <w:t xml:space="preserve">the deadline in </w:t>
      </w:r>
      <w:r w:rsidRPr="00CB455D">
        <w:t>section</w:t>
      </w:r>
      <w:r w:rsidR="00071748">
        <w:t> </w:t>
      </w:r>
      <w:r w:rsidRPr="00CB455D">
        <w:t>81</w:t>
      </w:r>
      <w:r w:rsidR="00FF7B9A">
        <w:t>, subdivision</w:t>
      </w:r>
      <w:r w:rsidR="00071748">
        <w:t> </w:t>
      </w:r>
      <w:r w:rsidR="00FF7B9A">
        <w:t>(f),</w:t>
      </w:r>
      <w:r w:rsidRPr="00CB455D">
        <w:t xml:space="preserve"> of the Boynton Act </w:t>
      </w:r>
      <w:r w:rsidRPr="00B701F0">
        <w:t>in substantially the same form.  (Stats</w:t>
      </w:r>
      <w:r w:rsidRPr="00CB455D">
        <w:t>.</w:t>
      </w:r>
      <w:r w:rsidR="00071748">
        <w:t> </w:t>
      </w:r>
      <w:r w:rsidRPr="00CB455D">
        <w:t>1937, ch.</w:t>
      </w:r>
      <w:r w:rsidR="00C6369F">
        <w:t> </w:t>
      </w:r>
      <w:r w:rsidRPr="00CB455D">
        <w:t>90, §</w:t>
      </w:r>
      <w:r w:rsidR="007E569B">
        <w:t> </w:t>
      </w:r>
      <w:r w:rsidRPr="00CB455D">
        <w:t>5909</w:t>
      </w:r>
      <w:r w:rsidR="00405F8A">
        <w:t>, p. 304</w:t>
      </w:r>
      <w:r w:rsidRPr="00CB455D">
        <w:t>; see Stats. 1913, ch. 176, §</w:t>
      </w:r>
      <w:r w:rsidR="00F94A65">
        <w:t> </w:t>
      </w:r>
      <w:r w:rsidRPr="00CB455D">
        <w:t>81</w:t>
      </w:r>
      <w:r w:rsidR="00556910">
        <w:t>, subd.</w:t>
      </w:r>
      <w:r w:rsidR="00C6369F">
        <w:t> </w:t>
      </w:r>
      <w:r w:rsidR="00556910">
        <w:t>(f)</w:t>
      </w:r>
      <w:r w:rsidR="00405F8A">
        <w:t>, p</w:t>
      </w:r>
      <w:r w:rsidR="00335945">
        <w:t>p</w:t>
      </w:r>
      <w:r w:rsidR="00405F8A">
        <w:t>.</w:t>
      </w:r>
      <w:r w:rsidR="007E569B">
        <w:t> </w:t>
      </w:r>
      <w:r w:rsidR="00335945">
        <w:t>316</w:t>
      </w:r>
      <w:r w:rsidR="00E87C66">
        <w:t>-317</w:t>
      </w:r>
      <w:r w:rsidRPr="00CB455D">
        <w:t>.)  Likewise, the provision in section</w:t>
      </w:r>
      <w:r w:rsidR="00C6369F">
        <w:t> </w:t>
      </w:r>
      <w:r w:rsidRPr="00CB455D">
        <w:t>84, subdivision</w:t>
      </w:r>
      <w:r w:rsidR="00C6369F">
        <w:t> </w:t>
      </w:r>
      <w:r w:rsidRPr="00CB455D">
        <w:t>(a), of the Boynton Act for an aggrieved party to file a petition for</w:t>
      </w:r>
      <w:r w:rsidR="001C6CC5">
        <w:t xml:space="preserve"> a</w:t>
      </w:r>
      <w:r w:rsidRPr="00CB455D">
        <w:t xml:space="preserve"> writ of review within 30 days of a denial or decision on a petition for rehearing, was codified in Labor Code former section</w:t>
      </w:r>
      <w:r w:rsidR="007E569B">
        <w:t> </w:t>
      </w:r>
      <w:r w:rsidRPr="00CB455D">
        <w:t>5950.  (Stats. 1937, ch. 90, § 5950</w:t>
      </w:r>
      <w:r w:rsidR="00335945">
        <w:t xml:space="preserve">, </w:t>
      </w:r>
      <w:r w:rsidRPr="00CB455D" w:rsidR="00335945">
        <w:t>p. 304</w:t>
      </w:r>
      <w:r w:rsidRPr="00CB455D">
        <w:t>; see Stats.</w:t>
      </w:r>
      <w:r w:rsidR="00071748">
        <w:t> </w:t>
      </w:r>
      <w:r w:rsidRPr="00CB455D">
        <w:t>1913, ch.</w:t>
      </w:r>
      <w:r w:rsidR="00335945">
        <w:t> </w:t>
      </w:r>
      <w:r w:rsidRPr="00CB455D">
        <w:t>176, §</w:t>
      </w:r>
      <w:r w:rsidR="00AC2926">
        <w:t> </w:t>
      </w:r>
      <w:r w:rsidRPr="00CB455D">
        <w:t>8</w:t>
      </w:r>
      <w:r w:rsidR="00AC2926">
        <w:t>4</w:t>
      </w:r>
      <w:r w:rsidR="00335945">
        <w:t>,</w:t>
      </w:r>
      <w:r w:rsidR="00556910">
        <w:t xml:space="preserve"> subd. (a),</w:t>
      </w:r>
      <w:r w:rsidR="00335945">
        <w:t xml:space="preserve"> p</w:t>
      </w:r>
      <w:r w:rsidRPr="00CB455D" w:rsidR="00335945">
        <w:t>.</w:t>
      </w:r>
      <w:r w:rsidR="00335945">
        <w:t> </w:t>
      </w:r>
      <w:r w:rsidR="004F3437">
        <w:t>318</w:t>
      </w:r>
      <w:r w:rsidRPr="00CB455D">
        <w:t xml:space="preserve">.)  </w:t>
      </w:r>
    </w:p>
    <w:p w:rsidR="00CB455D" w:rsidRPr="00CB455D" w:rsidP="00CB455D" w14:paraId="4E56F052" w14:textId="77777777">
      <w:pPr>
        <w:spacing w:after="0" w:line="288" w:lineRule="auto"/>
        <w:ind w:firstLine="720"/>
      </w:pPr>
      <w:bookmarkStart w:id="4" w:name="_Hlk148603543"/>
      <w:bookmarkStart w:id="5" w:name="_Hlk148602163"/>
      <w:r w:rsidRPr="00CB455D">
        <w:t xml:space="preserve">In 1965, the administrative and judicial functions of the commission were separated, with authority over judicial functions placed in the newly created Workers’ Compensation Appeals Board.  </w:t>
      </w:r>
      <w:r w:rsidRPr="000D553D">
        <w:t>(Stats.1965, ch. 1513, §</w:t>
      </w:r>
      <w:r w:rsidRPr="000D553D" w:rsidR="00FD0997">
        <w:t>§ 5, 7</w:t>
      </w:r>
      <w:r w:rsidRPr="000D553D" w:rsidR="0010261D">
        <w:t>, p</w:t>
      </w:r>
      <w:r w:rsidRPr="000D553D" w:rsidR="00FD0997">
        <w:t>p</w:t>
      </w:r>
      <w:r w:rsidRPr="000D553D" w:rsidR="0010261D">
        <w:t xml:space="preserve">. </w:t>
      </w:r>
      <w:r w:rsidRPr="000D553D" w:rsidR="00FD0997">
        <w:t>3</w:t>
      </w:r>
      <w:r w:rsidR="00FD0997">
        <w:t>5</w:t>
      </w:r>
      <w:r w:rsidRPr="00FD0997" w:rsidR="00FD0997">
        <w:t>56-3</w:t>
      </w:r>
      <w:r w:rsidR="00FD0997">
        <w:t>5</w:t>
      </w:r>
      <w:r w:rsidRPr="000D553D" w:rsidR="00FD0997">
        <w:t>57</w:t>
      </w:r>
      <w:r w:rsidRPr="000D553D">
        <w:t>.)</w:t>
      </w:r>
      <w:r>
        <w:rPr>
          <w:rStyle w:val="FootnoteReference"/>
        </w:rPr>
        <w:footnoteReference w:id="16"/>
      </w:r>
      <w:r w:rsidRPr="00CB455D">
        <w:t xml:space="preserve">  </w:t>
      </w:r>
      <w:bookmarkEnd w:id="4"/>
      <w:r w:rsidRPr="00CB455D">
        <w:t>Then, in 1978 the 30-day deadline in section 5950 was extended to 45</w:t>
      </w:r>
      <w:r w:rsidR="001C4947">
        <w:t> </w:t>
      </w:r>
      <w:r w:rsidRPr="00CB455D">
        <w:t>days.  (Stats.1978, c</w:t>
      </w:r>
      <w:r w:rsidR="00D015BC">
        <w:t>h</w:t>
      </w:r>
      <w:r w:rsidRPr="00CB455D">
        <w:t>. 661, § 1</w:t>
      </w:r>
      <w:r w:rsidR="00D015BC">
        <w:t>, p. 2123</w:t>
      </w:r>
      <w:r w:rsidRPr="00CB455D">
        <w:t xml:space="preserve">.)  And in 1992 the Legislature modified section 5909 to include the current </w:t>
      </w:r>
      <w:r w:rsidR="001E6AF2">
        <w:t xml:space="preserve">60-day deadline after which </w:t>
      </w:r>
      <w:r w:rsidRPr="00CB455D">
        <w:t>a petition for rehearing is “deemed to have been denied</w:t>
      </w:r>
      <w:r w:rsidR="001E6AF2">
        <w:t>.</w:t>
      </w:r>
      <w:r w:rsidRPr="00CB455D">
        <w:t>”  (Stats. 1992, ch. 1226, § 5909</w:t>
      </w:r>
      <w:r w:rsidR="00D015BC">
        <w:t>, p. 5766</w:t>
      </w:r>
      <w:r w:rsidRPr="00CB455D">
        <w:t xml:space="preserve">.)  </w:t>
      </w:r>
    </w:p>
    <w:bookmarkEnd w:id="5"/>
    <w:p w:rsidR="00CB455D" w:rsidRPr="00CB455D" w:rsidP="00CB455D" w14:paraId="784E6A67" w14:textId="77777777">
      <w:pPr>
        <w:spacing w:after="0" w:line="288" w:lineRule="auto"/>
        <w:ind w:firstLine="720"/>
      </w:pPr>
    </w:p>
    <w:p w:rsidR="00CB455D" w:rsidRPr="00094586" w:rsidP="00094586" w14:paraId="7354F1D8" w14:textId="2B1AC13E">
      <w:pPr>
        <w:spacing w:after="0" w:line="288" w:lineRule="auto"/>
        <w:ind w:left="2160" w:hanging="720"/>
      </w:pPr>
      <w:r w:rsidRPr="00094586">
        <w:t xml:space="preserve">c. </w:t>
      </w:r>
      <w:r w:rsidRPr="00094586">
        <w:tab/>
      </w:r>
      <w:r w:rsidRPr="00094586">
        <w:rPr>
          <w:i/>
          <w:iCs/>
        </w:rPr>
        <w:t xml:space="preserve">The language, structure, and history of the Workers’ Compensation Act show </w:t>
      </w:r>
      <w:r w:rsidRPr="00094586" w:rsidR="001E6AF2">
        <w:rPr>
          <w:i/>
          <w:iCs/>
        </w:rPr>
        <w:t xml:space="preserve">the Legislature’s </w:t>
      </w:r>
      <w:r w:rsidRPr="00094586">
        <w:rPr>
          <w:i/>
          <w:iCs/>
        </w:rPr>
        <w:t xml:space="preserve">intent </w:t>
      </w:r>
      <w:r w:rsidRPr="00094586" w:rsidR="00531833">
        <w:rPr>
          <w:i/>
          <w:iCs/>
        </w:rPr>
        <w:t xml:space="preserve">that </w:t>
      </w:r>
      <w:r w:rsidRPr="00094586">
        <w:rPr>
          <w:i/>
          <w:iCs/>
        </w:rPr>
        <w:t xml:space="preserve">the Board </w:t>
      </w:r>
      <w:r w:rsidRPr="00094586" w:rsidR="002E617B">
        <w:rPr>
          <w:i/>
          <w:iCs/>
        </w:rPr>
        <w:t>no longer has</w:t>
      </w:r>
      <w:r w:rsidRPr="00094586">
        <w:rPr>
          <w:i/>
          <w:iCs/>
        </w:rPr>
        <w:t xml:space="preserve"> jurisdiction </w:t>
      </w:r>
      <w:r w:rsidRPr="00094586" w:rsidR="00531833">
        <w:rPr>
          <w:i/>
          <w:iCs/>
        </w:rPr>
        <w:t xml:space="preserve">to decide a petition for reconsideration </w:t>
      </w:r>
      <w:r w:rsidRPr="00094586">
        <w:rPr>
          <w:i/>
          <w:iCs/>
        </w:rPr>
        <w:t>after 60 days</w:t>
      </w:r>
    </w:p>
    <w:p w:rsidR="00CB455D" w:rsidRPr="003D49A5" w:rsidP="00CB455D" w14:paraId="1CCED233" w14:textId="4A365154">
      <w:pPr>
        <w:spacing w:after="0" w:line="288" w:lineRule="auto"/>
        <w:ind w:firstLine="720"/>
      </w:pPr>
      <w:r w:rsidRPr="00CB455D">
        <w:rPr>
          <w:rFonts w:eastAsia="Calibri" w:cs="Times New Roman"/>
          <w:kern w:val="2"/>
          <w:szCs w:val="22"/>
          <w14:ligatures w14:val="standardContextual"/>
        </w:rPr>
        <w:t>As the language of section 5909 and legislative history show, the Legislature, in enacting</w:t>
      </w:r>
      <w:r w:rsidRPr="00195C6F">
        <w:rPr>
          <w:rFonts w:eastAsia="Calibri" w:cs="Times New Roman"/>
          <w:kern w:val="2"/>
          <w:szCs w:val="22"/>
          <w14:ligatures w14:val="standardContextual"/>
        </w:rPr>
        <w:t xml:space="preserve"> </w:t>
      </w:r>
      <w:r w:rsidR="001E6AF2">
        <w:rPr>
          <w:rFonts w:eastAsia="Calibri" w:cs="Times New Roman"/>
          <w:kern w:val="2"/>
          <w:szCs w:val="22"/>
          <w14:ligatures w14:val="standardContextual"/>
        </w:rPr>
        <w:t>the</w:t>
      </w:r>
      <w:r w:rsidRPr="00195C6F">
        <w:rPr>
          <w:rFonts w:eastAsia="Calibri" w:cs="Times New Roman"/>
          <w:kern w:val="2"/>
          <w:szCs w:val="22"/>
          <w14:ligatures w14:val="standardContextual"/>
        </w:rPr>
        <w:t xml:space="preserve"> workers’ compensation system, has adhered to the Constitutional goal that the system</w:t>
      </w:r>
      <w:r w:rsidRPr="00195C6F">
        <w:t xml:space="preserve"> “accomplish substantial justice in all cases expeditiously, inexpensively, and without incumbrance of any character.”  (Cal. Const.</w:t>
      </w:r>
      <w:r w:rsidR="009D6DAB">
        <w:t>,</w:t>
      </w:r>
      <w:r w:rsidRPr="00195C6F">
        <w:t xml:space="preserve"> </w:t>
      </w:r>
      <w:r w:rsidR="009D6DAB">
        <w:t>a</w:t>
      </w:r>
      <w:r w:rsidRPr="00195C6F">
        <w:t xml:space="preserve">rt. XIV, </w:t>
      </w:r>
      <w:r w:rsidR="009D6DAB">
        <w:t>§</w:t>
      </w:r>
      <w:r w:rsidRPr="00195C6F">
        <w:t xml:space="preserve"> 4.)  As discussed, the Boynton Act, in contrast to the prior voluntary program under the Roseberry Act</w:t>
      </w:r>
      <w:r w:rsidRPr="0000215A">
        <w:t xml:space="preserve">, </w:t>
      </w:r>
      <w:r w:rsidRPr="0000215A" w:rsidR="00B7792C">
        <w:t xml:space="preserve">required </w:t>
      </w:r>
      <w:r w:rsidRPr="00195C6F">
        <w:t xml:space="preserve">the commission to issue its findings and </w:t>
      </w:r>
      <w:r w:rsidRPr="0000215A">
        <w:t xml:space="preserve">award </w:t>
      </w:r>
      <w:r w:rsidRPr="0000215A" w:rsidR="0048693F">
        <w:t>within 30 days</w:t>
      </w:r>
      <w:r w:rsidR="0048693F">
        <w:t xml:space="preserve"> of the final hearing </w:t>
      </w:r>
      <w:r w:rsidRPr="00195C6F">
        <w:t>(§ 25</w:t>
      </w:r>
      <w:r w:rsidR="00D21B82">
        <w:t>, subd. (a)</w:t>
      </w:r>
      <w:r w:rsidR="00D56917">
        <w:t xml:space="preserve"> (now Labor Code § </w:t>
      </w:r>
      <w:r w:rsidR="00580614">
        <w:t>5313)</w:t>
      </w:r>
      <w:r w:rsidR="001317C7">
        <w:t>)</w:t>
      </w:r>
      <w:r w:rsidRPr="00AA2D7E">
        <w:t xml:space="preserve">; </w:t>
      </w:r>
      <w:r w:rsidRPr="00195C6F">
        <w:t xml:space="preserve">provided for review by the commission </w:t>
      </w:r>
      <w:r w:rsidRPr="00AA2D7E">
        <w:t>by filing</w:t>
      </w:r>
      <w:r w:rsidRPr="00195C6F">
        <w:t xml:space="preserve"> a petition for rehearing (§ 82, subd. (a)</w:t>
      </w:r>
      <w:r w:rsidRPr="00AA2D7E">
        <w:t xml:space="preserve"> (now a petition for reconsideration under Labor Code § 5900</w:t>
      </w:r>
      <w:r w:rsidR="00DC05BE">
        <w:t>)</w:t>
      </w:r>
      <w:r w:rsidRPr="00195C6F">
        <w:t xml:space="preserve">); provided the “deemed to have been denied” language for a failure of the commission to act on the petition (§ 81, subd (f)) (now </w:t>
      </w:r>
      <w:r w:rsidR="00CD68CB">
        <w:t xml:space="preserve">in </w:t>
      </w:r>
      <w:r w:rsidRPr="00195C6F">
        <w:t xml:space="preserve">Labor Code § 5909)); and provided for the filing of a petition for </w:t>
      </w:r>
      <w:r w:rsidRPr="00286E2F" w:rsidR="00767FBE">
        <w:t xml:space="preserve">judicial </w:t>
      </w:r>
      <w:r w:rsidRPr="00286E2F">
        <w:t>review</w:t>
      </w:r>
      <w:r w:rsidRPr="00195C6F">
        <w:t xml:space="preserve"> by a specified deadline (§ 84, subd (a) (now in Labor Code § 5950)).  Moreover, the Legislature streamlined the procedure to make the findings of a single commissioner or referee enforceable as a decision of the commission (former § 115</w:t>
      </w:r>
      <w:r w:rsidR="007A5428">
        <w:t>, now in</w:t>
      </w:r>
      <w:r w:rsidRPr="00195C6F">
        <w:t xml:space="preserve"> § 5310).</w:t>
      </w:r>
      <w:r>
        <w:rPr>
          <w:rStyle w:val="FootnoteReference"/>
        </w:rPr>
        <w:footnoteReference w:id="17"/>
      </w:r>
      <w:r w:rsidRPr="00AA2D7E">
        <w:t xml:space="preserve">  Further, as the commission’s 1914 </w:t>
      </w:r>
      <w:r>
        <w:t>report highlights, the workers’ compensation system is designed to achieve “‘average justice’” that is “speedily and inexpensively administered” instead of “exact justice” that could consume too much ti</w:t>
      </w:r>
      <w:r w:rsidR="001B4D62">
        <w:t>m</w:t>
      </w:r>
      <w:r>
        <w:t>e and leave the claim</w:t>
      </w:r>
      <w:r w:rsidR="001B4D62">
        <w:t>ant</w:t>
      </w:r>
      <w:r>
        <w:t xml:space="preserve"> in debt.</w:t>
      </w:r>
      <w:r w:rsidRPr="00AA2D7E">
        <w:t xml:space="preserve">  </w:t>
      </w:r>
      <w:r w:rsidRPr="00A41627">
        <w:t>(</w:t>
      </w:r>
      <w:r w:rsidRPr="004D3AB6" w:rsidR="004D3AB6">
        <w:t>Cal. Industrial Accident Com., Rep. of the Industrial Accident Com. of the State of Cal. for the Year</w:t>
      </w:r>
      <w:r w:rsidR="00071748">
        <w:t> </w:t>
      </w:r>
      <w:r w:rsidRPr="004D3AB6" w:rsidR="004D3AB6">
        <w:t>1913 and from January 1 to June 30, 1914 (1914) pp. 8-9</w:t>
      </w:r>
      <w:r w:rsidRPr="00A41627">
        <w:t>.)</w:t>
      </w:r>
      <w:r>
        <w:t xml:space="preserve">  The Legislature struck that balance in providing finality to the decision of the workers’ compensation judge, setting time limits in which the Board may review a petition for reconsideration, and, upon expiration of those limits, providing the parties with access to judicial review.</w:t>
      </w:r>
    </w:p>
    <w:p w:rsidR="00CB455D" w:rsidRPr="007B77CB" w:rsidP="00CB455D" w14:paraId="4562A334" w14:textId="0D57600C">
      <w:pPr>
        <w:spacing w:after="0" w:line="288" w:lineRule="auto"/>
        <w:ind w:firstLine="720"/>
      </w:pPr>
      <w:r w:rsidRPr="00AA2D7E">
        <w:t xml:space="preserve">The structure of the review process supports this reading of </w:t>
      </w:r>
      <w:r w:rsidR="00453ACA">
        <w:t>statute</w:t>
      </w:r>
      <w:r w:rsidRPr="00AA2D7E">
        <w:t>.  Under the current statutory scheme, sections</w:t>
      </w:r>
      <w:r w:rsidR="004D3AB6">
        <w:t> </w:t>
      </w:r>
      <w:r w:rsidRPr="00AA2D7E">
        <w:t>5909 and 5950 work in tandem, providing certainty in section 5909 as to when the deadline for seeking judicial review under section</w:t>
      </w:r>
      <w:r w:rsidR="00427A0F">
        <w:t> </w:t>
      </w:r>
      <w:r w:rsidRPr="00AA2D7E">
        <w:t xml:space="preserve">5950 commences.  Absent an interpretation of section 5909 that construes the deemed-denied language to terminate the Board’s jurisdiction </w:t>
      </w:r>
      <w:r w:rsidR="00453ACA">
        <w:t>after</w:t>
      </w:r>
      <w:r w:rsidRPr="00AA2D7E">
        <w:t xml:space="preserve"> the passing of 60</w:t>
      </w:r>
      <w:r w:rsidR="00071748">
        <w:t> </w:t>
      </w:r>
      <w:r w:rsidRPr="00AA2D7E">
        <w:t>days, an aggrieved party would not know when to file a petition for a writ of review—</w:t>
      </w:r>
      <w:r w:rsidR="00D622FB">
        <w:t>a</w:t>
      </w:r>
      <w:r w:rsidRPr="00AA2D7E">
        <w:t xml:space="preserve">fter </w:t>
      </w:r>
      <w:r w:rsidRPr="007B77CB" w:rsidR="008B6265">
        <w:t xml:space="preserve">the 60-day deadline </w:t>
      </w:r>
      <w:r w:rsidRPr="007B77CB">
        <w:t>under section</w:t>
      </w:r>
      <w:r w:rsidRPr="007B77CB" w:rsidR="00071748">
        <w:t> </w:t>
      </w:r>
      <w:r w:rsidRPr="007B77CB">
        <w:t>5909 or months or years later when the Board acts on the petition.</w:t>
      </w:r>
      <w:r w:rsidRPr="007B77CB" w:rsidR="006D523E">
        <w:t xml:space="preserve">  </w:t>
      </w:r>
      <w:r w:rsidR="00B30C12">
        <w:t>Moreover, a</w:t>
      </w:r>
      <w:r w:rsidRPr="007B77CB">
        <w:t xml:space="preserve">s the Supreme Court explained in </w:t>
      </w:r>
      <w:r w:rsidRPr="007B77CB">
        <w:rPr>
          <w:i/>
          <w:iCs/>
        </w:rPr>
        <w:t>J.M., supra</w:t>
      </w:r>
      <w:r w:rsidRPr="007B77CB">
        <w:t>, 2 Cal.5th at page</w:t>
      </w:r>
      <w:r w:rsidRPr="007B77CB" w:rsidR="00AC6AB4">
        <w:t> </w:t>
      </w:r>
      <w:r w:rsidRPr="007B77CB">
        <w:t>653</w:t>
      </w:r>
      <w:r w:rsidRPr="007B77CB" w:rsidR="00AD1908">
        <w:t xml:space="preserve"> in the context of</w:t>
      </w:r>
      <w:r w:rsidRPr="007B77CB">
        <w:t xml:space="preserve"> Government Code section 911.6, </w:t>
      </w:r>
      <w:r w:rsidRPr="007B77CB" w:rsidR="00E47FBA">
        <w:t xml:space="preserve">subdivision (c), </w:t>
      </w:r>
      <w:r w:rsidRPr="007B77CB">
        <w:t>“[b]y placing this limitation on the entity’s time to act, the Legislature ensured that applications would not languish.”  A similar construction here is most consistent with the Constitutional directive for the workers’ compensation system to accomplish substantial justice expeditiously and inexpensively.  (Cal. Const.</w:t>
      </w:r>
      <w:r w:rsidRPr="007B77CB" w:rsidR="009D6DAB">
        <w:t xml:space="preserve">, art, </w:t>
      </w:r>
      <w:r w:rsidRPr="007B77CB">
        <w:t xml:space="preserve">XIV, </w:t>
      </w:r>
      <w:r w:rsidRPr="007B77CB" w:rsidR="009D6DAB">
        <w:t>§</w:t>
      </w:r>
      <w:r w:rsidRPr="007B77CB">
        <w:t xml:space="preserve"> 4.)  </w:t>
      </w:r>
    </w:p>
    <w:p w:rsidR="00CB455D" w:rsidP="00CB455D" w14:paraId="741BCFF7" w14:textId="77777777">
      <w:pPr>
        <w:spacing w:after="0" w:line="288" w:lineRule="auto"/>
        <w:ind w:firstLine="720"/>
      </w:pPr>
      <w:r w:rsidRPr="007B77CB">
        <w:t xml:space="preserve">The Supreme Court’s decision in </w:t>
      </w:r>
      <w:r w:rsidRPr="007B77CB">
        <w:rPr>
          <w:i/>
          <w:iCs/>
        </w:rPr>
        <w:t xml:space="preserve">Evans v. Workers’ Comp. Appeals Bd. </w:t>
      </w:r>
      <w:r w:rsidRPr="007B77CB">
        <w:t xml:space="preserve">(1968) 68 Cal.2d 753 is consistent with our reading of section 5909.  In </w:t>
      </w:r>
      <w:r w:rsidRPr="007B77CB">
        <w:rPr>
          <w:i/>
          <w:iCs/>
        </w:rPr>
        <w:t>Evans</w:t>
      </w:r>
      <w:r w:rsidRPr="007B77CB">
        <w:t>, the</w:t>
      </w:r>
      <w:r w:rsidRPr="00B90EFD">
        <w:t xml:space="preserve"> court</w:t>
      </w:r>
      <w:r w:rsidRPr="00C97CBB">
        <w:t xml:space="preserve"> held that the Board, in vacating a trial referee’s decision granting an employee’s petition to reopen his workers’ compensation claim, did not comply with section 5908.5 because the Board failed to state the reasons for its decision or the evidence it relied upon.  (</w:t>
      </w:r>
      <w:r>
        <w:rPr>
          <w:i/>
          <w:iCs/>
        </w:rPr>
        <w:t>Evans</w:t>
      </w:r>
      <w:r>
        <w:t>,</w:t>
      </w:r>
      <w:r w:rsidRPr="00C97CBB">
        <w:rPr>
          <w:i/>
          <w:iCs/>
        </w:rPr>
        <w:t xml:space="preserve"> </w:t>
      </w:r>
      <w:r w:rsidRPr="00C97CBB">
        <w:t>at pp.</w:t>
      </w:r>
      <w:r w:rsidR="00071748">
        <w:t> </w:t>
      </w:r>
      <w:r w:rsidRPr="00C97CBB">
        <w:t>754-755.)  The Supreme Court annulled the Board’s decision, requiring the Board</w:t>
      </w:r>
      <w:r>
        <w:t xml:space="preserve"> to</w:t>
      </w:r>
      <w:r w:rsidRPr="00C97CBB">
        <w:t xml:space="preserve"> issue a new decision that complied with section 5908.5, observing the Board “retains jurisdiction, having granted reconsideration within the 30-day period set forth in [</w:t>
      </w:r>
      <w:r>
        <w:t xml:space="preserve">former </w:t>
      </w:r>
      <w:r w:rsidRPr="00C97CBB">
        <w:t>section 5909].”  (</w:t>
      </w:r>
      <w:r>
        <w:rPr>
          <w:i/>
          <w:iCs/>
        </w:rPr>
        <w:t>Evans</w:t>
      </w:r>
      <w:r w:rsidRPr="00D33599">
        <w:t>,</w:t>
      </w:r>
      <w:r w:rsidRPr="008F22A1">
        <w:t xml:space="preserve"> </w:t>
      </w:r>
      <w:r w:rsidRPr="00C97CBB">
        <w:t xml:space="preserve">at p. 755.)  </w:t>
      </w:r>
    </w:p>
    <w:p w:rsidR="00CB455D" w:rsidRPr="00C97CBB" w:rsidP="00CB455D" w14:paraId="6A061AE8" w14:textId="09B692AE">
      <w:pPr>
        <w:spacing w:after="0" w:line="288" w:lineRule="auto"/>
        <w:ind w:firstLine="720"/>
      </w:pPr>
      <w:r>
        <w:t xml:space="preserve">In </w:t>
      </w:r>
      <w:r w:rsidRPr="00C97CBB">
        <w:rPr>
          <w:i/>
          <w:iCs/>
        </w:rPr>
        <w:t xml:space="preserve">United States Pipe &amp; Foundry Co. v. Industrial Acc. Com. </w:t>
      </w:r>
      <w:r w:rsidRPr="00C97CBB">
        <w:t>(1962) 201 Cal.App.2d 545, 546</w:t>
      </w:r>
      <w:r w:rsidR="00B63B8A">
        <w:t>,</w:t>
      </w:r>
      <w:r w:rsidRPr="00C97CBB">
        <w:t xml:space="preserve"> the Court of Appeal similarly concluded the 60-day limit in former section</w:t>
      </w:r>
      <w:r w:rsidR="00071748">
        <w:t> </w:t>
      </w:r>
      <w:r w:rsidRPr="00C97CBB">
        <w:t xml:space="preserve">5900 for the </w:t>
      </w:r>
      <w:r>
        <w:t>c</w:t>
      </w:r>
      <w:r w:rsidRPr="00C97CBB">
        <w:t>ommission to grant reconsideration on its own motion of an order, decision, or award made by a workers’ compensation judge “permit[s] no other conclusion than that the time limitation is jurisdictional.”</w:t>
      </w:r>
      <w:r>
        <w:t xml:space="preserve">  (</w:t>
      </w:r>
      <w:r w:rsidRPr="00FC01B6">
        <w:rPr>
          <w:i/>
          <w:iCs/>
        </w:rPr>
        <w:t>United States Pipe</w:t>
      </w:r>
      <w:r>
        <w:t xml:space="preserve">, at p. 549.)  </w:t>
      </w:r>
      <w:r w:rsidRPr="005A7C27">
        <w:t>The court</w:t>
      </w:r>
      <w:r>
        <w:t xml:space="preserve"> explained, “The </w:t>
      </w:r>
      <w:r w:rsidRPr="00F53744">
        <w:t>statutory prescription of the period in which to apply for reconsideration and for the finality of the commissio</w:t>
      </w:r>
      <w:r>
        <w:t>n’</w:t>
      </w:r>
      <w:r w:rsidRPr="00F53744">
        <w:t>s orders in the absence of such request has led the courts to rule that the commission lacked the power to grant an untimely petition for reconsideration</w:t>
      </w:r>
      <w:r>
        <w:t>.”  (</w:t>
      </w:r>
      <w:r w:rsidR="009E184B">
        <w:rPr>
          <w:i/>
          <w:iCs/>
        </w:rPr>
        <w:t>Id</w:t>
      </w:r>
      <w:r w:rsidR="009E184B">
        <w:t>.</w:t>
      </w:r>
      <w:r>
        <w:t xml:space="preserve"> at p. 549; a</w:t>
      </w:r>
      <w:r w:rsidRPr="00C97CBB">
        <w:t xml:space="preserve">ccord, </w:t>
      </w:r>
      <w:r w:rsidRPr="00C97CBB">
        <w:rPr>
          <w:i/>
          <w:iCs/>
        </w:rPr>
        <w:t xml:space="preserve">Argonaut Ins. Co. v. Workmen’s Comp. App. Bd. </w:t>
      </w:r>
      <w:r w:rsidRPr="00C97CBB">
        <w:t xml:space="preserve">(1967) </w:t>
      </w:r>
      <w:r w:rsidRPr="00C03DC7">
        <w:t xml:space="preserve">247 Cal.App.2d 669, </w:t>
      </w:r>
      <w:r w:rsidRPr="00C03DC7" w:rsidR="00EE4D11">
        <w:t>673-674 [where the Board fails to act on a petition within 30</w:t>
      </w:r>
      <w:r w:rsidR="005F2C00">
        <w:t> </w:t>
      </w:r>
      <w:r w:rsidRPr="00C03DC7" w:rsidR="00EE4D11">
        <w:t xml:space="preserve">days under section 5909, </w:t>
      </w:r>
      <w:r w:rsidR="00C03DC7">
        <w:t>the petition</w:t>
      </w:r>
      <w:r w:rsidRPr="00C03DC7" w:rsidR="00EE4D11">
        <w:t xml:space="preserve"> is deemed “denied by operation of law,” and “further action of the board affecting a previous award exceeds its powers”]</w:t>
      </w:r>
      <w:r w:rsidRPr="00C03DC7">
        <w:t>;</w:t>
      </w:r>
      <w:r>
        <w:rPr>
          <w:rStyle w:val="FootnoteReference"/>
        </w:rPr>
        <w:footnoteReference w:id="18"/>
      </w:r>
      <w:r w:rsidRPr="00C03DC7">
        <w:t xml:space="preserve"> see</w:t>
      </w:r>
      <w:r w:rsidRPr="00C97CBB">
        <w:t xml:space="preserve"> </w:t>
      </w:r>
      <w:r w:rsidRPr="00C97CBB">
        <w:rPr>
          <w:i/>
          <w:iCs/>
        </w:rPr>
        <w:t>Rymer v. Hagler</w:t>
      </w:r>
      <w:r w:rsidRPr="00C97CBB">
        <w:t xml:space="preserve"> (1989) 211 Cal.App.3d 1171, 1182 [“Upon the expiration of time for reconsideration [under section</w:t>
      </w:r>
      <w:r w:rsidR="00071748">
        <w:t> </w:t>
      </w:r>
      <w:r w:rsidRPr="00C97CBB">
        <w:t>5903], the decision of the [workers’ compensation] judge was final and conclusive.”].)</w:t>
      </w:r>
    </w:p>
    <w:p w:rsidR="00967FBD" w:rsidP="00E725BA" w14:paraId="074330F1" w14:textId="3E9687BB">
      <w:pPr>
        <w:spacing w:after="0" w:line="288" w:lineRule="auto"/>
        <w:ind w:firstLine="720"/>
      </w:pPr>
      <w:r w:rsidRPr="00126D27">
        <w:t xml:space="preserve">Accordingly, the Board </w:t>
      </w:r>
      <w:r w:rsidRPr="00126D27" w:rsidR="000A299D">
        <w:t>acted in excess of its</w:t>
      </w:r>
      <w:r w:rsidRPr="00126D27">
        <w:t xml:space="preserve"> jurisdiction </w:t>
      </w:r>
      <w:r w:rsidRPr="00126D27" w:rsidR="000A299D">
        <w:t xml:space="preserve">in granting CIGA’s petition </w:t>
      </w:r>
      <w:r w:rsidRPr="00126D27">
        <w:t xml:space="preserve">after the </w:t>
      </w:r>
      <w:r w:rsidRPr="00126D27" w:rsidR="00503F30">
        <w:t>petition was deemed denied under section 5909</w:t>
      </w:r>
      <w:r w:rsidRPr="00126D27">
        <w:t>.</w:t>
      </w:r>
      <w:r>
        <w:rPr>
          <w:vertAlign w:val="superscript"/>
        </w:rPr>
        <w:footnoteReference w:id="19"/>
      </w:r>
      <w:r w:rsidRPr="00C97CBB">
        <w:t xml:space="preserve"> </w:t>
      </w:r>
      <w:r w:rsidR="00E725BA">
        <w:t xml:space="preserve"> </w:t>
      </w:r>
      <w:r w:rsidRPr="00C97CBB">
        <w:t>As we discuss below, no exception applied to extend the Board’s jurisdiction.</w:t>
      </w:r>
    </w:p>
    <w:p w:rsidR="00CB455D" w:rsidRPr="00C97CBB" w:rsidP="00967FBD" w14:paraId="5AFD4453" w14:textId="2344F4BD">
      <w:pPr>
        <w:keepNext/>
        <w:spacing w:after="0" w:line="288" w:lineRule="auto"/>
        <w:ind w:left="1440" w:hanging="720"/>
        <w:rPr>
          <w:i/>
          <w:iCs/>
        </w:rPr>
      </w:pPr>
      <w:bookmarkStart w:id="6" w:name="_Hlk146808539"/>
      <w:r>
        <w:t>3</w:t>
      </w:r>
      <w:r w:rsidRPr="00C97CBB">
        <w:t>.</w:t>
      </w:r>
      <w:r w:rsidRPr="00C97CBB">
        <w:tab/>
      </w:r>
      <w:r w:rsidRPr="00E460BF">
        <w:rPr>
          <w:i/>
          <w:iCs/>
        </w:rPr>
        <w:t>Any</w:t>
      </w:r>
      <w:r w:rsidRPr="00C97CBB">
        <w:rPr>
          <w:i/>
          <w:iCs/>
        </w:rPr>
        <w:t xml:space="preserve"> </w:t>
      </w:r>
      <w:r>
        <w:rPr>
          <w:i/>
          <w:iCs/>
        </w:rPr>
        <w:t xml:space="preserve">exception under </w:t>
      </w:r>
      <w:r w:rsidRPr="00E460BF">
        <w:t xml:space="preserve">Shipley </w:t>
      </w:r>
      <w:r>
        <w:rPr>
          <w:i/>
          <w:iCs/>
        </w:rPr>
        <w:t>to</w:t>
      </w:r>
      <w:r w:rsidRPr="00C97CBB">
        <w:rPr>
          <w:i/>
          <w:iCs/>
        </w:rPr>
        <w:t xml:space="preserve"> the deadline for the Board to act on a petition for reconsideration </w:t>
      </w:r>
      <w:r>
        <w:rPr>
          <w:i/>
          <w:iCs/>
        </w:rPr>
        <w:t xml:space="preserve">must be limited to </w:t>
      </w:r>
      <w:r w:rsidRPr="00286E2F">
        <w:rPr>
          <w:i/>
          <w:iCs/>
        </w:rPr>
        <w:t xml:space="preserve">where the </w:t>
      </w:r>
      <w:r w:rsidRPr="00286E2F" w:rsidR="00421DD4">
        <w:rPr>
          <w:i/>
          <w:iCs/>
        </w:rPr>
        <w:t xml:space="preserve">petitioner acts diligently and the </w:t>
      </w:r>
      <w:r w:rsidRPr="00286E2F">
        <w:rPr>
          <w:i/>
          <w:iCs/>
        </w:rPr>
        <w:t xml:space="preserve">Board’s misleading conduct deprives a petitioner of administrative </w:t>
      </w:r>
      <w:r w:rsidRPr="00286E2F" w:rsidR="008E543B">
        <w:rPr>
          <w:i/>
          <w:iCs/>
        </w:rPr>
        <w:t>or</w:t>
      </w:r>
      <w:r w:rsidRPr="00286E2F" w:rsidR="00E2608A">
        <w:rPr>
          <w:i/>
          <w:iCs/>
        </w:rPr>
        <w:t xml:space="preserve"> judicial review</w:t>
      </w:r>
      <w:r>
        <w:rPr>
          <w:i/>
          <w:iCs/>
        </w:rPr>
        <w:t xml:space="preserve"> </w:t>
      </w:r>
      <w:r w:rsidRPr="00C97CBB">
        <w:rPr>
          <w:i/>
          <w:iCs/>
        </w:rPr>
        <w:t xml:space="preserve"> </w:t>
      </w:r>
    </w:p>
    <w:p w:rsidR="00CB455D" w:rsidRPr="00C97CBB" w:rsidP="00CB455D" w14:paraId="4132FD04" w14:textId="38977CD5">
      <w:pPr>
        <w:spacing w:after="0" w:line="288" w:lineRule="auto"/>
        <w:ind w:firstLine="720"/>
      </w:pPr>
      <w:r w:rsidRPr="00C97CBB">
        <w:t xml:space="preserve">The Board contends it retained jurisdiction to consider Zurich’s petition pursuant to an exception carved out by </w:t>
      </w:r>
      <w:r w:rsidRPr="00281BFE">
        <w:rPr>
          <w:i/>
          <w:iCs/>
        </w:rPr>
        <w:t>Shipley, supra</w:t>
      </w:r>
      <w:r w:rsidRPr="00A854EA">
        <w:t>,</w:t>
      </w:r>
      <w:r w:rsidRPr="00E2608A">
        <w:t xml:space="preserve"> </w:t>
      </w:r>
      <w:r w:rsidRPr="00A854EA">
        <w:t xml:space="preserve">7 Cal.App.4th at page 1108 where a party would otherwise </w:t>
      </w:r>
      <w:r w:rsidRPr="008663FF">
        <w:t xml:space="preserve">“be deprived of a substantial right without notice.” </w:t>
      </w:r>
      <w:r w:rsidRPr="008663FF" w:rsidR="0029319C">
        <w:t xml:space="preserve"> </w:t>
      </w:r>
      <w:r w:rsidRPr="00BE0A99" w:rsidR="00624191">
        <w:t xml:space="preserve">We </w:t>
      </w:r>
      <w:r w:rsidRPr="00BE0A99" w:rsidR="009851A9">
        <w:t xml:space="preserve">disagree with the conclusion in </w:t>
      </w:r>
      <w:r w:rsidRPr="00BE0A99" w:rsidR="009851A9">
        <w:rPr>
          <w:i/>
          <w:iCs/>
        </w:rPr>
        <w:t>Shipley</w:t>
      </w:r>
      <w:r w:rsidRPr="00BE0A99" w:rsidR="009851A9">
        <w:t xml:space="preserve"> that a petitioner has a due process right to </w:t>
      </w:r>
      <w:r w:rsidRPr="00BE0A99" w:rsidR="00232DD0">
        <w:t>review by the Board</w:t>
      </w:r>
      <w:r w:rsidRPr="00BE0A99" w:rsidR="00E8366A">
        <w:t xml:space="preserve"> </w:t>
      </w:r>
      <w:r w:rsidRPr="00BE0A99" w:rsidR="00073A0C">
        <w:t xml:space="preserve">of </w:t>
      </w:r>
      <w:r w:rsidR="00BB7C4D">
        <w:t>a</w:t>
      </w:r>
      <w:r w:rsidRPr="00BE0A99" w:rsidR="00073A0C">
        <w:t xml:space="preserve"> petition for reconsideration </w:t>
      </w:r>
      <w:r w:rsidRPr="00BE0A99" w:rsidR="00430313">
        <w:t>even after 60 days has passed</w:t>
      </w:r>
      <w:r w:rsidR="00BB7C4D">
        <w:t>,</w:t>
      </w:r>
      <w:r w:rsidRPr="00BE0A99" w:rsidR="00430313">
        <w:t xml:space="preserve"> </w:t>
      </w:r>
      <w:r w:rsidRPr="00BE0A99" w:rsidR="00A66469">
        <w:t>given</w:t>
      </w:r>
      <w:r w:rsidRPr="00BE0A99" w:rsidR="009E1185">
        <w:t xml:space="preserve"> </w:t>
      </w:r>
      <w:r w:rsidRPr="00BE0A99" w:rsidR="00430313">
        <w:t xml:space="preserve">section 5909’s </w:t>
      </w:r>
      <w:r w:rsidRPr="00BE0A99" w:rsidR="00696964">
        <w:t xml:space="preserve">clear </w:t>
      </w:r>
      <w:r w:rsidRPr="00BE0A99" w:rsidR="00430313">
        <w:t xml:space="preserve">language that </w:t>
      </w:r>
      <w:r w:rsidRPr="00BE0A99" w:rsidR="00B74B78">
        <w:t>if the Board has not acted on a p</w:t>
      </w:r>
      <w:r w:rsidRPr="00BE0A99" w:rsidR="00300487">
        <w:t xml:space="preserve">etition for reconsideration </w:t>
      </w:r>
      <w:r w:rsidRPr="00BE0A99" w:rsidR="00B74B78">
        <w:t xml:space="preserve">within 60 days, it </w:t>
      </w:r>
      <w:r w:rsidRPr="00BE0A99" w:rsidR="00430313">
        <w:t>is deemed denied</w:t>
      </w:r>
      <w:r w:rsidRPr="00BE0A99" w:rsidR="0079373A">
        <w:t xml:space="preserve"> (but affording </w:t>
      </w:r>
      <w:r w:rsidRPr="00BE0A99" w:rsidR="00E32818">
        <w:t>judicial</w:t>
      </w:r>
      <w:r w:rsidRPr="00BE0A99" w:rsidR="0079373A">
        <w:t xml:space="preserve"> review under section 5950)</w:t>
      </w:r>
      <w:r w:rsidRPr="00BE0A99" w:rsidR="00430313">
        <w:t>.</w:t>
      </w:r>
      <w:r w:rsidRPr="00BE0A99" w:rsidR="00306B78">
        <w:t xml:space="preserve">  Indeed, as the Supreme Court observed in </w:t>
      </w:r>
      <w:r w:rsidRPr="00BE0A99" w:rsidR="00306B78">
        <w:rPr>
          <w:rFonts w:eastAsia="Calibri" w:cs="Times New Roman"/>
          <w:i/>
          <w:iCs/>
          <w:kern w:val="2"/>
          <w:szCs w:val="22"/>
          <w14:ligatures w14:val="standardContextual"/>
        </w:rPr>
        <w:t>LeVesque v. Workmen</w:t>
      </w:r>
      <w:r w:rsidRPr="00BE0A99" w:rsidR="00F90803">
        <w:rPr>
          <w:rFonts w:eastAsia="Calibri" w:cs="Times New Roman"/>
          <w:i/>
          <w:iCs/>
          <w:kern w:val="2"/>
          <w:szCs w:val="22"/>
          <w14:ligatures w14:val="standardContextual"/>
        </w:rPr>
        <w:t>’</w:t>
      </w:r>
      <w:r w:rsidRPr="00BE0A99" w:rsidR="00306B78">
        <w:rPr>
          <w:rFonts w:eastAsia="Calibri" w:cs="Times New Roman"/>
          <w:i/>
          <w:iCs/>
          <w:kern w:val="2"/>
          <w:szCs w:val="22"/>
          <w14:ligatures w14:val="standardContextual"/>
        </w:rPr>
        <w:t>s Comp. App. Bd.</w:t>
      </w:r>
      <w:r w:rsidRPr="00BE0A99" w:rsidR="00306B78">
        <w:rPr>
          <w:rFonts w:eastAsia="Calibri" w:cs="Times New Roman"/>
          <w:kern w:val="2"/>
          <w:szCs w:val="22"/>
          <w14:ligatures w14:val="standardContextual"/>
        </w:rPr>
        <w:t xml:space="preserve"> (1970) 1 Cal.3d 627, 635, the Board </w:t>
      </w:r>
      <w:r w:rsidRPr="00BE0A99" w:rsidR="00337A9E">
        <w:rPr>
          <w:rFonts w:eastAsia="Calibri" w:cs="Times New Roman"/>
          <w:kern w:val="2"/>
          <w:szCs w:val="22"/>
          <w14:ligatures w14:val="standardContextual"/>
        </w:rPr>
        <w:t xml:space="preserve">may </w:t>
      </w:r>
      <w:r w:rsidRPr="00BE0A99" w:rsidR="00BD1FDC">
        <w:rPr>
          <w:rFonts w:eastAsia="Calibri" w:cs="Times New Roman"/>
          <w:kern w:val="2"/>
          <w:szCs w:val="22"/>
          <w14:ligatures w14:val="standardContextual"/>
        </w:rPr>
        <w:t xml:space="preserve">“simply by pocket denial dispose of cases under section 5909,” that is, </w:t>
      </w:r>
      <w:r w:rsidRPr="00BE0A99" w:rsidR="00213F30">
        <w:rPr>
          <w:rFonts w:eastAsia="Calibri" w:cs="Times New Roman"/>
          <w:kern w:val="2"/>
          <w:szCs w:val="22"/>
          <w14:ligatures w14:val="standardContextual"/>
        </w:rPr>
        <w:t xml:space="preserve">the Board may </w:t>
      </w:r>
      <w:r w:rsidRPr="00BE0A99" w:rsidR="001C5FEE">
        <w:rPr>
          <w:rFonts w:eastAsia="Calibri" w:cs="Times New Roman"/>
          <w:kern w:val="2"/>
          <w:szCs w:val="22"/>
          <w14:ligatures w14:val="standardContextual"/>
        </w:rPr>
        <w:t>resolv</w:t>
      </w:r>
      <w:r w:rsidRPr="00BE0A99" w:rsidR="00213F30">
        <w:rPr>
          <w:rFonts w:eastAsia="Calibri" w:cs="Times New Roman"/>
          <w:kern w:val="2"/>
          <w:szCs w:val="22"/>
          <w14:ligatures w14:val="standardContextual"/>
        </w:rPr>
        <w:t>e</w:t>
      </w:r>
      <w:r w:rsidRPr="00BE0A99" w:rsidR="001C5FEE">
        <w:rPr>
          <w:rFonts w:eastAsia="Calibri" w:cs="Times New Roman"/>
          <w:kern w:val="2"/>
          <w:szCs w:val="22"/>
          <w14:ligatures w14:val="standardContextual"/>
        </w:rPr>
        <w:t xml:space="preserve"> </w:t>
      </w:r>
      <w:r w:rsidRPr="00BE0A99" w:rsidR="00213F30">
        <w:rPr>
          <w:rFonts w:eastAsia="Calibri" w:cs="Times New Roman"/>
          <w:kern w:val="2"/>
          <w:szCs w:val="22"/>
          <w14:ligatures w14:val="standardContextual"/>
        </w:rPr>
        <w:t>an</w:t>
      </w:r>
      <w:r w:rsidRPr="00BE0A99" w:rsidR="001C5FEE">
        <w:rPr>
          <w:rFonts w:eastAsia="Calibri" w:cs="Times New Roman"/>
          <w:kern w:val="2"/>
          <w:szCs w:val="22"/>
          <w14:ligatures w14:val="standardContextual"/>
        </w:rPr>
        <w:t xml:space="preserve"> </w:t>
      </w:r>
      <w:r w:rsidRPr="00BE0A99" w:rsidR="00E30216">
        <w:rPr>
          <w:rFonts w:eastAsia="Calibri" w:cs="Times New Roman"/>
          <w:kern w:val="2"/>
          <w:szCs w:val="22"/>
          <w14:ligatures w14:val="standardContextual"/>
        </w:rPr>
        <w:t xml:space="preserve">appeal by </w:t>
      </w:r>
      <w:r w:rsidRPr="00BE0A99" w:rsidR="004D34EA">
        <w:rPr>
          <w:rFonts w:eastAsia="Calibri" w:cs="Times New Roman"/>
          <w:kern w:val="2"/>
          <w:szCs w:val="22"/>
          <w14:ligatures w14:val="standardContextual"/>
        </w:rPr>
        <w:t>not</w:t>
      </w:r>
      <w:r w:rsidRPr="00BE0A99" w:rsidR="002F3831">
        <w:rPr>
          <w:rFonts w:eastAsia="Calibri" w:cs="Times New Roman"/>
          <w:kern w:val="2"/>
          <w:szCs w:val="22"/>
          <w14:ligatures w14:val="standardContextual"/>
        </w:rPr>
        <w:t xml:space="preserve"> acting on the petition</w:t>
      </w:r>
      <w:r w:rsidRPr="00BE0A99" w:rsidR="00B21C99">
        <w:rPr>
          <w:rFonts w:eastAsia="Calibri" w:cs="Times New Roman"/>
          <w:kern w:val="2"/>
          <w:szCs w:val="22"/>
          <w14:ligatures w14:val="standardContextual"/>
        </w:rPr>
        <w:t xml:space="preserve"> within 60 days</w:t>
      </w:r>
      <w:r w:rsidRPr="00BE0A99" w:rsidR="00965936">
        <w:rPr>
          <w:rFonts w:eastAsia="Calibri" w:cs="Times New Roman"/>
          <w:kern w:val="2"/>
          <w:szCs w:val="22"/>
          <w14:ligatures w14:val="standardContextual"/>
        </w:rPr>
        <w:t xml:space="preserve"> despite the lack of any </w:t>
      </w:r>
      <w:r w:rsidRPr="00BE0A99" w:rsidR="008E543B">
        <w:rPr>
          <w:rFonts w:eastAsia="Calibri" w:cs="Times New Roman"/>
          <w:kern w:val="2"/>
          <w:szCs w:val="22"/>
          <w14:ligatures w14:val="standardContextual"/>
        </w:rPr>
        <w:t>substantive consideration</w:t>
      </w:r>
      <w:r w:rsidRPr="00BE0A99" w:rsidR="00B21C99">
        <w:rPr>
          <w:rFonts w:eastAsia="Calibri" w:cs="Times New Roman"/>
          <w:kern w:val="2"/>
          <w:szCs w:val="22"/>
          <w14:ligatures w14:val="standardContextual"/>
        </w:rPr>
        <w:t>.</w:t>
      </w:r>
      <w:r w:rsidRPr="00421DD4" w:rsidR="00306B78">
        <w:rPr>
          <w:rFonts w:eastAsia="Calibri" w:cs="Times New Roman"/>
          <w:kern w:val="2"/>
          <w:szCs w:val="22"/>
          <w14:ligatures w14:val="standardContextual"/>
        </w:rPr>
        <w:t xml:space="preserve"> </w:t>
      </w:r>
      <w:r w:rsidRPr="00421DD4" w:rsidR="00B21C99">
        <w:rPr>
          <w:rFonts w:eastAsia="Calibri" w:cs="Times New Roman"/>
          <w:kern w:val="2"/>
          <w:szCs w:val="22"/>
          <w14:ligatures w14:val="standardContextual"/>
        </w:rPr>
        <w:t xml:space="preserve"> </w:t>
      </w:r>
      <w:r w:rsidRPr="00421DD4" w:rsidR="005601EC">
        <w:t>But e</w:t>
      </w:r>
      <w:r w:rsidRPr="00421DD4">
        <w:t>ven</w:t>
      </w:r>
      <w:r w:rsidRPr="00421DD4" w:rsidR="009063E6">
        <w:t xml:space="preserve"> if </w:t>
      </w:r>
      <w:r w:rsidRPr="00421DD4" w:rsidR="008B3606">
        <w:rPr>
          <w:i/>
          <w:iCs/>
        </w:rPr>
        <w:t>Shipley</w:t>
      </w:r>
      <w:r w:rsidRPr="00421DD4" w:rsidR="008B3606">
        <w:t xml:space="preserve"> </w:t>
      </w:r>
      <w:r w:rsidR="007D5FC0">
        <w:t xml:space="preserve">is read to </w:t>
      </w:r>
      <w:r w:rsidRPr="00421DD4" w:rsidR="008B3606">
        <w:t xml:space="preserve">allow </w:t>
      </w:r>
      <w:r w:rsidRPr="00421DD4" w:rsidR="0004478E">
        <w:t xml:space="preserve">some form of </w:t>
      </w:r>
      <w:r w:rsidRPr="00421DD4" w:rsidR="005601EC">
        <w:t xml:space="preserve">equitable tolling </w:t>
      </w:r>
      <w:r w:rsidRPr="00421DD4" w:rsidR="0004478E">
        <w:t>to</w:t>
      </w:r>
      <w:r w:rsidRPr="00421DD4">
        <w:t xml:space="preserve"> </w:t>
      </w:r>
      <w:r w:rsidRPr="003F6B87">
        <w:t xml:space="preserve">extend the deadline in section 5909 </w:t>
      </w:r>
      <w:r w:rsidRPr="003F6B87" w:rsidR="007D5FC0">
        <w:t xml:space="preserve">(or </w:t>
      </w:r>
      <w:r w:rsidRPr="003F6B87" w:rsidR="005E47F0">
        <w:t xml:space="preserve">section </w:t>
      </w:r>
      <w:r w:rsidRPr="003F6B87" w:rsidR="007D5FC0">
        <w:t xml:space="preserve">5950) </w:t>
      </w:r>
      <w:r w:rsidRPr="003F6B87">
        <w:t xml:space="preserve">where </w:t>
      </w:r>
      <w:r w:rsidRPr="003F6B87" w:rsidR="008D6942">
        <w:t>a diligent</w:t>
      </w:r>
      <w:r w:rsidRPr="003F6B87">
        <w:t xml:space="preserve"> petitioner is misled to believe the Board would review his or her petition and is therefore deprived of an administrative </w:t>
      </w:r>
      <w:r w:rsidRPr="00286E2F" w:rsidR="009063E6">
        <w:t xml:space="preserve">or judicial </w:t>
      </w:r>
      <w:r w:rsidRPr="00286E2F">
        <w:t>review</w:t>
      </w:r>
      <w:r w:rsidRPr="003F6B87">
        <w:t>, we reject the Board’s position the deadline may be extended any time</w:t>
      </w:r>
      <w:r w:rsidRPr="00421DD4">
        <w:t xml:space="preserve"> the Board fails to act due to </w:t>
      </w:r>
      <w:r w:rsidRPr="00421DD4" w:rsidR="00D03A21">
        <w:t xml:space="preserve">deficiencies </w:t>
      </w:r>
      <w:r w:rsidRPr="00421DD4">
        <w:t>in the administrative process.</w:t>
      </w:r>
      <w:r>
        <w:rPr>
          <w:rStyle w:val="FootnoteReference"/>
        </w:rPr>
        <w:footnoteReference w:id="20"/>
      </w:r>
      <w:r w:rsidRPr="00AC6AB4">
        <w:t xml:space="preserve">  </w:t>
      </w:r>
    </w:p>
    <w:p w:rsidR="00CB455D" w:rsidRPr="00C97CBB" w:rsidP="00CB455D" w14:paraId="5C216CA0" w14:textId="34F51ECA">
      <w:pPr>
        <w:spacing w:after="0" w:line="288" w:lineRule="auto"/>
        <w:ind w:firstLine="720"/>
      </w:pPr>
      <w:r w:rsidRPr="00C97CBB">
        <w:t xml:space="preserve">In </w:t>
      </w:r>
      <w:r w:rsidRPr="00C97CBB">
        <w:rPr>
          <w:i/>
          <w:iCs/>
        </w:rPr>
        <w:t>Shipley</w:t>
      </w:r>
      <w:r w:rsidRPr="00C97CBB">
        <w:t xml:space="preserve">, an applicant for workers’ compensation benefits (Marshall Shipley) </w:t>
      </w:r>
      <w:r w:rsidR="00E60484">
        <w:t xml:space="preserve">on July 19, 1990 </w:t>
      </w:r>
      <w:r w:rsidRPr="00C97CBB">
        <w:t>timely filed a petition for reconsideration of an unfavorable decision.  (</w:t>
      </w:r>
      <w:r w:rsidRPr="00C97CBB">
        <w:rPr>
          <w:i/>
          <w:iCs/>
        </w:rPr>
        <w:t>Shipley, supra</w:t>
      </w:r>
      <w:r w:rsidRPr="00D33599">
        <w:t>,</w:t>
      </w:r>
      <w:r w:rsidRPr="00C97CBB">
        <w:rPr>
          <w:i/>
          <w:iCs/>
        </w:rPr>
        <w:t xml:space="preserve"> </w:t>
      </w:r>
      <w:r w:rsidRPr="00C97CBB">
        <w:t>7</w:t>
      </w:r>
      <w:r>
        <w:t> </w:t>
      </w:r>
      <w:r w:rsidRPr="00C97CBB">
        <w:t>Cal.App.4th at p. 1106.)  In late August or September, Shipley inquired about the status of his petition and learned from the Board’s chief clerk that the file “had been inadvertently sent to ‘Archives.’”  (</w:t>
      </w:r>
      <w:r w:rsidRPr="00C97CBB">
        <w:rPr>
          <w:i/>
          <w:iCs/>
        </w:rPr>
        <w:t>Ibid.</w:t>
      </w:r>
      <w:r w:rsidRPr="00C97CBB">
        <w:t>)  After further inquiry and the passage of several more months, the chief clerk told Shipley the office policy was to request the file a second time before allowing a duplicate file to be prepared.  (</w:t>
      </w:r>
      <w:r w:rsidRPr="00C97CBB">
        <w:rPr>
          <w:i/>
          <w:iCs/>
        </w:rPr>
        <w:t>Ibid</w:t>
      </w:r>
      <w:r w:rsidRPr="00C97CBB">
        <w:t>.)  After several more months, the Board allowed Shipley to reconstruct a duplicate file, which the Board sent to its rehearing unit.  (</w:t>
      </w:r>
      <w:r w:rsidRPr="00C97CBB">
        <w:rPr>
          <w:i/>
          <w:iCs/>
        </w:rPr>
        <w:t>Id</w:t>
      </w:r>
      <w:r w:rsidRPr="00C97CBB">
        <w:t>. at p. 1107.)  On September</w:t>
      </w:r>
      <w:r>
        <w:t> </w:t>
      </w:r>
      <w:r w:rsidRPr="00C97CBB">
        <w:t>26, 1991, well over a year after Shipley had filed his petition, the Board issued an order stating the petition was deemed denied by operation of law under section 5909.  (</w:t>
      </w:r>
      <w:r w:rsidRPr="00C97CBB">
        <w:rPr>
          <w:i/>
          <w:iCs/>
        </w:rPr>
        <w:t>Shipley</w:t>
      </w:r>
      <w:r w:rsidRPr="00D33599">
        <w:t>,</w:t>
      </w:r>
      <w:r w:rsidRPr="00C97CBB">
        <w:rPr>
          <w:i/>
          <w:iCs/>
        </w:rPr>
        <w:t xml:space="preserve"> </w:t>
      </w:r>
      <w:r w:rsidRPr="00C97CBB">
        <w:t xml:space="preserve">at p. 1107.)  </w:t>
      </w:r>
    </w:p>
    <w:p w:rsidR="00CB455D" w:rsidRPr="00C97CBB" w:rsidP="00CB455D" w14:paraId="09511EBB" w14:textId="633B0532">
      <w:pPr>
        <w:spacing w:after="0" w:line="288" w:lineRule="auto"/>
        <w:ind w:firstLine="720"/>
      </w:pPr>
      <w:r>
        <w:t xml:space="preserve">The Court of Appeal </w:t>
      </w:r>
      <w:r w:rsidRPr="00C97CBB">
        <w:t xml:space="preserve">reversed the Board’s order, reasoning with respect to the deadline set by section 5909, “While this language appears mandatory and jurisdictional, the time periods must be based on a presumption that a claimant’s file will be available to the board; any other result deprives a claimant of due process and the right to a review by the </w:t>
      </w:r>
      <w:r w:rsidR="00B65804">
        <w:t>b</w:t>
      </w:r>
      <w:r w:rsidRPr="00C97CBB">
        <w:t xml:space="preserve">oard. </w:t>
      </w:r>
      <w:r w:rsidR="0088100B">
        <w:t xml:space="preserve"> </w:t>
      </w:r>
      <w:r w:rsidRPr="00C97CBB">
        <w:t>We emphasize Shipley’s file was lost or misplaced through no fault of his own and due to circumstances entirely beyond his control.  Surely the Legislature did not write the statute in anticipation of a system so inefficient that such gaffes were statutorily provided for.”  (</w:t>
      </w:r>
      <w:r w:rsidRPr="00C97CBB">
        <w:rPr>
          <w:i/>
          <w:iCs/>
        </w:rPr>
        <w:t>Shipley, supra</w:t>
      </w:r>
      <w:r w:rsidRPr="002A6690">
        <w:t>,</w:t>
      </w:r>
      <w:r w:rsidRPr="00C97CBB">
        <w:rPr>
          <w:i/>
          <w:iCs/>
        </w:rPr>
        <w:t xml:space="preserve"> </w:t>
      </w:r>
      <w:r w:rsidRPr="00C97CBB">
        <w:t>7 Cal.App.4th at p.</w:t>
      </w:r>
      <w:r>
        <w:t> </w:t>
      </w:r>
      <w:r w:rsidRPr="00C97CBB">
        <w:t xml:space="preserve">1107.)  </w:t>
      </w:r>
    </w:p>
    <w:p w:rsidR="00CB455D" w:rsidRPr="00167F61" w:rsidP="00CB455D" w14:paraId="08148EEE" w14:textId="77777777">
      <w:pPr>
        <w:spacing w:after="0" w:line="288" w:lineRule="auto"/>
        <w:ind w:firstLine="720"/>
      </w:pPr>
      <w:r w:rsidRPr="00C97CBB">
        <w:t xml:space="preserve">The </w:t>
      </w:r>
      <w:r w:rsidRPr="00C97CBB">
        <w:rPr>
          <w:i/>
          <w:iCs/>
        </w:rPr>
        <w:t xml:space="preserve">Shipley </w:t>
      </w:r>
      <w:r w:rsidRPr="00C97CBB">
        <w:t xml:space="preserve">court relied on </w:t>
      </w:r>
      <w:r w:rsidRPr="00C97CBB">
        <w:rPr>
          <w:i/>
          <w:iCs/>
        </w:rPr>
        <w:t>State Farm Fire &amp; Casualty Co. v. Workers’ Comp. Appeals Bd.</w:t>
      </w:r>
      <w:r w:rsidRPr="00C97CBB">
        <w:t xml:space="preserve"> (1981) 119</w:t>
      </w:r>
      <w:r>
        <w:t> </w:t>
      </w:r>
      <w:r w:rsidRPr="00C97CBB">
        <w:t xml:space="preserve">Cal.App.3d 193, which considered an untimely petition for appellate review under section 5950.  (See </w:t>
      </w:r>
      <w:r w:rsidRPr="00C97CBB">
        <w:rPr>
          <w:i/>
          <w:iCs/>
        </w:rPr>
        <w:t>Shipley,</w:t>
      </w:r>
      <w:r w:rsidRPr="00C97CBB">
        <w:t xml:space="preserve"> </w:t>
      </w:r>
      <w:r w:rsidRPr="00C97CBB">
        <w:rPr>
          <w:i/>
          <w:iCs/>
        </w:rPr>
        <w:t>supra</w:t>
      </w:r>
      <w:r w:rsidRPr="00C97CBB">
        <w:t>, 7</w:t>
      </w:r>
      <w:r>
        <w:t> </w:t>
      </w:r>
      <w:r w:rsidRPr="00C97CBB">
        <w:t>Cal.App.4th at p</w:t>
      </w:r>
      <w:r w:rsidR="00B63B8A">
        <w:t>.</w:t>
      </w:r>
      <w:r w:rsidRPr="00C97CBB">
        <w:t xml:space="preserve"> 1108.)  The </w:t>
      </w:r>
      <w:r w:rsidRPr="00C97CBB">
        <w:rPr>
          <w:i/>
          <w:iCs/>
        </w:rPr>
        <w:t>State Farm</w:t>
      </w:r>
      <w:r w:rsidRPr="00C97CBB">
        <w:t xml:space="preserve"> court held the Board’s failure to provide notice of its order denying a petition for reconsideration excused the petitioner’s late filing of a petition for review with the Court of Appeal under section 5950.  (</w:t>
      </w:r>
      <w:r w:rsidRPr="00C97CBB">
        <w:rPr>
          <w:i/>
          <w:iCs/>
        </w:rPr>
        <w:t>State Farm</w:t>
      </w:r>
      <w:r w:rsidRPr="00C97CBB">
        <w:t>,</w:t>
      </w:r>
      <w:r w:rsidRPr="00C97CBB">
        <w:rPr>
          <w:i/>
          <w:iCs/>
        </w:rPr>
        <w:t xml:space="preserve"> </w:t>
      </w:r>
      <w:r w:rsidRPr="00C97CBB">
        <w:t xml:space="preserve">at p. 197.)  Although the </w:t>
      </w:r>
      <w:r w:rsidRPr="00C97CBB">
        <w:rPr>
          <w:i/>
          <w:iCs/>
        </w:rPr>
        <w:t>State Farm</w:t>
      </w:r>
      <w:r w:rsidRPr="00C97CBB">
        <w:t xml:space="preserve"> court observed the 45-day time period under section</w:t>
      </w:r>
      <w:r w:rsidR="0011331C">
        <w:t> </w:t>
      </w:r>
      <w:r w:rsidRPr="00C97CBB">
        <w:t>5950 for filing a petition for a writ of review in the Court of Appeal was jurisdictional, the court reasoned the Board’s failure to provide notice of its ruling on the petition for reconsideration deprived the petitioner of his statutory right to judicial review, which would “offend elementary due process principles.”  (</w:t>
      </w:r>
      <w:r>
        <w:rPr>
          <w:i/>
          <w:iCs/>
        </w:rPr>
        <w:t>State Farm</w:t>
      </w:r>
      <w:r>
        <w:t>,</w:t>
      </w:r>
      <w:r w:rsidRPr="00C97CBB">
        <w:rPr>
          <w:i/>
          <w:iCs/>
        </w:rPr>
        <w:t xml:space="preserve"> </w:t>
      </w:r>
      <w:r w:rsidRPr="00C97CBB">
        <w:t xml:space="preserve">at pp. 195-197.)  The court concluded the statutory period in which review could be sought, therefore, </w:t>
      </w:r>
      <w:r w:rsidRPr="00167F61">
        <w:t>“must be deemed to commence with the receipt of notice.”  (</w:t>
      </w:r>
      <w:r w:rsidRPr="00167F61">
        <w:rPr>
          <w:i/>
          <w:iCs/>
        </w:rPr>
        <w:t>Id</w:t>
      </w:r>
      <w:r w:rsidRPr="00167F61">
        <w:t>. at p.</w:t>
      </w:r>
      <w:r w:rsidRPr="00167F61" w:rsidR="0011331C">
        <w:t> </w:t>
      </w:r>
      <w:r w:rsidRPr="00167F61">
        <w:t xml:space="preserve">197.) </w:t>
      </w:r>
      <w:r w:rsidRPr="00167F61" w:rsidR="00A97971">
        <w:t xml:space="preserve"> </w:t>
      </w:r>
      <w:r w:rsidRPr="00167F61">
        <w:tab/>
      </w:r>
    </w:p>
    <w:p w:rsidR="00CB455D" w:rsidRPr="00167F61" w:rsidP="00CB455D" w14:paraId="17BBED45" w14:textId="3AAB07B2">
      <w:pPr>
        <w:spacing w:after="0" w:line="288" w:lineRule="auto"/>
        <w:ind w:firstLine="720"/>
      </w:pPr>
      <w:r w:rsidRPr="00286E2F">
        <w:t xml:space="preserve">Even if an exception to the </w:t>
      </w:r>
      <w:r w:rsidRPr="00286E2F" w:rsidR="005E1B04">
        <w:t xml:space="preserve">60-day </w:t>
      </w:r>
      <w:r w:rsidRPr="00286E2F">
        <w:t xml:space="preserve">deadline </w:t>
      </w:r>
      <w:r w:rsidRPr="00286E2F" w:rsidR="005E1B04">
        <w:t>in section</w:t>
      </w:r>
      <w:r w:rsidRPr="00286E2F" w:rsidR="00126D27">
        <w:t> </w:t>
      </w:r>
      <w:r w:rsidRPr="00286E2F" w:rsidR="005E1B04">
        <w:t xml:space="preserve">5909 </w:t>
      </w:r>
      <w:r w:rsidRPr="00286E2F">
        <w:t xml:space="preserve">may be carved out based on </w:t>
      </w:r>
      <w:r w:rsidRPr="00286E2F" w:rsidR="00E0692D">
        <w:t xml:space="preserve">equitable </w:t>
      </w:r>
      <w:r w:rsidRPr="00286E2F">
        <w:t>principles, any</w:t>
      </w:r>
      <w:r w:rsidRPr="00167F61">
        <w:t xml:space="preserve"> exception must be limited to </w:t>
      </w:r>
      <w:r w:rsidRPr="00167F61" w:rsidR="0011331C">
        <w:t xml:space="preserve">the </w:t>
      </w:r>
      <w:r w:rsidRPr="00167F61">
        <w:t xml:space="preserve">circumstances, as in </w:t>
      </w:r>
      <w:r w:rsidRPr="00167F61">
        <w:rPr>
          <w:i/>
          <w:iCs/>
        </w:rPr>
        <w:t>Shipley</w:t>
      </w:r>
      <w:r w:rsidRPr="00167F61">
        <w:t xml:space="preserve">, where a petitioner acts diligently to protect his or her rights and the Board misleads the petitioner into believing the Board would consider the petition </w:t>
      </w:r>
      <w:r w:rsidRPr="00167F61" w:rsidR="00B4006E">
        <w:t>after</w:t>
      </w:r>
      <w:r w:rsidRPr="00167F61">
        <w:t xml:space="preserve"> the 60-day deadline</w:t>
      </w:r>
      <w:r w:rsidRPr="00167F61" w:rsidR="00B4006E">
        <w:t xml:space="preserve"> </w:t>
      </w:r>
      <w:r w:rsidRPr="00167F61" w:rsidR="00A577B6">
        <w:t xml:space="preserve">had </w:t>
      </w:r>
      <w:r w:rsidRPr="00167F61" w:rsidR="00B4006E">
        <w:t>passed</w:t>
      </w:r>
      <w:r w:rsidRPr="00167F61">
        <w:t xml:space="preserve">, thereby depriving the claimant of review </w:t>
      </w:r>
      <w:r w:rsidRPr="00167F61" w:rsidR="005D6367">
        <w:t xml:space="preserve">by the Board </w:t>
      </w:r>
      <w:r w:rsidRPr="00167F61">
        <w:t>(and potentially any judicial review).</w:t>
      </w:r>
      <w:r>
        <w:rPr>
          <w:rStyle w:val="FootnoteReference"/>
        </w:rPr>
        <w:footnoteReference w:id="21"/>
      </w:r>
      <w:r w:rsidRPr="00167F61" w:rsidR="00736641">
        <w:t xml:space="preserve"> </w:t>
      </w:r>
      <w:r w:rsidRPr="00167F61">
        <w:t xml:space="preserve">  </w:t>
      </w:r>
    </w:p>
    <w:p w:rsidR="00CB455D" w:rsidRPr="00C97CBB" w:rsidP="00CB455D" w14:paraId="1F8A3B5F" w14:textId="39D1A9E3">
      <w:pPr>
        <w:spacing w:after="0" w:line="288" w:lineRule="auto"/>
        <w:ind w:firstLine="720"/>
      </w:pPr>
      <w:r w:rsidRPr="002812FA">
        <w:t xml:space="preserve">The Board concedes CIGA made no inquiries of the Board prior to the expiration of the 60-day period on the status of its petition.  </w:t>
      </w:r>
      <w:r w:rsidR="00055860">
        <w:t xml:space="preserve">Although </w:t>
      </w:r>
      <w:r w:rsidRPr="00C97CBB">
        <w:t xml:space="preserve">petitioners are not responsible for deficiencies in the workers’ compensation appeals process, experienced workers’ compensation insurers such as CIGA </w:t>
      </w:r>
      <w:r w:rsidR="00AC1F44">
        <w:t xml:space="preserve">(and its attorneys) </w:t>
      </w:r>
      <w:r w:rsidRPr="00C97CBB">
        <w:t xml:space="preserve">are well aware of the delays in the process and the likelihood </w:t>
      </w:r>
      <w:r>
        <w:t xml:space="preserve">that </w:t>
      </w:r>
      <w:r w:rsidRPr="00C97CBB">
        <w:t xml:space="preserve">a petition may be denied by operation of law if the Board does not receive the petition or the arbitration record.  Yet CIGA took no action for nine months </w:t>
      </w:r>
      <w:r>
        <w:t>following</w:t>
      </w:r>
      <w:r w:rsidRPr="00C97CBB">
        <w:t xml:space="preserve"> the filing of its petition to inquire as to the status of its petition.</w:t>
      </w:r>
      <w:r>
        <w:rPr>
          <w:vertAlign w:val="superscript"/>
        </w:rPr>
        <w:footnoteReference w:id="22"/>
      </w:r>
      <w:r w:rsidRPr="00EB145B">
        <w:t xml:space="preserve">  </w:t>
      </w:r>
      <w:r w:rsidRPr="00C97CBB">
        <w:t xml:space="preserve">  </w:t>
      </w:r>
    </w:p>
    <w:p w:rsidR="00D42BED" w:rsidRPr="00D42BED" w:rsidP="00D42BED" w14:paraId="1514740C" w14:textId="4E53091C">
      <w:pPr>
        <w:spacing w:after="0" w:line="288" w:lineRule="auto"/>
        <w:ind w:firstLine="720"/>
      </w:pPr>
      <w:r w:rsidRPr="00C97CBB">
        <w:t xml:space="preserve">And more importantly, CIGA had a remedy even after its petition </w:t>
      </w:r>
      <w:r w:rsidR="001930C3">
        <w:t xml:space="preserve">for reconsideration </w:t>
      </w:r>
      <w:r w:rsidRPr="00C97CBB">
        <w:t xml:space="preserve">was denied by operation of law </w:t>
      </w:r>
      <w:r>
        <w:t>on</w:t>
      </w:r>
      <w:r w:rsidRPr="00C97CBB">
        <w:t xml:space="preserve"> day 60:  </w:t>
      </w:r>
      <w:r>
        <w:t>I</w:t>
      </w:r>
      <w:r w:rsidRPr="00C97CBB">
        <w:t xml:space="preserve">t could have filed a petition for a writ of review with the Court of Appeal or </w:t>
      </w:r>
      <w:r w:rsidR="0011331C">
        <w:t xml:space="preserve">the </w:t>
      </w:r>
      <w:r w:rsidRPr="00C97CBB">
        <w:t xml:space="preserve">Supreme Court </w:t>
      </w:r>
      <w:r w:rsidR="00580A68">
        <w:t>under section</w:t>
      </w:r>
      <w:r w:rsidR="00622DEC">
        <w:t> </w:t>
      </w:r>
      <w:r w:rsidR="00580A68">
        <w:t xml:space="preserve">5950 </w:t>
      </w:r>
      <w:r w:rsidRPr="00C97CBB">
        <w:t xml:space="preserve">challenging the </w:t>
      </w:r>
      <w:r w:rsidR="00543420">
        <w:t>arbitrator’s decision</w:t>
      </w:r>
      <w:r w:rsidRPr="00C97CBB">
        <w:t xml:space="preserve">, </w:t>
      </w:r>
      <w:r>
        <w:t>so</w:t>
      </w:r>
      <w:r w:rsidRPr="00C97CBB">
        <w:t xml:space="preserve"> long as </w:t>
      </w:r>
      <w:r w:rsidR="007A7F21">
        <w:t>CIGA</w:t>
      </w:r>
      <w:r w:rsidRPr="00C97CBB">
        <w:t xml:space="preserve"> filed </w:t>
      </w:r>
      <w:r w:rsidR="001930C3">
        <w:t>its</w:t>
      </w:r>
      <w:r w:rsidRPr="00C97CBB">
        <w:t xml:space="preserve"> petition within 45</w:t>
      </w:r>
      <w:r w:rsidR="00071748">
        <w:t> </w:t>
      </w:r>
      <w:r w:rsidRPr="00C97CBB">
        <w:t xml:space="preserve">days of the </w:t>
      </w:r>
      <w:r w:rsidR="001930C3">
        <w:t xml:space="preserve">Board’s </w:t>
      </w:r>
      <w:r w:rsidRPr="00C97CBB">
        <w:t>order denying its petition</w:t>
      </w:r>
      <w:r w:rsidR="001930C3">
        <w:t xml:space="preserve"> for reconsideration</w:t>
      </w:r>
      <w:r w:rsidRPr="00C97CBB">
        <w:t xml:space="preserve"> (that is, within 45</w:t>
      </w:r>
      <w:r w:rsidR="00071748">
        <w:t> </w:t>
      </w:r>
      <w:r w:rsidRPr="00C97CBB">
        <w:t>days of denial of its petition by operation of law).  Had CIGA protected its rights by filing a timely petition for a writ of review, the appellate court</w:t>
      </w:r>
      <w:r>
        <w:t>s</w:t>
      </w:r>
      <w:r w:rsidRPr="00C97CBB">
        <w:t xml:space="preserve"> would have had jurisdiction to consider alleged errors in the arbitrators’ decision.</w:t>
      </w:r>
      <w:r>
        <w:rPr>
          <w:rStyle w:val="FootnoteReference"/>
        </w:rPr>
        <w:footnoteReference w:id="23"/>
      </w:r>
      <w:r w:rsidRPr="00C97CBB">
        <w:t xml:space="preserve">  CIGA failed to take advantage of this remedy, rendering the arbitrator’s decision dismissing Zurich final.  </w:t>
      </w:r>
      <w:r w:rsidRPr="00BA7F0F">
        <w:t>Accordingly, it was CIGA’s own inaction that denied it a remedy.</w:t>
      </w:r>
      <w:r>
        <w:rPr>
          <w:rStyle w:val="FootnoteReference"/>
        </w:rPr>
        <w:footnoteReference w:id="24"/>
      </w:r>
      <w:r w:rsidRPr="00BA7F0F">
        <w:t xml:space="preserve">  Indeed</w:t>
      </w:r>
      <w:r w:rsidRPr="00C97CBB">
        <w:t xml:space="preserve">, CIGA does not argue the Board’s conduct deprived it of an opportunity to seek appellate </w:t>
      </w:r>
      <w:r>
        <w:t>review</w:t>
      </w:r>
      <w:r w:rsidRPr="00C97CBB">
        <w:t>, nor does it seek leave in this proceeding to file an untimely petition for a writ of review.</w:t>
      </w:r>
      <w:r w:rsidRPr="00D42BED">
        <w:t xml:space="preserve"> </w:t>
      </w:r>
    </w:p>
    <w:p w:rsidR="00CB455D" w:rsidP="004C7DBB" w14:paraId="4CB49D3E" w14:textId="5986A49A">
      <w:pPr>
        <w:tabs>
          <w:tab w:val="left" w:pos="180"/>
        </w:tabs>
        <w:spacing w:after="0" w:line="288" w:lineRule="auto"/>
        <w:ind w:firstLine="720"/>
      </w:pPr>
      <w:r w:rsidRPr="00C97CBB">
        <w:t xml:space="preserve">By contrast, in </w:t>
      </w:r>
      <w:r w:rsidRPr="00C97CBB">
        <w:rPr>
          <w:i/>
          <w:iCs/>
        </w:rPr>
        <w:t>Shipley</w:t>
      </w:r>
      <w:r w:rsidRPr="00C97CBB">
        <w:t xml:space="preserve">, the Board’s misleading conduct in lulling Shipley </w:t>
      </w:r>
      <w:r>
        <w:t>into</w:t>
      </w:r>
      <w:r w:rsidRPr="00C97CBB">
        <w:t xml:space="preserve"> believ</w:t>
      </w:r>
      <w:r>
        <w:t>ing</w:t>
      </w:r>
      <w:r w:rsidRPr="00C97CBB">
        <w:t xml:space="preserve"> </w:t>
      </w:r>
      <w:r w:rsidR="00875E39">
        <w:t>it</w:t>
      </w:r>
      <w:r w:rsidRPr="00C97CBB">
        <w:t xml:space="preserve"> would act on his petition as soon as it found his case file or the file was reconstructed (in response to Shipley’s repeated inquiries) affected Shipley’s ability to protect his rights</w:t>
      </w:r>
      <w:bookmarkStart w:id="7" w:name="_Hlk147413470"/>
      <w:r>
        <w:t xml:space="preserve">.  </w:t>
      </w:r>
      <w:r w:rsidRPr="00C97CBB">
        <w:t>Shipley continued to believe the Board would act on his petition for reconsideration</w:t>
      </w:r>
      <w:r w:rsidR="009B65A8">
        <w:t>,</w:t>
      </w:r>
      <w:r w:rsidRPr="00C97CBB">
        <w:t xml:space="preserve"> well past the time when the petition was denied by operation of law and after the deadline for filing a timely petition for a writ of review of that denial had passed.</w:t>
      </w:r>
      <w:r>
        <w:rPr>
          <w:vertAlign w:val="superscript"/>
        </w:rPr>
        <w:footnoteReference w:id="25"/>
      </w:r>
      <w:r w:rsidRPr="00EB6791" w:rsidR="00EB6791">
        <w:t xml:space="preserve"> </w:t>
      </w:r>
      <w:r>
        <w:t xml:space="preserve">  </w:t>
      </w:r>
      <w:r w:rsidRPr="00C97CBB">
        <w:t xml:space="preserve">  </w:t>
      </w:r>
    </w:p>
    <w:p w:rsidR="004C11DD" w:rsidRPr="004C11DD" w:rsidP="004C11DD" w14:paraId="6F13C784" w14:textId="2240B0E5">
      <w:pPr>
        <w:spacing w:after="0" w:line="288" w:lineRule="auto"/>
        <w:ind w:firstLine="720"/>
      </w:pPr>
      <w:bookmarkStart w:id="8" w:name="_Hlk146803765"/>
      <w:bookmarkEnd w:id="7"/>
      <w:r w:rsidRPr="00C97CBB">
        <w:t>Finally, as Zurich points out, it too has a legitimate interest in the finality of the arbitrator’s decision.  As discussed, the California Constitution requires the workers’ compensation system to accomplish substantial justice “expeditiously” and “inexpensively.”  (Cal. Const.</w:t>
      </w:r>
      <w:r>
        <w:t>,</w:t>
      </w:r>
      <w:r w:rsidRPr="00C97CBB">
        <w:t xml:space="preserve"> </w:t>
      </w:r>
      <w:r>
        <w:t>a</w:t>
      </w:r>
      <w:r w:rsidRPr="00C97CBB">
        <w:t>rt. XIV, § 4.)  Section</w:t>
      </w:r>
      <w:r w:rsidR="00071748">
        <w:t> </w:t>
      </w:r>
      <w:r w:rsidRPr="00C97CBB">
        <w:t xml:space="preserve">5909 furthers that purpose by imposing a limit of 60 days on the Board’s jurisdiction to grant a petition for reconsideration, thereby ensuring the expeditious adjudication of a claim without allowing </w:t>
      </w:r>
      <w:r w:rsidR="00E77170">
        <w:t>the</w:t>
      </w:r>
      <w:r w:rsidRPr="00C97CBB">
        <w:t xml:space="preserve"> open-ended </w:t>
      </w:r>
      <w:r w:rsidR="00735A3E">
        <w:t>extension</w:t>
      </w:r>
      <w:r w:rsidRPr="00C97CBB">
        <w:t xml:space="preserve"> the Board champions here.  </w:t>
      </w:r>
      <w:bookmarkEnd w:id="6"/>
      <w:bookmarkEnd w:id="8"/>
    </w:p>
    <w:p w:rsidR="006263EA" w:rsidRPr="00875E39" w:rsidP="00CA2C24" w14:paraId="5E73E6CF" w14:textId="77777777">
      <w:pPr>
        <w:spacing w:after="0" w:line="288" w:lineRule="auto"/>
        <w:ind w:firstLine="720"/>
      </w:pPr>
    </w:p>
    <w:p w:rsidR="000A0640" w:rsidRPr="00CA2C24" w:rsidP="00CA2C24" w14:paraId="1C2F21F1" w14:textId="77777777">
      <w:pPr>
        <w:pStyle w:val="Heading1"/>
        <w:spacing w:before="0" w:after="0" w:line="288" w:lineRule="auto"/>
        <w:jc w:val="center"/>
        <w:rPr>
          <w:b w:val="0"/>
          <w:sz w:val="26"/>
          <w:szCs w:val="26"/>
        </w:rPr>
      </w:pPr>
      <w:r w:rsidRPr="00875E39">
        <w:rPr>
          <w:rFonts w:eastAsia="Calibri" w:cs="Times New Roman"/>
          <w:sz w:val="26"/>
          <w:szCs w:val="26"/>
        </w:rPr>
        <w:t>DISPOSITION</w:t>
      </w:r>
    </w:p>
    <w:p w:rsidR="000A0640" w:rsidRPr="00C97CBB" w:rsidP="00CA2C24" w14:paraId="5735CA5B" w14:textId="77777777">
      <w:pPr>
        <w:spacing w:after="0" w:line="288" w:lineRule="auto"/>
        <w:jc w:val="center"/>
        <w:rPr>
          <w:b/>
        </w:rPr>
      </w:pPr>
    </w:p>
    <w:p w:rsidR="000A0640" w:rsidRPr="00C97CBB" w:rsidP="000A0640" w14:paraId="45A0DA8D" w14:textId="5D23931F">
      <w:pPr>
        <w:spacing w:after="0" w:line="288" w:lineRule="auto"/>
        <w:ind w:firstLine="720"/>
      </w:pPr>
      <w:r>
        <w:t>We issue a</w:t>
      </w:r>
      <w:r w:rsidRPr="00C97CBB">
        <w:t xml:space="preserve"> peremptory writ of mandate directing the Workers’ Compensation Appeals Board to rescind its June 13, 2022 order granting CIGA’s petition for reconsideration and its August 8, 2022 opinion and decision after reconsideration.  We further direct the Board to order</w:t>
      </w:r>
      <w:r w:rsidR="00AD5F4C">
        <w:t xml:space="preserve"> the</w:t>
      </w:r>
      <w:r w:rsidRPr="00C97CBB">
        <w:t xml:space="preserve"> dismissal of Zurich as a defendant based on the denial of CIGA’s petition for reconsideration by operation of law under section 5909.</w:t>
      </w:r>
      <w:r>
        <w:t xml:space="preserve">  Zurich is to recover its costs </w:t>
      </w:r>
      <w:r w:rsidR="00D77CDB">
        <w:t>in</w:t>
      </w:r>
      <w:r w:rsidR="00CA2C24">
        <w:t xml:space="preserve"> </w:t>
      </w:r>
      <w:r w:rsidR="00D77CDB">
        <w:t>this proceeding</w:t>
      </w:r>
      <w:r>
        <w:t>.</w:t>
      </w:r>
    </w:p>
    <w:p w:rsidR="000A0640" w:rsidRPr="00C97CBB" w:rsidP="000A0640" w14:paraId="46ED36BA" w14:textId="77777777">
      <w:pPr>
        <w:keepNext/>
        <w:spacing w:after="0" w:line="288" w:lineRule="auto"/>
      </w:pPr>
    </w:p>
    <w:p w:rsidR="000A0640" w:rsidRPr="00C97CBB" w:rsidP="000A0640" w14:paraId="15595FCE" w14:textId="77777777">
      <w:pPr>
        <w:keepNext/>
        <w:spacing w:after="0" w:line="288" w:lineRule="auto"/>
      </w:pPr>
    </w:p>
    <w:p w:rsidR="000A0640" w:rsidRPr="00C97CBB" w:rsidP="000A0640" w14:paraId="20BD1A56" w14:textId="77777777">
      <w:pPr>
        <w:keepNext/>
        <w:widowControl w:val="0"/>
        <w:spacing w:after="0" w:line="288" w:lineRule="auto"/>
      </w:pPr>
      <w:r w:rsidRPr="00C97CBB">
        <w:tab/>
      </w:r>
      <w:r w:rsidRPr="00C97CBB">
        <w:tab/>
      </w:r>
      <w:r w:rsidRPr="00C97CBB">
        <w:tab/>
      </w:r>
      <w:r w:rsidRPr="00C97CBB">
        <w:tab/>
      </w:r>
      <w:r w:rsidRPr="00C97CBB">
        <w:tab/>
      </w:r>
      <w:r w:rsidRPr="00C97CBB">
        <w:tab/>
      </w:r>
      <w:r w:rsidRPr="00C97CBB">
        <w:tab/>
        <w:t>FEUER, J.</w:t>
      </w:r>
      <w:r w:rsidRPr="00C97CBB">
        <w:rPr>
          <w:b/>
          <w:color w:val="000000"/>
          <w:vertAlign w:val="superscript"/>
        </w:rPr>
        <w:t xml:space="preserve"> </w:t>
      </w:r>
    </w:p>
    <w:p w:rsidR="000A0640" w:rsidRPr="00C97CBB" w:rsidP="004E587B" w14:paraId="76240F5C" w14:textId="77777777">
      <w:pPr>
        <w:keepNext/>
        <w:widowControl w:val="0"/>
        <w:spacing w:after="0" w:line="288" w:lineRule="auto"/>
        <w:ind w:firstLine="720"/>
      </w:pPr>
      <w:r w:rsidRPr="00C97CBB">
        <w:t>We concur:</w:t>
      </w:r>
    </w:p>
    <w:p w:rsidR="000A0640" w:rsidRPr="00C97CBB" w:rsidP="000A0640" w14:paraId="606E23BF" w14:textId="77777777">
      <w:pPr>
        <w:keepNext/>
        <w:widowControl w:val="0"/>
        <w:spacing w:after="0" w:line="288" w:lineRule="auto"/>
      </w:pPr>
    </w:p>
    <w:p w:rsidR="000A0640" w:rsidRPr="00C97CBB" w:rsidP="000A0640" w14:paraId="7C5E42CE" w14:textId="77777777">
      <w:pPr>
        <w:keepNext/>
        <w:widowControl w:val="0"/>
        <w:spacing w:after="0" w:line="288" w:lineRule="auto"/>
      </w:pPr>
    </w:p>
    <w:p w:rsidR="000A0640" w:rsidRPr="00C97CBB" w:rsidP="000A0640" w14:paraId="4735D2AB" w14:textId="77777777">
      <w:pPr>
        <w:keepNext/>
        <w:widowControl w:val="0"/>
        <w:spacing w:after="0" w:line="288" w:lineRule="auto"/>
      </w:pPr>
      <w:r w:rsidRPr="00C97CBB">
        <w:tab/>
      </w:r>
      <w:r w:rsidRPr="00C97CBB">
        <w:tab/>
        <w:t>SEGAL, Acting P.</w:t>
      </w:r>
      <w:r>
        <w:t xml:space="preserve"> </w:t>
      </w:r>
      <w:r w:rsidRPr="00C97CBB">
        <w:t>J.</w:t>
      </w:r>
    </w:p>
    <w:p w:rsidR="000A0640" w:rsidRPr="00C97CBB" w:rsidP="000A0640" w14:paraId="76DFD172" w14:textId="77777777">
      <w:pPr>
        <w:keepNext/>
        <w:widowControl w:val="0"/>
        <w:spacing w:after="0" w:line="288" w:lineRule="auto"/>
      </w:pPr>
    </w:p>
    <w:p w:rsidR="000A0640" w:rsidRPr="00C97CBB" w:rsidP="000A0640" w14:paraId="0372EEC4" w14:textId="77777777">
      <w:pPr>
        <w:keepNext/>
        <w:widowControl w:val="0"/>
        <w:spacing w:after="0" w:line="288" w:lineRule="auto"/>
      </w:pPr>
    </w:p>
    <w:p w:rsidR="000A0640" w:rsidP="000A0640" w14:paraId="6B3E7B7D" w14:textId="77777777">
      <w:pPr>
        <w:keepNext/>
        <w:widowControl w:val="0"/>
        <w:spacing w:after="0" w:line="288" w:lineRule="auto"/>
      </w:pPr>
      <w:r w:rsidRPr="00C97CBB">
        <w:tab/>
      </w:r>
      <w:r w:rsidRPr="00C97CBB">
        <w:tab/>
        <w:t>MARTINEZ, J.</w:t>
      </w:r>
    </w:p>
    <w:p w:rsidR="004975D0" w:rsidP="00946508" w14:paraId="571463A5" w14:textId="77777777">
      <w:pPr>
        <w:spacing w:after="0" w:line="288" w:lineRule="auto"/>
        <w:ind w:firstLine="720"/>
      </w:pPr>
    </w:p>
    <w:p w:rsidR="004975D0" w:rsidP="004975D0" w14:paraId="443F86E2" w14:textId="77777777">
      <w:pPr>
        <w:spacing w:after="0" w:line="288" w:lineRule="auto"/>
        <w:ind w:firstLine="720"/>
      </w:pPr>
    </w:p>
    <w:sectPr w:rsidSect="00350795">
      <w:footerReference w:type="even" r:id="rId9"/>
      <w:footerReference w:type="default" r:id="rId10"/>
      <w:pgSz w:w="12240" w:h="15840"/>
      <w:pgMar w:top="2160" w:right="2160" w:bottom="2160" w:left="21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30D" w14:paraId="070E31AD"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73E58">
      <w:rPr>
        <w:noProof/>
        <w:color w:val="000000"/>
      </w:rPr>
      <w:t>3</w:t>
    </w:r>
    <w:r>
      <w:rPr>
        <w:color w:val="000000"/>
      </w:rPr>
      <w:fldChar w:fldCharType="end"/>
    </w:r>
  </w:p>
  <w:p w:rsidR="0032230D" w14:paraId="46946F1F"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30D" w14:paraId="5B9B976B"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60F7B">
      <w:rPr>
        <w:noProof/>
        <w:color w:val="000000"/>
      </w:rPr>
      <w:t>2</w:t>
    </w:r>
    <w:r>
      <w:rPr>
        <w:color w:val="000000"/>
      </w:rPr>
      <w:fldChar w:fldCharType="end"/>
    </w:r>
  </w:p>
  <w:p w:rsidR="0032230D" w14:paraId="7B0CBB16" w14:textId="77777777">
    <w:pPr>
      <w:widowControl w:val="0"/>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4477" w14:paraId="573877C0" w14:textId="77777777">
      <w:pPr>
        <w:spacing w:after="0" w:line="240" w:lineRule="auto"/>
      </w:pPr>
      <w:r>
        <w:separator/>
      </w:r>
    </w:p>
  </w:footnote>
  <w:footnote w:type="continuationSeparator" w:id="1">
    <w:p w:rsidR="009C4477" w14:paraId="1A01508F" w14:textId="77777777">
      <w:pPr>
        <w:spacing w:after="0" w:line="240" w:lineRule="auto"/>
      </w:pPr>
      <w:r>
        <w:continuationSeparator/>
      </w:r>
    </w:p>
  </w:footnote>
  <w:footnote w:type="continuationNotice" w:id="2">
    <w:p w:rsidR="009C4477" w14:paraId="1A6155B2" w14:textId="77777777">
      <w:pPr>
        <w:spacing w:after="0" w:line="240" w:lineRule="auto"/>
      </w:pPr>
    </w:p>
  </w:footnote>
  <w:footnote w:id="3">
    <w:p w:rsidR="00D409D0" w:rsidRPr="00407569" w:rsidP="00427A0F" w14:paraId="233908EE" w14:textId="77777777">
      <w:pPr>
        <w:pStyle w:val="FootnoteText"/>
        <w:spacing w:after="120"/>
        <w:rPr>
          <w:sz w:val="26"/>
          <w:szCs w:val="26"/>
        </w:rPr>
      </w:pPr>
      <w:r w:rsidRPr="00407569">
        <w:rPr>
          <w:rStyle w:val="FootnoteReference"/>
          <w:sz w:val="26"/>
          <w:szCs w:val="26"/>
        </w:rPr>
        <w:footnoteRef/>
      </w:r>
      <w:r w:rsidRPr="00407569">
        <w:rPr>
          <w:sz w:val="26"/>
          <w:szCs w:val="26"/>
        </w:rPr>
        <w:t xml:space="preserve"> </w:t>
      </w:r>
      <w:r w:rsidRPr="00407569">
        <w:rPr>
          <w:sz w:val="26"/>
          <w:szCs w:val="26"/>
        </w:rPr>
        <w:tab/>
      </w:r>
      <w:r w:rsidRPr="00407569" w:rsidR="00042491">
        <w:rPr>
          <w:sz w:val="26"/>
          <w:szCs w:val="26"/>
        </w:rPr>
        <w:t>Further</w:t>
      </w:r>
      <w:r w:rsidRPr="00407569">
        <w:rPr>
          <w:sz w:val="26"/>
          <w:szCs w:val="26"/>
        </w:rPr>
        <w:t xml:space="preserve"> </w:t>
      </w:r>
      <w:r w:rsidRPr="00407569" w:rsidR="005B70A7">
        <w:rPr>
          <w:sz w:val="26"/>
          <w:szCs w:val="26"/>
        </w:rPr>
        <w:t xml:space="preserve">undesignated </w:t>
      </w:r>
      <w:r w:rsidRPr="00407569">
        <w:rPr>
          <w:sz w:val="26"/>
          <w:szCs w:val="26"/>
        </w:rPr>
        <w:t>statutory references are to the Labor Code.</w:t>
      </w:r>
    </w:p>
  </w:footnote>
  <w:footnote w:id="4">
    <w:p w:rsidR="00F32FDE" w:rsidRPr="00407569" w:rsidP="00427A0F" w14:paraId="5E186242" w14:textId="77777777">
      <w:pPr>
        <w:pStyle w:val="FootnoteText"/>
        <w:spacing w:after="120"/>
        <w:rPr>
          <w:sz w:val="26"/>
          <w:szCs w:val="26"/>
        </w:rPr>
      </w:pPr>
      <w:r w:rsidRPr="00407569">
        <w:rPr>
          <w:rStyle w:val="FootnoteReference"/>
          <w:sz w:val="26"/>
          <w:szCs w:val="26"/>
        </w:rPr>
        <w:footnoteRef/>
      </w:r>
      <w:r w:rsidRPr="00407569">
        <w:rPr>
          <w:sz w:val="26"/>
          <w:szCs w:val="26"/>
        </w:rPr>
        <w:t xml:space="preserve"> </w:t>
      </w:r>
      <w:r w:rsidRPr="00407569">
        <w:rPr>
          <w:sz w:val="26"/>
          <w:szCs w:val="26"/>
        </w:rPr>
        <w:tab/>
        <w:t>CIGA is an unincorporated association of insurers licensed in California, which pays claims of insolvent insurers pursuant to Insurance Code section 1063, et seq.  (</w:t>
      </w:r>
      <w:r w:rsidRPr="00407569">
        <w:rPr>
          <w:i/>
          <w:sz w:val="26"/>
          <w:szCs w:val="26"/>
        </w:rPr>
        <w:t>Isaacson v. California Ins. Guarantee Assn.</w:t>
      </w:r>
      <w:r w:rsidRPr="00407569">
        <w:rPr>
          <w:sz w:val="26"/>
          <w:szCs w:val="26"/>
        </w:rPr>
        <w:t xml:space="preserve"> (1988) 44 Cal.3d 775, 786-787.)  CIGA is required to “pay and discharge covered claims.”  (Ins. Code, §</w:t>
      </w:r>
      <w:r w:rsidR="007F616F">
        <w:rPr>
          <w:sz w:val="26"/>
          <w:szCs w:val="26"/>
        </w:rPr>
        <w:t> </w:t>
      </w:r>
      <w:r w:rsidRPr="00407569">
        <w:rPr>
          <w:sz w:val="26"/>
          <w:szCs w:val="26"/>
        </w:rPr>
        <w:t>1063.2, subd.</w:t>
      </w:r>
      <w:r w:rsidR="007F616F">
        <w:rPr>
          <w:sz w:val="26"/>
          <w:szCs w:val="26"/>
        </w:rPr>
        <w:t> </w:t>
      </w:r>
      <w:r w:rsidRPr="00407569">
        <w:rPr>
          <w:sz w:val="26"/>
          <w:szCs w:val="26"/>
        </w:rPr>
        <w:t>(a).)  Insurance Code section</w:t>
      </w:r>
      <w:r w:rsidR="007F616F">
        <w:rPr>
          <w:sz w:val="26"/>
          <w:szCs w:val="26"/>
        </w:rPr>
        <w:t> </w:t>
      </w:r>
      <w:r w:rsidRPr="00407569">
        <w:rPr>
          <w:sz w:val="26"/>
          <w:szCs w:val="26"/>
        </w:rPr>
        <w:t>1063.1, subdivision</w:t>
      </w:r>
      <w:r w:rsidRPr="00407569" w:rsidR="00C3426F">
        <w:rPr>
          <w:sz w:val="26"/>
          <w:szCs w:val="26"/>
        </w:rPr>
        <w:t> </w:t>
      </w:r>
      <w:r w:rsidRPr="00407569">
        <w:rPr>
          <w:sz w:val="26"/>
          <w:szCs w:val="26"/>
        </w:rPr>
        <w:t>(c)(9)(A)</w:t>
      </w:r>
      <w:r w:rsidRPr="00407569" w:rsidR="004C0CCD">
        <w:rPr>
          <w:sz w:val="26"/>
          <w:szCs w:val="26"/>
        </w:rPr>
        <w:t>,</w:t>
      </w:r>
      <w:r w:rsidRPr="00407569">
        <w:rPr>
          <w:sz w:val="26"/>
          <w:szCs w:val="26"/>
        </w:rPr>
        <w:t xml:space="preserve"> excludes from the definition of a “covered claim” any claim that “is covered by any other insurance of a class covered by this article available to the claimant or insured.”  </w:t>
      </w:r>
    </w:p>
  </w:footnote>
  <w:footnote w:id="5">
    <w:p w:rsidR="002B049D" w:rsidRPr="00407569" w:rsidP="00427A0F" w14:paraId="687E68F9" w14:textId="5722C098">
      <w:pPr>
        <w:pStyle w:val="FootnoteText"/>
        <w:spacing w:after="120"/>
        <w:rPr>
          <w:sz w:val="26"/>
          <w:szCs w:val="26"/>
        </w:rPr>
      </w:pPr>
      <w:r w:rsidRPr="00407569">
        <w:rPr>
          <w:rStyle w:val="FootnoteReference"/>
        </w:rPr>
        <w:footnoteRef/>
      </w:r>
      <w:r w:rsidRPr="00407569">
        <w:t xml:space="preserve"> </w:t>
      </w:r>
      <w:r w:rsidRPr="00407569">
        <w:tab/>
      </w:r>
      <w:r w:rsidRPr="00407569">
        <w:rPr>
          <w:sz w:val="26"/>
          <w:szCs w:val="26"/>
        </w:rPr>
        <w:t>Although Zurich denied liability, CIGA did not.  Therefore</w:t>
      </w:r>
      <w:r w:rsidR="007F50F2">
        <w:rPr>
          <w:sz w:val="26"/>
          <w:szCs w:val="26"/>
        </w:rPr>
        <w:t>,</w:t>
      </w:r>
      <w:r w:rsidRPr="00407569">
        <w:rPr>
          <w:sz w:val="26"/>
          <w:szCs w:val="26"/>
        </w:rPr>
        <w:t xml:space="preserve"> this is a dispute between the insurance carriers, not over whether Uribe was entitled to coverage for his injuries.</w:t>
      </w:r>
    </w:p>
  </w:footnote>
  <w:footnote w:id="6">
    <w:p w:rsidR="00F32FDE" w:rsidRPr="001330D0" w:rsidP="00427A0F" w14:paraId="548E00FB" w14:textId="77777777">
      <w:pPr>
        <w:pStyle w:val="FootnoteText"/>
        <w:spacing w:after="120"/>
        <w:rPr>
          <w:sz w:val="26"/>
          <w:szCs w:val="26"/>
        </w:rPr>
      </w:pPr>
      <w:r w:rsidRPr="00407569">
        <w:rPr>
          <w:rStyle w:val="FootnoteReference"/>
          <w:sz w:val="26"/>
          <w:szCs w:val="26"/>
        </w:rPr>
        <w:footnoteRef/>
      </w:r>
      <w:r w:rsidRPr="00407569">
        <w:rPr>
          <w:sz w:val="26"/>
          <w:szCs w:val="26"/>
        </w:rPr>
        <w:t xml:space="preserve"> </w:t>
      </w:r>
      <w:r w:rsidRPr="00407569">
        <w:rPr>
          <w:sz w:val="26"/>
          <w:szCs w:val="26"/>
        </w:rPr>
        <w:tab/>
        <w:t>Pursuant to section</w:t>
      </w:r>
      <w:r w:rsidR="007F616F">
        <w:rPr>
          <w:sz w:val="26"/>
          <w:szCs w:val="26"/>
        </w:rPr>
        <w:t> </w:t>
      </w:r>
      <w:r w:rsidRPr="00407569">
        <w:rPr>
          <w:sz w:val="26"/>
          <w:szCs w:val="26"/>
        </w:rPr>
        <w:t xml:space="preserve">5275, all coverage issues in workers’ </w:t>
      </w:r>
      <w:r w:rsidRPr="001330D0">
        <w:rPr>
          <w:sz w:val="26"/>
          <w:szCs w:val="26"/>
        </w:rPr>
        <w:t xml:space="preserve">compensation cases </w:t>
      </w:r>
      <w:r w:rsidRPr="001330D0" w:rsidR="000B2733">
        <w:rPr>
          <w:sz w:val="26"/>
          <w:szCs w:val="26"/>
        </w:rPr>
        <w:t>must be</w:t>
      </w:r>
      <w:r w:rsidRPr="001330D0" w:rsidR="00CA2527">
        <w:rPr>
          <w:sz w:val="26"/>
          <w:szCs w:val="26"/>
        </w:rPr>
        <w:t xml:space="preserve"> </w:t>
      </w:r>
      <w:r w:rsidRPr="001330D0">
        <w:rPr>
          <w:sz w:val="26"/>
          <w:szCs w:val="26"/>
        </w:rPr>
        <w:t xml:space="preserve">resolved by arbitration.  </w:t>
      </w:r>
    </w:p>
  </w:footnote>
  <w:footnote w:id="7">
    <w:p w:rsidR="00A11FD7" w:rsidP="00427A0F" w14:paraId="66C885EE" w14:textId="77777777">
      <w:pPr>
        <w:pStyle w:val="FootnoteText"/>
        <w:spacing w:after="120"/>
      </w:pPr>
      <w:r w:rsidRPr="003A2554">
        <w:rPr>
          <w:rStyle w:val="FootnoteReference"/>
          <w:sz w:val="26"/>
          <w:szCs w:val="26"/>
        </w:rPr>
        <w:footnoteRef/>
      </w:r>
      <w:r w:rsidRPr="003A2554">
        <w:rPr>
          <w:sz w:val="26"/>
          <w:szCs w:val="26"/>
        </w:rPr>
        <w:t xml:space="preserve"> </w:t>
      </w:r>
      <w:r w:rsidRPr="003A2554">
        <w:rPr>
          <w:sz w:val="26"/>
          <w:szCs w:val="26"/>
        </w:rPr>
        <w:tab/>
        <w:t xml:space="preserve">We have omitted </w:t>
      </w:r>
      <w:r w:rsidR="00FC7B5B">
        <w:rPr>
          <w:sz w:val="26"/>
          <w:szCs w:val="26"/>
        </w:rPr>
        <w:t xml:space="preserve">some of the </w:t>
      </w:r>
      <w:r w:rsidRPr="003A2554">
        <w:rPr>
          <w:sz w:val="26"/>
          <w:szCs w:val="26"/>
        </w:rPr>
        <w:t>boldface and capitalization of documents in the record</w:t>
      </w:r>
      <w:r w:rsidR="00501B47">
        <w:rPr>
          <w:sz w:val="26"/>
          <w:szCs w:val="26"/>
        </w:rPr>
        <w:t>.</w:t>
      </w:r>
    </w:p>
  </w:footnote>
  <w:footnote w:id="8">
    <w:p w:rsidR="00FD3158" w:rsidRPr="00407569" w:rsidP="00427A0F" w14:paraId="35C6F91E" w14:textId="0E62F388">
      <w:pPr>
        <w:pStyle w:val="FootnoteText"/>
        <w:spacing w:after="120"/>
        <w:rPr>
          <w:sz w:val="26"/>
          <w:szCs w:val="26"/>
        </w:rPr>
      </w:pPr>
      <w:r w:rsidRPr="00407569">
        <w:rPr>
          <w:rStyle w:val="FootnoteReference"/>
          <w:sz w:val="26"/>
          <w:szCs w:val="26"/>
        </w:rPr>
        <w:footnoteRef/>
      </w:r>
      <w:r w:rsidRPr="00407569">
        <w:rPr>
          <w:sz w:val="26"/>
          <w:szCs w:val="26"/>
        </w:rPr>
        <w:t xml:space="preserve"> </w:t>
      </w:r>
      <w:r w:rsidRPr="00407569">
        <w:rPr>
          <w:sz w:val="26"/>
          <w:szCs w:val="26"/>
        </w:rPr>
        <w:tab/>
      </w:r>
      <w:r w:rsidRPr="00407569" w:rsidR="00FC17D5">
        <w:rPr>
          <w:sz w:val="26"/>
          <w:szCs w:val="26"/>
        </w:rPr>
        <w:t>Section</w:t>
      </w:r>
      <w:r w:rsidR="007F616F">
        <w:rPr>
          <w:sz w:val="26"/>
          <w:szCs w:val="26"/>
        </w:rPr>
        <w:t> </w:t>
      </w:r>
      <w:r w:rsidRPr="00407569" w:rsidR="00FC17D5">
        <w:rPr>
          <w:sz w:val="26"/>
          <w:szCs w:val="26"/>
        </w:rPr>
        <w:t xml:space="preserve">5950 provides, </w:t>
      </w:r>
      <w:r w:rsidRPr="00407569" w:rsidR="00A95C0E">
        <w:rPr>
          <w:sz w:val="26"/>
          <w:szCs w:val="26"/>
        </w:rPr>
        <w:t xml:space="preserve">“Any person affected by an order, decision, or award of the appeals board may, within the time limit specified in this section, apply to the Supreme Court or to the court of appeal for the appellate district in which he resides, for a writ of review, for the purpose of inquiring into and determining the lawfulness of the original order, decision, or award or of the order, decision, or award following reconsideration.  The application for </w:t>
      </w:r>
      <w:r w:rsidR="009C0713">
        <w:rPr>
          <w:sz w:val="26"/>
          <w:szCs w:val="26"/>
        </w:rPr>
        <w:t xml:space="preserve">a </w:t>
      </w:r>
      <w:r w:rsidRPr="00407569" w:rsidR="00A95C0E">
        <w:rPr>
          <w:sz w:val="26"/>
          <w:szCs w:val="26"/>
        </w:rPr>
        <w:t>writ of review must be made within 45 days after a petition for reconsideration is denied, or, if a petition is granted or reconsideration is had on the appeal board’s own motion, within 45 days after the filing of the order, decision, or award following reconsideration.”</w:t>
      </w:r>
    </w:p>
  </w:footnote>
  <w:footnote w:id="9">
    <w:p w:rsidR="003C73CB" w:rsidRPr="00407569" w:rsidP="00427A0F" w14:paraId="2D4FBED4" w14:textId="77777777">
      <w:pPr>
        <w:pStyle w:val="FootnoteText"/>
        <w:spacing w:after="120"/>
        <w:rPr>
          <w:sz w:val="26"/>
          <w:szCs w:val="26"/>
        </w:rPr>
      </w:pPr>
      <w:r w:rsidRPr="00407569">
        <w:rPr>
          <w:rStyle w:val="FootnoteReference"/>
          <w:sz w:val="26"/>
          <w:szCs w:val="26"/>
        </w:rPr>
        <w:footnoteRef/>
      </w:r>
      <w:r w:rsidRPr="00407569">
        <w:rPr>
          <w:sz w:val="26"/>
          <w:szCs w:val="26"/>
        </w:rPr>
        <w:t xml:space="preserve"> </w:t>
      </w:r>
      <w:r w:rsidRPr="00407569">
        <w:rPr>
          <w:sz w:val="26"/>
          <w:szCs w:val="26"/>
        </w:rPr>
        <w:tab/>
      </w:r>
      <w:r w:rsidRPr="00407569" w:rsidR="0006773C">
        <w:rPr>
          <w:sz w:val="26"/>
          <w:szCs w:val="26"/>
        </w:rPr>
        <w:t xml:space="preserve">In </w:t>
      </w:r>
      <w:r w:rsidRPr="00407569" w:rsidR="0006773C">
        <w:rPr>
          <w:i/>
          <w:iCs/>
          <w:sz w:val="26"/>
          <w:szCs w:val="26"/>
        </w:rPr>
        <w:t>Earl</w:t>
      </w:r>
      <w:r w:rsidR="00EB43A7">
        <w:rPr>
          <w:i/>
          <w:iCs/>
          <w:sz w:val="26"/>
          <w:szCs w:val="26"/>
        </w:rPr>
        <w:t>e</w:t>
      </w:r>
      <w:r w:rsidRPr="00407569" w:rsidR="0006773C">
        <w:rPr>
          <w:i/>
          <w:iCs/>
          <w:sz w:val="26"/>
          <w:szCs w:val="26"/>
        </w:rPr>
        <w:t>y</w:t>
      </w:r>
      <w:r w:rsidRPr="00407569" w:rsidR="008F343A">
        <w:rPr>
          <w:i/>
          <w:iCs/>
          <w:sz w:val="26"/>
          <w:szCs w:val="26"/>
        </w:rPr>
        <w:t>, supra</w:t>
      </w:r>
      <w:r w:rsidRPr="00407569" w:rsidR="008F343A">
        <w:rPr>
          <w:sz w:val="26"/>
          <w:szCs w:val="26"/>
        </w:rPr>
        <w:t xml:space="preserve">, </w:t>
      </w:r>
      <w:r w:rsidRPr="00407569" w:rsidR="0006773C">
        <w:rPr>
          <w:sz w:val="26"/>
          <w:szCs w:val="26"/>
        </w:rPr>
        <w:t xml:space="preserve">94 Cal.App.5th </w:t>
      </w:r>
      <w:r w:rsidRPr="00407569" w:rsidR="008F343A">
        <w:rPr>
          <w:sz w:val="26"/>
          <w:szCs w:val="26"/>
        </w:rPr>
        <w:t>at page</w:t>
      </w:r>
      <w:r w:rsidRPr="00407569" w:rsidR="0006773C">
        <w:rPr>
          <w:sz w:val="26"/>
          <w:szCs w:val="26"/>
        </w:rPr>
        <w:t xml:space="preserve"> 11, </w:t>
      </w:r>
      <w:r w:rsidRPr="00407569">
        <w:rPr>
          <w:sz w:val="26"/>
          <w:szCs w:val="26"/>
        </w:rPr>
        <w:t>Division Eight of this district held th</w:t>
      </w:r>
      <w:r w:rsidRPr="00407569" w:rsidR="008F343A">
        <w:rPr>
          <w:sz w:val="26"/>
          <w:szCs w:val="26"/>
        </w:rPr>
        <w:t>e</w:t>
      </w:r>
      <w:r w:rsidRPr="00407569">
        <w:rPr>
          <w:sz w:val="26"/>
          <w:szCs w:val="26"/>
        </w:rPr>
        <w:t xml:space="preserve"> </w:t>
      </w:r>
      <w:r w:rsidRPr="00407569" w:rsidR="008F343A">
        <w:rPr>
          <w:sz w:val="26"/>
          <w:szCs w:val="26"/>
        </w:rPr>
        <w:t xml:space="preserve">Board’s </w:t>
      </w:r>
      <w:r w:rsidRPr="00407569">
        <w:rPr>
          <w:sz w:val="26"/>
          <w:szCs w:val="26"/>
        </w:rPr>
        <w:t xml:space="preserve">grant-for-study procedure is invalid in light of </w:t>
      </w:r>
      <w:r w:rsidRPr="00407569" w:rsidR="008F343A">
        <w:rPr>
          <w:sz w:val="26"/>
          <w:szCs w:val="26"/>
        </w:rPr>
        <w:t xml:space="preserve">section 5908.5’s </w:t>
      </w:r>
      <w:r w:rsidRPr="00407569">
        <w:rPr>
          <w:sz w:val="26"/>
          <w:szCs w:val="26"/>
        </w:rPr>
        <w:t xml:space="preserve">plain language requiring the Board to specify the reasons for its decision and the evidence relied upon.  </w:t>
      </w:r>
      <w:r w:rsidR="003E3C38">
        <w:rPr>
          <w:sz w:val="26"/>
          <w:szCs w:val="26"/>
        </w:rPr>
        <w:t xml:space="preserve">Zurich does not </w:t>
      </w:r>
      <w:r w:rsidR="006C5AD3">
        <w:rPr>
          <w:sz w:val="26"/>
          <w:szCs w:val="26"/>
        </w:rPr>
        <w:t xml:space="preserve">in this proceeding </w:t>
      </w:r>
      <w:r w:rsidR="001645D5">
        <w:rPr>
          <w:sz w:val="26"/>
          <w:szCs w:val="26"/>
        </w:rPr>
        <w:t xml:space="preserve">raise </w:t>
      </w:r>
      <w:r w:rsidR="006C5AD3">
        <w:rPr>
          <w:sz w:val="26"/>
          <w:szCs w:val="26"/>
        </w:rPr>
        <w:t>t</w:t>
      </w:r>
      <w:r w:rsidRPr="00407569">
        <w:rPr>
          <w:sz w:val="26"/>
          <w:szCs w:val="26"/>
        </w:rPr>
        <w:t xml:space="preserve">he validity of the Board’s </w:t>
      </w:r>
      <w:r w:rsidRPr="00407569" w:rsidR="00070BE9">
        <w:rPr>
          <w:sz w:val="26"/>
          <w:szCs w:val="26"/>
        </w:rPr>
        <w:t>use of its grant-for-study procedure</w:t>
      </w:r>
      <w:r w:rsidR="007E6E0F">
        <w:rPr>
          <w:sz w:val="26"/>
          <w:szCs w:val="26"/>
        </w:rPr>
        <w:t>.</w:t>
      </w:r>
    </w:p>
  </w:footnote>
  <w:footnote w:id="10">
    <w:p w:rsidR="00E04EBB" w:rsidRPr="004E587B" w:rsidP="00427A0F" w14:paraId="67589711" w14:textId="77777777">
      <w:pPr>
        <w:pStyle w:val="FootnoteText"/>
        <w:spacing w:after="120"/>
        <w:rPr>
          <w:sz w:val="26"/>
          <w:szCs w:val="26"/>
        </w:rPr>
      </w:pPr>
      <w:r w:rsidRPr="004E587B">
        <w:rPr>
          <w:rStyle w:val="FootnoteReference"/>
          <w:sz w:val="26"/>
          <w:szCs w:val="26"/>
        </w:rPr>
        <w:footnoteRef/>
      </w:r>
      <w:r w:rsidRPr="004E587B">
        <w:rPr>
          <w:sz w:val="26"/>
          <w:szCs w:val="26"/>
        </w:rPr>
        <w:t xml:space="preserve"> </w:t>
      </w:r>
      <w:r w:rsidRPr="004E587B">
        <w:rPr>
          <w:sz w:val="26"/>
          <w:szCs w:val="26"/>
        </w:rPr>
        <w:tab/>
        <w:t xml:space="preserve">Although </w:t>
      </w:r>
      <w:r w:rsidRPr="004E587B">
        <w:rPr>
          <w:i/>
          <w:iCs/>
          <w:sz w:val="26"/>
          <w:szCs w:val="26"/>
        </w:rPr>
        <w:t>Kabran</w:t>
      </w:r>
      <w:r w:rsidRPr="004E587B">
        <w:rPr>
          <w:sz w:val="26"/>
          <w:szCs w:val="26"/>
        </w:rPr>
        <w:t xml:space="preserve"> considered the 60-day deadline in Code of Civil Procedure </w:t>
      </w:r>
      <w:r w:rsidR="008F0DF0">
        <w:rPr>
          <w:sz w:val="26"/>
          <w:szCs w:val="26"/>
        </w:rPr>
        <w:t xml:space="preserve">former </w:t>
      </w:r>
      <w:r w:rsidRPr="004E587B">
        <w:rPr>
          <w:sz w:val="26"/>
          <w:szCs w:val="26"/>
        </w:rPr>
        <w:t>section 660, effective January 1, 2019, the deadline was extended to 75 days.  (Stats. 2018, ch. 317 (A.B. 2230), § 1, eff. Jan. 1, 2019.)</w:t>
      </w:r>
    </w:p>
  </w:footnote>
  <w:footnote w:id="11">
    <w:p w:rsidR="00805515" w:rsidP="00427A0F" w14:paraId="488E87BA" w14:textId="77777777">
      <w:pPr>
        <w:pStyle w:val="FootnoteText"/>
        <w:spacing w:after="120"/>
      </w:pPr>
      <w:r w:rsidRPr="00086B78">
        <w:rPr>
          <w:rStyle w:val="FootnoteReference"/>
          <w:sz w:val="26"/>
          <w:szCs w:val="26"/>
        </w:rPr>
        <w:footnoteRef/>
      </w:r>
      <w:r w:rsidRPr="00086B78">
        <w:rPr>
          <w:sz w:val="26"/>
          <w:szCs w:val="26"/>
        </w:rPr>
        <w:t xml:space="preserve"> </w:t>
      </w:r>
      <w:r>
        <w:rPr>
          <w:sz w:val="26"/>
          <w:szCs w:val="26"/>
        </w:rPr>
        <w:tab/>
      </w:r>
      <w:r w:rsidRPr="00086B78">
        <w:rPr>
          <w:sz w:val="26"/>
          <w:szCs w:val="26"/>
        </w:rPr>
        <w:t>If the applicant was a minor during the entire time for presentation of a claim, the public entity “shall” grant the application.  (Gov. Code, § 911.6, subd. (b)(2).)</w:t>
      </w:r>
    </w:p>
  </w:footnote>
  <w:footnote w:id="12">
    <w:p w:rsidR="00E37CB2" w:rsidRPr="00407569" w:rsidP="00427A0F" w14:paraId="4CA84F07" w14:textId="77777777">
      <w:pPr>
        <w:pStyle w:val="FootnoteText"/>
        <w:spacing w:after="120"/>
      </w:pPr>
      <w:r w:rsidRPr="00407569">
        <w:rPr>
          <w:rStyle w:val="FootnoteReference"/>
          <w:sz w:val="26"/>
          <w:szCs w:val="26"/>
        </w:rPr>
        <w:footnoteRef/>
      </w:r>
      <w:r w:rsidRPr="00407569">
        <w:rPr>
          <w:sz w:val="26"/>
          <w:szCs w:val="26"/>
        </w:rPr>
        <w:t xml:space="preserve"> </w:t>
      </w:r>
      <w:r w:rsidRPr="00407569">
        <w:rPr>
          <w:sz w:val="26"/>
          <w:szCs w:val="26"/>
        </w:rPr>
        <w:tab/>
        <w:t xml:space="preserve">Section 5906 provides, “Upon the filing of a petition for reconsideration, or having granted reconsideration upon its own motion, the appeals board may, with or without further proceedings and with or without notice affirm, rescind, alter, or amend the order, decision, or award made and filed by the appeals board or the workers’ compensation judge on the basis of the evidence previously submitted in the case, or may grant reconsideration and direct the taking of additional evidence.” </w:t>
      </w:r>
    </w:p>
  </w:footnote>
  <w:footnote w:id="13">
    <w:p w:rsidR="00E37CB2" w:rsidRPr="00407569" w:rsidP="00427A0F" w14:paraId="6FEC8FF0" w14:textId="77777777">
      <w:pPr>
        <w:pStyle w:val="FootnoteText"/>
        <w:spacing w:after="120"/>
        <w:rPr>
          <w:sz w:val="26"/>
          <w:szCs w:val="26"/>
        </w:rPr>
      </w:pPr>
      <w:r w:rsidRPr="00407569">
        <w:rPr>
          <w:rStyle w:val="FootnoteReference"/>
        </w:rPr>
        <w:footnoteRef/>
      </w:r>
      <w:r w:rsidRPr="00407569">
        <w:t xml:space="preserve"> </w:t>
      </w:r>
      <w:r w:rsidRPr="00407569">
        <w:tab/>
      </w:r>
      <w:r w:rsidRPr="00407569">
        <w:rPr>
          <w:sz w:val="26"/>
          <w:szCs w:val="26"/>
        </w:rPr>
        <w:t>Section</w:t>
      </w:r>
      <w:r w:rsidR="00255E2F">
        <w:rPr>
          <w:sz w:val="26"/>
          <w:szCs w:val="26"/>
        </w:rPr>
        <w:t> </w:t>
      </w:r>
      <w:r w:rsidRPr="00407569">
        <w:rPr>
          <w:sz w:val="26"/>
          <w:szCs w:val="26"/>
        </w:rPr>
        <w:t>5908.5 provides, “Any decision of the appeals board granting or denying a petition for reconsideration or affirming, rescinding, altering, or amending the original findings, order, decision, or award following reconsideration shall be made by the appeals board</w:t>
      </w:r>
      <w:r w:rsidR="002258CE">
        <w:rPr>
          <w:sz w:val="26"/>
          <w:szCs w:val="26"/>
        </w:rPr>
        <w:t> . . . </w:t>
      </w:r>
      <w:r w:rsidRPr="00407569">
        <w:rPr>
          <w:sz w:val="26"/>
          <w:szCs w:val="26"/>
        </w:rPr>
        <w:t xml:space="preserve">and shall state the evidence relied upon and specify in detail the reasons for the decision.”  </w:t>
      </w:r>
    </w:p>
  </w:footnote>
  <w:footnote w:id="14">
    <w:p w:rsidR="00FF1C77" w:rsidRPr="00E77B55" w:rsidP="00427A0F" w14:paraId="3C56BE43" w14:textId="5CA2A163">
      <w:pPr>
        <w:pStyle w:val="FootnoteText"/>
        <w:spacing w:after="120"/>
        <w:rPr>
          <w:sz w:val="26"/>
          <w:szCs w:val="26"/>
        </w:rPr>
      </w:pPr>
      <w:r w:rsidRPr="00E77B55">
        <w:rPr>
          <w:rStyle w:val="FootnoteReference"/>
          <w:sz w:val="26"/>
          <w:szCs w:val="26"/>
        </w:rPr>
        <w:footnoteRef/>
      </w:r>
      <w:r w:rsidRPr="00E77B55">
        <w:rPr>
          <w:sz w:val="26"/>
          <w:szCs w:val="26"/>
        </w:rPr>
        <w:t xml:space="preserve"> </w:t>
      </w:r>
      <w:r w:rsidRPr="00E77B55">
        <w:rPr>
          <w:sz w:val="26"/>
          <w:szCs w:val="26"/>
        </w:rPr>
        <w:tab/>
      </w:r>
      <w:bookmarkStart w:id="1" w:name="_Hlk148601054"/>
      <w:r w:rsidR="004B6666">
        <w:rPr>
          <w:sz w:val="26"/>
          <w:szCs w:val="26"/>
        </w:rPr>
        <w:t xml:space="preserve">In 1976 </w:t>
      </w:r>
      <w:r w:rsidRPr="00E77B55">
        <w:rPr>
          <w:sz w:val="26"/>
          <w:szCs w:val="26"/>
        </w:rPr>
        <w:t xml:space="preserve">Article XX, section 21 was </w:t>
      </w:r>
      <w:r w:rsidRPr="00E77B55" w:rsidR="000805C7">
        <w:rPr>
          <w:sz w:val="26"/>
          <w:szCs w:val="26"/>
        </w:rPr>
        <w:t>repealed</w:t>
      </w:r>
      <w:r w:rsidRPr="00E77B55" w:rsidR="000B516F">
        <w:rPr>
          <w:sz w:val="26"/>
          <w:szCs w:val="26"/>
        </w:rPr>
        <w:t xml:space="preserve"> as part of a constitutional </w:t>
      </w:r>
      <w:r w:rsidRPr="004E587B" w:rsidR="000B516F">
        <w:rPr>
          <w:sz w:val="26"/>
          <w:szCs w:val="26"/>
        </w:rPr>
        <w:t xml:space="preserve">reorganization, </w:t>
      </w:r>
      <w:r w:rsidR="001551E5">
        <w:rPr>
          <w:sz w:val="26"/>
          <w:szCs w:val="26"/>
        </w:rPr>
        <w:t xml:space="preserve">and </w:t>
      </w:r>
      <w:r w:rsidRPr="004E587B" w:rsidR="000B516F">
        <w:rPr>
          <w:sz w:val="26"/>
          <w:szCs w:val="26"/>
        </w:rPr>
        <w:t xml:space="preserve">its provisions were adopted </w:t>
      </w:r>
      <w:r w:rsidRPr="004E587B" w:rsidR="00BD5779">
        <w:rPr>
          <w:sz w:val="26"/>
          <w:szCs w:val="26"/>
        </w:rPr>
        <w:t xml:space="preserve">as </w:t>
      </w:r>
      <w:r w:rsidR="004B6666">
        <w:rPr>
          <w:sz w:val="26"/>
          <w:szCs w:val="26"/>
        </w:rPr>
        <w:t xml:space="preserve">article </w:t>
      </w:r>
      <w:r w:rsidRPr="004E587B" w:rsidR="00440DCD">
        <w:rPr>
          <w:sz w:val="26"/>
          <w:szCs w:val="26"/>
        </w:rPr>
        <w:t xml:space="preserve">XIV, </w:t>
      </w:r>
      <w:r w:rsidRPr="00E77B55" w:rsidR="00440DCD">
        <w:rPr>
          <w:sz w:val="26"/>
          <w:szCs w:val="26"/>
        </w:rPr>
        <w:t>section 4</w:t>
      </w:r>
      <w:r w:rsidR="00E77B55">
        <w:rPr>
          <w:sz w:val="26"/>
          <w:szCs w:val="26"/>
        </w:rPr>
        <w:t xml:space="preserve">.  </w:t>
      </w:r>
      <w:r w:rsidRPr="00E77B55" w:rsidR="00BD5779">
        <w:rPr>
          <w:sz w:val="26"/>
          <w:szCs w:val="26"/>
        </w:rPr>
        <w:t>(</w:t>
      </w:r>
      <w:r w:rsidRPr="00E77B55" w:rsidR="00BD5779">
        <w:rPr>
          <w:rFonts w:eastAsia="Times New Roman" w:cs="Times New Roman"/>
          <w:i/>
          <w:iCs/>
          <w:color w:val="000000"/>
          <w:sz w:val="26"/>
          <w:szCs w:val="26"/>
        </w:rPr>
        <w:t xml:space="preserve">Pacific Legal Foundation v. Brown </w:t>
      </w:r>
      <w:r w:rsidRPr="00E77B55" w:rsidR="00BD5779">
        <w:rPr>
          <w:rFonts w:eastAsia="Times New Roman" w:cs="Times New Roman"/>
          <w:color w:val="000000"/>
          <w:sz w:val="26"/>
          <w:szCs w:val="26"/>
        </w:rPr>
        <w:t xml:space="preserve">(1981) 29 Cal.3d 168, </w:t>
      </w:r>
      <w:r w:rsidRPr="00E77B55" w:rsidR="00732C4F">
        <w:rPr>
          <w:rFonts w:eastAsia="Times New Roman" w:cs="Times New Roman"/>
          <w:color w:val="000000"/>
          <w:sz w:val="26"/>
          <w:szCs w:val="26"/>
        </w:rPr>
        <w:t>18</w:t>
      </w:r>
      <w:r w:rsidR="00732C4F">
        <w:rPr>
          <w:rFonts w:eastAsia="Times New Roman" w:cs="Times New Roman"/>
          <w:color w:val="000000"/>
          <w:sz w:val="26"/>
          <w:szCs w:val="26"/>
        </w:rPr>
        <w:t>4</w:t>
      </w:r>
      <w:r w:rsidR="00BD5779">
        <w:rPr>
          <w:rFonts w:eastAsia="Times New Roman" w:cs="Times New Roman"/>
          <w:color w:val="000000"/>
          <w:sz w:val="26"/>
          <w:szCs w:val="26"/>
        </w:rPr>
        <w:t>, fn. 8</w:t>
      </w:r>
      <w:r w:rsidRPr="00E77B55">
        <w:rPr>
          <w:sz w:val="26"/>
          <w:szCs w:val="26"/>
        </w:rPr>
        <w:t xml:space="preserve">.) </w:t>
      </w:r>
    </w:p>
    <w:bookmarkEnd w:id="1"/>
    <w:p w:rsidR="00574AB5" w:rsidRPr="003351F6" w:rsidP="0000215A" w14:paraId="66CDE349" w14:textId="77777777">
      <w:pPr>
        <w:pStyle w:val="FootnoteText"/>
        <w:spacing w:after="120"/>
        <w:rPr>
          <w:sz w:val="26"/>
          <w:szCs w:val="26"/>
        </w:rPr>
      </w:pPr>
    </w:p>
  </w:footnote>
  <w:footnote w:id="15">
    <w:p w:rsidR="00CB455D" w:rsidP="0000215A" w14:paraId="03954449" w14:textId="77777777">
      <w:pPr>
        <w:pStyle w:val="FootnoteText"/>
        <w:spacing w:after="120"/>
      </w:pPr>
      <w:r w:rsidRPr="00337E51">
        <w:rPr>
          <w:rStyle w:val="FootnoteReference"/>
        </w:rPr>
        <w:footnoteRef/>
      </w:r>
      <w:r w:rsidRPr="00337E51">
        <w:t xml:space="preserve"> </w:t>
      </w:r>
      <w:r w:rsidRPr="00337E51">
        <w:tab/>
      </w:r>
      <w:r w:rsidRPr="00910F2F">
        <w:rPr>
          <w:sz w:val="26"/>
          <w:szCs w:val="26"/>
        </w:rPr>
        <w:t>In 1951 the term</w:t>
      </w:r>
      <w:r w:rsidRPr="00BA40AF">
        <w:rPr>
          <w:sz w:val="26"/>
          <w:szCs w:val="26"/>
        </w:rPr>
        <w:t xml:space="preserve"> “rehearing” </w:t>
      </w:r>
      <w:r w:rsidRPr="00910F2F">
        <w:rPr>
          <w:sz w:val="26"/>
          <w:szCs w:val="26"/>
        </w:rPr>
        <w:t xml:space="preserve">was replaced </w:t>
      </w:r>
      <w:r w:rsidRPr="00BA40AF">
        <w:rPr>
          <w:sz w:val="26"/>
          <w:szCs w:val="26"/>
        </w:rPr>
        <w:t>with “reconsideration”</w:t>
      </w:r>
      <w:r w:rsidRPr="00910F2F">
        <w:rPr>
          <w:sz w:val="26"/>
          <w:szCs w:val="26"/>
        </w:rPr>
        <w:t xml:space="preserve"> as part of an amendment to former section</w:t>
      </w:r>
      <w:r w:rsidR="00D21B82">
        <w:rPr>
          <w:sz w:val="26"/>
          <w:szCs w:val="26"/>
        </w:rPr>
        <w:t> </w:t>
      </w:r>
      <w:r w:rsidRPr="00910F2F">
        <w:rPr>
          <w:sz w:val="26"/>
          <w:szCs w:val="26"/>
        </w:rPr>
        <w:t>5909.</w:t>
      </w:r>
      <w:r w:rsidRPr="00BA40AF">
        <w:rPr>
          <w:sz w:val="26"/>
          <w:szCs w:val="26"/>
        </w:rPr>
        <w:t xml:space="preserve">  (Stats. 1951, ch. 778, p. 2270, § 25.)  </w:t>
      </w:r>
    </w:p>
  </w:footnote>
  <w:footnote w:id="16">
    <w:p w:rsidR="00A50B85" w:rsidRPr="00FD0997" w:rsidP="00427A0F" w14:paraId="1069530E" w14:textId="77777777">
      <w:pPr>
        <w:pStyle w:val="FootnoteText"/>
        <w:spacing w:after="120"/>
        <w:rPr>
          <w:sz w:val="26"/>
          <w:szCs w:val="26"/>
        </w:rPr>
      </w:pPr>
      <w:r w:rsidRPr="000D553D">
        <w:rPr>
          <w:rStyle w:val="FootnoteReference"/>
          <w:sz w:val="26"/>
          <w:szCs w:val="26"/>
        </w:rPr>
        <w:footnoteRef/>
      </w:r>
      <w:r w:rsidRPr="000D553D">
        <w:rPr>
          <w:sz w:val="26"/>
          <w:szCs w:val="26"/>
        </w:rPr>
        <w:t xml:space="preserve"> </w:t>
      </w:r>
      <w:r w:rsidRPr="000D553D">
        <w:rPr>
          <w:sz w:val="26"/>
          <w:szCs w:val="26"/>
        </w:rPr>
        <w:tab/>
      </w:r>
      <w:r w:rsidR="00E30630">
        <w:rPr>
          <w:sz w:val="26"/>
          <w:szCs w:val="26"/>
        </w:rPr>
        <w:t xml:space="preserve">The 1965 legislation created the </w:t>
      </w:r>
      <w:r w:rsidRPr="00A50B85">
        <w:rPr>
          <w:sz w:val="26"/>
          <w:szCs w:val="26"/>
        </w:rPr>
        <w:t>Workmen</w:t>
      </w:r>
      <w:r w:rsidR="00B46B6E">
        <w:rPr>
          <w:sz w:val="26"/>
          <w:szCs w:val="26"/>
        </w:rPr>
        <w:t>’</w:t>
      </w:r>
      <w:r w:rsidRPr="00A50B85">
        <w:rPr>
          <w:sz w:val="26"/>
          <w:szCs w:val="26"/>
        </w:rPr>
        <w:t xml:space="preserve">s Compensation Appeals Board </w:t>
      </w:r>
      <w:r w:rsidRPr="000D553D">
        <w:rPr>
          <w:sz w:val="26"/>
          <w:szCs w:val="26"/>
        </w:rPr>
        <w:t>(</w:t>
      </w:r>
      <w:r w:rsidRPr="000D553D" w:rsidR="00FD0997">
        <w:rPr>
          <w:sz w:val="26"/>
          <w:szCs w:val="26"/>
        </w:rPr>
        <w:t>Stats. 1965,</w:t>
      </w:r>
      <w:r w:rsidR="000D553D">
        <w:rPr>
          <w:sz w:val="26"/>
          <w:szCs w:val="26"/>
        </w:rPr>
        <w:t xml:space="preserve"> ch. 1513, </w:t>
      </w:r>
      <w:r w:rsidRPr="000D553D" w:rsidR="000D553D">
        <w:rPr>
          <w:color w:val="000000" w:themeColor="text1"/>
          <w:sz w:val="26"/>
          <w:szCs w:val="26"/>
        </w:rPr>
        <w:t>§ 5, p. 3356.</w:t>
      </w:r>
      <w:r w:rsidR="00FD0997">
        <w:rPr>
          <w:sz w:val="26"/>
          <w:szCs w:val="26"/>
        </w:rPr>
        <w:t>)</w:t>
      </w:r>
      <w:r w:rsidR="003A1483">
        <w:rPr>
          <w:sz w:val="26"/>
          <w:szCs w:val="26"/>
        </w:rPr>
        <w:t>.  In 1981 the Board’s name was changed to the “</w:t>
      </w:r>
      <w:r w:rsidRPr="00A50B85">
        <w:rPr>
          <w:sz w:val="26"/>
          <w:szCs w:val="26"/>
        </w:rPr>
        <w:t>Workers</w:t>
      </w:r>
      <w:r w:rsidR="00092098">
        <w:rPr>
          <w:sz w:val="26"/>
          <w:szCs w:val="26"/>
        </w:rPr>
        <w:t>’</w:t>
      </w:r>
      <w:r w:rsidRPr="00A50B85">
        <w:rPr>
          <w:sz w:val="26"/>
          <w:szCs w:val="26"/>
        </w:rPr>
        <w:t xml:space="preserve"> Compensation Appeals Board</w:t>
      </w:r>
      <w:r w:rsidR="00E646A4">
        <w:rPr>
          <w:sz w:val="26"/>
          <w:szCs w:val="26"/>
        </w:rPr>
        <w:t>.</w:t>
      </w:r>
      <w:r w:rsidR="003A1483">
        <w:rPr>
          <w:sz w:val="26"/>
          <w:szCs w:val="26"/>
        </w:rPr>
        <w:t xml:space="preserve">” </w:t>
      </w:r>
      <w:r w:rsidRPr="000D553D">
        <w:rPr>
          <w:sz w:val="26"/>
          <w:szCs w:val="26"/>
        </w:rPr>
        <w:t>(Stats</w:t>
      </w:r>
      <w:r w:rsidR="000D553D">
        <w:rPr>
          <w:sz w:val="26"/>
          <w:szCs w:val="26"/>
        </w:rPr>
        <w:t>.</w:t>
      </w:r>
      <w:r w:rsidRPr="000D553D">
        <w:rPr>
          <w:sz w:val="26"/>
          <w:szCs w:val="26"/>
        </w:rPr>
        <w:t xml:space="preserve"> 1981</w:t>
      </w:r>
      <w:r w:rsidR="000D553D">
        <w:rPr>
          <w:sz w:val="26"/>
          <w:szCs w:val="26"/>
        </w:rPr>
        <w:t>,</w:t>
      </w:r>
      <w:r w:rsidRPr="000D553D">
        <w:rPr>
          <w:sz w:val="26"/>
          <w:szCs w:val="26"/>
        </w:rPr>
        <w:t xml:space="preserve"> ch</w:t>
      </w:r>
      <w:r w:rsidRPr="000D553D" w:rsidR="00071748">
        <w:rPr>
          <w:sz w:val="26"/>
          <w:szCs w:val="26"/>
        </w:rPr>
        <w:t>. </w:t>
      </w:r>
      <w:r w:rsidRPr="000D553D">
        <w:rPr>
          <w:sz w:val="26"/>
          <w:szCs w:val="26"/>
        </w:rPr>
        <w:t>21</w:t>
      </w:r>
      <w:r w:rsidR="000D553D">
        <w:rPr>
          <w:sz w:val="26"/>
          <w:szCs w:val="26"/>
        </w:rPr>
        <w:t>,</w:t>
      </w:r>
      <w:r w:rsidRPr="000D553D">
        <w:rPr>
          <w:sz w:val="26"/>
          <w:szCs w:val="26"/>
        </w:rPr>
        <w:t xml:space="preserve"> §</w:t>
      </w:r>
      <w:r w:rsidRPr="000D553D" w:rsidR="00071748">
        <w:rPr>
          <w:sz w:val="26"/>
          <w:szCs w:val="26"/>
        </w:rPr>
        <w:t> </w:t>
      </w:r>
      <w:r w:rsidRPr="000D553D">
        <w:rPr>
          <w:sz w:val="26"/>
          <w:szCs w:val="26"/>
        </w:rPr>
        <w:t xml:space="preserve">2, </w:t>
      </w:r>
      <w:r w:rsidR="000D553D">
        <w:rPr>
          <w:sz w:val="26"/>
          <w:szCs w:val="26"/>
        </w:rPr>
        <w:t>p.46.</w:t>
      </w:r>
      <w:r w:rsidRPr="000D553D">
        <w:rPr>
          <w:sz w:val="26"/>
          <w:szCs w:val="26"/>
        </w:rPr>
        <w:t>).</w:t>
      </w:r>
    </w:p>
  </w:footnote>
  <w:footnote w:id="17">
    <w:p w:rsidR="006051CE" w:rsidP="00427A0F" w14:paraId="33A3EBD8" w14:textId="6DCA03CF">
      <w:pPr>
        <w:pStyle w:val="FootnoteText"/>
        <w:spacing w:after="120"/>
      </w:pPr>
      <w:r>
        <w:rPr>
          <w:rStyle w:val="FootnoteReference"/>
        </w:rPr>
        <w:footnoteRef/>
      </w:r>
      <w:r>
        <w:t xml:space="preserve"> </w:t>
      </w:r>
      <w:r>
        <w:tab/>
      </w:r>
      <w:r w:rsidR="008F22A1">
        <w:rPr>
          <w:sz w:val="26"/>
          <w:szCs w:val="26"/>
        </w:rPr>
        <w:t xml:space="preserve">Whereas section 4 of the Boynton Act required the commission approve and confirm the commissioner’s or referee’s findings and conclusions for a decision to be enforceable, </w:t>
      </w:r>
      <w:r w:rsidR="009B4679">
        <w:rPr>
          <w:sz w:val="26"/>
          <w:szCs w:val="26"/>
        </w:rPr>
        <w:t>Labor Code s</w:t>
      </w:r>
      <w:r w:rsidRPr="007A31B0" w:rsidR="007A31B0">
        <w:rPr>
          <w:sz w:val="26"/>
          <w:szCs w:val="26"/>
        </w:rPr>
        <w:t>ection</w:t>
      </w:r>
      <w:r w:rsidR="00071748">
        <w:rPr>
          <w:sz w:val="26"/>
          <w:szCs w:val="26"/>
        </w:rPr>
        <w:t> </w:t>
      </w:r>
      <w:r w:rsidRPr="007A31B0" w:rsidR="007A31B0">
        <w:rPr>
          <w:sz w:val="26"/>
          <w:szCs w:val="26"/>
        </w:rPr>
        <w:t>5310 now provides that the Board may appoint workers’ compensation administrative law judges, who have “the powers, jurisdiction, and authority granted by law, by the order of appointment, and by the rules of the appeals board.”</w:t>
      </w:r>
      <w:r w:rsidR="00D53F02">
        <w:rPr>
          <w:sz w:val="26"/>
          <w:szCs w:val="26"/>
        </w:rPr>
        <w:t xml:space="preserve">  </w:t>
      </w:r>
    </w:p>
  </w:footnote>
  <w:footnote w:id="18">
    <w:p w:rsidR="00CB455D" w:rsidRPr="00407569" w:rsidP="00427A0F" w14:paraId="329B9A4E" w14:textId="77777777">
      <w:pPr>
        <w:pStyle w:val="FootnoteText"/>
        <w:spacing w:after="120"/>
        <w:rPr>
          <w:i/>
          <w:iCs/>
          <w:sz w:val="26"/>
          <w:szCs w:val="26"/>
        </w:rPr>
      </w:pPr>
      <w:r w:rsidRPr="00A3789F">
        <w:rPr>
          <w:rStyle w:val="FootnoteReference"/>
          <w:sz w:val="26"/>
          <w:szCs w:val="26"/>
        </w:rPr>
        <w:footnoteRef/>
      </w:r>
      <w:r w:rsidRPr="00A3789F">
        <w:rPr>
          <w:sz w:val="26"/>
          <w:szCs w:val="26"/>
        </w:rPr>
        <w:t xml:space="preserve"> </w:t>
      </w:r>
      <w:r w:rsidRPr="00A3789F">
        <w:rPr>
          <w:sz w:val="26"/>
          <w:szCs w:val="26"/>
        </w:rPr>
        <w:tab/>
        <w:t xml:space="preserve">As the Court of Appeal </w:t>
      </w:r>
      <w:r w:rsidR="0056346F">
        <w:rPr>
          <w:sz w:val="26"/>
          <w:szCs w:val="26"/>
        </w:rPr>
        <w:t xml:space="preserve">explained </w:t>
      </w:r>
      <w:r w:rsidRPr="00A3789F">
        <w:rPr>
          <w:sz w:val="26"/>
          <w:szCs w:val="26"/>
        </w:rPr>
        <w:t xml:space="preserve">in </w:t>
      </w:r>
      <w:r w:rsidRPr="00A3789F">
        <w:rPr>
          <w:i/>
          <w:iCs/>
          <w:sz w:val="26"/>
          <w:szCs w:val="26"/>
        </w:rPr>
        <w:t xml:space="preserve">Argonaut, supra, </w:t>
      </w:r>
      <w:r w:rsidRPr="00A3789F">
        <w:rPr>
          <w:sz w:val="26"/>
          <w:szCs w:val="26"/>
        </w:rPr>
        <w:t>247</w:t>
      </w:r>
      <w:r w:rsidR="00B63B8A">
        <w:rPr>
          <w:sz w:val="26"/>
          <w:szCs w:val="26"/>
        </w:rPr>
        <w:t> </w:t>
      </w:r>
      <w:r w:rsidRPr="00A3789F">
        <w:rPr>
          <w:sz w:val="26"/>
          <w:szCs w:val="26"/>
        </w:rPr>
        <w:t>Cal.App.2d at pages 675 to 676, the fact the Board lacks jurisdiction to consider a motion for reconsideration once it is deemed denied under section 5909 does not prevent the Board from considering a motion to reopen a workers’ compensation case under section 5803, which upon a showing of good cause permits the Board to “rescind, alter, or amend any such order, decision, or award,” subject to a five-year limitat</w:t>
      </w:r>
      <w:r w:rsidRPr="00407569">
        <w:rPr>
          <w:sz w:val="26"/>
          <w:szCs w:val="26"/>
        </w:rPr>
        <w:t>ion in section</w:t>
      </w:r>
      <w:r>
        <w:rPr>
          <w:sz w:val="26"/>
          <w:szCs w:val="26"/>
        </w:rPr>
        <w:t> </w:t>
      </w:r>
      <w:r w:rsidRPr="00407569">
        <w:rPr>
          <w:sz w:val="26"/>
          <w:szCs w:val="26"/>
        </w:rPr>
        <w:t xml:space="preserve">5804 for altering compensation awards.  </w:t>
      </w:r>
    </w:p>
  </w:footnote>
  <w:footnote w:id="19">
    <w:p w:rsidR="00E725BA" w:rsidRPr="00126D27" w:rsidP="00E725BA" w14:paraId="399719BF" w14:textId="5BD47ACF">
      <w:pPr>
        <w:pStyle w:val="FootnoteText"/>
        <w:spacing w:after="120"/>
        <w:rPr>
          <w:sz w:val="26"/>
          <w:szCs w:val="26"/>
        </w:rPr>
      </w:pPr>
      <w:r w:rsidRPr="00967FBD">
        <w:rPr>
          <w:rStyle w:val="FootnoteReference"/>
          <w:sz w:val="26"/>
          <w:szCs w:val="26"/>
        </w:rPr>
        <w:footnoteRef/>
      </w:r>
      <w:r w:rsidRPr="009F4554">
        <w:rPr>
          <w:sz w:val="26"/>
          <w:szCs w:val="26"/>
        </w:rPr>
        <w:t xml:space="preserve"> </w:t>
      </w:r>
      <w:r w:rsidRPr="009F4554">
        <w:rPr>
          <w:sz w:val="26"/>
          <w:szCs w:val="26"/>
        </w:rPr>
        <w:tab/>
      </w:r>
      <w:r w:rsidRPr="00967FBD">
        <w:rPr>
          <w:sz w:val="26"/>
          <w:szCs w:val="26"/>
        </w:rPr>
        <w:t>The parties do not address whether the failure of the Board to act on a petition for reconsideration within 60 days was not only in excess of the Board’s jurisdiction but also affected the Board’s fundamental jurisdiction to consider the petition.  Where a deadline affects a court’s fundamental jurisdiction, this “implicates ‘the basic power of a court to act,’” and therefore, “courts must enforce jurisdictional limitations even if considerations of waiver, estoppel, consent, or forfeiture might otherwise excuse a party’s failure to comply with them.”  (</w:t>
      </w:r>
      <w:r w:rsidRPr="00967FBD">
        <w:rPr>
          <w:i/>
          <w:iCs/>
          <w:sz w:val="26"/>
          <w:szCs w:val="26"/>
        </w:rPr>
        <w:t>Law Finance, supra</w:t>
      </w:r>
      <w:r w:rsidRPr="00967FBD">
        <w:rPr>
          <w:sz w:val="26"/>
          <w:szCs w:val="26"/>
        </w:rPr>
        <w:t xml:space="preserve">, 14 Cal.5th at p. 950; see </w:t>
      </w:r>
      <w:r w:rsidRPr="00967FBD">
        <w:rPr>
          <w:i/>
          <w:iCs/>
          <w:sz w:val="26"/>
          <w:szCs w:val="26"/>
        </w:rPr>
        <w:t>Kabran, supra</w:t>
      </w:r>
      <w:r w:rsidRPr="00967FBD">
        <w:rPr>
          <w:sz w:val="26"/>
          <w:szCs w:val="26"/>
        </w:rPr>
        <w:t xml:space="preserve">, 2 Cal.5th at p. 342.)  The Supreme Court in </w:t>
      </w:r>
      <w:r w:rsidRPr="00967FBD">
        <w:rPr>
          <w:i/>
          <w:iCs/>
          <w:sz w:val="26"/>
          <w:szCs w:val="26"/>
        </w:rPr>
        <w:t>Law Finance</w:t>
      </w:r>
      <w:r w:rsidRPr="00967FBD">
        <w:rPr>
          <w:sz w:val="26"/>
          <w:szCs w:val="26"/>
        </w:rPr>
        <w:t>,</w:t>
      </w:r>
      <w:r w:rsidRPr="00967FBD">
        <w:rPr>
          <w:i/>
          <w:iCs/>
          <w:sz w:val="26"/>
          <w:szCs w:val="26"/>
        </w:rPr>
        <w:t xml:space="preserve"> </w:t>
      </w:r>
      <w:r w:rsidRPr="00967FBD">
        <w:rPr>
          <w:sz w:val="26"/>
          <w:szCs w:val="26"/>
        </w:rPr>
        <w:t xml:space="preserve">after holding the filing deadline under Code of Civil Procedure section 1288.2 </w:t>
      </w:r>
      <w:r w:rsidR="00D3131B">
        <w:rPr>
          <w:sz w:val="26"/>
          <w:szCs w:val="26"/>
        </w:rPr>
        <w:t xml:space="preserve">did not affect the </w:t>
      </w:r>
      <w:r w:rsidR="00BF15A3">
        <w:rPr>
          <w:sz w:val="26"/>
          <w:szCs w:val="26"/>
        </w:rPr>
        <w:t>court’s</w:t>
      </w:r>
      <w:r w:rsidR="00D3131B">
        <w:rPr>
          <w:sz w:val="26"/>
          <w:szCs w:val="26"/>
        </w:rPr>
        <w:t xml:space="preserve"> fundamental j</w:t>
      </w:r>
      <w:r w:rsidRPr="00967FBD">
        <w:rPr>
          <w:sz w:val="26"/>
          <w:szCs w:val="26"/>
        </w:rPr>
        <w:t xml:space="preserve">urisdictional, applied the equitable tolling analysis set forth in </w:t>
      </w:r>
      <w:r w:rsidRPr="00967FBD">
        <w:rPr>
          <w:i/>
          <w:iCs/>
          <w:sz w:val="26"/>
          <w:szCs w:val="26"/>
        </w:rPr>
        <w:t>Saint Francis Memorial Hospital v. State Dept. of Public Health</w:t>
      </w:r>
      <w:r w:rsidRPr="00967FBD">
        <w:rPr>
          <w:sz w:val="26"/>
          <w:szCs w:val="26"/>
        </w:rPr>
        <w:t xml:space="preserve"> (2020) 9 Cal.5th 710, 719-720, and concluded equitable tolling applied to the deadline.  (</w:t>
      </w:r>
      <w:r w:rsidRPr="00967FBD">
        <w:rPr>
          <w:i/>
          <w:iCs/>
          <w:sz w:val="26"/>
          <w:szCs w:val="26"/>
        </w:rPr>
        <w:t>Law Finance</w:t>
      </w:r>
      <w:r w:rsidRPr="00967FBD">
        <w:rPr>
          <w:sz w:val="26"/>
          <w:szCs w:val="26"/>
        </w:rPr>
        <w:t xml:space="preserve">, at p. 956.)  We do not resolve this issue because even if the Board retained fundamental jurisdiction but acted in excess of its jurisdiction by purporting to decide CIGA’s petition after it was deemed denied under section 5909, </w:t>
      </w:r>
      <w:r w:rsidR="00947BDC">
        <w:rPr>
          <w:sz w:val="26"/>
          <w:szCs w:val="26"/>
        </w:rPr>
        <w:t xml:space="preserve">as we discuss below, </w:t>
      </w:r>
      <w:r w:rsidRPr="00967FBD">
        <w:rPr>
          <w:sz w:val="26"/>
          <w:szCs w:val="26"/>
        </w:rPr>
        <w:t>equitable principles do not support the Board’s position.</w:t>
      </w:r>
      <w:r w:rsidRPr="00DD4645">
        <w:rPr>
          <w:sz w:val="26"/>
          <w:szCs w:val="26"/>
        </w:rPr>
        <w:t xml:space="preserve"> </w:t>
      </w:r>
      <w:r w:rsidRPr="00126D27">
        <w:rPr>
          <w:sz w:val="26"/>
          <w:szCs w:val="26"/>
        </w:rPr>
        <w:t xml:space="preserve">  </w:t>
      </w:r>
    </w:p>
    <w:p w:rsidR="00E725BA" w:rsidP="00E725BA" w14:paraId="74C38AC7" w14:textId="77777777">
      <w:pPr>
        <w:pStyle w:val="FootnoteText"/>
        <w:spacing w:after="120"/>
      </w:pPr>
    </w:p>
  </w:footnote>
  <w:footnote w:id="20">
    <w:p w:rsidR="00503699" w:rsidRPr="00286E2F" w:rsidP="00286E2F" w14:paraId="2862F71B" w14:textId="4B3E3135">
      <w:pPr>
        <w:pStyle w:val="FootnoteText"/>
        <w:spacing w:after="120"/>
        <w:rPr>
          <w:sz w:val="26"/>
          <w:szCs w:val="26"/>
        </w:rPr>
      </w:pPr>
      <w:r w:rsidRPr="00286E2F">
        <w:rPr>
          <w:rStyle w:val="FootnoteReference"/>
          <w:sz w:val="26"/>
          <w:szCs w:val="26"/>
        </w:rPr>
        <w:footnoteRef/>
      </w:r>
      <w:r w:rsidRPr="00286E2F">
        <w:rPr>
          <w:sz w:val="26"/>
          <w:szCs w:val="26"/>
        </w:rPr>
        <w:t xml:space="preserve"> </w:t>
      </w:r>
      <w:r w:rsidRPr="00286E2F">
        <w:rPr>
          <w:sz w:val="26"/>
          <w:szCs w:val="26"/>
        </w:rPr>
        <w:tab/>
      </w:r>
      <w:r w:rsidRPr="00286E2F" w:rsidR="00160690">
        <w:rPr>
          <w:sz w:val="26"/>
          <w:szCs w:val="26"/>
        </w:rPr>
        <w:t xml:space="preserve">Although the Board argues </w:t>
      </w:r>
      <w:r w:rsidRPr="00286E2F" w:rsidR="00160690">
        <w:rPr>
          <w:i/>
          <w:iCs/>
          <w:sz w:val="26"/>
          <w:szCs w:val="26"/>
        </w:rPr>
        <w:t>Shipley</w:t>
      </w:r>
      <w:r w:rsidRPr="00286E2F" w:rsidR="00160690">
        <w:rPr>
          <w:sz w:val="26"/>
          <w:szCs w:val="26"/>
        </w:rPr>
        <w:t xml:space="preserve"> allows “tolling” of the 60-day deadline, </w:t>
      </w:r>
      <w:r w:rsidRPr="00286E2F" w:rsidR="007D4E27">
        <w:rPr>
          <w:sz w:val="26"/>
          <w:szCs w:val="26"/>
        </w:rPr>
        <w:t xml:space="preserve">the </w:t>
      </w:r>
      <w:r w:rsidRPr="00286E2F" w:rsidR="00160690">
        <w:rPr>
          <w:i/>
          <w:iCs/>
          <w:sz w:val="26"/>
          <w:szCs w:val="26"/>
        </w:rPr>
        <w:t>Shipley</w:t>
      </w:r>
      <w:r w:rsidRPr="00286E2F" w:rsidR="00160690">
        <w:rPr>
          <w:sz w:val="26"/>
          <w:szCs w:val="26"/>
        </w:rPr>
        <w:t xml:space="preserve"> </w:t>
      </w:r>
      <w:r w:rsidRPr="00286E2F" w:rsidR="003C17F8">
        <w:rPr>
          <w:sz w:val="26"/>
          <w:szCs w:val="26"/>
        </w:rPr>
        <w:t xml:space="preserve">court </w:t>
      </w:r>
      <w:r w:rsidRPr="00286E2F" w:rsidR="007D4E27">
        <w:rPr>
          <w:sz w:val="26"/>
          <w:szCs w:val="26"/>
        </w:rPr>
        <w:t xml:space="preserve">did </w:t>
      </w:r>
      <w:r w:rsidRPr="00286E2F" w:rsidR="00160690">
        <w:rPr>
          <w:sz w:val="26"/>
          <w:szCs w:val="26"/>
        </w:rPr>
        <w:t>not address equitable tolling or other equitable principles</w:t>
      </w:r>
      <w:r w:rsidRPr="00286E2F" w:rsidR="0098054D">
        <w:rPr>
          <w:sz w:val="26"/>
          <w:szCs w:val="26"/>
        </w:rPr>
        <w:t>,</w:t>
      </w:r>
      <w:r w:rsidRPr="00286E2F" w:rsidR="00497074">
        <w:rPr>
          <w:sz w:val="26"/>
          <w:szCs w:val="26"/>
        </w:rPr>
        <w:t xml:space="preserve"> although it focused on the unfairness to Shipley </w:t>
      </w:r>
      <w:r w:rsidRPr="00286E2F" w:rsidR="00506582">
        <w:rPr>
          <w:sz w:val="26"/>
          <w:szCs w:val="26"/>
        </w:rPr>
        <w:t xml:space="preserve">and </w:t>
      </w:r>
      <w:r w:rsidRPr="00286E2F" w:rsidR="00497074">
        <w:rPr>
          <w:sz w:val="26"/>
          <w:szCs w:val="26"/>
        </w:rPr>
        <w:t>conclud</w:t>
      </w:r>
      <w:r w:rsidRPr="00286E2F" w:rsidR="00506582">
        <w:rPr>
          <w:sz w:val="26"/>
          <w:szCs w:val="26"/>
        </w:rPr>
        <w:t>ed</w:t>
      </w:r>
      <w:r w:rsidRPr="00286E2F" w:rsidR="00497074">
        <w:rPr>
          <w:sz w:val="26"/>
          <w:szCs w:val="26"/>
        </w:rPr>
        <w:t xml:space="preserve"> </w:t>
      </w:r>
      <w:r w:rsidRPr="00286E2F" w:rsidR="00506582">
        <w:rPr>
          <w:sz w:val="26"/>
          <w:szCs w:val="26"/>
        </w:rPr>
        <w:t xml:space="preserve">that </w:t>
      </w:r>
      <w:r w:rsidRPr="00286E2F" w:rsidR="001F2A27">
        <w:rPr>
          <w:sz w:val="26"/>
          <w:szCs w:val="26"/>
        </w:rPr>
        <w:t xml:space="preserve">denial of Shipley’s petition after the Board lulled him </w:t>
      </w:r>
      <w:r w:rsidRPr="00286E2F" w:rsidR="00785727">
        <w:rPr>
          <w:sz w:val="26"/>
          <w:szCs w:val="26"/>
        </w:rPr>
        <w:t xml:space="preserve">into believing the Board would </w:t>
      </w:r>
      <w:r w:rsidRPr="00286E2F" w:rsidR="001F2A27">
        <w:rPr>
          <w:sz w:val="26"/>
          <w:szCs w:val="26"/>
        </w:rPr>
        <w:t xml:space="preserve">take action </w:t>
      </w:r>
      <w:r w:rsidRPr="00286E2F" w:rsidR="00160690">
        <w:rPr>
          <w:sz w:val="26"/>
          <w:szCs w:val="26"/>
        </w:rPr>
        <w:t>“makes no sense</w:t>
      </w:r>
      <w:r w:rsidRPr="00286E2F" w:rsidR="001F2A27">
        <w:rPr>
          <w:sz w:val="26"/>
          <w:szCs w:val="26"/>
        </w:rPr>
        <w:t>.</w:t>
      </w:r>
      <w:r w:rsidRPr="00286E2F" w:rsidR="00160690">
        <w:rPr>
          <w:sz w:val="26"/>
          <w:szCs w:val="26"/>
        </w:rPr>
        <w:t xml:space="preserve">” </w:t>
      </w:r>
      <w:r w:rsidRPr="00286E2F" w:rsidR="001F2A27">
        <w:rPr>
          <w:sz w:val="26"/>
          <w:szCs w:val="26"/>
        </w:rPr>
        <w:t xml:space="preserve"> </w:t>
      </w:r>
      <w:r w:rsidRPr="00286E2F" w:rsidR="00160690">
        <w:rPr>
          <w:sz w:val="26"/>
          <w:szCs w:val="26"/>
        </w:rPr>
        <w:t>(</w:t>
      </w:r>
      <w:r w:rsidRPr="00286E2F" w:rsidR="00160690">
        <w:rPr>
          <w:i/>
          <w:iCs/>
          <w:sz w:val="26"/>
          <w:szCs w:val="26"/>
        </w:rPr>
        <w:t>Shipley, supra</w:t>
      </w:r>
      <w:r w:rsidRPr="00286E2F" w:rsidR="00160690">
        <w:rPr>
          <w:sz w:val="26"/>
          <w:szCs w:val="26"/>
        </w:rPr>
        <w:t>, 7 Cal.App.4th at p. 1108</w:t>
      </w:r>
      <w:r w:rsidRPr="00286E2F" w:rsidR="00663276">
        <w:rPr>
          <w:sz w:val="26"/>
          <w:szCs w:val="26"/>
        </w:rPr>
        <w:t>.</w:t>
      </w:r>
      <w:r w:rsidRPr="00286E2F" w:rsidR="00160690">
        <w:rPr>
          <w:sz w:val="26"/>
          <w:szCs w:val="26"/>
        </w:rPr>
        <w:t>)</w:t>
      </w:r>
      <w:r w:rsidRPr="00286E2F" w:rsidR="001F2A27">
        <w:rPr>
          <w:sz w:val="26"/>
          <w:szCs w:val="26"/>
        </w:rPr>
        <w:t xml:space="preserve">  </w:t>
      </w:r>
    </w:p>
  </w:footnote>
  <w:footnote w:id="21">
    <w:p w:rsidR="00736641" w:rsidRPr="0080505F" w:rsidP="00427A0F" w14:paraId="167B7E33" w14:textId="30654E92">
      <w:pPr>
        <w:pStyle w:val="FootnoteText"/>
        <w:spacing w:after="120"/>
        <w:rPr>
          <w:sz w:val="26"/>
          <w:szCs w:val="26"/>
        </w:rPr>
      </w:pPr>
      <w:r w:rsidRPr="0080505F">
        <w:rPr>
          <w:rStyle w:val="FootnoteReference"/>
          <w:sz w:val="26"/>
          <w:szCs w:val="26"/>
        </w:rPr>
        <w:footnoteRef/>
      </w:r>
      <w:r w:rsidRPr="0080505F">
        <w:rPr>
          <w:sz w:val="26"/>
          <w:szCs w:val="26"/>
        </w:rPr>
        <w:t xml:space="preserve"> </w:t>
      </w:r>
      <w:r w:rsidRPr="0080505F">
        <w:rPr>
          <w:sz w:val="26"/>
          <w:szCs w:val="26"/>
        </w:rPr>
        <w:tab/>
      </w:r>
      <w:r>
        <w:rPr>
          <w:sz w:val="26"/>
          <w:szCs w:val="26"/>
        </w:rPr>
        <w:t>We note that under our construction of section</w:t>
      </w:r>
      <w:r w:rsidR="00071748">
        <w:rPr>
          <w:sz w:val="26"/>
          <w:szCs w:val="26"/>
        </w:rPr>
        <w:t> </w:t>
      </w:r>
      <w:r>
        <w:rPr>
          <w:sz w:val="26"/>
          <w:szCs w:val="26"/>
        </w:rPr>
        <w:t xml:space="preserve">5909, the 45-day clock for filing a petition for </w:t>
      </w:r>
      <w:r w:rsidR="009C0713">
        <w:rPr>
          <w:sz w:val="26"/>
          <w:szCs w:val="26"/>
        </w:rPr>
        <w:t xml:space="preserve">a </w:t>
      </w:r>
      <w:r>
        <w:rPr>
          <w:sz w:val="26"/>
          <w:szCs w:val="26"/>
        </w:rPr>
        <w:t xml:space="preserve">writ of review will commence once the 60-day deadline passes (or </w:t>
      </w:r>
      <w:r w:rsidR="00875E39">
        <w:rPr>
          <w:sz w:val="26"/>
          <w:szCs w:val="26"/>
        </w:rPr>
        <w:t xml:space="preserve">when </w:t>
      </w:r>
      <w:r>
        <w:rPr>
          <w:sz w:val="26"/>
          <w:szCs w:val="26"/>
        </w:rPr>
        <w:t xml:space="preserve">the Board </w:t>
      </w:r>
      <w:r w:rsidRPr="00C653D5">
        <w:rPr>
          <w:sz w:val="26"/>
          <w:szCs w:val="26"/>
        </w:rPr>
        <w:t>grants or denies the petition</w:t>
      </w:r>
      <w:r w:rsidRPr="00C653D5" w:rsidR="00875E39">
        <w:rPr>
          <w:sz w:val="26"/>
          <w:szCs w:val="26"/>
        </w:rPr>
        <w:t>, if earlier</w:t>
      </w:r>
      <w:r w:rsidRPr="00C653D5">
        <w:rPr>
          <w:sz w:val="26"/>
          <w:szCs w:val="26"/>
        </w:rPr>
        <w:t xml:space="preserve">).  Thus, a claimant </w:t>
      </w:r>
      <w:r w:rsidRPr="00C653D5" w:rsidR="005D6367">
        <w:rPr>
          <w:sz w:val="26"/>
          <w:szCs w:val="26"/>
        </w:rPr>
        <w:t xml:space="preserve">risks losing the right to petition for review under section 5950 if the claimant </w:t>
      </w:r>
      <w:r w:rsidRPr="00C653D5">
        <w:rPr>
          <w:sz w:val="26"/>
          <w:szCs w:val="26"/>
        </w:rPr>
        <w:t>wait</w:t>
      </w:r>
      <w:r w:rsidRPr="00C653D5" w:rsidR="005D6367">
        <w:rPr>
          <w:sz w:val="26"/>
          <w:szCs w:val="26"/>
        </w:rPr>
        <w:t>s</w:t>
      </w:r>
      <w:r w:rsidRPr="00C653D5">
        <w:rPr>
          <w:sz w:val="26"/>
          <w:szCs w:val="26"/>
        </w:rPr>
        <w:t xml:space="preserve"> for notice of the Board’s action (or inaction) before filing a petition for </w:t>
      </w:r>
      <w:r w:rsidRPr="00C653D5" w:rsidR="009C0713">
        <w:rPr>
          <w:sz w:val="26"/>
          <w:szCs w:val="26"/>
        </w:rPr>
        <w:t>a</w:t>
      </w:r>
      <w:r w:rsidR="009C0713">
        <w:rPr>
          <w:sz w:val="26"/>
          <w:szCs w:val="26"/>
        </w:rPr>
        <w:t xml:space="preserve"> </w:t>
      </w:r>
      <w:r>
        <w:rPr>
          <w:sz w:val="26"/>
          <w:szCs w:val="26"/>
        </w:rPr>
        <w:t>writ of review where the 60-day deadline has passed.</w:t>
      </w:r>
    </w:p>
  </w:footnote>
  <w:footnote w:id="22">
    <w:p w:rsidR="00CB455D" w:rsidRPr="00407569" w:rsidP="00427A0F" w14:paraId="1AA53888" w14:textId="799BED26">
      <w:pPr>
        <w:pStyle w:val="FootnoteText"/>
        <w:spacing w:after="120"/>
        <w:rPr>
          <w:sz w:val="26"/>
          <w:szCs w:val="26"/>
        </w:rPr>
      </w:pPr>
      <w:r w:rsidRPr="00407569">
        <w:rPr>
          <w:rStyle w:val="FootnoteReference"/>
          <w:sz w:val="26"/>
          <w:szCs w:val="26"/>
        </w:rPr>
        <w:footnoteRef/>
      </w:r>
      <w:r w:rsidRPr="00407569">
        <w:rPr>
          <w:sz w:val="26"/>
          <w:szCs w:val="26"/>
        </w:rPr>
        <w:t xml:space="preserve"> </w:t>
      </w:r>
      <w:r w:rsidRPr="00407569">
        <w:rPr>
          <w:sz w:val="26"/>
          <w:szCs w:val="26"/>
        </w:rPr>
        <w:tab/>
        <w:t xml:space="preserve">The Board asserts that if petitioners had to contact the Board to inquire of the status of their cases, the “Board’s already over-burdened administrative staff and attorneys would be overrun by the resulting flood of telephone calls, letters, and e-mails.”  Although we recognize the administrative challenges facing the Board, the suggestion that petitioners should not protect their rights because this would burden the Board’s administrative staff and attorneys is troubling.  And, as Zurich points out, the Board could request additional funding from the Legislature to remedy the deficiencies in the appeals process and handle the Board’s increasing caseload. </w:t>
      </w:r>
      <w:r>
        <w:rPr>
          <w:sz w:val="26"/>
          <w:szCs w:val="26"/>
        </w:rPr>
        <w:t xml:space="preserve"> </w:t>
      </w:r>
    </w:p>
  </w:footnote>
  <w:footnote w:id="23">
    <w:p w:rsidR="00CB455D" w:rsidRPr="00407569" w:rsidP="00427A0F" w14:paraId="4F767041" w14:textId="17F723C7">
      <w:pPr>
        <w:pStyle w:val="FootnoteText"/>
        <w:spacing w:after="120"/>
        <w:rPr>
          <w:sz w:val="26"/>
          <w:szCs w:val="26"/>
        </w:rPr>
      </w:pPr>
      <w:r w:rsidRPr="00407569">
        <w:rPr>
          <w:rStyle w:val="FootnoteReference"/>
          <w:sz w:val="26"/>
          <w:szCs w:val="26"/>
        </w:rPr>
        <w:footnoteRef/>
      </w:r>
      <w:r w:rsidRPr="00407569">
        <w:rPr>
          <w:sz w:val="26"/>
          <w:szCs w:val="26"/>
        </w:rPr>
        <w:t xml:space="preserve"> </w:t>
      </w:r>
      <w:r w:rsidRPr="00407569">
        <w:rPr>
          <w:sz w:val="26"/>
          <w:szCs w:val="26"/>
        </w:rPr>
        <w:tab/>
      </w:r>
      <w:r>
        <w:rPr>
          <w:sz w:val="26"/>
          <w:szCs w:val="26"/>
        </w:rPr>
        <w:t xml:space="preserve">The Board argues judicial review is not an adequate substitute for review by the Board, which has authority to take additional evidence and make credibility findings.  </w:t>
      </w:r>
      <w:r w:rsidRPr="0032218A" w:rsidR="0000215A">
        <w:rPr>
          <w:sz w:val="26"/>
          <w:szCs w:val="26"/>
        </w:rPr>
        <w:t xml:space="preserve">(See § 5906 [upon filing of a petition for reconsideration, the Board “may grant reconsideration and direct the taking of additional evidence”]; </w:t>
      </w:r>
      <w:r w:rsidRPr="0032218A" w:rsidR="0000215A">
        <w:rPr>
          <w:i/>
          <w:iCs/>
          <w:sz w:val="26"/>
          <w:szCs w:val="26"/>
        </w:rPr>
        <w:t>Lamb v. Workmen</w:t>
      </w:r>
      <w:r w:rsidR="00EC460D">
        <w:rPr>
          <w:i/>
          <w:iCs/>
          <w:sz w:val="26"/>
          <w:szCs w:val="26"/>
        </w:rPr>
        <w:t>’</w:t>
      </w:r>
      <w:r w:rsidRPr="0032218A" w:rsidR="0000215A">
        <w:rPr>
          <w:i/>
          <w:iCs/>
          <w:sz w:val="26"/>
          <w:szCs w:val="26"/>
        </w:rPr>
        <w:t>s Comp. Appeals Bd.</w:t>
      </w:r>
      <w:r w:rsidRPr="0032218A" w:rsidR="0000215A">
        <w:rPr>
          <w:sz w:val="26"/>
          <w:szCs w:val="26"/>
        </w:rPr>
        <w:t xml:space="preserve"> (1974) 11</w:t>
      </w:r>
      <w:r w:rsidRPr="0032218A" w:rsidR="0032218A">
        <w:rPr>
          <w:sz w:val="26"/>
          <w:szCs w:val="26"/>
        </w:rPr>
        <w:t> </w:t>
      </w:r>
      <w:r w:rsidRPr="0032218A" w:rsidR="0000215A">
        <w:rPr>
          <w:sz w:val="26"/>
          <w:szCs w:val="26"/>
        </w:rPr>
        <w:t xml:space="preserve">Cal.3d 274, </w:t>
      </w:r>
      <w:r w:rsidRPr="0032218A" w:rsidR="0032218A">
        <w:rPr>
          <w:sz w:val="26"/>
          <w:szCs w:val="26"/>
        </w:rPr>
        <w:t>280-</w:t>
      </w:r>
      <w:r w:rsidRPr="0032218A" w:rsidR="0000215A">
        <w:rPr>
          <w:sz w:val="26"/>
          <w:szCs w:val="26"/>
        </w:rPr>
        <w:t>281 [the Board may “make its own credibility determinations” and “resolve conflicts in the evidence,” as long as its decision is supported by substantial evidence in light of the entire record].)</w:t>
      </w:r>
      <w:r w:rsidR="00C41759">
        <w:rPr>
          <w:sz w:val="26"/>
          <w:szCs w:val="26"/>
        </w:rPr>
        <w:t xml:space="preserve">  </w:t>
      </w:r>
      <w:r w:rsidRPr="0032218A" w:rsidR="0032218A">
        <w:rPr>
          <w:sz w:val="26"/>
          <w:szCs w:val="26"/>
        </w:rPr>
        <w:t xml:space="preserve">Although the administrative review process is more comprehensive than judicial review, it was the Legislature that created the ability for an aggrieved party to file a petition for reconsideration (§ </w:t>
      </w:r>
      <w:r w:rsidRPr="00011B1C" w:rsidR="0032218A">
        <w:rPr>
          <w:sz w:val="26"/>
          <w:szCs w:val="26"/>
        </w:rPr>
        <w:t xml:space="preserve">5900) </w:t>
      </w:r>
      <w:r w:rsidR="00011B1C">
        <w:rPr>
          <w:sz w:val="26"/>
          <w:szCs w:val="26"/>
        </w:rPr>
        <w:t>and specified</w:t>
      </w:r>
      <w:r w:rsidR="007662F8">
        <w:rPr>
          <w:sz w:val="26"/>
          <w:szCs w:val="26"/>
        </w:rPr>
        <w:t xml:space="preserve"> that</w:t>
      </w:r>
      <w:r w:rsidRPr="00011B1C" w:rsidR="004466B1">
        <w:rPr>
          <w:sz w:val="26"/>
          <w:szCs w:val="26"/>
        </w:rPr>
        <w:t xml:space="preserve"> </w:t>
      </w:r>
      <w:r w:rsidRPr="00011B1C" w:rsidR="0032218A">
        <w:rPr>
          <w:sz w:val="26"/>
          <w:szCs w:val="26"/>
        </w:rPr>
        <w:t>the</w:t>
      </w:r>
      <w:r w:rsidRPr="0032218A" w:rsidR="0032218A">
        <w:rPr>
          <w:sz w:val="26"/>
          <w:szCs w:val="26"/>
        </w:rPr>
        <w:t xml:space="preserve"> petition is deemed denied if it is not acted upon within 60 days (§</w:t>
      </w:r>
      <w:r w:rsidR="007662F8">
        <w:rPr>
          <w:sz w:val="26"/>
          <w:szCs w:val="26"/>
        </w:rPr>
        <w:t> </w:t>
      </w:r>
      <w:r w:rsidRPr="0032218A" w:rsidR="0032218A">
        <w:rPr>
          <w:sz w:val="26"/>
          <w:szCs w:val="26"/>
        </w:rPr>
        <w:t xml:space="preserve">5909).  Thus, the Legislature was well aware </w:t>
      </w:r>
      <w:r w:rsidR="003B101E">
        <w:rPr>
          <w:sz w:val="26"/>
          <w:szCs w:val="26"/>
        </w:rPr>
        <w:t xml:space="preserve">that if the Board takes no action within </w:t>
      </w:r>
      <w:r w:rsidRPr="0032218A" w:rsidR="0032218A">
        <w:rPr>
          <w:sz w:val="26"/>
          <w:szCs w:val="26"/>
        </w:rPr>
        <w:t>60 days</w:t>
      </w:r>
      <w:r w:rsidR="003B101E">
        <w:rPr>
          <w:sz w:val="26"/>
          <w:szCs w:val="26"/>
        </w:rPr>
        <w:t>,</w:t>
      </w:r>
      <w:r w:rsidRPr="0032218A" w:rsidR="0032218A">
        <w:rPr>
          <w:sz w:val="26"/>
          <w:szCs w:val="26"/>
        </w:rPr>
        <w:t xml:space="preserve"> the remaining judicial review would be more limited. </w:t>
      </w:r>
    </w:p>
  </w:footnote>
  <w:footnote w:id="24">
    <w:p w:rsidR="00CB455D" w:rsidRPr="00EE64BD" w:rsidP="00427A0F" w14:paraId="0DBD45F5" w14:textId="77777777">
      <w:pPr>
        <w:pStyle w:val="FootnoteText"/>
        <w:spacing w:after="120"/>
        <w:rPr>
          <w:sz w:val="26"/>
          <w:szCs w:val="26"/>
        </w:rPr>
      </w:pPr>
      <w:r w:rsidRPr="00C43988">
        <w:rPr>
          <w:rStyle w:val="FootnoteReference"/>
          <w:sz w:val="26"/>
          <w:szCs w:val="26"/>
        </w:rPr>
        <w:footnoteRef/>
      </w:r>
      <w:r w:rsidRPr="00C43988">
        <w:rPr>
          <w:sz w:val="26"/>
          <w:szCs w:val="26"/>
        </w:rPr>
        <w:t xml:space="preserve"> </w:t>
      </w:r>
      <w:r w:rsidRPr="00C43988">
        <w:rPr>
          <w:sz w:val="26"/>
          <w:szCs w:val="26"/>
        </w:rPr>
        <w:tab/>
        <w:t xml:space="preserve">Moreover, as the Court of Appeal in </w:t>
      </w:r>
      <w:r w:rsidRPr="00C43988">
        <w:rPr>
          <w:i/>
          <w:iCs/>
          <w:sz w:val="26"/>
          <w:szCs w:val="26"/>
        </w:rPr>
        <w:t>Saint Francis Memorial Hospital v. State Department of Public Health</w:t>
      </w:r>
      <w:r w:rsidRPr="00C43988">
        <w:rPr>
          <w:sz w:val="26"/>
          <w:szCs w:val="26"/>
        </w:rPr>
        <w:t xml:space="preserve"> (2021) 59 Cal.App.5th 965, 969 explained on remand from the Supreme Court</w:t>
      </w:r>
      <w:r w:rsidRPr="00C43988" w:rsidR="0011331C">
        <w:rPr>
          <w:sz w:val="26"/>
          <w:szCs w:val="26"/>
        </w:rPr>
        <w:t>,</w:t>
      </w:r>
      <w:r w:rsidRPr="00C43988">
        <w:rPr>
          <w:sz w:val="26"/>
          <w:szCs w:val="26"/>
        </w:rPr>
        <w:t xml:space="preserve"> Saint Francis’s failure to file a timely request for reconsideration was </w:t>
      </w:r>
      <w:r w:rsidRPr="00C43988" w:rsidR="003B72D2">
        <w:rPr>
          <w:sz w:val="26"/>
          <w:szCs w:val="26"/>
        </w:rPr>
        <w:t xml:space="preserve">not objectively reasonable </w:t>
      </w:r>
      <w:r w:rsidRPr="00C43988">
        <w:rPr>
          <w:sz w:val="26"/>
          <w:szCs w:val="26"/>
        </w:rPr>
        <w:t>“because it is not objectively reasonable for an attorney to miss a deadline to file a petition due to a failure to appreciate easily ascertainable legal principles.  Thus, although we sympathize with Saint Francis’s counsel and recognize it is easy to make such mistakes, we must again affirm the trial court’s judgment.”  Here too</w:t>
      </w:r>
      <w:r w:rsidRPr="00C43988" w:rsidR="00FD37C0">
        <w:rPr>
          <w:sz w:val="26"/>
          <w:szCs w:val="26"/>
        </w:rPr>
        <w:t>,</w:t>
      </w:r>
      <w:r w:rsidRPr="00C43988">
        <w:rPr>
          <w:sz w:val="26"/>
          <w:szCs w:val="26"/>
        </w:rPr>
        <w:t xml:space="preserve"> an aggrieved party, even a self-represented employee, has the ability to calculate when the 60-day period runs under section</w:t>
      </w:r>
      <w:r w:rsidRPr="00C43988" w:rsidR="0011331C">
        <w:rPr>
          <w:sz w:val="26"/>
          <w:szCs w:val="26"/>
        </w:rPr>
        <w:t> </w:t>
      </w:r>
      <w:r w:rsidRPr="00C43988">
        <w:rPr>
          <w:sz w:val="26"/>
          <w:szCs w:val="26"/>
        </w:rPr>
        <w:t xml:space="preserve">5909, </w:t>
      </w:r>
      <w:r w:rsidRPr="00C43988" w:rsidR="00FD37C0">
        <w:rPr>
          <w:sz w:val="26"/>
          <w:szCs w:val="26"/>
        </w:rPr>
        <w:t xml:space="preserve">as </w:t>
      </w:r>
      <w:r w:rsidRPr="00C43988">
        <w:rPr>
          <w:sz w:val="26"/>
          <w:szCs w:val="26"/>
        </w:rPr>
        <w:t>well as the 45-day deadline for filing a petition for review under section</w:t>
      </w:r>
      <w:r w:rsidRPr="00C43988" w:rsidR="0011331C">
        <w:rPr>
          <w:sz w:val="26"/>
          <w:szCs w:val="26"/>
        </w:rPr>
        <w:t> </w:t>
      </w:r>
      <w:r w:rsidRPr="00C43988">
        <w:rPr>
          <w:sz w:val="26"/>
          <w:szCs w:val="26"/>
        </w:rPr>
        <w:t>5950.</w:t>
      </w:r>
      <w:r w:rsidRPr="00EE64BD">
        <w:rPr>
          <w:sz w:val="26"/>
          <w:szCs w:val="26"/>
        </w:rPr>
        <w:t xml:space="preserve"> </w:t>
      </w:r>
    </w:p>
  </w:footnote>
  <w:footnote w:id="25">
    <w:p w:rsidR="00EB6791" w:rsidP="00427A0F" w14:paraId="31318166" w14:textId="2265CADC">
      <w:pPr>
        <w:spacing w:line="240" w:lineRule="auto"/>
      </w:pPr>
      <w:r>
        <w:rPr>
          <w:rStyle w:val="FootnoteReference"/>
        </w:rPr>
        <w:footnoteRef/>
      </w:r>
      <w:r>
        <w:t xml:space="preserve">  </w:t>
      </w:r>
      <w:r>
        <w:tab/>
      </w:r>
      <w:r w:rsidRPr="0032218A">
        <w:t xml:space="preserve">The Board argues the doctrine of impossibility tolled the 60-day deadline </w:t>
      </w:r>
      <w:r>
        <w:t>because</w:t>
      </w:r>
      <w:r w:rsidRPr="0032218A">
        <w:t xml:space="preserve"> the Board could not have acted on CIGA’s petition during that period </w:t>
      </w:r>
      <w:r>
        <w:t>given its lack of awareness</w:t>
      </w:r>
      <w:r w:rsidRPr="0032218A">
        <w:t xml:space="preserve"> the petition had been filed, relying on language in </w:t>
      </w:r>
      <w:r w:rsidRPr="0032218A">
        <w:rPr>
          <w:i/>
          <w:iCs/>
        </w:rPr>
        <w:t xml:space="preserve">National Shooting Sports Foundation, Inc. v. State of California </w:t>
      </w:r>
      <w:r w:rsidRPr="0032218A">
        <w:t>(2018) 5 Cal.5th 428, 433 that “courts have excused compliance with a statute of limitations where timely compliance was impossible.”  As discussed, section</w:t>
      </w:r>
      <w:r>
        <w:t> </w:t>
      </w:r>
      <w:r w:rsidRPr="0032218A">
        <w:t>5909 is not a statute of limitations, and further, section</w:t>
      </w:r>
      <w:r>
        <w:t> </w:t>
      </w:r>
      <w:r w:rsidRPr="0032218A">
        <w:t>5909 did not require the Board to act within 60</w:t>
      </w:r>
      <w:r w:rsidR="005F2C00">
        <w:t> </w:t>
      </w:r>
      <w:r w:rsidRPr="0032218A">
        <w:t xml:space="preserve">days—it </w:t>
      </w:r>
      <w:r>
        <w:t xml:space="preserve">only </w:t>
      </w:r>
      <w:r w:rsidRPr="0032218A">
        <w:t>specified the consequences if it did not.</w:t>
      </w:r>
      <w:r w:rsidRPr="00181A9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687EB8"/>
    <w:multiLevelType w:val="hybridMultilevel"/>
    <w:tmpl w:val="66FC382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
    <w:nsid w:val="1F220198"/>
    <w:multiLevelType w:val="hybridMultilevel"/>
    <w:tmpl w:val="CB1A2A4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2">
    <w:nsid w:val="2AC74C7A"/>
    <w:multiLevelType w:val="hybridMultilevel"/>
    <w:tmpl w:val="5DA87E8E"/>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3EC2952"/>
    <w:multiLevelType w:val="hybridMultilevel"/>
    <w:tmpl w:val="B71C512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4">
    <w:nsid w:val="42B00EAB"/>
    <w:multiLevelType w:val="hybridMultilevel"/>
    <w:tmpl w:val="C06CAB0A"/>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5">
    <w:nsid w:val="4DDA6228"/>
    <w:multiLevelType w:val="hybridMultilevel"/>
    <w:tmpl w:val="AD040342"/>
    <w:lvl w:ilvl="0">
      <w:start w:val="1"/>
      <w:numFmt w:val="upperLetter"/>
      <w:lvlText w:val="%1."/>
      <w:lvlJc w:val="left"/>
      <w:pPr>
        <w:ind w:left="1080" w:hanging="360"/>
      </w:pPr>
      <w:rPr>
        <w:rFonts w:eastAsia="Calibri"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24853A3"/>
    <w:multiLevelType w:val="hybridMultilevel"/>
    <w:tmpl w:val="DD440676"/>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7">
    <w:nsid w:val="5CED28CE"/>
    <w:multiLevelType w:val="hybridMultilevel"/>
    <w:tmpl w:val="4CC0EE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26965B4"/>
    <w:multiLevelType w:val="hybridMultilevel"/>
    <w:tmpl w:val="E998F53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9">
    <w:nsid w:val="78A10B0C"/>
    <w:multiLevelType w:val="hybridMultilevel"/>
    <w:tmpl w:val="B80AD6A8"/>
    <w:lvl w:ilvl="0">
      <w:start w:val="1"/>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0">
    <w:nsid w:val="7D4C0E90"/>
    <w:multiLevelType w:val="hybridMultilevel"/>
    <w:tmpl w:val="A78C3DF4"/>
    <w:lvl w:ilvl="0">
      <w:start w:val="1"/>
      <w:numFmt w:val="decimal"/>
      <w:lvlText w:val="%1)"/>
      <w:lvlJc w:val="left"/>
      <w:pPr>
        <w:ind w:left="760" w:hanging="360"/>
      </w:pPr>
    </w:lvl>
    <w:lvl w:ilvl="1">
      <w:start w:val="1"/>
      <w:numFmt w:val="decimal"/>
      <w:lvlText w:val="%2)"/>
      <w:lvlJc w:val="left"/>
      <w:pPr>
        <w:ind w:left="760" w:hanging="360"/>
      </w:pPr>
    </w:lvl>
    <w:lvl w:ilvl="2">
      <w:start w:val="1"/>
      <w:numFmt w:val="decimal"/>
      <w:lvlText w:val="%3)"/>
      <w:lvlJc w:val="left"/>
      <w:pPr>
        <w:ind w:left="760" w:hanging="360"/>
      </w:pPr>
    </w:lvl>
    <w:lvl w:ilvl="3">
      <w:start w:val="1"/>
      <w:numFmt w:val="decimal"/>
      <w:lvlText w:val="%4)"/>
      <w:lvlJc w:val="left"/>
      <w:pPr>
        <w:ind w:left="760" w:hanging="360"/>
      </w:pPr>
    </w:lvl>
    <w:lvl w:ilvl="4">
      <w:start w:val="1"/>
      <w:numFmt w:val="decimal"/>
      <w:lvlText w:val="%5)"/>
      <w:lvlJc w:val="left"/>
      <w:pPr>
        <w:ind w:left="760" w:hanging="360"/>
      </w:pPr>
    </w:lvl>
    <w:lvl w:ilvl="5">
      <w:start w:val="1"/>
      <w:numFmt w:val="decimal"/>
      <w:lvlText w:val="%6)"/>
      <w:lvlJc w:val="left"/>
      <w:pPr>
        <w:ind w:left="760" w:hanging="360"/>
      </w:pPr>
    </w:lvl>
    <w:lvl w:ilvl="6">
      <w:start w:val="1"/>
      <w:numFmt w:val="decimal"/>
      <w:lvlText w:val="%7)"/>
      <w:lvlJc w:val="left"/>
      <w:pPr>
        <w:ind w:left="760" w:hanging="360"/>
      </w:pPr>
    </w:lvl>
    <w:lvl w:ilvl="7">
      <w:start w:val="1"/>
      <w:numFmt w:val="decimal"/>
      <w:lvlText w:val="%8)"/>
      <w:lvlJc w:val="left"/>
      <w:pPr>
        <w:ind w:left="760" w:hanging="360"/>
      </w:pPr>
    </w:lvl>
    <w:lvl w:ilvl="8">
      <w:start w:val="1"/>
      <w:numFmt w:val="decimal"/>
      <w:lvlText w:val="%9)"/>
      <w:lvlJc w:val="left"/>
      <w:pPr>
        <w:ind w:left="760" w:hanging="360"/>
      </w:pPr>
    </w:lvl>
  </w:abstractNum>
  <w:num w:numId="1">
    <w:abstractNumId w:val="2"/>
  </w:num>
  <w:num w:numId="2">
    <w:abstractNumId w:val="5"/>
  </w:num>
  <w:num w:numId="3">
    <w:abstractNumId w:val="7"/>
  </w:num>
  <w:num w:numId="4">
    <w:abstractNumId w:val="9"/>
  </w:num>
  <w:num w:numId="5">
    <w:abstractNumId w:val="4"/>
  </w:num>
  <w:num w:numId="6">
    <w:abstractNumId w:val="10"/>
  </w:num>
  <w:num w:numId="7">
    <w:abstractNumId w:val="8"/>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0D"/>
    <w:rsid w:val="00001680"/>
    <w:rsid w:val="00001D4C"/>
    <w:rsid w:val="00001D5E"/>
    <w:rsid w:val="0000215A"/>
    <w:rsid w:val="0000392A"/>
    <w:rsid w:val="00003962"/>
    <w:rsid w:val="000040EA"/>
    <w:rsid w:val="000054C6"/>
    <w:rsid w:val="000063E5"/>
    <w:rsid w:val="000069A3"/>
    <w:rsid w:val="00006D34"/>
    <w:rsid w:val="000077D4"/>
    <w:rsid w:val="000077F5"/>
    <w:rsid w:val="00010015"/>
    <w:rsid w:val="00010051"/>
    <w:rsid w:val="00010FA2"/>
    <w:rsid w:val="000115B8"/>
    <w:rsid w:val="00011891"/>
    <w:rsid w:val="00011B1C"/>
    <w:rsid w:val="00011DF6"/>
    <w:rsid w:val="00011FD3"/>
    <w:rsid w:val="00012009"/>
    <w:rsid w:val="000121F8"/>
    <w:rsid w:val="0001246D"/>
    <w:rsid w:val="00012CB6"/>
    <w:rsid w:val="00014AFD"/>
    <w:rsid w:val="000154FC"/>
    <w:rsid w:val="00016DFF"/>
    <w:rsid w:val="000173CB"/>
    <w:rsid w:val="00021561"/>
    <w:rsid w:val="00022100"/>
    <w:rsid w:val="000222D2"/>
    <w:rsid w:val="00022C19"/>
    <w:rsid w:val="00022CD1"/>
    <w:rsid w:val="000239F4"/>
    <w:rsid w:val="00024744"/>
    <w:rsid w:val="00024FC1"/>
    <w:rsid w:val="0002523D"/>
    <w:rsid w:val="00025999"/>
    <w:rsid w:val="00026597"/>
    <w:rsid w:val="00026975"/>
    <w:rsid w:val="00026DBC"/>
    <w:rsid w:val="0002738F"/>
    <w:rsid w:val="00027867"/>
    <w:rsid w:val="00027EC2"/>
    <w:rsid w:val="00030357"/>
    <w:rsid w:val="00031374"/>
    <w:rsid w:val="0003151D"/>
    <w:rsid w:val="00031DC1"/>
    <w:rsid w:val="00033056"/>
    <w:rsid w:val="000344BA"/>
    <w:rsid w:val="00036143"/>
    <w:rsid w:val="00036863"/>
    <w:rsid w:val="00036997"/>
    <w:rsid w:val="00036B46"/>
    <w:rsid w:val="000373FA"/>
    <w:rsid w:val="00037508"/>
    <w:rsid w:val="000375CF"/>
    <w:rsid w:val="0003761F"/>
    <w:rsid w:val="00037877"/>
    <w:rsid w:val="000407C7"/>
    <w:rsid w:val="00040E1E"/>
    <w:rsid w:val="00041154"/>
    <w:rsid w:val="00041B63"/>
    <w:rsid w:val="00042491"/>
    <w:rsid w:val="0004271E"/>
    <w:rsid w:val="00042B4F"/>
    <w:rsid w:val="000434E4"/>
    <w:rsid w:val="0004415F"/>
    <w:rsid w:val="0004478E"/>
    <w:rsid w:val="00044D1C"/>
    <w:rsid w:val="00045ABB"/>
    <w:rsid w:val="0005032C"/>
    <w:rsid w:val="00050652"/>
    <w:rsid w:val="00050AC9"/>
    <w:rsid w:val="00051736"/>
    <w:rsid w:val="0005276D"/>
    <w:rsid w:val="00052D5C"/>
    <w:rsid w:val="000533C2"/>
    <w:rsid w:val="00053A2C"/>
    <w:rsid w:val="000552CD"/>
    <w:rsid w:val="00055860"/>
    <w:rsid w:val="00055A7C"/>
    <w:rsid w:val="00055FC3"/>
    <w:rsid w:val="00057B29"/>
    <w:rsid w:val="00061F14"/>
    <w:rsid w:val="000622B9"/>
    <w:rsid w:val="00065884"/>
    <w:rsid w:val="0006598D"/>
    <w:rsid w:val="00065B73"/>
    <w:rsid w:val="000666CB"/>
    <w:rsid w:val="00066924"/>
    <w:rsid w:val="0006773C"/>
    <w:rsid w:val="0007078D"/>
    <w:rsid w:val="00070A43"/>
    <w:rsid w:val="00070BE9"/>
    <w:rsid w:val="00071748"/>
    <w:rsid w:val="00071FB9"/>
    <w:rsid w:val="000723FA"/>
    <w:rsid w:val="000725C6"/>
    <w:rsid w:val="00072C01"/>
    <w:rsid w:val="00073161"/>
    <w:rsid w:val="00073A0C"/>
    <w:rsid w:val="00073BE2"/>
    <w:rsid w:val="00075C60"/>
    <w:rsid w:val="000764B5"/>
    <w:rsid w:val="00077E2C"/>
    <w:rsid w:val="00077F8E"/>
    <w:rsid w:val="000805C7"/>
    <w:rsid w:val="000806E0"/>
    <w:rsid w:val="000815EF"/>
    <w:rsid w:val="0008194B"/>
    <w:rsid w:val="0008205C"/>
    <w:rsid w:val="00082D50"/>
    <w:rsid w:val="00082E12"/>
    <w:rsid w:val="00082E2D"/>
    <w:rsid w:val="000833B5"/>
    <w:rsid w:val="00083D72"/>
    <w:rsid w:val="00084C8C"/>
    <w:rsid w:val="00084D73"/>
    <w:rsid w:val="00085160"/>
    <w:rsid w:val="000853F3"/>
    <w:rsid w:val="0008557C"/>
    <w:rsid w:val="00085C8D"/>
    <w:rsid w:val="0008665D"/>
    <w:rsid w:val="000868F9"/>
    <w:rsid w:val="000869B2"/>
    <w:rsid w:val="00086B78"/>
    <w:rsid w:val="00090297"/>
    <w:rsid w:val="00090FEB"/>
    <w:rsid w:val="0009163E"/>
    <w:rsid w:val="00091F3A"/>
    <w:rsid w:val="00092098"/>
    <w:rsid w:val="0009236B"/>
    <w:rsid w:val="00092564"/>
    <w:rsid w:val="00092883"/>
    <w:rsid w:val="00092B2E"/>
    <w:rsid w:val="00094251"/>
    <w:rsid w:val="00094586"/>
    <w:rsid w:val="00095443"/>
    <w:rsid w:val="00095605"/>
    <w:rsid w:val="0009595F"/>
    <w:rsid w:val="00095BDF"/>
    <w:rsid w:val="000968B9"/>
    <w:rsid w:val="00096FA8"/>
    <w:rsid w:val="0009757F"/>
    <w:rsid w:val="00097614"/>
    <w:rsid w:val="000A0640"/>
    <w:rsid w:val="000A099F"/>
    <w:rsid w:val="000A09DD"/>
    <w:rsid w:val="000A258F"/>
    <w:rsid w:val="000A26B5"/>
    <w:rsid w:val="000A299D"/>
    <w:rsid w:val="000A38BF"/>
    <w:rsid w:val="000A3B1A"/>
    <w:rsid w:val="000A4671"/>
    <w:rsid w:val="000A4E7F"/>
    <w:rsid w:val="000A5DCB"/>
    <w:rsid w:val="000A6B8F"/>
    <w:rsid w:val="000A6C10"/>
    <w:rsid w:val="000A6FCD"/>
    <w:rsid w:val="000A7070"/>
    <w:rsid w:val="000A7A00"/>
    <w:rsid w:val="000A7E56"/>
    <w:rsid w:val="000B1187"/>
    <w:rsid w:val="000B2042"/>
    <w:rsid w:val="000B2551"/>
    <w:rsid w:val="000B2733"/>
    <w:rsid w:val="000B27D9"/>
    <w:rsid w:val="000B4223"/>
    <w:rsid w:val="000B4429"/>
    <w:rsid w:val="000B4453"/>
    <w:rsid w:val="000B4935"/>
    <w:rsid w:val="000B4E59"/>
    <w:rsid w:val="000B516F"/>
    <w:rsid w:val="000B56D9"/>
    <w:rsid w:val="000B5810"/>
    <w:rsid w:val="000B5BE1"/>
    <w:rsid w:val="000B62D0"/>
    <w:rsid w:val="000B63C6"/>
    <w:rsid w:val="000B6F8B"/>
    <w:rsid w:val="000B7368"/>
    <w:rsid w:val="000B76CF"/>
    <w:rsid w:val="000C0B00"/>
    <w:rsid w:val="000C1D60"/>
    <w:rsid w:val="000C2061"/>
    <w:rsid w:val="000C212B"/>
    <w:rsid w:val="000C2584"/>
    <w:rsid w:val="000C27F1"/>
    <w:rsid w:val="000C39F2"/>
    <w:rsid w:val="000C3A06"/>
    <w:rsid w:val="000C454D"/>
    <w:rsid w:val="000C466A"/>
    <w:rsid w:val="000C4A30"/>
    <w:rsid w:val="000C5D81"/>
    <w:rsid w:val="000D016B"/>
    <w:rsid w:val="000D04EA"/>
    <w:rsid w:val="000D0E3E"/>
    <w:rsid w:val="000D107B"/>
    <w:rsid w:val="000D1D91"/>
    <w:rsid w:val="000D2E22"/>
    <w:rsid w:val="000D37D6"/>
    <w:rsid w:val="000D4D30"/>
    <w:rsid w:val="000D5451"/>
    <w:rsid w:val="000D553D"/>
    <w:rsid w:val="000D683D"/>
    <w:rsid w:val="000D7791"/>
    <w:rsid w:val="000D78B5"/>
    <w:rsid w:val="000D7AF7"/>
    <w:rsid w:val="000D7C4F"/>
    <w:rsid w:val="000E0E9B"/>
    <w:rsid w:val="000E1002"/>
    <w:rsid w:val="000E15DB"/>
    <w:rsid w:val="000E1DED"/>
    <w:rsid w:val="000E2648"/>
    <w:rsid w:val="000E323E"/>
    <w:rsid w:val="000E3295"/>
    <w:rsid w:val="000E3C24"/>
    <w:rsid w:val="000E3C91"/>
    <w:rsid w:val="000E4371"/>
    <w:rsid w:val="000E47DD"/>
    <w:rsid w:val="000E54CC"/>
    <w:rsid w:val="000E57D2"/>
    <w:rsid w:val="000E5A30"/>
    <w:rsid w:val="000E66DE"/>
    <w:rsid w:val="000E696C"/>
    <w:rsid w:val="000E6F9F"/>
    <w:rsid w:val="000E7136"/>
    <w:rsid w:val="000E78F6"/>
    <w:rsid w:val="000E7CD3"/>
    <w:rsid w:val="000F058E"/>
    <w:rsid w:val="000F18F9"/>
    <w:rsid w:val="000F2562"/>
    <w:rsid w:val="000F4501"/>
    <w:rsid w:val="000F6E2A"/>
    <w:rsid w:val="000F74D8"/>
    <w:rsid w:val="00100978"/>
    <w:rsid w:val="00100DA6"/>
    <w:rsid w:val="0010188F"/>
    <w:rsid w:val="00101A76"/>
    <w:rsid w:val="0010261D"/>
    <w:rsid w:val="00103AC5"/>
    <w:rsid w:val="00104666"/>
    <w:rsid w:val="00104FAC"/>
    <w:rsid w:val="00105785"/>
    <w:rsid w:val="0010597B"/>
    <w:rsid w:val="0010629E"/>
    <w:rsid w:val="00106AB9"/>
    <w:rsid w:val="001070CB"/>
    <w:rsid w:val="001071F8"/>
    <w:rsid w:val="00107598"/>
    <w:rsid w:val="00107FF3"/>
    <w:rsid w:val="001107F5"/>
    <w:rsid w:val="00110DA8"/>
    <w:rsid w:val="001112FC"/>
    <w:rsid w:val="0011331C"/>
    <w:rsid w:val="00113E81"/>
    <w:rsid w:val="001148C8"/>
    <w:rsid w:val="00116189"/>
    <w:rsid w:val="001163A8"/>
    <w:rsid w:val="0011765D"/>
    <w:rsid w:val="001179D0"/>
    <w:rsid w:val="00117ABF"/>
    <w:rsid w:val="001200BD"/>
    <w:rsid w:val="00121BDF"/>
    <w:rsid w:val="0012208B"/>
    <w:rsid w:val="001229F7"/>
    <w:rsid w:val="00122AF4"/>
    <w:rsid w:val="00122F92"/>
    <w:rsid w:val="001236A0"/>
    <w:rsid w:val="0012401C"/>
    <w:rsid w:val="001245FA"/>
    <w:rsid w:val="001260AA"/>
    <w:rsid w:val="00126180"/>
    <w:rsid w:val="00126D27"/>
    <w:rsid w:val="00127159"/>
    <w:rsid w:val="00130B13"/>
    <w:rsid w:val="001317C7"/>
    <w:rsid w:val="00131D5A"/>
    <w:rsid w:val="00132993"/>
    <w:rsid w:val="00132A01"/>
    <w:rsid w:val="001330D0"/>
    <w:rsid w:val="00133857"/>
    <w:rsid w:val="001340D7"/>
    <w:rsid w:val="001351C5"/>
    <w:rsid w:val="00135335"/>
    <w:rsid w:val="0013564F"/>
    <w:rsid w:val="00135A7B"/>
    <w:rsid w:val="00135AA0"/>
    <w:rsid w:val="001363CD"/>
    <w:rsid w:val="00136CFC"/>
    <w:rsid w:val="00137394"/>
    <w:rsid w:val="00137706"/>
    <w:rsid w:val="00137C17"/>
    <w:rsid w:val="00141492"/>
    <w:rsid w:val="00142FFC"/>
    <w:rsid w:val="00143099"/>
    <w:rsid w:val="001431D6"/>
    <w:rsid w:val="0014383C"/>
    <w:rsid w:val="00143B38"/>
    <w:rsid w:val="00143CF0"/>
    <w:rsid w:val="0014441D"/>
    <w:rsid w:val="00144B4D"/>
    <w:rsid w:val="00145263"/>
    <w:rsid w:val="0014566A"/>
    <w:rsid w:val="00145D78"/>
    <w:rsid w:val="00145FF9"/>
    <w:rsid w:val="00147211"/>
    <w:rsid w:val="00147774"/>
    <w:rsid w:val="0015029A"/>
    <w:rsid w:val="001502A7"/>
    <w:rsid w:val="00150A01"/>
    <w:rsid w:val="00150F55"/>
    <w:rsid w:val="001510CC"/>
    <w:rsid w:val="001514BF"/>
    <w:rsid w:val="001520CC"/>
    <w:rsid w:val="0015247B"/>
    <w:rsid w:val="00152F96"/>
    <w:rsid w:val="00153D4E"/>
    <w:rsid w:val="00154B2A"/>
    <w:rsid w:val="001551E5"/>
    <w:rsid w:val="001565EC"/>
    <w:rsid w:val="00157F66"/>
    <w:rsid w:val="00157FA8"/>
    <w:rsid w:val="00160690"/>
    <w:rsid w:val="00160FEE"/>
    <w:rsid w:val="00161369"/>
    <w:rsid w:val="00161ED8"/>
    <w:rsid w:val="00162077"/>
    <w:rsid w:val="00162D4F"/>
    <w:rsid w:val="001630E5"/>
    <w:rsid w:val="00163935"/>
    <w:rsid w:val="00163C25"/>
    <w:rsid w:val="00164557"/>
    <w:rsid w:val="001645D5"/>
    <w:rsid w:val="001649A3"/>
    <w:rsid w:val="00164B76"/>
    <w:rsid w:val="00166192"/>
    <w:rsid w:val="00166C15"/>
    <w:rsid w:val="00167078"/>
    <w:rsid w:val="0016714F"/>
    <w:rsid w:val="00167B29"/>
    <w:rsid w:val="00167F61"/>
    <w:rsid w:val="001700A9"/>
    <w:rsid w:val="00170850"/>
    <w:rsid w:val="00170B31"/>
    <w:rsid w:val="00170FBC"/>
    <w:rsid w:val="0017121D"/>
    <w:rsid w:val="001712DB"/>
    <w:rsid w:val="00171825"/>
    <w:rsid w:val="001723DC"/>
    <w:rsid w:val="001724F9"/>
    <w:rsid w:val="0017315D"/>
    <w:rsid w:val="001754ED"/>
    <w:rsid w:val="00176376"/>
    <w:rsid w:val="00176436"/>
    <w:rsid w:val="0017654A"/>
    <w:rsid w:val="001769DD"/>
    <w:rsid w:val="00177810"/>
    <w:rsid w:val="00177917"/>
    <w:rsid w:val="00177B20"/>
    <w:rsid w:val="00180B3B"/>
    <w:rsid w:val="00180B7F"/>
    <w:rsid w:val="00180BB2"/>
    <w:rsid w:val="001812BF"/>
    <w:rsid w:val="0018195F"/>
    <w:rsid w:val="00181A16"/>
    <w:rsid w:val="00181A9C"/>
    <w:rsid w:val="00183433"/>
    <w:rsid w:val="001834D7"/>
    <w:rsid w:val="001838FA"/>
    <w:rsid w:val="00185AF6"/>
    <w:rsid w:val="001860D1"/>
    <w:rsid w:val="001861C6"/>
    <w:rsid w:val="00186C4E"/>
    <w:rsid w:val="00186CA8"/>
    <w:rsid w:val="001873C0"/>
    <w:rsid w:val="00187913"/>
    <w:rsid w:val="00187925"/>
    <w:rsid w:val="00190A74"/>
    <w:rsid w:val="00190ABB"/>
    <w:rsid w:val="00190C8C"/>
    <w:rsid w:val="00191095"/>
    <w:rsid w:val="00191757"/>
    <w:rsid w:val="00191C55"/>
    <w:rsid w:val="001930C3"/>
    <w:rsid w:val="00193523"/>
    <w:rsid w:val="001943EE"/>
    <w:rsid w:val="00194463"/>
    <w:rsid w:val="0019487A"/>
    <w:rsid w:val="0019492D"/>
    <w:rsid w:val="00195215"/>
    <w:rsid w:val="00195C6F"/>
    <w:rsid w:val="001973BE"/>
    <w:rsid w:val="001A0407"/>
    <w:rsid w:val="001A0E90"/>
    <w:rsid w:val="001A18E5"/>
    <w:rsid w:val="001A2EFE"/>
    <w:rsid w:val="001A35B0"/>
    <w:rsid w:val="001A3949"/>
    <w:rsid w:val="001A492A"/>
    <w:rsid w:val="001A4E97"/>
    <w:rsid w:val="001A5118"/>
    <w:rsid w:val="001A5415"/>
    <w:rsid w:val="001A5BD3"/>
    <w:rsid w:val="001A73E9"/>
    <w:rsid w:val="001A765C"/>
    <w:rsid w:val="001A7D70"/>
    <w:rsid w:val="001B0806"/>
    <w:rsid w:val="001B117D"/>
    <w:rsid w:val="001B131F"/>
    <w:rsid w:val="001B1C9F"/>
    <w:rsid w:val="001B241B"/>
    <w:rsid w:val="001B2D5F"/>
    <w:rsid w:val="001B2EE7"/>
    <w:rsid w:val="001B34FC"/>
    <w:rsid w:val="001B4BC7"/>
    <w:rsid w:val="001B4D62"/>
    <w:rsid w:val="001B6075"/>
    <w:rsid w:val="001B6682"/>
    <w:rsid w:val="001B6E38"/>
    <w:rsid w:val="001B72DD"/>
    <w:rsid w:val="001B7456"/>
    <w:rsid w:val="001C1D98"/>
    <w:rsid w:val="001C224C"/>
    <w:rsid w:val="001C303F"/>
    <w:rsid w:val="001C3A27"/>
    <w:rsid w:val="001C3C1B"/>
    <w:rsid w:val="001C4947"/>
    <w:rsid w:val="001C4A67"/>
    <w:rsid w:val="001C5FEE"/>
    <w:rsid w:val="001C6CC5"/>
    <w:rsid w:val="001C71CC"/>
    <w:rsid w:val="001C72A4"/>
    <w:rsid w:val="001D1660"/>
    <w:rsid w:val="001D1A10"/>
    <w:rsid w:val="001D1A16"/>
    <w:rsid w:val="001D1B28"/>
    <w:rsid w:val="001D2823"/>
    <w:rsid w:val="001D28BD"/>
    <w:rsid w:val="001D2966"/>
    <w:rsid w:val="001D37E1"/>
    <w:rsid w:val="001D38DC"/>
    <w:rsid w:val="001D3C23"/>
    <w:rsid w:val="001D3C49"/>
    <w:rsid w:val="001D3C9F"/>
    <w:rsid w:val="001D3ECC"/>
    <w:rsid w:val="001D443B"/>
    <w:rsid w:val="001D45C0"/>
    <w:rsid w:val="001D491F"/>
    <w:rsid w:val="001D4BFA"/>
    <w:rsid w:val="001D61C7"/>
    <w:rsid w:val="001D65B3"/>
    <w:rsid w:val="001D65E3"/>
    <w:rsid w:val="001D6F83"/>
    <w:rsid w:val="001D700B"/>
    <w:rsid w:val="001D7C7F"/>
    <w:rsid w:val="001D7CDE"/>
    <w:rsid w:val="001E060C"/>
    <w:rsid w:val="001E364D"/>
    <w:rsid w:val="001E485F"/>
    <w:rsid w:val="001E49D4"/>
    <w:rsid w:val="001E54F7"/>
    <w:rsid w:val="001E5550"/>
    <w:rsid w:val="001E5942"/>
    <w:rsid w:val="001E5D2D"/>
    <w:rsid w:val="001E5EF4"/>
    <w:rsid w:val="001E6AF2"/>
    <w:rsid w:val="001E6D99"/>
    <w:rsid w:val="001E76B5"/>
    <w:rsid w:val="001F1281"/>
    <w:rsid w:val="001F1A81"/>
    <w:rsid w:val="001F2A27"/>
    <w:rsid w:val="001F3737"/>
    <w:rsid w:val="001F5064"/>
    <w:rsid w:val="001F5142"/>
    <w:rsid w:val="001F5282"/>
    <w:rsid w:val="001F5694"/>
    <w:rsid w:val="001F57E7"/>
    <w:rsid w:val="001F5855"/>
    <w:rsid w:val="001F5D24"/>
    <w:rsid w:val="001F6047"/>
    <w:rsid w:val="001F702E"/>
    <w:rsid w:val="00200301"/>
    <w:rsid w:val="00201565"/>
    <w:rsid w:val="00201937"/>
    <w:rsid w:val="00201FBA"/>
    <w:rsid w:val="002021EB"/>
    <w:rsid w:val="00202EE7"/>
    <w:rsid w:val="00203366"/>
    <w:rsid w:val="00204279"/>
    <w:rsid w:val="002048D6"/>
    <w:rsid w:val="0020521B"/>
    <w:rsid w:val="00205833"/>
    <w:rsid w:val="00205B32"/>
    <w:rsid w:val="00206774"/>
    <w:rsid w:val="002077D2"/>
    <w:rsid w:val="00207A7C"/>
    <w:rsid w:val="00210745"/>
    <w:rsid w:val="00210FE0"/>
    <w:rsid w:val="0021199F"/>
    <w:rsid w:val="00211DAD"/>
    <w:rsid w:val="002128B6"/>
    <w:rsid w:val="002128B9"/>
    <w:rsid w:val="002136D2"/>
    <w:rsid w:val="002137C2"/>
    <w:rsid w:val="00213F30"/>
    <w:rsid w:val="002145AC"/>
    <w:rsid w:val="00214ECF"/>
    <w:rsid w:val="0021520E"/>
    <w:rsid w:val="00215531"/>
    <w:rsid w:val="00217499"/>
    <w:rsid w:val="002175D6"/>
    <w:rsid w:val="00220353"/>
    <w:rsid w:val="00220C2C"/>
    <w:rsid w:val="00220CB6"/>
    <w:rsid w:val="00221512"/>
    <w:rsid w:val="00221CA6"/>
    <w:rsid w:val="00221FA7"/>
    <w:rsid w:val="002229F6"/>
    <w:rsid w:val="002258CE"/>
    <w:rsid w:val="00225A31"/>
    <w:rsid w:val="00225FE3"/>
    <w:rsid w:val="002260B7"/>
    <w:rsid w:val="002272B9"/>
    <w:rsid w:val="002273A6"/>
    <w:rsid w:val="00227D23"/>
    <w:rsid w:val="00231A38"/>
    <w:rsid w:val="00231A42"/>
    <w:rsid w:val="00231BF2"/>
    <w:rsid w:val="00232DD0"/>
    <w:rsid w:val="0023380C"/>
    <w:rsid w:val="00233B12"/>
    <w:rsid w:val="0023433E"/>
    <w:rsid w:val="0023691C"/>
    <w:rsid w:val="00236E9A"/>
    <w:rsid w:val="00240043"/>
    <w:rsid w:val="0024094B"/>
    <w:rsid w:val="0024113F"/>
    <w:rsid w:val="002418D7"/>
    <w:rsid w:val="00241DCB"/>
    <w:rsid w:val="00242AE3"/>
    <w:rsid w:val="00242D20"/>
    <w:rsid w:val="00242ED3"/>
    <w:rsid w:val="00243F55"/>
    <w:rsid w:val="00243F6A"/>
    <w:rsid w:val="00244506"/>
    <w:rsid w:val="002445D6"/>
    <w:rsid w:val="00244ABF"/>
    <w:rsid w:val="002459C2"/>
    <w:rsid w:val="00246E45"/>
    <w:rsid w:val="0025014C"/>
    <w:rsid w:val="00250167"/>
    <w:rsid w:val="00250483"/>
    <w:rsid w:val="00250F76"/>
    <w:rsid w:val="002510E0"/>
    <w:rsid w:val="00251446"/>
    <w:rsid w:val="00251CA4"/>
    <w:rsid w:val="00251E32"/>
    <w:rsid w:val="0025210A"/>
    <w:rsid w:val="00252372"/>
    <w:rsid w:val="00252442"/>
    <w:rsid w:val="002526AA"/>
    <w:rsid w:val="002531EA"/>
    <w:rsid w:val="00253B1B"/>
    <w:rsid w:val="00253FBA"/>
    <w:rsid w:val="002545EE"/>
    <w:rsid w:val="00254852"/>
    <w:rsid w:val="00254F81"/>
    <w:rsid w:val="00255E2F"/>
    <w:rsid w:val="00256957"/>
    <w:rsid w:val="00256A4C"/>
    <w:rsid w:val="00257386"/>
    <w:rsid w:val="00257A3A"/>
    <w:rsid w:val="002602F1"/>
    <w:rsid w:val="00260C9B"/>
    <w:rsid w:val="002617CB"/>
    <w:rsid w:val="00262A13"/>
    <w:rsid w:val="00262D31"/>
    <w:rsid w:val="00262FCD"/>
    <w:rsid w:val="00264067"/>
    <w:rsid w:val="002642EE"/>
    <w:rsid w:val="00264DAE"/>
    <w:rsid w:val="002664D2"/>
    <w:rsid w:val="00266C08"/>
    <w:rsid w:val="00270A1A"/>
    <w:rsid w:val="002714C8"/>
    <w:rsid w:val="00271610"/>
    <w:rsid w:val="00272206"/>
    <w:rsid w:val="00273A8E"/>
    <w:rsid w:val="0027411D"/>
    <w:rsid w:val="002746E3"/>
    <w:rsid w:val="00274869"/>
    <w:rsid w:val="00275720"/>
    <w:rsid w:val="00276189"/>
    <w:rsid w:val="00276CB9"/>
    <w:rsid w:val="002776BE"/>
    <w:rsid w:val="0028000C"/>
    <w:rsid w:val="0028023A"/>
    <w:rsid w:val="002809CD"/>
    <w:rsid w:val="0028112E"/>
    <w:rsid w:val="002812FA"/>
    <w:rsid w:val="00281653"/>
    <w:rsid w:val="002818F4"/>
    <w:rsid w:val="00281BFE"/>
    <w:rsid w:val="00282BA6"/>
    <w:rsid w:val="0028317D"/>
    <w:rsid w:val="002831BE"/>
    <w:rsid w:val="00283F5D"/>
    <w:rsid w:val="002840DE"/>
    <w:rsid w:val="0028411B"/>
    <w:rsid w:val="002865D9"/>
    <w:rsid w:val="002869D2"/>
    <w:rsid w:val="002869F1"/>
    <w:rsid w:val="00286E2F"/>
    <w:rsid w:val="00287895"/>
    <w:rsid w:val="00290448"/>
    <w:rsid w:val="00290DDB"/>
    <w:rsid w:val="00291C30"/>
    <w:rsid w:val="00291EF4"/>
    <w:rsid w:val="00292F88"/>
    <w:rsid w:val="0029319C"/>
    <w:rsid w:val="00293506"/>
    <w:rsid w:val="00293616"/>
    <w:rsid w:val="00294365"/>
    <w:rsid w:val="00294C07"/>
    <w:rsid w:val="002950A3"/>
    <w:rsid w:val="002959BF"/>
    <w:rsid w:val="0029649D"/>
    <w:rsid w:val="002966E3"/>
    <w:rsid w:val="00296A29"/>
    <w:rsid w:val="00297052"/>
    <w:rsid w:val="0029743E"/>
    <w:rsid w:val="0029755F"/>
    <w:rsid w:val="00297856"/>
    <w:rsid w:val="00297BF7"/>
    <w:rsid w:val="00297CD5"/>
    <w:rsid w:val="002A0728"/>
    <w:rsid w:val="002A1485"/>
    <w:rsid w:val="002A15F7"/>
    <w:rsid w:val="002A2708"/>
    <w:rsid w:val="002A28EB"/>
    <w:rsid w:val="002A2928"/>
    <w:rsid w:val="002A2B5F"/>
    <w:rsid w:val="002A37CF"/>
    <w:rsid w:val="002A3FBB"/>
    <w:rsid w:val="002A4153"/>
    <w:rsid w:val="002A448D"/>
    <w:rsid w:val="002A4EC4"/>
    <w:rsid w:val="002A5AC5"/>
    <w:rsid w:val="002A5DAE"/>
    <w:rsid w:val="002A6690"/>
    <w:rsid w:val="002A6891"/>
    <w:rsid w:val="002A6FD6"/>
    <w:rsid w:val="002A7688"/>
    <w:rsid w:val="002B049D"/>
    <w:rsid w:val="002B0719"/>
    <w:rsid w:val="002B1502"/>
    <w:rsid w:val="002B15A8"/>
    <w:rsid w:val="002B2127"/>
    <w:rsid w:val="002B2AD9"/>
    <w:rsid w:val="002B348D"/>
    <w:rsid w:val="002B3B77"/>
    <w:rsid w:val="002B4028"/>
    <w:rsid w:val="002B481F"/>
    <w:rsid w:val="002B547B"/>
    <w:rsid w:val="002C0100"/>
    <w:rsid w:val="002C070D"/>
    <w:rsid w:val="002C0786"/>
    <w:rsid w:val="002C10F6"/>
    <w:rsid w:val="002C1224"/>
    <w:rsid w:val="002C14EA"/>
    <w:rsid w:val="002C1985"/>
    <w:rsid w:val="002C1BD1"/>
    <w:rsid w:val="002C3845"/>
    <w:rsid w:val="002C3AB2"/>
    <w:rsid w:val="002C48C0"/>
    <w:rsid w:val="002C48CA"/>
    <w:rsid w:val="002C5118"/>
    <w:rsid w:val="002C58E0"/>
    <w:rsid w:val="002C5929"/>
    <w:rsid w:val="002C6755"/>
    <w:rsid w:val="002C6C2D"/>
    <w:rsid w:val="002D0C63"/>
    <w:rsid w:val="002D10CC"/>
    <w:rsid w:val="002D13D7"/>
    <w:rsid w:val="002D228F"/>
    <w:rsid w:val="002D2985"/>
    <w:rsid w:val="002D44B7"/>
    <w:rsid w:val="002D49D7"/>
    <w:rsid w:val="002D58ED"/>
    <w:rsid w:val="002D5BDA"/>
    <w:rsid w:val="002D685E"/>
    <w:rsid w:val="002D7CED"/>
    <w:rsid w:val="002E0E29"/>
    <w:rsid w:val="002E2B03"/>
    <w:rsid w:val="002E3A36"/>
    <w:rsid w:val="002E4C9C"/>
    <w:rsid w:val="002E617B"/>
    <w:rsid w:val="002E7BEC"/>
    <w:rsid w:val="002F0033"/>
    <w:rsid w:val="002F0B23"/>
    <w:rsid w:val="002F22CE"/>
    <w:rsid w:val="002F28A8"/>
    <w:rsid w:val="002F2DEC"/>
    <w:rsid w:val="002F3498"/>
    <w:rsid w:val="002F3831"/>
    <w:rsid w:val="002F3DA2"/>
    <w:rsid w:val="002F3F41"/>
    <w:rsid w:val="002F42C3"/>
    <w:rsid w:val="002F4EE5"/>
    <w:rsid w:val="002F700F"/>
    <w:rsid w:val="002F7C3D"/>
    <w:rsid w:val="003002F7"/>
    <w:rsid w:val="00300487"/>
    <w:rsid w:val="00301883"/>
    <w:rsid w:val="00303530"/>
    <w:rsid w:val="00303DE0"/>
    <w:rsid w:val="00304437"/>
    <w:rsid w:val="00305595"/>
    <w:rsid w:val="00305756"/>
    <w:rsid w:val="00305F8F"/>
    <w:rsid w:val="003063D6"/>
    <w:rsid w:val="003063EB"/>
    <w:rsid w:val="003067CA"/>
    <w:rsid w:val="00306B78"/>
    <w:rsid w:val="00307080"/>
    <w:rsid w:val="003075FD"/>
    <w:rsid w:val="00307769"/>
    <w:rsid w:val="00310449"/>
    <w:rsid w:val="00310C1D"/>
    <w:rsid w:val="00310CE1"/>
    <w:rsid w:val="00310D2F"/>
    <w:rsid w:val="003111BE"/>
    <w:rsid w:val="00311D1A"/>
    <w:rsid w:val="00311DA5"/>
    <w:rsid w:val="00311F7C"/>
    <w:rsid w:val="0031312B"/>
    <w:rsid w:val="003145DB"/>
    <w:rsid w:val="00314790"/>
    <w:rsid w:val="0031508C"/>
    <w:rsid w:val="00315214"/>
    <w:rsid w:val="0031743D"/>
    <w:rsid w:val="00317B96"/>
    <w:rsid w:val="003206A2"/>
    <w:rsid w:val="00320C7F"/>
    <w:rsid w:val="00321179"/>
    <w:rsid w:val="0032149B"/>
    <w:rsid w:val="0032182E"/>
    <w:rsid w:val="0032202E"/>
    <w:rsid w:val="0032218A"/>
    <w:rsid w:val="0032230D"/>
    <w:rsid w:val="00322896"/>
    <w:rsid w:val="00322BFD"/>
    <w:rsid w:val="00323075"/>
    <w:rsid w:val="00323F46"/>
    <w:rsid w:val="00324BA6"/>
    <w:rsid w:val="00324E1E"/>
    <w:rsid w:val="0032507A"/>
    <w:rsid w:val="00325411"/>
    <w:rsid w:val="00325F6D"/>
    <w:rsid w:val="003268C7"/>
    <w:rsid w:val="003274CE"/>
    <w:rsid w:val="00327FEB"/>
    <w:rsid w:val="003300EF"/>
    <w:rsid w:val="0033048D"/>
    <w:rsid w:val="00330599"/>
    <w:rsid w:val="00330735"/>
    <w:rsid w:val="00330C30"/>
    <w:rsid w:val="00330F55"/>
    <w:rsid w:val="00331377"/>
    <w:rsid w:val="00332053"/>
    <w:rsid w:val="00332235"/>
    <w:rsid w:val="00333765"/>
    <w:rsid w:val="00333EDF"/>
    <w:rsid w:val="0033435B"/>
    <w:rsid w:val="00334CF7"/>
    <w:rsid w:val="00334D43"/>
    <w:rsid w:val="003351F6"/>
    <w:rsid w:val="0033529B"/>
    <w:rsid w:val="003358DB"/>
    <w:rsid w:val="00335945"/>
    <w:rsid w:val="00335C34"/>
    <w:rsid w:val="003365D5"/>
    <w:rsid w:val="00336BF0"/>
    <w:rsid w:val="00336D1A"/>
    <w:rsid w:val="00337A9E"/>
    <w:rsid w:val="00337C4C"/>
    <w:rsid w:val="00337E51"/>
    <w:rsid w:val="00337FBE"/>
    <w:rsid w:val="0034084C"/>
    <w:rsid w:val="00340C09"/>
    <w:rsid w:val="00341400"/>
    <w:rsid w:val="003421CC"/>
    <w:rsid w:val="003425F1"/>
    <w:rsid w:val="00342915"/>
    <w:rsid w:val="003439E1"/>
    <w:rsid w:val="00344937"/>
    <w:rsid w:val="003453E2"/>
    <w:rsid w:val="00345A1C"/>
    <w:rsid w:val="00345A60"/>
    <w:rsid w:val="00345D4A"/>
    <w:rsid w:val="003501E0"/>
    <w:rsid w:val="00350795"/>
    <w:rsid w:val="003509CB"/>
    <w:rsid w:val="0035189E"/>
    <w:rsid w:val="00351B1B"/>
    <w:rsid w:val="00351BF0"/>
    <w:rsid w:val="00353723"/>
    <w:rsid w:val="00353F43"/>
    <w:rsid w:val="003540D9"/>
    <w:rsid w:val="003555BD"/>
    <w:rsid w:val="00356840"/>
    <w:rsid w:val="00356DBA"/>
    <w:rsid w:val="00356E2A"/>
    <w:rsid w:val="003600A4"/>
    <w:rsid w:val="00361110"/>
    <w:rsid w:val="0036231F"/>
    <w:rsid w:val="00362B2D"/>
    <w:rsid w:val="0036365A"/>
    <w:rsid w:val="00363B81"/>
    <w:rsid w:val="00365AF1"/>
    <w:rsid w:val="00365B3E"/>
    <w:rsid w:val="003671F2"/>
    <w:rsid w:val="003677C7"/>
    <w:rsid w:val="00367C3A"/>
    <w:rsid w:val="00370050"/>
    <w:rsid w:val="0037021F"/>
    <w:rsid w:val="00370FD7"/>
    <w:rsid w:val="0037103D"/>
    <w:rsid w:val="0037212F"/>
    <w:rsid w:val="00372EE8"/>
    <w:rsid w:val="003731BB"/>
    <w:rsid w:val="003747BE"/>
    <w:rsid w:val="00374E66"/>
    <w:rsid w:val="00374EE8"/>
    <w:rsid w:val="0037512A"/>
    <w:rsid w:val="00375151"/>
    <w:rsid w:val="0037581C"/>
    <w:rsid w:val="00375DEF"/>
    <w:rsid w:val="0038050A"/>
    <w:rsid w:val="00381513"/>
    <w:rsid w:val="00381EB1"/>
    <w:rsid w:val="00383F22"/>
    <w:rsid w:val="00383F95"/>
    <w:rsid w:val="00383FB4"/>
    <w:rsid w:val="00384F2C"/>
    <w:rsid w:val="00386AC4"/>
    <w:rsid w:val="00386CF4"/>
    <w:rsid w:val="00386E7E"/>
    <w:rsid w:val="0038753A"/>
    <w:rsid w:val="0038756C"/>
    <w:rsid w:val="00387A2F"/>
    <w:rsid w:val="003907BF"/>
    <w:rsid w:val="00391329"/>
    <w:rsid w:val="0039192A"/>
    <w:rsid w:val="00391C7F"/>
    <w:rsid w:val="00392D2B"/>
    <w:rsid w:val="00393EE6"/>
    <w:rsid w:val="00394911"/>
    <w:rsid w:val="00394B27"/>
    <w:rsid w:val="003955D2"/>
    <w:rsid w:val="003967C2"/>
    <w:rsid w:val="00397642"/>
    <w:rsid w:val="003A019A"/>
    <w:rsid w:val="003A0F38"/>
    <w:rsid w:val="003A1483"/>
    <w:rsid w:val="003A2554"/>
    <w:rsid w:val="003A266B"/>
    <w:rsid w:val="003A2803"/>
    <w:rsid w:val="003A30DF"/>
    <w:rsid w:val="003A355F"/>
    <w:rsid w:val="003A3897"/>
    <w:rsid w:val="003A3CD8"/>
    <w:rsid w:val="003A3E37"/>
    <w:rsid w:val="003A4F9A"/>
    <w:rsid w:val="003A5404"/>
    <w:rsid w:val="003A56AD"/>
    <w:rsid w:val="003A594B"/>
    <w:rsid w:val="003A5A80"/>
    <w:rsid w:val="003A5BB3"/>
    <w:rsid w:val="003A6B82"/>
    <w:rsid w:val="003A6D52"/>
    <w:rsid w:val="003A7B10"/>
    <w:rsid w:val="003A7D98"/>
    <w:rsid w:val="003B101E"/>
    <w:rsid w:val="003B15BB"/>
    <w:rsid w:val="003B18B8"/>
    <w:rsid w:val="003B2E8F"/>
    <w:rsid w:val="003B30E0"/>
    <w:rsid w:val="003B31C9"/>
    <w:rsid w:val="003B321D"/>
    <w:rsid w:val="003B33CB"/>
    <w:rsid w:val="003B36BA"/>
    <w:rsid w:val="003B4231"/>
    <w:rsid w:val="003B4416"/>
    <w:rsid w:val="003B4AE1"/>
    <w:rsid w:val="003B4D8A"/>
    <w:rsid w:val="003B5000"/>
    <w:rsid w:val="003B5F70"/>
    <w:rsid w:val="003B6AAC"/>
    <w:rsid w:val="003B72D2"/>
    <w:rsid w:val="003B75BE"/>
    <w:rsid w:val="003C0496"/>
    <w:rsid w:val="003C115A"/>
    <w:rsid w:val="003C17F8"/>
    <w:rsid w:val="003C1827"/>
    <w:rsid w:val="003C202E"/>
    <w:rsid w:val="003C29EE"/>
    <w:rsid w:val="003C39C1"/>
    <w:rsid w:val="003C3D3C"/>
    <w:rsid w:val="003C40E3"/>
    <w:rsid w:val="003C43EC"/>
    <w:rsid w:val="003C448D"/>
    <w:rsid w:val="003C5070"/>
    <w:rsid w:val="003C528A"/>
    <w:rsid w:val="003C6A85"/>
    <w:rsid w:val="003C6C97"/>
    <w:rsid w:val="003C73CB"/>
    <w:rsid w:val="003D03C6"/>
    <w:rsid w:val="003D0BEB"/>
    <w:rsid w:val="003D0FC5"/>
    <w:rsid w:val="003D1001"/>
    <w:rsid w:val="003D21E6"/>
    <w:rsid w:val="003D26B6"/>
    <w:rsid w:val="003D2B0D"/>
    <w:rsid w:val="003D33E6"/>
    <w:rsid w:val="003D39C3"/>
    <w:rsid w:val="003D4375"/>
    <w:rsid w:val="003D49A5"/>
    <w:rsid w:val="003D4F79"/>
    <w:rsid w:val="003D5B63"/>
    <w:rsid w:val="003D5F0C"/>
    <w:rsid w:val="003D7E53"/>
    <w:rsid w:val="003E2E22"/>
    <w:rsid w:val="003E35A0"/>
    <w:rsid w:val="003E36EF"/>
    <w:rsid w:val="003E3894"/>
    <w:rsid w:val="003E3B8F"/>
    <w:rsid w:val="003E3C38"/>
    <w:rsid w:val="003E44E4"/>
    <w:rsid w:val="003E4740"/>
    <w:rsid w:val="003E4AB7"/>
    <w:rsid w:val="003E4ACB"/>
    <w:rsid w:val="003E5A9E"/>
    <w:rsid w:val="003E6469"/>
    <w:rsid w:val="003E7C03"/>
    <w:rsid w:val="003F0BA8"/>
    <w:rsid w:val="003F1647"/>
    <w:rsid w:val="003F169A"/>
    <w:rsid w:val="003F1DB4"/>
    <w:rsid w:val="003F2023"/>
    <w:rsid w:val="003F4C64"/>
    <w:rsid w:val="003F545F"/>
    <w:rsid w:val="003F57CA"/>
    <w:rsid w:val="003F62DA"/>
    <w:rsid w:val="003F68F0"/>
    <w:rsid w:val="003F6A42"/>
    <w:rsid w:val="003F6B87"/>
    <w:rsid w:val="003F6C5B"/>
    <w:rsid w:val="003F6F67"/>
    <w:rsid w:val="003F7CE3"/>
    <w:rsid w:val="0040035E"/>
    <w:rsid w:val="00400490"/>
    <w:rsid w:val="00400D6F"/>
    <w:rsid w:val="0040243A"/>
    <w:rsid w:val="00402B63"/>
    <w:rsid w:val="0040368D"/>
    <w:rsid w:val="00403E3A"/>
    <w:rsid w:val="0040480D"/>
    <w:rsid w:val="00404DBC"/>
    <w:rsid w:val="00405395"/>
    <w:rsid w:val="004057B8"/>
    <w:rsid w:val="0040593C"/>
    <w:rsid w:val="00405A9F"/>
    <w:rsid w:val="00405B52"/>
    <w:rsid w:val="00405F8A"/>
    <w:rsid w:val="00406A02"/>
    <w:rsid w:val="00407569"/>
    <w:rsid w:val="00407E32"/>
    <w:rsid w:val="00410090"/>
    <w:rsid w:val="0041034E"/>
    <w:rsid w:val="00410D69"/>
    <w:rsid w:val="00411159"/>
    <w:rsid w:val="0041249E"/>
    <w:rsid w:val="00413DED"/>
    <w:rsid w:val="00414FB6"/>
    <w:rsid w:val="00415D43"/>
    <w:rsid w:val="004168C6"/>
    <w:rsid w:val="00416E13"/>
    <w:rsid w:val="0041765A"/>
    <w:rsid w:val="0041769A"/>
    <w:rsid w:val="00420F8D"/>
    <w:rsid w:val="004219F8"/>
    <w:rsid w:val="00421DD4"/>
    <w:rsid w:val="004227F7"/>
    <w:rsid w:val="00422D00"/>
    <w:rsid w:val="00423807"/>
    <w:rsid w:val="0042381C"/>
    <w:rsid w:val="00423B4E"/>
    <w:rsid w:val="00423C2C"/>
    <w:rsid w:val="00424499"/>
    <w:rsid w:val="00424CBE"/>
    <w:rsid w:val="00424E57"/>
    <w:rsid w:val="00427A0F"/>
    <w:rsid w:val="00430313"/>
    <w:rsid w:val="004313EE"/>
    <w:rsid w:val="004315BF"/>
    <w:rsid w:val="00431771"/>
    <w:rsid w:val="00431971"/>
    <w:rsid w:val="00432315"/>
    <w:rsid w:val="004334DA"/>
    <w:rsid w:val="00434C76"/>
    <w:rsid w:val="0043610A"/>
    <w:rsid w:val="0043668F"/>
    <w:rsid w:val="0043705A"/>
    <w:rsid w:val="0043763B"/>
    <w:rsid w:val="00437A1D"/>
    <w:rsid w:val="00440B42"/>
    <w:rsid w:val="00440DCD"/>
    <w:rsid w:val="004413EC"/>
    <w:rsid w:val="0044241D"/>
    <w:rsid w:val="004426BE"/>
    <w:rsid w:val="00443990"/>
    <w:rsid w:val="00443D87"/>
    <w:rsid w:val="0044502C"/>
    <w:rsid w:val="004466B1"/>
    <w:rsid w:val="00446860"/>
    <w:rsid w:val="00446898"/>
    <w:rsid w:val="004469F2"/>
    <w:rsid w:val="00447F01"/>
    <w:rsid w:val="00450249"/>
    <w:rsid w:val="00450587"/>
    <w:rsid w:val="00450C13"/>
    <w:rsid w:val="00451AAE"/>
    <w:rsid w:val="00451F86"/>
    <w:rsid w:val="00452C1C"/>
    <w:rsid w:val="00452DA5"/>
    <w:rsid w:val="0045304E"/>
    <w:rsid w:val="00453213"/>
    <w:rsid w:val="0045375A"/>
    <w:rsid w:val="00453ACA"/>
    <w:rsid w:val="00453B9A"/>
    <w:rsid w:val="00453CC8"/>
    <w:rsid w:val="00454024"/>
    <w:rsid w:val="004548F8"/>
    <w:rsid w:val="004554F7"/>
    <w:rsid w:val="00455B65"/>
    <w:rsid w:val="00455E12"/>
    <w:rsid w:val="00456E26"/>
    <w:rsid w:val="00457D3C"/>
    <w:rsid w:val="0046071A"/>
    <w:rsid w:val="004619B2"/>
    <w:rsid w:val="00462ACC"/>
    <w:rsid w:val="00462DB1"/>
    <w:rsid w:val="00462E61"/>
    <w:rsid w:val="00463116"/>
    <w:rsid w:val="0046318F"/>
    <w:rsid w:val="004635D2"/>
    <w:rsid w:val="00464047"/>
    <w:rsid w:val="004651D8"/>
    <w:rsid w:val="0046543A"/>
    <w:rsid w:val="00465A58"/>
    <w:rsid w:val="00465EA1"/>
    <w:rsid w:val="00470072"/>
    <w:rsid w:val="00470398"/>
    <w:rsid w:val="004706C5"/>
    <w:rsid w:val="00470ABA"/>
    <w:rsid w:val="00470DFB"/>
    <w:rsid w:val="004718BD"/>
    <w:rsid w:val="00472CB8"/>
    <w:rsid w:val="00472CDF"/>
    <w:rsid w:val="00473B5A"/>
    <w:rsid w:val="0047496F"/>
    <w:rsid w:val="00474DE7"/>
    <w:rsid w:val="0047503E"/>
    <w:rsid w:val="00475542"/>
    <w:rsid w:val="00475591"/>
    <w:rsid w:val="00475F20"/>
    <w:rsid w:val="0047707D"/>
    <w:rsid w:val="004772B9"/>
    <w:rsid w:val="00477CD3"/>
    <w:rsid w:val="0048021C"/>
    <w:rsid w:val="00480B53"/>
    <w:rsid w:val="00481B68"/>
    <w:rsid w:val="00481E7E"/>
    <w:rsid w:val="00482D2D"/>
    <w:rsid w:val="004839FD"/>
    <w:rsid w:val="00485C3F"/>
    <w:rsid w:val="00486589"/>
    <w:rsid w:val="0048693F"/>
    <w:rsid w:val="0049087F"/>
    <w:rsid w:val="004909D7"/>
    <w:rsid w:val="00490E42"/>
    <w:rsid w:val="00491530"/>
    <w:rsid w:val="0049193D"/>
    <w:rsid w:val="00491DA5"/>
    <w:rsid w:val="004920D7"/>
    <w:rsid w:val="00492A70"/>
    <w:rsid w:val="00492BBF"/>
    <w:rsid w:val="00494407"/>
    <w:rsid w:val="00494573"/>
    <w:rsid w:val="00496A01"/>
    <w:rsid w:val="00497074"/>
    <w:rsid w:val="00497212"/>
    <w:rsid w:val="004972BC"/>
    <w:rsid w:val="004975D0"/>
    <w:rsid w:val="004A13DF"/>
    <w:rsid w:val="004A1EF1"/>
    <w:rsid w:val="004A2FA1"/>
    <w:rsid w:val="004A31F8"/>
    <w:rsid w:val="004A35C1"/>
    <w:rsid w:val="004A39B3"/>
    <w:rsid w:val="004A3BE9"/>
    <w:rsid w:val="004A4CE8"/>
    <w:rsid w:val="004A5A4D"/>
    <w:rsid w:val="004A6A51"/>
    <w:rsid w:val="004A6BC0"/>
    <w:rsid w:val="004A7584"/>
    <w:rsid w:val="004A76F5"/>
    <w:rsid w:val="004B00E6"/>
    <w:rsid w:val="004B05D2"/>
    <w:rsid w:val="004B0B7E"/>
    <w:rsid w:val="004B0CD1"/>
    <w:rsid w:val="004B14F4"/>
    <w:rsid w:val="004B1769"/>
    <w:rsid w:val="004B2583"/>
    <w:rsid w:val="004B3155"/>
    <w:rsid w:val="004B3E32"/>
    <w:rsid w:val="004B3F22"/>
    <w:rsid w:val="004B4574"/>
    <w:rsid w:val="004B4C3C"/>
    <w:rsid w:val="004B52EA"/>
    <w:rsid w:val="004B5634"/>
    <w:rsid w:val="004B6288"/>
    <w:rsid w:val="004B6666"/>
    <w:rsid w:val="004B75D3"/>
    <w:rsid w:val="004B7CF3"/>
    <w:rsid w:val="004C0053"/>
    <w:rsid w:val="004C02AC"/>
    <w:rsid w:val="004C04BA"/>
    <w:rsid w:val="004C0541"/>
    <w:rsid w:val="004C067D"/>
    <w:rsid w:val="004C0CCD"/>
    <w:rsid w:val="004C11DD"/>
    <w:rsid w:val="004C2511"/>
    <w:rsid w:val="004C2E87"/>
    <w:rsid w:val="004C36E3"/>
    <w:rsid w:val="004C3B51"/>
    <w:rsid w:val="004C44BF"/>
    <w:rsid w:val="004C554F"/>
    <w:rsid w:val="004C7D1A"/>
    <w:rsid w:val="004C7DBB"/>
    <w:rsid w:val="004D0BFE"/>
    <w:rsid w:val="004D159E"/>
    <w:rsid w:val="004D18E3"/>
    <w:rsid w:val="004D1A93"/>
    <w:rsid w:val="004D3255"/>
    <w:rsid w:val="004D34EA"/>
    <w:rsid w:val="004D3AB6"/>
    <w:rsid w:val="004D4026"/>
    <w:rsid w:val="004D53D6"/>
    <w:rsid w:val="004D6172"/>
    <w:rsid w:val="004D6A4B"/>
    <w:rsid w:val="004D6E49"/>
    <w:rsid w:val="004D764C"/>
    <w:rsid w:val="004E0003"/>
    <w:rsid w:val="004E0809"/>
    <w:rsid w:val="004E0C29"/>
    <w:rsid w:val="004E1550"/>
    <w:rsid w:val="004E2A40"/>
    <w:rsid w:val="004E331C"/>
    <w:rsid w:val="004E34C3"/>
    <w:rsid w:val="004E3ABB"/>
    <w:rsid w:val="004E3AE3"/>
    <w:rsid w:val="004E3B5C"/>
    <w:rsid w:val="004E3C0C"/>
    <w:rsid w:val="004E587B"/>
    <w:rsid w:val="004E5921"/>
    <w:rsid w:val="004E5FCA"/>
    <w:rsid w:val="004E66FD"/>
    <w:rsid w:val="004E6B41"/>
    <w:rsid w:val="004E7BE3"/>
    <w:rsid w:val="004F012D"/>
    <w:rsid w:val="004F0367"/>
    <w:rsid w:val="004F0428"/>
    <w:rsid w:val="004F15CF"/>
    <w:rsid w:val="004F1D6A"/>
    <w:rsid w:val="004F3437"/>
    <w:rsid w:val="004F346E"/>
    <w:rsid w:val="004F453E"/>
    <w:rsid w:val="004F4697"/>
    <w:rsid w:val="004F4B90"/>
    <w:rsid w:val="004F54A5"/>
    <w:rsid w:val="004F5B74"/>
    <w:rsid w:val="004F5CEA"/>
    <w:rsid w:val="004F639F"/>
    <w:rsid w:val="00500488"/>
    <w:rsid w:val="0050049D"/>
    <w:rsid w:val="0050141A"/>
    <w:rsid w:val="00501580"/>
    <w:rsid w:val="00501B47"/>
    <w:rsid w:val="00501F1F"/>
    <w:rsid w:val="00502725"/>
    <w:rsid w:val="00503699"/>
    <w:rsid w:val="005039A7"/>
    <w:rsid w:val="00503E34"/>
    <w:rsid w:val="00503E97"/>
    <w:rsid w:val="00503F30"/>
    <w:rsid w:val="00504536"/>
    <w:rsid w:val="00504E74"/>
    <w:rsid w:val="00506582"/>
    <w:rsid w:val="00506604"/>
    <w:rsid w:val="0050663C"/>
    <w:rsid w:val="005077A1"/>
    <w:rsid w:val="005078FD"/>
    <w:rsid w:val="00507BED"/>
    <w:rsid w:val="00507E93"/>
    <w:rsid w:val="00507F6E"/>
    <w:rsid w:val="00507FED"/>
    <w:rsid w:val="0051062F"/>
    <w:rsid w:val="00510653"/>
    <w:rsid w:val="0051197D"/>
    <w:rsid w:val="00511CD5"/>
    <w:rsid w:val="0051303C"/>
    <w:rsid w:val="0051325E"/>
    <w:rsid w:val="005133CB"/>
    <w:rsid w:val="005136A1"/>
    <w:rsid w:val="00515414"/>
    <w:rsid w:val="00515523"/>
    <w:rsid w:val="00515628"/>
    <w:rsid w:val="0051777C"/>
    <w:rsid w:val="00517A28"/>
    <w:rsid w:val="00520515"/>
    <w:rsid w:val="0052053D"/>
    <w:rsid w:val="00520591"/>
    <w:rsid w:val="00520F10"/>
    <w:rsid w:val="00520F4E"/>
    <w:rsid w:val="00521944"/>
    <w:rsid w:val="005222A8"/>
    <w:rsid w:val="00522CE6"/>
    <w:rsid w:val="00522F70"/>
    <w:rsid w:val="005230A9"/>
    <w:rsid w:val="00523BDE"/>
    <w:rsid w:val="00524BC2"/>
    <w:rsid w:val="0052519A"/>
    <w:rsid w:val="00525B8A"/>
    <w:rsid w:val="00525C74"/>
    <w:rsid w:val="00525E51"/>
    <w:rsid w:val="00526116"/>
    <w:rsid w:val="00526D88"/>
    <w:rsid w:val="0052778E"/>
    <w:rsid w:val="005278F7"/>
    <w:rsid w:val="00530DF7"/>
    <w:rsid w:val="00531180"/>
    <w:rsid w:val="00531833"/>
    <w:rsid w:val="00531854"/>
    <w:rsid w:val="00531D8D"/>
    <w:rsid w:val="00531E7D"/>
    <w:rsid w:val="00531F6B"/>
    <w:rsid w:val="00533BE9"/>
    <w:rsid w:val="005348C9"/>
    <w:rsid w:val="0053518A"/>
    <w:rsid w:val="0053533D"/>
    <w:rsid w:val="0053570F"/>
    <w:rsid w:val="0053599D"/>
    <w:rsid w:val="005374E4"/>
    <w:rsid w:val="00540B7E"/>
    <w:rsid w:val="00540CC9"/>
    <w:rsid w:val="00541530"/>
    <w:rsid w:val="005415AE"/>
    <w:rsid w:val="00541A87"/>
    <w:rsid w:val="00541C19"/>
    <w:rsid w:val="00541EE0"/>
    <w:rsid w:val="0054266B"/>
    <w:rsid w:val="00542C9C"/>
    <w:rsid w:val="00543420"/>
    <w:rsid w:val="00543707"/>
    <w:rsid w:val="005441CA"/>
    <w:rsid w:val="00544635"/>
    <w:rsid w:val="00544D21"/>
    <w:rsid w:val="00546946"/>
    <w:rsid w:val="00546EA4"/>
    <w:rsid w:val="00547B3D"/>
    <w:rsid w:val="00550004"/>
    <w:rsid w:val="00550825"/>
    <w:rsid w:val="00551E77"/>
    <w:rsid w:val="00553051"/>
    <w:rsid w:val="00553E2B"/>
    <w:rsid w:val="0055403C"/>
    <w:rsid w:val="005548BC"/>
    <w:rsid w:val="00555218"/>
    <w:rsid w:val="00555492"/>
    <w:rsid w:val="00555743"/>
    <w:rsid w:val="0055611A"/>
    <w:rsid w:val="00556805"/>
    <w:rsid w:val="00556910"/>
    <w:rsid w:val="00557CE4"/>
    <w:rsid w:val="00557DF5"/>
    <w:rsid w:val="00560044"/>
    <w:rsid w:val="005601EC"/>
    <w:rsid w:val="005602F2"/>
    <w:rsid w:val="00560549"/>
    <w:rsid w:val="005615E3"/>
    <w:rsid w:val="00561870"/>
    <w:rsid w:val="005620A3"/>
    <w:rsid w:val="0056346F"/>
    <w:rsid w:val="00563C80"/>
    <w:rsid w:val="00563D3F"/>
    <w:rsid w:val="0056519E"/>
    <w:rsid w:val="00565CF5"/>
    <w:rsid w:val="005660D4"/>
    <w:rsid w:val="005667A1"/>
    <w:rsid w:val="005678AC"/>
    <w:rsid w:val="0057071E"/>
    <w:rsid w:val="005728AA"/>
    <w:rsid w:val="00572E52"/>
    <w:rsid w:val="00573C95"/>
    <w:rsid w:val="005749B8"/>
    <w:rsid w:val="00574AB5"/>
    <w:rsid w:val="00575383"/>
    <w:rsid w:val="0057547E"/>
    <w:rsid w:val="00575514"/>
    <w:rsid w:val="00575CE1"/>
    <w:rsid w:val="00576665"/>
    <w:rsid w:val="00576883"/>
    <w:rsid w:val="00576965"/>
    <w:rsid w:val="005778F2"/>
    <w:rsid w:val="00577D4E"/>
    <w:rsid w:val="00580614"/>
    <w:rsid w:val="00580A68"/>
    <w:rsid w:val="005817D9"/>
    <w:rsid w:val="00582085"/>
    <w:rsid w:val="0058438C"/>
    <w:rsid w:val="00585435"/>
    <w:rsid w:val="005858FD"/>
    <w:rsid w:val="00585D6D"/>
    <w:rsid w:val="00586A2D"/>
    <w:rsid w:val="00586B0F"/>
    <w:rsid w:val="00586D04"/>
    <w:rsid w:val="0059123E"/>
    <w:rsid w:val="005920B4"/>
    <w:rsid w:val="0059240F"/>
    <w:rsid w:val="005925CB"/>
    <w:rsid w:val="00594217"/>
    <w:rsid w:val="00594693"/>
    <w:rsid w:val="00595170"/>
    <w:rsid w:val="0059614E"/>
    <w:rsid w:val="00596FEE"/>
    <w:rsid w:val="00597A74"/>
    <w:rsid w:val="005A0857"/>
    <w:rsid w:val="005A0D34"/>
    <w:rsid w:val="005A1172"/>
    <w:rsid w:val="005A2209"/>
    <w:rsid w:val="005A2505"/>
    <w:rsid w:val="005A28C4"/>
    <w:rsid w:val="005A2BE6"/>
    <w:rsid w:val="005A2D49"/>
    <w:rsid w:val="005A36D3"/>
    <w:rsid w:val="005A3948"/>
    <w:rsid w:val="005A3ACF"/>
    <w:rsid w:val="005A3BFA"/>
    <w:rsid w:val="005A4008"/>
    <w:rsid w:val="005A40B0"/>
    <w:rsid w:val="005A58A8"/>
    <w:rsid w:val="005A5FBA"/>
    <w:rsid w:val="005A649D"/>
    <w:rsid w:val="005A69B0"/>
    <w:rsid w:val="005A7C27"/>
    <w:rsid w:val="005B0F5D"/>
    <w:rsid w:val="005B13B7"/>
    <w:rsid w:val="005B1C2F"/>
    <w:rsid w:val="005B30D0"/>
    <w:rsid w:val="005B312A"/>
    <w:rsid w:val="005B453A"/>
    <w:rsid w:val="005B4ACE"/>
    <w:rsid w:val="005B4BC5"/>
    <w:rsid w:val="005B5EC0"/>
    <w:rsid w:val="005B5FC9"/>
    <w:rsid w:val="005B6055"/>
    <w:rsid w:val="005B70A7"/>
    <w:rsid w:val="005B7A22"/>
    <w:rsid w:val="005C016A"/>
    <w:rsid w:val="005C04A6"/>
    <w:rsid w:val="005C0C30"/>
    <w:rsid w:val="005C0CD9"/>
    <w:rsid w:val="005C2FE6"/>
    <w:rsid w:val="005C3E77"/>
    <w:rsid w:val="005C5266"/>
    <w:rsid w:val="005C594F"/>
    <w:rsid w:val="005C66F5"/>
    <w:rsid w:val="005C694B"/>
    <w:rsid w:val="005C698D"/>
    <w:rsid w:val="005C6B27"/>
    <w:rsid w:val="005C6B87"/>
    <w:rsid w:val="005C6E9F"/>
    <w:rsid w:val="005D0A94"/>
    <w:rsid w:val="005D1D7C"/>
    <w:rsid w:val="005D1E38"/>
    <w:rsid w:val="005D33F4"/>
    <w:rsid w:val="005D3D92"/>
    <w:rsid w:val="005D44FF"/>
    <w:rsid w:val="005D5502"/>
    <w:rsid w:val="005D581F"/>
    <w:rsid w:val="005D5F7D"/>
    <w:rsid w:val="005D6367"/>
    <w:rsid w:val="005D6C55"/>
    <w:rsid w:val="005D6ED2"/>
    <w:rsid w:val="005D76F7"/>
    <w:rsid w:val="005D77F8"/>
    <w:rsid w:val="005D78D6"/>
    <w:rsid w:val="005D7960"/>
    <w:rsid w:val="005D7EFF"/>
    <w:rsid w:val="005D7F45"/>
    <w:rsid w:val="005E0A9D"/>
    <w:rsid w:val="005E17B6"/>
    <w:rsid w:val="005E1B04"/>
    <w:rsid w:val="005E2009"/>
    <w:rsid w:val="005E22C0"/>
    <w:rsid w:val="005E2AA2"/>
    <w:rsid w:val="005E360F"/>
    <w:rsid w:val="005E439E"/>
    <w:rsid w:val="005E47F0"/>
    <w:rsid w:val="005E487F"/>
    <w:rsid w:val="005E4BBE"/>
    <w:rsid w:val="005E5034"/>
    <w:rsid w:val="005E53AE"/>
    <w:rsid w:val="005E58F7"/>
    <w:rsid w:val="005E5961"/>
    <w:rsid w:val="005E651B"/>
    <w:rsid w:val="005E793A"/>
    <w:rsid w:val="005E7DF8"/>
    <w:rsid w:val="005F0075"/>
    <w:rsid w:val="005F13AE"/>
    <w:rsid w:val="005F27F5"/>
    <w:rsid w:val="005F2996"/>
    <w:rsid w:val="005F299C"/>
    <w:rsid w:val="005F2B4E"/>
    <w:rsid w:val="005F2C00"/>
    <w:rsid w:val="005F34B2"/>
    <w:rsid w:val="005F39F3"/>
    <w:rsid w:val="005F5632"/>
    <w:rsid w:val="005F615C"/>
    <w:rsid w:val="005F6FE7"/>
    <w:rsid w:val="006010C4"/>
    <w:rsid w:val="006018AC"/>
    <w:rsid w:val="006022D6"/>
    <w:rsid w:val="006025EB"/>
    <w:rsid w:val="00602CC3"/>
    <w:rsid w:val="00602EE6"/>
    <w:rsid w:val="00603399"/>
    <w:rsid w:val="0060345A"/>
    <w:rsid w:val="006037AA"/>
    <w:rsid w:val="0060383B"/>
    <w:rsid w:val="00604648"/>
    <w:rsid w:val="00604B37"/>
    <w:rsid w:val="006051CE"/>
    <w:rsid w:val="0060538D"/>
    <w:rsid w:val="006059FF"/>
    <w:rsid w:val="00605A74"/>
    <w:rsid w:val="00605D43"/>
    <w:rsid w:val="006071C7"/>
    <w:rsid w:val="00610265"/>
    <w:rsid w:val="00610E1C"/>
    <w:rsid w:val="00610EF7"/>
    <w:rsid w:val="00611737"/>
    <w:rsid w:val="00612229"/>
    <w:rsid w:val="00612757"/>
    <w:rsid w:val="00612D95"/>
    <w:rsid w:val="00613112"/>
    <w:rsid w:val="006131E3"/>
    <w:rsid w:val="00613EB6"/>
    <w:rsid w:val="00613F5D"/>
    <w:rsid w:val="006144D5"/>
    <w:rsid w:val="0061456F"/>
    <w:rsid w:val="00614DA8"/>
    <w:rsid w:val="00615536"/>
    <w:rsid w:val="0061658D"/>
    <w:rsid w:val="00616A8D"/>
    <w:rsid w:val="0061711C"/>
    <w:rsid w:val="00617809"/>
    <w:rsid w:val="0062111C"/>
    <w:rsid w:val="00621EB0"/>
    <w:rsid w:val="006226E6"/>
    <w:rsid w:val="006228E1"/>
    <w:rsid w:val="00622DEC"/>
    <w:rsid w:val="00622ED3"/>
    <w:rsid w:val="006233E4"/>
    <w:rsid w:val="00623FE2"/>
    <w:rsid w:val="00624191"/>
    <w:rsid w:val="006241D7"/>
    <w:rsid w:val="00624AD5"/>
    <w:rsid w:val="00625448"/>
    <w:rsid w:val="00625B95"/>
    <w:rsid w:val="006263EA"/>
    <w:rsid w:val="00626465"/>
    <w:rsid w:val="00626879"/>
    <w:rsid w:val="00626CD3"/>
    <w:rsid w:val="00626FCA"/>
    <w:rsid w:val="006272D3"/>
    <w:rsid w:val="00627957"/>
    <w:rsid w:val="00627DD7"/>
    <w:rsid w:val="00631A51"/>
    <w:rsid w:val="00632576"/>
    <w:rsid w:val="006330C6"/>
    <w:rsid w:val="006345D9"/>
    <w:rsid w:val="006346EC"/>
    <w:rsid w:val="00634C75"/>
    <w:rsid w:val="006350B8"/>
    <w:rsid w:val="00635A9F"/>
    <w:rsid w:val="00635C9F"/>
    <w:rsid w:val="00636101"/>
    <w:rsid w:val="006374C1"/>
    <w:rsid w:val="006376B5"/>
    <w:rsid w:val="00637EE9"/>
    <w:rsid w:val="006411BA"/>
    <w:rsid w:val="006413B1"/>
    <w:rsid w:val="00641471"/>
    <w:rsid w:val="00641B26"/>
    <w:rsid w:val="00641EAC"/>
    <w:rsid w:val="006421B0"/>
    <w:rsid w:val="006427BD"/>
    <w:rsid w:val="00642D24"/>
    <w:rsid w:val="00643A4A"/>
    <w:rsid w:val="00643AF1"/>
    <w:rsid w:val="006446CB"/>
    <w:rsid w:val="00644CED"/>
    <w:rsid w:val="0064517F"/>
    <w:rsid w:val="006452BC"/>
    <w:rsid w:val="006455B7"/>
    <w:rsid w:val="00645BFB"/>
    <w:rsid w:val="00647120"/>
    <w:rsid w:val="0064733D"/>
    <w:rsid w:val="006476F0"/>
    <w:rsid w:val="00650123"/>
    <w:rsid w:val="006502EB"/>
    <w:rsid w:val="00651116"/>
    <w:rsid w:val="00651C22"/>
    <w:rsid w:val="00651D43"/>
    <w:rsid w:val="0065219A"/>
    <w:rsid w:val="00652846"/>
    <w:rsid w:val="00652A72"/>
    <w:rsid w:val="00652C69"/>
    <w:rsid w:val="00652F3F"/>
    <w:rsid w:val="00654341"/>
    <w:rsid w:val="006547A1"/>
    <w:rsid w:val="00654A7D"/>
    <w:rsid w:val="00654E4C"/>
    <w:rsid w:val="006552B0"/>
    <w:rsid w:val="006562D2"/>
    <w:rsid w:val="00656371"/>
    <w:rsid w:val="00656529"/>
    <w:rsid w:val="006567F1"/>
    <w:rsid w:val="00656834"/>
    <w:rsid w:val="00656F51"/>
    <w:rsid w:val="00657A80"/>
    <w:rsid w:val="00660760"/>
    <w:rsid w:val="006607E7"/>
    <w:rsid w:val="00660A00"/>
    <w:rsid w:val="00662C19"/>
    <w:rsid w:val="00663276"/>
    <w:rsid w:val="00663373"/>
    <w:rsid w:val="0066434D"/>
    <w:rsid w:val="006647FF"/>
    <w:rsid w:val="00664D66"/>
    <w:rsid w:val="00664F1C"/>
    <w:rsid w:val="006668DA"/>
    <w:rsid w:val="00667B2F"/>
    <w:rsid w:val="006705C0"/>
    <w:rsid w:val="00671012"/>
    <w:rsid w:val="0067209E"/>
    <w:rsid w:val="006726AD"/>
    <w:rsid w:val="006726DD"/>
    <w:rsid w:val="006730F2"/>
    <w:rsid w:val="00673E29"/>
    <w:rsid w:val="00673EEB"/>
    <w:rsid w:val="00674087"/>
    <w:rsid w:val="0067439F"/>
    <w:rsid w:val="00675AA2"/>
    <w:rsid w:val="00675EA8"/>
    <w:rsid w:val="00676811"/>
    <w:rsid w:val="00676BDA"/>
    <w:rsid w:val="00681740"/>
    <w:rsid w:val="00682146"/>
    <w:rsid w:val="00682D8D"/>
    <w:rsid w:val="0068383E"/>
    <w:rsid w:val="006843BE"/>
    <w:rsid w:val="006848E9"/>
    <w:rsid w:val="00684BAF"/>
    <w:rsid w:val="00684FB8"/>
    <w:rsid w:val="00685971"/>
    <w:rsid w:val="00687AF9"/>
    <w:rsid w:val="00690326"/>
    <w:rsid w:val="00690495"/>
    <w:rsid w:val="006917FE"/>
    <w:rsid w:val="00692E1C"/>
    <w:rsid w:val="00692F18"/>
    <w:rsid w:val="0069455A"/>
    <w:rsid w:val="00694D4F"/>
    <w:rsid w:val="00694F57"/>
    <w:rsid w:val="00695410"/>
    <w:rsid w:val="00695E45"/>
    <w:rsid w:val="00695FCE"/>
    <w:rsid w:val="00696901"/>
    <w:rsid w:val="00696964"/>
    <w:rsid w:val="0069783B"/>
    <w:rsid w:val="006A004A"/>
    <w:rsid w:val="006A1089"/>
    <w:rsid w:val="006A1260"/>
    <w:rsid w:val="006A1CAC"/>
    <w:rsid w:val="006A35D7"/>
    <w:rsid w:val="006A421E"/>
    <w:rsid w:val="006A5774"/>
    <w:rsid w:val="006A5D3F"/>
    <w:rsid w:val="006A630F"/>
    <w:rsid w:val="006A6606"/>
    <w:rsid w:val="006A7412"/>
    <w:rsid w:val="006B173A"/>
    <w:rsid w:val="006B1DFA"/>
    <w:rsid w:val="006B2561"/>
    <w:rsid w:val="006B2FA7"/>
    <w:rsid w:val="006B39C9"/>
    <w:rsid w:val="006B3D24"/>
    <w:rsid w:val="006B3E3E"/>
    <w:rsid w:val="006B3FE3"/>
    <w:rsid w:val="006B5614"/>
    <w:rsid w:val="006B615E"/>
    <w:rsid w:val="006B6EBF"/>
    <w:rsid w:val="006B6F9F"/>
    <w:rsid w:val="006B7352"/>
    <w:rsid w:val="006C0592"/>
    <w:rsid w:val="006C0D84"/>
    <w:rsid w:val="006C1340"/>
    <w:rsid w:val="006C13BD"/>
    <w:rsid w:val="006C19D2"/>
    <w:rsid w:val="006C372F"/>
    <w:rsid w:val="006C3787"/>
    <w:rsid w:val="006C38C6"/>
    <w:rsid w:val="006C4A08"/>
    <w:rsid w:val="006C5007"/>
    <w:rsid w:val="006C54B0"/>
    <w:rsid w:val="006C5976"/>
    <w:rsid w:val="006C5AC4"/>
    <w:rsid w:val="006C5AD3"/>
    <w:rsid w:val="006C6175"/>
    <w:rsid w:val="006D0052"/>
    <w:rsid w:val="006D0778"/>
    <w:rsid w:val="006D0B62"/>
    <w:rsid w:val="006D13E6"/>
    <w:rsid w:val="006D1F4D"/>
    <w:rsid w:val="006D246D"/>
    <w:rsid w:val="006D2E64"/>
    <w:rsid w:val="006D3BFE"/>
    <w:rsid w:val="006D3E1D"/>
    <w:rsid w:val="006D523E"/>
    <w:rsid w:val="006D5851"/>
    <w:rsid w:val="006D5CA0"/>
    <w:rsid w:val="006D68E6"/>
    <w:rsid w:val="006D7123"/>
    <w:rsid w:val="006D79F6"/>
    <w:rsid w:val="006E0CD3"/>
    <w:rsid w:val="006E12B4"/>
    <w:rsid w:val="006E2112"/>
    <w:rsid w:val="006E214C"/>
    <w:rsid w:val="006E233E"/>
    <w:rsid w:val="006E272A"/>
    <w:rsid w:val="006E4195"/>
    <w:rsid w:val="006E41DD"/>
    <w:rsid w:val="006E528A"/>
    <w:rsid w:val="006E53D8"/>
    <w:rsid w:val="006E5B7B"/>
    <w:rsid w:val="006E6597"/>
    <w:rsid w:val="006E6F86"/>
    <w:rsid w:val="006E71A4"/>
    <w:rsid w:val="006E7C89"/>
    <w:rsid w:val="006F0474"/>
    <w:rsid w:val="006F0998"/>
    <w:rsid w:val="006F09D4"/>
    <w:rsid w:val="006F1423"/>
    <w:rsid w:val="006F1815"/>
    <w:rsid w:val="006F32E6"/>
    <w:rsid w:val="006F353C"/>
    <w:rsid w:val="006F422F"/>
    <w:rsid w:val="006F484B"/>
    <w:rsid w:val="006F485C"/>
    <w:rsid w:val="006F53C0"/>
    <w:rsid w:val="006F64BA"/>
    <w:rsid w:val="006F6D29"/>
    <w:rsid w:val="006F73BE"/>
    <w:rsid w:val="006F7634"/>
    <w:rsid w:val="0070090C"/>
    <w:rsid w:val="00700F44"/>
    <w:rsid w:val="00700F6C"/>
    <w:rsid w:val="00701317"/>
    <w:rsid w:val="00702504"/>
    <w:rsid w:val="0070270E"/>
    <w:rsid w:val="0070494C"/>
    <w:rsid w:val="0070507E"/>
    <w:rsid w:val="00705521"/>
    <w:rsid w:val="00705CB8"/>
    <w:rsid w:val="00706525"/>
    <w:rsid w:val="00706726"/>
    <w:rsid w:val="00706A78"/>
    <w:rsid w:val="0071156C"/>
    <w:rsid w:val="00711FAE"/>
    <w:rsid w:val="0071289F"/>
    <w:rsid w:val="00713166"/>
    <w:rsid w:val="00713603"/>
    <w:rsid w:val="00713CC3"/>
    <w:rsid w:val="00714BE5"/>
    <w:rsid w:val="00714DC3"/>
    <w:rsid w:val="00714E0D"/>
    <w:rsid w:val="00715454"/>
    <w:rsid w:val="00715A6F"/>
    <w:rsid w:val="007161F4"/>
    <w:rsid w:val="00716548"/>
    <w:rsid w:val="007166F1"/>
    <w:rsid w:val="007167FD"/>
    <w:rsid w:val="007169A1"/>
    <w:rsid w:val="0071758D"/>
    <w:rsid w:val="0071790D"/>
    <w:rsid w:val="00720CB4"/>
    <w:rsid w:val="00720D32"/>
    <w:rsid w:val="00720EC4"/>
    <w:rsid w:val="007214EE"/>
    <w:rsid w:val="00721642"/>
    <w:rsid w:val="00721A93"/>
    <w:rsid w:val="007223F8"/>
    <w:rsid w:val="00722602"/>
    <w:rsid w:val="00723386"/>
    <w:rsid w:val="00723516"/>
    <w:rsid w:val="00723ECE"/>
    <w:rsid w:val="00724AC0"/>
    <w:rsid w:val="00724C7C"/>
    <w:rsid w:val="00724F14"/>
    <w:rsid w:val="00725E5E"/>
    <w:rsid w:val="0072640F"/>
    <w:rsid w:val="007266E8"/>
    <w:rsid w:val="00726D01"/>
    <w:rsid w:val="007270CE"/>
    <w:rsid w:val="00732260"/>
    <w:rsid w:val="00732328"/>
    <w:rsid w:val="00732841"/>
    <w:rsid w:val="00732C4F"/>
    <w:rsid w:val="007330AC"/>
    <w:rsid w:val="00734FAC"/>
    <w:rsid w:val="0073542F"/>
    <w:rsid w:val="00735A3E"/>
    <w:rsid w:val="00735F90"/>
    <w:rsid w:val="007361FF"/>
    <w:rsid w:val="0073649F"/>
    <w:rsid w:val="007365CC"/>
    <w:rsid w:val="00736641"/>
    <w:rsid w:val="00736AB9"/>
    <w:rsid w:val="007371A8"/>
    <w:rsid w:val="00737515"/>
    <w:rsid w:val="00737F54"/>
    <w:rsid w:val="0074003A"/>
    <w:rsid w:val="00740443"/>
    <w:rsid w:val="00741FAD"/>
    <w:rsid w:val="00743195"/>
    <w:rsid w:val="00743705"/>
    <w:rsid w:val="00746190"/>
    <w:rsid w:val="007468FA"/>
    <w:rsid w:val="00747DC1"/>
    <w:rsid w:val="0075047B"/>
    <w:rsid w:val="0075096A"/>
    <w:rsid w:val="00751579"/>
    <w:rsid w:val="007527E5"/>
    <w:rsid w:val="00752AE6"/>
    <w:rsid w:val="00753EB3"/>
    <w:rsid w:val="00754F4D"/>
    <w:rsid w:val="00754F72"/>
    <w:rsid w:val="00756561"/>
    <w:rsid w:val="00756B28"/>
    <w:rsid w:val="00756D84"/>
    <w:rsid w:val="00756E7B"/>
    <w:rsid w:val="00757DE0"/>
    <w:rsid w:val="007600A4"/>
    <w:rsid w:val="00760715"/>
    <w:rsid w:val="00760A08"/>
    <w:rsid w:val="00761193"/>
    <w:rsid w:val="007612F7"/>
    <w:rsid w:val="00761EB4"/>
    <w:rsid w:val="00762E0E"/>
    <w:rsid w:val="00762E44"/>
    <w:rsid w:val="00763040"/>
    <w:rsid w:val="00764518"/>
    <w:rsid w:val="00764D28"/>
    <w:rsid w:val="00765E68"/>
    <w:rsid w:val="00765E8B"/>
    <w:rsid w:val="00766060"/>
    <w:rsid w:val="007662F8"/>
    <w:rsid w:val="00766765"/>
    <w:rsid w:val="0076698E"/>
    <w:rsid w:val="00766A85"/>
    <w:rsid w:val="00767A4E"/>
    <w:rsid w:val="00767FBE"/>
    <w:rsid w:val="007704C1"/>
    <w:rsid w:val="00770EAB"/>
    <w:rsid w:val="00771C5A"/>
    <w:rsid w:val="00771EE0"/>
    <w:rsid w:val="00772080"/>
    <w:rsid w:val="00772090"/>
    <w:rsid w:val="00772F32"/>
    <w:rsid w:val="0077404C"/>
    <w:rsid w:val="007745D4"/>
    <w:rsid w:val="00775201"/>
    <w:rsid w:val="00775DC5"/>
    <w:rsid w:val="007765E1"/>
    <w:rsid w:val="00777600"/>
    <w:rsid w:val="007810AE"/>
    <w:rsid w:val="00781968"/>
    <w:rsid w:val="00781A3E"/>
    <w:rsid w:val="00781D73"/>
    <w:rsid w:val="0078258A"/>
    <w:rsid w:val="00783955"/>
    <w:rsid w:val="00783F56"/>
    <w:rsid w:val="00784011"/>
    <w:rsid w:val="00784C6F"/>
    <w:rsid w:val="00785727"/>
    <w:rsid w:val="007872EA"/>
    <w:rsid w:val="00787C58"/>
    <w:rsid w:val="00790BE2"/>
    <w:rsid w:val="00790F06"/>
    <w:rsid w:val="007916BB"/>
    <w:rsid w:val="00791938"/>
    <w:rsid w:val="0079250A"/>
    <w:rsid w:val="0079352F"/>
    <w:rsid w:val="0079373A"/>
    <w:rsid w:val="007938C3"/>
    <w:rsid w:val="0079419E"/>
    <w:rsid w:val="007949C3"/>
    <w:rsid w:val="00794B04"/>
    <w:rsid w:val="00795055"/>
    <w:rsid w:val="00795D37"/>
    <w:rsid w:val="00797FAF"/>
    <w:rsid w:val="007A1440"/>
    <w:rsid w:val="007A2722"/>
    <w:rsid w:val="007A2843"/>
    <w:rsid w:val="007A31B0"/>
    <w:rsid w:val="007A3257"/>
    <w:rsid w:val="007A457B"/>
    <w:rsid w:val="007A51E2"/>
    <w:rsid w:val="007A5428"/>
    <w:rsid w:val="007A587E"/>
    <w:rsid w:val="007A5C9D"/>
    <w:rsid w:val="007A6746"/>
    <w:rsid w:val="007A6979"/>
    <w:rsid w:val="007A6F6B"/>
    <w:rsid w:val="007A78E5"/>
    <w:rsid w:val="007A7F21"/>
    <w:rsid w:val="007B08A2"/>
    <w:rsid w:val="007B298E"/>
    <w:rsid w:val="007B2BE8"/>
    <w:rsid w:val="007B2E92"/>
    <w:rsid w:val="007B3374"/>
    <w:rsid w:val="007B3449"/>
    <w:rsid w:val="007B3B78"/>
    <w:rsid w:val="007B411A"/>
    <w:rsid w:val="007B4CFE"/>
    <w:rsid w:val="007B5566"/>
    <w:rsid w:val="007B56BD"/>
    <w:rsid w:val="007B6F3B"/>
    <w:rsid w:val="007B72A5"/>
    <w:rsid w:val="007B77CB"/>
    <w:rsid w:val="007B7C7E"/>
    <w:rsid w:val="007C01A5"/>
    <w:rsid w:val="007C04E3"/>
    <w:rsid w:val="007C08F1"/>
    <w:rsid w:val="007C105D"/>
    <w:rsid w:val="007C208F"/>
    <w:rsid w:val="007C20B8"/>
    <w:rsid w:val="007C24FF"/>
    <w:rsid w:val="007C2D8E"/>
    <w:rsid w:val="007C3300"/>
    <w:rsid w:val="007C343C"/>
    <w:rsid w:val="007C3513"/>
    <w:rsid w:val="007C52B8"/>
    <w:rsid w:val="007C68EF"/>
    <w:rsid w:val="007C6CDE"/>
    <w:rsid w:val="007C7B0E"/>
    <w:rsid w:val="007D0552"/>
    <w:rsid w:val="007D097E"/>
    <w:rsid w:val="007D0B0E"/>
    <w:rsid w:val="007D0B68"/>
    <w:rsid w:val="007D12CF"/>
    <w:rsid w:val="007D130D"/>
    <w:rsid w:val="007D1E12"/>
    <w:rsid w:val="007D1F96"/>
    <w:rsid w:val="007D20A4"/>
    <w:rsid w:val="007D23D6"/>
    <w:rsid w:val="007D2E05"/>
    <w:rsid w:val="007D38F1"/>
    <w:rsid w:val="007D4A93"/>
    <w:rsid w:val="007D4E27"/>
    <w:rsid w:val="007D525E"/>
    <w:rsid w:val="007D57D3"/>
    <w:rsid w:val="007D5FC0"/>
    <w:rsid w:val="007D67D1"/>
    <w:rsid w:val="007D7CA6"/>
    <w:rsid w:val="007D7E0F"/>
    <w:rsid w:val="007E0D00"/>
    <w:rsid w:val="007E1D7F"/>
    <w:rsid w:val="007E23EC"/>
    <w:rsid w:val="007E27D9"/>
    <w:rsid w:val="007E4AD9"/>
    <w:rsid w:val="007E4CD3"/>
    <w:rsid w:val="007E4D2A"/>
    <w:rsid w:val="007E569B"/>
    <w:rsid w:val="007E5789"/>
    <w:rsid w:val="007E6365"/>
    <w:rsid w:val="007E6A47"/>
    <w:rsid w:val="007E6B5A"/>
    <w:rsid w:val="007E6E0F"/>
    <w:rsid w:val="007E719B"/>
    <w:rsid w:val="007E71A6"/>
    <w:rsid w:val="007E77DB"/>
    <w:rsid w:val="007F0A4A"/>
    <w:rsid w:val="007F0BF2"/>
    <w:rsid w:val="007F12D3"/>
    <w:rsid w:val="007F17BB"/>
    <w:rsid w:val="007F3551"/>
    <w:rsid w:val="007F3621"/>
    <w:rsid w:val="007F3885"/>
    <w:rsid w:val="007F4162"/>
    <w:rsid w:val="007F42D7"/>
    <w:rsid w:val="007F4E93"/>
    <w:rsid w:val="007F50F2"/>
    <w:rsid w:val="007F52AF"/>
    <w:rsid w:val="007F5765"/>
    <w:rsid w:val="007F616F"/>
    <w:rsid w:val="007F6338"/>
    <w:rsid w:val="007F63AB"/>
    <w:rsid w:val="007F6E2A"/>
    <w:rsid w:val="007F719E"/>
    <w:rsid w:val="007F766F"/>
    <w:rsid w:val="007F7F02"/>
    <w:rsid w:val="00800D45"/>
    <w:rsid w:val="008016A2"/>
    <w:rsid w:val="00801CAD"/>
    <w:rsid w:val="00802BDF"/>
    <w:rsid w:val="00802C96"/>
    <w:rsid w:val="008040A6"/>
    <w:rsid w:val="0080505F"/>
    <w:rsid w:val="00805181"/>
    <w:rsid w:val="0080549F"/>
    <w:rsid w:val="00805515"/>
    <w:rsid w:val="00806795"/>
    <w:rsid w:val="00806926"/>
    <w:rsid w:val="008106E9"/>
    <w:rsid w:val="008107BE"/>
    <w:rsid w:val="00811054"/>
    <w:rsid w:val="00812BBD"/>
    <w:rsid w:val="00812C0A"/>
    <w:rsid w:val="00812C75"/>
    <w:rsid w:val="008132E3"/>
    <w:rsid w:val="00813803"/>
    <w:rsid w:val="00813E24"/>
    <w:rsid w:val="00814959"/>
    <w:rsid w:val="00814A0A"/>
    <w:rsid w:val="00814BC5"/>
    <w:rsid w:val="008152F4"/>
    <w:rsid w:val="0081547E"/>
    <w:rsid w:val="0081564F"/>
    <w:rsid w:val="00816382"/>
    <w:rsid w:val="00816998"/>
    <w:rsid w:val="008169E9"/>
    <w:rsid w:val="00821620"/>
    <w:rsid w:val="00821E8F"/>
    <w:rsid w:val="008231FA"/>
    <w:rsid w:val="00823B17"/>
    <w:rsid w:val="0082439D"/>
    <w:rsid w:val="00824946"/>
    <w:rsid w:val="0082624E"/>
    <w:rsid w:val="00827109"/>
    <w:rsid w:val="00827196"/>
    <w:rsid w:val="00827652"/>
    <w:rsid w:val="00827B4A"/>
    <w:rsid w:val="008305D6"/>
    <w:rsid w:val="00830C86"/>
    <w:rsid w:val="00831AAA"/>
    <w:rsid w:val="00831DE9"/>
    <w:rsid w:val="00832DD2"/>
    <w:rsid w:val="00832ED8"/>
    <w:rsid w:val="008330AA"/>
    <w:rsid w:val="0083367A"/>
    <w:rsid w:val="00834351"/>
    <w:rsid w:val="00835BD5"/>
    <w:rsid w:val="00835BFC"/>
    <w:rsid w:val="00836E14"/>
    <w:rsid w:val="00837340"/>
    <w:rsid w:val="00837CAA"/>
    <w:rsid w:val="00840EB5"/>
    <w:rsid w:val="00841603"/>
    <w:rsid w:val="00842C50"/>
    <w:rsid w:val="00843E8B"/>
    <w:rsid w:val="00844685"/>
    <w:rsid w:val="00844E34"/>
    <w:rsid w:val="0084532C"/>
    <w:rsid w:val="008454BB"/>
    <w:rsid w:val="00845698"/>
    <w:rsid w:val="00845B42"/>
    <w:rsid w:val="00845CC4"/>
    <w:rsid w:val="008469FA"/>
    <w:rsid w:val="008479AC"/>
    <w:rsid w:val="00851423"/>
    <w:rsid w:val="0085446A"/>
    <w:rsid w:val="00854F59"/>
    <w:rsid w:val="00855270"/>
    <w:rsid w:val="008553F6"/>
    <w:rsid w:val="00855F5D"/>
    <w:rsid w:val="0085668E"/>
    <w:rsid w:val="00856F28"/>
    <w:rsid w:val="00857A1D"/>
    <w:rsid w:val="008604A0"/>
    <w:rsid w:val="00860F49"/>
    <w:rsid w:val="00861BB9"/>
    <w:rsid w:val="00862035"/>
    <w:rsid w:val="008624CF"/>
    <w:rsid w:val="00862770"/>
    <w:rsid w:val="0086333B"/>
    <w:rsid w:val="008635AB"/>
    <w:rsid w:val="0086363D"/>
    <w:rsid w:val="00863A66"/>
    <w:rsid w:val="00864C2A"/>
    <w:rsid w:val="00865048"/>
    <w:rsid w:val="00865261"/>
    <w:rsid w:val="008653DB"/>
    <w:rsid w:val="00865418"/>
    <w:rsid w:val="008657B5"/>
    <w:rsid w:val="00865B29"/>
    <w:rsid w:val="0086626F"/>
    <w:rsid w:val="0086633D"/>
    <w:rsid w:val="008663FF"/>
    <w:rsid w:val="008673F1"/>
    <w:rsid w:val="008701D7"/>
    <w:rsid w:val="00870778"/>
    <w:rsid w:val="00870EF4"/>
    <w:rsid w:val="0087143A"/>
    <w:rsid w:val="0087203D"/>
    <w:rsid w:val="00872D62"/>
    <w:rsid w:val="00874DEA"/>
    <w:rsid w:val="008753AC"/>
    <w:rsid w:val="00875530"/>
    <w:rsid w:val="00875E39"/>
    <w:rsid w:val="00880383"/>
    <w:rsid w:val="0088061A"/>
    <w:rsid w:val="0088100B"/>
    <w:rsid w:val="00882006"/>
    <w:rsid w:val="00882021"/>
    <w:rsid w:val="00882D2E"/>
    <w:rsid w:val="0088300B"/>
    <w:rsid w:val="0088395F"/>
    <w:rsid w:val="00884217"/>
    <w:rsid w:val="00884650"/>
    <w:rsid w:val="00885067"/>
    <w:rsid w:val="00885252"/>
    <w:rsid w:val="00885FB9"/>
    <w:rsid w:val="008866F6"/>
    <w:rsid w:val="0088696C"/>
    <w:rsid w:val="00886B62"/>
    <w:rsid w:val="00886BF6"/>
    <w:rsid w:val="00886C9D"/>
    <w:rsid w:val="00887723"/>
    <w:rsid w:val="00890289"/>
    <w:rsid w:val="0089188A"/>
    <w:rsid w:val="00891E5A"/>
    <w:rsid w:val="0089293E"/>
    <w:rsid w:val="00893083"/>
    <w:rsid w:val="008933D9"/>
    <w:rsid w:val="0089432A"/>
    <w:rsid w:val="008943DB"/>
    <w:rsid w:val="00894C32"/>
    <w:rsid w:val="00894F68"/>
    <w:rsid w:val="00895528"/>
    <w:rsid w:val="00896194"/>
    <w:rsid w:val="00896408"/>
    <w:rsid w:val="0089786F"/>
    <w:rsid w:val="008A004E"/>
    <w:rsid w:val="008A04AC"/>
    <w:rsid w:val="008A0AB6"/>
    <w:rsid w:val="008A11A7"/>
    <w:rsid w:val="008A1868"/>
    <w:rsid w:val="008A1972"/>
    <w:rsid w:val="008A277B"/>
    <w:rsid w:val="008A2889"/>
    <w:rsid w:val="008A3285"/>
    <w:rsid w:val="008A3F2F"/>
    <w:rsid w:val="008A4087"/>
    <w:rsid w:val="008A6A56"/>
    <w:rsid w:val="008A754A"/>
    <w:rsid w:val="008A79FF"/>
    <w:rsid w:val="008B03E7"/>
    <w:rsid w:val="008B1001"/>
    <w:rsid w:val="008B16D9"/>
    <w:rsid w:val="008B1D2B"/>
    <w:rsid w:val="008B1DEA"/>
    <w:rsid w:val="008B1EA9"/>
    <w:rsid w:val="008B28AD"/>
    <w:rsid w:val="008B3606"/>
    <w:rsid w:val="008B52FC"/>
    <w:rsid w:val="008B6265"/>
    <w:rsid w:val="008B7D86"/>
    <w:rsid w:val="008C1907"/>
    <w:rsid w:val="008C1E62"/>
    <w:rsid w:val="008C2046"/>
    <w:rsid w:val="008C3341"/>
    <w:rsid w:val="008C357B"/>
    <w:rsid w:val="008C4322"/>
    <w:rsid w:val="008C4DA0"/>
    <w:rsid w:val="008C4E5A"/>
    <w:rsid w:val="008C56C6"/>
    <w:rsid w:val="008C5FDA"/>
    <w:rsid w:val="008C6218"/>
    <w:rsid w:val="008C6D95"/>
    <w:rsid w:val="008C76AC"/>
    <w:rsid w:val="008C782E"/>
    <w:rsid w:val="008C7923"/>
    <w:rsid w:val="008C7B95"/>
    <w:rsid w:val="008C7EF0"/>
    <w:rsid w:val="008D03AE"/>
    <w:rsid w:val="008D292A"/>
    <w:rsid w:val="008D3A55"/>
    <w:rsid w:val="008D3AEF"/>
    <w:rsid w:val="008D3D15"/>
    <w:rsid w:val="008D4758"/>
    <w:rsid w:val="008D4C41"/>
    <w:rsid w:val="008D4C70"/>
    <w:rsid w:val="008D6942"/>
    <w:rsid w:val="008D6E69"/>
    <w:rsid w:val="008D720B"/>
    <w:rsid w:val="008D73F9"/>
    <w:rsid w:val="008D7748"/>
    <w:rsid w:val="008D7974"/>
    <w:rsid w:val="008D7C52"/>
    <w:rsid w:val="008E0EF4"/>
    <w:rsid w:val="008E4198"/>
    <w:rsid w:val="008E41FF"/>
    <w:rsid w:val="008E500A"/>
    <w:rsid w:val="008E543B"/>
    <w:rsid w:val="008E5801"/>
    <w:rsid w:val="008E5BA7"/>
    <w:rsid w:val="008E6028"/>
    <w:rsid w:val="008E730D"/>
    <w:rsid w:val="008F0D0A"/>
    <w:rsid w:val="008F0DF0"/>
    <w:rsid w:val="008F1043"/>
    <w:rsid w:val="008F1475"/>
    <w:rsid w:val="008F1775"/>
    <w:rsid w:val="008F22A1"/>
    <w:rsid w:val="008F2D9D"/>
    <w:rsid w:val="008F343A"/>
    <w:rsid w:val="008F39E9"/>
    <w:rsid w:val="008F3E0F"/>
    <w:rsid w:val="008F4B74"/>
    <w:rsid w:val="008F56DC"/>
    <w:rsid w:val="008F5EDE"/>
    <w:rsid w:val="008F6017"/>
    <w:rsid w:val="008F6D2D"/>
    <w:rsid w:val="008F74CA"/>
    <w:rsid w:val="008F7577"/>
    <w:rsid w:val="008F75F9"/>
    <w:rsid w:val="008F7A02"/>
    <w:rsid w:val="008F7BCD"/>
    <w:rsid w:val="00900644"/>
    <w:rsid w:val="00900B5A"/>
    <w:rsid w:val="00900C34"/>
    <w:rsid w:val="00900D0F"/>
    <w:rsid w:val="00902418"/>
    <w:rsid w:val="0090283F"/>
    <w:rsid w:val="00902D6F"/>
    <w:rsid w:val="00902F31"/>
    <w:rsid w:val="0090451D"/>
    <w:rsid w:val="009045B2"/>
    <w:rsid w:val="00904B49"/>
    <w:rsid w:val="00905006"/>
    <w:rsid w:val="009063E6"/>
    <w:rsid w:val="009066F3"/>
    <w:rsid w:val="00906CD1"/>
    <w:rsid w:val="0090737D"/>
    <w:rsid w:val="00907F23"/>
    <w:rsid w:val="009103CC"/>
    <w:rsid w:val="00910CB1"/>
    <w:rsid w:val="00910F2F"/>
    <w:rsid w:val="00911087"/>
    <w:rsid w:val="00911FBE"/>
    <w:rsid w:val="00912032"/>
    <w:rsid w:val="0091235A"/>
    <w:rsid w:val="00912962"/>
    <w:rsid w:val="00912C5B"/>
    <w:rsid w:val="00912E71"/>
    <w:rsid w:val="00913BC8"/>
    <w:rsid w:val="00915338"/>
    <w:rsid w:val="00916693"/>
    <w:rsid w:val="009170F9"/>
    <w:rsid w:val="0091737F"/>
    <w:rsid w:val="00917738"/>
    <w:rsid w:val="00917832"/>
    <w:rsid w:val="00917957"/>
    <w:rsid w:val="009206DC"/>
    <w:rsid w:val="0092103D"/>
    <w:rsid w:val="0092320B"/>
    <w:rsid w:val="009239B8"/>
    <w:rsid w:val="009246FC"/>
    <w:rsid w:val="0092512D"/>
    <w:rsid w:val="0092622E"/>
    <w:rsid w:val="009273C8"/>
    <w:rsid w:val="00930628"/>
    <w:rsid w:val="0093087E"/>
    <w:rsid w:val="00931271"/>
    <w:rsid w:val="0093160C"/>
    <w:rsid w:val="00931CB4"/>
    <w:rsid w:val="00931DCE"/>
    <w:rsid w:val="00932E20"/>
    <w:rsid w:val="00933096"/>
    <w:rsid w:val="00933FBB"/>
    <w:rsid w:val="009366C9"/>
    <w:rsid w:val="00937224"/>
    <w:rsid w:val="00937622"/>
    <w:rsid w:val="009400DF"/>
    <w:rsid w:val="00940325"/>
    <w:rsid w:val="009403E7"/>
    <w:rsid w:val="0094053C"/>
    <w:rsid w:val="00940C7A"/>
    <w:rsid w:val="00941613"/>
    <w:rsid w:val="009424A0"/>
    <w:rsid w:val="00942D8B"/>
    <w:rsid w:val="00943C33"/>
    <w:rsid w:val="00943E7C"/>
    <w:rsid w:val="00946508"/>
    <w:rsid w:val="009465C7"/>
    <w:rsid w:val="00946BDB"/>
    <w:rsid w:val="00946DF6"/>
    <w:rsid w:val="00947BDC"/>
    <w:rsid w:val="0095097D"/>
    <w:rsid w:val="00950A9A"/>
    <w:rsid w:val="00950CEB"/>
    <w:rsid w:val="009510B1"/>
    <w:rsid w:val="00953507"/>
    <w:rsid w:val="0095555A"/>
    <w:rsid w:val="00955F11"/>
    <w:rsid w:val="00956106"/>
    <w:rsid w:val="009563D8"/>
    <w:rsid w:val="0095656A"/>
    <w:rsid w:val="0095739C"/>
    <w:rsid w:val="00957A75"/>
    <w:rsid w:val="00960E85"/>
    <w:rsid w:val="00960F35"/>
    <w:rsid w:val="0096117B"/>
    <w:rsid w:val="009614E6"/>
    <w:rsid w:val="009615E5"/>
    <w:rsid w:val="009639BD"/>
    <w:rsid w:val="009645A7"/>
    <w:rsid w:val="00964715"/>
    <w:rsid w:val="00965936"/>
    <w:rsid w:val="00965D88"/>
    <w:rsid w:val="0096637B"/>
    <w:rsid w:val="009675B8"/>
    <w:rsid w:val="00967FBD"/>
    <w:rsid w:val="00970284"/>
    <w:rsid w:val="00970426"/>
    <w:rsid w:val="009707A3"/>
    <w:rsid w:val="00970E34"/>
    <w:rsid w:val="00971CF0"/>
    <w:rsid w:val="00972841"/>
    <w:rsid w:val="00972A2A"/>
    <w:rsid w:val="00973226"/>
    <w:rsid w:val="00973425"/>
    <w:rsid w:val="0097402C"/>
    <w:rsid w:val="009740BF"/>
    <w:rsid w:val="00974ED0"/>
    <w:rsid w:val="00975BBF"/>
    <w:rsid w:val="00975ED5"/>
    <w:rsid w:val="00976349"/>
    <w:rsid w:val="009768CB"/>
    <w:rsid w:val="00976BD1"/>
    <w:rsid w:val="009771D0"/>
    <w:rsid w:val="00977AC1"/>
    <w:rsid w:val="00977BA6"/>
    <w:rsid w:val="00977C70"/>
    <w:rsid w:val="00980017"/>
    <w:rsid w:val="009800BE"/>
    <w:rsid w:val="0098054D"/>
    <w:rsid w:val="009805AD"/>
    <w:rsid w:val="00980E4E"/>
    <w:rsid w:val="00981E51"/>
    <w:rsid w:val="00981F35"/>
    <w:rsid w:val="009821A4"/>
    <w:rsid w:val="00982589"/>
    <w:rsid w:val="00983638"/>
    <w:rsid w:val="009837FD"/>
    <w:rsid w:val="00983811"/>
    <w:rsid w:val="00983BF0"/>
    <w:rsid w:val="009851A9"/>
    <w:rsid w:val="009851BF"/>
    <w:rsid w:val="009903C8"/>
    <w:rsid w:val="00990929"/>
    <w:rsid w:val="00992549"/>
    <w:rsid w:val="0099291E"/>
    <w:rsid w:val="00992F8D"/>
    <w:rsid w:val="00992FA1"/>
    <w:rsid w:val="0099362E"/>
    <w:rsid w:val="00994FB5"/>
    <w:rsid w:val="00995D31"/>
    <w:rsid w:val="0099636A"/>
    <w:rsid w:val="0099745E"/>
    <w:rsid w:val="00997AC7"/>
    <w:rsid w:val="009A036A"/>
    <w:rsid w:val="009A04B8"/>
    <w:rsid w:val="009A13A1"/>
    <w:rsid w:val="009A14CC"/>
    <w:rsid w:val="009A184C"/>
    <w:rsid w:val="009A1A8C"/>
    <w:rsid w:val="009A2C43"/>
    <w:rsid w:val="009A385D"/>
    <w:rsid w:val="009A4233"/>
    <w:rsid w:val="009A6E11"/>
    <w:rsid w:val="009B0167"/>
    <w:rsid w:val="009B0377"/>
    <w:rsid w:val="009B0CB1"/>
    <w:rsid w:val="009B10D5"/>
    <w:rsid w:val="009B1807"/>
    <w:rsid w:val="009B1B18"/>
    <w:rsid w:val="009B1F56"/>
    <w:rsid w:val="009B2819"/>
    <w:rsid w:val="009B286A"/>
    <w:rsid w:val="009B2B00"/>
    <w:rsid w:val="009B2FF9"/>
    <w:rsid w:val="009B3782"/>
    <w:rsid w:val="009B4679"/>
    <w:rsid w:val="009B500A"/>
    <w:rsid w:val="009B55AD"/>
    <w:rsid w:val="009B5C4C"/>
    <w:rsid w:val="009B5DE8"/>
    <w:rsid w:val="009B65A8"/>
    <w:rsid w:val="009B66D6"/>
    <w:rsid w:val="009B6919"/>
    <w:rsid w:val="009B6F96"/>
    <w:rsid w:val="009B7A66"/>
    <w:rsid w:val="009C03DC"/>
    <w:rsid w:val="009C0713"/>
    <w:rsid w:val="009C1063"/>
    <w:rsid w:val="009C10BB"/>
    <w:rsid w:val="009C22E6"/>
    <w:rsid w:val="009C2DF6"/>
    <w:rsid w:val="009C4477"/>
    <w:rsid w:val="009C45C9"/>
    <w:rsid w:val="009C468D"/>
    <w:rsid w:val="009C5565"/>
    <w:rsid w:val="009C5E1C"/>
    <w:rsid w:val="009D0A99"/>
    <w:rsid w:val="009D0F03"/>
    <w:rsid w:val="009D19A7"/>
    <w:rsid w:val="009D1BF3"/>
    <w:rsid w:val="009D1DDD"/>
    <w:rsid w:val="009D1EA2"/>
    <w:rsid w:val="009D24D7"/>
    <w:rsid w:val="009D320D"/>
    <w:rsid w:val="009D3266"/>
    <w:rsid w:val="009D4578"/>
    <w:rsid w:val="009D5B37"/>
    <w:rsid w:val="009D609F"/>
    <w:rsid w:val="009D6251"/>
    <w:rsid w:val="009D6DAB"/>
    <w:rsid w:val="009D6E83"/>
    <w:rsid w:val="009D7689"/>
    <w:rsid w:val="009D7F25"/>
    <w:rsid w:val="009E05E7"/>
    <w:rsid w:val="009E0B07"/>
    <w:rsid w:val="009E0EF4"/>
    <w:rsid w:val="009E1185"/>
    <w:rsid w:val="009E12B5"/>
    <w:rsid w:val="009E184B"/>
    <w:rsid w:val="009E1A35"/>
    <w:rsid w:val="009E1C6A"/>
    <w:rsid w:val="009E1C88"/>
    <w:rsid w:val="009E2AB7"/>
    <w:rsid w:val="009E2E37"/>
    <w:rsid w:val="009E31E5"/>
    <w:rsid w:val="009E33E1"/>
    <w:rsid w:val="009E3453"/>
    <w:rsid w:val="009E4D52"/>
    <w:rsid w:val="009E565D"/>
    <w:rsid w:val="009E5D50"/>
    <w:rsid w:val="009E6044"/>
    <w:rsid w:val="009E7A8E"/>
    <w:rsid w:val="009F0572"/>
    <w:rsid w:val="009F2035"/>
    <w:rsid w:val="009F2080"/>
    <w:rsid w:val="009F34E2"/>
    <w:rsid w:val="009F3E50"/>
    <w:rsid w:val="009F4341"/>
    <w:rsid w:val="009F4554"/>
    <w:rsid w:val="009F473D"/>
    <w:rsid w:val="009F4E76"/>
    <w:rsid w:val="009F570D"/>
    <w:rsid w:val="009F575A"/>
    <w:rsid w:val="009F643D"/>
    <w:rsid w:val="009F6CDD"/>
    <w:rsid w:val="009F6E97"/>
    <w:rsid w:val="009F740C"/>
    <w:rsid w:val="009F7A7E"/>
    <w:rsid w:val="009F7CE1"/>
    <w:rsid w:val="00A008A0"/>
    <w:rsid w:val="00A008DD"/>
    <w:rsid w:val="00A00AD9"/>
    <w:rsid w:val="00A01430"/>
    <w:rsid w:val="00A0163E"/>
    <w:rsid w:val="00A01C72"/>
    <w:rsid w:val="00A02EE6"/>
    <w:rsid w:val="00A03441"/>
    <w:rsid w:val="00A04916"/>
    <w:rsid w:val="00A04CD6"/>
    <w:rsid w:val="00A04D57"/>
    <w:rsid w:val="00A05189"/>
    <w:rsid w:val="00A0626B"/>
    <w:rsid w:val="00A064F8"/>
    <w:rsid w:val="00A06880"/>
    <w:rsid w:val="00A06F77"/>
    <w:rsid w:val="00A07685"/>
    <w:rsid w:val="00A07741"/>
    <w:rsid w:val="00A11346"/>
    <w:rsid w:val="00A11CDB"/>
    <w:rsid w:val="00A11FD7"/>
    <w:rsid w:val="00A126F4"/>
    <w:rsid w:val="00A12996"/>
    <w:rsid w:val="00A136BA"/>
    <w:rsid w:val="00A13C22"/>
    <w:rsid w:val="00A147D0"/>
    <w:rsid w:val="00A155AF"/>
    <w:rsid w:val="00A156C6"/>
    <w:rsid w:val="00A1572E"/>
    <w:rsid w:val="00A15D8D"/>
    <w:rsid w:val="00A15F16"/>
    <w:rsid w:val="00A16F7A"/>
    <w:rsid w:val="00A17AEA"/>
    <w:rsid w:val="00A20AFC"/>
    <w:rsid w:val="00A22C4A"/>
    <w:rsid w:val="00A23731"/>
    <w:rsid w:val="00A238D0"/>
    <w:rsid w:val="00A238E3"/>
    <w:rsid w:val="00A24014"/>
    <w:rsid w:val="00A2409E"/>
    <w:rsid w:val="00A24ABD"/>
    <w:rsid w:val="00A25AAC"/>
    <w:rsid w:val="00A262C3"/>
    <w:rsid w:val="00A270B7"/>
    <w:rsid w:val="00A27109"/>
    <w:rsid w:val="00A273C0"/>
    <w:rsid w:val="00A30457"/>
    <w:rsid w:val="00A307F9"/>
    <w:rsid w:val="00A308B3"/>
    <w:rsid w:val="00A31500"/>
    <w:rsid w:val="00A33EA2"/>
    <w:rsid w:val="00A34513"/>
    <w:rsid w:val="00A34553"/>
    <w:rsid w:val="00A34697"/>
    <w:rsid w:val="00A3476A"/>
    <w:rsid w:val="00A34788"/>
    <w:rsid w:val="00A34A2C"/>
    <w:rsid w:val="00A3789F"/>
    <w:rsid w:val="00A37C7C"/>
    <w:rsid w:val="00A40E9B"/>
    <w:rsid w:val="00A40FA7"/>
    <w:rsid w:val="00A41627"/>
    <w:rsid w:val="00A417C3"/>
    <w:rsid w:val="00A4371B"/>
    <w:rsid w:val="00A44186"/>
    <w:rsid w:val="00A442FF"/>
    <w:rsid w:val="00A44922"/>
    <w:rsid w:val="00A44BBF"/>
    <w:rsid w:val="00A44CF8"/>
    <w:rsid w:val="00A451FF"/>
    <w:rsid w:val="00A45597"/>
    <w:rsid w:val="00A45B64"/>
    <w:rsid w:val="00A46FB0"/>
    <w:rsid w:val="00A47D1E"/>
    <w:rsid w:val="00A47D42"/>
    <w:rsid w:val="00A50786"/>
    <w:rsid w:val="00A50B85"/>
    <w:rsid w:val="00A51170"/>
    <w:rsid w:val="00A516BD"/>
    <w:rsid w:val="00A53FA3"/>
    <w:rsid w:val="00A54341"/>
    <w:rsid w:val="00A54882"/>
    <w:rsid w:val="00A5566F"/>
    <w:rsid w:val="00A55809"/>
    <w:rsid w:val="00A55FEF"/>
    <w:rsid w:val="00A56E67"/>
    <w:rsid w:val="00A577B6"/>
    <w:rsid w:val="00A60070"/>
    <w:rsid w:val="00A619C8"/>
    <w:rsid w:val="00A61F1F"/>
    <w:rsid w:val="00A631E5"/>
    <w:rsid w:val="00A63416"/>
    <w:rsid w:val="00A63D19"/>
    <w:rsid w:val="00A64CAA"/>
    <w:rsid w:val="00A66312"/>
    <w:rsid w:val="00A6637B"/>
    <w:rsid w:val="00A66469"/>
    <w:rsid w:val="00A66CC2"/>
    <w:rsid w:val="00A674C3"/>
    <w:rsid w:val="00A70142"/>
    <w:rsid w:val="00A70B6F"/>
    <w:rsid w:val="00A70F7B"/>
    <w:rsid w:val="00A71991"/>
    <w:rsid w:val="00A72446"/>
    <w:rsid w:val="00A726C3"/>
    <w:rsid w:val="00A74104"/>
    <w:rsid w:val="00A75026"/>
    <w:rsid w:val="00A75057"/>
    <w:rsid w:val="00A76F9A"/>
    <w:rsid w:val="00A8023C"/>
    <w:rsid w:val="00A80B7B"/>
    <w:rsid w:val="00A82EA6"/>
    <w:rsid w:val="00A83780"/>
    <w:rsid w:val="00A83E3F"/>
    <w:rsid w:val="00A8474E"/>
    <w:rsid w:val="00A8481E"/>
    <w:rsid w:val="00A854EA"/>
    <w:rsid w:val="00A85EF3"/>
    <w:rsid w:val="00A86F18"/>
    <w:rsid w:val="00A90B5C"/>
    <w:rsid w:val="00A9159B"/>
    <w:rsid w:val="00A91F29"/>
    <w:rsid w:val="00A92426"/>
    <w:rsid w:val="00A928C6"/>
    <w:rsid w:val="00A92A46"/>
    <w:rsid w:val="00A93230"/>
    <w:rsid w:val="00A938F4"/>
    <w:rsid w:val="00A94188"/>
    <w:rsid w:val="00A94384"/>
    <w:rsid w:val="00A948D5"/>
    <w:rsid w:val="00A94924"/>
    <w:rsid w:val="00A94D5B"/>
    <w:rsid w:val="00A952F7"/>
    <w:rsid w:val="00A95C0E"/>
    <w:rsid w:val="00A95DB5"/>
    <w:rsid w:val="00A9757B"/>
    <w:rsid w:val="00A97971"/>
    <w:rsid w:val="00A97B4F"/>
    <w:rsid w:val="00AA01E3"/>
    <w:rsid w:val="00AA032A"/>
    <w:rsid w:val="00AA18DA"/>
    <w:rsid w:val="00AA1AE8"/>
    <w:rsid w:val="00AA1DB0"/>
    <w:rsid w:val="00AA218B"/>
    <w:rsid w:val="00AA21A3"/>
    <w:rsid w:val="00AA2D7E"/>
    <w:rsid w:val="00AA2F36"/>
    <w:rsid w:val="00AA30E8"/>
    <w:rsid w:val="00AA394F"/>
    <w:rsid w:val="00AA3DD2"/>
    <w:rsid w:val="00AA47D0"/>
    <w:rsid w:val="00AA5CC0"/>
    <w:rsid w:val="00AA600C"/>
    <w:rsid w:val="00AA6060"/>
    <w:rsid w:val="00AA6E7A"/>
    <w:rsid w:val="00AA74B3"/>
    <w:rsid w:val="00AA7ADD"/>
    <w:rsid w:val="00AB01E2"/>
    <w:rsid w:val="00AB0370"/>
    <w:rsid w:val="00AB09A5"/>
    <w:rsid w:val="00AB0D76"/>
    <w:rsid w:val="00AB1846"/>
    <w:rsid w:val="00AB1C6B"/>
    <w:rsid w:val="00AB1EAA"/>
    <w:rsid w:val="00AB2138"/>
    <w:rsid w:val="00AB2220"/>
    <w:rsid w:val="00AB2A18"/>
    <w:rsid w:val="00AB3C40"/>
    <w:rsid w:val="00AB42CB"/>
    <w:rsid w:val="00AB6963"/>
    <w:rsid w:val="00AB74E3"/>
    <w:rsid w:val="00AB77CE"/>
    <w:rsid w:val="00AC0D6B"/>
    <w:rsid w:val="00AC0FE4"/>
    <w:rsid w:val="00AC1BB3"/>
    <w:rsid w:val="00AC1F44"/>
    <w:rsid w:val="00AC2926"/>
    <w:rsid w:val="00AC2FF4"/>
    <w:rsid w:val="00AC3186"/>
    <w:rsid w:val="00AC35F7"/>
    <w:rsid w:val="00AC4240"/>
    <w:rsid w:val="00AC558C"/>
    <w:rsid w:val="00AC5658"/>
    <w:rsid w:val="00AC6098"/>
    <w:rsid w:val="00AC645B"/>
    <w:rsid w:val="00AC6AB4"/>
    <w:rsid w:val="00AC6CAC"/>
    <w:rsid w:val="00AC6FF5"/>
    <w:rsid w:val="00AD146C"/>
    <w:rsid w:val="00AD17DC"/>
    <w:rsid w:val="00AD1908"/>
    <w:rsid w:val="00AD1C2D"/>
    <w:rsid w:val="00AD25FB"/>
    <w:rsid w:val="00AD27EB"/>
    <w:rsid w:val="00AD282A"/>
    <w:rsid w:val="00AD2FD3"/>
    <w:rsid w:val="00AD332F"/>
    <w:rsid w:val="00AD351A"/>
    <w:rsid w:val="00AD3B7A"/>
    <w:rsid w:val="00AD49F3"/>
    <w:rsid w:val="00AD501E"/>
    <w:rsid w:val="00AD5CB8"/>
    <w:rsid w:val="00AD5E8B"/>
    <w:rsid w:val="00AD5F4C"/>
    <w:rsid w:val="00AD5F57"/>
    <w:rsid w:val="00AD7269"/>
    <w:rsid w:val="00AD78E7"/>
    <w:rsid w:val="00AE021F"/>
    <w:rsid w:val="00AE0741"/>
    <w:rsid w:val="00AE079A"/>
    <w:rsid w:val="00AE0AF9"/>
    <w:rsid w:val="00AE1CCD"/>
    <w:rsid w:val="00AE2CBD"/>
    <w:rsid w:val="00AE31F2"/>
    <w:rsid w:val="00AE3D0A"/>
    <w:rsid w:val="00AE4464"/>
    <w:rsid w:val="00AE473D"/>
    <w:rsid w:val="00AE49FB"/>
    <w:rsid w:val="00AE4CEC"/>
    <w:rsid w:val="00AE51AE"/>
    <w:rsid w:val="00AE620E"/>
    <w:rsid w:val="00AE630B"/>
    <w:rsid w:val="00AE641D"/>
    <w:rsid w:val="00AE6771"/>
    <w:rsid w:val="00AE71D9"/>
    <w:rsid w:val="00AE7C76"/>
    <w:rsid w:val="00AF243B"/>
    <w:rsid w:val="00AF2458"/>
    <w:rsid w:val="00AF2D28"/>
    <w:rsid w:val="00AF2E61"/>
    <w:rsid w:val="00AF4CA4"/>
    <w:rsid w:val="00AF546A"/>
    <w:rsid w:val="00AF5616"/>
    <w:rsid w:val="00AF56E3"/>
    <w:rsid w:val="00AF5CD8"/>
    <w:rsid w:val="00B00F0C"/>
    <w:rsid w:val="00B0163F"/>
    <w:rsid w:val="00B01EC4"/>
    <w:rsid w:val="00B02377"/>
    <w:rsid w:val="00B0276D"/>
    <w:rsid w:val="00B03EF4"/>
    <w:rsid w:val="00B040A4"/>
    <w:rsid w:val="00B04461"/>
    <w:rsid w:val="00B05CB2"/>
    <w:rsid w:val="00B05EC7"/>
    <w:rsid w:val="00B061DA"/>
    <w:rsid w:val="00B06D0B"/>
    <w:rsid w:val="00B10141"/>
    <w:rsid w:val="00B10517"/>
    <w:rsid w:val="00B10580"/>
    <w:rsid w:val="00B10630"/>
    <w:rsid w:val="00B10D5E"/>
    <w:rsid w:val="00B10D85"/>
    <w:rsid w:val="00B10F9F"/>
    <w:rsid w:val="00B11108"/>
    <w:rsid w:val="00B11358"/>
    <w:rsid w:val="00B12100"/>
    <w:rsid w:val="00B13077"/>
    <w:rsid w:val="00B13CF8"/>
    <w:rsid w:val="00B13FDC"/>
    <w:rsid w:val="00B14632"/>
    <w:rsid w:val="00B15162"/>
    <w:rsid w:val="00B15822"/>
    <w:rsid w:val="00B16817"/>
    <w:rsid w:val="00B168A8"/>
    <w:rsid w:val="00B16A65"/>
    <w:rsid w:val="00B17345"/>
    <w:rsid w:val="00B17AF9"/>
    <w:rsid w:val="00B21B24"/>
    <w:rsid w:val="00B21C99"/>
    <w:rsid w:val="00B226C8"/>
    <w:rsid w:val="00B2378C"/>
    <w:rsid w:val="00B26F98"/>
    <w:rsid w:val="00B27A7D"/>
    <w:rsid w:val="00B30C12"/>
    <w:rsid w:val="00B30D14"/>
    <w:rsid w:val="00B3199B"/>
    <w:rsid w:val="00B31BF3"/>
    <w:rsid w:val="00B320D1"/>
    <w:rsid w:val="00B32679"/>
    <w:rsid w:val="00B33B81"/>
    <w:rsid w:val="00B34235"/>
    <w:rsid w:val="00B3446C"/>
    <w:rsid w:val="00B34A94"/>
    <w:rsid w:val="00B35CA9"/>
    <w:rsid w:val="00B3662A"/>
    <w:rsid w:val="00B36E1E"/>
    <w:rsid w:val="00B4006E"/>
    <w:rsid w:val="00B402FA"/>
    <w:rsid w:val="00B4032B"/>
    <w:rsid w:val="00B4055C"/>
    <w:rsid w:val="00B40FEC"/>
    <w:rsid w:val="00B41D8D"/>
    <w:rsid w:val="00B4266A"/>
    <w:rsid w:val="00B428AA"/>
    <w:rsid w:val="00B42A6C"/>
    <w:rsid w:val="00B434B3"/>
    <w:rsid w:val="00B43F5F"/>
    <w:rsid w:val="00B444C5"/>
    <w:rsid w:val="00B44B5E"/>
    <w:rsid w:val="00B452F0"/>
    <w:rsid w:val="00B45B1D"/>
    <w:rsid w:val="00B464A4"/>
    <w:rsid w:val="00B46955"/>
    <w:rsid w:val="00B46B44"/>
    <w:rsid w:val="00B46B6E"/>
    <w:rsid w:val="00B50450"/>
    <w:rsid w:val="00B512EF"/>
    <w:rsid w:val="00B51C34"/>
    <w:rsid w:val="00B521B4"/>
    <w:rsid w:val="00B53088"/>
    <w:rsid w:val="00B5349F"/>
    <w:rsid w:val="00B53588"/>
    <w:rsid w:val="00B54343"/>
    <w:rsid w:val="00B5536E"/>
    <w:rsid w:val="00B55919"/>
    <w:rsid w:val="00B5646A"/>
    <w:rsid w:val="00B5716B"/>
    <w:rsid w:val="00B578AC"/>
    <w:rsid w:val="00B57C33"/>
    <w:rsid w:val="00B602EA"/>
    <w:rsid w:val="00B606A9"/>
    <w:rsid w:val="00B60F07"/>
    <w:rsid w:val="00B613DB"/>
    <w:rsid w:val="00B6279E"/>
    <w:rsid w:val="00B62C1F"/>
    <w:rsid w:val="00B63B8A"/>
    <w:rsid w:val="00B63CA2"/>
    <w:rsid w:val="00B64119"/>
    <w:rsid w:val="00B642CD"/>
    <w:rsid w:val="00B64971"/>
    <w:rsid w:val="00B6532C"/>
    <w:rsid w:val="00B65804"/>
    <w:rsid w:val="00B65A29"/>
    <w:rsid w:val="00B6606C"/>
    <w:rsid w:val="00B6617F"/>
    <w:rsid w:val="00B6633E"/>
    <w:rsid w:val="00B66506"/>
    <w:rsid w:val="00B66677"/>
    <w:rsid w:val="00B667D6"/>
    <w:rsid w:val="00B66CC2"/>
    <w:rsid w:val="00B66D5F"/>
    <w:rsid w:val="00B67BFA"/>
    <w:rsid w:val="00B70180"/>
    <w:rsid w:val="00B701F0"/>
    <w:rsid w:val="00B70B69"/>
    <w:rsid w:val="00B70F82"/>
    <w:rsid w:val="00B727C7"/>
    <w:rsid w:val="00B73024"/>
    <w:rsid w:val="00B7385A"/>
    <w:rsid w:val="00B73E58"/>
    <w:rsid w:val="00B74024"/>
    <w:rsid w:val="00B74B78"/>
    <w:rsid w:val="00B74DB4"/>
    <w:rsid w:val="00B75FD6"/>
    <w:rsid w:val="00B76183"/>
    <w:rsid w:val="00B770E7"/>
    <w:rsid w:val="00B776D8"/>
    <w:rsid w:val="00B7792C"/>
    <w:rsid w:val="00B80D1B"/>
    <w:rsid w:val="00B82162"/>
    <w:rsid w:val="00B832AF"/>
    <w:rsid w:val="00B834E7"/>
    <w:rsid w:val="00B83FD2"/>
    <w:rsid w:val="00B84026"/>
    <w:rsid w:val="00B841EE"/>
    <w:rsid w:val="00B85EBD"/>
    <w:rsid w:val="00B86643"/>
    <w:rsid w:val="00B866DD"/>
    <w:rsid w:val="00B90508"/>
    <w:rsid w:val="00B90DEF"/>
    <w:rsid w:val="00B90EFD"/>
    <w:rsid w:val="00B91718"/>
    <w:rsid w:val="00B91953"/>
    <w:rsid w:val="00B91DBE"/>
    <w:rsid w:val="00B921F2"/>
    <w:rsid w:val="00B92574"/>
    <w:rsid w:val="00B92713"/>
    <w:rsid w:val="00B92BBD"/>
    <w:rsid w:val="00B9365B"/>
    <w:rsid w:val="00B9397A"/>
    <w:rsid w:val="00B93D61"/>
    <w:rsid w:val="00B9424D"/>
    <w:rsid w:val="00B94351"/>
    <w:rsid w:val="00B950E9"/>
    <w:rsid w:val="00B9592B"/>
    <w:rsid w:val="00B95AD2"/>
    <w:rsid w:val="00B96992"/>
    <w:rsid w:val="00B96E0E"/>
    <w:rsid w:val="00B97407"/>
    <w:rsid w:val="00B975B9"/>
    <w:rsid w:val="00B97B50"/>
    <w:rsid w:val="00BA0104"/>
    <w:rsid w:val="00BA0288"/>
    <w:rsid w:val="00BA0292"/>
    <w:rsid w:val="00BA0F28"/>
    <w:rsid w:val="00BA1060"/>
    <w:rsid w:val="00BA11BC"/>
    <w:rsid w:val="00BA11F4"/>
    <w:rsid w:val="00BA1341"/>
    <w:rsid w:val="00BA194F"/>
    <w:rsid w:val="00BA1FE5"/>
    <w:rsid w:val="00BA40AF"/>
    <w:rsid w:val="00BA4A68"/>
    <w:rsid w:val="00BA51F7"/>
    <w:rsid w:val="00BA600B"/>
    <w:rsid w:val="00BA734C"/>
    <w:rsid w:val="00BA7F0F"/>
    <w:rsid w:val="00BB0CC0"/>
    <w:rsid w:val="00BB16D1"/>
    <w:rsid w:val="00BB273A"/>
    <w:rsid w:val="00BB5BDE"/>
    <w:rsid w:val="00BB6181"/>
    <w:rsid w:val="00BB6DF7"/>
    <w:rsid w:val="00BB7211"/>
    <w:rsid w:val="00BB751C"/>
    <w:rsid w:val="00BB7682"/>
    <w:rsid w:val="00BB7C4D"/>
    <w:rsid w:val="00BC03C5"/>
    <w:rsid w:val="00BC14B6"/>
    <w:rsid w:val="00BC1624"/>
    <w:rsid w:val="00BC22F9"/>
    <w:rsid w:val="00BC3143"/>
    <w:rsid w:val="00BC3C4F"/>
    <w:rsid w:val="00BC3F0E"/>
    <w:rsid w:val="00BC4039"/>
    <w:rsid w:val="00BC430C"/>
    <w:rsid w:val="00BC436D"/>
    <w:rsid w:val="00BC4816"/>
    <w:rsid w:val="00BC4A3F"/>
    <w:rsid w:val="00BC5238"/>
    <w:rsid w:val="00BC5574"/>
    <w:rsid w:val="00BC59BB"/>
    <w:rsid w:val="00BC5CE8"/>
    <w:rsid w:val="00BC604F"/>
    <w:rsid w:val="00BC6EE5"/>
    <w:rsid w:val="00BC7110"/>
    <w:rsid w:val="00BD04AE"/>
    <w:rsid w:val="00BD1646"/>
    <w:rsid w:val="00BD1FDC"/>
    <w:rsid w:val="00BD298F"/>
    <w:rsid w:val="00BD2D2B"/>
    <w:rsid w:val="00BD4A4F"/>
    <w:rsid w:val="00BD4ADF"/>
    <w:rsid w:val="00BD5779"/>
    <w:rsid w:val="00BD5857"/>
    <w:rsid w:val="00BD6283"/>
    <w:rsid w:val="00BD62F3"/>
    <w:rsid w:val="00BD64DE"/>
    <w:rsid w:val="00BD78E3"/>
    <w:rsid w:val="00BD7D20"/>
    <w:rsid w:val="00BE025A"/>
    <w:rsid w:val="00BE044F"/>
    <w:rsid w:val="00BE0A99"/>
    <w:rsid w:val="00BE0BE9"/>
    <w:rsid w:val="00BE13F6"/>
    <w:rsid w:val="00BE1E35"/>
    <w:rsid w:val="00BE20CD"/>
    <w:rsid w:val="00BE2310"/>
    <w:rsid w:val="00BE35BF"/>
    <w:rsid w:val="00BE4312"/>
    <w:rsid w:val="00BE4A11"/>
    <w:rsid w:val="00BE4E13"/>
    <w:rsid w:val="00BE593D"/>
    <w:rsid w:val="00BE5DE1"/>
    <w:rsid w:val="00BE6B0A"/>
    <w:rsid w:val="00BE7585"/>
    <w:rsid w:val="00BE7873"/>
    <w:rsid w:val="00BE78F1"/>
    <w:rsid w:val="00BF001E"/>
    <w:rsid w:val="00BF0336"/>
    <w:rsid w:val="00BF05DB"/>
    <w:rsid w:val="00BF0A29"/>
    <w:rsid w:val="00BF0BA7"/>
    <w:rsid w:val="00BF0BF8"/>
    <w:rsid w:val="00BF10BA"/>
    <w:rsid w:val="00BF15A3"/>
    <w:rsid w:val="00BF1C23"/>
    <w:rsid w:val="00BF2399"/>
    <w:rsid w:val="00BF2E29"/>
    <w:rsid w:val="00BF31AC"/>
    <w:rsid w:val="00BF3929"/>
    <w:rsid w:val="00BF3C49"/>
    <w:rsid w:val="00BF5626"/>
    <w:rsid w:val="00BF6096"/>
    <w:rsid w:val="00BF6C44"/>
    <w:rsid w:val="00BF7545"/>
    <w:rsid w:val="00C004AD"/>
    <w:rsid w:val="00C008BC"/>
    <w:rsid w:val="00C00B49"/>
    <w:rsid w:val="00C01202"/>
    <w:rsid w:val="00C02714"/>
    <w:rsid w:val="00C03088"/>
    <w:rsid w:val="00C0314F"/>
    <w:rsid w:val="00C03281"/>
    <w:rsid w:val="00C03DC7"/>
    <w:rsid w:val="00C04679"/>
    <w:rsid w:val="00C04D73"/>
    <w:rsid w:val="00C05659"/>
    <w:rsid w:val="00C05C5E"/>
    <w:rsid w:val="00C066C1"/>
    <w:rsid w:val="00C06A3A"/>
    <w:rsid w:val="00C070A8"/>
    <w:rsid w:val="00C07437"/>
    <w:rsid w:val="00C1039C"/>
    <w:rsid w:val="00C10EEF"/>
    <w:rsid w:val="00C1194B"/>
    <w:rsid w:val="00C11DF5"/>
    <w:rsid w:val="00C120CD"/>
    <w:rsid w:val="00C127E8"/>
    <w:rsid w:val="00C12BC9"/>
    <w:rsid w:val="00C12F17"/>
    <w:rsid w:val="00C12FE5"/>
    <w:rsid w:val="00C13DE0"/>
    <w:rsid w:val="00C1400B"/>
    <w:rsid w:val="00C15403"/>
    <w:rsid w:val="00C162CB"/>
    <w:rsid w:val="00C166DC"/>
    <w:rsid w:val="00C173C9"/>
    <w:rsid w:val="00C176C6"/>
    <w:rsid w:val="00C204FD"/>
    <w:rsid w:val="00C207AA"/>
    <w:rsid w:val="00C2177D"/>
    <w:rsid w:val="00C21DC4"/>
    <w:rsid w:val="00C22675"/>
    <w:rsid w:val="00C23054"/>
    <w:rsid w:val="00C2316A"/>
    <w:rsid w:val="00C232D9"/>
    <w:rsid w:val="00C23473"/>
    <w:rsid w:val="00C237EA"/>
    <w:rsid w:val="00C23BAA"/>
    <w:rsid w:val="00C2490D"/>
    <w:rsid w:val="00C249A3"/>
    <w:rsid w:val="00C249CF"/>
    <w:rsid w:val="00C25215"/>
    <w:rsid w:val="00C25C86"/>
    <w:rsid w:val="00C261DA"/>
    <w:rsid w:val="00C26DC5"/>
    <w:rsid w:val="00C310AB"/>
    <w:rsid w:val="00C31409"/>
    <w:rsid w:val="00C32590"/>
    <w:rsid w:val="00C3426F"/>
    <w:rsid w:val="00C34297"/>
    <w:rsid w:val="00C3436F"/>
    <w:rsid w:val="00C34C25"/>
    <w:rsid w:val="00C35613"/>
    <w:rsid w:val="00C3564D"/>
    <w:rsid w:val="00C36124"/>
    <w:rsid w:val="00C375C1"/>
    <w:rsid w:val="00C37966"/>
    <w:rsid w:val="00C41759"/>
    <w:rsid w:val="00C42CFD"/>
    <w:rsid w:val="00C43988"/>
    <w:rsid w:val="00C43DAB"/>
    <w:rsid w:val="00C44DB4"/>
    <w:rsid w:val="00C44E52"/>
    <w:rsid w:val="00C455AD"/>
    <w:rsid w:val="00C45AEB"/>
    <w:rsid w:val="00C4690F"/>
    <w:rsid w:val="00C46931"/>
    <w:rsid w:val="00C473DB"/>
    <w:rsid w:val="00C47C50"/>
    <w:rsid w:val="00C47E87"/>
    <w:rsid w:val="00C47F09"/>
    <w:rsid w:val="00C506D6"/>
    <w:rsid w:val="00C50FA6"/>
    <w:rsid w:val="00C52DA3"/>
    <w:rsid w:val="00C53115"/>
    <w:rsid w:val="00C5342F"/>
    <w:rsid w:val="00C53597"/>
    <w:rsid w:val="00C536A3"/>
    <w:rsid w:val="00C53B13"/>
    <w:rsid w:val="00C54BF0"/>
    <w:rsid w:val="00C55072"/>
    <w:rsid w:val="00C55E5E"/>
    <w:rsid w:val="00C578EA"/>
    <w:rsid w:val="00C60300"/>
    <w:rsid w:val="00C60E6C"/>
    <w:rsid w:val="00C6198D"/>
    <w:rsid w:val="00C61B20"/>
    <w:rsid w:val="00C61CED"/>
    <w:rsid w:val="00C62ACC"/>
    <w:rsid w:val="00C62C43"/>
    <w:rsid w:val="00C62D77"/>
    <w:rsid w:val="00C62F5C"/>
    <w:rsid w:val="00C6369F"/>
    <w:rsid w:val="00C63875"/>
    <w:rsid w:val="00C63B9E"/>
    <w:rsid w:val="00C63E1D"/>
    <w:rsid w:val="00C64363"/>
    <w:rsid w:val="00C65334"/>
    <w:rsid w:val="00C653D5"/>
    <w:rsid w:val="00C670F9"/>
    <w:rsid w:val="00C6741E"/>
    <w:rsid w:val="00C67472"/>
    <w:rsid w:val="00C675AA"/>
    <w:rsid w:val="00C67E76"/>
    <w:rsid w:val="00C70632"/>
    <w:rsid w:val="00C70E7B"/>
    <w:rsid w:val="00C7158C"/>
    <w:rsid w:val="00C71782"/>
    <w:rsid w:val="00C71BD2"/>
    <w:rsid w:val="00C724CC"/>
    <w:rsid w:val="00C72FEE"/>
    <w:rsid w:val="00C73416"/>
    <w:rsid w:val="00C73582"/>
    <w:rsid w:val="00C73931"/>
    <w:rsid w:val="00C744D8"/>
    <w:rsid w:val="00C74CD5"/>
    <w:rsid w:val="00C750E2"/>
    <w:rsid w:val="00C7518D"/>
    <w:rsid w:val="00C754DA"/>
    <w:rsid w:val="00C75E03"/>
    <w:rsid w:val="00C767CA"/>
    <w:rsid w:val="00C76A03"/>
    <w:rsid w:val="00C76F3D"/>
    <w:rsid w:val="00C770F2"/>
    <w:rsid w:val="00C777C5"/>
    <w:rsid w:val="00C77E71"/>
    <w:rsid w:val="00C77FC2"/>
    <w:rsid w:val="00C804BC"/>
    <w:rsid w:val="00C80598"/>
    <w:rsid w:val="00C81A22"/>
    <w:rsid w:val="00C825FF"/>
    <w:rsid w:val="00C82F4A"/>
    <w:rsid w:val="00C83003"/>
    <w:rsid w:val="00C83879"/>
    <w:rsid w:val="00C847B5"/>
    <w:rsid w:val="00C84DD4"/>
    <w:rsid w:val="00C85FBD"/>
    <w:rsid w:val="00C86425"/>
    <w:rsid w:val="00C86B06"/>
    <w:rsid w:val="00C86CF2"/>
    <w:rsid w:val="00C86DE8"/>
    <w:rsid w:val="00C8731A"/>
    <w:rsid w:val="00C90653"/>
    <w:rsid w:val="00C907C7"/>
    <w:rsid w:val="00C90879"/>
    <w:rsid w:val="00C90BEE"/>
    <w:rsid w:val="00C91400"/>
    <w:rsid w:val="00C92657"/>
    <w:rsid w:val="00C941A7"/>
    <w:rsid w:val="00C94CC2"/>
    <w:rsid w:val="00C94F34"/>
    <w:rsid w:val="00C953DC"/>
    <w:rsid w:val="00C96FBC"/>
    <w:rsid w:val="00C97CBB"/>
    <w:rsid w:val="00C97FEB"/>
    <w:rsid w:val="00CA0B23"/>
    <w:rsid w:val="00CA1867"/>
    <w:rsid w:val="00CA217D"/>
    <w:rsid w:val="00CA2527"/>
    <w:rsid w:val="00CA2C24"/>
    <w:rsid w:val="00CA388F"/>
    <w:rsid w:val="00CA46DF"/>
    <w:rsid w:val="00CA53D9"/>
    <w:rsid w:val="00CA557B"/>
    <w:rsid w:val="00CA5A44"/>
    <w:rsid w:val="00CA5F93"/>
    <w:rsid w:val="00CA65C6"/>
    <w:rsid w:val="00CA6BA5"/>
    <w:rsid w:val="00CA7574"/>
    <w:rsid w:val="00CB016E"/>
    <w:rsid w:val="00CB040E"/>
    <w:rsid w:val="00CB0AD2"/>
    <w:rsid w:val="00CB1820"/>
    <w:rsid w:val="00CB1945"/>
    <w:rsid w:val="00CB1A9E"/>
    <w:rsid w:val="00CB1F0F"/>
    <w:rsid w:val="00CB202C"/>
    <w:rsid w:val="00CB223F"/>
    <w:rsid w:val="00CB2429"/>
    <w:rsid w:val="00CB2792"/>
    <w:rsid w:val="00CB3F78"/>
    <w:rsid w:val="00CB40D7"/>
    <w:rsid w:val="00CB416C"/>
    <w:rsid w:val="00CB455D"/>
    <w:rsid w:val="00CB489C"/>
    <w:rsid w:val="00CB50B4"/>
    <w:rsid w:val="00CB6419"/>
    <w:rsid w:val="00CB6AD1"/>
    <w:rsid w:val="00CB6EEB"/>
    <w:rsid w:val="00CB7728"/>
    <w:rsid w:val="00CB7AB5"/>
    <w:rsid w:val="00CC0605"/>
    <w:rsid w:val="00CC1189"/>
    <w:rsid w:val="00CC1B95"/>
    <w:rsid w:val="00CC1E20"/>
    <w:rsid w:val="00CC2138"/>
    <w:rsid w:val="00CC2323"/>
    <w:rsid w:val="00CC26CF"/>
    <w:rsid w:val="00CC2D7F"/>
    <w:rsid w:val="00CC46EA"/>
    <w:rsid w:val="00CC4ED2"/>
    <w:rsid w:val="00CC6137"/>
    <w:rsid w:val="00CC66BC"/>
    <w:rsid w:val="00CC6B40"/>
    <w:rsid w:val="00CC717A"/>
    <w:rsid w:val="00CD0074"/>
    <w:rsid w:val="00CD03DE"/>
    <w:rsid w:val="00CD05E3"/>
    <w:rsid w:val="00CD0671"/>
    <w:rsid w:val="00CD0714"/>
    <w:rsid w:val="00CD245D"/>
    <w:rsid w:val="00CD280A"/>
    <w:rsid w:val="00CD2D8E"/>
    <w:rsid w:val="00CD336C"/>
    <w:rsid w:val="00CD3E87"/>
    <w:rsid w:val="00CD3ED6"/>
    <w:rsid w:val="00CD4515"/>
    <w:rsid w:val="00CD49F8"/>
    <w:rsid w:val="00CD4C1B"/>
    <w:rsid w:val="00CD5175"/>
    <w:rsid w:val="00CD5C52"/>
    <w:rsid w:val="00CD68CB"/>
    <w:rsid w:val="00CD6C62"/>
    <w:rsid w:val="00CD6D56"/>
    <w:rsid w:val="00CE00C9"/>
    <w:rsid w:val="00CE03B8"/>
    <w:rsid w:val="00CE19D0"/>
    <w:rsid w:val="00CE200F"/>
    <w:rsid w:val="00CE2282"/>
    <w:rsid w:val="00CE2A21"/>
    <w:rsid w:val="00CE32A0"/>
    <w:rsid w:val="00CE3741"/>
    <w:rsid w:val="00CE491B"/>
    <w:rsid w:val="00CE4BBE"/>
    <w:rsid w:val="00CE4F33"/>
    <w:rsid w:val="00CE5A5C"/>
    <w:rsid w:val="00CE6182"/>
    <w:rsid w:val="00CE6316"/>
    <w:rsid w:val="00CE654E"/>
    <w:rsid w:val="00CE6D38"/>
    <w:rsid w:val="00CE7948"/>
    <w:rsid w:val="00CF0E37"/>
    <w:rsid w:val="00CF19F2"/>
    <w:rsid w:val="00CF1BEA"/>
    <w:rsid w:val="00CF2BC1"/>
    <w:rsid w:val="00CF2BC6"/>
    <w:rsid w:val="00CF2EEB"/>
    <w:rsid w:val="00CF3C17"/>
    <w:rsid w:val="00CF503B"/>
    <w:rsid w:val="00CF5FF4"/>
    <w:rsid w:val="00CF62CA"/>
    <w:rsid w:val="00CF6CA9"/>
    <w:rsid w:val="00CF6ECE"/>
    <w:rsid w:val="00CF70DB"/>
    <w:rsid w:val="00CF792D"/>
    <w:rsid w:val="00D006ED"/>
    <w:rsid w:val="00D00D48"/>
    <w:rsid w:val="00D01233"/>
    <w:rsid w:val="00D01278"/>
    <w:rsid w:val="00D012D8"/>
    <w:rsid w:val="00D015BC"/>
    <w:rsid w:val="00D015E5"/>
    <w:rsid w:val="00D02A18"/>
    <w:rsid w:val="00D02D81"/>
    <w:rsid w:val="00D02F2C"/>
    <w:rsid w:val="00D03A21"/>
    <w:rsid w:val="00D03F5F"/>
    <w:rsid w:val="00D04401"/>
    <w:rsid w:val="00D0484E"/>
    <w:rsid w:val="00D050D4"/>
    <w:rsid w:val="00D05BC5"/>
    <w:rsid w:val="00D06026"/>
    <w:rsid w:val="00D07A8A"/>
    <w:rsid w:val="00D10256"/>
    <w:rsid w:val="00D1052A"/>
    <w:rsid w:val="00D10AAE"/>
    <w:rsid w:val="00D10E1C"/>
    <w:rsid w:val="00D11562"/>
    <w:rsid w:val="00D12044"/>
    <w:rsid w:val="00D12DDE"/>
    <w:rsid w:val="00D14289"/>
    <w:rsid w:val="00D1431C"/>
    <w:rsid w:val="00D14DBC"/>
    <w:rsid w:val="00D1519B"/>
    <w:rsid w:val="00D169AF"/>
    <w:rsid w:val="00D16B94"/>
    <w:rsid w:val="00D172C9"/>
    <w:rsid w:val="00D17614"/>
    <w:rsid w:val="00D17EAF"/>
    <w:rsid w:val="00D21B82"/>
    <w:rsid w:val="00D21C91"/>
    <w:rsid w:val="00D220D7"/>
    <w:rsid w:val="00D2287C"/>
    <w:rsid w:val="00D22BD1"/>
    <w:rsid w:val="00D22C5D"/>
    <w:rsid w:val="00D23138"/>
    <w:rsid w:val="00D23CBD"/>
    <w:rsid w:val="00D240EB"/>
    <w:rsid w:val="00D2510E"/>
    <w:rsid w:val="00D25F9E"/>
    <w:rsid w:val="00D26210"/>
    <w:rsid w:val="00D26619"/>
    <w:rsid w:val="00D27C5A"/>
    <w:rsid w:val="00D27E20"/>
    <w:rsid w:val="00D3131B"/>
    <w:rsid w:val="00D31798"/>
    <w:rsid w:val="00D31CEC"/>
    <w:rsid w:val="00D321E5"/>
    <w:rsid w:val="00D3271C"/>
    <w:rsid w:val="00D33599"/>
    <w:rsid w:val="00D345C4"/>
    <w:rsid w:val="00D34863"/>
    <w:rsid w:val="00D35D14"/>
    <w:rsid w:val="00D36B2F"/>
    <w:rsid w:val="00D372CE"/>
    <w:rsid w:val="00D37D8F"/>
    <w:rsid w:val="00D409D0"/>
    <w:rsid w:val="00D42BED"/>
    <w:rsid w:val="00D43592"/>
    <w:rsid w:val="00D435DE"/>
    <w:rsid w:val="00D44066"/>
    <w:rsid w:val="00D450CA"/>
    <w:rsid w:val="00D455CF"/>
    <w:rsid w:val="00D45924"/>
    <w:rsid w:val="00D45A4C"/>
    <w:rsid w:val="00D45C08"/>
    <w:rsid w:val="00D45C5A"/>
    <w:rsid w:val="00D4698D"/>
    <w:rsid w:val="00D475D6"/>
    <w:rsid w:val="00D502C1"/>
    <w:rsid w:val="00D50A25"/>
    <w:rsid w:val="00D50EF0"/>
    <w:rsid w:val="00D51D1C"/>
    <w:rsid w:val="00D51D97"/>
    <w:rsid w:val="00D533AF"/>
    <w:rsid w:val="00D53DA3"/>
    <w:rsid w:val="00D53F02"/>
    <w:rsid w:val="00D549B2"/>
    <w:rsid w:val="00D550C6"/>
    <w:rsid w:val="00D559AB"/>
    <w:rsid w:val="00D564FA"/>
    <w:rsid w:val="00D56917"/>
    <w:rsid w:val="00D56E93"/>
    <w:rsid w:val="00D56F47"/>
    <w:rsid w:val="00D574FA"/>
    <w:rsid w:val="00D57C65"/>
    <w:rsid w:val="00D60296"/>
    <w:rsid w:val="00D60F7B"/>
    <w:rsid w:val="00D614AF"/>
    <w:rsid w:val="00D615CC"/>
    <w:rsid w:val="00D61AC8"/>
    <w:rsid w:val="00D62028"/>
    <w:rsid w:val="00D622FB"/>
    <w:rsid w:val="00D62A29"/>
    <w:rsid w:val="00D62B36"/>
    <w:rsid w:val="00D6385E"/>
    <w:rsid w:val="00D64908"/>
    <w:rsid w:val="00D65897"/>
    <w:rsid w:val="00D66B20"/>
    <w:rsid w:val="00D67287"/>
    <w:rsid w:val="00D67297"/>
    <w:rsid w:val="00D67DC0"/>
    <w:rsid w:val="00D701F0"/>
    <w:rsid w:val="00D704AA"/>
    <w:rsid w:val="00D70CBC"/>
    <w:rsid w:val="00D72528"/>
    <w:rsid w:val="00D726DD"/>
    <w:rsid w:val="00D72AA9"/>
    <w:rsid w:val="00D72F50"/>
    <w:rsid w:val="00D73351"/>
    <w:rsid w:val="00D73C36"/>
    <w:rsid w:val="00D73C70"/>
    <w:rsid w:val="00D7499A"/>
    <w:rsid w:val="00D75F39"/>
    <w:rsid w:val="00D76333"/>
    <w:rsid w:val="00D764FD"/>
    <w:rsid w:val="00D768BE"/>
    <w:rsid w:val="00D76F02"/>
    <w:rsid w:val="00D772D2"/>
    <w:rsid w:val="00D7746F"/>
    <w:rsid w:val="00D777C9"/>
    <w:rsid w:val="00D77BCA"/>
    <w:rsid w:val="00D77CDB"/>
    <w:rsid w:val="00D806FC"/>
    <w:rsid w:val="00D80BCF"/>
    <w:rsid w:val="00D8117C"/>
    <w:rsid w:val="00D81966"/>
    <w:rsid w:val="00D821DA"/>
    <w:rsid w:val="00D838F2"/>
    <w:rsid w:val="00D841DC"/>
    <w:rsid w:val="00D84936"/>
    <w:rsid w:val="00D85BF2"/>
    <w:rsid w:val="00D866DA"/>
    <w:rsid w:val="00D871FF"/>
    <w:rsid w:val="00D87978"/>
    <w:rsid w:val="00D90557"/>
    <w:rsid w:val="00D9061E"/>
    <w:rsid w:val="00D91621"/>
    <w:rsid w:val="00D91900"/>
    <w:rsid w:val="00D95CE1"/>
    <w:rsid w:val="00D95EA4"/>
    <w:rsid w:val="00D97BD7"/>
    <w:rsid w:val="00DA109A"/>
    <w:rsid w:val="00DA26EA"/>
    <w:rsid w:val="00DA388C"/>
    <w:rsid w:val="00DA38B8"/>
    <w:rsid w:val="00DA3C4E"/>
    <w:rsid w:val="00DA5201"/>
    <w:rsid w:val="00DA66C6"/>
    <w:rsid w:val="00DA6F93"/>
    <w:rsid w:val="00DA7155"/>
    <w:rsid w:val="00DA73E6"/>
    <w:rsid w:val="00DA7C2B"/>
    <w:rsid w:val="00DA7ED7"/>
    <w:rsid w:val="00DB03B4"/>
    <w:rsid w:val="00DB18F8"/>
    <w:rsid w:val="00DB3057"/>
    <w:rsid w:val="00DB490E"/>
    <w:rsid w:val="00DB5986"/>
    <w:rsid w:val="00DB5B4D"/>
    <w:rsid w:val="00DB6262"/>
    <w:rsid w:val="00DB6AFD"/>
    <w:rsid w:val="00DB6B03"/>
    <w:rsid w:val="00DB7406"/>
    <w:rsid w:val="00DB7D45"/>
    <w:rsid w:val="00DC055F"/>
    <w:rsid w:val="00DC05BE"/>
    <w:rsid w:val="00DC13C3"/>
    <w:rsid w:val="00DC168B"/>
    <w:rsid w:val="00DC28D3"/>
    <w:rsid w:val="00DC2AB1"/>
    <w:rsid w:val="00DC2FE1"/>
    <w:rsid w:val="00DC31C1"/>
    <w:rsid w:val="00DC3BD4"/>
    <w:rsid w:val="00DC4680"/>
    <w:rsid w:val="00DC4766"/>
    <w:rsid w:val="00DC4847"/>
    <w:rsid w:val="00DC4ED4"/>
    <w:rsid w:val="00DC5031"/>
    <w:rsid w:val="00DC5434"/>
    <w:rsid w:val="00DC631E"/>
    <w:rsid w:val="00DC6DFB"/>
    <w:rsid w:val="00DC6E88"/>
    <w:rsid w:val="00DD0398"/>
    <w:rsid w:val="00DD0DC1"/>
    <w:rsid w:val="00DD11C9"/>
    <w:rsid w:val="00DD17B8"/>
    <w:rsid w:val="00DD2C20"/>
    <w:rsid w:val="00DD34F3"/>
    <w:rsid w:val="00DD3F0F"/>
    <w:rsid w:val="00DD4645"/>
    <w:rsid w:val="00DD4741"/>
    <w:rsid w:val="00DD64E5"/>
    <w:rsid w:val="00DD68F3"/>
    <w:rsid w:val="00DD6924"/>
    <w:rsid w:val="00DD6A67"/>
    <w:rsid w:val="00DD7712"/>
    <w:rsid w:val="00DD77D1"/>
    <w:rsid w:val="00DD7AF6"/>
    <w:rsid w:val="00DE0B68"/>
    <w:rsid w:val="00DE1AE5"/>
    <w:rsid w:val="00DE2565"/>
    <w:rsid w:val="00DE2835"/>
    <w:rsid w:val="00DE2BE8"/>
    <w:rsid w:val="00DE3259"/>
    <w:rsid w:val="00DE423D"/>
    <w:rsid w:val="00DE4372"/>
    <w:rsid w:val="00DE47A1"/>
    <w:rsid w:val="00DE6AD5"/>
    <w:rsid w:val="00DE6BFF"/>
    <w:rsid w:val="00DE70AD"/>
    <w:rsid w:val="00DE7C56"/>
    <w:rsid w:val="00DF0042"/>
    <w:rsid w:val="00DF110E"/>
    <w:rsid w:val="00DF15D0"/>
    <w:rsid w:val="00DF218E"/>
    <w:rsid w:val="00DF29C5"/>
    <w:rsid w:val="00DF3DCA"/>
    <w:rsid w:val="00DF4DC8"/>
    <w:rsid w:val="00DF5240"/>
    <w:rsid w:val="00DF6339"/>
    <w:rsid w:val="00DF6568"/>
    <w:rsid w:val="00DF712C"/>
    <w:rsid w:val="00DF7180"/>
    <w:rsid w:val="00E006B5"/>
    <w:rsid w:val="00E01424"/>
    <w:rsid w:val="00E017AF"/>
    <w:rsid w:val="00E02470"/>
    <w:rsid w:val="00E024EC"/>
    <w:rsid w:val="00E02A59"/>
    <w:rsid w:val="00E03670"/>
    <w:rsid w:val="00E03842"/>
    <w:rsid w:val="00E0417A"/>
    <w:rsid w:val="00E0428B"/>
    <w:rsid w:val="00E04EBB"/>
    <w:rsid w:val="00E057B9"/>
    <w:rsid w:val="00E0692D"/>
    <w:rsid w:val="00E106D1"/>
    <w:rsid w:val="00E10AE6"/>
    <w:rsid w:val="00E10DD8"/>
    <w:rsid w:val="00E10F9C"/>
    <w:rsid w:val="00E113B9"/>
    <w:rsid w:val="00E118FF"/>
    <w:rsid w:val="00E11BEE"/>
    <w:rsid w:val="00E14483"/>
    <w:rsid w:val="00E1500B"/>
    <w:rsid w:val="00E16060"/>
    <w:rsid w:val="00E16BE6"/>
    <w:rsid w:val="00E1746C"/>
    <w:rsid w:val="00E201E9"/>
    <w:rsid w:val="00E20477"/>
    <w:rsid w:val="00E2054B"/>
    <w:rsid w:val="00E2256F"/>
    <w:rsid w:val="00E234AE"/>
    <w:rsid w:val="00E2496D"/>
    <w:rsid w:val="00E24AC6"/>
    <w:rsid w:val="00E25976"/>
    <w:rsid w:val="00E25E01"/>
    <w:rsid w:val="00E2608A"/>
    <w:rsid w:val="00E27250"/>
    <w:rsid w:val="00E27854"/>
    <w:rsid w:val="00E27948"/>
    <w:rsid w:val="00E279C7"/>
    <w:rsid w:val="00E27A03"/>
    <w:rsid w:val="00E30216"/>
    <w:rsid w:val="00E30630"/>
    <w:rsid w:val="00E306B3"/>
    <w:rsid w:val="00E31516"/>
    <w:rsid w:val="00E32818"/>
    <w:rsid w:val="00E32E88"/>
    <w:rsid w:val="00E333AA"/>
    <w:rsid w:val="00E33C56"/>
    <w:rsid w:val="00E344B0"/>
    <w:rsid w:val="00E3550E"/>
    <w:rsid w:val="00E37CB2"/>
    <w:rsid w:val="00E413C0"/>
    <w:rsid w:val="00E416C8"/>
    <w:rsid w:val="00E41D14"/>
    <w:rsid w:val="00E427A8"/>
    <w:rsid w:val="00E42F52"/>
    <w:rsid w:val="00E43EF6"/>
    <w:rsid w:val="00E4422C"/>
    <w:rsid w:val="00E44B0C"/>
    <w:rsid w:val="00E45750"/>
    <w:rsid w:val="00E460BF"/>
    <w:rsid w:val="00E4646F"/>
    <w:rsid w:val="00E469BE"/>
    <w:rsid w:val="00E46B96"/>
    <w:rsid w:val="00E47729"/>
    <w:rsid w:val="00E47FBA"/>
    <w:rsid w:val="00E50659"/>
    <w:rsid w:val="00E51BC3"/>
    <w:rsid w:val="00E5296D"/>
    <w:rsid w:val="00E53B31"/>
    <w:rsid w:val="00E53F8A"/>
    <w:rsid w:val="00E5475B"/>
    <w:rsid w:val="00E54F06"/>
    <w:rsid w:val="00E5506B"/>
    <w:rsid w:val="00E555DB"/>
    <w:rsid w:val="00E55EFC"/>
    <w:rsid w:val="00E56062"/>
    <w:rsid w:val="00E568A2"/>
    <w:rsid w:val="00E56975"/>
    <w:rsid w:val="00E57085"/>
    <w:rsid w:val="00E57EB2"/>
    <w:rsid w:val="00E603CC"/>
    <w:rsid w:val="00E60484"/>
    <w:rsid w:val="00E60B8F"/>
    <w:rsid w:val="00E60C5E"/>
    <w:rsid w:val="00E61FD6"/>
    <w:rsid w:val="00E6211B"/>
    <w:rsid w:val="00E62A4E"/>
    <w:rsid w:val="00E62FA2"/>
    <w:rsid w:val="00E64439"/>
    <w:rsid w:val="00E6467B"/>
    <w:rsid w:val="00E646A4"/>
    <w:rsid w:val="00E64706"/>
    <w:rsid w:val="00E648C5"/>
    <w:rsid w:val="00E66A6F"/>
    <w:rsid w:val="00E66CD9"/>
    <w:rsid w:val="00E66F5C"/>
    <w:rsid w:val="00E67478"/>
    <w:rsid w:val="00E7021F"/>
    <w:rsid w:val="00E71250"/>
    <w:rsid w:val="00E718E6"/>
    <w:rsid w:val="00E725BA"/>
    <w:rsid w:val="00E73413"/>
    <w:rsid w:val="00E734ED"/>
    <w:rsid w:val="00E74519"/>
    <w:rsid w:val="00E7468F"/>
    <w:rsid w:val="00E74A5A"/>
    <w:rsid w:val="00E750BC"/>
    <w:rsid w:val="00E751FF"/>
    <w:rsid w:val="00E764CA"/>
    <w:rsid w:val="00E76C93"/>
    <w:rsid w:val="00E76E95"/>
    <w:rsid w:val="00E76FD2"/>
    <w:rsid w:val="00E77170"/>
    <w:rsid w:val="00E77B55"/>
    <w:rsid w:val="00E80189"/>
    <w:rsid w:val="00E817CA"/>
    <w:rsid w:val="00E8237C"/>
    <w:rsid w:val="00E835D8"/>
    <w:rsid w:val="00E8366A"/>
    <w:rsid w:val="00E83735"/>
    <w:rsid w:val="00E83EEB"/>
    <w:rsid w:val="00E84A77"/>
    <w:rsid w:val="00E84B79"/>
    <w:rsid w:val="00E84C87"/>
    <w:rsid w:val="00E8557B"/>
    <w:rsid w:val="00E866C0"/>
    <w:rsid w:val="00E86C3E"/>
    <w:rsid w:val="00E87C66"/>
    <w:rsid w:val="00E90174"/>
    <w:rsid w:val="00E90687"/>
    <w:rsid w:val="00E909F3"/>
    <w:rsid w:val="00E91D7F"/>
    <w:rsid w:val="00E92323"/>
    <w:rsid w:val="00E92CDB"/>
    <w:rsid w:val="00E938C2"/>
    <w:rsid w:val="00E9425A"/>
    <w:rsid w:val="00E9439D"/>
    <w:rsid w:val="00E945C9"/>
    <w:rsid w:val="00E94CB6"/>
    <w:rsid w:val="00E94CCD"/>
    <w:rsid w:val="00E9596D"/>
    <w:rsid w:val="00E95F91"/>
    <w:rsid w:val="00E973B4"/>
    <w:rsid w:val="00E97BDE"/>
    <w:rsid w:val="00E97CAF"/>
    <w:rsid w:val="00EA0324"/>
    <w:rsid w:val="00EA1473"/>
    <w:rsid w:val="00EA14A8"/>
    <w:rsid w:val="00EA305F"/>
    <w:rsid w:val="00EA3064"/>
    <w:rsid w:val="00EA34D5"/>
    <w:rsid w:val="00EA3AAA"/>
    <w:rsid w:val="00EA3D7C"/>
    <w:rsid w:val="00EA3D9F"/>
    <w:rsid w:val="00EA4898"/>
    <w:rsid w:val="00EA4A1A"/>
    <w:rsid w:val="00EA569F"/>
    <w:rsid w:val="00EA5C8F"/>
    <w:rsid w:val="00EA6144"/>
    <w:rsid w:val="00EA6BC0"/>
    <w:rsid w:val="00EA6E0C"/>
    <w:rsid w:val="00EA7583"/>
    <w:rsid w:val="00EA7D9B"/>
    <w:rsid w:val="00EB01CA"/>
    <w:rsid w:val="00EB0302"/>
    <w:rsid w:val="00EB1361"/>
    <w:rsid w:val="00EB145B"/>
    <w:rsid w:val="00EB1AC8"/>
    <w:rsid w:val="00EB263B"/>
    <w:rsid w:val="00EB2C09"/>
    <w:rsid w:val="00EB3CBD"/>
    <w:rsid w:val="00EB4107"/>
    <w:rsid w:val="00EB43A7"/>
    <w:rsid w:val="00EB4D12"/>
    <w:rsid w:val="00EB5080"/>
    <w:rsid w:val="00EB57F7"/>
    <w:rsid w:val="00EB5BEB"/>
    <w:rsid w:val="00EB5FBC"/>
    <w:rsid w:val="00EB613A"/>
    <w:rsid w:val="00EB61E8"/>
    <w:rsid w:val="00EB6791"/>
    <w:rsid w:val="00EB7CBF"/>
    <w:rsid w:val="00EC07B0"/>
    <w:rsid w:val="00EC0CDC"/>
    <w:rsid w:val="00EC118F"/>
    <w:rsid w:val="00EC1499"/>
    <w:rsid w:val="00EC189C"/>
    <w:rsid w:val="00EC1D9D"/>
    <w:rsid w:val="00EC2D3A"/>
    <w:rsid w:val="00EC367F"/>
    <w:rsid w:val="00EC460D"/>
    <w:rsid w:val="00EC4ADD"/>
    <w:rsid w:val="00EC5A2D"/>
    <w:rsid w:val="00EC6183"/>
    <w:rsid w:val="00EC6EE1"/>
    <w:rsid w:val="00ED1678"/>
    <w:rsid w:val="00ED1A23"/>
    <w:rsid w:val="00ED1B2C"/>
    <w:rsid w:val="00ED1F5E"/>
    <w:rsid w:val="00ED2A99"/>
    <w:rsid w:val="00ED37DC"/>
    <w:rsid w:val="00ED3D42"/>
    <w:rsid w:val="00ED3E9D"/>
    <w:rsid w:val="00ED5A0F"/>
    <w:rsid w:val="00ED6194"/>
    <w:rsid w:val="00ED6598"/>
    <w:rsid w:val="00ED66E2"/>
    <w:rsid w:val="00ED6723"/>
    <w:rsid w:val="00ED690C"/>
    <w:rsid w:val="00EE0267"/>
    <w:rsid w:val="00EE03C9"/>
    <w:rsid w:val="00EE055D"/>
    <w:rsid w:val="00EE06E2"/>
    <w:rsid w:val="00EE088B"/>
    <w:rsid w:val="00EE0AF9"/>
    <w:rsid w:val="00EE1992"/>
    <w:rsid w:val="00EE300F"/>
    <w:rsid w:val="00EE385A"/>
    <w:rsid w:val="00EE4834"/>
    <w:rsid w:val="00EE4D11"/>
    <w:rsid w:val="00EE4DD1"/>
    <w:rsid w:val="00EE64BD"/>
    <w:rsid w:val="00EE737D"/>
    <w:rsid w:val="00EE7EB4"/>
    <w:rsid w:val="00EF0459"/>
    <w:rsid w:val="00EF11DD"/>
    <w:rsid w:val="00EF3273"/>
    <w:rsid w:val="00EF5F4B"/>
    <w:rsid w:val="00EF6944"/>
    <w:rsid w:val="00EF6EDA"/>
    <w:rsid w:val="00EF7F57"/>
    <w:rsid w:val="00F0076E"/>
    <w:rsid w:val="00F01EE3"/>
    <w:rsid w:val="00F02159"/>
    <w:rsid w:val="00F0231A"/>
    <w:rsid w:val="00F0276E"/>
    <w:rsid w:val="00F02E39"/>
    <w:rsid w:val="00F04167"/>
    <w:rsid w:val="00F04754"/>
    <w:rsid w:val="00F04D64"/>
    <w:rsid w:val="00F058DA"/>
    <w:rsid w:val="00F05FD9"/>
    <w:rsid w:val="00F064CA"/>
    <w:rsid w:val="00F078B7"/>
    <w:rsid w:val="00F07E1D"/>
    <w:rsid w:val="00F07FDB"/>
    <w:rsid w:val="00F10D7A"/>
    <w:rsid w:val="00F10EA0"/>
    <w:rsid w:val="00F12742"/>
    <w:rsid w:val="00F12F2D"/>
    <w:rsid w:val="00F1316C"/>
    <w:rsid w:val="00F134DC"/>
    <w:rsid w:val="00F14884"/>
    <w:rsid w:val="00F14A6C"/>
    <w:rsid w:val="00F156BE"/>
    <w:rsid w:val="00F15B78"/>
    <w:rsid w:val="00F177F4"/>
    <w:rsid w:val="00F20387"/>
    <w:rsid w:val="00F20C31"/>
    <w:rsid w:val="00F21596"/>
    <w:rsid w:val="00F21E39"/>
    <w:rsid w:val="00F22CC3"/>
    <w:rsid w:val="00F2327D"/>
    <w:rsid w:val="00F23D2E"/>
    <w:rsid w:val="00F25834"/>
    <w:rsid w:val="00F26456"/>
    <w:rsid w:val="00F2658F"/>
    <w:rsid w:val="00F2674D"/>
    <w:rsid w:val="00F26C33"/>
    <w:rsid w:val="00F27837"/>
    <w:rsid w:val="00F30276"/>
    <w:rsid w:val="00F30919"/>
    <w:rsid w:val="00F30DCB"/>
    <w:rsid w:val="00F30EDC"/>
    <w:rsid w:val="00F310AB"/>
    <w:rsid w:val="00F315F2"/>
    <w:rsid w:val="00F31774"/>
    <w:rsid w:val="00F31821"/>
    <w:rsid w:val="00F32FDE"/>
    <w:rsid w:val="00F3317B"/>
    <w:rsid w:val="00F3491E"/>
    <w:rsid w:val="00F34DAA"/>
    <w:rsid w:val="00F35B53"/>
    <w:rsid w:val="00F36210"/>
    <w:rsid w:val="00F3750F"/>
    <w:rsid w:val="00F37640"/>
    <w:rsid w:val="00F37948"/>
    <w:rsid w:val="00F419DF"/>
    <w:rsid w:val="00F41D0D"/>
    <w:rsid w:val="00F422C8"/>
    <w:rsid w:val="00F4257D"/>
    <w:rsid w:val="00F4267C"/>
    <w:rsid w:val="00F428E3"/>
    <w:rsid w:val="00F43486"/>
    <w:rsid w:val="00F434CD"/>
    <w:rsid w:val="00F445D5"/>
    <w:rsid w:val="00F44A2B"/>
    <w:rsid w:val="00F45739"/>
    <w:rsid w:val="00F457D4"/>
    <w:rsid w:val="00F46606"/>
    <w:rsid w:val="00F47296"/>
    <w:rsid w:val="00F47361"/>
    <w:rsid w:val="00F47654"/>
    <w:rsid w:val="00F50009"/>
    <w:rsid w:val="00F505C3"/>
    <w:rsid w:val="00F505E3"/>
    <w:rsid w:val="00F50B31"/>
    <w:rsid w:val="00F50DA7"/>
    <w:rsid w:val="00F5102F"/>
    <w:rsid w:val="00F52844"/>
    <w:rsid w:val="00F5292F"/>
    <w:rsid w:val="00F52F63"/>
    <w:rsid w:val="00F536E5"/>
    <w:rsid w:val="00F53744"/>
    <w:rsid w:val="00F53854"/>
    <w:rsid w:val="00F554B3"/>
    <w:rsid w:val="00F55C33"/>
    <w:rsid w:val="00F562E7"/>
    <w:rsid w:val="00F56AAF"/>
    <w:rsid w:val="00F57719"/>
    <w:rsid w:val="00F57EA9"/>
    <w:rsid w:val="00F6081F"/>
    <w:rsid w:val="00F6102E"/>
    <w:rsid w:val="00F61938"/>
    <w:rsid w:val="00F621D1"/>
    <w:rsid w:val="00F62869"/>
    <w:rsid w:val="00F62C32"/>
    <w:rsid w:val="00F62F4E"/>
    <w:rsid w:val="00F62F96"/>
    <w:rsid w:val="00F6367F"/>
    <w:rsid w:val="00F642AA"/>
    <w:rsid w:val="00F64E0F"/>
    <w:rsid w:val="00F64ECF"/>
    <w:rsid w:val="00F654AC"/>
    <w:rsid w:val="00F6714E"/>
    <w:rsid w:val="00F67EF0"/>
    <w:rsid w:val="00F70174"/>
    <w:rsid w:val="00F71195"/>
    <w:rsid w:val="00F71FCE"/>
    <w:rsid w:val="00F72A91"/>
    <w:rsid w:val="00F73A65"/>
    <w:rsid w:val="00F73FD0"/>
    <w:rsid w:val="00F7485F"/>
    <w:rsid w:val="00F7659D"/>
    <w:rsid w:val="00F7790D"/>
    <w:rsid w:val="00F77C87"/>
    <w:rsid w:val="00F8035F"/>
    <w:rsid w:val="00F80ED3"/>
    <w:rsid w:val="00F80F4C"/>
    <w:rsid w:val="00F81377"/>
    <w:rsid w:val="00F835BC"/>
    <w:rsid w:val="00F8377B"/>
    <w:rsid w:val="00F83B49"/>
    <w:rsid w:val="00F84618"/>
    <w:rsid w:val="00F846AB"/>
    <w:rsid w:val="00F8495F"/>
    <w:rsid w:val="00F863E0"/>
    <w:rsid w:val="00F86641"/>
    <w:rsid w:val="00F86902"/>
    <w:rsid w:val="00F86D6E"/>
    <w:rsid w:val="00F8774D"/>
    <w:rsid w:val="00F9050F"/>
    <w:rsid w:val="00F90803"/>
    <w:rsid w:val="00F9162C"/>
    <w:rsid w:val="00F919A4"/>
    <w:rsid w:val="00F92830"/>
    <w:rsid w:val="00F93838"/>
    <w:rsid w:val="00F94A65"/>
    <w:rsid w:val="00F95376"/>
    <w:rsid w:val="00F956D3"/>
    <w:rsid w:val="00F95D0D"/>
    <w:rsid w:val="00F95DB1"/>
    <w:rsid w:val="00F95EF2"/>
    <w:rsid w:val="00F9601E"/>
    <w:rsid w:val="00F967B3"/>
    <w:rsid w:val="00F96F4A"/>
    <w:rsid w:val="00F978B4"/>
    <w:rsid w:val="00F979A7"/>
    <w:rsid w:val="00FA0042"/>
    <w:rsid w:val="00FA0D7E"/>
    <w:rsid w:val="00FA15A1"/>
    <w:rsid w:val="00FA1C5F"/>
    <w:rsid w:val="00FA22A5"/>
    <w:rsid w:val="00FA23AF"/>
    <w:rsid w:val="00FA2E1C"/>
    <w:rsid w:val="00FA4128"/>
    <w:rsid w:val="00FA465C"/>
    <w:rsid w:val="00FA47A7"/>
    <w:rsid w:val="00FA5375"/>
    <w:rsid w:val="00FA5851"/>
    <w:rsid w:val="00FA5B0D"/>
    <w:rsid w:val="00FA5F88"/>
    <w:rsid w:val="00FA6033"/>
    <w:rsid w:val="00FA64E4"/>
    <w:rsid w:val="00FA663C"/>
    <w:rsid w:val="00FA6D4B"/>
    <w:rsid w:val="00FA6F25"/>
    <w:rsid w:val="00FA7C69"/>
    <w:rsid w:val="00FB0CA9"/>
    <w:rsid w:val="00FB0D56"/>
    <w:rsid w:val="00FB13BC"/>
    <w:rsid w:val="00FB3F58"/>
    <w:rsid w:val="00FB4072"/>
    <w:rsid w:val="00FB53A8"/>
    <w:rsid w:val="00FB5C73"/>
    <w:rsid w:val="00FB5E70"/>
    <w:rsid w:val="00FB60B2"/>
    <w:rsid w:val="00FB63CC"/>
    <w:rsid w:val="00FB698A"/>
    <w:rsid w:val="00FB78FD"/>
    <w:rsid w:val="00FB7D14"/>
    <w:rsid w:val="00FC01B6"/>
    <w:rsid w:val="00FC07A5"/>
    <w:rsid w:val="00FC0991"/>
    <w:rsid w:val="00FC0DC2"/>
    <w:rsid w:val="00FC17D5"/>
    <w:rsid w:val="00FC1A03"/>
    <w:rsid w:val="00FC1FBE"/>
    <w:rsid w:val="00FC220B"/>
    <w:rsid w:val="00FC32CE"/>
    <w:rsid w:val="00FC368A"/>
    <w:rsid w:val="00FC368E"/>
    <w:rsid w:val="00FC6BCB"/>
    <w:rsid w:val="00FC75B8"/>
    <w:rsid w:val="00FC7B5B"/>
    <w:rsid w:val="00FD0997"/>
    <w:rsid w:val="00FD1372"/>
    <w:rsid w:val="00FD188A"/>
    <w:rsid w:val="00FD1E62"/>
    <w:rsid w:val="00FD1ECD"/>
    <w:rsid w:val="00FD2505"/>
    <w:rsid w:val="00FD2BEB"/>
    <w:rsid w:val="00FD2C8A"/>
    <w:rsid w:val="00FD2D4B"/>
    <w:rsid w:val="00FD3158"/>
    <w:rsid w:val="00FD368E"/>
    <w:rsid w:val="00FD37AA"/>
    <w:rsid w:val="00FD37C0"/>
    <w:rsid w:val="00FD3C94"/>
    <w:rsid w:val="00FD42E2"/>
    <w:rsid w:val="00FD4E0B"/>
    <w:rsid w:val="00FD4EDA"/>
    <w:rsid w:val="00FD5197"/>
    <w:rsid w:val="00FD6B8B"/>
    <w:rsid w:val="00FD7DF1"/>
    <w:rsid w:val="00FD7EB9"/>
    <w:rsid w:val="00FE0B7B"/>
    <w:rsid w:val="00FE1F15"/>
    <w:rsid w:val="00FE2E42"/>
    <w:rsid w:val="00FE31D4"/>
    <w:rsid w:val="00FE31DD"/>
    <w:rsid w:val="00FE3C88"/>
    <w:rsid w:val="00FE486D"/>
    <w:rsid w:val="00FE4C18"/>
    <w:rsid w:val="00FE4E32"/>
    <w:rsid w:val="00FE5031"/>
    <w:rsid w:val="00FE69CD"/>
    <w:rsid w:val="00FE77B8"/>
    <w:rsid w:val="00FE7C22"/>
    <w:rsid w:val="00FF0432"/>
    <w:rsid w:val="00FF1287"/>
    <w:rsid w:val="00FF1780"/>
    <w:rsid w:val="00FF1C77"/>
    <w:rsid w:val="00FF37E4"/>
    <w:rsid w:val="00FF3987"/>
    <w:rsid w:val="00FF3F62"/>
    <w:rsid w:val="00FF4A4A"/>
    <w:rsid w:val="00FF5490"/>
    <w:rsid w:val="00FF5810"/>
    <w:rsid w:val="00FF59A3"/>
    <w:rsid w:val="00FF695E"/>
    <w:rsid w:val="00FF700E"/>
    <w:rsid w:val="00FF7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6"/>
        <w:szCs w:val="26"/>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Revision">
    <w:name w:val="Revision"/>
    <w:hidden/>
    <w:uiPriority w:val="99"/>
    <w:semiHidden/>
    <w:rsid w:val="00D02A18"/>
    <w:pPr>
      <w:spacing w:after="0" w:line="240" w:lineRule="auto"/>
    </w:pPr>
  </w:style>
  <w:style w:type="character" w:styleId="CommentReference">
    <w:name w:val="annotation reference"/>
    <w:basedOn w:val="DefaultParagraphFont"/>
    <w:uiPriority w:val="99"/>
    <w:semiHidden/>
    <w:unhideWhenUsed/>
    <w:rsid w:val="00E60B8F"/>
    <w:rPr>
      <w:sz w:val="16"/>
      <w:szCs w:val="16"/>
    </w:rPr>
  </w:style>
  <w:style w:type="paragraph" w:styleId="CommentText">
    <w:name w:val="annotation text"/>
    <w:basedOn w:val="Normal"/>
    <w:link w:val="CommentTextChar"/>
    <w:uiPriority w:val="99"/>
    <w:unhideWhenUsed/>
    <w:rsid w:val="00E60B8F"/>
    <w:pPr>
      <w:spacing w:line="240" w:lineRule="auto"/>
    </w:pPr>
    <w:rPr>
      <w:sz w:val="20"/>
      <w:szCs w:val="20"/>
    </w:rPr>
  </w:style>
  <w:style w:type="character" w:customStyle="1" w:styleId="CommentTextChar">
    <w:name w:val="Comment Text Char"/>
    <w:basedOn w:val="DefaultParagraphFont"/>
    <w:link w:val="CommentText"/>
    <w:uiPriority w:val="99"/>
    <w:rsid w:val="00E60B8F"/>
    <w:rPr>
      <w:sz w:val="20"/>
      <w:szCs w:val="20"/>
    </w:rPr>
  </w:style>
  <w:style w:type="paragraph" w:styleId="CommentSubject">
    <w:name w:val="annotation subject"/>
    <w:basedOn w:val="CommentText"/>
    <w:next w:val="CommentText"/>
    <w:link w:val="CommentSubjectChar"/>
    <w:uiPriority w:val="99"/>
    <w:semiHidden/>
    <w:unhideWhenUsed/>
    <w:rsid w:val="00E60B8F"/>
    <w:rPr>
      <w:b/>
      <w:bCs/>
    </w:rPr>
  </w:style>
  <w:style w:type="character" w:customStyle="1" w:styleId="CommentSubjectChar">
    <w:name w:val="Comment Subject Char"/>
    <w:basedOn w:val="CommentTextChar"/>
    <w:link w:val="CommentSubject"/>
    <w:uiPriority w:val="99"/>
    <w:semiHidden/>
    <w:rsid w:val="00E60B8F"/>
    <w:rPr>
      <w:b/>
      <w:bCs/>
      <w:sz w:val="20"/>
      <w:szCs w:val="20"/>
    </w:rPr>
  </w:style>
  <w:style w:type="paragraph" w:styleId="Header">
    <w:name w:val="header"/>
    <w:basedOn w:val="Normal"/>
    <w:link w:val="HeaderChar"/>
    <w:uiPriority w:val="99"/>
    <w:unhideWhenUsed/>
    <w:rsid w:val="0029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56"/>
  </w:style>
  <w:style w:type="paragraph" w:styleId="Footer">
    <w:name w:val="footer"/>
    <w:basedOn w:val="Normal"/>
    <w:link w:val="FooterChar"/>
    <w:uiPriority w:val="99"/>
    <w:unhideWhenUsed/>
    <w:rsid w:val="0029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56"/>
  </w:style>
  <w:style w:type="paragraph" w:styleId="ListParagraph">
    <w:name w:val="List Paragraph"/>
    <w:basedOn w:val="Normal"/>
    <w:uiPriority w:val="34"/>
    <w:qFormat/>
    <w:rsid w:val="00293506"/>
    <w:pPr>
      <w:ind w:left="720"/>
      <w:contextualSpacing/>
    </w:pPr>
  </w:style>
  <w:style w:type="paragraph" w:styleId="FootnoteText">
    <w:name w:val="footnote text"/>
    <w:basedOn w:val="Normal"/>
    <w:link w:val="FootnoteTextChar"/>
    <w:uiPriority w:val="99"/>
    <w:unhideWhenUsed/>
    <w:rsid w:val="00613EB6"/>
    <w:pPr>
      <w:spacing w:after="0" w:line="240" w:lineRule="auto"/>
    </w:pPr>
    <w:rPr>
      <w:sz w:val="20"/>
      <w:szCs w:val="20"/>
    </w:rPr>
  </w:style>
  <w:style w:type="character" w:customStyle="1" w:styleId="FootnoteTextChar">
    <w:name w:val="Footnote Text Char"/>
    <w:basedOn w:val="DefaultParagraphFont"/>
    <w:link w:val="FootnoteText"/>
    <w:uiPriority w:val="99"/>
    <w:rsid w:val="00613EB6"/>
    <w:rPr>
      <w:sz w:val="20"/>
      <w:szCs w:val="20"/>
    </w:rPr>
  </w:style>
  <w:style w:type="character" w:styleId="FootnoteReference">
    <w:name w:val="footnote reference"/>
    <w:basedOn w:val="DefaultParagraphFont"/>
    <w:uiPriority w:val="99"/>
    <w:semiHidden/>
    <w:unhideWhenUsed/>
    <w:rsid w:val="00613EB6"/>
    <w:rPr>
      <w:vertAlign w:val="superscript"/>
    </w:rPr>
  </w:style>
  <w:style w:type="character" w:styleId="Hyperlink">
    <w:name w:val="Hyperlink"/>
    <w:basedOn w:val="DefaultParagraphFont"/>
    <w:uiPriority w:val="99"/>
    <w:unhideWhenUsed/>
    <w:rsid w:val="006B7352"/>
    <w:rPr>
      <w:color w:val="0000FF" w:themeColor="hyperlink"/>
      <w:u w:val="single"/>
    </w:rPr>
  </w:style>
  <w:style w:type="character" w:customStyle="1" w:styleId="UnresolvedMention1">
    <w:name w:val="Unresolved Mention1"/>
    <w:basedOn w:val="DefaultParagraphFont"/>
    <w:uiPriority w:val="99"/>
    <w:semiHidden/>
    <w:unhideWhenUsed/>
    <w:rsid w:val="006B7352"/>
    <w:rPr>
      <w:color w:val="605E5C"/>
      <w:shd w:val="clear" w:color="auto" w:fill="E1DFDD"/>
    </w:rPr>
  </w:style>
  <w:style w:type="paragraph" w:styleId="NormalWeb">
    <w:name w:val="Normal (Web)"/>
    <w:basedOn w:val="Normal"/>
    <w:uiPriority w:val="99"/>
    <w:semiHidden/>
    <w:unhideWhenUsed/>
    <w:rsid w:val="00CD6D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5A4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A5A4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6D74B16409341A5238C2F790099CB" ma:contentTypeVersion="14" ma:contentTypeDescription="Create a new document." ma:contentTypeScope="" ma:versionID="20d59327d1a9710764235ce60f3ef4a9">
  <xsd:schema xmlns:xsd="http://www.w3.org/2001/XMLSchema" xmlns:xs="http://www.w3.org/2001/XMLSchema" xmlns:p="http://schemas.microsoft.com/office/2006/metadata/properties" xmlns:ns3="ae7af27c-9d97-4d86-a959-b22e4db3e7d1" xmlns:ns4="1c448da5-fcfc-4170-b174-d27a34095a50" targetNamespace="http://schemas.microsoft.com/office/2006/metadata/properties" ma:root="true" ma:fieldsID="e36db0df16e0ed83524f8c9aa6228feb" ns3:_="" ns4:_="">
    <xsd:import namespace="ae7af27c-9d97-4d86-a959-b22e4db3e7d1"/>
    <xsd:import namespace="1c448da5-fcfc-4170-b174-d27a34095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f27c-9d97-4d86-a959-b22e4db3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48da5-fcfc-4170-b174-d27a34095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e7af27c-9d97-4d86-a959-b22e4db3e7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DBBB4-A066-4FDE-A587-F6C7F923C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f27c-9d97-4d86-a959-b22e4db3e7d1"/>
    <ds:schemaRef ds:uri="1c448da5-fcfc-4170-b174-d27a34095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F9F9E-0704-4493-956E-8EADEFD05CA5}">
  <ds:schemaRefs>
    <ds:schemaRef ds:uri="http://schemas.openxmlformats.org/officeDocument/2006/bibliography"/>
  </ds:schemaRefs>
</ds:datastoreItem>
</file>

<file path=customXml/itemProps3.xml><?xml version="1.0" encoding="utf-8"?>
<ds:datastoreItem xmlns:ds="http://schemas.openxmlformats.org/officeDocument/2006/customXml" ds:itemID="{584DA252-441E-4F4D-BFBA-DE0F5AF23AC6}">
  <ds:schemaRefs>
    <ds:schemaRef ds:uri="http://schemas.microsoft.com/office/2006/metadata/properties"/>
    <ds:schemaRef ds:uri="http://schemas.microsoft.com/office/infopath/2007/PartnerControls"/>
    <ds:schemaRef ds:uri="ae7af27c-9d97-4d86-a959-b22e4db3e7d1"/>
  </ds:schemaRefs>
</ds:datastoreItem>
</file>

<file path=customXml/itemProps4.xml><?xml version="1.0" encoding="utf-8"?>
<ds:datastoreItem xmlns:ds="http://schemas.openxmlformats.org/officeDocument/2006/customXml" ds:itemID="{D0811C7F-3D16-41E1-8D03-7EF4E070C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2023-12-18T19:32:01Z</dcterms:created>
  <dcterms:modified xsi:type="dcterms:W3CDTF">2023-12-18T19:32:01Z</dcterms:modified>
</cp:coreProperties>
</file>