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C16A1" w:rsidRPr="006B3E55" w:rsidP="006B3E55" w14:paraId="0AFC8892" w14:textId="08A55EC2">
      <w:pPr>
        <w:spacing w:after="0" w:line="240" w:lineRule="auto"/>
        <w:rPr>
          <w:rFonts w:eastAsia="Calibri"/>
          <w:bCs/>
          <w:sz w:val="20"/>
        </w:rPr>
      </w:pPr>
      <w:r>
        <w:rPr>
          <w:rFonts w:eastAsia="Calibri"/>
          <w:bCs/>
          <w:sz w:val="20"/>
        </w:rPr>
        <w:t>Filed 3/25/24</w:t>
      </w:r>
    </w:p>
    <w:p w:rsidR="00FC216B" w:rsidP="00FC216B" w14:paraId="02A85119" w14:textId="17002191">
      <w:pPr>
        <w:spacing w:after="0" w:line="240" w:lineRule="auto"/>
        <w:jc w:val="center"/>
        <w:rPr>
          <w:rFonts w:eastAsia="Calibri"/>
          <w:b/>
          <w:szCs w:val="26"/>
        </w:rPr>
      </w:pPr>
      <w:r>
        <w:rPr>
          <w:rFonts w:eastAsia="Calibri"/>
          <w:b/>
          <w:szCs w:val="26"/>
        </w:rPr>
        <w:t>CERTIFIED FOR PUBLICATION</w:t>
      </w:r>
    </w:p>
    <w:p w:rsidR="000D4527" w:rsidRPr="00FC216B" w:rsidP="00FC216B" w14:paraId="3A491B82" w14:textId="77777777">
      <w:pPr>
        <w:spacing w:after="0" w:line="240" w:lineRule="auto"/>
        <w:jc w:val="center"/>
        <w:rPr>
          <w:rFonts w:eastAsia="Calibri"/>
          <w:szCs w:val="26"/>
        </w:rPr>
      </w:pPr>
    </w:p>
    <w:p w:rsidR="00FC216B" w:rsidRPr="00FC216B" w:rsidP="00FC216B" w14:paraId="0E3BCEB4" w14:textId="77777777">
      <w:pPr>
        <w:spacing w:after="0" w:line="240" w:lineRule="auto"/>
        <w:jc w:val="center"/>
        <w:rPr>
          <w:rFonts w:eastAsia="Calibri"/>
          <w:szCs w:val="26"/>
        </w:rPr>
      </w:pPr>
      <w:r w:rsidRPr="00FC216B">
        <w:rPr>
          <w:rFonts w:eastAsia="Calibri"/>
          <w:szCs w:val="26"/>
        </w:rPr>
        <w:t>IN THE COURT OF APPEAL OF THE STATE OF CALIFORNIA</w:t>
      </w:r>
    </w:p>
    <w:p w:rsidR="00AC1273" w:rsidRPr="00A6535E" w:rsidP="00AC1273" w14:paraId="27757FB9" w14:textId="77777777">
      <w:pPr>
        <w:spacing w:after="0" w:line="240" w:lineRule="auto"/>
        <w:jc w:val="center"/>
        <w:rPr>
          <w:szCs w:val="26"/>
        </w:rPr>
      </w:pPr>
    </w:p>
    <w:p w:rsidR="00AC1273" w:rsidRPr="00A6535E" w:rsidP="00AC1273" w14:paraId="61B1ACC1" w14:textId="77777777">
      <w:pPr>
        <w:spacing w:after="0" w:line="240" w:lineRule="auto"/>
        <w:jc w:val="center"/>
        <w:rPr>
          <w:szCs w:val="26"/>
        </w:rPr>
      </w:pPr>
      <w:r w:rsidRPr="00A6535E">
        <w:rPr>
          <w:szCs w:val="26"/>
        </w:rPr>
        <w:t>SECOND APPELLATE DISTRICT</w:t>
      </w:r>
    </w:p>
    <w:p w:rsidR="00AC1273" w:rsidRPr="00A6535E" w:rsidP="00AC1273" w14:paraId="783D4C11" w14:textId="77777777">
      <w:pPr>
        <w:spacing w:after="0" w:line="240" w:lineRule="auto"/>
        <w:jc w:val="center"/>
        <w:rPr>
          <w:szCs w:val="26"/>
        </w:rPr>
      </w:pPr>
    </w:p>
    <w:p w:rsidR="00AC1273" w:rsidRPr="00A6535E" w:rsidP="00AC1273" w14:paraId="629C0DDA" w14:textId="77777777">
      <w:pPr>
        <w:spacing w:after="0" w:line="240" w:lineRule="auto"/>
        <w:jc w:val="center"/>
        <w:rPr>
          <w:szCs w:val="26"/>
        </w:rPr>
      </w:pPr>
      <w:r w:rsidRPr="00A6535E">
        <w:rPr>
          <w:szCs w:val="26"/>
        </w:rPr>
        <w:t xml:space="preserve">DIVISION </w:t>
      </w:r>
      <w:r w:rsidRPr="00A6535E" w:rsidR="003E584B">
        <w:rPr>
          <w:szCs w:val="26"/>
        </w:rPr>
        <w:t>EIGHT</w:t>
      </w:r>
    </w:p>
    <w:p w:rsidR="00AC1273" w:rsidRPr="00A6535E" w:rsidP="00AC1273" w14:paraId="17CC50C5" w14:textId="77777777">
      <w:pPr>
        <w:spacing w:after="0" w:line="240" w:lineRule="auto"/>
        <w:jc w:val="center"/>
        <w:rPr>
          <w:szCs w:val="26"/>
        </w:rPr>
      </w:pPr>
    </w:p>
    <w:p w:rsidR="00AC1273" w:rsidRPr="00A6535E" w:rsidP="00AC1273" w14:paraId="1443509D" w14:textId="77777777">
      <w:pPr>
        <w:spacing w:after="0" w:line="240" w:lineRule="auto"/>
        <w:jc w:val="center"/>
        <w:rPr>
          <w:szCs w:val="26"/>
        </w:rPr>
      </w:pPr>
    </w:p>
    <w:tbl>
      <w:tblPr>
        <w:tblW w:w="0" w:type="auto"/>
        <w:tblLayout w:type="fixed"/>
        <w:tblLook w:val="0000"/>
      </w:tblPr>
      <w:tblGrid>
        <w:gridCol w:w="4788"/>
        <w:gridCol w:w="4788"/>
      </w:tblGrid>
      <w:tr w14:paraId="771C7BE6" w14:textId="77777777" w:rsidTr="00FD5593">
        <w:tblPrEx>
          <w:tblW w:w="0" w:type="auto"/>
          <w:tblLayout w:type="fixed"/>
          <w:tblLook w:val="0000"/>
        </w:tblPrEx>
        <w:tc>
          <w:tcPr>
            <w:tcW w:w="4788" w:type="dxa"/>
            <w:tcBorders>
              <w:bottom w:val="single" w:sz="4" w:space="0" w:color="auto"/>
              <w:right w:val="single" w:sz="4" w:space="0" w:color="auto"/>
            </w:tcBorders>
            <w:shd w:val="clear" w:color="auto" w:fill="auto"/>
          </w:tcPr>
          <w:p w:rsidR="00AC1273" w:rsidRPr="00A6535E" w:rsidP="00D31EC1" w14:paraId="75784F9A" w14:textId="66E04B40">
            <w:pPr>
              <w:spacing w:after="0" w:line="240" w:lineRule="auto"/>
              <w:rPr>
                <w:szCs w:val="26"/>
              </w:rPr>
            </w:pPr>
            <w:r>
              <w:rPr>
                <w:szCs w:val="26"/>
              </w:rPr>
              <w:t>ELINTON GRAMAJO</w:t>
            </w:r>
            <w:r w:rsidRPr="00A6535E">
              <w:rPr>
                <w:szCs w:val="26"/>
              </w:rPr>
              <w:t>,</w:t>
            </w:r>
          </w:p>
          <w:p w:rsidR="00AC1273" w:rsidRPr="00A6535E" w:rsidP="00D31EC1" w14:paraId="2392CC78" w14:textId="77777777">
            <w:pPr>
              <w:spacing w:after="0" w:line="240" w:lineRule="auto"/>
              <w:rPr>
                <w:szCs w:val="26"/>
              </w:rPr>
            </w:pPr>
          </w:p>
          <w:p w:rsidR="00AC1273" w:rsidRPr="00A6535E" w:rsidP="00D31EC1" w14:paraId="51BAE572" w14:textId="35CED645">
            <w:pPr>
              <w:spacing w:after="0" w:line="240" w:lineRule="auto"/>
              <w:rPr>
                <w:szCs w:val="26"/>
              </w:rPr>
            </w:pPr>
            <w:r w:rsidRPr="00A6535E">
              <w:rPr>
                <w:szCs w:val="26"/>
              </w:rPr>
              <w:tab/>
              <w:t xml:space="preserve">Plaintiff and </w:t>
            </w:r>
            <w:r w:rsidR="00BC04B9">
              <w:rPr>
                <w:szCs w:val="26"/>
              </w:rPr>
              <w:t>Appella</w:t>
            </w:r>
            <w:r w:rsidR="00555F5C">
              <w:rPr>
                <w:szCs w:val="26"/>
              </w:rPr>
              <w:t>nt</w:t>
            </w:r>
            <w:r w:rsidRPr="00A6535E">
              <w:rPr>
                <w:szCs w:val="26"/>
              </w:rPr>
              <w:t>,</w:t>
            </w:r>
          </w:p>
          <w:p w:rsidR="00AC1273" w:rsidRPr="00A6535E" w:rsidP="00D31EC1" w14:paraId="0A0115B1" w14:textId="77777777">
            <w:pPr>
              <w:spacing w:after="0" w:line="240" w:lineRule="auto"/>
              <w:rPr>
                <w:szCs w:val="26"/>
              </w:rPr>
            </w:pPr>
          </w:p>
          <w:p w:rsidR="00AC1273" w:rsidRPr="00A6535E" w:rsidP="00D31EC1" w14:paraId="66A9E185" w14:textId="77777777">
            <w:pPr>
              <w:spacing w:after="0" w:line="240" w:lineRule="auto"/>
              <w:rPr>
                <w:szCs w:val="26"/>
              </w:rPr>
            </w:pPr>
            <w:r w:rsidRPr="00A6535E">
              <w:rPr>
                <w:szCs w:val="26"/>
              </w:rPr>
              <w:tab/>
              <w:t>v.</w:t>
            </w:r>
          </w:p>
          <w:p w:rsidR="00AC1273" w:rsidRPr="00A6535E" w:rsidP="00D31EC1" w14:paraId="1E3D8A54" w14:textId="77777777">
            <w:pPr>
              <w:spacing w:after="0" w:line="240" w:lineRule="auto"/>
              <w:rPr>
                <w:szCs w:val="26"/>
              </w:rPr>
            </w:pPr>
          </w:p>
          <w:p w:rsidR="00AC1273" w:rsidRPr="00A6535E" w:rsidP="00D31EC1" w14:paraId="39F07848" w14:textId="5DBBAC59">
            <w:pPr>
              <w:widowControl w:val="0"/>
              <w:spacing w:before="120" w:line="240" w:lineRule="auto"/>
              <w:rPr>
                <w:szCs w:val="26"/>
              </w:rPr>
            </w:pPr>
            <w:r>
              <w:rPr>
                <w:szCs w:val="26"/>
              </w:rPr>
              <w:t>JOE’S PIZZA ON SUNSET</w:t>
            </w:r>
            <w:r w:rsidR="007A0F4B">
              <w:rPr>
                <w:szCs w:val="26"/>
              </w:rPr>
              <w:t>,</w:t>
            </w:r>
            <w:r>
              <w:rPr>
                <w:szCs w:val="26"/>
              </w:rPr>
              <w:t xml:space="preserve"> INC</w:t>
            </w:r>
            <w:r w:rsidR="00BD7FC6">
              <w:rPr>
                <w:szCs w:val="26"/>
              </w:rPr>
              <w:t>.</w:t>
            </w:r>
            <w:r>
              <w:rPr>
                <w:szCs w:val="26"/>
              </w:rPr>
              <w:t xml:space="preserve">, </w:t>
            </w:r>
            <w:r w:rsidR="007A0F4B">
              <w:rPr>
                <w:szCs w:val="26"/>
              </w:rPr>
              <w:t>et</w:t>
            </w:r>
            <w:r w:rsidR="005046EA">
              <w:rPr>
                <w:szCs w:val="26"/>
              </w:rPr>
              <w:t> </w:t>
            </w:r>
            <w:r w:rsidR="007A0F4B">
              <w:rPr>
                <w:szCs w:val="26"/>
              </w:rPr>
              <w:t>al</w:t>
            </w:r>
            <w:r>
              <w:rPr>
                <w:szCs w:val="26"/>
              </w:rPr>
              <w:t>.</w:t>
            </w:r>
            <w:r w:rsidRPr="00A6535E" w:rsidR="00C14D06">
              <w:rPr>
                <w:szCs w:val="26"/>
              </w:rPr>
              <w:t>,</w:t>
            </w:r>
          </w:p>
          <w:p w:rsidR="00AC1273" w:rsidRPr="00A6535E" w:rsidP="00D31EC1" w14:paraId="59432BBC" w14:textId="77777777">
            <w:pPr>
              <w:spacing w:after="0" w:line="240" w:lineRule="auto"/>
              <w:rPr>
                <w:szCs w:val="26"/>
              </w:rPr>
            </w:pPr>
          </w:p>
          <w:p w:rsidR="00AC1273" w:rsidRPr="00A6535E" w:rsidP="00D31EC1" w14:paraId="00F1B360" w14:textId="3EEA9986">
            <w:pPr>
              <w:spacing w:after="0" w:line="240" w:lineRule="auto"/>
              <w:rPr>
                <w:szCs w:val="26"/>
              </w:rPr>
            </w:pPr>
            <w:r w:rsidRPr="00A6535E">
              <w:rPr>
                <w:szCs w:val="26"/>
              </w:rPr>
              <w:tab/>
              <w:t>Defendant</w:t>
            </w:r>
            <w:r w:rsidR="00BC04B9">
              <w:rPr>
                <w:szCs w:val="26"/>
              </w:rPr>
              <w:t>s</w:t>
            </w:r>
            <w:r w:rsidRPr="00A6535E">
              <w:rPr>
                <w:szCs w:val="26"/>
              </w:rPr>
              <w:t xml:space="preserve"> and </w:t>
            </w:r>
            <w:r w:rsidR="00BC04B9">
              <w:rPr>
                <w:szCs w:val="26"/>
              </w:rPr>
              <w:t>Responde</w:t>
            </w:r>
            <w:r w:rsidR="00555F5C">
              <w:rPr>
                <w:szCs w:val="26"/>
              </w:rPr>
              <w:t>nt</w:t>
            </w:r>
            <w:r w:rsidR="00BC04B9">
              <w:rPr>
                <w:szCs w:val="26"/>
              </w:rPr>
              <w:t>s</w:t>
            </w:r>
            <w:r w:rsidRPr="00A6535E">
              <w:rPr>
                <w:szCs w:val="26"/>
              </w:rPr>
              <w:t>.</w:t>
            </w:r>
          </w:p>
          <w:p w:rsidR="00AC1273" w:rsidRPr="00A6535E" w:rsidP="00AC1273" w14:paraId="537B28D0" w14:textId="77777777">
            <w:pPr>
              <w:spacing w:after="0" w:line="240" w:lineRule="auto"/>
              <w:rPr>
                <w:szCs w:val="26"/>
              </w:rPr>
            </w:pPr>
          </w:p>
        </w:tc>
        <w:tc>
          <w:tcPr>
            <w:tcW w:w="4788" w:type="dxa"/>
            <w:tcBorders>
              <w:left w:val="single" w:sz="4" w:space="0" w:color="auto"/>
            </w:tcBorders>
            <w:shd w:val="clear" w:color="auto" w:fill="auto"/>
          </w:tcPr>
          <w:p w:rsidR="00AC1273" w:rsidRPr="00A6535E" w:rsidP="00AC1273" w14:paraId="36D9A395" w14:textId="65F71B66">
            <w:pPr>
              <w:tabs>
                <w:tab w:val="left" w:pos="432"/>
              </w:tabs>
              <w:spacing w:after="0" w:line="240" w:lineRule="auto"/>
              <w:rPr>
                <w:szCs w:val="26"/>
              </w:rPr>
            </w:pPr>
            <w:r w:rsidRPr="00A6535E">
              <w:rPr>
                <w:szCs w:val="26"/>
              </w:rPr>
              <w:tab/>
            </w:r>
            <w:bookmarkStart w:id="0" w:name="_Hlk162267449"/>
            <w:r w:rsidRPr="00555F5C" w:rsidR="00555F5C">
              <w:rPr>
                <w:szCs w:val="26"/>
              </w:rPr>
              <w:t>B</w:t>
            </w:r>
            <w:r w:rsidR="00BC04B9">
              <w:rPr>
                <w:szCs w:val="26"/>
              </w:rPr>
              <w:t>322697, B323024</w:t>
            </w:r>
            <w:bookmarkEnd w:id="0"/>
          </w:p>
          <w:p w:rsidR="00AC1273" w:rsidRPr="00A6535E" w:rsidP="00AC1273" w14:paraId="56655F46" w14:textId="77777777">
            <w:pPr>
              <w:tabs>
                <w:tab w:val="left" w:pos="432"/>
              </w:tabs>
              <w:spacing w:after="0" w:line="240" w:lineRule="auto"/>
              <w:rPr>
                <w:szCs w:val="26"/>
              </w:rPr>
            </w:pPr>
          </w:p>
          <w:p w:rsidR="00AC1273" w:rsidRPr="00A6535E" w:rsidP="00D50593" w14:paraId="0A04D999" w14:textId="240AB8A2">
            <w:pPr>
              <w:tabs>
                <w:tab w:val="left" w:pos="432"/>
              </w:tabs>
              <w:spacing w:after="0" w:line="240" w:lineRule="auto"/>
              <w:rPr>
                <w:szCs w:val="26"/>
              </w:rPr>
            </w:pPr>
            <w:r w:rsidRPr="00A6535E">
              <w:rPr>
                <w:szCs w:val="26"/>
              </w:rPr>
              <w:tab/>
              <w:t>(</w:t>
            </w:r>
            <w:r w:rsidR="002336CE">
              <w:rPr>
                <w:szCs w:val="26"/>
              </w:rPr>
              <w:t>Los Angeles</w:t>
            </w:r>
            <w:r w:rsidRPr="00A6535E">
              <w:rPr>
                <w:szCs w:val="26"/>
              </w:rPr>
              <w:t xml:space="preserve"> County</w:t>
            </w:r>
            <w:r w:rsidR="004A0DA0">
              <w:rPr>
                <w:szCs w:val="26"/>
              </w:rPr>
              <w:t xml:space="preserve"> </w:t>
            </w:r>
            <w:r w:rsidR="002336CE">
              <w:rPr>
                <w:szCs w:val="26"/>
              </w:rPr>
              <w:br/>
              <w:t xml:space="preserve">      </w:t>
            </w:r>
            <w:r w:rsidR="004A0DA0">
              <w:rPr>
                <w:szCs w:val="26"/>
              </w:rPr>
              <w:t>Super.</w:t>
            </w:r>
            <w:r w:rsidR="002336CE">
              <w:rPr>
                <w:szCs w:val="26"/>
              </w:rPr>
              <w:t xml:space="preserve"> </w:t>
            </w:r>
            <w:r w:rsidRPr="00A6535E">
              <w:rPr>
                <w:szCs w:val="26"/>
              </w:rPr>
              <w:t>Ct. No.</w:t>
            </w:r>
            <w:r w:rsidR="00555F5C">
              <w:rPr>
                <w:szCs w:val="26"/>
              </w:rPr>
              <w:t xml:space="preserve"> </w:t>
            </w:r>
            <w:r w:rsidRPr="001F2160" w:rsidR="001F2160">
              <w:rPr>
                <w:szCs w:val="26"/>
              </w:rPr>
              <w:t>BC694779</w:t>
            </w:r>
            <w:r w:rsidRPr="00A6535E">
              <w:rPr>
                <w:szCs w:val="26"/>
              </w:rPr>
              <w:t>)</w:t>
            </w:r>
          </w:p>
        </w:tc>
      </w:tr>
    </w:tbl>
    <w:p w:rsidR="00AC1273" w:rsidRPr="00A6535E" w:rsidP="00AC1273" w14:paraId="1ACA2509" w14:textId="77777777">
      <w:pPr>
        <w:spacing w:after="0" w:line="240" w:lineRule="auto"/>
        <w:rPr>
          <w:szCs w:val="26"/>
        </w:rPr>
      </w:pPr>
    </w:p>
    <w:p w:rsidR="00A336F6" w:rsidRPr="00A6535E" w:rsidP="00A336F6" w14:paraId="57FB951F" w14:textId="1D999466">
      <w:pPr>
        <w:widowControl w:val="0"/>
        <w:spacing w:after="0"/>
        <w:ind w:firstLine="720"/>
        <w:rPr>
          <w:szCs w:val="26"/>
        </w:rPr>
      </w:pPr>
      <w:r w:rsidRPr="00A6535E">
        <w:rPr>
          <w:szCs w:val="26"/>
        </w:rPr>
        <w:t>APPEAL</w:t>
      </w:r>
      <w:r w:rsidR="00BC04B9">
        <w:rPr>
          <w:szCs w:val="26"/>
        </w:rPr>
        <w:t xml:space="preserve">S from </w:t>
      </w:r>
      <w:r w:rsidR="00555F5C">
        <w:rPr>
          <w:szCs w:val="26"/>
        </w:rPr>
        <w:t>order</w:t>
      </w:r>
      <w:r w:rsidR="00BC04B9">
        <w:rPr>
          <w:szCs w:val="26"/>
        </w:rPr>
        <w:t>s</w:t>
      </w:r>
      <w:r w:rsidR="00555F5C">
        <w:rPr>
          <w:szCs w:val="26"/>
        </w:rPr>
        <w:t xml:space="preserve"> </w:t>
      </w:r>
      <w:r w:rsidRPr="00A6535E">
        <w:rPr>
          <w:szCs w:val="26"/>
        </w:rPr>
        <w:t xml:space="preserve">of the Superior Court of </w:t>
      </w:r>
      <w:r w:rsidR="002336CE">
        <w:rPr>
          <w:szCs w:val="26"/>
        </w:rPr>
        <w:t>Los</w:t>
      </w:r>
      <w:r w:rsidR="00F954B4">
        <w:rPr>
          <w:szCs w:val="26"/>
        </w:rPr>
        <w:t> </w:t>
      </w:r>
      <w:r w:rsidR="002336CE">
        <w:rPr>
          <w:szCs w:val="26"/>
        </w:rPr>
        <w:t>Angeles</w:t>
      </w:r>
      <w:r w:rsidRPr="00A6535E">
        <w:rPr>
          <w:szCs w:val="26"/>
        </w:rPr>
        <w:t xml:space="preserve"> County.  </w:t>
      </w:r>
      <w:bookmarkStart w:id="1" w:name="_Hlk87359077"/>
      <w:r w:rsidR="00BC04B9">
        <w:rPr>
          <w:szCs w:val="26"/>
        </w:rPr>
        <w:t>Jon R. Takasugi</w:t>
      </w:r>
      <w:r w:rsidRPr="00A6535E">
        <w:rPr>
          <w:szCs w:val="26"/>
        </w:rPr>
        <w:t>,</w:t>
      </w:r>
      <w:r w:rsidR="006C156F">
        <w:rPr>
          <w:szCs w:val="26"/>
        </w:rPr>
        <w:t xml:space="preserve"> </w:t>
      </w:r>
      <w:r w:rsidRPr="00A6535E">
        <w:rPr>
          <w:szCs w:val="26"/>
        </w:rPr>
        <w:t xml:space="preserve">Judge.  </w:t>
      </w:r>
      <w:bookmarkEnd w:id="1"/>
      <w:r w:rsidR="00BC04B9">
        <w:rPr>
          <w:szCs w:val="26"/>
        </w:rPr>
        <w:t>Revers</w:t>
      </w:r>
      <w:r w:rsidRPr="00CD7A93" w:rsidR="0026098B">
        <w:rPr>
          <w:szCs w:val="26"/>
        </w:rPr>
        <w:t>ed</w:t>
      </w:r>
      <w:r w:rsidR="006C287A">
        <w:rPr>
          <w:szCs w:val="26"/>
        </w:rPr>
        <w:t xml:space="preserve"> and remanded</w:t>
      </w:r>
      <w:r w:rsidRPr="00CD7A93">
        <w:rPr>
          <w:szCs w:val="26"/>
        </w:rPr>
        <w:t>.</w:t>
      </w:r>
    </w:p>
    <w:p w:rsidR="00A336F6" w:rsidRPr="00A6535E" w:rsidP="00555F5C" w14:paraId="6994B1B5" w14:textId="37F99E2B">
      <w:pPr>
        <w:widowControl w:val="0"/>
        <w:spacing w:after="0"/>
        <w:ind w:firstLine="720"/>
        <w:rPr>
          <w:szCs w:val="26"/>
        </w:rPr>
      </w:pPr>
      <w:r>
        <w:rPr>
          <w:szCs w:val="26"/>
        </w:rPr>
        <w:t>Law Office of Alfredo Nava Jr. and Alfredo Nava</w:t>
      </w:r>
      <w:r w:rsidRPr="00555F5C" w:rsidR="00555F5C">
        <w:rPr>
          <w:szCs w:val="26"/>
        </w:rPr>
        <w:t xml:space="preserve"> </w:t>
      </w:r>
      <w:r w:rsidR="00555F5C">
        <w:rPr>
          <w:szCs w:val="26"/>
        </w:rPr>
        <w:t xml:space="preserve">for </w:t>
      </w:r>
      <w:r>
        <w:rPr>
          <w:szCs w:val="26"/>
        </w:rPr>
        <w:t>Plaintiff</w:t>
      </w:r>
      <w:r w:rsidR="00555F5C">
        <w:rPr>
          <w:szCs w:val="26"/>
        </w:rPr>
        <w:t xml:space="preserve"> </w:t>
      </w:r>
      <w:r w:rsidRPr="00A6535E">
        <w:rPr>
          <w:szCs w:val="26"/>
        </w:rPr>
        <w:t>and Appellant.</w:t>
      </w:r>
    </w:p>
    <w:p w:rsidR="00A336F6" w:rsidRPr="00A6535E" w:rsidP="00555F5C" w14:paraId="087258BB" w14:textId="2F906038">
      <w:pPr>
        <w:widowControl w:val="0"/>
        <w:spacing w:after="0"/>
        <w:ind w:firstLine="720"/>
        <w:rPr>
          <w:szCs w:val="26"/>
        </w:rPr>
      </w:pPr>
      <w:r>
        <w:rPr>
          <w:szCs w:val="26"/>
        </w:rPr>
        <w:t>The Linde Law Firm and Doug</w:t>
      </w:r>
      <w:r w:rsidR="007A0F4B">
        <w:rPr>
          <w:szCs w:val="26"/>
        </w:rPr>
        <w:t>las A.</w:t>
      </w:r>
      <w:r>
        <w:rPr>
          <w:szCs w:val="26"/>
        </w:rPr>
        <w:t xml:space="preserve"> Linde </w:t>
      </w:r>
      <w:r w:rsidRPr="00A6535E">
        <w:rPr>
          <w:szCs w:val="26"/>
        </w:rPr>
        <w:t xml:space="preserve">for </w:t>
      </w:r>
      <w:r>
        <w:rPr>
          <w:szCs w:val="26"/>
        </w:rPr>
        <w:t>Defendants</w:t>
      </w:r>
      <w:r w:rsidR="00AC3760">
        <w:rPr>
          <w:szCs w:val="26"/>
        </w:rPr>
        <w:t xml:space="preserve"> </w:t>
      </w:r>
      <w:r w:rsidRPr="00A6535E">
        <w:rPr>
          <w:szCs w:val="26"/>
        </w:rPr>
        <w:t>and Respondent</w:t>
      </w:r>
      <w:r>
        <w:rPr>
          <w:szCs w:val="26"/>
        </w:rPr>
        <w:t>s</w:t>
      </w:r>
      <w:r w:rsidRPr="00A6535E">
        <w:rPr>
          <w:szCs w:val="26"/>
        </w:rPr>
        <w:t>.</w:t>
      </w:r>
    </w:p>
    <w:p w:rsidR="002336CE" w:rsidRPr="00AD2195" w:rsidP="00AD2195" w14:paraId="25C2A798" w14:textId="77777777">
      <w:pPr>
        <w:widowControl w:val="0"/>
        <w:spacing w:after="0"/>
        <w:jc w:val="center"/>
        <w:rPr>
          <w:szCs w:val="26"/>
        </w:rPr>
      </w:pPr>
      <w:r w:rsidRPr="00A6535E">
        <w:rPr>
          <w:szCs w:val="26"/>
        </w:rPr>
        <w:t>_________________________________</w:t>
      </w:r>
      <w:r>
        <w:rPr>
          <w:b/>
          <w:bCs/>
          <w:szCs w:val="26"/>
        </w:rPr>
        <w:br w:type="page"/>
      </w:r>
    </w:p>
    <w:p w:rsidR="00101953" w:rsidRPr="00A6535E" w:rsidP="00750AD5" w14:paraId="37A44BC2" w14:textId="77777777">
      <w:pPr>
        <w:spacing w:after="0"/>
        <w:jc w:val="center"/>
        <w:rPr>
          <w:b/>
          <w:bCs/>
          <w:szCs w:val="26"/>
        </w:rPr>
      </w:pPr>
      <w:r w:rsidRPr="00A6535E">
        <w:rPr>
          <w:b/>
          <w:bCs/>
          <w:szCs w:val="26"/>
        </w:rPr>
        <w:t>INTRODUCTION</w:t>
      </w:r>
    </w:p>
    <w:p w:rsidR="0088575A" w:rsidP="00EF64F8" w14:paraId="09ECCDCD" w14:textId="2375646D">
      <w:pPr>
        <w:pStyle w:val="IndentNormal"/>
      </w:pPr>
      <w:r>
        <w:t>Plaintiff and Appellant Elinton Gramajo sued Defendants and Respondents Joe’s Pizza on Sunset, Inc</w:t>
      </w:r>
      <w:r w:rsidR="00A778A2">
        <w:t xml:space="preserve">.; </w:t>
      </w:r>
      <w:r>
        <w:t>Joe’s Pizza on Sunset, LLC</w:t>
      </w:r>
      <w:r w:rsidR="00A778A2">
        <w:t>; and Giuseppe Vitale</w:t>
      </w:r>
      <w:r>
        <w:t xml:space="preserve"> (together, Joe’s Pizza) for Labor Code violations</w:t>
      </w:r>
      <w:r w:rsidR="00A778A2">
        <w:t xml:space="preserve"> in connection with </w:t>
      </w:r>
      <w:r w:rsidR="00EF64F8">
        <w:t>Gramajo’s</w:t>
      </w:r>
      <w:r w:rsidR="00A778A2">
        <w:t xml:space="preserve"> work as a pizza delivery driver</w:t>
      </w:r>
      <w:r>
        <w:t>.  Gramajo</w:t>
      </w:r>
      <w:r w:rsidR="00B374FF">
        <w:t xml:space="preserve"> recovered</w:t>
      </w:r>
      <w:r w:rsidR="00C87AF0">
        <w:t xml:space="preserve"> $7,659.93</w:t>
      </w:r>
      <w:r w:rsidR="00B374FF">
        <w:t xml:space="preserve"> after a jury trial</w:t>
      </w:r>
      <w:r>
        <w:t>.  Gramajo</w:t>
      </w:r>
      <w:r w:rsidR="00C87AF0">
        <w:t xml:space="preserve"> requested</w:t>
      </w:r>
      <w:r>
        <w:t xml:space="preserve"> attorney fees in the amount of $296,920 and costs in the amount of $26,932.84 under Labor Code section 1194</w:t>
      </w:r>
      <w:r w:rsidR="00C87AF0">
        <w:t xml:space="preserve">, subdivision (a), which </w:t>
      </w:r>
      <w:r w:rsidR="00B374FF">
        <w:t xml:space="preserve">entitles </w:t>
      </w:r>
      <w:r w:rsidR="00C87AF0">
        <w:t>prevailing employee</w:t>
      </w:r>
      <w:r w:rsidR="00B374FF">
        <w:t>s</w:t>
      </w:r>
      <w:r w:rsidR="00C87AF0">
        <w:t xml:space="preserve"> to </w:t>
      </w:r>
      <w:r w:rsidR="00B374FF">
        <w:t>their</w:t>
      </w:r>
      <w:r w:rsidR="00C87AF0">
        <w:t xml:space="preserve"> reasonable litigation costs, including attorney fees.  </w:t>
      </w:r>
      <w:r w:rsidR="00EF64F8">
        <w:t>The trial court</w:t>
      </w:r>
      <w:r w:rsidR="00B374FF">
        <w:t xml:space="preserve"> denied Gramajo’s requests for fees and costs in their entirety, </w:t>
      </w:r>
      <w:r w:rsidR="00EF64F8">
        <w:t xml:space="preserve">finding </w:t>
      </w:r>
      <w:r w:rsidR="00C87AF0">
        <w:t xml:space="preserve">Gramajo’s counsel </w:t>
      </w:r>
      <w:r w:rsidR="00EF64F8">
        <w:t>severely over</w:t>
      </w:r>
      <w:r w:rsidR="00B374FF">
        <w:t>-</w:t>
      </w:r>
      <w:r w:rsidR="00EF64F8">
        <w:t>litigated</w:t>
      </w:r>
      <w:r w:rsidR="00C87AF0">
        <w:t xml:space="preserve"> the case, and </w:t>
      </w:r>
      <w:r w:rsidR="00EF64F8">
        <w:t xml:space="preserve">the </w:t>
      </w:r>
      <w:r w:rsidR="00C87AF0">
        <w:t xml:space="preserve">requested </w:t>
      </w:r>
      <w:r w:rsidR="00EF64F8">
        <w:t>fee</w:t>
      </w:r>
      <w:r w:rsidR="00C87AF0">
        <w:t>s</w:t>
      </w:r>
      <w:r w:rsidR="00EF64F8">
        <w:t xml:space="preserve"> and cost</w:t>
      </w:r>
      <w:r w:rsidR="00C87AF0">
        <w:t>s</w:t>
      </w:r>
      <w:r w:rsidR="00EF64F8">
        <w:t xml:space="preserve"> were grossly disproportional to </w:t>
      </w:r>
      <w:r w:rsidR="00D02497">
        <w:t>Gramajo’s</w:t>
      </w:r>
      <w:r w:rsidR="00EF64F8">
        <w:t xml:space="preserve"> limited </w:t>
      </w:r>
      <w:r w:rsidR="00D02497">
        <w:t xml:space="preserve">trial </w:t>
      </w:r>
      <w:r w:rsidR="00EF64F8">
        <w:t>success.  The trial court relied on C</w:t>
      </w:r>
      <w:r w:rsidR="0079294C">
        <w:t xml:space="preserve">ode of Civil Procedure section 1033, subdivision (a), </w:t>
      </w:r>
      <w:r w:rsidR="00CA4454">
        <w:t xml:space="preserve">which gives </w:t>
      </w:r>
      <w:r w:rsidR="00BF0843">
        <w:t>trial courts</w:t>
      </w:r>
      <w:r w:rsidR="00CA4454">
        <w:t xml:space="preserve"> discretion to deny prevailing plaintiff</w:t>
      </w:r>
      <w:r w:rsidR="00D02497">
        <w:t>s</w:t>
      </w:r>
      <w:r w:rsidR="00CA4454">
        <w:t xml:space="preserve"> </w:t>
      </w:r>
      <w:r w:rsidR="00D02497">
        <w:t>their</w:t>
      </w:r>
      <w:r w:rsidR="00CA4454">
        <w:t xml:space="preserve"> litigation costs when</w:t>
      </w:r>
      <w:r w:rsidR="00EF64F8">
        <w:t xml:space="preserve"> plaintiff</w:t>
      </w:r>
      <w:r w:rsidR="00D02497">
        <w:t>s</w:t>
      </w:r>
      <w:r w:rsidR="00EF64F8">
        <w:t xml:space="preserve"> file</w:t>
      </w:r>
      <w:r w:rsidR="00D02497">
        <w:t xml:space="preserve"> their</w:t>
      </w:r>
      <w:r w:rsidR="00EF64F8">
        <w:t xml:space="preserve"> case as an unlimited civil proceeding but only </w:t>
      </w:r>
      <w:r w:rsidR="00B374FF">
        <w:t>recover</w:t>
      </w:r>
      <w:r w:rsidR="00CA4454">
        <w:t xml:space="preserve"> an amount </w:t>
      </w:r>
      <w:r w:rsidR="00D02497">
        <w:t>available</w:t>
      </w:r>
      <w:r w:rsidR="00CA4454">
        <w:t xml:space="preserve"> in a limited civil case</w:t>
      </w:r>
      <w:r w:rsidR="00EF64F8">
        <w:t xml:space="preserve">.  </w:t>
      </w:r>
      <w:r w:rsidR="00CA4454">
        <w:t xml:space="preserve"> </w:t>
      </w:r>
    </w:p>
    <w:p w:rsidR="00EF64F8" w:rsidP="003C715B" w14:paraId="1EFD0B49" w14:textId="66CA9DEC">
      <w:pPr>
        <w:pStyle w:val="IndentNormal"/>
      </w:pPr>
      <w:r>
        <w:t xml:space="preserve">On appeal, Gramajo argues the trial court </w:t>
      </w:r>
      <w:r w:rsidR="008C1D37">
        <w:t>should have awarded him reasonable litigation costs under Labor Code section 1194, subdivision (a)</w:t>
      </w:r>
      <w:r w:rsidR="007A0F4B">
        <w:t>,</w:t>
      </w:r>
      <w:r w:rsidR="008C1D37">
        <w:t xml:space="preserve"> and </w:t>
      </w:r>
      <w:r>
        <w:t>abused its discretion by applying Code of Civil Procedure section 1033, subdivision (a)</w:t>
      </w:r>
      <w:r w:rsidR="007A0F4B">
        <w:t>,</w:t>
      </w:r>
      <w:r w:rsidR="008C1D37">
        <w:t xml:space="preserve"> to deny those costs in their entirety</w:t>
      </w:r>
      <w:r w:rsidR="00C87AF0">
        <w:t>.</w:t>
      </w:r>
      <w:r w:rsidR="0088575A">
        <w:t xml:space="preserve"> </w:t>
      </w:r>
    </w:p>
    <w:p w:rsidR="005A683C" w:rsidRPr="006D7C46" w:rsidP="003C715B" w14:paraId="34FB2DA4" w14:textId="29D7A4C4">
      <w:pPr>
        <w:pStyle w:val="IndentNormal"/>
      </w:pPr>
      <w:r>
        <w:t xml:space="preserve">We agree with Gramajo.  </w:t>
      </w:r>
      <w:r w:rsidR="00C87AF0">
        <w:t>W</w:t>
      </w:r>
      <w:r w:rsidR="00D70395">
        <w:t xml:space="preserve">e hold </w:t>
      </w:r>
      <w:r w:rsidR="00C87AF0">
        <w:t>employee</w:t>
      </w:r>
      <w:r w:rsidR="00D70395">
        <w:t>s</w:t>
      </w:r>
      <w:r w:rsidR="00C87AF0">
        <w:t xml:space="preserve"> </w:t>
      </w:r>
      <w:r w:rsidR="00D70395">
        <w:t xml:space="preserve">who </w:t>
      </w:r>
      <w:r w:rsidR="00C87AF0">
        <w:t>prevail in action</w:t>
      </w:r>
      <w:r w:rsidR="00D70395">
        <w:t>s to recover</w:t>
      </w:r>
      <w:r w:rsidR="00C87AF0">
        <w:t xml:space="preserve"> unpaid minimum and overtime wages</w:t>
      </w:r>
      <w:r w:rsidR="00D70395">
        <w:t xml:space="preserve"> are</w:t>
      </w:r>
      <w:r w:rsidR="00C87AF0">
        <w:t xml:space="preserve"> entitled to </w:t>
      </w:r>
      <w:r w:rsidR="00D70395">
        <w:t>their</w:t>
      </w:r>
      <w:r w:rsidR="00C87AF0">
        <w:t xml:space="preserve"> reasonable litigation costs under Labor Code section 1194, subdivision (a)</w:t>
      </w:r>
      <w:r w:rsidR="007A0F4B">
        <w:t>,</w:t>
      </w:r>
      <w:r w:rsidR="00C87AF0">
        <w:t xml:space="preserve"> irrespective of the amount recovered.  </w:t>
      </w:r>
      <w:r w:rsidR="00BF0843">
        <w:t xml:space="preserve">We express no opinion on the reasonableness of Gramajo’s requests for litigation costs.  </w:t>
      </w:r>
      <w:r w:rsidR="0088575A">
        <w:t>Accordingly, we reverse and remand the matter for the trial court to determine a reasonable fee and cost award</w:t>
      </w:r>
      <w:r w:rsidR="00BF0216">
        <w:t xml:space="preserve">. </w:t>
      </w:r>
      <w:r w:rsidR="002A6D19">
        <w:t xml:space="preserve"> </w:t>
      </w:r>
    </w:p>
    <w:p w:rsidR="005C1552" w:rsidRPr="00E956DF" w:rsidP="00E956DF" w14:paraId="2312B017" w14:textId="77777777">
      <w:pPr>
        <w:spacing w:after="0"/>
        <w:jc w:val="center"/>
        <w:rPr>
          <w:b/>
          <w:bCs/>
          <w:szCs w:val="26"/>
        </w:rPr>
      </w:pPr>
      <w:r w:rsidRPr="006D7C46">
        <w:rPr>
          <w:b/>
          <w:bCs/>
          <w:szCs w:val="26"/>
        </w:rPr>
        <w:t>FACTUAL AND</w:t>
      </w:r>
      <w:r>
        <w:rPr>
          <w:szCs w:val="26"/>
        </w:rPr>
        <w:t xml:space="preserve"> </w:t>
      </w:r>
      <w:r w:rsidRPr="00A6535E" w:rsidR="000E1548">
        <w:rPr>
          <w:b/>
          <w:bCs/>
          <w:szCs w:val="26"/>
        </w:rPr>
        <w:t>PROCEDURAL BACKGROUND</w:t>
      </w:r>
    </w:p>
    <w:p w:rsidR="00C82F57" w:rsidP="003312C2" w14:paraId="6A67D5DD" w14:textId="5394A2D5">
      <w:pPr>
        <w:pStyle w:val="IndentNormal"/>
      </w:pPr>
      <w:r>
        <w:t xml:space="preserve">Gramajo worked as a delivery driver for Joe’s Pizza from </w:t>
      </w:r>
      <w:r w:rsidR="00D5140F">
        <w:t>February 2014</w:t>
      </w:r>
      <w:r>
        <w:t xml:space="preserve"> to </w:t>
      </w:r>
      <w:r w:rsidR="00D5140F">
        <w:t>June 2015</w:t>
      </w:r>
      <w:r>
        <w:t xml:space="preserve">.  </w:t>
      </w:r>
    </w:p>
    <w:p w:rsidR="00C82F57" w:rsidP="003312C2" w14:paraId="58A422D9" w14:textId="2A7DA94B">
      <w:pPr>
        <w:pStyle w:val="IndentNormal"/>
      </w:pPr>
      <w:r>
        <w:t>In February 2018, Gramajo sued Joe’s Pizza for failure to pay minimum and overtime wages (Lab</w:t>
      </w:r>
      <w:r w:rsidR="00B374FF">
        <w:t>.</w:t>
      </w:r>
      <w:r>
        <w:t xml:space="preserve"> Code</w:t>
      </w:r>
      <w:r w:rsidR="00B374FF">
        <w:t>,</w:t>
      </w:r>
      <w:r>
        <w:t xml:space="preserve"> </w:t>
      </w:r>
      <w:r w:rsidRPr="00C82F57">
        <w:t>§§</w:t>
      </w:r>
      <w:r>
        <w:t xml:space="preserve"> 510, 558, 1194), failure to provide rest and meal periods (Lab</w:t>
      </w:r>
      <w:r w:rsidR="00B374FF">
        <w:t>.</w:t>
      </w:r>
      <w:r>
        <w:t xml:space="preserve"> Code</w:t>
      </w:r>
      <w:r w:rsidR="00B374FF">
        <w:t>,</w:t>
      </w:r>
      <w:r>
        <w:t xml:space="preserve"> </w:t>
      </w:r>
      <w:r w:rsidRPr="00C82F57">
        <w:t>§§</w:t>
      </w:r>
      <w:r>
        <w:t xml:space="preserve"> 512, 226.7), failure to pay wages due at time of termination (Lab</w:t>
      </w:r>
      <w:r w:rsidR="00B374FF">
        <w:t>.</w:t>
      </w:r>
      <w:r>
        <w:t xml:space="preserve"> Code</w:t>
      </w:r>
      <w:r w:rsidR="00B374FF">
        <w:t>,</w:t>
      </w:r>
      <w:r>
        <w:t xml:space="preserve"> </w:t>
      </w:r>
      <w:r w:rsidRPr="00C82F57">
        <w:t>§§</w:t>
      </w:r>
      <w:r>
        <w:t xml:space="preserve"> 201, 202, 203), failure to reimburse for business expenses (Lab</w:t>
      </w:r>
      <w:r w:rsidR="00B374FF">
        <w:t>.</w:t>
      </w:r>
      <w:r>
        <w:t xml:space="preserve"> Code</w:t>
      </w:r>
      <w:r w:rsidR="00B374FF">
        <w:t>,</w:t>
      </w:r>
      <w:r>
        <w:t xml:space="preserve"> </w:t>
      </w:r>
      <w:r w:rsidRPr="00C82F57">
        <w:t>§</w:t>
      </w:r>
      <w:r>
        <w:t xml:space="preserve"> 2802), and unfair business practices (Bus.</w:t>
      </w:r>
      <w:r w:rsidR="000D4527">
        <w:t> </w:t>
      </w:r>
      <w:r>
        <w:t>&amp; Prof. Code</w:t>
      </w:r>
      <w:r w:rsidR="00B374FF">
        <w:t>,</w:t>
      </w:r>
      <w:r>
        <w:t xml:space="preserve"> </w:t>
      </w:r>
      <w:r w:rsidRPr="00C82F57">
        <w:t>§</w:t>
      </w:r>
      <w:r>
        <w:t xml:space="preserve"> 17200).  </w:t>
      </w:r>
      <w:r w:rsidR="00D5140F">
        <w:t xml:space="preserve">Gramajo also sought declaratory and injunctive relief. </w:t>
      </w:r>
      <w:r>
        <w:t xml:space="preserve"> </w:t>
      </w:r>
    </w:p>
    <w:p w:rsidR="00EC3BFE" w:rsidP="008D75BD" w14:paraId="61221348" w14:textId="54A45C1E">
      <w:pPr>
        <w:spacing w:after="0"/>
        <w:ind w:firstLine="720"/>
      </w:pPr>
      <w:r>
        <w:t xml:space="preserve">After </w:t>
      </w:r>
      <w:r w:rsidR="00D5140F">
        <w:t>nearly four</w:t>
      </w:r>
      <w:r>
        <w:t xml:space="preserve"> years </w:t>
      </w:r>
      <w:r w:rsidR="00D5140F">
        <w:t xml:space="preserve">of litigation and </w:t>
      </w:r>
      <w:r>
        <w:t xml:space="preserve">extensive discovery, the </w:t>
      </w:r>
      <w:r w:rsidR="00BA3B11">
        <w:t>matter was set for trial</w:t>
      </w:r>
      <w:r w:rsidR="007C6975">
        <w:t xml:space="preserve"> in October 2021.  Gramajo</w:t>
      </w:r>
      <w:r w:rsidR="00BA3B11">
        <w:t xml:space="preserve"> sought </w:t>
      </w:r>
      <w:r w:rsidRPr="008D75BD" w:rsidR="00BA3B11">
        <w:t xml:space="preserve">$26,159.33 </w:t>
      </w:r>
      <w:r w:rsidR="00BA3B11">
        <w:t>in unpaid minimum and overtime wages, missed meal and rest breaks, waiting time penalties, and unreimbursed expenses.</w:t>
      </w:r>
      <w:r w:rsidRPr="008D75BD" w:rsidR="00BA3B11">
        <w:t xml:space="preserve"> </w:t>
      </w:r>
      <w:r w:rsidR="00BA3B11">
        <w:t xml:space="preserve"> </w:t>
      </w:r>
      <w:r w:rsidR="00671A84">
        <w:t>After a seven-day trial, t</w:t>
      </w:r>
      <w:r>
        <w:t>he jury found in favor of Gramajo on his minimum wage and overtime causes of action</w:t>
      </w:r>
      <w:r w:rsidR="008D75BD">
        <w:t xml:space="preserve">.  </w:t>
      </w:r>
      <w:r w:rsidR="00671A84">
        <w:t>The jury</w:t>
      </w:r>
      <w:r>
        <w:t xml:space="preserve"> awarded Gramajo $2.17 in unpaid minimum wages and $3,340 in unpaid overtime wages.  </w:t>
      </w:r>
      <w:r w:rsidR="007C6975">
        <w:t xml:space="preserve">In total, </w:t>
      </w:r>
      <w:r>
        <w:t xml:space="preserve">Gramajo recovered </w:t>
      </w:r>
      <w:r w:rsidR="008D75BD">
        <w:t xml:space="preserve">$7,659.63, consisting of the unpaid minimum </w:t>
      </w:r>
      <w:r>
        <w:t xml:space="preserve">and overtime wages; $2,115.59 in </w:t>
      </w:r>
      <w:r w:rsidR="00F36A43">
        <w:t xml:space="preserve">statutory </w:t>
      </w:r>
      <w:r>
        <w:t xml:space="preserve">interest; $2,100 </w:t>
      </w:r>
      <w:r w:rsidR="007C6975">
        <w:t>in</w:t>
      </w:r>
      <w:r>
        <w:t xml:space="preserve"> waiting time penalties calculated at the daily wage rate of $70 per day for thirty days per Labor Code section 203; </w:t>
      </w:r>
      <w:r w:rsidR="007C6975">
        <w:t xml:space="preserve">$2.17 in </w:t>
      </w:r>
      <w:r>
        <w:t xml:space="preserve">liquidated damages; and </w:t>
      </w:r>
      <w:r w:rsidR="007C6975">
        <w:t xml:space="preserve">$100 in </w:t>
      </w:r>
      <w:r>
        <w:t>statutory penalties.</w:t>
      </w:r>
      <w:r w:rsidR="000B6FA9">
        <w:t xml:space="preserve">  </w:t>
      </w:r>
    </w:p>
    <w:p w:rsidR="008D75BD" w:rsidP="008D75BD" w14:paraId="059FE42D" w14:textId="31BEBF41">
      <w:pPr>
        <w:spacing w:after="0"/>
        <w:ind w:firstLine="720"/>
      </w:pPr>
      <w:r>
        <w:t>Gramajo moved for attorney fees totaling $296,920</w:t>
      </w:r>
      <w:r w:rsidR="005F722D">
        <w:t xml:space="preserve"> for</w:t>
      </w:r>
      <w:r>
        <w:t xml:space="preserve"> </w:t>
      </w:r>
      <w:r w:rsidR="005F722D">
        <w:t>228.4</w:t>
      </w:r>
      <w:r>
        <w:t xml:space="preserve"> hours billed</w:t>
      </w:r>
      <w:r w:rsidR="005F722D">
        <w:t xml:space="preserve"> at $650 per hour and applying a multiplier of two.  </w:t>
      </w:r>
      <w:r>
        <w:t>Gramajo also requested $26,932.84 in costs.  Joe’s Pizza opposed the fee request and moved to tax Gramajo’s costs</w:t>
      </w:r>
      <w:r w:rsidR="005F722D">
        <w:t xml:space="preserve"> in their entirety</w:t>
      </w:r>
      <w:r>
        <w:t>.</w:t>
      </w:r>
      <w:r w:rsidR="0003474B">
        <w:t xml:space="preserve">  </w:t>
      </w:r>
    </w:p>
    <w:p w:rsidR="00E337CF" w:rsidP="00BD3E42" w14:paraId="4CDBDF0F" w14:textId="5FEDFA7F">
      <w:pPr>
        <w:spacing w:after="0"/>
        <w:ind w:firstLine="720"/>
      </w:pPr>
      <w:r>
        <w:t xml:space="preserve">The trial court denied Gramajo’s fee request and granted </w:t>
      </w:r>
      <w:r w:rsidR="00671A84">
        <w:t>Joe’s Pizza’s</w:t>
      </w:r>
      <w:r>
        <w:t xml:space="preserve"> motion to tax costs, </w:t>
      </w:r>
      <w:r w:rsidR="00421784">
        <w:t xml:space="preserve">ultimately </w:t>
      </w:r>
      <w:r>
        <w:t>awarding Gramajo no</w:t>
      </w:r>
      <w:r w:rsidR="00671A84">
        <w:t>thing</w:t>
      </w:r>
      <w:r>
        <w:t xml:space="preserve">.  </w:t>
      </w:r>
      <w:r w:rsidR="00671A84">
        <w:t>T</w:t>
      </w:r>
      <w:r>
        <w:t>he trial court found Gramajo acted in bad faith by artificially inflat</w:t>
      </w:r>
      <w:r w:rsidR="005F722D">
        <w:t>ing</w:t>
      </w:r>
      <w:r>
        <w:t xml:space="preserve"> his </w:t>
      </w:r>
      <w:r w:rsidR="002D013C">
        <w:t>damages</w:t>
      </w:r>
      <w:r>
        <w:t xml:space="preserve"> figure and includ</w:t>
      </w:r>
      <w:r w:rsidR="005F722D">
        <w:t>ing</w:t>
      </w:r>
      <w:r>
        <w:t xml:space="preserve"> equity claims he never intended to pursue </w:t>
      </w:r>
      <w:r w:rsidR="00671A84">
        <w:t>to justify</w:t>
      </w:r>
      <w:r w:rsidR="00421784">
        <w:t xml:space="preserve"> </w:t>
      </w:r>
      <w:r w:rsidR="00671A84">
        <w:t>filing the case</w:t>
      </w:r>
      <w:r w:rsidR="00421784">
        <w:t xml:space="preserve"> as an unlimited civil proceeding</w:t>
      </w:r>
      <w:r>
        <w:t xml:space="preserve">.  </w:t>
      </w:r>
      <w:r w:rsidR="005F722D">
        <w:t>The trial court</w:t>
      </w:r>
      <w:r w:rsidR="002D013C">
        <w:t xml:space="preserve"> noted Gramajo sought $26,159.33 at trial, just over the jurisdictional amount, which included $10,822.16 in unreimbursed expenses</w:t>
      </w:r>
      <w:r w:rsidR="00D02497">
        <w:t>.  In trial</w:t>
      </w:r>
      <w:r w:rsidR="00BB7351">
        <w:t>,</w:t>
      </w:r>
      <w:r w:rsidR="00C140B6">
        <w:t xml:space="preserve"> however, </w:t>
      </w:r>
      <w:r w:rsidR="00421784">
        <w:t>Gramajo never</w:t>
      </w:r>
      <w:r w:rsidR="005F722D">
        <w:t xml:space="preserve"> introduced any evidence to support</w:t>
      </w:r>
      <w:r w:rsidR="002D013C">
        <w:t xml:space="preserve"> </w:t>
      </w:r>
      <w:r w:rsidR="00C140B6">
        <w:t xml:space="preserve">his expense </w:t>
      </w:r>
      <w:r w:rsidR="002D013C">
        <w:t xml:space="preserve">claim.  </w:t>
      </w:r>
      <w:r w:rsidR="00C140B6">
        <w:t xml:space="preserve">Similarly, </w:t>
      </w:r>
      <w:r w:rsidR="00671A84">
        <w:t xml:space="preserve">Gramajo </w:t>
      </w:r>
      <w:r w:rsidR="000667B5">
        <w:t>never pursued</w:t>
      </w:r>
      <w:r w:rsidR="005F722D">
        <w:t xml:space="preserve"> injunctive or declaratory relief</w:t>
      </w:r>
      <w:r w:rsidR="00671A84">
        <w:t xml:space="preserve"> at trial</w:t>
      </w:r>
      <w:r w:rsidR="005F722D">
        <w:t xml:space="preserve"> despite requesting that relief in his complaint.</w:t>
      </w:r>
      <w:r w:rsidR="002D013C">
        <w:t xml:space="preserve">  </w:t>
      </w:r>
      <w:r w:rsidR="00671A84">
        <w:t xml:space="preserve">The trial court </w:t>
      </w:r>
      <w:r w:rsidR="00BD3E42">
        <w:t xml:space="preserve">also </w:t>
      </w:r>
      <w:r w:rsidR="00671A84">
        <w:t xml:space="preserve">found the case </w:t>
      </w:r>
      <w:r w:rsidR="00C140B6">
        <w:t>was</w:t>
      </w:r>
      <w:r w:rsidR="00671A84">
        <w:t xml:space="preserve"> severely over litigated, noting Gramajo had propounded 15 sets of written discovery requests and noticed 14 depositions despite only admitting 12 exhibits at trial. </w:t>
      </w:r>
      <w:r w:rsidR="000667B5">
        <w:t xml:space="preserve"> </w:t>
      </w:r>
      <w:r w:rsidR="00BD3E42">
        <w:t xml:space="preserve">In denying Gramajo’s request for litigation costs, the trial court stated:  </w:t>
      </w:r>
      <w:r w:rsidR="002D013C">
        <w:t>“Plaintiff’s case clearly should have been brought in limited jurisdiction, was extremely straightforward, and demanded very little skill.  Despite this, Plaintiff’s counsel repeatedly engaged in conduct which evinced a prioritization of gamesmanship over professionalism and which bore no proportional relationship to the work actually required to litigate the underlying claims</w:t>
      </w:r>
      <w:r w:rsidR="00192B05">
        <w:t>.</w:t>
      </w:r>
      <w:r w:rsidR="00421784">
        <w:t xml:space="preserve"> . . . [</w:t>
      </w:r>
      <w:r w:rsidR="00BF0843">
        <w:t>¶</w:t>
      </w:r>
      <w:r w:rsidR="00421784">
        <w:t xml:space="preserve">] . . . In light of the fact that this case should </w:t>
      </w:r>
      <w:r w:rsidR="00F06675">
        <w:t xml:space="preserve">never </w:t>
      </w:r>
      <w:r w:rsidR="00421784">
        <w:t xml:space="preserve">have been filed in this jurisdiction, the gross disproportionality in the hours billed-for and the success obtained, and Plaintiff’s counsel bad faith tactics, the </w:t>
      </w:r>
      <w:r w:rsidR="00BF0843">
        <w:t>[c]</w:t>
      </w:r>
      <w:r w:rsidR="00421784">
        <w:t>ourt finds the fee request to be so unreasonably inflated as to justify zero attorney fees recovered.”</w:t>
      </w:r>
      <w:r w:rsidR="002D013C">
        <w:t xml:space="preserve">  </w:t>
      </w:r>
      <w:r w:rsidR="00F36A43">
        <w:t>The trial court denied Gramajo’s costs on the same grounds.</w:t>
      </w:r>
    </w:p>
    <w:p w:rsidR="00790141" w:rsidP="00E337CF" w14:paraId="410A795B" w14:textId="2C16FC6B">
      <w:pPr>
        <w:spacing w:after="0"/>
      </w:pPr>
      <w:r>
        <w:tab/>
        <w:t xml:space="preserve">Gramajo separately appealed </w:t>
      </w:r>
      <w:r w:rsidR="000667B5">
        <w:t>the trial court’s orders denying his fees and granting Joe’s Pizza’s motion to tax costs</w:t>
      </w:r>
      <w:r>
        <w:t>.</w:t>
      </w:r>
      <w:r w:rsidR="00C140B6">
        <w:t xml:space="preserve"> </w:t>
      </w:r>
      <w:r>
        <w:t xml:space="preserve"> </w:t>
      </w:r>
      <w:r w:rsidR="00605AE6">
        <w:t>We consolidated the appeals for purposes of opinion and oral argument.</w:t>
      </w:r>
    </w:p>
    <w:p w:rsidR="00FC746B" w:rsidRPr="00690BEE" w:rsidP="00AB44BE" w14:paraId="49DE73D8" w14:textId="77777777">
      <w:pPr>
        <w:keepNext/>
        <w:keepLines/>
        <w:spacing w:after="0"/>
        <w:jc w:val="center"/>
        <w:rPr>
          <w:b/>
          <w:bCs/>
          <w:szCs w:val="26"/>
        </w:rPr>
      </w:pPr>
      <w:r w:rsidRPr="00A6535E">
        <w:rPr>
          <w:b/>
          <w:bCs/>
          <w:szCs w:val="26"/>
        </w:rPr>
        <w:t>DISCUSSION</w:t>
      </w:r>
    </w:p>
    <w:p w:rsidR="00BD3E42" w:rsidP="00672228" w14:paraId="4A93A0F6" w14:textId="3040EC98">
      <w:pPr>
        <w:pStyle w:val="IndentNormal"/>
      </w:pPr>
      <w:r>
        <w:t xml:space="preserve">On appeal, </w:t>
      </w:r>
      <w:r w:rsidR="00E337CF">
        <w:t xml:space="preserve">Gramajo </w:t>
      </w:r>
      <w:r w:rsidR="00605AE6">
        <w:t xml:space="preserve">argues </w:t>
      </w:r>
      <w:r w:rsidR="00AF3B5D">
        <w:t xml:space="preserve">he is entitled to his reasonable </w:t>
      </w:r>
      <w:r>
        <w:t xml:space="preserve">litigation </w:t>
      </w:r>
      <w:r w:rsidR="00AF3B5D">
        <w:t>costs under Labor Code section 1194,</w:t>
      </w:r>
      <w:r w:rsidR="00BB7351">
        <w:t xml:space="preserve"> subdivision (a)</w:t>
      </w:r>
      <w:r w:rsidR="00B734EB">
        <w:t>,</w:t>
      </w:r>
      <w:r w:rsidR="00AF3B5D">
        <w:t xml:space="preserve"> and that </w:t>
      </w:r>
      <w:r w:rsidR="00605AE6">
        <w:t xml:space="preserve">the trial court abused its discretion </w:t>
      </w:r>
      <w:r w:rsidR="005A7617">
        <w:t>by relying</w:t>
      </w:r>
      <w:r w:rsidR="00AF3B5D">
        <w:t xml:space="preserve"> on Code of Civil Procedure section 1033, subdivision (a)</w:t>
      </w:r>
      <w:r w:rsidR="00B734EB">
        <w:t>,</w:t>
      </w:r>
      <w:r w:rsidR="00AF3B5D">
        <w:t xml:space="preserve"> to deny </w:t>
      </w:r>
      <w:r w:rsidR="003F0E36">
        <w:t xml:space="preserve">his </w:t>
      </w:r>
      <w:r>
        <w:t>litigation</w:t>
      </w:r>
      <w:r w:rsidR="00AF3B5D">
        <w:t xml:space="preserve"> costs</w:t>
      </w:r>
      <w:r w:rsidR="005A7617">
        <w:t xml:space="preserve"> in their entirety</w:t>
      </w:r>
      <w:r w:rsidR="00AF3B5D">
        <w:t>.</w:t>
      </w:r>
      <w:r w:rsidR="002F258F">
        <w:t xml:space="preserve">  </w:t>
      </w:r>
    </w:p>
    <w:p w:rsidR="00672228" w:rsidP="00672228" w14:paraId="760F12DC" w14:textId="33A820ED">
      <w:pPr>
        <w:pStyle w:val="IndentNormal"/>
      </w:pPr>
      <w:r>
        <w:t xml:space="preserve">Without expressing any opinion on the reasonableness of Gramajo’s </w:t>
      </w:r>
      <w:r w:rsidR="00BD3E42">
        <w:t>requests</w:t>
      </w:r>
      <w:r w:rsidR="002B1526">
        <w:t xml:space="preserve"> or whether </w:t>
      </w:r>
      <w:r w:rsidR="00BD3E42">
        <w:t>the</w:t>
      </w:r>
      <w:r w:rsidR="002B1526">
        <w:t xml:space="preserve"> case should have been filed in </w:t>
      </w:r>
      <w:r w:rsidR="003F0E36">
        <w:t>limited</w:t>
      </w:r>
      <w:r w:rsidR="002B1526">
        <w:t xml:space="preserve"> jurisdiction</w:t>
      </w:r>
      <w:r>
        <w:t xml:space="preserve">, we </w:t>
      </w:r>
      <w:r w:rsidR="003F0E36">
        <w:t xml:space="preserve">hold Gramajo was entitled to an award of his reasonable litigation costs under Labor Code section 1194, subdivision (a), and </w:t>
      </w:r>
      <w:r w:rsidR="00F75907">
        <w:t xml:space="preserve">the trial court erred </w:t>
      </w:r>
      <w:r w:rsidR="003F0E36">
        <w:t>when it relied on Code of Civil Procedure section 1033, subdivision (a)</w:t>
      </w:r>
      <w:r w:rsidR="00B734EB">
        <w:t>,</w:t>
      </w:r>
      <w:r w:rsidR="003F0E36">
        <w:t xml:space="preserve"> to deny </w:t>
      </w:r>
      <w:r w:rsidR="00BF0843">
        <w:t>th</w:t>
      </w:r>
      <w:r w:rsidR="00B374FF">
        <w:t>o</w:t>
      </w:r>
      <w:r w:rsidR="00BF0843">
        <w:t>se</w:t>
      </w:r>
      <w:r w:rsidR="003F0E36">
        <w:t xml:space="preserve"> costs in their entirety.  </w:t>
      </w:r>
    </w:p>
    <w:p w:rsidR="00C86401" w:rsidRPr="00C86401" w:rsidP="00C86401" w14:paraId="3D5FEFE8" w14:textId="2DFB7D9D">
      <w:pPr>
        <w:pStyle w:val="Style1"/>
        <w:keepNext/>
        <w:keepLines/>
        <w:numPr>
          <w:ilvl w:val="0"/>
          <w:numId w:val="16"/>
        </w:numPr>
      </w:pPr>
      <w:r>
        <w:t xml:space="preserve">Standard of review and </w:t>
      </w:r>
      <w:r w:rsidR="00330347">
        <w:t>rules of statutory interpretation</w:t>
      </w:r>
    </w:p>
    <w:p w:rsidR="002B1526" w:rsidP="00C86401" w14:paraId="3CD13DBF" w14:textId="0F29E529">
      <w:pPr>
        <w:pStyle w:val="IndentNormal"/>
      </w:pPr>
      <w:r>
        <w:t>Generally, we review a trial court’s award of fees and costs for abuse of discretion.  (</w:t>
      </w:r>
      <w:r w:rsidRPr="007A243A">
        <w:rPr>
          <w:i/>
          <w:iCs/>
        </w:rPr>
        <w:t>Frei v. Davey</w:t>
      </w:r>
      <w:r>
        <w:t xml:space="preserve"> (2004) 124 Cal.App.4th 1506, 1512.)  However, when the determination of whether a party was entitled</w:t>
      </w:r>
      <w:r w:rsidR="00B734EB">
        <w:t xml:space="preserve"> to</w:t>
      </w:r>
      <w:r>
        <w:t xml:space="preserve"> its attorney fees and costs is a matter of statutory construction and presents a question of law, our review is de novo.  (</w:t>
      </w:r>
      <w:r w:rsidRPr="007A243A">
        <w:rPr>
          <w:i/>
          <w:iCs/>
        </w:rPr>
        <w:t>Carver v. Chevron U.S.A., Inc.</w:t>
      </w:r>
      <w:r>
        <w:t xml:space="preserve"> (2002) 97 Cal.App.4th 132, 142.)</w:t>
      </w:r>
      <w:r w:rsidR="00B734EB">
        <w:t xml:space="preserve">  </w:t>
      </w:r>
    </w:p>
    <w:p w:rsidR="002F2290" w:rsidP="002F2290" w14:paraId="34DCC18C" w14:textId="1979C4EE">
      <w:pPr>
        <w:pStyle w:val="IndentNormal"/>
      </w:pPr>
      <w:r>
        <w:t>“Where, as here, we are called upon to interpret two seemingly inconsistent statutes to determine which applies under a particular set of facts, our goal is to harmonize the law [citation] and avoid an interpretation that requires one statute to be ignored.”  (</w:t>
      </w:r>
      <w:r w:rsidRPr="0099573D">
        <w:rPr>
          <w:i/>
          <w:iCs/>
        </w:rPr>
        <w:t>Chatsky &amp; Associates v. Superior Court</w:t>
      </w:r>
      <w:r>
        <w:t xml:space="preserve"> (2004) 117</w:t>
      </w:r>
      <w:r w:rsidR="00B734EB">
        <w:t> </w:t>
      </w:r>
      <w:r>
        <w:t>Cal.App.4th 873, 876.)</w:t>
      </w:r>
      <w:r w:rsidRPr="002F2290">
        <w:t xml:space="preserve"> </w:t>
      </w:r>
      <w:r>
        <w:t xml:space="preserve"> “Moreover, in looking at the relationship between two statutes, ‘[l]iteral construction should not prevail if it is contrary to the legislative intent apparent in the statute.  The intent prevails over the letter, and the letter will, if possible, be so read as to conform to the spirit of the act.  [Citations.]  An interpretation that renders related provisions nugatory must be avoided.  [Citation.] . . . [E]ach sentence must be read not in isolation but in the light of the statutory scheme [citation]; and if a statute is amenable to two alternative interpretations, the one that leads to the more reasonable result will be followed.’ ”  (</w:t>
      </w:r>
      <w:r w:rsidRPr="00021FA7">
        <w:rPr>
          <w:i/>
          <w:iCs/>
        </w:rPr>
        <w:t>McLaughlin v. State Bd. of Educ.</w:t>
      </w:r>
      <w:r>
        <w:t xml:space="preserve"> (1999) 75</w:t>
      </w:r>
      <w:r w:rsidR="00B734EB">
        <w:t> </w:t>
      </w:r>
      <w:r>
        <w:t>Cal.App.4th 196, 211.)</w:t>
      </w:r>
      <w:r w:rsidR="00E129D7">
        <w:t xml:space="preserve">  </w:t>
      </w:r>
    </w:p>
    <w:p w:rsidR="00E129D7" w:rsidP="00596A8F" w14:paraId="23B94831" w14:textId="6C2C4A47">
      <w:pPr>
        <w:pStyle w:val="IndentNormal"/>
      </w:pPr>
      <w:r>
        <w:t>“ ‘The courts assume that in enacting a statute the Legislature was aware of existing, related laws and intended to maintain a consistent body of statutes.  [Citations.]  Thus there is a presumption against repeals by implication; they will occur only where the two acts are so inconsistent that there is no possibility of concurrent operation, or where the later provision gives undebatable evidence of an intent to supersede the earlier; the courts are bound to maintain the integrity of both statutes if they may stand together.’ ”  (</w:t>
      </w:r>
      <w:r w:rsidRPr="00021FA7">
        <w:rPr>
          <w:i/>
          <w:iCs/>
        </w:rPr>
        <w:t>Hays v. Wood</w:t>
      </w:r>
      <w:r>
        <w:t xml:space="preserve"> (1979) 25 Cal.3d 772, 784.)  “</w:t>
      </w:r>
      <w:r w:rsidR="00B374FF">
        <w:t> </w:t>
      </w:r>
      <w:r>
        <w:t>‘To overcome the presumption the two acts must be irreconcilable, clearly repugnant, and so inconsistent that the two cannot have concurrent operation.  The courts are bound, if possible, to maintain the integrity of both statutes if the two may stand together.’ ”  (</w:t>
      </w:r>
      <w:r w:rsidRPr="00E129D7">
        <w:rPr>
          <w:i/>
          <w:iCs/>
        </w:rPr>
        <w:t>Western Oil &amp; Gas Assn. v. Monterey Bay Unified Air Pollution Control Dist.</w:t>
      </w:r>
      <w:r>
        <w:t xml:space="preserve"> (1989) 49 Cal.3d 408, 419–420</w:t>
      </w:r>
      <w:r w:rsidR="00596A8F">
        <w:t xml:space="preserve"> (</w:t>
      </w:r>
      <w:r w:rsidRPr="00596A8F" w:rsidR="00596A8F">
        <w:rPr>
          <w:i/>
          <w:iCs/>
        </w:rPr>
        <w:t>Western Oil</w:t>
      </w:r>
      <w:r w:rsidR="00596A8F">
        <w:t>)</w:t>
      </w:r>
      <w:r>
        <w:t xml:space="preserve">.)  </w:t>
      </w:r>
    </w:p>
    <w:p w:rsidR="002F2290" w:rsidP="002F2290" w14:paraId="34024167" w14:textId="77777777">
      <w:pPr>
        <w:pStyle w:val="Style1"/>
        <w:keepNext/>
        <w:keepLines/>
        <w:numPr>
          <w:ilvl w:val="0"/>
          <w:numId w:val="16"/>
        </w:numPr>
      </w:pPr>
      <w:r>
        <w:t>Labor Code section 1194 and Code of Civil Procedure section 1033</w:t>
      </w:r>
    </w:p>
    <w:p w:rsidR="002F2290" w:rsidP="002F2290" w14:paraId="5593E609" w14:textId="7F000080">
      <w:pPr>
        <w:pStyle w:val="IndentNormal"/>
      </w:pPr>
      <w:r>
        <w:t xml:space="preserve">Labor Code section 1194, subdivision (a) </w:t>
      </w:r>
      <w:r w:rsidR="0084671F">
        <w:t>provide</w:t>
      </w:r>
      <w:r>
        <w:t>s:  “[A]</w:t>
      </w:r>
      <w:r w:rsidRPr="00013E52">
        <w:t>ny employee receiving less than the legal minimum wage or the legal overtime compensation applicable to the employee is entitled to recover in a civil action the unpaid balance of the full amount of this minimum wage or overtime compensation, including interest thereon, reasonable attorney</w:t>
      </w:r>
      <w:r>
        <w:t>’</w:t>
      </w:r>
      <w:r w:rsidRPr="00013E52">
        <w:t>s fees, and costs of suit.</w:t>
      </w:r>
      <w:r>
        <w:t xml:space="preserve">”  </w:t>
      </w:r>
      <w:r w:rsidR="0084671F">
        <w:t xml:space="preserve">The statute is </w:t>
      </w:r>
      <w:r w:rsidR="00B374FF">
        <w:t xml:space="preserve">a one-way fee shifting </w:t>
      </w:r>
      <w:r w:rsidR="0084671F">
        <w:t>provision</w:t>
      </w:r>
      <w:r w:rsidR="00B374FF">
        <w:t xml:space="preserve">, whose purpose is </w:t>
      </w:r>
      <w:r w:rsidR="00D70395">
        <w:t xml:space="preserve">to </w:t>
      </w:r>
      <w:r w:rsidR="00B374FF">
        <w:t>disincentivize violation</w:t>
      </w:r>
      <w:r w:rsidR="00D70395">
        <w:t>s</w:t>
      </w:r>
      <w:r w:rsidR="00B374FF">
        <w:t xml:space="preserve"> of </w:t>
      </w:r>
      <w:r w:rsidR="00D70395">
        <w:t xml:space="preserve">our </w:t>
      </w:r>
      <w:r w:rsidR="00B374FF">
        <w:t>minimum and overtime wage laws.</w:t>
      </w:r>
      <w:r w:rsidR="00B442DC">
        <w:t xml:space="preserve">  (</w:t>
      </w:r>
      <w:r w:rsidRPr="002B1526" w:rsidR="00B442DC">
        <w:rPr>
          <w:i/>
          <w:iCs/>
        </w:rPr>
        <w:t>Eicher v. Advanced Business Integrators, Inc.</w:t>
      </w:r>
      <w:r w:rsidR="00B442DC">
        <w:t xml:space="preserve"> (2007) 151 Cal.App.4th 1363, 1380.)  </w:t>
      </w:r>
    </w:p>
    <w:p w:rsidR="002F2290" w:rsidP="002F2290" w14:paraId="242A9EDE" w14:textId="75D03383">
      <w:pPr>
        <w:pStyle w:val="IndentNormal"/>
      </w:pPr>
      <w:r>
        <w:t>Code of Civil Procedure section 1033, subdivision (a) provides:</w:t>
      </w:r>
      <w:r w:rsidR="00B734EB">
        <w:t xml:space="preserve"> </w:t>
      </w:r>
      <w:r>
        <w:t xml:space="preserve"> “Costs or any portion of claimed costs shall be as determined by the court in its discretion in a case other than a limited civil case in accordance with Section 1034 where the prevailing party recovers a judgment that could have been rendered in a limited civil case.”  Our Supreme Court has explained Code of Civil Procedure section 1033, subdivision (a) “applies when a plaintiff has obtained a judgment for money damages in an amount (now $25,000 or less) that could have been recovered in a limited civil case, but the plaintiff did not bring the action as a limited civil case and thus did not take advantage of the cost- and time-saving advantages of limited civil case procedures.”  (</w:t>
      </w:r>
      <w:r w:rsidRPr="00013E52">
        <w:rPr>
          <w:i/>
          <w:iCs/>
        </w:rPr>
        <w:t>Chavez v. City of Los Angeles</w:t>
      </w:r>
      <w:r>
        <w:t xml:space="preserve"> (2010) 47 Cal.4th 970, 982–983</w:t>
      </w:r>
      <w:r w:rsidR="00B1371D">
        <w:t xml:space="preserve"> </w:t>
      </w:r>
      <w:r w:rsidR="00B442DC">
        <w:t>(</w:t>
      </w:r>
      <w:r w:rsidR="00B442DC">
        <w:rPr>
          <w:i/>
          <w:iCs/>
        </w:rPr>
        <w:t>Chavez</w:t>
      </w:r>
      <w:r w:rsidR="00B442DC">
        <w:t>)</w:t>
      </w:r>
      <w:r>
        <w:t xml:space="preserve">.)  </w:t>
      </w:r>
      <w:r w:rsidR="00B442DC">
        <w:t>Code of Civil Procedure section 1033, subdivision (a)</w:t>
      </w:r>
      <w:r w:rsidR="00B734EB">
        <w:t>,</w:t>
      </w:r>
      <w:r w:rsidR="00D225DA">
        <w:t xml:space="preserve"> gives</w:t>
      </w:r>
      <w:r w:rsidR="00B442DC">
        <w:t xml:space="preserve"> the trial court discretion to deny litigation costs to a plaintiff, who would otherwise be entitled to those costs as a matter of right.</w:t>
      </w:r>
      <w:r>
        <w:t xml:space="preserve">  (</w:t>
      </w:r>
      <w:r>
        <w:rPr>
          <w:i/>
          <w:iCs/>
        </w:rPr>
        <w:t>Chavez</w:t>
      </w:r>
      <w:r>
        <w:t xml:space="preserve">, at p. 983.)  </w:t>
      </w:r>
      <w:r w:rsidR="00D225DA">
        <w:t xml:space="preserve">The purpose of the statute </w:t>
      </w:r>
      <w:r>
        <w:t>“is to encourage plaintiffs to bring their actions as limited civil actions whenever it is reasonably practicable to do so.</w:t>
      </w:r>
      <w:r w:rsidR="00D225DA">
        <w:t>”  (</w:t>
      </w:r>
      <w:r w:rsidR="00D225DA">
        <w:rPr>
          <w:i/>
          <w:iCs/>
        </w:rPr>
        <w:t>Id</w:t>
      </w:r>
      <w:r w:rsidRPr="000D4527" w:rsidR="00D225DA">
        <w:t>.</w:t>
      </w:r>
      <w:r w:rsidR="00D225DA">
        <w:rPr>
          <w:i/>
          <w:iCs/>
        </w:rPr>
        <w:t xml:space="preserve"> </w:t>
      </w:r>
      <w:r w:rsidR="00D225DA">
        <w:t>at p. 988</w:t>
      </w:r>
      <w:bookmarkStart w:id="2" w:name="_Hlk158919817"/>
      <w:r w:rsidR="00D225DA">
        <w:t>.)</w:t>
      </w:r>
      <w:bookmarkEnd w:id="2"/>
    </w:p>
    <w:p w:rsidR="00330347" w:rsidP="00330347" w14:paraId="4C476D9E" w14:textId="02AE7DBF">
      <w:pPr>
        <w:pStyle w:val="Style1"/>
        <w:keepNext/>
        <w:keepLines/>
        <w:numPr>
          <w:ilvl w:val="0"/>
          <w:numId w:val="16"/>
        </w:numPr>
      </w:pPr>
      <w:r>
        <w:t xml:space="preserve">The trial court did not have discretion to deny Gramajo’s </w:t>
      </w:r>
      <w:r w:rsidR="005666CC">
        <w:t>fees and costs in their entirety under C</w:t>
      </w:r>
      <w:r w:rsidR="003E511E">
        <w:t xml:space="preserve">ode of </w:t>
      </w:r>
      <w:r w:rsidR="005666CC">
        <w:t>C</w:t>
      </w:r>
      <w:r w:rsidR="003E511E">
        <w:t xml:space="preserve">ivil </w:t>
      </w:r>
      <w:r w:rsidR="005666CC">
        <w:t>P</w:t>
      </w:r>
      <w:r w:rsidR="003E511E">
        <w:t>rocedure section</w:t>
      </w:r>
      <w:r w:rsidR="005666CC">
        <w:t xml:space="preserve"> 1033</w:t>
      </w:r>
      <w:r w:rsidR="003E511E">
        <w:t xml:space="preserve">, subdivision </w:t>
      </w:r>
      <w:r w:rsidR="005666CC">
        <w:t>(a)</w:t>
      </w:r>
    </w:p>
    <w:p w:rsidR="00B442DC" w:rsidP="00B442DC" w14:paraId="7489FD65" w14:textId="168987C9">
      <w:pPr>
        <w:pStyle w:val="IndentNormal"/>
      </w:pPr>
      <w:r>
        <w:t>As an initial matter, we must determine whether Code of Civil Procedure section 1033, subdivision (a)</w:t>
      </w:r>
      <w:r w:rsidR="00FF59CF">
        <w:t>,</w:t>
      </w:r>
      <w:r>
        <w:t xml:space="preserve"> and Labor Code section 1194, subdivision (a)</w:t>
      </w:r>
      <w:r w:rsidR="00FF59CF">
        <w:t>,</w:t>
      </w:r>
      <w:r>
        <w:t xml:space="preserve"> are irreconcilable such that concurrent operation is impossible.  (</w:t>
      </w:r>
      <w:r w:rsidRPr="00E129D7">
        <w:rPr>
          <w:i/>
          <w:iCs/>
        </w:rPr>
        <w:t>Western Oil</w:t>
      </w:r>
      <w:r>
        <w:t>,</w:t>
      </w:r>
      <w:r>
        <w:rPr>
          <w:i/>
          <w:iCs/>
        </w:rPr>
        <w:t xml:space="preserve"> supra</w:t>
      </w:r>
      <w:r>
        <w:t>, 49</w:t>
      </w:r>
      <w:r w:rsidR="00FF59CF">
        <w:t> </w:t>
      </w:r>
      <w:r>
        <w:t xml:space="preserve">Cal.3d at p. 420.)  </w:t>
      </w:r>
      <w:r w:rsidR="009F14A3">
        <w:t>W</w:t>
      </w:r>
      <w:r>
        <w:t xml:space="preserve">e conclude they are.  </w:t>
      </w:r>
    </w:p>
    <w:p w:rsidR="00B93768" w:rsidP="00BF0843" w14:paraId="416AF59C" w14:textId="4C5D1DE6">
      <w:pPr>
        <w:pStyle w:val="IndentNormal"/>
      </w:pPr>
      <w:r>
        <w:t>On the one hand, Code of Civil Procedure section 1033, subdivision (a)</w:t>
      </w:r>
      <w:r w:rsidR="00FF59CF">
        <w:t>,</w:t>
      </w:r>
      <w:r>
        <w:t xml:space="preserve"> gives the trial court discretion to deny </w:t>
      </w:r>
      <w:r w:rsidR="009F14A3">
        <w:t xml:space="preserve">litigation </w:t>
      </w:r>
      <w:r>
        <w:t xml:space="preserve">costs altogether </w:t>
      </w:r>
      <w:r w:rsidR="004F37F3">
        <w:t xml:space="preserve">when </w:t>
      </w:r>
      <w:r w:rsidR="00811254">
        <w:t>it finds the plaintiff failed to take advantage</w:t>
      </w:r>
      <w:r w:rsidR="00BB7351">
        <w:t xml:space="preserve"> of the</w:t>
      </w:r>
      <w:r w:rsidR="00811254">
        <w:t xml:space="preserve"> </w:t>
      </w:r>
      <w:r w:rsidR="006D1425">
        <w:t>efficiency</w:t>
      </w:r>
      <w:r w:rsidR="00D9799C">
        <w:t xml:space="preserve"> </w:t>
      </w:r>
      <w:r w:rsidR="00811254">
        <w:t xml:space="preserve">of a limited civil proceeding as evidenced by the plaintiff’s recovery of less than the </w:t>
      </w:r>
      <w:r w:rsidR="004F37F3">
        <w:t>jurisdictional threshold</w:t>
      </w:r>
      <w:r w:rsidR="00811254">
        <w:t>.</w:t>
      </w:r>
      <w:r w:rsidR="004F37F3">
        <w:t xml:space="preserve">  (</w:t>
      </w:r>
      <w:r w:rsidRPr="00013E52" w:rsidR="004F37F3">
        <w:rPr>
          <w:i/>
          <w:iCs/>
        </w:rPr>
        <w:t>Chavez</w:t>
      </w:r>
      <w:r w:rsidR="004F37F3">
        <w:t xml:space="preserve">, </w:t>
      </w:r>
      <w:r w:rsidR="004F37F3">
        <w:rPr>
          <w:i/>
          <w:iCs/>
        </w:rPr>
        <w:t>supra</w:t>
      </w:r>
      <w:r w:rsidR="004F37F3">
        <w:t xml:space="preserve">, 47 Cal.4th at p. 983.)  </w:t>
      </w:r>
    </w:p>
    <w:p w:rsidR="00B93768" w:rsidP="00BF0843" w14:paraId="75ACEEAD" w14:textId="4C0D9B08">
      <w:pPr>
        <w:pStyle w:val="IndentNormal"/>
      </w:pPr>
      <w:r>
        <w:t>On the other hand, Labor Code section 1194, subdivision (a)</w:t>
      </w:r>
      <w:r w:rsidR="00B03016">
        <w:t>,</w:t>
      </w:r>
      <w:r>
        <w:t xml:space="preserve"> provides for a mandatory award of reasonable litigation costs whe</w:t>
      </w:r>
      <w:r w:rsidR="00D225DA">
        <w:t>re</w:t>
      </w:r>
      <w:r>
        <w:t xml:space="preserve"> an employee </w:t>
      </w:r>
      <w:r w:rsidR="00D225DA">
        <w:t>prevails on</w:t>
      </w:r>
      <w:r>
        <w:t xml:space="preserve"> unpaid minimum and overtime wage</w:t>
      </w:r>
      <w:r w:rsidR="00D225DA">
        <w:t xml:space="preserve"> claims</w:t>
      </w:r>
      <w:r>
        <w:t xml:space="preserve"> irrespective of the amount recovered.  (</w:t>
      </w:r>
      <w:r w:rsidRPr="007A243A" w:rsidR="00D225DA">
        <w:rPr>
          <w:i/>
          <w:iCs/>
        </w:rPr>
        <w:t>Harrington v. Payroll Entertainment Services</w:t>
      </w:r>
      <w:r w:rsidRPr="007A243A" w:rsidR="00D225DA">
        <w:t>, Inc. (2008) 160 Cal.App.4th 589</w:t>
      </w:r>
      <w:r w:rsidR="00D225DA">
        <w:t xml:space="preserve">, </w:t>
      </w:r>
      <w:r w:rsidRPr="00733AC4" w:rsidR="00733AC4">
        <w:t>593–594</w:t>
      </w:r>
      <w:r w:rsidR="00D225DA">
        <w:t xml:space="preserve"> </w:t>
      </w:r>
      <w:r w:rsidRPr="007A243A" w:rsidR="00D225DA">
        <w:t>(</w:t>
      </w:r>
      <w:r w:rsidRPr="007A243A" w:rsidR="00D225DA">
        <w:rPr>
          <w:i/>
          <w:iCs/>
        </w:rPr>
        <w:t>Harrington</w:t>
      </w:r>
      <w:r w:rsidRPr="007A243A" w:rsidR="00D225DA">
        <w:t>)</w:t>
      </w:r>
      <w:r>
        <w:t xml:space="preserve">.)  </w:t>
      </w:r>
    </w:p>
    <w:p w:rsidR="00B93768" w:rsidP="00BF0843" w14:paraId="17AF1E9B" w14:textId="7604FCD0">
      <w:pPr>
        <w:pStyle w:val="IndentNormal"/>
      </w:pPr>
      <w:r>
        <w:t>Thus, o</w:t>
      </w:r>
      <w:r w:rsidR="00247372">
        <w:t>ne</w:t>
      </w:r>
      <w:r w:rsidR="00F51BBD">
        <w:t xml:space="preserve"> statute gives the trial court discretion to deny litigation costs based on the amount recovered while the other provides for a mandatory cost award regardless of th</w:t>
      </w:r>
      <w:r w:rsidR="00D225DA">
        <w:t xml:space="preserve">at </w:t>
      </w:r>
      <w:r w:rsidR="00F51BBD">
        <w:t xml:space="preserve">amount.  </w:t>
      </w:r>
      <w:r>
        <w:t xml:space="preserve">Nor does either </w:t>
      </w:r>
      <w:r w:rsidR="00D225DA">
        <w:t>statute address the question of which one should control in this area of overlap, for example, by including qualifying language such as “ </w:t>
      </w:r>
      <w:r w:rsidR="00BF0843">
        <w:t>‘[e]xcept as otherwise provided by statute</w:t>
      </w:r>
      <w:r>
        <w:t>’</w:t>
      </w:r>
      <w:r w:rsidR="00BF0843">
        <w:t xml:space="preserve"> or </w:t>
      </w:r>
      <w:r>
        <w:t>‘</w:t>
      </w:r>
      <w:r w:rsidR="00BF0843">
        <w:t>[n]otwithstanding any other provision of law.</w:t>
      </w:r>
      <w:r>
        <w:t>’ </w:t>
      </w:r>
      <w:r w:rsidR="00BF0843">
        <w:t>”</w:t>
      </w:r>
      <w:r>
        <w:t xml:space="preserve">  </w:t>
      </w:r>
      <w:r w:rsidR="00D225DA">
        <w:t>(</w:t>
      </w:r>
      <w:r w:rsidRPr="00B93768" w:rsidR="00D225DA">
        <w:rPr>
          <w:i/>
          <w:iCs/>
        </w:rPr>
        <w:t>Moreno v. Bassi</w:t>
      </w:r>
      <w:r w:rsidR="00D225DA">
        <w:t xml:space="preserve"> (2021) 65 Cal.App.5th 244, 257 (</w:t>
      </w:r>
      <w:r w:rsidR="00D225DA">
        <w:rPr>
          <w:i/>
          <w:iCs/>
        </w:rPr>
        <w:t>Moreno</w:t>
      </w:r>
      <w:r w:rsidR="00D225DA">
        <w:t>).)</w:t>
      </w:r>
      <w:r>
        <w:t xml:space="preserve">  Therefore</w:t>
      </w:r>
      <w:r w:rsidR="00D225DA">
        <w:t xml:space="preserve">, </w:t>
      </w:r>
      <w:r w:rsidR="00765D3B">
        <w:t xml:space="preserve">there is a discrepancy between the two </w:t>
      </w:r>
      <w:r w:rsidR="005E286A">
        <w:t>statutes</w:t>
      </w:r>
      <w:r w:rsidR="00765D3B">
        <w:t xml:space="preserve"> with respect to the trial court’s discretion to award or deny litigation</w:t>
      </w:r>
      <w:r w:rsidR="00247372">
        <w:t xml:space="preserve"> costs</w:t>
      </w:r>
      <w:r w:rsidR="00765D3B">
        <w:t xml:space="preserve"> </w:t>
      </w:r>
      <w:r w:rsidR="00D225DA">
        <w:t>where an employee recovers</w:t>
      </w:r>
      <w:r w:rsidR="00A2508B">
        <w:t xml:space="preserve"> unpaid minimum and overtime wages, but </w:t>
      </w:r>
      <w:r w:rsidR="00FD5947">
        <w:t xml:space="preserve">where </w:t>
      </w:r>
      <w:r w:rsidR="00D225DA">
        <w:t xml:space="preserve">his </w:t>
      </w:r>
      <w:r w:rsidR="00247372">
        <w:t xml:space="preserve">or her </w:t>
      </w:r>
      <w:r w:rsidR="00D225DA">
        <w:t>counsel seemingly</w:t>
      </w:r>
      <w:r w:rsidR="000E030C">
        <w:t xml:space="preserve"> overstate</w:t>
      </w:r>
      <w:r w:rsidR="00247372">
        <w:t>s</w:t>
      </w:r>
      <w:r w:rsidR="000E030C">
        <w:t xml:space="preserve"> the value of the case and file</w:t>
      </w:r>
      <w:r w:rsidR="00247372">
        <w:t>s</w:t>
      </w:r>
      <w:r w:rsidR="000E030C">
        <w:t xml:space="preserve"> </w:t>
      </w:r>
      <w:r w:rsidR="00A2508B">
        <w:t xml:space="preserve">in </w:t>
      </w:r>
      <w:r w:rsidR="000E030C">
        <w:t xml:space="preserve">the incorrect </w:t>
      </w:r>
      <w:r w:rsidR="00A2508B">
        <w:t xml:space="preserve">jurisdiction.  </w:t>
      </w:r>
      <w:r w:rsidR="00765D3B">
        <w:t xml:space="preserve">We find this discrepancy is an irreconcilable conflict that prevents the concurrent operation of the two statutes </w:t>
      </w:r>
      <w:r w:rsidR="00247372">
        <w:t>in the circumstances before us</w:t>
      </w:r>
      <w:r w:rsidR="00765D3B">
        <w:t>.</w:t>
      </w:r>
    </w:p>
    <w:p w:rsidR="00F51BBD" w:rsidP="00733AC4" w14:paraId="5690D4C6" w14:textId="24423592">
      <w:pPr>
        <w:pStyle w:val="IndentNormal"/>
      </w:pPr>
      <w:r>
        <w:t xml:space="preserve">Given our conclusion that </w:t>
      </w:r>
      <w:r w:rsidR="00B93768">
        <w:t>the statutes</w:t>
      </w:r>
      <w:r>
        <w:t xml:space="preserve"> conflict, we must decide which </w:t>
      </w:r>
      <w:r w:rsidR="00B93768">
        <w:t>one</w:t>
      </w:r>
      <w:r>
        <w:t xml:space="preserve"> controls.  </w:t>
      </w:r>
      <w:r w:rsidR="00B93768">
        <w:t>(</w:t>
      </w:r>
      <w:r w:rsidRPr="00E129D7" w:rsidR="00B93768">
        <w:rPr>
          <w:i/>
          <w:iCs/>
        </w:rPr>
        <w:t>Western Oil</w:t>
      </w:r>
      <w:r w:rsidR="00B93768">
        <w:t>,</w:t>
      </w:r>
      <w:r w:rsidR="00B93768">
        <w:rPr>
          <w:i/>
          <w:iCs/>
        </w:rPr>
        <w:t xml:space="preserve"> supra</w:t>
      </w:r>
      <w:r w:rsidR="00B93768">
        <w:t>, 49 Cal.3d at p.</w:t>
      </w:r>
      <w:r w:rsidR="00FF59CF">
        <w:t> </w:t>
      </w:r>
      <w:r w:rsidR="00B93768">
        <w:t xml:space="preserve">420.)  </w:t>
      </w:r>
      <w:r w:rsidR="000E030C">
        <w:t>We hold Labor Code section 1194, subdivision (a)</w:t>
      </w:r>
      <w:r w:rsidR="00FF59CF">
        <w:t>,</w:t>
      </w:r>
      <w:r w:rsidR="000E030C">
        <w:t xml:space="preserve"> controls given</w:t>
      </w:r>
      <w:r>
        <w:t xml:space="preserve"> the legislative intent behind Labor Code section 1194, subdivision (a), </w:t>
      </w:r>
      <w:r w:rsidR="00D02497">
        <w:t>and because</w:t>
      </w:r>
      <w:r>
        <w:t xml:space="preserve"> that </w:t>
      </w:r>
      <w:r w:rsidR="000E030C">
        <w:t>statute is more recently enacted and more specific relative to Code of Civil Procedure section 1033</w:t>
      </w:r>
      <w:r>
        <w:t>.</w:t>
      </w:r>
    </w:p>
    <w:p w:rsidR="00F51BBD" w:rsidP="005D2B7E" w14:paraId="37FF0B5B" w14:textId="2ED4320A">
      <w:pPr>
        <w:spacing w:after="0"/>
        <w:ind w:firstLine="720"/>
      </w:pPr>
      <w:r>
        <w:t xml:space="preserve">Generally, when two statutes conflict, a specific statute will take precedence over </w:t>
      </w:r>
      <w:r w:rsidR="0036295E">
        <w:t>a</w:t>
      </w:r>
      <w:r>
        <w:t xml:space="preserve"> general one, </w:t>
      </w:r>
      <w:r w:rsidR="0036295E">
        <w:t>and a more recently enacted statute will</w:t>
      </w:r>
      <w:r>
        <w:t xml:space="preserve"> take precedence over </w:t>
      </w:r>
      <w:r w:rsidR="0036295E">
        <w:t xml:space="preserve">an </w:t>
      </w:r>
      <w:r>
        <w:t>earlier one.  (Code Civ. Proc.</w:t>
      </w:r>
      <w:r w:rsidR="007D7DE9">
        <w:t>,</w:t>
      </w:r>
      <w:r>
        <w:t xml:space="preserve"> </w:t>
      </w:r>
      <w:r w:rsidR="00765D3B">
        <w:t xml:space="preserve">§ </w:t>
      </w:r>
      <w:r>
        <w:t xml:space="preserve">1859; </w:t>
      </w:r>
      <w:r w:rsidRPr="003C37E5">
        <w:rPr>
          <w:i/>
          <w:iCs/>
        </w:rPr>
        <w:t>Stoetzl v. Department of Human Resources</w:t>
      </w:r>
      <w:r>
        <w:t xml:space="preserve"> (2019) 7</w:t>
      </w:r>
      <w:r w:rsidR="00FF59CF">
        <w:t> </w:t>
      </w:r>
      <w:r>
        <w:t>Cal.5th 718, 749.)  It is also “ ‘the general rule that where the general statute standing alone would include the same matter as the special act, and thus conflict with it, the special act will be considered as an exception to the general statute whether it was passed before or after such general enactment.’ ”  (</w:t>
      </w:r>
      <w:r w:rsidRPr="00D1508D">
        <w:rPr>
          <w:i/>
          <w:iCs/>
        </w:rPr>
        <w:t>People v. Gilbert</w:t>
      </w:r>
      <w:r>
        <w:t xml:space="preserve"> (1969) 1 Cal.3d 475, 479.)</w:t>
      </w:r>
    </w:p>
    <w:p w:rsidR="005D2B7E" w:rsidP="005D2B7E" w14:paraId="79801530" w14:textId="3F61992B">
      <w:pPr>
        <w:spacing w:after="0"/>
        <w:ind w:firstLine="720"/>
      </w:pPr>
      <w:r>
        <w:t>Here, there is no question that Labor Code section 1194, subdivision (a)</w:t>
      </w:r>
      <w:r w:rsidR="000615FE">
        <w:t>,</w:t>
      </w:r>
      <w:r>
        <w:t xml:space="preserve"> is the more recently enacted statute.  The amendment to Labor Code section 1194 </w:t>
      </w:r>
      <w:r w:rsidR="00D02497">
        <w:t xml:space="preserve">mandating </w:t>
      </w:r>
      <w:r>
        <w:t>the recovery of reasonable attorney fees was enacted in 1991 (</w:t>
      </w:r>
      <w:r w:rsidRPr="00F77E5E">
        <w:rPr>
          <w:i/>
          <w:iCs/>
        </w:rPr>
        <w:t>Moreno</w:t>
      </w:r>
      <w:r w:rsidR="0036295E">
        <w:t>,</w:t>
      </w:r>
      <w:r w:rsidRPr="00F77E5E">
        <w:rPr>
          <w:i/>
          <w:iCs/>
        </w:rPr>
        <w:t xml:space="preserve"> </w:t>
      </w:r>
      <w:r w:rsidR="0036295E">
        <w:rPr>
          <w:i/>
          <w:iCs/>
        </w:rPr>
        <w:t>supra</w:t>
      </w:r>
      <w:r w:rsidR="0036295E">
        <w:t>,</w:t>
      </w:r>
      <w:r>
        <w:t xml:space="preserve"> 65 Cal.App.5th </w:t>
      </w:r>
      <w:r w:rsidR="0036295E">
        <w:t>at p.</w:t>
      </w:r>
      <w:r>
        <w:t xml:space="preserve"> 258, citing </w:t>
      </w:r>
      <w:r w:rsidRPr="00F77E5E">
        <w:t>Stats. 1991, ch. 825, § 2, p. 3666</w:t>
      </w:r>
      <w:r>
        <w:t>)</w:t>
      </w:r>
      <w:r w:rsidR="000E030C">
        <w:t xml:space="preserve"> while t</w:t>
      </w:r>
      <w:r>
        <w:t>he relevant portion of Code of Civil Procedure section 1033, subdivision (a)</w:t>
      </w:r>
      <w:r w:rsidR="000615FE">
        <w:t>,</w:t>
      </w:r>
      <w:r w:rsidR="000E030C">
        <w:t xml:space="preserve"> </w:t>
      </w:r>
      <w:r>
        <w:t xml:space="preserve">was enacted in 1953 </w:t>
      </w:r>
      <w:bookmarkStart w:id="3" w:name="_Hlk158920597"/>
      <w:r>
        <w:t>(</w:t>
      </w:r>
      <w:r w:rsidRPr="00FC52FF">
        <w:rPr>
          <w:i/>
          <w:iCs/>
        </w:rPr>
        <w:t>Chavez</w:t>
      </w:r>
      <w:r>
        <w:t xml:space="preserve">, </w:t>
      </w:r>
      <w:r w:rsidRPr="00FC52FF">
        <w:rPr>
          <w:i/>
          <w:iCs/>
        </w:rPr>
        <w:t>supra</w:t>
      </w:r>
      <w:r>
        <w:t>, 47</w:t>
      </w:r>
      <w:r w:rsidR="000615FE">
        <w:t> </w:t>
      </w:r>
      <w:r>
        <w:t>Cal.4th at p. 983, citing Stats.</w:t>
      </w:r>
      <w:r w:rsidR="006F430C">
        <w:t xml:space="preserve"> </w:t>
      </w:r>
      <w:r>
        <w:t>1953, ch. 910, § 1, p. 2266)</w:t>
      </w:r>
      <w:r w:rsidR="00DA0235">
        <w:t>.</w:t>
      </w:r>
      <w:r>
        <w:t xml:space="preserve"> </w:t>
      </w:r>
    </w:p>
    <w:bookmarkEnd w:id="3"/>
    <w:p w:rsidR="000E030C" w:rsidP="005D2B7E" w14:paraId="55663682" w14:textId="3CD7AA20">
      <w:pPr>
        <w:spacing w:after="0"/>
        <w:ind w:firstLine="720"/>
      </w:pPr>
      <w:r>
        <w:t>We also find that Labor Code section 1194, subdivision (a)</w:t>
      </w:r>
      <w:r w:rsidR="000615FE">
        <w:t>,</w:t>
      </w:r>
      <w:r>
        <w:t xml:space="preserve"> is the more specific statute relative to Code of Civil Procedure section 1033, subdivision (a).  We find </w:t>
      </w:r>
      <w:r w:rsidRPr="00CC4CD2">
        <w:rPr>
          <w:i/>
          <w:iCs/>
        </w:rPr>
        <w:t>Moreno</w:t>
      </w:r>
      <w:r>
        <w:t xml:space="preserve">, </w:t>
      </w:r>
      <w:r>
        <w:rPr>
          <w:i/>
          <w:iCs/>
        </w:rPr>
        <w:t>supra</w:t>
      </w:r>
      <w:r>
        <w:t>, 65</w:t>
      </w:r>
      <w:r w:rsidR="000D4527">
        <w:t> </w:t>
      </w:r>
      <w:r>
        <w:t>Cal.App.5</w:t>
      </w:r>
      <w:r w:rsidR="00887966">
        <w:t>th 244</w:t>
      </w:r>
      <w:r w:rsidRPr="00CC4CD2">
        <w:rPr>
          <w:i/>
          <w:iCs/>
        </w:rPr>
        <w:t xml:space="preserve"> </w:t>
      </w:r>
      <w:r>
        <w:t xml:space="preserve">instructive on this point.  </w:t>
      </w:r>
    </w:p>
    <w:p w:rsidR="005D2B7E" w:rsidP="005D2B7E" w14:paraId="10695CBF" w14:textId="7AE363DA">
      <w:pPr>
        <w:spacing w:after="0"/>
        <w:ind w:firstLine="720"/>
      </w:pPr>
      <w:r>
        <w:t xml:space="preserve">In </w:t>
      </w:r>
      <w:r w:rsidRPr="00CC4CD2">
        <w:rPr>
          <w:i/>
          <w:iCs/>
        </w:rPr>
        <w:t>Moreno</w:t>
      </w:r>
      <w:r>
        <w:t>, the court decided whether Code of Civil Procedure section 1031 controls over Labor Code section 1194, subdivision (a)</w:t>
      </w:r>
      <w:r w:rsidR="000615FE">
        <w:t>,</w:t>
      </w:r>
      <w:r>
        <w:t xml:space="preserve"> when a prevailing employee recovers wages in an amount less than $300.  (</w:t>
      </w:r>
      <w:r>
        <w:rPr>
          <w:i/>
          <w:iCs/>
        </w:rPr>
        <w:t>Moreno</w:t>
      </w:r>
      <w:r>
        <w:t xml:space="preserve">, </w:t>
      </w:r>
      <w:r w:rsidRPr="0036295E" w:rsidR="0036295E">
        <w:rPr>
          <w:i/>
          <w:iCs/>
        </w:rPr>
        <w:t>supra</w:t>
      </w:r>
      <w:r w:rsidR="0036295E">
        <w:rPr>
          <w:i/>
          <w:iCs/>
        </w:rPr>
        <w:t xml:space="preserve">, </w:t>
      </w:r>
      <w:r w:rsidR="0036295E">
        <w:t xml:space="preserve">65 Cal.App.5th </w:t>
      </w:r>
      <w:r w:rsidRPr="0036295E">
        <w:t>at</w:t>
      </w:r>
      <w:r>
        <w:t xml:space="preserve"> p.</w:t>
      </w:r>
      <w:r w:rsidR="000615FE">
        <w:t> </w:t>
      </w:r>
      <w:r>
        <w:t xml:space="preserve">249.)  Code of Civil Procedure section 1031 provides:  </w:t>
      </w:r>
      <w:r w:rsidRPr="0054671B">
        <w:t>“In actions for the recovery of wages for labor performed, where the amount of the demand, exclusive of interest, does not exceed three hundred dollars ($300), the court shall add, as part of the cost, in any judgment recovered by the plaintiff or cross-complainant, an attorney</w:t>
      </w:r>
      <w:r>
        <w:t>’</w:t>
      </w:r>
      <w:r w:rsidRPr="0054671B">
        <w:t>s fee not exceeding 20 percent of the amount recovered.”</w:t>
      </w:r>
      <w:r>
        <w:t xml:space="preserve">  In </w:t>
      </w:r>
      <w:r>
        <w:rPr>
          <w:i/>
          <w:iCs/>
        </w:rPr>
        <w:t>Moreno</w:t>
      </w:r>
      <w:r>
        <w:t>, the employee recovered $16 in unpaid minimum wages and $16 in liquidated damages.  (</w:t>
      </w:r>
      <w:r>
        <w:rPr>
          <w:i/>
          <w:iCs/>
        </w:rPr>
        <w:t>Moreno</w:t>
      </w:r>
      <w:r>
        <w:t>, at p. 248.)  Relying on Code of Civil Procedure section</w:t>
      </w:r>
      <w:r w:rsidR="000D4527">
        <w:t> </w:t>
      </w:r>
      <w:r>
        <w:t>1031, the trial court awarded the employee $3.20 in fees.  (</w:t>
      </w:r>
      <w:r>
        <w:rPr>
          <w:i/>
          <w:iCs/>
        </w:rPr>
        <w:t>Moreno</w:t>
      </w:r>
      <w:r>
        <w:t>, at p. 249.)  The employee appealed, arguing she was entitled to her reasonable attorney fees under Labor Code section</w:t>
      </w:r>
      <w:r w:rsidR="000D4527">
        <w:t> </w:t>
      </w:r>
      <w:r>
        <w:t>1194</w:t>
      </w:r>
      <w:r w:rsidR="00C93550">
        <w:t>, subdivision (a)</w:t>
      </w:r>
      <w:r>
        <w:t>.  (</w:t>
      </w:r>
      <w:r w:rsidRPr="000E030C">
        <w:rPr>
          <w:i/>
          <w:iCs/>
        </w:rPr>
        <w:t>Ibid</w:t>
      </w:r>
      <w:r>
        <w:t>.)</w:t>
      </w:r>
    </w:p>
    <w:p w:rsidR="005D2B7E" w:rsidP="00D56640" w14:paraId="5F93D0E1" w14:textId="47DDF6D5">
      <w:pPr>
        <w:spacing w:after="0"/>
        <w:ind w:firstLine="720"/>
      </w:pPr>
      <w:r>
        <w:t xml:space="preserve">The </w:t>
      </w:r>
      <w:r>
        <w:rPr>
          <w:i/>
          <w:iCs/>
        </w:rPr>
        <w:t xml:space="preserve">Moreno </w:t>
      </w:r>
      <w:r>
        <w:t>court agreed with the employee, finding Labor Code section 1194, subdivision (a)</w:t>
      </w:r>
      <w:r w:rsidR="000615FE">
        <w:t>,</w:t>
      </w:r>
      <w:r>
        <w:t xml:space="preserve"> controlled over Code of Civil Procedure section 1031 because the Labor Code provision was the more specific and </w:t>
      </w:r>
      <w:r w:rsidR="0036295E">
        <w:t xml:space="preserve">more recently enacted </w:t>
      </w:r>
      <w:r>
        <w:t>statute.  (</w:t>
      </w:r>
      <w:r w:rsidRPr="00987B7E">
        <w:rPr>
          <w:i/>
          <w:iCs/>
        </w:rPr>
        <w:t>Moreno</w:t>
      </w:r>
      <w:r>
        <w:t xml:space="preserve">, </w:t>
      </w:r>
      <w:r w:rsidRPr="006B3E55" w:rsidR="000615FE">
        <w:rPr>
          <w:i/>
          <w:iCs/>
        </w:rPr>
        <w:t>supra</w:t>
      </w:r>
      <w:r w:rsidR="000615FE">
        <w:t xml:space="preserve">, 65 Cal.App.5th </w:t>
      </w:r>
      <w:r>
        <w:t>at pp.</w:t>
      </w:r>
      <w:r w:rsidR="000615FE">
        <w:t> </w:t>
      </w:r>
      <w:r>
        <w:t>257</w:t>
      </w:r>
      <w:r w:rsidR="00D37DD8">
        <w:t>–</w:t>
      </w:r>
      <w:r>
        <w:t xml:space="preserve">258.)  </w:t>
      </w:r>
      <w:r w:rsidR="00FB66EA">
        <w:t>The court found Code of Civil Procedure section 1031 could be classified as either the general or specific statute relative to Labor Code section 1194, subdivision (a).  However, the court reasoned that the latter should be regarded as the more specific statute because “</w:t>
      </w:r>
      <w:r>
        <w:t>the type of wages in question was more important to the Legislature than the amount demanded</w:t>
      </w:r>
      <w:r w:rsidR="00FB66EA">
        <w:t>”</w:t>
      </w:r>
      <w:r w:rsidR="00D56640">
        <w:t xml:space="preserve"> and gave “the specificity as to the type of wages precedence over the specificity as to the amount of recovery.”  (</w:t>
      </w:r>
      <w:r w:rsidRPr="00BB7351" w:rsidR="00D56640">
        <w:rPr>
          <w:i/>
          <w:iCs/>
        </w:rPr>
        <w:t>Moreno</w:t>
      </w:r>
      <w:r w:rsidR="00D56640">
        <w:t>, at p. 258.)</w:t>
      </w:r>
      <w:r>
        <w:t xml:space="preserve"> </w:t>
      </w:r>
      <w:r w:rsidR="0036295E">
        <w:t xml:space="preserve"> </w:t>
      </w:r>
      <w:r w:rsidR="00D56640">
        <w:t>The</w:t>
      </w:r>
      <w:r w:rsidR="00FB66EA">
        <w:t xml:space="preserve"> court inferred “</w:t>
      </w:r>
      <w:r>
        <w:t>the Legislature intended all actions to recover minimum wages or overtime compensation to be subject to the reasonable attorney fees provision in Labor Code section 1194, subdivision (a)</w:t>
      </w:r>
      <w:r w:rsidR="00FB66EA">
        <w:t xml:space="preserve">” </w:t>
      </w:r>
      <w:r w:rsidR="00D56640">
        <w:t>to conclude</w:t>
      </w:r>
      <w:r w:rsidR="00FB66EA">
        <w:t xml:space="preserve"> </w:t>
      </w:r>
      <w:r>
        <w:t xml:space="preserve">Labor Code section 1194, subdivision (a) </w:t>
      </w:r>
      <w:r w:rsidR="00D56640">
        <w:t>wa</w:t>
      </w:r>
      <w:r>
        <w:t xml:space="preserve">s </w:t>
      </w:r>
      <w:r w:rsidR="00D56640">
        <w:t>“</w:t>
      </w:r>
      <w:r>
        <w:t>properly regarded as the more specific provision and it should control where it overlaps with section 1031.”  (</w:t>
      </w:r>
      <w:r w:rsidRPr="00987B7E">
        <w:rPr>
          <w:i/>
          <w:iCs/>
        </w:rPr>
        <w:t>Moreno</w:t>
      </w:r>
      <w:r w:rsidR="0036295E">
        <w:t>, at p</w:t>
      </w:r>
      <w:r w:rsidR="00D56640">
        <w:t xml:space="preserve">. </w:t>
      </w:r>
      <w:r>
        <w:t xml:space="preserve">258.)  </w:t>
      </w:r>
      <w:r w:rsidR="00D56640">
        <w:t>The</w:t>
      </w:r>
      <w:r w:rsidR="00A86D60">
        <w:t> </w:t>
      </w:r>
      <w:r w:rsidR="00D56640">
        <w:t>court also noted that, even if the specificity question was “regarded as a tossup</w:t>
      </w:r>
      <w:r w:rsidR="00FB0516">
        <w:t>,</w:t>
      </w:r>
      <w:r w:rsidR="00D56640">
        <w:t xml:space="preserve"> Labor Code section 1194, subdivision (a) would take precedence over section 1031 under the principle that the later enacted statute should prevail.</w:t>
      </w:r>
      <w:r w:rsidR="00FB0516">
        <w:t>”  (</w:t>
      </w:r>
      <w:r w:rsidRPr="006B3E55" w:rsidR="0061603F">
        <w:rPr>
          <w:i/>
          <w:iCs/>
        </w:rPr>
        <w:t>Ibid</w:t>
      </w:r>
      <w:r w:rsidR="00FB0516">
        <w:t>.)</w:t>
      </w:r>
    </w:p>
    <w:p w:rsidR="00A96E40" w:rsidP="00AF1C15" w14:paraId="5ECCED26" w14:textId="5AE4F6D6">
      <w:pPr>
        <w:spacing w:after="0"/>
        <w:ind w:firstLine="720"/>
      </w:pPr>
      <w:r>
        <w:t xml:space="preserve">In a similar fashion to the </w:t>
      </w:r>
      <w:r w:rsidR="0036295E">
        <w:rPr>
          <w:i/>
          <w:iCs/>
        </w:rPr>
        <w:t>Moreno</w:t>
      </w:r>
      <w:r>
        <w:rPr>
          <w:i/>
          <w:iCs/>
        </w:rPr>
        <w:t xml:space="preserve"> </w:t>
      </w:r>
      <w:r>
        <w:t>court</w:t>
      </w:r>
      <w:r w:rsidR="0036295E">
        <w:t>, we conclude</w:t>
      </w:r>
      <w:r w:rsidR="0036295E">
        <w:rPr>
          <w:i/>
          <w:iCs/>
        </w:rPr>
        <w:t xml:space="preserve"> </w:t>
      </w:r>
      <w:r w:rsidR="005D2B7E">
        <w:t>Labor Code section 1194, subdivision (a)</w:t>
      </w:r>
      <w:r w:rsidR="00A86D60">
        <w:t>,</w:t>
      </w:r>
      <w:r w:rsidR="005D2B7E">
        <w:t xml:space="preserve"> is the more specific statute relative to Code of Civil Procedure section 1033, subdivision (a).  Labor Code section 1194, subdivision (a)</w:t>
      </w:r>
      <w:r w:rsidR="00A86D60">
        <w:t>,</w:t>
      </w:r>
      <w:r w:rsidR="005D2B7E">
        <w:t xml:space="preserve"> applies only t</w:t>
      </w:r>
      <w:r>
        <w:t>o certain wage and hour actions</w:t>
      </w:r>
      <w:r w:rsidR="005D2B7E">
        <w:t xml:space="preserve"> whereas Code of Civil Procedure section 1033, subdivision (a)</w:t>
      </w:r>
      <w:r w:rsidR="00A86D60">
        <w:t>,</w:t>
      </w:r>
      <w:r w:rsidR="005D2B7E">
        <w:t xml:space="preserve"> can apply to any case in which a plaintiff recovers less than the jurisdictional amount regardless of subject matter.  </w:t>
      </w:r>
    </w:p>
    <w:p w:rsidR="00471B86" w:rsidP="00471B86" w14:paraId="75C89CEC" w14:textId="5C9ACA0F">
      <w:pPr>
        <w:spacing w:after="0"/>
        <w:ind w:firstLine="720"/>
      </w:pPr>
      <w:r>
        <w:t xml:space="preserve">Our </w:t>
      </w:r>
      <w:r w:rsidR="00337FC4">
        <w:t>holding</w:t>
      </w:r>
      <w:r>
        <w:t xml:space="preserve"> is </w:t>
      </w:r>
      <w:r w:rsidR="00575FF4">
        <w:t>consistent with</w:t>
      </w:r>
      <w:r>
        <w:t xml:space="preserve"> our Supreme Court’s and other appellate courts’ interpretations of the scope of Code of Civil Procedure section 1033, subdivision (a).   </w:t>
      </w:r>
    </w:p>
    <w:p w:rsidR="00471B86" w:rsidP="00A2508B" w14:paraId="726A7714" w14:textId="7D9336A9">
      <w:pPr>
        <w:tabs>
          <w:tab w:val="left" w:pos="720"/>
          <w:tab w:val="left" w:pos="1440"/>
          <w:tab w:val="left" w:pos="2160"/>
        </w:tabs>
        <w:spacing w:after="0"/>
      </w:pPr>
      <w:r>
        <w:tab/>
      </w:r>
      <w:r w:rsidR="008C138E">
        <w:t>For example, i</w:t>
      </w:r>
      <w:r>
        <w:t xml:space="preserve">n </w:t>
      </w:r>
      <w:r w:rsidRPr="00A2508B">
        <w:rPr>
          <w:i/>
          <w:iCs/>
        </w:rPr>
        <w:t>Chavez</w:t>
      </w:r>
      <w:r w:rsidR="00A2508B">
        <w:t xml:space="preserve">, </w:t>
      </w:r>
      <w:r w:rsidRPr="008C138E" w:rsidR="008C138E">
        <w:rPr>
          <w:i/>
          <w:iCs/>
        </w:rPr>
        <w:t>supra</w:t>
      </w:r>
      <w:r w:rsidR="008C138E">
        <w:t>,</w:t>
      </w:r>
      <w:r w:rsidR="008C138E">
        <w:rPr>
          <w:i/>
          <w:iCs/>
        </w:rPr>
        <w:t xml:space="preserve"> </w:t>
      </w:r>
      <w:r w:rsidR="008C138E">
        <w:t>47 Cal.4th 970, our Supreme Court decided the issue of the interaction between Code of Civil Procedure section 1033, subdivision (a)</w:t>
      </w:r>
      <w:r w:rsidR="00A86D60">
        <w:t>,</w:t>
      </w:r>
      <w:r w:rsidR="008C138E">
        <w:t xml:space="preserve"> and Government Code section 12965, subdivision (b)—</w:t>
      </w:r>
      <w:r w:rsidRPr="008C138E" w:rsidR="008C138E">
        <w:t xml:space="preserve"> </w:t>
      </w:r>
      <w:r w:rsidR="008C138E">
        <w:t>the California Fair Employment and Housing Act’s (FEHA) (Gov. Code, § 12900 et seq.) fee provision.  (</w:t>
      </w:r>
      <w:r w:rsidRPr="001F7226" w:rsidR="008C138E">
        <w:rPr>
          <w:i/>
          <w:iCs/>
        </w:rPr>
        <w:t>Chavez</w:t>
      </w:r>
      <w:r w:rsidR="008C138E">
        <w:t xml:space="preserve">, at p. 982.)  There, </w:t>
      </w:r>
      <w:r w:rsidR="00A2508B">
        <w:t xml:space="preserve">the plaintiff recovered </w:t>
      </w:r>
      <w:r>
        <w:t>$11,500</w:t>
      </w:r>
      <w:r w:rsidR="00A2508B">
        <w:t xml:space="preserve"> for a </w:t>
      </w:r>
      <w:r w:rsidR="00A300CF">
        <w:t xml:space="preserve">FEHA </w:t>
      </w:r>
      <w:r w:rsidR="00A2508B">
        <w:t xml:space="preserve">retaliation claim. </w:t>
      </w:r>
      <w:r>
        <w:t xml:space="preserve"> </w:t>
      </w:r>
      <w:r w:rsidR="00A2508B">
        <w:t>(</w:t>
      </w:r>
      <w:r w:rsidR="00A2508B">
        <w:rPr>
          <w:i/>
          <w:iCs/>
        </w:rPr>
        <w:t>Chavez</w:t>
      </w:r>
      <w:r w:rsidR="00A2508B">
        <w:t xml:space="preserve">, at </w:t>
      </w:r>
      <w:r>
        <w:t>p.</w:t>
      </w:r>
      <w:r w:rsidR="0011799C">
        <w:t> </w:t>
      </w:r>
      <w:r>
        <w:t>980</w:t>
      </w:r>
      <w:r w:rsidR="00A2508B">
        <w:t xml:space="preserve">.) </w:t>
      </w:r>
      <w:r>
        <w:t xml:space="preserve"> </w:t>
      </w:r>
      <w:r w:rsidR="00A2508B">
        <w:t>The p</w:t>
      </w:r>
      <w:r>
        <w:t>laintiff’s attorney requested $</w:t>
      </w:r>
      <w:r w:rsidR="00A2508B">
        <w:t xml:space="preserve">870,935.50 </w:t>
      </w:r>
      <w:r>
        <w:t>in fees and $13,144.26 in costs</w:t>
      </w:r>
      <w:r w:rsidR="00A2508B">
        <w:t>.</w:t>
      </w:r>
      <w:r>
        <w:t xml:space="preserve"> (</w:t>
      </w:r>
      <w:r w:rsidR="00A2508B">
        <w:rPr>
          <w:i/>
          <w:iCs/>
        </w:rPr>
        <w:t>Id</w:t>
      </w:r>
      <w:r w:rsidRPr="006B3E55" w:rsidR="00A2508B">
        <w:t>.</w:t>
      </w:r>
      <w:r w:rsidR="00A2508B">
        <w:rPr>
          <w:i/>
          <w:iCs/>
        </w:rPr>
        <w:t xml:space="preserve"> </w:t>
      </w:r>
      <w:r w:rsidR="00A86D60">
        <w:t xml:space="preserve">at </w:t>
      </w:r>
      <w:r>
        <w:t>p. 981</w:t>
      </w:r>
      <w:r w:rsidR="00A86D60">
        <w:t>.</w:t>
      </w:r>
      <w:r>
        <w:t>)</w:t>
      </w:r>
      <w:r w:rsidR="00A2508B">
        <w:t xml:space="preserve"> </w:t>
      </w:r>
      <w:r>
        <w:t xml:space="preserve"> </w:t>
      </w:r>
      <w:r w:rsidR="00A2508B">
        <w:t>T</w:t>
      </w:r>
      <w:r>
        <w:t>he</w:t>
      </w:r>
      <w:r w:rsidR="00A86D60">
        <w:t> </w:t>
      </w:r>
      <w:r>
        <w:t xml:space="preserve">trial court denied the motion for fees, relying on </w:t>
      </w:r>
      <w:r w:rsidR="00A2508B">
        <w:t xml:space="preserve">Code of Civil Procedure </w:t>
      </w:r>
      <w:r>
        <w:t xml:space="preserve">section 1033, finding </w:t>
      </w:r>
      <w:r w:rsidR="00A2508B">
        <w:t>the</w:t>
      </w:r>
      <w:r>
        <w:t xml:space="preserve"> plaintiff </w:t>
      </w:r>
      <w:r w:rsidR="00A2508B">
        <w:t>sh</w:t>
      </w:r>
      <w:r>
        <w:t>ould have brought</w:t>
      </w:r>
      <w:r w:rsidR="00A2508B">
        <w:t xml:space="preserve"> his case as a</w:t>
      </w:r>
      <w:r>
        <w:t xml:space="preserve"> limited jurisdiction </w:t>
      </w:r>
      <w:r w:rsidR="00A2508B">
        <w:t xml:space="preserve">civil proceeding.  </w:t>
      </w:r>
      <w:r>
        <w:t>(</w:t>
      </w:r>
      <w:r w:rsidRPr="00A2508B" w:rsidR="00A2508B">
        <w:rPr>
          <w:i/>
          <w:iCs/>
        </w:rPr>
        <w:t>Chavez</w:t>
      </w:r>
      <w:r w:rsidR="00A2508B">
        <w:t xml:space="preserve">, </w:t>
      </w:r>
      <w:r w:rsidR="00A86D60">
        <w:t xml:space="preserve">at </w:t>
      </w:r>
      <w:r>
        <w:t>p. 981</w:t>
      </w:r>
      <w:r w:rsidR="0011799C">
        <w:t>.</w:t>
      </w:r>
      <w:r>
        <w:t xml:space="preserve">) </w:t>
      </w:r>
      <w:r w:rsidR="00A2508B">
        <w:t xml:space="preserve"> </w:t>
      </w:r>
      <w:r>
        <w:t xml:space="preserve">The court of appeal reversed, </w:t>
      </w:r>
      <w:r w:rsidR="00FF45CD">
        <w:t xml:space="preserve">reasoning while </w:t>
      </w:r>
      <w:r w:rsidR="00A2508B">
        <w:t>Code of Civil Procedure</w:t>
      </w:r>
      <w:r>
        <w:t xml:space="preserve"> section 1033</w:t>
      </w:r>
      <w:r w:rsidR="00A300CF">
        <w:t>, subdivision (a)</w:t>
      </w:r>
      <w:r w:rsidR="00A86D60">
        <w:t>,</w:t>
      </w:r>
      <w:r>
        <w:t xml:space="preserve"> and FEHA </w:t>
      </w:r>
      <w:r w:rsidR="00FF45CD">
        <w:t xml:space="preserve">both </w:t>
      </w:r>
      <w:r>
        <w:t>served laudable but conflicting purposes</w:t>
      </w:r>
      <w:r w:rsidR="00A2508B">
        <w:t xml:space="preserve">, </w:t>
      </w:r>
      <w:r>
        <w:t xml:space="preserve">applying </w:t>
      </w:r>
      <w:r w:rsidR="00A2508B">
        <w:t xml:space="preserve">Code of Civil Procedure </w:t>
      </w:r>
      <w:r>
        <w:t>section 1033</w:t>
      </w:r>
      <w:r w:rsidR="00A300CF">
        <w:t>, subdivision (a)</w:t>
      </w:r>
      <w:r w:rsidR="00A86D60">
        <w:t>,</w:t>
      </w:r>
      <w:r w:rsidR="00A2508B">
        <w:t xml:space="preserve"> to a FEHA plaintiff</w:t>
      </w:r>
      <w:r>
        <w:t xml:space="preserve"> would discourage attorneys from taking meritorious cases</w:t>
      </w:r>
      <w:r w:rsidR="00A2508B">
        <w:t xml:space="preserve">.  </w:t>
      </w:r>
      <w:r>
        <w:t>(</w:t>
      </w:r>
      <w:r w:rsidRPr="00A2508B" w:rsidR="00A2508B">
        <w:rPr>
          <w:i/>
          <w:iCs/>
        </w:rPr>
        <w:t>Chavez</w:t>
      </w:r>
      <w:r w:rsidR="00A2508B">
        <w:t xml:space="preserve">, </w:t>
      </w:r>
      <w:r>
        <w:t>at pp. 981</w:t>
      </w:r>
      <w:r w:rsidR="00A2508B">
        <w:t>–</w:t>
      </w:r>
      <w:r>
        <w:t>982</w:t>
      </w:r>
      <w:r w:rsidR="00A86D60">
        <w:t>.</w:t>
      </w:r>
      <w:r>
        <w:t>)</w:t>
      </w:r>
    </w:p>
    <w:p w:rsidR="000F4501" w:rsidP="000F4501" w14:paraId="2A271569" w14:textId="57C80F65">
      <w:pPr>
        <w:pStyle w:val="IndentNormal"/>
      </w:pPr>
      <w:r>
        <w:t>Our</w:t>
      </w:r>
      <w:r w:rsidR="00471B86">
        <w:t xml:space="preserve"> Supreme Court </w:t>
      </w:r>
      <w:r w:rsidR="00FF45CD">
        <w:t>disagre</w:t>
      </w:r>
      <w:r w:rsidR="008C138E">
        <w:t>ed</w:t>
      </w:r>
      <w:r w:rsidR="00FF45CD">
        <w:t xml:space="preserve"> and reversed the </w:t>
      </w:r>
      <w:r w:rsidR="00A86D60">
        <w:t>Court</w:t>
      </w:r>
      <w:r w:rsidR="00FF45CD">
        <w:t xml:space="preserve"> of </w:t>
      </w:r>
      <w:r w:rsidR="00A86D60">
        <w:t>Appeal</w:t>
      </w:r>
      <w:r w:rsidR="008C138E">
        <w:t>.  (</w:t>
      </w:r>
      <w:r w:rsidR="008C138E">
        <w:rPr>
          <w:i/>
          <w:iCs/>
        </w:rPr>
        <w:t>Chavez</w:t>
      </w:r>
      <w:r w:rsidR="008C138E">
        <w:t>,</w:t>
      </w:r>
      <w:r w:rsidR="008C138E">
        <w:rPr>
          <w:i/>
          <w:iCs/>
        </w:rPr>
        <w:t xml:space="preserve"> </w:t>
      </w:r>
      <w:r w:rsidRPr="008C138E" w:rsidR="008C138E">
        <w:rPr>
          <w:i/>
          <w:iCs/>
        </w:rPr>
        <w:t>supra</w:t>
      </w:r>
      <w:r w:rsidR="008C138E">
        <w:t>,</w:t>
      </w:r>
      <w:r w:rsidR="008C138E">
        <w:rPr>
          <w:i/>
          <w:iCs/>
        </w:rPr>
        <w:t xml:space="preserve"> </w:t>
      </w:r>
      <w:r w:rsidR="008C138E">
        <w:t xml:space="preserve">47 Cal.4th at p. </w:t>
      </w:r>
      <w:r w:rsidR="00561A84">
        <w:t xml:space="preserve">982.)  </w:t>
      </w:r>
      <w:r>
        <w:t>The court discussed the history of Code of Civil Procedure section 1033</w:t>
      </w:r>
      <w:r w:rsidR="00A300CF">
        <w:t>, subdivision (a)</w:t>
      </w:r>
      <w:r w:rsidR="00A86D60">
        <w:t>,</w:t>
      </w:r>
      <w:r>
        <w:t xml:space="preserve"> and explained that it generally applied when a plaintiff recovers an amount that could have been recovered in a court of lesser jurisdiction.  </w:t>
      </w:r>
      <w:r w:rsidR="00561A84">
        <w:t>(</w:t>
      </w:r>
      <w:r w:rsidRPr="001F7226" w:rsidR="00561A84">
        <w:rPr>
          <w:i/>
          <w:iCs/>
        </w:rPr>
        <w:t>Chavez</w:t>
      </w:r>
      <w:r w:rsidR="00561A84">
        <w:t>, at pp. 982–983</w:t>
      </w:r>
      <w:r w:rsidR="00A86D60">
        <w:t>.</w:t>
      </w:r>
      <w:r w:rsidR="00561A84">
        <w:t xml:space="preserve">)  </w:t>
      </w:r>
      <w:r>
        <w:t>“In this situation, even though a plaintiff who obtains a money judgment would otherwise be entitled to recover litigation costs as a matter of right, section 1033(a) gives the trial court discretion to deny, in whole or in part, the plaintiff</w:t>
      </w:r>
      <w:r w:rsidR="0011799C">
        <w:t>’</w:t>
      </w:r>
      <w:r>
        <w:t>s recovery of litigation costs.”  (</w:t>
      </w:r>
      <w:r w:rsidRPr="000D4527" w:rsidR="0011799C">
        <w:rPr>
          <w:i/>
          <w:iCs/>
        </w:rPr>
        <w:t>Ibid</w:t>
      </w:r>
      <w:r w:rsidR="002B0D7B">
        <w:t>.</w:t>
      </w:r>
      <w:r>
        <w:t>)  With respect to Government Code section 12965, subdivision (b), the court found that, while a prevailing plaintiff is generally entitled to attorney fees, a trial court may deny a FEHA plaintiff’s fee request when “special circumstances would render the award unjust.”  (</w:t>
      </w:r>
      <w:r w:rsidRPr="000F4501">
        <w:rPr>
          <w:i/>
          <w:iCs/>
        </w:rPr>
        <w:t>Chavez</w:t>
      </w:r>
      <w:r>
        <w:t>, at p.</w:t>
      </w:r>
      <w:r w:rsidR="002B0D7B">
        <w:t> </w:t>
      </w:r>
      <w:r>
        <w:t xml:space="preserve">985.)  </w:t>
      </w:r>
    </w:p>
    <w:p w:rsidR="00471B86" w:rsidP="000F4501" w14:paraId="27E889E7" w14:textId="7A4C5CE6">
      <w:pPr>
        <w:pStyle w:val="IndentNormal"/>
      </w:pPr>
      <w:r>
        <w:t>In interpreting the two statutes, the court</w:t>
      </w:r>
      <w:r w:rsidR="009F3024">
        <w:t xml:space="preserve"> ruled there was</w:t>
      </w:r>
      <w:r>
        <w:t xml:space="preserve"> “no irreconcilable conflict between section 1033(a) and the FEHA’s attorney fee provision.”  (</w:t>
      </w:r>
      <w:r w:rsidR="00561A84">
        <w:rPr>
          <w:i/>
          <w:iCs/>
        </w:rPr>
        <w:t>Chavez</w:t>
      </w:r>
      <w:r w:rsidR="00561A84">
        <w:t>,</w:t>
      </w:r>
      <w:r w:rsidR="00561A84">
        <w:rPr>
          <w:i/>
          <w:iCs/>
        </w:rPr>
        <w:t xml:space="preserve"> </w:t>
      </w:r>
      <w:r w:rsidRPr="008C138E" w:rsidR="00561A84">
        <w:rPr>
          <w:i/>
          <w:iCs/>
        </w:rPr>
        <w:t>supra</w:t>
      </w:r>
      <w:r w:rsidR="00561A84">
        <w:t>,</w:t>
      </w:r>
      <w:r w:rsidR="00561A84">
        <w:rPr>
          <w:i/>
          <w:iCs/>
        </w:rPr>
        <w:t xml:space="preserve"> </w:t>
      </w:r>
      <w:r w:rsidR="00561A84">
        <w:t>47 Cal.4th at p.</w:t>
      </w:r>
      <w:r w:rsidR="002B0D7B">
        <w:t> </w:t>
      </w:r>
      <w:r>
        <w:t>986.)  The court explained, the discretion afforded to trial courts under Code of Civil Procedure section 1033</w:t>
      </w:r>
      <w:r w:rsidR="00561A84">
        <w:t>, subdivision (a)</w:t>
      </w:r>
      <w:r w:rsidR="002B0D7B">
        <w:t>,</w:t>
      </w:r>
      <w:r>
        <w:t xml:space="preserve"> to deny prevailing part</w:t>
      </w:r>
      <w:r w:rsidR="00561A84">
        <w:t>ies their</w:t>
      </w:r>
      <w:r>
        <w:t xml:space="preserve"> fees fell into FEHA’s special circumstances</w:t>
      </w:r>
      <w:r w:rsidR="00561A84">
        <w:t xml:space="preserve"> exception that would render an</w:t>
      </w:r>
      <w:r>
        <w:t xml:space="preserve"> award unjust.  (</w:t>
      </w:r>
      <w:r w:rsidRPr="00BA158A">
        <w:rPr>
          <w:i/>
          <w:iCs/>
        </w:rPr>
        <w:t>Chavez</w:t>
      </w:r>
      <w:r>
        <w:t>, at p. 986.)</w:t>
      </w:r>
    </w:p>
    <w:p w:rsidR="00561A84" w:rsidP="000F4501" w14:paraId="46F5038C" w14:textId="4134FD1E">
      <w:pPr>
        <w:pStyle w:val="IndentNormal"/>
      </w:pPr>
      <w:r>
        <w:t xml:space="preserve">Relying on </w:t>
      </w:r>
      <w:r w:rsidRPr="00561A84">
        <w:rPr>
          <w:i/>
          <w:iCs/>
        </w:rPr>
        <w:t>Chavez</w:t>
      </w:r>
      <w:r>
        <w:t xml:space="preserve">, </w:t>
      </w:r>
      <w:r w:rsidR="00855092">
        <w:t>Joe’s Pizza argues since</w:t>
      </w:r>
      <w:r>
        <w:t xml:space="preserve"> there is no Code of Civil Procedure section 1033, subdivision (a) “ ‘carve out’ ” for FEHA cases, we should </w:t>
      </w:r>
      <w:r w:rsidR="00855092">
        <w:t xml:space="preserve">likewise conclude there is no </w:t>
      </w:r>
      <w:r>
        <w:t>similar exemption for unpaid minimum and overtime wage cases.</w:t>
      </w:r>
      <w:r w:rsidR="00C91C08">
        <w:t xml:space="preserve">  </w:t>
      </w:r>
    </w:p>
    <w:p w:rsidR="006511C6" w:rsidP="00855092" w14:paraId="4BC7E27F" w14:textId="1212ADB3">
      <w:pPr>
        <w:pStyle w:val="IndentNormal"/>
      </w:pPr>
      <w:r>
        <w:t xml:space="preserve">We disagree.  The </w:t>
      </w:r>
      <w:r w:rsidRPr="00561A84">
        <w:rPr>
          <w:i/>
          <w:iCs/>
        </w:rPr>
        <w:t>Chavez</w:t>
      </w:r>
      <w:r>
        <w:t xml:space="preserve"> court’s </w:t>
      </w:r>
      <w:r w:rsidR="00561A84">
        <w:t>holding</w:t>
      </w:r>
      <w:r>
        <w:t xml:space="preserve"> hinged on </w:t>
      </w:r>
      <w:r w:rsidR="00561A84">
        <w:t>its conclusion</w:t>
      </w:r>
      <w:r>
        <w:t xml:space="preserve"> that FEHA’s fee provision allowed for the denial of fees in special circumstances, which could include the over</w:t>
      </w:r>
      <w:r w:rsidR="00561A84">
        <w:t>-</w:t>
      </w:r>
      <w:r>
        <w:t xml:space="preserve">filing of a case under Code of Civil Procedure section 1033, subdivision (a).  </w:t>
      </w:r>
      <w:r w:rsidR="00561A84">
        <w:t>(</w:t>
      </w:r>
      <w:r w:rsidR="00561A84">
        <w:rPr>
          <w:i/>
          <w:iCs/>
        </w:rPr>
        <w:t>Chavez</w:t>
      </w:r>
      <w:r w:rsidR="00561A84">
        <w:t>,</w:t>
      </w:r>
      <w:r w:rsidR="00561A84">
        <w:rPr>
          <w:i/>
          <w:iCs/>
        </w:rPr>
        <w:t xml:space="preserve"> </w:t>
      </w:r>
      <w:r w:rsidRPr="008C138E" w:rsidR="00561A84">
        <w:rPr>
          <w:i/>
          <w:iCs/>
        </w:rPr>
        <w:t>supra</w:t>
      </w:r>
      <w:r w:rsidR="00561A84">
        <w:t>,</w:t>
      </w:r>
      <w:r w:rsidR="00561A84">
        <w:rPr>
          <w:i/>
          <w:iCs/>
        </w:rPr>
        <w:t xml:space="preserve"> </w:t>
      </w:r>
      <w:r w:rsidR="00561A84">
        <w:t xml:space="preserve">47 Cal.4th at p. 986.)  We find no similar exception to Labor Code section 1194, subdivision (a)’s mandatory one-way fee provision.  Therefore, unlike FEHA’s discretionary fee provision, which provides for instances where a total denial of fees and costs are appropriate, there is no analogous standard in a case governed by Labor Code 1194, subdivision (a).  </w:t>
      </w:r>
      <w:r>
        <w:t xml:space="preserve">It follows then that Labor Code section 1194, subdivision (a)’s mandatory fee provision cannot be harmonized with </w:t>
      </w:r>
      <w:r w:rsidR="00926041">
        <w:t xml:space="preserve">a trial court’s discretion under </w:t>
      </w:r>
      <w:r>
        <w:t>Code of Civil Procedure section 1033, subdivision (a)</w:t>
      </w:r>
      <w:r w:rsidR="00926041">
        <w:t xml:space="preserve"> to deny litigation costs altogether. </w:t>
      </w:r>
      <w:bookmarkStart w:id="4" w:name="_Hlk158912957"/>
    </w:p>
    <w:bookmarkEnd w:id="4"/>
    <w:p w:rsidR="00E74864" w:rsidP="006511C6" w14:paraId="68618C33" w14:textId="4BDF97F8">
      <w:pPr>
        <w:spacing w:after="0"/>
      </w:pPr>
      <w:r>
        <w:tab/>
        <w:t xml:space="preserve">Two </w:t>
      </w:r>
      <w:r w:rsidR="00561A84">
        <w:t xml:space="preserve">other </w:t>
      </w:r>
      <w:r w:rsidR="00296DB0">
        <w:t>C</w:t>
      </w:r>
      <w:r>
        <w:t xml:space="preserve">ourts of </w:t>
      </w:r>
      <w:r w:rsidR="00296DB0">
        <w:t>A</w:t>
      </w:r>
      <w:r>
        <w:t xml:space="preserve">ppeal have found </w:t>
      </w:r>
      <w:r w:rsidRPr="00561A84">
        <w:rPr>
          <w:i/>
          <w:iCs/>
        </w:rPr>
        <w:t>Chavez</w:t>
      </w:r>
      <w:r>
        <w:t xml:space="preserve"> </w:t>
      </w:r>
      <w:r w:rsidR="00561A84">
        <w:t>and Code of Civil Procedure section 1033, subdivision (a)</w:t>
      </w:r>
      <w:r w:rsidR="00296DB0">
        <w:t xml:space="preserve">, </w:t>
      </w:r>
      <w:r w:rsidR="00561A84">
        <w:t>are</w:t>
      </w:r>
      <w:r>
        <w:t xml:space="preserve"> of limited applicability in the context of a mandatory fee statute</w:t>
      </w:r>
      <w:r w:rsidR="00561A84">
        <w:t xml:space="preserve"> like Labor Code section 1194, subdivision (a)</w:t>
      </w:r>
      <w:r>
        <w:t xml:space="preserve">.  </w:t>
      </w:r>
    </w:p>
    <w:p w:rsidR="009603B3" w:rsidP="009603B3" w14:paraId="1E09D28F" w14:textId="1F26123E">
      <w:pPr>
        <w:pStyle w:val="IndentNormal"/>
      </w:pPr>
      <w:r>
        <w:t xml:space="preserve">In </w:t>
      </w:r>
      <w:r w:rsidRPr="007D357B">
        <w:rPr>
          <w:i/>
          <w:iCs/>
        </w:rPr>
        <w:t>Almanor Lakeside Villas Owners Assn. v. Carson</w:t>
      </w:r>
      <w:r>
        <w:t xml:space="preserve"> (2016) 246 Cal.App.4th 761</w:t>
      </w:r>
      <w:r w:rsidR="00561A84">
        <w:t xml:space="preserve"> (</w:t>
      </w:r>
      <w:r w:rsidRPr="00561A84" w:rsidR="00561A84">
        <w:rPr>
          <w:i/>
          <w:iCs/>
        </w:rPr>
        <w:t>Alamanor</w:t>
      </w:r>
      <w:r w:rsidR="00561A84">
        <w:t>)</w:t>
      </w:r>
      <w:r>
        <w:t xml:space="preserve">, a homeowners association sought to impose fines against two property owners for </w:t>
      </w:r>
      <w:r w:rsidR="00877ABB">
        <w:t>violating</w:t>
      </w:r>
      <w:r>
        <w:t xml:space="preserve"> the </w:t>
      </w:r>
      <w:r w:rsidR="00877ABB">
        <w:t xml:space="preserve">property’s </w:t>
      </w:r>
      <w:r>
        <w:t>covenants, conditions and restrictions.  (</w:t>
      </w:r>
      <w:r>
        <w:rPr>
          <w:i/>
          <w:iCs/>
        </w:rPr>
        <w:t>Id</w:t>
      </w:r>
      <w:r w:rsidRPr="000D4527">
        <w:t>.</w:t>
      </w:r>
      <w:r>
        <w:rPr>
          <w:i/>
          <w:iCs/>
        </w:rPr>
        <w:t xml:space="preserve"> </w:t>
      </w:r>
      <w:r>
        <w:t>at p.</w:t>
      </w:r>
      <w:r w:rsidR="00296DB0">
        <w:t> </w:t>
      </w:r>
      <w:r>
        <w:t>765.)  Following a bench trial, the trial court ruled against the property owners but also rejected as unreasonable many of the fines that the association had sought to impose.  (</w:t>
      </w:r>
      <w:r w:rsidRPr="00CA7998">
        <w:rPr>
          <w:i/>
          <w:iCs/>
        </w:rPr>
        <w:t>Ibid</w:t>
      </w:r>
      <w:r>
        <w:t>.)  On the parties’ competing motions for attorney fees, the trial court determined the association to be the prevailing party and awarded it over $100,000 in attorney fees and costs.  (</w:t>
      </w:r>
      <w:r>
        <w:rPr>
          <w:i/>
          <w:iCs/>
        </w:rPr>
        <w:t>Ibid</w:t>
      </w:r>
      <w:r w:rsidRPr="000D4527">
        <w:t>.</w:t>
      </w:r>
      <w:r>
        <w:t>)  The</w:t>
      </w:r>
      <w:r w:rsidR="00296DB0">
        <w:t> </w:t>
      </w:r>
      <w:r>
        <w:t>property owners appealed the attorney fees award, challeng</w:t>
      </w:r>
      <w:r w:rsidR="00877ABB">
        <w:t>ing</w:t>
      </w:r>
      <w:r>
        <w:t xml:space="preserve"> the amount of the attorney fees award in light of the association’s limited success at trial.  (</w:t>
      </w:r>
      <w:r>
        <w:rPr>
          <w:i/>
          <w:iCs/>
        </w:rPr>
        <w:t>Ibid</w:t>
      </w:r>
      <w:r w:rsidRPr="000D4527">
        <w:t>.</w:t>
      </w:r>
      <w:r>
        <w:t>)  The property owners asserted that the fees were “ ‘grossly disproportionate’ ” to the monetary award and relied on Code of Civil Procedure section 1033, subdivision (a)</w:t>
      </w:r>
      <w:r w:rsidR="00894609">
        <w:t>,</w:t>
      </w:r>
      <w:r>
        <w:t xml:space="preserve"> and </w:t>
      </w:r>
      <w:r w:rsidRPr="0007590A">
        <w:rPr>
          <w:i/>
          <w:iCs/>
        </w:rPr>
        <w:t>Chavez</w:t>
      </w:r>
      <w:r>
        <w:t xml:space="preserve"> for the proposition that the trial court should have disallowed attorney fees and costs since the association recovered less than the statutory minimum to be classified as an unlimited civil matter.  (</w:t>
      </w:r>
      <w:r w:rsidR="00296DB0">
        <w:rPr>
          <w:i/>
          <w:iCs/>
        </w:rPr>
        <w:t>Alamanor</w:t>
      </w:r>
      <w:r w:rsidRPr="006B3E55" w:rsidR="00296DB0">
        <w:t>,</w:t>
      </w:r>
      <w:r>
        <w:rPr>
          <w:i/>
          <w:iCs/>
        </w:rPr>
        <w:t xml:space="preserve"> </w:t>
      </w:r>
      <w:r>
        <w:t xml:space="preserve">at p. 777.)  </w:t>
      </w:r>
    </w:p>
    <w:p w:rsidR="009603B3" w:rsidRPr="00CA7998" w:rsidP="009603B3" w14:paraId="79DF8619" w14:textId="3B40A889">
      <w:pPr>
        <w:pStyle w:val="IndentNormal"/>
      </w:pPr>
      <w:r>
        <w:t xml:space="preserve">The </w:t>
      </w:r>
      <w:r w:rsidRPr="0007590A">
        <w:rPr>
          <w:i/>
          <w:iCs/>
        </w:rPr>
        <w:t>Alamanor</w:t>
      </w:r>
      <w:r>
        <w:t xml:space="preserve"> court rejected the property owner’s argument.  “The reasoning of </w:t>
      </w:r>
      <w:r w:rsidRPr="00877ABB">
        <w:rPr>
          <w:i/>
          <w:iCs/>
        </w:rPr>
        <w:t>Chavez</w:t>
      </w:r>
      <w:r>
        <w:t xml:space="preserve"> is of limited applicability here.  Unlike the fee provision under FEHA, which is discretionary and therefore not irreconcilable with section 1033, subdivision (a), the fee-shifting provision of the Davis</w:t>
      </w:r>
      <w:r w:rsidR="00122454">
        <w:t>-</w:t>
      </w:r>
      <w:r>
        <w:t>Stirling Act is mandatory.</w:t>
      </w:r>
      <w:r w:rsidR="00296DB0">
        <w:t xml:space="preserve"> </w:t>
      </w:r>
      <w:r>
        <w:t xml:space="preserve"> [Citations.]  The circumstances in which a court might deny or reduce a fee award under a permissive statutory provision, like FEHA, such as because special circumstances ‘</w:t>
      </w:r>
      <w:r w:rsidR="00295083">
        <w:t> “ ‘</w:t>
      </w:r>
      <w:r>
        <w:t>would render an award unjust,’</w:t>
      </w:r>
      <w:r w:rsidR="00295083">
        <w:t> ” ’</w:t>
      </w:r>
      <w:r>
        <w:t xml:space="preserve"> do not apply equally where a statute mandates attorney’s fees to the prevailing party.”  (</w:t>
      </w:r>
      <w:r w:rsidR="00296DB0">
        <w:rPr>
          <w:i/>
          <w:iCs/>
        </w:rPr>
        <w:t>Alamanor</w:t>
      </w:r>
      <w:r w:rsidRPr="006B3E55" w:rsidR="00296DB0">
        <w:t>,</w:t>
      </w:r>
      <w:r w:rsidR="00296DB0">
        <w:rPr>
          <w:i/>
          <w:iCs/>
        </w:rPr>
        <w:t xml:space="preserve"> supra</w:t>
      </w:r>
      <w:r w:rsidRPr="006B3E55" w:rsidR="00296DB0">
        <w:t>,</w:t>
      </w:r>
      <w:r w:rsidR="00296DB0">
        <w:rPr>
          <w:i/>
          <w:iCs/>
        </w:rPr>
        <w:t xml:space="preserve"> </w:t>
      </w:r>
      <w:r w:rsidR="00296DB0">
        <w:t>246 Cal.App.4th</w:t>
      </w:r>
      <w:r>
        <w:t xml:space="preserve"> at pp.</w:t>
      </w:r>
      <w:r w:rsidR="00296DB0">
        <w:t> </w:t>
      </w:r>
      <w:r>
        <w:t>778–779.)</w:t>
      </w:r>
    </w:p>
    <w:p w:rsidR="009603B3" w:rsidP="009603B3" w14:paraId="0882C7D8" w14:textId="3ACD84E3">
      <w:pPr>
        <w:pStyle w:val="IndentNormal"/>
      </w:pPr>
      <w:r>
        <w:t xml:space="preserve">Similarly, in </w:t>
      </w:r>
      <w:r w:rsidRPr="00192897">
        <w:rPr>
          <w:i/>
          <w:iCs/>
        </w:rPr>
        <w:t>Nishiki v. Danko Meredith, P</w:t>
      </w:r>
      <w:r w:rsidR="00DC399B">
        <w:rPr>
          <w:i/>
          <w:iCs/>
        </w:rPr>
        <w:t>.</w:t>
      </w:r>
      <w:r w:rsidRPr="00192897">
        <w:rPr>
          <w:i/>
          <w:iCs/>
        </w:rPr>
        <w:t>C</w:t>
      </w:r>
      <w:r w:rsidR="00DC399B">
        <w:rPr>
          <w:i/>
          <w:iCs/>
        </w:rPr>
        <w:t>.</w:t>
      </w:r>
      <w:r>
        <w:t xml:space="preserve"> (2018) 25</w:t>
      </w:r>
      <w:r w:rsidR="00BF1972">
        <w:t> </w:t>
      </w:r>
      <w:r>
        <w:t>Cal.App.5th 883 (</w:t>
      </w:r>
      <w:r>
        <w:rPr>
          <w:i/>
          <w:iCs/>
        </w:rPr>
        <w:t>Nishiki</w:t>
      </w:r>
      <w:r>
        <w:t xml:space="preserve">), an employee prevailed against her employer on her claim for </w:t>
      </w:r>
      <w:r w:rsidRPr="009C27A4">
        <w:t>waiting time penalties, and was awarded $4,250.</w:t>
      </w:r>
      <w:r>
        <w:t xml:space="preserve">  (</w:t>
      </w:r>
      <w:r>
        <w:rPr>
          <w:i/>
          <w:iCs/>
        </w:rPr>
        <w:t>Id</w:t>
      </w:r>
      <w:r w:rsidRPr="000D4527">
        <w:t>.</w:t>
      </w:r>
      <w:r>
        <w:rPr>
          <w:i/>
          <w:iCs/>
        </w:rPr>
        <w:t xml:space="preserve"> </w:t>
      </w:r>
      <w:r>
        <w:t>at p</w:t>
      </w:r>
      <w:r w:rsidR="00D018BC">
        <w:t>p</w:t>
      </w:r>
      <w:r>
        <w:t xml:space="preserve">. 887–888.)  The trial court awarded the employee </w:t>
      </w:r>
      <w:r w:rsidRPr="009C27A4">
        <w:t>$86,160 in attorney fees</w:t>
      </w:r>
      <w:r>
        <w:t>.  (</w:t>
      </w:r>
      <w:r>
        <w:rPr>
          <w:i/>
          <w:iCs/>
        </w:rPr>
        <w:t>Id</w:t>
      </w:r>
      <w:r w:rsidRPr="000D4527">
        <w:t>.</w:t>
      </w:r>
      <w:r>
        <w:rPr>
          <w:i/>
          <w:iCs/>
        </w:rPr>
        <w:t xml:space="preserve"> </w:t>
      </w:r>
      <w:r>
        <w:t xml:space="preserve">at p. 888.)  The employer appealed.  </w:t>
      </w:r>
      <w:r w:rsidR="00BD7FC6">
        <w:t>Citing</w:t>
      </w:r>
      <w:r>
        <w:t xml:space="preserve"> </w:t>
      </w:r>
      <w:r w:rsidRPr="009D3BD5">
        <w:rPr>
          <w:i/>
          <w:iCs/>
        </w:rPr>
        <w:t>Chavez</w:t>
      </w:r>
      <w:r>
        <w:t xml:space="preserve">, the employer argued the trial court abused its discretion in not reducing the fee award given the employee’s </w:t>
      </w:r>
      <w:r w:rsidRPr="009D3BD5">
        <w:t>limited success.</w:t>
      </w:r>
      <w:r>
        <w:t xml:space="preserve">  (</w:t>
      </w:r>
      <w:r w:rsidRPr="006B3E55" w:rsidR="00DC399B">
        <w:rPr>
          <w:i/>
          <w:iCs/>
        </w:rPr>
        <w:t>Nishiki</w:t>
      </w:r>
      <w:r w:rsidR="00DC399B">
        <w:t>,</w:t>
      </w:r>
      <w:r>
        <w:t xml:space="preserve"> at pp. 895–896.)  The Court of Appeal rejected that argument, finding the reasoning of </w:t>
      </w:r>
      <w:r w:rsidRPr="00877ABB">
        <w:rPr>
          <w:i/>
          <w:iCs/>
        </w:rPr>
        <w:t>Chavez</w:t>
      </w:r>
      <w:r>
        <w:t xml:space="preserve"> and other discretionary fee cases did not apply because the statute before it was a “one-way” attorney fees provision meant to ensure even employees who achieve minimal success are still entitled to an award of fees.  (</w:t>
      </w:r>
      <w:r w:rsidR="00DC399B">
        <w:rPr>
          <w:i/>
          <w:iCs/>
        </w:rPr>
        <w:t>Nishiki</w:t>
      </w:r>
      <w:r w:rsidR="00DC399B">
        <w:t>,</w:t>
      </w:r>
      <w:r>
        <w:rPr>
          <w:i/>
          <w:iCs/>
        </w:rPr>
        <w:t xml:space="preserve"> </w:t>
      </w:r>
      <w:r>
        <w:t xml:space="preserve">at p. 896.)  </w:t>
      </w:r>
    </w:p>
    <w:p w:rsidR="00877ABB" w:rsidP="009603B3" w14:paraId="0272F414" w14:textId="7B9D01EE">
      <w:pPr>
        <w:pStyle w:val="IndentNormal"/>
      </w:pPr>
      <w:r>
        <w:t xml:space="preserve">Like </w:t>
      </w:r>
      <w:r w:rsidRPr="003C03E1">
        <w:rPr>
          <w:i/>
          <w:iCs/>
        </w:rPr>
        <w:t xml:space="preserve">Alamanor </w:t>
      </w:r>
      <w:r>
        <w:t xml:space="preserve">and </w:t>
      </w:r>
      <w:r w:rsidRPr="003C03E1" w:rsidR="003C03E1">
        <w:rPr>
          <w:i/>
          <w:iCs/>
        </w:rPr>
        <w:t>Nishiki</w:t>
      </w:r>
      <w:r w:rsidR="003C03E1">
        <w:t xml:space="preserve">, we find </w:t>
      </w:r>
      <w:r w:rsidRPr="003C03E1" w:rsidR="003C03E1">
        <w:rPr>
          <w:i/>
          <w:iCs/>
        </w:rPr>
        <w:t>Chavez</w:t>
      </w:r>
      <w:r w:rsidR="003C03E1">
        <w:t xml:space="preserve">’s reasoning is of limited value where a mandatory fee statute controls.  </w:t>
      </w:r>
    </w:p>
    <w:p w:rsidR="003C03E1" w:rsidP="003C03E1" w14:paraId="6869C0AA" w14:textId="226E5ED4">
      <w:pPr>
        <w:pStyle w:val="IndentNormal"/>
      </w:pPr>
      <w:r>
        <w:t xml:space="preserve">As a note of caution, our holding should not be read as a license for attorneys litigating minimum and overtime wage cases to over-file their cases or request unreasonable and excessive cost awards free of consequence.  Under Labor Code section 1194, subdivision (a), a prevailing employee is still only entitled to a reasonable fee and cost award.  (See </w:t>
      </w:r>
      <w:r w:rsidRPr="003C03E1">
        <w:rPr>
          <w:i/>
          <w:iCs/>
        </w:rPr>
        <w:t>Harrington</w:t>
      </w:r>
      <w:r>
        <w:t xml:space="preserve">, </w:t>
      </w:r>
      <w:r w:rsidRPr="003C03E1">
        <w:rPr>
          <w:i/>
          <w:iCs/>
        </w:rPr>
        <w:t>supra</w:t>
      </w:r>
      <w:r>
        <w:t>, 160</w:t>
      </w:r>
      <w:r w:rsidR="00BF1972">
        <w:t> </w:t>
      </w:r>
      <w:r>
        <w:t>Cal.App.4th at p. 594.)</w:t>
      </w:r>
      <w:r w:rsidR="009B6130">
        <w:t xml:space="preserve">  </w:t>
      </w:r>
      <w:r w:rsidR="00A44A92">
        <w:t xml:space="preserve">In assessing requests for litigation costs, trial courts </w:t>
      </w:r>
      <w:r w:rsidR="009B6130">
        <w:t xml:space="preserve">must always be guided by what is reasonable and </w:t>
      </w:r>
      <w:r w:rsidR="00E03819">
        <w:t xml:space="preserve">exercise their </w:t>
      </w:r>
      <w:r w:rsidR="009B6130">
        <w:t xml:space="preserve">discretion to strike costs </w:t>
      </w:r>
      <w:r w:rsidR="00E03819">
        <w:t>or reduce fees they</w:t>
      </w:r>
      <w:r w:rsidR="009B6130">
        <w:t xml:space="preserve"> </w:t>
      </w:r>
      <w:r w:rsidR="00E03819">
        <w:t xml:space="preserve">find </w:t>
      </w:r>
      <w:r w:rsidR="009B6130">
        <w:t>unreasonable.  (</w:t>
      </w:r>
      <w:r w:rsidR="00F956C7">
        <w:t xml:space="preserve">See </w:t>
      </w:r>
      <w:r w:rsidRPr="00F956C7" w:rsidR="00F956C7">
        <w:rPr>
          <w:i/>
          <w:iCs/>
        </w:rPr>
        <w:t>PLCM Group, Inc. v. Drexler</w:t>
      </w:r>
      <w:r w:rsidRPr="00F956C7" w:rsidR="00F956C7">
        <w:t xml:space="preserve"> (2000) 22</w:t>
      </w:r>
      <w:r w:rsidR="00BF1972">
        <w:t> </w:t>
      </w:r>
      <w:r w:rsidRPr="00F956C7" w:rsidR="00F956C7">
        <w:t>Cal.4th 1084, 1095</w:t>
      </w:r>
      <w:r w:rsidR="00F956C7">
        <w:t xml:space="preserve">; </w:t>
      </w:r>
      <w:r w:rsidRPr="00F956C7" w:rsidR="00F956C7">
        <w:rPr>
          <w:i/>
          <w:iCs/>
        </w:rPr>
        <w:t>Ketchum v. Moses</w:t>
      </w:r>
      <w:r w:rsidRPr="00F956C7" w:rsidR="00F956C7">
        <w:t xml:space="preserve"> (2001) 24 Cal.4th 1122</w:t>
      </w:r>
      <w:r w:rsidR="00F956C7">
        <w:t>, 1133</w:t>
      </w:r>
      <w:r w:rsidR="009B6130">
        <w:t xml:space="preserve">.)  </w:t>
      </w:r>
    </w:p>
    <w:p w:rsidR="004D2ECC" w:rsidP="00AA2DEB" w14:paraId="09F3F9C2" w14:textId="1E0AC88F">
      <w:pPr>
        <w:pStyle w:val="IndentNormal"/>
      </w:pPr>
      <w:r>
        <w:t>On this</w:t>
      </w:r>
      <w:r w:rsidR="009B6130">
        <w:t xml:space="preserve"> last</w:t>
      </w:r>
      <w:r>
        <w:t xml:space="preserve"> point, we find </w:t>
      </w:r>
      <w:r w:rsidRPr="009B6130">
        <w:rPr>
          <w:i/>
          <w:iCs/>
        </w:rPr>
        <w:t>Harrington</w:t>
      </w:r>
      <w:r>
        <w:t xml:space="preserve"> </w:t>
      </w:r>
      <w:r w:rsidR="009B6130">
        <w:t>illustrative</w:t>
      </w:r>
      <w:r>
        <w:t xml:space="preserve">. </w:t>
      </w:r>
      <w:r w:rsidR="009B6130">
        <w:t xml:space="preserve"> There, </w:t>
      </w:r>
      <w:r w:rsidR="00F956C7">
        <w:t xml:space="preserve">an employee </w:t>
      </w:r>
      <w:r w:rsidR="009B6130">
        <w:t xml:space="preserve">filed a class action </w:t>
      </w:r>
      <w:r w:rsidR="00AA2DEB">
        <w:t>for unpaid overtime wages.  (</w:t>
      </w:r>
      <w:r w:rsidR="00453DBD">
        <w:rPr>
          <w:i/>
          <w:iCs/>
        </w:rPr>
        <w:t>Harrington</w:t>
      </w:r>
      <w:r w:rsidRPr="006B3E55" w:rsidR="00453DBD">
        <w:t>,</w:t>
      </w:r>
      <w:r w:rsidR="00453DBD">
        <w:rPr>
          <w:i/>
          <w:iCs/>
        </w:rPr>
        <w:t xml:space="preserve"> supra</w:t>
      </w:r>
      <w:r w:rsidRPr="006B3E55" w:rsidR="00453DBD">
        <w:t>, 160 Cal.App.4th</w:t>
      </w:r>
      <w:r w:rsidR="00AA2DEB">
        <w:rPr>
          <w:i/>
          <w:iCs/>
        </w:rPr>
        <w:t xml:space="preserve"> </w:t>
      </w:r>
      <w:r w:rsidR="00AA2DEB">
        <w:t xml:space="preserve">at p. 591.)  </w:t>
      </w:r>
      <w:r w:rsidR="009B6130">
        <w:t>After class certification was denied, the</w:t>
      </w:r>
      <w:r w:rsidR="00AA2DEB">
        <w:t xml:space="preserve"> employee’s </w:t>
      </w:r>
      <w:r w:rsidR="009B6130">
        <w:t xml:space="preserve">remaining </w:t>
      </w:r>
      <w:r w:rsidR="00AA2DEB">
        <w:t xml:space="preserve">individual claim </w:t>
      </w:r>
      <w:r w:rsidR="009B6130">
        <w:t xml:space="preserve">was </w:t>
      </w:r>
      <w:r w:rsidR="00AA2DEB">
        <w:t>for</w:t>
      </w:r>
      <w:r w:rsidR="009B6130">
        <w:t xml:space="preserve"> $44.63</w:t>
      </w:r>
      <w:r w:rsidR="00AA2DEB">
        <w:t xml:space="preserve"> </w:t>
      </w:r>
      <w:r w:rsidR="009B6130">
        <w:t xml:space="preserve">in </w:t>
      </w:r>
      <w:r w:rsidR="00AA2DEB">
        <w:t xml:space="preserve">unpaid </w:t>
      </w:r>
      <w:r w:rsidR="009B6130">
        <w:t>wages</w:t>
      </w:r>
      <w:r w:rsidR="00AA2DEB">
        <w:t>.  (</w:t>
      </w:r>
      <w:r w:rsidR="00AA2DEB">
        <w:rPr>
          <w:i/>
          <w:iCs/>
        </w:rPr>
        <w:t>Ibid</w:t>
      </w:r>
      <w:r w:rsidR="00AA2DEB">
        <w:t xml:space="preserve">.)  </w:t>
      </w:r>
      <w:r w:rsidR="009B6130">
        <w:t>The</w:t>
      </w:r>
      <w:r w:rsidR="00AA2DEB">
        <w:t xml:space="preserve"> employer </w:t>
      </w:r>
      <w:r w:rsidR="009B6130">
        <w:t xml:space="preserve">ultimately </w:t>
      </w:r>
      <w:r w:rsidR="00AA2DEB">
        <w:t>settled the case for $10,500 and agreed that for purposes of attorney fees, the employee would be deemed the prevailing party.  (</w:t>
      </w:r>
      <w:r w:rsidRPr="00AA2DEB" w:rsidR="00AA2DEB">
        <w:rPr>
          <w:i/>
          <w:iCs/>
        </w:rPr>
        <w:t>I</w:t>
      </w:r>
      <w:r w:rsidR="00AA2DEB">
        <w:rPr>
          <w:i/>
          <w:iCs/>
        </w:rPr>
        <w:t>d</w:t>
      </w:r>
      <w:r w:rsidRPr="000D4527" w:rsidR="00AA2DEB">
        <w:t>.</w:t>
      </w:r>
      <w:r w:rsidR="00AA2DEB">
        <w:rPr>
          <w:i/>
          <w:iCs/>
        </w:rPr>
        <w:t xml:space="preserve"> </w:t>
      </w:r>
      <w:r w:rsidR="00AA2DEB">
        <w:t>at pp. 591–</w:t>
      </w:r>
      <w:r w:rsidRPr="00AA2DEB" w:rsidR="00AA2DEB">
        <w:t>592</w:t>
      </w:r>
      <w:r w:rsidR="00AA2DEB">
        <w:t xml:space="preserve">.)  The employee </w:t>
      </w:r>
      <w:r w:rsidR="009B6130">
        <w:t xml:space="preserve">then </w:t>
      </w:r>
      <w:r w:rsidR="00AA2DEB">
        <w:t xml:space="preserve">requested </w:t>
      </w:r>
      <w:r w:rsidRPr="00AA2DEB" w:rsidR="00AA2DEB">
        <w:t>more than $46,000 in attorney</w:t>
      </w:r>
      <w:r>
        <w:t xml:space="preserve"> </w:t>
      </w:r>
      <w:r w:rsidRPr="00AA2DEB" w:rsidR="00AA2DEB">
        <w:t>fees and more than $2</w:t>
      </w:r>
      <w:r w:rsidR="00AA2DEB">
        <w:t>,</w:t>
      </w:r>
      <w:r w:rsidRPr="00AA2DEB" w:rsidR="00AA2DEB">
        <w:t>200 in costs</w:t>
      </w:r>
      <w:r w:rsidR="00AA2DEB">
        <w:t>.  (</w:t>
      </w:r>
      <w:r w:rsidR="00AA2DEB">
        <w:rPr>
          <w:i/>
          <w:iCs/>
        </w:rPr>
        <w:t>Id</w:t>
      </w:r>
      <w:r w:rsidRPr="000D4527" w:rsidR="00AA2DEB">
        <w:t>.</w:t>
      </w:r>
      <w:r w:rsidR="00AA2DEB">
        <w:rPr>
          <w:i/>
          <w:iCs/>
        </w:rPr>
        <w:t xml:space="preserve"> </w:t>
      </w:r>
      <w:r w:rsidR="00AA2DEB">
        <w:t xml:space="preserve">at p. 592.)  </w:t>
      </w:r>
      <w:r>
        <w:t>The trial court denied the employee’s request, finding it unreasonable and excessive, and that the employee had already been paid a windfall of $10,500 for a $44 overtime claim.  (</w:t>
      </w:r>
      <w:r>
        <w:rPr>
          <w:i/>
          <w:iCs/>
        </w:rPr>
        <w:t>Id</w:t>
      </w:r>
      <w:r w:rsidRPr="000D4527">
        <w:t>.</w:t>
      </w:r>
      <w:r>
        <w:rPr>
          <w:i/>
          <w:iCs/>
        </w:rPr>
        <w:t xml:space="preserve"> </w:t>
      </w:r>
      <w:r>
        <w:t xml:space="preserve">at p. 593.)  </w:t>
      </w:r>
    </w:p>
    <w:p w:rsidR="009B6130" w:rsidP="00F422C5" w14:paraId="347E6D64" w14:textId="0C1FC404">
      <w:pPr>
        <w:pStyle w:val="IndentNormal"/>
      </w:pPr>
      <w:r>
        <w:t>After t</w:t>
      </w:r>
      <w:r w:rsidR="004D2ECC">
        <w:t>he employee appealed</w:t>
      </w:r>
      <w:r>
        <w:t>,</w:t>
      </w:r>
      <w:r w:rsidR="004D2ECC">
        <w:t xml:space="preserve"> the </w:t>
      </w:r>
      <w:r w:rsidR="00453DBD">
        <w:t>C</w:t>
      </w:r>
      <w:r w:rsidR="004D2ECC">
        <w:t xml:space="preserve">ourt of </w:t>
      </w:r>
      <w:r w:rsidR="00453DBD">
        <w:t>A</w:t>
      </w:r>
      <w:r w:rsidR="004D2ECC">
        <w:t xml:space="preserve">ppeal reversed </w:t>
      </w:r>
      <w:r>
        <w:t>the denial but fixed the fee award at $500</w:t>
      </w:r>
      <w:r w:rsidR="004D2ECC">
        <w:t>.  (</w:t>
      </w:r>
      <w:r w:rsidR="004D2ECC">
        <w:rPr>
          <w:i/>
          <w:iCs/>
        </w:rPr>
        <w:t>Harrington</w:t>
      </w:r>
      <w:r w:rsidR="004D2ECC">
        <w:t xml:space="preserve">, </w:t>
      </w:r>
      <w:r w:rsidR="004D2ECC">
        <w:rPr>
          <w:i/>
          <w:iCs/>
        </w:rPr>
        <w:t>supra</w:t>
      </w:r>
      <w:r w:rsidR="004D2ECC">
        <w:t>, 160 Cal.App.4th at p</w:t>
      </w:r>
      <w:r>
        <w:t>p</w:t>
      </w:r>
      <w:r w:rsidR="004D2ECC">
        <w:t>. 593</w:t>
      </w:r>
      <w:r>
        <w:t>–594</w:t>
      </w:r>
      <w:r w:rsidR="004D2ECC">
        <w:t xml:space="preserve">.)  </w:t>
      </w:r>
      <w:r>
        <w:t xml:space="preserve">Although the </w:t>
      </w:r>
      <w:r>
        <w:rPr>
          <w:i/>
          <w:iCs/>
        </w:rPr>
        <w:t xml:space="preserve">Harrington </w:t>
      </w:r>
      <w:r>
        <w:t xml:space="preserve">court found the employee was entitled to an award of fees under </w:t>
      </w:r>
      <w:r w:rsidR="004D2ECC">
        <w:t xml:space="preserve">various provisions of the Labor Code, including Labor Code section 1194, subdivision (a), </w:t>
      </w:r>
      <w:r>
        <w:t xml:space="preserve">“there </w:t>
      </w:r>
      <w:r w:rsidR="00F956C7">
        <w:t>[was]</w:t>
      </w:r>
      <w:r>
        <w:t xml:space="preserve"> no way on earth this case justified the hours purportedly billed by Harrington’s lawyers.”  (</w:t>
      </w:r>
      <w:r w:rsidR="008D60A3">
        <w:rPr>
          <w:i/>
          <w:iCs/>
        </w:rPr>
        <w:t>Harrington</w:t>
      </w:r>
      <w:r w:rsidR="008D60A3">
        <w:t>,</w:t>
      </w:r>
      <w:r>
        <w:t xml:space="preserve"> at pp. </w:t>
      </w:r>
      <w:r w:rsidR="004D2ECC">
        <w:t xml:space="preserve">593–594.)  </w:t>
      </w:r>
      <w:r>
        <w:t xml:space="preserve">Given the nature of the dispute, the amount of the settlement, and the record on appeal, </w:t>
      </w:r>
      <w:r w:rsidR="00F026CA">
        <w:t>the court was “</w:t>
      </w:r>
      <w:r>
        <w:t>satisfied that the trial court could not reasonably award an amount in excess of $500.”  (</w:t>
      </w:r>
      <w:r w:rsidR="008D60A3">
        <w:rPr>
          <w:i/>
          <w:iCs/>
        </w:rPr>
        <w:t>Id</w:t>
      </w:r>
      <w:r w:rsidRPr="006B3E55" w:rsidR="008D60A3">
        <w:t>.</w:t>
      </w:r>
      <w:r>
        <w:t xml:space="preserve"> at p. 594.)</w:t>
      </w:r>
    </w:p>
    <w:p w:rsidR="009B6130" w:rsidRPr="009B6130" w:rsidP="00F422C5" w14:paraId="197D61C4" w14:textId="0AA7DFD9">
      <w:pPr>
        <w:pStyle w:val="IndentNormal"/>
      </w:pPr>
      <w:r>
        <w:t xml:space="preserve">Thus, as </w:t>
      </w:r>
      <w:r>
        <w:rPr>
          <w:i/>
          <w:iCs/>
        </w:rPr>
        <w:t xml:space="preserve">Harrington </w:t>
      </w:r>
      <w:r>
        <w:t xml:space="preserve">demonstrates, </w:t>
      </w:r>
      <w:r w:rsidR="00900F7C">
        <w:t xml:space="preserve">there are still sufficient consequences for attorneys who make unreasonable and excessive requests to recover fees and costs even in the face of a mandatory fee statute like Labor Code section 1194, subdivision (a).  </w:t>
      </w:r>
    </w:p>
    <w:p w:rsidR="00D4164B" w:rsidP="000D4527" w14:paraId="36E9FEF8" w14:textId="6896A43B">
      <w:pPr>
        <w:pStyle w:val="Style1"/>
        <w:keepNext/>
      </w:pPr>
      <w:r>
        <w:t>Gramajo is entitled to a reasonable fee</w:t>
      </w:r>
      <w:r w:rsidR="000F4EE2">
        <w:t>s</w:t>
      </w:r>
      <w:r>
        <w:t xml:space="preserve"> and costs</w:t>
      </w:r>
    </w:p>
    <w:p w:rsidR="00BB5592" w:rsidP="00900F7C" w14:paraId="13B12403" w14:textId="57BCA880">
      <w:pPr>
        <w:pStyle w:val="IndentNormal"/>
      </w:pPr>
      <w:r>
        <w:t xml:space="preserve">Since we conclude Gramajo was entitled to his reasonable fees and costs, we remand the matter back to the trial court, which is in the best position to assess the value of the services rendered by Gramajo’s attorney.  </w:t>
      </w:r>
      <w:r w:rsidRPr="00D4164B" w:rsidR="00D4164B">
        <w:t>(</w:t>
      </w:r>
      <w:r w:rsidRPr="00B84E37" w:rsidR="00D4164B">
        <w:rPr>
          <w:i/>
          <w:iCs/>
        </w:rPr>
        <w:t>Harman v. City and County of San Francisco</w:t>
      </w:r>
      <w:r w:rsidRPr="00D4164B" w:rsidR="00D4164B">
        <w:t xml:space="preserve"> (2007) 158 Cal.App.4th 407, 427.) </w:t>
      </w:r>
      <w:r w:rsidR="00900F7C">
        <w:t xml:space="preserve"> </w:t>
      </w:r>
      <w:r>
        <w:t xml:space="preserve">We reiterate, under Labor Code section 1194, subdivision (a), Gramajo is </w:t>
      </w:r>
      <w:r w:rsidR="00900F7C">
        <w:t xml:space="preserve">only </w:t>
      </w:r>
      <w:r>
        <w:t>entitled to his reasonable fees and costs</w:t>
      </w:r>
      <w:r w:rsidR="00900F7C">
        <w:t>, nothing more</w:t>
      </w:r>
      <w:r>
        <w:t xml:space="preserve">.  (See </w:t>
      </w:r>
      <w:r w:rsidRPr="00F026CA">
        <w:rPr>
          <w:i/>
          <w:iCs/>
        </w:rPr>
        <w:t>Harrington</w:t>
      </w:r>
      <w:r>
        <w:t xml:space="preserve">, </w:t>
      </w:r>
      <w:r w:rsidRPr="00F026CA">
        <w:rPr>
          <w:i/>
          <w:iCs/>
        </w:rPr>
        <w:t>supra</w:t>
      </w:r>
      <w:r>
        <w:t>, 160 Cal.App.4th at p. 594</w:t>
      </w:r>
      <w:r w:rsidR="005662F4">
        <w:t xml:space="preserve">; </w:t>
      </w:r>
      <w:r w:rsidRPr="627FDB0A" w:rsidR="005662F4">
        <w:rPr>
          <w:i/>
          <w:iCs/>
        </w:rPr>
        <w:t xml:space="preserve">Karton v. Ari Design &amp; Construction, Inc. </w:t>
      </w:r>
      <w:r w:rsidRPr="627FDB0A" w:rsidR="005662F4">
        <w:t>(2021) 61 Cal.App.5th 734, 743</w:t>
      </w:r>
      <w:r w:rsidR="004121EA">
        <w:t>–</w:t>
      </w:r>
      <w:r w:rsidRPr="627FDB0A" w:rsidR="005662F4">
        <w:t>750 [reviewing factors a trial court may weigh when determining a reasonable fee]</w:t>
      </w:r>
      <w:r>
        <w:t xml:space="preserve">.)  </w:t>
      </w:r>
    </w:p>
    <w:p w:rsidR="00A336F6" w:rsidRPr="00A6535E" w:rsidP="000D4527" w14:paraId="14499DF8" w14:textId="77777777">
      <w:pPr>
        <w:spacing w:after="0"/>
        <w:contextualSpacing/>
        <w:jc w:val="center"/>
        <w:rPr>
          <w:rFonts w:eastAsia="Calibri"/>
          <w:b/>
          <w:bCs/>
          <w:szCs w:val="26"/>
        </w:rPr>
      </w:pPr>
      <w:r w:rsidRPr="00A6535E">
        <w:rPr>
          <w:rFonts w:eastAsia="Calibri"/>
          <w:b/>
          <w:bCs/>
          <w:szCs w:val="26"/>
        </w:rPr>
        <w:t>DISPOSITION</w:t>
      </w:r>
    </w:p>
    <w:p w:rsidR="00D4059D" w:rsidP="00D91B3F" w14:paraId="673E0271" w14:textId="2287CE0F">
      <w:pPr>
        <w:spacing w:after="0"/>
        <w:rPr>
          <w:szCs w:val="26"/>
        </w:rPr>
      </w:pPr>
      <w:r>
        <w:rPr>
          <w:szCs w:val="26"/>
        </w:rPr>
        <w:tab/>
      </w:r>
      <w:r w:rsidR="00067B04">
        <w:rPr>
          <w:szCs w:val="26"/>
        </w:rPr>
        <w:t>The</w:t>
      </w:r>
      <w:r w:rsidR="00661E83">
        <w:rPr>
          <w:szCs w:val="26"/>
        </w:rPr>
        <w:t xml:space="preserve"> </w:t>
      </w:r>
      <w:r w:rsidR="00372530">
        <w:rPr>
          <w:szCs w:val="26"/>
        </w:rPr>
        <w:t>order</w:t>
      </w:r>
      <w:r w:rsidR="00FF182F">
        <w:rPr>
          <w:szCs w:val="26"/>
        </w:rPr>
        <w:t>s</w:t>
      </w:r>
      <w:r w:rsidR="00C33985">
        <w:rPr>
          <w:szCs w:val="26"/>
        </w:rPr>
        <w:t xml:space="preserve"> denying </w:t>
      </w:r>
      <w:r w:rsidR="00900F7C">
        <w:rPr>
          <w:szCs w:val="26"/>
        </w:rPr>
        <w:t>Appellant’</w:t>
      </w:r>
      <w:r w:rsidR="00C33985">
        <w:rPr>
          <w:szCs w:val="26"/>
        </w:rPr>
        <w:t xml:space="preserve">s motion for attorney fees </w:t>
      </w:r>
      <w:r w:rsidR="00FF182F">
        <w:rPr>
          <w:szCs w:val="26"/>
        </w:rPr>
        <w:t xml:space="preserve">and granting Respondents’ motion to tax costs are </w:t>
      </w:r>
      <w:r w:rsidR="00C33985">
        <w:rPr>
          <w:szCs w:val="26"/>
        </w:rPr>
        <w:t xml:space="preserve">reversed, and </w:t>
      </w:r>
      <w:r w:rsidR="00FF182F">
        <w:rPr>
          <w:szCs w:val="26"/>
        </w:rPr>
        <w:t xml:space="preserve">the </w:t>
      </w:r>
      <w:r w:rsidR="00C33985">
        <w:rPr>
          <w:szCs w:val="26"/>
        </w:rPr>
        <w:t xml:space="preserve">cause is remanded to the trial court to exercise its discretion </w:t>
      </w:r>
      <w:r w:rsidR="00FF182F">
        <w:rPr>
          <w:szCs w:val="26"/>
        </w:rPr>
        <w:t>to</w:t>
      </w:r>
      <w:r w:rsidR="00C33985">
        <w:rPr>
          <w:szCs w:val="26"/>
        </w:rPr>
        <w:t xml:space="preserve"> determine a “reasonable” fee for </w:t>
      </w:r>
      <w:r w:rsidR="00900F7C">
        <w:rPr>
          <w:szCs w:val="26"/>
        </w:rPr>
        <w:t>Appellant</w:t>
      </w:r>
      <w:r w:rsidR="00C33985">
        <w:rPr>
          <w:szCs w:val="26"/>
        </w:rPr>
        <w:t>’s attorney</w:t>
      </w:r>
      <w:r w:rsidR="00FF182F">
        <w:rPr>
          <w:szCs w:val="26"/>
        </w:rPr>
        <w:t xml:space="preserve">, as well as </w:t>
      </w:r>
      <w:r w:rsidR="00900F7C">
        <w:rPr>
          <w:szCs w:val="26"/>
        </w:rPr>
        <w:t>Appellant</w:t>
      </w:r>
      <w:r w:rsidR="00FF182F">
        <w:rPr>
          <w:szCs w:val="26"/>
        </w:rPr>
        <w:t>’s costs</w:t>
      </w:r>
      <w:r w:rsidR="00C33985">
        <w:rPr>
          <w:szCs w:val="26"/>
        </w:rPr>
        <w:t xml:space="preserve"> under Labor Code section 1194</w:t>
      </w:r>
      <w:r w:rsidR="00900F7C">
        <w:rPr>
          <w:szCs w:val="26"/>
        </w:rPr>
        <w:t>, subdivision (a)</w:t>
      </w:r>
      <w:r w:rsidR="00C33985">
        <w:rPr>
          <w:szCs w:val="26"/>
        </w:rPr>
        <w:t>.  The parties are to pay their own costs on appeal, including their own attorney fees.</w:t>
      </w:r>
    </w:p>
    <w:p w:rsidR="002052D5" w:rsidP="00D91B3F" w14:paraId="50F0909A" w14:textId="77777777">
      <w:pPr>
        <w:spacing w:after="0"/>
        <w:rPr>
          <w:szCs w:val="26"/>
        </w:rPr>
      </w:pPr>
    </w:p>
    <w:p w:rsidR="00EC1B2F" w:rsidRPr="00A6535E" w:rsidP="00D91B3F" w14:paraId="63BF57E1" w14:textId="77777777">
      <w:pPr>
        <w:spacing w:after="0"/>
        <w:rPr>
          <w:szCs w:val="26"/>
        </w:rPr>
      </w:pPr>
      <w:r w:rsidRPr="00A6535E">
        <w:rPr>
          <w:szCs w:val="26"/>
        </w:rPr>
        <w:tab/>
      </w:r>
      <w:r w:rsidRPr="00A6535E">
        <w:rPr>
          <w:szCs w:val="26"/>
        </w:rPr>
        <w:tab/>
      </w:r>
      <w:r w:rsidRPr="00A6535E">
        <w:rPr>
          <w:szCs w:val="26"/>
        </w:rPr>
        <w:tab/>
      </w:r>
      <w:r w:rsidRPr="00A6535E">
        <w:rPr>
          <w:szCs w:val="26"/>
        </w:rPr>
        <w:tab/>
      </w:r>
      <w:r w:rsidRPr="00A6535E">
        <w:rPr>
          <w:szCs w:val="26"/>
        </w:rPr>
        <w:tab/>
      </w:r>
      <w:r w:rsidRPr="00A6535E">
        <w:rPr>
          <w:szCs w:val="26"/>
        </w:rPr>
        <w:tab/>
      </w:r>
      <w:r w:rsidR="00823EF7">
        <w:rPr>
          <w:szCs w:val="26"/>
        </w:rPr>
        <w:tab/>
      </w:r>
      <w:r w:rsidR="006D7C46">
        <w:rPr>
          <w:szCs w:val="26"/>
        </w:rPr>
        <w:t>VIRAMONTES</w:t>
      </w:r>
      <w:r w:rsidRPr="00A6535E">
        <w:rPr>
          <w:szCs w:val="26"/>
        </w:rPr>
        <w:t>, J.</w:t>
      </w:r>
    </w:p>
    <w:p w:rsidR="00BA13DA" w:rsidP="00D91B3F" w14:paraId="6C40BACB" w14:textId="77777777">
      <w:pPr>
        <w:spacing w:after="0"/>
        <w:rPr>
          <w:szCs w:val="26"/>
        </w:rPr>
      </w:pPr>
    </w:p>
    <w:p w:rsidR="00EE7E4E" w:rsidRPr="00A6535E" w:rsidP="00D91B3F" w14:paraId="083665F7" w14:textId="77777777">
      <w:pPr>
        <w:spacing w:after="0"/>
        <w:ind w:firstLine="720"/>
        <w:rPr>
          <w:szCs w:val="26"/>
        </w:rPr>
      </w:pPr>
      <w:r w:rsidRPr="00A6535E">
        <w:rPr>
          <w:szCs w:val="26"/>
        </w:rPr>
        <w:t>W</w:t>
      </w:r>
      <w:r>
        <w:rPr>
          <w:szCs w:val="26"/>
        </w:rPr>
        <w:t>E</w:t>
      </w:r>
      <w:r w:rsidRPr="00A6535E">
        <w:rPr>
          <w:szCs w:val="26"/>
        </w:rPr>
        <w:t xml:space="preserve"> </w:t>
      </w:r>
      <w:r>
        <w:rPr>
          <w:szCs w:val="26"/>
        </w:rPr>
        <w:t>CONCUR</w:t>
      </w:r>
      <w:r w:rsidRPr="00A6535E">
        <w:rPr>
          <w:szCs w:val="26"/>
        </w:rPr>
        <w:t>:</w:t>
      </w:r>
    </w:p>
    <w:p w:rsidR="000D4527" w:rsidRPr="00A6535E" w:rsidP="00F043B2" w14:paraId="55159CDA" w14:textId="77777777">
      <w:pPr>
        <w:spacing w:after="0" w:line="240" w:lineRule="auto"/>
        <w:rPr>
          <w:szCs w:val="26"/>
        </w:rPr>
      </w:pPr>
    </w:p>
    <w:p w:rsidR="00EE7E4E" w:rsidRPr="00A6535E" w:rsidP="00F043B2" w14:paraId="4B69BAD1" w14:textId="77777777">
      <w:pPr>
        <w:spacing w:after="0" w:line="240" w:lineRule="auto"/>
        <w:rPr>
          <w:szCs w:val="26"/>
        </w:rPr>
      </w:pPr>
    </w:p>
    <w:p w:rsidR="009D5888" w:rsidP="00D91B3F" w14:paraId="3230C901" w14:textId="2951F9F2">
      <w:pPr>
        <w:spacing w:after="0"/>
        <w:rPr>
          <w:szCs w:val="26"/>
        </w:rPr>
      </w:pPr>
      <w:r w:rsidRPr="00A6535E">
        <w:rPr>
          <w:szCs w:val="26"/>
        </w:rPr>
        <w:tab/>
      </w:r>
      <w:r>
        <w:rPr>
          <w:szCs w:val="26"/>
        </w:rPr>
        <w:tab/>
      </w:r>
      <w:r w:rsidR="001632CE">
        <w:rPr>
          <w:szCs w:val="26"/>
        </w:rPr>
        <w:tab/>
      </w:r>
      <w:r w:rsidR="00C33985">
        <w:rPr>
          <w:szCs w:val="26"/>
        </w:rPr>
        <w:t>GRIMES</w:t>
      </w:r>
      <w:r w:rsidRPr="00A6535E">
        <w:rPr>
          <w:szCs w:val="26"/>
        </w:rPr>
        <w:t xml:space="preserve">, </w:t>
      </w:r>
      <w:r w:rsidR="00C33985">
        <w:rPr>
          <w:szCs w:val="26"/>
        </w:rPr>
        <w:t xml:space="preserve">Acting </w:t>
      </w:r>
      <w:r w:rsidRPr="00A6535E">
        <w:rPr>
          <w:szCs w:val="26"/>
        </w:rPr>
        <w:t>P.</w:t>
      </w:r>
      <w:r w:rsidR="00702B26">
        <w:rPr>
          <w:szCs w:val="26"/>
        </w:rPr>
        <w:t xml:space="preserve"> </w:t>
      </w:r>
      <w:r w:rsidRPr="00A6535E">
        <w:rPr>
          <w:szCs w:val="26"/>
        </w:rPr>
        <w:t>J.</w:t>
      </w:r>
      <w:r>
        <w:rPr>
          <w:szCs w:val="26"/>
        </w:rPr>
        <w:tab/>
      </w:r>
      <w:r>
        <w:rPr>
          <w:szCs w:val="26"/>
        </w:rPr>
        <w:tab/>
      </w:r>
      <w:r>
        <w:rPr>
          <w:szCs w:val="26"/>
        </w:rPr>
        <w:tab/>
      </w:r>
    </w:p>
    <w:p w:rsidR="00D91B3F" w:rsidP="00F043B2" w14:paraId="2307B6B5" w14:textId="77777777">
      <w:pPr>
        <w:spacing w:after="0" w:line="240" w:lineRule="auto"/>
        <w:rPr>
          <w:szCs w:val="26"/>
        </w:rPr>
      </w:pPr>
    </w:p>
    <w:p w:rsidR="009D5888" w:rsidP="00F043B2" w14:paraId="6CA50ED7" w14:textId="77777777">
      <w:pPr>
        <w:spacing w:after="0" w:line="240" w:lineRule="auto"/>
        <w:rPr>
          <w:szCs w:val="26"/>
        </w:rPr>
      </w:pPr>
    </w:p>
    <w:p w:rsidR="00EC1B2F" w:rsidRPr="00A6535E" w:rsidP="00D91B3F" w14:paraId="13374911" w14:textId="77777777">
      <w:pPr>
        <w:spacing w:after="0"/>
        <w:ind w:left="1440" w:firstLine="720"/>
        <w:rPr>
          <w:szCs w:val="26"/>
        </w:rPr>
      </w:pPr>
      <w:r>
        <w:rPr>
          <w:szCs w:val="26"/>
        </w:rPr>
        <w:t>WILEY</w:t>
      </w:r>
      <w:r w:rsidRPr="00A6535E" w:rsidR="00EE7E4E">
        <w:rPr>
          <w:szCs w:val="26"/>
        </w:rPr>
        <w:t>, J.</w:t>
      </w:r>
      <w:r w:rsidRPr="00A6535E" w:rsidR="00EE7E4E">
        <w:rPr>
          <w:szCs w:val="26"/>
        </w:rPr>
        <w:tab/>
      </w:r>
    </w:p>
    <w:sectPr w:rsidSect="008C52EF">
      <w:headerReference w:type="even" r:id="rId8"/>
      <w:footerReference w:type="even" r:id="rId9"/>
      <w:footerReference w:type="default" r:id="rId10"/>
      <w:pgSz w:w="12240" w:h="15840"/>
      <w:pgMar w:top="2160" w:right="2160" w:bottom="2160" w:left="2160" w:header="720" w:footer="720" w:gutter="0"/>
      <w:pgNumType w:start="1"/>
      <w:cols w:space="720"/>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79AE" w14:paraId="4024969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3D70">
      <w:rPr>
        <w:rStyle w:val="PageNumber"/>
        <w:noProof/>
      </w:rPr>
      <w:t>5</w:t>
    </w:r>
    <w:r>
      <w:rPr>
        <w:rStyle w:val="PageNumber"/>
      </w:rPr>
      <w:fldChar w:fldCharType="end"/>
    </w:r>
  </w:p>
  <w:p w:rsidR="00EA79AE" w14:paraId="56B15E31" w14:textId="77777777">
    <w:pPr>
      <w:pStyle w:val="Footer"/>
    </w:pPr>
  </w:p>
  <w:p w:rsidR="00144D8A" w14:paraId="6D776101"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79AE" w:rsidRPr="00206978" w14:paraId="53FA250C" w14:textId="77777777">
    <w:pPr>
      <w:pStyle w:val="Footer"/>
      <w:framePr w:wrap="around" w:vAnchor="text" w:hAnchor="margin" w:xAlign="center" w:y="1"/>
      <w:rPr>
        <w:rStyle w:val="PageNumber"/>
      </w:rPr>
    </w:pPr>
    <w:r w:rsidRPr="00206978">
      <w:rPr>
        <w:rStyle w:val="PageNumber"/>
      </w:rPr>
      <w:fldChar w:fldCharType="begin"/>
    </w:r>
    <w:r w:rsidRPr="00206978">
      <w:rPr>
        <w:rStyle w:val="PageNumber"/>
      </w:rPr>
      <w:instrText xml:space="preserve">PAGE  </w:instrText>
    </w:r>
    <w:r w:rsidRPr="00206978">
      <w:rPr>
        <w:rStyle w:val="PageNumber"/>
      </w:rPr>
      <w:fldChar w:fldCharType="separate"/>
    </w:r>
    <w:r w:rsidR="00996934">
      <w:rPr>
        <w:rStyle w:val="PageNumber"/>
        <w:noProof/>
      </w:rPr>
      <w:t>19</w:t>
    </w:r>
    <w:r w:rsidRPr="00206978">
      <w:rPr>
        <w:rStyle w:val="PageNumber"/>
      </w:rPr>
      <w:fldChar w:fldCharType="end"/>
    </w:r>
  </w:p>
  <w:p w:rsidR="00144D8A" w14:paraId="3E6C1B05"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E1D" w14:paraId="69CDD746" w14:textId="77777777">
    <w:pPr>
      <w:pStyle w:val="Header"/>
    </w:pPr>
  </w:p>
  <w:p w:rsidR="00144D8A" w14:paraId="18C883BB"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7C6528"/>
    <w:multiLevelType w:val="hybridMultilevel"/>
    <w:tmpl w:val="F6142760"/>
    <w:lvl w:ilvl="0">
      <w:start w:val="1"/>
      <w:numFmt w:val="decimal"/>
      <w:pStyle w:val="Style3"/>
      <w:lvlText w:val="%1."/>
      <w:lvlJc w:val="left"/>
      <w:pPr>
        <w:ind w:left="720" w:firstLine="720"/>
      </w:pPr>
      <w:rPr>
        <w:rFonts w:hint="default"/>
      </w:rPr>
    </w:lvl>
    <w:lvl w:ilvl="1" w:tentative="1">
      <w:start w:val="1"/>
      <w:numFmt w:val="lowerLetter"/>
      <w:lvlText w:val="%2."/>
      <w:lvlJc w:val="left"/>
      <w:pPr>
        <w:ind w:left="2970" w:hanging="360"/>
      </w:pPr>
    </w:lvl>
    <w:lvl w:ilvl="2" w:tentative="1">
      <w:start w:val="1"/>
      <w:numFmt w:val="lowerRoman"/>
      <w:lvlText w:val="%3."/>
      <w:lvlJc w:val="right"/>
      <w:pPr>
        <w:ind w:left="3690" w:hanging="180"/>
      </w:pPr>
    </w:lvl>
    <w:lvl w:ilvl="3" w:tentative="1">
      <w:start w:val="1"/>
      <w:numFmt w:val="decimal"/>
      <w:lvlText w:val="%4."/>
      <w:lvlJc w:val="left"/>
      <w:pPr>
        <w:ind w:left="4410" w:hanging="360"/>
      </w:pPr>
    </w:lvl>
    <w:lvl w:ilvl="4" w:tentative="1">
      <w:start w:val="1"/>
      <w:numFmt w:val="lowerLetter"/>
      <w:lvlText w:val="%5."/>
      <w:lvlJc w:val="left"/>
      <w:pPr>
        <w:ind w:left="5130" w:hanging="360"/>
      </w:pPr>
    </w:lvl>
    <w:lvl w:ilvl="5" w:tentative="1">
      <w:start w:val="1"/>
      <w:numFmt w:val="lowerRoman"/>
      <w:lvlText w:val="%6."/>
      <w:lvlJc w:val="right"/>
      <w:pPr>
        <w:ind w:left="5850" w:hanging="180"/>
      </w:pPr>
    </w:lvl>
    <w:lvl w:ilvl="6" w:tentative="1">
      <w:start w:val="1"/>
      <w:numFmt w:val="decimal"/>
      <w:lvlText w:val="%7."/>
      <w:lvlJc w:val="left"/>
      <w:pPr>
        <w:ind w:left="6570" w:hanging="360"/>
      </w:pPr>
    </w:lvl>
    <w:lvl w:ilvl="7" w:tentative="1">
      <w:start w:val="1"/>
      <w:numFmt w:val="lowerLetter"/>
      <w:lvlText w:val="%8."/>
      <w:lvlJc w:val="left"/>
      <w:pPr>
        <w:ind w:left="7290" w:hanging="360"/>
      </w:pPr>
    </w:lvl>
    <w:lvl w:ilvl="8" w:tentative="1">
      <w:start w:val="1"/>
      <w:numFmt w:val="lowerRoman"/>
      <w:lvlText w:val="%9."/>
      <w:lvlJc w:val="right"/>
      <w:pPr>
        <w:ind w:left="8010" w:hanging="180"/>
      </w:pPr>
    </w:lvl>
  </w:abstractNum>
  <w:abstractNum w:abstractNumId="1">
    <w:nsid w:val="073A5DD3"/>
    <w:multiLevelType w:val="hybridMultilevel"/>
    <w:tmpl w:val="7D4082C2"/>
    <w:lvl w:ilvl="0">
      <w:start w:val="1"/>
      <w:numFmt w:val="upperRoman"/>
      <w:lvlText w:val="%1."/>
      <w:lvlJc w:val="left"/>
      <w:pPr>
        <w:ind w:left="900" w:hanging="72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
    <w:nsid w:val="10AA7C1C"/>
    <w:multiLevelType w:val="hybridMultilevel"/>
    <w:tmpl w:val="CDE8C676"/>
    <w:lvl w:ilvl="0">
      <w:start w:val="1"/>
      <w:numFmt w:val="upperRoman"/>
      <w:pStyle w:val="Style1"/>
      <w:lvlText w:val="%1."/>
      <w:lvlJc w:val="left"/>
      <w:pPr>
        <w:ind w:left="72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4FA65E5"/>
    <w:multiLevelType w:val="hybridMultilevel"/>
    <w:tmpl w:val="18D2AA70"/>
    <w:lvl w:ilvl="0">
      <w:start w:val="1"/>
      <w:numFmt w:val="upperLetter"/>
      <w:pStyle w:val="Style2"/>
      <w:lvlText w:val="%1."/>
      <w:lvlJc w:val="left"/>
      <w:pPr>
        <w:ind w:left="720" w:firstLine="0"/>
      </w:pPr>
      <w:rPr>
        <w:rFonts w:hint="default"/>
        <w:b/>
        <w:bCs/>
        <w:i w:val="0"/>
        <w:iCs w:val="0"/>
      </w:rPr>
    </w:lvl>
    <w:lvl w:ilvl="1">
      <w:start w:val="1"/>
      <w:numFmt w:val="lowerLetter"/>
      <w:lvlText w:val="%2."/>
      <w:lvlJc w:val="left"/>
      <w:pPr>
        <w:ind w:left="2520" w:hanging="72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1F6052B8"/>
    <w:multiLevelType w:val="hybridMultilevel"/>
    <w:tmpl w:val="F6DAC08C"/>
    <w:lvl w:ilvl="0">
      <w:start w:val="5"/>
      <w:numFmt w:val="bullet"/>
      <w:lvlText w:val="-"/>
      <w:lvlJc w:val="left"/>
      <w:pPr>
        <w:ind w:left="1080" w:hanging="360"/>
      </w:pPr>
      <w:rPr>
        <w:rFonts w:ascii="Century Schoolbook" w:eastAsia="Times New Roman" w:hAnsi="Century Schoolbook"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15C6D0D"/>
    <w:multiLevelType w:val="hybridMultilevel"/>
    <w:tmpl w:val="E1B8DB9E"/>
    <w:lvl w:ilvl="0">
      <w:start w:val="1"/>
      <w:numFmt w:val="upperLetter"/>
      <w:pStyle w:val="Heading1"/>
      <w:lvlText w:val="%1."/>
      <w:lvlJc w:val="left"/>
      <w:pPr>
        <w:ind w:left="720" w:hanging="360"/>
      </w:pPr>
      <w:rPr>
        <w:rFonts w:hint="default"/>
        <w:sz w:val="26"/>
        <w:szCs w:val="2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3A17487"/>
    <w:multiLevelType w:val="hybridMultilevel"/>
    <w:tmpl w:val="C7E4E8A6"/>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55E126A"/>
    <w:multiLevelType w:val="hybridMultilevel"/>
    <w:tmpl w:val="5C081848"/>
    <w:lvl w:ilvl="0">
      <w:start w:val="1"/>
      <w:numFmt w:val="upperLetter"/>
      <w:lvlText w:val="%1."/>
      <w:lvlJc w:val="left"/>
      <w:pPr>
        <w:ind w:left="1080" w:hanging="360"/>
      </w:pPr>
      <w:rPr>
        <w:rFonts w:cs="Arial" w:hint="default"/>
        <w:color w:val="00000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EFB5495"/>
    <w:multiLevelType w:val="hybridMultilevel"/>
    <w:tmpl w:val="CC28C374"/>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EE55E7A"/>
    <w:multiLevelType w:val="hybridMultilevel"/>
    <w:tmpl w:val="AB70854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515C7826"/>
    <w:multiLevelType w:val="hybridMultilevel"/>
    <w:tmpl w:val="F850AC2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591F315A"/>
    <w:multiLevelType w:val="hybridMultilevel"/>
    <w:tmpl w:val="44087C8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9F37CCF"/>
    <w:multiLevelType w:val="hybridMultilevel"/>
    <w:tmpl w:val="C7E4E8A6"/>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7C36371"/>
    <w:multiLevelType w:val="hybridMultilevel"/>
    <w:tmpl w:val="87240B72"/>
    <w:lvl w:ilvl="0">
      <w:start w:val="1"/>
      <w:numFmt w:val="lowerLetter"/>
      <w:lvlText w:val="%1."/>
      <w:lvlJc w:val="left"/>
      <w:pPr>
        <w:ind w:left="2880" w:hanging="360"/>
      </w:pPr>
    </w:lvl>
    <w:lvl w:ilvl="1">
      <w:start w:val="1"/>
      <w:numFmt w:val="lowerLetter"/>
      <w:pStyle w:val="Style4"/>
      <w:lvlText w:val="%2."/>
      <w:lvlJc w:val="left"/>
      <w:pPr>
        <w:ind w:left="720" w:firstLine="144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4">
    <w:nsid w:val="6DBD2AAF"/>
    <w:multiLevelType w:val="hybridMultilevel"/>
    <w:tmpl w:val="C4A0C366"/>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
  </w:num>
  <w:num w:numId="2">
    <w:abstractNumId w:val="12"/>
  </w:num>
  <w:num w:numId="3">
    <w:abstractNumId w:val="6"/>
  </w:num>
  <w:num w:numId="4">
    <w:abstractNumId w:val="9"/>
  </w:num>
  <w:num w:numId="5">
    <w:abstractNumId w:val="5"/>
  </w:num>
  <w:num w:numId="6">
    <w:abstractNumId w:val="5"/>
    <w:lvlOverride w:ilvl="0">
      <w:startOverride w:val="1"/>
    </w:lvlOverride>
  </w:num>
  <w:num w:numId="7">
    <w:abstractNumId w:val="10"/>
  </w:num>
  <w:num w:numId="8">
    <w:abstractNumId w:val="4"/>
  </w:num>
  <w:num w:numId="9">
    <w:abstractNumId w:val="7"/>
  </w:num>
  <w:num w:numId="10">
    <w:abstractNumId w:val="11"/>
  </w:num>
  <w:num w:numId="11">
    <w:abstractNumId w:val="8"/>
  </w:num>
  <w:num w:numId="12">
    <w:abstractNumId w:val="14"/>
  </w:num>
  <w:num w:numId="13">
    <w:abstractNumId w:val="2"/>
  </w:num>
  <w:num w:numId="14">
    <w:abstractNumId w:val="3"/>
  </w:num>
  <w:num w:numId="15">
    <w:abstractNumId w:val="0"/>
  </w:num>
  <w:num w:numId="16">
    <w:abstractNumId w:val="2"/>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3"/>
  </w:num>
  <w:num w:numId="25">
    <w:abstractNumId w:val="0"/>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0"/>
    <w:lvlOverride w:ilvl="0">
      <w:startOverride w:val="1"/>
    </w:lvlOverride>
  </w:num>
  <w:num w:numId="29">
    <w:abstractNumId w:val="0"/>
  </w:num>
  <w:num w:numId="30">
    <w:abstractNumId w:val="0"/>
    <w:lvlOverride w:ilvl="0">
      <w:startOverride w:val="1"/>
    </w:lvlOverride>
  </w:num>
  <w:num w:numId="31">
    <w:abstractNumId w:val="3"/>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3"/>
    <w:lvlOverride w:ilvl="0">
      <w:startOverride w:val="1"/>
    </w:lvlOverride>
  </w:num>
  <w:num w:numId="36">
    <w:abstractNumId w:val="0"/>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17"/>
    <w:rsid w:val="00000A89"/>
    <w:rsid w:val="0000144D"/>
    <w:rsid w:val="0000170E"/>
    <w:rsid w:val="00001E14"/>
    <w:rsid w:val="000024C0"/>
    <w:rsid w:val="00002682"/>
    <w:rsid w:val="00002E18"/>
    <w:rsid w:val="000038BF"/>
    <w:rsid w:val="0000408F"/>
    <w:rsid w:val="0000495C"/>
    <w:rsid w:val="00005494"/>
    <w:rsid w:val="00005D6E"/>
    <w:rsid w:val="000064A9"/>
    <w:rsid w:val="000064AE"/>
    <w:rsid w:val="00007795"/>
    <w:rsid w:val="000111AD"/>
    <w:rsid w:val="00012F20"/>
    <w:rsid w:val="00013D7E"/>
    <w:rsid w:val="00013E52"/>
    <w:rsid w:val="00013EAC"/>
    <w:rsid w:val="00015187"/>
    <w:rsid w:val="0001590A"/>
    <w:rsid w:val="0001640E"/>
    <w:rsid w:val="00016D21"/>
    <w:rsid w:val="00016DD0"/>
    <w:rsid w:val="000175DB"/>
    <w:rsid w:val="00017A50"/>
    <w:rsid w:val="00017AB2"/>
    <w:rsid w:val="0002028C"/>
    <w:rsid w:val="00020E27"/>
    <w:rsid w:val="000210CD"/>
    <w:rsid w:val="000219CE"/>
    <w:rsid w:val="00021FA7"/>
    <w:rsid w:val="0002207C"/>
    <w:rsid w:val="000229C1"/>
    <w:rsid w:val="0002346F"/>
    <w:rsid w:val="000235DD"/>
    <w:rsid w:val="0002401D"/>
    <w:rsid w:val="00025124"/>
    <w:rsid w:val="000251B8"/>
    <w:rsid w:val="00025483"/>
    <w:rsid w:val="00025D73"/>
    <w:rsid w:val="000266B5"/>
    <w:rsid w:val="00030588"/>
    <w:rsid w:val="00030C0D"/>
    <w:rsid w:val="000313B0"/>
    <w:rsid w:val="000313EA"/>
    <w:rsid w:val="00031E38"/>
    <w:rsid w:val="00032127"/>
    <w:rsid w:val="00032AB9"/>
    <w:rsid w:val="00032F09"/>
    <w:rsid w:val="00033F1E"/>
    <w:rsid w:val="000340BD"/>
    <w:rsid w:val="000340DF"/>
    <w:rsid w:val="00034555"/>
    <w:rsid w:val="0003456E"/>
    <w:rsid w:val="0003474B"/>
    <w:rsid w:val="000359CE"/>
    <w:rsid w:val="000361CB"/>
    <w:rsid w:val="00036D45"/>
    <w:rsid w:val="00040DB8"/>
    <w:rsid w:val="00040E6B"/>
    <w:rsid w:val="00040ED4"/>
    <w:rsid w:val="00040F3F"/>
    <w:rsid w:val="00041395"/>
    <w:rsid w:val="00042197"/>
    <w:rsid w:val="000421A4"/>
    <w:rsid w:val="00042AC7"/>
    <w:rsid w:val="00042BE6"/>
    <w:rsid w:val="000448A9"/>
    <w:rsid w:val="000450A4"/>
    <w:rsid w:val="00047401"/>
    <w:rsid w:val="000474D1"/>
    <w:rsid w:val="00052A95"/>
    <w:rsid w:val="000533A9"/>
    <w:rsid w:val="0005356B"/>
    <w:rsid w:val="00053903"/>
    <w:rsid w:val="000615FE"/>
    <w:rsid w:val="0006201D"/>
    <w:rsid w:val="00063980"/>
    <w:rsid w:val="000645EF"/>
    <w:rsid w:val="000647AE"/>
    <w:rsid w:val="00064FD4"/>
    <w:rsid w:val="00065E17"/>
    <w:rsid w:val="00065E8F"/>
    <w:rsid w:val="000663FB"/>
    <w:rsid w:val="000667B5"/>
    <w:rsid w:val="00066809"/>
    <w:rsid w:val="0006727C"/>
    <w:rsid w:val="00067B04"/>
    <w:rsid w:val="000702DF"/>
    <w:rsid w:val="0007173D"/>
    <w:rsid w:val="00071B41"/>
    <w:rsid w:val="00071B6D"/>
    <w:rsid w:val="00071D30"/>
    <w:rsid w:val="00072483"/>
    <w:rsid w:val="000724CD"/>
    <w:rsid w:val="00072FC1"/>
    <w:rsid w:val="0007323C"/>
    <w:rsid w:val="00073D1E"/>
    <w:rsid w:val="00074ADB"/>
    <w:rsid w:val="000750F7"/>
    <w:rsid w:val="000757CA"/>
    <w:rsid w:val="0007590A"/>
    <w:rsid w:val="000759E0"/>
    <w:rsid w:val="00075BE3"/>
    <w:rsid w:val="0007604D"/>
    <w:rsid w:val="0007675A"/>
    <w:rsid w:val="000774AF"/>
    <w:rsid w:val="00082E4E"/>
    <w:rsid w:val="0008330E"/>
    <w:rsid w:val="00083EB1"/>
    <w:rsid w:val="0008400F"/>
    <w:rsid w:val="0008411F"/>
    <w:rsid w:val="00084660"/>
    <w:rsid w:val="0008598A"/>
    <w:rsid w:val="000861A5"/>
    <w:rsid w:val="0008634C"/>
    <w:rsid w:val="00086449"/>
    <w:rsid w:val="000867D6"/>
    <w:rsid w:val="00086909"/>
    <w:rsid w:val="00087031"/>
    <w:rsid w:val="0008703B"/>
    <w:rsid w:val="000876D3"/>
    <w:rsid w:val="000903F5"/>
    <w:rsid w:val="0009115A"/>
    <w:rsid w:val="00091540"/>
    <w:rsid w:val="00091AF9"/>
    <w:rsid w:val="000924C4"/>
    <w:rsid w:val="00092C8C"/>
    <w:rsid w:val="0009301B"/>
    <w:rsid w:val="00094481"/>
    <w:rsid w:val="00094C37"/>
    <w:rsid w:val="0009583A"/>
    <w:rsid w:val="000965C1"/>
    <w:rsid w:val="00097DDF"/>
    <w:rsid w:val="00097E33"/>
    <w:rsid w:val="000A082D"/>
    <w:rsid w:val="000A0DD8"/>
    <w:rsid w:val="000A15FE"/>
    <w:rsid w:val="000A1801"/>
    <w:rsid w:val="000A1AEB"/>
    <w:rsid w:val="000A1B95"/>
    <w:rsid w:val="000A1BA3"/>
    <w:rsid w:val="000A1FBB"/>
    <w:rsid w:val="000A4586"/>
    <w:rsid w:val="000A45A5"/>
    <w:rsid w:val="000A49A5"/>
    <w:rsid w:val="000A50F7"/>
    <w:rsid w:val="000A5790"/>
    <w:rsid w:val="000A5871"/>
    <w:rsid w:val="000A59D5"/>
    <w:rsid w:val="000A5C8F"/>
    <w:rsid w:val="000B092F"/>
    <w:rsid w:val="000B1453"/>
    <w:rsid w:val="000B1587"/>
    <w:rsid w:val="000B182F"/>
    <w:rsid w:val="000B1901"/>
    <w:rsid w:val="000B1ABD"/>
    <w:rsid w:val="000B210F"/>
    <w:rsid w:val="000B268C"/>
    <w:rsid w:val="000B272A"/>
    <w:rsid w:val="000B2A9B"/>
    <w:rsid w:val="000B2CFA"/>
    <w:rsid w:val="000B3076"/>
    <w:rsid w:val="000B3E33"/>
    <w:rsid w:val="000B4149"/>
    <w:rsid w:val="000B48E1"/>
    <w:rsid w:val="000B4A51"/>
    <w:rsid w:val="000B522B"/>
    <w:rsid w:val="000B549B"/>
    <w:rsid w:val="000B5800"/>
    <w:rsid w:val="000B5A67"/>
    <w:rsid w:val="000B6596"/>
    <w:rsid w:val="000B6D58"/>
    <w:rsid w:val="000B6D5E"/>
    <w:rsid w:val="000B6FA9"/>
    <w:rsid w:val="000B79BA"/>
    <w:rsid w:val="000C188C"/>
    <w:rsid w:val="000C1B08"/>
    <w:rsid w:val="000C211A"/>
    <w:rsid w:val="000C2A3A"/>
    <w:rsid w:val="000C3516"/>
    <w:rsid w:val="000C3D6B"/>
    <w:rsid w:val="000C460A"/>
    <w:rsid w:val="000C5DCB"/>
    <w:rsid w:val="000C63BE"/>
    <w:rsid w:val="000C69B8"/>
    <w:rsid w:val="000C6BF5"/>
    <w:rsid w:val="000C6CD0"/>
    <w:rsid w:val="000C722D"/>
    <w:rsid w:val="000C757F"/>
    <w:rsid w:val="000C7C8C"/>
    <w:rsid w:val="000D10D5"/>
    <w:rsid w:val="000D1431"/>
    <w:rsid w:val="000D18E5"/>
    <w:rsid w:val="000D2A20"/>
    <w:rsid w:val="000D4527"/>
    <w:rsid w:val="000D4897"/>
    <w:rsid w:val="000D4A2F"/>
    <w:rsid w:val="000D52E2"/>
    <w:rsid w:val="000D5754"/>
    <w:rsid w:val="000D599F"/>
    <w:rsid w:val="000D5B21"/>
    <w:rsid w:val="000D5FA7"/>
    <w:rsid w:val="000D676B"/>
    <w:rsid w:val="000D6C67"/>
    <w:rsid w:val="000E030C"/>
    <w:rsid w:val="000E1548"/>
    <w:rsid w:val="000E1987"/>
    <w:rsid w:val="000E1DC8"/>
    <w:rsid w:val="000E1F83"/>
    <w:rsid w:val="000E2283"/>
    <w:rsid w:val="000E377C"/>
    <w:rsid w:val="000E38BA"/>
    <w:rsid w:val="000E629F"/>
    <w:rsid w:val="000E6391"/>
    <w:rsid w:val="000E672E"/>
    <w:rsid w:val="000E7756"/>
    <w:rsid w:val="000F04E4"/>
    <w:rsid w:val="000F0B0B"/>
    <w:rsid w:val="000F16A1"/>
    <w:rsid w:val="000F1840"/>
    <w:rsid w:val="000F2BF9"/>
    <w:rsid w:val="000F3323"/>
    <w:rsid w:val="000F3D6C"/>
    <w:rsid w:val="000F3FA1"/>
    <w:rsid w:val="000F4501"/>
    <w:rsid w:val="000F4B5B"/>
    <w:rsid w:val="000F4EE2"/>
    <w:rsid w:val="000F527B"/>
    <w:rsid w:val="000F5799"/>
    <w:rsid w:val="000F5AA3"/>
    <w:rsid w:val="000F67C8"/>
    <w:rsid w:val="001001A9"/>
    <w:rsid w:val="00101251"/>
    <w:rsid w:val="00101546"/>
    <w:rsid w:val="00101875"/>
    <w:rsid w:val="00101953"/>
    <w:rsid w:val="00101CDB"/>
    <w:rsid w:val="00102894"/>
    <w:rsid w:val="00102E8A"/>
    <w:rsid w:val="00103644"/>
    <w:rsid w:val="00103EBF"/>
    <w:rsid w:val="001040EA"/>
    <w:rsid w:val="00104389"/>
    <w:rsid w:val="0010470D"/>
    <w:rsid w:val="00104949"/>
    <w:rsid w:val="00104B58"/>
    <w:rsid w:val="001050C3"/>
    <w:rsid w:val="001053B6"/>
    <w:rsid w:val="00106661"/>
    <w:rsid w:val="00106B4C"/>
    <w:rsid w:val="00107C43"/>
    <w:rsid w:val="00111BA1"/>
    <w:rsid w:val="00113756"/>
    <w:rsid w:val="00113E85"/>
    <w:rsid w:val="001143E4"/>
    <w:rsid w:val="00114666"/>
    <w:rsid w:val="00114B97"/>
    <w:rsid w:val="001158B0"/>
    <w:rsid w:val="00115BE1"/>
    <w:rsid w:val="00115D4D"/>
    <w:rsid w:val="0011799C"/>
    <w:rsid w:val="00117C2A"/>
    <w:rsid w:val="00120D29"/>
    <w:rsid w:val="00121292"/>
    <w:rsid w:val="0012168B"/>
    <w:rsid w:val="00122454"/>
    <w:rsid w:val="00122850"/>
    <w:rsid w:val="00122EE4"/>
    <w:rsid w:val="0012492A"/>
    <w:rsid w:val="00125255"/>
    <w:rsid w:val="001261DA"/>
    <w:rsid w:val="0013182B"/>
    <w:rsid w:val="00131EB3"/>
    <w:rsid w:val="00132393"/>
    <w:rsid w:val="00132CEB"/>
    <w:rsid w:val="0013335D"/>
    <w:rsid w:val="00133868"/>
    <w:rsid w:val="00133B4A"/>
    <w:rsid w:val="00136134"/>
    <w:rsid w:val="001365A1"/>
    <w:rsid w:val="00136E13"/>
    <w:rsid w:val="00137269"/>
    <w:rsid w:val="001425E4"/>
    <w:rsid w:val="00144D6B"/>
    <w:rsid w:val="00144D8A"/>
    <w:rsid w:val="00145024"/>
    <w:rsid w:val="001453AA"/>
    <w:rsid w:val="001454B5"/>
    <w:rsid w:val="00145B34"/>
    <w:rsid w:val="00145CD5"/>
    <w:rsid w:val="00146607"/>
    <w:rsid w:val="001466F7"/>
    <w:rsid w:val="00146964"/>
    <w:rsid w:val="00146B2E"/>
    <w:rsid w:val="00147E77"/>
    <w:rsid w:val="0015098F"/>
    <w:rsid w:val="00150E83"/>
    <w:rsid w:val="00150FB6"/>
    <w:rsid w:val="001514BA"/>
    <w:rsid w:val="0015172F"/>
    <w:rsid w:val="0015192F"/>
    <w:rsid w:val="001519FD"/>
    <w:rsid w:val="00152558"/>
    <w:rsid w:val="00153DDB"/>
    <w:rsid w:val="0015476D"/>
    <w:rsid w:val="00154A34"/>
    <w:rsid w:val="00154C3B"/>
    <w:rsid w:val="00154FF8"/>
    <w:rsid w:val="00155898"/>
    <w:rsid w:val="001569DE"/>
    <w:rsid w:val="00157498"/>
    <w:rsid w:val="0016160C"/>
    <w:rsid w:val="00161989"/>
    <w:rsid w:val="0016218A"/>
    <w:rsid w:val="0016275F"/>
    <w:rsid w:val="0016289C"/>
    <w:rsid w:val="001632CE"/>
    <w:rsid w:val="00164151"/>
    <w:rsid w:val="00164720"/>
    <w:rsid w:val="00165204"/>
    <w:rsid w:val="00165538"/>
    <w:rsid w:val="001661D4"/>
    <w:rsid w:val="00166D21"/>
    <w:rsid w:val="00166D78"/>
    <w:rsid w:val="00167C6B"/>
    <w:rsid w:val="001708F9"/>
    <w:rsid w:val="00170FC4"/>
    <w:rsid w:val="001717F3"/>
    <w:rsid w:val="001726FE"/>
    <w:rsid w:val="00172825"/>
    <w:rsid w:val="00172C0D"/>
    <w:rsid w:val="001733C1"/>
    <w:rsid w:val="001736EA"/>
    <w:rsid w:val="001766AE"/>
    <w:rsid w:val="00176F7A"/>
    <w:rsid w:val="0018013E"/>
    <w:rsid w:val="00180716"/>
    <w:rsid w:val="001807F2"/>
    <w:rsid w:val="00180833"/>
    <w:rsid w:val="001808B0"/>
    <w:rsid w:val="0018101D"/>
    <w:rsid w:val="001810AC"/>
    <w:rsid w:val="00181BD2"/>
    <w:rsid w:val="001828EB"/>
    <w:rsid w:val="0018361D"/>
    <w:rsid w:val="00183C52"/>
    <w:rsid w:val="001840A5"/>
    <w:rsid w:val="0018484C"/>
    <w:rsid w:val="00184B03"/>
    <w:rsid w:val="00185F31"/>
    <w:rsid w:val="001866F0"/>
    <w:rsid w:val="00186F46"/>
    <w:rsid w:val="00186FCE"/>
    <w:rsid w:val="00187187"/>
    <w:rsid w:val="00187C8A"/>
    <w:rsid w:val="00187D71"/>
    <w:rsid w:val="0019014D"/>
    <w:rsid w:val="00190574"/>
    <w:rsid w:val="00191687"/>
    <w:rsid w:val="001924EA"/>
    <w:rsid w:val="00192897"/>
    <w:rsid w:val="00192B05"/>
    <w:rsid w:val="001931CE"/>
    <w:rsid w:val="001932CD"/>
    <w:rsid w:val="001934F3"/>
    <w:rsid w:val="00193E0D"/>
    <w:rsid w:val="00195553"/>
    <w:rsid w:val="00195607"/>
    <w:rsid w:val="00195AA1"/>
    <w:rsid w:val="001963FB"/>
    <w:rsid w:val="0019676F"/>
    <w:rsid w:val="00196BA9"/>
    <w:rsid w:val="00197257"/>
    <w:rsid w:val="001A02DA"/>
    <w:rsid w:val="001A0CA5"/>
    <w:rsid w:val="001A10C3"/>
    <w:rsid w:val="001A136F"/>
    <w:rsid w:val="001A13D3"/>
    <w:rsid w:val="001A1E68"/>
    <w:rsid w:val="001A2187"/>
    <w:rsid w:val="001A3175"/>
    <w:rsid w:val="001A353E"/>
    <w:rsid w:val="001A37E9"/>
    <w:rsid w:val="001A43E0"/>
    <w:rsid w:val="001A44F1"/>
    <w:rsid w:val="001A5261"/>
    <w:rsid w:val="001A54E1"/>
    <w:rsid w:val="001A59C8"/>
    <w:rsid w:val="001A68B2"/>
    <w:rsid w:val="001A690B"/>
    <w:rsid w:val="001A6F48"/>
    <w:rsid w:val="001A75DF"/>
    <w:rsid w:val="001B0799"/>
    <w:rsid w:val="001B1473"/>
    <w:rsid w:val="001B1ADF"/>
    <w:rsid w:val="001B32BF"/>
    <w:rsid w:val="001B4152"/>
    <w:rsid w:val="001B4EF9"/>
    <w:rsid w:val="001B6094"/>
    <w:rsid w:val="001B665E"/>
    <w:rsid w:val="001B75FD"/>
    <w:rsid w:val="001B7C5D"/>
    <w:rsid w:val="001C05CD"/>
    <w:rsid w:val="001C085F"/>
    <w:rsid w:val="001C14AE"/>
    <w:rsid w:val="001C2CE9"/>
    <w:rsid w:val="001C318F"/>
    <w:rsid w:val="001C34B9"/>
    <w:rsid w:val="001C3A30"/>
    <w:rsid w:val="001C400F"/>
    <w:rsid w:val="001C4833"/>
    <w:rsid w:val="001D07BF"/>
    <w:rsid w:val="001D089E"/>
    <w:rsid w:val="001D0C5C"/>
    <w:rsid w:val="001D123D"/>
    <w:rsid w:val="001D1DD8"/>
    <w:rsid w:val="001D2783"/>
    <w:rsid w:val="001D2D04"/>
    <w:rsid w:val="001D344A"/>
    <w:rsid w:val="001D47F8"/>
    <w:rsid w:val="001D485B"/>
    <w:rsid w:val="001D5077"/>
    <w:rsid w:val="001D6A9F"/>
    <w:rsid w:val="001D6BDE"/>
    <w:rsid w:val="001D6FD7"/>
    <w:rsid w:val="001E00B7"/>
    <w:rsid w:val="001E03F3"/>
    <w:rsid w:val="001E241E"/>
    <w:rsid w:val="001E35A7"/>
    <w:rsid w:val="001E3C31"/>
    <w:rsid w:val="001E4028"/>
    <w:rsid w:val="001E56B8"/>
    <w:rsid w:val="001E6038"/>
    <w:rsid w:val="001E7C18"/>
    <w:rsid w:val="001F06E2"/>
    <w:rsid w:val="001F09F8"/>
    <w:rsid w:val="001F0E6A"/>
    <w:rsid w:val="001F2160"/>
    <w:rsid w:val="001F21CB"/>
    <w:rsid w:val="001F243A"/>
    <w:rsid w:val="001F250C"/>
    <w:rsid w:val="001F2898"/>
    <w:rsid w:val="001F3EC4"/>
    <w:rsid w:val="001F4194"/>
    <w:rsid w:val="001F4656"/>
    <w:rsid w:val="001F59A0"/>
    <w:rsid w:val="001F5A77"/>
    <w:rsid w:val="001F7226"/>
    <w:rsid w:val="001F756B"/>
    <w:rsid w:val="0020013B"/>
    <w:rsid w:val="002003CA"/>
    <w:rsid w:val="00200482"/>
    <w:rsid w:val="00200AFB"/>
    <w:rsid w:val="002016F3"/>
    <w:rsid w:val="00202473"/>
    <w:rsid w:val="00202501"/>
    <w:rsid w:val="00202EAF"/>
    <w:rsid w:val="002039A0"/>
    <w:rsid w:val="0020429B"/>
    <w:rsid w:val="0020448A"/>
    <w:rsid w:val="002052D5"/>
    <w:rsid w:val="00205BA3"/>
    <w:rsid w:val="00206978"/>
    <w:rsid w:val="00206AE6"/>
    <w:rsid w:val="00206BB6"/>
    <w:rsid w:val="002074DF"/>
    <w:rsid w:val="002105CF"/>
    <w:rsid w:val="0021068A"/>
    <w:rsid w:val="00210724"/>
    <w:rsid w:val="00210A53"/>
    <w:rsid w:val="0021128F"/>
    <w:rsid w:val="00211760"/>
    <w:rsid w:val="00212708"/>
    <w:rsid w:val="00213B72"/>
    <w:rsid w:val="002146C8"/>
    <w:rsid w:val="002146F4"/>
    <w:rsid w:val="00214857"/>
    <w:rsid w:val="00214C0C"/>
    <w:rsid w:val="00217249"/>
    <w:rsid w:val="00217282"/>
    <w:rsid w:val="00220291"/>
    <w:rsid w:val="00220BFE"/>
    <w:rsid w:val="00221415"/>
    <w:rsid w:val="00221E37"/>
    <w:rsid w:val="002222D6"/>
    <w:rsid w:val="002226E2"/>
    <w:rsid w:val="0022270C"/>
    <w:rsid w:val="0022353C"/>
    <w:rsid w:val="00224260"/>
    <w:rsid w:val="00224A31"/>
    <w:rsid w:val="002256E1"/>
    <w:rsid w:val="00225B9D"/>
    <w:rsid w:val="00226943"/>
    <w:rsid w:val="00226BCF"/>
    <w:rsid w:val="00226CE9"/>
    <w:rsid w:val="00227FB2"/>
    <w:rsid w:val="002309D0"/>
    <w:rsid w:val="002311FB"/>
    <w:rsid w:val="002323EC"/>
    <w:rsid w:val="00232461"/>
    <w:rsid w:val="00232855"/>
    <w:rsid w:val="00232B83"/>
    <w:rsid w:val="002336CE"/>
    <w:rsid w:val="0023428B"/>
    <w:rsid w:val="0023492B"/>
    <w:rsid w:val="00234DF2"/>
    <w:rsid w:val="00237649"/>
    <w:rsid w:val="002376B6"/>
    <w:rsid w:val="00237945"/>
    <w:rsid w:val="00237CCF"/>
    <w:rsid w:val="00240BB4"/>
    <w:rsid w:val="00240F01"/>
    <w:rsid w:val="0024137B"/>
    <w:rsid w:val="002417A8"/>
    <w:rsid w:val="002420AE"/>
    <w:rsid w:val="002423AF"/>
    <w:rsid w:val="00242BA8"/>
    <w:rsid w:val="00243100"/>
    <w:rsid w:val="002446A8"/>
    <w:rsid w:val="002446DA"/>
    <w:rsid w:val="00244D2A"/>
    <w:rsid w:val="00245936"/>
    <w:rsid w:val="00247372"/>
    <w:rsid w:val="002474B0"/>
    <w:rsid w:val="00247C1B"/>
    <w:rsid w:val="002505DC"/>
    <w:rsid w:val="00252C53"/>
    <w:rsid w:val="0025301A"/>
    <w:rsid w:val="002554DF"/>
    <w:rsid w:val="00255837"/>
    <w:rsid w:val="00255F31"/>
    <w:rsid w:val="00256CD3"/>
    <w:rsid w:val="0025701C"/>
    <w:rsid w:val="002570C8"/>
    <w:rsid w:val="00257E5A"/>
    <w:rsid w:val="002600B6"/>
    <w:rsid w:val="002601ED"/>
    <w:rsid w:val="0026098B"/>
    <w:rsid w:val="002613A5"/>
    <w:rsid w:val="00261C2B"/>
    <w:rsid w:val="0026216B"/>
    <w:rsid w:val="002640B9"/>
    <w:rsid w:val="00264F5D"/>
    <w:rsid w:val="00265AD5"/>
    <w:rsid w:val="00266069"/>
    <w:rsid w:val="002668B9"/>
    <w:rsid w:val="00270780"/>
    <w:rsid w:val="00270F98"/>
    <w:rsid w:val="00271AE8"/>
    <w:rsid w:val="00272982"/>
    <w:rsid w:val="00274522"/>
    <w:rsid w:val="00274982"/>
    <w:rsid w:val="00274F68"/>
    <w:rsid w:val="00275404"/>
    <w:rsid w:val="00276B78"/>
    <w:rsid w:val="0027743A"/>
    <w:rsid w:val="0028028D"/>
    <w:rsid w:val="00280652"/>
    <w:rsid w:val="00280665"/>
    <w:rsid w:val="00280679"/>
    <w:rsid w:val="00280769"/>
    <w:rsid w:val="00280E35"/>
    <w:rsid w:val="002814BF"/>
    <w:rsid w:val="00282AB5"/>
    <w:rsid w:val="0028392D"/>
    <w:rsid w:val="00284CCB"/>
    <w:rsid w:val="00285A2E"/>
    <w:rsid w:val="00285FBF"/>
    <w:rsid w:val="00286548"/>
    <w:rsid w:val="00286E0E"/>
    <w:rsid w:val="00286FFA"/>
    <w:rsid w:val="0029072C"/>
    <w:rsid w:val="002908AB"/>
    <w:rsid w:val="0029193F"/>
    <w:rsid w:val="00291FC3"/>
    <w:rsid w:val="002933AF"/>
    <w:rsid w:val="002933E7"/>
    <w:rsid w:val="00293C19"/>
    <w:rsid w:val="00294EE3"/>
    <w:rsid w:val="00295083"/>
    <w:rsid w:val="0029588B"/>
    <w:rsid w:val="00296469"/>
    <w:rsid w:val="00296665"/>
    <w:rsid w:val="00296C88"/>
    <w:rsid w:val="00296DB0"/>
    <w:rsid w:val="0029766D"/>
    <w:rsid w:val="002A04F4"/>
    <w:rsid w:val="002A0507"/>
    <w:rsid w:val="002A08F1"/>
    <w:rsid w:val="002A0FF9"/>
    <w:rsid w:val="002A21D4"/>
    <w:rsid w:val="002A2C0A"/>
    <w:rsid w:val="002A2C62"/>
    <w:rsid w:val="002A2D8D"/>
    <w:rsid w:val="002A32E8"/>
    <w:rsid w:val="002A3A3E"/>
    <w:rsid w:val="002A47B3"/>
    <w:rsid w:val="002A6D19"/>
    <w:rsid w:val="002B0D7B"/>
    <w:rsid w:val="002B1526"/>
    <w:rsid w:val="002B1DB6"/>
    <w:rsid w:val="002B2A0B"/>
    <w:rsid w:val="002B3E2F"/>
    <w:rsid w:val="002B485B"/>
    <w:rsid w:val="002B49C4"/>
    <w:rsid w:val="002B4B40"/>
    <w:rsid w:val="002B4DDB"/>
    <w:rsid w:val="002B4EAD"/>
    <w:rsid w:val="002B5121"/>
    <w:rsid w:val="002B57CC"/>
    <w:rsid w:val="002B59C6"/>
    <w:rsid w:val="002B7305"/>
    <w:rsid w:val="002B7AFC"/>
    <w:rsid w:val="002C1208"/>
    <w:rsid w:val="002C15BE"/>
    <w:rsid w:val="002C244C"/>
    <w:rsid w:val="002C2789"/>
    <w:rsid w:val="002C2E75"/>
    <w:rsid w:val="002C4674"/>
    <w:rsid w:val="002C515B"/>
    <w:rsid w:val="002C57C5"/>
    <w:rsid w:val="002C5A63"/>
    <w:rsid w:val="002C5A6D"/>
    <w:rsid w:val="002C5BEC"/>
    <w:rsid w:val="002C6144"/>
    <w:rsid w:val="002D013C"/>
    <w:rsid w:val="002D0F1E"/>
    <w:rsid w:val="002D1A55"/>
    <w:rsid w:val="002D1DA4"/>
    <w:rsid w:val="002D3451"/>
    <w:rsid w:val="002D346C"/>
    <w:rsid w:val="002D3F1E"/>
    <w:rsid w:val="002D44A8"/>
    <w:rsid w:val="002D4B2D"/>
    <w:rsid w:val="002D52D6"/>
    <w:rsid w:val="002D5A58"/>
    <w:rsid w:val="002D5D36"/>
    <w:rsid w:val="002D60DA"/>
    <w:rsid w:val="002D6393"/>
    <w:rsid w:val="002D6718"/>
    <w:rsid w:val="002D743A"/>
    <w:rsid w:val="002E039B"/>
    <w:rsid w:val="002E0C53"/>
    <w:rsid w:val="002E12DB"/>
    <w:rsid w:val="002E1CCF"/>
    <w:rsid w:val="002E35CE"/>
    <w:rsid w:val="002E48BD"/>
    <w:rsid w:val="002E4E1B"/>
    <w:rsid w:val="002E5063"/>
    <w:rsid w:val="002E5A17"/>
    <w:rsid w:val="002E5A4D"/>
    <w:rsid w:val="002E7718"/>
    <w:rsid w:val="002E7E0A"/>
    <w:rsid w:val="002F0594"/>
    <w:rsid w:val="002F0720"/>
    <w:rsid w:val="002F0DE8"/>
    <w:rsid w:val="002F2290"/>
    <w:rsid w:val="002F258F"/>
    <w:rsid w:val="002F2616"/>
    <w:rsid w:val="002F2827"/>
    <w:rsid w:val="002F31D1"/>
    <w:rsid w:val="002F47BF"/>
    <w:rsid w:val="002F4A4B"/>
    <w:rsid w:val="002F655F"/>
    <w:rsid w:val="002F6588"/>
    <w:rsid w:val="002F6629"/>
    <w:rsid w:val="002F6E97"/>
    <w:rsid w:val="002F77D0"/>
    <w:rsid w:val="0030055D"/>
    <w:rsid w:val="00300A23"/>
    <w:rsid w:val="0030124A"/>
    <w:rsid w:val="003014CC"/>
    <w:rsid w:val="003019AD"/>
    <w:rsid w:val="00301C85"/>
    <w:rsid w:val="00302C47"/>
    <w:rsid w:val="00302D87"/>
    <w:rsid w:val="00303C5B"/>
    <w:rsid w:val="00303D5C"/>
    <w:rsid w:val="00303FB0"/>
    <w:rsid w:val="00305236"/>
    <w:rsid w:val="0030564C"/>
    <w:rsid w:val="00305D47"/>
    <w:rsid w:val="00306C40"/>
    <w:rsid w:val="00306E86"/>
    <w:rsid w:val="0030708A"/>
    <w:rsid w:val="00307A13"/>
    <w:rsid w:val="003105A5"/>
    <w:rsid w:val="003108F0"/>
    <w:rsid w:val="00310B5D"/>
    <w:rsid w:val="00310C54"/>
    <w:rsid w:val="00310F66"/>
    <w:rsid w:val="00311150"/>
    <w:rsid w:val="00311310"/>
    <w:rsid w:val="0031155E"/>
    <w:rsid w:val="00311922"/>
    <w:rsid w:val="003129E8"/>
    <w:rsid w:val="00312B45"/>
    <w:rsid w:val="00312DBE"/>
    <w:rsid w:val="00312EA9"/>
    <w:rsid w:val="003134FE"/>
    <w:rsid w:val="00313C84"/>
    <w:rsid w:val="00314576"/>
    <w:rsid w:val="0031668D"/>
    <w:rsid w:val="00316B78"/>
    <w:rsid w:val="00317214"/>
    <w:rsid w:val="003172A3"/>
    <w:rsid w:val="00320764"/>
    <w:rsid w:val="003207A1"/>
    <w:rsid w:val="00320BD3"/>
    <w:rsid w:val="00321037"/>
    <w:rsid w:val="00321338"/>
    <w:rsid w:val="0032237D"/>
    <w:rsid w:val="00325806"/>
    <w:rsid w:val="0032687B"/>
    <w:rsid w:val="00327208"/>
    <w:rsid w:val="003300E3"/>
    <w:rsid w:val="00330347"/>
    <w:rsid w:val="003303F5"/>
    <w:rsid w:val="003306D2"/>
    <w:rsid w:val="003312C2"/>
    <w:rsid w:val="0033309A"/>
    <w:rsid w:val="00333D90"/>
    <w:rsid w:val="00333EE6"/>
    <w:rsid w:val="00334D05"/>
    <w:rsid w:val="00335381"/>
    <w:rsid w:val="00335829"/>
    <w:rsid w:val="003359F0"/>
    <w:rsid w:val="00336170"/>
    <w:rsid w:val="00336E80"/>
    <w:rsid w:val="00337FC4"/>
    <w:rsid w:val="003401EE"/>
    <w:rsid w:val="00340210"/>
    <w:rsid w:val="00340C31"/>
    <w:rsid w:val="0034288D"/>
    <w:rsid w:val="00342A76"/>
    <w:rsid w:val="0034302D"/>
    <w:rsid w:val="003434F6"/>
    <w:rsid w:val="003437B3"/>
    <w:rsid w:val="003451D0"/>
    <w:rsid w:val="0034542E"/>
    <w:rsid w:val="00345B28"/>
    <w:rsid w:val="00345D3A"/>
    <w:rsid w:val="00345E83"/>
    <w:rsid w:val="003461EC"/>
    <w:rsid w:val="003469DC"/>
    <w:rsid w:val="00346BA6"/>
    <w:rsid w:val="00347AD1"/>
    <w:rsid w:val="00350348"/>
    <w:rsid w:val="003504D7"/>
    <w:rsid w:val="00350E41"/>
    <w:rsid w:val="00350EDF"/>
    <w:rsid w:val="00350F34"/>
    <w:rsid w:val="00352298"/>
    <w:rsid w:val="0035248F"/>
    <w:rsid w:val="00352768"/>
    <w:rsid w:val="003529EC"/>
    <w:rsid w:val="00352BA8"/>
    <w:rsid w:val="00352C55"/>
    <w:rsid w:val="00352CEB"/>
    <w:rsid w:val="003538C6"/>
    <w:rsid w:val="003547EA"/>
    <w:rsid w:val="0035666A"/>
    <w:rsid w:val="0035787F"/>
    <w:rsid w:val="0036092A"/>
    <w:rsid w:val="00361337"/>
    <w:rsid w:val="00361AC1"/>
    <w:rsid w:val="00361CEC"/>
    <w:rsid w:val="00361E90"/>
    <w:rsid w:val="0036295E"/>
    <w:rsid w:val="0036438E"/>
    <w:rsid w:val="00366F50"/>
    <w:rsid w:val="00366FAB"/>
    <w:rsid w:val="00366FD5"/>
    <w:rsid w:val="00367205"/>
    <w:rsid w:val="003677D5"/>
    <w:rsid w:val="003703C9"/>
    <w:rsid w:val="0037060A"/>
    <w:rsid w:val="0037101A"/>
    <w:rsid w:val="003720A2"/>
    <w:rsid w:val="00372530"/>
    <w:rsid w:val="00373B69"/>
    <w:rsid w:val="003741A8"/>
    <w:rsid w:val="0037421A"/>
    <w:rsid w:val="00374CED"/>
    <w:rsid w:val="00374F8E"/>
    <w:rsid w:val="00375476"/>
    <w:rsid w:val="00376B94"/>
    <w:rsid w:val="00377902"/>
    <w:rsid w:val="00377ECF"/>
    <w:rsid w:val="00380F7F"/>
    <w:rsid w:val="0038179E"/>
    <w:rsid w:val="003819C8"/>
    <w:rsid w:val="00381C3C"/>
    <w:rsid w:val="003833B7"/>
    <w:rsid w:val="0038459E"/>
    <w:rsid w:val="003849C8"/>
    <w:rsid w:val="003850B2"/>
    <w:rsid w:val="0038535D"/>
    <w:rsid w:val="003853DB"/>
    <w:rsid w:val="00385C0B"/>
    <w:rsid w:val="0039171B"/>
    <w:rsid w:val="00391A56"/>
    <w:rsid w:val="00392808"/>
    <w:rsid w:val="00392A50"/>
    <w:rsid w:val="00392E06"/>
    <w:rsid w:val="00392E20"/>
    <w:rsid w:val="00393FD6"/>
    <w:rsid w:val="00394725"/>
    <w:rsid w:val="00394A1D"/>
    <w:rsid w:val="00395F0A"/>
    <w:rsid w:val="003966F8"/>
    <w:rsid w:val="00396820"/>
    <w:rsid w:val="0039693C"/>
    <w:rsid w:val="00397E01"/>
    <w:rsid w:val="003A00DF"/>
    <w:rsid w:val="003A08BF"/>
    <w:rsid w:val="003A1004"/>
    <w:rsid w:val="003A117D"/>
    <w:rsid w:val="003A13C2"/>
    <w:rsid w:val="003A1BFC"/>
    <w:rsid w:val="003A20D1"/>
    <w:rsid w:val="003A279C"/>
    <w:rsid w:val="003A2953"/>
    <w:rsid w:val="003A3E9C"/>
    <w:rsid w:val="003A4286"/>
    <w:rsid w:val="003A4295"/>
    <w:rsid w:val="003A4344"/>
    <w:rsid w:val="003A4751"/>
    <w:rsid w:val="003A61B9"/>
    <w:rsid w:val="003A65EE"/>
    <w:rsid w:val="003A6BDE"/>
    <w:rsid w:val="003A73C9"/>
    <w:rsid w:val="003A7A81"/>
    <w:rsid w:val="003B011E"/>
    <w:rsid w:val="003B083A"/>
    <w:rsid w:val="003B1A96"/>
    <w:rsid w:val="003B1FFF"/>
    <w:rsid w:val="003B3689"/>
    <w:rsid w:val="003B3721"/>
    <w:rsid w:val="003B3D65"/>
    <w:rsid w:val="003B4059"/>
    <w:rsid w:val="003B54BE"/>
    <w:rsid w:val="003B570F"/>
    <w:rsid w:val="003B5CF4"/>
    <w:rsid w:val="003B7276"/>
    <w:rsid w:val="003B7D4F"/>
    <w:rsid w:val="003C02E8"/>
    <w:rsid w:val="003C03E1"/>
    <w:rsid w:val="003C057A"/>
    <w:rsid w:val="003C0E74"/>
    <w:rsid w:val="003C1EF5"/>
    <w:rsid w:val="003C24BB"/>
    <w:rsid w:val="003C2E3D"/>
    <w:rsid w:val="003C2F2A"/>
    <w:rsid w:val="003C32EE"/>
    <w:rsid w:val="003C37E5"/>
    <w:rsid w:val="003C4182"/>
    <w:rsid w:val="003C4210"/>
    <w:rsid w:val="003C57F2"/>
    <w:rsid w:val="003C6AA3"/>
    <w:rsid w:val="003C715B"/>
    <w:rsid w:val="003C73DD"/>
    <w:rsid w:val="003D03A7"/>
    <w:rsid w:val="003D0CE2"/>
    <w:rsid w:val="003D13D7"/>
    <w:rsid w:val="003D14CD"/>
    <w:rsid w:val="003D1512"/>
    <w:rsid w:val="003D15F6"/>
    <w:rsid w:val="003D44D6"/>
    <w:rsid w:val="003D4550"/>
    <w:rsid w:val="003D4744"/>
    <w:rsid w:val="003D4DEA"/>
    <w:rsid w:val="003D5889"/>
    <w:rsid w:val="003D5D6F"/>
    <w:rsid w:val="003D74DD"/>
    <w:rsid w:val="003D7A81"/>
    <w:rsid w:val="003D7FCC"/>
    <w:rsid w:val="003E0B7A"/>
    <w:rsid w:val="003E0C21"/>
    <w:rsid w:val="003E116B"/>
    <w:rsid w:val="003E1542"/>
    <w:rsid w:val="003E1807"/>
    <w:rsid w:val="003E210B"/>
    <w:rsid w:val="003E2D8C"/>
    <w:rsid w:val="003E3007"/>
    <w:rsid w:val="003E3375"/>
    <w:rsid w:val="003E381D"/>
    <w:rsid w:val="003E4851"/>
    <w:rsid w:val="003E48EB"/>
    <w:rsid w:val="003E4C0B"/>
    <w:rsid w:val="003E511E"/>
    <w:rsid w:val="003E584B"/>
    <w:rsid w:val="003E58BC"/>
    <w:rsid w:val="003E64FC"/>
    <w:rsid w:val="003E756A"/>
    <w:rsid w:val="003E7EBB"/>
    <w:rsid w:val="003F04CC"/>
    <w:rsid w:val="003F0E36"/>
    <w:rsid w:val="003F1C0D"/>
    <w:rsid w:val="003F2701"/>
    <w:rsid w:val="003F2824"/>
    <w:rsid w:val="003F39D0"/>
    <w:rsid w:val="003F3A26"/>
    <w:rsid w:val="003F459C"/>
    <w:rsid w:val="003F5074"/>
    <w:rsid w:val="003F56AA"/>
    <w:rsid w:val="003F5B0F"/>
    <w:rsid w:val="003F6C9E"/>
    <w:rsid w:val="003F75E6"/>
    <w:rsid w:val="003F77CC"/>
    <w:rsid w:val="0040007C"/>
    <w:rsid w:val="00400704"/>
    <w:rsid w:val="00400ACA"/>
    <w:rsid w:val="00401FB0"/>
    <w:rsid w:val="00402D5F"/>
    <w:rsid w:val="00402E91"/>
    <w:rsid w:val="004031D5"/>
    <w:rsid w:val="0040433F"/>
    <w:rsid w:val="004055E6"/>
    <w:rsid w:val="004056A0"/>
    <w:rsid w:val="0040583B"/>
    <w:rsid w:val="00405977"/>
    <w:rsid w:val="00405984"/>
    <w:rsid w:val="00405FFC"/>
    <w:rsid w:val="004063A3"/>
    <w:rsid w:val="00406521"/>
    <w:rsid w:val="00406F2B"/>
    <w:rsid w:val="004072CF"/>
    <w:rsid w:val="0040777D"/>
    <w:rsid w:val="00407AA1"/>
    <w:rsid w:val="00411165"/>
    <w:rsid w:val="00411A11"/>
    <w:rsid w:val="00411F70"/>
    <w:rsid w:val="004120C9"/>
    <w:rsid w:val="004121EA"/>
    <w:rsid w:val="00413138"/>
    <w:rsid w:val="004135AD"/>
    <w:rsid w:val="00413867"/>
    <w:rsid w:val="00414A71"/>
    <w:rsid w:val="004158F1"/>
    <w:rsid w:val="00415F5F"/>
    <w:rsid w:val="004160DD"/>
    <w:rsid w:val="00416BA5"/>
    <w:rsid w:val="00417C36"/>
    <w:rsid w:val="00417C6B"/>
    <w:rsid w:val="00417D65"/>
    <w:rsid w:val="00420BE7"/>
    <w:rsid w:val="00421784"/>
    <w:rsid w:val="00421A4E"/>
    <w:rsid w:val="00422117"/>
    <w:rsid w:val="00422986"/>
    <w:rsid w:val="004236A8"/>
    <w:rsid w:val="00423F1D"/>
    <w:rsid w:val="00424830"/>
    <w:rsid w:val="0042511F"/>
    <w:rsid w:val="00425F0D"/>
    <w:rsid w:val="0042641B"/>
    <w:rsid w:val="004267E0"/>
    <w:rsid w:val="0042686D"/>
    <w:rsid w:val="00426A79"/>
    <w:rsid w:val="0042765D"/>
    <w:rsid w:val="00427E01"/>
    <w:rsid w:val="00430248"/>
    <w:rsid w:val="00431A53"/>
    <w:rsid w:val="0043238C"/>
    <w:rsid w:val="004325DD"/>
    <w:rsid w:val="0043285F"/>
    <w:rsid w:val="00432F1C"/>
    <w:rsid w:val="0043302D"/>
    <w:rsid w:val="004362E8"/>
    <w:rsid w:val="004367AB"/>
    <w:rsid w:val="004421EB"/>
    <w:rsid w:val="00442D2E"/>
    <w:rsid w:val="00442D5C"/>
    <w:rsid w:val="00444F65"/>
    <w:rsid w:val="00445124"/>
    <w:rsid w:val="004451EA"/>
    <w:rsid w:val="00446EF9"/>
    <w:rsid w:val="0044707D"/>
    <w:rsid w:val="004479B9"/>
    <w:rsid w:val="0045116D"/>
    <w:rsid w:val="00451C3B"/>
    <w:rsid w:val="00452206"/>
    <w:rsid w:val="00453240"/>
    <w:rsid w:val="00453D0D"/>
    <w:rsid w:val="00453D6A"/>
    <w:rsid w:val="00453DBD"/>
    <w:rsid w:val="00454C53"/>
    <w:rsid w:val="00455260"/>
    <w:rsid w:val="00455481"/>
    <w:rsid w:val="00455BEA"/>
    <w:rsid w:val="0045643C"/>
    <w:rsid w:val="00456B59"/>
    <w:rsid w:val="00457F80"/>
    <w:rsid w:val="004607B8"/>
    <w:rsid w:val="004609EE"/>
    <w:rsid w:val="00462435"/>
    <w:rsid w:val="00464053"/>
    <w:rsid w:val="00464151"/>
    <w:rsid w:val="0046488C"/>
    <w:rsid w:val="00464AF4"/>
    <w:rsid w:val="0046517C"/>
    <w:rsid w:val="00465390"/>
    <w:rsid w:val="0046554E"/>
    <w:rsid w:val="00465B6A"/>
    <w:rsid w:val="00465CCF"/>
    <w:rsid w:val="0046640C"/>
    <w:rsid w:val="0046661C"/>
    <w:rsid w:val="00466751"/>
    <w:rsid w:val="00466D06"/>
    <w:rsid w:val="00466DDB"/>
    <w:rsid w:val="00467C07"/>
    <w:rsid w:val="00467C16"/>
    <w:rsid w:val="00470509"/>
    <w:rsid w:val="004706A9"/>
    <w:rsid w:val="00471B86"/>
    <w:rsid w:val="0047263A"/>
    <w:rsid w:val="00473652"/>
    <w:rsid w:val="00473A5F"/>
    <w:rsid w:val="00473E0C"/>
    <w:rsid w:val="004750D6"/>
    <w:rsid w:val="004768FC"/>
    <w:rsid w:val="00476A3F"/>
    <w:rsid w:val="00477C7A"/>
    <w:rsid w:val="0048053B"/>
    <w:rsid w:val="00480B6F"/>
    <w:rsid w:val="00481809"/>
    <w:rsid w:val="004835DB"/>
    <w:rsid w:val="00483E34"/>
    <w:rsid w:val="004845A6"/>
    <w:rsid w:val="00485586"/>
    <w:rsid w:val="004857AD"/>
    <w:rsid w:val="00490163"/>
    <w:rsid w:val="00490B68"/>
    <w:rsid w:val="00490BA5"/>
    <w:rsid w:val="0049144A"/>
    <w:rsid w:val="00491B62"/>
    <w:rsid w:val="004922D2"/>
    <w:rsid w:val="0049393A"/>
    <w:rsid w:val="00494171"/>
    <w:rsid w:val="00494924"/>
    <w:rsid w:val="00494CD2"/>
    <w:rsid w:val="00494D12"/>
    <w:rsid w:val="00496E89"/>
    <w:rsid w:val="004A04DD"/>
    <w:rsid w:val="004A0DA0"/>
    <w:rsid w:val="004A198A"/>
    <w:rsid w:val="004A2E38"/>
    <w:rsid w:val="004A31A7"/>
    <w:rsid w:val="004A4A61"/>
    <w:rsid w:val="004A6F07"/>
    <w:rsid w:val="004A7AC1"/>
    <w:rsid w:val="004B4254"/>
    <w:rsid w:val="004B4539"/>
    <w:rsid w:val="004B487D"/>
    <w:rsid w:val="004B4EE2"/>
    <w:rsid w:val="004B55E6"/>
    <w:rsid w:val="004B68DF"/>
    <w:rsid w:val="004B6E98"/>
    <w:rsid w:val="004B6F77"/>
    <w:rsid w:val="004B7E64"/>
    <w:rsid w:val="004C1898"/>
    <w:rsid w:val="004C1B28"/>
    <w:rsid w:val="004C2811"/>
    <w:rsid w:val="004C3DA1"/>
    <w:rsid w:val="004C5393"/>
    <w:rsid w:val="004C5A03"/>
    <w:rsid w:val="004C5E9F"/>
    <w:rsid w:val="004C7D2E"/>
    <w:rsid w:val="004D09A0"/>
    <w:rsid w:val="004D09A3"/>
    <w:rsid w:val="004D12F6"/>
    <w:rsid w:val="004D2539"/>
    <w:rsid w:val="004D2614"/>
    <w:rsid w:val="004D26B5"/>
    <w:rsid w:val="004D294A"/>
    <w:rsid w:val="004D2E9D"/>
    <w:rsid w:val="004D2ECC"/>
    <w:rsid w:val="004D377E"/>
    <w:rsid w:val="004D4345"/>
    <w:rsid w:val="004D53AE"/>
    <w:rsid w:val="004D59B8"/>
    <w:rsid w:val="004D609B"/>
    <w:rsid w:val="004D68B6"/>
    <w:rsid w:val="004E0042"/>
    <w:rsid w:val="004E01A5"/>
    <w:rsid w:val="004E06BD"/>
    <w:rsid w:val="004E0E74"/>
    <w:rsid w:val="004E0FBA"/>
    <w:rsid w:val="004E17A0"/>
    <w:rsid w:val="004E4563"/>
    <w:rsid w:val="004E596C"/>
    <w:rsid w:val="004E5C90"/>
    <w:rsid w:val="004E6687"/>
    <w:rsid w:val="004E6EBA"/>
    <w:rsid w:val="004E6F85"/>
    <w:rsid w:val="004E7D2A"/>
    <w:rsid w:val="004F0755"/>
    <w:rsid w:val="004F3674"/>
    <w:rsid w:val="004F37F3"/>
    <w:rsid w:val="004F489C"/>
    <w:rsid w:val="004F4942"/>
    <w:rsid w:val="004F542E"/>
    <w:rsid w:val="004F54E2"/>
    <w:rsid w:val="004F79E4"/>
    <w:rsid w:val="004F7DB3"/>
    <w:rsid w:val="004F7F76"/>
    <w:rsid w:val="005003CC"/>
    <w:rsid w:val="00500C5B"/>
    <w:rsid w:val="005015AF"/>
    <w:rsid w:val="005015C9"/>
    <w:rsid w:val="00502107"/>
    <w:rsid w:val="00502ECE"/>
    <w:rsid w:val="00503460"/>
    <w:rsid w:val="005041F6"/>
    <w:rsid w:val="005046EA"/>
    <w:rsid w:val="00505011"/>
    <w:rsid w:val="00506468"/>
    <w:rsid w:val="00506758"/>
    <w:rsid w:val="00506772"/>
    <w:rsid w:val="00506A62"/>
    <w:rsid w:val="00511D71"/>
    <w:rsid w:val="00512266"/>
    <w:rsid w:val="00512299"/>
    <w:rsid w:val="005122F8"/>
    <w:rsid w:val="00512462"/>
    <w:rsid w:val="005127D1"/>
    <w:rsid w:val="005143E4"/>
    <w:rsid w:val="0051478C"/>
    <w:rsid w:val="005153DB"/>
    <w:rsid w:val="00516423"/>
    <w:rsid w:val="005166A1"/>
    <w:rsid w:val="00517505"/>
    <w:rsid w:val="00521043"/>
    <w:rsid w:val="0052111D"/>
    <w:rsid w:val="005216D6"/>
    <w:rsid w:val="00521B46"/>
    <w:rsid w:val="0052204C"/>
    <w:rsid w:val="00522D21"/>
    <w:rsid w:val="00524710"/>
    <w:rsid w:val="00524BC3"/>
    <w:rsid w:val="00524F20"/>
    <w:rsid w:val="0052606F"/>
    <w:rsid w:val="00526A22"/>
    <w:rsid w:val="00526E8D"/>
    <w:rsid w:val="00527C37"/>
    <w:rsid w:val="005309CE"/>
    <w:rsid w:val="005309D2"/>
    <w:rsid w:val="0053141C"/>
    <w:rsid w:val="0053236A"/>
    <w:rsid w:val="00532A95"/>
    <w:rsid w:val="0053303A"/>
    <w:rsid w:val="005332CD"/>
    <w:rsid w:val="00533BD2"/>
    <w:rsid w:val="00534C5C"/>
    <w:rsid w:val="00536CAD"/>
    <w:rsid w:val="005377A3"/>
    <w:rsid w:val="00541679"/>
    <w:rsid w:val="00541DE5"/>
    <w:rsid w:val="005433D1"/>
    <w:rsid w:val="005439B8"/>
    <w:rsid w:val="00543BC6"/>
    <w:rsid w:val="00544233"/>
    <w:rsid w:val="005444CA"/>
    <w:rsid w:val="0054450A"/>
    <w:rsid w:val="00544B21"/>
    <w:rsid w:val="00544FFD"/>
    <w:rsid w:val="005453BE"/>
    <w:rsid w:val="0054616C"/>
    <w:rsid w:val="00546705"/>
    <w:rsid w:val="0054671B"/>
    <w:rsid w:val="00547848"/>
    <w:rsid w:val="00547864"/>
    <w:rsid w:val="0054789D"/>
    <w:rsid w:val="00550291"/>
    <w:rsid w:val="005503DD"/>
    <w:rsid w:val="0055246D"/>
    <w:rsid w:val="00552ED1"/>
    <w:rsid w:val="00553F7B"/>
    <w:rsid w:val="00555F5C"/>
    <w:rsid w:val="005561C6"/>
    <w:rsid w:val="00556550"/>
    <w:rsid w:val="005565C5"/>
    <w:rsid w:val="00556C77"/>
    <w:rsid w:val="00557D8F"/>
    <w:rsid w:val="00560210"/>
    <w:rsid w:val="005617CB"/>
    <w:rsid w:val="00561A84"/>
    <w:rsid w:val="00561B08"/>
    <w:rsid w:val="00562273"/>
    <w:rsid w:val="0056296A"/>
    <w:rsid w:val="0056348C"/>
    <w:rsid w:val="00563808"/>
    <w:rsid w:val="00563E14"/>
    <w:rsid w:val="0056600D"/>
    <w:rsid w:val="005662F4"/>
    <w:rsid w:val="005666CC"/>
    <w:rsid w:val="00567798"/>
    <w:rsid w:val="00571206"/>
    <w:rsid w:val="00571654"/>
    <w:rsid w:val="00571B4E"/>
    <w:rsid w:val="00572DD0"/>
    <w:rsid w:val="00572E30"/>
    <w:rsid w:val="00573076"/>
    <w:rsid w:val="0057386F"/>
    <w:rsid w:val="00573F70"/>
    <w:rsid w:val="00574604"/>
    <w:rsid w:val="005749E9"/>
    <w:rsid w:val="00575BAF"/>
    <w:rsid w:val="00575EEC"/>
    <w:rsid w:val="00575FF4"/>
    <w:rsid w:val="005760B5"/>
    <w:rsid w:val="00576F72"/>
    <w:rsid w:val="00581FD9"/>
    <w:rsid w:val="005824A0"/>
    <w:rsid w:val="00582856"/>
    <w:rsid w:val="00582DAC"/>
    <w:rsid w:val="00582DC7"/>
    <w:rsid w:val="00583872"/>
    <w:rsid w:val="00583BDC"/>
    <w:rsid w:val="0058404F"/>
    <w:rsid w:val="00584BF2"/>
    <w:rsid w:val="005857E5"/>
    <w:rsid w:val="00585DFC"/>
    <w:rsid w:val="00590F45"/>
    <w:rsid w:val="00591771"/>
    <w:rsid w:val="00591CD1"/>
    <w:rsid w:val="00591F40"/>
    <w:rsid w:val="005942AF"/>
    <w:rsid w:val="0059458A"/>
    <w:rsid w:val="005947B8"/>
    <w:rsid w:val="0059578E"/>
    <w:rsid w:val="005969AD"/>
    <w:rsid w:val="00596A8F"/>
    <w:rsid w:val="005974D5"/>
    <w:rsid w:val="005975C6"/>
    <w:rsid w:val="005A12C9"/>
    <w:rsid w:val="005A143F"/>
    <w:rsid w:val="005A1756"/>
    <w:rsid w:val="005A24E6"/>
    <w:rsid w:val="005A2873"/>
    <w:rsid w:val="005A2EE7"/>
    <w:rsid w:val="005A3539"/>
    <w:rsid w:val="005A449E"/>
    <w:rsid w:val="005A462C"/>
    <w:rsid w:val="005A534C"/>
    <w:rsid w:val="005A5D47"/>
    <w:rsid w:val="005A683C"/>
    <w:rsid w:val="005A69C6"/>
    <w:rsid w:val="005A6A1C"/>
    <w:rsid w:val="005A715E"/>
    <w:rsid w:val="005A7617"/>
    <w:rsid w:val="005A7B12"/>
    <w:rsid w:val="005B0819"/>
    <w:rsid w:val="005B09C2"/>
    <w:rsid w:val="005B0D7C"/>
    <w:rsid w:val="005B12BF"/>
    <w:rsid w:val="005B19AA"/>
    <w:rsid w:val="005B25B8"/>
    <w:rsid w:val="005B3301"/>
    <w:rsid w:val="005B48CD"/>
    <w:rsid w:val="005B520B"/>
    <w:rsid w:val="005B59EF"/>
    <w:rsid w:val="005B5CC3"/>
    <w:rsid w:val="005B5FC1"/>
    <w:rsid w:val="005B68F8"/>
    <w:rsid w:val="005B7E3C"/>
    <w:rsid w:val="005C1552"/>
    <w:rsid w:val="005C17AA"/>
    <w:rsid w:val="005C1BDA"/>
    <w:rsid w:val="005C26DF"/>
    <w:rsid w:val="005C3306"/>
    <w:rsid w:val="005C34CB"/>
    <w:rsid w:val="005C47EB"/>
    <w:rsid w:val="005C5246"/>
    <w:rsid w:val="005C5C57"/>
    <w:rsid w:val="005C5F37"/>
    <w:rsid w:val="005C61A4"/>
    <w:rsid w:val="005C6732"/>
    <w:rsid w:val="005C6B01"/>
    <w:rsid w:val="005C792B"/>
    <w:rsid w:val="005D1236"/>
    <w:rsid w:val="005D1ED7"/>
    <w:rsid w:val="005D27C5"/>
    <w:rsid w:val="005D28C5"/>
    <w:rsid w:val="005D2B7E"/>
    <w:rsid w:val="005D2FC2"/>
    <w:rsid w:val="005D3313"/>
    <w:rsid w:val="005D3858"/>
    <w:rsid w:val="005D4587"/>
    <w:rsid w:val="005D5524"/>
    <w:rsid w:val="005D5D90"/>
    <w:rsid w:val="005D6F95"/>
    <w:rsid w:val="005E04EF"/>
    <w:rsid w:val="005E1C24"/>
    <w:rsid w:val="005E25B7"/>
    <w:rsid w:val="005E268B"/>
    <w:rsid w:val="005E286A"/>
    <w:rsid w:val="005E30F0"/>
    <w:rsid w:val="005E3B77"/>
    <w:rsid w:val="005E3D92"/>
    <w:rsid w:val="005E3FAA"/>
    <w:rsid w:val="005E5179"/>
    <w:rsid w:val="005E51F0"/>
    <w:rsid w:val="005E58AD"/>
    <w:rsid w:val="005E627E"/>
    <w:rsid w:val="005E7362"/>
    <w:rsid w:val="005F023C"/>
    <w:rsid w:val="005F0364"/>
    <w:rsid w:val="005F07A3"/>
    <w:rsid w:val="005F0954"/>
    <w:rsid w:val="005F0E36"/>
    <w:rsid w:val="005F0FA2"/>
    <w:rsid w:val="005F1001"/>
    <w:rsid w:val="005F2C1D"/>
    <w:rsid w:val="005F3B07"/>
    <w:rsid w:val="005F454F"/>
    <w:rsid w:val="005F54C6"/>
    <w:rsid w:val="005F62CC"/>
    <w:rsid w:val="005F6E47"/>
    <w:rsid w:val="005F722D"/>
    <w:rsid w:val="005F7B74"/>
    <w:rsid w:val="005F7DE8"/>
    <w:rsid w:val="005F7EF4"/>
    <w:rsid w:val="006002DF"/>
    <w:rsid w:val="006002FB"/>
    <w:rsid w:val="00600E0F"/>
    <w:rsid w:val="00600FAA"/>
    <w:rsid w:val="006010FF"/>
    <w:rsid w:val="006026A8"/>
    <w:rsid w:val="006030DD"/>
    <w:rsid w:val="006042B2"/>
    <w:rsid w:val="00605284"/>
    <w:rsid w:val="00605AE6"/>
    <w:rsid w:val="0060622C"/>
    <w:rsid w:val="00606376"/>
    <w:rsid w:val="006068EC"/>
    <w:rsid w:val="0061047C"/>
    <w:rsid w:val="00610602"/>
    <w:rsid w:val="0061095D"/>
    <w:rsid w:val="00613B45"/>
    <w:rsid w:val="00614991"/>
    <w:rsid w:val="00614E46"/>
    <w:rsid w:val="0061603F"/>
    <w:rsid w:val="00616847"/>
    <w:rsid w:val="006168AD"/>
    <w:rsid w:val="00616CFE"/>
    <w:rsid w:val="0061705D"/>
    <w:rsid w:val="0061772F"/>
    <w:rsid w:val="00617C79"/>
    <w:rsid w:val="00617D62"/>
    <w:rsid w:val="00617FFE"/>
    <w:rsid w:val="00620AB7"/>
    <w:rsid w:val="00620AD2"/>
    <w:rsid w:val="00622048"/>
    <w:rsid w:val="0062235D"/>
    <w:rsid w:val="00623699"/>
    <w:rsid w:val="006236EC"/>
    <w:rsid w:val="00625B61"/>
    <w:rsid w:val="00626272"/>
    <w:rsid w:val="00627A1A"/>
    <w:rsid w:val="00627C48"/>
    <w:rsid w:val="00627FFA"/>
    <w:rsid w:val="0063055C"/>
    <w:rsid w:val="00631172"/>
    <w:rsid w:val="006320EC"/>
    <w:rsid w:val="00632473"/>
    <w:rsid w:val="00632A80"/>
    <w:rsid w:val="00632E91"/>
    <w:rsid w:val="00633636"/>
    <w:rsid w:val="00634714"/>
    <w:rsid w:val="00634BFB"/>
    <w:rsid w:val="0063590F"/>
    <w:rsid w:val="0063640D"/>
    <w:rsid w:val="0063685F"/>
    <w:rsid w:val="00636B05"/>
    <w:rsid w:val="00637548"/>
    <w:rsid w:val="00637640"/>
    <w:rsid w:val="00640D0A"/>
    <w:rsid w:val="00640D39"/>
    <w:rsid w:val="0064192C"/>
    <w:rsid w:val="00642830"/>
    <w:rsid w:val="00642F88"/>
    <w:rsid w:val="0064388B"/>
    <w:rsid w:val="006454E4"/>
    <w:rsid w:val="00646BAD"/>
    <w:rsid w:val="006474D3"/>
    <w:rsid w:val="0064790E"/>
    <w:rsid w:val="00650790"/>
    <w:rsid w:val="0065110D"/>
    <w:rsid w:val="006511C6"/>
    <w:rsid w:val="00651426"/>
    <w:rsid w:val="0065195B"/>
    <w:rsid w:val="00652D51"/>
    <w:rsid w:val="00653130"/>
    <w:rsid w:val="00653EAA"/>
    <w:rsid w:val="006542DD"/>
    <w:rsid w:val="00654384"/>
    <w:rsid w:val="006543DC"/>
    <w:rsid w:val="00654DCE"/>
    <w:rsid w:val="00655602"/>
    <w:rsid w:val="00655CDB"/>
    <w:rsid w:val="00655EF7"/>
    <w:rsid w:val="00656217"/>
    <w:rsid w:val="00656441"/>
    <w:rsid w:val="0065668D"/>
    <w:rsid w:val="00656700"/>
    <w:rsid w:val="00657351"/>
    <w:rsid w:val="00657555"/>
    <w:rsid w:val="00657673"/>
    <w:rsid w:val="0065785A"/>
    <w:rsid w:val="00660D4D"/>
    <w:rsid w:val="00661E83"/>
    <w:rsid w:val="0066317D"/>
    <w:rsid w:val="0066346F"/>
    <w:rsid w:val="00664997"/>
    <w:rsid w:val="00664F82"/>
    <w:rsid w:val="006654FE"/>
    <w:rsid w:val="006655C5"/>
    <w:rsid w:val="00666223"/>
    <w:rsid w:val="00667208"/>
    <w:rsid w:val="006674E3"/>
    <w:rsid w:val="00667AFF"/>
    <w:rsid w:val="0067061C"/>
    <w:rsid w:val="00670805"/>
    <w:rsid w:val="00671729"/>
    <w:rsid w:val="00671A84"/>
    <w:rsid w:val="00672228"/>
    <w:rsid w:val="006730CA"/>
    <w:rsid w:val="00673191"/>
    <w:rsid w:val="0067323C"/>
    <w:rsid w:val="00676857"/>
    <w:rsid w:val="00676966"/>
    <w:rsid w:val="006772FB"/>
    <w:rsid w:val="00680071"/>
    <w:rsid w:val="006802FE"/>
    <w:rsid w:val="006806F1"/>
    <w:rsid w:val="0068209F"/>
    <w:rsid w:val="00682482"/>
    <w:rsid w:val="00682754"/>
    <w:rsid w:val="006839CD"/>
    <w:rsid w:val="00683F12"/>
    <w:rsid w:val="00684279"/>
    <w:rsid w:val="0068466C"/>
    <w:rsid w:val="00684AE6"/>
    <w:rsid w:val="00684D57"/>
    <w:rsid w:val="00684EEE"/>
    <w:rsid w:val="00684FB5"/>
    <w:rsid w:val="00685488"/>
    <w:rsid w:val="006854B2"/>
    <w:rsid w:val="006858A2"/>
    <w:rsid w:val="006873E4"/>
    <w:rsid w:val="00687C8A"/>
    <w:rsid w:val="00690BEE"/>
    <w:rsid w:val="006912CA"/>
    <w:rsid w:val="00692419"/>
    <w:rsid w:val="00692582"/>
    <w:rsid w:val="006925F9"/>
    <w:rsid w:val="006931A0"/>
    <w:rsid w:val="00693C01"/>
    <w:rsid w:val="00695B65"/>
    <w:rsid w:val="006961A6"/>
    <w:rsid w:val="00696E27"/>
    <w:rsid w:val="006A19F3"/>
    <w:rsid w:val="006A1BE5"/>
    <w:rsid w:val="006A1F59"/>
    <w:rsid w:val="006A27D7"/>
    <w:rsid w:val="006A32CA"/>
    <w:rsid w:val="006A3ADF"/>
    <w:rsid w:val="006A43CA"/>
    <w:rsid w:val="006A4D4C"/>
    <w:rsid w:val="006A56D1"/>
    <w:rsid w:val="006A6AB4"/>
    <w:rsid w:val="006A7E55"/>
    <w:rsid w:val="006B0704"/>
    <w:rsid w:val="006B1113"/>
    <w:rsid w:val="006B1A28"/>
    <w:rsid w:val="006B25A8"/>
    <w:rsid w:val="006B2980"/>
    <w:rsid w:val="006B2B69"/>
    <w:rsid w:val="006B2EE1"/>
    <w:rsid w:val="006B3365"/>
    <w:rsid w:val="006B3E55"/>
    <w:rsid w:val="006B4757"/>
    <w:rsid w:val="006B6A4A"/>
    <w:rsid w:val="006B7720"/>
    <w:rsid w:val="006B7F95"/>
    <w:rsid w:val="006C156F"/>
    <w:rsid w:val="006C1A36"/>
    <w:rsid w:val="006C287A"/>
    <w:rsid w:val="006C2EF1"/>
    <w:rsid w:val="006C3206"/>
    <w:rsid w:val="006C4108"/>
    <w:rsid w:val="006C4204"/>
    <w:rsid w:val="006C4702"/>
    <w:rsid w:val="006C6853"/>
    <w:rsid w:val="006C6EA6"/>
    <w:rsid w:val="006C75B0"/>
    <w:rsid w:val="006C7798"/>
    <w:rsid w:val="006C78D9"/>
    <w:rsid w:val="006D0816"/>
    <w:rsid w:val="006D1425"/>
    <w:rsid w:val="006D2159"/>
    <w:rsid w:val="006D2B16"/>
    <w:rsid w:val="006D3863"/>
    <w:rsid w:val="006D3C57"/>
    <w:rsid w:val="006D3F7C"/>
    <w:rsid w:val="006D56E0"/>
    <w:rsid w:val="006D5E77"/>
    <w:rsid w:val="006D6586"/>
    <w:rsid w:val="006D66BC"/>
    <w:rsid w:val="006D707A"/>
    <w:rsid w:val="006D7C46"/>
    <w:rsid w:val="006E0C92"/>
    <w:rsid w:val="006E1DC1"/>
    <w:rsid w:val="006E2177"/>
    <w:rsid w:val="006E2E72"/>
    <w:rsid w:val="006E2EC2"/>
    <w:rsid w:val="006E358E"/>
    <w:rsid w:val="006E36D9"/>
    <w:rsid w:val="006E4500"/>
    <w:rsid w:val="006E4639"/>
    <w:rsid w:val="006E49F1"/>
    <w:rsid w:val="006E4CDF"/>
    <w:rsid w:val="006E5CB2"/>
    <w:rsid w:val="006E67B9"/>
    <w:rsid w:val="006E6852"/>
    <w:rsid w:val="006E6A99"/>
    <w:rsid w:val="006E6BE4"/>
    <w:rsid w:val="006E7F48"/>
    <w:rsid w:val="006F03EE"/>
    <w:rsid w:val="006F08E2"/>
    <w:rsid w:val="006F14CA"/>
    <w:rsid w:val="006F1714"/>
    <w:rsid w:val="006F1AC8"/>
    <w:rsid w:val="006F214D"/>
    <w:rsid w:val="006F29C0"/>
    <w:rsid w:val="006F3495"/>
    <w:rsid w:val="006F40EE"/>
    <w:rsid w:val="006F430C"/>
    <w:rsid w:val="006F4B4E"/>
    <w:rsid w:val="006F4C58"/>
    <w:rsid w:val="006F53AC"/>
    <w:rsid w:val="006F5D84"/>
    <w:rsid w:val="006F6106"/>
    <w:rsid w:val="006F7769"/>
    <w:rsid w:val="006F7F62"/>
    <w:rsid w:val="00700D9B"/>
    <w:rsid w:val="00701E97"/>
    <w:rsid w:val="00701F3A"/>
    <w:rsid w:val="00702B26"/>
    <w:rsid w:val="00702FDA"/>
    <w:rsid w:val="00703E3E"/>
    <w:rsid w:val="0070421D"/>
    <w:rsid w:val="00706479"/>
    <w:rsid w:val="0070659D"/>
    <w:rsid w:val="00706B28"/>
    <w:rsid w:val="007076E6"/>
    <w:rsid w:val="00711677"/>
    <w:rsid w:val="00712483"/>
    <w:rsid w:val="0071255E"/>
    <w:rsid w:val="00712771"/>
    <w:rsid w:val="0071289E"/>
    <w:rsid w:val="00712A90"/>
    <w:rsid w:val="00713258"/>
    <w:rsid w:val="0071614C"/>
    <w:rsid w:val="00716741"/>
    <w:rsid w:val="0071689E"/>
    <w:rsid w:val="00716E76"/>
    <w:rsid w:val="00716F56"/>
    <w:rsid w:val="007170E6"/>
    <w:rsid w:val="007173FA"/>
    <w:rsid w:val="00717E1C"/>
    <w:rsid w:val="007213B9"/>
    <w:rsid w:val="00721662"/>
    <w:rsid w:val="00724805"/>
    <w:rsid w:val="007257C9"/>
    <w:rsid w:val="00726620"/>
    <w:rsid w:val="0072663E"/>
    <w:rsid w:val="00726821"/>
    <w:rsid w:val="007269C4"/>
    <w:rsid w:val="007279C1"/>
    <w:rsid w:val="007303F6"/>
    <w:rsid w:val="00731095"/>
    <w:rsid w:val="00731599"/>
    <w:rsid w:val="00731CFC"/>
    <w:rsid w:val="00732BC2"/>
    <w:rsid w:val="00733307"/>
    <w:rsid w:val="00733358"/>
    <w:rsid w:val="00733AC4"/>
    <w:rsid w:val="00733D7E"/>
    <w:rsid w:val="007346F0"/>
    <w:rsid w:val="007349F0"/>
    <w:rsid w:val="00735579"/>
    <w:rsid w:val="007356A0"/>
    <w:rsid w:val="007366F7"/>
    <w:rsid w:val="007375A7"/>
    <w:rsid w:val="0074056C"/>
    <w:rsid w:val="00740962"/>
    <w:rsid w:val="00740B04"/>
    <w:rsid w:val="00741079"/>
    <w:rsid w:val="00741148"/>
    <w:rsid w:val="00741CEC"/>
    <w:rsid w:val="00742662"/>
    <w:rsid w:val="007429BE"/>
    <w:rsid w:val="0074344A"/>
    <w:rsid w:val="007435F0"/>
    <w:rsid w:val="0074400F"/>
    <w:rsid w:val="007447AB"/>
    <w:rsid w:val="00744AC8"/>
    <w:rsid w:val="00745205"/>
    <w:rsid w:val="00747390"/>
    <w:rsid w:val="00747E4A"/>
    <w:rsid w:val="00750AD5"/>
    <w:rsid w:val="007513B5"/>
    <w:rsid w:val="00751DC6"/>
    <w:rsid w:val="0075232A"/>
    <w:rsid w:val="00752690"/>
    <w:rsid w:val="00752E51"/>
    <w:rsid w:val="00752FC2"/>
    <w:rsid w:val="00753610"/>
    <w:rsid w:val="00753A00"/>
    <w:rsid w:val="00753B69"/>
    <w:rsid w:val="00753C1D"/>
    <w:rsid w:val="007540B0"/>
    <w:rsid w:val="00754829"/>
    <w:rsid w:val="00755473"/>
    <w:rsid w:val="007556D1"/>
    <w:rsid w:val="0075642C"/>
    <w:rsid w:val="00757B2E"/>
    <w:rsid w:val="0076097E"/>
    <w:rsid w:val="00760A28"/>
    <w:rsid w:val="00760DB7"/>
    <w:rsid w:val="007610E9"/>
    <w:rsid w:val="0076219C"/>
    <w:rsid w:val="007628F9"/>
    <w:rsid w:val="0076304F"/>
    <w:rsid w:val="007632BF"/>
    <w:rsid w:val="007634CB"/>
    <w:rsid w:val="00763D86"/>
    <w:rsid w:val="007644A9"/>
    <w:rsid w:val="00764B7B"/>
    <w:rsid w:val="00764CB5"/>
    <w:rsid w:val="00764F95"/>
    <w:rsid w:val="00765D3B"/>
    <w:rsid w:val="0076661B"/>
    <w:rsid w:val="00766661"/>
    <w:rsid w:val="00766780"/>
    <w:rsid w:val="007700F8"/>
    <w:rsid w:val="007705B2"/>
    <w:rsid w:val="00771FBB"/>
    <w:rsid w:val="00773A8B"/>
    <w:rsid w:val="007741CA"/>
    <w:rsid w:val="00776976"/>
    <w:rsid w:val="007769F8"/>
    <w:rsid w:val="00776DE7"/>
    <w:rsid w:val="00777622"/>
    <w:rsid w:val="00781E8D"/>
    <w:rsid w:val="00781F22"/>
    <w:rsid w:val="00784B2E"/>
    <w:rsid w:val="00785D6A"/>
    <w:rsid w:val="0078638A"/>
    <w:rsid w:val="00786652"/>
    <w:rsid w:val="00786E47"/>
    <w:rsid w:val="0078792D"/>
    <w:rsid w:val="00787958"/>
    <w:rsid w:val="00790141"/>
    <w:rsid w:val="0079136A"/>
    <w:rsid w:val="007914CA"/>
    <w:rsid w:val="007914D4"/>
    <w:rsid w:val="00791B63"/>
    <w:rsid w:val="0079283D"/>
    <w:rsid w:val="0079289A"/>
    <w:rsid w:val="0079294C"/>
    <w:rsid w:val="00793316"/>
    <w:rsid w:val="00794B81"/>
    <w:rsid w:val="00795D18"/>
    <w:rsid w:val="00796224"/>
    <w:rsid w:val="00796696"/>
    <w:rsid w:val="00796EA7"/>
    <w:rsid w:val="00797AD5"/>
    <w:rsid w:val="00797CDA"/>
    <w:rsid w:val="007A034E"/>
    <w:rsid w:val="007A0CED"/>
    <w:rsid w:val="007A0F4B"/>
    <w:rsid w:val="007A10C4"/>
    <w:rsid w:val="007A182C"/>
    <w:rsid w:val="007A213F"/>
    <w:rsid w:val="007A243A"/>
    <w:rsid w:val="007A4786"/>
    <w:rsid w:val="007A4AEC"/>
    <w:rsid w:val="007A4E4F"/>
    <w:rsid w:val="007A5829"/>
    <w:rsid w:val="007A751D"/>
    <w:rsid w:val="007A75E5"/>
    <w:rsid w:val="007B1232"/>
    <w:rsid w:val="007B1611"/>
    <w:rsid w:val="007B1B15"/>
    <w:rsid w:val="007B249E"/>
    <w:rsid w:val="007B3D74"/>
    <w:rsid w:val="007B46F6"/>
    <w:rsid w:val="007B4B53"/>
    <w:rsid w:val="007B4FE6"/>
    <w:rsid w:val="007B5961"/>
    <w:rsid w:val="007B5B00"/>
    <w:rsid w:val="007B5F83"/>
    <w:rsid w:val="007B6515"/>
    <w:rsid w:val="007B7EA9"/>
    <w:rsid w:val="007C0DBB"/>
    <w:rsid w:val="007C0E1E"/>
    <w:rsid w:val="007C158D"/>
    <w:rsid w:val="007C1C3C"/>
    <w:rsid w:val="007C5058"/>
    <w:rsid w:val="007C543A"/>
    <w:rsid w:val="007C659F"/>
    <w:rsid w:val="007C6975"/>
    <w:rsid w:val="007C6A09"/>
    <w:rsid w:val="007C6AC5"/>
    <w:rsid w:val="007C7808"/>
    <w:rsid w:val="007C7DB4"/>
    <w:rsid w:val="007D08C3"/>
    <w:rsid w:val="007D0920"/>
    <w:rsid w:val="007D0A01"/>
    <w:rsid w:val="007D2139"/>
    <w:rsid w:val="007D22E2"/>
    <w:rsid w:val="007D325D"/>
    <w:rsid w:val="007D357B"/>
    <w:rsid w:val="007D3B2E"/>
    <w:rsid w:val="007D400A"/>
    <w:rsid w:val="007D4151"/>
    <w:rsid w:val="007D4EC0"/>
    <w:rsid w:val="007D4F0E"/>
    <w:rsid w:val="007D5D99"/>
    <w:rsid w:val="007D5F3A"/>
    <w:rsid w:val="007D6616"/>
    <w:rsid w:val="007D6F74"/>
    <w:rsid w:val="007D6F7C"/>
    <w:rsid w:val="007D7A96"/>
    <w:rsid w:val="007D7DE9"/>
    <w:rsid w:val="007E0826"/>
    <w:rsid w:val="007E087F"/>
    <w:rsid w:val="007E0AB3"/>
    <w:rsid w:val="007E0AD2"/>
    <w:rsid w:val="007E1013"/>
    <w:rsid w:val="007E122C"/>
    <w:rsid w:val="007E1752"/>
    <w:rsid w:val="007E1B49"/>
    <w:rsid w:val="007E2623"/>
    <w:rsid w:val="007E2D1B"/>
    <w:rsid w:val="007E329C"/>
    <w:rsid w:val="007E373E"/>
    <w:rsid w:val="007E4594"/>
    <w:rsid w:val="007E54A1"/>
    <w:rsid w:val="007E638F"/>
    <w:rsid w:val="007E6B7D"/>
    <w:rsid w:val="007E718D"/>
    <w:rsid w:val="007E7596"/>
    <w:rsid w:val="007F1A4B"/>
    <w:rsid w:val="007F20C2"/>
    <w:rsid w:val="007F2BCC"/>
    <w:rsid w:val="007F2C50"/>
    <w:rsid w:val="007F30A3"/>
    <w:rsid w:val="007F353F"/>
    <w:rsid w:val="007F5992"/>
    <w:rsid w:val="007F5C42"/>
    <w:rsid w:val="007F5F8C"/>
    <w:rsid w:val="007F6940"/>
    <w:rsid w:val="007F77E4"/>
    <w:rsid w:val="00801D2F"/>
    <w:rsid w:val="008055A7"/>
    <w:rsid w:val="00805905"/>
    <w:rsid w:val="00805AAA"/>
    <w:rsid w:val="008069F2"/>
    <w:rsid w:val="008072A6"/>
    <w:rsid w:val="00807F55"/>
    <w:rsid w:val="008103BC"/>
    <w:rsid w:val="00810449"/>
    <w:rsid w:val="0081097D"/>
    <w:rsid w:val="0081115A"/>
    <w:rsid w:val="00811254"/>
    <w:rsid w:val="0081161C"/>
    <w:rsid w:val="00811B5E"/>
    <w:rsid w:val="00811C35"/>
    <w:rsid w:val="008144EA"/>
    <w:rsid w:val="008150A6"/>
    <w:rsid w:val="00815A3E"/>
    <w:rsid w:val="00815DB8"/>
    <w:rsid w:val="0081626C"/>
    <w:rsid w:val="0081661F"/>
    <w:rsid w:val="00817438"/>
    <w:rsid w:val="00817E47"/>
    <w:rsid w:val="00820D74"/>
    <w:rsid w:val="008231C7"/>
    <w:rsid w:val="00823EF7"/>
    <w:rsid w:val="00823F07"/>
    <w:rsid w:val="00824BD6"/>
    <w:rsid w:val="00824D37"/>
    <w:rsid w:val="00825C36"/>
    <w:rsid w:val="00827A78"/>
    <w:rsid w:val="00827ABC"/>
    <w:rsid w:val="00827B11"/>
    <w:rsid w:val="00827BB5"/>
    <w:rsid w:val="00830E9C"/>
    <w:rsid w:val="00831271"/>
    <w:rsid w:val="0083133B"/>
    <w:rsid w:val="00832515"/>
    <w:rsid w:val="00833221"/>
    <w:rsid w:val="00833BDC"/>
    <w:rsid w:val="00833CF0"/>
    <w:rsid w:val="0083445F"/>
    <w:rsid w:val="00834F15"/>
    <w:rsid w:val="008358F4"/>
    <w:rsid w:val="00836462"/>
    <w:rsid w:val="0083654A"/>
    <w:rsid w:val="00836DDB"/>
    <w:rsid w:val="00837458"/>
    <w:rsid w:val="0084048E"/>
    <w:rsid w:val="00841D79"/>
    <w:rsid w:val="0084211C"/>
    <w:rsid w:val="00843F84"/>
    <w:rsid w:val="0084443F"/>
    <w:rsid w:val="00844950"/>
    <w:rsid w:val="00844FE7"/>
    <w:rsid w:val="00845202"/>
    <w:rsid w:val="008455E3"/>
    <w:rsid w:val="0084592F"/>
    <w:rsid w:val="0084601A"/>
    <w:rsid w:val="008464F4"/>
    <w:rsid w:val="0084671F"/>
    <w:rsid w:val="00847FEF"/>
    <w:rsid w:val="00850574"/>
    <w:rsid w:val="0085251B"/>
    <w:rsid w:val="00852802"/>
    <w:rsid w:val="00852ECA"/>
    <w:rsid w:val="008537D4"/>
    <w:rsid w:val="0085390A"/>
    <w:rsid w:val="00854720"/>
    <w:rsid w:val="0085493D"/>
    <w:rsid w:val="00854D89"/>
    <w:rsid w:val="00855092"/>
    <w:rsid w:val="00855D91"/>
    <w:rsid w:val="00857D16"/>
    <w:rsid w:val="0086088F"/>
    <w:rsid w:val="00860A1B"/>
    <w:rsid w:val="00861F08"/>
    <w:rsid w:val="00862E55"/>
    <w:rsid w:val="00863714"/>
    <w:rsid w:val="0086375F"/>
    <w:rsid w:val="00863B1B"/>
    <w:rsid w:val="00863F13"/>
    <w:rsid w:val="0086410C"/>
    <w:rsid w:val="00864E5B"/>
    <w:rsid w:val="00864F88"/>
    <w:rsid w:val="00866238"/>
    <w:rsid w:val="0086642F"/>
    <w:rsid w:val="00866B04"/>
    <w:rsid w:val="00866BEA"/>
    <w:rsid w:val="008674E5"/>
    <w:rsid w:val="00867C19"/>
    <w:rsid w:val="008716CD"/>
    <w:rsid w:val="00871A80"/>
    <w:rsid w:val="00871ECD"/>
    <w:rsid w:val="00872070"/>
    <w:rsid w:val="00872C77"/>
    <w:rsid w:val="00873FFA"/>
    <w:rsid w:val="008748C4"/>
    <w:rsid w:val="00874942"/>
    <w:rsid w:val="00875604"/>
    <w:rsid w:val="00875615"/>
    <w:rsid w:val="00875C6E"/>
    <w:rsid w:val="00877ABB"/>
    <w:rsid w:val="00877DD1"/>
    <w:rsid w:val="00880440"/>
    <w:rsid w:val="008805FB"/>
    <w:rsid w:val="008817C5"/>
    <w:rsid w:val="00881DB7"/>
    <w:rsid w:val="0088281E"/>
    <w:rsid w:val="00882AFB"/>
    <w:rsid w:val="00884840"/>
    <w:rsid w:val="00885115"/>
    <w:rsid w:val="0088575A"/>
    <w:rsid w:val="00885F00"/>
    <w:rsid w:val="00886CC5"/>
    <w:rsid w:val="00887277"/>
    <w:rsid w:val="00887375"/>
    <w:rsid w:val="00887462"/>
    <w:rsid w:val="00887966"/>
    <w:rsid w:val="00887CC4"/>
    <w:rsid w:val="0089000C"/>
    <w:rsid w:val="008908F5"/>
    <w:rsid w:val="00891122"/>
    <w:rsid w:val="00891DD7"/>
    <w:rsid w:val="00892482"/>
    <w:rsid w:val="00892984"/>
    <w:rsid w:val="008936DE"/>
    <w:rsid w:val="00893B87"/>
    <w:rsid w:val="00894609"/>
    <w:rsid w:val="008955FE"/>
    <w:rsid w:val="00895B26"/>
    <w:rsid w:val="00895C60"/>
    <w:rsid w:val="0089738A"/>
    <w:rsid w:val="00897704"/>
    <w:rsid w:val="008A0D85"/>
    <w:rsid w:val="008A153A"/>
    <w:rsid w:val="008A2120"/>
    <w:rsid w:val="008A27E2"/>
    <w:rsid w:val="008A3957"/>
    <w:rsid w:val="008A46AC"/>
    <w:rsid w:val="008A4D21"/>
    <w:rsid w:val="008A6D0D"/>
    <w:rsid w:val="008A6EE6"/>
    <w:rsid w:val="008A740C"/>
    <w:rsid w:val="008A7832"/>
    <w:rsid w:val="008A7FAF"/>
    <w:rsid w:val="008B15B3"/>
    <w:rsid w:val="008B16A1"/>
    <w:rsid w:val="008B1AF2"/>
    <w:rsid w:val="008B2717"/>
    <w:rsid w:val="008B43AA"/>
    <w:rsid w:val="008B4660"/>
    <w:rsid w:val="008B4CF1"/>
    <w:rsid w:val="008B54CF"/>
    <w:rsid w:val="008B61E6"/>
    <w:rsid w:val="008B684B"/>
    <w:rsid w:val="008B7A40"/>
    <w:rsid w:val="008C138E"/>
    <w:rsid w:val="008C16A1"/>
    <w:rsid w:val="008C1B73"/>
    <w:rsid w:val="008C1D37"/>
    <w:rsid w:val="008C20E0"/>
    <w:rsid w:val="008C2590"/>
    <w:rsid w:val="008C29CA"/>
    <w:rsid w:val="008C3500"/>
    <w:rsid w:val="008C3920"/>
    <w:rsid w:val="008C52EF"/>
    <w:rsid w:val="008C54DE"/>
    <w:rsid w:val="008C5D6E"/>
    <w:rsid w:val="008C5FE0"/>
    <w:rsid w:val="008C7E55"/>
    <w:rsid w:val="008D0310"/>
    <w:rsid w:val="008D13B0"/>
    <w:rsid w:val="008D3A33"/>
    <w:rsid w:val="008D3BDE"/>
    <w:rsid w:val="008D4F18"/>
    <w:rsid w:val="008D60A3"/>
    <w:rsid w:val="008D71EE"/>
    <w:rsid w:val="008D75BD"/>
    <w:rsid w:val="008D76B4"/>
    <w:rsid w:val="008D7E6A"/>
    <w:rsid w:val="008E0791"/>
    <w:rsid w:val="008E139F"/>
    <w:rsid w:val="008E18E1"/>
    <w:rsid w:val="008E1D13"/>
    <w:rsid w:val="008E1D17"/>
    <w:rsid w:val="008E2066"/>
    <w:rsid w:val="008E27A0"/>
    <w:rsid w:val="008E2B6B"/>
    <w:rsid w:val="008E334D"/>
    <w:rsid w:val="008E4FEE"/>
    <w:rsid w:val="008E51B9"/>
    <w:rsid w:val="008E52E7"/>
    <w:rsid w:val="008E5DA3"/>
    <w:rsid w:val="008E63FB"/>
    <w:rsid w:val="008E64B9"/>
    <w:rsid w:val="008E65F0"/>
    <w:rsid w:val="008E6A34"/>
    <w:rsid w:val="008E6DFE"/>
    <w:rsid w:val="008F09C5"/>
    <w:rsid w:val="008F11E3"/>
    <w:rsid w:val="008F13F4"/>
    <w:rsid w:val="008F1A52"/>
    <w:rsid w:val="008F25E2"/>
    <w:rsid w:val="008F2BC9"/>
    <w:rsid w:val="008F2D8E"/>
    <w:rsid w:val="008F5E93"/>
    <w:rsid w:val="0090080A"/>
    <w:rsid w:val="00900C0A"/>
    <w:rsid w:val="00900E8D"/>
    <w:rsid w:val="00900F7C"/>
    <w:rsid w:val="009014CF"/>
    <w:rsid w:val="0090248D"/>
    <w:rsid w:val="00902CF6"/>
    <w:rsid w:val="00903024"/>
    <w:rsid w:val="009030A4"/>
    <w:rsid w:val="0090339A"/>
    <w:rsid w:val="00904C7E"/>
    <w:rsid w:val="00905747"/>
    <w:rsid w:val="00906358"/>
    <w:rsid w:val="0090768B"/>
    <w:rsid w:val="009077B3"/>
    <w:rsid w:val="00907DAE"/>
    <w:rsid w:val="009114D7"/>
    <w:rsid w:val="0091281E"/>
    <w:rsid w:val="00913089"/>
    <w:rsid w:val="0091454E"/>
    <w:rsid w:val="009145BC"/>
    <w:rsid w:val="0091541A"/>
    <w:rsid w:val="009159BB"/>
    <w:rsid w:val="00915A20"/>
    <w:rsid w:val="00915B5E"/>
    <w:rsid w:val="00916A26"/>
    <w:rsid w:val="00917743"/>
    <w:rsid w:val="0092007B"/>
    <w:rsid w:val="009209E1"/>
    <w:rsid w:val="00920A6D"/>
    <w:rsid w:val="0092156C"/>
    <w:rsid w:val="00921ADB"/>
    <w:rsid w:val="00921F52"/>
    <w:rsid w:val="009220A3"/>
    <w:rsid w:val="009225B9"/>
    <w:rsid w:val="009228C5"/>
    <w:rsid w:val="009233DB"/>
    <w:rsid w:val="00923568"/>
    <w:rsid w:val="009252C8"/>
    <w:rsid w:val="00925456"/>
    <w:rsid w:val="00925959"/>
    <w:rsid w:val="00926041"/>
    <w:rsid w:val="009263AB"/>
    <w:rsid w:val="00926576"/>
    <w:rsid w:val="00930D13"/>
    <w:rsid w:val="00931421"/>
    <w:rsid w:val="00932373"/>
    <w:rsid w:val="00932651"/>
    <w:rsid w:val="00932917"/>
    <w:rsid w:val="009341ED"/>
    <w:rsid w:val="009358C3"/>
    <w:rsid w:val="00935FD4"/>
    <w:rsid w:val="009363C9"/>
    <w:rsid w:val="0093741E"/>
    <w:rsid w:val="00940276"/>
    <w:rsid w:val="0094072C"/>
    <w:rsid w:val="009408A4"/>
    <w:rsid w:val="00940A9C"/>
    <w:rsid w:val="009411D8"/>
    <w:rsid w:val="00941499"/>
    <w:rsid w:val="00941A42"/>
    <w:rsid w:val="009422AC"/>
    <w:rsid w:val="009426F3"/>
    <w:rsid w:val="00942CDE"/>
    <w:rsid w:val="00942F0F"/>
    <w:rsid w:val="009434A6"/>
    <w:rsid w:val="00943569"/>
    <w:rsid w:val="00943DC5"/>
    <w:rsid w:val="00944D00"/>
    <w:rsid w:val="00944D34"/>
    <w:rsid w:val="00945008"/>
    <w:rsid w:val="00945B25"/>
    <w:rsid w:val="00946300"/>
    <w:rsid w:val="00946481"/>
    <w:rsid w:val="009465E9"/>
    <w:rsid w:val="00946B79"/>
    <w:rsid w:val="0094764D"/>
    <w:rsid w:val="00947C4F"/>
    <w:rsid w:val="00947F0C"/>
    <w:rsid w:val="0095020D"/>
    <w:rsid w:val="00950346"/>
    <w:rsid w:val="0095039D"/>
    <w:rsid w:val="00951E1D"/>
    <w:rsid w:val="00952AB7"/>
    <w:rsid w:val="00953848"/>
    <w:rsid w:val="00953A82"/>
    <w:rsid w:val="009542C4"/>
    <w:rsid w:val="00954471"/>
    <w:rsid w:val="009548AD"/>
    <w:rsid w:val="00955269"/>
    <w:rsid w:val="009559FA"/>
    <w:rsid w:val="00955A76"/>
    <w:rsid w:val="0095772E"/>
    <w:rsid w:val="0095792C"/>
    <w:rsid w:val="00957FF3"/>
    <w:rsid w:val="009603B3"/>
    <w:rsid w:val="00963218"/>
    <w:rsid w:val="00963F92"/>
    <w:rsid w:val="00964520"/>
    <w:rsid w:val="00964BCC"/>
    <w:rsid w:val="00964C31"/>
    <w:rsid w:val="00964D40"/>
    <w:rsid w:val="009650F7"/>
    <w:rsid w:val="00965546"/>
    <w:rsid w:val="009655F4"/>
    <w:rsid w:val="00966275"/>
    <w:rsid w:val="00966450"/>
    <w:rsid w:val="0096682F"/>
    <w:rsid w:val="00967306"/>
    <w:rsid w:val="00971157"/>
    <w:rsid w:val="00971173"/>
    <w:rsid w:val="00972C59"/>
    <w:rsid w:val="00973377"/>
    <w:rsid w:val="009733F1"/>
    <w:rsid w:val="00974450"/>
    <w:rsid w:val="0097520E"/>
    <w:rsid w:val="0097595C"/>
    <w:rsid w:val="00975C91"/>
    <w:rsid w:val="00975F27"/>
    <w:rsid w:val="009760EA"/>
    <w:rsid w:val="00976206"/>
    <w:rsid w:val="00976397"/>
    <w:rsid w:val="009763B6"/>
    <w:rsid w:val="00977060"/>
    <w:rsid w:val="009777F5"/>
    <w:rsid w:val="0097792C"/>
    <w:rsid w:val="00977BE3"/>
    <w:rsid w:val="00977C0C"/>
    <w:rsid w:val="00977C41"/>
    <w:rsid w:val="00980101"/>
    <w:rsid w:val="00980660"/>
    <w:rsid w:val="009817D7"/>
    <w:rsid w:val="009848F4"/>
    <w:rsid w:val="00984CD4"/>
    <w:rsid w:val="00984DD4"/>
    <w:rsid w:val="0098524D"/>
    <w:rsid w:val="00985FC0"/>
    <w:rsid w:val="00987B7E"/>
    <w:rsid w:val="00987FDF"/>
    <w:rsid w:val="00990189"/>
    <w:rsid w:val="00990F28"/>
    <w:rsid w:val="0099178A"/>
    <w:rsid w:val="00993071"/>
    <w:rsid w:val="0099355A"/>
    <w:rsid w:val="00994796"/>
    <w:rsid w:val="00995479"/>
    <w:rsid w:val="0099573B"/>
    <w:rsid w:val="0099573D"/>
    <w:rsid w:val="00995C89"/>
    <w:rsid w:val="00996306"/>
    <w:rsid w:val="00996934"/>
    <w:rsid w:val="009969E7"/>
    <w:rsid w:val="009975DE"/>
    <w:rsid w:val="009A134B"/>
    <w:rsid w:val="009A1E46"/>
    <w:rsid w:val="009A1F8F"/>
    <w:rsid w:val="009A25D7"/>
    <w:rsid w:val="009A31BD"/>
    <w:rsid w:val="009A4951"/>
    <w:rsid w:val="009A4D75"/>
    <w:rsid w:val="009A54E4"/>
    <w:rsid w:val="009A558D"/>
    <w:rsid w:val="009A55CC"/>
    <w:rsid w:val="009A6B24"/>
    <w:rsid w:val="009A7198"/>
    <w:rsid w:val="009A7282"/>
    <w:rsid w:val="009A74E6"/>
    <w:rsid w:val="009A7ABA"/>
    <w:rsid w:val="009A7C5A"/>
    <w:rsid w:val="009B0292"/>
    <w:rsid w:val="009B087A"/>
    <w:rsid w:val="009B088F"/>
    <w:rsid w:val="009B094E"/>
    <w:rsid w:val="009B10CA"/>
    <w:rsid w:val="009B2772"/>
    <w:rsid w:val="009B2B7C"/>
    <w:rsid w:val="009B30B6"/>
    <w:rsid w:val="009B3D07"/>
    <w:rsid w:val="009B41C9"/>
    <w:rsid w:val="009B4358"/>
    <w:rsid w:val="009B460F"/>
    <w:rsid w:val="009B5B2C"/>
    <w:rsid w:val="009B6130"/>
    <w:rsid w:val="009C00A1"/>
    <w:rsid w:val="009C1240"/>
    <w:rsid w:val="009C12D5"/>
    <w:rsid w:val="009C187A"/>
    <w:rsid w:val="009C1C1F"/>
    <w:rsid w:val="009C1D00"/>
    <w:rsid w:val="009C1DD9"/>
    <w:rsid w:val="009C1E4E"/>
    <w:rsid w:val="009C27A4"/>
    <w:rsid w:val="009C2DE2"/>
    <w:rsid w:val="009C3068"/>
    <w:rsid w:val="009C71A8"/>
    <w:rsid w:val="009C7A03"/>
    <w:rsid w:val="009D0606"/>
    <w:rsid w:val="009D1446"/>
    <w:rsid w:val="009D1990"/>
    <w:rsid w:val="009D1ED8"/>
    <w:rsid w:val="009D25A1"/>
    <w:rsid w:val="009D3BD5"/>
    <w:rsid w:val="009D41D0"/>
    <w:rsid w:val="009D4470"/>
    <w:rsid w:val="009D46B2"/>
    <w:rsid w:val="009D489F"/>
    <w:rsid w:val="009D4A4B"/>
    <w:rsid w:val="009D5888"/>
    <w:rsid w:val="009D6445"/>
    <w:rsid w:val="009D6592"/>
    <w:rsid w:val="009D686C"/>
    <w:rsid w:val="009D6E00"/>
    <w:rsid w:val="009D70B0"/>
    <w:rsid w:val="009D7822"/>
    <w:rsid w:val="009D787C"/>
    <w:rsid w:val="009D7C6A"/>
    <w:rsid w:val="009E30C7"/>
    <w:rsid w:val="009E689F"/>
    <w:rsid w:val="009E6900"/>
    <w:rsid w:val="009E698F"/>
    <w:rsid w:val="009E7E8F"/>
    <w:rsid w:val="009F1342"/>
    <w:rsid w:val="009F14A3"/>
    <w:rsid w:val="009F24B1"/>
    <w:rsid w:val="009F3024"/>
    <w:rsid w:val="009F302E"/>
    <w:rsid w:val="009F3A41"/>
    <w:rsid w:val="009F4718"/>
    <w:rsid w:val="009F4F4E"/>
    <w:rsid w:val="009F5080"/>
    <w:rsid w:val="009F51FB"/>
    <w:rsid w:val="009F793B"/>
    <w:rsid w:val="009F7F80"/>
    <w:rsid w:val="00A01024"/>
    <w:rsid w:val="00A0118B"/>
    <w:rsid w:val="00A01786"/>
    <w:rsid w:val="00A01A9C"/>
    <w:rsid w:val="00A021E4"/>
    <w:rsid w:val="00A02209"/>
    <w:rsid w:val="00A02E38"/>
    <w:rsid w:val="00A02EB2"/>
    <w:rsid w:val="00A02F69"/>
    <w:rsid w:val="00A03220"/>
    <w:rsid w:val="00A03562"/>
    <w:rsid w:val="00A0420F"/>
    <w:rsid w:val="00A0485C"/>
    <w:rsid w:val="00A05698"/>
    <w:rsid w:val="00A05AA1"/>
    <w:rsid w:val="00A05C6B"/>
    <w:rsid w:val="00A06AA7"/>
    <w:rsid w:val="00A074CE"/>
    <w:rsid w:val="00A07B9A"/>
    <w:rsid w:val="00A07C03"/>
    <w:rsid w:val="00A108D4"/>
    <w:rsid w:val="00A11165"/>
    <w:rsid w:val="00A1133D"/>
    <w:rsid w:val="00A1149D"/>
    <w:rsid w:val="00A11E2C"/>
    <w:rsid w:val="00A12DC1"/>
    <w:rsid w:val="00A13DD8"/>
    <w:rsid w:val="00A14F06"/>
    <w:rsid w:val="00A15215"/>
    <w:rsid w:val="00A15C31"/>
    <w:rsid w:val="00A15CE4"/>
    <w:rsid w:val="00A16D19"/>
    <w:rsid w:val="00A20294"/>
    <w:rsid w:val="00A22356"/>
    <w:rsid w:val="00A229F9"/>
    <w:rsid w:val="00A23578"/>
    <w:rsid w:val="00A236EA"/>
    <w:rsid w:val="00A249B2"/>
    <w:rsid w:val="00A24A71"/>
    <w:rsid w:val="00A24B2B"/>
    <w:rsid w:val="00A2508B"/>
    <w:rsid w:val="00A25F5D"/>
    <w:rsid w:val="00A27489"/>
    <w:rsid w:val="00A276BD"/>
    <w:rsid w:val="00A300CF"/>
    <w:rsid w:val="00A3011C"/>
    <w:rsid w:val="00A3012A"/>
    <w:rsid w:val="00A307B5"/>
    <w:rsid w:val="00A3365D"/>
    <w:rsid w:val="00A33668"/>
    <w:rsid w:val="00A336F6"/>
    <w:rsid w:val="00A33ECC"/>
    <w:rsid w:val="00A33F24"/>
    <w:rsid w:val="00A343C4"/>
    <w:rsid w:val="00A34659"/>
    <w:rsid w:val="00A34687"/>
    <w:rsid w:val="00A35121"/>
    <w:rsid w:val="00A35919"/>
    <w:rsid w:val="00A36987"/>
    <w:rsid w:val="00A403F1"/>
    <w:rsid w:val="00A40DB6"/>
    <w:rsid w:val="00A41162"/>
    <w:rsid w:val="00A4152C"/>
    <w:rsid w:val="00A41CF5"/>
    <w:rsid w:val="00A42182"/>
    <w:rsid w:val="00A426B0"/>
    <w:rsid w:val="00A43055"/>
    <w:rsid w:val="00A43DF6"/>
    <w:rsid w:val="00A44A92"/>
    <w:rsid w:val="00A44C56"/>
    <w:rsid w:val="00A45BD3"/>
    <w:rsid w:val="00A46AF7"/>
    <w:rsid w:val="00A46B57"/>
    <w:rsid w:val="00A47AFD"/>
    <w:rsid w:val="00A51989"/>
    <w:rsid w:val="00A51D8B"/>
    <w:rsid w:val="00A51F10"/>
    <w:rsid w:val="00A5238F"/>
    <w:rsid w:val="00A52448"/>
    <w:rsid w:val="00A527AE"/>
    <w:rsid w:val="00A53004"/>
    <w:rsid w:val="00A5306E"/>
    <w:rsid w:val="00A536B8"/>
    <w:rsid w:val="00A542D7"/>
    <w:rsid w:val="00A54520"/>
    <w:rsid w:val="00A54DB5"/>
    <w:rsid w:val="00A551BB"/>
    <w:rsid w:val="00A567EA"/>
    <w:rsid w:val="00A56EA6"/>
    <w:rsid w:val="00A57170"/>
    <w:rsid w:val="00A5774B"/>
    <w:rsid w:val="00A57FFC"/>
    <w:rsid w:val="00A60275"/>
    <w:rsid w:val="00A60919"/>
    <w:rsid w:val="00A60BED"/>
    <w:rsid w:val="00A61D24"/>
    <w:rsid w:val="00A631C5"/>
    <w:rsid w:val="00A63717"/>
    <w:rsid w:val="00A6485D"/>
    <w:rsid w:val="00A64AE6"/>
    <w:rsid w:val="00A64ED4"/>
    <w:rsid w:val="00A6535E"/>
    <w:rsid w:val="00A65921"/>
    <w:rsid w:val="00A65C75"/>
    <w:rsid w:val="00A65FFC"/>
    <w:rsid w:val="00A661A9"/>
    <w:rsid w:val="00A6697F"/>
    <w:rsid w:val="00A67AED"/>
    <w:rsid w:val="00A67B47"/>
    <w:rsid w:val="00A70254"/>
    <w:rsid w:val="00A709ED"/>
    <w:rsid w:val="00A70C32"/>
    <w:rsid w:val="00A70E0F"/>
    <w:rsid w:val="00A70E19"/>
    <w:rsid w:val="00A72A7F"/>
    <w:rsid w:val="00A73BE5"/>
    <w:rsid w:val="00A74393"/>
    <w:rsid w:val="00A75014"/>
    <w:rsid w:val="00A75187"/>
    <w:rsid w:val="00A752CC"/>
    <w:rsid w:val="00A75908"/>
    <w:rsid w:val="00A76DCA"/>
    <w:rsid w:val="00A778A2"/>
    <w:rsid w:val="00A7791F"/>
    <w:rsid w:val="00A77E92"/>
    <w:rsid w:val="00A80C34"/>
    <w:rsid w:val="00A80EDE"/>
    <w:rsid w:val="00A81BED"/>
    <w:rsid w:val="00A81E2D"/>
    <w:rsid w:val="00A83A2A"/>
    <w:rsid w:val="00A84431"/>
    <w:rsid w:val="00A85589"/>
    <w:rsid w:val="00A85A60"/>
    <w:rsid w:val="00A86BFC"/>
    <w:rsid w:val="00A86CEF"/>
    <w:rsid w:val="00A86D60"/>
    <w:rsid w:val="00A8757F"/>
    <w:rsid w:val="00A913F0"/>
    <w:rsid w:val="00A91CA5"/>
    <w:rsid w:val="00A9205B"/>
    <w:rsid w:val="00A92230"/>
    <w:rsid w:val="00A9419E"/>
    <w:rsid w:val="00A94BD0"/>
    <w:rsid w:val="00A95383"/>
    <w:rsid w:val="00A95417"/>
    <w:rsid w:val="00A9597F"/>
    <w:rsid w:val="00A96E40"/>
    <w:rsid w:val="00A97022"/>
    <w:rsid w:val="00AA0452"/>
    <w:rsid w:val="00AA0ACF"/>
    <w:rsid w:val="00AA1425"/>
    <w:rsid w:val="00AA1A7F"/>
    <w:rsid w:val="00AA2616"/>
    <w:rsid w:val="00AA2DC8"/>
    <w:rsid w:val="00AA2DEB"/>
    <w:rsid w:val="00AA4215"/>
    <w:rsid w:val="00AA4F49"/>
    <w:rsid w:val="00AA573A"/>
    <w:rsid w:val="00AA58D0"/>
    <w:rsid w:val="00AA6092"/>
    <w:rsid w:val="00AA6297"/>
    <w:rsid w:val="00AA629F"/>
    <w:rsid w:val="00AA6E1F"/>
    <w:rsid w:val="00AA6F16"/>
    <w:rsid w:val="00AA6F6E"/>
    <w:rsid w:val="00AA740A"/>
    <w:rsid w:val="00AB06E4"/>
    <w:rsid w:val="00AB0EC6"/>
    <w:rsid w:val="00AB1BB6"/>
    <w:rsid w:val="00AB235F"/>
    <w:rsid w:val="00AB304C"/>
    <w:rsid w:val="00AB3A25"/>
    <w:rsid w:val="00AB3C99"/>
    <w:rsid w:val="00AB44BE"/>
    <w:rsid w:val="00AB610C"/>
    <w:rsid w:val="00AB7705"/>
    <w:rsid w:val="00AC0CA6"/>
    <w:rsid w:val="00AC1273"/>
    <w:rsid w:val="00AC28E5"/>
    <w:rsid w:val="00AC34C7"/>
    <w:rsid w:val="00AC3760"/>
    <w:rsid w:val="00AC39E8"/>
    <w:rsid w:val="00AC41F9"/>
    <w:rsid w:val="00AC4291"/>
    <w:rsid w:val="00AC4940"/>
    <w:rsid w:val="00AC4974"/>
    <w:rsid w:val="00AC5B90"/>
    <w:rsid w:val="00AC5F23"/>
    <w:rsid w:val="00AC6412"/>
    <w:rsid w:val="00AC6FA6"/>
    <w:rsid w:val="00AC7D3A"/>
    <w:rsid w:val="00AC7D7B"/>
    <w:rsid w:val="00AD0202"/>
    <w:rsid w:val="00AD05E1"/>
    <w:rsid w:val="00AD0DB8"/>
    <w:rsid w:val="00AD0FDB"/>
    <w:rsid w:val="00AD1A21"/>
    <w:rsid w:val="00AD2195"/>
    <w:rsid w:val="00AD2609"/>
    <w:rsid w:val="00AD2905"/>
    <w:rsid w:val="00AD3678"/>
    <w:rsid w:val="00AD38B9"/>
    <w:rsid w:val="00AD3B5C"/>
    <w:rsid w:val="00AD3B63"/>
    <w:rsid w:val="00AD3F24"/>
    <w:rsid w:val="00AD3F56"/>
    <w:rsid w:val="00AD40A6"/>
    <w:rsid w:val="00AD44C9"/>
    <w:rsid w:val="00AD48DE"/>
    <w:rsid w:val="00AD52E7"/>
    <w:rsid w:val="00AD6E66"/>
    <w:rsid w:val="00AD7249"/>
    <w:rsid w:val="00AD7817"/>
    <w:rsid w:val="00AE00EE"/>
    <w:rsid w:val="00AE02A3"/>
    <w:rsid w:val="00AE0DDC"/>
    <w:rsid w:val="00AE20F8"/>
    <w:rsid w:val="00AE2F4E"/>
    <w:rsid w:val="00AE3342"/>
    <w:rsid w:val="00AE396B"/>
    <w:rsid w:val="00AE49E3"/>
    <w:rsid w:val="00AE6625"/>
    <w:rsid w:val="00AE680D"/>
    <w:rsid w:val="00AE7317"/>
    <w:rsid w:val="00AF02C9"/>
    <w:rsid w:val="00AF1C15"/>
    <w:rsid w:val="00AF250E"/>
    <w:rsid w:val="00AF26B0"/>
    <w:rsid w:val="00AF2963"/>
    <w:rsid w:val="00AF2FAE"/>
    <w:rsid w:val="00AF355F"/>
    <w:rsid w:val="00AF3840"/>
    <w:rsid w:val="00AF3A6E"/>
    <w:rsid w:val="00AF3B5D"/>
    <w:rsid w:val="00AF5B21"/>
    <w:rsid w:val="00AF5DEA"/>
    <w:rsid w:val="00AF70AA"/>
    <w:rsid w:val="00AF73E7"/>
    <w:rsid w:val="00AF7B53"/>
    <w:rsid w:val="00AF7CA2"/>
    <w:rsid w:val="00B00484"/>
    <w:rsid w:val="00B00903"/>
    <w:rsid w:val="00B00BD9"/>
    <w:rsid w:val="00B01BF5"/>
    <w:rsid w:val="00B026F7"/>
    <w:rsid w:val="00B02D8C"/>
    <w:rsid w:val="00B02E07"/>
    <w:rsid w:val="00B03016"/>
    <w:rsid w:val="00B034F7"/>
    <w:rsid w:val="00B03F3C"/>
    <w:rsid w:val="00B042BE"/>
    <w:rsid w:val="00B05080"/>
    <w:rsid w:val="00B05857"/>
    <w:rsid w:val="00B05A71"/>
    <w:rsid w:val="00B0700E"/>
    <w:rsid w:val="00B0718C"/>
    <w:rsid w:val="00B1065F"/>
    <w:rsid w:val="00B1123D"/>
    <w:rsid w:val="00B1240F"/>
    <w:rsid w:val="00B12539"/>
    <w:rsid w:val="00B12BAD"/>
    <w:rsid w:val="00B1371D"/>
    <w:rsid w:val="00B13BB1"/>
    <w:rsid w:val="00B154A3"/>
    <w:rsid w:val="00B15A4F"/>
    <w:rsid w:val="00B15D85"/>
    <w:rsid w:val="00B15D8A"/>
    <w:rsid w:val="00B16254"/>
    <w:rsid w:val="00B16859"/>
    <w:rsid w:val="00B1709E"/>
    <w:rsid w:val="00B17409"/>
    <w:rsid w:val="00B17DD1"/>
    <w:rsid w:val="00B2179F"/>
    <w:rsid w:val="00B21CEE"/>
    <w:rsid w:val="00B224E9"/>
    <w:rsid w:val="00B23076"/>
    <w:rsid w:val="00B2397A"/>
    <w:rsid w:val="00B244F0"/>
    <w:rsid w:val="00B24594"/>
    <w:rsid w:val="00B256E8"/>
    <w:rsid w:val="00B259EB"/>
    <w:rsid w:val="00B2610D"/>
    <w:rsid w:val="00B26445"/>
    <w:rsid w:val="00B26E28"/>
    <w:rsid w:val="00B271AE"/>
    <w:rsid w:val="00B27B6A"/>
    <w:rsid w:val="00B3132E"/>
    <w:rsid w:val="00B3148F"/>
    <w:rsid w:val="00B31E7A"/>
    <w:rsid w:val="00B321EF"/>
    <w:rsid w:val="00B328F7"/>
    <w:rsid w:val="00B32C48"/>
    <w:rsid w:val="00B32E06"/>
    <w:rsid w:val="00B33884"/>
    <w:rsid w:val="00B34C10"/>
    <w:rsid w:val="00B36A3C"/>
    <w:rsid w:val="00B36AD7"/>
    <w:rsid w:val="00B36D76"/>
    <w:rsid w:val="00B372DF"/>
    <w:rsid w:val="00B374FF"/>
    <w:rsid w:val="00B37BC1"/>
    <w:rsid w:val="00B37E8D"/>
    <w:rsid w:val="00B40BA4"/>
    <w:rsid w:val="00B40DEA"/>
    <w:rsid w:val="00B418C8"/>
    <w:rsid w:val="00B41981"/>
    <w:rsid w:val="00B41E46"/>
    <w:rsid w:val="00B42F96"/>
    <w:rsid w:val="00B43087"/>
    <w:rsid w:val="00B43BF0"/>
    <w:rsid w:val="00B442DC"/>
    <w:rsid w:val="00B44B32"/>
    <w:rsid w:val="00B44C92"/>
    <w:rsid w:val="00B4502C"/>
    <w:rsid w:val="00B451E8"/>
    <w:rsid w:val="00B46002"/>
    <w:rsid w:val="00B461C2"/>
    <w:rsid w:val="00B46D09"/>
    <w:rsid w:val="00B46E87"/>
    <w:rsid w:val="00B47491"/>
    <w:rsid w:val="00B47701"/>
    <w:rsid w:val="00B47AEE"/>
    <w:rsid w:val="00B47EC5"/>
    <w:rsid w:val="00B51148"/>
    <w:rsid w:val="00B514E7"/>
    <w:rsid w:val="00B51B51"/>
    <w:rsid w:val="00B528B0"/>
    <w:rsid w:val="00B5290C"/>
    <w:rsid w:val="00B5335A"/>
    <w:rsid w:val="00B53856"/>
    <w:rsid w:val="00B54443"/>
    <w:rsid w:val="00B54CFE"/>
    <w:rsid w:val="00B55892"/>
    <w:rsid w:val="00B559E4"/>
    <w:rsid w:val="00B5659D"/>
    <w:rsid w:val="00B56E2B"/>
    <w:rsid w:val="00B56E95"/>
    <w:rsid w:val="00B57250"/>
    <w:rsid w:val="00B577D6"/>
    <w:rsid w:val="00B613BC"/>
    <w:rsid w:val="00B61DC7"/>
    <w:rsid w:val="00B61F43"/>
    <w:rsid w:val="00B6222D"/>
    <w:rsid w:val="00B626B2"/>
    <w:rsid w:val="00B6394E"/>
    <w:rsid w:val="00B63A03"/>
    <w:rsid w:val="00B64280"/>
    <w:rsid w:val="00B648D2"/>
    <w:rsid w:val="00B64B87"/>
    <w:rsid w:val="00B65D55"/>
    <w:rsid w:val="00B661AB"/>
    <w:rsid w:val="00B668A5"/>
    <w:rsid w:val="00B66FE0"/>
    <w:rsid w:val="00B6704C"/>
    <w:rsid w:val="00B674CD"/>
    <w:rsid w:val="00B676BE"/>
    <w:rsid w:val="00B67839"/>
    <w:rsid w:val="00B704A7"/>
    <w:rsid w:val="00B70A52"/>
    <w:rsid w:val="00B70E3E"/>
    <w:rsid w:val="00B7158C"/>
    <w:rsid w:val="00B71FCA"/>
    <w:rsid w:val="00B734EB"/>
    <w:rsid w:val="00B7422C"/>
    <w:rsid w:val="00B746F0"/>
    <w:rsid w:val="00B766C1"/>
    <w:rsid w:val="00B76788"/>
    <w:rsid w:val="00B7798E"/>
    <w:rsid w:val="00B80F7E"/>
    <w:rsid w:val="00B82070"/>
    <w:rsid w:val="00B821D2"/>
    <w:rsid w:val="00B8236F"/>
    <w:rsid w:val="00B82582"/>
    <w:rsid w:val="00B82612"/>
    <w:rsid w:val="00B82B94"/>
    <w:rsid w:val="00B8332F"/>
    <w:rsid w:val="00B83367"/>
    <w:rsid w:val="00B8360E"/>
    <w:rsid w:val="00B83796"/>
    <w:rsid w:val="00B837E0"/>
    <w:rsid w:val="00B83C27"/>
    <w:rsid w:val="00B83EAF"/>
    <w:rsid w:val="00B8474B"/>
    <w:rsid w:val="00B84E37"/>
    <w:rsid w:val="00B85269"/>
    <w:rsid w:val="00B8633E"/>
    <w:rsid w:val="00B87560"/>
    <w:rsid w:val="00B875DD"/>
    <w:rsid w:val="00B87D64"/>
    <w:rsid w:val="00B90D04"/>
    <w:rsid w:val="00B92B57"/>
    <w:rsid w:val="00B93480"/>
    <w:rsid w:val="00B93768"/>
    <w:rsid w:val="00B93805"/>
    <w:rsid w:val="00B93D95"/>
    <w:rsid w:val="00B95C79"/>
    <w:rsid w:val="00B9646E"/>
    <w:rsid w:val="00B96480"/>
    <w:rsid w:val="00B964FD"/>
    <w:rsid w:val="00B96CD9"/>
    <w:rsid w:val="00B97A39"/>
    <w:rsid w:val="00B97F7C"/>
    <w:rsid w:val="00BA0BC9"/>
    <w:rsid w:val="00BA13DA"/>
    <w:rsid w:val="00BA158A"/>
    <w:rsid w:val="00BA229F"/>
    <w:rsid w:val="00BA3185"/>
    <w:rsid w:val="00BA392E"/>
    <w:rsid w:val="00BA3B11"/>
    <w:rsid w:val="00BA3F9B"/>
    <w:rsid w:val="00BA5A8D"/>
    <w:rsid w:val="00BA6521"/>
    <w:rsid w:val="00BA728C"/>
    <w:rsid w:val="00BA74EF"/>
    <w:rsid w:val="00BA7833"/>
    <w:rsid w:val="00BB021B"/>
    <w:rsid w:val="00BB3417"/>
    <w:rsid w:val="00BB53AE"/>
    <w:rsid w:val="00BB5592"/>
    <w:rsid w:val="00BB5764"/>
    <w:rsid w:val="00BB67DF"/>
    <w:rsid w:val="00BB7351"/>
    <w:rsid w:val="00BC04B9"/>
    <w:rsid w:val="00BC0754"/>
    <w:rsid w:val="00BC0981"/>
    <w:rsid w:val="00BC1526"/>
    <w:rsid w:val="00BC375C"/>
    <w:rsid w:val="00BC3AB9"/>
    <w:rsid w:val="00BC3E56"/>
    <w:rsid w:val="00BC50AA"/>
    <w:rsid w:val="00BC5197"/>
    <w:rsid w:val="00BC60D9"/>
    <w:rsid w:val="00BC619B"/>
    <w:rsid w:val="00BC61FC"/>
    <w:rsid w:val="00BC78FE"/>
    <w:rsid w:val="00BC7C02"/>
    <w:rsid w:val="00BD001A"/>
    <w:rsid w:val="00BD0830"/>
    <w:rsid w:val="00BD085F"/>
    <w:rsid w:val="00BD08B5"/>
    <w:rsid w:val="00BD1AC1"/>
    <w:rsid w:val="00BD24CF"/>
    <w:rsid w:val="00BD29FC"/>
    <w:rsid w:val="00BD2E84"/>
    <w:rsid w:val="00BD3552"/>
    <w:rsid w:val="00BD3DCA"/>
    <w:rsid w:val="00BD3E42"/>
    <w:rsid w:val="00BD4AF0"/>
    <w:rsid w:val="00BD4EA2"/>
    <w:rsid w:val="00BD59EA"/>
    <w:rsid w:val="00BD5CF8"/>
    <w:rsid w:val="00BD618C"/>
    <w:rsid w:val="00BD63B2"/>
    <w:rsid w:val="00BD7FC6"/>
    <w:rsid w:val="00BE00F1"/>
    <w:rsid w:val="00BE2A79"/>
    <w:rsid w:val="00BE30B0"/>
    <w:rsid w:val="00BE38B4"/>
    <w:rsid w:val="00BE3A72"/>
    <w:rsid w:val="00BE3DF6"/>
    <w:rsid w:val="00BE3F16"/>
    <w:rsid w:val="00BE41FC"/>
    <w:rsid w:val="00BE441A"/>
    <w:rsid w:val="00BE44C7"/>
    <w:rsid w:val="00BE5402"/>
    <w:rsid w:val="00BE5B50"/>
    <w:rsid w:val="00BE5C3A"/>
    <w:rsid w:val="00BE5E16"/>
    <w:rsid w:val="00BE62D1"/>
    <w:rsid w:val="00BE669E"/>
    <w:rsid w:val="00BE784C"/>
    <w:rsid w:val="00BF01B9"/>
    <w:rsid w:val="00BF0216"/>
    <w:rsid w:val="00BF0843"/>
    <w:rsid w:val="00BF0E24"/>
    <w:rsid w:val="00BF1972"/>
    <w:rsid w:val="00BF22C9"/>
    <w:rsid w:val="00BF3747"/>
    <w:rsid w:val="00BF3A79"/>
    <w:rsid w:val="00BF4958"/>
    <w:rsid w:val="00BF567E"/>
    <w:rsid w:val="00BF6698"/>
    <w:rsid w:val="00C00062"/>
    <w:rsid w:val="00C00386"/>
    <w:rsid w:val="00C0091F"/>
    <w:rsid w:val="00C00A1B"/>
    <w:rsid w:val="00C00DA8"/>
    <w:rsid w:val="00C00E00"/>
    <w:rsid w:val="00C01657"/>
    <w:rsid w:val="00C01974"/>
    <w:rsid w:val="00C01DC8"/>
    <w:rsid w:val="00C04EBA"/>
    <w:rsid w:val="00C05277"/>
    <w:rsid w:val="00C05601"/>
    <w:rsid w:val="00C05CD0"/>
    <w:rsid w:val="00C05F1C"/>
    <w:rsid w:val="00C0613D"/>
    <w:rsid w:val="00C06D88"/>
    <w:rsid w:val="00C07A27"/>
    <w:rsid w:val="00C07B05"/>
    <w:rsid w:val="00C07B5A"/>
    <w:rsid w:val="00C10A08"/>
    <w:rsid w:val="00C11947"/>
    <w:rsid w:val="00C1258B"/>
    <w:rsid w:val="00C13E41"/>
    <w:rsid w:val="00C13F0B"/>
    <w:rsid w:val="00C13FA6"/>
    <w:rsid w:val="00C140B6"/>
    <w:rsid w:val="00C14B42"/>
    <w:rsid w:val="00C14D06"/>
    <w:rsid w:val="00C14DEC"/>
    <w:rsid w:val="00C15365"/>
    <w:rsid w:val="00C15A4F"/>
    <w:rsid w:val="00C15D5F"/>
    <w:rsid w:val="00C15EFD"/>
    <w:rsid w:val="00C16F4C"/>
    <w:rsid w:val="00C17CE4"/>
    <w:rsid w:val="00C20B9F"/>
    <w:rsid w:val="00C23011"/>
    <w:rsid w:val="00C23678"/>
    <w:rsid w:val="00C241DD"/>
    <w:rsid w:val="00C242D2"/>
    <w:rsid w:val="00C248DD"/>
    <w:rsid w:val="00C24A36"/>
    <w:rsid w:val="00C25B15"/>
    <w:rsid w:val="00C25C4E"/>
    <w:rsid w:val="00C25F3C"/>
    <w:rsid w:val="00C26307"/>
    <w:rsid w:val="00C27B29"/>
    <w:rsid w:val="00C27DED"/>
    <w:rsid w:val="00C27F83"/>
    <w:rsid w:val="00C30A11"/>
    <w:rsid w:val="00C30FBD"/>
    <w:rsid w:val="00C31006"/>
    <w:rsid w:val="00C31575"/>
    <w:rsid w:val="00C33985"/>
    <w:rsid w:val="00C33C73"/>
    <w:rsid w:val="00C33F88"/>
    <w:rsid w:val="00C3418C"/>
    <w:rsid w:val="00C3442F"/>
    <w:rsid w:val="00C34583"/>
    <w:rsid w:val="00C353B4"/>
    <w:rsid w:val="00C354F6"/>
    <w:rsid w:val="00C357D6"/>
    <w:rsid w:val="00C35E41"/>
    <w:rsid w:val="00C3760A"/>
    <w:rsid w:val="00C378E6"/>
    <w:rsid w:val="00C37C47"/>
    <w:rsid w:val="00C402EA"/>
    <w:rsid w:val="00C40388"/>
    <w:rsid w:val="00C406F1"/>
    <w:rsid w:val="00C40F4D"/>
    <w:rsid w:val="00C4119D"/>
    <w:rsid w:val="00C41942"/>
    <w:rsid w:val="00C41A2D"/>
    <w:rsid w:val="00C4418B"/>
    <w:rsid w:val="00C44629"/>
    <w:rsid w:val="00C453D7"/>
    <w:rsid w:val="00C456A3"/>
    <w:rsid w:val="00C45963"/>
    <w:rsid w:val="00C45F27"/>
    <w:rsid w:val="00C460E8"/>
    <w:rsid w:val="00C46294"/>
    <w:rsid w:val="00C46665"/>
    <w:rsid w:val="00C46D83"/>
    <w:rsid w:val="00C4708F"/>
    <w:rsid w:val="00C4762D"/>
    <w:rsid w:val="00C5097E"/>
    <w:rsid w:val="00C50CDD"/>
    <w:rsid w:val="00C510D5"/>
    <w:rsid w:val="00C51214"/>
    <w:rsid w:val="00C52A51"/>
    <w:rsid w:val="00C52BAE"/>
    <w:rsid w:val="00C530C1"/>
    <w:rsid w:val="00C53508"/>
    <w:rsid w:val="00C53AAD"/>
    <w:rsid w:val="00C54586"/>
    <w:rsid w:val="00C549FD"/>
    <w:rsid w:val="00C54CD0"/>
    <w:rsid w:val="00C551EE"/>
    <w:rsid w:val="00C56289"/>
    <w:rsid w:val="00C56C32"/>
    <w:rsid w:val="00C57770"/>
    <w:rsid w:val="00C5794A"/>
    <w:rsid w:val="00C60244"/>
    <w:rsid w:val="00C60383"/>
    <w:rsid w:val="00C6169B"/>
    <w:rsid w:val="00C6180F"/>
    <w:rsid w:val="00C61EA5"/>
    <w:rsid w:val="00C62613"/>
    <w:rsid w:val="00C6270B"/>
    <w:rsid w:val="00C63463"/>
    <w:rsid w:val="00C6456C"/>
    <w:rsid w:val="00C649BB"/>
    <w:rsid w:val="00C64D58"/>
    <w:rsid w:val="00C65285"/>
    <w:rsid w:val="00C65828"/>
    <w:rsid w:val="00C65CF1"/>
    <w:rsid w:val="00C65D06"/>
    <w:rsid w:val="00C65F54"/>
    <w:rsid w:val="00C669BF"/>
    <w:rsid w:val="00C669C3"/>
    <w:rsid w:val="00C67308"/>
    <w:rsid w:val="00C700A5"/>
    <w:rsid w:val="00C70ADE"/>
    <w:rsid w:val="00C71123"/>
    <w:rsid w:val="00C7156F"/>
    <w:rsid w:val="00C71D96"/>
    <w:rsid w:val="00C7299C"/>
    <w:rsid w:val="00C73C40"/>
    <w:rsid w:val="00C7419F"/>
    <w:rsid w:val="00C7558E"/>
    <w:rsid w:val="00C766FD"/>
    <w:rsid w:val="00C771A1"/>
    <w:rsid w:val="00C815B6"/>
    <w:rsid w:val="00C82253"/>
    <w:rsid w:val="00C82F57"/>
    <w:rsid w:val="00C8360B"/>
    <w:rsid w:val="00C839A9"/>
    <w:rsid w:val="00C839C4"/>
    <w:rsid w:val="00C842F9"/>
    <w:rsid w:val="00C85C75"/>
    <w:rsid w:val="00C85F47"/>
    <w:rsid w:val="00C86401"/>
    <w:rsid w:val="00C878B2"/>
    <w:rsid w:val="00C87902"/>
    <w:rsid w:val="00C87A75"/>
    <w:rsid w:val="00C87AF0"/>
    <w:rsid w:val="00C900B1"/>
    <w:rsid w:val="00C903B0"/>
    <w:rsid w:val="00C90DE7"/>
    <w:rsid w:val="00C9115C"/>
    <w:rsid w:val="00C91643"/>
    <w:rsid w:val="00C916FC"/>
    <w:rsid w:val="00C91C08"/>
    <w:rsid w:val="00C93550"/>
    <w:rsid w:val="00C954E6"/>
    <w:rsid w:val="00C95C0F"/>
    <w:rsid w:val="00C95DDD"/>
    <w:rsid w:val="00C966FC"/>
    <w:rsid w:val="00C9672D"/>
    <w:rsid w:val="00C968ED"/>
    <w:rsid w:val="00C96F5A"/>
    <w:rsid w:val="00CA01CA"/>
    <w:rsid w:val="00CA0FD5"/>
    <w:rsid w:val="00CA110D"/>
    <w:rsid w:val="00CA2898"/>
    <w:rsid w:val="00CA2E21"/>
    <w:rsid w:val="00CA3295"/>
    <w:rsid w:val="00CA3473"/>
    <w:rsid w:val="00CA3B7A"/>
    <w:rsid w:val="00CA4202"/>
    <w:rsid w:val="00CA429D"/>
    <w:rsid w:val="00CA4454"/>
    <w:rsid w:val="00CA542E"/>
    <w:rsid w:val="00CA5C80"/>
    <w:rsid w:val="00CA5CF3"/>
    <w:rsid w:val="00CA76B3"/>
    <w:rsid w:val="00CA7998"/>
    <w:rsid w:val="00CB1037"/>
    <w:rsid w:val="00CB140B"/>
    <w:rsid w:val="00CB1672"/>
    <w:rsid w:val="00CB1949"/>
    <w:rsid w:val="00CB20D8"/>
    <w:rsid w:val="00CB2954"/>
    <w:rsid w:val="00CB2A99"/>
    <w:rsid w:val="00CB3024"/>
    <w:rsid w:val="00CB3437"/>
    <w:rsid w:val="00CB4CEE"/>
    <w:rsid w:val="00CB4DDD"/>
    <w:rsid w:val="00CB5F13"/>
    <w:rsid w:val="00CB6CD7"/>
    <w:rsid w:val="00CB76A0"/>
    <w:rsid w:val="00CC114F"/>
    <w:rsid w:val="00CC1EC8"/>
    <w:rsid w:val="00CC2F7D"/>
    <w:rsid w:val="00CC39EB"/>
    <w:rsid w:val="00CC3FDC"/>
    <w:rsid w:val="00CC46E8"/>
    <w:rsid w:val="00CC4AF8"/>
    <w:rsid w:val="00CC4CD2"/>
    <w:rsid w:val="00CC5852"/>
    <w:rsid w:val="00CC58B0"/>
    <w:rsid w:val="00CC7575"/>
    <w:rsid w:val="00CC75A7"/>
    <w:rsid w:val="00CD1193"/>
    <w:rsid w:val="00CD17D2"/>
    <w:rsid w:val="00CD1B92"/>
    <w:rsid w:val="00CD1E92"/>
    <w:rsid w:val="00CD2E05"/>
    <w:rsid w:val="00CD32AD"/>
    <w:rsid w:val="00CD3404"/>
    <w:rsid w:val="00CD4F24"/>
    <w:rsid w:val="00CD5BF0"/>
    <w:rsid w:val="00CD5D8F"/>
    <w:rsid w:val="00CD6C5C"/>
    <w:rsid w:val="00CD77F0"/>
    <w:rsid w:val="00CD7A93"/>
    <w:rsid w:val="00CD7DAF"/>
    <w:rsid w:val="00CE08A1"/>
    <w:rsid w:val="00CE0D37"/>
    <w:rsid w:val="00CE2DC1"/>
    <w:rsid w:val="00CE40F5"/>
    <w:rsid w:val="00CE4634"/>
    <w:rsid w:val="00CE4F3F"/>
    <w:rsid w:val="00CE5172"/>
    <w:rsid w:val="00CE5A96"/>
    <w:rsid w:val="00CE5F0C"/>
    <w:rsid w:val="00CE6C31"/>
    <w:rsid w:val="00CE7BE1"/>
    <w:rsid w:val="00CE7ED2"/>
    <w:rsid w:val="00CF028A"/>
    <w:rsid w:val="00CF0AE3"/>
    <w:rsid w:val="00CF0B07"/>
    <w:rsid w:val="00CF0DCE"/>
    <w:rsid w:val="00CF218D"/>
    <w:rsid w:val="00CF2464"/>
    <w:rsid w:val="00CF40D6"/>
    <w:rsid w:val="00CF5A00"/>
    <w:rsid w:val="00CF6091"/>
    <w:rsid w:val="00CF68CC"/>
    <w:rsid w:val="00CF6D60"/>
    <w:rsid w:val="00CF7C8B"/>
    <w:rsid w:val="00D00D6A"/>
    <w:rsid w:val="00D011B4"/>
    <w:rsid w:val="00D01785"/>
    <w:rsid w:val="00D018BC"/>
    <w:rsid w:val="00D01ED5"/>
    <w:rsid w:val="00D0224B"/>
    <w:rsid w:val="00D02497"/>
    <w:rsid w:val="00D02E77"/>
    <w:rsid w:val="00D03045"/>
    <w:rsid w:val="00D0364B"/>
    <w:rsid w:val="00D03D8D"/>
    <w:rsid w:val="00D049E0"/>
    <w:rsid w:val="00D0570A"/>
    <w:rsid w:val="00D06691"/>
    <w:rsid w:val="00D06881"/>
    <w:rsid w:val="00D078D0"/>
    <w:rsid w:val="00D102E4"/>
    <w:rsid w:val="00D10BF9"/>
    <w:rsid w:val="00D111B8"/>
    <w:rsid w:val="00D117B8"/>
    <w:rsid w:val="00D1188F"/>
    <w:rsid w:val="00D11B63"/>
    <w:rsid w:val="00D12093"/>
    <w:rsid w:val="00D132E9"/>
    <w:rsid w:val="00D1412B"/>
    <w:rsid w:val="00D145A6"/>
    <w:rsid w:val="00D1508D"/>
    <w:rsid w:val="00D16A3C"/>
    <w:rsid w:val="00D16FFE"/>
    <w:rsid w:val="00D170B7"/>
    <w:rsid w:val="00D179C0"/>
    <w:rsid w:val="00D17CBE"/>
    <w:rsid w:val="00D2007F"/>
    <w:rsid w:val="00D209C0"/>
    <w:rsid w:val="00D20BAC"/>
    <w:rsid w:val="00D20CB4"/>
    <w:rsid w:val="00D20FE4"/>
    <w:rsid w:val="00D21443"/>
    <w:rsid w:val="00D22483"/>
    <w:rsid w:val="00D22549"/>
    <w:rsid w:val="00D225DA"/>
    <w:rsid w:val="00D22625"/>
    <w:rsid w:val="00D23173"/>
    <w:rsid w:val="00D23394"/>
    <w:rsid w:val="00D23404"/>
    <w:rsid w:val="00D24D0A"/>
    <w:rsid w:val="00D259FD"/>
    <w:rsid w:val="00D25A91"/>
    <w:rsid w:val="00D2705B"/>
    <w:rsid w:val="00D276BB"/>
    <w:rsid w:val="00D277B7"/>
    <w:rsid w:val="00D27AFA"/>
    <w:rsid w:val="00D27CAA"/>
    <w:rsid w:val="00D27EB7"/>
    <w:rsid w:val="00D30326"/>
    <w:rsid w:val="00D30750"/>
    <w:rsid w:val="00D307A7"/>
    <w:rsid w:val="00D31306"/>
    <w:rsid w:val="00D316CF"/>
    <w:rsid w:val="00D31B24"/>
    <w:rsid w:val="00D31EC1"/>
    <w:rsid w:val="00D320B4"/>
    <w:rsid w:val="00D327D3"/>
    <w:rsid w:val="00D3367A"/>
    <w:rsid w:val="00D33811"/>
    <w:rsid w:val="00D33A46"/>
    <w:rsid w:val="00D33CF3"/>
    <w:rsid w:val="00D3488D"/>
    <w:rsid w:val="00D34D3C"/>
    <w:rsid w:val="00D34DF0"/>
    <w:rsid w:val="00D34EE1"/>
    <w:rsid w:val="00D359F7"/>
    <w:rsid w:val="00D35A31"/>
    <w:rsid w:val="00D35B22"/>
    <w:rsid w:val="00D36017"/>
    <w:rsid w:val="00D364FF"/>
    <w:rsid w:val="00D365EF"/>
    <w:rsid w:val="00D36F41"/>
    <w:rsid w:val="00D37DD8"/>
    <w:rsid w:val="00D4059D"/>
    <w:rsid w:val="00D40931"/>
    <w:rsid w:val="00D40A9A"/>
    <w:rsid w:val="00D4164B"/>
    <w:rsid w:val="00D41DEF"/>
    <w:rsid w:val="00D422AA"/>
    <w:rsid w:val="00D42815"/>
    <w:rsid w:val="00D42CA9"/>
    <w:rsid w:val="00D42E90"/>
    <w:rsid w:val="00D43439"/>
    <w:rsid w:val="00D43B6E"/>
    <w:rsid w:val="00D43EBA"/>
    <w:rsid w:val="00D442FC"/>
    <w:rsid w:val="00D4498E"/>
    <w:rsid w:val="00D44E14"/>
    <w:rsid w:val="00D458D0"/>
    <w:rsid w:val="00D4592B"/>
    <w:rsid w:val="00D467EE"/>
    <w:rsid w:val="00D46808"/>
    <w:rsid w:val="00D47543"/>
    <w:rsid w:val="00D477D1"/>
    <w:rsid w:val="00D50593"/>
    <w:rsid w:val="00D507F9"/>
    <w:rsid w:val="00D50DBA"/>
    <w:rsid w:val="00D50DE4"/>
    <w:rsid w:val="00D5140F"/>
    <w:rsid w:val="00D51EA3"/>
    <w:rsid w:val="00D525C5"/>
    <w:rsid w:val="00D52B67"/>
    <w:rsid w:val="00D52BFF"/>
    <w:rsid w:val="00D559AB"/>
    <w:rsid w:val="00D55C58"/>
    <w:rsid w:val="00D56640"/>
    <w:rsid w:val="00D56B52"/>
    <w:rsid w:val="00D56D14"/>
    <w:rsid w:val="00D56E04"/>
    <w:rsid w:val="00D613E5"/>
    <w:rsid w:val="00D61C30"/>
    <w:rsid w:val="00D61C45"/>
    <w:rsid w:val="00D62405"/>
    <w:rsid w:val="00D62C3D"/>
    <w:rsid w:val="00D64ABB"/>
    <w:rsid w:val="00D664A0"/>
    <w:rsid w:val="00D6652D"/>
    <w:rsid w:val="00D70394"/>
    <w:rsid w:val="00D70395"/>
    <w:rsid w:val="00D709CC"/>
    <w:rsid w:val="00D71AF8"/>
    <w:rsid w:val="00D72128"/>
    <w:rsid w:val="00D7227F"/>
    <w:rsid w:val="00D72521"/>
    <w:rsid w:val="00D726CF"/>
    <w:rsid w:val="00D72F22"/>
    <w:rsid w:val="00D73652"/>
    <w:rsid w:val="00D747AA"/>
    <w:rsid w:val="00D74AAF"/>
    <w:rsid w:val="00D74D4A"/>
    <w:rsid w:val="00D74E02"/>
    <w:rsid w:val="00D750F1"/>
    <w:rsid w:val="00D758CA"/>
    <w:rsid w:val="00D77FC5"/>
    <w:rsid w:val="00D81D69"/>
    <w:rsid w:val="00D821B4"/>
    <w:rsid w:val="00D82779"/>
    <w:rsid w:val="00D828A9"/>
    <w:rsid w:val="00D8313E"/>
    <w:rsid w:val="00D83828"/>
    <w:rsid w:val="00D842AF"/>
    <w:rsid w:val="00D84366"/>
    <w:rsid w:val="00D855DE"/>
    <w:rsid w:val="00D861DC"/>
    <w:rsid w:val="00D864B2"/>
    <w:rsid w:val="00D86A64"/>
    <w:rsid w:val="00D87000"/>
    <w:rsid w:val="00D8720C"/>
    <w:rsid w:val="00D877A7"/>
    <w:rsid w:val="00D87857"/>
    <w:rsid w:val="00D9056A"/>
    <w:rsid w:val="00D91B3F"/>
    <w:rsid w:val="00D93C42"/>
    <w:rsid w:val="00D93CD6"/>
    <w:rsid w:val="00D940ED"/>
    <w:rsid w:val="00D94390"/>
    <w:rsid w:val="00D94CEF"/>
    <w:rsid w:val="00D956CD"/>
    <w:rsid w:val="00D95703"/>
    <w:rsid w:val="00D9688D"/>
    <w:rsid w:val="00D96BF7"/>
    <w:rsid w:val="00D96F7A"/>
    <w:rsid w:val="00D97437"/>
    <w:rsid w:val="00D977A8"/>
    <w:rsid w:val="00D9789F"/>
    <w:rsid w:val="00D9799C"/>
    <w:rsid w:val="00DA0235"/>
    <w:rsid w:val="00DA0D1B"/>
    <w:rsid w:val="00DA0D8B"/>
    <w:rsid w:val="00DA13D0"/>
    <w:rsid w:val="00DA29E4"/>
    <w:rsid w:val="00DA349B"/>
    <w:rsid w:val="00DA3943"/>
    <w:rsid w:val="00DA3979"/>
    <w:rsid w:val="00DA3B8A"/>
    <w:rsid w:val="00DA56B2"/>
    <w:rsid w:val="00DA5AC1"/>
    <w:rsid w:val="00DA7922"/>
    <w:rsid w:val="00DB0E84"/>
    <w:rsid w:val="00DB12FC"/>
    <w:rsid w:val="00DB20CB"/>
    <w:rsid w:val="00DB3FD7"/>
    <w:rsid w:val="00DB4001"/>
    <w:rsid w:val="00DB504E"/>
    <w:rsid w:val="00DB505C"/>
    <w:rsid w:val="00DB58D7"/>
    <w:rsid w:val="00DB5A71"/>
    <w:rsid w:val="00DB5FA4"/>
    <w:rsid w:val="00DB67AC"/>
    <w:rsid w:val="00DB69E1"/>
    <w:rsid w:val="00DB6F0D"/>
    <w:rsid w:val="00DB6F51"/>
    <w:rsid w:val="00DB7181"/>
    <w:rsid w:val="00DB78A0"/>
    <w:rsid w:val="00DB793F"/>
    <w:rsid w:val="00DC0E03"/>
    <w:rsid w:val="00DC247D"/>
    <w:rsid w:val="00DC2501"/>
    <w:rsid w:val="00DC3984"/>
    <w:rsid w:val="00DC399B"/>
    <w:rsid w:val="00DC3AF9"/>
    <w:rsid w:val="00DC47DF"/>
    <w:rsid w:val="00DC5421"/>
    <w:rsid w:val="00DC7675"/>
    <w:rsid w:val="00DD1717"/>
    <w:rsid w:val="00DD1832"/>
    <w:rsid w:val="00DD20DF"/>
    <w:rsid w:val="00DD24CB"/>
    <w:rsid w:val="00DD31B6"/>
    <w:rsid w:val="00DD458B"/>
    <w:rsid w:val="00DD4773"/>
    <w:rsid w:val="00DD482D"/>
    <w:rsid w:val="00DD4C5A"/>
    <w:rsid w:val="00DD6A19"/>
    <w:rsid w:val="00DD73D1"/>
    <w:rsid w:val="00DE0364"/>
    <w:rsid w:val="00DE14A7"/>
    <w:rsid w:val="00DE3D70"/>
    <w:rsid w:val="00DE4A6D"/>
    <w:rsid w:val="00DE5011"/>
    <w:rsid w:val="00DE5B0E"/>
    <w:rsid w:val="00DE5ED2"/>
    <w:rsid w:val="00DE6329"/>
    <w:rsid w:val="00DE6567"/>
    <w:rsid w:val="00DE69CC"/>
    <w:rsid w:val="00DE76D3"/>
    <w:rsid w:val="00DF1C60"/>
    <w:rsid w:val="00DF2213"/>
    <w:rsid w:val="00DF4740"/>
    <w:rsid w:val="00DF4B44"/>
    <w:rsid w:val="00DF567F"/>
    <w:rsid w:val="00DF6000"/>
    <w:rsid w:val="00DF649F"/>
    <w:rsid w:val="00DF695A"/>
    <w:rsid w:val="00DF6BA4"/>
    <w:rsid w:val="00DF7BE5"/>
    <w:rsid w:val="00E000FB"/>
    <w:rsid w:val="00E00A76"/>
    <w:rsid w:val="00E013DF"/>
    <w:rsid w:val="00E02114"/>
    <w:rsid w:val="00E02350"/>
    <w:rsid w:val="00E02FEB"/>
    <w:rsid w:val="00E03819"/>
    <w:rsid w:val="00E04472"/>
    <w:rsid w:val="00E06AD6"/>
    <w:rsid w:val="00E07117"/>
    <w:rsid w:val="00E07786"/>
    <w:rsid w:val="00E07EED"/>
    <w:rsid w:val="00E11259"/>
    <w:rsid w:val="00E11909"/>
    <w:rsid w:val="00E1229C"/>
    <w:rsid w:val="00E12858"/>
    <w:rsid w:val="00E129D7"/>
    <w:rsid w:val="00E15714"/>
    <w:rsid w:val="00E15915"/>
    <w:rsid w:val="00E15C8E"/>
    <w:rsid w:val="00E17450"/>
    <w:rsid w:val="00E179CA"/>
    <w:rsid w:val="00E17B4C"/>
    <w:rsid w:val="00E218ED"/>
    <w:rsid w:val="00E21980"/>
    <w:rsid w:val="00E21983"/>
    <w:rsid w:val="00E237C3"/>
    <w:rsid w:val="00E24469"/>
    <w:rsid w:val="00E2511B"/>
    <w:rsid w:val="00E25B28"/>
    <w:rsid w:val="00E26209"/>
    <w:rsid w:val="00E26A83"/>
    <w:rsid w:val="00E27132"/>
    <w:rsid w:val="00E27A88"/>
    <w:rsid w:val="00E302DB"/>
    <w:rsid w:val="00E30571"/>
    <w:rsid w:val="00E307AB"/>
    <w:rsid w:val="00E3359C"/>
    <w:rsid w:val="00E337CF"/>
    <w:rsid w:val="00E33B6D"/>
    <w:rsid w:val="00E3423A"/>
    <w:rsid w:val="00E34E0A"/>
    <w:rsid w:val="00E35648"/>
    <w:rsid w:val="00E35A1F"/>
    <w:rsid w:val="00E361F2"/>
    <w:rsid w:val="00E363B7"/>
    <w:rsid w:val="00E3754C"/>
    <w:rsid w:val="00E37FFA"/>
    <w:rsid w:val="00E410EB"/>
    <w:rsid w:val="00E41809"/>
    <w:rsid w:val="00E420A2"/>
    <w:rsid w:val="00E42E7A"/>
    <w:rsid w:val="00E43A0C"/>
    <w:rsid w:val="00E445B9"/>
    <w:rsid w:val="00E44611"/>
    <w:rsid w:val="00E44BCC"/>
    <w:rsid w:val="00E45F32"/>
    <w:rsid w:val="00E46972"/>
    <w:rsid w:val="00E4739F"/>
    <w:rsid w:val="00E47E0A"/>
    <w:rsid w:val="00E5054F"/>
    <w:rsid w:val="00E505A4"/>
    <w:rsid w:val="00E50B78"/>
    <w:rsid w:val="00E52143"/>
    <w:rsid w:val="00E536F2"/>
    <w:rsid w:val="00E5399E"/>
    <w:rsid w:val="00E53ADE"/>
    <w:rsid w:val="00E54749"/>
    <w:rsid w:val="00E54A70"/>
    <w:rsid w:val="00E5509A"/>
    <w:rsid w:val="00E55A2D"/>
    <w:rsid w:val="00E55BA5"/>
    <w:rsid w:val="00E56040"/>
    <w:rsid w:val="00E57009"/>
    <w:rsid w:val="00E57AB5"/>
    <w:rsid w:val="00E60B93"/>
    <w:rsid w:val="00E61327"/>
    <w:rsid w:val="00E61940"/>
    <w:rsid w:val="00E6247D"/>
    <w:rsid w:val="00E62554"/>
    <w:rsid w:val="00E62C0F"/>
    <w:rsid w:val="00E63255"/>
    <w:rsid w:val="00E6329C"/>
    <w:rsid w:val="00E63A5C"/>
    <w:rsid w:val="00E6412E"/>
    <w:rsid w:val="00E6573C"/>
    <w:rsid w:val="00E675EF"/>
    <w:rsid w:val="00E6788E"/>
    <w:rsid w:val="00E67A64"/>
    <w:rsid w:val="00E67C58"/>
    <w:rsid w:val="00E67F3C"/>
    <w:rsid w:val="00E70784"/>
    <w:rsid w:val="00E7084B"/>
    <w:rsid w:val="00E70D9C"/>
    <w:rsid w:val="00E71CB3"/>
    <w:rsid w:val="00E71F63"/>
    <w:rsid w:val="00E72453"/>
    <w:rsid w:val="00E724C4"/>
    <w:rsid w:val="00E72776"/>
    <w:rsid w:val="00E7344C"/>
    <w:rsid w:val="00E73650"/>
    <w:rsid w:val="00E73C8B"/>
    <w:rsid w:val="00E742E5"/>
    <w:rsid w:val="00E74864"/>
    <w:rsid w:val="00E765FC"/>
    <w:rsid w:val="00E76C68"/>
    <w:rsid w:val="00E76F83"/>
    <w:rsid w:val="00E7718E"/>
    <w:rsid w:val="00E80150"/>
    <w:rsid w:val="00E80DCD"/>
    <w:rsid w:val="00E814B0"/>
    <w:rsid w:val="00E81862"/>
    <w:rsid w:val="00E81CB1"/>
    <w:rsid w:val="00E8290B"/>
    <w:rsid w:val="00E8393F"/>
    <w:rsid w:val="00E84746"/>
    <w:rsid w:val="00E84F2A"/>
    <w:rsid w:val="00E875FE"/>
    <w:rsid w:val="00E878A6"/>
    <w:rsid w:val="00E90787"/>
    <w:rsid w:val="00E9107D"/>
    <w:rsid w:val="00E91E65"/>
    <w:rsid w:val="00E92608"/>
    <w:rsid w:val="00E92965"/>
    <w:rsid w:val="00E938B3"/>
    <w:rsid w:val="00E93B32"/>
    <w:rsid w:val="00E953D2"/>
    <w:rsid w:val="00E95534"/>
    <w:rsid w:val="00E956DF"/>
    <w:rsid w:val="00E957F4"/>
    <w:rsid w:val="00E95DC8"/>
    <w:rsid w:val="00E96A29"/>
    <w:rsid w:val="00EA0889"/>
    <w:rsid w:val="00EA16B8"/>
    <w:rsid w:val="00EA2C4D"/>
    <w:rsid w:val="00EA4CD9"/>
    <w:rsid w:val="00EA59A0"/>
    <w:rsid w:val="00EA6071"/>
    <w:rsid w:val="00EA6DFB"/>
    <w:rsid w:val="00EA6ED5"/>
    <w:rsid w:val="00EA79AE"/>
    <w:rsid w:val="00EB0185"/>
    <w:rsid w:val="00EB066D"/>
    <w:rsid w:val="00EB0E9C"/>
    <w:rsid w:val="00EB14DE"/>
    <w:rsid w:val="00EB15CB"/>
    <w:rsid w:val="00EB1742"/>
    <w:rsid w:val="00EB1B74"/>
    <w:rsid w:val="00EB2EBF"/>
    <w:rsid w:val="00EB3208"/>
    <w:rsid w:val="00EB37F4"/>
    <w:rsid w:val="00EB4863"/>
    <w:rsid w:val="00EB4975"/>
    <w:rsid w:val="00EB4AAC"/>
    <w:rsid w:val="00EB4DA3"/>
    <w:rsid w:val="00EB70B2"/>
    <w:rsid w:val="00EB7DB8"/>
    <w:rsid w:val="00EB7ED0"/>
    <w:rsid w:val="00EC0CCF"/>
    <w:rsid w:val="00EC1007"/>
    <w:rsid w:val="00EC10D3"/>
    <w:rsid w:val="00EC1B2F"/>
    <w:rsid w:val="00EC22EB"/>
    <w:rsid w:val="00EC2EB2"/>
    <w:rsid w:val="00EC3019"/>
    <w:rsid w:val="00EC3122"/>
    <w:rsid w:val="00EC3BFE"/>
    <w:rsid w:val="00EC3C53"/>
    <w:rsid w:val="00EC3DBE"/>
    <w:rsid w:val="00EC49D0"/>
    <w:rsid w:val="00EC6884"/>
    <w:rsid w:val="00EC6C0B"/>
    <w:rsid w:val="00EC6E61"/>
    <w:rsid w:val="00EC7775"/>
    <w:rsid w:val="00ED0035"/>
    <w:rsid w:val="00ED1CC6"/>
    <w:rsid w:val="00ED24D6"/>
    <w:rsid w:val="00ED3246"/>
    <w:rsid w:val="00ED33AC"/>
    <w:rsid w:val="00ED3530"/>
    <w:rsid w:val="00ED529B"/>
    <w:rsid w:val="00ED542B"/>
    <w:rsid w:val="00ED68D1"/>
    <w:rsid w:val="00EE0B0B"/>
    <w:rsid w:val="00EE0EEB"/>
    <w:rsid w:val="00EE1E34"/>
    <w:rsid w:val="00EE2189"/>
    <w:rsid w:val="00EE3F0F"/>
    <w:rsid w:val="00EE58E5"/>
    <w:rsid w:val="00EE611C"/>
    <w:rsid w:val="00EE62B0"/>
    <w:rsid w:val="00EE6C46"/>
    <w:rsid w:val="00EE7474"/>
    <w:rsid w:val="00EE760A"/>
    <w:rsid w:val="00EE7E4E"/>
    <w:rsid w:val="00EF04AB"/>
    <w:rsid w:val="00EF0611"/>
    <w:rsid w:val="00EF1526"/>
    <w:rsid w:val="00EF15D8"/>
    <w:rsid w:val="00EF1CC7"/>
    <w:rsid w:val="00EF2813"/>
    <w:rsid w:val="00EF2D45"/>
    <w:rsid w:val="00EF3435"/>
    <w:rsid w:val="00EF35DD"/>
    <w:rsid w:val="00EF36EC"/>
    <w:rsid w:val="00EF3D43"/>
    <w:rsid w:val="00EF5128"/>
    <w:rsid w:val="00EF52A7"/>
    <w:rsid w:val="00EF58C1"/>
    <w:rsid w:val="00EF634F"/>
    <w:rsid w:val="00EF64F8"/>
    <w:rsid w:val="00EF69CC"/>
    <w:rsid w:val="00F0129B"/>
    <w:rsid w:val="00F02078"/>
    <w:rsid w:val="00F02534"/>
    <w:rsid w:val="00F026CA"/>
    <w:rsid w:val="00F02B37"/>
    <w:rsid w:val="00F0395D"/>
    <w:rsid w:val="00F043B2"/>
    <w:rsid w:val="00F04832"/>
    <w:rsid w:val="00F04F7A"/>
    <w:rsid w:val="00F06057"/>
    <w:rsid w:val="00F06110"/>
    <w:rsid w:val="00F0662F"/>
    <w:rsid w:val="00F06675"/>
    <w:rsid w:val="00F0682B"/>
    <w:rsid w:val="00F06C62"/>
    <w:rsid w:val="00F1084B"/>
    <w:rsid w:val="00F108C5"/>
    <w:rsid w:val="00F10F1C"/>
    <w:rsid w:val="00F114DE"/>
    <w:rsid w:val="00F1209C"/>
    <w:rsid w:val="00F12235"/>
    <w:rsid w:val="00F1255D"/>
    <w:rsid w:val="00F148D0"/>
    <w:rsid w:val="00F1505D"/>
    <w:rsid w:val="00F15289"/>
    <w:rsid w:val="00F15992"/>
    <w:rsid w:val="00F15B54"/>
    <w:rsid w:val="00F160C2"/>
    <w:rsid w:val="00F16DC2"/>
    <w:rsid w:val="00F20A81"/>
    <w:rsid w:val="00F20AAF"/>
    <w:rsid w:val="00F21A8B"/>
    <w:rsid w:val="00F223C6"/>
    <w:rsid w:val="00F22C72"/>
    <w:rsid w:val="00F25B83"/>
    <w:rsid w:val="00F260A2"/>
    <w:rsid w:val="00F263C8"/>
    <w:rsid w:val="00F264F0"/>
    <w:rsid w:val="00F2663A"/>
    <w:rsid w:val="00F2747E"/>
    <w:rsid w:val="00F30932"/>
    <w:rsid w:val="00F30F0B"/>
    <w:rsid w:val="00F31084"/>
    <w:rsid w:val="00F32021"/>
    <w:rsid w:val="00F32106"/>
    <w:rsid w:val="00F3257E"/>
    <w:rsid w:val="00F330AB"/>
    <w:rsid w:val="00F34D11"/>
    <w:rsid w:val="00F369E5"/>
    <w:rsid w:val="00F36A43"/>
    <w:rsid w:val="00F36AA2"/>
    <w:rsid w:val="00F36E64"/>
    <w:rsid w:val="00F379AC"/>
    <w:rsid w:val="00F379DE"/>
    <w:rsid w:val="00F37B3C"/>
    <w:rsid w:val="00F37C5D"/>
    <w:rsid w:val="00F4105D"/>
    <w:rsid w:val="00F422C5"/>
    <w:rsid w:val="00F426D3"/>
    <w:rsid w:val="00F42E73"/>
    <w:rsid w:val="00F43197"/>
    <w:rsid w:val="00F44442"/>
    <w:rsid w:val="00F4458C"/>
    <w:rsid w:val="00F44978"/>
    <w:rsid w:val="00F45694"/>
    <w:rsid w:val="00F45F13"/>
    <w:rsid w:val="00F466CA"/>
    <w:rsid w:val="00F468B4"/>
    <w:rsid w:val="00F46FB6"/>
    <w:rsid w:val="00F47F74"/>
    <w:rsid w:val="00F5188D"/>
    <w:rsid w:val="00F51BBD"/>
    <w:rsid w:val="00F51D40"/>
    <w:rsid w:val="00F52910"/>
    <w:rsid w:val="00F53753"/>
    <w:rsid w:val="00F54C2E"/>
    <w:rsid w:val="00F54E7E"/>
    <w:rsid w:val="00F5526F"/>
    <w:rsid w:val="00F55F7B"/>
    <w:rsid w:val="00F5602E"/>
    <w:rsid w:val="00F561B8"/>
    <w:rsid w:val="00F56DB5"/>
    <w:rsid w:val="00F56FF5"/>
    <w:rsid w:val="00F5726A"/>
    <w:rsid w:val="00F5755F"/>
    <w:rsid w:val="00F57B6A"/>
    <w:rsid w:val="00F607AF"/>
    <w:rsid w:val="00F60AD8"/>
    <w:rsid w:val="00F62415"/>
    <w:rsid w:val="00F630A9"/>
    <w:rsid w:val="00F6311B"/>
    <w:rsid w:val="00F640E1"/>
    <w:rsid w:val="00F64D52"/>
    <w:rsid w:val="00F6537E"/>
    <w:rsid w:val="00F67137"/>
    <w:rsid w:val="00F67AA6"/>
    <w:rsid w:val="00F67E9E"/>
    <w:rsid w:val="00F71749"/>
    <w:rsid w:val="00F71AB1"/>
    <w:rsid w:val="00F72E9E"/>
    <w:rsid w:val="00F734B3"/>
    <w:rsid w:val="00F73A6D"/>
    <w:rsid w:val="00F73E20"/>
    <w:rsid w:val="00F75907"/>
    <w:rsid w:val="00F75C78"/>
    <w:rsid w:val="00F75F2E"/>
    <w:rsid w:val="00F76D6B"/>
    <w:rsid w:val="00F77513"/>
    <w:rsid w:val="00F77E5E"/>
    <w:rsid w:val="00F80180"/>
    <w:rsid w:val="00F80B34"/>
    <w:rsid w:val="00F80B9E"/>
    <w:rsid w:val="00F81618"/>
    <w:rsid w:val="00F81EF7"/>
    <w:rsid w:val="00F82124"/>
    <w:rsid w:val="00F82133"/>
    <w:rsid w:val="00F8251E"/>
    <w:rsid w:val="00F83FC2"/>
    <w:rsid w:val="00F849AB"/>
    <w:rsid w:val="00F84F6A"/>
    <w:rsid w:val="00F85168"/>
    <w:rsid w:val="00F856ED"/>
    <w:rsid w:val="00F85BAB"/>
    <w:rsid w:val="00F85DEC"/>
    <w:rsid w:val="00F868B8"/>
    <w:rsid w:val="00F86C89"/>
    <w:rsid w:val="00F87198"/>
    <w:rsid w:val="00F905DA"/>
    <w:rsid w:val="00F9081F"/>
    <w:rsid w:val="00F90E08"/>
    <w:rsid w:val="00F913CE"/>
    <w:rsid w:val="00F917AD"/>
    <w:rsid w:val="00F954B4"/>
    <w:rsid w:val="00F956C7"/>
    <w:rsid w:val="00F96DDF"/>
    <w:rsid w:val="00F97578"/>
    <w:rsid w:val="00FA0381"/>
    <w:rsid w:val="00FA0855"/>
    <w:rsid w:val="00FA1032"/>
    <w:rsid w:val="00FA1812"/>
    <w:rsid w:val="00FA191D"/>
    <w:rsid w:val="00FA2B2D"/>
    <w:rsid w:val="00FA2D8F"/>
    <w:rsid w:val="00FA3F0D"/>
    <w:rsid w:val="00FA5703"/>
    <w:rsid w:val="00FA57B7"/>
    <w:rsid w:val="00FA6BF3"/>
    <w:rsid w:val="00FA72A9"/>
    <w:rsid w:val="00FA7543"/>
    <w:rsid w:val="00FB02E1"/>
    <w:rsid w:val="00FB0516"/>
    <w:rsid w:val="00FB0D45"/>
    <w:rsid w:val="00FB1021"/>
    <w:rsid w:val="00FB128F"/>
    <w:rsid w:val="00FB165A"/>
    <w:rsid w:val="00FB1AF2"/>
    <w:rsid w:val="00FB23FC"/>
    <w:rsid w:val="00FB2B05"/>
    <w:rsid w:val="00FB2E9E"/>
    <w:rsid w:val="00FB3E8D"/>
    <w:rsid w:val="00FB45E1"/>
    <w:rsid w:val="00FB5520"/>
    <w:rsid w:val="00FB55ED"/>
    <w:rsid w:val="00FB631D"/>
    <w:rsid w:val="00FB66EA"/>
    <w:rsid w:val="00FB6883"/>
    <w:rsid w:val="00FB7AC3"/>
    <w:rsid w:val="00FC06FB"/>
    <w:rsid w:val="00FC07A7"/>
    <w:rsid w:val="00FC0F76"/>
    <w:rsid w:val="00FC1294"/>
    <w:rsid w:val="00FC12CE"/>
    <w:rsid w:val="00FC189A"/>
    <w:rsid w:val="00FC216B"/>
    <w:rsid w:val="00FC2268"/>
    <w:rsid w:val="00FC28A3"/>
    <w:rsid w:val="00FC2E31"/>
    <w:rsid w:val="00FC41C9"/>
    <w:rsid w:val="00FC474E"/>
    <w:rsid w:val="00FC47B2"/>
    <w:rsid w:val="00FC52FF"/>
    <w:rsid w:val="00FC5388"/>
    <w:rsid w:val="00FC53DD"/>
    <w:rsid w:val="00FC577E"/>
    <w:rsid w:val="00FC57F7"/>
    <w:rsid w:val="00FC59EA"/>
    <w:rsid w:val="00FC5A0A"/>
    <w:rsid w:val="00FC60E3"/>
    <w:rsid w:val="00FC61A8"/>
    <w:rsid w:val="00FC7408"/>
    <w:rsid w:val="00FC746B"/>
    <w:rsid w:val="00FC7D2E"/>
    <w:rsid w:val="00FC7EE1"/>
    <w:rsid w:val="00FD2CB8"/>
    <w:rsid w:val="00FD2CE9"/>
    <w:rsid w:val="00FD36AC"/>
    <w:rsid w:val="00FD461D"/>
    <w:rsid w:val="00FD5107"/>
    <w:rsid w:val="00FD5548"/>
    <w:rsid w:val="00FD5593"/>
    <w:rsid w:val="00FD5947"/>
    <w:rsid w:val="00FD6115"/>
    <w:rsid w:val="00FD66AF"/>
    <w:rsid w:val="00FD6734"/>
    <w:rsid w:val="00FD6A92"/>
    <w:rsid w:val="00FD7267"/>
    <w:rsid w:val="00FD75E4"/>
    <w:rsid w:val="00FD7962"/>
    <w:rsid w:val="00FE00B6"/>
    <w:rsid w:val="00FE1539"/>
    <w:rsid w:val="00FE22F4"/>
    <w:rsid w:val="00FE3572"/>
    <w:rsid w:val="00FE3E39"/>
    <w:rsid w:val="00FE45E8"/>
    <w:rsid w:val="00FE53A8"/>
    <w:rsid w:val="00FE57D8"/>
    <w:rsid w:val="00FE649F"/>
    <w:rsid w:val="00FE6C77"/>
    <w:rsid w:val="00FE7097"/>
    <w:rsid w:val="00FE748B"/>
    <w:rsid w:val="00FF0F0C"/>
    <w:rsid w:val="00FF0F36"/>
    <w:rsid w:val="00FF1477"/>
    <w:rsid w:val="00FF182F"/>
    <w:rsid w:val="00FF2473"/>
    <w:rsid w:val="00FF36F9"/>
    <w:rsid w:val="00FF45CD"/>
    <w:rsid w:val="00FF59CF"/>
    <w:rsid w:val="00FF60E6"/>
    <w:rsid w:val="00FF7500"/>
    <w:rsid w:val="627FDB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imes New Roman" w:hAnsi="Century Schoolbook"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8A0"/>
    <w:pPr>
      <w:spacing w:after="120" w:line="288" w:lineRule="auto"/>
    </w:pPr>
    <w:rPr>
      <w:sz w:val="26"/>
    </w:rPr>
  </w:style>
  <w:style w:type="paragraph" w:styleId="Heading1">
    <w:name w:val="heading 1"/>
    <w:basedOn w:val="Normal"/>
    <w:next w:val="Normal"/>
    <w:link w:val="Heading1Char"/>
    <w:rsid w:val="00A336F6"/>
    <w:pPr>
      <w:keepNext/>
      <w:widowControl w:val="0"/>
      <w:numPr>
        <w:numId w:val="5"/>
      </w:numPr>
      <w:spacing w:after="0" w:line="240" w:lineRule="auto"/>
      <w:outlineLvl w:val="0"/>
    </w:pPr>
    <w:rPr>
      <w:b/>
      <w:bCs/>
      <w:kern w:val="32"/>
      <w:szCs w:val="26"/>
    </w:rPr>
  </w:style>
  <w:style w:type="paragraph" w:styleId="Heading3">
    <w:name w:val="heading 3"/>
    <w:basedOn w:val="Normal"/>
    <w:next w:val="Normal"/>
    <w:link w:val="Heading3Char"/>
    <w:semiHidden/>
    <w:unhideWhenUsed/>
    <w:qFormat/>
    <w:rsid w:val="00E71F63"/>
    <w:pPr>
      <w:keepNext/>
      <w:spacing w:before="240" w:after="60"/>
      <w:outlineLvl w:val="2"/>
    </w:pPr>
    <w:rPr>
      <w:rFonts w:ascii="Calibri Light" w:hAnsi="Calibri Light"/>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4458C"/>
    <w:pPr>
      <w:tabs>
        <w:tab w:val="center" w:pos="4320"/>
        <w:tab w:val="right" w:pos="8640"/>
      </w:tabs>
    </w:pPr>
  </w:style>
  <w:style w:type="character" w:styleId="FootnoteReference">
    <w:name w:val="footnote reference"/>
    <w:uiPriority w:val="99"/>
    <w:semiHidden/>
    <w:rsid w:val="00F4458C"/>
    <w:rPr>
      <w:b/>
      <w:color w:val="auto"/>
      <w:position w:val="6"/>
      <w:sz w:val="20"/>
    </w:rPr>
  </w:style>
  <w:style w:type="paragraph" w:styleId="FootnoteText">
    <w:name w:val="footnote text"/>
    <w:link w:val="FootnoteTextChar"/>
    <w:uiPriority w:val="99"/>
    <w:rsid w:val="00DE3D70"/>
    <w:pPr>
      <w:spacing w:after="120"/>
    </w:pPr>
    <w:rPr>
      <w:sz w:val="26"/>
    </w:rPr>
  </w:style>
  <w:style w:type="paragraph" w:styleId="Header">
    <w:name w:val="header"/>
    <w:basedOn w:val="Normal"/>
    <w:rsid w:val="00F4458C"/>
    <w:pPr>
      <w:tabs>
        <w:tab w:val="center" w:pos="4320"/>
        <w:tab w:val="right" w:pos="8640"/>
      </w:tabs>
    </w:pPr>
  </w:style>
  <w:style w:type="character" w:styleId="PageNumber">
    <w:name w:val="page number"/>
    <w:basedOn w:val="DefaultParagraphFont"/>
    <w:rsid w:val="00F4458C"/>
  </w:style>
  <w:style w:type="character" w:customStyle="1" w:styleId="FootnoteTextChar">
    <w:name w:val="Footnote Text Char"/>
    <w:link w:val="FootnoteText"/>
    <w:uiPriority w:val="99"/>
    <w:rsid w:val="00DE3D70"/>
    <w:rPr>
      <w:sz w:val="26"/>
    </w:rPr>
  </w:style>
  <w:style w:type="paragraph" w:styleId="DocumentMap">
    <w:name w:val="Document Map"/>
    <w:basedOn w:val="Normal"/>
    <w:link w:val="DocumentMapChar"/>
    <w:rsid w:val="00D709CC"/>
    <w:rPr>
      <w:rFonts w:ascii="Tahoma" w:hAnsi="Tahoma" w:cs="Tahoma"/>
      <w:sz w:val="16"/>
      <w:szCs w:val="16"/>
    </w:rPr>
  </w:style>
  <w:style w:type="character" w:customStyle="1" w:styleId="DocumentMapChar">
    <w:name w:val="Document Map Char"/>
    <w:link w:val="DocumentMap"/>
    <w:rsid w:val="00D709CC"/>
    <w:rPr>
      <w:rFonts w:ascii="Tahoma" w:hAnsi="Tahoma" w:cs="Tahoma"/>
      <w:sz w:val="16"/>
      <w:szCs w:val="16"/>
    </w:rPr>
  </w:style>
  <w:style w:type="paragraph" w:styleId="NormalWeb">
    <w:name w:val="Normal (Web)"/>
    <w:basedOn w:val="Normal"/>
    <w:uiPriority w:val="99"/>
    <w:semiHidden/>
    <w:unhideWhenUsed/>
    <w:rsid w:val="000F3323"/>
    <w:pPr>
      <w:spacing w:before="100" w:beforeAutospacing="1" w:after="100" w:afterAutospacing="1" w:line="240" w:lineRule="auto"/>
    </w:pPr>
    <w:rPr>
      <w:rFonts w:ascii="Times New Roman" w:hAnsi="Times New Roman"/>
      <w:sz w:val="24"/>
      <w:szCs w:val="24"/>
    </w:rPr>
  </w:style>
  <w:style w:type="character" w:customStyle="1" w:styleId="ssit">
    <w:name w:val="ss_it"/>
    <w:basedOn w:val="DefaultParagraphFont"/>
    <w:rsid w:val="000F3323"/>
  </w:style>
  <w:style w:type="character" w:styleId="Hyperlink">
    <w:name w:val="Hyperlink"/>
    <w:uiPriority w:val="99"/>
    <w:unhideWhenUsed/>
    <w:rsid w:val="000F3323"/>
    <w:rPr>
      <w:color w:val="0000FF"/>
      <w:u w:val="single"/>
    </w:rPr>
  </w:style>
  <w:style w:type="character" w:customStyle="1" w:styleId="ssrfcsection">
    <w:name w:val="ss_rfcsection"/>
    <w:basedOn w:val="DefaultParagraphFont"/>
    <w:rsid w:val="00423F1D"/>
  </w:style>
  <w:style w:type="character" w:customStyle="1" w:styleId="ssrfcpassagedeactivated">
    <w:name w:val="ss_rfcpassage_deactivated"/>
    <w:basedOn w:val="DefaultParagraphFont"/>
    <w:rsid w:val="00423F1D"/>
  </w:style>
  <w:style w:type="character" w:styleId="CommentReference">
    <w:name w:val="annotation reference"/>
    <w:unhideWhenUsed/>
    <w:rsid w:val="006E7F48"/>
    <w:rPr>
      <w:sz w:val="16"/>
      <w:szCs w:val="16"/>
    </w:rPr>
  </w:style>
  <w:style w:type="paragraph" w:styleId="CommentText">
    <w:name w:val="annotation text"/>
    <w:basedOn w:val="Normal"/>
    <w:link w:val="CommentTextChar"/>
    <w:unhideWhenUsed/>
    <w:rsid w:val="006E7F48"/>
    <w:rPr>
      <w:sz w:val="20"/>
    </w:rPr>
  </w:style>
  <w:style w:type="character" w:customStyle="1" w:styleId="CommentTextChar">
    <w:name w:val="Comment Text Char"/>
    <w:basedOn w:val="DefaultParagraphFont"/>
    <w:link w:val="CommentText"/>
    <w:rsid w:val="006E7F48"/>
  </w:style>
  <w:style w:type="paragraph" w:styleId="CommentSubject">
    <w:name w:val="annotation subject"/>
    <w:basedOn w:val="CommentText"/>
    <w:next w:val="CommentText"/>
    <w:link w:val="CommentSubjectChar"/>
    <w:semiHidden/>
    <w:unhideWhenUsed/>
    <w:rsid w:val="006E7F48"/>
    <w:rPr>
      <w:b/>
      <w:bCs/>
    </w:rPr>
  </w:style>
  <w:style w:type="character" w:customStyle="1" w:styleId="CommentSubjectChar">
    <w:name w:val="Comment Subject Char"/>
    <w:link w:val="CommentSubject"/>
    <w:semiHidden/>
    <w:rsid w:val="006E7F48"/>
    <w:rPr>
      <w:b/>
      <w:bCs/>
    </w:rPr>
  </w:style>
  <w:style w:type="character" w:customStyle="1" w:styleId="sssh">
    <w:name w:val="ss_sh"/>
    <w:basedOn w:val="DefaultParagraphFont"/>
    <w:rsid w:val="006E4639"/>
  </w:style>
  <w:style w:type="character" w:customStyle="1" w:styleId="ssheadnotelink">
    <w:name w:val="ss_headnotelink"/>
    <w:basedOn w:val="DefaultParagraphFont"/>
    <w:rsid w:val="007B249E"/>
  </w:style>
  <w:style w:type="character" w:customStyle="1" w:styleId="FooterChar">
    <w:name w:val="Footer Char"/>
    <w:link w:val="Footer"/>
    <w:rsid w:val="008A6EE6"/>
    <w:rPr>
      <w:sz w:val="26"/>
    </w:rPr>
  </w:style>
  <w:style w:type="paragraph" w:styleId="Revision">
    <w:name w:val="Revision"/>
    <w:hidden/>
    <w:uiPriority w:val="99"/>
    <w:semiHidden/>
    <w:rsid w:val="0021068A"/>
    <w:rPr>
      <w:sz w:val="26"/>
    </w:rPr>
  </w:style>
  <w:style w:type="character" w:customStyle="1" w:styleId="Heading1Char">
    <w:name w:val="Heading 1 Char"/>
    <w:link w:val="Heading1"/>
    <w:rsid w:val="00A336F6"/>
    <w:rPr>
      <w:b/>
      <w:bCs/>
      <w:kern w:val="32"/>
      <w:sz w:val="26"/>
      <w:szCs w:val="26"/>
    </w:rPr>
  </w:style>
  <w:style w:type="paragraph" w:styleId="ListParagraph">
    <w:name w:val="List Paragraph"/>
    <w:basedOn w:val="Normal"/>
    <w:link w:val="ListParagraphChar"/>
    <w:uiPriority w:val="34"/>
    <w:qFormat/>
    <w:rsid w:val="000E1548"/>
    <w:pPr>
      <w:ind w:left="720"/>
    </w:pPr>
  </w:style>
  <w:style w:type="character" w:customStyle="1" w:styleId="Heading3Char">
    <w:name w:val="Heading 3 Char"/>
    <w:link w:val="Heading3"/>
    <w:rsid w:val="00E71F63"/>
    <w:rPr>
      <w:rFonts w:ascii="Calibri Light" w:eastAsia="Times New Roman" w:hAnsi="Calibri Light" w:cs="Times New Roman"/>
      <w:b/>
      <w:bCs/>
      <w:sz w:val="26"/>
      <w:szCs w:val="26"/>
    </w:rPr>
  </w:style>
  <w:style w:type="character" w:styleId="Emphasis">
    <w:name w:val="Emphasis"/>
    <w:uiPriority w:val="20"/>
    <w:qFormat/>
    <w:rsid w:val="00B40DEA"/>
    <w:rPr>
      <w:i/>
      <w:iCs/>
    </w:rPr>
  </w:style>
  <w:style w:type="character" w:customStyle="1" w:styleId="costarpage">
    <w:name w:val="co_starpage"/>
    <w:basedOn w:val="DefaultParagraphFont"/>
    <w:rsid w:val="00CE5172"/>
  </w:style>
  <w:style w:type="character" w:customStyle="1" w:styleId="copinpointicon">
    <w:name w:val="co_pinpointicon"/>
    <w:basedOn w:val="DefaultParagraphFont"/>
    <w:rsid w:val="00A6535E"/>
  </w:style>
  <w:style w:type="character" w:customStyle="1" w:styleId="cohighlightpoints">
    <w:name w:val="co_highlightpoints"/>
    <w:basedOn w:val="DefaultParagraphFont"/>
    <w:rsid w:val="00A67B47"/>
  </w:style>
  <w:style w:type="paragraph" w:customStyle="1" w:styleId="Style1">
    <w:name w:val="Style1"/>
    <w:basedOn w:val="ListParagraph"/>
    <w:link w:val="Style1Char"/>
    <w:qFormat/>
    <w:rsid w:val="00920A6D"/>
    <w:pPr>
      <w:numPr>
        <w:numId w:val="13"/>
      </w:numPr>
      <w:spacing w:after="0"/>
    </w:pPr>
    <w:rPr>
      <w:b/>
      <w:szCs w:val="26"/>
    </w:rPr>
  </w:style>
  <w:style w:type="paragraph" w:customStyle="1" w:styleId="Style2">
    <w:name w:val="Style2"/>
    <w:basedOn w:val="ListParagraph"/>
    <w:link w:val="Style2Char"/>
    <w:qFormat/>
    <w:rsid w:val="001A6F48"/>
    <w:pPr>
      <w:numPr>
        <w:numId w:val="14"/>
      </w:numPr>
      <w:spacing w:after="0"/>
      <w:ind w:left="1440" w:hanging="720"/>
    </w:pPr>
    <w:rPr>
      <w:b/>
      <w:i/>
    </w:rPr>
  </w:style>
  <w:style w:type="character" w:customStyle="1" w:styleId="ListParagraphChar">
    <w:name w:val="List Paragraph Char"/>
    <w:basedOn w:val="DefaultParagraphFont"/>
    <w:link w:val="ListParagraph"/>
    <w:uiPriority w:val="34"/>
    <w:rsid w:val="00823EF7"/>
    <w:rPr>
      <w:sz w:val="26"/>
    </w:rPr>
  </w:style>
  <w:style w:type="character" w:customStyle="1" w:styleId="Style1Char">
    <w:name w:val="Style1 Char"/>
    <w:basedOn w:val="ListParagraphChar"/>
    <w:link w:val="Style1"/>
    <w:rsid w:val="00920A6D"/>
    <w:rPr>
      <w:b/>
      <w:sz w:val="26"/>
      <w:szCs w:val="26"/>
    </w:rPr>
  </w:style>
  <w:style w:type="paragraph" w:customStyle="1" w:styleId="Style3">
    <w:name w:val="Style3"/>
    <w:basedOn w:val="ListParagraph"/>
    <w:link w:val="Style3Char"/>
    <w:qFormat/>
    <w:rsid w:val="00E61940"/>
    <w:pPr>
      <w:numPr>
        <w:numId w:val="29"/>
      </w:numPr>
      <w:spacing w:after="0"/>
    </w:pPr>
    <w:rPr>
      <w:b/>
    </w:rPr>
  </w:style>
  <w:style w:type="character" w:customStyle="1" w:styleId="Style2Char">
    <w:name w:val="Style2 Char"/>
    <w:basedOn w:val="ListParagraphChar"/>
    <w:link w:val="Style2"/>
    <w:rsid w:val="001A6F48"/>
    <w:rPr>
      <w:b/>
      <w:i/>
      <w:sz w:val="26"/>
    </w:rPr>
  </w:style>
  <w:style w:type="paragraph" w:customStyle="1" w:styleId="IndentNormal">
    <w:name w:val="Indent Normal"/>
    <w:basedOn w:val="Normal"/>
    <w:link w:val="IndentNormalChar"/>
    <w:qFormat/>
    <w:rsid w:val="00823EF7"/>
    <w:pPr>
      <w:spacing w:after="0"/>
      <w:ind w:firstLine="720"/>
    </w:pPr>
    <w:rPr>
      <w:szCs w:val="26"/>
    </w:rPr>
  </w:style>
  <w:style w:type="character" w:customStyle="1" w:styleId="Style3Char">
    <w:name w:val="Style3 Char"/>
    <w:basedOn w:val="ListParagraphChar"/>
    <w:link w:val="Style3"/>
    <w:rsid w:val="00E61940"/>
    <w:rPr>
      <w:b/>
      <w:sz w:val="26"/>
    </w:rPr>
  </w:style>
  <w:style w:type="character" w:customStyle="1" w:styleId="IndentNormalChar">
    <w:name w:val="Indent Normal Char"/>
    <w:basedOn w:val="DefaultParagraphFont"/>
    <w:link w:val="IndentNormal"/>
    <w:rsid w:val="00823EF7"/>
    <w:rPr>
      <w:sz w:val="26"/>
      <w:szCs w:val="26"/>
    </w:rPr>
  </w:style>
  <w:style w:type="paragraph" w:customStyle="1" w:styleId="Style7">
    <w:name w:val="Style7"/>
    <w:basedOn w:val="Style3"/>
    <w:link w:val="Style7Char"/>
    <w:rsid w:val="00274982"/>
    <w:pPr>
      <w:numPr>
        <w:numId w:val="0"/>
      </w:numPr>
      <w:ind w:left="2880" w:hanging="720"/>
    </w:pPr>
  </w:style>
  <w:style w:type="paragraph" w:customStyle="1" w:styleId="Style4">
    <w:name w:val="Style4"/>
    <w:basedOn w:val="ListParagraph"/>
    <w:link w:val="Style4Char"/>
    <w:qFormat/>
    <w:rsid w:val="00033F1E"/>
    <w:pPr>
      <w:numPr>
        <w:ilvl w:val="1"/>
        <w:numId w:val="24"/>
      </w:numPr>
    </w:pPr>
    <w:rPr>
      <w:b/>
    </w:rPr>
  </w:style>
  <w:style w:type="character" w:customStyle="1" w:styleId="Style7Char">
    <w:name w:val="Style7 Char"/>
    <w:basedOn w:val="Style3Char"/>
    <w:link w:val="Style7"/>
    <w:rsid w:val="00274982"/>
    <w:rPr>
      <w:b/>
      <w:sz w:val="26"/>
    </w:rPr>
  </w:style>
  <w:style w:type="character" w:customStyle="1" w:styleId="Style4Char">
    <w:name w:val="Style4 Char"/>
    <w:basedOn w:val="Style7Char"/>
    <w:link w:val="Style4"/>
    <w:rsid w:val="00033F1E"/>
    <w:rPr>
      <w:b/>
      <w:sz w:val="26"/>
    </w:rPr>
  </w:style>
  <w:style w:type="character" w:customStyle="1" w:styleId="ssleftalign">
    <w:name w:val="ss_leftalign"/>
    <w:basedOn w:val="DefaultParagraphFont"/>
    <w:rsid w:val="006F1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A20ED7C1B91E4D87CE10D71DF0D00C" ma:contentTypeVersion="11" ma:contentTypeDescription="Create a new document." ma:contentTypeScope="" ma:versionID="8ed3197e378f7b848c35f9915fc98b2d">
  <xsd:schema xmlns:xsd="http://www.w3.org/2001/XMLSchema" xmlns:xs="http://www.w3.org/2001/XMLSchema" xmlns:p="http://schemas.microsoft.com/office/2006/metadata/properties" xmlns:ns3="b1cc0ccf-b265-4e2e-bcbd-ea34c0011d12" xmlns:ns4="81c5d7a4-5025-4a1a-b8a7-4bcf34d807ac" targetNamespace="http://schemas.microsoft.com/office/2006/metadata/properties" ma:root="true" ma:fieldsID="392f0f2ab6559d1d12eba6c9877a0ba0" ns3:_="" ns4:_="">
    <xsd:import namespace="b1cc0ccf-b265-4e2e-bcbd-ea34c0011d12"/>
    <xsd:import namespace="81c5d7a4-5025-4a1a-b8a7-4bcf34d807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c0ccf-b265-4e2e-bcbd-ea34c0011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5d7a4-5025-4a1a-b8a7-4bcf34d807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BF984-5900-438F-ACCD-5EF803DFEFF1}">
  <ds:schemaRefs>
    <ds:schemaRef ds:uri="http://schemas.openxmlformats.org/officeDocument/2006/bibliography"/>
  </ds:schemaRefs>
</ds:datastoreItem>
</file>

<file path=customXml/itemProps2.xml><?xml version="1.0" encoding="utf-8"?>
<ds:datastoreItem xmlns:ds="http://schemas.openxmlformats.org/officeDocument/2006/customXml" ds:itemID="{0F86716E-C1CF-491E-B9BF-6060BF8D17BC}">
  <ds:schemaRefs>
    <ds:schemaRef ds:uri="http://schemas.microsoft.com/sharepoint/v3/contenttype/forms"/>
  </ds:schemaRefs>
</ds:datastoreItem>
</file>

<file path=customXml/itemProps3.xml><?xml version="1.0" encoding="utf-8"?>
<ds:datastoreItem xmlns:ds="http://schemas.openxmlformats.org/officeDocument/2006/customXml" ds:itemID="{2B7392A1-CACB-4AAA-A890-7704BE08A0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D2A990-C8F7-4160-AF81-3D0B3A253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c0ccf-b265-4e2e-bcbd-ea34c0011d12"/>
    <ds:schemaRef ds:uri="81c5d7a4-5025-4a1a-b8a7-4bcf34d80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4206</Words>
  <Characters>23979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criminal opinion template</vt:lpstr>
    </vt:vector>
  </TitlesOfParts>
  <Company/>
  <LinksUpToDate>false</LinksUpToDate>
  <CharactersWithSpaces>28129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2024-03-25T21:03:58Z</dcterms:created>
  <dcterms:modified xsi:type="dcterms:W3CDTF">2024-03-25T21:03:58Z</dcterms:modified>
</cp:coreProperties>
</file>