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31090" w14:textId="77777777" w:rsidR="00204D4F" w:rsidRPr="003F5369" w:rsidRDefault="00204D4F" w:rsidP="002D1102">
      <w:pPr>
        <w:spacing w:line="240" w:lineRule="auto"/>
        <w:rPr>
          <w:bCs/>
          <w:sz w:val="20"/>
          <w:szCs w:val="20"/>
        </w:rPr>
      </w:pPr>
    </w:p>
    <w:p w14:paraId="657F1E3B" w14:textId="77777777" w:rsidR="00204D4F" w:rsidRPr="00FD7111" w:rsidRDefault="00204D4F" w:rsidP="00FD7111">
      <w:pPr>
        <w:spacing w:line="240" w:lineRule="auto"/>
        <w:rPr>
          <w:bCs/>
          <w:sz w:val="20"/>
          <w:szCs w:val="20"/>
        </w:rPr>
      </w:pPr>
      <w:r>
        <w:rPr>
          <w:bCs/>
          <w:sz w:val="20"/>
          <w:szCs w:val="20"/>
        </w:rPr>
        <w:t>Filed 1/12/24</w:t>
      </w:r>
    </w:p>
    <w:p w14:paraId="58B7A6EE" w14:textId="77777777" w:rsidR="00204D4F" w:rsidRDefault="00204D4F" w:rsidP="002D1102">
      <w:pPr>
        <w:spacing w:line="240" w:lineRule="auto"/>
        <w:jc w:val="center"/>
        <w:rPr>
          <w:b/>
        </w:rPr>
      </w:pPr>
      <w:r>
        <w:rPr>
          <w:b/>
        </w:rPr>
        <w:t>CERTIFIED FOR PUBLICATION</w:t>
      </w:r>
    </w:p>
    <w:p w14:paraId="188BEF13" w14:textId="77777777" w:rsidR="00204D4F" w:rsidRDefault="00204D4F" w:rsidP="002D1102">
      <w:pPr>
        <w:spacing w:line="240" w:lineRule="auto"/>
        <w:jc w:val="center"/>
        <w:rPr>
          <w:b/>
        </w:rPr>
      </w:pPr>
    </w:p>
    <w:p w14:paraId="4B5F73FC" w14:textId="77777777" w:rsidR="00204D4F" w:rsidRPr="00D85905" w:rsidRDefault="00204D4F" w:rsidP="002D1102">
      <w:pPr>
        <w:spacing w:line="240" w:lineRule="auto"/>
        <w:jc w:val="center"/>
      </w:pPr>
      <w:r w:rsidRPr="00D85905">
        <w:t>IN THE COURT OF APPEAL OF THE STATE OF CALIFORNIA</w:t>
      </w:r>
    </w:p>
    <w:p w14:paraId="27F15A59" w14:textId="77777777" w:rsidR="00204D4F" w:rsidRPr="002D1102" w:rsidRDefault="00204D4F" w:rsidP="002D1102">
      <w:pPr>
        <w:spacing w:line="240" w:lineRule="auto"/>
      </w:pPr>
    </w:p>
    <w:p w14:paraId="7123CCF7" w14:textId="77777777" w:rsidR="00204D4F" w:rsidRPr="00EF6B58" w:rsidRDefault="00204D4F" w:rsidP="00AB3359">
      <w:pPr>
        <w:spacing w:line="240" w:lineRule="auto"/>
        <w:jc w:val="center"/>
      </w:pPr>
      <w:r w:rsidRPr="00EF6B58">
        <w:t>SECOND APPELLATE DISTRICT</w:t>
      </w:r>
    </w:p>
    <w:p w14:paraId="057B0842" w14:textId="77777777" w:rsidR="00204D4F" w:rsidRPr="00EF6B58" w:rsidRDefault="00204D4F" w:rsidP="00AB3359">
      <w:pPr>
        <w:spacing w:line="240" w:lineRule="auto"/>
        <w:jc w:val="center"/>
      </w:pPr>
    </w:p>
    <w:p w14:paraId="5BF88E70" w14:textId="77777777" w:rsidR="00204D4F" w:rsidRPr="00EF6B58" w:rsidRDefault="00204D4F" w:rsidP="00AB3359">
      <w:pPr>
        <w:spacing w:line="240" w:lineRule="auto"/>
        <w:jc w:val="center"/>
      </w:pPr>
      <w:r w:rsidRPr="00EF6B58">
        <w:t>DIVISION SEVEN</w:t>
      </w:r>
    </w:p>
    <w:p w14:paraId="697D3CF2" w14:textId="77777777" w:rsidR="00204D4F" w:rsidRPr="00EF6B58" w:rsidRDefault="00204D4F" w:rsidP="00AB3359">
      <w:pPr>
        <w:spacing w:line="240" w:lineRule="auto"/>
        <w:jc w:val="center"/>
      </w:pPr>
    </w:p>
    <w:p w14:paraId="0497FD17" w14:textId="77777777" w:rsidR="00204D4F" w:rsidRPr="00EF6B58" w:rsidRDefault="00204D4F" w:rsidP="00AB3359">
      <w:pPr>
        <w:spacing w:line="240" w:lineRule="auto"/>
        <w:jc w:val="center"/>
      </w:pPr>
    </w:p>
    <w:tbl>
      <w:tblPr>
        <w:tblW w:w="0" w:type="auto"/>
        <w:tblLayout w:type="fixed"/>
        <w:tblLook w:val="0000" w:firstRow="0" w:lastRow="0" w:firstColumn="0" w:lastColumn="0" w:noHBand="0" w:noVBand="0"/>
      </w:tblPr>
      <w:tblGrid>
        <w:gridCol w:w="4068"/>
        <w:gridCol w:w="4068"/>
      </w:tblGrid>
      <w:tr w:rsidR="0010626F" w14:paraId="45216F50" w14:textId="77777777" w:rsidTr="00AB3359">
        <w:tc>
          <w:tcPr>
            <w:tcW w:w="4068" w:type="dxa"/>
            <w:tcBorders>
              <w:bottom w:val="single" w:sz="4" w:space="0" w:color="auto"/>
              <w:right w:val="single" w:sz="4" w:space="0" w:color="auto"/>
            </w:tcBorders>
            <w:shd w:val="clear" w:color="auto" w:fill="auto"/>
          </w:tcPr>
          <w:p w14:paraId="55D5016B" w14:textId="77777777" w:rsidR="00204D4F" w:rsidRPr="00EF6B58" w:rsidRDefault="00204D4F" w:rsidP="00AB3359">
            <w:pPr>
              <w:spacing w:line="240" w:lineRule="auto"/>
            </w:pPr>
            <w:r w:rsidRPr="00EF6B58">
              <w:t>THE PEOPLE,</w:t>
            </w:r>
          </w:p>
          <w:p w14:paraId="67A44A33" w14:textId="77777777" w:rsidR="00204D4F" w:rsidRPr="00EF6B58" w:rsidRDefault="00204D4F" w:rsidP="00AB3359">
            <w:pPr>
              <w:spacing w:line="240" w:lineRule="auto"/>
            </w:pPr>
          </w:p>
          <w:p w14:paraId="24BF68AF" w14:textId="77777777" w:rsidR="00204D4F" w:rsidRPr="00EF6B58" w:rsidRDefault="00204D4F" w:rsidP="00AB3359">
            <w:pPr>
              <w:spacing w:line="240" w:lineRule="auto"/>
            </w:pPr>
            <w:r w:rsidRPr="00EF6B58">
              <w:tab/>
              <w:t>Plaintiff and Respondent,</w:t>
            </w:r>
          </w:p>
          <w:p w14:paraId="5E1FD977" w14:textId="77777777" w:rsidR="00204D4F" w:rsidRPr="00EF6B58" w:rsidRDefault="00204D4F" w:rsidP="00AB3359">
            <w:pPr>
              <w:spacing w:line="240" w:lineRule="auto"/>
            </w:pPr>
          </w:p>
          <w:p w14:paraId="06E6868C" w14:textId="77777777" w:rsidR="00204D4F" w:rsidRPr="00EF6B58" w:rsidRDefault="00204D4F" w:rsidP="00AB3359">
            <w:pPr>
              <w:spacing w:line="240" w:lineRule="auto"/>
            </w:pPr>
            <w:r w:rsidRPr="00EF6B58">
              <w:tab/>
              <w:t>v.</w:t>
            </w:r>
          </w:p>
          <w:p w14:paraId="54C453F1" w14:textId="77777777" w:rsidR="00204D4F" w:rsidRPr="00EF6B58" w:rsidRDefault="00204D4F" w:rsidP="00AB3359">
            <w:pPr>
              <w:spacing w:line="240" w:lineRule="auto"/>
            </w:pPr>
          </w:p>
          <w:p w14:paraId="0AD52F67" w14:textId="77777777" w:rsidR="00204D4F" w:rsidRPr="00EF6B58" w:rsidRDefault="00204D4F" w:rsidP="00AB3359">
            <w:pPr>
              <w:spacing w:line="240" w:lineRule="auto"/>
            </w:pPr>
            <w:r>
              <w:t>ALEXANDER ALBERTO FRIAS</w:t>
            </w:r>
            <w:r w:rsidRPr="00EF6B58">
              <w:t>,</w:t>
            </w:r>
          </w:p>
          <w:p w14:paraId="2F8836A5" w14:textId="77777777" w:rsidR="00204D4F" w:rsidRPr="00EF6B58" w:rsidRDefault="00204D4F" w:rsidP="00AB3359">
            <w:pPr>
              <w:spacing w:line="240" w:lineRule="auto"/>
            </w:pPr>
          </w:p>
          <w:p w14:paraId="17A52293" w14:textId="77777777" w:rsidR="00204D4F" w:rsidRPr="00EF6B58" w:rsidRDefault="00204D4F" w:rsidP="00AB3359">
            <w:pPr>
              <w:spacing w:line="240" w:lineRule="auto"/>
            </w:pPr>
            <w:r w:rsidRPr="00EF6B58">
              <w:tab/>
              <w:t>Defendant and Appellant.</w:t>
            </w:r>
          </w:p>
          <w:p w14:paraId="352C1195" w14:textId="77777777" w:rsidR="00204D4F" w:rsidRPr="00EF6B58" w:rsidRDefault="00204D4F" w:rsidP="00AB3359">
            <w:pPr>
              <w:spacing w:line="240" w:lineRule="auto"/>
            </w:pPr>
          </w:p>
        </w:tc>
        <w:tc>
          <w:tcPr>
            <w:tcW w:w="4068" w:type="dxa"/>
            <w:tcBorders>
              <w:left w:val="single" w:sz="4" w:space="0" w:color="auto"/>
            </w:tcBorders>
            <w:shd w:val="clear" w:color="auto" w:fill="auto"/>
          </w:tcPr>
          <w:p w14:paraId="76AB5319" w14:textId="77777777" w:rsidR="00204D4F" w:rsidRPr="00EF6B58" w:rsidRDefault="00204D4F" w:rsidP="00AB3359">
            <w:pPr>
              <w:spacing w:line="240" w:lineRule="auto"/>
            </w:pPr>
            <w:r w:rsidRPr="00EF6B58">
              <w:t xml:space="preserve">      B</w:t>
            </w:r>
            <w:r>
              <w:t>3</w:t>
            </w:r>
            <w:r>
              <w:t>22762</w:t>
            </w:r>
          </w:p>
          <w:p w14:paraId="259FDB59" w14:textId="77777777" w:rsidR="00204D4F" w:rsidRPr="00EF6B58" w:rsidRDefault="00204D4F" w:rsidP="00AB3359">
            <w:pPr>
              <w:spacing w:line="240" w:lineRule="auto"/>
            </w:pPr>
          </w:p>
          <w:p w14:paraId="00AEA327" w14:textId="77777777" w:rsidR="00204D4F" w:rsidRPr="00EF6B58" w:rsidRDefault="00204D4F" w:rsidP="00AB3359">
            <w:pPr>
              <w:spacing w:line="240" w:lineRule="auto"/>
            </w:pPr>
            <w:r w:rsidRPr="00EF6B58">
              <w:t xml:space="preserve">      (Los Angeles County</w:t>
            </w:r>
          </w:p>
          <w:p w14:paraId="46B5BD06" w14:textId="77777777" w:rsidR="00204D4F" w:rsidRPr="00EF6B58" w:rsidRDefault="00204D4F" w:rsidP="00AB3359">
            <w:pPr>
              <w:spacing w:line="240" w:lineRule="auto"/>
            </w:pPr>
            <w:r w:rsidRPr="00EF6B58">
              <w:t xml:space="preserve">      Super. Ct. </w:t>
            </w:r>
            <w:r>
              <w:t>No.</w:t>
            </w:r>
            <w:r>
              <w:t xml:space="preserve"> </w:t>
            </w:r>
            <w:r>
              <w:t>GA103080</w:t>
            </w:r>
            <w:r w:rsidRPr="00EF6B58">
              <w:t>)</w:t>
            </w:r>
          </w:p>
        </w:tc>
      </w:tr>
    </w:tbl>
    <w:p w14:paraId="2EB83717" w14:textId="77777777" w:rsidR="00204D4F" w:rsidRPr="00EF6B58" w:rsidRDefault="00204D4F" w:rsidP="00AB3359">
      <w:pPr>
        <w:spacing w:line="240" w:lineRule="auto"/>
      </w:pPr>
    </w:p>
    <w:p w14:paraId="6C263DD3" w14:textId="77777777" w:rsidR="00204D4F" w:rsidRPr="00EF6B58" w:rsidRDefault="00204D4F" w:rsidP="00FB3B0B">
      <w:pPr>
        <w:ind w:firstLine="720"/>
        <w:rPr>
          <w:b/>
          <w:bCs/>
          <w:szCs w:val="26"/>
        </w:rPr>
      </w:pPr>
      <w:r w:rsidRPr="00EF6B58">
        <w:rPr>
          <w:szCs w:val="26"/>
        </w:rPr>
        <w:t xml:space="preserve">APPEAL </w:t>
      </w:r>
      <w:r w:rsidRPr="00D52D10">
        <w:rPr>
          <w:szCs w:val="26"/>
        </w:rPr>
        <w:t>from a</w:t>
      </w:r>
      <w:r>
        <w:rPr>
          <w:szCs w:val="26"/>
        </w:rPr>
        <w:t xml:space="preserve"> judgment</w:t>
      </w:r>
      <w:r w:rsidRPr="00D52D10">
        <w:rPr>
          <w:szCs w:val="26"/>
        </w:rPr>
        <w:t xml:space="preserve"> of the Superior Court of Los Angeles County,</w:t>
      </w:r>
      <w:r w:rsidRPr="00D52D10">
        <w:t xml:space="preserve"> </w:t>
      </w:r>
      <w:r>
        <w:rPr>
          <w:szCs w:val="26"/>
        </w:rPr>
        <w:t xml:space="preserve">Jared D. </w:t>
      </w:r>
      <w:proofErr w:type="gramStart"/>
      <w:r>
        <w:rPr>
          <w:szCs w:val="26"/>
        </w:rPr>
        <w:t>Moses</w:t>
      </w:r>
      <w:proofErr w:type="gramEnd"/>
      <w:r>
        <w:rPr>
          <w:szCs w:val="26"/>
        </w:rPr>
        <w:t xml:space="preserve"> and Dorothy L. Shubin</w:t>
      </w:r>
      <w:r w:rsidRPr="00D52D10">
        <w:rPr>
          <w:szCs w:val="26"/>
        </w:rPr>
        <w:t xml:space="preserve">, </w:t>
      </w:r>
      <w:r w:rsidRPr="00D52D10">
        <w:rPr>
          <w:szCs w:val="26"/>
        </w:rPr>
        <w:t>Judge</w:t>
      </w:r>
      <w:r>
        <w:rPr>
          <w:szCs w:val="26"/>
        </w:rPr>
        <w:t>s</w:t>
      </w:r>
      <w:r w:rsidRPr="00D52D10">
        <w:rPr>
          <w:szCs w:val="26"/>
        </w:rPr>
        <w:t xml:space="preserve">.  </w:t>
      </w:r>
      <w:r>
        <w:rPr>
          <w:szCs w:val="26"/>
        </w:rPr>
        <w:t>Reversed</w:t>
      </w:r>
      <w:r>
        <w:rPr>
          <w:szCs w:val="26"/>
        </w:rPr>
        <w:t xml:space="preserve"> and remanded with direction</w:t>
      </w:r>
      <w:r>
        <w:rPr>
          <w:szCs w:val="26"/>
        </w:rPr>
        <w:t>s</w:t>
      </w:r>
      <w:r w:rsidRPr="00D52D10">
        <w:rPr>
          <w:szCs w:val="26"/>
        </w:rPr>
        <w:t>.</w:t>
      </w:r>
    </w:p>
    <w:p w14:paraId="121ECB01" w14:textId="77777777" w:rsidR="00204D4F" w:rsidRPr="00EF6B58" w:rsidRDefault="00204D4F" w:rsidP="00FB3B0B">
      <w:pPr>
        <w:ind w:firstLine="720"/>
        <w:rPr>
          <w:szCs w:val="26"/>
        </w:rPr>
      </w:pPr>
      <w:r>
        <w:rPr>
          <w:szCs w:val="26"/>
        </w:rPr>
        <w:t>Law Office</w:t>
      </w:r>
      <w:r>
        <w:rPr>
          <w:szCs w:val="26"/>
        </w:rPr>
        <w:t>s</w:t>
      </w:r>
      <w:r>
        <w:rPr>
          <w:szCs w:val="26"/>
        </w:rPr>
        <w:t xml:space="preserve"> </w:t>
      </w:r>
      <w:r>
        <w:rPr>
          <w:szCs w:val="26"/>
        </w:rPr>
        <w:t xml:space="preserve">of Jason Szydlik and Jason </w:t>
      </w:r>
      <w:r>
        <w:rPr>
          <w:szCs w:val="26"/>
        </w:rPr>
        <w:t>Szydlik</w:t>
      </w:r>
      <w:r w:rsidRPr="00EF6B58">
        <w:rPr>
          <w:szCs w:val="26"/>
        </w:rPr>
        <w:t xml:space="preserve"> for Defendant and Appellant.</w:t>
      </w:r>
    </w:p>
    <w:p w14:paraId="425EA8E0" w14:textId="77777777" w:rsidR="00204D4F" w:rsidRPr="00EF6B58" w:rsidRDefault="00204D4F" w:rsidP="00FB3B0B">
      <w:pPr>
        <w:ind w:firstLine="720"/>
        <w:rPr>
          <w:szCs w:val="26"/>
        </w:rPr>
      </w:pPr>
      <w:r>
        <w:rPr>
          <w:szCs w:val="26"/>
        </w:rPr>
        <w:t>Rob Bonta</w:t>
      </w:r>
      <w:r w:rsidRPr="00EF6B58">
        <w:rPr>
          <w:szCs w:val="26"/>
        </w:rPr>
        <w:t>, Attorney General, Lance</w:t>
      </w:r>
      <w:r>
        <w:rPr>
          <w:szCs w:val="26"/>
        </w:rPr>
        <w:t> </w:t>
      </w:r>
      <w:r w:rsidRPr="00EF6B58">
        <w:rPr>
          <w:szCs w:val="26"/>
        </w:rPr>
        <w:t xml:space="preserve">E. Winters, Chief Assistant Attorney General, </w:t>
      </w:r>
      <w:r w:rsidRPr="00EF6B58">
        <w:rPr>
          <w:szCs w:val="26"/>
        </w:rPr>
        <w:t xml:space="preserve">Susan Sullivan </w:t>
      </w:r>
      <w:proofErr w:type="spellStart"/>
      <w:r w:rsidRPr="00EF6B58">
        <w:rPr>
          <w:szCs w:val="26"/>
        </w:rPr>
        <w:t>Pithey</w:t>
      </w:r>
      <w:proofErr w:type="spellEnd"/>
      <w:r w:rsidRPr="00EF6B58">
        <w:rPr>
          <w:szCs w:val="26"/>
        </w:rPr>
        <w:t xml:space="preserve">, </w:t>
      </w:r>
      <w:r>
        <w:rPr>
          <w:szCs w:val="26"/>
        </w:rPr>
        <w:t xml:space="preserve">Senior </w:t>
      </w:r>
      <w:r w:rsidRPr="00EF6B58">
        <w:rPr>
          <w:szCs w:val="26"/>
        </w:rPr>
        <w:t>Assistant Attorney General,</w:t>
      </w:r>
      <w:r w:rsidRPr="00EF6B58">
        <w:rPr>
          <w:szCs w:val="26"/>
        </w:rPr>
        <w:t xml:space="preserve"> </w:t>
      </w:r>
      <w:r>
        <w:rPr>
          <w:szCs w:val="26"/>
        </w:rPr>
        <w:t>Steven D. Matthews</w:t>
      </w:r>
      <w:r>
        <w:rPr>
          <w:szCs w:val="26"/>
        </w:rPr>
        <w:t xml:space="preserve"> and Gary A. Lieberman</w:t>
      </w:r>
      <w:r>
        <w:rPr>
          <w:szCs w:val="26"/>
        </w:rPr>
        <w:t>,</w:t>
      </w:r>
      <w:r>
        <w:rPr>
          <w:szCs w:val="26"/>
        </w:rPr>
        <w:t xml:space="preserve"> </w:t>
      </w:r>
      <w:r>
        <w:rPr>
          <w:szCs w:val="26"/>
        </w:rPr>
        <w:t>Deputy Attorney</w:t>
      </w:r>
      <w:r>
        <w:rPr>
          <w:szCs w:val="26"/>
        </w:rPr>
        <w:t>s</w:t>
      </w:r>
      <w:r>
        <w:rPr>
          <w:szCs w:val="26"/>
        </w:rPr>
        <w:t xml:space="preserve"> General</w:t>
      </w:r>
      <w:r>
        <w:rPr>
          <w:szCs w:val="26"/>
        </w:rPr>
        <w:t>,</w:t>
      </w:r>
      <w:r w:rsidRPr="00EF6B58">
        <w:rPr>
          <w:szCs w:val="26"/>
        </w:rPr>
        <w:t xml:space="preserve"> for Plaintiff and Respondent.</w:t>
      </w:r>
    </w:p>
    <w:p w14:paraId="4481661A" w14:textId="77777777" w:rsidR="00204D4F" w:rsidRPr="00EF6B58" w:rsidRDefault="00204D4F" w:rsidP="00FB3B0B">
      <w:pPr>
        <w:jc w:val="center"/>
      </w:pPr>
      <w:r w:rsidRPr="00EF6B58">
        <w:rPr>
          <w:szCs w:val="26"/>
        </w:rPr>
        <w:t>_________________</w:t>
      </w:r>
    </w:p>
    <w:p w14:paraId="3336CD49" w14:textId="77777777" w:rsidR="00204D4F" w:rsidRDefault="00204D4F" w:rsidP="001F1314">
      <w:pPr>
        <w:ind w:firstLine="720"/>
        <w:rPr>
          <w:szCs w:val="26"/>
        </w:rPr>
      </w:pPr>
    </w:p>
    <w:p w14:paraId="586E3B31" w14:textId="77777777" w:rsidR="00204D4F" w:rsidRDefault="00204D4F" w:rsidP="00027007">
      <w:pPr>
        <w:ind w:firstLine="720"/>
        <w:rPr>
          <w:szCs w:val="26"/>
        </w:rPr>
      </w:pPr>
      <w:r w:rsidRPr="00C82A72">
        <w:rPr>
          <w:szCs w:val="26"/>
        </w:rPr>
        <w:lastRenderedPageBreak/>
        <w:t xml:space="preserve">Alexander Alberto Frias appeals from a judgment of conviction after the jury found him guilty of stalking.  On appeal, Frias </w:t>
      </w:r>
      <w:proofErr w:type="gramStart"/>
      <w:r w:rsidRPr="00C82A72">
        <w:rPr>
          <w:szCs w:val="26"/>
        </w:rPr>
        <w:t>contends</w:t>
      </w:r>
      <w:proofErr w:type="gramEnd"/>
      <w:r w:rsidRPr="00C82A72">
        <w:rPr>
          <w:szCs w:val="26"/>
        </w:rPr>
        <w:t xml:space="preserve"> the trial court, in denying his four requests to substitute the Castaneda Law firm as his counsel, violated his Sixth Amendment right to counsel of his choice.  The trial court did not </w:t>
      </w:r>
      <w:r w:rsidRPr="00C82A72">
        <w:rPr>
          <w:szCs w:val="26"/>
        </w:rPr>
        <w:t>abuse its discretion</w:t>
      </w:r>
      <w:r w:rsidRPr="00C82A72">
        <w:rPr>
          <w:szCs w:val="26"/>
        </w:rPr>
        <w:t xml:space="preserve"> in denying Frias’s first three requests to substitute</w:t>
      </w:r>
      <w:r w:rsidRPr="00C82A72">
        <w:rPr>
          <w:szCs w:val="26"/>
        </w:rPr>
        <w:t xml:space="preserve"> in the Castaneda firm because the</w:t>
      </w:r>
      <w:r w:rsidRPr="00C82A72">
        <w:rPr>
          <w:szCs w:val="26"/>
        </w:rPr>
        <w:t xml:space="preserve"> firm’s attorneys were not ready for trial and </w:t>
      </w:r>
      <w:r w:rsidRPr="00C82A72">
        <w:rPr>
          <w:szCs w:val="26"/>
        </w:rPr>
        <w:t xml:space="preserve">the case had been pending for </w:t>
      </w:r>
      <w:r w:rsidRPr="00C82A72">
        <w:rPr>
          <w:szCs w:val="26"/>
        </w:rPr>
        <w:t xml:space="preserve">three </w:t>
      </w:r>
      <w:r w:rsidRPr="00C82A72">
        <w:rPr>
          <w:szCs w:val="26"/>
        </w:rPr>
        <w:t>years</w:t>
      </w:r>
      <w:r w:rsidRPr="00C82A72">
        <w:rPr>
          <w:szCs w:val="26"/>
        </w:rPr>
        <w:t>, during which time four different attorneys had</w:t>
      </w:r>
      <w:r w:rsidRPr="00C82A72">
        <w:rPr>
          <w:szCs w:val="26"/>
        </w:rPr>
        <w:t xml:space="preserve"> handled </w:t>
      </w:r>
      <w:r w:rsidRPr="00C82A72">
        <w:rPr>
          <w:szCs w:val="26"/>
        </w:rPr>
        <w:t>Frias’s</w:t>
      </w:r>
      <w:r w:rsidRPr="00C82A72">
        <w:rPr>
          <w:szCs w:val="26"/>
        </w:rPr>
        <w:t xml:space="preserve"> defense</w:t>
      </w:r>
      <w:r w:rsidRPr="00C82A72">
        <w:rPr>
          <w:szCs w:val="26"/>
        </w:rPr>
        <w:t xml:space="preserve"> at his request</w:t>
      </w:r>
      <w:r w:rsidRPr="00C82A72">
        <w:rPr>
          <w:szCs w:val="26"/>
        </w:rPr>
        <w:t>.</w:t>
      </w:r>
      <w:r w:rsidRPr="00C82A72">
        <w:rPr>
          <w:szCs w:val="26"/>
        </w:rPr>
        <w:t xml:space="preserve">  But denial of Frias’s fourth req</w:t>
      </w:r>
      <w:r w:rsidRPr="00C82A72">
        <w:rPr>
          <w:szCs w:val="26"/>
        </w:rPr>
        <w:t xml:space="preserve">uest was an abuse of discretion.  </w:t>
      </w:r>
    </w:p>
    <w:p w14:paraId="17E1A031" w14:textId="77777777" w:rsidR="00204D4F" w:rsidRPr="00C77EB9" w:rsidRDefault="00204D4F" w:rsidP="00027007">
      <w:pPr>
        <w:ind w:firstLine="720"/>
        <w:rPr>
          <w:szCs w:val="26"/>
        </w:rPr>
      </w:pPr>
      <w:r>
        <w:rPr>
          <w:szCs w:val="26"/>
        </w:rPr>
        <w:t>A</w:t>
      </w:r>
      <w:r w:rsidRPr="00C82A72">
        <w:rPr>
          <w:szCs w:val="26"/>
        </w:rPr>
        <w:t>t the time of th</w:t>
      </w:r>
      <w:r>
        <w:rPr>
          <w:szCs w:val="26"/>
        </w:rPr>
        <w:t>e fourth</w:t>
      </w:r>
      <w:r w:rsidRPr="00C82A72">
        <w:rPr>
          <w:szCs w:val="26"/>
        </w:rPr>
        <w:t xml:space="preserve"> request, the case had been pending for three-and-a-half years, the case was set for trial as a six of 10 date, and the prosecutor and </w:t>
      </w:r>
      <w:r w:rsidRPr="00C82A72">
        <w:rPr>
          <w:szCs w:val="26"/>
        </w:rPr>
        <w:t xml:space="preserve">deputy </w:t>
      </w:r>
      <w:r w:rsidRPr="00C82A72">
        <w:rPr>
          <w:szCs w:val="26"/>
        </w:rPr>
        <w:t xml:space="preserve">public defender had announced ready for trial.  </w:t>
      </w:r>
      <w:r>
        <w:rPr>
          <w:szCs w:val="26"/>
        </w:rPr>
        <w:t>T</w:t>
      </w:r>
      <w:r w:rsidRPr="00C82A72">
        <w:rPr>
          <w:szCs w:val="26"/>
        </w:rPr>
        <w:t xml:space="preserve">his time, </w:t>
      </w:r>
      <w:r>
        <w:rPr>
          <w:szCs w:val="26"/>
        </w:rPr>
        <w:t xml:space="preserve">however, </w:t>
      </w:r>
      <w:r>
        <w:rPr>
          <w:szCs w:val="26"/>
        </w:rPr>
        <w:t xml:space="preserve">an </w:t>
      </w:r>
      <w:r w:rsidRPr="00C82A72">
        <w:rPr>
          <w:szCs w:val="26"/>
        </w:rPr>
        <w:t>attorney from the Castaneda firm announced he w</w:t>
      </w:r>
      <w:r>
        <w:rPr>
          <w:szCs w:val="26"/>
        </w:rPr>
        <w:t>as</w:t>
      </w:r>
      <w:r w:rsidRPr="00C82A72">
        <w:rPr>
          <w:szCs w:val="26"/>
        </w:rPr>
        <w:t xml:space="preserve"> ready for trial</w:t>
      </w:r>
      <w:r w:rsidRPr="00C82A72">
        <w:rPr>
          <w:szCs w:val="26"/>
        </w:rPr>
        <w:t xml:space="preserve">, subject to a few witness scheduling issues (the same </w:t>
      </w:r>
      <w:r>
        <w:rPr>
          <w:szCs w:val="26"/>
        </w:rPr>
        <w:t>issues</w:t>
      </w:r>
      <w:r w:rsidRPr="00C82A72">
        <w:rPr>
          <w:szCs w:val="26"/>
        </w:rPr>
        <w:t xml:space="preserve"> the deputy public defender had)</w:t>
      </w:r>
      <w:r w:rsidRPr="00C82A72">
        <w:rPr>
          <w:szCs w:val="26"/>
        </w:rPr>
        <w:t>.</w:t>
      </w:r>
      <w:r w:rsidRPr="00C82A72">
        <w:rPr>
          <w:szCs w:val="26"/>
        </w:rPr>
        <w:t xml:space="preserve">  </w:t>
      </w:r>
      <w:r>
        <w:rPr>
          <w:szCs w:val="26"/>
        </w:rPr>
        <w:t xml:space="preserve">We recognize </w:t>
      </w:r>
      <w:r w:rsidRPr="00C82A72">
        <w:rPr>
          <w:szCs w:val="26"/>
        </w:rPr>
        <w:t>t</w:t>
      </w:r>
      <w:r w:rsidRPr="00C82A72">
        <w:rPr>
          <w:szCs w:val="26"/>
        </w:rPr>
        <w:t xml:space="preserve">he </w:t>
      </w:r>
      <w:r>
        <w:rPr>
          <w:szCs w:val="26"/>
        </w:rPr>
        <w:t xml:space="preserve">trial </w:t>
      </w:r>
      <w:r w:rsidRPr="00C82A72">
        <w:rPr>
          <w:szCs w:val="26"/>
        </w:rPr>
        <w:t>court</w:t>
      </w:r>
      <w:r>
        <w:rPr>
          <w:szCs w:val="26"/>
        </w:rPr>
        <w:t xml:space="preserve"> was</w:t>
      </w:r>
      <w:r>
        <w:rPr>
          <w:szCs w:val="26"/>
        </w:rPr>
        <w:t xml:space="preserve"> concern</w:t>
      </w:r>
      <w:r>
        <w:rPr>
          <w:szCs w:val="26"/>
        </w:rPr>
        <w:t>ed</w:t>
      </w:r>
      <w:r>
        <w:rPr>
          <w:szCs w:val="26"/>
        </w:rPr>
        <w:t xml:space="preserve"> </w:t>
      </w:r>
      <w:proofErr w:type="gramStart"/>
      <w:r>
        <w:rPr>
          <w:szCs w:val="26"/>
        </w:rPr>
        <w:t>in light of</w:t>
      </w:r>
      <w:proofErr w:type="gramEnd"/>
      <w:r>
        <w:rPr>
          <w:szCs w:val="26"/>
        </w:rPr>
        <w:t xml:space="preserve"> the history of the case </w:t>
      </w:r>
      <w:r w:rsidRPr="00C82A72">
        <w:rPr>
          <w:szCs w:val="26"/>
        </w:rPr>
        <w:t xml:space="preserve">that </w:t>
      </w:r>
      <w:r w:rsidRPr="00C82A72">
        <w:rPr>
          <w:szCs w:val="26"/>
        </w:rPr>
        <w:t xml:space="preserve">the </w:t>
      </w:r>
      <w:r w:rsidRPr="00C82A72">
        <w:rPr>
          <w:szCs w:val="26"/>
        </w:rPr>
        <w:t xml:space="preserve">Castaneda </w:t>
      </w:r>
      <w:r w:rsidRPr="00C82A72">
        <w:rPr>
          <w:szCs w:val="26"/>
        </w:rPr>
        <w:t>firm’s attorneys</w:t>
      </w:r>
      <w:r w:rsidRPr="00C82A72">
        <w:rPr>
          <w:szCs w:val="26"/>
        </w:rPr>
        <w:t xml:space="preserve"> would seek a further continuance</w:t>
      </w:r>
      <w:r w:rsidRPr="00C82A72">
        <w:rPr>
          <w:szCs w:val="26"/>
        </w:rPr>
        <w:t xml:space="preserve"> to prepare for trial</w:t>
      </w:r>
      <w:r w:rsidRPr="00C82A72">
        <w:rPr>
          <w:szCs w:val="26"/>
        </w:rPr>
        <w:t xml:space="preserve"> once the firm was appointed</w:t>
      </w:r>
      <w:r w:rsidRPr="00C82A72">
        <w:rPr>
          <w:szCs w:val="26"/>
        </w:rPr>
        <w:t xml:space="preserve">, or that Frias on the day of trial would yet again seek to substitute in new counsel.  </w:t>
      </w:r>
      <w:r>
        <w:rPr>
          <w:szCs w:val="26"/>
        </w:rPr>
        <w:t xml:space="preserve">But </w:t>
      </w:r>
      <w:r>
        <w:rPr>
          <w:szCs w:val="26"/>
        </w:rPr>
        <w:t xml:space="preserve">nothing in the record shows that the Castaneda firm was not prepared for trial, and the court did not make a further inquiry to confirm its suspicion the firm was not ready.  </w:t>
      </w:r>
      <w:r>
        <w:rPr>
          <w:szCs w:val="26"/>
        </w:rPr>
        <w:t xml:space="preserve">Accordingly, absent </w:t>
      </w:r>
      <w:r>
        <w:rPr>
          <w:szCs w:val="26"/>
        </w:rPr>
        <w:t xml:space="preserve">any </w:t>
      </w:r>
      <w:r>
        <w:rPr>
          <w:szCs w:val="26"/>
        </w:rPr>
        <w:t xml:space="preserve">support in the record, </w:t>
      </w:r>
      <w:r>
        <w:rPr>
          <w:szCs w:val="26"/>
        </w:rPr>
        <w:t xml:space="preserve">the court’s concerns </w:t>
      </w:r>
      <w:r w:rsidRPr="00C82A72">
        <w:rPr>
          <w:szCs w:val="26"/>
        </w:rPr>
        <w:t>were</w:t>
      </w:r>
      <w:r w:rsidRPr="00C82A72">
        <w:rPr>
          <w:szCs w:val="26"/>
        </w:rPr>
        <w:t xml:space="preserve"> not sufficient ground</w:t>
      </w:r>
      <w:r w:rsidRPr="00C82A72">
        <w:rPr>
          <w:szCs w:val="26"/>
        </w:rPr>
        <w:t>s</w:t>
      </w:r>
      <w:r w:rsidRPr="00C82A72">
        <w:rPr>
          <w:szCs w:val="26"/>
        </w:rPr>
        <w:t xml:space="preserve"> on which to deny Frias’s request to have retained counsel of his choice.  </w:t>
      </w:r>
      <w:r w:rsidRPr="00C82A72">
        <w:rPr>
          <w:szCs w:val="26"/>
        </w:rPr>
        <w:t xml:space="preserve">If the </w:t>
      </w:r>
      <w:r w:rsidRPr="00C82A72">
        <w:rPr>
          <w:szCs w:val="26"/>
        </w:rPr>
        <w:t>Castaneda firm</w:t>
      </w:r>
      <w:r w:rsidRPr="00C82A72">
        <w:rPr>
          <w:szCs w:val="26"/>
        </w:rPr>
        <w:t>’s</w:t>
      </w:r>
      <w:r w:rsidRPr="00C82A72">
        <w:rPr>
          <w:szCs w:val="26"/>
        </w:rPr>
        <w:t xml:space="preserve"> at</w:t>
      </w:r>
      <w:r w:rsidRPr="00C82A72">
        <w:rPr>
          <w:szCs w:val="26"/>
        </w:rPr>
        <w:t xml:space="preserve">torneys </w:t>
      </w:r>
      <w:r w:rsidRPr="00C82A72">
        <w:rPr>
          <w:szCs w:val="26"/>
        </w:rPr>
        <w:t xml:space="preserve">later requested a continuance or Frias requested new counsel, the court retained the discretion to deny the requests.  </w:t>
      </w:r>
      <w:r w:rsidRPr="00C82A72">
        <w:rPr>
          <w:szCs w:val="26"/>
        </w:rPr>
        <w:t xml:space="preserve">And </w:t>
      </w:r>
      <w:r w:rsidRPr="00C82A72">
        <w:rPr>
          <w:szCs w:val="26"/>
        </w:rPr>
        <w:lastRenderedPageBreak/>
        <w:t>regardless of whether the court believed the</w:t>
      </w:r>
      <w:r w:rsidRPr="00C82A72">
        <w:rPr>
          <w:szCs w:val="26"/>
        </w:rPr>
        <w:t xml:space="preserve"> deputy public defender </w:t>
      </w:r>
      <w:r w:rsidRPr="00C82A72">
        <w:rPr>
          <w:szCs w:val="26"/>
        </w:rPr>
        <w:t xml:space="preserve">or </w:t>
      </w:r>
      <w:r w:rsidRPr="00C82A72">
        <w:rPr>
          <w:szCs w:val="26"/>
        </w:rPr>
        <w:t xml:space="preserve">Castaneda firm </w:t>
      </w:r>
      <w:r w:rsidRPr="00C82A72">
        <w:rPr>
          <w:szCs w:val="26"/>
        </w:rPr>
        <w:t>attorneys would do a better job in defending Frias, that was Frias’s choice to make.</w:t>
      </w:r>
      <w:r>
        <w:rPr>
          <w:szCs w:val="26"/>
        </w:rPr>
        <w:t xml:space="preserve">  </w:t>
      </w:r>
      <w:r w:rsidRPr="00C77EB9">
        <w:rPr>
          <w:szCs w:val="26"/>
        </w:rPr>
        <w:t xml:space="preserve">We </w:t>
      </w:r>
      <w:r w:rsidRPr="00C77EB9">
        <w:rPr>
          <w:szCs w:val="26"/>
        </w:rPr>
        <w:t xml:space="preserve">therefore </w:t>
      </w:r>
      <w:r w:rsidRPr="00C77EB9">
        <w:rPr>
          <w:szCs w:val="26"/>
        </w:rPr>
        <w:t xml:space="preserve">reverse the judgment </w:t>
      </w:r>
      <w:r w:rsidRPr="00C77EB9">
        <w:rPr>
          <w:szCs w:val="26"/>
        </w:rPr>
        <w:t xml:space="preserve">based on </w:t>
      </w:r>
      <w:r w:rsidRPr="00C77EB9">
        <w:rPr>
          <w:szCs w:val="26"/>
        </w:rPr>
        <w:t xml:space="preserve">the trial court’s denial of </w:t>
      </w:r>
      <w:r w:rsidRPr="00C77EB9">
        <w:rPr>
          <w:szCs w:val="26"/>
        </w:rPr>
        <w:t>Frias’s right to counsel of his choice.</w:t>
      </w:r>
      <w:r w:rsidRPr="00C77EB9">
        <w:rPr>
          <w:szCs w:val="26"/>
        </w:rPr>
        <w:t xml:space="preserve">  </w:t>
      </w:r>
    </w:p>
    <w:p w14:paraId="45CB4607" w14:textId="77777777" w:rsidR="00204D4F" w:rsidRPr="00A22DA7" w:rsidRDefault="00204D4F" w:rsidP="00027007">
      <w:pPr>
        <w:ind w:firstLine="720"/>
        <w:rPr>
          <w:szCs w:val="26"/>
        </w:rPr>
      </w:pPr>
      <w:r w:rsidRPr="00404C33">
        <w:rPr>
          <w:szCs w:val="26"/>
        </w:rPr>
        <w:t xml:space="preserve">We also review the sufficiency of the evidence to determine whether </w:t>
      </w:r>
      <w:r>
        <w:rPr>
          <w:szCs w:val="26"/>
        </w:rPr>
        <w:t>Frias</w:t>
      </w:r>
      <w:r w:rsidRPr="00404C33">
        <w:rPr>
          <w:szCs w:val="26"/>
        </w:rPr>
        <w:t xml:space="preserve"> may be tried again for </w:t>
      </w:r>
      <w:r>
        <w:rPr>
          <w:szCs w:val="26"/>
        </w:rPr>
        <w:t>stalking</w:t>
      </w:r>
      <w:r w:rsidRPr="00404C33">
        <w:rPr>
          <w:szCs w:val="26"/>
        </w:rPr>
        <w:t xml:space="preserve">. </w:t>
      </w:r>
      <w:r>
        <w:rPr>
          <w:szCs w:val="26"/>
        </w:rPr>
        <w:t xml:space="preserve"> </w:t>
      </w:r>
      <w:r>
        <w:rPr>
          <w:szCs w:val="26"/>
        </w:rPr>
        <w:t>We conclude s</w:t>
      </w:r>
      <w:r w:rsidRPr="00C77EB9">
        <w:rPr>
          <w:szCs w:val="26"/>
        </w:rPr>
        <w:t>ubstantial evidence support</w:t>
      </w:r>
      <w:r>
        <w:rPr>
          <w:szCs w:val="26"/>
        </w:rPr>
        <w:t>s</w:t>
      </w:r>
      <w:r w:rsidRPr="00C77EB9">
        <w:rPr>
          <w:szCs w:val="26"/>
        </w:rPr>
        <w:t xml:space="preserve"> </w:t>
      </w:r>
      <w:r>
        <w:rPr>
          <w:szCs w:val="26"/>
        </w:rPr>
        <w:t>Frias’s</w:t>
      </w:r>
      <w:r w:rsidRPr="00C77EB9">
        <w:rPr>
          <w:szCs w:val="26"/>
        </w:rPr>
        <w:t xml:space="preserve"> conviction</w:t>
      </w:r>
      <w:r>
        <w:rPr>
          <w:szCs w:val="26"/>
        </w:rPr>
        <w:t>, and</w:t>
      </w:r>
      <w:r>
        <w:rPr>
          <w:szCs w:val="26"/>
        </w:rPr>
        <w:t xml:space="preserve"> we</w:t>
      </w:r>
      <w:r w:rsidRPr="00C77EB9">
        <w:rPr>
          <w:szCs w:val="26"/>
        </w:rPr>
        <w:t xml:space="preserve"> </w:t>
      </w:r>
      <w:proofErr w:type="gramStart"/>
      <w:r w:rsidRPr="00C77EB9">
        <w:rPr>
          <w:szCs w:val="26"/>
        </w:rPr>
        <w:t>remand</w:t>
      </w:r>
      <w:proofErr w:type="gramEnd"/>
      <w:r w:rsidRPr="00C77EB9">
        <w:rPr>
          <w:szCs w:val="26"/>
        </w:rPr>
        <w:t xml:space="preserve"> for a new trial.</w:t>
      </w:r>
      <w:r>
        <w:rPr>
          <w:szCs w:val="26"/>
        </w:rPr>
        <w:t xml:space="preserve">  </w:t>
      </w:r>
      <w:r w:rsidRPr="00C82A72">
        <w:rPr>
          <w:szCs w:val="26"/>
        </w:rPr>
        <w:t xml:space="preserve">           </w:t>
      </w:r>
    </w:p>
    <w:p w14:paraId="224A464C" w14:textId="77777777" w:rsidR="00204D4F" w:rsidRDefault="00204D4F" w:rsidP="002A4D09"/>
    <w:p w14:paraId="16779D97" w14:textId="77777777" w:rsidR="00204D4F" w:rsidRPr="00EF6B58" w:rsidRDefault="00204D4F" w:rsidP="002A4D09">
      <w:pPr>
        <w:pStyle w:val="Heading1"/>
      </w:pPr>
      <w:r w:rsidRPr="00EF6B58">
        <w:t>FACTUAL AND PROCEDURAL BACKGROUND</w:t>
      </w:r>
    </w:p>
    <w:p w14:paraId="05E56461" w14:textId="77777777" w:rsidR="00204D4F" w:rsidRPr="002710CF" w:rsidRDefault="00204D4F">
      <w:pPr>
        <w:pStyle w:val="Footer"/>
      </w:pPr>
    </w:p>
    <w:p w14:paraId="4C488B65" w14:textId="77777777" w:rsidR="00204D4F" w:rsidRPr="00D00755" w:rsidRDefault="00204D4F" w:rsidP="00D00755">
      <w:pPr>
        <w:numPr>
          <w:ilvl w:val="1"/>
          <w:numId w:val="1"/>
        </w:numPr>
        <w:contextualSpacing/>
        <w:rPr>
          <w:iCs/>
          <w:szCs w:val="20"/>
        </w:rPr>
      </w:pPr>
      <w:r w:rsidRPr="00D00755">
        <w:rPr>
          <w:i/>
          <w:iCs/>
          <w:szCs w:val="20"/>
        </w:rPr>
        <w:t xml:space="preserve">The </w:t>
      </w:r>
      <w:r>
        <w:rPr>
          <w:i/>
          <w:iCs/>
          <w:szCs w:val="20"/>
        </w:rPr>
        <w:t>Evidence at Trial</w:t>
      </w:r>
      <w:r>
        <w:rPr>
          <w:i/>
          <w:iCs/>
          <w:szCs w:val="20"/>
        </w:rPr>
        <w:t xml:space="preserve"> </w:t>
      </w:r>
    </w:p>
    <w:p w14:paraId="16187756" w14:textId="77777777" w:rsidR="00204D4F" w:rsidRDefault="00204D4F" w:rsidP="00CC2869">
      <w:pPr>
        <w:ind w:firstLine="720"/>
        <w:rPr>
          <w:szCs w:val="20"/>
        </w:rPr>
      </w:pPr>
      <w:r w:rsidRPr="00C82A72">
        <w:rPr>
          <w:szCs w:val="20"/>
        </w:rPr>
        <w:t xml:space="preserve">In 2017 Courtney </w:t>
      </w:r>
      <w:r w:rsidRPr="00C82A72">
        <w:rPr>
          <w:szCs w:val="20"/>
        </w:rPr>
        <w:t xml:space="preserve">C. </w:t>
      </w:r>
      <w:r w:rsidRPr="00C82A72">
        <w:rPr>
          <w:szCs w:val="20"/>
        </w:rPr>
        <w:t>received a friend request on her Facebook account from Frias, which she denied because she did not know him.  Frias posted comments on Courtney’s Facebook “</w:t>
      </w:r>
      <w:proofErr w:type="gramStart"/>
      <w:r w:rsidRPr="00C82A72">
        <w:rPr>
          <w:szCs w:val="20"/>
        </w:rPr>
        <w:t>time line</w:t>
      </w:r>
      <w:proofErr w:type="gramEnd"/>
      <w:r w:rsidRPr="00C82A72">
        <w:rPr>
          <w:szCs w:val="20"/>
        </w:rPr>
        <w:t xml:space="preserve">” and photographs she </w:t>
      </w:r>
      <w:r>
        <w:rPr>
          <w:szCs w:val="20"/>
        </w:rPr>
        <w:t xml:space="preserve">had </w:t>
      </w:r>
      <w:r w:rsidRPr="00C82A72">
        <w:rPr>
          <w:szCs w:val="20"/>
        </w:rPr>
        <w:t xml:space="preserve">posted.  </w:t>
      </w:r>
      <w:r w:rsidRPr="00C82A72">
        <w:rPr>
          <w:szCs w:val="20"/>
        </w:rPr>
        <w:t>Courtney deleted Frias’s posts and blocked him approximately 10 times, thinking the posts were from “a troll</w:t>
      </w:r>
      <w:r w:rsidRPr="00C82A72">
        <w:rPr>
          <w:szCs w:val="20"/>
        </w:rPr>
        <w:t>.”</w:t>
      </w:r>
      <w:r w:rsidRPr="00C82A72">
        <w:rPr>
          <w:szCs w:val="20"/>
        </w:rPr>
        <w:t xml:space="preserve">  Despite her efforts to block Frias, he continued to post on her account.</w:t>
      </w:r>
      <w:r w:rsidRPr="00A42443">
        <w:t xml:space="preserve"> </w:t>
      </w:r>
      <w:r>
        <w:t xml:space="preserve"> </w:t>
      </w:r>
      <w:r w:rsidRPr="00A42443">
        <w:rPr>
          <w:szCs w:val="20"/>
        </w:rPr>
        <w:t xml:space="preserve">By the summer of 2017, Frias posted on </w:t>
      </w:r>
      <w:r>
        <w:rPr>
          <w:szCs w:val="20"/>
        </w:rPr>
        <w:t>Courtney’s</w:t>
      </w:r>
      <w:r w:rsidRPr="00A42443">
        <w:rPr>
          <w:szCs w:val="20"/>
        </w:rPr>
        <w:t xml:space="preserve"> account every couple of weeks.   </w:t>
      </w:r>
    </w:p>
    <w:p w14:paraId="43A6E952" w14:textId="77777777" w:rsidR="00204D4F" w:rsidRDefault="00204D4F" w:rsidP="00CF7771">
      <w:pPr>
        <w:ind w:firstLine="720"/>
        <w:rPr>
          <w:szCs w:val="20"/>
        </w:rPr>
      </w:pPr>
      <w:r>
        <w:rPr>
          <w:szCs w:val="20"/>
        </w:rPr>
        <w:t xml:space="preserve">On February 13, </w:t>
      </w:r>
      <w:proofErr w:type="gramStart"/>
      <w:r>
        <w:rPr>
          <w:szCs w:val="20"/>
        </w:rPr>
        <w:t>2018</w:t>
      </w:r>
      <w:proofErr w:type="gramEnd"/>
      <w:r>
        <w:rPr>
          <w:szCs w:val="20"/>
        </w:rPr>
        <w:t xml:space="preserve"> Courtney found flowers on her car at work.  Courtney thought a former student who had visited that day left the flowers.  She took a photograph of the flowers and posted it on Facebook. </w:t>
      </w:r>
      <w:r>
        <w:rPr>
          <w:szCs w:val="20"/>
        </w:rPr>
        <w:t xml:space="preserve"> </w:t>
      </w:r>
      <w:r>
        <w:rPr>
          <w:szCs w:val="20"/>
        </w:rPr>
        <w:t>When Courtney came home, she placed the flowers in a vase on her kitchen counter.</w:t>
      </w:r>
      <w:r>
        <w:rPr>
          <w:rStyle w:val="FootnoteReference"/>
          <w:szCs w:val="20"/>
        </w:rPr>
        <w:footnoteReference w:id="2"/>
      </w:r>
      <w:r>
        <w:rPr>
          <w:szCs w:val="20"/>
        </w:rPr>
        <w:t xml:space="preserve">  Courtney did not post a picture of the flowers.  On February 14 she received a </w:t>
      </w:r>
      <w:r>
        <w:rPr>
          <w:szCs w:val="20"/>
        </w:rPr>
        <w:lastRenderedPageBreak/>
        <w:t>Facebook post commenting on the flowers in the vase.  Courtney testified she was “[t]</w:t>
      </w:r>
      <w:proofErr w:type="spellStart"/>
      <w:r>
        <w:rPr>
          <w:szCs w:val="20"/>
        </w:rPr>
        <w:t>errified</w:t>
      </w:r>
      <w:proofErr w:type="spellEnd"/>
      <w:r>
        <w:rPr>
          <w:szCs w:val="20"/>
        </w:rPr>
        <w:t xml:space="preserve">” because “this person who [she] thought was a nobody . . . was actually a real person and knew [her] or somehow knew . . . that [she] had gotten flowers.”  </w:t>
      </w:r>
      <w:r>
        <w:rPr>
          <w:szCs w:val="20"/>
        </w:rPr>
        <w:t xml:space="preserve">Courtney again </w:t>
      </w:r>
      <w:r>
        <w:rPr>
          <w:szCs w:val="20"/>
        </w:rPr>
        <w:t xml:space="preserve">blocked </w:t>
      </w:r>
      <w:r>
        <w:rPr>
          <w:szCs w:val="20"/>
        </w:rPr>
        <w:t>Frias</w:t>
      </w:r>
      <w:r>
        <w:rPr>
          <w:szCs w:val="20"/>
        </w:rPr>
        <w:t xml:space="preserve">. </w:t>
      </w:r>
    </w:p>
    <w:p w14:paraId="7551C8C6" w14:textId="77777777" w:rsidR="00204D4F" w:rsidRPr="00C82A72" w:rsidRDefault="00204D4F" w:rsidP="00CC2869">
      <w:pPr>
        <w:ind w:firstLine="720"/>
        <w:rPr>
          <w:szCs w:val="20"/>
        </w:rPr>
      </w:pPr>
      <w:r>
        <w:rPr>
          <w:szCs w:val="20"/>
        </w:rPr>
        <w:t xml:space="preserve">On February 16, </w:t>
      </w:r>
      <w:proofErr w:type="gramStart"/>
      <w:r>
        <w:rPr>
          <w:szCs w:val="20"/>
        </w:rPr>
        <w:t>2018</w:t>
      </w:r>
      <w:proofErr w:type="gramEnd"/>
      <w:r>
        <w:rPr>
          <w:szCs w:val="20"/>
        </w:rPr>
        <w:t xml:space="preserve"> Courtney received a Facebook message from Frias that read, “I am so sorry if I spooked you in any way at all.  I sat back and thought about all the random stuff I’ve been doing and wow, just wow.  I would love for you to be around in my life in some sort of way, but if not, </w:t>
      </w:r>
      <w:proofErr w:type="gramStart"/>
      <w:r>
        <w:rPr>
          <w:szCs w:val="20"/>
        </w:rPr>
        <w:t>shit</w:t>
      </w:r>
      <w:proofErr w:type="gramEnd"/>
      <w:r>
        <w:rPr>
          <w:szCs w:val="20"/>
        </w:rPr>
        <w:t>, no big deal, dam[n].  You have my number, if and when you ever feel like contacting me it would be awesome</w:t>
      </w:r>
      <w:proofErr w:type="gramStart"/>
      <w:r>
        <w:rPr>
          <w:szCs w:val="20"/>
        </w:rPr>
        <w:t>[.]  I’m</w:t>
      </w:r>
      <w:proofErr w:type="gramEnd"/>
      <w:r>
        <w:rPr>
          <w:szCs w:val="20"/>
        </w:rPr>
        <w:t xml:space="preserve"> pretty sure you’[re] not spooked, but I swear I’m just a regular dude, </w:t>
      </w:r>
      <w:proofErr w:type="spellStart"/>
      <w:r>
        <w:rPr>
          <w:szCs w:val="20"/>
        </w:rPr>
        <w:t>kinda</w:t>
      </w:r>
      <w:proofErr w:type="spellEnd"/>
      <w:r>
        <w:rPr>
          <w:szCs w:val="20"/>
        </w:rPr>
        <w:t xml:space="preserve"> boring also, sometimes deep, somet</w:t>
      </w:r>
      <w:r>
        <w:rPr>
          <w:szCs w:val="20"/>
        </w:rPr>
        <w:t>imes, but if not, like I said no big deal.</w:t>
      </w:r>
      <w:r>
        <w:rPr>
          <w:szCs w:val="20"/>
        </w:rPr>
        <w:t xml:space="preserve">  I am sorry, I got super </w:t>
      </w:r>
      <w:proofErr w:type="spellStart"/>
      <w:r>
        <w:rPr>
          <w:szCs w:val="20"/>
        </w:rPr>
        <w:t>super</w:t>
      </w:r>
      <w:proofErr w:type="spellEnd"/>
      <w:r>
        <w:rPr>
          <w:szCs w:val="20"/>
        </w:rPr>
        <w:t xml:space="preserve"> </w:t>
      </w:r>
      <w:proofErr w:type="spellStart"/>
      <w:r>
        <w:rPr>
          <w:szCs w:val="20"/>
        </w:rPr>
        <w:t>super</w:t>
      </w:r>
      <w:proofErr w:type="spellEnd"/>
      <w:r>
        <w:rPr>
          <w:szCs w:val="20"/>
        </w:rPr>
        <w:t xml:space="preserve"> on one about you, and I felt like I had a deep connection with you and like I knew you my whole life.  It’s probably cause we’re a couple of valley kids that grew up around the same time</w:t>
      </w:r>
      <w:proofErr w:type="gramStart"/>
      <w:r>
        <w:rPr>
          <w:szCs w:val="20"/>
        </w:rPr>
        <w:t>. . . .</w:t>
      </w:r>
      <w:proofErr w:type="gramEnd"/>
      <w:r>
        <w:rPr>
          <w:szCs w:val="20"/>
        </w:rPr>
        <w:t>”</w:t>
      </w:r>
      <w:r>
        <w:rPr>
          <w:szCs w:val="20"/>
        </w:rPr>
        <w:t xml:space="preserve">  </w:t>
      </w:r>
      <w:r>
        <w:rPr>
          <w:szCs w:val="20"/>
        </w:rPr>
        <w:t xml:space="preserve">Courtney was concerned </w:t>
      </w:r>
      <w:r>
        <w:rPr>
          <w:szCs w:val="20"/>
        </w:rPr>
        <w:t>the person who posted on</w:t>
      </w:r>
      <w:r>
        <w:rPr>
          <w:szCs w:val="20"/>
        </w:rPr>
        <w:t xml:space="preserve"> Facebook</w:t>
      </w:r>
      <w:r>
        <w:rPr>
          <w:szCs w:val="20"/>
        </w:rPr>
        <w:t xml:space="preserve"> knew where she worked and that she “grew up in the valley.”   </w:t>
      </w:r>
      <w:r>
        <w:rPr>
          <w:szCs w:val="20"/>
        </w:rPr>
        <w:t xml:space="preserve">  </w:t>
      </w:r>
    </w:p>
    <w:p w14:paraId="5D9059E6" w14:textId="77777777" w:rsidR="00204D4F" w:rsidRPr="00C82A72" w:rsidRDefault="00204D4F" w:rsidP="00CC2869">
      <w:pPr>
        <w:ind w:firstLine="720"/>
        <w:rPr>
          <w:szCs w:val="20"/>
        </w:rPr>
      </w:pPr>
      <w:r>
        <w:rPr>
          <w:szCs w:val="20"/>
        </w:rPr>
        <w:t xml:space="preserve">On </w:t>
      </w:r>
      <w:r w:rsidRPr="006D05DD">
        <w:rPr>
          <w:szCs w:val="20"/>
        </w:rPr>
        <w:t>March 1, 2018</w:t>
      </w:r>
      <w:r>
        <w:rPr>
          <w:szCs w:val="20"/>
        </w:rPr>
        <w:t xml:space="preserve"> Frias posted another message on </w:t>
      </w:r>
      <w:r>
        <w:rPr>
          <w:szCs w:val="20"/>
        </w:rPr>
        <w:t>Courtney’s</w:t>
      </w:r>
      <w:r>
        <w:rPr>
          <w:szCs w:val="20"/>
        </w:rPr>
        <w:t xml:space="preserve"> Facebook account</w:t>
      </w:r>
      <w:proofErr w:type="gramStart"/>
      <w:r>
        <w:rPr>
          <w:szCs w:val="20"/>
        </w:rPr>
        <w:t>:  “</w:t>
      </w:r>
      <w:proofErr w:type="gramEnd"/>
      <w:r>
        <w:rPr>
          <w:szCs w:val="20"/>
        </w:rPr>
        <w:t xml:space="preserve">You may not feel the same, but being brokenhearted and longing for someone is fucking beautiful.  It’s what my favorite songs are about.  It’s who I am.  Thanks for making me a part of this exclusive—I’m assuming </w:t>
      </w:r>
      <w:r>
        <w:rPr>
          <w:szCs w:val="20"/>
        </w:rPr>
        <w:t xml:space="preserve">that’s </w:t>
      </w:r>
      <w:r>
        <w:rPr>
          <w:szCs w:val="20"/>
        </w:rPr>
        <w:t xml:space="preserve">exclusive—club again.  I love this feeling.  Nothing like it.  Till we meet again.”  Courtney did not know what Frias meant by “till we meet again” because she had never met him.  Her “anxiety started to grow,” and </w:t>
      </w:r>
      <w:r>
        <w:rPr>
          <w:szCs w:val="20"/>
        </w:rPr>
        <w:t xml:space="preserve">the statement “really scared” her.  </w:t>
      </w:r>
    </w:p>
    <w:p w14:paraId="05D5C412" w14:textId="77777777" w:rsidR="00204D4F" w:rsidRDefault="00204D4F" w:rsidP="00CC2869">
      <w:pPr>
        <w:ind w:firstLine="720"/>
        <w:rPr>
          <w:szCs w:val="20"/>
        </w:rPr>
      </w:pPr>
      <w:bookmarkStart w:id="0" w:name="_Hlk151364101"/>
      <w:r w:rsidRPr="00C82A72">
        <w:rPr>
          <w:szCs w:val="20"/>
        </w:rPr>
        <w:lastRenderedPageBreak/>
        <w:t xml:space="preserve">At 3:00 a.m. on March 10, </w:t>
      </w:r>
      <w:proofErr w:type="gramStart"/>
      <w:r w:rsidRPr="00C82A72">
        <w:rPr>
          <w:szCs w:val="20"/>
        </w:rPr>
        <w:t>2018</w:t>
      </w:r>
      <w:proofErr w:type="gramEnd"/>
      <w:r w:rsidRPr="00C82A72">
        <w:rPr>
          <w:szCs w:val="20"/>
        </w:rPr>
        <w:t xml:space="preserve"> Frias knocked on </w:t>
      </w:r>
      <w:bookmarkEnd w:id="0"/>
      <w:r w:rsidRPr="00C82A72">
        <w:rPr>
          <w:szCs w:val="20"/>
        </w:rPr>
        <w:t xml:space="preserve">Courtney’s apartment door </w:t>
      </w:r>
      <w:r w:rsidRPr="00E46E47">
        <w:rPr>
          <w:szCs w:val="20"/>
        </w:rPr>
        <w:t>and announced himself</w:t>
      </w:r>
      <w:r w:rsidRPr="00E46E47">
        <w:rPr>
          <w:szCs w:val="20"/>
        </w:rPr>
        <w:t xml:space="preserve"> by name</w:t>
      </w:r>
      <w:r w:rsidRPr="0052212D">
        <w:rPr>
          <w:szCs w:val="20"/>
        </w:rPr>
        <w:t>.</w:t>
      </w:r>
      <w:r w:rsidRPr="00E46E47">
        <w:rPr>
          <w:szCs w:val="20"/>
        </w:rPr>
        <w:t xml:space="preserve"> </w:t>
      </w:r>
      <w:r w:rsidRPr="00E46E47">
        <w:rPr>
          <w:szCs w:val="20"/>
        </w:rPr>
        <w:t xml:space="preserve"> Courtney threatened to call the police.  </w:t>
      </w:r>
      <w:r w:rsidRPr="00E46E47">
        <w:rPr>
          <w:szCs w:val="20"/>
        </w:rPr>
        <w:t>By the time t</w:t>
      </w:r>
      <w:r w:rsidRPr="00E46E47">
        <w:rPr>
          <w:szCs w:val="20"/>
        </w:rPr>
        <w:t xml:space="preserve">he police officers arrived, Frias </w:t>
      </w:r>
      <w:r w:rsidRPr="00E46E47">
        <w:rPr>
          <w:szCs w:val="20"/>
        </w:rPr>
        <w:t>had left</w:t>
      </w:r>
      <w:r w:rsidRPr="00E46E47">
        <w:rPr>
          <w:szCs w:val="20"/>
        </w:rPr>
        <w:t>.</w:t>
      </w:r>
      <w:r w:rsidRPr="00E84E43">
        <w:rPr>
          <w:szCs w:val="20"/>
        </w:rPr>
        <w:t xml:space="preserve"> </w:t>
      </w:r>
      <w:r>
        <w:rPr>
          <w:szCs w:val="20"/>
        </w:rPr>
        <w:t xml:space="preserve"> </w:t>
      </w:r>
      <w:r w:rsidRPr="00E46E47">
        <w:rPr>
          <w:szCs w:val="20"/>
        </w:rPr>
        <w:t>Approximately an hour later,</w:t>
      </w:r>
      <w:r w:rsidRPr="00E46E47">
        <w:rPr>
          <w:szCs w:val="20"/>
        </w:rPr>
        <w:t xml:space="preserve"> </w:t>
      </w:r>
      <w:r w:rsidRPr="00E46E47">
        <w:rPr>
          <w:szCs w:val="20"/>
        </w:rPr>
        <w:t xml:space="preserve">Frias </w:t>
      </w:r>
      <w:r w:rsidRPr="00E46E47">
        <w:rPr>
          <w:szCs w:val="20"/>
        </w:rPr>
        <w:t xml:space="preserve">followed up with a </w:t>
      </w:r>
      <w:r>
        <w:rPr>
          <w:szCs w:val="20"/>
        </w:rPr>
        <w:t xml:space="preserve">long </w:t>
      </w:r>
      <w:r w:rsidRPr="00E46E47">
        <w:rPr>
          <w:szCs w:val="20"/>
        </w:rPr>
        <w:t xml:space="preserve">post on Courtney’s </w:t>
      </w:r>
      <w:r w:rsidRPr="00E46E47">
        <w:rPr>
          <w:szCs w:val="20"/>
        </w:rPr>
        <w:t xml:space="preserve">Facebook </w:t>
      </w:r>
      <w:r w:rsidRPr="00E46E47">
        <w:rPr>
          <w:szCs w:val="20"/>
        </w:rPr>
        <w:t xml:space="preserve">account </w:t>
      </w:r>
      <w:r>
        <w:rPr>
          <w:szCs w:val="20"/>
        </w:rPr>
        <w:t>stating</w:t>
      </w:r>
      <w:r>
        <w:rPr>
          <w:szCs w:val="20"/>
        </w:rPr>
        <w:t xml:space="preserve"> that “cops are three-quarter retarded”</w:t>
      </w:r>
      <w:r>
        <w:rPr>
          <w:szCs w:val="20"/>
        </w:rPr>
        <w:t xml:space="preserve"> and</w:t>
      </w:r>
      <w:r w:rsidRPr="00E46E47">
        <w:rPr>
          <w:szCs w:val="20"/>
        </w:rPr>
        <w:t xml:space="preserve"> </w:t>
      </w:r>
      <w:r>
        <w:rPr>
          <w:szCs w:val="20"/>
        </w:rPr>
        <w:t>“</w:t>
      </w:r>
      <w:r>
        <w:rPr>
          <w:szCs w:val="20"/>
        </w:rPr>
        <w:t xml:space="preserve">[w]e </w:t>
      </w:r>
      <w:proofErr w:type="gramStart"/>
      <w:r>
        <w:rPr>
          <w:szCs w:val="20"/>
        </w:rPr>
        <w:t>are</w:t>
      </w:r>
      <w:proofErr w:type="gramEnd"/>
      <w:r>
        <w:rPr>
          <w:szCs w:val="20"/>
        </w:rPr>
        <w:t xml:space="preserve"> connected on a deeper level and I can’t fucken stop this shit</w:t>
      </w:r>
      <w:r>
        <w:rPr>
          <w:szCs w:val="20"/>
        </w:rPr>
        <w:t>.</w:t>
      </w:r>
      <w:r>
        <w:rPr>
          <w:szCs w:val="20"/>
        </w:rPr>
        <w:t>”</w:t>
      </w:r>
      <w:r>
        <w:rPr>
          <w:szCs w:val="20"/>
        </w:rPr>
        <w:t xml:space="preserve">  He made other</w:t>
      </w:r>
      <w:r w:rsidRPr="00E46E47">
        <w:rPr>
          <w:szCs w:val="20"/>
        </w:rPr>
        <w:t xml:space="preserve"> statements that </w:t>
      </w:r>
      <w:r w:rsidRPr="00E46E47">
        <w:rPr>
          <w:szCs w:val="20"/>
        </w:rPr>
        <w:t xml:space="preserve">again </w:t>
      </w:r>
      <w:r w:rsidRPr="00E46E47">
        <w:rPr>
          <w:szCs w:val="20"/>
        </w:rPr>
        <w:t>showed he had been watching her</w:t>
      </w:r>
      <w:r>
        <w:rPr>
          <w:szCs w:val="20"/>
        </w:rPr>
        <w:t>,</w:t>
      </w:r>
      <w:r>
        <w:rPr>
          <w:szCs w:val="20"/>
        </w:rPr>
        <w:t xml:space="preserve"> </w:t>
      </w:r>
      <w:r>
        <w:rPr>
          <w:szCs w:val="20"/>
        </w:rPr>
        <w:t>including that she</w:t>
      </w:r>
      <w:r>
        <w:rPr>
          <w:szCs w:val="20"/>
        </w:rPr>
        <w:t xml:space="preserve"> watched a lot of movies,</w:t>
      </w:r>
      <w:r>
        <w:rPr>
          <w:szCs w:val="20"/>
        </w:rPr>
        <w:t xml:space="preserve"> </w:t>
      </w:r>
      <w:r>
        <w:rPr>
          <w:szCs w:val="20"/>
        </w:rPr>
        <w:t xml:space="preserve">she </w:t>
      </w:r>
      <w:r>
        <w:rPr>
          <w:szCs w:val="20"/>
        </w:rPr>
        <w:t>changed her hair</w:t>
      </w:r>
      <w:r>
        <w:rPr>
          <w:szCs w:val="20"/>
        </w:rPr>
        <w:t>style</w:t>
      </w:r>
      <w:r>
        <w:rPr>
          <w:szCs w:val="20"/>
        </w:rPr>
        <w:t xml:space="preserve">, </w:t>
      </w:r>
      <w:r>
        <w:rPr>
          <w:szCs w:val="20"/>
        </w:rPr>
        <w:t>she wore</w:t>
      </w:r>
      <w:r>
        <w:rPr>
          <w:szCs w:val="20"/>
        </w:rPr>
        <w:t xml:space="preserve"> a poncho</w:t>
      </w:r>
      <w:r>
        <w:rPr>
          <w:szCs w:val="20"/>
        </w:rPr>
        <w:t xml:space="preserve"> and a bandana</w:t>
      </w:r>
      <w:r>
        <w:rPr>
          <w:szCs w:val="20"/>
        </w:rPr>
        <w:t xml:space="preserve"> on separate occasions, and she </w:t>
      </w:r>
      <w:r>
        <w:rPr>
          <w:szCs w:val="20"/>
        </w:rPr>
        <w:t>owned</w:t>
      </w:r>
      <w:r>
        <w:rPr>
          <w:szCs w:val="20"/>
        </w:rPr>
        <w:t xml:space="preserve"> a white car</w:t>
      </w:r>
      <w:r w:rsidRPr="00E46E47">
        <w:rPr>
          <w:szCs w:val="20"/>
        </w:rPr>
        <w:t>.</w:t>
      </w:r>
      <w:r>
        <w:rPr>
          <w:szCs w:val="20"/>
        </w:rPr>
        <w:t xml:space="preserve">  He </w:t>
      </w:r>
      <w:r>
        <w:rPr>
          <w:szCs w:val="20"/>
        </w:rPr>
        <w:t>continued</w:t>
      </w:r>
      <w:r>
        <w:rPr>
          <w:szCs w:val="20"/>
        </w:rPr>
        <w:t>,</w:t>
      </w:r>
      <w:r>
        <w:rPr>
          <w:szCs w:val="20"/>
        </w:rPr>
        <w:t xml:space="preserve"> “</w:t>
      </w:r>
      <w:r>
        <w:rPr>
          <w:szCs w:val="20"/>
        </w:rPr>
        <w:t>[U]</w:t>
      </w:r>
      <w:proofErr w:type="spellStart"/>
      <w:r>
        <w:rPr>
          <w:szCs w:val="20"/>
        </w:rPr>
        <w:t>gly</w:t>
      </w:r>
      <w:proofErr w:type="spellEnd"/>
      <w:r>
        <w:rPr>
          <w:szCs w:val="20"/>
        </w:rPr>
        <w:t xml:space="preserve"> guys stalk, I’m an admirer from afar, and I’m tired of it</w:t>
      </w:r>
      <w:r>
        <w:rPr>
          <w:szCs w:val="20"/>
        </w:rPr>
        <w:t>.</w:t>
      </w:r>
      <w:r>
        <w:rPr>
          <w:szCs w:val="20"/>
        </w:rPr>
        <w:t xml:space="preserve">” </w:t>
      </w:r>
      <w:r>
        <w:rPr>
          <w:szCs w:val="20"/>
        </w:rPr>
        <w:t xml:space="preserve"> Frias concluded, “</w:t>
      </w:r>
      <w:r>
        <w:rPr>
          <w:szCs w:val="20"/>
        </w:rPr>
        <w:t>Please just show me the real you.  To be honest tonight was an awesome start.”</w:t>
      </w:r>
      <w:r>
        <w:rPr>
          <w:szCs w:val="20"/>
        </w:rPr>
        <w:t xml:space="preserve"> </w:t>
      </w:r>
      <w:r>
        <w:rPr>
          <w:szCs w:val="20"/>
        </w:rPr>
        <w:t xml:space="preserve"> </w:t>
      </w:r>
      <w:r>
        <w:rPr>
          <w:szCs w:val="20"/>
        </w:rPr>
        <w:t xml:space="preserve">Courtney </w:t>
      </w:r>
      <w:r>
        <w:rPr>
          <w:szCs w:val="20"/>
        </w:rPr>
        <w:t xml:space="preserve">testified </w:t>
      </w:r>
      <w:r>
        <w:rPr>
          <w:szCs w:val="20"/>
        </w:rPr>
        <w:t xml:space="preserve">that </w:t>
      </w:r>
      <w:r>
        <w:rPr>
          <w:szCs w:val="20"/>
        </w:rPr>
        <w:t xml:space="preserve">when she </w:t>
      </w:r>
      <w:r>
        <w:rPr>
          <w:szCs w:val="20"/>
        </w:rPr>
        <w:t xml:space="preserve">read </w:t>
      </w:r>
      <w:r>
        <w:rPr>
          <w:szCs w:val="20"/>
        </w:rPr>
        <w:t>Frias’s message, her “hand was shaking so much</w:t>
      </w:r>
      <w:r>
        <w:rPr>
          <w:szCs w:val="20"/>
        </w:rPr>
        <w:t xml:space="preserve"> that [her] friend had to take the phone out of [her] hand.</w:t>
      </w:r>
      <w:r>
        <w:rPr>
          <w:szCs w:val="20"/>
        </w:rPr>
        <w:t>”  Courtney</w:t>
      </w:r>
      <w:r>
        <w:rPr>
          <w:szCs w:val="20"/>
        </w:rPr>
        <w:t xml:space="preserve"> added, </w:t>
      </w:r>
      <w:r>
        <w:rPr>
          <w:szCs w:val="20"/>
        </w:rPr>
        <w:t xml:space="preserve">“And the police obviously didn’t scare him” because he “wrote this right after they left.”   </w:t>
      </w:r>
      <w:r>
        <w:rPr>
          <w:szCs w:val="20"/>
        </w:rPr>
        <w:t xml:space="preserve">  </w:t>
      </w:r>
      <w:r>
        <w:rPr>
          <w:szCs w:val="20"/>
        </w:rPr>
        <w:t xml:space="preserve"> </w:t>
      </w:r>
      <w:r>
        <w:rPr>
          <w:szCs w:val="20"/>
        </w:rPr>
        <w:t xml:space="preserve"> </w:t>
      </w:r>
      <w:r w:rsidRPr="00E46E47">
        <w:rPr>
          <w:szCs w:val="20"/>
        </w:rPr>
        <w:t xml:space="preserve"> </w:t>
      </w:r>
    </w:p>
    <w:p w14:paraId="74CF8F26" w14:textId="77777777" w:rsidR="00204D4F" w:rsidRDefault="00204D4F" w:rsidP="00CC2869">
      <w:pPr>
        <w:ind w:firstLine="720"/>
        <w:rPr>
          <w:szCs w:val="20"/>
        </w:rPr>
      </w:pPr>
      <w:r>
        <w:rPr>
          <w:szCs w:val="20"/>
        </w:rPr>
        <w:t xml:space="preserve">On the </w:t>
      </w:r>
      <w:r>
        <w:rPr>
          <w:szCs w:val="20"/>
        </w:rPr>
        <w:t>afternoon</w:t>
      </w:r>
      <w:r>
        <w:rPr>
          <w:szCs w:val="20"/>
        </w:rPr>
        <w:t xml:space="preserve"> </w:t>
      </w:r>
      <w:r>
        <w:rPr>
          <w:szCs w:val="20"/>
        </w:rPr>
        <w:t xml:space="preserve">of March 10 </w:t>
      </w:r>
      <w:r w:rsidRPr="0052212D">
        <w:rPr>
          <w:szCs w:val="20"/>
        </w:rPr>
        <w:t xml:space="preserve">Courtney’s mother </w:t>
      </w:r>
      <w:r>
        <w:rPr>
          <w:szCs w:val="20"/>
        </w:rPr>
        <w:t xml:space="preserve">Amanda </w:t>
      </w:r>
      <w:r>
        <w:rPr>
          <w:szCs w:val="20"/>
        </w:rPr>
        <w:t xml:space="preserve">sent Frias a text message stating she was </w:t>
      </w:r>
      <w:r>
        <w:rPr>
          <w:szCs w:val="20"/>
        </w:rPr>
        <w:t>“</w:t>
      </w:r>
      <w:r>
        <w:rPr>
          <w:szCs w:val="20"/>
        </w:rPr>
        <w:t>‘</w:t>
      </w:r>
      <w:r>
        <w:rPr>
          <w:szCs w:val="20"/>
        </w:rPr>
        <w:t>trying to reach Alexander Alber</w:t>
      </w:r>
      <w:r>
        <w:rPr>
          <w:szCs w:val="20"/>
        </w:rPr>
        <w:t>t</w:t>
      </w:r>
      <w:r>
        <w:rPr>
          <w:szCs w:val="20"/>
        </w:rPr>
        <w:t xml:space="preserve">.’” </w:t>
      </w:r>
      <w:r w:rsidRPr="0052212D">
        <w:rPr>
          <w:szCs w:val="20"/>
        </w:rPr>
        <w:t xml:space="preserve"> </w:t>
      </w:r>
      <w:r>
        <w:rPr>
          <w:szCs w:val="20"/>
        </w:rPr>
        <w:t xml:space="preserve">On </w:t>
      </w:r>
      <w:r>
        <w:rPr>
          <w:szCs w:val="20"/>
        </w:rPr>
        <w:t>March 13</w:t>
      </w:r>
      <w:r>
        <w:rPr>
          <w:szCs w:val="20"/>
        </w:rPr>
        <w:t xml:space="preserve"> </w:t>
      </w:r>
      <w:r>
        <w:rPr>
          <w:szCs w:val="20"/>
        </w:rPr>
        <w:t>at approximately 10:27 p.m. Amanda received a response to her text message stating, “‘Meet me downstairs so you can suck this dick.’”  Amanda assumed Frias believed he was writing to Courtney and that he was at the gate to Courtney’s apartment complex.  When Courtney learned about Frias’s response, she “didn’t feel safe” and “was terrified” because it was “happening aga</w:t>
      </w:r>
      <w:r>
        <w:rPr>
          <w:szCs w:val="20"/>
        </w:rPr>
        <w:t xml:space="preserve">in like he said it would.”  Courtney was </w:t>
      </w:r>
      <w:r>
        <w:rPr>
          <w:szCs w:val="20"/>
        </w:rPr>
        <w:t xml:space="preserve">a </w:t>
      </w:r>
      <w:r>
        <w:rPr>
          <w:szCs w:val="20"/>
        </w:rPr>
        <w:t xml:space="preserve">block or two away from her apartment and drove back to her </w:t>
      </w:r>
      <w:r>
        <w:rPr>
          <w:szCs w:val="20"/>
        </w:rPr>
        <w:t>apartment complex</w:t>
      </w:r>
      <w:r>
        <w:rPr>
          <w:szCs w:val="20"/>
        </w:rPr>
        <w:t xml:space="preserve">.  She </w:t>
      </w:r>
      <w:proofErr w:type="gramStart"/>
      <w:r>
        <w:rPr>
          <w:szCs w:val="20"/>
        </w:rPr>
        <w:t>stayed</w:t>
      </w:r>
      <w:proofErr w:type="gramEnd"/>
      <w:r>
        <w:rPr>
          <w:szCs w:val="20"/>
        </w:rPr>
        <w:t xml:space="preserve"> in her car and called the police.  </w:t>
      </w:r>
    </w:p>
    <w:p w14:paraId="59B38FE0" w14:textId="77777777" w:rsidR="00204D4F" w:rsidRDefault="00204D4F" w:rsidP="00CC2869">
      <w:pPr>
        <w:ind w:firstLine="720"/>
        <w:rPr>
          <w:szCs w:val="20"/>
        </w:rPr>
      </w:pPr>
      <w:r>
        <w:rPr>
          <w:szCs w:val="20"/>
        </w:rPr>
        <w:lastRenderedPageBreak/>
        <w:t>At approximately 10:55 p.m. t</w:t>
      </w:r>
      <w:r w:rsidRPr="00E46E47">
        <w:rPr>
          <w:szCs w:val="20"/>
        </w:rPr>
        <w:t>he police arrive</w:t>
      </w:r>
      <w:r w:rsidRPr="00E46E47">
        <w:rPr>
          <w:szCs w:val="20"/>
        </w:rPr>
        <w:t>d</w:t>
      </w:r>
      <w:r w:rsidRPr="00E46E47">
        <w:rPr>
          <w:szCs w:val="20"/>
        </w:rPr>
        <w:t xml:space="preserve"> and found</w:t>
      </w:r>
      <w:r w:rsidRPr="00C82A72">
        <w:rPr>
          <w:szCs w:val="20"/>
        </w:rPr>
        <w:t xml:space="preserve"> Frias sitting in the building’s parking lot.  The </w:t>
      </w:r>
      <w:r>
        <w:rPr>
          <w:szCs w:val="20"/>
        </w:rPr>
        <w:t xml:space="preserve">police </w:t>
      </w:r>
      <w:r w:rsidRPr="00C82A72">
        <w:rPr>
          <w:szCs w:val="20"/>
        </w:rPr>
        <w:t xml:space="preserve">officers detained him, </w:t>
      </w:r>
      <w:r w:rsidRPr="00C82A72">
        <w:rPr>
          <w:szCs w:val="20"/>
        </w:rPr>
        <w:t xml:space="preserve">and at some </w:t>
      </w:r>
      <w:proofErr w:type="gramStart"/>
      <w:r w:rsidRPr="00C82A72">
        <w:rPr>
          <w:szCs w:val="20"/>
        </w:rPr>
        <w:t>point</w:t>
      </w:r>
      <w:proofErr w:type="gramEnd"/>
      <w:r w:rsidRPr="00C82A72">
        <w:rPr>
          <w:szCs w:val="20"/>
        </w:rPr>
        <w:t xml:space="preserve"> </w:t>
      </w:r>
      <w:r w:rsidRPr="00C82A72">
        <w:rPr>
          <w:szCs w:val="20"/>
        </w:rPr>
        <w:t>Frias</w:t>
      </w:r>
      <w:r w:rsidRPr="00C82A72">
        <w:rPr>
          <w:szCs w:val="20"/>
        </w:rPr>
        <w:t xml:space="preserve"> shouted, “‘Courtney, baby, love me.’”</w:t>
      </w:r>
      <w:r w:rsidRPr="00F43B3B">
        <w:rPr>
          <w:szCs w:val="20"/>
        </w:rPr>
        <w:t xml:space="preserve"> </w:t>
      </w:r>
      <w:r>
        <w:rPr>
          <w:szCs w:val="20"/>
        </w:rPr>
        <w:t xml:space="preserve"> </w:t>
      </w:r>
      <w:r w:rsidRPr="00C82A72">
        <w:rPr>
          <w:szCs w:val="20"/>
        </w:rPr>
        <w:t xml:space="preserve"> </w:t>
      </w:r>
    </w:p>
    <w:p w14:paraId="58A373F1" w14:textId="77777777" w:rsidR="00204D4F" w:rsidRPr="00D00755" w:rsidRDefault="00204D4F" w:rsidP="000763BB">
      <w:pPr>
        <w:ind w:firstLine="720"/>
        <w:rPr>
          <w:szCs w:val="20"/>
        </w:rPr>
      </w:pPr>
    </w:p>
    <w:p w14:paraId="11A3D027" w14:textId="77777777" w:rsidR="00204D4F" w:rsidRPr="00D00755" w:rsidRDefault="00204D4F" w:rsidP="00D00755">
      <w:pPr>
        <w:numPr>
          <w:ilvl w:val="1"/>
          <w:numId w:val="1"/>
        </w:numPr>
        <w:contextualSpacing/>
        <w:rPr>
          <w:iCs/>
          <w:szCs w:val="20"/>
        </w:rPr>
      </w:pPr>
      <w:r>
        <w:rPr>
          <w:i/>
          <w:iCs/>
          <w:szCs w:val="20"/>
        </w:rPr>
        <w:t xml:space="preserve">The </w:t>
      </w:r>
      <w:r>
        <w:rPr>
          <w:i/>
          <w:iCs/>
          <w:szCs w:val="20"/>
        </w:rPr>
        <w:t>Verdict and Sentencing</w:t>
      </w:r>
    </w:p>
    <w:p w14:paraId="54751559" w14:textId="77777777" w:rsidR="00204D4F" w:rsidRDefault="00204D4F" w:rsidP="00D03A87">
      <w:r>
        <w:tab/>
      </w:r>
      <w:r>
        <w:t>The jury found Frias guilty o</w:t>
      </w:r>
      <w:r>
        <w:t xml:space="preserve">f </w:t>
      </w:r>
      <w:r>
        <w:t xml:space="preserve">felony </w:t>
      </w:r>
      <w:r>
        <w:t>stalking</w:t>
      </w:r>
      <w:r>
        <w:t xml:space="preserve">.  </w:t>
      </w:r>
      <w:r>
        <w:t>(</w:t>
      </w:r>
      <w:r>
        <w:t xml:space="preserve">Pen. Code, </w:t>
      </w:r>
      <w:r>
        <w:t>§</w:t>
      </w:r>
      <w:r>
        <w:t> </w:t>
      </w:r>
      <w:r>
        <w:t>646.9, subd. (a)</w:t>
      </w:r>
      <w:r>
        <w:t>.</w:t>
      </w:r>
      <w:r>
        <w:t>)</w:t>
      </w:r>
      <w:r>
        <w:rPr>
          <w:rStyle w:val="FootnoteReference"/>
        </w:rPr>
        <w:footnoteReference w:id="3"/>
      </w:r>
      <w:r>
        <w:t xml:space="preserve">  On </w:t>
      </w:r>
      <w:r>
        <w:t xml:space="preserve">August 1, </w:t>
      </w:r>
      <w:proofErr w:type="gramStart"/>
      <w:r>
        <w:t>2022</w:t>
      </w:r>
      <w:proofErr w:type="gramEnd"/>
      <w:r>
        <w:t xml:space="preserve"> the </w:t>
      </w:r>
      <w:r>
        <w:t xml:space="preserve">trial court imposed and </w:t>
      </w:r>
      <w:r>
        <w:t xml:space="preserve">suspended Frias’s sentence, placed </w:t>
      </w:r>
      <w:r>
        <w:t xml:space="preserve">him on formal probation for two years, and ordered him to serve </w:t>
      </w:r>
      <w:r>
        <w:t xml:space="preserve">192 days in county jail with 192 days of credit for time served. </w:t>
      </w:r>
      <w:r>
        <w:t xml:space="preserve"> The court also </w:t>
      </w:r>
      <w:r>
        <w:t xml:space="preserve">issued a 10-year protective order requiring </w:t>
      </w:r>
      <w:r>
        <w:t xml:space="preserve">Frias </w:t>
      </w:r>
      <w:r>
        <w:t xml:space="preserve">not to contact Courtney and </w:t>
      </w:r>
      <w:r>
        <w:t xml:space="preserve">to </w:t>
      </w:r>
      <w:r>
        <w:t xml:space="preserve">stay </w:t>
      </w:r>
      <w:r>
        <w:t xml:space="preserve">at least 100 yards </w:t>
      </w:r>
      <w:r>
        <w:t xml:space="preserve">away </w:t>
      </w:r>
      <w:r>
        <w:t>from her.</w:t>
      </w:r>
      <w:r>
        <w:t xml:space="preserve">  </w:t>
      </w:r>
    </w:p>
    <w:p w14:paraId="2AC0E57A" w14:textId="77777777" w:rsidR="00204D4F" w:rsidRDefault="00204D4F" w:rsidP="00D00755">
      <w:pPr>
        <w:ind w:firstLine="720"/>
        <w:rPr>
          <w:szCs w:val="20"/>
        </w:rPr>
      </w:pPr>
      <w:r>
        <w:rPr>
          <w:szCs w:val="20"/>
        </w:rPr>
        <w:t>Frias</w:t>
      </w:r>
      <w:r w:rsidRPr="00D00755">
        <w:rPr>
          <w:szCs w:val="20"/>
        </w:rPr>
        <w:t xml:space="preserve"> timely appealed.</w:t>
      </w:r>
      <w:r>
        <w:rPr>
          <w:szCs w:val="20"/>
        </w:rPr>
        <w:t xml:space="preserve"> </w:t>
      </w:r>
    </w:p>
    <w:p w14:paraId="4530539C" w14:textId="77777777" w:rsidR="00204D4F" w:rsidRDefault="00204D4F">
      <w:pPr>
        <w:spacing w:line="240" w:lineRule="auto"/>
        <w:rPr>
          <w:szCs w:val="20"/>
        </w:rPr>
      </w:pPr>
    </w:p>
    <w:p w14:paraId="6A045CCA" w14:textId="77777777" w:rsidR="00204D4F" w:rsidRPr="00D00755" w:rsidRDefault="00204D4F" w:rsidP="00D00755">
      <w:pPr>
        <w:keepNext/>
        <w:numPr>
          <w:ilvl w:val="0"/>
          <w:numId w:val="1"/>
        </w:numPr>
        <w:jc w:val="center"/>
        <w:outlineLvl w:val="0"/>
        <w:rPr>
          <w:b/>
          <w:caps/>
          <w:szCs w:val="20"/>
        </w:rPr>
      </w:pPr>
      <w:r w:rsidRPr="00D00755">
        <w:rPr>
          <w:b/>
          <w:caps/>
          <w:szCs w:val="20"/>
        </w:rPr>
        <w:t>DISCUSSION</w:t>
      </w:r>
    </w:p>
    <w:p w14:paraId="44689869" w14:textId="77777777" w:rsidR="00204D4F" w:rsidRPr="00D00755" w:rsidRDefault="00204D4F" w:rsidP="00D00755">
      <w:pPr>
        <w:tabs>
          <w:tab w:val="center" w:pos="4680"/>
          <w:tab w:val="right" w:pos="9360"/>
        </w:tabs>
        <w:spacing w:line="240" w:lineRule="auto"/>
        <w:rPr>
          <w:szCs w:val="20"/>
        </w:rPr>
      </w:pPr>
    </w:p>
    <w:p w14:paraId="7BABC49D" w14:textId="77777777" w:rsidR="00204D4F" w:rsidRDefault="00204D4F" w:rsidP="00153E77">
      <w:pPr>
        <w:pStyle w:val="Heading2"/>
      </w:pPr>
      <w:r>
        <w:t>The Trial Court Abuse</w:t>
      </w:r>
      <w:r>
        <w:t>d</w:t>
      </w:r>
      <w:r>
        <w:t xml:space="preserve"> Its Discretion in Denying Frias’s </w:t>
      </w:r>
      <w:r>
        <w:t xml:space="preserve">Final </w:t>
      </w:r>
      <w:r>
        <w:t xml:space="preserve">Request </w:t>
      </w:r>
      <w:r>
        <w:t>f</w:t>
      </w:r>
      <w:r>
        <w:t>o</w:t>
      </w:r>
      <w:r>
        <w:t>r</w:t>
      </w:r>
      <w:r>
        <w:t xml:space="preserve"> </w:t>
      </w:r>
      <w:r>
        <w:t>Su</w:t>
      </w:r>
      <w:r>
        <w:t>bstitut</w:t>
      </w:r>
      <w:r>
        <w:t>ion</w:t>
      </w:r>
      <w:r>
        <w:t xml:space="preserve"> </w:t>
      </w:r>
      <w:r>
        <w:t>of</w:t>
      </w:r>
      <w:r>
        <w:t xml:space="preserve"> </w:t>
      </w:r>
      <w:r>
        <w:t>Counsel</w:t>
      </w:r>
    </w:p>
    <w:p w14:paraId="07A2BE63" w14:textId="77777777" w:rsidR="00204D4F" w:rsidRPr="006C4369" w:rsidRDefault="00204D4F" w:rsidP="000400D3">
      <w:pPr>
        <w:pStyle w:val="Heading3"/>
      </w:pPr>
      <w:r w:rsidRPr="006C4369">
        <w:t xml:space="preserve">Trial court </w:t>
      </w:r>
      <w:r w:rsidRPr="006C4369">
        <w:t>proceedings</w:t>
      </w:r>
    </w:p>
    <w:p w14:paraId="096E9F7B" w14:textId="77777777" w:rsidR="00204D4F" w:rsidRDefault="00204D4F" w:rsidP="00BF54BD">
      <w:r>
        <w:tab/>
        <w:t xml:space="preserve">On May 10, </w:t>
      </w:r>
      <w:proofErr w:type="gramStart"/>
      <w:r>
        <w:t>2018</w:t>
      </w:r>
      <w:proofErr w:type="gramEnd"/>
      <w:r>
        <w:t xml:space="preserve"> deputy public defender Jeffrey Graves represented Frias at the preliminary hearing.  On October 25, </w:t>
      </w:r>
      <w:proofErr w:type="gramStart"/>
      <w:r>
        <w:t>2018</w:t>
      </w:r>
      <w:proofErr w:type="gramEnd"/>
      <w:r>
        <w:t xml:space="preserve"> the trial court granted Frias’s request to </w:t>
      </w:r>
      <w:proofErr w:type="gramStart"/>
      <w:r>
        <w:t xml:space="preserve">substitute </w:t>
      </w:r>
      <w:r>
        <w:t>in</w:t>
      </w:r>
      <w:proofErr w:type="gramEnd"/>
      <w:r>
        <w:t xml:space="preserve"> </w:t>
      </w:r>
      <w:r>
        <w:t xml:space="preserve">Mark Melnick as his attorney. </w:t>
      </w:r>
    </w:p>
    <w:p w14:paraId="73E8D80B" w14:textId="77777777" w:rsidR="00204D4F" w:rsidRDefault="00204D4F" w:rsidP="00BF54BD">
      <w:r>
        <w:tab/>
        <w:t xml:space="preserve">At the August 23, </w:t>
      </w:r>
      <w:proofErr w:type="gramStart"/>
      <w:r>
        <w:t>2019</w:t>
      </w:r>
      <w:proofErr w:type="gramEnd"/>
      <w:r>
        <w:t xml:space="preserve"> hearing, Melnick </w:t>
      </w:r>
      <w:r>
        <w:t xml:space="preserve">stated Frias was requesting </w:t>
      </w:r>
      <w:r>
        <w:t xml:space="preserve">the court </w:t>
      </w:r>
      <w:r>
        <w:t xml:space="preserve">relieve </w:t>
      </w:r>
      <w:r>
        <w:t>him</w:t>
      </w:r>
      <w:r>
        <w:t xml:space="preserve"> and appoint the public defender.  </w:t>
      </w:r>
      <w:r>
        <w:t>Melnick</w:t>
      </w:r>
      <w:r>
        <w:t xml:space="preserve"> added, </w:t>
      </w:r>
      <w:r>
        <w:t xml:space="preserve">“I would say we have reached an impasse in our </w:t>
      </w:r>
      <w:r>
        <w:lastRenderedPageBreak/>
        <w:t>relationship, and there is a conflict at this point.”  The trial court</w:t>
      </w:r>
      <w:r>
        <w:rPr>
          <w:rStyle w:val="FootnoteReference"/>
        </w:rPr>
        <w:footnoteReference w:id="4"/>
      </w:r>
      <w:r>
        <w:t xml:space="preserve"> granted Frias’s request and appointed </w:t>
      </w:r>
      <w:r>
        <w:t xml:space="preserve">the </w:t>
      </w:r>
      <w:r>
        <w:t>public defender’s office (</w:t>
      </w:r>
      <w:r>
        <w:t>deputy public defender Noah Cox</w:t>
      </w:r>
      <w:r>
        <w:t>)</w:t>
      </w:r>
      <w:r>
        <w:t xml:space="preserve"> as counsel.  The court informed Frias, “You have the right to have counsel of your choice, and if you want to have the public defender, I will reappoint them.  However, I express my concern that this case has been pending for a year with your private counsel.  You had the public defender for three months, </w:t>
      </w:r>
      <w:r>
        <w:t xml:space="preserve">[then] </w:t>
      </w:r>
      <w:proofErr w:type="gramStart"/>
      <w:r>
        <w:t>pending</w:t>
      </w:r>
      <w:proofErr w:type="gramEnd"/>
      <w:r>
        <w:t xml:space="preserve"> for a year with Mr. Melni</w:t>
      </w:r>
      <w:r>
        <w:t>c</w:t>
      </w:r>
      <w:r>
        <w:t xml:space="preserve">k.  I express my concern that this may be for </w:t>
      </w:r>
      <w:proofErr w:type="gramStart"/>
      <w:r>
        <w:t>purposes</w:t>
      </w:r>
      <w:proofErr w:type="gramEnd"/>
      <w:r>
        <w:t xml:space="preserve"> of dela</w:t>
      </w:r>
      <w:r>
        <w:t>y.</w:t>
      </w:r>
      <w:r>
        <w:t xml:space="preserve"> </w:t>
      </w:r>
      <w:r>
        <w:t xml:space="preserve"> But I am reappointing the public defender.” </w:t>
      </w:r>
    </w:p>
    <w:p w14:paraId="46B51E33" w14:textId="77777777" w:rsidR="00204D4F" w:rsidRDefault="00204D4F" w:rsidP="00BF54BD">
      <w:r>
        <w:tab/>
        <w:t xml:space="preserve">On November 4, </w:t>
      </w:r>
      <w:proofErr w:type="gramStart"/>
      <w:r>
        <w:t>2019</w:t>
      </w:r>
      <w:proofErr w:type="gramEnd"/>
      <w:r>
        <w:t xml:space="preserve"> Frias requested Amber Gordon </w:t>
      </w:r>
      <w:r>
        <w:t xml:space="preserve">be substituted </w:t>
      </w:r>
      <w:r>
        <w:t xml:space="preserve">in </w:t>
      </w:r>
      <w:r>
        <w:t xml:space="preserve">as his attorney.  The </w:t>
      </w:r>
      <w:r>
        <w:t xml:space="preserve">trial </w:t>
      </w:r>
      <w:r>
        <w:t xml:space="preserve">court granted Frias’s request but </w:t>
      </w:r>
      <w:r>
        <w:t>again</w:t>
      </w:r>
      <w:r>
        <w:t xml:space="preserve"> </w:t>
      </w:r>
      <w:r>
        <w:t xml:space="preserve">expressed concern about Frias’s “conduct going back and forth with different attorneys when he’s already been admonished about this.”  </w:t>
      </w:r>
    </w:p>
    <w:p w14:paraId="2D545C47" w14:textId="77777777" w:rsidR="00204D4F" w:rsidRDefault="00204D4F" w:rsidP="00BF54BD">
      <w:r>
        <w:tab/>
        <w:t xml:space="preserve">On October 1, </w:t>
      </w:r>
      <w:proofErr w:type="gramStart"/>
      <w:r>
        <w:t>2020</w:t>
      </w:r>
      <w:proofErr w:type="gramEnd"/>
      <w:r>
        <w:t xml:space="preserve"> the prosecutor and Gordon announced they were ready for trial.  The trial court </w:t>
      </w:r>
      <w:r>
        <w:t xml:space="preserve">set </w:t>
      </w:r>
      <w:r>
        <w:t>October 6</w:t>
      </w:r>
      <w:r>
        <w:t xml:space="preserve"> as the trial date</w:t>
      </w:r>
      <w:r>
        <w:t xml:space="preserve">.  </w:t>
      </w:r>
      <w:r>
        <w:t>However, o</w:t>
      </w:r>
      <w:r>
        <w:t>n October 6 Gordon declared a doubt as to Frias’s mental competenc</w:t>
      </w:r>
      <w:r>
        <w:t>e</w:t>
      </w:r>
      <w:r>
        <w:t xml:space="preserve">, and the court suspended the </w:t>
      </w:r>
      <w:r>
        <w:t xml:space="preserve">criminal </w:t>
      </w:r>
      <w:r>
        <w:t xml:space="preserve">proceedings.  </w:t>
      </w:r>
    </w:p>
    <w:p w14:paraId="1864C9CA" w14:textId="77777777" w:rsidR="00204D4F" w:rsidRDefault="00204D4F" w:rsidP="00BF54BD">
      <w:r>
        <w:tab/>
        <w:t xml:space="preserve">On December 3, 2020, while court proceedings were suspended, Gordon informed the trial court that </w:t>
      </w:r>
      <w:r>
        <w:t xml:space="preserve">Frias was requesting new counsel, which </w:t>
      </w:r>
      <w:r>
        <w:t xml:space="preserve">Gordon </w:t>
      </w:r>
      <w:r>
        <w:t xml:space="preserve">supported </w:t>
      </w:r>
      <w:r>
        <w:t xml:space="preserve">because </w:t>
      </w:r>
      <w:r>
        <w:t xml:space="preserve">of a breakdown </w:t>
      </w:r>
      <w:r>
        <w:t xml:space="preserve">in communication.  The court expressed </w:t>
      </w:r>
      <w:r>
        <w:t>its belief</w:t>
      </w:r>
      <w:r>
        <w:t xml:space="preserve"> that Frias was “trying to manipulate the process in this case by just refusing to communicate with his attorney.”  </w:t>
      </w:r>
      <w:r>
        <w:t xml:space="preserve">But </w:t>
      </w:r>
      <w:proofErr w:type="gramStart"/>
      <w:r>
        <w:t>in light of</w:t>
      </w:r>
      <w:proofErr w:type="gramEnd"/>
      <w:r>
        <w:t xml:space="preserve"> the </w:t>
      </w:r>
      <w:r>
        <w:lastRenderedPageBreak/>
        <w:t>conflict, t</w:t>
      </w:r>
      <w:r>
        <w:t xml:space="preserve">he court granted Frias’s request to substitute Matthew </w:t>
      </w:r>
      <w:proofErr w:type="gramStart"/>
      <w:r>
        <w:t xml:space="preserve">Cargal </w:t>
      </w:r>
      <w:r>
        <w:t>in</w:t>
      </w:r>
      <w:proofErr w:type="gramEnd"/>
      <w:r>
        <w:t xml:space="preserve"> </w:t>
      </w:r>
      <w:r>
        <w:t xml:space="preserve">as his attorney.  </w:t>
      </w:r>
    </w:p>
    <w:p w14:paraId="6D9E147C" w14:textId="77777777" w:rsidR="00204D4F" w:rsidRDefault="00204D4F" w:rsidP="00BF54BD">
      <w:r>
        <w:tab/>
      </w:r>
      <w:r>
        <w:t>Frias failed to appear in court o</w:t>
      </w:r>
      <w:r>
        <w:t>n the morning of January 4, 2021.  When the</w:t>
      </w:r>
      <w:r>
        <w:t xml:space="preserve"> trial</w:t>
      </w:r>
      <w:r>
        <w:t xml:space="preserve"> court </w:t>
      </w:r>
      <w:r>
        <w:t>inquired</w:t>
      </w:r>
      <w:r>
        <w:t xml:space="preserve"> about Frias’s whereabouts, Cargal responded that he had “made numerous attempts to contact [Frias] since the last court date”</w:t>
      </w:r>
      <w:r>
        <w:t xml:space="preserve"> but had not spoken to him since December 16, 2020</w:t>
      </w:r>
      <w:r w:rsidRPr="009D5D0D">
        <w:t>.</w:t>
      </w:r>
      <w:r>
        <w:t xml:space="preserve"> </w:t>
      </w:r>
      <w:r>
        <w:t xml:space="preserve"> Frias appeared in court</w:t>
      </w:r>
      <w:r>
        <w:t xml:space="preserve"> later that morning</w:t>
      </w:r>
      <w:r>
        <w:t xml:space="preserve">.  Cargal moved to withdraw as counsel </w:t>
      </w:r>
      <w:r>
        <w:t xml:space="preserve">on the basis </w:t>
      </w:r>
      <w:r>
        <w:t>Frias made it difficult for Cargal to represent him</w:t>
      </w:r>
      <w:r>
        <w:t>,</w:t>
      </w:r>
      <w:r>
        <w:t xml:space="preserve"> and</w:t>
      </w:r>
      <w:r>
        <w:t xml:space="preserve"> further,</w:t>
      </w:r>
      <w:r>
        <w:t xml:space="preserve"> Frias </w:t>
      </w:r>
      <w:r>
        <w:t xml:space="preserve">said he </w:t>
      </w:r>
      <w:r>
        <w:t xml:space="preserve">could not pay Cargal’s fees.  The </w:t>
      </w:r>
      <w:r>
        <w:t xml:space="preserve">court </w:t>
      </w:r>
      <w:r>
        <w:t>granted Cargal’s motio</w:t>
      </w:r>
      <w:r>
        <w:t>n</w:t>
      </w:r>
      <w:r>
        <w:t xml:space="preserve"> and, a</w:t>
      </w:r>
      <w:r>
        <w:t xml:space="preserve">t Frias’s request, </w:t>
      </w:r>
      <w:r w:rsidRPr="00E7242B">
        <w:t>reappointed</w:t>
      </w:r>
      <w:r w:rsidRPr="00E7242B">
        <w:t xml:space="preserve"> the</w:t>
      </w:r>
      <w:r w:rsidRPr="00E7242B">
        <w:t xml:space="preserve"> public defender</w:t>
      </w:r>
      <w:r w:rsidRPr="00E7242B">
        <w:t>’s office</w:t>
      </w:r>
      <w:r w:rsidRPr="00E7242B">
        <w:t xml:space="preserve"> </w:t>
      </w:r>
      <w:r w:rsidRPr="00E7242B">
        <w:t>(</w:t>
      </w:r>
      <w:r w:rsidRPr="00E7242B">
        <w:t>Cox</w:t>
      </w:r>
      <w:r w:rsidRPr="009D5D0D">
        <w:t>)</w:t>
      </w:r>
      <w:r>
        <w:t xml:space="preserve">. </w:t>
      </w:r>
    </w:p>
    <w:p w14:paraId="6484CB89" w14:textId="77777777" w:rsidR="00204D4F" w:rsidRDefault="00204D4F" w:rsidP="00BF54BD">
      <w:r>
        <w:tab/>
      </w:r>
      <w:r>
        <w:t xml:space="preserve">On April 5, </w:t>
      </w:r>
      <w:proofErr w:type="gramStart"/>
      <w:r>
        <w:t>2021</w:t>
      </w:r>
      <w:proofErr w:type="gramEnd"/>
      <w:r>
        <w:t xml:space="preserve"> </w:t>
      </w:r>
      <w:r w:rsidRPr="00CA6C12">
        <w:t>a psychiatrist</w:t>
      </w:r>
      <w:r>
        <w:t xml:space="preserve"> </w:t>
      </w:r>
      <w:r>
        <w:t>submitted</w:t>
      </w:r>
      <w:r>
        <w:t xml:space="preserve"> a written report</w:t>
      </w:r>
      <w:r>
        <w:t xml:space="preserve"> opining</w:t>
      </w:r>
      <w:r>
        <w:t xml:space="preserve"> that </w:t>
      </w:r>
      <w:r>
        <w:t xml:space="preserve">Frias was competent to stand trial.  </w:t>
      </w:r>
      <w:r>
        <w:t>On April 9 t</w:t>
      </w:r>
      <w:r>
        <w:t>he trial court found Frias was competent to stand trial an</w:t>
      </w:r>
      <w:r>
        <w:t xml:space="preserve">d reinstated the criminal </w:t>
      </w:r>
      <w:r>
        <w:t xml:space="preserve">proceedings.   </w:t>
      </w:r>
    </w:p>
    <w:p w14:paraId="55813596" w14:textId="77777777" w:rsidR="00204D4F" w:rsidRDefault="00204D4F" w:rsidP="00BF54BD">
      <w:r>
        <w:tab/>
        <w:t xml:space="preserve">On June 23, </w:t>
      </w:r>
      <w:proofErr w:type="gramStart"/>
      <w:r>
        <w:t>2021</w:t>
      </w:r>
      <w:proofErr w:type="gramEnd"/>
      <w:r>
        <w:t xml:space="preserve"> Frias requested </w:t>
      </w:r>
      <w:r>
        <w:t xml:space="preserve">that </w:t>
      </w:r>
      <w:r>
        <w:t xml:space="preserve">Sergio Castaneda from </w:t>
      </w:r>
      <w:r>
        <w:t xml:space="preserve">the </w:t>
      </w:r>
      <w:r>
        <w:t xml:space="preserve">Castaneda </w:t>
      </w:r>
      <w:r>
        <w:t>firm</w:t>
      </w:r>
      <w:r>
        <w:t xml:space="preserve"> </w:t>
      </w:r>
      <w:r>
        <w:t xml:space="preserve">be substituted in as Frias’s </w:t>
      </w:r>
      <w:r>
        <w:t>counsel.  The trial court asked Castaneda if he was “ready to go to trial within the period.”  Castaneda responded he was ready but was</w:t>
      </w:r>
      <w:r>
        <w:t xml:space="preserve"> hoping </w:t>
      </w:r>
      <w:r>
        <w:t>to have time to review some issues with</w:t>
      </w:r>
      <w:r>
        <w:t xml:space="preserve"> the</w:t>
      </w:r>
      <w:r>
        <w:t xml:space="preserve"> </w:t>
      </w:r>
      <w:r>
        <w:t>defen</w:t>
      </w:r>
      <w:r>
        <w:t>se</w:t>
      </w:r>
      <w:r>
        <w:t xml:space="preserve"> expert.</w:t>
      </w:r>
      <w:r>
        <w:t xml:space="preserve">  The court again asked, “Are you ready to go to trial within the period?  Zero of 20?” </w:t>
      </w:r>
      <w:r>
        <w:t xml:space="preserve"> </w:t>
      </w:r>
      <w:r>
        <w:t>Castaneda answered, “Zero of 20, I would say no.”</w:t>
      </w:r>
      <w:r>
        <w:rPr>
          <w:rStyle w:val="FootnoteReference"/>
        </w:rPr>
        <w:footnoteReference w:id="5"/>
      </w:r>
      <w:r>
        <w:t xml:space="preserve">  The court then </w:t>
      </w:r>
      <w:r>
        <w:t>inquired</w:t>
      </w:r>
      <w:r>
        <w:t xml:space="preserve"> whether Castaneda </w:t>
      </w:r>
      <w:r>
        <w:lastRenderedPageBreak/>
        <w:t>had reviewed the discovery.</w:t>
      </w:r>
      <w:r>
        <w:t xml:space="preserve">  Castaneda replied, “I have reviewed some, but I do have the file now from [Cox] who sent this over to me about an hour ago.  </w:t>
      </w:r>
      <w:proofErr w:type="gramStart"/>
      <w:r>
        <w:t>So</w:t>
      </w:r>
      <w:proofErr w:type="gramEnd"/>
      <w:r>
        <w:t xml:space="preserve"> I will have more once I review that.”</w:t>
      </w:r>
      <w:r>
        <w:rPr>
          <w:rStyle w:val="FootnoteReference"/>
        </w:rPr>
        <w:footnoteReference w:id="6"/>
      </w:r>
      <w:r>
        <w:t xml:space="preserve">  </w:t>
      </w:r>
    </w:p>
    <w:p w14:paraId="58F1AE22" w14:textId="77777777" w:rsidR="00204D4F" w:rsidRDefault="00204D4F" w:rsidP="008B306A">
      <w:pPr>
        <w:ind w:firstLine="720"/>
      </w:pPr>
      <w:r>
        <w:t xml:space="preserve">The </w:t>
      </w:r>
      <w:r>
        <w:t xml:space="preserve">trial </w:t>
      </w:r>
      <w:r>
        <w:t xml:space="preserve">court </w:t>
      </w:r>
      <w:r>
        <w:t xml:space="preserve">denied Frias’s request, </w:t>
      </w:r>
      <w:r>
        <w:t>stating</w:t>
      </w:r>
      <w:r>
        <w:t>, “[T]his case has been pending for years with repeated change of counsel by Mr.</w:t>
      </w:r>
      <w:r>
        <w:t> </w:t>
      </w:r>
      <w:r>
        <w:t xml:space="preserve">Frias.  And I am hearing that Mr. Cox will be close to announcing ready.  He’s just finalizing an expert report.  The timing of </w:t>
      </w:r>
      <w:proofErr w:type="gramStart"/>
      <w:r>
        <w:t>new</w:t>
      </w:r>
      <w:proofErr w:type="gramEnd"/>
      <w:r>
        <w:t xml:space="preserve"> counsel’s readiness is highly unclear.  And I find that this request to substitute is a delay tactic.”  Cast</w:t>
      </w:r>
      <w:r>
        <w:t>a</w:t>
      </w:r>
      <w:r>
        <w:t>n</w:t>
      </w:r>
      <w:r>
        <w:t>e</w:t>
      </w:r>
      <w:r>
        <w:t xml:space="preserve">da responded that he </w:t>
      </w:r>
      <w:r>
        <w:t xml:space="preserve">was asking for no more time than Cox would need, </w:t>
      </w:r>
      <w:r>
        <w:t>and therefore,</w:t>
      </w:r>
      <w:r>
        <w:t xml:space="preserve"> “there would be no further delays.”  The court replied, “I d</w:t>
      </w:r>
      <w:r>
        <w:t>on’t</w:t>
      </w:r>
      <w:r>
        <w:t xml:space="preserve"> really</w:t>
      </w:r>
      <w:r>
        <w:t xml:space="preserve"> see how you are in a position to represent that since you haven’t received all of the discovery.”  The court added, “Aside from that . . . my primary concern here is . . . Mr. Frias with the pattern of constantly coming in with new </w:t>
      </w:r>
      <w:r>
        <w:lastRenderedPageBreak/>
        <w:t xml:space="preserve">attorneys when this case is so old.  And he keeps hiring new counsel and going back to the public defender.  And virtually every time he’s been here, the court expresses a concern about the age of the case and the need to move the matter forward.  </w:t>
      </w:r>
      <w:proofErr w:type="gramStart"/>
      <w:r>
        <w:t>So</w:t>
      </w:r>
      <w:proofErr w:type="gramEnd"/>
      <w:r>
        <w:t xml:space="preserve"> for all these reasons, the c</w:t>
      </w:r>
      <w:r>
        <w:t xml:space="preserve">ourt denies the request.”  The court continued the case to July 19, </w:t>
      </w:r>
      <w:proofErr w:type="gramStart"/>
      <w:r>
        <w:t>2021</w:t>
      </w:r>
      <w:proofErr w:type="gramEnd"/>
      <w:r>
        <w:t xml:space="preserve"> as day zero of 10 for trial. </w:t>
      </w:r>
    </w:p>
    <w:p w14:paraId="4AB224BE" w14:textId="77777777" w:rsidR="00204D4F" w:rsidRDefault="00204D4F" w:rsidP="00BF54BD">
      <w:r>
        <w:tab/>
        <w:t xml:space="preserve">On July 19, </w:t>
      </w:r>
      <w:proofErr w:type="gramStart"/>
      <w:r>
        <w:t>2021</w:t>
      </w:r>
      <w:proofErr w:type="gramEnd"/>
      <w:r>
        <w:t xml:space="preserve"> Frias requested Edward Yim from </w:t>
      </w:r>
      <w:r>
        <w:t xml:space="preserve">the </w:t>
      </w:r>
      <w:r>
        <w:t>Castan</w:t>
      </w:r>
      <w:r>
        <w:t>e</w:t>
      </w:r>
      <w:r>
        <w:t xml:space="preserve">da </w:t>
      </w:r>
      <w:r>
        <w:t>firm</w:t>
      </w:r>
      <w:r>
        <w:t xml:space="preserve"> </w:t>
      </w:r>
      <w:r>
        <w:t xml:space="preserve">be substituted in </w:t>
      </w:r>
      <w:r>
        <w:t>as his attorney.  Yim stated, “[O]</w:t>
      </w:r>
      <w:proofErr w:type="spellStart"/>
      <w:r>
        <w:t>ur</w:t>
      </w:r>
      <w:proofErr w:type="spellEnd"/>
      <w:r>
        <w:t xml:space="preserve"> office would be prepared to address both the </w:t>
      </w:r>
      <w:proofErr w:type="gramStart"/>
      <w:r w:rsidRPr="00A5072C">
        <w:rPr>
          <w:i/>
          <w:iCs/>
        </w:rPr>
        <w:t>Pitchess</w:t>
      </w:r>
      <w:r w:rsidRPr="00E00D25">
        <w:rPr>
          <w:vertAlign w:val="superscript"/>
        </w:rPr>
        <w:t>[</w:t>
      </w:r>
      <w:proofErr w:type="gramEnd"/>
      <w:r>
        <w:rPr>
          <w:rStyle w:val="FootnoteReference"/>
        </w:rPr>
        <w:footnoteReference w:id="7"/>
      </w:r>
      <w:r w:rsidRPr="00E00D25">
        <w:rPr>
          <w:vertAlign w:val="superscript"/>
        </w:rPr>
        <w:t>]</w:t>
      </w:r>
      <w:r w:rsidRPr="00E00D25">
        <w:rPr>
          <w:vertAlign w:val="superscript"/>
        </w:rPr>
        <w:t xml:space="preserve"> </w:t>
      </w:r>
      <w:r>
        <w:t xml:space="preserve">motions and . . . continue the process of having the expert evaluation completed.  Our office has been in communication with Mr. Frias’s current attorney, and it is our intent to not cause any further delays if our motion to substitute is granted.”  The </w:t>
      </w:r>
      <w:r>
        <w:t xml:space="preserve">trial </w:t>
      </w:r>
      <w:r>
        <w:t xml:space="preserve">court noted “the information was filed on May 25, 2018” and “[t]he case is over three years old.”  The court </w:t>
      </w:r>
      <w:r>
        <w:t>denied the request, explaining</w:t>
      </w:r>
      <w:r>
        <w:t xml:space="preserve">, “I do recognize that with the </w:t>
      </w:r>
      <w:r>
        <w:rPr>
          <w:i/>
          <w:iCs/>
        </w:rPr>
        <w:t xml:space="preserve">Pitchess </w:t>
      </w:r>
      <w:r>
        <w:t>[motion</w:t>
      </w:r>
      <w:r>
        <w:t>s</w:t>
      </w:r>
      <w:r>
        <w:t>] being filed that that will need to be determined, and the co</w:t>
      </w:r>
      <w:r>
        <w:t xml:space="preserve">urt will need to grant a short continuance on that basis.  But given the age of the case, the procedural history, </w:t>
      </w:r>
      <w:proofErr w:type="gramStart"/>
      <w:r>
        <w:t>all of</w:t>
      </w:r>
      <w:proofErr w:type="gramEnd"/>
      <w:r>
        <w:t xml:space="preserve"> the findings the court has previously</w:t>
      </w:r>
      <w:r>
        <w:t xml:space="preserve"> made</w:t>
      </w:r>
      <w:r>
        <w:t>, and the fact that a defendant’s right to counsel, obviously is exceptionally important, counsel of his choice, but it’s not absolute, and the court is within its discretion to deny a continuance to secure new counsel.  And for all the reasons stated today, as well as the various dates when the court has previously made findings, the court denies</w:t>
      </w:r>
      <w:r>
        <w:t xml:space="preserve"> the request.  It would cause delay </w:t>
      </w:r>
      <w:r>
        <w:lastRenderedPageBreak/>
        <w:t xml:space="preserve">in the case and appears to the court to be for the purposes of delay.”  The court continued the case to August 4, </w:t>
      </w:r>
      <w:proofErr w:type="gramStart"/>
      <w:r>
        <w:t>2021</w:t>
      </w:r>
      <w:proofErr w:type="gramEnd"/>
      <w:r>
        <w:t xml:space="preserve"> as day zero of 20 for trial.              </w:t>
      </w:r>
    </w:p>
    <w:p w14:paraId="2F38776C" w14:textId="77777777" w:rsidR="00204D4F" w:rsidRDefault="00204D4F" w:rsidP="001B70AC">
      <w:pPr>
        <w:ind w:firstLine="720"/>
      </w:pPr>
      <w:r>
        <w:t xml:space="preserve">At the August 25, </w:t>
      </w:r>
      <w:proofErr w:type="gramStart"/>
      <w:r>
        <w:t>2021</w:t>
      </w:r>
      <w:proofErr w:type="gramEnd"/>
      <w:r>
        <w:t xml:space="preserve"> hearing, </w:t>
      </w:r>
      <w:r>
        <w:t xml:space="preserve">Cox stated that Yim was present and Frias was again </w:t>
      </w:r>
      <w:proofErr w:type="gramStart"/>
      <w:r>
        <w:t>requesting</w:t>
      </w:r>
      <w:proofErr w:type="gramEnd"/>
      <w:r>
        <w:t xml:space="preserve"> to substitute in </w:t>
      </w:r>
      <w:r>
        <w:t xml:space="preserve">the Castaneda firm as counsel. </w:t>
      </w:r>
      <w:r>
        <w:t xml:space="preserve"> The court </w:t>
      </w:r>
      <w:r>
        <w:t xml:space="preserve">denied </w:t>
      </w:r>
      <w:r>
        <w:t xml:space="preserve">the request, </w:t>
      </w:r>
      <w:r>
        <w:t>stating</w:t>
      </w:r>
      <w:r>
        <w:t>, “[T]here’s a very long history of the court granting Mr. Frias the opportunity of different counsel, but the court finds this is for the purposes of delay</w:t>
      </w:r>
      <w:proofErr w:type="gramStart"/>
      <w:r>
        <w:t>. . . .</w:t>
      </w:r>
      <w:proofErr w:type="gramEnd"/>
      <w:r>
        <w:t xml:space="preserve">  [The case] </w:t>
      </w:r>
      <w:proofErr w:type="gramStart"/>
      <w:r>
        <w:t>has been</w:t>
      </w:r>
      <w:proofErr w:type="gramEnd"/>
      <w:r>
        <w:t xml:space="preserve"> set for trial until the issue of the </w:t>
      </w:r>
      <w:r>
        <w:rPr>
          <w:i/>
          <w:iCs/>
        </w:rPr>
        <w:t>Pitchess</w:t>
      </w:r>
      <w:r>
        <w:t xml:space="preserve"> came up.  </w:t>
      </w:r>
      <w:proofErr w:type="gramStart"/>
      <w:r>
        <w:t>So</w:t>
      </w:r>
      <w:proofErr w:type="gramEnd"/>
      <w:r>
        <w:t xml:space="preserve"> although the court understands and appreciates the right to counsel of choice, that right is not absolute</w:t>
      </w:r>
      <w:r>
        <w:t xml:space="preserve">.  It’s necessarily limited by countervailing state interests and proceeding with prosecution on an orderly, expeditious basis.”  The court continued the case to September 22, </w:t>
      </w:r>
      <w:proofErr w:type="gramStart"/>
      <w:r>
        <w:t>2021</w:t>
      </w:r>
      <w:proofErr w:type="gramEnd"/>
      <w:r>
        <w:t xml:space="preserve"> as day zero of 20 for trial. </w:t>
      </w:r>
    </w:p>
    <w:p w14:paraId="244A4161" w14:textId="77777777" w:rsidR="00204D4F" w:rsidRDefault="00204D4F" w:rsidP="00BF54BD">
      <w:r>
        <w:tab/>
        <w:t xml:space="preserve">On September 22, </w:t>
      </w:r>
      <w:proofErr w:type="gramStart"/>
      <w:r>
        <w:t>2021</w:t>
      </w:r>
      <w:proofErr w:type="gramEnd"/>
      <w:r>
        <w:t xml:space="preserve"> Frias informed the court that Yim was present in court to substitute in </w:t>
      </w:r>
      <w:r>
        <w:t xml:space="preserve">as counsel for </w:t>
      </w:r>
      <w:r>
        <w:t>Frias</w:t>
      </w:r>
      <w:r>
        <w:t>.  Yim responded that his office was “not seeking to substitute in” that day</w:t>
      </w:r>
      <w:r>
        <w:t xml:space="preserve"> and</w:t>
      </w:r>
      <w:r>
        <w:t xml:space="preserve"> “was not planning to address the court.”  Yim added, “However, at a future date, as Mr. Cox referenced, perhaps after the </w:t>
      </w:r>
      <w:r w:rsidRPr="00CF5C72">
        <w:rPr>
          <w:i/>
          <w:iCs/>
        </w:rPr>
        <w:t xml:space="preserve">Pitchess </w:t>
      </w:r>
      <w:r>
        <w:t xml:space="preserve">issues have been resolved . . . we plan to then seek to </w:t>
      </w:r>
      <w:r>
        <w:t xml:space="preserve">appear and will seek to </w:t>
      </w:r>
      <w:r>
        <w:t xml:space="preserve">substitute in as counsel.”  The court </w:t>
      </w:r>
      <w:r>
        <w:t xml:space="preserve">again </w:t>
      </w:r>
      <w:r>
        <w:t>continued the case</w:t>
      </w:r>
      <w:r>
        <w:t xml:space="preserve"> for trial</w:t>
      </w:r>
      <w:r>
        <w:t xml:space="preserve">.       </w:t>
      </w:r>
    </w:p>
    <w:p w14:paraId="4FBAE33B" w14:textId="77777777" w:rsidR="00204D4F" w:rsidRPr="00FF73B1" w:rsidRDefault="00204D4F" w:rsidP="00250C9C">
      <w:r>
        <w:tab/>
      </w:r>
      <w:r w:rsidRPr="00112E11">
        <w:t>At the</w:t>
      </w:r>
      <w:r w:rsidRPr="00112E11">
        <w:t xml:space="preserve"> November 30, </w:t>
      </w:r>
      <w:proofErr w:type="gramStart"/>
      <w:r w:rsidRPr="00112E11">
        <w:t>2021</w:t>
      </w:r>
      <w:proofErr w:type="gramEnd"/>
      <w:r w:rsidRPr="00112E11">
        <w:t xml:space="preserve"> hearing</w:t>
      </w:r>
      <w:r w:rsidRPr="00112E11">
        <w:t xml:space="preserve">, which was day zero of six for trial, </w:t>
      </w:r>
      <w:r w:rsidRPr="00112E11">
        <w:t xml:space="preserve">Cox raised concerns whether the Burbank police officers who responded to Courtney’s 911 calls would be available for trial.  The prosecutor and Cox subsequently informed the court that they had spoken to the four police officers, and the officers agreed to </w:t>
      </w:r>
      <w:r w:rsidRPr="00112E11">
        <w:t>be on call f</w:t>
      </w:r>
      <w:r w:rsidRPr="00112E11">
        <w:t xml:space="preserve">or trial.  Cox </w:t>
      </w:r>
      <w:r w:rsidRPr="00112E11">
        <w:t>also</w:t>
      </w:r>
      <w:r w:rsidRPr="00112E11">
        <w:t xml:space="preserve"> informed the court that </w:t>
      </w:r>
      <w:r w:rsidRPr="00112E11">
        <w:t xml:space="preserve">the </w:t>
      </w:r>
      <w:r w:rsidRPr="00112E11">
        <w:t>defense expert witnesses, Dr</w:t>
      </w:r>
      <w:r>
        <w:t>s</w:t>
      </w:r>
      <w:r w:rsidRPr="00112E11">
        <w:t>.</w:t>
      </w:r>
      <w:r w:rsidRPr="00112E11">
        <w:t> </w:t>
      </w:r>
      <w:r w:rsidRPr="00112E11">
        <w:t xml:space="preserve">Crandall and Walker, had </w:t>
      </w:r>
      <w:r w:rsidRPr="00112E11">
        <w:lastRenderedPageBreak/>
        <w:t>not responded regarding their availability for trial.</w:t>
      </w:r>
      <w:r>
        <w:rPr>
          <w:rStyle w:val="FootnoteReference"/>
        </w:rPr>
        <w:footnoteReference w:id="8"/>
      </w:r>
      <w:r w:rsidRPr="00112E11">
        <w:t xml:space="preserve">  Cox added that the prosecutor had agreed to allow Dr. Crandall to “testify via Webex”</w:t>
      </w:r>
      <w:r>
        <w:t xml:space="preserve"> (videoconference)</w:t>
      </w:r>
      <w:r w:rsidRPr="00112E11">
        <w:t xml:space="preserve"> and “[w]</w:t>
      </w:r>
      <w:proofErr w:type="spellStart"/>
      <w:r w:rsidRPr="00112E11">
        <w:t>hile</w:t>
      </w:r>
      <w:proofErr w:type="spellEnd"/>
      <w:r w:rsidRPr="00112E11">
        <w:t xml:space="preserve"> waiting to hear back from Dr. Crandall, I would, nonetheless, expect to be ready.”  The court stated, “It sounds like you’re announcing ready, just provided that the expert confirms . . . that she will be available during the applicable time period.”  Cox answered, “Yes.”  The prosecutor confirmed she was ready for trial and had “agree[d] to have Dr. Crandall appear via Webex.” </w:t>
      </w:r>
      <w:r w:rsidRPr="00FF73B1">
        <w:t xml:space="preserve"> </w:t>
      </w:r>
    </w:p>
    <w:p w14:paraId="4FAC22BA" w14:textId="77777777" w:rsidR="00204D4F" w:rsidRPr="00112E11" w:rsidRDefault="00204D4F" w:rsidP="00973797">
      <w:pPr>
        <w:ind w:firstLine="720"/>
      </w:pPr>
      <w:r w:rsidRPr="00112E11">
        <w:t xml:space="preserve">After the </w:t>
      </w:r>
      <w:r>
        <w:t xml:space="preserve">trial </w:t>
      </w:r>
      <w:r w:rsidRPr="00112E11">
        <w:t xml:space="preserve">court ordered the parties to report to </w:t>
      </w:r>
      <w:r w:rsidRPr="00112E11">
        <w:t>another</w:t>
      </w:r>
      <w:r w:rsidRPr="00112E11">
        <w:t xml:space="preserve"> courtroom for trial, Cox </w:t>
      </w:r>
      <w:r w:rsidRPr="00112E11">
        <w:t>told</w:t>
      </w:r>
      <w:r w:rsidRPr="00112E11">
        <w:t xml:space="preserve"> the court that Frias </w:t>
      </w:r>
      <w:r>
        <w:t>wanted</w:t>
      </w:r>
      <w:r w:rsidRPr="00112E11">
        <w:t xml:space="preserve"> </w:t>
      </w:r>
      <w:r w:rsidRPr="00112E11">
        <w:t xml:space="preserve">Yim </w:t>
      </w:r>
      <w:r w:rsidRPr="00112E11">
        <w:t>and</w:t>
      </w:r>
      <w:r w:rsidRPr="00112E11">
        <w:t xml:space="preserve"> </w:t>
      </w:r>
      <w:r>
        <w:t xml:space="preserve">the </w:t>
      </w:r>
      <w:r w:rsidRPr="00112E11">
        <w:t>Cast</w:t>
      </w:r>
      <w:r w:rsidRPr="00112E11">
        <w:t>a</w:t>
      </w:r>
      <w:r w:rsidRPr="00112E11">
        <w:t>n</w:t>
      </w:r>
      <w:r w:rsidRPr="00112E11">
        <w:t>e</w:t>
      </w:r>
      <w:r w:rsidRPr="00112E11">
        <w:t xml:space="preserve">da </w:t>
      </w:r>
      <w:r>
        <w:t>firm</w:t>
      </w:r>
      <w:r>
        <w:t xml:space="preserve"> to</w:t>
      </w:r>
      <w:r w:rsidRPr="00112E11">
        <w:t xml:space="preserve"> represent him.</w:t>
      </w:r>
      <w:r>
        <w:t xml:space="preserve">  </w:t>
      </w:r>
      <w:r>
        <w:t>Yim stated, “Mr. Frias has retained our office and is desirous of having us represent him in this matter.  And it is not our intention to cause any additional delays in this matter.”  The trial court asked, “Are you saying your office is ready for trial?”  Yim answered, “We have been in communication with Mr. Cox and his office and also close communicat</w:t>
      </w:r>
      <w:r>
        <w:t>ion with Mr. Frias as well.”  The court stated, “That’s not the same as saying you’re ready for trial.”  Yim responded, “At this time, your honor, we are ready for trial.  Subject to the scheduling that was discussed on the record earlier with the experts and things like that.  But I’m sure—it sound</w:t>
      </w:r>
      <w:r>
        <w:t>ed</w:t>
      </w:r>
      <w:r>
        <w:t xml:space="preserve"> like everything got addressed.”  </w:t>
      </w:r>
      <w:r w:rsidRPr="00112E11">
        <w:t>The court queried Yim, “How is it that you can represent you’re ready for trial if—have you conferred with experts or any witnesses?”  Yim responded, “We have—I’ve been in cons</w:t>
      </w:r>
      <w:r w:rsidRPr="00112E11">
        <w:t xml:space="preserve">ultation with Mr. Cox during the preparation </w:t>
      </w:r>
      <w:r>
        <w:t>of this</w:t>
      </w:r>
      <w:r w:rsidRPr="00112E11">
        <w:t xml:space="preserve"> </w:t>
      </w:r>
      <w:r w:rsidRPr="00112E11">
        <w:t xml:space="preserve">trial.”  </w:t>
      </w:r>
      <w:r w:rsidRPr="00112E11">
        <w:t xml:space="preserve">After further discussion, the court </w:t>
      </w:r>
      <w:r w:rsidRPr="00112E11">
        <w:lastRenderedPageBreak/>
        <w:t xml:space="preserve">repeated </w:t>
      </w:r>
      <w:r w:rsidRPr="00112E11">
        <w:t xml:space="preserve">it had “grave concerns about readiness as well as the age of the case.” </w:t>
      </w:r>
    </w:p>
    <w:p w14:paraId="19BD20AD" w14:textId="77777777" w:rsidR="00204D4F" w:rsidRPr="00112E11" w:rsidRDefault="00204D4F" w:rsidP="00D653FA">
      <w:pPr>
        <w:ind w:firstLine="720"/>
      </w:pPr>
      <w:r w:rsidRPr="00112E11">
        <w:t>The prosecutor</w:t>
      </w:r>
      <w:r>
        <w:t xml:space="preserve"> expressed her </w:t>
      </w:r>
      <w:r w:rsidRPr="00112E11">
        <w:t>“concern</w:t>
      </w:r>
      <w:r>
        <w:t> . . . </w:t>
      </w:r>
      <w:r w:rsidRPr="00112E11">
        <w:t xml:space="preserve">that if the substitution is granted and Mr. Yim sees the full case, that </w:t>
      </w:r>
      <w:r w:rsidRPr="00112E11">
        <w:t>all of a sudden there will be a request for a continuance</w:t>
      </w:r>
      <w:proofErr w:type="gramStart"/>
      <w:r w:rsidRPr="00112E11">
        <w:t>. . . .</w:t>
      </w:r>
      <w:proofErr w:type="gramEnd"/>
      <w:r w:rsidRPr="00112E11">
        <w:t>  </w:t>
      </w:r>
      <w:r w:rsidRPr="00112E11">
        <w:t xml:space="preserve">I don’t want a last minute, well, I didn’t know about this or now that I’m in charge, I want this expert or something to further delay this case.”  The court responded, “Well, that’s my concern as well, as the court has stated on numerous occasions previously.”  Frias </w:t>
      </w:r>
      <w:r>
        <w:t>stated</w:t>
      </w:r>
      <w:r w:rsidRPr="00112E11">
        <w:t xml:space="preserve">, </w:t>
      </w:r>
      <w:r>
        <w:t xml:space="preserve">as he had at prior hearings, </w:t>
      </w:r>
      <w:r w:rsidRPr="00112E11">
        <w:t>“I would like the Castaneda Law Firm and Edward Yim to represent me in this case.”  The court denied Frias’s request “on the grounds that th</w:t>
      </w:r>
      <w:r w:rsidRPr="00112E11">
        <w:t xml:space="preserve">is will result in a delay, and, hence, is a delay tactic.”             </w:t>
      </w:r>
    </w:p>
    <w:p w14:paraId="079B3DEE" w14:textId="77777777" w:rsidR="00204D4F" w:rsidRDefault="00204D4F" w:rsidP="00BF54BD">
      <w:r w:rsidRPr="00112E11">
        <w:tab/>
      </w:r>
      <w:r>
        <w:t>The</w:t>
      </w:r>
      <w:r>
        <w:t xml:space="preserve"> trial</w:t>
      </w:r>
      <w:r>
        <w:t xml:space="preserve"> court </w:t>
      </w:r>
      <w:r>
        <w:t xml:space="preserve">recounted that </w:t>
      </w:r>
      <w:r>
        <w:t xml:space="preserve">it had granted numerous requests </w:t>
      </w:r>
      <w:r>
        <w:t xml:space="preserve">by Frias to substitute in new counsel, including Melnick, Cox, Gordon, and Cargal.  The court continued, </w:t>
      </w:r>
      <w:r>
        <w:t>“U</w:t>
      </w:r>
      <w:r>
        <w:t>ltimately, the public defender was reappointed at Mr. Frias</w:t>
      </w:r>
      <w:r>
        <w:t>’</w:t>
      </w:r>
      <w:r>
        <w:t>s</w:t>
      </w:r>
      <w:r>
        <w:t xml:space="preserve"> request.  Then Mr. Frias had an attorney Sergio Cast</w:t>
      </w:r>
      <w:r>
        <w:t>a</w:t>
      </w:r>
      <w:r>
        <w:t>n</w:t>
      </w:r>
      <w:r>
        <w:t>e</w:t>
      </w:r>
      <w:r>
        <w:t>da appear, he thought, to substitute in.  That was over half a year ago, and the court at that time found it was a request for purposes of delay.  Since that time, Mr. Cox has remained on the case.  The court has observed th</w:t>
      </w:r>
      <w:r>
        <w:t xml:space="preserve">e massive amount of work he’s done in terms of </w:t>
      </w:r>
      <w:r>
        <w:rPr>
          <w:i/>
          <w:iCs/>
        </w:rPr>
        <w:t xml:space="preserve">Pitchess </w:t>
      </w:r>
      <w:r>
        <w:t xml:space="preserve">motion, discovery on </w:t>
      </w:r>
      <w:r>
        <w:rPr>
          <w:i/>
          <w:iCs/>
        </w:rPr>
        <w:t>Pitchess</w:t>
      </w:r>
      <w:r>
        <w:t xml:space="preserve">, follow-up on </w:t>
      </w:r>
      <w:r>
        <w:rPr>
          <w:i/>
          <w:iCs/>
        </w:rPr>
        <w:t>Pitchess</w:t>
      </w:r>
      <w:r>
        <w:t xml:space="preserve">.  </w:t>
      </w:r>
      <w:proofErr w:type="gramStart"/>
      <w:r>
        <w:t>So</w:t>
      </w:r>
      <w:proofErr w:type="gramEnd"/>
      <w:r>
        <w:t xml:space="preserve"> there’s a large volume of material there, as well as obtaining a number of different expert reports and opinions.  </w:t>
      </w:r>
      <w:proofErr w:type="gramStart"/>
      <w:r>
        <w:t>So</w:t>
      </w:r>
      <w:proofErr w:type="gramEnd"/>
      <w:r>
        <w:t xml:space="preserve"> he’s fully prepared, and it’s time for the case to proceed to trial without further delay.” </w:t>
      </w:r>
    </w:p>
    <w:p w14:paraId="69A385F6" w14:textId="77777777" w:rsidR="00204D4F" w:rsidRDefault="00204D4F" w:rsidP="00BF54BD">
      <w:r>
        <w:tab/>
        <w:t xml:space="preserve">Jury selection commenced on December 6, 2021.   </w:t>
      </w:r>
    </w:p>
    <w:p w14:paraId="4157188A" w14:textId="77777777" w:rsidR="00204D4F" w:rsidRDefault="00204D4F" w:rsidP="00BF54BD"/>
    <w:p w14:paraId="45554EBC" w14:textId="77777777" w:rsidR="00204D4F" w:rsidRDefault="00204D4F" w:rsidP="000400D3">
      <w:pPr>
        <w:pStyle w:val="Heading3"/>
      </w:pPr>
      <w:r>
        <w:lastRenderedPageBreak/>
        <w:t>A defendant’s right to choose counsel</w:t>
      </w:r>
    </w:p>
    <w:p w14:paraId="74BA4BA6" w14:textId="77777777" w:rsidR="00204D4F" w:rsidRDefault="00204D4F" w:rsidP="00BF54BD">
      <w:r>
        <w:tab/>
        <w:t xml:space="preserve"> “T</w:t>
      </w:r>
      <w:r w:rsidRPr="00662DC9">
        <w:t xml:space="preserve">he Sixth </w:t>
      </w:r>
      <w:r w:rsidRPr="00662DC9">
        <w:t>Amendment right to counsel guarantees a criminal defendant the right to choose his or her own counsel when the defendant does not need appointed counsel.</w:t>
      </w:r>
      <w:r>
        <w:t>”</w:t>
      </w:r>
      <w:r w:rsidRPr="00662DC9">
        <w:t xml:space="preserve"> </w:t>
      </w:r>
      <w:r>
        <w:t xml:space="preserve"> (</w:t>
      </w:r>
      <w:r>
        <w:rPr>
          <w:i/>
          <w:iCs/>
        </w:rPr>
        <w:t xml:space="preserve">People v. Woodruff </w:t>
      </w:r>
      <w:r>
        <w:t>(2018) 5 Cal.5th 697, 728</w:t>
      </w:r>
      <w:r>
        <w:t xml:space="preserve"> (</w:t>
      </w:r>
      <w:r w:rsidRPr="007C0B72">
        <w:rPr>
          <w:i/>
          <w:iCs/>
        </w:rPr>
        <w:t>Woodruff</w:t>
      </w:r>
      <w:r>
        <w:t>)</w:t>
      </w:r>
      <w:r>
        <w:t xml:space="preserve">, citing </w:t>
      </w:r>
      <w:r>
        <w:rPr>
          <w:i/>
          <w:iCs/>
        </w:rPr>
        <w:t>United States v. Gon</w:t>
      </w:r>
      <w:r>
        <w:rPr>
          <w:i/>
          <w:iCs/>
        </w:rPr>
        <w:t>z</w:t>
      </w:r>
      <w:r>
        <w:rPr>
          <w:i/>
          <w:iCs/>
        </w:rPr>
        <w:t xml:space="preserve">alez-Lopez </w:t>
      </w:r>
      <w:r>
        <w:t>(2006) 548 U.S. 140, 144</w:t>
      </w:r>
      <w:r>
        <w:t xml:space="preserve"> (</w:t>
      </w:r>
      <w:r w:rsidRPr="0025386D">
        <w:rPr>
          <w:i/>
          <w:iCs/>
        </w:rPr>
        <w:t>Gonzalez-Lopez</w:t>
      </w:r>
      <w:r>
        <w:t>)</w:t>
      </w:r>
      <w:r>
        <w:t xml:space="preserve">; accord, </w:t>
      </w:r>
      <w:r w:rsidRPr="00035E91">
        <w:rPr>
          <w:i/>
          <w:iCs/>
        </w:rPr>
        <w:t>People v. Ver</w:t>
      </w:r>
      <w:r>
        <w:rPr>
          <w:i/>
          <w:iCs/>
        </w:rPr>
        <w:t>d</w:t>
      </w:r>
      <w:r w:rsidRPr="00035E91">
        <w:rPr>
          <w:i/>
          <w:iCs/>
        </w:rPr>
        <w:t>u</w:t>
      </w:r>
      <w:r>
        <w:rPr>
          <w:i/>
          <w:iCs/>
        </w:rPr>
        <w:t>g</w:t>
      </w:r>
      <w:r w:rsidRPr="00035E91">
        <w:rPr>
          <w:i/>
          <w:iCs/>
        </w:rPr>
        <w:t>o</w:t>
      </w:r>
      <w:r>
        <w:t xml:space="preserve"> (2010) 50 Cal.4th 263, 310-311 </w:t>
      </w:r>
      <w:r>
        <w:t>(</w:t>
      </w:r>
      <w:r w:rsidRPr="00BF1144">
        <w:rPr>
          <w:i/>
          <w:iCs/>
        </w:rPr>
        <w:t>Verdugo</w:t>
      </w:r>
      <w:r>
        <w:t xml:space="preserve">) </w:t>
      </w:r>
      <w:r>
        <w:t>[“</w:t>
      </w:r>
      <w:r w:rsidRPr="00461681">
        <w:t>The right to retained counsel of choice is—subject to certain limitations—guaranteed under the Sixth Amendment to the federal Constitution.</w:t>
      </w:r>
      <w:r>
        <w:t>”].)</w:t>
      </w:r>
      <w:r>
        <w:t xml:space="preserve">  </w:t>
      </w:r>
    </w:p>
    <w:p w14:paraId="29F518D7" w14:textId="77777777" w:rsidR="00204D4F" w:rsidRDefault="00204D4F" w:rsidP="00BF54BD">
      <w:r>
        <w:tab/>
        <w:t>“‘</w:t>
      </w:r>
      <w:r w:rsidRPr="005B7D84">
        <w:t xml:space="preserve">In California, this right </w:t>
      </w:r>
      <w:r>
        <w:t>“</w:t>
      </w:r>
      <w:r w:rsidRPr="005B7D84">
        <w:t>reflects not only a defendant</w:t>
      </w:r>
      <w:r>
        <w:t>’</w:t>
      </w:r>
      <w:r w:rsidRPr="005B7D84">
        <w:t>s choice of a particular attorney, but also his decision to discharge an attorney whom he hired but no longer wishes to retain.</w:t>
      </w:r>
      <w:r>
        <w:t>”</w:t>
      </w:r>
      <w:r>
        <w:t>’</w:t>
      </w:r>
      <w:r>
        <w:t>’’  (</w:t>
      </w:r>
      <w:r>
        <w:rPr>
          <w:i/>
          <w:iCs/>
        </w:rPr>
        <w:t xml:space="preserve">People v. O’Malley </w:t>
      </w:r>
      <w:r>
        <w:t xml:space="preserve">(2016) 62 Cal.4th 944, 1004; accord, </w:t>
      </w:r>
      <w:r w:rsidRPr="00CA1118">
        <w:rPr>
          <w:i/>
          <w:iCs/>
        </w:rPr>
        <w:t>Ver</w:t>
      </w:r>
      <w:r>
        <w:rPr>
          <w:i/>
          <w:iCs/>
        </w:rPr>
        <w:t>d</w:t>
      </w:r>
      <w:r w:rsidRPr="00CA1118">
        <w:rPr>
          <w:i/>
          <w:iCs/>
        </w:rPr>
        <w:t>u</w:t>
      </w:r>
      <w:r>
        <w:rPr>
          <w:i/>
          <w:iCs/>
        </w:rPr>
        <w:t>g</w:t>
      </w:r>
      <w:r w:rsidRPr="00CA1118">
        <w:rPr>
          <w:i/>
          <w:iCs/>
        </w:rPr>
        <w:t>o</w:t>
      </w:r>
      <w:r>
        <w:t xml:space="preserve">, </w:t>
      </w:r>
      <w:r w:rsidRPr="00CE2D6A">
        <w:rPr>
          <w:i/>
          <w:iCs/>
        </w:rPr>
        <w:t>supra</w:t>
      </w:r>
      <w:r>
        <w:t xml:space="preserve">, </w:t>
      </w:r>
      <w:r>
        <w:t>50 Cal.4th at p. 311</w:t>
      </w:r>
      <w:r>
        <w:t xml:space="preserve">; see </w:t>
      </w:r>
      <w:r w:rsidRPr="00A20A86">
        <w:rPr>
          <w:i/>
          <w:iCs/>
        </w:rPr>
        <w:t>People v. Courts</w:t>
      </w:r>
      <w:r w:rsidRPr="00A20A86">
        <w:t xml:space="preserve"> (1985) 37 Cal.3d 784, </w:t>
      </w:r>
      <w:r>
        <w:t>789-</w:t>
      </w:r>
      <w:r w:rsidRPr="00A20A86">
        <w:t>790 (</w:t>
      </w:r>
      <w:r w:rsidRPr="00A20A86">
        <w:rPr>
          <w:i/>
          <w:iCs/>
        </w:rPr>
        <w:t>Courts</w:t>
      </w:r>
      <w:r w:rsidRPr="00A20A86">
        <w:t>)</w:t>
      </w:r>
      <w:r>
        <w:t xml:space="preserve"> </w:t>
      </w:r>
      <w:r>
        <w:t>[criminal defendant has right to replace appointed counsel with retained counsel of choice]</w:t>
      </w:r>
      <w:r>
        <w:t>.)  “‘</w:t>
      </w:r>
      <w:r w:rsidRPr="00F12CAF">
        <w:t xml:space="preserve">The right to discharge a retained attorney is, however, not absolute. </w:t>
      </w:r>
      <w:r>
        <w:t xml:space="preserve"> [Citation.]</w:t>
      </w:r>
      <w:r w:rsidRPr="00F12CAF">
        <w:t xml:space="preserve"> </w:t>
      </w:r>
      <w:r>
        <w:t xml:space="preserve"> </w:t>
      </w:r>
      <w:r w:rsidRPr="00F12CAF">
        <w:t xml:space="preserve">The trial court has discretion to </w:t>
      </w:r>
      <w:r>
        <w:t>“</w:t>
      </w:r>
      <w:r w:rsidRPr="00F12CAF">
        <w:t xml:space="preserve">deny such a motion if discharge will result in </w:t>
      </w:r>
      <w:r>
        <w:t>‘</w:t>
      </w:r>
      <w:r w:rsidRPr="00F12CAF">
        <w:t>significant prejudice</w:t>
      </w:r>
      <w:r>
        <w:t>’</w:t>
      </w:r>
      <w:r w:rsidRPr="00F12CAF">
        <w:t xml:space="preserve"> to the defendant [citation], or if it is not timely, i.e., if it will result in </w:t>
      </w:r>
      <w:r>
        <w:t>‘</w:t>
      </w:r>
      <w:r w:rsidRPr="00F12CAF">
        <w:t>disruption of the orderly processes of justice</w:t>
      </w:r>
      <w:r>
        <w:t>’</w:t>
      </w:r>
      <w:r w:rsidRPr="00F12CAF">
        <w:t xml:space="preserve"> [citations].</w:t>
      </w:r>
      <w:r>
        <w:t>”’</w:t>
      </w:r>
      <w:r w:rsidRPr="00F12CAF">
        <w:t>”</w:t>
      </w:r>
      <w:r>
        <w:t xml:space="preserve">  (</w:t>
      </w:r>
      <w:r>
        <w:rPr>
          <w:i/>
          <w:iCs/>
        </w:rPr>
        <w:t>O’Malley</w:t>
      </w:r>
      <w:r>
        <w:t>, at p.</w:t>
      </w:r>
      <w:r>
        <w:t> </w:t>
      </w:r>
      <w:r>
        <w:t>1004; accord,</w:t>
      </w:r>
      <w:r>
        <w:rPr>
          <w:i/>
          <w:iCs/>
        </w:rPr>
        <w:t xml:space="preserve"> </w:t>
      </w:r>
      <w:r w:rsidRPr="00CA1118">
        <w:rPr>
          <w:i/>
          <w:iCs/>
        </w:rPr>
        <w:t>Ver</w:t>
      </w:r>
      <w:r>
        <w:rPr>
          <w:i/>
          <w:iCs/>
        </w:rPr>
        <w:t>d</w:t>
      </w:r>
      <w:r w:rsidRPr="00CA1118">
        <w:rPr>
          <w:i/>
          <w:iCs/>
        </w:rPr>
        <w:t>u</w:t>
      </w:r>
      <w:r>
        <w:rPr>
          <w:i/>
          <w:iCs/>
        </w:rPr>
        <w:t>g</w:t>
      </w:r>
      <w:r w:rsidRPr="00CA1118">
        <w:rPr>
          <w:i/>
          <w:iCs/>
        </w:rPr>
        <w:t>o</w:t>
      </w:r>
      <w:r>
        <w:t xml:space="preserve">, at p. 311; see </w:t>
      </w:r>
      <w:r>
        <w:rPr>
          <w:i/>
          <w:iCs/>
        </w:rPr>
        <w:t>Gon</w:t>
      </w:r>
      <w:r>
        <w:rPr>
          <w:i/>
          <w:iCs/>
        </w:rPr>
        <w:t>z</w:t>
      </w:r>
      <w:r>
        <w:rPr>
          <w:i/>
          <w:iCs/>
        </w:rPr>
        <w:t>alez-Lopez</w:t>
      </w:r>
      <w:r>
        <w:t xml:space="preserve">, </w:t>
      </w:r>
      <w:r w:rsidRPr="00CE2D6A">
        <w:rPr>
          <w:i/>
          <w:iCs/>
        </w:rPr>
        <w:t>supra</w:t>
      </w:r>
      <w:r>
        <w:t>, 548</w:t>
      </w:r>
      <w:r>
        <w:t> </w:t>
      </w:r>
      <w:r>
        <w:t xml:space="preserve">U.S. </w:t>
      </w:r>
      <w:r>
        <w:t>at p.</w:t>
      </w:r>
      <w:r>
        <w:t> </w:t>
      </w:r>
      <w:r>
        <w:t>152 [recognizing “</w:t>
      </w:r>
      <w:r w:rsidRPr="004C2C24">
        <w:t>trial court</w:t>
      </w:r>
      <w:r>
        <w:t>’</w:t>
      </w:r>
      <w:r w:rsidRPr="004C2C24">
        <w:t xml:space="preserve">s wide latitude in balancing the right to counsel of </w:t>
      </w:r>
      <w:r w:rsidRPr="004C2C24">
        <w:t>choice against the needs of fairness</w:t>
      </w:r>
      <w:r>
        <w:t>” and “</w:t>
      </w:r>
      <w:r w:rsidRPr="006C551F">
        <w:t>the demands of its calendar</w:t>
      </w:r>
      <w:r>
        <w:t>”].)  “</w:t>
      </w:r>
      <w:r w:rsidRPr="007A2E13">
        <w:t xml:space="preserve">In this context, while </w:t>
      </w:r>
      <w:r>
        <w:t>‘</w:t>
      </w:r>
      <w:r w:rsidRPr="007A2E13">
        <w:t xml:space="preserve">a defendant seeking to discharge his retained attorney is not </w:t>
      </w:r>
      <w:r w:rsidRPr="00CE2D6A">
        <w:rPr>
          <w:i/>
          <w:iCs/>
        </w:rPr>
        <w:t>required</w:t>
      </w:r>
      <w:r w:rsidRPr="007A2E13">
        <w:t xml:space="preserve"> to demonstrate inadequate representation or an irreconcilable conflict, this does not mean that the trial court cannot properly consider the absence of such circumstances in </w:t>
      </w:r>
      <w:r w:rsidRPr="007A2E13">
        <w:lastRenderedPageBreak/>
        <w:t>deciding whether discharging counsel would result in disruption of the orderly processes of justice.</w:t>
      </w:r>
      <w:r>
        <w:t>’</w:t>
      </w:r>
      <w:r w:rsidRPr="007A2E13">
        <w:t>”</w:t>
      </w:r>
      <w:r>
        <w:t xml:space="preserve">  (</w:t>
      </w:r>
      <w:r>
        <w:rPr>
          <w:i/>
          <w:iCs/>
        </w:rPr>
        <w:t>O’Malley</w:t>
      </w:r>
      <w:r>
        <w:t xml:space="preserve">, at p. 1004; accord, </w:t>
      </w:r>
      <w:r>
        <w:rPr>
          <w:i/>
          <w:iCs/>
        </w:rPr>
        <w:t xml:space="preserve">People v. Maciel </w:t>
      </w:r>
      <w:r>
        <w:t>(2013) 57 Cal.</w:t>
      </w:r>
      <w:r>
        <w:t>4th 482, 513</w:t>
      </w:r>
      <w:r>
        <w:t xml:space="preserve"> (</w:t>
      </w:r>
      <w:r w:rsidRPr="00BF1144">
        <w:rPr>
          <w:i/>
          <w:iCs/>
        </w:rPr>
        <w:t>Maciel</w:t>
      </w:r>
      <w:r>
        <w:t>)</w:t>
      </w:r>
      <w:r>
        <w:t>.</w:t>
      </w:r>
      <w:r>
        <w:t>)</w:t>
      </w:r>
      <w:r>
        <w:t xml:space="preserve">  </w:t>
      </w:r>
    </w:p>
    <w:p w14:paraId="3AC6BB8F" w14:textId="77777777" w:rsidR="00204D4F" w:rsidRDefault="00204D4F" w:rsidP="00BF54BD">
      <w:r>
        <w:tab/>
      </w:r>
      <w:r>
        <w:t>“‘[T]</w:t>
      </w:r>
      <w:proofErr w:type="spellStart"/>
      <w:r w:rsidRPr="0019160F">
        <w:t>hough</w:t>
      </w:r>
      <w:proofErr w:type="spellEnd"/>
      <w:r w:rsidRPr="0019160F">
        <w:t xml:space="preserve"> </w:t>
      </w:r>
      <w:proofErr w:type="gramStart"/>
      <w:r w:rsidRPr="0019160F">
        <w:t>it is clear that a</w:t>
      </w:r>
      <w:proofErr w:type="gramEnd"/>
      <w:r w:rsidRPr="0019160F">
        <w:t xml:space="preserve"> defendant has no </w:t>
      </w:r>
      <w:r w:rsidRPr="00A2626A">
        <w:rPr>
          <w:i/>
          <w:iCs/>
        </w:rPr>
        <w:t>absolute</w:t>
      </w:r>
      <w:r w:rsidRPr="0019160F">
        <w:t xml:space="preserve"> right to be represented by a particular attorney, still the courts should make all reasonable efforts to ensure that a defendant financially able to retain an attorney of his own choosing can be represented by that attorney.</w:t>
      </w:r>
      <w:r>
        <w:t>’</w:t>
      </w:r>
      <w:r>
        <w:t>”</w:t>
      </w:r>
      <w:r w:rsidRPr="0019160F">
        <w:t xml:space="preserve"> </w:t>
      </w:r>
      <w:r>
        <w:t xml:space="preserve"> </w:t>
      </w:r>
      <w:r>
        <w:t>(</w:t>
      </w:r>
      <w:r>
        <w:rPr>
          <w:i/>
          <w:iCs/>
        </w:rPr>
        <w:t>W</w:t>
      </w:r>
      <w:r w:rsidRPr="003B4805">
        <w:rPr>
          <w:i/>
          <w:iCs/>
        </w:rPr>
        <w:t>oodruff</w:t>
      </w:r>
      <w:r>
        <w:rPr>
          <w:i/>
          <w:iCs/>
        </w:rPr>
        <w:t>, supra</w:t>
      </w:r>
      <w:r>
        <w:t xml:space="preserve">, 5 Cal.5th at p. 728; accord, </w:t>
      </w:r>
      <w:r w:rsidRPr="00BD053D">
        <w:rPr>
          <w:i/>
          <w:iCs/>
        </w:rPr>
        <w:t xml:space="preserve">People v. Williams </w:t>
      </w:r>
      <w:r w:rsidRPr="00BD053D">
        <w:t>(2021) 61 Cal.App.5th 627, 63</w:t>
      </w:r>
      <w:r w:rsidRPr="007C0B72">
        <w:t>1</w:t>
      </w:r>
      <w:r w:rsidRPr="00BD053D">
        <w:t xml:space="preserve"> </w:t>
      </w:r>
      <w:r>
        <w:t>[“</w:t>
      </w:r>
      <w:r w:rsidRPr="006A6BD9">
        <w:t>while a criminal defendant</w:t>
      </w:r>
      <w:r>
        <w:t>’</w:t>
      </w:r>
      <w:r w:rsidRPr="006A6BD9">
        <w:t>s right to counsel of choice is not absolute, that right may be overridden only under narrow, compelling, and specifically delineated circumstances</w:t>
      </w:r>
      <w:r>
        <w:t>”]</w:t>
      </w:r>
      <w:r>
        <w:t>.)</w:t>
      </w:r>
      <w:r>
        <w:t xml:space="preserve">  The </w:t>
      </w:r>
      <w:r>
        <w:t xml:space="preserve">erroneous deprivation of a defendant’s right to counsel of choice is structural error requiring automatic reversal.  </w:t>
      </w:r>
      <w:r>
        <w:t>(</w:t>
      </w:r>
      <w:r w:rsidRPr="005175C2">
        <w:rPr>
          <w:i/>
          <w:iCs/>
        </w:rPr>
        <w:t>Gon</w:t>
      </w:r>
      <w:r>
        <w:rPr>
          <w:i/>
          <w:iCs/>
        </w:rPr>
        <w:t>z</w:t>
      </w:r>
      <w:r w:rsidRPr="005175C2">
        <w:rPr>
          <w:i/>
          <w:iCs/>
        </w:rPr>
        <w:t>alez-Lopez, supra</w:t>
      </w:r>
      <w:r w:rsidRPr="005175C2">
        <w:t>, 548 U.S. at p. 150</w:t>
      </w:r>
      <w:r>
        <w:t xml:space="preserve">; </w:t>
      </w:r>
      <w:r>
        <w:rPr>
          <w:i/>
          <w:iCs/>
        </w:rPr>
        <w:t>W</w:t>
      </w:r>
      <w:r w:rsidRPr="003B4805">
        <w:rPr>
          <w:i/>
          <w:iCs/>
        </w:rPr>
        <w:t>oodruff</w:t>
      </w:r>
      <w:r>
        <w:t>,</w:t>
      </w:r>
      <w:r>
        <w:t xml:space="preserve"> </w:t>
      </w:r>
      <w:r>
        <w:t>at p. 728</w:t>
      </w:r>
      <w:r>
        <w:t>.)</w:t>
      </w:r>
      <w:r>
        <w:t xml:space="preserve"> </w:t>
      </w:r>
    </w:p>
    <w:p w14:paraId="7516336A" w14:textId="77777777" w:rsidR="00204D4F" w:rsidRPr="00033ABD" w:rsidRDefault="00204D4F" w:rsidP="00BF54BD"/>
    <w:p w14:paraId="6FBF5ADF" w14:textId="77777777" w:rsidR="00204D4F" w:rsidRDefault="00204D4F" w:rsidP="000400D3">
      <w:pPr>
        <w:pStyle w:val="Heading3"/>
      </w:pPr>
      <w:r>
        <w:t>The trial court abused its discretion</w:t>
      </w:r>
    </w:p>
    <w:p w14:paraId="1B0E1679" w14:textId="77777777" w:rsidR="00204D4F" w:rsidRDefault="00204D4F" w:rsidP="00F93AAE">
      <w:r>
        <w:tab/>
      </w:r>
      <w:r>
        <w:t xml:space="preserve">Frias contends the trial court abused its discretion in denying his June 23, July 19, August 25, and November 30, </w:t>
      </w:r>
      <w:proofErr w:type="gramStart"/>
      <w:r>
        <w:t>2021</w:t>
      </w:r>
      <w:proofErr w:type="gramEnd"/>
      <w:r>
        <w:t xml:space="preserve"> requests to substitute </w:t>
      </w:r>
      <w:r>
        <w:t xml:space="preserve">in </w:t>
      </w:r>
      <w:r>
        <w:t>Castaneda and Yim of</w:t>
      </w:r>
      <w:r>
        <w:t xml:space="preserve"> the</w:t>
      </w:r>
      <w:r>
        <w:t xml:space="preserve"> Castaneda </w:t>
      </w:r>
      <w:r>
        <w:t>firm</w:t>
      </w:r>
      <w:r>
        <w:t xml:space="preserve"> as Frias’s counsel.  We agree </w:t>
      </w:r>
      <w:r>
        <w:t xml:space="preserve">the trial court </w:t>
      </w:r>
      <w:r>
        <w:t>abused its discretion</w:t>
      </w:r>
      <w:r>
        <w:t xml:space="preserve"> in denying </w:t>
      </w:r>
      <w:r>
        <w:t xml:space="preserve">Frias’s </w:t>
      </w:r>
      <w:r>
        <w:t xml:space="preserve">November 30, </w:t>
      </w:r>
      <w:proofErr w:type="gramStart"/>
      <w:r>
        <w:t>2021</w:t>
      </w:r>
      <w:proofErr w:type="gramEnd"/>
      <w:r>
        <w:t xml:space="preserve"> </w:t>
      </w:r>
      <w:r>
        <w:t xml:space="preserve">request to substitute in </w:t>
      </w:r>
      <w:r>
        <w:t xml:space="preserve">Yim and </w:t>
      </w:r>
      <w:r>
        <w:t xml:space="preserve">the </w:t>
      </w:r>
      <w:r>
        <w:t xml:space="preserve">Castaneda </w:t>
      </w:r>
      <w:r>
        <w:t>firm</w:t>
      </w:r>
      <w:r>
        <w:t xml:space="preserve"> notwithstanding the court’s </w:t>
      </w:r>
      <w:r>
        <w:t xml:space="preserve">concerns that the request was a delay tactic and </w:t>
      </w:r>
      <w:r>
        <w:t>Yim</w:t>
      </w:r>
      <w:r>
        <w:t xml:space="preserve"> </w:t>
      </w:r>
      <w:r>
        <w:t>would not be</w:t>
      </w:r>
      <w:r>
        <w:t xml:space="preserve"> read</w:t>
      </w:r>
      <w:r>
        <w:t>y</w:t>
      </w:r>
      <w:r>
        <w:t xml:space="preserve"> for trial.</w:t>
      </w:r>
    </w:p>
    <w:p w14:paraId="0680E45F" w14:textId="77777777" w:rsidR="00204D4F" w:rsidRDefault="00204D4F" w:rsidP="00F93AAE">
      <w:r>
        <w:tab/>
        <w:t xml:space="preserve">In June 2021 when Frias </w:t>
      </w:r>
      <w:r>
        <w:t xml:space="preserve">first </w:t>
      </w:r>
      <w:r>
        <w:t>requested substitution of Castaneda as his counsel, the case had been pending for more than three years.  Although some of the trial delay was attributable to the COVID</w:t>
      </w:r>
      <w:r>
        <w:t>-19</w:t>
      </w:r>
      <w:r>
        <w:t xml:space="preserve"> pandemic and </w:t>
      </w:r>
      <w:r>
        <w:t>the</w:t>
      </w:r>
      <w:r>
        <w:t xml:space="preserve"> six-month delay to assess Frias’s competenc</w:t>
      </w:r>
      <w:r>
        <w:t>e</w:t>
      </w:r>
      <w:r>
        <w:t xml:space="preserve"> to stand trial, it was reasonable for </w:t>
      </w:r>
      <w:r>
        <w:lastRenderedPageBreak/>
        <w:t xml:space="preserve">the trial court to attribute a significant </w:t>
      </w:r>
      <w:r>
        <w:t>portion</w:t>
      </w:r>
      <w:r>
        <w:t xml:space="preserve"> of the delay to Frias’s repeated substitution requests.  Frias was represented at the preliminary hearing </w:t>
      </w:r>
      <w:r>
        <w:t xml:space="preserve">in May 2018 </w:t>
      </w:r>
      <w:r>
        <w:t>by deputy public defender Graves.  The trial court granted Frias’</w:t>
      </w:r>
      <w:r>
        <w:t xml:space="preserve">s first four requests to substitute in new counsel: (1) on October 25, </w:t>
      </w:r>
      <w:proofErr w:type="gramStart"/>
      <w:r>
        <w:t>2018</w:t>
      </w:r>
      <w:proofErr w:type="gramEnd"/>
      <w:r>
        <w:t xml:space="preserve"> to substitute retained attorney Melnick; (2) on August 23, 2019 to substitute the public defender’s office (Cox); (3) on November 4, 2019 to substitute retained attorney Gordon; and (4)</w:t>
      </w:r>
      <w:r>
        <w:t> </w:t>
      </w:r>
      <w:r>
        <w:t>on December 3, 2020 to substitute retained attorney Cargal.  And</w:t>
      </w:r>
      <w:r>
        <w:t>,</w:t>
      </w:r>
      <w:r>
        <w:t xml:space="preserve"> after Cargal requested to be relieved as counsel (asserting Frias was making it difficult to represent him), on January 4, </w:t>
      </w:r>
      <w:proofErr w:type="gramStart"/>
      <w:r>
        <w:t>2021</w:t>
      </w:r>
      <w:proofErr w:type="gramEnd"/>
      <w:r>
        <w:t xml:space="preserve"> the court granted Frias’s request to reappoint Cox.  Eac</w:t>
      </w:r>
      <w:r>
        <w:t xml:space="preserve">h time the court granted Frias’s </w:t>
      </w:r>
      <w:proofErr w:type="gramStart"/>
      <w:r>
        <w:t>request,</w:t>
      </w:r>
      <w:proofErr w:type="gramEnd"/>
      <w:r>
        <w:t xml:space="preserve"> the court raised </w:t>
      </w:r>
      <w:r>
        <w:t xml:space="preserve">its </w:t>
      </w:r>
      <w:r>
        <w:t>concern that Frias’s repeated requests for new counsel were made for the purpose</w:t>
      </w:r>
      <w:r>
        <w:t>s</w:t>
      </w:r>
      <w:r>
        <w:t xml:space="preserve"> of delay.    </w:t>
      </w:r>
    </w:p>
    <w:p w14:paraId="19C5BDC5" w14:textId="77777777" w:rsidR="00204D4F" w:rsidRDefault="00204D4F" w:rsidP="00F93AAE">
      <w:pPr>
        <w:ind w:firstLine="720"/>
      </w:pPr>
      <w:r w:rsidRPr="00B062F9">
        <w:t xml:space="preserve">The trial court did not abuse its discretion in denying </w:t>
      </w:r>
      <w:r>
        <w:t>Frias</w:t>
      </w:r>
      <w:r>
        <w:t>’s</w:t>
      </w:r>
      <w:r>
        <w:t xml:space="preserve"> three </w:t>
      </w:r>
      <w:r>
        <w:t xml:space="preserve">requests </w:t>
      </w:r>
      <w:r w:rsidRPr="005873B5">
        <w:t>in June, July, and August 2021</w:t>
      </w:r>
      <w:r>
        <w:t xml:space="preserve"> </w:t>
      </w:r>
      <w:r>
        <w:t xml:space="preserve">to substitute in </w:t>
      </w:r>
      <w:r>
        <w:t xml:space="preserve">the </w:t>
      </w:r>
      <w:r>
        <w:t xml:space="preserve">Castaneda </w:t>
      </w:r>
      <w:r>
        <w:t>firm</w:t>
      </w:r>
      <w:r w:rsidRPr="00B062F9">
        <w:t>.</w:t>
      </w:r>
      <w:r>
        <w:t xml:space="preserve">  </w:t>
      </w:r>
      <w:r>
        <w:t>When Frias sought to have Castaneda substitute in as counsel on June 23, 2021, Cast</w:t>
      </w:r>
      <w:r>
        <w:t>a</w:t>
      </w:r>
      <w:r>
        <w:t>n</w:t>
      </w:r>
      <w:r>
        <w:t>e</w:t>
      </w:r>
      <w:r>
        <w:t>da stated “there would be no further delay</w:t>
      </w:r>
      <w:r>
        <w:t>s</w:t>
      </w:r>
      <w:r>
        <w:t>” because he was “not asking for any additional time</w:t>
      </w:r>
      <w:r>
        <w:t>.</w:t>
      </w:r>
      <w:r>
        <w:t>”</w:t>
      </w:r>
      <w:r>
        <w:t xml:space="preserve"> </w:t>
      </w:r>
      <w:r>
        <w:t xml:space="preserve"> </w:t>
      </w:r>
      <w:r>
        <w:t>B</w:t>
      </w:r>
      <w:r>
        <w:t xml:space="preserve">ut </w:t>
      </w:r>
      <w:r>
        <w:t>Castaneda</w:t>
      </w:r>
      <w:r>
        <w:t xml:space="preserve"> acknowledged he had reviewed only some of the discovery (</w:t>
      </w:r>
      <w:r>
        <w:t xml:space="preserve">having </w:t>
      </w:r>
      <w:r>
        <w:t xml:space="preserve">received </w:t>
      </w:r>
      <w:r>
        <w:t>the record</w:t>
      </w:r>
      <w:r>
        <w:t xml:space="preserve"> </w:t>
      </w:r>
      <w:r>
        <w:t xml:space="preserve">from Cox </w:t>
      </w:r>
      <w:r>
        <w:t xml:space="preserve">an hour </w:t>
      </w:r>
      <w:r>
        <w:t>before the hearing</w:t>
      </w:r>
      <w:r>
        <w:t xml:space="preserve">), and when asked whether he would be ready within the </w:t>
      </w:r>
      <w:proofErr w:type="gramStart"/>
      <w:r>
        <w:t>time period</w:t>
      </w:r>
      <w:proofErr w:type="gramEnd"/>
      <w:r>
        <w:t xml:space="preserve"> for trial (20</w:t>
      </w:r>
      <w:r>
        <w:t> </w:t>
      </w:r>
      <w:r>
        <w:t xml:space="preserve">days), </w:t>
      </w:r>
      <w:r>
        <w:t>Castaneda</w:t>
      </w:r>
      <w:r>
        <w:t xml:space="preserve"> </w:t>
      </w:r>
      <w:r>
        <w:t>admitted</w:t>
      </w:r>
      <w:r>
        <w:t xml:space="preserve"> he would not.  When Yim sought to substitute in a</w:t>
      </w:r>
      <w:r>
        <w:t xml:space="preserve">s counsel on July 19, 2021, he stated the law firm had “been in communication with” Cox </w:t>
      </w:r>
      <w:r>
        <w:t>and did not in</w:t>
      </w:r>
      <w:r>
        <w:t xml:space="preserve">tend to cause further delay.  </w:t>
      </w:r>
      <w:r>
        <w:t>However,</w:t>
      </w:r>
      <w:r>
        <w:t xml:space="preserve"> Yim never stated whether he could be ready by August</w:t>
      </w:r>
      <w:r>
        <w:t> </w:t>
      </w:r>
      <w:r>
        <w:t xml:space="preserve">4, 2021, the date the court set as zero of 20 for trial.  And on August 25, </w:t>
      </w:r>
      <w:proofErr w:type="gramStart"/>
      <w:r>
        <w:t>2021</w:t>
      </w:r>
      <w:proofErr w:type="gramEnd"/>
      <w:r>
        <w:t xml:space="preserve"> Cox informed the court that </w:t>
      </w:r>
      <w:r>
        <w:lastRenderedPageBreak/>
        <w:t>Yim was present in court and</w:t>
      </w:r>
      <w:r>
        <w:t xml:space="preserve"> Frias</w:t>
      </w:r>
      <w:r>
        <w:t xml:space="preserve"> wanted to substitute </w:t>
      </w:r>
      <w:proofErr w:type="gramStart"/>
      <w:r>
        <w:t>in</w:t>
      </w:r>
      <w:proofErr w:type="gramEnd"/>
      <w:r>
        <w:t xml:space="preserve"> </w:t>
      </w:r>
      <w:r>
        <w:t xml:space="preserve">Yim </w:t>
      </w:r>
      <w:r>
        <w:t>as counsel</w:t>
      </w:r>
      <w:r>
        <w:t>.</w:t>
      </w:r>
      <w:r>
        <w:t xml:space="preserve"> </w:t>
      </w:r>
      <w:r>
        <w:t xml:space="preserve"> B</w:t>
      </w:r>
      <w:r>
        <w:t xml:space="preserve">ut Yim did not address the court or explain whether he would be ready for trial.   </w:t>
      </w:r>
    </w:p>
    <w:p w14:paraId="520DFD51" w14:textId="77777777" w:rsidR="00204D4F" w:rsidRPr="00A92E33" w:rsidRDefault="00204D4F" w:rsidP="00A92E33">
      <w:r>
        <w:tab/>
      </w:r>
      <w:r>
        <w:t>However</w:t>
      </w:r>
      <w:r w:rsidRPr="00BD053D">
        <w:t xml:space="preserve">, the trial court abused its discretion in denying Frias’s request to substitute in Yim as counsel on November 30, 2021.  </w:t>
      </w:r>
      <w:r w:rsidRPr="00BD053D">
        <w:t>T</w:t>
      </w:r>
      <w:r w:rsidRPr="00BD053D">
        <w:t>he court was rightly concerned that another attorney substitution—following four prior substitutions—could further delay the trial</w:t>
      </w:r>
      <w:r w:rsidRPr="00BD053D">
        <w:t xml:space="preserve"> and </w:t>
      </w:r>
      <w:r w:rsidRPr="00BD053D">
        <w:t xml:space="preserve">was </w:t>
      </w:r>
      <w:r w:rsidRPr="00BD053D">
        <w:t xml:space="preserve">made by Frias for that </w:t>
      </w:r>
      <w:r w:rsidRPr="00BD053D">
        <w:t>purpose</w:t>
      </w:r>
      <w:r w:rsidRPr="00BD053D">
        <w:t>.  But</w:t>
      </w:r>
      <w:r w:rsidRPr="00BD053D">
        <w:t xml:space="preserve"> Yim represented for the first time that he was ready for trial and was not seeking a trial continuance.  By this time, </w:t>
      </w:r>
      <w:r w:rsidRPr="00BD053D">
        <w:t xml:space="preserve">the </w:t>
      </w:r>
      <w:r w:rsidRPr="00BD053D">
        <w:t xml:space="preserve">Castaneda </w:t>
      </w:r>
      <w:r w:rsidRPr="00BD053D">
        <w:t>firm</w:t>
      </w:r>
      <w:r w:rsidRPr="00BD053D">
        <w:t xml:space="preserve"> (1) </w:t>
      </w:r>
      <w:r w:rsidRPr="00BD053D">
        <w:t xml:space="preserve">had </w:t>
      </w:r>
      <w:r w:rsidRPr="00BD053D">
        <w:t xml:space="preserve">sought to substitute in </w:t>
      </w:r>
      <w:r w:rsidRPr="00BD053D">
        <w:t xml:space="preserve">for </w:t>
      </w:r>
      <w:r w:rsidRPr="00BD053D">
        <w:t xml:space="preserve">the prior </w:t>
      </w:r>
      <w:r w:rsidRPr="00BD053D">
        <w:t>five month</w:t>
      </w:r>
      <w:r w:rsidRPr="00BD053D">
        <w:t>s</w:t>
      </w:r>
      <w:r w:rsidRPr="00BD053D">
        <w:t>; (2)</w:t>
      </w:r>
      <w:r w:rsidRPr="00BD053D">
        <w:t xml:space="preserve"> </w:t>
      </w:r>
      <w:r w:rsidRPr="00BD053D">
        <w:t>had possession of the entire digital file from Cox</w:t>
      </w:r>
      <w:r>
        <w:t xml:space="preserve"> during that five-month period</w:t>
      </w:r>
      <w:r w:rsidRPr="00BD053D">
        <w:t>;</w:t>
      </w:r>
      <w:r w:rsidRPr="00BD053D">
        <w:t xml:space="preserve"> and </w:t>
      </w:r>
      <w:r w:rsidRPr="00BD053D">
        <w:t>(</w:t>
      </w:r>
      <w:r w:rsidRPr="00BD053D">
        <w:t>3</w:t>
      </w:r>
      <w:r w:rsidRPr="00BD053D">
        <w:t xml:space="preserve">) </w:t>
      </w:r>
      <w:r w:rsidRPr="00BD053D">
        <w:t xml:space="preserve">had </w:t>
      </w:r>
      <w:r w:rsidRPr="00BD053D">
        <w:t>been in communication with Cox, who “tried to ensure” retained counsel could “hit the ground running</w:t>
      </w:r>
      <w:r w:rsidRPr="00BD053D">
        <w:t>.</w:t>
      </w:r>
      <w:r w:rsidRPr="00BD053D">
        <w:t>”</w:t>
      </w:r>
      <w:r>
        <w:t xml:space="preserve"> </w:t>
      </w:r>
      <w:r>
        <w:t xml:space="preserve"> </w:t>
      </w:r>
    </w:p>
    <w:p w14:paraId="7DBBE297" w14:textId="77777777" w:rsidR="00204D4F" w:rsidRDefault="00204D4F" w:rsidP="00F93AAE">
      <w:r>
        <w:t xml:space="preserve"> </w:t>
      </w:r>
      <w:r>
        <w:tab/>
      </w:r>
      <w:r>
        <w:t xml:space="preserve">The People contend Yim was equivocal about his readiness for trial because Yim stated he was “ready for trial, subject to the scheduling that was discussed with the experts and things like that.”  But Yim added that “it sounds like everything got addressed,” acknowledging that the prosecutor and Cox had resolved </w:t>
      </w:r>
      <w:r>
        <w:t>Cox’s concerns over the availability of the police officers for trial</w:t>
      </w:r>
      <w:r>
        <w:t xml:space="preserve">.  </w:t>
      </w:r>
      <w:r w:rsidRPr="00524AC9">
        <w:t>And by the time Frias requested Yim be substituted in</w:t>
      </w:r>
      <w:r>
        <w:t xml:space="preserve"> as counsel</w:t>
      </w:r>
      <w:r>
        <w:t xml:space="preserve"> on November 30</w:t>
      </w:r>
      <w:r w:rsidRPr="00524AC9">
        <w:t>, Cox and the prosecutor had worked out the is</w:t>
      </w:r>
      <w:r w:rsidRPr="00524AC9">
        <w:t xml:space="preserve">sues relating to testimony by </w:t>
      </w:r>
      <w:r>
        <w:t xml:space="preserve">the </w:t>
      </w:r>
      <w:r>
        <w:t xml:space="preserve">defense </w:t>
      </w:r>
      <w:r w:rsidRPr="00524AC9">
        <w:t>expert</w:t>
      </w:r>
      <w:r>
        <w:t>s</w:t>
      </w:r>
      <w:r>
        <w:t>.</w:t>
      </w:r>
      <w:r w:rsidRPr="00524AC9">
        <w:t xml:space="preserve">   </w:t>
      </w:r>
      <w:r>
        <w:t>Further, any trial delay</w:t>
      </w:r>
      <w:r>
        <w:t xml:space="preserve"> that would have resulted from </w:t>
      </w:r>
      <w:r>
        <w:t>un</w:t>
      </w:r>
      <w:r>
        <w:t xml:space="preserve">availability of the officers </w:t>
      </w:r>
      <w:r>
        <w:t xml:space="preserve">or </w:t>
      </w:r>
      <w:r>
        <w:t>defense expert</w:t>
      </w:r>
      <w:r>
        <w:t>s</w:t>
      </w:r>
      <w:r>
        <w:t xml:space="preserve"> </w:t>
      </w:r>
      <w:r>
        <w:t xml:space="preserve">would have affected </w:t>
      </w:r>
      <w:r>
        <w:t>the defense’s</w:t>
      </w:r>
      <w:r>
        <w:t xml:space="preserve"> readiness for trial</w:t>
      </w:r>
      <w:r>
        <w:t xml:space="preserve"> </w:t>
      </w:r>
      <w:r>
        <w:t xml:space="preserve">regardless </w:t>
      </w:r>
      <w:r>
        <w:t>of whether Cox or Yim</w:t>
      </w:r>
      <w:r>
        <w:t xml:space="preserve"> represented Frias</w:t>
      </w:r>
      <w:r>
        <w:t>.</w:t>
      </w:r>
      <w:r>
        <w:t xml:space="preserve">  </w:t>
      </w:r>
    </w:p>
    <w:p w14:paraId="2BF0B6B7" w14:textId="77777777" w:rsidR="00204D4F" w:rsidRPr="00FE2748" w:rsidRDefault="00204D4F" w:rsidP="006919F9">
      <w:pPr>
        <w:ind w:firstLine="720"/>
      </w:pPr>
      <w:r>
        <w:t>T</w:t>
      </w:r>
      <w:r>
        <w:t xml:space="preserve">he prosecutor and </w:t>
      </w:r>
      <w:r>
        <w:t xml:space="preserve">trial court </w:t>
      </w:r>
      <w:r>
        <w:t>had a legitimate concern</w:t>
      </w:r>
      <w:r>
        <w:t xml:space="preserve"> </w:t>
      </w:r>
      <w:r>
        <w:t xml:space="preserve">based on the history of the case </w:t>
      </w:r>
      <w:r>
        <w:t>that</w:t>
      </w:r>
      <w:r>
        <w:t>,</w:t>
      </w:r>
      <w:r>
        <w:t xml:space="preserve"> notwithstanding </w:t>
      </w:r>
      <w:r>
        <w:t>Yim</w:t>
      </w:r>
      <w:r>
        <w:t xml:space="preserve">’s representation he was not seeking a continuance, </w:t>
      </w:r>
      <w:r>
        <w:t>Yim</w:t>
      </w:r>
      <w:r>
        <w:t xml:space="preserve"> </w:t>
      </w:r>
      <w:r>
        <w:t>might</w:t>
      </w:r>
      <w:r>
        <w:t xml:space="preserve"> </w:t>
      </w:r>
      <w:r>
        <w:lastRenderedPageBreak/>
        <w:t xml:space="preserve">request </w:t>
      </w:r>
      <w:r>
        <w:t>a continuance</w:t>
      </w:r>
      <w:r>
        <w:t xml:space="preserve"> once</w:t>
      </w:r>
      <w:r>
        <w:t xml:space="preserve"> he substituted in as counsel</w:t>
      </w:r>
      <w:r>
        <w:t xml:space="preserve"> and finished his preparation for trial</w:t>
      </w:r>
      <w:r>
        <w:t>.</w:t>
      </w:r>
      <w:r>
        <w:t xml:space="preserve">  But </w:t>
      </w:r>
      <w:r>
        <w:t xml:space="preserve">nothing in the record as of November 30 </w:t>
      </w:r>
      <w:r>
        <w:t xml:space="preserve">showed </w:t>
      </w:r>
      <w:r>
        <w:t xml:space="preserve">Yim’s </w:t>
      </w:r>
      <w:r>
        <w:t xml:space="preserve">statement that </w:t>
      </w:r>
      <w:r>
        <w:t>he was ready for trial</w:t>
      </w:r>
      <w:r>
        <w:t xml:space="preserve"> </w:t>
      </w:r>
      <w:r>
        <w:t>was not</w:t>
      </w:r>
      <w:r>
        <w:t xml:space="preserve"> credible</w:t>
      </w:r>
      <w:r>
        <w:t>.</w:t>
      </w:r>
      <w:r>
        <w:t xml:space="preserve"> </w:t>
      </w:r>
      <w:r>
        <w:t xml:space="preserve"> N</w:t>
      </w:r>
      <w:r>
        <w:t xml:space="preserve">or did </w:t>
      </w:r>
      <w:r>
        <w:t xml:space="preserve">the court make any inquiries of Yim to discern whether </w:t>
      </w:r>
      <w:r>
        <w:t>he was in fact ready, for example,</w:t>
      </w:r>
      <w:r>
        <w:t xml:space="preserve"> holding an </w:t>
      </w:r>
      <w:proofErr w:type="gramStart"/>
      <w:r>
        <w:t>in camera</w:t>
      </w:r>
      <w:proofErr w:type="gramEnd"/>
      <w:r>
        <w:t xml:space="preserve"> hearing</w:t>
      </w:r>
      <w:r>
        <w:t xml:space="preserve"> </w:t>
      </w:r>
      <w:r>
        <w:t>(</w:t>
      </w:r>
      <w:r>
        <w:t>as Cox had proposed</w:t>
      </w:r>
      <w:r>
        <w:t>)</w:t>
      </w:r>
      <w:r>
        <w:t xml:space="preserve"> to </w:t>
      </w:r>
      <w:r>
        <w:t xml:space="preserve">inquire into whether </w:t>
      </w:r>
      <w:r>
        <w:t>Yim</w:t>
      </w:r>
      <w:r>
        <w:t xml:space="preserve"> was </w:t>
      </w:r>
      <w:r>
        <w:t>ready to call his witnesses on the trial date</w:t>
      </w:r>
      <w:r>
        <w:t xml:space="preserve">. </w:t>
      </w:r>
      <w:r>
        <w:t xml:space="preserve"> </w:t>
      </w:r>
      <w:r>
        <w:t>Further,</w:t>
      </w:r>
      <w:r>
        <w:t xml:space="preserve"> the court </w:t>
      </w:r>
      <w:r>
        <w:t xml:space="preserve">retained discretion to deny a future </w:t>
      </w:r>
      <w:r>
        <w:t>continuance request gi</w:t>
      </w:r>
      <w:r>
        <w:t>ven Yim’s assurances that he was ready for trial.</w:t>
      </w:r>
      <w:r>
        <w:t xml:space="preserve">  Likewise, the court could deny a future request by Frias for yet another substitution of counsel.</w:t>
      </w:r>
      <w:r>
        <w:t xml:space="preserve">  </w:t>
      </w:r>
      <w:r>
        <w:t xml:space="preserve">The </w:t>
      </w:r>
      <w:r w:rsidRPr="00BD053D">
        <w:rPr>
          <w:i/>
          <w:iCs/>
        </w:rPr>
        <w:t>possibility</w:t>
      </w:r>
      <w:r>
        <w:t xml:space="preserve"> of future delay </w:t>
      </w:r>
      <w:r>
        <w:t xml:space="preserve">did not </w:t>
      </w:r>
      <w:r>
        <w:t>warrant</w:t>
      </w:r>
      <w:r>
        <w:t xml:space="preserve"> denial of </w:t>
      </w:r>
      <w:r>
        <w:t>Frias’s right to counsel of his choice</w:t>
      </w:r>
      <w:r>
        <w:t xml:space="preserve"> </w:t>
      </w:r>
      <w:r>
        <w:t>“</w:t>
      </w:r>
      <w:r>
        <w:t>base</w:t>
      </w:r>
      <w:r>
        <w:t>d on</w:t>
      </w:r>
      <w:r>
        <w:t xml:space="preserve"> </w:t>
      </w:r>
      <w:r>
        <w:t>consideration</w:t>
      </w:r>
      <w:r>
        <w:t>s</w:t>
      </w:r>
      <w:r>
        <w:t xml:space="preserve"> of judicial efficiency.</w:t>
      </w:r>
      <w:r>
        <w:t>”</w:t>
      </w:r>
      <w:r>
        <w:t xml:space="preserve"> </w:t>
      </w:r>
      <w:r>
        <w:t xml:space="preserve"> (</w:t>
      </w:r>
      <w:r w:rsidRPr="005175C2">
        <w:rPr>
          <w:i/>
          <w:iCs/>
        </w:rPr>
        <w:t>Court</w:t>
      </w:r>
      <w:r w:rsidRPr="005175C2">
        <w:rPr>
          <w:i/>
          <w:iCs/>
        </w:rPr>
        <w:t>s</w:t>
      </w:r>
      <w:r w:rsidRPr="005175C2">
        <w:rPr>
          <w:i/>
          <w:iCs/>
        </w:rPr>
        <w:t>, supra</w:t>
      </w:r>
      <w:r>
        <w:t xml:space="preserve">, </w:t>
      </w:r>
      <w:r>
        <w:t>37</w:t>
      </w:r>
      <w:r>
        <w:t> </w:t>
      </w:r>
      <w:r>
        <w:t>Cal.3d at p</w:t>
      </w:r>
      <w:r>
        <w:t>p</w:t>
      </w:r>
      <w:r>
        <w:t>.</w:t>
      </w:r>
      <w:r>
        <w:t> </w:t>
      </w:r>
      <w:r>
        <w:t>794</w:t>
      </w:r>
      <w:r>
        <w:t>-795 [trial courts must “</w:t>
      </w:r>
      <w:r>
        <w:t xml:space="preserve">exercise </w:t>
      </w:r>
      <w:r>
        <w:t xml:space="preserve">‘resourceful diligence’ in protecting </w:t>
      </w:r>
      <w:r>
        <w:t>the right to chosen counsel</w:t>
      </w:r>
      <w:r>
        <w:t xml:space="preserve"> </w:t>
      </w:r>
      <w:r w:rsidRPr="00FE2748">
        <w:t>. . . </w:t>
      </w:r>
      <w:r w:rsidRPr="00FE2748">
        <w:t xml:space="preserve">even when a byproduct of a concrete and timely assertion </w:t>
      </w:r>
      <w:r w:rsidRPr="00FE2748">
        <w:t xml:space="preserve">of that right is some disruption in the </w:t>
      </w:r>
      <w:proofErr w:type="gramStart"/>
      <w:r w:rsidRPr="00FE2748">
        <w:t>process</w:t>
      </w:r>
      <w:r w:rsidRPr="00FE2748">
        <w:t>”</w:t>
      </w:r>
      <w:r w:rsidRPr="00FE2748">
        <w:t>]</w:t>
      </w:r>
      <w:proofErr w:type="gramEnd"/>
      <w:r w:rsidRPr="00FE2748">
        <w:t xml:space="preserve">.) </w:t>
      </w:r>
    </w:p>
    <w:p w14:paraId="4C9E47B2" w14:textId="77777777" w:rsidR="00204D4F" w:rsidRDefault="00204D4F" w:rsidP="001051DF">
      <w:pPr>
        <w:ind w:firstLine="720"/>
      </w:pPr>
      <w:r w:rsidRPr="00FE2748">
        <w:rPr>
          <w:i/>
          <w:iCs/>
        </w:rPr>
        <w:t xml:space="preserve">Courts </w:t>
      </w:r>
      <w:proofErr w:type="gramStart"/>
      <w:r w:rsidRPr="00FE2748">
        <w:t>is</w:t>
      </w:r>
      <w:proofErr w:type="gramEnd"/>
      <w:r w:rsidRPr="00FE2748">
        <w:t xml:space="preserve"> instructive. </w:t>
      </w:r>
      <w:r w:rsidRPr="00FE2748">
        <w:t xml:space="preserve"> </w:t>
      </w:r>
      <w:r w:rsidRPr="00FE2748">
        <w:t xml:space="preserve">In </w:t>
      </w:r>
      <w:r w:rsidRPr="00FE2748">
        <w:rPr>
          <w:i/>
          <w:iCs/>
        </w:rPr>
        <w:t>Courts</w:t>
      </w:r>
      <w:r w:rsidRPr="00FE2748">
        <w:t xml:space="preserve">, two months before trial a defendant charged with murder met with a private attorney </w:t>
      </w:r>
      <w:proofErr w:type="gramStart"/>
      <w:r w:rsidRPr="00FE2748">
        <w:t>in an effort to</w:t>
      </w:r>
      <w:proofErr w:type="gramEnd"/>
      <w:r w:rsidRPr="00FE2748">
        <w:t xml:space="preserve"> replace his appointed counsel, but the defendant did not yet have the funds to pay the attorney’s retainer</w:t>
      </w:r>
      <w:r>
        <w:t xml:space="preserve"> fee</w:t>
      </w:r>
      <w:r w:rsidRPr="00FE2748">
        <w:t>.  (</w:t>
      </w:r>
      <w:r w:rsidRPr="00FE2748">
        <w:rPr>
          <w:i/>
          <w:iCs/>
        </w:rPr>
        <w:t>Courts, supra</w:t>
      </w:r>
      <w:r w:rsidRPr="00FE2748">
        <w:t xml:space="preserve">, 37 Cal.3d at pp. 787-788.)  A week before the trial date, the </w:t>
      </w:r>
      <w:r>
        <w:t xml:space="preserve">deputy </w:t>
      </w:r>
      <w:r w:rsidRPr="00FE2748">
        <w:t xml:space="preserve">public defender </w:t>
      </w:r>
      <w:r w:rsidRPr="00FE2748">
        <w:t>told</w:t>
      </w:r>
      <w:r w:rsidRPr="00FE2748">
        <w:t xml:space="preserve"> the court that </w:t>
      </w:r>
      <w:r>
        <w:t xml:space="preserve">the </w:t>
      </w:r>
      <w:r w:rsidRPr="00FE2748">
        <w:t>defendant wanted a continuance to hire private counsel; the court denied the request, finding it was untimely.  (</w:t>
      </w:r>
      <w:r w:rsidRPr="00FE2748">
        <w:rPr>
          <w:i/>
          <w:iCs/>
        </w:rPr>
        <w:t>Ibid</w:t>
      </w:r>
      <w:r w:rsidRPr="00FE2748">
        <w:t xml:space="preserve">.)  On the day of trial, the </w:t>
      </w:r>
      <w:r w:rsidRPr="00FE2748">
        <w:t>defendant renewed his request, explaining in a declaration</w:t>
      </w:r>
      <w:r w:rsidRPr="00FE2748">
        <w:t xml:space="preserve"> that</w:t>
      </w:r>
      <w:r w:rsidRPr="00FE2748">
        <w:t xml:space="preserve"> he did not have confidence in his deputy public defender who had not previously tried a case</w:t>
      </w:r>
      <w:r>
        <w:t xml:space="preserve"> of that magnitude</w:t>
      </w:r>
      <w:r w:rsidRPr="00FE2748">
        <w:t>.  (</w:t>
      </w:r>
      <w:r w:rsidRPr="00FE2748">
        <w:rPr>
          <w:i/>
          <w:iCs/>
        </w:rPr>
        <w:t>Id</w:t>
      </w:r>
      <w:r w:rsidRPr="00FE2748">
        <w:t>. at p. 789.)  The trial court (a second judge) denied the request.  (</w:t>
      </w:r>
      <w:r w:rsidRPr="00FE2748">
        <w:rPr>
          <w:i/>
          <w:iCs/>
        </w:rPr>
        <w:t>Id</w:t>
      </w:r>
      <w:r w:rsidRPr="00FE2748">
        <w:t>. at pp.</w:t>
      </w:r>
      <w:r>
        <w:t> </w:t>
      </w:r>
      <w:r w:rsidRPr="00FE2748">
        <w:t xml:space="preserve">788-789.)  The Supreme Court reversed the judgment, </w:t>
      </w:r>
      <w:r w:rsidRPr="00FE2748">
        <w:lastRenderedPageBreak/>
        <w:t>explaining “‘a myopic insistence upon expeditiousness in the face of a justifiable request for delay can render the right to defend with counsel an empty formality.’”  (</w:t>
      </w:r>
      <w:r w:rsidRPr="00FE2748">
        <w:rPr>
          <w:i/>
          <w:iCs/>
        </w:rPr>
        <w:t>Id</w:t>
      </w:r>
      <w:r w:rsidRPr="00FE2748">
        <w:t xml:space="preserve">. at p. 791.)  </w:t>
      </w:r>
    </w:p>
    <w:p w14:paraId="6F3160DC" w14:textId="77777777" w:rsidR="00204D4F" w:rsidRPr="00FE2748" w:rsidRDefault="00204D4F" w:rsidP="001051DF">
      <w:pPr>
        <w:ind w:firstLine="720"/>
      </w:pPr>
      <w:r w:rsidRPr="00FE2748">
        <w:t>Here too</w:t>
      </w:r>
      <w:r>
        <w:t>,</w:t>
      </w:r>
      <w:r w:rsidRPr="00FE2748">
        <w:t xml:space="preserve"> the trial court</w:t>
      </w:r>
      <w:r>
        <w:t xml:space="preserve"> abused its discretion by insisting</w:t>
      </w:r>
      <w:r w:rsidRPr="00FE2748">
        <w:t xml:space="preserve"> that the case proceed to trial with Cox</w:t>
      </w:r>
      <w:r w:rsidRPr="00FE2748">
        <w:t>—</w:t>
      </w:r>
      <w:r w:rsidRPr="00FE2748">
        <w:t xml:space="preserve">based on the court’s perception that Cox was </w:t>
      </w:r>
      <w:r>
        <w:t>best</w:t>
      </w:r>
      <w:r w:rsidRPr="00FE2748">
        <w:t xml:space="preserve"> prepared to handle the case</w:t>
      </w:r>
      <w:r>
        <w:t xml:space="preserve">, </w:t>
      </w:r>
      <w:r>
        <w:t>describing him as</w:t>
      </w:r>
      <w:r>
        <w:t xml:space="preserve"> “fully prepared” </w:t>
      </w:r>
      <w:r w:rsidRPr="00FE2748">
        <w:t>given</w:t>
      </w:r>
      <w:r w:rsidRPr="00FE2748">
        <w:t xml:space="preserve"> the “massive” amount of work </w:t>
      </w:r>
      <w:r>
        <w:t>he</w:t>
      </w:r>
      <w:r w:rsidRPr="00FE2748">
        <w:t xml:space="preserve"> had done on the </w:t>
      </w:r>
      <w:r w:rsidRPr="00FE2748">
        <w:rPr>
          <w:i/>
          <w:iCs/>
        </w:rPr>
        <w:t>Pitchess</w:t>
      </w:r>
      <w:r w:rsidRPr="00FE2748">
        <w:t xml:space="preserve"> motion</w:t>
      </w:r>
      <w:r w:rsidRPr="00FE2748">
        <w:t xml:space="preserve">, supplemental </w:t>
      </w:r>
      <w:r w:rsidRPr="00FE2748">
        <w:rPr>
          <w:i/>
          <w:iCs/>
        </w:rPr>
        <w:t>Pitchess</w:t>
      </w:r>
      <w:r w:rsidRPr="00FE2748">
        <w:rPr>
          <w:i/>
          <w:iCs/>
        </w:rPr>
        <w:t xml:space="preserve"> </w:t>
      </w:r>
      <w:r w:rsidRPr="00FE2748">
        <w:t>discovery</w:t>
      </w:r>
      <w:r w:rsidRPr="00FE2748">
        <w:t>, and expert reports</w:t>
      </w:r>
      <w:r>
        <w:t>.  By focus</w:t>
      </w:r>
      <w:r>
        <w:t>ing</w:t>
      </w:r>
      <w:r>
        <w:t xml:space="preserve"> on Cox’s preparation for trial </w:t>
      </w:r>
      <w:r>
        <w:t xml:space="preserve">instead of </w:t>
      </w:r>
      <w:r>
        <w:t xml:space="preserve">Yim’s representation that he was ready for trial, the </w:t>
      </w:r>
      <w:r>
        <w:t xml:space="preserve">trial </w:t>
      </w:r>
      <w:r>
        <w:t xml:space="preserve">court, as in </w:t>
      </w:r>
      <w:r w:rsidRPr="00E8158B">
        <w:rPr>
          <w:i/>
          <w:iCs/>
        </w:rPr>
        <w:t>Courts</w:t>
      </w:r>
      <w:r>
        <w:t xml:space="preserve">, </w:t>
      </w:r>
      <w:r w:rsidRPr="00FE2748">
        <w:t xml:space="preserve">improperly focused on the efficiency of proceeding to trial at the expense of Frias’s constitutional right to be represented at trial by counsel of his choice.  </w:t>
      </w:r>
    </w:p>
    <w:p w14:paraId="545DD906" w14:textId="77777777" w:rsidR="00204D4F" w:rsidRPr="004068FD" w:rsidRDefault="00204D4F" w:rsidP="008D7A66">
      <w:pPr>
        <w:ind w:firstLine="720"/>
      </w:pPr>
      <w:r w:rsidRPr="00FE2748">
        <w:t>The Supreme Court cases relied on by the People</w:t>
      </w:r>
      <w:r w:rsidRPr="00FE2748">
        <w:t>,</w:t>
      </w:r>
      <w:r w:rsidRPr="00FE2748">
        <w:t xml:space="preserve"> finding no </w:t>
      </w:r>
      <w:r w:rsidRPr="00FE2748">
        <w:t xml:space="preserve">abuse of </w:t>
      </w:r>
      <w:r w:rsidRPr="00FE2748">
        <w:t xml:space="preserve">discretion </w:t>
      </w:r>
      <w:r w:rsidRPr="00FE2748">
        <w:t>in</w:t>
      </w:r>
      <w:r w:rsidRPr="00FE2748">
        <w:t xml:space="preserve"> </w:t>
      </w:r>
      <w:r w:rsidRPr="00FE2748">
        <w:t xml:space="preserve">denying </w:t>
      </w:r>
      <w:r w:rsidRPr="00FE2748">
        <w:t xml:space="preserve">the defendants’ </w:t>
      </w:r>
      <w:r w:rsidRPr="00FE2748">
        <w:t>untimely motion</w:t>
      </w:r>
      <w:r w:rsidRPr="00FE2748">
        <w:t>s</w:t>
      </w:r>
      <w:r w:rsidRPr="00FE2748">
        <w:t xml:space="preserve"> to substitute new counsel</w:t>
      </w:r>
      <w:r w:rsidRPr="00FE2748">
        <w:t>,</w:t>
      </w:r>
      <w:r w:rsidRPr="00FE2748">
        <w:t xml:space="preserve"> are distinguishable</w:t>
      </w:r>
      <w:r w:rsidRPr="00FE2748">
        <w:t xml:space="preserve"> because in each case substitution would have significantly delayed the trial</w:t>
      </w:r>
      <w:r w:rsidRPr="00FE2748">
        <w:t xml:space="preserve">.  </w:t>
      </w:r>
      <w:r w:rsidRPr="00FE2748">
        <w:t>In</w:t>
      </w:r>
      <w:r w:rsidRPr="00FE2748">
        <w:t xml:space="preserve"> </w:t>
      </w:r>
      <w:r w:rsidRPr="00FE2748">
        <w:rPr>
          <w:i/>
          <w:iCs/>
        </w:rPr>
        <w:t>Maciel, supra</w:t>
      </w:r>
      <w:r w:rsidRPr="00FE2748">
        <w:t>, 57 Cal</w:t>
      </w:r>
      <w:r w:rsidRPr="004068FD">
        <w:t>.4th at page</w:t>
      </w:r>
      <w:r>
        <w:t>s</w:t>
      </w:r>
      <w:r w:rsidRPr="004068FD">
        <w:t xml:space="preserve"> 51</w:t>
      </w:r>
      <w:r>
        <w:t>0</w:t>
      </w:r>
      <w:r>
        <w:t xml:space="preserve"> to 511</w:t>
      </w:r>
      <w:r w:rsidRPr="004068FD">
        <w:t xml:space="preserve">, </w:t>
      </w:r>
      <w:r>
        <w:t xml:space="preserve">the trial court granted the defendant’s first </w:t>
      </w:r>
      <w:r>
        <w:t xml:space="preserve">two </w:t>
      </w:r>
      <w:r>
        <w:t>request</w:t>
      </w:r>
      <w:r>
        <w:t>s</w:t>
      </w:r>
      <w:r>
        <w:t xml:space="preserve"> to substitute </w:t>
      </w:r>
      <w:r>
        <w:t xml:space="preserve">in </w:t>
      </w:r>
      <w:r w:rsidRPr="004068FD">
        <w:t>retained counsel</w:t>
      </w:r>
      <w:r>
        <w:t xml:space="preserve"> </w:t>
      </w:r>
      <w:r>
        <w:t xml:space="preserve">but denied the defendant’s </w:t>
      </w:r>
      <w:r>
        <w:t>third</w:t>
      </w:r>
      <w:r>
        <w:t xml:space="preserve"> request</w:t>
      </w:r>
      <w:r>
        <w:t xml:space="preserve"> made after the case was pending for two years</w:t>
      </w:r>
      <w:r>
        <w:t>, explaining it would take at least six months for a new attorney to prepare for trial</w:t>
      </w:r>
      <w:r>
        <w:t>.</w:t>
      </w:r>
      <w:r w:rsidRPr="004068FD">
        <w:t xml:space="preserve">  </w:t>
      </w:r>
      <w:r>
        <w:t>T</w:t>
      </w:r>
      <w:r w:rsidRPr="004068FD">
        <w:t xml:space="preserve">he Supreme Court </w:t>
      </w:r>
      <w:r>
        <w:t>reasoned</w:t>
      </w:r>
      <w:r>
        <w:t xml:space="preserve"> in finding no abuse of discretion</w:t>
      </w:r>
      <w:r w:rsidRPr="004068FD">
        <w:t xml:space="preserve">, “At the time the motion was made, the case had been pending for two years.  </w:t>
      </w:r>
      <w:proofErr w:type="gramStart"/>
      <w:r w:rsidRPr="004068FD">
        <w:t>Trial</w:t>
      </w:r>
      <w:proofErr w:type="gramEnd"/>
      <w:r w:rsidRPr="004068FD">
        <w:t xml:space="preserve"> was imminent and, in fact, began about six weeks later.  Defendant had no substitute counsel in mind; rather, he requested that the court appoint coun</w:t>
      </w:r>
      <w:r w:rsidRPr="004068FD">
        <w:t>sel</w:t>
      </w:r>
      <w:proofErr w:type="gramStart"/>
      <w:r>
        <w:t>. . . .</w:t>
      </w:r>
      <w:proofErr w:type="gramEnd"/>
      <w:r>
        <w:t>  </w:t>
      </w:r>
      <w:r w:rsidRPr="004068FD">
        <w:t xml:space="preserve">In evaluating timeliness, the trial court properly considered the long delay that would have resulted from changing counsel in this case.  The trial </w:t>
      </w:r>
      <w:r w:rsidRPr="004068FD">
        <w:lastRenderedPageBreak/>
        <w:t>court, which had been through at least one trial of the former codefendants, expressed concern that further delay would exacerbate the witnesses’ reluctance to testify.  The trial court also noted the absence of abandonment or inadequate representation by counsel or an actual conflict of interest.”  (</w:t>
      </w:r>
      <w:r w:rsidRPr="004068FD">
        <w:rPr>
          <w:i/>
          <w:iCs/>
        </w:rPr>
        <w:t>Id.</w:t>
      </w:r>
      <w:r w:rsidRPr="004068FD">
        <w:t xml:space="preserve"> at pp.</w:t>
      </w:r>
      <w:r>
        <w:t> </w:t>
      </w:r>
      <w:r w:rsidRPr="004068FD">
        <w:t xml:space="preserve">512-513.)  </w:t>
      </w:r>
      <w:r>
        <w:t>T</w:t>
      </w:r>
      <w:r>
        <w:t>he</w:t>
      </w:r>
      <w:r w:rsidRPr="004068FD">
        <w:t xml:space="preserve"> </w:t>
      </w:r>
      <w:r>
        <w:t>Supreme C</w:t>
      </w:r>
      <w:r w:rsidRPr="004068FD">
        <w:t xml:space="preserve">ourt </w:t>
      </w:r>
      <w:r>
        <w:t>concluded</w:t>
      </w:r>
      <w:r>
        <w:t xml:space="preserve"> </w:t>
      </w:r>
      <w:r>
        <w:t xml:space="preserve">the trial court </w:t>
      </w:r>
      <w:r w:rsidRPr="004068FD">
        <w:t>“reasonably denied defendant’s motion because relieving counsel under these circumstances would have resulted in the ‘“disruption of the orderly processes of justice.”’”  (</w:t>
      </w:r>
      <w:r w:rsidRPr="004068FD">
        <w:rPr>
          <w:i/>
          <w:iCs/>
        </w:rPr>
        <w:t>Id.</w:t>
      </w:r>
      <w:r w:rsidRPr="004068FD">
        <w:t xml:space="preserve"> at p. 513</w:t>
      </w:r>
      <w:r>
        <w:t xml:space="preserve">; see </w:t>
      </w:r>
      <w:r w:rsidRPr="008400BE">
        <w:rPr>
          <w:i/>
          <w:iCs/>
        </w:rPr>
        <w:t>O’Malley</w:t>
      </w:r>
      <w:r>
        <w:rPr>
          <w:i/>
          <w:iCs/>
        </w:rPr>
        <w:t>, supra</w:t>
      </w:r>
      <w:r>
        <w:t xml:space="preserve">, </w:t>
      </w:r>
      <w:r w:rsidRPr="008400BE">
        <w:t xml:space="preserve">62 Cal.4th </w:t>
      </w:r>
      <w:r>
        <w:t>at pp.</w:t>
      </w:r>
      <w:r w:rsidRPr="008400BE">
        <w:t xml:space="preserve"> 100</w:t>
      </w:r>
      <w:r>
        <w:t>6-1007 [“</w:t>
      </w:r>
      <w:r w:rsidRPr="00804E03">
        <w:t>The court likely would have been well within its discretion to deny such a request</w:t>
      </w:r>
      <w:r>
        <w:t xml:space="preserve"> [to discharge counsel]</w:t>
      </w:r>
      <w:r w:rsidRPr="00804E03">
        <w:t>, given that it would have come in the midst of defendant</w:t>
      </w:r>
      <w:r>
        <w:t>’</w:t>
      </w:r>
      <w:r w:rsidRPr="00804E03">
        <w:t>s penalty phase case and without any substitute counsel at hand.</w:t>
      </w:r>
      <w:r>
        <w:t>”]</w:t>
      </w:r>
      <w:r>
        <w:t>;</w:t>
      </w:r>
      <w:bookmarkStart w:id="1" w:name="_Hlk151107964"/>
      <w:r>
        <w:t xml:space="preserve"> </w:t>
      </w:r>
      <w:r w:rsidRPr="008400BE">
        <w:rPr>
          <w:i/>
          <w:iCs/>
        </w:rPr>
        <w:t>Verdugo</w:t>
      </w:r>
      <w:r w:rsidRPr="008400BE">
        <w:t xml:space="preserve">, </w:t>
      </w:r>
      <w:r w:rsidRPr="008400BE">
        <w:rPr>
          <w:i/>
          <w:iCs/>
        </w:rPr>
        <w:t>supra</w:t>
      </w:r>
      <w:r w:rsidRPr="008400BE">
        <w:t xml:space="preserve">, </w:t>
      </w:r>
      <w:r w:rsidRPr="008400BE">
        <w:t>50 Cal.4th at p. 311</w:t>
      </w:r>
      <w:bookmarkEnd w:id="1"/>
      <w:r>
        <w:t xml:space="preserve"> [no abuse of discretion in denying motion to discharge counsel made in the middle of an evidentiary hearing on motion for new trial where new counsel would need significant time to study lengthy trial record and witnesses’ memories would likely fade over time given that a year had already passed since trial]</w:t>
      </w:r>
      <w:r>
        <w:t>.</w:t>
      </w:r>
      <w:r>
        <w:t>)</w:t>
      </w:r>
      <w:r>
        <w:rPr>
          <w:rStyle w:val="FootnoteReference"/>
        </w:rPr>
        <w:footnoteReference w:id="9"/>
      </w:r>
    </w:p>
    <w:p w14:paraId="2F5B93D2" w14:textId="77777777" w:rsidR="00204D4F" w:rsidRPr="00FE2748" w:rsidRDefault="00204D4F" w:rsidP="00C4444D">
      <w:r w:rsidRPr="004068FD">
        <w:tab/>
        <w:t xml:space="preserve">Unlike </w:t>
      </w:r>
      <w:r w:rsidRPr="004068FD">
        <w:rPr>
          <w:i/>
          <w:iCs/>
        </w:rPr>
        <w:t>Maciel</w:t>
      </w:r>
      <w:r>
        <w:t xml:space="preserve">, </w:t>
      </w:r>
      <w:r w:rsidRPr="002E3E9F">
        <w:rPr>
          <w:i/>
          <w:iCs/>
        </w:rPr>
        <w:t>O’Malley</w:t>
      </w:r>
      <w:r>
        <w:t xml:space="preserve">, </w:t>
      </w:r>
      <w:r>
        <w:t xml:space="preserve">and </w:t>
      </w:r>
      <w:r w:rsidRPr="00F64594">
        <w:rPr>
          <w:i/>
          <w:iCs/>
        </w:rPr>
        <w:t>Verdugo</w:t>
      </w:r>
      <w:r>
        <w:t xml:space="preserve">, </w:t>
      </w:r>
      <w:r>
        <w:t xml:space="preserve">in </w:t>
      </w:r>
      <w:r>
        <w:t xml:space="preserve">which the defendants </w:t>
      </w:r>
      <w:r>
        <w:t xml:space="preserve">sought to discharge their attorneys but </w:t>
      </w:r>
      <w:r>
        <w:t xml:space="preserve">had not </w:t>
      </w:r>
      <w:r>
        <w:lastRenderedPageBreak/>
        <w:t>identified substitute counsel</w:t>
      </w:r>
      <w:r>
        <w:t>,</w:t>
      </w:r>
      <w:r>
        <w:t xml:space="preserve"> and new counsel would need significant time to prepare for trial, </w:t>
      </w:r>
      <w:r w:rsidRPr="004068FD">
        <w:t xml:space="preserve">Frias retained </w:t>
      </w:r>
      <w:r>
        <w:t xml:space="preserve">the </w:t>
      </w:r>
      <w:r w:rsidRPr="004068FD">
        <w:t xml:space="preserve">Castaneda </w:t>
      </w:r>
      <w:r>
        <w:t xml:space="preserve">firm </w:t>
      </w:r>
      <w:r>
        <w:t>five</w:t>
      </w:r>
      <w:r w:rsidRPr="00CA1E18">
        <w:t xml:space="preserve"> months</w:t>
      </w:r>
      <w:r>
        <w:t xml:space="preserve"> before trial, and Yim declared </w:t>
      </w:r>
      <w:r w:rsidRPr="004068FD">
        <w:t xml:space="preserve">he was ready for </w:t>
      </w:r>
      <w:r w:rsidRPr="00FE2748">
        <w:t xml:space="preserve">trial.  Further, in </w:t>
      </w:r>
      <w:r w:rsidRPr="00FE2748">
        <w:rPr>
          <w:i/>
          <w:iCs/>
        </w:rPr>
        <w:t>Maciel</w:t>
      </w:r>
      <w:r w:rsidRPr="00FE2748">
        <w:t xml:space="preserve"> </w:t>
      </w:r>
      <w:r w:rsidRPr="00FE2748">
        <w:t xml:space="preserve">and </w:t>
      </w:r>
      <w:r w:rsidRPr="00FE2748">
        <w:rPr>
          <w:i/>
          <w:iCs/>
        </w:rPr>
        <w:t>Verdugo</w:t>
      </w:r>
      <w:r w:rsidRPr="00FE2748">
        <w:t>, the trial courts were concerned the delay would impact the willingness of the witnesses to appear (</w:t>
      </w:r>
      <w:r w:rsidRPr="00FE2748">
        <w:rPr>
          <w:i/>
          <w:iCs/>
        </w:rPr>
        <w:t>Maciel</w:t>
      </w:r>
      <w:r w:rsidRPr="00FE2748">
        <w:t xml:space="preserve">) or </w:t>
      </w:r>
      <w:r w:rsidRPr="00FE2748">
        <w:t>their ability to recall the underlying events (</w:t>
      </w:r>
      <w:r w:rsidRPr="00FE2748">
        <w:rPr>
          <w:i/>
          <w:iCs/>
        </w:rPr>
        <w:t>Verdugo</w:t>
      </w:r>
      <w:r w:rsidRPr="00FE2748">
        <w:t xml:space="preserve">).  </w:t>
      </w:r>
      <w:r w:rsidRPr="00FE2748">
        <w:t>(</w:t>
      </w:r>
      <w:r w:rsidRPr="00FE2748">
        <w:t>See</w:t>
      </w:r>
      <w:r w:rsidRPr="00FE2748">
        <w:t xml:space="preserve"> </w:t>
      </w:r>
      <w:r w:rsidRPr="00FE2748">
        <w:rPr>
          <w:i/>
          <w:iCs/>
        </w:rPr>
        <w:t>Macie</w:t>
      </w:r>
      <w:r w:rsidRPr="00FE2748">
        <w:rPr>
          <w:i/>
          <w:iCs/>
        </w:rPr>
        <w:t>l, supra</w:t>
      </w:r>
      <w:r w:rsidRPr="00FE2748">
        <w:t xml:space="preserve">, </w:t>
      </w:r>
      <w:r w:rsidRPr="0052212D">
        <w:t>57 Cal.4th at pp.</w:t>
      </w:r>
      <w:r>
        <w:t> </w:t>
      </w:r>
      <w:r w:rsidRPr="0052212D">
        <w:t xml:space="preserve">511, 513; </w:t>
      </w:r>
      <w:r w:rsidRPr="0052212D">
        <w:rPr>
          <w:i/>
          <w:iCs/>
        </w:rPr>
        <w:t>Verdugo</w:t>
      </w:r>
      <w:r w:rsidRPr="0052212D">
        <w:t xml:space="preserve">, </w:t>
      </w:r>
      <w:r w:rsidRPr="0052212D">
        <w:rPr>
          <w:i/>
          <w:iCs/>
        </w:rPr>
        <w:t>supra</w:t>
      </w:r>
      <w:r w:rsidRPr="0052212D">
        <w:t>, 50 Cal.4th at p. 311</w:t>
      </w:r>
      <w:r w:rsidRPr="0052212D">
        <w:t>.</w:t>
      </w:r>
      <w:r w:rsidRPr="00FE2748">
        <w:t>)</w:t>
      </w:r>
      <w:r w:rsidRPr="00FE2748">
        <w:t xml:space="preserve">  </w:t>
      </w:r>
      <w:r w:rsidRPr="00FE2748">
        <w:t>Although</w:t>
      </w:r>
      <w:r w:rsidRPr="00FE2748">
        <w:t xml:space="preserve"> </w:t>
      </w:r>
      <w:r w:rsidRPr="00FE2748">
        <w:t xml:space="preserve">Frias contributed to the trial delay by discharging appointed counsel </w:t>
      </w:r>
      <w:r w:rsidRPr="00FE2748">
        <w:t xml:space="preserve">(Graves) and three retained </w:t>
      </w:r>
      <w:proofErr w:type="gramStart"/>
      <w:r w:rsidRPr="00FE2748">
        <w:t>counsel</w:t>
      </w:r>
      <w:proofErr w:type="gramEnd"/>
      <w:r w:rsidRPr="00FE2748">
        <w:t xml:space="preserve"> (Melnick, Gordon, and Cargal)</w:t>
      </w:r>
      <w:r w:rsidRPr="00FE2748">
        <w:t xml:space="preserve">, there was no showing that substitution of the Castaneda law firm </w:t>
      </w:r>
      <w:r w:rsidRPr="00FE2748">
        <w:t>on November 30</w:t>
      </w:r>
      <w:r>
        <w:t>, 2021</w:t>
      </w:r>
      <w:r w:rsidRPr="00FE2748">
        <w:t xml:space="preserve"> </w:t>
      </w:r>
      <w:r w:rsidRPr="00FE2748">
        <w:t xml:space="preserve">would cause </w:t>
      </w:r>
      <w:r w:rsidRPr="00FE2748">
        <w:t xml:space="preserve">any further </w:t>
      </w:r>
      <w:r w:rsidRPr="00FE2748">
        <w:t xml:space="preserve">delay or impact witness testimony.  </w:t>
      </w:r>
      <w:r>
        <w:t>On this record, t</w:t>
      </w:r>
      <w:r>
        <w:t xml:space="preserve">he trial court abused its discretion in </w:t>
      </w:r>
      <w:r>
        <w:t xml:space="preserve">denying </w:t>
      </w:r>
      <w:r w:rsidRPr="00FE2748">
        <w:t>Frias</w:t>
      </w:r>
      <w:r>
        <w:t xml:space="preserve"> his</w:t>
      </w:r>
      <w:r w:rsidRPr="00FE2748">
        <w:t xml:space="preserve"> right to counsel of his choice.</w:t>
      </w:r>
    </w:p>
    <w:p w14:paraId="6742B48E" w14:textId="77777777" w:rsidR="00204D4F" w:rsidRPr="004068FD" w:rsidRDefault="00204D4F" w:rsidP="00220D15">
      <w:pPr>
        <w:ind w:firstLine="720"/>
      </w:pPr>
      <w:r w:rsidRPr="00FE2748">
        <w:t>Because the erroneous deprivation of Frias’s right to counsel of choice is a structural</w:t>
      </w:r>
      <w:r w:rsidRPr="004068FD">
        <w:t xml:space="preserve"> error, we reverse.  (</w:t>
      </w:r>
      <w:r w:rsidRPr="004068FD">
        <w:rPr>
          <w:i/>
          <w:iCs/>
        </w:rPr>
        <w:t>Gon</w:t>
      </w:r>
      <w:r>
        <w:rPr>
          <w:i/>
          <w:iCs/>
        </w:rPr>
        <w:t>z</w:t>
      </w:r>
      <w:r w:rsidRPr="004068FD">
        <w:rPr>
          <w:i/>
          <w:iCs/>
        </w:rPr>
        <w:t>alez-Lopez, supra</w:t>
      </w:r>
      <w:r w:rsidRPr="004068FD">
        <w:t>, 548 U.S. at p. 150;</w:t>
      </w:r>
      <w:r>
        <w:t xml:space="preserve"> </w:t>
      </w:r>
      <w:r w:rsidRPr="004068FD">
        <w:rPr>
          <w:i/>
          <w:iCs/>
        </w:rPr>
        <w:t>Woodruff, supra</w:t>
      </w:r>
      <w:r w:rsidRPr="004068FD">
        <w:t>, 5</w:t>
      </w:r>
      <w:r>
        <w:t> </w:t>
      </w:r>
      <w:r w:rsidRPr="004068FD">
        <w:t>Cal.5th at p.</w:t>
      </w:r>
      <w:r>
        <w:t> </w:t>
      </w:r>
      <w:r w:rsidRPr="004068FD">
        <w:t xml:space="preserve">728.)                </w:t>
      </w:r>
    </w:p>
    <w:p w14:paraId="0515A08E" w14:textId="77777777" w:rsidR="00204D4F" w:rsidRDefault="00204D4F" w:rsidP="0088158E">
      <w:r>
        <w:tab/>
      </w:r>
      <w:r w:rsidRPr="00F43B3B">
        <w:rPr>
          <w:szCs w:val="26"/>
        </w:rPr>
        <w:t>Although we reverse the judgment, we consider Frias’s challenge to the sufficiency of the evidence to determine whether he can be tried again for stalking.  (</w:t>
      </w:r>
      <w:r w:rsidRPr="00F43B3B">
        <w:rPr>
          <w:i/>
          <w:iCs/>
          <w:szCs w:val="26"/>
        </w:rPr>
        <w:t>People v. Morgan</w:t>
      </w:r>
      <w:r w:rsidRPr="00F43B3B">
        <w:rPr>
          <w:szCs w:val="26"/>
        </w:rPr>
        <w:t> (2007) 42</w:t>
      </w:r>
      <w:r w:rsidRPr="00F43B3B">
        <w:rPr>
          <w:szCs w:val="26"/>
        </w:rPr>
        <w:t> </w:t>
      </w:r>
      <w:r w:rsidRPr="00F43B3B">
        <w:rPr>
          <w:szCs w:val="26"/>
        </w:rPr>
        <w:t xml:space="preserve">Cal.4th 593, 613 [“Although we have concluded that </w:t>
      </w:r>
      <w:r w:rsidRPr="00F43B3B">
        <w:rPr>
          <w:szCs w:val="26"/>
        </w:rPr>
        <w:t>the kidnapping conviction must be reversed because it was presented to the jury on both a legally adequate and a legally inadequate theory, we must nonetheless assess the sufficiency of the evidence to determine whether defendant may again be tried for the kidnapping offense.”]; </w:t>
      </w:r>
      <w:r w:rsidRPr="00F43B3B">
        <w:rPr>
          <w:i/>
          <w:iCs/>
          <w:szCs w:val="26"/>
        </w:rPr>
        <w:t>People v. Hayes</w:t>
      </w:r>
      <w:r w:rsidRPr="00F43B3B">
        <w:rPr>
          <w:szCs w:val="26"/>
        </w:rPr>
        <w:t> (1990) 52 Cal.3d 577, 631 [“Although we have concluded that the robbery</w:t>
      </w:r>
      <w:bookmarkStart w:id="2" w:name="PAGE_7051"/>
      <w:r w:rsidRPr="00F43B3B">
        <w:rPr>
          <w:szCs w:val="26"/>
        </w:rPr>
        <w:t> </w:t>
      </w:r>
      <w:bookmarkEnd w:id="2"/>
      <w:r w:rsidRPr="00F43B3B">
        <w:rPr>
          <w:szCs w:val="26"/>
        </w:rPr>
        <w:t xml:space="preserve">conviction must be reversed for instructional error, we must nonetheless </w:t>
      </w:r>
      <w:r w:rsidRPr="00F43B3B">
        <w:rPr>
          <w:szCs w:val="26"/>
        </w:rPr>
        <w:lastRenderedPageBreak/>
        <w:t>assess the sufficiency of the evidence to determine whether defendant m</w:t>
      </w:r>
      <w:r w:rsidRPr="00F43B3B">
        <w:rPr>
          <w:szCs w:val="26"/>
        </w:rPr>
        <w:t>ay again be tried for this offense.”];</w:t>
      </w:r>
      <w:r w:rsidRPr="00F43B3B">
        <w:rPr>
          <w:szCs w:val="26"/>
        </w:rPr>
        <w:t xml:space="preserve"> </w:t>
      </w:r>
      <w:r w:rsidRPr="00F43B3B">
        <w:rPr>
          <w:i/>
          <w:iCs/>
          <w:szCs w:val="26"/>
        </w:rPr>
        <w:t xml:space="preserve">People v. </w:t>
      </w:r>
      <w:r w:rsidRPr="00F43B3B">
        <w:rPr>
          <w:i/>
          <w:iCs/>
          <w:szCs w:val="26"/>
        </w:rPr>
        <w:t xml:space="preserve">Jones </w:t>
      </w:r>
      <w:r w:rsidRPr="00F43B3B">
        <w:rPr>
          <w:szCs w:val="26"/>
        </w:rPr>
        <w:t>(2018) 26</w:t>
      </w:r>
      <w:r w:rsidRPr="00F43B3B">
        <w:rPr>
          <w:szCs w:val="26"/>
        </w:rPr>
        <w:t> </w:t>
      </w:r>
      <w:r w:rsidRPr="00F43B3B">
        <w:rPr>
          <w:szCs w:val="26"/>
        </w:rPr>
        <w:t>Cal.App.5th 420</w:t>
      </w:r>
      <w:r w:rsidRPr="00F43B3B">
        <w:rPr>
          <w:szCs w:val="26"/>
        </w:rPr>
        <w:t>, 437</w:t>
      </w:r>
      <w:r w:rsidRPr="00F43B3B">
        <w:t>;</w:t>
      </w:r>
      <w:r w:rsidRPr="00F43B3B">
        <w:rPr>
          <w:szCs w:val="26"/>
        </w:rPr>
        <w:t xml:space="preserve"> see </w:t>
      </w:r>
      <w:r w:rsidRPr="00F43B3B">
        <w:rPr>
          <w:i/>
          <w:iCs/>
          <w:szCs w:val="26"/>
        </w:rPr>
        <w:t>People v. Story</w:t>
      </w:r>
      <w:r w:rsidRPr="00F43B3B">
        <w:rPr>
          <w:szCs w:val="26"/>
        </w:rPr>
        <w:t> (2009) 45</w:t>
      </w:r>
      <w:r w:rsidRPr="00F43B3B">
        <w:rPr>
          <w:szCs w:val="26"/>
        </w:rPr>
        <w:t> </w:t>
      </w:r>
      <w:r w:rsidRPr="00F43B3B">
        <w:rPr>
          <w:szCs w:val="26"/>
        </w:rPr>
        <w:t>Cal.4th 1282, 1295 [“‘an appellate ruling of legal insufficiency is functionally equivalent to an acquittal and precludes a retrial’”].)</w:t>
      </w:r>
    </w:p>
    <w:p w14:paraId="29BD0975" w14:textId="77777777" w:rsidR="00204D4F" w:rsidRDefault="00204D4F" w:rsidP="00904048"/>
    <w:p w14:paraId="542084E0" w14:textId="77777777" w:rsidR="00204D4F" w:rsidRDefault="00204D4F" w:rsidP="00904048">
      <w:pPr>
        <w:pStyle w:val="Heading2"/>
      </w:pPr>
      <w:r>
        <w:t>Substantial Evidence Supports the Stalking Conviction</w:t>
      </w:r>
    </w:p>
    <w:p w14:paraId="7E966821" w14:textId="77777777" w:rsidR="00204D4F" w:rsidRDefault="00204D4F" w:rsidP="000400D3">
      <w:pPr>
        <w:pStyle w:val="Heading3"/>
      </w:pPr>
      <w:r>
        <w:t>Standard of review</w:t>
      </w:r>
    </w:p>
    <w:p w14:paraId="6B25A343" w14:textId="77777777" w:rsidR="00204D4F" w:rsidRDefault="00204D4F" w:rsidP="004342E3">
      <w:r>
        <w:tab/>
      </w:r>
      <w:r>
        <w:t>“</w:t>
      </w:r>
      <w:r>
        <w:t>When a defendant challenges the sufficiency of the evidence for a jury finding, we review the entire record in the light most favorable to the judgment of the trial court.  We evaluate whether substantial evidence, defined as reasonable and credible evidence of solid value, has been disclosed, permitting the trier of fact to find guilt beyond a reasonable doubt.”  (</w:t>
      </w:r>
      <w:r>
        <w:rPr>
          <w:i/>
          <w:iCs/>
        </w:rPr>
        <w:t>People v. Vargas</w:t>
      </w:r>
      <w:r>
        <w:t xml:space="preserve"> (2020) 9 Cal.5th 793, 820; accord, </w:t>
      </w:r>
      <w:r>
        <w:rPr>
          <w:i/>
          <w:iCs/>
        </w:rPr>
        <w:t>People v. Penunuri</w:t>
      </w:r>
      <w:r>
        <w:t xml:space="preserve"> (2018) 5 Cal.5th 126, 142 [“‘To assess the evidence’s sufficiency, we re</w:t>
      </w:r>
      <w:r>
        <w:t xml:space="preserve">view the whole record to determine whether </w:t>
      </w:r>
      <w:r w:rsidRPr="00D27506">
        <w:rPr>
          <w:i/>
          <w:iCs/>
        </w:rPr>
        <w:t>any</w:t>
      </w:r>
      <w:r>
        <w:t xml:space="preserve"> rational trier of fact could have found the essential elements of the crime or special circumstances beyond a reasonable doubt.’”].) “‘“Conflicts and even testimony [that] is subject to justifiable suspicion do not justify the reversal of a judgment, for it is the exclusive province of the trial judge or jury to determine the credibility of a witness and the truth or falsity of the facts upon which a determination depends.  [Citation.]  We resolve neither credi</w:t>
      </w:r>
      <w:r>
        <w:t>bility issues nor evidentiary conflicts; we look for substantial evidence.”’”  (</w:t>
      </w:r>
      <w:r>
        <w:rPr>
          <w:i/>
          <w:iCs/>
        </w:rPr>
        <w:t>Penunuri</w:t>
      </w:r>
      <w:r>
        <w:t xml:space="preserve">, at p. 142; accord, </w:t>
      </w:r>
      <w:r>
        <w:rPr>
          <w:i/>
          <w:iCs/>
        </w:rPr>
        <w:t>People v. Mendez</w:t>
      </w:r>
      <w:r>
        <w:t xml:space="preserve"> (2019) 7 Cal.5th 680, 703.)</w:t>
      </w:r>
    </w:p>
    <w:p w14:paraId="1DF52320" w14:textId="77777777" w:rsidR="00204D4F" w:rsidRDefault="00204D4F" w:rsidP="00F029B5">
      <w:r>
        <w:tab/>
        <w:t>“‘“The standard of review is the same in cases in which the prosecution relies mainly on circumstantial evidence.”’”  (</w:t>
      </w:r>
      <w:r>
        <w:rPr>
          <w:i/>
          <w:iCs/>
        </w:rPr>
        <w:t xml:space="preserve">People </w:t>
      </w:r>
      <w:r>
        <w:rPr>
          <w:i/>
          <w:iCs/>
        </w:rPr>
        <w:lastRenderedPageBreak/>
        <w:t>v. Vargas, supra</w:t>
      </w:r>
      <w:r>
        <w:t xml:space="preserve">, 9 Cal.5th at p. 820; accord, </w:t>
      </w:r>
      <w:r>
        <w:rPr>
          <w:i/>
          <w:iCs/>
        </w:rPr>
        <w:t>People v. Rivera</w:t>
      </w:r>
      <w:r>
        <w:t xml:space="preserve"> (2019) 7 Cal.5th 306, 324.)  “‘We presume in support of the judgment the existence of every fact the trier of fact reasonably could infer from the evidence.  [Citation.]  If the circumstances reasonably justify the trier of fact’s findings, reversal of the judgment is not warranted simply because the circumstances might also reasonably be reconciled with a contrary finding.’” (</w:t>
      </w:r>
      <w:r>
        <w:rPr>
          <w:i/>
          <w:iCs/>
        </w:rPr>
        <w:t xml:space="preserve">People v. </w:t>
      </w:r>
      <w:proofErr w:type="spellStart"/>
      <w:r>
        <w:rPr>
          <w:i/>
          <w:iCs/>
        </w:rPr>
        <w:t>Westerfield</w:t>
      </w:r>
      <w:proofErr w:type="spellEnd"/>
      <w:r>
        <w:t xml:space="preserve"> (2019) 6 Cal.5th 632, 713; accord, </w:t>
      </w:r>
      <w:r>
        <w:rPr>
          <w:i/>
          <w:iCs/>
        </w:rPr>
        <w:t>Peop</w:t>
      </w:r>
      <w:r>
        <w:rPr>
          <w:i/>
          <w:iCs/>
        </w:rPr>
        <w:t>le v. Penunuri, supra</w:t>
      </w:r>
      <w:r>
        <w:t xml:space="preserve">, 5 Cal.5th at p. 142 [“‘A reversal for insufficient evidence “is unwarranted unless it appears ‘that upon no hypothesis whatever is there sufficient substantial evidence to support’” the </w:t>
      </w:r>
      <w:r>
        <w:t xml:space="preserve">jury’s </w:t>
      </w:r>
      <w:r>
        <w:t xml:space="preserve">verdict.’”].)  </w:t>
      </w:r>
    </w:p>
    <w:p w14:paraId="605137BF" w14:textId="77777777" w:rsidR="00204D4F" w:rsidRDefault="00204D4F" w:rsidP="00696878"/>
    <w:p w14:paraId="26D49246" w14:textId="77777777" w:rsidR="00204D4F" w:rsidRDefault="00204D4F" w:rsidP="000400D3">
      <w:pPr>
        <w:pStyle w:val="Heading3"/>
      </w:pPr>
      <w:r>
        <w:t>Governing law</w:t>
      </w:r>
    </w:p>
    <w:p w14:paraId="43FC52E2" w14:textId="77777777" w:rsidR="00204D4F" w:rsidRDefault="00204D4F" w:rsidP="00435B4E">
      <w:r>
        <w:tab/>
        <w:t>Stalking is established if the defendant (1) repeatedly followed or harassed another person</w:t>
      </w:r>
      <w:r>
        <w:t>;</w:t>
      </w:r>
      <w:r>
        <w:t xml:space="preserve"> (2) made a credible threat</w:t>
      </w:r>
      <w:r>
        <w:t>;</w:t>
      </w:r>
      <w:r>
        <w:t xml:space="preserve"> and (3) did so with the intent to place that person in reasonable fear for his or her safety.  (</w:t>
      </w:r>
      <w:r>
        <w:rPr>
          <w:i/>
          <w:iCs/>
        </w:rPr>
        <w:t>People v. Peterson</w:t>
      </w:r>
      <w:r>
        <w:t xml:space="preserve"> (2023) 95 Cal.App.5th 1061, </w:t>
      </w:r>
      <w:r>
        <w:t>1065-</w:t>
      </w:r>
      <w:r>
        <w:t xml:space="preserve">1066; </w:t>
      </w:r>
      <w:r>
        <w:rPr>
          <w:i/>
          <w:iCs/>
        </w:rPr>
        <w:t>People v. Bleich</w:t>
      </w:r>
      <w:r>
        <w:t xml:space="preserve"> (2009) 178 Cal.App.4th 292, 301; see § 646.9, subd. (a) [“Any person who willfully, maliciously, and repeatedly follows or willfully and maliciously harasses another person and who makes a credible threat with the intent to place that person in reasonable fear for his or her safety, or the safety of his or her</w:t>
      </w:r>
      <w:r>
        <w:t xml:space="preserve"> immediate family is guilty of the crime of stalking </w:t>
      </w:r>
      <w:proofErr w:type="gramStart"/>
      <w:r>
        <w:t>. . . .</w:t>
      </w:r>
      <w:proofErr w:type="gramEnd"/>
      <w:r>
        <w:t xml:space="preserve">”].) </w:t>
      </w:r>
    </w:p>
    <w:p w14:paraId="42047E92" w14:textId="77777777" w:rsidR="00204D4F" w:rsidRDefault="00204D4F" w:rsidP="00435B4E">
      <w:r>
        <w:tab/>
      </w:r>
      <w:bookmarkStart w:id="3" w:name="_Hlk155856703"/>
      <w:r w:rsidRPr="004556B5">
        <w:t>Under section 646.9, subdivision (e)</w:t>
      </w:r>
      <w:r>
        <w:t>,</w:t>
      </w:r>
      <w:r>
        <w:rPr>
          <w:rStyle w:val="FootnoteReference"/>
        </w:rPr>
        <w:t xml:space="preserve"> </w:t>
      </w:r>
      <w:r w:rsidRPr="004556B5">
        <w:t xml:space="preserve"> a person </w:t>
      </w:r>
      <w:r w:rsidRPr="004556B5">
        <w:t>“</w:t>
      </w:r>
      <w:r w:rsidRPr="004556B5">
        <w:t>‘</w:t>
      </w:r>
      <w:r w:rsidRPr="004556B5">
        <w:t>harasses’</w:t>
      </w:r>
      <w:r w:rsidRPr="004556B5">
        <w:t>”</w:t>
      </w:r>
      <w:r w:rsidRPr="004556B5">
        <w:t xml:space="preserve"> </w:t>
      </w:r>
      <w:r w:rsidRPr="004556B5">
        <w:t>a</w:t>
      </w:r>
      <w:r w:rsidRPr="004556B5">
        <w:t xml:space="preserve"> person</w:t>
      </w:r>
      <w:r w:rsidRPr="004556B5">
        <w:t xml:space="preserve"> by engaging</w:t>
      </w:r>
      <w:r w:rsidRPr="004556B5">
        <w:t xml:space="preserve"> </w:t>
      </w:r>
      <w:r w:rsidRPr="004556B5">
        <w:t>“</w:t>
      </w:r>
      <w:r w:rsidRPr="004556B5">
        <w:t>in a knowing and willful course of conduct directed at a specific person that seriously alarms, annoys, torments, or terrorizes the person, and that serves no legitimate purpose.</w:t>
      </w:r>
      <w:r w:rsidRPr="004556B5">
        <w:t xml:space="preserve">”  </w:t>
      </w:r>
      <w:r w:rsidRPr="004556B5">
        <w:t>A “</w:t>
      </w:r>
      <w:r w:rsidRPr="004556B5">
        <w:t>‘</w:t>
      </w:r>
      <w:r w:rsidRPr="004556B5">
        <w:t>course of conduct’</w:t>
      </w:r>
      <w:r w:rsidRPr="004556B5">
        <w:t>”</w:t>
      </w:r>
      <w:r w:rsidRPr="004556B5">
        <w:t xml:space="preserve"> </w:t>
      </w:r>
      <w:r w:rsidRPr="00FD7555">
        <w:t>means</w:t>
      </w:r>
      <w:r w:rsidRPr="00FD7555">
        <w:t xml:space="preserve"> </w:t>
      </w:r>
      <w:r w:rsidRPr="00FD7555">
        <w:t>“</w:t>
      </w:r>
      <w:r w:rsidRPr="00FD7555">
        <w:t xml:space="preserve">two or </w:t>
      </w:r>
      <w:r w:rsidRPr="004556B5">
        <w:t xml:space="preserve">more acts </w:t>
      </w:r>
      <w:r w:rsidRPr="004556B5">
        <w:lastRenderedPageBreak/>
        <w:t>occurring over a period of time, however short, evidencing a continuity of purpose.</w:t>
      </w:r>
      <w:r w:rsidRPr="004556B5">
        <w:t>”</w:t>
      </w:r>
      <w:r w:rsidRPr="004556B5">
        <w:t xml:space="preserve">  (</w:t>
      </w:r>
      <w:r w:rsidRPr="004556B5">
        <w:rPr>
          <w:i/>
          <w:iCs/>
        </w:rPr>
        <w:t>Id.</w:t>
      </w:r>
      <w:r w:rsidRPr="004556B5">
        <w:t xml:space="preserve">, subd. (f).)  </w:t>
      </w:r>
      <w:r w:rsidRPr="004556B5">
        <w:t>A</w:t>
      </w:r>
      <w:r w:rsidRPr="004556B5">
        <w:t xml:space="preserve">nd </w:t>
      </w:r>
      <w:r w:rsidRPr="004556B5">
        <w:t>a “‘</w:t>
      </w:r>
      <w:r w:rsidRPr="004556B5">
        <w:t>credible threat</w:t>
      </w:r>
      <w:r w:rsidRPr="004556B5">
        <w:t>’</w:t>
      </w:r>
      <w:r w:rsidRPr="004556B5">
        <w:t>” is defined as</w:t>
      </w:r>
      <w:r w:rsidRPr="004556B5">
        <w:t xml:space="preserve"> “</w:t>
      </w:r>
      <w:r w:rsidRPr="004556B5">
        <w:t>a verbal or written threat, including that performed t</w:t>
      </w:r>
      <w:r w:rsidRPr="004556B5">
        <w:t>hrough the use of an electronic communication device, or a threat implied by a pattern of conduct or a combination of verbal, written, or electronically communicated statements and conduct, made with the intent to place the person that is the target of the threat in reasonable fear for his or her safety or the safety of his or her family, and made with the apparent ability to carry out the threat so as to cause the person who is the target of the threat to reasonably fear for his or her safety or the safety</w:t>
      </w:r>
      <w:r w:rsidRPr="004556B5">
        <w:t xml:space="preserve"> of his or her family.  It is not necessary to prove that the defendant had the intent to </w:t>
      </w:r>
      <w:proofErr w:type="gramStart"/>
      <w:r w:rsidRPr="004556B5">
        <w:t>actually carry</w:t>
      </w:r>
      <w:proofErr w:type="gramEnd"/>
      <w:r w:rsidRPr="004556B5">
        <w:t xml:space="preserve"> out the threat.</w:t>
      </w:r>
      <w:r w:rsidRPr="004556B5">
        <w:t>”</w:t>
      </w:r>
      <w:r w:rsidRPr="004556B5">
        <w:t xml:space="preserve">  (</w:t>
      </w:r>
      <w:r w:rsidRPr="004556B5">
        <w:rPr>
          <w:i/>
          <w:iCs/>
        </w:rPr>
        <w:t>Id.</w:t>
      </w:r>
      <w:r w:rsidRPr="004556B5">
        <w:t>, subd. (g)</w:t>
      </w:r>
      <w:r>
        <w:t>.)  (S</w:t>
      </w:r>
      <w:r w:rsidRPr="00685C1F">
        <w:t xml:space="preserve">ee </w:t>
      </w:r>
      <w:r w:rsidRPr="00685C1F">
        <w:rPr>
          <w:i/>
          <w:iCs/>
        </w:rPr>
        <w:t>People v. Peterson, supra</w:t>
      </w:r>
      <w:r w:rsidRPr="00685C1F">
        <w:t>,</w:t>
      </w:r>
      <w:r w:rsidRPr="00685C1F">
        <w:t xml:space="preserve"> 95 Cal.App.5th at p. 1066; </w:t>
      </w:r>
      <w:r w:rsidRPr="00685C1F">
        <w:rPr>
          <w:i/>
          <w:iCs/>
        </w:rPr>
        <w:t xml:space="preserve">People v. Cruz </w:t>
      </w:r>
      <w:r w:rsidRPr="00685C1F">
        <w:t>(2020) 46 Cal.App.5th 715, 732 [“Stalking requires</w:t>
      </w:r>
      <w:r w:rsidRPr="00424D61">
        <w:t xml:space="preserve"> the defendant to willfully make a ‘credible threat’ with the</w:t>
      </w:r>
      <w:r>
        <w:t xml:space="preserve"> intent to place the victim in reasonable fear for the victim’s safety or for the safety of the victim</w:t>
      </w:r>
      <w:r>
        <w:t>’</w:t>
      </w:r>
      <w:r>
        <w:t>s immediate family.”].)</w:t>
      </w:r>
    </w:p>
    <w:bookmarkEnd w:id="3"/>
    <w:p w14:paraId="4178720B" w14:textId="77777777" w:rsidR="00204D4F" w:rsidRDefault="00204D4F" w:rsidP="00F029B5"/>
    <w:p w14:paraId="44BBE304" w14:textId="77777777" w:rsidR="00204D4F" w:rsidRDefault="00204D4F" w:rsidP="000400D3">
      <w:pPr>
        <w:pStyle w:val="Heading3"/>
      </w:pPr>
      <w:r>
        <w:t xml:space="preserve">Substantial evidence supports the jury’s findings Frias made a credible </w:t>
      </w:r>
      <w:r>
        <w:t>threat</w:t>
      </w:r>
      <w:r>
        <w:t xml:space="preserve"> and inten</w:t>
      </w:r>
      <w:r>
        <w:t>d</w:t>
      </w:r>
      <w:r>
        <w:t>ed to place</w:t>
      </w:r>
      <w:r>
        <w:t xml:space="preserve"> Courtney in reasonable fear for her safety</w:t>
      </w:r>
      <w:r>
        <w:t xml:space="preserve"> </w:t>
      </w:r>
    </w:p>
    <w:p w14:paraId="7700F42E" w14:textId="77777777" w:rsidR="00204D4F" w:rsidRDefault="00204D4F" w:rsidP="003F61A0">
      <w:r>
        <w:tab/>
      </w:r>
      <w:r>
        <w:t xml:space="preserve">Frias contends </w:t>
      </w:r>
      <w:r>
        <w:t>substantial</w:t>
      </w:r>
      <w:r>
        <w:t xml:space="preserve"> evidence </w:t>
      </w:r>
      <w:r>
        <w:t>does not</w:t>
      </w:r>
      <w:r>
        <w:t xml:space="preserve"> support the jury’s findings he </w:t>
      </w:r>
      <w:r>
        <w:t xml:space="preserve">made a credible threat and </w:t>
      </w:r>
      <w:r>
        <w:t xml:space="preserve">acted with </w:t>
      </w:r>
      <w:r>
        <w:t xml:space="preserve">the </w:t>
      </w:r>
      <w:r>
        <w:t xml:space="preserve">specific intent </w:t>
      </w:r>
      <w:r>
        <w:t xml:space="preserve">to place Courtney in </w:t>
      </w:r>
      <w:r>
        <w:t xml:space="preserve">reasonable </w:t>
      </w:r>
      <w:r>
        <w:t xml:space="preserve">fear </w:t>
      </w:r>
      <w:r>
        <w:t>for her safety</w:t>
      </w:r>
      <w:r>
        <w:t>.</w:t>
      </w:r>
      <w:r>
        <w:rPr>
          <w:rStyle w:val="FootnoteReference"/>
        </w:rPr>
        <w:footnoteReference w:id="10"/>
      </w:r>
      <w:r>
        <w:t xml:space="preserve">  </w:t>
      </w:r>
      <w:r>
        <w:t>S</w:t>
      </w:r>
      <w:r>
        <w:t>ubstantial evidence</w:t>
      </w:r>
      <w:r>
        <w:t xml:space="preserve"> support</w:t>
      </w:r>
      <w:r>
        <w:t>s</w:t>
      </w:r>
      <w:r>
        <w:t xml:space="preserve"> </w:t>
      </w:r>
      <w:r>
        <w:t>Frias’s</w:t>
      </w:r>
      <w:r>
        <w:t xml:space="preserve"> stalking conviction</w:t>
      </w:r>
      <w:r>
        <w:t>.</w:t>
      </w:r>
      <w:r>
        <w:t xml:space="preserve">  </w:t>
      </w:r>
    </w:p>
    <w:p w14:paraId="7AA47FD8" w14:textId="77777777" w:rsidR="00204D4F" w:rsidRDefault="00204D4F" w:rsidP="003F61A0">
      <w:r>
        <w:lastRenderedPageBreak/>
        <w:tab/>
      </w:r>
      <w:r>
        <w:t xml:space="preserve">The </w:t>
      </w:r>
      <w:r>
        <w:t>facts</w:t>
      </w:r>
      <w:r>
        <w:t xml:space="preserve"> </w:t>
      </w:r>
      <w:r>
        <w:t>in this case</w:t>
      </w:r>
      <w:r>
        <w:t>—</w:t>
      </w:r>
      <w:r>
        <w:t>where</w:t>
      </w:r>
      <w:r>
        <w:t xml:space="preserve"> a defendant </w:t>
      </w:r>
      <w:r>
        <w:t>pursues</w:t>
      </w:r>
      <w:r>
        <w:t xml:space="preserve"> a victim in the hope of a romantic relationship</w:t>
      </w:r>
      <w:r>
        <w:t xml:space="preserve"> </w:t>
      </w:r>
      <w:r>
        <w:t>and</w:t>
      </w:r>
      <w:r>
        <w:t xml:space="preserve"> continues the pursuit after the victim makes clear </w:t>
      </w:r>
      <w:r>
        <w:t>the conduct</w:t>
      </w:r>
      <w:r>
        <w:t xml:space="preserve"> is unwanted</w:t>
      </w:r>
      <w:r>
        <w:t xml:space="preserve"> (</w:t>
      </w:r>
      <w:r>
        <w:t>plac</w:t>
      </w:r>
      <w:r>
        <w:t>ing</w:t>
      </w:r>
      <w:r>
        <w:t xml:space="preserve"> </w:t>
      </w:r>
      <w:r>
        <w:t xml:space="preserve">the victim </w:t>
      </w:r>
      <w:r>
        <w:t xml:space="preserve">in </w:t>
      </w:r>
      <w:r>
        <w:t>fear</w:t>
      </w:r>
      <w:r>
        <w:t>)</w:t>
      </w:r>
      <w:r>
        <w:t>—</w:t>
      </w:r>
      <w:r>
        <w:t>are</w:t>
      </w:r>
      <w:r>
        <w:t xml:space="preserve"> similar to </w:t>
      </w:r>
      <w:r>
        <w:t>those</w:t>
      </w:r>
      <w:r>
        <w:t xml:space="preserve"> </w:t>
      </w:r>
      <w:r>
        <w:t xml:space="preserve">the Courts of Appeal </w:t>
      </w:r>
      <w:r>
        <w:t>found sufficient to support stalking conviction</w:t>
      </w:r>
      <w:r>
        <w:t>s</w:t>
      </w:r>
      <w:r>
        <w:t xml:space="preserve"> in </w:t>
      </w:r>
      <w:r>
        <w:rPr>
          <w:i/>
          <w:iCs/>
        </w:rPr>
        <w:t>People v. Lopez</w:t>
      </w:r>
      <w:r>
        <w:t xml:space="preserve"> (2015) 240 Cal.App.4th 436 (</w:t>
      </w:r>
      <w:r>
        <w:rPr>
          <w:i/>
          <w:iCs/>
        </w:rPr>
        <w:t>Lopez</w:t>
      </w:r>
      <w:r>
        <w:t>)</w:t>
      </w:r>
      <w:r>
        <w:t xml:space="preserve"> and </w:t>
      </w:r>
      <w:r>
        <w:rPr>
          <w:i/>
          <w:iCs/>
          <w:szCs w:val="20"/>
        </w:rPr>
        <w:t xml:space="preserve">People v. Uecker </w:t>
      </w:r>
      <w:r>
        <w:rPr>
          <w:szCs w:val="20"/>
        </w:rPr>
        <w:t>(2009) 172 Cal.App.4th 583</w:t>
      </w:r>
      <w:r>
        <w:rPr>
          <w:szCs w:val="20"/>
        </w:rPr>
        <w:t xml:space="preserve"> (</w:t>
      </w:r>
      <w:r w:rsidRPr="00B85FDC">
        <w:rPr>
          <w:i/>
          <w:iCs/>
          <w:szCs w:val="20"/>
        </w:rPr>
        <w:t>Uecker</w:t>
      </w:r>
      <w:r>
        <w:rPr>
          <w:szCs w:val="20"/>
        </w:rPr>
        <w:t>)</w:t>
      </w:r>
      <w:r>
        <w:rPr>
          <w:szCs w:val="20"/>
        </w:rPr>
        <w:t>.</w:t>
      </w:r>
      <w:r>
        <w:rPr>
          <w:szCs w:val="20"/>
        </w:rPr>
        <w:t xml:space="preserve">  In </w:t>
      </w:r>
      <w:r w:rsidRPr="00147CC6">
        <w:rPr>
          <w:i/>
          <w:iCs/>
          <w:szCs w:val="20"/>
        </w:rPr>
        <w:t>Lopez</w:t>
      </w:r>
      <w:r>
        <w:rPr>
          <w:szCs w:val="20"/>
        </w:rPr>
        <w:t xml:space="preserve">, </w:t>
      </w:r>
      <w:r>
        <w:t xml:space="preserve">defendant </w:t>
      </w:r>
      <w:r>
        <w:t xml:space="preserve">Cesar Lopez </w:t>
      </w:r>
      <w:r>
        <w:t xml:space="preserve">and </w:t>
      </w:r>
      <w:r>
        <w:t xml:space="preserve">Angie Rizzo were </w:t>
      </w:r>
      <w:r>
        <w:t>acquaintances</w:t>
      </w:r>
      <w:r>
        <w:t xml:space="preserve"> when she was </w:t>
      </w:r>
      <w:r>
        <w:t>16 years old</w:t>
      </w:r>
      <w:r>
        <w:t xml:space="preserve">, but when </w:t>
      </w:r>
      <w:r>
        <w:t>Lopez</w:t>
      </w:r>
      <w:r>
        <w:t xml:space="preserve"> started </w:t>
      </w:r>
      <w:r>
        <w:t>act</w:t>
      </w:r>
      <w:r>
        <w:t>ing</w:t>
      </w:r>
      <w:r>
        <w:t xml:space="preserve"> romantically toward Rizzo</w:t>
      </w:r>
      <w:r>
        <w:t>, she avoided his calls</w:t>
      </w:r>
      <w:r>
        <w:t xml:space="preserve"> and </w:t>
      </w:r>
      <w:r>
        <w:t xml:space="preserve">stopped </w:t>
      </w:r>
      <w:r>
        <w:t>responding to his email</w:t>
      </w:r>
      <w:r>
        <w:t>s</w:t>
      </w:r>
      <w:r>
        <w:t>.</w:t>
      </w:r>
      <w:r>
        <w:t xml:space="preserve"> </w:t>
      </w:r>
      <w:r>
        <w:t xml:space="preserve"> </w:t>
      </w:r>
      <w:r>
        <w:t xml:space="preserve">Lopez </w:t>
      </w:r>
      <w:r>
        <w:t>then sent</w:t>
      </w:r>
      <w:r>
        <w:t xml:space="preserve"> </w:t>
      </w:r>
      <w:r>
        <w:t xml:space="preserve">packages </w:t>
      </w:r>
      <w:r>
        <w:t xml:space="preserve">to Rizzo at </w:t>
      </w:r>
      <w:r>
        <w:t>her mother’s address</w:t>
      </w:r>
      <w:r>
        <w:t xml:space="preserve"> </w:t>
      </w:r>
      <w:r>
        <w:t>for five or six years</w:t>
      </w:r>
      <w:r>
        <w:t xml:space="preserve">.  </w:t>
      </w:r>
      <w:r>
        <w:t>(</w:t>
      </w:r>
      <w:r w:rsidRPr="00E1362B">
        <w:rPr>
          <w:i/>
          <w:iCs/>
        </w:rPr>
        <w:t>Lopez</w:t>
      </w:r>
      <w:r>
        <w:t>,</w:t>
      </w:r>
      <w:r>
        <w:t xml:space="preserve"> at p</w:t>
      </w:r>
      <w:r>
        <w:t>p</w:t>
      </w:r>
      <w:r>
        <w:t>.</w:t>
      </w:r>
      <w:r>
        <w:t> </w:t>
      </w:r>
      <w:r>
        <w:t>438-</w:t>
      </w:r>
      <w:r>
        <w:t xml:space="preserve">439.)  </w:t>
      </w:r>
      <w:r>
        <w:t>When</w:t>
      </w:r>
      <w:r>
        <w:t xml:space="preserve"> </w:t>
      </w:r>
      <w:r>
        <w:t xml:space="preserve">Rizzo </w:t>
      </w:r>
      <w:r>
        <w:t>was 26 years old</w:t>
      </w:r>
      <w:r>
        <w:t xml:space="preserve">, </w:t>
      </w:r>
      <w:r>
        <w:t>Lopez</w:t>
      </w:r>
      <w:r>
        <w:t xml:space="preserve"> </w:t>
      </w:r>
      <w:r>
        <w:t>began</w:t>
      </w:r>
      <w:r>
        <w:t xml:space="preserve"> sending </w:t>
      </w:r>
      <w:r>
        <w:t>her</w:t>
      </w:r>
      <w:r>
        <w:t xml:space="preserve"> </w:t>
      </w:r>
      <w:r>
        <w:t>Facebook</w:t>
      </w:r>
      <w:r>
        <w:t xml:space="preserve"> messages, one of which included a picture of a labyrinth made of small rocks in the image of </w:t>
      </w:r>
      <w:r>
        <w:t>Rizzo’</w:t>
      </w:r>
      <w:r>
        <w:t xml:space="preserve">s face.  </w:t>
      </w:r>
      <w:r>
        <w:t>Rizzo</w:t>
      </w:r>
      <w:r>
        <w:t xml:space="preserve"> recognized </w:t>
      </w:r>
      <w:r>
        <w:t xml:space="preserve">the location of the labyrinth, which was about </w:t>
      </w:r>
      <w:r>
        <w:t>five blocks from her home</w:t>
      </w:r>
      <w:r>
        <w:t xml:space="preserve">; when she </w:t>
      </w:r>
      <w:r>
        <w:t xml:space="preserve">saw </w:t>
      </w:r>
      <w:r>
        <w:t xml:space="preserve">the labyrinth, she became </w:t>
      </w:r>
      <w:r>
        <w:t xml:space="preserve">“‘very scared.’”  </w:t>
      </w:r>
      <w:r>
        <w:t>(</w:t>
      </w:r>
      <w:r>
        <w:rPr>
          <w:i/>
          <w:iCs/>
        </w:rPr>
        <w:t>I</w:t>
      </w:r>
      <w:r>
        <w:rPr>
          <w:i/>
          <w:iCs/>
        </w:rPr>
        <w:t>d</w:t>
      </w:r>
      <w:r>
        <w:rPr>
          <w:i/>
          <w:iCs/>
        </w:rPr>
        <w:t>.</w:t>
      </w:r>
      <w:r>
        <w:rPr>
          <w:i/>
          <w:iCs/>
        </w:rPr>
        <w:t xml:space="preserve"> </w:t>
      </w:r>
      <w:r w:rsidRPr="00927DAC">
        <w:t>at pp.</w:t>
      </w:r>
      <w:r>
        <w:t> </w:t>
      </w:r>
      <w:r w:rsidRPr="00927DAC">
        <w:t>439-440</w:t>
      </w:r>
      <w:r>
        <w:rPr>
          <w:i/>
          <w:iCs/>
        </w:rPr>
        <w:t>.</w:t>
      </w:r>
      <w:r>
        <w:t xml:space="preserve">)  </w:t>
      </w:r>
      <w:r>
        <w:t>Rizzo</w:t>
      </w:r>
      <w:r>
        <w:t xml:space="preserve"> </w:t>
      </w:r>
      <w:r>
        <w:t xml:space="preserve">sent </w:t>
      </w:r>
      <w:r>
        <w:t xml:space="preserve">Lopez </w:t>
      </w:r>
      <w:r>
        <w:t xml:space="preserve">a </w:t>
      </w:r>
      <w:r>
        <w:t>Facebook</w:t>
      </w:r>
      <w:r>
        <w:t xml:space="preserve"> message asking </w:t>
      </w:r>
      <w:r>
        <w:t>him</w:t>
      </w:r>
      <w:r>
        <w:t xml:space="preserve"> </w:t>
      </w:r>
      <w:r>
        <w:t xml:space="preserve">to stop contacting her.  In response, </w:t>
      </w:r>
      <w:r>
        <w:t>Lopez</w:t>
      </w:r>
      <w:r>
        <w:t xml:space="preserve"> asked her to dress in white to perform a ceremony with him at the labyrinth.  (</w:t>
      </w:r>
      <w:r>
        <w:rPr>
          <w:i/>
          <w:iCs/>
        </w:rPr>
        <w:t>Id</w:t>
      </w:r>
      <w:r>
        <w:t xml:space="preserve">. at p. 441.)  </w:t>
      </w:r>
      <w:r>
        <w:t>Rizzo c</w:t>
      </w:r>
      <w:r>
        <w:t xml:space="preserve">alled the police, who warned </w:t>
      </w:r>
      <w:r>
        <w:t>Lopez</w:t>
      </w:r>
      <w:r>
        <w:t xml:space="preserve"> to stop contacting </w:t>
      </w:r>
      <w:r>
        <w:t>Rizzo</w:t>
      </w:r>
      <w:r>
        <w:t>.  (</w:t>
      </w:r>
      <w:r>
        <w:rPr>
          <w:i/>
          <w:iCs/>
        </w:rPr>
        <w:t>Id.</w:t>
      </w:r>
      <w:r>
        <w:t xml:space="preserve"> at p.</w:t>
      </w:r>
      <w:r>
        <w:t> </w:t>
      </w:r>
      <w:r>
        <w:t xml:space="preserve">442.)  </w:t>
      </w:r>
      <w:r>
        <w:t xml:space="preserve">Rizzo </w:t>
      </w:r>
      <w:r>
        <w:t>confirmed with a police sergeant “that she did not believe [</w:t>
      </w:r>
      <w:r>
        <w:t>Lopez</w:t>
      </w:r>
      <w:r>
        <w:t>] would harm her and he had never threatened her.”  (</w:t>
      </w:r>
      <w:r>
        <w:rPr>
          <w:i/>
          <w:iCs/>
        </w:rPr>
        <w:t>Ibid</w:t>
      </w:r>
      <w:r>
        <w:t xml:space="preserve">.)  </w:t>
      </w:r>
      <w:r>
        <w:t>Lopez</w:t>
      </w:r>
      <w:r>
        <w:t xml:space="preserve"> continued to send </w:t>
      </w:r>
      <w:r>
        <w:t>Rizzo</w:t>
      </w:r>
      <w:r>
        <w:t xml:space="preserve"> letters, created blogs about her, and approached her on four occasions.  (</w:t>
      </w:r>
      <w:r>
        <w:rPr>
          <w:i/>
          <w:iCs/>
        </w:rPr>
        <w:t>Id.</w:t>
      </w:r>
      <w:r>
        <w:t xml:space="preserve"> at p. 443.)  </w:t>
      </w:r>
    </w:p>
    <w:p w14:paraId="13C97A7B" w14:textId="77777777" w:rsidR="00204D4F" w:rsidRDefault="00204D4F" w:rsidP="003F61A0">
      <w:r>
        <w:tab/>
        <w:t>The</w:t>
      </w:r>
      <w:r>
        <w:t xml:space="preserve"> </w:t>
      </w:r>
      <w:r w:rsidRPr="00927DAC">
        <w:rPr>
          <w:i/>
          <w:iCs/>
        </w:rPr>
        <w:t xml:space="preserve">Lopez </w:t>
      </w:r>
      <w:r>
        <w:t xml:space="preserve">court </w:t>
      </w:r>
      <w:r>
        <w:t>concluded</w:t>
      </w:r>
      <w:r>
        <w:t xml:space="preserve"> that even absent any overt threats, Lopez’s </w:t>
      </w:r>
      <w:r>
        <w:t xml:space="preserve">course of conduct constituted a credible threat </w:t>
      </w:r>
      <w:r>
        <w:lastRenderedPageBreak/>
        <w:t>within the meaning of section 646.9, subdivision (g).  (</w:t>
      </w:r>
      <w:r>
        <w:rPr>
          <w:i/>
          <w:iCs/>
        </w:rPr>
        <w:t>Lopez, supra</w:t>
      </w:r>
      <w:r>
        <w:t>, 240 Cal.App.4</w:t>
      </w:r>
      <w:r w:rsidRPr="00504002">
        <w:t>th</w:t>
      </w:r>
      <w:r>
        <w:t xml:space="preserve"> at p. 453.)  The court reasoned, “[</w:t>
      </w:r>
      <w:r>
        <w:t>Lopez</w:t>
      </w:r>
      <w:r>
        <w:t xml:space="preserve">’s] construction of the labyrinth, the content of his blogs, messages, letters and packages, and the persistence with which he contacted </w:t>
      </w:r>
      <w:r>
        <w:t>Rizzo</w:t>
      </w:r>
      <w:r>
        <w:t xml:space="preserve"> despite being told to stop by her and by the police, reveal an obsession that a reasonable person would understand as threatenin</w:t>
      </w:r>
      <w:r>
        <w:t>g.”  (</w:t>
      </w:r>
      <w:r>
        <w:rPr>
          <w:i/>
          <w:iCs/>
        </w:rPr>
        <w:t>Id.</w:t>
      </w:r>
      <w:r>
        <w:t xml:space="preserve"> at pp. 453-454, fn. omitted.) </w:t>
      </w:r>
      <w:r>
        <w:t xml:space="preserve"> </w:t>
      </w:r>
      <w:r>
        <w:t xml:space="preserve">The court continued </w:t>
      </w:r>
      <w:r>
        <w:t xml:space="preserve">with respect to Lopez’s intent to </w:t>
      </w:r>
      <w:r>
        <w:t xml:space="preserve">scare </w:t>
      </w:r>
      <w:proofErr w:type="gramStart"/>
      <w:r>
        <w:t>Rizzo,</w:t>
      </w:r>
      <w:r>
        <w:t xml:space="preserve"> </w:t>
      </w:r>
      <w:r>
        <w:t xml:space="preserve"> </w:t>
      </w:r>
      <w:r>
        <w:t>“</w:t>
      </w:r>
      <w:proofErr w:type="gramEnd"/>
      <w:r>
        <w:t xml:space="preserve">[Lopez’s] </w:t>
      </w:r>
      <w:r>
        <w:t xml:space="preserve">persistence in the face of </w:t>
      </w:r>
      <w:r>
        <w:t>Rizzo’s</w:t>
      </w:r>
      <w:r>
        <w:t xml:space="preserve"> efforts to avoid him and make him understand the degree of fear he was causing her, including going to the police to stop him, amply supports the inference that he intended the result he caused.”  </w:t>
      </w:r>
      <w:r w:rsidRPr="0016690A">
        <w:t>(</w:t>
      </w:r>
      <w:r w:rsidRPr="006575E7">
        <w:rPr>
          <w:i/>
          <w:iCs/>
        </w:rPr>
        <w:t>Id</w:t>
      </w:r>
      <w:r>
        <w:t xml:space="preserve">. </w:t>
      </w:r>
      <w:r w:rsidRPr="0016690A">
        <w:t xml:space="preserve">at p. 454.)  </w:t>
      </w:r>
    </w:p>
    <w:p w14:paraId="336C81A6" w14:textId="77777777" w:rsidR="00204D4F" w:rsidRDefault="00204D4F" w:rsidP="007F557E">
      <w:pPr>
        <w:ind w:firstLine="720"/>
      </w:pPr>
      <w:r>
        <w:t xml:space="preserve">In </w:t>
      </w:r>
      <w:r w:rsidRPr="007F557E">
        <w:rPr>
          <w:i/>
          <w:iCs/>
        </w:rPr>
        <w:t>Uecker</w:t>
      </w:r>
      <w:r>
        <w:rPr>
          <w:i/>
          <w:iCs/>
        </w:rPr>
        <w:t>, supra</w:t>
      </w:r>
      <w:r>
        <w:t xml:space="preserve">, </w:t>
      </w:r>
      <w:r w:rsidRPr="007F557E">
        <w:t>172 Cal.</w:t>
      </w:r>
      <w:r w:rsidRPr="005E2BCE">
        <w:t xml:space="preserve">App.4th 583, </w:t>
      </w:r>
      <w:r w:rsidRPr="005E2BCE">
        <w:t>as to</w:t>
      </w:r>
      <w:r>
        <w:t xml:space="preserve"> victim M., </w:t>
      </w:r>
      <w:r>
        <w:t xml:space="preserve">over </w:t>
      </w:r>
      <w:r>
        <w:t>a seven-month</w:t>
      </w:r>
      <w:r>
        <w:t xml:space="preserve"> </w:t>
      </w:r>
      <w:r>
        <w:t xml:space="preserve">period </w:t>
      </w:r>
      <w:r>
        <w:t>Danny Uecker</w:t>
      </w:r>
      <w:r>
        <w:t xml:space="preserve"> </w:t>
      </w:r>
      <w:r>
        <w:t xml:space="preserve">sat near </w:t>
      </w:r>
      <w:r>
        <w:t xml:space="preserve">M.’s car </w:t>
      </w:r>
      <w:r>
        <w:t xml:space="preserve">at her workplace </w:t>
      </w:r>
      <w:r>
        <w:t>parking lot</w:t>
      </w:r>
      <w:r>
        <w:t xml:space="preserve"> during </w:t>
      </w:r>
      <w:r>
        <w:t>M.’s</w:t>
      </w:r>
      <w:r>
        <w:t xml:space="preserve"> lunch hour</w:t>
      </w:r>
      <w:r>
        <w:t xml:space="preserve">, left notes on </w:t>
      </w:r>
      <w:r>
        <w:t>her</w:t>
      </w:r>
      <w:r>
        <w:t xml:space="preserve"> car</w:t>
      </w:r>
      <w:r>
        <w:t xml:space="preserve"> </w:t>
      </w:r>
      <w:r>
        <w:t xml:space="preserve">stating he wanted </w:t>
      </w:r>
      <w:r>
        <w:t>a relationship</w:t>
      </w:r>
      <w:r>
        <w:t xml:space="preserve"> with </w:t>
      </w:r>
      <w:proofErr w:type="gramStart"/>
      <w:r>
        <w:t>her</w:t>
      </w:r>
      <w:r>
        <w:t>,</w:t>
      </w:r>
      <w:r>
        <w:t xml:space="preserve"> and</w:t>
      </w:r>
      <w:proofErr w:type="gramEnd"/>
      <w:r>
        <w:t xml:space="preserve"> tried to engage </w:t>
      </w:r>
      <w:r>
        <w:t xml:space="preserve">her </w:t>
      </w:r>
      <w:r>
        <w:t>in conversation.</w:t>
      </w:r>
      <w:r>
        <w:t xml:space="preserve">  (</w:t>
      </w:r>
      <w:r w:rsidRPr="00F560E4">
        <w:rPr>
          <w:i/>
          <w:iCs/>
        </w:rPr>
        <w:t>Id</w:t>
      </w:r>
      <w:r>
        <w:t>. at p. 586.)</w:t>
      </w:r>
      <w:r>
        <w:t xml:space="preserve">  </w:t>
      </w:r>
      <w:r>
        <w:t xml:space="preserve">Uecker continued to approach </w:t>
      </w:r>
      <w:r>
        <w:t>M.</w:t>
      </w:r>
      <w:r>
        <w:t xml:space="preserve"> and leave her notes</w:t>
      </w:r>
      <w:r>
        <w:t xml:space="preserve"> even after she moved </w:t>
      </w:r>
      <w:r>
        <w:t xml:space="preserve">her car </w:t>
      </w:r>
      <w:r>
        <w:t xml:space="preserve">to a different parking </w:t>
      </w:r>
      <w:r>
        <w:t>location</w:t>
      </w:r>
      <w:r>
        <w:t xml:space="preserve"> and</w:t>
      </w:r>
      <w:r>
        <w:t xml:space="preserve"> took lunch at a</w:t>
      </w:r>
      <w:r>
        <w:t xml:space="preserve"> different</w:t>
      </w:r>
      <w:r>
        <w:t xml:space="preserve"> hour</w:t>
      </w:r>
      <w:r>
        <w:t>.  (</w:t>
      </w:r>
      <w:r w:rsidRPr="00F560E4">
        <w:rPr>
          <w:i/>
          <w:iCs/>
        </w:rPr>
        <w:t>Id</w:t>
      </w:r>
      <w:r>
        <w:t>. at p</w:t>
      </w:r>
      <w:r>
        <w:t>p</w:t>
      </w:r>
      <w:r>
        <w:t>.</w:t>
      </w:r>
      <w:r>
        <w:t> </w:t>
      </w:r>
      <w:r>
        <w:t>586-587.)  In one note, Uecker commented that he liked her new car better than her prior one, which “terrified</w:t>
      </w:r>
      <w:r>
        <w:t xml:space="preserve">” M. because she had just bought a new car the </w:t>
      </w:r>
      <w:r>
        <w:t xml:space="preserve">previous </w:t>
      </w:r>
      <w:r>
        <w:t>week.  (</w:t>
      </w:r>
      <w:r w:rsidRPr="00F560E4">
        <w:rPr>
          <w:i/>
          <w:iCs/>
        </w:rPr>
        <w:t>Id</w:t>
      </w:r>
      <w:r>
        <w:t>. at p.</w:t>
      </w:r>
      <w:r>
        <w:t> </w:t>
      </w:r>
      <w:r>
        <w:t xml:space="preserve">587.)  </w:t>
      </w:r>
      <w:r>
        <w:t xml:space="preserve">M. </w:t>
      </w:r>
      <w:r>
        <w:t xml:space="preserve">again </w:t>
      </w:r>
      <w:r>
        <w:t xml:space="preserve">changed her parking location out of fear and </w:t>
      </w:r>
      <w:r>
        <w:t xml:space="preserve">told </w:t>
      </w:r>
      <w:r>
        <w:t>Uecker</w:t>
      </w:r>
      <w:r>
        <w:t xml:space="preserve"> she was not interested in </w:t>
      </w:r>
      <w:r>
        <w:t>him</w:t>
      </w:r>
      <w:r>
        <w:t>.  (</w:t>
      </w:r>
      <w:r w:rsidRPr="00F560E4">
        <w:rPr>
          <w:i/>
          <w:iCs/>
        </w:rPr>
        <w:t>Ibid</w:t>
      </w:r>
      <w:r>
        <w:t xml:space="preserve">.)  </w:t>
      </w:r>
      <w:r>
        <w:t xml:space="preserve">After Uecker continued to leave her notes, </w:t>
      </w:r>
      <w:r>
        <w:t>M.</w:t>
      </w:r>
      <w:r>
        <w:t xml:space="preserve"> </w:t>
      </w:r>
      <w:r>
        <w:t>“‘fre</w:t>
      </w:r>
      <w:r>
        <w:t>a</w:t>
      </w:r>
      <w:r>
        <w:t>ked out</w:t>
      </w:r>
      <w:r>
        <w:t>,</w:t>
      </w:r>
      <w:r>
        <w:t>’”</w:t>
      </w:r>
      <w:r>
        <w:t xml:space="preserve"> </w:t>
      </w:r>
      <w:r>
        <w:t xml:space="preserve">and </w:t>
      </w:r>
      <w:r>
        <w:t>her</w:t>
      </w:r>
      <w:r>
        <w:t xml:space="preserve"> </w:t>
      </w:r>
      <w:r>
        <w:t xml:space="preserve">manager </w:t>
      </w:r>
      <w:r>
        <w:t>called the police.</w:t>
      </w:r>
      <w:r>
        <w:t xml:space="preserve">  (</w:t>
      </w:r>
      <w:r w:rsidRPr="00C5752B">
        <w:rPr>
          <w:i/>
          <w:iCs/>
        </w:rPr>
        <w:t>Id</w:t>
      </w:r>
      <w:r>
        <w:t xml:space="preserve">. at p. </w:t>
      </w:r>
      <w:r>
        <w:t>588.)</w:t>
      </w:r>
    </w:p>
    <w:p w14:paraId="64B68349" w14:textId="77777777" w:rsidR="00204D4F" w:rsidRDefault="00204D4F" w:rsidP="008E6D8C">
      <w:pPr>
        <w:ind w:firstLine="720"/>
      </w:pPr>
      <w:r>
        <w:t xml:space="preserve">The </w:t>
      </w:r>
      <w:r>
        <w:t>C</w:t>
      </w:r>
      <w:r>
        <w:t>ourt</w:t>
      </w:r>
      <w:r>
        <w:t xml:space="preserve"> of Appeal</w:t>
      </w:r>
      <w:r>
        <w:t xml:space="preserve"> concluded there was substantial evidence that Uecker made a credible threat because </w:t>
      </w:r>
      <w:r>
        <w:t>over the</w:t>
      </w:r>
      <w:r>
        <w:t xml:space="preserve"> seven-month period </w:t>
      </w:r>
      <w:r>
        <w:t xml:space="preserve">he had </w:t>
      </w:r>
      <w:r>
        <w:t xml:space="preserve">followed M. and placed notes on her car, regardless of when she took her lunch hour or where she had </w:t>
      </w:r>
      <w:r>
        <w:lastRenderedPageBreak/>
        <w:t>parked h</w:t>
      </w:r>
      <w:r>
        <w:t>er</w:t>
      </w:r>
      <w:r>
        <w:t xml:space="preserve"> car, </w:t>
      </w:r>
      <w:r>
        <w:t xml:space="preserve">and </w:t>
      </w:r>
      <w:r>
        <w:t xml:space="preserve">even after M. told him she was not interested. </w:t>
      </w:r>
      <w:r>
        <w:t xml:space="preserve"> (</w:t>
      </w:r>
      <w:r w:rsidRPr="00116BC0">
        <w:rPr>
          <w:i/>
          <w:iCs/>
        </w:rPr>
        <w:t>Uecker, supra</w:t>
      </w:r>
      <w:r>
        <w:t xml:space="preserve">, </w:t>
      </w:r>
      <w:r w:rsidRPr="00A6388B">
        <w:t>172 Cal.</w:t>
      </w:r>
      <w:r w:rsidRPr="007154AF">
        <w:t>App.4th at pp</w:t>
      </w:r>
      <w:r>
        <w:t>. 594-59</w:t>
      </w:r>
      <w:r>
        <w:t>5.)</w:t>
      </w:r>
      <w:r>
        <w:t xml:space="preserve">  The court explained, </w:t>
      </w:r>
      <w:r>
        <w:t>“</w:t>
      </w:r>
      <w:r>
        <w:t xml:space="preserve">From this evidence, a reasonable jury could have found that </w:t>
      </w:r>
      <w:r>
        <w:t xml:space="preserve">[Uecker] </w:t>
      </w:r>
      <w:r>
        <w:t xml:space="preserve">made an implied threat to </w:t>
      </w:r>
      <w:r>
        <w:t>[M.’s]</w:t>
      </w:r>
      <w:r>
        <w:t xml:space="preserve"> safety in that he was going to do whatever he nee</w:t>
      </w:r>
      <w:r>
        <w:t>ded to get M. to go out with him and that she reasonably feared for her safety.</w:t>
      </w:r>
      <w:r>
        <w:t>”  (</w:t>
      </w:r>
      <w:r w:rsidRPr="00A306CB">
        <w:rPr>
          <w:i/>
          <w:iCs/>
        </w:rPr>
        <w:t>Id</w:t>
      </w:r>
      <w:r>
        <w:t>. at p.</w:t>
      </w:r>
      <w:r>
        <w:t> </w:t>
      </w:r>
      <w:r>
        <w:t>595.)</w:t>
      </w:r>
    </w:p>
    <w:p w14:paraId="48D77A62" w14:textId="77777777" w:rsidR="00204D4F" w:rsidRPr="007E394E" w:rsidRDefault="00204D4F" w:rsidP="00A136DA">
      <w:pPr>
        <w:rPr>
          <w:szCs w:val="20"/>
        </w:rPr>
      </w:pPr>
      <w:r>
        <w:tab/>
      </w:r>
      <w:r>
        <w:t>S</w:t>
      </w:r>
      <w:r>
        <w:t>ubstantial evidence supports the jury’s finding Frias made a credible threat</w:t>
      </w:r>
      <w:r>
        <w:t xml:space="preserve"> to Courtney</w:t>
      </w:r>
      <w:r>
        <w:t xml:space="preserve">.  </w:t>
      </w:r>
      <w:r>
        <w:t xml:space="preserve">In 2017 </w:t>
      </w:r>
      <w:r>
        <w:t xml:space="preserve">Frias began to send </w:t>
      </w:r>
      <w:r>
        <w:t xml:space="preserve">Courtney </w:t>
      </w:r>
      <w:r>
        <w:t>mes</w:t>
      </w:r>
      <w:r>
        <w:t xml:space="preserve">sages on her </w:t>
      </w:r>
      <w:r>
        <w:t>Facebook</w:t>
      </w:r>
      <w:r>
        <w:t xml:space="preserve"> account</w:t>
      </w:r>
      <w:r>
        <w:t>, which she blocked about 10 times, but he persisted in contacting her.</w:t>
      </w:r>
      <w:r>
        <w:t xml:space="preserve">  </w:t>
      </w:r>
      <w:r>
        <w:t>By</w:t>
      </w:r>
      <w:r>
        <w:t xml:space="preserve"> the summer of 2017, Frias posted on her account </w:t>
      </w:r>
      <w:r>
        <w:t xml:space="preserve">every couple of weeks. </w:t>
      </w:r>
      <w:r>
        <w:t xml:space="preserve"> It became clear </w:t>
      </w:r>
      <w:r>
        <w:t xml:space="preserve">to Courtney </w:t>
      </w:r>
      <w:r>
        <w:t xml:space="preserve">that </w:t>
      </w:r>
      <w:r>
        <w:rPr>
          <w:szCs w:val="20"/>
        </w:rPr>
        <w:t>Frias</w:t>
      </w:r>
      <w:r>
        <w:rPr>
          <w:szCs w:val="20"/>
        </w:rPr>
        <w:t xml:space="preserve"> </w:t>
      </w:r>
      <w:r>
        <w:rPr>
          <w:szCs w:val="20"/>
        </w:rPr>
        <w:t xml:space="preserve">was watching her because </w:t>
      </w:r>
      <w:r>
        <w:rPr>
          <w:szCs w:val="20"/>
        </w:rPr>
        <w:t xml:space="preserve">in February 2018 </w:t>
      </w:r>
      <w:r>
        <w:rPr>
          <w:szCs w:val="20"/>
        </w:rPr>
        <w:t xml:space="preserve">he </w:t>
      </w:r>
      <w:r>
        <w:rPr>
          <w:szCs w:val="20"/>
        </w:rPr>
        <w:t>posted a comment about the flowers she</w:t>
      </w:r>
      <w:r>
        <w:rPr>
          <w:szCs w:val="20"/>
        </w:rPr>
        <w:t xml:space="preserve"> placed in a vase by her </w:t>
      </w:r>
      <w:r>
        <w:rPr>
          <w:szCs w:val="20"/>
        </w:rPr>
        <w:t xml:space="preserve">third-floor </w:t>
      </w:r>
      <w:r>
        <w:rPr>
          <w:szCs w:val="20"/>
        </w:rPr>
        <w:t>apartment window</w:t>
      </w:r>
      <w:r>
        <w:rPr>
          <w:szCs w:val="20"/>
        </w:rPr>
        <w:t xml:space="preserve">, and </w:t>
      </w:r>
      <w:r>
        <w:rPr>
          <w:szCs w:val="20"/>
        </w:rPr>
        <w:t>in March</w:t>
      </w:r>
      <w:r>
        <w:rPr>
          <w:szCs w:val="20"/>
        </w:rPr>
        <w:t xml:space="preserve"> he commented on </w:t>
      </w:r>
      <w:r>
        <w:rPr>
          <w:szCs w:val="20"/>
        </w:rPr>
        <w:t>her hair, her movie watching, and her attire</w:t>
      </w:r>
      <w:r>
        <w:rPr>
          <w:szCs w:val="20"/>
        </w:rPr>
        <w:t xml:space="preserve">.  Despite </w:t>
      </w:r>
      <w:r>
        <w:rPr>
          <w:szCs w:val="20"/>
        </w:rPr>
        <w:t xml:space="preserve">Courtney’s </w:t>
      </w:r>
      <w:r>
        <w:rPr>
          <w:szCs w:val="20"/>
        </w:rPr>
        <w:t xml:space="preserve">repeated efforts to </w:t>
      </w:r>
      <w:r>
        <w:rPr>
          <w:szCs w:val="20"/>
        </w:rPr>
        <w:t>block Frias</w:t>
      </w:r>
      <w:r>
        <w:rPr>
          <w:szCs w:val="20"/>
        </w:rPr>
        <w:t xml:space="preserve"> from contacting her </w:t>
      </w:r>
      <w:r>
        <w:rPr>
          <w:szCs w:val="20"/>
        </w:rPr>
        <w:t>on Facebook</w:t>
      </w:r>
      <w:r>
        <w:rPr>
          <w:szCs w:val="20"/>
        </w:rPr>
        <w:t xml:space="preserve">, </w:t>
      </w:r>
      <w:r>
        <w:rPr>
          <w:szCs w:val="20"/>
        </w:rPr>
        <w:t xml:space="preserve">Frias </w:t>
      </w:r>
      <w:r>
        <w:rPr>
          <w:szCs w:val="20"/>
        </w:rPr>
        <w:t>continued to send</w:t>
      </w:r>
      <w:r>
        <w:rPr>
          <w:szCs w:val="20"/>
        </w:rPr>
        <w:t xml:space="preserve"> her m</w:t>
      </w:r>
      <w:r>
        <w:rPr>
          <w:szCs w:val="20"/>
        </w:rPr>
        <w:t>essage</w:t>
      </w:r>
      <w:r>
        <w:rPr>
          <w:szCs w:val="20"/>
        </w:rPr>
        <w:t>s</w:t>
      </w:r>
      <w:r>
        <w:rPr>
          <w:szCs w:val="20"/>
        </w:rPr>
        <w:t xml:space="preserve">, noting </w:t>
      </w:r>
      <w:r>
        <w:rPr>
          <w:szCs w:val="20"/>
        </w:rPr>
        <w:t xml:space="preserve">his </w:t>
      </w:r>
      <w:r>
        <w:rPr>
          <w:szCs w:val="20"/>
        </w:rPr>
        <w:t xml:space="preserve">“deep connection” with </w:t>
      </w:r>
      <w:proofErr w:type="gramStart"/>
      <w:r>
        <w:rPr>
          <w:szCs w:val="20"/>
        </w:rPr>
        <w:t>her</w:t>
      </w:r>
      <w:proofErr w:type="gramEnd"/>
      <w:r>
        <w:rPr>
          <w:szCs w:val="20"/>
        </w:rPr>
        <w:t xml:space="preserve"> </w:t>
      </w:r>
      <w:r>
        <w:rPr>
          <w:szCs w:val="20"/>
        </w:rPr>
        <w:t>and</w:t>
      </w:r>
      <w:r>
        <w:rPr>
          <w:szCs w:val="20"/>
        </w:rPr>
        <w:t xml:space="preserve"> ending </w:t>
      </w:r>
      <w:r>
        <w:rPr>
          <w:szCs w:val="20"/>
        </w:rPr>
        <w:t xml:space="preserve">one message </w:t>
      </w:r>
      <w:r>
        <w:rPr>
          <w:szCs w:val="20"/>
        </w:rPr>
        <w:t xml:space="preserve">by stating, </w:t>
      </w:r>
      <w:r>
        <w:rPr>
          <w:szCs w:val="20"/>
        </w:rPr>
        <w:t>“</w:t>
      </w:r>
      <w:r>
        <w:rPr>
          <w:szCs w:val="20"/>
        </w:rPr>
        <w:t>T</w:t>
      </w:r>
      <w:r>
        <w:rPr>
          <w:szCs w:val="20"/>
        </w:rPr>
        <w:t xml:space="preserve">ill we meet again.” </w:t>
      </w:r>
      <w:r>
        <w:rPr>
          <w:szCs w:val="20"/>
        </w:rPr>
        <w:t xml:space="preserve"> </w:t>
      </w:r>
      <w:r>
        <w:rPr>
          <w:szCs w:val="20"/>
        </w:rPr>
        <w:t xml:space="preserve">Courtney </w:t>
      </w:r>
      <w:r>
        <w:rPr>
          <w:szCs w:val="20"/>
        </w:rPr>
        <w:t>was “r</w:t>
      </w:r>
      <w:r>
        <w:rPr>
          <w:szCs w:val="20"/>
        </w:rPr>
        <w:t xml:space="preserve">eally scared” </w:t>
      </w:r>
      <w:r>
        <w:rPr>
          <w:szCs w:val="20"/>
        </w:rPr>
        <w:t>by Frias’s message</w:t>
      </w:r>
      <w:r>
        <w:rPr>
          <w:szCs w:val="20"/>
        </w:rPr>
        <w:t>s</w:t>
      </w:r>
      <w:r>
        <w:rPr>
          <w:szCs w:val="20"/>
        </w:rPr>
        <w:t xml:space="preserve">.  </w:t>
      </w:r>
      <w:r>
        <w:rPr>
          <w:szCs w:val="20"/>
        </w:rPr>
        <w:t xml:space="preserve">More than seven months after Frias </w:t>
      </w:r>
      <w:r>
        <w:rPr>
          <w:szCs w:val="20"/>
        </w:rPr>
        <w:t>started sending Courtney messages</w:t>
      </w:r>
      <w:r>
        <w:rPr>
          <w:szCs w:val="20"/>
        </w:rPr>
        <w:t>, on March</w:t>
      </w:r>
      <w:r>
        <w:rPr>
          <w:szCs w:val="20"/>
        </w:rPr>
        <w:t> </w:t>
      </w:r>
      <w:r>
        <w:rPr>
          <w:szCs w:val="20"/>
        </w:rPr>
        <w:t xml:space="preserve">10, </w:t>
      </w:r>
      <w:proofErr w:type="gramStart"/>
      <w:r>
        <w:rPr>
          <w:szCs w:val="20"/>
        </w:rPr>
        <w:t>2018</w:t>
      </w:r>
      <w:proofErr w:type="gramEnd"/>
      <w:r>
        <w:rPr>
          <w:szCs w:val="20"/>
        </w:rPr>
        <w:t xml:space="preserve"> Frias appeared at Courtney’s apartment </w:t>
      </w:r>
      <w:r>
        <w:rPr>
          <w:szCs w:val="20"/>
        </w:rPr>
        <w:t>door in the middle of the night and directed her to open her door so he could “‘</w:t>
      </w:r>
      <w:r>
        <w:rPr>
          <w:szCs w:val="20"/>
        </w:rPr>
        <w:t>get this over with.’”</w:t>
      </w:r>
      <w:r>
        <w:rPr>
          <w:szCs w:val="20"/>
        </w:rPr>
        <w:t xml:space="preserve">  Courtney told</w:t>
      </w:r>
      <w:r>
        <w:rPr>
          <w:szCs w:val="20"/>
        </w:rPr>
        <w:t xml:space="preserve"> Frias </w:t>
      </w:r>
      <w:r>
        <w:rPr>
          <w:szCs w:val="20"/>
        </w:rPr>
        <w:t xml:space="preserve">she was calling the police, </w:t>
      </w:r>
      <w:r>
        <w:rPr>
          <w:szCs w:val="20"/>
        </w:rPr>
        <w:t>and he left</w:t>
      </w:r>
      <w:r>
        <w:rPr>
          <w:szCs w:val="20"/>
        </w:rPr>
        <w:t xml:space="preserve">, </w:t>
      </w:r>
      <w:r>
        <w:rPr>
          <w:szCs w:val="20"/>
        </w:rPr>
        <w:t xml:space="preserve">but </w:t>
      </w:r>
      <w:r>
        <w:rPr>
          <w:szCs w:val="20"/>
        </w:rPr>
        <w:t xml:space="preserve">an hour later </w:t>
      </w:r>
      <w:r>
        <w:rPr>
          <w:szCs w:val="20"/>
        </w:rPr>
        <w:t xml:space="preserve">he sent Courtney another message stating their last contact </w:t>
      </w:r>
      <w:r>
        <w:rPr>
          <w:szCs w:val="20"/>
        </w:rPr>
        <w:t>at her apartment w</w:t>
      </w:r>
      <w:r>
        <w:rPr>
          <w:szCs w:val="20"/>
        </w:rPr>
        <w:t xml:space="preserve">as an “awesome start” </w:t>
      </w:r>
      <w:r>
        <w:rPr>
          <w:szCs w:val="20"/>
        </w:rPr>
        <w:t xml:space="preserve">and </w:t>
      </w:r>
      <w:r w:rsidRPr="008434D0">
        <w:rPr>
          <w:szCs w:val="20"/>
        </w:rPr>
        <w:t>he couldn’t “fucken stop</w:t>
      </w:r>
      <w:r>
        <w:rPr>
          <w:szCs w:val="20"/>
        </w:rPr>
        <w:t>.</w:t>
      </w:r>
      <w:r w:rsidRPr="008434D0">
        <w:rPr>
          <w:szCs w:val="20"/>
        </w:rPr>
        <w:t xml:space="preserve">” </w:t>
      </w:r>
      <w:r>
        <w:rPr>
          <w:szCs w:val="20"/>
        </w:rPr>
        <w:t xml:space="preserve"> </w:t>
      </w:r>
      <w:r>
        <w:rPr>
          <w:szCs w:val="20"/>
        </w:rPr>
        <w:t xml:space="preserve">And three days after </w:t>
      </w:r>
      <w:r>
        <w:rPr>
          <w:szCs w:val="20"/>
        </w:rPr>
        <w:t>Courtney</w:t>
      </w:r>
      <w:r>
        <w:rPr>
          <w:szCs w:val="20"/>
        </w:rPr>
        <w:t xml:space="preserve"> called the police, Frias</w:t>
      </w:r>
      <w:r>
        <w:rPr>
          <w:szCs w:val="20"/>
        </w:rPr>
        <w:t xml:space="preserve"> returned to </w:t>
      </w:r>
      <w:r>
        <w:rPr>
          <w:szCs w:val="20"/>
        </w:rPr>
        <w:t>her</w:t>
      </w:r>
      <w:r>
        <w:rPr>
          <w:szCs w:val="20"/>
        </w:rPr>
        <w:t xml:space="preserve"> </w:t>
      </w:r>
      <w:r>
        <w:rPr>
          <w:szCs w:val="20"/>
        </w:rPr>
        <w:t>apartment complex</w:t>
      </w:r>
      <w:r>
        <w:rPr>
          <w:szCs w:val="20"/>
        </w:rPr>
        <w:t xml:space="preserve"> and sent</w:t>
      </w:r>
      <w:r>
        <w:rPr>
          <w:szCs w:val="20"/>
        </w:rPr>
        <w:t xml:space="preserve"> a </w:t>
      </w:r>
      <w:r>
        <w:rPr>
          <w:szCs w:val="20"/>
        </w:rPr>
        <w:t xml:space="preserve">text </w:t>
      </w:r>
      <w:r>
        <w:rPr>
          <w:szCs w:val="20"/>
        </w:rPr>
        <w:t xml:space="preserve">message to </w:t>
      </w:r>
      <w:r>
        <w:rPr>
          <w:szCs w:val="20"/>
        </w:rPr>
        <w:t xml:space="preserve">Amanda (thinking it was </w:t>
      </w:r>
      <w:r>
        <w:rPr>
          <w:szCs w:val="20"/>
        </w:rPr>
        <w:t xml:space="preserve">Courtney) </w:t>
      </w:r>
      <w:r>
        <w:rPr>
          <w:szCs w:val="20"/>
        </w:rPr>
        <w:t xml:space="preserve">to meet him </w:t>
      </w:r>
      <w:r>
        <w:rPr>
          <w:szCs w:val="20"/>
        </w:rPr>
        <w:lastRenderedPageBreak/>
        <w:t xml:space="preserve">downstairs to </w:t>
      </w:r>
      <w:r>
        <w:rPr>
          <w:szCs w:val="20"/>
        </w:rPr>
        <w:t xml:space="preserve">“‘suck </w:t>
      </w:r>
      <w:r>
        <w:rPr>
          <w:szCs w:val="20"/>
        </w:rPr>
        <w:t>this</w:t>
      </w:r>
      <w:r>
        <w:rPr>
          <w:szCs w:val="20"/>
        </w:rPr>
        <w:t xml:space="preserve"> dick</w:t>
      </w:r>
      <w:r>
        <w:rPr>
          <w:szCs w:val="20"/>
        </w:rPr>
        <w:t>.</w:t>
      </w:r>
      <w:r>
        <w:rPr>
          <w:szCs w:val="20"/>
        </w:rPr>
        <w:t xml:space="preserve">’” </w:t>
      </w:r>
      <w:r>
        <w:rPr>
          <w:szCs w:val="20"/>
        </w:rPr>
        <w:t xml:space="preserve"> </w:t>
      </w:r>
      <w:r>
        <w:rPr>
          <w:szCs w:val="20"/>
        </w:rPr>
        <w:t xml:space="preserve">As in </w:t>
      </w:r>
      <w:r w:rsidRPr="005265C3">
        <w:rPr>
          <w:i/>
          <w:iCs/>
          <w:szCs w:val="20"/>
        </w:rPr>
        <w:t xml:space="preserve">Lopez </w:t>
      </w:r>
      <w:r>
        <w:rPr>
          <w:szCs w:val="20"/>
        </w:rPr>
        <w:t xml:space="preserve">and </w:t>
      </w:r>
      <w:r w:rsidRPr="005265C3">
        <w:rPr>
          <w:i/>
          <w:iCs/>
          <w:szCs w:val="20"/>
        </w:rPr>
        <w:t>Uecker</w:t>
      </w:r>
      <w:r>
        <w:rPr>
          <w:szCs w:val="20"/>
        </w:rPr>
        <w:t xml:space="preserve">, </w:t>
      </w:r>
      <w:r>
        <w:rPr>
          <w:szCs w:val="20"/>
        </w:rPr>
        <w:t xml:space="preserve">Frias’s persistent contact </w:t>
      </w:r>
      <w:r>
        <w:rPr>
          <w:szCs w:val="20"/>
        </w:rPr>
        <w:t>with</w:t>
      </w:r>
      <w:r>
        <w:rPr>
          <w:szCs w:val="20"/>
        </w:rPr>
        <w:t xml:space="preserve"> Courtney </w:t>
      </w:r>
      <w:r>
        <w:rPr>
          <w:szCs w:val="20"/>
        </w:rPr>
        <w:t xml:space="preserve">after she </w:t>
      </w:r>
      <w:r>
        <w:rPr>
          <w:szCs w:val="20"/>
        </w:rPr>
        <w:t xml:space="preserve">attempted to </w:t>
      </w:r>
      <w:r>
        <w:rPr>
          <w:szCs w:val="20"/>
        </w:rPr>
        <w:t xml:space="preserve">block </w:t>
      </w:r>
      <w:r>
        <w:rPr>
          <w:szCs w:val="20"/>
        </w:rPr>
        <w:t xml:space="preserve">his messages, </w:t>
      </w:r>
      <w:r>
        <w:rPr>
          <w:szCs w:val="20"/>
        </w:rPr>
        <w:t xml:space="preserve">his </w:t>
      </w:r>
      <w:r>
        <w:rPr>
          <w:szCs w:val="20"/>
        </w:rPr>
        <w:t xml:space="preserve">watching her </w:t>
      </w:r>
      <w:r>
        <w:rPr>
          <w:szCs w:val="20"/>
        </w:rPr>
        <w:t>through her apartment window</w:t>
      </w:r>
      <w:r>
        <w:rPr>
          <w:szCs w:val="20"/>
        </w:rPr>
        <w:t xml:space="preserve"> and </w:t>
      </w:r>
      <w:r>
        <w:rPr>
          <w:szCs w:val="20"/>
        </w:rPr>
        <w:t xml:space="preserve">appearing at her apartment door, and </w:t>
      </w:r>
      <w:r>
        <w:rPr>
          <w:szCs w:val="20"/>
        </w:rPr>
        <w:t xml:space="preserve">then showing up at her apartment complex </w:t>
      </w:r>
      <w:r>
        <w:rPr>
          <w:szCs w:val="20"/>
        </w:rPr>
        <w:t xml:space="preserve">even </w:t>
      </w:r>
      <w:r>
        <w:rPr>
          <w:szCs w:val="20"/>
        </w:rPr>
        <w:t>after she told him she was calling the police</w:t>
      </w:r>
      <w:r>
        <w:rPr>
          <w:szCs w:val="20"/>
        </w:rPr>
        <w:t>,</w:t>
      </w:r>
      <w:r>
        <w:rPr>
          <w:szCs w:val="20"/>
        </w:rPr>
        <w:t xml:space="preserve"> </w:t>
      </w:r>
      <w:r>
        <w:rPr>
          <w:szCs w:val="20"/>
        </w:rPr>
        <w:t>“</w:t>
      </w:r>
      <w:r w:rsidRPr="005857C3">
        <w:rPr>
          <w:szCs w:val="20"/>
        </w:rPr>
        <w:t>signaled he was not going to take no for an answer.”  (</w:t>
      </w:r>
      <w:r w:rsidRPr="00ED02EE">
        <w:rPr>
          <w:i/>
          <w:iCs/>
          <w:szCs w:val="20"/>
        </w:rPr>
        <w:t xml:space="preserve">Uecker, </w:t>
      </w:r>
      <w:r w:rsidRPr="00C46A89">
        <w:rPr>
          <w:i/>
          <w:iCs/>
          <w:szCs w:val="20"/>
        </w:rPr>
        <w:t>supra</w:t>
      </w:r>
      <w:r w:rsidRPr="00C46A89">
        <w:rPr>
          <w:szCs w:val="20"/>
        </w:rPr>
        <w:t xml:space="preserve">, 172 Cal.App.4th at p. </w:t>
      </w:r>
      <w:r w:rsidRPr="005857C3">
        <w:rPr>
          <w:szCs w:val="20"/>
        </w:rPr>
        <w:t>595</w:t>
      </w:r>
      <w:r w:rsidRPr="00C46A89">
        <w:rPr>
          <w:szCs w:val="20"/>
        </w:rPr>
        <w:t xml:space="preserve">; see </w:t>
      </w:r>
      <w:r w:rsidRPr="00C46A89">
        <w:rPr>
          <w:i/>
          <w:iCs/>
        </w:rPr>
        <w:t>Lopez, supra</w:t>
      </w:r>
      <w:r w:rsidRPr="00C46A89">
        <w:t>, 240 Cal.App.4th at p</w:t>
      </w:r>
      <w:r w:rsidRPr="00C46A89">
        <w:t>p</w:t>
      </w:r>
      <w:r w:rsidRPr="00C46A89">
        <w:t>.</w:t>
      </w:r>
      <w:r w:rsidRPr="00C46A89">
        <w:t xml:space="preserve"> 453-454</w:t>
      </w:r>
      <w:r w:rsidRPr="005857C3">
        <w:rPr>
          <w:szCs w:val="20"/>
        </w:rPr>
        <w:t>.)</w:t>
      </w:r>
    </w:p>
    <w:p w14:paraId="0D7EECE7" w14:textId="77777777" w:rsidR="00204D4F" w:rsidRDefault="00204D4F" w:rsidP="007E394E">
      <w:pPr>
        <w:ind w:firstLine="720"/>
        <w:rPr>
          <w:szCs w:val="20"/>
        </w:rPr>
      </w:pPr>
      <w:r>
        <w:rPr>
          <w:szCs w:val="20"/>
        </w:rPr>
        <w:t xml:space="preserve"> </w:t>
      </w:r>
      <w:r>
        <w:rPr>
          <w:szCs w:val="20"/>
        </w:rPr>
        <w:t>Substantial evidence also support</w:t>
      </w:r>
      <w:r>
        <w:rPr>
          <w:szCs w:val="20"/>
        </w:rPr>
        <w:t>s</w:t>
      </w:r>
      <w:r>
        <w:rPr>
          <w:szCs w:val="20"/>
        </w:rPr>
        <w:t xml:space="preserve"> </w:t>
      </w:r>
      <w:r>
        <w:rPr>
          <w:szCs w:val="20"/>
        </w:rPr>
        <w:t>the jury’s finding</w:t>
      </w:r>
      <w:r>
        <w:rPr>
          <w:szCs w:val="20"/>
        </w:rPr>
        <w:t xml:space="preserve"> </w:t>
      </w:r>
      <w:r>
        <w:rPr>
          <w:szCs w:val="20"/>
        </w:rPr>
        <w:t xml:space="preserve">that </w:t>
      </w:r>
      <w:r>
        <w:rPr>
          <w:szCs w:val="20"/>
        </w:rPr>
        <w:t>Frias</w:t>
      </w:r>
      <w:r>
        <w:rPr>
          <w:szCs w:val="20"/>
        </w:rPr>
        <w:t xml:space="preserve"> intended to</w:t>
      </w:r>
      <w:r>
        <w:rPr>
          <w:szCs w:val="20"/>
        </w:rPr>
        <w:t xml:space="preserve"> </w:t>
      </w:r>
      <w:r>
        <w:t>place Courtney in reasonable fear for her safety</w:t>
      </w:r>
      <w:r>
        <w:rPr>
          <w:szCs w:val="20"/>
        </w:rPr>
        <w:t>.</w:t>
      </w:r>
      <w:r>
        <w:rPr>
          <w:szCs w:val="20"/>
        </w:rPr>
        <w:t xml:space="preserve"> </w:t>
      </w:r>
      <w:r>
        <w:rPr>
          <w:szCs w:val="20"/>
        </w:rPr>
        <w:t xml:space="preserve"> </w:t>
      </w:r>
      <w:r w:rsidRPr="000F4F9F">
        <w:rPr>
          <w:szCs w:val="20"/>
        </w:rPr>
        <w:t>“</w:t>
      </w:r>
      <w:r>
        <w:rPr>
          <w:szCs w:val="20"/>
        </w:rPr>
        <w:t>‘“</w:t>
      </w:r>
      <w:r w:rsidRPr="000F4F9F">
        <w:rPr>
          <w:szCs w:val="20"/>
        </w:rPr>
        <w:t xml:space="preserve">[T]he element of intent is rarely susceptible of direct proof and </w:t>
      </w:r>
      <w:r w:rsidRPr="000F4F9F">
        <w:rPr>
          <w:szCs w:val="20"/>
        </w:rPr>
        <w:t>must usually be inferred from all the facts and circumstances disclosed by the evidence.</w:t>
      </w:r>
      <w:r>
        <w:rPr>
          <w:szCs w:val="20"/>
        </w:rPr>
        <w:t>”</w:t>
      </w:r>
      <w:r w:rsidRPr="000F4F9F">
        <w:rPr>
          <w:szCs w:val="20"/>
        </w:rPr>
        <w:t>’</w:t>
      </w:r>
      <w:r>
        <w:rPr>
          <w:szCs w:val="20"/>
        </w:rPr>
        <w:t>”</w:t>
      </w:r>
      <w:r>
        <w:rPr>
          <w:szCs w:val="20"/>
        </w:rPr>
        <w:t xml:space="preserve">  (</w:t>
      </w:r>
      <w:r>
        <w:rPr>
          <w:i/>
          <w:iCs/>
          <w:szCs w:val="20"/>
        </w:rPr>
        <w:t>Lopez</w:t>
      </w:r>
      <w:r>
        <w:rPr>
          <w:szCs w:val="20"/>
        </w:rPr>
        <w:t xml:space="preserve">, </w:t>
      </w:r>
      <w:r>
        <w:rPr>
          <w:i/>
          <w:iCs/>
        </w:rPr>
        <w:t>supra</w:t>
      </w:r>
      <w:r>
        <w:t>, 240 Cal.App.4th at p. 454</w:t>
      </w:r>
      <w:r>
        <w:t xml:space="preserve">; </w:t>
      </w:r>
      <w:r>
        <w:t xml:space="preserve">accord, </w:t>
      </w:r>
      <w:r>
        <w:rPr>
          <w:i/>
          <w:iCs/>
        </w:rPr>
        <w:t xml:space="preserve">People v. Falck </w:t>
      </w:r>
      <w:r>
        <w:t xml:space="preserve">(1997) </w:t>
      </w:r>
      <w:r>
        <w:t>5</w:t>
      </w:r>
      <w:r>
        <w:t>2 </w:t>
      </w:r>
      <w:r>
        <w:t xml:space="preserve">Cal.App.4th 287, </w:t>
      </w:r>
      <w:r>
        <w:t>299</w:t>
      </w:r>
      <w:r>
        <w:t>.)</w:t>
      </w:r>
      <w:r>
        <w:rPr>
          <w:szCs w:val="20"/>
        </w:rPr>
        <w:t xml:space="preserve"> </w:t>
      </w:r>
      <w:r>
        <w:rPr>
          <w:szCs w:val="20"/>
        </w:rPr>
        <w:t xml:space="preserve"> </w:t>
      </w:r>
      <w:r>
        <w:rPr>
          <w:szCs w:val="20"/>
        </w:rPr>
        <w:t xml:space="preserve">In February 2018 Frias apologized </w:t>
      </w:r>
      <w:r>
        <w:rPr>
          <w:szCs w:val="20"/>
        </w:rPr>
        <w:t xml:space="preserve">to Courtney </w:t>
      </w:r>
      <w:r>
        <w:rPr>
          <w:szCs w:val="20"/>
        </w:rPr>
        <w:t>for having “</w:t>
      </w:r>
      <w:r>
        <w:rPr>
          <w:szCs w:val="20"/>
        </w:rPr>
        <w:t xml:space="preserve">spooked </w:t>
      </w:r>
      <w:r>
        <w:rPr>
          <w:szCs w:val="20"/>
        </w:rPr>
        <w:t>[</w:t>
      </w:r>
      <w:r>
        <w:rPr>
          <w:szCs w:val="20"/>
        </w:rPr>
        <w:t>her</w:t>
      </w:r>
      <w:r>
        <w:rPr>
          <w:szCs w:val="20"/>
        </w:rPr>
        <w:t>]</w:t>
      </w:r>
      <w:r>
        <w:rPr>
          <w:szCs w:val="20"/>
        </w:rPr>
        <w:t xml:space="preserve"> in any way at all”</w:t>
      </w:r>
      <w:r>
        <w:rPr>
          <w:szCs w:val="20"/>
        </w:rPr>
        <w:t xml:space="preserve"> by his messages</w:t>
      </w:r>
      <w:r>
        <w:rPr>
          <w:szCs w:val="20"/>
        </w:rPr>
        <w:t xml:space="preserve">, but he continued to </w:t>
      </w:r>
      <w:r>
        <w:rPr>
          <w:szCs w:val="20"/>
        </w:rPr>
        <w:t xml:space="preserve">send messages to </w:t>
      </w:r>
      <w:r>
        <w:rPr>
          <w:szCs w:val="20"/>
        </w:rPr>
        <w:t>Courtney</w:t>
      </w:r>
      <w:r>
        <w:rPr>
          <w:szCs w:val="20"/>
        </w:rPr>
        <w:t xml:space="preserve"> </w:t>
      </w:r>
      <w:r>
        <w:rPr>
          <w:szCs w:val="20"/>
        </w:rPr>
        <w:t>professing his love</w:t>
      </w:r>
      <w:r>
        <w:rPr>
          <w:szCs w:val="20"/>
        </w:rPr>
        <w:t>, made clear he was watching her, went to</w:t>
      </w:r>
      <w:r>
        <w:rPr>
          <w:szCs w:val="20"/>
        </w:rPr>
        <w:t xml:space="preserve"> her apartment in the middle of the night</w:t>
      </w:r>
      <w:r>
        <w:rPr>
          <w:szCs w:val="20"/>
        </w:rPr>
        <w:t xml:space="preserve">, </w:t>
      </w:r>
      <w:r>
        <w:rPr>
          <w:szCs w:val="20"/>
        </w:rPr>
        <w:t xml:space="preserve">and returned to her apartment complex (and sent a sexually explicit </w:t>
      </w:r>
      <w:r>
        <w:rPr>
          <w:szCs w:val="20"/>
        </w:rPr>
        <w:t xml:space="preserve">text </w:t>
      </w:r>
      <w:r>
        <w:rPr>
          <w:szCs w:val="20"/>
        </w:rPr>
        <w:t xml:space="preserve">message </w:t>
      </w:r>
      <w:r>
        <w:rPr>
          <w:szCs w:val="20"/>
        </w:rPr>
        <w:t xml:space="preserve">to her) even after she </w:t>
      </w:r>
      <w:r>
        <w:rPr>
          <w:szCs w:val="20"/>
        </w:rPr>
        <w:t>made clear by calling</w:t>
      </w:r>
      <w:r>
        <w:rPr>
          <w:szCs w:val="20"/>
        </w:rPr>
        <w:t xml:space="preserve"> the police</w:t>
      </w:r>
      <w:r>
        <w:rPr>
          <w:szCs w:val="20"/>
        </w:rPr>
        <w:t xml:space="preserve"> that his </w:t>
      </w:r>
      <w:r>
        <w:rPr>
          <w:szCs w:val="20"/>
        </w:rPr>
        <w:t>conduct was unwanted and scared her</w:t>
      </w:r>
      <w:r>
        <w:rPr>
          <w:szCs w:val="20"/>
        </w:rPr>
        <w:t>.</w:t>
      </w:r>
      <w:r>
        <w:rPr>
          <w:szCs w:val="20"/>
        </w:rPr>
        <w:t xml:space="preserve">  </w:t>
      </w:r>
      <w:r>
        <w:rPr>
          <w:szCs w:val="20"/>
        </w:rPr>
        <w:t xml:space="preserve">A reasonable jury could infer </w:t>
      </w:r>
      <w:r>
        <w:rPr>
          <w:szCs w:val="20"/>
        </w:rPr>
        <w:t xml:space="preserve">from </w:t>
      </w:r>
      <w:r>
        <w:rPr>
          <w:szCs w:val="20"/>
        </w:rPr>
        <w:t>Frias’s</w:t>
      </w:r>
      <w:r>
        <w:rPr>
          <w:szCs w:val="20"/>
        </w:rPr>
        <w:t xml:space="preserve"> </w:t>
      </w:r>
      <w:r>
        <w:rPr>
          <w:szCs w:val="20"/>
        </w:rPr>
        <w:t xml:space="preserve">course of </w:t>
      </w:r>
      <w:r>
        <w:rPr>
          <w:szCs w:val="20"/>
        </w:rPr>
        <w:t xml:space="preserve">conduct </w:t>
      </w:r>
      <w:r>
        <w:rPr>
          <w:szCs w:val="20"/>
        </w:rPr>
        <w:t>“</w:t>
      </w:r>
      <w:r w:rsidRPr="00827854">
        <w:rPr>
          <w:szCs w:val="20"/>
        </w:rPr>
        <w:t>that he intended the result he caused.”  (</w:t>
      </w:r>
      <w:r w:rsidRPr="00943880">
        <w:rPr>
          <w:i/>
          <w:iCs/>
          <w:szCs w:val="20"/>
        </w:rPr>
        <w:t>Lopez</w:t>
      </w:r>
      <w:r w:rsidRPr="004E0990">
        <w:rPr>
          <w:szCs w:val="20"/>
        </w:rPr>
        <w:t>,</w:t>
      </w:r>
      <w:r w:rsidRPr="00827854">
        <w:rPr>
          <w:szCs w:val="20"/>
        </w:rPr>
        <w:t xml:space="preserve"> at p. 454</w:t>
      </w:r>
      <w:r>
        <w:rPr>
          <w:szCs w:val="20"/>
        </w:rPr>
        <w:t>; see</w:t>
      </w:r>
      <w:r>
        <w:rPr>
          <w:szCs w:val="20"/>
        </w:rPr>
        <w:t xml:space="preserve"> </w:t>
      </w:r>
      <w:r>
        <w:rPr>
          <w:i/>
          <w:iCs/>
          <w:szCs w:val="20"/>
        </w:rPr>
        <w:t>Uecker</w:t>
      </w:r>
      <w:r>
        <w:rPr>
          <w:i/>
          <w:iCs/>
          <w:szCs w:val="20"/>
        </w:rPr>
        <w:t>, supra</w:t>
      </w:r>
      <w:r w:rsidRPr="007E394E">
        <w:rPr>
          <w:szCs w:val="20"/>
        </w:rPr>
        <w:t>,</w:t>
      </w:r>
      <w:r>
        <w:rPr>
          <w:i/>
          <w:iCs/>
          <w:szCs w:val="20"/>
        </w:rPr>
        <w:t xml:space="preserve"> </w:t>
      </w:r>
      <w:r>
        <w:rPr>
          <w:szCs w:val="20"/>
        </w:rPr>
        <w:t xml:space="preserve">172 Cal.App.4th </w:t>
      </w:r>
      <w:r>
        <w:rPr>
          <w:szCs w:val="20"/>
        </w:rPr>
        <w:t xml:space="preserve">at p. </w:t>
      </w:r>
      <w:r>
        <w:rPr>
          <w:szCs w:val="20"/>
        </w:rPr>
        <w:t>59</w:t>
      </w:r>
      <w:r>
        <w:rPr>
          <w:szCs w:val="20"/>
        </w:rPr>
        <w:t xml:space="preserve">5 </w:t>
      </w:r>
      <w:r>
        <w:rPr>
          <w:szCs w:val="20"/>
        </w:rPr>
        <w:t>[</w:t>
      </w:r>
      <w:r>
        <w:rPr>
          <w:szCs w:val="20"/>
        </w:rPr>
        <w:t>“</w:t>
      </w:r>
      <w:r w:rsidRPr="00AF65D0">
        <w:rPr>
          <w:szCs w:val="20"/>
        </w:rPr>
        <w:t xml:space="preserve">a reasonable jury could conclude defendant wanted M. to know he had been watching her while she was parked at work and keeping track of her schedule to </w:t>
      </w:r>
      <w:r w:rsidRPr="00AF65D0">
        <w:rPr>
          <w:szCs w:val="20"/>
        </w:rPr>
        <w:t>place her in fear of her safety</w:t>
      </w:r>
      <w:r>
        <w:rPr>
          <w:szCs w:val="20"/>
        </w:rPr>
        <w:t>”]</w:t>
      </w:r>
      <w:r>
        <w:rPr>
          <w:szCs w:val="20"/>
        </w:rPr>
        <w:t xml:space="preserve">; </w:t>
      </w:r>
      <w:r w:rsidRPr="007E394E">
        <w:rPr>
          <w:i/>
          <w:iCs/>
          <w:szCs w:val="20"/>
        </w:rPr>
        <w:t>Falck</w:t>
      </w:r>
      <w:r>
        <w:rPr>
          <w:szCs w:val="20"/>
        </w:rPr>
        <w:t xml:space="preserve">, at p. </w:t>
      </w:r>
      <w:r>
        <w:rPr>
          <w:szCs w:val="20"/>
        </w:rPr>
        <w:t xml:space="preserve">299 </w:t>
      </w:r>
      <w:r>
        <w:rPr>
          <w:szCs w:val="20"/>
        </w:rPr>
        <w:t>[“</w:t>
      </w:r>
      <w:r>
        <w:rPr>
          <w:szCs w:val="20"/>
        </w:rPr>
        <w:t>Here, i</w:t>
      </w:r>
      <w:r w:rsidRPr="00F87E43">
        <w:rPr>
          <w:szCs w:val="20"/>
        </w:rPr>
        <w:t xml:space="preserve">t can be inferred that appellant intended to cause fear in the victim from the fact </w:t>
      </w:r>
      <w:r>
        <w:rPr>
          <w:szCs w:val="20"/>
        </w:rPr>
        <w:t xml:space="preserve">[among others] </w:t>
      </w:r>
      <w:r w:rsidRPr="00F87E43">
        <w:rPr>
          <w:szCs w:val="20"/>
        </w:rPr>
        <w:t xml:space="preserve">that he insisted on maintaining contact with </w:t>
      </w:r>
      <w:r>
        <w:rPr>
          <w:szCs w:val="20"/>
        </w:rPr>
        <w:t>[the victim]</w:t>
      </w:r>
      <w:r w:rsidRPr="00F87E43">
        <w:rPr>
          <w:szCs w:val="20"/>
        </w:rPr>
        <w:t xml:space="preserve"> </w:t>
      </w:r>
      <w:r w:rsidRPr="00F87E43">
        <w:rPr>
          <w:szCs w:val="20"/>
        </w:rPr>
        <w:lastRenderedPageBreak/>
        <w:t>although she clearly was attempting to avoid him, and although he had been warned away by the police, the court and the victim</w:t>
      </w:r>
      <w:r>
        <w:rPr>
          <w:szCs w:val="20"/>
        </w:rPr>
        <w:t>’</w:t>
      </w:r>
      <w:r w:rsidRPr="00F87E43">
        <w:rPr>
          <w:szCs w:val="20"/>
        </w:rPr>
        <w:t>s husband.</w:t>
      </w:r>
      <w:r>
        <w:rPr>
          <w:szCs w:val="20"/>
        </w:rPr>
        <w:t>”</w:t>
      </w:r>
      <w:r>
        <w:rPr>
          <w:szCs w:val="20"/>
        </w:rPr>
        <w:t>]</w:t>
      </w:r>
      <w:r>
        <w:rPr>
          <w:szCs w:val="20"/>
        </w:rPr>
        <w:t>.</w:t>
      </w:r>
      <w:r>
        <w:rPr>
          <w:szCs w:val="20"/>
        </w:rPr>
        <w:t>)</w:t>
      </w:r>
    </w:p>
    <w:p w14:paraId="59531197" w14:textId="77777777" w:rsidR="00204D4F" w:rsidRDefault="00204D4F">
      <w:pPr>
        <w:spacing w:line="240" w:lineRule="auto"/>
        <w:rPr>
          <w:szCs w:val="20"/>
        </w:rPr>
      </w:pPr>
    </w:p>
    <w:p w14:paraId="62D6A61F" w14:textId="77777777" w:rsidR="00204D4F" w:rsidRPr="00D00755" w:rsidRDefault="00204D4F" w:rsidP="00D00755">
      <w:pPr>
        <w:keepNext/>
        <w:numPr>
          <w:ilvl w:val="0"/>
          <w:numId w:val="1"/>
        </w:numPr>
        <w:jc w:val="center"/>
        <w:outlineLvl w:val="0"/>
        <w:rPr>
          <w:b/>
          <w:caps/>
          <w:szCs w:val="20"/>
        </w:rPr>
      </w:pPr>
      <w:r w:rsidRPr="00D00755">
        <w:rPr>
          <w:b/>
          <w:caps/>
          <w:szCs w:val="20"/>
        </w:rPr>
        <w:t>DISPOSITION</w:t>
      </w:r>
    </w:p>
    <w:p w14:paraId="5FAFCC0D" w14:textId="77777777" w:rsidR="00204D4F" w:rsidRDefault="00204D4F" w:rsidP="00D00755">
      <w:pPr>
        <w:contextualSpacing/>
        <w:rPr>
          <w:rFonts w:eastAsia="Times New Roman" w:cs="Arial"/>
          <w:color w:val="212121"/>
          <w:szCs w:val="20"/>
        </w:rPr>
      </w:pPr>
    </w:p>
    <w:p w14:paraId="7633F1ED" w14:textId="77777777" w:rsidR="00204D4F" w:rsidRPr="00D00755" w:rsidRDefault="00204D4F" w:rsidP="00D00755">
      <w:pPr>
        <w:contextualSpacing/>
        <w:rPr>
          <w:szCs w:val="20"/>
        </w:rPr>
      </w:pPr>
      <w:r>
        <w:rPr>
          <w:szCs w:val="20"/>
        </w:rPr>
        <w:tab/>
        <w:t>The judgment is reversed.</w:t>
      </w:r>
      <w:r>
        <w:rPr>
          <w:szCs w:val="20"/>
        </w:rPr>
        <w:t xml:space="preserve">  The case is remanded for a new trial.</w:t>
      </w:r>
    </w:p>
    <w:p w14:paraId="41D4FDD2" w14:textId="77777777" w:rsidR="00204D4F" w:rsidRDefault="00204D4F" w:rsidP="00D00755">
      <w:pPr>
        <w:contextualSpacing/>
        <w:rPr>
          <w:szCs w:val="20"/>
        </w:rPr>
      </w:pPr>
    </w:p>
    <w:p w14:paraId="231A2A59" w14:textId="77777777" w:rsidR="00204D4F" w:rsidRPr="00D00755" w:rsidRDefault="00204D4F" w:rsidP="00D00755">
      <w:pPr>
        <w:contextualSpacing/>
        <w:rPr>
          <w:szCs w:val="20"/>
        </w:rPr>
      </w:pPr>
    </w:p>
    <w:p w14:paraId="3DD74FA1" w14:textId="77777777" w:rsidR="00204D4F" w:rsidRPr="00D00755" w:rsidRDefault="00204D4F" w:rsidP="00D00755">
      <w:pPr>
        <w:contextualSpacing/>
        <w:rPr>
          <w:szCs w:val="20"/>
          <w:lang w:val="nl-NL"/>
        </w:rPr>
      </w:pPr>
      <w:r w:rsidRPr="00D00755">
        <w:rPr>
          <w:szCs w:val="20"/>
        </w:rPr>
        <w:tab/>
      </w:r>
      <w:r w:rsidRPr="00D00755">
        <w:rPr>
          <w:szCs w:val="20"/>
        </w:rPr>
        <w:tab/>
      </w:r>
      <w:r w:rsidRPr="00D00755">
        <w:rPr>
          <w:szCs w:val="20"/>
        </w:rPr>
        <w:tab/>
      </w:r>
      <w:r w:rsidRPr="00D00755">
        <w:rPr>
          <w:szCs w:val="20"/>
        </w:rPr>
        <w:tab/>
      </w:r>
      <w:r w:rsidRPr="00D00755">
        <w:rPr>
          <w:szCs w:val="20"/>
        </w:rPr>
        <w:tab/>
      </w:r>
      <w:r w:rsidRPr="00D00755">
        <w:rPr>
          <w:szCs w:val="20"/>
        </w:rPr>
        <w:tab/>
      </w:r>
      <w:r w:rsidRPr="00D00755">
        <w:rPr>
          <w:szCs w:val="20"/>
        </w:rPr>
        <w:tab/>
      </w:r>
      <w:r w:rsidRPr="00D00755">
        <w:rPr>
          <w:szCs w:val="20"/>
          <w:lang w:val="nl-NL"/>
        </w:rPr>
        <w:t xml:space="preserve">FEUER, </w:t>
      </w:r>
      <w:r>
        <w:rPr>
          <w:szCs w:val="20"/>
          <w:lang w:val="nl-NL"/>
        </w:rPr>
        <w:t>Acting P.</w:t>
      </w:r>
      <w:r w:rsidRPr="00D00755">
        <w:rPr>
          <w:szCs w:val="20"/>
          <w:lang w:val="nl-NL"/>
        </w:rPr>
        <w:t>J.</w:t>
      </w:r>
    </w:p>
    <w:p w14:paraId="0816AF47" w14:textId="77777777" w:rsidR="00204D4F" w:rsidRPr="00D00755" w:rsidRDefault="00204D4F" w:rsidP="000C32C3">
      <w:pPr>
        <w:ind w:firstLine="720"/>
        <w:contextualSpacing/>
        <w:rPr>
          <w:szCs w:val="20"/>
          <w:lang w:val="nl-NL"/>
        </w:rPr>
      </w:pPr>
      <w:r w:rsidRPr="00D00755">
        <w:rPr>
          <w:szCs w:val="20"/>
          <w:lang w:val="nl-NL"/>
        </w:rPr>
        <w:t>We concur:</w:t>
      </w:r>
    </w:p>
    <w:p w14:paraId="694EFDD3" w14:textId="77777777" w:rsidR="00204D4F" w:rsidRPr="00D00755" w:rsidRDefault="00204D4F" w:rsidP="00D00755">
      <w:pPr>
        <w:contextualSpacing/>
        <w:rPr>
          <w:szCs w:val="20"/>
          <w:lang w:val="nl-NL"/>
        </w:rPr>
      </w:pPr>
    </w:p>
    <w:p w14:paraId="166C68FD" w14:textId="77777777" w:rsidR="00204D4F" w:rsidRPr="00D00755" w:rsidRDefault="00204D4F" w:rsidP="00D00755">
      <w:pPr>
        <w:contextualSpacing/>
        <w:rPr>
          <w:szCs w:val="20"/>
          <w:lang w:val="nl-NL"/>
        </w:rPr>
      </w:pPr>
    </w:p>
    <w:p w14:paraId="58046383" w14:textId="77777777" w:rsidR="00204D4F" w:rsidRDefault="00204D4F" w:rsidP="000C32C3">
      <w:pPr>
        <w:ind w:left="720" w:firstLine="720"/>
        <w:contextualSpacing/>
        <w:rPr>
          <w:szCs w:val="26"/>
          <w:lang w:val="nl-NL"/>
        </w:rPr>
      </w:pPr>
      <w:r>
        <w:rPr>
          <w:szCs w:val="26"/>
          <w:lang w:val="nl-NL"/>
        </w:rPr>
        <w:t>MARTINEZ, J.</w:t>
      </w:r>
      <w:r>
        <w:rPr>
          <w:szCs w:val="26"/>
          <w:lang w:val="nl-NL"/>
        </w:rPr>
        <w:tab/>
      </w:r>
      <w:r>
        <w:rPr>
          <w:szCs w:val="26"/>
          <w:lang w:val="nl-NL"/>
        </w:rPr>
        <w:tab/>
      </w:r>
      <w:r>
        <w:rPr>
          <w:szCs w:val="26"/>
          <w:lang w:val="nl-NL"/>
        </w:rPr>
        <w:tab/>
      </w:r>
    </w:p>
    <w:p w14:paraId="3B6A7BDF" w14:textId="77777777" w:rsidR="00204D4F" w:rsidRDefault="00204D4F" w:rsidP="000C32C3">
      <w:pPr>
        <w:ind w:left="720" w:firstLine="720"/>
        <w:contextualSpacing/>
        <w:rPr>
          <w:szCs w:val="26"/>
          <w:lang w:val="nl-NL"/>
        </w:rPr>
      </w:pPr>
    </w:p>
    <w:p w14:paraId="7F1EE756" w14:textId="77777777" w:rsidR="00204D4F" w:rsidRDefault="00204D4F" w:rsidP="000C32C3">
      <w:pPr>
        <w:ind w:left="720" w:firstLine="720"/>
        <w:contextualSpacing/>
        <w:rPr>
          <w:szCs w:val="26"/>
          <w:lang w:val="nl-NL"/>
        </w:rPr>
      </w:pPr>
    </w:p>
    <w:p w14:paraId="5F9DB977" w14:textId="77777777" w:rsidR="00204D4F" w:rsidRDefault="00204D4F" w:rsidP="000C32C3">
      <w:pPr>
        <w:ind w:left="720" w:firstLine="720"/>
        <w:contextualSpacing/>
        <w:rPr>
          <w:vertAlign w:val="superscript"/>
        </w:rPr>
      </w:pPr>
      <w:r w:rsidRPr="00E46605">
        <w:t>EVENSON, J.</w:t>
      </w:r>
      <w:r>
        <w:rPr>
          <w:vertAlign w:val="superscript"/>
        </w:rPr>
        <w:footnoteReference w:customMarkFollows="1" w:id="11"/>
        <w:t>*</w:t>
      </w:r>
    </w:p>
    <w:p w14:paraId="40E0E15F" w14:textId="77777777" w:rsidR="00204D4F" w:rsidRPr="0054492C" w:rsidRDefault="00204D4F" w:rsidP="000C32C3">
      <w:pPr>
        <w:ind w:left="720" w:firstLine="720"/>
        <w:contextualSpacing/>
        <w:rPr>
          <w:b/>
          <w:bCs/>
        </w:rPr>
      </w:pPr>
    </w:p>
    <w:sectPr w:rsidR="007350FD" w:rsidRPr="0054492C" w:rsidSect="00AB3359">
      <w:footerReference w:type="even" r:id="rId7"/>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B834" w14:textId="77777777" w:rsidR="00204D4F" w:rsidRDefault="00204D4F">
      <w:pPr>
        <w:spacing w:line="240" w:lineRule="auto"/>
      </w:pPr>
      <w:r>
        <w:separator/>
      </w:r>
    </w:p>
  </w:endnote>
  <w:endnote w:type="continuationSeparator" w:id="0">
    <w:p w14:paraId="5032C78F" w14:textId="77777777" w:rsidR="00204D4F" w:rsidRDefault="00204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AAE1" w14:textId="77777777" w:rsidR="00204D4F" w:rsidRDefault="00204D4F" w:rsidP="002710CF">
    <w:pPr>
      <w:pStyle w:val="Footer"/>
      <w:rPr>
        <w:rStyle w:val="PageNumber"/>
        <w:bCs w:val="0"/>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9037FC8" w14:textId="77777777" w:rsidR="00204D4F" w:rsidRDefault="0020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910167"/>
      <w:docPartObj>
        <w:docPartGallery w:val="Page Numbers (Bottom of Page)"/>
        <w:docPartUnique/>
      </w:docPartObj>
    </w:sdtPr>
    <w:sdtEndPr>
      <w:rPr>
        <w:noProof/>
      </w:rPr>
    </w:sdtEndPr>
    <w:sdtContent>
      <w:p w14:paraId="33DC5B84" w14:textId="77777777" w:rsidR="00204D4F" w:rsidRDefault="00204D4F" w:rsidP="002710CF">
        <w:pP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761C" w14:textId="77777777" w:rsidR="00204D4F" w:rsidRDefault="00204D4F" w:rsidP="00711F3E">
      <w:pPr>
        <w:spacing w:line="240" w:lineRule="auto"/>
      </w:pPr>
      <w:r>
        <w:separator/>
      </w:r>
    </w:p>
  </w:footnote>
  <w:footnote w:type="continuationSeparator" w:id="0">
    <w:p w14:paraId="4186E871" w14:textId="77777777" w:rsidR="00204D4F" w:rsidRDefault="00204D4F" w:rsidP="00711F3E">
      <w:pPr>
        <w:spacing w:line="240" w:lineRule="auto"/>
      </w:pPr>
      <w:r>
        <w:continuationSeparator/>
      </w:r>
    </w:p>
  </w:footnote>
  <w:footnote w:type="continuationNotice" w:id="1">
    <w:p w14:paraId="071DF2E6" w14:textId="77777777" w:rsidR="00204D4F" w:rsidRDefault="00204D4F">
      <w:pPr>
        <w:spacing w:line="240" w:lineRule="auto"/>
      </w:pPr>
    </w:p>
  </w:footnote>
  <w:footnote w:id="2">
    <w:p w14:paraId="1F045F65" w14:textId="77777777" w:rsidR="00204D4F" w:rsidRDefault="00204D4F" w:rsidP="00742FAE">
      <w:pPr>
        <w:pStyle w:val="FootnoteText"/>
      </w:pPr>
      <w:r>
        <w:rPr>
          <w:rStyle w:val="FootnoteReference"/>
        </w:rPr>
        <w:footnoteRef/>
      </w:r>
      <w:r>
        <w:t xml:space="preserve"> </w:t>
      </w:r>
      <w:r>
        <w:tab/>
      </w:r>
      <w:r>
        <w:t xml:space="preserve">Courtney lived in a third-floor apartment that faced her building’s gated parking lot.  A person could </w:t>
      </w:r>
      <w:proofErr w:type="gramStart"/>
      <w:r>
        <w:t>look into</w:t>
      </w:r>
      <w:proofErr w:type="gramEnd"/>
      <w:r>
        <w:t xml:space="preserve"> her apartment from the parking lot. </w:t>
      </w:r>
    </w:p>
  </w:footnote>
  <w:footnote w:id="3">
    <w:p w14:paraId="05CC671C" w14:textId="77777777" w:rsidR="00204D4F" w:rsidRPr="00742FAE" w:rsidRDefault="00204D4F" w:rsidP="00742FAE">
      <w:pPr>
        <w:pStyle w:val="FootnoteText"/>
      </w:pPr>
      <w:r>
        <w:rPr>
          <w:rStyle w:val="FootnoteReference"/>
        </w:rPr>
        <w:footnoteRef/>
      </w:r>
      <w:r>
        <w:t xml:space="preserve">  </w:t>
      </w:r>
      <w:r>
        <w:tab/>
      </w:r>
      <w:r>
        <w:t>Further statutory references are to the Penal Code.</w:t>
      </w:r>
    </w:p>
  </w:footnote>
  <w:footnote w:id="4">
    <w:p w14:paraId="0D9C403E" w14:textId="77777777" w:rsidR="00204D4F" w:rsidRPr="00F15C36" w:rsidRDefault="00204D4F" w:rsidP="00742FAE">
      <w:pPr>
        <w:pStyle w:val="FootnoteText"/>
      </w:pPr>
      <w:r>
        <w:rPr>
          <w:rStyle w:val="FootnoteReference"/>
        </w:rPr>
        <w:footnoteRef/>
      </w:r>
      <w:r>
        <w:t xml:space="preserve"> </w:t>
      </w:r>
      <w:r>
        <w:tab/>
        <w:t>Judge Dorothy L. Shubin presided over the pretrial hearings</w:t>
      </w:r>
      <w:r>
        <w:t>,</w:t>
      </w:r>
      <w:r>
        <w:t xml:space="preserve"> including Frias’s requests for substitution of attorney. </w:t>
      </w:r>
    </w:p>
  </w:footnote>
  <w:footnote w:id="5">
    <w:p w14:paraId="3E593E4D" w14:textId="77777777" w:rsidR="00204D4F" w:rsidRPr="00520F53" w:rsidRDefault="00204D4F" w:rsidP="00742FAE">
      <w:pPr>
        <w:pStyle w:val="FootnoteText"/>
      </w:pPr>
      <w:r>
        <w:rPr>
          <w:rStyle w:val="FootnoteReference"/>
        </w:rPr>
        <w:footnoteRef/>
      </w:r>
      <w:r>
        <w:t xml:space="preserve"> </w:t>
      </w:r>
      <w:r>
        <w:tab/>
      </w:r>
      <w:r w:rsidRPr="00520F53">
        <w:t xml:space="preserve">Under section 1382, subdivision (a)(2), a criminal case must be dismissed </w:t>
      </w:r>
      <w:r>
        <w:t>absent good cause</w:t>
      </w:r>
      <w:r>
        <w:t>,</w:t>
      </w:r>
      <w:r>
        <w:t xml:space="preserve"> with specified exceptions</w:t>
      </w:r>
      <w:r>
        <w:t>,</w:t>
      </w:r>
      <w:r>
        <w:t xml:space="preserve"> </w:t>
      </w:r>
      <w:r w:rsidRPr="00520F53">
        <w:t>where a defendant is not brought to trial with</w:t>
      </w:r>
      <w:r>
        <w:t>in</w:t>
      </w:r>
      <w:r w:rsidRPr="00520F53">
        <w:t xml:space="preserve"> 60</w:t>
      </w:r>
      <w:r>
        <w:t> </w:t>
      </w:r>
      <w:r w:rsidRPr="00520F53">
        <w:t>days of arraignment on an indictment or information</w:t>
      </w:r>
      <w:r>
        <w:t>,</w:t>
      </w:r>
      <w:r w:rsidRPr="00520F53">
        <w:t xml:space="preserve"> or reinstatement of criminal proceedings.  </w:t>
      </w:r>
      <w:proofErr w:type="gramStart"/>
      <w:r>
        <w:t>U</w:t>
      </w:r>
      <w:r>
        <w:t xml:space="preserve">nder </w:t>
      </w:r>
      <w:r>
        <w:t xml:space="preserve"> section</w:t>
      </w:r>
      <w:proofErr w:type="gramEnd"/>
      <w:r>
        <w:t> </w:t>
      </w:r>
      <w:r>
        <w:t xml:space="preserve">1382, </w:t>
      </w:r>
      <w:r w:rsidRPr="00520F53">
        <w:t xml:space="preserve">subdivision (a)(2)(B), </w:t>
      </w:r>
      <w:r>
        <w:t xml:space="preserve">which </w:t>
      </w:r>
      <w:r>
        <w:t>provid</w:t>
      </w:r>
      <w:r>
        <w:t>es</w:t>
      </w:r>
      <w:r>
        <w:t xml:space="preserve"> for a limited time waiver, </w:t>
      </w:r>
      <w:r w:rsidRPr="00520F53">
        <w:t>a case shall not be dismissed if</w:t>
      </w:r>
      <w:r>
        <w:t xml:space="preserve"> </w:t>
      </w:r>
      <w:r w:rsidRPr="00520F53">
        <w:t xml:space="preserve">“[t]he defendant requests or consents to the </w:t>
      </w:r>
      <w:r w:rsidRPr="00520F53">
        <w:t>setting of a trial date beyond the 60-day period.”  Further,</w:t>
      </w:r>
      <w:r>
        <w:t xml:space="preserve"> </w:t>
      </w:r>
      <w:r w:rsidRPr="00520F53">
        <w:t>“[w]</w:t>
      </w:r>
      <w:proofErr w:type="spellStart"/>
      <w:r w:rsidRPr="00520F53">
        <w:t>henever</w:t>
      </w:r>
      <w:proofErr w:type="spellEnd"/>
      <w:r w:rsidRPr="00520F53">
        <w:t xml:space="preserve"> a case is set for trial beyond the 60-day period by request or consent, expressed or implied, of the defendant without a general waiver [of the 60-day requirement], the defendant shall be brought to trial on the date set for trial or within 10 days thereafter.”</w:t>
      </w:r>
      <w:r>
        <w:t xml:space="preserve">  (</w:t>
      </w:r>
      <w:r w:rsidRPr="009C30B4">
        <w:rPr>
          <w:i/>
          <w:iCs/>
        </w:rPr>
        <w:t>Ibid</w:t>
      </w:r>
      <w:r>
        <w:t>.)</w:t>
      </w:r>
      <w:r w:rsidRPr="00520F53">
        <w:t xml:space="preserve">  </w:t>
      </w:r>
      <w:r>
        <w:t>W</w:t>
      </w:r>
      <w:r w:rsidRPr="00520F53">
        <w:t>here defendant</w:t>
      </w:r>
      <w:r>
        <w:t>s</w:t>
      </w:r>
      <w:r w:rsidRPr="00520F53">
        <w:t xml:space="preserve"> give only a limited time waiver of the 60-day limit, trial courts typically set a trial date as a “zero of 10” date for trial, meaning that the case m</w:t>
      </w:r>
      <w:r w:rsidRPr="00520F53">
        <w:t>ust be dismissed if not brought to trial within the 10-day period, absent the defendant’s consent</w:t>
      </w:r>
      <w:r>
        <w:t xml:space="preserve"> or a showing of good cause</w:t>
      </w:r>
      <w:r w:rsidRPr="00520F53">
        <w:t>.</w:t>
      </w:r>
      <w:r>
        <w:t xml:space="preserve">  (</w:t>
      </w:r>
      <w:r w:rsidRPr="0034713B">
        <w:rPr>
          <w:i/>
          <w:iCs/>
        </w:rPr>
        <w:t>People v. Superior Court</w:t>
      </w:r>
      <w:r>
        <w:rPr>
          <w:i/>
          <w:iCs/>
        </w:rPr>
        <w:t xml:space="preserve"> (Arnold)</w:t>
      </w:r>
      <w:r w:rsidRPr="00A52A9F">
        <w:t xml:space="preserve"> (2021) 59</w:t>
      </w:r>
      <w:r>
        <w:t> </w:t>
      </w:r>
      <w:r w:rsidRPr="00A52A9F">
        <w:t>Cal.App.5th 923, 936</w:t>
      </w:r>
      <w:r>
        <w:t>.)</w:t>
      </w:r>
      <w:r w:rsidRPr="00A52A9F">
        <w:t xml:space="preserve"> </w:t>
      </w:r>
      <w:r>
        <w:t xml:space="preserve"> </w:t>
      </w:r>
      <w:r w:rsidRPr="00520F53">
        <w:t xml:space="preserve">We assume the court, in referring to a “zero of 20,” was inquiring whether the attorney would be ready </w:t>
      </w:r>
      <w:r>
        <w:t>for</w:t>
      </w:r>
      <w:r w:rsidRPr="00520F53">
        <w:t xml:space="preserve"> trial within 20 days.  </w:t>
      </w:r>
    </w:p>
  </w:footnote>
  <w:footnote w:id="6">
    <w:p w14:paraId="00B7D729" w14:textId="77777777" w:rsidR="00204D4F" w:rsidRPr="00E7242B" w:rsidRDefault="00204D4F" w:rsidP="00742FAE">
      <w:pPr>
        <w:pStyle w:val="FootnoteText"/>
      </w:pPr>
      <w:r>
        <w:rPr>
          <w:rStyle w:val="FootnoteReference"/>
        </w:rPr>
        <w:footnoteRef/>
      </w:r>
      <w:r>
        <w:t xml:space="preserve"> </w:t>
      </w:r>
      <w:r>
        <w:tab/>
      </w:r>
      <w:r>
        <w:t>Cox</w:t>
      </w:r>
      <w:r>
        <w:t xml:space="preserve"> confirmed he had provided the entire record to </w:t>
      </w:r>
      <w:r>
        <w:t xml:space="preserve">the </w:t>
      </w:r>
      <w:r>
        <w:t>Castaneda firm.</w:t>
      </w:r>
      <w:r>
        <w:t xml:space="preserve"> </w:t>
      </w:r>
    </w:p>
  </w:footnote>
  <w:footnote w:id="7">
    <w:p w14:paraId="27C5E270" w14:textId="77777777" w:rsidR="00204D4F" w:rsidRPr="00071383" w:rsidRDefault="00204D4F" w:rsidP="00742FAE">
      <w:pPr>
        <w:pStyle w:val="FootnoteText"/>
      </w:pPr>
      <w:r>
        <w:rPr>
          <w:rStyle w:val="FootnoteReference"/>
        </w:rPr>
        <w:footnoteRef/>
      </w:r>
      <w:r>
        <w:t xml:space="preserve"> </w:t>
      </w:r>
      <w:r>
        <w:tab/>
      </w:r>
      <w:r w:rsidRPr="00912907">
        <w:rPr>
          <w:i/>
          <w:iCs/>
        </w:rPr>
        <w:t>Pitchess v. Superior Court</w:t>
      </w:r>
      <w:r>
        <w:t xml:space="preserve"> (1974) 11 Cal.3d 531.</w:t>
      </w:r>
      <w:r>
        <w:t xml:space="preserve">  Cox filed both a </w:t>
      </w:r>
      <w:r w:rsidRPr="00BF1144">
        <w:rPr>
          <w:i/>
          <w:iCs/>
        </w:rPr>
        <w:t>Pitchess</w:t>
      </w:r>
      <w:r>
        <w:t xml:space="preserve"> motion and a supplemental </w:t>
      </w:r>
      <w:r w:rsidRPr="00BF1144">
        <w:rPr>
          <w:i/>
          <w:iCs/>
        </w:rPr>
        <w:t xml:space="preserve">Pitchess </w:t>
      </w:r>
      <w:r>
        <w:t xml:space="preserve">motion to obtain information on the District Attorney’s </w:t>
      </w:r>
      <w:r>
        <w:t>prosecution</w:t>
      </w:r>
      <w:r>
        <w:t xml:space="preserve"> of </w:t>
      </w:r>
      <w:r>
        <w:t>one of the</w:t>
      </w:r>
      <w:r>
        <w:t xml:space="preserve"> police officer</w:t>
      </w:r>
      <w:r>
        <w:t>s</w:t>
      </w:r>
      <w:r>
        <w:t xml:space="preserve"> who </w:t>
      </w:r>
      <w:r>
        <w:t xml:space="preserve">responded </w:t>
      </w:r>
      <w:r>
        <w:t xml:space="preserve">to Courtney’s </w:t>
      </w:r>
      <w:r>
        <w:t xml:space="preserve">911 call </w:t>
      </w:r>
      <w:r>
        <w:t>on March</w:t>
      </w:r>
      <w:r>
        <w:t> </w:t>
      </w:r>
      <w:r>
        <w:t>1</w:t>
      </w:r>
      <w:r>
        <w:t>3</w:t>
      </w:r>
      <w:r>
        <w:t>, 2018</w:t>
      </w:r>
      <w:r>
        <w:t xml:space="preserve">. </w:t>
      </w:r>
    </w:p>
  </w:footnote>
  <w:footnote w:id="8">
    <w:p w14:paraId="6D8CB269" w14:textId="77777777" w:rsidR="00204D4F" w:rsidRPr="000B44D0" w:rsidRDefault="00204D4F" w:rsidP="00742FAE">
      <w:pPr>
        <w:pStyle w:val="FootnoteText"/>
      </w:pPr>
      <w:r>
        <w:rPr>
          <w:rStyle w:val="FootnoteReference"/>
        </w:rPr>
        <w:footnoteRef/>
      </w:r>
      <w:r>
        <w:t xml:space="preserve"> </w:t>
      </w:r>
      <w:r>
        <w:tab/>
        <w:t xml:space="preserve">Cox intended to call either Dr. Crandall or Dr. Walker at trial depending on which defense expert was available. </w:t>
      </w:r>
    </w:p>
  </w:footnote>
  <w:footnote w:id="9">
    <w:p w14:paraId="49A555AD" w14:textId="77777777" w:rsidR="00204D4F" w:rsidRPr="00A81253" w:rsidRDefault="00204D4F" w:rsidP="00742FAE">
      <w:pPr>
        <w:pStyle w:val="FootnoteText"/>
      </w:pPr>
      <w:r>
        <w:rPr>
          <w:rStyle w:val="FootnoteReference"/>
        </w:rPr>
        <w:footnoteRef/>
      </w:r>
      <w:r>
        <w:t xml:space="preserve"> </w:t>
      </w:r>
      <w:r>
        <w:tab/>
      </w:r>
      <w:r w:rsidRPr="00184152">
        <w:rPr>
          <w:i/>
          <w:iCs/>
        </w:rPr>
        <w:t>People v. Keshishian</w:t>
      </w:r>
      <w:r w:rsidRPr="00184152">
        <w:t xml:space="preserve"> (2008) 162 Cal.App.4th 425</w:t>
      </w:r>
      <w:r>
        <w:t>, relied on by the trial court,</w:t>
      </w:r>
      <w:r w:rsidRPr="00184152">
        <w:t xml:space="preserve"> is </w:t>
      </w:r>
      <w:r>
        <w:t>similarly</w:t>
      </w:r>
      <w:r w:rsidRPr="00184152">
        <w:t xml:space="preserve"> distinguishable.  There, the defendant requested </w:t>
      </w:r>
      <w:r>
        <w:t xml:space="preserve">a continuance to hire new attorneys </w:t>
      </w:r>
      <w:r w:rsidRPr="00184152">
        <w:t>on the day set for trial</w:t>
      </w:r>
      <w:r>
        <w:t xml:space="preserve"> after the case had been pending for two</w:t>
      </w:r>
      <w:r>
        <w:t>-</w:t>
      </w:r>
      <w:r>
        <w:t>and</w:t>
      </w:r>
      <w:r>
        <w:t>-</w:t>
      </w:r>
      <w:r>
        <w:t>a</w:t>
      </w:r>
      <w:r>
        <w:t>-</w:t>
      </w:r>
      <w:r>
        <w:t>half years</w:t>
      </w:r>
      <w:r w:rsidRPr="00184152">
        <w:t>.  (</w:t>
      </w:r>
      <w:r w:rsidRPr="00184152">
        <w:rPr>
          <w:i/>
          <w:iCs/>
        </w:rPr>
        <w:t xml:space="preserve">Id. </w:t>
      </w:r>
      <w:r w:rsidRPr="00184152">
        <w:t xml:space="preserve">at p. 428.)  </w:t>
      </w:r>
      <w:r>
        <w:t xml:space="preserve">As the </w:t>
      </w:r>
      <w:r w:rsidRPr="00184152">
        <w:t>Court of Appeal explained</w:t>
      </w:r>
      <w:r>
        <w:t xml:space="preserve"> in </w:t>
      </w:r>
      <w:r>
        <w:t xml:space="preserve">affirming the </w:t>
      </w:r>
      <w:r>
        <w:t xml:space="preserve">trial court’s </w:t>
      </w:r>
      <w:r>
        <w:t>den</w:t>
      </w:r>
      <w:r>
        <w:t>ial of</w:t>
      </w:r>
      <w:r>
        <w:t xml:space="preserve"> the </w:t>
      </w:r>
      <w:r>
        <w:t>request</w:t>
      </w:r>
      <w:r w:rsidRPr="00184152">
        <w:t xml:space="preserve">, “An indefinite continuance would have been necessary, as appellant had neither </w:t>
      </w:r>
      <w:r w:rsidRPr="00184152">
        <w:t>identified nor retained new counsel.  Witnesses whose appearances had already been scheduled would have been further inconvenienced by an indefinite delay.”  (</w:t>
      </w:r>
      <w:r w:rsidRPr="00184152">
        <w:rPr>
          <w:i/>
          <w:iCs/>
        </w:rPr>
        <w:t>Id.</w:t>
      </w:r>
      <w:r w:rsidRPr="00184152">
        <w:t xml:space="preserve"> at p. 429.)  </w:t>
      </w:r>
    </w:p>
  </w:footnote>
  <w:footnote w:id="10">
    <w:p w14:paraId="66D4A2E4" w14:textId="77777777" w:rsidR="00204D4F" w:rsidRPr="007E394E" w:rsidRDefault="00204D4F" w:rsidP="00742FAE">
      <w:pPr>
        <w:pStyle w:val="FootnoteText"/>
      </w:pPr>
      <w:r>
        <w:rPr>
          <w:rStyle w:val="FootnoteReference"/>
        </w:rPr>
        <w:footnoteRef/>
      </w:r>
      <w:r>
        <w:t xml:space="preserve"> </w:t>
      </w:r>
      <w:r>
        <w:tab/>
        <w:t xml:space="preserve">Frias </w:t>
      </w:r>
      <w:r>
        <w:t>does not challenge the sufficiency of the</w:t>
      </w:r>
      <w:r>
        <w:t xml:space="preserve"> evidence </w:t>
      </w:r>
      <w:r>
        <w:t xml:space="preserve">with respect to </w:t>
      </w:r>
      <w:r>
        <w:t xml:space="preserve">the </w:t>
      </w:r>
      <w:r>
        <w:t xml:space="preserve">first element </w:t>
      </w:r>
      <w:r>
        <w:t xml:space="preserve">for stalking </w:t>
      </w:r>
      <w:r>
        <w:t>that a person</w:t>
      </w:r>
      <w:r>
        <w:t xml:space="preserve"> “</w:t>
      </w:r>
      <w:r w:rsidRPr="003D735F">
        <w:t>willfully, maliciously, and repeatedly follows or willfully and maliciously harasses another person</w:t>
      </w:r>
      <w:r>
        <w:t xml:space="preserve">.”  </w:t>
      </w:r>
      <w:r w:rsidRPr="0060731C">
        <w:t>(§ 646.9, subd. (a)</w:t>
      </w:r>
      <w:r>
        <w:t>.</w:t>
      </w:r>
      <w:r w:rsidRPr="0060731C">
        <w:t>)</w:t>
      </w:r>
      <w:r>
        <w:t xml:space="preserve">  </w:t>
      </w:r>
    </w:p>
  </w:footnote>
  <w:footnote w:id="11">
    <w:p w14:paraId="0679E4E4" w14:textId="77777777" w:rsidR="00204D4F" w:rsidRPr="003A0FCF" w:rsidRDefault="00204D4F" w:rsidP="00A22DA7">
      <w:pPr>
        <w:spacing w:after="120" w:line="240" w:lineRule="auto"/>
      </w:pPr>
      <w:r>
        <w:rPr>
          <w:rStyle w:val="FootnoteReference"/>
        </w:rPr>
        <w:t>*</w:t>
      </w:r>
      <w:r>
        <w:tab/>
        <w:t>Judge of the Alameda County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92AC8"/>
    <w:multiLevelType w:val="multilevel"/>
    <w:tmpl w:val="80F47766"/>
    <w:lvl w:ilvl="0">
      <w:start w:val="1"/>
      <w:numFmt w:val="none"/>
      <w:pStyle w:val="Heading1"/>
      <w:suff w:val="nothing"/>
      <w:lvlText w:val=""/>
      <w:lvlJc w:val="center"/>
      <w:pPr>
        <w:ind w:left="0" w:firstLine="0"/>
      </w:pPr>
      <w:rPr>
        <w:rFonts w:ascii="Century Schoolbook" w:hAnsi="Century Schoolbook" w:hint="default"/>
        <w:b/>
        <w:i w:val="0"/>
        <w:caps/>
        <w:sz w:val="26"/>
      </w:rPr>
    </w:lvl>
    <w:lvl w:ilvl="1">
      <w:start w:val="1"/>
      <w:numFmt w:val="upperLetter"/>
      <w:pStyle w:val="Heading2"/>
      <w:lvlText w:val="%2."/>
      <w:lvlJc w:val="left"/>
      <w:pPr>
        <w:ind w:left="720" w:hanging="720"/>
      </w:pPr>
      <w:rPr>
        <w:rFonts w:ascii="Century Schoolbook" w:hAnsi="Century Schoolbook" w:hint="default"/>
        <w:b w:val="0"/>
        <w:i w:val="0"/>
        <w:sz w:val="26"/>
      </w:rPr>
    </w:lvl>
    <w:lvl w:ilvl="2">
      <w:start w:val="1"/>
      <w:numFmt w:val="decimal"/>
      <w:pStyle w:val="Heading3"/>
      <w:lvlText w:val="%3."/>
      <w:lvlJc w:val="left"/>
      <w:pPr>
        <w:ind w:left="720" w:hanging="720"/>
      </w:pPr>
      <w:rPr>
        <w:rFonts w:ascii="Century Schoolbook" w:hAnsi="Century Schoolbook" w:hint="default"/>
        <w:b w:val="0"/>
        <w:i w:val="0"/>
        <w:sz w:val="26"/>
      </w:rPr>
    </w:lvl>
    <w:lvl w:ilvl="3">
      <w:start w:val="1"/>
      <w:numFmt w:val="lowerLetter"/>
      <w:pStyle w:val="Heading4"/>
      <w:lvlText w:val="%4."/>
      <w:lvlJc w:val="left"/>
      <w:pPr>
        <w:ind w:left="2160" w:hanging="720"/>
      </w:pPr>
      <w:rPr>
        <w:rFonts w:ascii="Century Schoolbook" w:hAnsi="Century Schoolbook" w:hint="default"/>
        <w:b w:val="0"/>
        <w:i w:val="0"/>
        <w:caps w:val="0"/>
        <w:strike w:val="0"/>
        <w:dstrike w:val="0"/>
        <w:vanish w:val="0"/>
        <w:color w:val="auto"/>
        <w:sz w:val="26"/>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C537DC2"/>
    <w:multiLevelType w:val="hybridMultilevel"/>
    <w:tmpl w:val="AF4CADCA"/>
    <w:lvl w:ilvl="0" w:tplc="FDC647E4">
      <w:start w:val="1"/>
      <w:numFmt w:val="decimal"/>
      <w:lvlText w:val="%1)"/>
      <w:lvlJc w:val="left"/>
      <w:pPr>
        <w:ind w:left="720" w:hanging="360"/>
      </w:pPr>
    </w:lvl>
    <w:lvl w:ilvl="1" w:tplc="8A7C4D5C">
      <w:start w:val="1"/>
      <w:numFmt w:val="decimal"/>
      <w:lvlText w:val="%2)"/>
      <w:lvlJc w:val="left"/>
      <w:pPr>
        <w:ind w:left="720" w:hanging="360"/>
      </w:pPr>
    </w:lvl>
    <w:lvl w:ilvl="2" w:tplc="56AA39A2">
      <w:start w:val="1"/>
      <w:numFmt w:val="decimal"/>
      <w:lvlText w:val="%3)"/>
      <w:lvlJc w:val="left"/>
      <w:pPr>
        <w:ind w:left="720" w:hanging="360"/>
      </w:pPr>
    </w:lvl>
    <w:lvl w:ilvl="3" w:tplc="7820BE9A">
      <w:start w:val="1"/>
      <w:numFmt w:val="decimal"/>
      <w:lvlText w:val="%4)"/>
      <w:lvlJc w:val="left"/>
      <w:pPr>
        <w:ind w:left="720" w:hanging="360"/>
      </w:pPr>
    </w:lvl>
    <w:lvl w:ilvl="4" w:tplc="94947472">
      <w:start w:val="1"/>
      <w:numFmt w:val="decimal"/>
      <w:lvlText w:val="%5)"/>
      <w:lvlJc w:val="left"/>
      <w:pPr>
        <w:ind w:left="720" w:hanging="360"/>
      </w:pPr>
    </w:lvl>
    <w:lvl w:ilvl="5" w:tplc="CC465192">
      <w:start w:val="1"/>
      <w:numFmt w:val="decimal"/>
      <w:lvlText w:val="%6)"/>
      <w:lvlJc w:val="left"/>
      <w:pPr>
        <w:ind w:left="720" w:hanging="360"/>
      </w:pPr>
    </w:lvl>
    <w:lvl w:ilvl="6" w:tplc="A64AD6A2">
      <w:start w:val="1"/>
      <w:numFmt w:val="decimal"/>
      <w:lvlText w:val="%7)"/>
      <w:lvlJc w:val="left"/>
      <w:pPr>
        <w:ind w:left="720" w:hanging="360"/>
      </w:pPr>
    </w:lvl>
    <w:lvl w:ilvl="7" w:tplc="96A8506C">
      <w:start w:val="1"/>
      <w:numFmt w:val="decimal"/>
      <w:lvlText w:val="%8)"/>
      <w:lvlJc w:val="left"/>
      <w:pPr>
        <w:ind w:left="720" w:hanging="360"/>
      </w:pPr>
    </w:lvl>
    <w:lvl w:ilvl="8" w:tplc="923A23C6">
      <w:start w:val="1"/>
      <w:numFmt w:val="decimal"/>
      <w:lvlText w:val="%9)"/>
      <w:lvlJc w:val="left"/>
      <w:pPr>
        <w:ind w:left="720" w:hanging="360"/>
      </w:pPr>
    </w:lvl>
  </w:abstractNum>
  <w:num w:numId="1" w16cid:durableId="502621388">
    <w:abstractNumId w:val="0"/>
  </w:num>
  <w:num w:numId="2" w16cid:durableId="19252138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592676">
    <w:abstractNumId w:val="1"/>
  </w:num>
  <w:num w:numId="4" w16cid:durableId="4982760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6F"/>
    <w:rsid w:val="0010626F"/>
    <w:rsid w:val="00204D4F"/>
    <w:rsid w:val="003F5369"/>
    <w:rsid w:val="00883B15"/>
    <w:rsid w:val="00AD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F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autoRedefine/>
    <w:uiPriority w:val="9"/>
    <w:qFormat/>
    <w:rsid w:val="002A4D09"/>
    <w:pPr>
      <w:keepNext/>
      <w:numPr>
        <w:numId w:val="1"/>
      </w:numPr>
      <w:jc w:val="center"/>
      <w:outlineLvl w:val="0"/>
    </w:pPr>
    <w:rPr>
      <w:b/>
      <w:bCs/>
      <w:caps/>
      <w:szCs w:val="20"/>
    </w:rPr>
  </w:style>
  <w:style w:type="paragraph" w:styleId="Heading2">
    <w:name w:val="heading 2"/>
    <w:basedOn w:val="Normal"/>
    <w:next w:val="Normal"/>
    <w:link w:val="Heading2Char"/>
    <w:autoRedefine/>
    <w:uiPriority w:val="9"/>
    <w:qFormat/>
    <w:rsid w:val="00153E77"/>
    <w:pPr>
      <w:keepNext/>
      <w:numPr>
        <w:ilvl w:val="1"/>
        <w:numId w:val="1"/>
      </w:numPr>
      <w:outlineLvl w:val="1"/>
    </w:pPr>
    <w:rPr>
      <w:i/>
      <w:iCs/>
      <w:szCs w:val="20"/>
    </w:rPr>
  </w:style>
  <w:style w:type="paragraph" w:styleId="Heading3">
    <w:name w:val="heading 3"/>
    <w:basedOn w:val="Normal"/>
    <w:next w:val="Normal"/>
    <w:link w:val="Heading3Char"/>
    <w:autoRedefine/>
    <w:uiPriority w:val="9"/>
    <w:qFormat/>
    <w:rsid w:val="000400D3"/>
    <w:pPr>
      <w:keepNext/>
      <w:keepLines/>
      <w:numPr>
        <w:ilvl w:val="2"/>
        <w:numId w:val="1"/>
      </w:numPr>
      <w:ind w:left="1440"/>
      <w:outlineLvl w:val="2"/>
    </w:pPr>
    <w:rPr>
      <w:rFonts w:eastAsia="Times New Roman"/>
      <w:i/>
      <w:szCs w:val="24"/>
    </w:rPr>
  </w:style>
  <w:style w:type="paragraph" w:styleId="Heading4">
    <w:name w:val="heading 4"/>
    <w:basedOn w:val="Normal"/>
    <w:next w:val="Normal"/>
    <w:link w:val="Heading4Char"/>
    <w:uiPriority w:val="9"/>
    <w:unhideWhenUsed/>
    <w:qFormat/>
    <w:rsid w:val="00711F3E"/>
    <w:pPr>
      <w:keepNext/>
      <w:keepLines/>
      <w:numPr>
        <w:ilvl w:val="3"/>
        <w:numId w:val="1"/>
      </w:numPr>
      <w:spacing w:before="40"/>
      <w:outlineLvl w:val="3"/>
    </w:pPr>
    <w:rPr>
      <w:rFonts w:eastAsia="Times New Roman"/>
      <w:iCs/>
      <w:szCs w:val="20"/>
    </w:rPr>
  </w:style>
  <w:style w:type="paragraph" w:styleId="Heading5">
    <w:name w:val="heading 5"/>
    <w:basedOn w:val="Normal"/>
    <w:next w:val="Normal"/>
    <w:link w:val="Heading5Char"/>
    <w:uiPriority w:val="9"/>
    <w:unhideWhenUsed/>
    <w:qFormat/>
    <w:rsid w:val="00972458"/>
    <w:pPr>
      <w:keepNext/>
      <w:widowControl w:val="0"/>
      <w:spacing w:line="240" w:lineRule="auto"/>
      <w:outlineLvl w:val="4"/>
    </w:pPr>
    <w:rPr>
      <w:b/>
      <w:color w:val="FF0000"/>
      <w:sz w:val="32"/>
      <w:szCs w:val="32"/>
    </w:rPr>
  </w:style>
  <w:style w:type="paragraph" w:styleId="Heading6">
    <w:name w:val="heading 6"/>
    <w:basedOn w:val="Normal"/>
    <w:next w:val="Normal"/>
    <w:link w:val="Heading6Char"/>
    <w:uiPriority w:val="9"/>
    <w:semiHidden/>
    <w:unhideWhenUsed/>
    <w:qFormat/>
    <w:rsid w:val="008B4EDE"/>
    <w:pPr>
      <w:spacing w:before="240" w:after="60"/>
      <w:outlineLvl w:val="5"/>
    </w:pPr>
    <w:rPr>
      <w:rFonts w:asciiTheme="minorHAnsi" w:eastAsiaTheme="minorEastAsia" w:hAnsiTheme="minorHAnsi" w:cstheme="min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4D09"/>
    <w:rPr>
      <w:rFonts w:ascii="Century Schoolbook" w:hAnsi="Century Schoolbook"/>
      <w:b/>
      <w:bCs/>
      <w:caps/>
      <w:sz w:val="26"/>
    </w:rPr>
  </w:style>
  <w:style w:type="character" w:customStyle="1" w:styleId="Heading2Char">
    <w:name w:val="Heading 2 Char"/>
    <w:link w:val="Heading2"/>
    <w:uiPriority w:val="9"/>
    <w:rsid w:val="00153E77"/>
    <w:rPr>
      <w:rFonts w:ascii="Century Schoolbook" w:hAnsi="Century Schoolbook"/>
      <w:i/>
      <w:iCs/>
      <w:sz w:val="26"/>
    </w:rPr>
  </w:style>
  <w:style w:type="character" w:customStyle="1" w:styleId="Heading3Char">
    <w:name w:val="Heading 3 Char"/>
    <w:link w:val="Heading3"/>
    <w:uiPriority w:val="9"/>
    <w:rsid w:val="000400D3"/>
    <w:rPr>
      <w:rFonts w:ascii="Century Schoolbook" w:eastAsia="Times New Roman" w:hAnsi="Century Schoolbook"/>
      <w:i/>
      <w:sz w:val="26"/>
      <w:szCs w:val="24"/>
    </w:rPr>
  </w:style>
  <w:style w:type="character" w:customStyle="1" w:styleId="Heading4Char">
    <w:name w:val="Heading 4 Char"/>
    <w:link w:val="Heading4"/>
    <w:uiPriority w:val="9"/>
    <w:rsid w:val="00711F3E"/>
    <w:rPr>
      <w:rFonts w:ascii="Century Schoolbook" w:eastAsia="Times New Roman" w:hAnsi="Century Schoolbook"/>
      <w:iCs/>
      <w:sz w:val="26"/>
    </w:rPr>
  </w:style>
  <w:style w:type="paragraph" w:styleId="Footer">
    <w:name w:val="footer"/>
    <w:basedOn w:val="Normal"/>
    <w:link w:val="FooterChar"/>
    <w:autoRedefine/>
    <w:uiPriority w:val="99"/>
    <w:unhideWhenUsed/>
    <w:rsid w:val="007945CE"/>
    <w:pPr>
      <w:keepNext/>
    </w:pPr>
    <w:rPr>
      <w:bCs/>
      <w:szCs w:val="20"/>
    </w:rPr>
  </w:style>
  <w:style w:type="character" w:customStyle="1" w:styleId="FooterChar">
    <w:name w:val="Footer Char"/>
    <w:link w:val="Footer"/>
    <w:uiPriority w:val="99"/>
    <w:rsid w:val="007945CE"/>
    <w:rPr>
      <w:rFonts w:ascii="Century Schoolbook" w:hAnsi="Century Schoolbook"/>
      <w:bCs/>
      <w:sz w:val="26"/>
    </w:rPr>
  </w:style>
  <w:style w:type="character" w:styleId="FootnoteReference">
    <w:name w:val="footnote reference"/>
    <w:uiPriority w:val="99"/>
    <w:qFormat/>
    <w:rsid w:val="00711F3E"/>
    <w:rPr>
      <w:rFonts w:ascii="Century Schoolbook" w:hAnsi="Century Schoolbook"/>
      <w:b w:val="0"/>
      <w:i w:val="0"/>
      <w:dstrike w:val="0"/>
      <w:position w:val="0"/>
      <w:sz w:val="26"/>
      <w:vertAlign w:val="superscript"/>
    </w:rPr>
  </w:style>
  <w:style w:type="paragraph" w:styleId="FootnoteText">
    <w:name w:val="footnote text"/>
    <w:basedOn w:val="Normal"/>
    <w:link w:val="FootnoteTextChar"/>
    <w:autoRedefine/>
    <w:uiPriority w:val="99"/>
    <w:qFormat/>
    <w:rsid w:val="00742FAE"/>
    <w:pPr>
      <w:spacing w:after="120" w:line="240" w:lineRule="auto"/>
    </w:pPr>
    <w:rPr>
      <w:szCs w:val="20"/>
    </w:rPr>
  </w:style>
  <w:style w:type="character" w:customStyle="1" w:styleId="FootnoteTextChar">
    <w:name w:val="Footnote Text Char"/>
    <w:link w:val="FootnoteText"/>
    <w:uiPriority w:val="99"/>
    <w:rsid w:val="00742FAE"/>
    <w:rPr>
      <w:rFonts w:ascii="Century Schoolbook" w:hAnsi="Century Schoolbook"/>
      <w:sz w:val="26"/>
    </w:rPr>
  </w:style>
  <w:style w:type="paragraph" w:styleId="Header">
    <w:name w:val="header"/>
    <w:basedOn w:val="Normal"/>
    <w:link w:val="HeaderChar"/>
    <w:uiPriority w:val="99"/>
    <w:unhideWhenUsed/>
    <w:rsid w:val="00CE1A66"/>
    <w:pPr>
      <w:tabs>
        <w:tab w:val="center" w:pos="4680"/>
        <w:tab w:val="right" w:pos="9360"/>
      </w:tabs>
    </w:pPr>
  </w:style>
  <w:style w:type="character" w:customStyle="1" w:styleId="HeaderChar">
    <w:name w:val="Header Char"/>
    <w:link w:val="Header"/>
    <w:uiPriority w:val="99"/>
    <w:rsid w:val="00CE1A66"/>
    <w:rPr>
      <w:rFonts w:ascii="Century Schoolbook" w:hAnsi="Century Schoolbook"/>
      <w:sz w:val="26"/>
      <w:szCs w:val="22"/>
    </w:rPr>
  </w:style>
  <w:style w:type="character" w:styleId="PageNumber">
    <w:name w:val="page number"/>
    <w:uiPriority w:val="99"/>
    <w:semiHidden/>
    <w:unhideWhenUsed/>
    <w:rsid w:val="00AB3359"/>
  </w:style>
  <w:style w:type="paragraph" w:styleId="BalloonText">
    <w:name w:val="Balloon Text"/>
    <w:basedOn w:val="Normal"/>
    <w:link w:val="BalloonTextChar"/>
    <w:uiPriority w:val="99"/>
    <w:semiHidden/>
    <w:unhideWhenUsed/>
    <w:rsid w:val="00DE6A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17"/>
    <w:rPr>
      <w:rFonts w:ascii="Segoe UI" w:hAnsi="Segoe UI" w:cs="Segoe UI"/>
      <w:sz w:val="18"/>
      <w:szCs w:val="18"/>
    </w:rPr>
  </w:style>
  <w:style w:type="character" w:styleId="CommentReference">
    <w:name w:val="annotation reference"/>
    <w:basedOn w:val="DefaultParagraphFont"/>
    <w:uiPriority w:val="99"/>
    <w:semiHidden/>
    <w:unhideWhenUsed/>
    <w:rsid w:val="00D50B92"/>
    <w:rPr>
      <w:sz w:val="16"/>
      <w:szCs w:val="16"/>
    </w:rPr>
  </w:style>
  <w:style w:type="paragraph" w:styleId="CommentText">
    <w:name w:val="annotation text"/>
    <w:basedOn w:val="Normal"/>
    <w:link w:val="CommentTextChar"/>
    <w:uiPriority w:val="99"/>
    <w:unhideWhenUsed/>
    <w:rsid w:val="00D50B92"/>
    <w:rPr>
      <w:sz w:val="20"/>
      <w:szCs w:val="20"/>
    </w:rPr>
  </w:style>
  <w:style w:type="character" w:customStyle="1" w:styleId="CommentTextChar">
    <w:name w:val="Comment Text Char"/>
    <w:basedOn w:val="DefaultParagraphFont"/>
    <w:link w:val="CommentText"/>
    <w:uiPriority w:val="99"/>
    <w:rsid w:val="00D50B92"/>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D50B92"/>
    <w:rPr>
      <w:b/>
      <w:bCs/>
    </w:rPr>
  </w:style>
  <w:style w:type="character" w:customStyle="1" w:styleId="CommentSubjectChar">
    <w:name w:val="Comment Subject Char"/>
    <w:basedOn w:val="CommentTextChar"/>
    <w:link w:val="CommentSubject"/>
    <w:uiPriority w:val="99"/>
    <w:semiHidden/>
    <w:rsid w:val="00D50B92"/>
    <w:rPr>
      <w:rFonts w:ascii="Century Schoolbook" w:hAnsi="Century Schoolbook"/>
      <w:b/>
      <w:bCs/>
    </w:rPr>
  </w:style>
  <w:style w:type="paragraph" w:styleId="Revision">
    <w:name w:val="Revision"/>
    <w:hidden/>
    <w:uiPriority w:val="99"/>
    <w:semiHidden/>
    <w:rsid w:val="00D50B92"/>
    <w:rPr>
      <w:rFonts w:ascii="Century Schoolbook" w:hAnsi="Century Schoolbook"/>
      <w:sz w:val="26"/>
      <w:szCs w:val="22"/>
    </w:rPr>
  </w:style>
  <w:style w:type="character" w:customStyle="1" w:styleId="Heading6Char">
    <w:name w:val="Heading 6 Char"/>
    <w:basedOn w:val="DefaultParagraphFont"/>
    <w:link w:val="Heading6"/>
    <w:uiPriority w:val="9"/>
    <w:semiHidden/>
    <w:rsid w:val="008B4EDE"/>
    <w:rPr>
      <w:rFonts w:asciiTheme="minorHAnsi" w:eastAsiaTheme="minorEastAsia" w:hAnsiTheme="minorHAnsi" w:cstheme="minorBidi"/>
      <w:b/>
      <w:bCs/>
      <w:sz w:val="22"/>
      <w:szCs w:val="22"/>
    </w:rPr>
  </w:style>
  <w:style w:type="table" w:styleId="TableGrid">
    <w:name w:val="Table Grid"/>
    <w:basedOn w:val="TableNormal"/>
    <w:rsid w:val="008B4EDE"/>
    <w:rPr>
      <w:rFonts w:ascii="Century Schoolbook" w:eastAsia="Times New Roman" w:hAnsi="Century Schoolbook"/>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13401"/>
    <w:pPr>
      <w:spacing w:after="120"/>
    </w:pPr>
  </w:style>
  <w:style w:type="character" w:customStyle="1" w:styleId="BodyTextChar">
    <w:name w:val="Body Text Char"/>
    <w:basedOn w:val="DefaultParagraphFont"/>
    <w:link w:val="BodyText"/>
    <w:uiPriority w:val="99"/>
    <w:semiHidden/>
    <w:rsid w:val="00613401"/>
    <w:rPr>
      <w:rFonts w:ascii="Century Schoolbook" w:hAnsi="Century Schoolbook"/>
      <w:sz w:val="26"/>
      <w:szCs w:val="22"/>
    </w:rPr>
  </w:style>
  <w:style w:type="character" w:styleId="Hyperlink">
    <w:name w:val="Hyperlink"/>
    <w:basedOn w:val="DefaultParagraphFont"/>
    <w:uiPriority w:val="99"/>
    <w:unhideWhenUsed/>
    <w:rsid w:val="00257409"/>
    <w:rPr>
      <w:color w:val="0563C1" w:themeColor="hyperlink"/>
      <w:u w:val="single"/>
    </w:rPr>
  </w:style>
  <w:style w:type="character" w:customStyle="1" w:styleId="UnresolvedMention1">
    <w:name w:val="Unresolved Mention1"/>
    <w:basedOn w:val="DefaultParagraphFont"/>
    <w:uiPriority w:val="99"/>
    <w:semiHidden/>
    <w:unhideWhenUsed/>
    <w:rsid w:val="00257409"/>
    <w:rPr>
      <w:color w:val="605E5C"/>
      <w:shd w:val="clear" w:color="auto" w:fill="E1DFDD"/>
    </w:rPr>
  </w:style>
  <w:style w:type="paragraph" w:styleId="BodyTextIndent">
    <w:name w:val="Body Text Indent"/>
    <w:basedOn w:val="Normal"/>
    <w:link w:val="BodyTextIndentChar"/>
    <w:uiPriority w:val="99"/>
    <w:unhideWhenUsed/>
    <w:rsid w:val="00890DCE"/>
    <w:pPr>
      <w:ind w:firstLine="720"/>
    </w:pPr>
  </w:style>
  <w:style w:type="character" w:customStyle="1" w:styleId="BodyTextIndentChar">
    <w:name w:val="Body Text Indent Char"/>
    <w:basedOn w:val="DefaultParagraphFont"/>
    <w:link w:val="BodyTextIndent"/>
    <w:uiPriority w:val="99"/>
    <w:rsid w:val="00890DCE"/>
    <w:rPr>
      <w:rFonts w:ascii="Century Schoolbook" w:hAnsi="Century Schoolbook"/>
      <w:sz w:val="26"/>
      <w:szCs w:val="22"/>
    </w:rPr>
  </w:style>
  <w:style w:type="table" w:customStyle="1" w:styleId="TableGrid1">
    <w:name w:val="Table Grid1"/>
    <w:basedOn w:val="TableNormal"/>
    <w:next w:val="TableGrid"/>
    <w:rsid w:val="00045E1F"/>
    <w:rPr>
      <w:rFonts w:ascii="Century Schoolbook" w:eastAsia="Times New Roman" w:hAnsi="Century Schoolbook"/>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link w:val="BodyText2Char"/>
    <w:rsid w:val="00547575"/>
    <w:pPr>
      <w:pBdr>
        <w:top w:val="single" w:sz="4" w:space="0" w:color="000000"/>
        <w:left w:val="single" w:sz="4" w:space="0" w:color="000000"/>
        <w:bottom w:val="single" w:sz="4" w:space="0" w:color="000000"/>
        <w:right w:val="single" w:sz="4" w:space="0" w:color="000000"/>
        <w:between w:val="nil"/>
        <w:bar w:val="nil"/>
      </w:pBdr>
      <w:spacing w:line="140" w:lineRule="exact"/>
      <w:jc w:val="both"/>
    </w:pPr>
    <w:rPr>
      <w:rFonts w:ascii="Arial" w:eastAsia="Arial Unicode MS" w:hAnsi="Arial" w:cs="Arial Unicode MS"/>
      <w:b/>
      <w:bCs/>
      <w:color w:val="000000"/>
      <w:sz w:val="16"/>
      <w:szCs w:val="16"/>
      <w:u w:color="000000"/>
      <w:bdr w:val="nil"/>
    </w:rPr>
  </w:style>
  <w:style w:type="character" w:customStyle="1" w:styleId="BodyText2Char">
    <w:name w:val="Body Text 2 Char"/>
    <w:basedOn w:val="DefaultParagraphFont"/>
    <w:link w:val="BodyText2"/>
    <w:rsid w:val="00547575"/>
    <w:rPr>
      <w:rFonts w:ascii="Arial" w:eastAsia="Arial Unicode MS" w:hAnsi="Arial" w:cs="Arial Unicode MS"/>
      <w:b/>
      <w:bCs/>
      <w:color w:val="000000"/>
      <w:sz w:val="16"/>
      <w:szCs w:val="16"/>
      <w:u w:color="000000"/>
      <w:bdr w:val="nil"/>
    </w:rPr>
  </w:style>
  <w:style w:type="character" w:customStyle="1" w:styleId="Heading5Char">
    <w:name w:val="Heading 5 Char"/>
    <w:basedOn w:val="DefaultParagraphFont"/>
    <w:link w:val="Heading5"/>
    <w:uiPriority w:val="9"/>
    <w:rsid w:val="00972458"/>
    <w:rPr>
      <w:rFonts w:ascii="Century Schoolbook" w:hAnsi="Century Schoolbook"/>
      <w:b/>
      <w:color w:val="FF0000"/>
      <w:sz w:val="32"/>
      <w:szCs w:val="32"/>
    </w:rPr>
  </w:style>
  <w:style w:type="paragraph" w:styleId="NormalWeb">
    <w:name w:val="Normal (Web)"/>
    <w:basedOn w:val="Normal"/>
    <w:uiPriority w:val="99"/>
    <w:semiHidden/>
    <w:unhideWhenUsed/>
    <w:rsid w:val="00843927"/>
    <w:pPr>
      <w:spacing w:before="100" w:beforeAutospacing="1" w:after="100" w:afterAutospacing="1" w:line="240" w:lineRule="auto"/>
    </w:pPr>
    <w:rPr>
      <w:rFonts w:ascii="Times New Roman" w:eastAsia="Times New Roman" w:hAnsi="Times New Roman"/>
      <w:sz w:val="24"/>
      <w:szCs w:val="24"/>
    </w:rPr>
  </w:style>
  <w:style w:type="character" w:customStyle="1" w:styleId="ac">
    <w:name w:val="ac"/>
    <w:basedOn w:val="DefaultParagraphFont"/>
    <w:rsid w:val="0084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7699</Words>
  <Characters>38002</Characters>
  <Application>Microsoft Office Word</Application>
  <DocSecurity>0</DocSecurity>
  <Lines>810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2024-01-12T23:24:00Z</dcterms:created>
  <dcterms:modified xsi:type="dcterms:W3CDTF">2024-01-12T23:24:00Z</dcterms:modified>
  <cp:category/>
</cp:coreProperties>
</file>