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C9CC" w14:textId="55BBCCA9" w:rsidR="00D60E0F" w:rsidRPr="000621A8" w:rsidRDefault="000E2DAD" w:rsidP="00126788">
      <w:pPr>
        <w:spacing w:line="240" w:lineRule="auto"/>
        <w:rPr>
          <w:sz w:val="20"/>
          <w:szCs w:val="20"/>
        </w:rPr>
      </w:pPr>
      <w:r>
        <w:rPr>
          <w:sz w:val="20"/>
          <w:szCs w:val="20"/>
        </w:rPr>
        <w:t>Filed 2</w:t>
      </w:r>
      <w:r w:rsidR="00B231CB">
        <w:rPr>
          <w:sz w:val="20"/>
          <w:szCs w:val="20"/>
        </w:rPr>
        <w:t>/</w:t>
      </w:r>
      <w:r>
        <w:rPr>
          <w:sz w:val="20"/>
          <w:szCs w:val="20"/>
        </w:rPr>
        <w:t>28</w:t>
      </w:r>
      <w:r w:rsidR="00B231CB">
        <w:rPr>
          <w:sz w:val="20"/>
          <w:szCs w:val="20"/>
        </w:rPr>
        <w:t>/</w:t>
      </w:r>
      <w:r>
        <w:rPr>
          <w:sz w:val="20"/>
          <w:szCs w:val="20"/>
        </w:rPr>
        <w:t>24</w:t>
      </w:r>
    </w:p>
    <w:p w14:paraId="1470DF07" w14:textId="3D6D80E4" w:rsidR="00126788" w:rsidRDefault="00351972" w:rsidP="00126788">
      <w:pPr>
        <w:spacing w:line="240" w:lineRule="auto"/>
        <w:jc w:val="center"/>
        <w:rPr>
          <w:b/>
        </w:rPr>
      </w:pPr>
      <w:r>
        <w:rPr>
          <w:b/>
        </w:rPr>
        <w:t>CERTIFIED FOR PUBLICATION</w:t>
      </w:r>
    </w:p>
    <w:p w14:paraId="5585A5E3" w14:textId="77777777" w:rsidR="00126788" w:rsidRDefault="00126788" w:rsidP="00126788">
      <w:pPr>
        <w:spacing w:line="240" w:lineRule="auto"/>
        <w:jc w:val="center"/>
        <w:rPr>
          <w:b/>
        </w:rPr>
      </w:pPr>
    </w:p>
    <w:p w14:paraId="5B516814" w14:textId="5D12BFF9" w:rsidR="00126788" w:rsidRDefault="00126788" w:rsidP="00126788">
      <w:pPr>
        <w:spacing w:line="240" w:lineRule="auto"/>
        <w:jc w:val="center"/>
      </w:pPr>
      <w:r>
        <w:t>IN THE COURT OF APPEAL OF THE STATE OF CALIFORNIA</w:t>
      </w:r>
    </w:p>
    <w:p w14:paraId="5DDD6506" w14:textId="77777777" w:rsidR="00126788" w:rsidRDefault="00126788" w:rsidP="00126788">
      <w:pPr>
        <w:spacing w:line="240" w:lineRule="auto"/>
        <w:jc w:val="center"/>
      </w:pPr>
    </w:p>
    <w:p w14:paraId="7F164EC3" w14:textId="15D89C75" w:rsidR="00126788" w:rsidRDefault="00126788" w:rsidP="00126788">
      <w:pPr>
        <w:spacing w:line="240" w:lineRule="auto"/>
        <w:jc w:val="center"/>
      </w:pPr>
      <w:r>
        <w:t>SECOND APPELLATE DISTRICT</w:t>
      </w:r>
    </w:p>
    <w:p w14:paraId="69EEC5AE" w14:textId="77777777" w:rsidR="00126788" w:rsidRDefault="00126788" w:rsidP="00126788">
      <w:pPr>
        <w:spacing w:line="240" w:lineRule="auto"/>
        <w:jc w:val="center"/>
      </w:pPr>
    </w:p>
    <w:p w14:paraId="2F9DBB23" w14:textId="5120ED2E" w:rsidR="00126788" w:rsidRDefault="00126788" w:rsidP="00126788">
      <w:pPr>
        <w:spacing w:line="240" w:lineRule="auto"/>
        <w:jc w:val="center"/>
      </w:pPr>
      <w:r>
        <w:t>DIVISION SIX</w:t>
      </w:r>
    </w:p>
    <w:p w14:paraId="3377B7DB" w14:textId="77777777" w:rsidR="00126788" w:rsidRDefault="00126788" w:rsidP="00126788">
      <w:pPr>
        <w:spacing w:line="240" w:lineRule="auto"/>
        <w:jc w:val="center"/>
      </w:pPr>
    </w:p>
    <w:p w14:paraId="11F0599D" w14:textId="77777777" w:rsidR="00126788" w:rsidRDefault="00126788" w:rsidP="00126788">
      <w:pPr>
        <w:spacing w:line="240" w:lineRule="auto"/>
        <w:jc w:val="center"/>
      </w:pPr>
    </w:p>
    <w:tbl>
      <w:tblPr>
        <w:tblW w:w="0" w:type="auto"/>
        <w:tblLayout w:type="fixed"/>
        <w:tblLook w:val="0000" w:firstRow="0" w:lastRow="0" w:firstColumn="0" w:lastColumn="0" w:noHBand="0" w:noVBand="0"/>
      </w:tblPr>
      <w:tblGrid>
        <w:gridCol w:w="3960"/>
        <w:gridCol w:w="3960"/>
      </w:tblGrid>
      <w:tr w:rsidR="00126788" w14:paraId="58CB8ADD" w14:textId="77777777" w:rsidTr="00126788">
        <w:tc>
          <w:tcPr>
            <w:tcW w:w="3960" w:type="dxa"/>
            <w:tcBorders>
              <w:bottom w:val="single" w:sz="4" w:space="0" w:color="auto"/>
              <w:right w:val="single" w:sz="4" w:space="0" w:color="auto"/>
            </w:tcBorders>
            <w:shd w:val="clear" w:color="auto" w:fill="auto"/>
          </w:tcPr>
          <w:p w14:paraId="7620D788" w14:textId="77777777" w:rsidR="00126788" w:rsidRDefault="00126788" w:rsidP="00126788">
            <w:pPr>
              <w:spacing w:line="240" w:lineRule="auto"/>
            </w:pPr>
            <w:r>
              <w:t>THE PEOPLE,</w:t>
            </w:r>
          </w:p>
          <w:p w14:paraId="51176B0A" w14:textId="77777777" w:rsidR="00126788" w:rsidRDefault="00126788" w:rsidP="00126788">
            <w:pPr>
              <w:spacing w:line="240" w:lineRule="auto"/>
            </w:pPr>
          </w:p>
          <w:p w14:paraId="764CD3AB" w14:textId="77777777" w:rsidR="00126788" w:rsidRDefault="00126788" w:rsidP="00126788">
            <w:pPr>
              <w:spacing w:line="240" w:lineRule="auto"/>
            </w:pPr>
            <w:r>
              <w:t xml:space="preserve">    Plaintiff and Respondent,</w:t>
            </w:r>
          </w:p>
          <w:p w14:paraId="386AAA63" w14:textId="77777777" w:rsidR="00126788" w:rsidRDefault="00126788" w:rsidP="00126788">
            <w:pPr>
              <w:spacing w:line="240" w:lineRule="auto"/>
            </w:pPr>
          </w:p>
          <w:p w14:paraId="35A4D893" w14:textId="77777777" w:rsidR="00126788" w:rsidRDefault="00126788" w:rsidP="00126788">
            <w:pPr>
              <w:spacing w:line="240" w:lineRule="auto"/>
            </w:pPr>
            <w:r>
              <w:t>v.</w:t>
            </w:r>
          </w:p>
          <w:p w14:paraId="1A811A11" w14:textId="77777777" w:rsidR="00126788" w:rsidRDefault="00126788" w:rsidP="00126788">
            <w:pPr>
              <w:spacing w:line="240" w:lineRule="auto"/>
            </w:pPr>
          </w:p>
          <w:p w14:paraId="40E043B6" w14:textId="77777777" w:rsidR="00126788" w:rsidRDefault="00126788" w:rsidP="00126788">
            <w:pPr>
              <w:spacing w:line="240" w:lineRule="auto"/>
            </w:pPr>
            <w:r>
              <w:t>JESSE JAMES HOLLYWOOD,</w:t>
            </w:r>
          </w:p>
          <w:p w14:paraId="6E03EE7D" w14:textId="77777777" w:rsidR="00126788" w:rsidRDefault="00126788" w:rsidP="00126788">
            <w:pPr>
              <w:spacing w:line="240" w:lineRule="auto"/>
            </w:pPr>
          </w:p>
          <w:p w14:paraId="72AA9B7A" w14:textId="77777777" w:rsidR="00126788" w:rsidRDefault="00126788" w:rsidP="00126788">
            <w:pPr>
              <w:spacing w:line="240" w:lineRule="auto"/>
            </w:pPr>
            <w:r>
              <w:t xml:space="preserve">    Defendant and Appellant.</w:t>
            </w:r>
          </w:p>
          <w:p w14:paraId="3030EDD3" w14:textId="27E12DDE" w:rsidR="00126788" w:rsidRDefault="00126788" w:rsidP="00126788">
            <w:pPr>
              <w:spacing w:line="240" w:lineRule="auto"/>
            </w:pPr>
          </w:p>
        </w:tc>
        <w:tc>
          <w:tcPr>
            <w:tcW w:w="3960" w:type="dxa"/>
            <w:tcBorders>
              <w:left w:val="single" w:sz="4" w:space="0" w:color="auto"/>
            </w:tcBorders>
            <w:shd w:val="clear" w:color="auto" w:fill="auto"/>
          </w:tcPr>
          <w:p w14:paraId="21A6D546" w14:textId="02AD5A9F" w:rsidR="00126788" w:rsidRDefault="00126788" w:rsidP="00126788">
            <w:pPr>
              <w:spacing w:line="240" w:lineRule="auto"/>
              <w:jc w:val="center"/>
            </w:pPr>
            <w:r>
              <w:t>2d Crim. No.</w:t>
            </w:r>
            <w:r w:rsidR="00EB553F">
              <w:t xml:space="preserve"> </w:t>
            </w:r>
            <w:r>
              <w:t>B323018</w:t>
            </w:r>
          </w:p>
          <w:p w14:paraId="56A81290" w14:textId="77777777" w:rsidR="00126788" w:rsidRDefault="00126788" w:rsidP="00126788">
            <w:pPr>
              <w:spacing w:line="240" w:lineRule="auto"/>
              <w:jc w:val="center"/>
            </w:pPr>
            <w:r>
              <w:t>(Super. Ct. No. 1014465)</w:t>
            </w:r>
          </w:p>
          <w:p w14:paraId="602078EA" w14:textId="08DCFF46" w:rsidR="00126788" w:rsidRDefault="00126788" w:rsidP="00126788">
            <w:pPr>
              <w:spacing w:line="240" w:lineRule="auto"/>
              <w:jc w:val="center"/>
            </w:pPr>
            <w:r>
              <w:t>(Santa Barbara County)</w:t>
            </w:r>
          </w:p>
        </w:tc>
      </w:tr>
    </w:tbl>
    <w:p w14:paraId="49BA3EF2" w14:textId="77777777" w:rsidR="00126788" w:rsidRDefault="00126788" w:rsidP="00126788">
      <w:pPr>
        <w:tabs>
          <w:tab w:val="left" w:pos="1440"/>
          <w:tab w:val="left" w:pos="2880"/>
          <w:tab w:val="left" w:pos="4320"/>
          <w:tab w:val="left" w:pos="5760"/>
          <w:tab w:val="left" w:pos="7200"/>
        </w:tabs>
        <w:spacing w:line="360" w:lineRule="auto"/>
      </w:pPr>
    </w:p>
    <w:p w14:paraId="6D451C9E" w14:textId="3743AFB1" w:rsidR="00C220C0" w:rsidRPr="00C220C0" w:rsidRDefault="00126788" w:rsidP="0046154E">
      <w:pPr>
        <w:tabs>
          <w:tab w:val="left" w:pos="720"/>
          <w:tab w:val="left" w:pos="1440"/>
          <w:tab w:val="left" w:pos="2880"/>
          <w:tab w:val="left" w:pos="4320"/>
          <w:tab w:val="left" w:pos="5760"/>
          <w:tab w:val="left" w:pos="7200"/>
        </w:tabs>
      </w:pPr>
      <w:r>
        <w:tab/>
      </w:r>
      <w:r w:rsidR="00C220C0">
        <w:t>“The fabric of the law will stretch only so far before it will unravel.”  (</w:t>
      </w:r>
      <w:r w:rsidR="00C220C0">
        <w:rPr>
          <w:i/>
          <w:iCs/>
        </w:rPr>
        <w:t xml:space="preserve">People v. Martin </w:t>
      </w:r>
      <w:r w:rsidR="00C220C0">
        <w:t>(2018) 26 Cal.App.5</w:t>
      </w:r>
      <w:r w:rsidR="00C220C0" w:rsidRPr="00C220C0">
        <w:t>th</w:t>
      </w:r>
      <w:r w:rsidR="00C220C0">
        <w:t xml:space="preserve"> 825, 828.)  </w:t>
      </w:r>
      <w:r w:rsidR="005F13A2">
        <w:t xml:space="preserve">Appellant seeks to stretch the newly enacted reduced murder penalties to his case.  It just will not stretch and the fabric unravels.  Leniency for a person who orders his </w:t>
      </w:r>
      <w:r w:rsidR="00E952A1">
        <w:t>cohorts to murder a 15-year-old child with a machine gun?  The child is dead and our answer is, no.</w:t>
      </w:r>
    </w:p>
    <w:p w14:paraId="27A98ECA" w14:textId="3EC64ADE" w:rsidR="006419A9" w:rsidRDefault="00C220C0" w:rsidP="00AF17D0">
      <w:pPr>
        <w:tabs>
          <w:tab w:val="left" w:pos="720"/>
          <w:tab w:val="left" w:pos="1440"/>
          <w:tab w:val="left" w:pos="2880"/>
          <w:tab w:val="left" w:pos="4320"/>
          <w:tab w:val="left" w:pos="5760"/>
          <w:tab w:val="left" w:pos="7200"/>
        </w:tabs>
        <w:rPr>
          <w:b/>
          <w:bCs/>
        </w:rPr>
      </w:pPr>
      <w:r>
        <w:tab/>
      </w:r>
      <w:r w:rsidR="00461B4B">
        <w:t>Jesse James Hollywood</w:t>
      </w:r>
      <w:r w:rsidR="00CB086B">
        <w:t xml:space="preserve"> </w:t>
      </w:r>
      <w:r w:rsidR="002F2A04">
        <w:t xml:space="preserve">appeals from the trial court’s </w:t>
      </w:r>
      <w:r w:rsidR="00351972">
        <w:t xml:space="preserve">denial of </w:t>
      </w:r>
      <w:r w:rsidR="00CB086B">
        <w:t xml:space="preserve">his petition for </w:t>
      </w:r>
      <w:r w:rsidR="00461B4B">
        <w:t>resentencing</w:t>
      </w:r>
      <w:r w:rsidR="00351972">
        <w:t xml:space="preserve">.  (Pen. Code, § </w:t>
      </w:r>
      <w:r w:rsidR="00544EF3">
        <w:t>1172.6</w:t>
      </w:r>
      <w:r w:rsidR="00351972">
        <w:t>.)</w:t>
      </w:r>
      <w:r w:rsidR="001D649E">
        <w:rPr>
          <w:rStyle w:val="FootnoteReference"/>
        </w:rPr>
        <w:footnoteReference w:id="1"/>
      </w:r>
      <w:r w:rsidR="001D649E">
        <w:t xml:space="preserve"> </w:t>
      </w:r>
      <w:r w:rsidR="00351972">
        <w:t xml:space="preserve"> </w:t>
      </w:r>
      <w:r w:rsidR="00290688">
        <w:t xml:space="preserve">He was previously </w:t>
      </w:r>
      <w:r w:rsidR="00092836">
        <w:t>convict</w:t>
      </w:r>
      <w:r w:rsidR="00290688">
        <w:t>ed</w:t>
      </w:r>
      <w:r w:rsidR="00092836">
        <w:t xml:space="preserve"> of </w:t>
      </w:r>
      <w:r w:rsidR="002A08F6">
        <w:t xml:space="preserve">first degree murder </w:t>
      </w:r>
      <w:r w:rsidR="0025737F">
        <w:t>with a</w:t>
      </w:r>
      <w:r w:rsidR="00BF7D3D">
        <w:t xml:space="preserve"> special </w:t>
      </w:r>
      <w:r w:rsidR="00BF7D3D">
        <w:lastRenderedPageBreak/>
        <w:t>circumstance finding that the murder occurred during the commission of a kidnapping</w:t>
      </w:r>
      <w:r w:rsidR="00544EF3">
        <w:t xml:space="preserve">. </w:t>
      </w:r>
      <w:r w:rsidR="002922F0">
        <w:t xml:space="preserve"> </w:t>
      </w:r>
      <w:r w:rsidR="00174BD7">
        <w:t xml:space="preserve">Appellant contends the trial court erred </w:t>
      </w:r>
      <w:r w:rsidR="00092836">
        <w:t>in summarily denying his petition</w:t>
      </w:r>
      <w:r w:rsidR="00CB086B">
        <w:t xml:space="preserve"> because the record of conviction did not conclusively establish that he aided the actual killer in the commission of </w:t>
      </w:r>
      <w:r w:rsidR="00290688">
        <w:t xml:space="preserve">the </w:t>
      </w:r>
      <w:r w:rsidR="00CB086B">
        <w:t>murder</w:t>
      </w:r>
      <w:r w:rsidR="00290688">
        <w:t xml:space="preserve">.  </w:t>
      </w:r>
      <w:r w:rsidR="001C27F6">
        <w:t xml:space="preserve">We affirm. </w:t>
      </w:r>
    </w:p>
    <w:p w14:paraId="5AC7744D" w14:textId="6D1B55BF" w:rsidR="00140029" w:rsidRDefault="002F2A04" w:rsidP="0079621B">
      <w:pPr>
        <w:tabs>
          <w:tab w:val="left" w:pos="720"/>
          <w:tab w:val="left" w:pos="1440"/>
          <w:tab w:val="left" w:pos="2880"/>
          <w:tab w:val="left" w:pos="4320"/>
          <w:tab w:val="left" w:pos="5760"/>
          <w:tab w:val="left" w:pos="7200"/>
        </w:tabs>
        <w:jc w:val="center"/>
      </w:pPr>
      <w:r>
        <w:rPr>
          <w:i/>
          <w:iCs/>
        </w:rPr>
        <w:t>Procedural</w:t>
      </w:r>
      <w:r w:rsidR="0079621B" w:rsidRPr="0066734D">
        <w:rPr>
          <w:i/>
          <w:iCs/>
        </w:rPr>
        <w:t xml:space="preserve"> Background</w:t>
      </w:r>
    </w:p>
    <w:p w14:paraId="40709B30" w14:textId="5832F2B3" w:rsidR="002F2A04" w:rsidRDefault="00BD45EE" w:rsidP="002F2A04">
      <w:pPr>
        <w:tabs>
          <w:tab w:val="left" w:pos="720"/>
          <w:tab w:val="left" w:pos="1440"/>
          <w:tab w:val="left" w:pos="2880"/>
          <w:tab w:val="left" w:pos="4320"/>
          <w:tab w:val="left" w:pos="5760"/>
          <w:tab w:val="left" w:pos="7200"/>
        </w:tabs>
      </w:pPr>
      <w:r>
        <w:tab/>
      </w:r>
      <w:r w:rsidR="000621A8">
        <w:t>Appellant</w:t>
      </w:r>
      <w:r w:rsidR="002F2A04">
        <w:t xml:space="preserve"> was convicted, by jury, of first degree murder (§§ 187, subd. (a), 189) and kidnapping (§ 207).  The jury found true the special circumstance allegation that the murder occurred during the commission of a kidnapping in violation of section 207 and with the intent to kill, within the meaning of section 190.2, subd. (a)(17)(B).  The jury also found true an allegation that a</w:t>
      </w:r>
      <w:r w:rsidR="00757E57">
        <w:t>ppellant’s co-</w:t>
      </w:r>
      <w:r w:rsidR="002F2A04">
        <w:t>principal</w:t>
      </w:r>
      <w:r w:rsidR="004B2353">
        <w:t xml:space="preserve"> </w:t>
      </w:r>
      <w:r w:rsidR="00757E57">
        <w:t>possessed a</w:t>
      </w:r>
      <w:r w:rsidR="002F2A04">
        <w:t>n assault weapon or machine gun</w:t>
      </w:r>
      <w:r w:rsidR="00FF55B4">
        <w:t xml:space="preserve"> during the commission of </w:t>
      </w:r>
      <w:r w:rsidR="00F26BAB">
        <w:t>the murder</w:t>
      </w:r>
      <w:r w:rsidR="002F2A04">
        <w:t xml:space="preserve">. </w:t>
      </w:r>
      <w:r w:rsidR="00F26BAB">
        <w:t xml:space="preserve"> </w:t>
      </w:r>
      <w:r w:rsidR="002F2A04">
        <w:t xml:space="preserve">(§ 12022, subd. (a)(2).)  </w:t>
      </w:r>
      <w:r w:rsidR="003124F4">
        <w:t xml:space="preserve">The People sought the death penalty, but the jury decided appellant should be sentenced to life without the possibility of parole (LWOP).  The trial court imposed a sentence of LWOP for the </w:t>
      </w:r>
      <w:r w:rsidR="000F37F5">
        <w:t xml:space="preserve">murder plus three years for the firearm enhancement.  The trial court also imposed a determinate term of eight years for the kidnapping. </w:t>
      </w:r>
    </w:p>
    <w:p w14:paraId="3AFE53FC" w14:textId="323303A4" w:rsidR="002F2A04" w:rsidRDefault="002F2A04" w:rsidP="002F2A04">
      <w:pPr>
        <w:tabs>
          <w:tab w:val="left" w:pos="720"/>
          <w:tab w:val="left" w:pos="1440"/>
          <w:tab w:val="left" w:pos="2880"/>
          <w:tab w:val="left" w:pos="4320"/>
          <w:tab w:val="left" w:pos="5760"/>
          <w:tab w:val="left" w:pos="7200"/>
        </w:tabs>
      </w:pPr>
      <w:r>
        <w:tab/>
        <w:t xml:space="preserve">We affirmed appellant’s conviction and sentence in an unpublished opinion.  </w:t>
      </w:r>
      <w:r w:rsidR="00DB280A">
        <w:rPr>
          <w:szCs w:val="26"/>
        </w:rPr>
        <w:t>We recited the People’s theory and the evidence which supports it.  Appellant denied ordering the murder but admitted to ownership of the murder weapon.</w:t>
      </w:r>
      <w:r w:rsidR="00DB280A" w:rsidRPr="00DB280A">
        <w:t xml:space="preserve"> </w:t>
      </w:r>
      <w:r w:rsidR="00DB280A">
        <w:t xml:space="preserve"> </w:t>
      </w:r>
      <w:r w:rsidR="00DB280A" w:rsidRPr="00C905DD">
        <w:t>(</w:t>
      </w:r>
      <w:r w:rsidR="00DB280A">
        <w:rPr>
          <w:i/>
          <w:iCs/>
          <w:szCs w:val="26"/>
        </w:rPr>
        <w:t>People v. H</w:t>
      </w:r>
      <w:r w:rsidR="00DB280A" w:rsidRPr="00C905DD">
        <w:rPr>
          <w:i/>
          <w:iCs/>
          <w:szCs w:val="26"/>
        </w:rPr>
        <w:t>ollywood</w:t>
      </w:r>
      <w:r w:rsidR="00DB280A">
        <w:rPr>
          <w:szCs w:val="26"/>
        </w:rPr>
        <w:t xml:space="preserve"> (Feb. 27, 2012, </w:t>
      </w:r>
      <w:r w:rsidR="00DB280A" w:rsidRPr="00C905DD">
        <w:rPr>
          <w:szCs w:val="26"/>
        </w:rPr>
        <w:t>B222453</w:t>
      </w:r>
      <w:r w:rsidR="00DB280A">
        <w:rPr>
          <w:szCs w:val="26"/>
        </w:rPr>
        <w:t>)</w:t>
      </w:r>
      <w:r w:rsidR="00C063E2">
        <w:rPr>
          <w:szCs w:val="26"/>
        </w:rPr>
        <w:t xml:space="preserve"> [nonpub</w:t>
      </w:r>
      <w:r w:rsidR="00ED5C83">
        <w:rPr>
          <w:szCs w:val="26"/>
        </w:rPr>
        <w:t>.</w:t>
      </w:r>
      <w:r w:rsidR="00C063E2">
        <w:rPr>
          <w:szCs w:val="26"/>
        </w:rPr>
        <w:t xml:space="preserve"> opn.].</w:t>
      </w:r>
      <w:r w:rsidR="00DB280A" w:rsidRPr="00C905DD">
        <w:rPr>
          <w:szCs w:val="26"/>
        </w:rPr>
        <w:t xml:space="preserve">) </w:t>
      </w:r>
      <w:r w:rsidR="00DB280A">
        <w:rPr>
          <w:szCs w:val="26"/>
        </w:rPr>
        <w:t xml:space="preserve"> </w:t>
      </w:r>
    </w:p>
    <w:p w14:paraId="0E21F4D1" w14:textId="77777777" w:rsidR="0040199B" w:rsidRDefault="002F2A04" w:rsidP="00DC37A6">
      <w:pPr>
        <w:pStyle w:val="FootnoteText"/>
        <w:spacing w:line="288" w:lineRule="auto"/>
        <w:rPr>
          <w:sz w:val="26"/>
          <w:szCs w:val="26"/>
        </w:rPr>
      </w:pPr>
      <w:r>
        <w:tab/>
      </w:r>
      <w:r w:rsidRPr="00DC37A6">
        <w:rPr>
          <w:sz w:val="26"/>
          <w:szCs w:val="26"/>
        </w:rPr>
        <w:t>In 2021, appellant petition</w:t>
      </w:r>
      <w:r w:rsidR="00DA5D14">
        <w:rPr>
          <w:sz w:val="26"/>
          <w:szCs w:val="26"/>
        </w:rPr>
        <w:t>ed</w:t>
      </w:r>
      <w:r w:rsidRPr="00DC37A6">
        <w:rPr>
          <w:sz w:val="26"/>
          <w:szCs w:val="26"/>
        </w:rPr>
        <w:t xml:space="preserve"> </w:t>
      </w:r>
      <w:r w:rsidR="00DB280A">
        <w:rPr>
          <w:sz w:val="26"/>
          <w:szCs w:val="26"/>
        </w:rPr>
        <w:t>for resentencing</w:t>
      </w:r>
      <w:r w:rsidRPr="00DC37A6">
        <w:rPr>
          <w:sz w:val="26"/>
          <w:szCs w:val="26"/>
        </w:rPr>
        <w:t xml:space="preserve"> pursuant to section 1172.6 (former section 1170.95).  The trial court appointed counsel to </w:t>
      </w:r>
      <w:r w:rsidR="00FB7FFD" w:rsidRPr="00DC37A6">
        <w:rPr>
          <w:sz w:val="26"/>
          <w:szCs w:val="26"/>
        </w:rPr>
        <w:t>represent him.</w:t>
      </w:r>
      <w:r w:rsidR="00A532B5" w:rsidRPr="00DC37A6">
        <w:rPr>
          <w:sz w:val="26"/>
          <w:szCs w:val="26"/>
        </w:rPr>
        <w:t xml:space="preserve">  </w:t>
      </w:r>
      <w:r w:rsidRPr="00DC37A6">
        <w:rPr>
          <w:sz w:val="26"/>
          <w:szCs w:val="26"/>
        </w:rPr>
        <w:t>After</w:t>
      </w:r>
      <w:r w:rsidR="003A0148" w:rsidRPr="00DC37A6">
        <w:rPr>
          <w:sz w:val="26"/>
          <w:szCs w:val="26"/>
        </w:rPr>
        <w:t xml:space="preserve"> </w:t>
      </w:r>
      <w:r w:rsidRPr="00DC37A6">
        <w:rPr>
          <w:sz w:val="26"/>
          <w:szCs w:val="26"/>
        </w:rPr>
        <w:t xml:space="preserve">reviewing </w:t>
      </w:r>
      <w:r w:rsidR="009D2FF6" w:rsidRPr="00DC37A6">
        <w:rPr>
          <w:sz w:val="26"/>
          <w:szCs w:val="26"/>
        </w:rPr>
        <w:t xml:space="preserve">the </w:t>
      </w:r>
      <w:r w:rsidRPr="00DC37A6">
        <w:rPr>
          <w:sz w:val="26"/>
          <w:szCs w:val="26"/>
        </w:rPr>
        <w:t>jury</w:t>
      </w:r>
      <w:r w:rsidR="002501A3" w:rsidRPr="00DC37A6">
        <w:rPr>
          <w:sz w:val="26"/>
          <w:szCs w:val="26"/>
        </w:rPr>
        <w:t xml:space="preserve"> instructions</w:t>
      </w:r>
      <w:r w:rsidR="0085057D" w:rsidRPr="00DC37A6">
        <w:rPr>
          <w:sz w:val="26"/>
          <w:szCs w:val="26"/>
        </w:rPr>
        <w:t xml:space="preserve"> </w:t>
      </w:r>
      <w:r w:rsidR="00A65743" w:rsidRPr="00DC37A6">
        <w:rPr>
          <w:sz w:val="26"/>
          <w:szCs w:val="26"/>
        </w:rPr>
        <w:t xml:space="preserve">and the jury’s </w:t>
      </w:r>
      <w:r w:rsidRPr="00DC37A6">
        <w:rPr>
          <w:sz w:val="26"/>
          <w:szCs w:val="26"/>
        </w:rPr>
        <w:t>special verdict form</w:t>
      </w:r>
      <w:r w:rsidR="00711FA0" w:rsidRPr="00DC37A6">
        <w:rPr>
          <w:sz w:val="26"/>
          <w:szCs w:val="26"/>
        </w:rPr>
        <w:t>s</w:t>
      </w:r>
      <w:r w:rsidR="0085057D" w:rsidRPr="00DC37A6">
        <w:rPr>
          <w:sz w:val="26"/>
          <w:szCs w:val="26"/>
        </w:rPr>
        <w:t xml:space="preserve">, the </w:t>
      </w:r>
      <w:r w:rsidRPr="00DC37A6">
        <w:rPr>
          <w:sz w:val="26"/>
          <w:szCs w:val="26"/>
        </w:rPr>
        <w:t xml:space="preserve">trial court </w:t>
      </w:r>
      <w:r w:rsidR="00711FA0" w:rsidRPr="00DC37A6">
        <w:rPr>
          <w:sz w:val="26"/>
          <w:szCs w:val="26"/>
        </w:rPr>
        <w:t xml:space="preserve">ruled that </w:t>
      </w:r>
      <w:r w:rsidR="00711FA0" w:rsidRPr="00DC37A6">
        <w:rPr>
          <w:sz w:val="26"/>
          <w:szCs w:val="26"/>
        </w:rPr>
        <w:lastRenderedPageBreak/>
        <w:t>a</w:t>
      </w:r>
      <w:r w:rsidRPr="00DC37A6">
        <w:rPr>
          <w:sz w:val="26"/>
          <w:szCs w:val="26"/>
        </w:rPr>
        <w:t xml:space="preserve">ppellant was not eligible for resentencing because the jury found he had the intent to kill during the commission of a kidnapping.  </w:t>
      </w:r>
    </w:p>
    <w:p w14:paraId="3AE962F8" w14:textId="11515760" w:rsidR="0040199B" w:rsidRDefault="0040199B" w:rsidP="0040199B">
      <w:pPr>
        <w:pStyle w:val="FootnoteText"/>
        <w:spacing w:line="288" w:lineRule="auto"/>
        <w:jc w:val="center"/>
        <w:rPr>
          <w:i/>
          <w:iCs/>
          <w:sz w:val="26"/>
          <w:szCs w:val="26"/>
        </w:rPr>
      </w:pPr>
      <w:r>
        <w:rPr>
          <w:i/>
          <w:iCs/>
          <w:sz w:val="26"/>
          <w:szCs w:val="26"/>
        </w:rPr>
        <w:t xml:space="preserve">Consideration of Evidence at the Prima Facie </w:t>
      </w:r>
    </w:p>
    <w:p w14:paraId="07A40300" w14:textId="23A60C1C" w:rsidR="0040199B" w:rsidRPr="0040199B" w:rsidRDefault="0040199B" w:rsidP="0040199B">
      <w:pPr>
        <w:pStyle w:val="FootnoteText"/>
        <w:spacing w:line="288" w:lineRule="auto"/>
        <w:jc w:val="center"/>
        <w:rPr>
          <w:i/>
          <w:iCs/>
          <w:sz w:val="26"/>
          <w:szCs w:val="26"/>
        </w:rPr>
      </w:pPr>
      <w:r>
        <w:rPr>
          <w:i/>
          <w:iCs/>
          <w:sz w:val="26"/>
          <w:szCs w:val="26"/>
        </w:rPr>
        <w:t>Or Stage One Hearing</w:t>
      </w:r>
    </w:p>
    <w:p w14:paraId="1F9AEB2A" w14:textId="15A3CF17" w:rsidR="005D07F9" w:rsidRDefault="0040199B" w:rsidP="00CA65CC">
      <w:pPr>
        <w:pStyle w:val="FootnoteText"/>
        <w:spacing w:line="288" w:lineRule="auto"/>
        <w:ind w:firstLine="720"/>
        <w:rPr>
          <w:sz w:val="26"/>
          <w:szCs w:val="26"/>
        </w:rPr>
      </w:pPr>
      <w:r>
        <w:rPr>
          <w:sz w:val="26"/>
          <w:szCs w:val="26"/>
        </w:rPr>
        <w:tab/>
      </w:r>
      <w:r w:rsidR="00DC37A6" w:rsidRPr="00DC37A6">
        <w:rPr>
          <w:sz w:val="26"/>
          <w:szCs w:val="26"/>
        </w:rPr>
        <w:t xml:space="preserve">The trial judge who ruled on the petition was the trial judge who presided at appellant’s jury trial.  </w:t>
      </w:r>
      <w:r w:rsidR="00C204FA">
        <w:rPr>
          <w:sz w:val="26"/>
          <w:szCs w:val="26"/>
        </w:rPr>
        <w:t>He wa</w:t>
      </w:r>
      <w:r w:rsidR="00AF17D0">
        <w:rPr>
          <w:sz w:val="26"/>
          <w:szCs w:val="26"/>
        </w:rPr>
        <w:t>s</w:t>
      </w:r>
      <w:r w:rsidR="00C204FA">
        <w:rPr>
          <w:sz w:val="26"/>
          <w:szCs w:val="26"/>
        </w:rPr>
        <w:t xml:space="preserve"> </w:t>
      </w:r>
      <w:r w:rsidR="008F7913">
        <w:rPr>
          <w:sz w:val="26"/>
          <w:szCs w:val="26"/>
        </w:rPr>
        <w:t>certainly</w:t>
      </w:r>
      <w:r w:rsidR="00C204FA">
        <w:rPr>
          <w:sz w:val="26"/>
          <w:szCs w:val="26"/>
        </w:rPr>
        <w:t xml:space="preserve"> aware of the facts and circumstances resulting in the victim’s death.</w:t>
      </w:r>
      <w:r w:rsidR="00DC37A6" w:rsidRPr="00DC37A6">
        <w:rPr>
          <w:sz w:val="26"/>
          <w:szCs w:val="26"/>
        </w:rPr>
        <w:t xml:space="preserve">  </w:t>
      </w:r>
      <w:r w:rsidR="00661120">
        <w:rPr>
          <w:sz w:val="26"/>
          <w:szCs w:val="26"/>
        </w:rPr>
        <w:t>There is no need to restate the facts</w:t>
      </w:r>
      <w:r w:rsidR="00AF17D0">
        <w:rPr>
          <w:sz w:val="26"/>
          <w:szCs w:val="26"/>
        </w:rPr>
        <w:t xml:space="preserve"> in detail</w:t>
      </w:r>
      <w:r w:rsidR="00661120">
        <w:rPr>
          <w:sz w:val="26"/>
          <w:szCs w:val="26"/>
        </w:rPr>
        <w:t xml:space="preserve">.  </w:t>
      </w:r>
      <w:r w:rsidR="00DC37A6" w:rsidRPr="00DC37A6">
        <w:rPr>
          <w:sz w:val="26"/>
          <w:szCs w:val="26"/>
        </w:rPr>
        <w:t xml:space="preserve">The Attorney General </w:t>
      </w:r>
      <w:r w:rsidR="000D4906">
        <w:rPr>
          <w:sz w:val="26"/>
          <w:szCs w:val="26"/>
        </w:rPr>
        <w:t xml:space="preserve">correctly </w:t>
      </w:r>
      <w:r w:rsidR="00DC37A6" w:rsidRPr="00DC37A6">
        <w:rPr>
          <w:sz w:val="26"/>
          <w:szCs w:val="26"/>
        </w:rPr>
        <w:t>describes the offense in two sentences:  “</w:t>
      </w:r>
      <w:r w:rsidR="009B41EE">
        <w:rPr>
          <w:sz w:val="26"/>
          <w:szCs w:val="26"/>
        </w:rPr>
        <w:t>[</w:t>
      </w:r>
      <w:r w:rsidR="00DC37A6" w:rsidRPr="00DC37A6">
        <w:rPr>
          <w:sz w:val="26"/>
          <w:szCs w:val="26"/>
        </w:rPr>
        <w:t>A</w:t>
      </w:r>
      <w:r w:rsidR="009B41EE">
        <w:rPr>
          <w:sz w:val="26"/>
          <w:szCs w:val="26"/>
        </w:rPr>
        <w:t>]</w:t>
      </w:r>
      <w:r w:rsidR="00DC37A6" w:rsidRPr="00DC37A6">
        <w:rPr>
          <w:sz w:val="26"/>
          <w:szCs w:val="26"/>
        </w:rPr>
        <w:t>ppellant was a drug dealer who kidnapped and ordered the murder of a child to enforce a debt appellant believe</w:t>
      </w:r>
      <w:r w:rsidR="000D4906">
        <w:rPr>
          <w:sz w:val="26"/>
          <w:szCs w:val="26"/>
        </w:rPr>
        <w:t>d</w:t>
      </w:r>
      <w:r w:rsidR="00DC37A6" w:rsidRPr="00DC37A6">
        <w:rPr>
          <w:sz w:val="26"/>
          <w:szCs w:val="26"/>
        </w:rPr>
        <w:t xml:space="preserve"> the child’s brother owed appellant.  Appellant’s subordinates committed the murder at his specific direction.”</w:t>
      </w:r>
      <w:r w:rsidR="00CA65CC">
        <w:rPr>
          <w:sz w:val="26"/>
          <w:szCs w:val="26"/>
        </w:rPr>
        <w:t xml:space="preserve">  </w:t>
      </w:r>
      <w:r w:rsidR="00CA65CC" w:rsidRPr="00DB280A">
        <w:rPr>
          <w:sz w:val="26"/>
          <w:szCs w:val="26"/>
        </w:rPr>
        <w:t>These facts and circumstances were recounted in our pretrial opinion granting relief to appellant</w:t>
      </w:r>
      <w:r w:rsidR="002F67FD">
        <w:rPr>
          <w:sz w:val="26"/>
          <w:szCs w:val="26"/>
        </w:rPr>
        <w:t xml:space="preserve"> (recusal of the prosecutor)</w:t>
      </w:r>
      <w:r w:rsidR="00CA65CC">
        <w:rPr>
          <w:sz w:val="26"/>
          <w:szCs w:val="26"/>
        </w:rPr>
        <w:t>,</w:t>
      </w:r>
      <w:r w:rsidR="00CA65CC" w:rsidRPr="00DB280A">
        <w:rPr>
          <w:sz w:val="26"/>
          <w:szCs w:val="26"/>
        </w:rPr>
        <w:t xml:space="preserve"> in the</w:t>
      </w:r>
      <w:r w:rsidR="00CA65CC">
        <w:rPr>
          <w:sz w:val="26"/>
          <w:szCs w:val="26"/>
        </w:rPr>
        <w:t xml:space="preserve"> Supreme Court opinion rev</w:t>
      </w:r>
      <w:r w:rsidR="00681F9A">
        <w:rPr>
          <w:sz w:val="26"/>
          <w:szCs w:val="26"/>
        </w:rPr>
        <w:t>er</w:t>
      </w:r>
      <w:r w:rsidR="00CA65CC">
        <w:rPr>
          <w:sz w:val="26"/>
          <w:szCs w:val="26"/>
        </w:rPr>
        <w:t>sing our decision, and in our nonpublished appellate opinion affirming the judgment</w:t>
      </w:r>
      <w:r w:rsidR="00C063E2">
        <w:rPr>
          <w:sz w:val="26"/>
          <w:szCs w:val="26"/>
        </w:rPr>
        <w:t xml:space="preserve"> of conviction</w:t>
      </w:r>
      <w:r w:rsidR="00CA65CC">
        <w:rPr>
          <w:sz w:val="26"/>
          <w:szCs w:val="26"/>
        </w:rPr>
        <w:t xml:space="preserve">.  </w:t>
      </w:r>
      <w:r w:rsidR="00681F9A">
        <w:rPr>
          <w:sz w:val="26"/>
          <w:szCs w:val="26"/>
        </w:rPr>
        <w:t>As indicated, t</w:t>
      </w:r>
      <w:r w:rsidR="00CA65CC">
        <w:rPr>
          <w:sz w:val="26"/>
          <w:szCs w:val="26"/>
        </w:rPr>
        <w:t>hey were</w:t>
      </w:r>
      <w:r w:rsidR="00F80174">
        <w:rPr>
          <w:sz w:val="26"/>
          <w:szCs w:val="26"/>
        </w:rPr>
        <w:t>,</w:t>
      </w:r>
      <w:r w:rsidR="00CA65CC">
        <w:rPr>
          <w:sz w:val="26"/>
          <w:szCs w:val="26"/>
        </w:rPr>
        <w:t xml:space="preserve"> </w:t>
      </w:r>
      <w:r w:rsidR="00681F9A">
        <w:rPr>
          <w:sz w:val="26"/>
          <w:szCs w:val="26"/>
        </w:rPr>
        <w:t>and are</w:t>
      </w:r>
      <w:r w:rsidR="00F80174">
        <w:rPr>
          <w:sz w:val="26"/>
          <w:szCs w:val="26"/>
        </w:rPr>
        <w:t>,</w:t>
      </w:r>
      <w:r w:rsidR="00681F9A">
        <w:rPr>
          <w:sz w:val="26"/>
          <w:szCs w:val="26"/>
        </w:rPr>
        <w:t xml:space="preserve"> well</w:t>
      </w:r>
      <w:r w:rsidR="00CA65CC">
        <w:rPr>
          <w:sz w:val="26"/>
          <w:szCs w:val="26"/>
        </w:rPr>
        <w:t xml:space="preserve"> known, to the trial </w:t>
      </w:r>
      <w:r w:rsidR="00681F9A">
        <w:rPr>
          <w:sz w:val="26"/>
          <w:szCs w:val="26"/>
        </w:rPr>
        <w:t>judge</w:t>
      </w:r>
      <w:r w:rsidR="00CA65CC">
        <w:rPr>
          <w:sz w:val="26"/>
          <w:szCs w:val="26"/>
        </w:rPr>
        <w:t xml:space="preserve"> who heard the testimony in a protracted death penalty trial.</w:t>
      </w:r>
      <w:r w:rsidR="00CA65CC" w:rsidRPr="00DB280A">
        <w:rPr>
          <w:sz w:val="26"/>
          <w:szCs w:val="26"/>
        </w:rPr>
        <w:t xml:space="preserve"> </w:t>
      </w:r>
      <w:r w:rsidR="00CA65CC">
        <w:rPr>
          <w:sz w:val="26"/>
          <w:szCs w:val="26"/>
        </w:rPr>
        <w:t xml:space="preserve"> </w:t>
      </w:r>
    </w:p>
    <w:p w14:paraId="7C0D4B00" w14:textId="60F6A5CE" w:rsidR="00CA65CC" w:rsidRDefault="00CA65CC" w:rsidP="00CA65CC">
      <w:pPr>
        <w:pStyle w:val="FootnoteText"/>
        <w:spacing w:line="288" w:lineRule="auto"/>
        <w:ind w:firstLine="720"/>
        <w:rPr>
          <w:sz w:val="26"/>
          <w:szCs w:val="26"/>
        </w:rPr>
      </w:pPr>
      <w:r>
        <w:rPr>
          <w:sz w:val="26"/>
          <w:szCs w:val="26"/>
        </w:rPr>
        <w:t xml:space="preserve">The California Supreme Court has told us that the trial court should not weigh the evidence at a stage one hearing.  (See </w:t>
      </w:r>
      <w:r w:rsidRPr="001A3622">
        <w:rPr>
          <w:i/>
          <w:iCs/>
          <w:sz w:val="26"/>
          <w:szCs w:val="26"/>
        </w:rPr>
        <w:t>People v. Lewis</w:t>
      </w:r>
      <w:r>
        <w:rPr>
          <w:sz w:val="26"/>
          <w:szCs w:val="26"/>
        </w:rPr>
        <w:t xml:space="preserve"> (2021) 11 Cal.5</w:t>
      </w:r>
      <w:r w:rsidRPr="001A3622">
        <w:rPr>
          <w:sz w:val="26"/>
          <w:szCs w:val="26"/>
        </w:rPr>
        <w:t>th</w:t>
      </w:r>
      <w:r>
        <w:rPr>
          <w:sz w:val="26"/>
          <w:szCs w:val="26"/>
        </w:rPr>
        <w:t xml:space="preserve"> 952, 972 (</w:t>
      </w:r>
      <w:r w:rsidRPr="00DC0EE8">
        <w:rPr>
          <w:i/>
          <w:iCs/>
          <w:sz w:val="26"/>
          <w:szCs w:val="26"/>
        </w:rPr>
        <w:t>Lewis</w:t>
      </w:r>
      <w:r>
        <w:rPr>
          <w:sz w:val="26"/>
          <w:szCs w:val="26"/>
        </w:rPr>
        <w:t xml:space="preserve">).)  There must, of necessity, be an exception where the trial </w:t>
      </w:r>
      <w:r w:rsidR="005D07F9">
        <w:rPr>
          <w:sz w:val="26"/>
          <w:szCs w:val="26"/>
        </w:rPr>
        <w:t>judge</w:t>
      </w:r>
      <w:r>
        <w:rPr>
          <w:sz w:val="26"/>
          <w:szCs w:val="26"/>
        </w:rPr>
        <w:t xml:space="preserve"> ruling on resentencing, heard the evidence at a death penalty trial and where the Supreme Court recites these facts in the same case.  (</w:t>
      </w:r>
      <w:r w:rsidRPr="001A3622">
        <w:rPr>
          <w:i/>
          <w:iCs/>
          <w:sz w:val="26"/>
          <w:szCs w:val="26"/>
        </w:rPr>
        <w:t>Hollywood v. Superior Court</w:t>
      </w:r>
      <w:r>
        <w:rPr>
          <w:sz w:val="26"/>
          <w:szCs w:val="26"/>
        </w:rPr>
        <w:t xml:space="preserve"> (2008) 43 Cal.4</w:t>
      </w:r>
      <w:r w:rsidRPr="001A3622">
        <w:rPr>
          <w:sz w:val="26"/>
          <w:szCs w:val="26"/>
        </w:rPr>
        <w:t xml:space="preserve">th </w:t>
      </w:r>
      <w:r>
        <w:rPr>
          <w:sz w:val="26"/>
          <w:szCs w:val="26"/>
        </w:rPr>
        <w:t>721, 725</w:t>
      </w:r>
      <w:r w:rsidR="00FE729B">
        <w:rPr>
          <w:sz w:val="26"/>
          <w:szCs w:val="26"/>
        </w:rPr>
        <w:t xml:space="preserve"> (</w:t>
      </w:r>
      <w:r w:rsidR="00FE729B">
        <w:rPr>
          <w:i/>
          <w:iCs/>
          <w:sz w:val="26"/>
          <w:szCs w:val="26"/>
        </w:rPr>
        <w:t>Hollywood</w:t>
      </w:r>
      <w:r w:rsidR="00FE729B">
        <w:rPr>
          <w:sz w:val="26"/>
          <w:szCs w:val="26"/>
        </w:rPr>
        <w:t>).</w:t>
      </w:r>
      <w:r>
        <w:rPr>
          <w:sz w:val="26"/>
          <w:szCs w:val="26"/>
        </w:rPr>
        <w:t xml:space="preserve">)  The Supreme Court’s statements of law are binding upon the trial court and the Court of Appeal </w:t>
      </w:r>
      <w:r w:rsidR="00C063E2">
        <w:rPr>
          <w:sz w:val="26"/>
          <w:szCs w:val="26"/>
        </w:rPr>
        <w:t>(</w:t>
      </w:r>
      <w:r w:rsidR="00C063E2" w:rsidRPr="00C063E2">
        <w:rPr>
          <w:i/>
          <w:iCs/>
          <w:sz w:val="26"/>
          <w:szCs w:val="26"/>
        </w:rPr>
        <w:t xml:space="preserve">Auto Equity Sales, Inc. v. Superior Court </w:t>
      </w:r>
      <w:r w:rsidR="00C063E2">
        <w:rPr>
          <w:sz w:val="26"/>
          <w:szCs w:val="26"/>
        </w:rPr>
        <w:t xml:space="preserve">(1962) 57 Cal.2d 450, 457) </w:t>
      </w:r>
      <w:r>
        <w:rPr>
          <w:sz w:val="26"/>
          <w:szCs w:val="26"/>
        </w:rPr>
        <w:t xml:space="preserve">unless the new case is factually “fairly distinguishable” from the case where </w:t>
      </w:r>
      <w:r>
        <w:rPr>
          <w:sz w:val="26"/>
          <w:szCs w:val="26"/>
        </w:rPr>
        <w:lastRenderedPageBreak/>
        <w:t>the Supreme Court has declared the law.  (</w:t>
      </w:r>
      <w:r w:rsidRPr="00EA71CA">
        <w:rPr>
          <w:i/>
          <w:iCs/>
          <w:sz w:val="26"/>
          <w:szCs w:val="26"/>
        </w:rPr>
        <w:t>People v. Triggs</w:t>
      </w:r>
      <w:r>
        <w:rPr>
          <w:sz w:val="26"/>
          <w:szCs w:val="26"/>
        </w:rPr>
        <w:t xml:space="preserve"> (1973) 8 Cal.3d 885, 890-891, disapproved on another ground in </w:t>
      </w:r>
      <w:r w:rsidRPr="008F7913">
        <w:rPr>
          <w:i/>
          <w:iCs/>
          <w:sz w:val="26"/>
          <w:szCs w:val="26"/>
        </w:rPr>
        <w:t>People v. Lilienthal</w:t>
      </w:r>
      <w:r>
        <w:rPr>
          <w:sz w:val="26"/>
          <w:szCs w:val="26"/>
        </w:rPr>
        <w:t xml:space="preserve"> (1978) 22 Cal.3d 891, 896, fn. 4.)  This is the situation in the instant appeal.</w:t>
      </w:r>
    </w:p>
    <w:p w14:paraId="0671B8AD" w14:textId="4953A53F" w:rsidR="00CA65CC" w:rsidRPr="00DB280A" w:rsidRDefault="00CA65CC" w:rsidP="00D177A1">
      <w:pPr>
        <w:pStyle w:val="FootnoteText"/>
        <w:spacing w:line="288" w:lineRule="auto"/>
        <w:ind w:firstLine="720"/>
        <w:rPr>
          <w:sz w:val="26"/>
          <w:szCs w:val="26"/>
        </w:rPr>
      </w:pPr>
      <w:r>
        <w:rPr>
          <w:sz w:val="26"/>
          <w:szCs w:val="26"/>
        </w:rPr>
        <w:t xml:space="preserve">This was a notorious, senseless, and brutal homicide and everyone, including the appellant and his attorney, are aware of what factually happened.  Our ruling will eliminate “clearly meritless” petitions, which serves the legislative purpose to deny relief to a “major participant” in a felony murder case.  (See </w:t>
      </w:r>
      <w:r w:rsidRPr="00DC0EE8">
        <w:rPr>
          <w:i/>
          <w:iCs/>
          <w:sz w:val="26"/>
          <w:szCs w:val="26"/>
        </w:rPr>
        <w:t>Lewis</w:t>
      </w:r>
      <w:r>
        <w:rPr>
          <w:sz w:val="26"/>
          <w:szCs w:val="26"/>
        </w:rPr>
        <w:t xml:space="preserve">, </w:t>
      </w:r>
      <w:r w:rsidRPr="00DC0EE8">
        <w:rPr>
          <w:i/>
          <w:iCs/>
          <w:sz w:val="26"/>
          <w:szCs w:val="26"/>
        </w:rPr>
        <w:t>supra</w:t>
      </w:r>
      <w:r>
        <w:rPr>
          <w:sz w:val="26"/>
          <w:szCs w:val="26"/>
        </w:rPr>
        <w:t>, 11 Cal.5</w:t>
      </w:r>
      <w:r w:rsidRPr="00DC0EE8">
        <w:rPr>
          <w:sz w:val="26"/>
          <w:szCs w:val="26"/>
        </w:rPr>
        <w:t xml:space="preserve">th </w:t>
      </w:r>
      <w:r>
        <w:rPr>
          <w:sz w:val="26"/>
          <w:szCs w:val="26"/>
        </w:rPr>
        <w:t>at p. 971.)  A petition for resentencing is not a “game” to be played by checking a box on a form.  It is a search for truth in resentencing.  We recognize that appellant can introduce new evidence at a stage two hearing.  But his theory of the case</w:t>
      </w:r>
      <w:r w:rsidR="005D07F9">
        <w:rPr>
          <w:sz w:val="26"/>
          <w:szCs w:val="26"/>
        </w:rPr>
        <w:t>, including his own testimony,</w:t>
      </w:r>
      <w:r>
        <w:rPr>
          <w:sz w:val="26"/>
          <w:szCs w:val="26"/>
        </w:rPr>
        <w:t xml:space="preserve"> was heard and rejected at his trial.  (See </w:t>
      </w:r>
      <w:r w:rsidRPr="00DC0EE8">
        <w:rPr>
          <w:i/>
          <w:iCs/>
          <w:sz w:val="26"/>
          <w:szCs w:val="26"/>
        </w:rPr>
        <w:t>ante</w:t>
      </w:r>
      <w:r>
        <w:rPr>
          <w:sz w:val="26"/>
          <w:szCs w:val="26"/>
        </w:rPr>
        <w:t xml:space="preserve"> p. 2.)</w:t>
      </w:r>
    </w:p>
    <w:p w14:paraId="5CAD6342" w14:textId="2128BC84" w:rsidR="00770F6B" w:rsidRDefault="00550A83" w:rsidP="00770F6B">
      <w:pPr>
        <w:tabs>
          <w:tab w:val="left" w:pos="720"/>
          <w:tab w:val="left" w:pos="1440"/>
          <w:tab w:val="left" w:pos="2880"/>
          <w:tab w:val="left" w:pos="4320"/>
          <w:tab w:val="left" w:pos="5760"/>
          <w:tab w:val="left" w:pos="7200"/>
        </w:tabs>
        <w:jc w:val="center"/>
        <w:rPr>
          <w:i/>
          <w:iCs/>
        </w:rPr>
      </w:pPr>
      <w:r>
        <w:rPr>
          <w:i/>
          <w:iCs/>
        </w:rPr>
        <w:t>Specific Contentions</w:t>
      </w:r>
    </w:p>
    <w:p w14:paraId="02C5C41B" w14:textId="4BBB40BB" w:rsidR="00770F6B" w:rsidRDefault="00770F6B" w:rsidP="00770F6B">
      <w:pPr>
        <w:tabs>
          <w:tab w:val="left" w:pos="720"/>
          <w:tab w:val="left" w:pos="1440"/>
          <w:tab w:val="left" w:pos="2880"/>
          <w:tab w:val="left" w:pos="4320"/>
          <w:tab w:val="left" w:pos="5760"/>
          <w:tab w:val="left" w:pos="7200"/>
        </w:tabs>
      </w:pPr>
      <w:r>
        <w:tab/>
        <w:t xml:space="preserve">Appellant </w:t>
      </w:r>
      <w:r w:rsidR="00BA40EF">
        <w:t>contends</w:t>
      </w:r>
      <w:r>
        <w:t xml:space="preserve"> the record of conviction may have conclusively established </w:t>
      </w:r>
      <w:r w:rsidR="00110C0F">
        <w:t xml:space="preserve">that </w:t>
      </w:r>
      <w:r>
        <w:t>he had the intent to kill during the commission of a kidnapping</w:t>
      </w:r>
      <w:r w:rsidR="00BA40EF">
        <w:t xml:space="preserve">, but it did </w:t>
      </w:r>
      <w:r>
        <w:t>not establish the actus reus requirement set forth in section 189, subdivision (e)(2</w:t>
      </w:r>
      <w:r w:rsidR="00BA40EF">
        <w:t xml:space="preserve">), </w:t>
      </w:r>
      <w:r w:rsidR="00136B7A">
        <w:t>that is, that</w:t>
      </w:r>
      <w:r w:rsidR="0075113B">
        <w:t xml:space="preserve"> he aided</w:t>
      </w:r>
      <w:r w:rsidR="00945F24">
        <w:t xml:space="preserve"> and abetted</w:t>
      </w:r>
      <w:r w:rsidR="0075113B">
        <w:t xml:space="preserve"> the actual killer </w:t>
      </w:r>
      <w:r w:rsidR="00E570D1">
        <w:t xml:space="preserve">during the commission of murder </w:t>
      </w:r>
      <w:r w:rsidR="0075113B">
        <w:t>with the intent to kill</w:t>
      </w:r>
      <w:r w:rsidRPr="00ED1A0E">
        <w:t>.</w:t>
      </w:r>
      <w:r>
        <w:t xml:space="preserve">  </w:t>
      </w:r>
    </w:p>
    <w:p w14:paraId="5B977697" w14:textId="1B8223B8" w:rsidR="008C3240" w:rsidRDefault="00770F6B" w:rsidP="00770F6B">
      <w:pPr>
        <w:tabs>
          <w:tab w:val="left" w:pos="720"/>
          <w:tab w:val="left" w:pos="1440"/>
          <w:tab w:val="left" w:pos="2880"/>
          <w:tab w:val="left" w:pos="4320"/>
          <w:tab w:val="left" w:pos="5760"/>
          <w:tab w:val="left" w:pos="7200"/>
        </w:tabs>
      </w:pPr>
      <w:r>
        <w:tab/>
        <w:t xml:space="preserve">The People contend appellant is ineligible for relief as a matter of law because aiding and abetting an enumerated felony under section 189 with the intent to kill suffices to constitute felony murder under section 189, subdivision (e)(2) and such a finding precludes a petitioner from section 1172.6 relief.  </w:t>
      </w:r>
      <w:r w:rsidR="005357E0">
        <w:t>We</w:t>
      </w:r>
      <w:r>
        <w:t xml:space="preserve"> </w:t>
      </w:r>
      <w:r w:rsidR="008A4CD1">
        <w:t>agree with the People</w:t>
      </w:r>
      <w:r>
        <w:t xml:space="preserve">.  </w:t>
      </w:r>
    </w:p>
    <w:p w14:paraId="6AA0F96C" w14:textId="77777777" w:rsidR="008C3240" w:rsidRDefault="008C3240">
      <w:pPr>
        <w:spacing w:line="240" w:lineRule="auto"/>
      </w:pPr>
      <w:r>
        <w:br w:type="page"/>
      </w:r>
    </w:p>
    <w:p w14:paraId="393278EE" w14:textId="40B4C38E" w:rsidR="00550A83" w:rsidRDefault="00550A83" w:rsidP="00550A83">
      <w:pPr>
        <w:tabs>
          <w:tab w:val="left" w:pos="720"/>
          <w:tab w:val="left" w:pos="1440"/>
          <w:tab w:val="left" w:pos="2880"/>
          <w:tab w:val="left" w:pos="4320"/>
          <w:tab w:val="left" w:pos="5760"/>
          <w:tab w:val="left" w:pos="7200"/>
        </w:tabs>
        <w:jc w:val="center"/>
        <w:rPr>
          <w:i/>
          <w:iCs/>
        </w:rPr>
      </w:pPr>
      <w:r>
        <w:rPr>
          <w:i/>
          <w:iCs/>
        </w:rPr>
        <w:lastRenderedPageBreak/>
        <w:t>Legislative Changes and Case Law</w:t>
      </w:r>
    </w:p>
    <w:p w14:paraId="1DEF8A88" w14:textId="51F3C83D" w:rsidR="00B007A9" w:rsidRDefault="00C1167A" w:rsidP="00C1167A">
      <w:pPr>
        <w:tabs>
          <w:tab w:val="left" w:pos="720"/>
          <w:tab w:val="left" w:pos="1440"/>
          <w:tab w:val="left" w:pos="2880"/>
          <w:tab w:val="left" w:pos="4320"/>
          <w:tab w:val="left" w:pos="5760"/>
          <w:tab w:val="left" w:pos="7200"/>
        </w:tabs>
      </w:pPr>
      <w:r>
        <w:tab/>
      </w:r>
      <w:r w:rsidR="00B007A9">
        <w:t xml:space="preserve">Senate Bill </w:t>
      </w:r>
      <w:r w:rsidR="0012007E">
        <w:t xml:space="preserve">No. </w:t>
      </w:r>
      <w:r w:rsidR="00C62381">
        <w:t>1437 (2017-20</w:t>
      </w:r>
      <w:r w:rsidR="00921027">
        <w:t>1</w:t>
      </w:r>
      <w:r w:rsidR="00C62381">
        <w:t>8 Reg. Sess.) (</w:t>
      </w:r>
      <w:r w:rsidR="005357E0">
        <w:t>Senate Bill</w:t>
      </w:r>
      <w:r w:rsidR="00C62381">
        <w:t xml:space="preserve"> 1437)</w:t>
      </w:r>
      <w:r w:rsidR="0012007E">
        <w:t xml:space="preserve"> amended the felony murder rule and the natural and probable consequences doctrine, “to ensure that murder liability is not imposed on a person who is not the actual killer, did not act with the intent to kill</w:t>
      </w:r>
      <w:r w:rsidR="008777CB">
        <w:t>,</w:t>
      </w:r>
      <w:r w:rsidR="0012007E">
        <w:t xml:space="preserve"> or was not a major participant in the underlying felony who acted with reckless indifference to life.” (Stats. </w:t>
      </w:r>
      <w:r w:rsidR="00FC1281">
        <w:t xml:space="preserve">2018, ch. 1015, § 1, subd. (f).)  To that end, </w:t>
      </w:r>
      <w:r w:rsidR="005357E0">
        <w:t xml:space="preserve">Senate Bill </w:t>
      </w:r>
      <w:r w:rsidR="00FC1281">
        <w:t xml:space="preserve">1437 amended section 188 by adding a requirement that, except as stated in section 189, subdivision </w:t>
      </w:r>
      <w:r w:rsidR="00AC4BCB">
        <w:t>(e)</w:t>
      </w:r>
      <w:r w:rsidR="00FC1281">
        <w:t>, all principals to murder must act with express or implied malice.</w:t>
      </w:r>
      <w:r w:rsidR="00473892">
        <w:t xml:space="preserve"> </w:t>
      </w:r>
      <w:r w:rsidR="00FC1281">
        <w:t xml:space="preserve"> (§ 188, subd. (a)(3).</w:t>
      </w:r>
      <w:r w:rsidR="00DE205D">
        <w:t>)</w:t>
      </w:r>
      <w:r w:rsidR="00FC1281">
        <w:t xml:space="preserve">  </w:t>
      </w:r>
    </w:p>
    <w:p w14:paraId="385D5A31" w14:textId="2FA09767" w:rsidR="00C1167A" w:rsidRDefault="00B007A9" w:rsidP="00C1167A">
      <w:pPr>
        <w:tabs>
          <w:tab w:val="left" w:pos="720"/>
          <w:tab w:val="left" w:pos="1440"/>
          <w:tab w:val="left" w:pos="2880"/>
          <w:tab w:val="left" w:pos="4320"/>
          <w:tab w:val="left" w:pos="5760"/>
          <w:tab w:val="left" w:pos="7200"/>
        </w:tabs>
      </w:pPr>
      <w:r>
        <w:tab/>
      </w:r>
      <w:r w:rsidR="005357E0">
        <w:t>Senate Bill</w:t>
      </w:r>
      <w:r w:rsidR="00C62381">
        <w:t xml:space="preserve"> 1437</w:t>
      </w:r>
      <w:r w:rsidR="007D069C">
        <w:t xml:space="preserve"> </w:t>
      </w:r>
      <w:r w:rsidR="00984EBE">
        <w:t xml:space="preserve">amended the felony murder rule </w:t>
      </w:r>
      <w:r w:rsidR="000A1460">
        <w:t xml:space="preserve">by adding section </w:t>
      </w:r>
      <w:r w:rsidR="00522CC3">
        <w:t>189, subdivision (e)</w:t>
      </w:r>
      <w:r w:rsidR="004948C2">
        <w:t xml:space="preserve"> to provide that, “A participant </w:t>
      </w:r>
      <w:r w:rsidR="00986C9C">
        <w:t xml:space="preserve">in the perpetration or attempted perpetration of a felony listed in subdivision (a) </w:t>
      </w:r>
      <w:r w:rsidR="003843A2">
        <w:t>in which a death occurs is liable for murder only if one of the following is proven</w:t>
      </w:r>
      <w:r w:rsidR="00541A58">
        <w:t xml:space="preserve">: </w:t>
      </w:r>
      <w:r w:rsidR="00AE7777">
        <w:t>[¶]  </w:t>
      </w:r>
      <w:r w:rsidR="00541A58">
        <w:t>(1) The person was the actual killer.</w:t>
      </w:r>
      <w:r w:rsidR="00AE7777">
        <w:t xml:space="preserve"> </w:t>
      </w:r>
      <w:r w:rsidR="00541A58">
        <w:t xml:space="preserve"> </w:t>
      </w:r>
      <w:r w:rsidR="00AE7777">
        <w:t>[¶]  </w:t>
      </w:r>
      <w:r w:rsidR="00541A58">
        <w:t>(2) The person was not the actual killer</w:t>
      </w:r>
      <w:r w:rsidR="00193DA9">
        <w:t xml:space="preserve">, but, with the intent to kill, aided, abetted, counseled, commanded, induced, solicited, requested, or assisted the actual killer in the </w:t>
      </w:r>
      <w:r w:rsidR="005E0FBA">
        <w:t xml:space="preserve">commission of </w:t>
      </w:r>
      <w:r w:rsidR="001A65F1">
        <w:t>murder in the first degree.</w:t>
      </w:r>
      <w:r w:rsidR="00AE7777">
        <w:t xml:space="preserve"> </w:t>
      </w:r>
      <w:r w:rsidR="001A65F1">
        <w:t xml:space="preserve"> </w:t>
      </w:r>
      <w:r w:rsidR="00AE7777">
        <w:t>[¶]  </w:t>
      </w:r>
      <w:r w:rsidR="001A65F1">
        <w:t>(3) The person was a major participant in the underlying felony and acted with reckless indifference to human lif</w:t>
      </w:r>
      <w:r w:rsidR="000C1664">
        <w:t xml:space="preserve">e, as described </w:t>
      </w:r>
      <w:r w:rsidR="00B21D14">
        <w:t>in subdivision (d) of Section 190.2.</w:t>
      </w:r>
      <w:r w:rsidR="007F4297">
        <w:t>”  (§ 189, subd. (e).)</w:t>
      </w:r>
    </w:p>
    <w:p w14:paraId="0C815899" w14:textId="44FFCE45" w:rsidR="00AC4BCB" w:rsidRDefault="00AC4BCB" w:rsidP="00C1167A">
      <w:pPr>
        <w:tabs>
          <w:tab w:val="left" w:pos="720"/>
          <w:tab w:val="left" w:pos="1440"/>
          <w:tab w:val="left" w:pos="2880"/>
          <w:tab w:val="left" w:pos="4320"/>
          <w:tab w:val="left" w:pos="5760"/>
          <w:tab w:val="left" w:pos="7200"/>
        </w:tabs>
      </w:pPr>
      <w:r>
        <w:tab/>
      </w:r>
      <w:r w:rsidR="005357E0">
        <w:t>Senate Bill</w:t>
      </w:r>
      <w:r>
        <w:t xml:space="preserve"> 1437 also </w:t>
      </w:r>
      <w:r w:rsidR="00643632">
        <w:t>enacted</w:t>
      </w:r>
      <w:r>
        <w:t xml:space="preserve"> section 1172.6, which </w:t>
      </w:r>
      <w:r w:rsidR="0024568F">
        <w:t>establishes a procedure for a defendant convicted of felony murder or murder under a natural and probable consequences theory to petition for re</w:t>
      </w:r>
      <w:r w:rsidR="002B5002">
        <w:t>sentencing if the petitioner “could not presently be convicted of murder or attempted murder because of changes to Section 188 or 189</w:t>
      </w:r>
      <w:r w:rsidR="0025778C">
        <w:t xml:space="preserve">” made by </w:t>
      </w:r>
      <w:r w:rsidR="005357E0">
        <w:t>Senate Bill</w:t>
      </w:r>
      <w:r w:rsidR="0025778C">
        <w:t xml:space="preserve"> 1437.  (§ 1172.6, subd. (a)(3).)  The trial court may deny a section 1172.6 </w:t>
      </w:r>
      <w:r w:rsidR="0025778C">
        <w:lastRenderedPageBreak/>
        <w:t>petition</w:t>
      </w:r>
      <w:r w:rsidR="006B2FDF">
        <w:t xml:space="preserve"> </w:t>
      </w:r>
      <w:r w:rsidR="0025778C">
        <w:t>at the prima fa</w:t>
      </w:r>
      <w:r w:rsidR="006B2FDF">
        <w:t>cie stage (e.g., after appointing counsel and before holding an evidentiary hearing) where the record of conviction establishes that the petitioner is ineligible for resentencing as a matter of law.  (</w:t>
      </w:r>
      <w:r w:rsidR="006B2FDF" w:rsidRPr="002C7A6E">
        <w:rPr>
          <w:i/>
          <w:iCs/>
        </w:rPr>
        <w:t>Lewis</w:t>
      </w:r>
      <w:r w:rsidR="003E121A">
        <w:t xml:space="preserve">, </w:t>
      </w:r>
      <w:r w:rsidR="003E121A" w:rsidRPr="003E121A">
        <w:rPr>
          <w:i/>
          <w:iCs/>
        </w:rPr>
        <w:t>supra</w:t>
      </w:r>
      <w:r w:rsidR="003E121A">
        <w:t>,</w:t>
      </w:r>
      <w:r w:rsidR="006B2FDF">
        <w:t xml:space="preserve"> 11 Cal.5</w:t>
      </w:r>
      <w:r w:rsidR="006B2FDF" w:rsidRPr="008951C1">
        <w:t>th</w:t>
      </w:r>
      <w:r w:rsidR="003E121A">
        <w:t xml:space="preserve"> at pp.</w:t>
      </w:r>
      <w:r w:rsidR="006B2FDF">
        <w:t xml:space="preserve"> </w:t>
      </w:r>
      <w:r w:rsidR="00CA5F56">
        <w:t>970-</w:t>
      </w:r>
      <w:r w:rsidR="006B2FDF">
        <w:t xml:space="preserve">971.)  </w:t>
      </w:r>
      <w:r w:rsidR="006B2FDF" w:rsidRPr="00F66660">
        <w:t>This occurs</w:t>
      </w:r>
      <w:r w:rsidR="0020196C" w:rsidRPr="00F66660">
        <w:t xml:space="preserve"> where, as here, the record of conviction establishes that a petitioner was not convicted under any theory of liability affected by </w:t>
      </w:r>
      <w:r w:rsidR="005357E0" w:rsidRPr="00F66660">
        <w:t>Senate Bill</w:t>
      </w:r>
      <w:r w:rsidR="0020196C" w:rsidRPr="00F66660">
        <w:t xml:space="preserve"> </w:t>
      </w:r>
      <w:r w:rsidR="00A71246" w:rsidRPr="00F66660">
        <w:t>1437</w:t>
      </w:r>
      <w:r w:rsidR="009C6E50" w:rsidRPr="00F66660">
        <w:t>.  (</w:t>
      </w:r>
      <w:r w:rsidR="00E612A4" w:rsidRPr="00F66660">
        <w:t xml:space="preserve">See, e.g., </w:t>
      </w:r>
      <w:r w:rsidR="00E612A4" w:rsidRPr="00F66660">
        <w:rPr>
          <w:i/>
          <w:iCs/>
        </w:rPr>
        <w:t>People v. Farfan</w:t>
      </w:r>
      <w:r w:rsidR="00E612A4" w:rsidRPr="00F66660">
        <w:t xml:space="preserve"> (2021) 71 Cal.App.5th 942, 956 [special circumstance finding includes elements required for felony murder];</w:t>
      </w:r>
      <w:r w:rsidR="00E33619" w:rsidRPr="009A6A3C">
        <w:t xml:space="preserve"> </w:t>
      </w:r>
      <w:r w:rsidR="00E33619" w:rsidRPr="00323499">
        <w:rPr>
          <w:i/>
          <w:iCs/>
        </w:rPr>
        <w:t>People v. Estrada</w:t>
      </w:r>
      <w:r w:rsidR="00E33619" w:rsidRPr="00323499">
        <w:t xml:space="preserve"> (2022) </w:t>
      </w:r>
      <w:r w:rsidR="002F5360" w:rsidRPr="00323499">
        <w:t>77 Cal.App.5th 941, 945 [first degree murder conviction based on</w:t>
      </w:r>
      <w:r w:rsidR="006232CF">
        <w:t xml:space="preserve"> </w:t>
      </w:r>
      <w:r w:rsidR="002F5360" w:rsidRPr="00323499">
        <w:t xml:space="preserve">direct aiding and abetting with intent to kill ineligible for </w:t>
      </w:r>
      <w:r w:rsidR="00E66A98" w:rsidRPr="00323499">
        <w:t>section 1176.2 relief]</w:t>
      </w:r>
      <w:r w:rsidR="00DA0DC4" w:rsidRPr="00323499">
        <w:t>.)</w:t>
      </w:r>
    </w:p>
    <w:p w14:paraId="03D24A7E" w14:textId="2A06823B" w:rsidR="007D4C3B" w:rsidRDefault="006C6657" w:rsidP="007D4C3B">
      <w:pPr>
        <w:tabs>
          <w:tab w:val="left" w:pos="720"/>
          <w:tab w:val="left" w:pos="1440"/>
          <w:tab w:val="left" w:pos="2880"/>
          <w:tab w:val="left" w:pos="4320"/>
          <w:tab w:val="left" w:pos="5760"/>
          <w:tab w:val="left" w:pos="7200"/>
        </w:tabs>
      </w:pPr>
      <w:r>
        <w:tab/>
        <w:t xml:space="preserve">Section 189, as amended by </w:t>
      </w:r>
      <w:r w:rsidR="005357E0">
        <w:t xml:space="preserve">Senate Bill </w:t>
      </w:r>
      <w:r>
        <w:t xml:space="preserve">1437, provides </w:t>
      </w:r>
      <w:r w:rsidR="002D6950">
        <w:t xml:space="preserve">that “All murder that is </w:t>
      </w:r>
      <w:r w:rsidR="00A673C2">
        <w:t>.</w:t>
      </w:r>
      <w:r w:rsidR="00496C2B">
        <w:t xml:space="preserve"> . . committed in the perpetration of . . . kidnapping . . . </w:t>
      </w:r>
      <w:r w:rsidR="0011435F">
        <w:t>is murder of the first degree.”  (§ 189, subd. (a)</w:t>
      </w:r>
      <w:r w:rsidR="0029466E">
        <w:t xml:space="preserve">.)  </w:t>
      </w:r>
      <w:r w:rsidR="007C6C2B">
        <w:t>Section 189, subdivision (e)</w:t>
      </w:r>
      <w:r w:rsidR="005F5503">
        <w:t xml:space="preserve"> provides that</w:t>
      </w:r>
      <w:r w:rsidR="0029466E">
        <w:t xml:space="preserve"> “A participant in the perpetration . . . of [</w:t>
      </w:r>
      <w:r w:rsidR="00F16E3E">
        <w:t xml:space="preserve">kidnapping] in which a death occurs is liable for murder </w:t>
      </w:r>
      <w:r w:rsidR="007D4C3B">
        <w:t xml:space="preserve">only </w:t>
      </w:r>
      <w:r w:rsidR="00F16E3E">
        <w:t xml:space="preserve">if </w:t>
      </w:r>
      <w:r w:rsidR="007D4C3B">
        <w:t xml:space="preserve">one of </w:t>
      </w:r>
      <w:r w:rsidR="00E335D1">
        <w:t>[three categories]</w:t>
      </w:r>
      <w:r w:rsidR="00F16E3E">
        <w:t xml:space="preserve"> is proven</w:t>
      </w:r>
      <w:r w:rsidR="003538ED">
        <w:t>,</w:t>
      </w:r>
      <w:r w:rsidR="001D7874">
        <w:t>”</w:t>
      </w:r>
      <w:r w:rsidR="003538ED">
        <w:t xml:space="preserve"> including</w:t>
      </w:r>
      <w:r w:rsidR="00232208">
        <w:t xml:space="preserve">, </w:t>
      </w:r>
      <w:r w:rsidR="0054295F">
        <w:t>subdivision (e)(2)</w:t>
      </w:r>
      <w:r w:rsidR="00AA66B4">
        <w:t>: “</w:t>
      </w:r>
      <w:r w:rsidR="007D4C3B">
        <w:t>The person was not the actual killer, but, with the intent to kill, aided, abetted, counseled, commanded, induced, solicited, requested, or assisted the actual killer in the commission of murder in the first degree.</w:t>
      </w:r>
      <w:r w:rsidR="00B358AE">
        <w:t>”</w:t>
      </w:r>
      <w:r w:rsidR="007D4C3B">
        <w:t xml:space="preserve"> </w:t>
      </w:r>
      <w:r w:rsidR="00AA66B4">
        <w:t xml:space="preserve"> </w:t>
      </w:r>
      <w:r w:rsidR="007D4C3B">
        <w:t>(§ 189, subd. (e).)</w:t>
      </w:r>
    </w:p>
    <w:p w14:paraId="3AE4D7DA" w14:textId="386FF0CF" w:rsidR="008D0AF0" w:rsidRPr="00CD37E1" w:rsidRDefault="0034510A" w:rsidP="005E7C4C">
      <w:pPr>
        <w:tabs>
          <w:tab w:val="left" w:pos="720"/>
          <w:tab w:val="left" w:pos="1440"/>
          <w:tab w:val="left" w:pos="2880"/>
          <w:tab w:val="left" w:pos="4320"/>
          <w:tab w:val="left" w:pos="5760"/>
          <w:tab w:val="left" w:pos="7200"/>
        </w:tabs>
        <w:rPr>
          <w:i/>
          <w:iCs/>
        </w:rPr>
      </w:pPr>
      <w:r>
        <w:tab/>
      </w:r>
      <w:r w:rsidR="008D0AF0" w:rsidRPr="00CD37E1">
        <w:rPr>
          <w:i/>
          <w:iCs/>
        </w:rPr>
        <w:t xml:space="preserve">Appellant </w:t>
      </w:r>
      <w:r w:rsidR="00CD37E1">
        <w:rPr>
          <w:i/>
          <w:iCs/>
        </w:rPr>
        <w:t>I</w:t>
      </w:r>
      <w:r w:rsidR="008D0AF0" w:rsidRPr="00CD37E1">
        <w:rPr>
          <w:i/>
          <w:iCs/>
        </w:rPr>
        <w:t xml:space="preserve">s </w:t>
      </w:r>
      <w:r w:rsidR="00CD37E1">
        <w:rPr>
          <w:i/>
          <w:iCs/>
        </w:rPr>
        <w:t>N</w:t>
      </w:r>
      <w:r w:rsidR="008D0AF0" w:rsidRPr="00CD37E1">
        <w:rPr>
          <w:i/>
          <w:iCs/>
        </w:rPr>
        <w:t xml:space="preserve">ot </w:t>
      </w:r>
      <w:r w:rsidR="00CD37E1">
        <w:rPr>
          <w:i/>
          <w:iCs/>
        </w:rPr>
        <w:t>E</w:t>
      </w:r>
      <w:r w:rsidR="00CD37E1" w:rsidRPr="00CD37E1">
        <w:rPr>
          <w:i/>
          <w:iCs/>
        </w:rPr>
        <w:t xml:space="preserve">ntitled </w:t>
      </w:r>
      <w:r w:rsidR="00CD37E1">
        <w:rPr>
          <w:i/>
          <w:iCs/>
        </w:rPr>
        <w:t>t</w:t>
      </w:r>
      <w:r w:rsidR="00CD37E1" w:rsidRPr="00CD37E1">
        <w:rPr>
          <w:i/>
          <w:iCs/>
        </w:rPr>
        <w:t xml:space="preserve">o </w:t>
      </w:r>
      <w:r w:rsidR="00C200B4">
        <w:rPr>
          <w:i/>
          <w:iCs/>
        </w:rPr>
        <w:t>R</w:t>
      </w:r>
      <w:r w:rsidR="00CD37E1" w:rsidRPr="00CD37E1">
        <w:rPr>
          <w:i/>
          <w:iCs/>
        </w:rPr>
        <w:t xml:space="preserve">elief as a </w:t>
      </w:r>
      <w:r w:rsidR="008A29DC">
        <w:rPr>
          <w:i/>
          <w:iCs/>
        </w:rPr>
        <w:t>M</w:t>
      </w:r>
      <w:r w:rsidR="00CD37E1" w:rsidRPr="00CD37E1">
        <w:rPr>
          <w:i/>
          <w:iCs/>
        </w:rPr>
        <w:t xml:space="preserve">atter of </w:t>
      </w:r>
      <w:r w:rsidR="008A29DC">
        <w:rPr>
          <w:i/>
          <w:iCs/>
        </w:rPr>
        <w:t>L</w:t>
      </w:r>
      <w:r w:rsidR="00CD37E1" w:rsidRPr="00CD37E1">
        <w:rPr>
          <w:i/>
          <w:iCs/>
        </w:rPr>
        <w:t>aw</w:t>
      </w:r>
    </w:p>
    <w:p w14:paraId="4EFBFCA0" w14:textId="01651DF2" w:rsidR="00613E0B" w:rsidRDefault="00583415" w:rsidP="00583415">
      <w:pPr>
        <w:tabs>
          <w:tab w:val="left" w:pos="720"/>
          <w:tab w:val="left" w:pos="1440"/>
          <w:tab w:val="left" w:pos="2880"/>
          <w:tab w:val="left" w:pos="4320"/>
          <w:tab w:val="left" w:pos="5760"/>
          <w:tab w:val="left" w:pos="7200"/>
        </w:tabs>
      </w:pPr>
      <w:r>
        <w:tab/>
      </w:r>
      <w:r w:rsidRPr="00182911">
        <w:t xml:space="preserve">Here, </w:t>
      </w:r>
      <w:r w:rsidR="00A06856">
        <w:t xml:space="preserve">the </w:t>
      </w:r>
      <w:r w:rsidR="00A26216">
        <w:t>trial court</w:t>
      </w:r>
      <w:r w:rsidR="000A2C8D">
        <w:t xml:space="preserve"> </w:t>
      </w:r>
      <w:r w:rsidR="00B21A9A">
        <w:t xml:space="preserve">summarily denied appellant’s </w:t>
      </w:r>
      <w:r w:rsidR="00EB4394">
        <w:t xml:space="preserve">section 1172.6 </w:t>
      </w:r>
      <w:r w:rsidR="00B21A9A">
        <w:t>petition because</w:t>
      </w:r>
      <w:r w:rsidRPr="00182911">
        <w:t xml:space="preserve"> the jury’s </w:t>
      </w:r>
      <w:r w:rsidR="003B5DEC">
        <w:t xml:space="preserve">true </w:t>
      </w:r>
      <w:r w:rsidR="00B07CC0">
        <w:t xml:space="preserve">finding on the </w:t>
      </w:r>
      <w:r w:rsidRPr="00182911">
        <w:t xml:space="preserve">special circumstance </w:t>
      </w:r>
      <w:r w:rsidR="00B07CC0">
        <w:t xml:space="preserve">allegation established ineligibility </w:t>
      </w:r>
      <w:r w:rsidR="00EB4394">
        <w:t xml:space="preserve">for relief </w:t>
      </w:r>
      <w:r w:rsidR="00B07CC0">
        <w:t>as a matter of law</w:t>
      </w:r>
      <w:r w:rsidR="00203D2E">
        <w:t xml:space="preserve">.  </w:t>
      </w:r>
      <w:r>
        <w:t xml:space="preserve">As the trial court explained, </w:t>
      </w:r>
      <w:r w:rsidR="00AA2B4D">
        <w:t>“</w:t>
      </w:r>
      <w:r w:rsidR="00FD363C">
        <w:t>This is not a natural</w:t>
      </w:r>
      <w:r w:rsidR="00AA2B4D">
        <w:t xml:space="preserve">, probable consequences theory of liability.  This is not a reckless disregard for human life special circumstance. </w:t>
      </w:r>
      <w:r w:rsidR="00F0799B">
        <w:t xml:space="preserve"> This is </w:t>
      </w:r>
      <w:r w:rsidR="00D21851">
        <w:t xml:space="preserve">a case in which the jury found that he had the intent to kill, and the relief </w:t>
      </w:r>
      <w:r w:rsidR="00D21851">
        <w:lastRenderedPageBreak/>
        <w:t xml:space="preserve">is not available to non-killers who, nonetheless, had </w:t>
      </w:r>
      <w:r w:rsidR="002C1D53">
        <w:t xml:space="preserve">the </w:t>
      </w:r>
      <w:r w:rsidR="00D21851">
        <w:t>intent to kill.</w:t>
      </w:r>
      <w:r>
        <w:t xml:space="preserve">”   </w:t>
      </w:r>
      <w:r>
        <w:tab/>
      </w:r>
    </w:p>
    <w:p w14:paraId="408544DA" w14:textId="20540560" w:rsidR="00583415" w:rsidRPr="00C1167A" w:rsidRDefault="00613E0B" w:rsidP="00583415">
      <w:pPr>
        <w:tabs>
          <w:tab w:val="left" w:pos="720"/>
          <w:tab w:val="left" w:pos="1440"/>
          <w:tab w:val="left" w:pos="2880"/>
          <w:tab w:val="left" w:pos="4320"/>
          <w:tab w:val="left" w:pos="5760"/>
          <w:tab w:val="left" w:pos="7200"/>
        </w:tabs>
      </w:pPr>
      <w:r>
        <w:tab/>
      </w:r>
      <w:r w:rsidR="00583415">
        <w:t xml:space="preserve">Appellant </w:t>
      </w:r>
      <w:r w:rsidR="005E7C4C">
        <w:t xml:space="preserve">disagrees </w:t>
      </w:r>
      <w:r w:rsidR="00453248">
        <w:t>claiming</w:t>
      </w:r>
      <w:r w:rsidR="00A06856">
        <w:t xml:space="preserve"> </w:t>
      </w:r>
      <w:r w:rsidR="00AE762F">
        <w:t>the verdict form cited by the trial cour</w:t>
      </w:r>
      <w:r w:rsidR="000C2884">
        <w:t>t</w:t>
      </w:r>
      <w:r w:rsidR="00AE762F">
        <w:t xml:space="preserve"> shows the jury found appellant guilty under a felony murder theory without specifically finding the actus reus requirement </w:t>
      </w:r>
      <w:r w:rsidR="00EC4DE1">
        <w:t xml:space="preserve">in section 189 subdivision (e)(2) to be true. </w:t>
      </w:r>
      <w:r w:rsidR="00AA5B79">
        <w:t xml:space="preserve"> </w:t>
      </w:r>
      <w:r w:rsidR="00F74DFD">
        <w:t xml:space="preserve">Relying on </w:t>
      </w:r>
      <w:r w:rsidR="005E7C4C">
        <w:rPr>
          <w:i/>
          <w:iCs/>
        </w:rPr>
        <w:t>People v. E</w:t>
      </w:r>
      <w:r w:rsidR="00F74DFD" w:rsidRPr="00471A33">
        <w:rPr>
          <w:i/>
          <w:iCs/>
        </w:rPr>
        <w:t>rvin</w:t>
      </w:r>
      <w:r w:rsidR="005E7C4C">
        <w:rPr>
          <w:i/>
          <w:iCs/>
        </w:rPr>
        <w:t xml:space="preserve"> </w:t>
      </w:r>
      <w:r w:rsidR="005E7C4C">
        <w:t>(2021)</w:t>
      </w:r>
      <w:r w:rsidR="00635E89">
        <w:t xml:space="preserve"> </w:t>
      </w:r>
      <w:r w:rsidR="00F74DFD">
        <w:t>72 Cal.App.5</w:t>
      </w:r>
      <w:r w:rsidR="00F74DFD" w:rsidRPr="00471A33">
        <w:t>th</w:t>
      </w:r>
      <w:r w:rsidR="00F74DFD">
        <w:t xml:space="preserve"> 90 </w:t>
      </w:r>
      <w:r w:rsidR="00457C89">
        <w:t>(</w:t>
      </w:r>
      <w:r w:rsidR="00457C89" w:rsidRPr="00457C89">
        <w:rPr>
          <w:i/>
          <w:iCs/>
        </w:rPr>
        <w:t>Ervin</w:t>
      </w:r>
      <w:r w:rsidR="00457C89">
        <w:t xml:space="preserve">) </w:t>
      </w:r>
      <w:r w:rsidR="00F74DFD" w:rsidRPr="00457C89">
        <w:t>and</w:t>
      </w:r>
      <w:r w:rsidR="00F74DFD">
        <w:t xml:space="preserve"> the dissenting opinion in </w:t>
      </w:r>
      <w:r w:rsidR="00F74DFD" w:rsidRPr="00557F66">
        <w:rPr>
          <w:i/>
          <w:iCs/>
        </w:rPr>
        <w:t>People v. Lopez</w:t>
      </w:r>
      <w:r w:rsidR="00F74DFD">
        <w:t xml:space="preserve"> (2023) 88 Cal.App.5</w:t>
      </w:r>
      <w:r w:rsidR="00F74DFD" w:rsidRPr="00B46175">
        <w:t>th</w:t>
      </w:r>
      <w:r w:rsidR="00F74DFD">
        <w:t xml:space="preserve"> 566</w:t>
      </w:r>
      <w:r w:rsidR="00324552">
        <w:t xml:space="preserve"> (</w:t>
      </w:r>
      <w:r w:rsidR="00324552" w:rsidRPr="00324552">
        <w:rPr>
          <w:i/>
          <w:iCs/>
        </w:rPr>
        <w:t>Lopez</w:t>
      </w:r>
      <w:r w:rsidR="00324552">
        <w:t>)</w:t>
      </w:r>
      <w:r w:rsidR="00F74DFD">
        <w:t>,</w:t>
      </w:r>
      <w:r w:rsidR="00B835C6">
        <w:t xml:space="preserve"> </w:t>
      </w:r>
      <w:r w:rsidR="00CA6ACB">
        <w:t xml:space="preserve">review den. May 31, 2023, </w:t>
      </w:r>
      <w:r w:rsidR="00606B86">
        <w:t>appellant contends</w:t>
      </w:r>
      <w:r w:rsidR="00E7415F">
        <w:t xml:space="preserve"> </w:t>
      </w:r>
      <w:r w:rsidR="005357E0">
        <w:t>Senate Bill</w:t>
      </w:r>
      <w:r w:rsidR="00F74DFD">
        <w:t xml:space="preserve"> 1437 “required not just an intent to kill, but intent to kill </w:t>
      </w:r>
      <w:r w:rsidR="00F74DFD" w:rsidRPr="00AA5B79">
        <w:rPr>
          <w:i/>
          <w:iCs/>
        </w:rPr>
        <w:t>when acting to aid the killing</w:t>
      </w:r>
      <w:r w:rsidR="00811120">
        <w:t>.</w:t>
      </w:r>
      <w:r w:rsidR="00F74DFD">
        <w:t>”</w:t>
      </w:r>
      <w:r w:rsidR="007B56DE">
        <w:t xml:space="preserve"> </w:t>
      </w:r>
      <w:r w:rsidR="00811120">
        <w:t xml:space="preserve"> </w:t>
      </w:r>
      <w:r w:rsidR="00F74DFD">
        <w:t>(</w:t>
      </w:r>
      <w:r w:rsidR="00F74DFD">
        <w:rPr>
          <w:i/>
          <w:iCs/>
        </w:rPr>
        <w:t>Lopez</w:t>
      </w:r>
      <w:r w:rsidR="00F74DFD" w:rsidRPr="00F56632">
        <w:t>,</w:t>
      </w:r>
      <w:r w:rsidR="00F74DFD">
        <w:rPr>
          <w:i/>
          <w:iCs/>
        </w:rPr>
        <w:t xml:space="preserve"> </w:t>
      </w:r>
      <w:r w:rsidR="00F74DFD" w:rsidRPr="00F56632">
        <w:t>at p</w:t>
      </w:r>
      <w:r w:rsidR="00F74DFD" w:rsidRPr="00557F66">
        <w:t>.</w:t>
      </w:r>
      <w:r w:rsidR="00F74DFD">
        <w:t xml:space="preserve"> 586 (dis. </w:t>
      </w:r>
      <w:r w:rsidR="00462A2C">
        <w:t>o</w:t>
      </w:r>
      <w:r w:rsidR="00F74DFD">
        <w:t>pn. of Raphael, J.)</w:t>
      </w:r>
      <w:r w:rsidR="00AA5B79">
        <w:t xml:space="preserve"> italics added</w:t>
      </w:r>
      <w:r w:rsidR="00F74DFD">
        <w:t>.)</w:t>
      </w:r>
      <w:r w:rsidR="00216D15">
        <w:t xml:space="preserve">  </w:t>
      </w:r>
    </w:p>
    <w:p w14:paraId="6F1F4E9E" w14:textId="3D8142F8" w:rsidR="001565D8" w:rsidRDefault="008D5885" w:rsidP="00047165">
      <w:pPr>
        <w:tabs>
          <w:tab w:val="left" w:pos="720"/>
          <w:tab w:val="left" w:pos="1440"/>
          <w:tab w:val="left" w:pos="2880"/>
          <w:tab w:val="left" w:pos="4320"/>
          <w:tab w:val="left" w:pos="5760"/>
          <w:tab w:val="left" w:pos="7200"/>
        </w:tabs>
      </w:pPr>
      <w:r>
        <w:tab/>
      </w:r>
      <w:r w:rsidR="00AE5625">
        <w:t>But a</w:t>
      </w:r>
      <w:r w:rsidR="009460FA">
        <w:t>ppellant’s</w:t>
      </w:r>
      <w:r w:rsidR="00052188">
        <w:t xml:space="preserve"> contention</w:t>
      </w:r>
      <w:r w:rsidR="00944177">
        <w:t xml:space="preserve"> has been</w:t>
      </w:r>
      <w:r w:rsidR="007E3F40">
        <w:t xml:space="preserve"> rejected </w:t>
      </w:r>
      <w:r w:rsidR="00242642">
        <w:t xml:space="preserve">in </w:t>
      </w:r>
      <w:r w:rsidR="00880B06" w:rsidRPr="00880B06">
        <w:rPr>
          <w:i/>
          <w:iCs/>
        </w:rPr>
        <w:t>Lopez</w:t>
      </w:r>
      <w:r w:rsidR="007E3F40" w:rsidRPr="007E3F40">
        <w:t>,</w:t>
      </w:r>
      <w:r w:rsidR="00B85360" w:rsidRPr="007E3F40">
        <w:t xml:space="preserve"> </w:t>
      </w:r>
      <w:r w:rsidR="00324552" w:rsidRPr="00324552">
        <w:t>which hel</w:t>
      </w:r>
      <w:r w:rsidR="00880B06" w:rsidRPr="00324552">
        <w:t>d</w:t>
      </w:r>
      <w:r w:rsidR="00880B06">
        <w:t xml:space="preserve"> </w:t>
      </w:r>
      <w:r w:rsidR="000528FA">
        <w:t xml:space="preserve">that the defendant’s actus reus of assisting with the underlying felony is sufficient and not changed by </w:t>
      </w:r>
      <w:r w:rsidR="005357E0">
        <w:t>Senate Bill</w:t>
      </w:r>
      <w:r w:rsidR="000528FA">
        <w:t xml:space="preserve"> 1437.  </w:t>
      </w:r>
      <w:r w:rsidR="00965CEB">
        <w:t>(</w:t>
      </w:r>
      <w:r w:rsidR="00965CEB" w:rsidRPr="00324552">
        <w:rPr>
          <w:i/>
          <w:iCs/>
        </w:rPr>
        <w:t>Lopez</w:t>
      </w:r>
      <w:r w:rsidR="00965CEB">
        <w:t xml:space="preserve">, </w:t>
      </w:r>
      <w:r w:rsidR="00965CEB" w:rsidRPr="00324552">
        <w:rPr>
          <w:i/>
          <w:iCs/>
        </w:rPr>
        <w:t>supra</w:t>
      </w:r>
      <w:r w:rsidR="00965CEB">
        <w:t>, 88 Cal.App.5</w:t>
      </w:r>
      <w:r w:rsidR="00965CEB" w:rsidRPr="00324552">
        <w:t xml:space="preserve">th </w:t>
      </w:r>
      <w:r w:rsidR="00965CEB">
        <w:t>at p</w:t>
      </w:r>
      <w:r w:rsidR="00C8143B">
        <w:t>p. 578-580</w:t>
      </w:r>
      <w:r w:rsidR="003C3C9B">
        <w:t>.)</w:t>
      </w:r>
      <w:r w:rsidR="008D3291">
        <w:t xml:space="preserve">  </w:t>
      </w:r>
      <w:r w:rsidR="00CD1698">
        <w:t xml:space="preserve">As </w:t>
      </w:r>
      <w:r w:rsidR="003C3C9B" w:rsidRPr="000F626F">
        <w:rPr>
          <w:i/>
          <w:iCs/>
        </w:rPr>
        <w:t>Lopez</w:t>
      </w:r>
      <w:r w:rsidR="003C3C9B">
        <w:t xml:space="preserve"> ex</w:t>
      </w:r>
      <w:r w:rsidR="00000BE0">
        <w:t>plained</w:t>
      </w:r>
      <w:r w:rsidR="00CD1698">
        <w:t>,</w:t>
      </w:r>
      <w:r w:rsidR="00000BE0">
        <w:t xml:space="preserve"> the California Supreme Court rejected the same argument</w:t>
      </w:r>
      <w:r w:rsidR="009D6507">
        <w:t xml:space="preserve"> </w:t>
      </w:r>
      <w:r w:rsidR="007A55EA">
        <w:t>in</w:t>
      </w:r>
      <w:r w:rsidR="00CD6408">
        <w:t xml:space="preserve"> </w:t>
      </w:r>
      <w:r w:rsidR="00DD2776" w:rsidRPr="00CD6408">
        <w:rPr>
          <w:i/>
          <w:iCs/>
        </w:rPr>
        <w:t>People v. Dickey</w:t>
      </w:r>
      <w:r w:rsidR="00DD2776">
        <w:t xml:space="preserve"> (2005) 35 Cal.4</w:t>
      </w:r>
      <w:r w:rsidR="00DD2776" w:rsidRPr="00CD6408">
        <w:t>th</w:t>
      </w:r>
      <w:r w:rsidR="00DD2776">
        <w:t xml:space="preserve"> 884</w:t>
      </w:r>
      <w:r w:rsidR="00930DAD">
        <w:t xml:space="preserve">.  </w:t>
      </w:r>
      <w:r w:rsidR="00047165">
        <w:t>(</w:t>
      </w:r>
      <w:r w:rsidR="00047165" w:rsidRPr="00324552">
        <w:rPr>
          <w:i/>
          <w:iCs/>
        </w:rPr>
        <w:t>Lopez</w:t>
      </w:r>
      <w:r w:rsidR="00047165">
        <w:t>, at pp. 577-5</w:t>
      </w:r>
      <w:r w:rsidR="00C47F3B">
        <w:t>7</w:t>
      </w:r>
      <w:r w:rsidR="00047165">
        <w:t>8.)</w:t>
      </w:r>
      <w:r w:rsidR="008D3291">
        <w:t xml:space="preserve">  </w:t>
      </w:r>
      <w:r w:rsidR="00A50CF4">
        <w:t xml:space="preserve">In </w:t>
      </w:r>
      <w:r w:rsidR="00A50CF4" w:rsidRPr="00A50CF4">
        <w:rPr>
          <w:i/>
          <w:iCs/>
        </w:rPr>
        <w:t>Dickey</w:t>
      </w:r>
      <w:r w:rsidR="00A50CF4">
        <w:t>, t</w:t>
      </w:r>
      <w:r w:rsidR="00B55A98">
        <w:t>he</w:t>
      </w:r>
      <w:r w:rsidR="00A16543">
        <w:t xml:space="preserve"> </w:t>
      </w:r>
      <w:r w:rsidR="00930DAD">
        <w:t xml:space="preserve">Court examined the </w:t>
      </w:r>
      <w:r w:rsidR="00D16A06">
        <w:t xml:space="preserve">felony-murder special circumstance </w:t>
      </w:r>
      <w:r w:rsidR="00930DAD">
        <w:t xml:space="preserve">language </w:t>
      </w:r>
      <w:r w:rsidR="00D16A06">
        <w:t>set forth in section 190.2, subdivision (c)</w:t>
      </w:r>
      <w:r w:rsidR="000E6883">
        <w:t xml:space="preserve"> (former subdivision (b))</w:t>
      </w:r>
      <w:r w:rsidR="005B6808">
        <w:t xml:space="preserve">, which is nearly identical to the language used in section 189, subdivision (e)(2).  </w:t>
      </w:r>
      <w:r w:rsidR="00503090" w:rsidRPr="00C47F3B">
        <w:t>(</w:t>
      </w:r>
      <w:r w:rsidR="00C47F3B" w:rsidRPr="00C47F3B">
        <w:rPr>
          <w:i/>
          <w:iCs/>
        </w:rPr>
        <w:t>Dickey</w:t>
      </w:r>
      <w:r w:rsidR="00C47F3B" w:rsidRPr="006F140D">
        <w:t>,</w:t>
      </w:r>
      <w:r w:rsidR="00503090" w:rsidRPr="00C47F3B">
        <w:t xml:space="preserve"> at </w:t>
      </w:r>
      <w:r w:rsidR="0012417C" w:rsidRPr="00C47F3B">
        <w:t>pp. 900-901.)</w:t>
      </w:r>
    </w:p>
    <w:p w14:paraId="02B5B240" w14:textId="5EA82DBD" w:rsidR="00042E74" w:rsidRDefault="001565D8" w:rsidP="007830C7">
      <w:pPr>
        <w:tabs>
          <w:tab w:val="left" w:pos="720"/>
          <w:tab w:val="left" w:pos="1440"/>
          <w:tab w:val="left" w:pos="2880"/>
          <w:tab w:val="left" w:pos="4320"/>
          <w:tab w:val="left" w:pos="5760"/>
          <w:tab w:val="left" w:pos="7200"/>
        </w:tabs>
      </w:pPr>
      <w:r>
        <w:tab/>
      </w:r>
      <w:r w:rsidR="00B77F17">
        <w:t>W</w:t>
      </w:r>
      <w:r w:rsidR="00E913C0">
        <w:t>e</w:t>
      </w:r>
      <w:r w:rsidR="00881FAA">
        <w:t xml:space="preserve"> </w:t>
      </w:r>
      <w:r w:rsidR="00796385">
        <w:t>agree with</w:t>
      </w:r>
      <w:r w:rsidR="00881FAA">
        <w:t xml:space="preserve"> the majority</w:t>
      </w:r>
      <w:r w:rsidR="004264C1">
        <w:t>’s analysis</w:t>
      </w:r>
      <w:r w:rsidR="00881FAA">
        <w:t xml:space="preserve"> in </w:t>
      </w:r>
      <w:r w:rsidR="00881FAA" w:rsidRPr="00447B7F">
        <w:rPr>
          <w:i/>
          <w:iCs/>
        </w:rPr>
        <w:t>Lopez</w:t>
      </w:r>
      <w:r w:rsidR="004E4CD9" w:rsidRPr="004E4CD9">
        <w:t xml:space="preserve"> </w:t>
      </w:r>
      <w:r w:rsidR="004E4CD9">
        <w:t>and conclude the actus reus element of section 189, subdivision (e)(2) requires an aider or abettor to have aided, abetted, or assisted a qualifying felony during which a killing occurs.</w:t>
      </w:r>
      <w:r w:rsidR="00E510E7">
        <w:t xml:space="preserve"> </w:t>
      </w:r>
      <w:r w:rsidR="00042E74">
        <w:t xml:space="preserve"> As the author of Senate Bill No. 1437, said, the harshest punishment remains “</w:t>
      </w:r>
      <w:r w:rsidR="0059706D">
        <w:t>‘“</w:t>
      </w:r>
      <w:r w:rsidR="00042E74" w:rsidRPr="0059706D">
        <w:rPr>
          <w:i/>
          <w:iCs/>
        </w:rPr>
        <w:t>for those who intentionally planned</w:t>
      </w:r>
      <w:r w:rsidR="00042E74">
        <w:t xml:space="preserve"> or actual</w:t>
      </w:r>
      <w:r w:rsidR="00E4198A">
        <w:t>ly</w:t>
      </w:r>
      <w:r w:rsidR="00042E74">
        <w:t xml:space="preserve"> </w:t>
      </w:r>
      <w:r w:rsidR="00BE1D71">
        <w:t>committed the killing.</w:t>
      </w:r>
      <w:r w:rsidR="0059706D">
        <w:t>”’</w:t>
      </w:r>
      <w:r w:rsidR="00BE1D71">
        <w:t>”  (</w:t>
      </w:r>
      <w:r w:rsidR="00BE1D71">
        <w:rPr>
          <w:i/>
          <w:iCs/>
        </w:rPr>
        <w:t xml:space="preserve">Lopez, supra, </w:t>
      </w:r>
      <w:r w:rsidR="00BE1D71">
        <w:t>88 Cal.App.5</w:t>
      </w:r>
      <w:r w:rsidR="00BE1D71" w:rsidRPr="00BE1D71">
        <w:t>th</w:t>
      </w:r>
      <w:r w:rsidR="00BE1D71">
        <w:t xml:space="preserve"> at p. 579.)</w:t>
      </w:r>
      <w:r w:rsidR="00E510E7">
        <w:t xml:space="preserve"> </w:t>
      </w:r>
    </w:p>
    <w:p w14:paraId="3A489E41" w14:textId="0F83FB06" w:rsidR="001F2288" w:rsidRPr="00423F43" w:rsidRDefault="00042E74" w:rsidP="007830C7">
      <w:pPr>
        <w:tabs>
          <w:tab w:val="left" w:pos="720"/>
          <w:tab w:val="left" w:pos="1440"/>
          <w:tab w:val="left" w:pos="2880"/>
          <w:tab w:val="left" w:pos="4320"/>
          <w:tab w:val="left" w:pos="5760"/>
          <w:tab w:val="left" w:pos="7200"/>
        </w:tabs>
      </w:pPr>
      <w:r>
        <w:lastRenderedPageBreak/>
        <w:tab/>
      </w:r>
      <w:r w:rsidR="00764166">
        <w:t xml:space="preserve">We are not persuaded that Senate Bill 1437 rendered </w:t>
      </w:r>
      <w:r w:rsidR="00E510E7" w:rsidRPr="00423F43">
        <w:rPr>
          <w:i/>
          <w:iCs/>
        </w:rPr>
        <w:t>Dickey</w:t>
      </w:r>
      <w:r w:rsidR="00E510E7">
        <w:t xml:space="preserve"> </w:t>
      </w:r>
      <w:r w:rsidR="000B5CE6">
        <w:t>inapplicable</w:t>
      </w:r>
      <w:r w:rsidR="00E510E7">
        <w:t xml:space="preserve"> simply because </w:t>
      </w:r>
      <w:r w:rsidR="00AC2A92">
        <w:t>it</w:t>
      </w:r>
      <w:r w:rsidR="00E510E7">
        <w:t xml:space="preserve"> predated</w:t>
      </w:r>
      <w:r w:rsidR="00764166">
        <w:t xml:space="preserve"> the</w:t>
      </w:r>
      <w:r w:rsidR="00AC2A92">
        <w:t xml:space="preserve"> legislative amendment</w:t>
      </w:r>
      <w:r w:rsidR="004E3F95">
        <w:t>.  This is</w:t>
      </w:r>
      <w:r w:rsidR="00AC2A92">
        <w:t xml:space="preserve"> </w:t>
      </w:r>
      <w:r w:rsidR="00F13B95">
        <w:t>particular</w:t>
      </w:r>
      <w:r w:rsidR="00AC2A92">
        <w:t>ly</w:t>
      </w:r>
      <w:r w:rsidR="004E3F95">
        <w:t xml:space="preserve"> true</w:t>
      </w:r>
      <w:r w:rsidR="00AC2A92">
        <w:t xml:space="preserve"> </w:t>
      </w:r>
      <w:r w:rsidR="00F13B95">
        <w:t xml:space="preserve">given the language in </w:t>
      </w:r>
      <w:r w:rsidR="0049409D">
        <w:t xml:space="preserve">section 189, subdivision (a) and </w:t>
      </w:r>
      <w:r w:rsidR="00F13B95">
        <w:t>our</w:t>
      </w:r>
      <w:r w:rsidR="00796385">
        <w:t xml:space="preserve"> Supreme Court’s interpretation of a phrase nearly identical to that used in the amended section 189, subdivision (e)(2)</w:t>
      </w:r>
      <w:r w:rsidR="00C222DA">
        <w:t xml:space="preserve">, neither of which were discussed by </w:t>
      </w:r>
      <w:r w:rsidR="003F7A62" w:rsidRPr="00471A33">
        <w:rPr>
          <w:i/>
          <w:iCs/>
        </w:rPr>
        <w:t>Ervin</w:t>
      </w:r>
      <w:r w:rsidR="003F7A62">
        <w:t xml:space="preserve">, </w:t>
      </w:r>
      <w:r w:rsidR="003F7A62" w:rsidRPr="00A504D1">
        <w:rPr>
          <w:i/>
          <w:iCs/>
        </w:rPr>
        <w:t>supra</w:t>
      </w:r>
      <w:r w:rsidR="003F7A62">
        <w:t>, 72 Cal.App.5</w:t>
      </w:r>
      <w:r w:rsidR="003F7A62" w:rsidRPr="00471A33">
        <w:t>th</w:t>
      </w:r>
      <w:r w:rsidR="003F7A62">
        <w:t xml:space="preserve"> 90</w:t>
      </w:r>
      <w:r w:rsidR="00F5582C">
        <w:t>.</w:t>
      </w:r>
      <w:r w:rsidR="005F201D">
        <w:t xml:space="preserve"> </w:t>
      </w:r>
      <w:r w:rsidR="00C222DA">
        <w:tab/>
      </w:r>
      <w:r w:rsidR="00A86CAA">
        <w:t xml:space="preserve"> </w:t>
      </w:r>
    </w:p>
    <w:p w14:paraId="5336D9BC" w14:textId="385EAA93" w:rsidR="007F5DD3" w:rsidRDefault="0075629C" w:rsidP="008A2D53">
      <w:pPr>
        <w:tabs>
          <w:tab w:val="left" w:pos="720"/>
          <w:tab w:val="left" w:pos="1440"/>
          <w:tab w:val="left" w:pos="2880"/>
          <w:tab w:val="left" w:pos="4320"/>
          <w:tab w:val="left" w:pos="5760"/>
          <w:tab w:val="left" w:pos="7200"/>
        </w:tabs>
      </w:pPr>
      <w:r w:rsidRPr="0075629C">
        <w:tab/>
      </w:r>
      <w:r w:rsidR="00E1381E" w:rsidRPr="0075629C">
        <w:t xml:space="preserve">Based on the foregoing, </w:t>
      </w:r>
      <w:r w:rsidR="00E1381E">
        <w:t>w</w:t>
      </w:r>
      <w:r w:rsidR="001228F7">
        <w:t xml:space="preserve">e </w:t>
      </w:r>
      <w:r w:rsidR="00BF42C6">
        <w:t xml:space="preserve">decline to adopt the alternative interpretation of section 189, subdivision (e)(2) espoused by appellant and the dissent in </w:t>
      </w:r>
      <w:r w:rsidR="00BF42C6" w:rsidRPr="003A783F">
        <w:rPr>
          <w:i/>
          <w:iCs/>
        </w:rPr>
        <w:t>Lopez</w:t>
      </w:r>
      <w:r w:rsidR="00BF42C6">
        <w:t xml:space="preserve">.  </w:t>
      </w:r>
      <w:r w:rsidR="00573737">
        <w:t>Moreover, w</w:t>
      </w:r>
      <w:r w:rsidR="00327434">
        <w:t xml:space="preserve">e </w:t>
      </w:r>
      <w:r w:rsidR="00E1381E">
        <w:t xml:space="preserve">reject appellant’s contention that the absence of an express reference to 190.2, subdivision (c) in the amended section 189, subdivision (e)(2) means the Legislature intended to alter this specific ground for liability under the felony murder rule.  </w:t>
      </w:r>
      <w:r w:rsidR="00D31620">
        <w:t>Because</w:t>
      </w:r>
      <w:r w:rsidR="00F33395">
        <w:t xml:space="preserve"> </w:t>
      </w:r>
      <w:r w:rsidR="00703BC2">
        <w:t xml:space="preserve">the Legislature used the same phrase interpreted </w:t>
      </w:r>
      <w:r w:rsidR="00E36CCB">
        <w:t xml:space="preserve">by </w:t>
      </w:r>
      <w:r w:rsidR="00EB7270">
        <w:t>our Supreme Court</w:t>
      </w:r>
      <w:r w:rsidR="00D31620">
        <w:t xml:space="preserve"> in </w:t>
      </w:r>
      <w:r w:rsidR="00D31620" w:rsidRPr="00D31620">
        <w:rPr>
          <w:i/>
          <w:iCs/>
        </w:rPr>
        <w:t>Dickey</w:t>
      </w:r>
      <w:r w:rsidR="00EB7270">
        <w:t xml:space="preserve"> </w:t>
      </w:r>
      <w:r w:rsidR="00703BC2">
        <w:t>when amend</w:t>
      </w:r>
      <w:r w:rsidR="00074C2F">
        <w:t>ing</w:t>
      </w:r>
      <w:r w:rsidR="00703BC2">
        <w:t xml:space="preserve"> section 189</w:t>
      </w:r>
      <w:r w:rsidR="00F33395">
        <w:t xml:space="preserve"> to state the new felony-murder rule, we assume they intended it to have the same meaning.  </w:t>
      </w:r>
      <w:r w:rsidR="001B700B">
        <w:t>(</w:t>
      </w:r>
      <w:r w:rsidR="00EB7270">
        <w:t xml:space="preserve">See </w:t>
      </w:r>
      <w:r w:rsidR="001B700B" w:rsidRPr="00B95448">
        <w:rPr>
          <w:i/>
          <w:iCs/>
        </w:rPr>
        <w:t>Lopez</w:t>
      </w:r>
      <w:r w:rsidR="001B700B">
        <w:t xml:space="preserve">, </w:t>
      </w:r>
      <w:r w:rsidR="001B700B" w:rsidRPr="00324552">
        <w:rPr>
          <w:i/>
          <w:iCs/>
        </w:rPr>
        <w:t>supra</w:t>
      </w:r>
      <w:r w:rsidR="001B700B">
        <w:t>, 88 Cal.App.5</w:t>
      </w:r>
      <w:r w:rsidR="001B700B" w:rsidRPr="00324552">
        <w:t xml:space="preserve">th </w:t>
      </w:r>
      <w:r w:rsidR="001B700B">
        <w:t xml:space="preserve">at p. 578.) </w:t>
      </w:r>
    </w:p>
    <w:p w14:paraId="6F64E6B9" w14:textId="641F6C05" w:rsidR="00BF42C6" w:rsidRDefault="007F5DD3" w:rsidP="008A2D53">
      <w:pPr>
        <w:tabs>
          <w:tab w:val="left" w:pos="720"/>
          <w:tab w:val="left" w:pos="1440"/>
          <w:tab w:val="left" w:pos="2880"/>
          <w:tab w:val="left" w:pos="4320"/>
          <w:tab w:val="left" w:pos="5760"/>
          <w:tab w:val="left" w:pos="7200"/>
        </w:tabs>
      </w:pPr>
      <w:r>
        <w:tab/>
      </w:r>
      <w:r w:rsidR="00F33395">
        <w:t xml:space="preserve">Thus, </w:t>
      </w:r>
      <w:r w:rsidR="008A2D53" w:rsidRPr="003D015B">
        <w:t>“</w:t>
      </w:r>
      <w:r w:rsidR="00F33395">
        <w:t>[d</w:t>
      </w:r>
      <w:r w:rsidR="00327434">
        <w:t>]</w:t>
      </w:r>
      <w:r w:rsidR="008A2D53" w:rsidRPr="003D015B">
        <w:t xml:space="preserve">efendants who aid a qualifying felony with an </w:t>
      </w:r>
      <w:r w:rsidR="008A2D53" w:rsidRPr="006040B1">
        <w:rPr>
          <w:i/>
          <w:iCs/>
        </w:rPr>
        <w:t>intentional plan</w:t>
      </w:r>
      <w:r w:rsidR="008A2D53" w:rsidRPr="003D015B">
        <w:t xml:space="preserve"> to kill (i.e</w:t>
      </w:r>
      <w:r w:rsidR="008A2D53">
        <w:t>.</w:t>
      </w:r>
      <w:r w:rsidR="008A2D53" w:rsidRPr="003D015B">
        <w:t>, an intent to kill) are the exact type of offender” who remain liable for murder under Senate Bill 1437.</w:t>
      </w:r>
      <w:r w:rsidR="008A2D53">
        <w:t xml:space="preserve">  (</w:t>
      </w:r>
      <w:r w:rsidR="008A2D53" w:rsidRPr="00B95448">
        <w:rPr>
          <w:i/>
          <w:iCs/>
        </w:rPr>
        <w:t>Lopez</w:t>
      </w:r>
      <w:r w:rsidR="008A2D53">
        <w:t xml:space="preserve">, </w:t>
      </w:r>
      <w:r w:rsidRPr="00324552">
        <w:rPr>
          <w:i/>
          <w:iCs/>
        </w:rPr>
        <w:t>supra</w:t>
      </w:r>
      <w:r>
        <w:t>, 88 Cal.App.5</w:t>
      </w:r>
      <w:r w:rsidRPr="00324552">
        <w:t xml:space="preserve">th </w:t>
      </w:r>
      <w:r>
        <w:t xml:space="preserve">at p. </w:t>
      </w:r>
      <w:r w:rsidR="008A2D53">
        <w:t xml:space="preserve">579.) </w:t>
      </w:r>
      <w:r w:rsidR="00B6672A">
        <w:rPr>
          <w:b/>
          <w:bCs/>
        </w:rPr>
        <w:t xml:space="preserve"> </w:t>
      </w:r>
      <w:r w:rsidR="00B6672A">
        <w:t>We emphasize that appellant provided the machine gun to his cohorts and ordered them to kill the deced</w:t>
      </w:r>
      <w:r w:rsidR="000B285E">
        <w:t>e</w:t>
      </w:r>
      <w:r w:rsidR="00B6672A">
        <w:t xml:space="preserve">nt.  (See </w:t>
      </w:r>
      <w:r w:rsidR="00B6672A">
        <w:rPr>
          <w:i/>
          <w:iCs/>
        </w:rPr>
        <w:t xml:space="preserve">Hollywood, supra, </w:t>
      </w:r>
      <w:r w:rsidR="00F170D8">
        <w:t>43 Cal.4</w:t>
      </w:r>
      <w:r w:rsidR="00F170D8" w:rsidRPr="00F170D8">
        <w:t>th</w:t>
      </w:r>
      <w:r w:rsidR="00F170D8">
        <w:t xml:space="preserve"> at p. 725.)  The trial judge heard this evidence at the trial and </w:t>
      </w:r>
      <w:r w:rsidR="000B285E">
        <w:t xml:space="preserve">there is no showing that this did not occur.  The Legislature did not intend to provide sentencing relief </w:t>
      </w:r>
      <w:r w:rsidR="00C00DB9">
        <w:t xml:space="preserve">or meaningless evidentiary hearings </w:t>
      </w:r>
      <w:r w:rsidR="000B285E">
        <w:t>for someone who directs his cohorts to murder an innocent child.</w:t>
      </w:r>
      <w:r w:rsidR="00221177">
        <w:t xml:space="preserve">  </w:t>
      </w:r>
    </w:p>
    <w:p w14:paraId="1D279935" w14:textId="2CC220B0" w:rsidR="00F014D2" w:rsidRPr="00A81D92" w:rsidRDefault="0067447B" w:rsidP="008A2D53">
      <w:pPr>
        <w:tabs>
          <w:tab w:val="left" w:pos="720"/>
          <w:tab w:val="left" w:pos="1440"/>
          <w:tab w:val="left" w:pos="2880"/>
          <w:tab w:val="left" w:pos="4320"/>
          <w:tab w:val="left" w:pos="5760"/>
          <w:tab w:val="left" w:pos="7200"/>
        </w:tabs>
      </w:pPr>
      <w:r>
        <w:lastRenderedPageBreak/>
        <w:tab/>
        <w:t xml:space="preserve">Checking a box on a printed form saying the petitioner could not presently be </w:t>
      </w:r>
      <w:r w:rsidR="004842F2">
        <w:t xml:space="preserve">convicted of murder, given the </w:t>
      </w:r>
      <w:r w:rsidR="00C00DB9">
        <w:t>record of conviction</w:t>
      </w:r>
      <w:r w:rsidR="002145F4">
        <w:t xml:space="preserve">, </w:t>
      </w:r>
      <w:r w:rsidR="004842F2">
        <w:t xml:space="preserve">is ridiculous.  Appellant is a “direct aider and abettor” as a matter of law.  </w:t>
      </w:r>
      <w:r w:rsidR="00C00DB9">
        <w:t>Reversal for an evidentiary hearing would be a futile act.  (</w:t>
      </w:r>
      <w:r w:rsidR="00C00DB9" w:rsidRPr="00C00DB9">
        <w:rPr>
          <w:i/>
          <w:iCs/>
        </w:rPr>
        <w:t>In re Pratt</w:t>
      </w:r>
      <w:r w:rsidR="00C00DB9">
        <w:t xml:space="preserve"> (1980) 112 Cal.App.3d 795, 880.)</w:t>
      </w:r>
    </w:p>
    <w:p w14:paraId="4AAE6E6C" w14:textId="351C0EE5" w:rsidR="0066734D" w:rsidRPr="0066734D" w:rsidRDefault="0066734D" w:rsidP="00BF42C6">
      <w:pPr>
        <w:tabs>
          <w:tab w:val="left" w:pos="720"/>
          <w:tab w:val="left" w:pos="1440"/>
          <w:tab w:val="left" w:pos="2880"/>
          <w:tab w:val="left" w:pos="4320"/>
          <w:tab w:val="left" w:pos="5760"/>
          <w:tab w:val="left" w:pos="7200"/>
        </w:tabs>
        <w:jc w:val="center"/>
        <w:rPr>
          <w:i/>
          <w:iCs/>
        </w:rPr>
      </w:pPr>
      <w:r w:rsidRPr="0066734D">
        <w:rPr>
          <w:i/>
          <w:iCs/>
        </w:rPr>
        <w:t>Disposition</w:t>
      </w:r>
    </w:p>
    <w:p w14:paraId="7A3B1093" w14:textId="1C59858B" w:rsidR="007A35EF" w:rsidRDefault="00745332" w:rsidP="0046154E">
      <w:pPr>
        <w:tabs>
          <w:tab w:val="left" w:pos="720"/>
          <w:tab w:val="left" w:pos="1440"/>
          <w:tab w:val="left" w:pos="2880"/>
          <w:tab w:val="left" w:pos="4320"/>
          <w:tab w:val="left" w:pos="5760"/>
          <w:tab w:val="left" w:pos="7200"/>
        </w:tabs>
      </w:pPr>
      <w:r>
        <w:tab/>
        <w:t>The</w:t>
      </w:r>
      <w:r w:rsidR="007A35EF">
        <w:t xml:space="preserve"> </w:t>
      </w:r>
      <w:r>
        <w:t xml:space="preserve">order denying appellant’s </w:t>
      </w:r>
      <w:r w:rsidR="002366C7">
        <w:t>petitio</w:t>
      </w:r>
      <w:r>
        <w:t>n for relief pur</w:t>
      </w:r>
      <w:r w:rsidR="007A35EF">
        <w:t xml:space="preserve">suant to section 1172.6 is affirmed. </w:t>
      </w:r>
    </w:p>
    <w:p w14:paraId="160A4D57" w14:textId="70A9BB64" w:rsidR="00A40EAF" w:rsidRDefault="00073BBF" w:rsidP="00A40EAF">
      <w:pPr>
        <w:shd w:val="clear" w:color="auto" w:fill="FFFFFF" w:themeFill="background1"/>
        <w:tabs>
          <w:tab w:val="left" w:pos="720"/>
          <w:tab w:val="left" w:pos="2880"/>
          <w:tab w:val="left" w:pos="4320"/>
          <w:tab w:val="left" w:pos="5760"/>
          <w:tab w:val="left" w:pos="7200"/>
        </w:tabs>
      </w:pPr>
      <w:r w:rsidRPr="00073BBF">
        <w:tab/>
      </w:r>
      <w:r w:rsidR="000B285E">
        <w:rPr>
          <w:u w:val="single"/>
        </w:rPr>
        <w:t>CERTIFIED FOR PUBLICATION</w:t>
      </w:r>
      <w:r w:rsidR="00A40EAF" w:rsidRPr="005F116F">
        <w:t>.</w:t>
      </w:r>
      <w:r w:rsidR="00A40EAF" w:rsidRPr="005F116F">
        <w:tab/>
      </w:r>
    </w:p>
    <w:p w14:paraId="0D503A39" w14:textId="77777777" w:rsidR="006040B1" w:rsidRDefault="006040B1" w:rsidP="00A40EAF">
      <w:pPr>
        <w:shd w:val="clear" w:color="auto" w:fill="FFFFFF" w:themeFill="background1"/>
        <w:tabs>
          <w:tab w:val="left" w:pos="720"/>
          <w:tab w:val="left" w:pos="2880"/>
          <w:tab w:val="left" w:pos="4320"/>
          <w:tab w:val="left" w:pos="5760"/>
          <w:tab w:val="left" w:pos="7200"/>
        </w:tabs>
        <w:ind w:left="3600"/>
      </w:pPr>
    </w:p>
    <w:p w14:paraId="408610EA" w14:textId="77777777" w:rsidR="00AE633F" w:rsidRDefault="00AE633F" w:rsidP="00A40EAF">
      <w:pPr>
        <w:shd w:val="clear" w:color="auto" w:fill="FFFFFF" w:themeFill="background1"/>
        <w:tabs>
          <w:tab w:val="left" w:pos="720"/>
          <w:tab w:val="left" w:pos="2880"/>
          <w:tab w:val="left" w:pos="4320"/>
          <w:tab w:val="left" w:pos="5760"/>
          <w:tab w:val="left" w:pos="7200"/>
        </w:tabs>
        <w:ind w:left="3600"/>
      </w:pPr>
    </w:p>
    <w:p w14:paraId="2445C06C" w14:textId="33C8FC5B" w:rsidR="00A40EAF" w:rsidRPr="005F116F" w:rsidRDefault="00A40EAF" w:rsidP="00A40EAF">
      <w:pPr>
        <w:shd w:val="clear" w:color="auto" w:fill="FFFFFF" w:themeFill="background1"/>
        <w:tabs>
          <w:tab w:val="left" w:pos="720"/>
          <w:tab w:val="left" w:pos="2880"/>
          <w:tab w:val="left" w:pos="4320"/>
          <w:tab w:val="left" w:pos="5760"/>
          <w:tab w:val="left" w:pos="7200"/>
        </w:tabs>
        <w:ind w:left="3600"/>
      </w:pPr>
      <w:r>
        <w:tab/>
      </w:r>
      <w:r w:rsidR="000B285E">
        <w:tab/>
      </w:r>
      <w:r w:rsidRPr="005F116F">
        <w:t>YEGAN, J.</w:t>
      </w:r>
    </w:p>
    <w:p w14:paraId="22F3C375" w14:textId="0953E69E" w:rsidR="00A40EAF" w:rsidRDefault="003E60C9" w:rsidP="00A40EAF">
      <w:pPr>
        <w:shd w:val="clear" w:color="auto" w:fill="FFFFFF" w:themeFill="background1"/>
        <w:tabs>
          <w:tab w:val="left" w:pos="720"/>
          <w:tab w:val="left" w:pos="2880"/>
          <w:tab w:val="left" w:pos="4320"/>
          <w:tab w:val="left" w:pos="5760"/>
          <w:tab w:val="left" w:pos="7200"/>
        </w:tabs>
      </w:pPr>
      <w:r>
        <w:t>I</w:t>
      </w:r>
      <w:r w:rsidR="00A40EAF" w:rsidRPr="005F116F">
        <w:t xml:space="preserve"> concur:</w:t>
      </w:r>
    </w:p>
    <w:p w14:paraId="7C9E1945" w14:textId="77777777" w:rsidR="00A40EAF" w:rsidRDefault="00A40EAF" w:rsidP="00A40EAF">
      <w:pPr>
        <w:shd w:val="clear" w:color="auto" w:fill="FFFFFF" w:themeFill="background1"/>
        <w:tabs>
          <w:tab w:val="left" w:pos="720"/>
          <w:tab w:val="left" w:pos="2880"/>
          <w:tab w:val="left" w:pos="4320"/>
          <w:tab w:val="left" w:pos="5760"/>
          <w:tab w:val="left" w:pos="7200"/>
        </w:tabs>
      </w:pPr>
    </w:p>
    <w:p w14:paraId="2893BC32" w14:textId="77777777" w:rsidR="003E60C9" w:rsidRDefault="003E60C9" w:rsidP="00A40EAF">
      <w:pPr>
        <w:shd w:val="clear" w:color="auto" w:fill="FFFFFF" w:themeFill="background1"/>
        <w:tabs>
          <w:tab w:val="left" w:pos="720"/>
          <w:tab w:val="left" w:pos="2880"/>
          <w:tab w:val="left" w:pos="4320"/>
          <w:tab w:val="left" w:pos="5760"/>
          <w:tab w:val="left" w:pos="7200"/>
        </w:tabs>
      </w:pPr>
    </w:p>
    <w:p w14:paraId="2CAB99C3" w14:textId="77777777" w:rsidR="00AE633F" w:rsidRDefault="00A40EAF" w:rsidP="00A40EAF">
      <w:pPr>
        <w:shd w:val="clear" w:color="auto" w:fill="FFFFFF" w:themeFill="background1"/>
        <w:tabs>
          <w:tab w:val="left" w:pos="720"/>
          <w:tab w:val="left" w:pos="1440"/>
          <w:tab w:val="left" w:pos="4320"/>
          <w:tab w:val="left" w:pos="5760"/>
          <w:tab w:val="left" w:pos="7200"/>
        </w:tabs>
      </w:pPr>
      <w:r w:rsidRPr="005F116F">
        <w:tab/>
      </w:r>
      <w:r w:rsidRPr="005F116F">
        <w:tab/>
        <w:t>GILBERT, P. J.</w:t>
      </w:r>
      <w:r w:rsidRPr="005F116F">
        <w:tab/>
      </w:r>
      <w:r w:rsidRPr="005F116F">
        <w:tab/>
      </w:r>
    </w:p>
    <w:p w14:paraId="205020F5" w14:textId="77777777" w:rsidR="00AE633F" w:rsidRDefault="00AE633F" w:rsidP="00A40EAF">
      <w:pPr>
        <w:shd w:val="clear" w:color="auto" w:fill="FFFFFF" w:themeFill="background1"/>
        <w:tabs>
          <w:tab w:val="left" w:pos="720"/>
          <w:tab w:val="left" w:pos="1440"/>
          <w:tab w:val="left" w:pos="4320"/>
          <w:tab w:val="left" w:pos="5760"/>
          <w:tab w:val="left" w:pos="7200"/>
        </w:tabs>
      </w:pPr>
    </w:p>
    <w:p w14:paraId="51F8CD1C" w14:textId="47B55084" w:rsidR="006040B1" w:rsidRDefault="00AE633F" w:rsidP="00A40EAF">
      <w:pPr>
        <w:shd w:val="clear" w:color="auto" w:fill="FFFFFF" w:themeFill="background1"/>
        <w:tabs>
          <w:tab w:val="left" w:pos="720"/>
          <w:tab w:val="left" w:pos="1440"/>
          <w:tab w:val="left" w:pos="4320"/>
          <w:tab w:val="left" w:pos="5760"/>
          <w:tab w:val="left" w:pos="7200"/>
        </w:tabs>
        <w:sectPr w:rsidR="006040B1" w:rsidSect="0046154E">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pPr>
      <w:r>
        <w:tab/>
      </w:r>
      <w:r>
        <w:tab/>
      </w:r>
    </w:p>
    <w:p w14:paraId="34BFB5AB" w14:textId="1DE5C415" w:rsidR="003E60C9" w:rsidRDefault="003E60C9" w:rsidP="003E60C9">
      <w:pPr>
        <w:shd w:val="clear" w:color="auto" w:fill="FFFFFF"/>
        <w:rPr>
          <w:szCs w:val="26"/>
        </w:rPr>
      </w:pPr>
      <w:r>
        <w:rPr>
          <w:szCs w:val="26"/>
        </w:rPr>
        <w:lastRenderedPageBreak/>
        <w:t>CODY, J. CONCURRING:</w:t>
      </w:r>
    </w:p>
    <w:p w14:paraId="39A933B1" w14:textId="77777777" w:rsidR="003E60C9" w:rsidRPr="00776B1A" w:rsidRDefault="003E60C9" w:rsidP="003E60C9">
      <w:pPr>
        <w:shd w:val="clear" w:color="auto" w:fill="FFFFFF"/>
        <w:ind w:firstLine="720"/>
        <w:rPr>
          <w:szCs w:val="26"/>
        </w:rPr>
      </w:pPr>
      <w:r w:rsidRPr="00776B1A">
        <w:rPr>
          <w:szCs w:val="26"/>
        </w:rPr>
        <w:t>I concur in the judgment because I agree appellant’s conviction for aiding and abetting an enumerated felony murder under section</w:t>
      </w:r>
      <w:r>
        <w:rPr>
          <w:rStyle w:val="FootnoteReference"/>
          <w:szCs w:val="26"/>
        </w:rPr>
        <w:footnoteReference w:id="2"/>
      </w:r>
      <w:r w:rsidRPr="00776B1A">
        <w:rPr>
          <w:szCs w:val="26"/>
        </w:rPr>
        <w:t xml:space="preserve"> 189, subdivision (e)(2) with intent to kill precludes relief under section 1172.6.</w:t>
      </w:r>
      <w:r>
        <w:rPr>
          <w:szCs w:val="26"/>
        </w:rPr>
        <w:t xml:space="preserve"> </w:t>
      </w:r>
      <w:r w:rsidRPr="00776B1A">
        <w:rPr>
          <w:szCs w:val="26"/>
        </w:rPr>
        <w:t xml:space="preserve"> (</w:t>
      </w:r>
      <w:r w:rsidRPr="00776B1A">
        <w:rPr>
          <w:i/>
          <w:iCs/>
          <w:szCs w:val="26"/>
        </w:rPr>
        <w:t xml:space="preserve">People v. Lopez </w:t>
      </w:r>
      <w:r w:rsidRPr="00776B1A">
        <w:rPr>
          <w:szCs w:val="26"/>
        </w:rPr>
        <w:t xml:space="preserve">(2023) 88 Cal.App.5th 566, 579 [“Defendants who aid a qualifying felony with an </w:t>
      </w:r>
      <w:r w:rsidRPr="00776B1A">
        <w:rPr>
          <w:i/>
          <w:iCs/>
          <w:szCs w:val="26"/>
        </w:rPr>
        <w:t>intentional plan</w:t>
      </w:r>
      <w:r w:rsidRPr="00776B1A">
        <w:rPr>
          <w:szCs w:val="26"/>
        </w:rPr>
        <w:t xml:space="preserve"> to kill (i.e., an intent to kill) . . . can still be convicted of first degree murder under the recent changes to murder liability”].)  I write separately because I </w:t>
      </w:r>
      <w:r>
        <w:rPr>
          <w:szCs w:val="26"/>
        </w:rPr>
        <w:t xml:space="preserve">do not agree </w:t>
      </w:r>
      <w:r w:rsidRPr="00776B1A">
        <w:rPr>
          <w:szCs w:val="26"/>
        </w:rPr>
        <w:t>that factfinding is appropriate at the prima facie stage in this case.</w:t>
      </w:r>
    </w:p>
    <w:p w14:paraId="2B30ED96" w14:textId="77777777" w:rsidR="003E60C9" w:rsidRPr="00776B1A" w:rsidRDefault="003E60C9" w:rsidP="003E60C9">
      <w:pPr>
        <w:shd w:val="clear" w:color="auto" w:fill="FFFFFF"/>
        <w:rPr>
          <w:szCs w:val="26"/>
        </w:rPr>
      </w:pPr>
      <w:r w:rsidRPr="00776B1A">
        <w:rPr>
          <w:szCs w:val="26"/>
        </w:rPr>
        <w:tab/>
        <w:t>At the prima facie stage, the court “should not engage in ‘factfinding involving the weighing of evidence or the exercise of discretion.’”  (</w:t>
      </w:r>
      <w:r w:rsidRPr="00776B1A">
        <w:rPr>
          <w:i/>
          <w:iCs/>
          <w:szCs w:val="26"/>
        </w:rPr>
        <w:t xml:space="preserve">People v. Lewis </w:t>
      </w:r>
      <w:r w:rsidRPr="00776B1A">
        <w:rPr>
          <w:szCs w:val="26"/>
        </w:rPr>
        <w:t>(2021) 11 Cal.5th 952, 972 (</w:t>
      </w:r>
      <w:r w:rsidRPr="00776B1A">
        <w:rPr>
          <w:i/>
          <w:iCs/>
          <w:szCs w:val="26"/>
        </w:rPr>
        <w:t>Lewis</w:t>
      </w:r>
      <w:r w:rsidRPr="00776B1A">
        <w:rPr>
          <w:szCs w:val="26"/>
        </w:rPr>
        <w:t xml:space="preserve">); see also </w:t>
      </w:r>
      <w:r w:rsidRPr="00776B1A">
        <w:rPr>
          <w:i/>
          <w:iCs/>
          <w:szCs w:val="26"/>
        </w:rPr>
        <w:t xml:space="preserve">People v. Strong </w:t>
      </w:r>
      <w:r w:rsidRPr="00776B1A">
        <w:rPr>
          <w:szCs w:val="26"/>
        </w:rPr>
        <w:t xml:space="preserve">(2022) 13 Cal.5th 698, 720 [rejecting an approach that “would entail factfinding prohibited at the prima facie stage”].)  The majority concludes an exception must exist </w:t>
      </w:r>
      <w:r>
        <w:rPr>
          <w:szCs w:val="26"/>
        </w:rPr>
        <w:t>here because</w:t>
      </w:r>
      <w:r w:rsidRPr="00776B1A">
        <w:rPr>
          <w:szCs w:val="26"/>
        </w:rPr>
        <w:t xml:space="preserve"> the judge who ruled on the petition heard the </w:t>
      </w:r>
      <w:r>
        <w:rPr>
          <w:szCs w:val="26"/>
        </w:rPr>
        <w:t>evidence at a lengthy death penalty trial</w:t>
      </w:r>
      <w:r w:rsidRPr="00776B1A">
        <w:rPr>
          <w:szCs w:val="26"/>
        </w:rPr>
        <w:t>, and multiple opinions</w:t>
      </w:r>
      <w:r>
        <w:rPr>
          <w:szCs w:val="26"/>
        </w:rPr>
        <w:t>, including a Supreme Court opinion,</w:t>
      </w:r>
      <w:r w:rsidRPr="00776B1A">
        <w:rPr>
          <w:szCs w:val="26"/>
        </w:rPr>
        <w:t xml:space="preserve"> recite the facts of the case.</w:t>
      </w:r>
      <w:r>
        <w:rPr>
          <w:szCs w:val="26"/>
        </w:rPr>
        <w:t xml:space="preserve">  (Maj. opn. ante, at p. 3.)</w:t>
      </w:r>
    </w:p>
    <w:p w14:paraId="0F1756A2" w14:textId="77777777" w:rsidR="003E60C9" w:rsidRPr="00776B1A" w:rsidRDefault="003E60C9" w:rsidP="003E60C9">
      <w:pPr>
        <w:shd w:val="clear" w:color="auto" w:fill="FFFFFF"/>
        <w:ind w:firstLine="720"/>
        <w:rPr>
          <w:szCs w:val="26"/>
        </w:rPr>
      </w:pPr>
      <w:r w:rsidRPr="00776B1A">
        <w:rPr>
          <w:szCs w:val="26"/>
        </w:rPr>
        <w:t xml:space="preserve">However, </w:t>
      </w:r>
      <w:r>
        <w:rPr>
          <w:szCs w:val="26"/>
        </w:rPr>
        <w:t>regardless of the trial’s duration or the potential punishment available,</w:t>
      </w:r>
      <w:r w:rsidRPr="00776B1A">
        <w:rPr>
          <w:szCs w:val="26"/>
        </w:rPr>
        <w:t xml:space="preserve"> the judge who presided over the trial will often hear the section 1172.6 petition.  (§</w:t>
      </w:r>
      <w:r>
        <w:rPr>
          <w:szCs w:val="26"/>
        </w:rPr>
        <w:t> </w:t>
      </w:r>
      <w:r w:rsidRPr="00776B1A">
        <w:rPr>
          <w:szCs w:val="26"/>
        </w:rPr>
        <w:t xml:space="preserve">1172.6, subd. (b)(1) [“The petition shall be filed with the court that sentenced the petitioner . . . .  If the judge that originally sentenced the petitioner is not available to resentence the petitioner, the presiding judge shall designate another judge to rule on the petition.”].)  And an opinion </w:t>
      </w:r>
      <w:r>
        <w:rPr>
          <w:szCs w:val="26"/>
        </w:rPr>
        <w:t>resolving</w:t>
      </w:r>
      <w:r w:rsidRPr="00776B1A">
        <w:rPr>
          <w:szCs w:val="26"/>
        </w:rPr>
        <w:t xml:space="preserve"> a direct appeal is virtually guaranteed for posttrial murder convictions.  Neither of these </w:t>
      </w:r>
      <w:r w:rsidRPr="00776B1A">
        <w:rPr>
          <w:szCs w:val="26"/>
        </w:rPr>
        <w:lastRenderedPageBreak/>
        <w:t xml:space="preserve">common occurrences warrants deviating from </w:t>
      </w:r>
      <w:r w:rsidRPr="00776B1A">
        <w:rPr>
          <w:i/>
          <w:iCs/>
          <w:szCs w:val="26"/>
        </w:rPr>
        <w:t>Lewis</w:t>
      </w:r>
      <w:r w:rsidRPr="00776B1A">
        <w:rPr>
          <w:szCs w:val="26"/>
        </w:rPr>
        <w:t xml:space="preserve">’ prohibition on factfinding at the prima facie stage.  </w:t>
      </w:r>
    </w:p>
    <w:p w14:paraId="0D632EBD" w14:textId="77777777" w:rsidR="003E60C9" w:rsidRPr="00776B1A" w:rsidRDefault="003E60C9" w:rsidP="003E60C9">
      <w:pPr>
        <w:shd w:val="clear" w:color="auto" w:fill="FFFFFF"/>
        <w:ind w:firstLine="720"/>
        <w:rPr>
          <w:szCs w:val="26"/>
        </w:rPr>
      </w:pPr>
      <w:r w:rsidRPr="00776B1A">
        <w:rPr>
          <w:szCs w:val="26"/>
        </w:rPr>
        <w:t xml:space="preserve">The rare feature of this case is that, prior to trial, both this court and our Supreme Court issued opinions.  But because those opinions were issued before the facts could be </w:t>
      </w:r>
      <w:r>
        <w:rPr>
          <w:szCs w:val="26"/>
        </w:rPr>
        <w:t>determined</w:t>
      </w:r>
      <w:r w:rsidRPr="00776B1A">
        <w:rPr>
          <w:szCs w:val="26"/>
        </w:rPr>
        <w:t xml:space="preserve"> in the crucible of trial, the factual recitations in those opinions are not of value in ruling upon a section 1172.6 petition.</w:t>
      </w:r>
      <w:r>
        <w:rPr>
          <w:szCs w:val="26"/>
        </w:rPr>
        <w:t xml:space="preserve">  Our</w:t>
      </w:r>
      <w:r w:rsidRPr="00776B1A">
        <w:rPr>
          <w:szCs w:val="26"/>
        </w:rPr>
        <w:t xml:space="preserve"> pretrial opinion quoted from the People’s factual summary of the underlying crimes.  (</w:t>
      </w:r>
      <w:r w:rsidRPr="00776B1A">
        <w:rPr>
          <w:i/>
          <w:iCs/>
          <w:szCs w:val="26"/>
        </w:rPr>
        <w:t xml:space="preserve">Hollywood v. Superior Court </w:t>
      </w:r>
      <w:r w:rsidRPr="00776B1A">
        <w:rPr>
          <w:szCs w:val="26"/>
        </w:rPr>
        <w:t xml:space="preserve">(Oct. 5, 2006, B188550) opn. ordered nonpub. Dec. 20, 2006, S147954.)  </w:t>
      </w:r>
      <w:r>
        <w:rPr>
          <w:szCs w:val="26"/>
        </w:rPr>
        <w:t xml:space="preserve">Our </w:t>
      </w:r>
      <w:r w:rsidRPr="00776B1A">
        <w:rPr>
          <w:szCs w:val="26"/>
        </w:rPr>
        <w:t xml:space="preserve">Supreme Court </w:t>
      </w:r>
      <w:r>
        <w:rPr>
          <w:szCs w:val="26"/>
        </w:rPr>
        <w:t xml:space="preserve">likewise </w:t>
      </w:r>
      <w:r w:rsidRPr="00776B1A">
        <w:rPr>
          <w:szCs w:val="26"/>
        </w:rPr>
        <w:t>stated:  “As did the Court of Appeal, we draw our description of the crime from the People’s opposition to Hollywood’s petition for a writ of mandate.”  (</w:t>
      </w:r>
      <w:r w:rsidRPr="00776B1A">
        <w:rPr>
          <w:i/>
          <w:iCs/>
          <w:szCs w:val="26"/>
        </w:rPr>
        <w:t xml:space="preserve">Hollywood v. Superior Court </w:t>
      </w:r>
      <w:r w:rsidRPr="00776B1A">
        <w:rPr>
          <w:szCs w:val="26"/>
        </w:rPr>
        <w:t>(2008) 43 Cal</w:t>
      </w:r>
      <w:r>
        <w:rPr>
          <w:szCs w:val="26"/>
        </w:rPr>
        <w:t>.4t</w:t>
      </w:r>
      <w:r w:rsidRPr="00776B1A">
        <w:rPr>
          <w:szCs w:val="26"/>
        </w:rPr>
        <w:t xml:space="preserve">h 721, 725.)  Adopting the People’s pretrial </w:t>
      </w:r>
      <w:r>
        <w:rPr>
          <w:szCs w:val="26"/>
        </w:rPr>
        <w:t>assessment of the facts</w:t>
      </w:r>
      <w:r w:rsidRPr="00776B1A">
        <w:rPr>
          <w:szCs w:val="26"/>
        </w:rPr>
        <w:t xml:space="preserve"> is</w:t>
      </w:r>
      <w:r>
        <w:rPr>
          <w:szCs w:val="26"/>
        </w:rPr>
        <w:t xml:space="preserve">, in my view, </w:t>
      </w:r>
      <w:r w:rsidRPr="00776B1A">
        <w:rPr>
          <w:szCs w:val="26"/>
        </w:rPr>
        <w:t>incongruous with adjudicati</w:t>
      </w:r>
      <w:r>
        <w:rPr>
          <w:szCs w:val="26"/>
        </w:rPr>
        <w:t>ng</w:t>
      </w:r>
      <w:r w:rsidRPr="00776B1A">
        <w:rPr>
          <w:szCs w:val="26"/>
        </w:rPr>
        <w:t xml:space="preserve"> a</w:t>
      </w:r>
      <w:r>
        <w:rPr>
          <w:szCs w:val="26"/>
        </w:rPr>
        <w:t xml:space="preserve"> </w:t>
      </w:r>
      <w:r w:rsidRPr="00776B1A">
        <w:rPr>
          <w:szCs w:val="26"/>
        </w:rPr>
        <w:t xml:space="preserve">section 1172.6 petition.  Moreover, given that these </w:t>
      </w:r>
      <w:r>
        <w:rPr>
          <w:szCs w:val="26"/>
        </w:rPr>
        <w:t xml:space="preserve">two </w:t>
      </w:r>
      <w:r w:rsidRPr="00776B1A">
        <w:rPr>
          <w:szCs w:val="26"/>
        </w:rPr>
        <w:t xml:space="preserve">pretrial opinions considered whether prosecutorial recusal was </w:t>
      </w:r>
      <w:r>
        <w:rPr>
          <w:szCs w:val="26"/>
        </w:rPr>
        <w:t>justified</w:t>
      </w:r>
      <w:r w:rsidRPr="00776B1A">
        <w:rPr>
          <w:szCs w:val="26"/>
        </w:rPr>
        <w:t xml:space="preserve">, the recitation of underlying case facts was incidental to each opinion’s focus.  </w:t>
      </w:r>
    </w:p>
    <w:p w14:paraId="3104D0BE" w14:textId="77777777" w:rsidR="003E60C9" w:rsidRDefault="003E60C9" w:rsidP="003E60C9">
      <w:pPr>
        <w:shd w:val="clear" w:color="auto" w:fill="FFFFFF"/>
        <w:ind w:firstLine="720"/>
        <w:rPr>
          <w:szCs w:val="26"/>
        </w:rPr>
      </w:pPr>
      <w:r w:rsidRPr="00776B1A">
        <w:rPr>
          <w:szCs w:val="26"/>
        </w:rPr>
        <w:t>Therefore, I respectfully depart from the majority opinion to the extent it endorses factfinding at the prima facie stage in this case.</w:t>
      </w:r>
    </w:p>
    <w:p w14:paraId="20C8D8D3" w14:textId="77777777" w:rsidR="003E60C9" w:rsidRDefault="003E60C9" w:rsidP="003E60C9">
      <w:pPr>
        <w:shd w:val="clear" w:color="auto" w:fill="FFFFFF"/>
        <w:ind w:firstLine="720"/>
        <w:rPr>
          <w:szCs w:val="26"/>
        </w:rPr>
      </w:pPr>
      <w:r>
        <w:rPr>
          <w:szCs w:val="26"/>
          <w:u w:val="single"/>
        </w:rPr>
        <w:t>CERTIFIED FOR PUBLICATION.</w:t>
      </w:r>
    </w:p>
    <w:p w14:paraId="5432DB49" w14:textId="77777777" w:rsidR="003E60C9" w:rsidRDefault="003E60C9" w:rsidP="003E60C9">
      <w:pPr>
        <w:shd w:val="clear" w:color="auto" w:fill="FFFFFF"/>
        <w:ind w:firstLine="720"/>
        <w:rPr>
          <w:szCs w:val="26"/>
        </w:rPr>
      </w:pPr>
    </w:p>
    <w:p w14:paraId="3E13680C" w14:textId="77777777" w:rsidR="003E60C9" w:rsidRDefault="003E60C9" w:rsidP="003E60C9">
      <w:pPr>
        <w:shd w:val="clear" w:color="auto" w:fill="FFFFFF"/>
        <w:ind w:firstLine="720"/>
        <w:rPr>
          <w:szCs w:val="26"/>
        </w:rPr>
      </w:pPr>
    </w:p>
    <w:p w14:paraId="098B56C0" w14:textId="77777777" w:rsidR="003E60C9" w:rsidRDefault="003E60C9" w:rsidP="003E60C9">
      <w:pPr>
        <w:shd w:val="clear" w:color="auto" w:fill="FFFFFF"/>
        <w:ind w:firstLine="720"/>
        <w:rPr>
          <w:szCs w:val="26"/>
        </w:rPr>
      </w:pPr>
    </w:p>
    <w:p w14:paraId="5B58F5C0" w14:textId="77777777" w:rsidR="00731E5B" w:rsidRDefault="003E60C9" w:rsidP="003E60C9">
      <w:pPr>
        <w:shd w:val="clear" w:color="auto" w:fill="FFFFFF"/>
        <w:ind w:firstLine="720"/>
        <w:rPr>
          <w:szCs w:val="26"/>
        </w:rPr>
        <w:sectPr w:rsidR="00731E5B" w:rsidSect="003E60C9">
          <w:footerReference w:type="default" r:id="rId12"/>
          <w:footnotePr>
            <w:numRestart w:val="eachSect"/>
          </w:footnotePr>
          <w:pgSz w:w="12240" w:h="15840"/>
          <w:pgMar w:top="2160" w:right="2160" w:bottom="2160" w:left="2160" w:header="720" w:footer="720" w:gutter="0"/>
          <w:pgNumType w:start="1"/>
          <w:cols w:space="720"/>
          <w:docGrid w:linePitch="360"/>
        </w:sectPr>
      </w:pPr>
      <w:r>
        <w:rPr>
          <w:szCs w:val="26"/>
        </w:rPr>
        <w:tab/>
      </w:r>
      <w:r>
        <w:rPr>
          <w:szCs w:val="26"/>
        </w:rPr>
        <w:tab/>
      </w:r>
      <w:r>
        <w:rPr>
          <w:szCs w:val="26"/>
        </w:rPr>
        <w:tab/>
      </w:r>
      <w:r>
        <w:rPr>
          <w:szCs w:val="26"/>
        </w:rPr>
        <w:tab/>
      </w:r>
      <w:r>
        <w:rPr>
          <w:szCs w:val="26"/>
        </w:rPr>
        <w:tab/>
        <w:t>CODY, J.</w:t>
      </w:r>
    </w:p>
    <w:p w14:paraId="2872BDAE" w14:textId="77777777" w:rsidR="00731E5B" w:rsidRPr="005006DC" w:rsidRDefault="00731E5B" w:rsidP="00731E5B">
      <w:pPr>
        <w:shd w:val="clear" w:color="auto" w:fill="FFFFFF"/>
        <w:tabs>
          <w:tab w:val="left" w:pos="1440"/>
          <w:tab w:val="left" w:pos="2880"/>
          <w:tab w:val="left" w:pos="4320"/>
          <w:tab w:val="left" w:pos="5760"/>
          <w:tab w:val="left" w:pos="7200"/>
        </w:tabs>
        <w:jc w:val="center"/>
      </w:pPr>
      <w:r>
        <w:lastRenderedPageBreak/>
        <w:t>Brian E. Hill</w:t>
      </w:r>
      <w:r w:rsidRPr="005006DC">
        <w:t>, Judge</w:t>
      </w:r>
    </w:p>
    <w:p w14:paraId="54E3742E" w14:textId="77777777" w:rsidR="00731E5B" w:rsidRDefault="00731E5B" w:rsidP="00731E5B">
      <w:pPr>
        <w:shd w:val="clear" w:color="auto" w:fill="FFFFFF"/>
        <w:tabs>
          <w:tab w:val="left" w:pos="1440"/>
          <w:tab w:val="left" w:pos="2880"/>
          <w:tab w:val="left" w:pos="4320"/>
          <w:tab w:val="left" w:pos="5760"/>
          <w:tab w:val="left" w:pos="7200"/>
        </w:tabs>
        <w:jc w:val="center"/>
      </w:pPr>
      <w:r w:rsidRPr="005006DC">
        <w:t xml:space="preserve">Superior Court County of </w:t>
      </w:r>
      <w:r>
        <w:t>Santa Barbara</w:t>
      </w:r>
    </w:p>
    <w:p w14:paraId="34ECFCDA" w14:textId="77777777" w:rsidR="00731E5B" w:rsidRDefault="00731E5B" w:rsidP="00731E5B">
      <w:pPr>
        <w:shd w:val="clear" w:color="auto" w:fill="FFFFFF"/>
        <w:tabs>
          <w:tab w:val="left" w:pos="1440"/>
          <w:tab w:val="left" w:pos="2880"/>
          <w:tab w:val="left" w:pos="4320"/>
          <w:tab w:val="left" w:pos="5760"/>
          <w:tab w:val="left" w:pos="7200"/>
        </w:tabs>
        <w:jc w:val="center"/>
      </w:pPr>
      <w:r w:rsidRPr="005006DC">
        <w:t>_____________________________</w:t>
      </w:r>
    </w:p>
    <w:p w14:paraId="02ACFF81" w14:textId="77777777" w:rsidR="00731E5B" w:rsidRPr="005006DC" w:rsidRDefault="00731E5B" w:rsidP="00731E5B">
      <w:pPr>
        <w:shd w:val="clear" w:color="auto" w:fill="FFFFFF"/>
        <w:tabs>
          <w:tab w:val="left" w:pos="1440"/>
          <w:tab w:val="left" w:pos="2880"/>
          <w:tab w:val="left" w:pos="4320"/>
          <w:tab w:val="left" w:pos="5760"/>
          <w:tab w:val="left" w:pos="7200"/>
        </w:tabs>
        <w:jc w:val="center"/>
      </w:pPr>
    </w:p>
    <w:p w14:paraId="41D2B634" w14:textId="77777777" w:rsidR="00731E5B" w:rsidRDefault="00731E5B" w:rsidP="00731E5B">
      <w:pPr>
        <w:tabs>
          <w:tab w:val="left" w:pos="720"/>
          <w:tab w:val="left" w:pos="2880"/>
          <w:tab w:val="left" w:pos="4320"/>
          <w:tab w:val="left" w:pos="5760"/>
          <w:tab w:val="left" w:pos="7200"/>
        </w:tabs>
      </w:pPr>
      <w:r>
        <w:tab/>
        <w:t>Wayne C. Tobin</w:t>
      </w:r>
      <w:r w:rsidRPr="00773592">
        <w:t xml:space="preserve">, under appointment by the Court of Appeal, for Defendant and Appellant.  </w:t>
      </w:r>
    </w:p>
    <w:p w14:paraId="4BA4C787" w14:textId="77777777" w:rsidR="00731E5B" w:rsidRPr="00773592" w:rsidRDefault="00731E5B" w:rsidP="00731E5B">
      <w:pPr>
        <w:tabs>
          <w:tab w:val="left" w:pos="720"/>
          <w:tab w:val="left" w:pos="2880"/>
          <w:tab w:val="left" w:pos="4320"/>
          <w:tab w:val="left" w:pos="5760"/>
          <w:tab w:val="left" w:pos="7200"/>
        </w:tabs>
      </w:pPr>
    </w:p>
    <w:p w14:paraId="0B876056" w14:textId="77777777" w:rsidR="00731E5B" w:rsidRPr="002E57B8" w:rsidRDefault="00731E5B" w:rsidP="00731E5B">
      <w:pPr>
        <w:tabs>
          <w:tab w:val="left" w:pos="720"/>
          <w:tab w:val="left" w:pos="1440"/>
          <w:tab w:val="left" w:pos="2880"/>
          <w:tab w:val="left" w:pos="4320"/>
          <w:tab w:val="left" w:pos="5760"/>
          <w:tab w:val="left" w:pos="7200"/>
        </w:tabs>
      </w:pPr>
      <w:r>
        <w:tab/>
      </w:r>
      <w:r w:rsidRPr="00773592">
        <w:t xml:space="preserve">Rob Bonta, Attorney General, Lance E. Winters, Chief Assistant Attorney General, Susan Sullivan Pithey, Senior Assistant Attorney General, </w:t>
      </w:r>
      <w:r>
        <w:t>Noah P. Hill</w:t>
      </w:r>
      <w:r w:rsidRPr="00773592">
        <w:t xml:space="preserve">, </w:t>
      </w:r>
      <w:r>
        <w:t xml:space="preserve">Supervising </w:t>
      </w:r>
      <w:r w:rsidRPr="00773592">
        <w:t>Deputy Attorney</w:t>
      </w:r>
      <w:r>
        <w:t xml:space="preserve"> </w:t>
      </w:r>
      <w:r w:rsidRPr="00773592">
        <w:t xml:space="preserve">General, </w:t>
      </w:r>
      <w:r>
        <w:t xml:space="preserve">and David F. Glassman, Deputy Attorney General, </w:t>
      </w:r>
      <w:r w:rsidRPr="00773592">
        <w:t>for Plaintiff and Responde</w:t>
      </w:r>
      <w:r>
        <w:t>nt.</w:t>
      </w:r>
    </w:p>
    <w:p w14:paraId="418BB4AE" w14:textId="77777777" w:rsidR="003E60C9" w:rsidRPr="006D5C5F" w:rsidRDefault="003E60C9" w:rsidP="003E60C9">
      <w:pPr>
        <w:shd w:val="clear" w:color="auto" w:fill="FFFFFF"/>
        <w:ind w:firstLine="720"/>
        <w:rPr>
          <w:szCs w:val="26"/>
        </w:rPr>
      </w:pPr>
    </w:p>
    <w:p w14:paraId="28CF1C02" w14:textId="77777777" w:rsidR="00140029" w:rsidRPr="00126788" w:rsidRDefault="00140029" w:rsidP="006040B1">
      <w:pPr>
        <w:tabs>
          <w:tab w:val="left" w:pos="720"/>
          <w:tab w:val="left" w:pos="1440"/>
          <w:tab w:val="left" w:pos="2880"/>
          <w:tab w:val="left" w:pos="4320"/>
          <w:tab w:val="left" w:pos="5760"/>
          <w:tab w:val="left" w:pos="7200"/>
        </w:tabs>
      </w:pPr>
    </w:p>
    <w:sectPr w:rsidR="00140029" w:rsidRPr="00126788" w:rsidSect="003E60C9">
      <w:footerReference w:type="default" r:id="rId13"/>
      <w:footnotePr>
        <w:numRestart w:val="eachSect"/>
      </w:footnotePr>
      <w:pgSz w:w="12240" w:h="15840"/>
      <w:pgMar w:top="2160" w:right="2160" w:bottom="216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0FCB" w14:textId="77777777" w:rsidR="004D35A8" w:rsidRDefault="004D35A8" w:rsidP="0046154E">
      <w:pPr>
        <w:spacing w:line="240" w:lineRule="auto"/>
      </w:pPr>
      <w:r>
        <w:separator/>
      </w:r>
    </w:p>
  </w:endnote>
  <w:endnote w:type="continuationSeparator" w:id="0">
    <w:p w14:paraId="08AE32B5" w14:textId="77777777" w:rsidR="004D35A8" w:rsidRDefault="004D35A8" w:rsidP="004615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343" w14:textId="77777777" w:rsidR="001636E6" w:rsidRDefault="0016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90843"/>
      <w:docPartObj>
        <w:docPartGallery w:val="Page Numbers (Bottom of Page)"/>
        <w:docPartUnique/>
      </w:docPartObj>
    </w:sdtPr>
    <w:sdtEndPr>
      <w:rPr>
        <w:noProof/>
      </w:rPr>
    </w:sdtEndPr>
    <w:sdtContent>
      <w:p w14:paraId="1D039A23" w14:textId="673963DE" w:rsidR="0046154E" w:rsidRDefault="0046154E">
        <w:pPr>
          <w:pStyle w:val="Footer"/>
          <w:jc w:val="center"/>
        </w:pPr>
        <w:r>
          <w:fldChar w:fldCharType="begin"/>
        </w:r>
        <w:r>
          <w:instrText xml:space="preserve"> PAGE   \* MERGEFORMAT </w:instrText>
        </w:r>
        <w:r>
          <w:fldChar w:fldCharType="separate"/>
        </w:r>
        <w:r w:rsidR="00FE6F24">
          <w:rPr>
            <w:noProof/>
          </w:rPr>
          <w:t>9</w:t>
        </w:r>
        <w:r>
          <w:rPr>
            <w:noProof/>
          </w:rPr>
          <w:fldChar w:fldCharType="end"/>
        </w:r>
      </w:p>
    </w:sdtContent>
  </w:sdt>
  <w:p w14:paraId="4EC46836" w14:textId="77777777" w:rsidR="0046154E" w:rsidRDefault="00461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70B4" w14:textId="77777777" w:rsidR="001636E6" w:rsidRDefault="001636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04778"/>
      <w:docPartObj>
        <w:docPartGallery w:val="Page Numbers (Bottom of Page)"/>
        <w:docPartUnique/>
      </w:docPartObj>
    </w:sdtPr>
    <w:sdtEndPr>
      <w:rPr>
        <w:noProof/>
        <w:szCs w:val="26"/>
      </w:rPr>
    </w:sdtEndPr>
    <w:sdtContent>
      <w:p w14:paraId="23B92B22" w14:textId="44F7F86D" w:rsidR="006146E6" w:rsidRPr="006D5C5F" w:rsidRDefault="006146E6">
        <w:pPr>
          <w:pStyle w:val="Footer"/>
          <w:jc w:val="center"/>
          <w:rPr>
            <w:szCs w:val="26"/>
          </w:rPr>
        </w:pPr>
        <w:r w:rsidRPr="006D5C5F">
          <w:rPr>
            <w:szCs w:val="26"/>
          </w:rPr>
          <w:fldChar w:fldCharType="begin"/>
        </w:r>
        <w:r w:rsidRPr="006D5C5F">
          <w:rPr>
            <w:szCs w:val="26"/>
          </w:rPr>
          <w:instrText xml:space="preserve"> PAGE   \* MERGEFORMAT </w:instrText>
        </w:r>
        <w:r w:rsidRPr="006D5C5F">
          <w:rPr>
            <w:szCs w:val="26"/>
          </w:rPr>
          <w:fldChar w:fldCharType="separate"/>
        </w:r>
        <w:r w:rsidR="00FE6F24">
          <w:rPr>
            <w:noProof/>
            <w:szCs w:val="26"/>
          </w:rPr>
          <w:t>2</w:t>
        </w:r>
        <w:r w:rsidRPr="006D5C5F">
          <w:rPr>
            <w:noProof/>
            <w:szCs w:val="26"/>
          </w:rPr>
          <w:fldChar w:fldCharType="end"/>
        </w:r>
      </w:p>
    </w:sdtContent>
  </w:sdt>
  <w:p w14:paraId="11B878D8" w14:textId="77777777" w:rsidR="006146E6" w:rsidRDefault="00614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D6C5" w14:textId="29D4A6E4" w:rsidR="006146E6" w:rsidRPr="006D5C5F" w:rsidRDefault="006146E6">
    <w:pPr>
      <w:pStyle w:val="Footer"/>
      <w:jc w:val="center"/>
      <w:rPr>
        <w:szCs w:val="26"/>
      </w:rPr>
    </w:pPr>
  </w:p>
  <w:p w14:paraId="09470EB9" w14:textId="77777777" w:rsidR="006146E6" w:rsidRDefault="0061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A057" w14:textId="77777777" w:rsidR="004D35A8" w:rsidRDefault="004D35A8" w:rsidP="0046154E">
      <w:pPr>
        <w:spacing w:line="240" w:lineRule="auto"/>
      </w:pPr>
      <w:r>
        <w:separator/>
      </w:r>
    </w:p>
  </w:footnote>
  <w:footnote w:type="continuationSeparator" w:id="0">
    <w:p w14:paraId="0937C504" w14:textId="77777777" w:rsidR="004D35A8" w:rsidRDefault="004D35A8" w:rsidP="0046154E">
      <w:pPr>
        <w:spacing w:line="240" w:lineRule="auto"/>
      </w:pPr>
      <w:r>
        <w:continuationSeparator/>
      </w:r>
    </w:p>
  </w:footnote>
  <w:footnote w:id="1">
    <w:p w14:paraId="1CFC8C49" w14:textId="77777777" w:rsidR="001D649E" w:rsidRPr="009B0EE0" w:rsidRDefault="001D649E" w:rsidP="001D649E">
      <w:pPr>
        <w:pStyle w:val="FootnoteText"/>
        <w:ind w:firstLine="720"/>
        <w:rPr>
          <w:sz w:val="26"/>
          <w:szCs w:val="26"/>
        </w:rPr>
      </w:pPr>
      <w:r w:rsidRPr="009B0EE0">
        <w:rPr>
          <w:rStyle w:val="FootnoteReference"/>
          <w:vertAlign w:val="baseline"/>
        </w:rPr>
        <w:footnoteRef/>
      </w:r>
      <w:r w:rsidRPr="009B0EE0">
        <w:t xml:space="preserve">  </w:t>
      </w:r>
      <w:r w:rsidRPr="009B0EE0">
        <w:rPr>
          <w:sz w:val="26"/>
          <w:szCs w:val="26"/>
        </w:rPr>
        <w:t>All further statutory references are to the Penal Code.</w:t>
      </w:r>
    </w:p>
  </w:footnote>
  <w:footnote w:id="2">
    <w:p w14:paraId="279F4224" w14:textId="77777777" w:rsidR="003E60C9" w:rsidRPr="009C077E" w:rsidRDefault="003E60C9" w:rsidP="003E60C9">
      <w:pPr>
        <w:pStyle w:val="FootnoteText"/>
        <w:ind w:firstLine="720"/>
        <w:rPr>
          <w:sz w:val="26"/>
          <w:szCs w:val="26"/>
        </w:rPr>
      </w:pPr>
      <w:r w:rsidRPr="009C077E">
        <w:rPr>
          <w:rStyle w:val="FootnoteReference"/>
          <w:sz w:val="26"/>
          <w:szCs w:val="26"/>
        </w:rPr>
        <w:footnoteRef/>
      </w:r>
      <w:r w:rsidRPr="009C077E">
        <w:rPr>
          <w:sz w:val="26"/>
          <w:szCs w:val="26"/>
        </w:rPr>
        <w:t xml:space="preserve"> All further statutory references are to the Penal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E5BB" w14:textId="77777777" w:rsidR="001636E6" w:rsidRDefault="00163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A9CC" w14:textId="77777777" w:rsidR="001636E6" w:rsidRDefault="00163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AA86" w14:textId="77777777" w:rsidR="001636E6" w:rsidRDefault="00163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E8"/>
    <w:rsid w:val="00000B97"/>
    <w:rsid w:val="00000BE0"/>
    <w:rsid w:val="000049EF"/>
    <w:rsid w:val="00006634"/>
    <w:rsid w:val="000114B9"/>
    <w:rsid w:val="0001318D"/>
    <w:rsid w:val="00013B7D"/>
    <w:rsid w:val="000143A8"/>
    <w:rsid w:val="000212DD"/>
    <w:rsid w:val="000219FD"/>
    <w:rsid w:val="00022398"/>
    <w:rsid w:val="0002341F"/>
    <w:rsid w:val="00024F7E"/>
    <w:rsid w:val="00026F5E"/>
    <w:rsid w:val="00030781"/>
    <w:rsid w:val="00031039"/>
    <w:rsid w:val="000310EC"/>
    <w:rsid w:val="00032765"/>
    <w:rsid w:val="00033563"/>
    <w:rsid w:val="0003515A"/>
    <w:rsid w:val="0003623A"/>
    <w:rsid w:val="00037E5E"/>
    <w:rsid w:val="00041564"/>
    <w:rsid w:val="00042E74"/>
    <w:rsid w:val="0004467A"/>
    <w:rsid w:val="000446E5"/>
    <w:rsid w:val="00044F58"/>
    <w:rsid w:val="0004633F"/>
    <w:rsid w:val="00047165"/>
    <w:rsid w:val="00052188"/>
    <w:rsid w:val="000528FA"/>
    <w:rsid w:val="000535FF"/>
    <w:rsid w:val="00054094"/>
    <w:rsid w:val="00056E70"/>
    <w:rsid w:val="00057929"/>
    <w:rsid w:val="00061B95"/>
    <w:rsid w:val="000621A8"/>
    <w:rsid w:val="00062B0C"/>
    <w:rsid w:val="000634C3"/>
    <w:rsid w:val="00066EA3"/>
    <w:rsid w:val="0007343E"/>
    <w:rsid w:val="00073BBF"/>
    <w:rsid w:val="00074C2F"/>
    <w:rsid w:val="00074F75"/>
    <w:rsid w:val="00076F8E"/>
    <w:rsid w:val="00081454"/>
    <w:rsid w:val="00081A1F"/>
    <w:rsid w:val="00081F73"/>
    <w:rsid w:val="00084C88"/>
    <w:rsid w:val="00086416"/>
    <w:rsid w:val="0008684A"/>
    <w:rsid w:val="00092496"/>
    <w:rsid w:val="00092836"/>
    <w:rsid w:val="00092E1B"/>
    <w:rsid w:val="0009456F"/>
    <w:rsid w:val="00095465"/>
    <w:rsid w:val="00095D64"/>
    <w:rsid w:val="000966E4"/>
    <w:rsid w:val="000A06B5"/>
    <w:rsid w:val="000A1460"/>
    <w:rsid w:val="000A156A"/>
    <w:rsid w:val="000A2457"/>
    <w:rsid w:val="000A2C8D"/>
    <w:rsid w:val="000A4C28"/>
    <w:rsid w:val="000A4E9C"/>
    <w:rsid w:val="000A66AB"/>
    <w:rsid w:val="000B1B29"/>
    <w:rsid w:val="000B23A4"/>
    <w:rsid w:val="000B285E"/>
    <w:rsid w:val="000B3200"/>
    <w:rsid w:val="000B5CE6"/>
    <w:rsid w:val="000B6160"/>
    <w:rsid w:val="000B7836"/>
    <w:rsid w:val="000C01DD"/>
    <w:rsid w:val="000C1664"/>
    <w:rsid w:val="000C18AE"/>
    <w:rsid w:val="000C2884"/>
    <w:rsid w:val="000C2EA3"/>
    <w:rsid w:val="000C57C5"/>
    <w:rsid w:val="000D0616"/>
    <w:rsid w:val="000D3B7A"/>
    <w:rsid w:val="000D3E5C"/>
    <w:rsid w:val="000D4906"/>
    <w:rsid w:val="000D5B6F"/>
    <w:rsid w:val="000D6685"/>
    <w:rsid w:val="000D727E"/>
    <w:rsid w:val="000D759F"/>
    <w:rsid w:val="000E1742"/>
    <w:rsid w:val="000E184B"/>
    <w:rsid w:val="000E2DAD"/>
    <w:rsid w:val="000E451C"/>
    <w:rsid w:val="000E4939"/>
    <w:rsid w:val="000E4C7A"/>
    <w:rsid w:val="000E55F6"/>
    <w:rsid w:val="000E6883"/>
    <w:rsid w:val="000E7C24"/>
    <w:rsid w:val="000E7E64"/>
    <w:rsid w:val="000E7F3B"/>
    <w:rsid w:val="000F17E2"/>
    <w:rsid w:val="000F23D4"/>
    <w:rsid w:val="000F27C9"/>
    <w:rsid w:val="000F3169"/>
    <w:rsid w:val="000F3792"/>
    <w:rsid w:val="000F37F5"/>
    <w:rsid w:val="000F626F"/>
    <w:rsid w:val="000F6B80"/>
    <w:rsid w:val="00102124"/>
    <w:rsid w:val="0010329B"/>
    <w:rsid w:val="00103EFE"/>
    <w:rsid w:val="001074FF"/>
    <w:rsid w:val="00110C0F"/>
    <w:rsid w:val="00113E52"/>
    <w:rsid w:val="0011435F"/>
    <w:rsid w:val="00115043"/>
    <w:rsid w:val="00117A39"/>
    <w:rsid w:val="00117EC3"/>
    <w:rsid w:val="0012007E"/>
    <w:rsid w:val="001203CE"/>
    <w:rsid w:val="00120BD7"/>
    <w:rsid w:val="001213F1"/>
    <w:rsid w:val="001228F7"/>
    <w:rsid w:val="0012417C"/>
    <w:rsid w:val="0012433B"/>
    <w:rsid w:val="00124352"/>
    <w:rsid w:val="00125ADA"/>
    <w:rsid w:val="00126399"/>
    <w:rsid w:val="00126788"/>
    <w:rsid w:val="0012689F"/>
    <w:rsid w:val="00130509"/>
    <w:rsid w:val="00130BF1"/>
    <w:rsid w:val="00131FCD"/>
    <w:rsid w:val="00132D27"/>
    <w:rsid w:val="00133175"/>
    <w:rsid w:val="00134E06"/>
    <w:rsid w:val="00135557"/>
    <w:rsid w:val="00135CA6"/>
    <w:rsid w:val="001363FC"/>
    <w:rsid w:val="00136B7A"/>
    <w:rsid w:val="00140029"/>
    <w:rsid w:val="00140CC0"/>
    <w:rsid w:val="001425DC"/>
    <w:rsid w:val="00143560"/>
    <w:rsid w:val="00146680"/>
    <w:rsid w:val="00151010"/>
    <w:rsid w:val="00152593"/>
    <w:rsid w:val="001532CE"/>
    <w:rsid w:val="00153494"/>
    <w:rsid w:val="001536AC"/>
    <w:rsid w:val="0015404C"/>
    <w:rsid w:val="0015552C"/>
    <w:rsid w:val="001559EE"/>
    <w:rsid w:val="00155DB6"/>
    <w:rsid w:val="001565D8"/>
    <w:rsid w:val="00157B50"/>
    <w:rsid w:val="001609DB"/>
    <w:rsid w:val="001617F7"/>
    <w:rsid w:val="00162395"/>
    <w:rsid w:val="00163367"/>
    <w:rsid w:val="001636E6"/>
    <w:rsid w:val="00173D4C"/>
    <w:rsid w:val="00174BD7"/>
    <w:rsid w:val="00175E71"/>
    <w:rsid w:val="00176F7C"/>
    <w:rsid w:val="0018118D"/>
    <w:rsid w:val="0018134F"/>
    <w:rsid w:val="001820E4"/>
    <w:rsid w:val="001828E8"/>
    <w:rsid w:val="00182911"/>
    <w:rsid w:val="00182EF3"/>
    <w:rsid w:val="00184773"/>
    <w:rsid w:val="00184909"/>
    <w:rsid w:val="00184E23"/>
    <w:rsid w:val="001855D3"/>
    <w:rsid w:val="00185BF0"/>
    <w:rsid w:val="00186F8A"/>
    <w:rsid w:val="00191CC3"/>
    <w:rsid w:val="0019320F"/>
    <w:rsid w:val="00193AB3"/>
    <w:rsid w:val="00193DA9"/>
    <w:rsid w:val="001955F7"/>
    <w:rsid w:val="00196FAB"/>
    <w:rsid w:val="00196FE6"/>
    <w:rsid w:val="001A24E7"/>
    <w:rsid w:val="001A28FB"/>
    <w:rsid w:val="001A3622"/>
    <w:rsid w:val="001A5276"/>
    <w:rsid w:val="001A65F1"/>
    <w:rsid w:val="001A67F7"/>
    <w:rsid w:val="001A6EDE"/>
    <w:rsid w:val="001A7BBE"/>
    <w:rsid w:val="001B3AAE"/>
    <w:rsid w:val="001B700B"/>
    <w:rsid w:val="001C0A18"/>
    <w:rsid w:val="001C1EA5"/>
    <w:rsid w:val="001C27F6"/>
    <w:rsid w:val="001C33E9"/>
    <w:rsid w:val="001C3C1E"/>
    <w:rsid w:val="001C49B0"/>
    <w:rsid w:val="001C7A0F"/>
    <w:rsid w:val="001D541E"/>
    <w:rsid w:val="001D6180"/>
    <w:rsid w:val="001D649E"/>
    <w:rsid w:val="001D7181"/>
    <w:rsid w:val="001D7874"/>
    <w:rsid w:val="001D7F58"/>
    <w:rsid w:val="001E0AF0"/>
    <w:rsid w:val="001E2602"/>
    <w:rsid w:val="001E28CE"/>
    <w:rsid w:val="001E440A"/>
    <w:rsid w:val="001E4821"/>
    <w:rsid w:val="001E59FA"/>
    <w:rsid w:val="001E5CCA"/>
    <w:rsid w:val="001F1E71"/>
    <w:rsid w:val="001F2288"/>
    <w:rsid w:val="001F273A"/>
    <w:rsid w:val="001F3D61"/>
    <w:rsid w:val="001F48D1"/>
    <w:rsid w:val="001F6668"/>
    <w:rsid w:val="001F78C3"/>
    <w:rsid w:val="00200049"/>
    <w:rsid w:val="00200D8E"/>
    <w:rsid w:val="0020196C"/>
    <w:rsid w:val="00201BC0"/>
    <w:rsid w:val="00203D2E"/>
    <w:rsid w:val="00213582"/>
    <w:rsid w:val="00213C92"/>
    <w:rsid w:val="002145F4"/>
    <w:rsid w:val="00214F8A"/>
    <w:rsid w:val="00216D15"/>
    <w:rsid w:val="00220AD0"/>
    <w:rsid w:val="00221177"/>
    <w:rsid w:val="00221331"/>
    <w:rsid w:val="0022146A"/>
    <w:rsid w:val="002236AD"/>
    <w:rsid w:val="00225CEF"/>
    <w:rsid w:val="002263D1"/>
    <w:rsid w:val="002265A2"/>
    <w:rsid w:val="00232208"/>
    <w:rsid w:val="00233179"/>
    <w:rsid w:val="002341B3"/>
    <w:rsid w:val="00235DA1"/>
    <w:rsid w:val="002366C7"/>
    <w:rsid w:val="00236705"/>
    <w:rsid w:val="00240105"/>
    <w:rsid w:val="00242275"/>
    <w:rsid w:val="00242642"/>
    <w:rsid w:val="00244E6E"/>
    <w:rsid w:val="0024568F"/>
    <w:rsid w:val="00246BED"/>
    <w:rsid w:val="00246EA0"/>
    <w:rsid w:val="0024792F"/>
    <w:rsid w:val="002501A3"/>
    <w:rsid w:val="00251709"/>
    <w:rsid w:val="00254216"/>
    <w:rsid w:val="00256A18"/>
    <w:rsid w:val="00256B50"/>
    <w:rsid w:val="0025737F"/>
    <w:rsid w:val="0025778C"/>
    <w:rsid w:val="00257E1A"/>
    <w:rsid w:val="00261314"/>
    <w:rsid w:val="00262CC9"/>
    <w:rsid w:val="00263DF3"/>
    <w:rsid w:val="00265E1E"/>
    <w:rsid w:val="00267322"/>
    <w:rsid w:val="002728CE"/>
    <w:rsid w:val="002753B6"/>
    <w:rsid w:val="00275BAC"/>
    <w:rsid w:val="00275DE2"/>
    <w:rsid w:val="002761F6"/>
    <w:rsid w:val="0027717F"/>
    <w:rsid w:val="002777AB"/>
    <w:rsid w:val="002807DF"/>
    <w:rsid w:val="00281900"/>
    <w:rsid w:val="00281AE4"/>
    <w:rsid w:val="00282147"/>
    <w:rsid w:val="002824B3"/>
    <w:rsid w:val="00284176"/>
    <w:rsid w:val="00286481"/>
    <w:rsid w:val="002900FE"/>
    <w:rsid w:val="002903BB"/>
    <w:rsid w:val="00290688"/>
    <w:rsid w:val="00290F64"/>
    <w:rsid w:val="002922F0"/>
    <w:rsid w:val="002936D3"/>
    <w:rsid w:val="0029466E"/>
    <w:rsid w:val="00295362"/>
    <w:rsid w:val="0029643F"/>
    <w:rsid w:val="00296CD7"/>
    <w:rsid w:val="00297057"/>
    <w:rsid w:val="002A08F6"/>
    <w:rsid w:val="002A3EF2"/>
    <w:rsid w:val="002A5AE9"/>
    <w:rsid w:val="002B1A90"/>
    <w:rsid w:val="002B481B"/>
    <w:rsid w:val="002B5002"/>
    <w:rsid w:val="002B771A"/>
    <w:rsid w:val="002B7C1D"/>
    <w:rsid w:val="002C0894"/>
    <w:rsid w:val="002C1D53"/>
    <w:rsid w:val="002C35B5"/>
    <w:rsid w:val="002C6AB1"/>
    <w:rsid w:val="002C6B08"/>
    <w:rsid w:val="002C6FE3"/>
    <w:rsid w:val="002C7A6E"/>
    <w:rsid w:val="002D023D"/>
    <w:rsid w:val="002D1D28"/>
    <w:rsid w:val="002D23FC"/>
    <w:rsid w:val="002D27F4"/>
    <w:rsid w:val="002D6950"/>
    <w:rsid w:val="002D7DB9"/>
    <w:rsid w:val="002E00E1"/>
    <w:rsid w:val="002E267B"/>
    <w:rsid w:val="002E44D5"/>
    <w:rsid w:val="002E4C75"/>
    <w:rsid w:val="002E6F92"/>
    <w:rsid w:val="002E7DF7"/>
    <w:rsid w:val="002F0F90"/>
    <w:rsid w:val="002F1315"/>
    <w:rsid w:val="002F22B6"/>
    <w:rsid w:val="002F23B7"/>
    <w:rsid w:val="002F2A04"/>
    <w:rsid w:val="002F2A8C"/>
    <w:rsid w:val="002F3635"/>
    <w:rsid w:val="002F5360"/>
    <w:rsid w:val="002F67FD"/>
    <w:rsid w:val="002F6CFA"/>
    <w:rsid w:val="002F7394"/>
    <w:rsid w:val="0030144F"/>
    <w:rsid w:val="0030220F"/>
    <w:rsid w:val="0030334F"/>
    <w:rsid w:val="00307503"/>
    <w:rsid w:val="003124F4"/>
    <w:rsid w:val="00314477"/>
    <w:rsid w:val="00316513"/>
    <w:rsid w:val="00317C53"/>
    <w:rsid w:val="00317E06"/>
    <w:rsid w:val="00321DD1"/>
    <w:rsid w:val="00322BB9"/>
    <w:rsid w:val="00323499"/>
    <w:rsid w:val="003239D7"/>
    <w:rsid w:val="00324552"/>
    <w:rsid w:val="00325AE8"/>
    <w:rsid w:val="003261FA"/>
    <w:rsid w:val="00327434"/>
    <w:rsid w:val="003276BB"/>
    <w:rsid w:val="00332669"/>
    <w:rsid w:val="00335865"/>
    <w:rsid w:val="00336825"/>
    <w:rsid w:val="0034510A"/>
    <w:rsid w:val="00345B29"/>
    <w:rsid w:val="00351972"/>
    <w:rsid w:val="003538ED"/>
    <w:rsid w:val="003549C1"/>
    <w:rsid w:val="0035546B"/>
    <w:rsid w:val="00356170"/>
    <w:rsid w:val="0035629E"/>
    <w:rsid w:val="0036188D"/>
    <w:rsid w:val="00361967"/>
    <w:rsid w:val="00365C72"/>
    <w:rsid w:val="0037029A"/>
    <w:rsid w:val="00370956"/>
    <w:rsid w:val="003723D9"/>
    <w:rsid w:val="003729B5"/>
    <w:rsid w:val="00374A09"/>
    <w:rsid w:val="00377878"/>
    <w:rsid w:val="00380069"/>
    <w:rsid w:val="00381489"/>
    <w:rsid w:val="00382EA9"/>
    <w:rsid w:val="003843A2"/>
    <w:rsid w:val="0038558B"/>
    <w:rsid w:val="00386D5B"/>
    <w:rsid w:val="00387A38"/>
    <w:rsid w:val="00390FCC"/>
    <w:rsid w:val="00391A90"/>
    <w:rsid w:val="0039443E"/>
    <w:rsid w:val="003947B4"/>
    <w:rsid w:val="00395EC8"/>
    <w:rsid w:val="003A0148"/>
    <w:rsid w:val="003A2194"/>
    <w:rsid w:val="003A2D84"/>
    <w:rsid w:val="003A39CC"/>
    <w:rsid w:val="003A497C"/>
    <w:rsid w:val="003A6AB3"/>
    <w:rsid w:val="003A6F92"/>
    <w:rsid w:val="003A783F"/>
    <w:rsid w:val="003B0506"/>
    <w:rsid w:val="003B0C10"/>
    <w:rsid w:val="003B0D49"/>
    <w:rsid w:val="003B46B6"/>
    <w:rsid w:val="003B531D"/>
    <w:rsid w:val="003B5DEC"/>
    <w:rsid w:val="003B703A"/>
    <w:rsid w:val="003B782B"/>
    <w:rsid w:val="003B7ADE"/>
    <w:rsid w:val="003C0943"/>
    <w:rsid w:val="003C0AAA"/>
    <w:rsid w:val="003C3AE5"/>
    <w:rsid w:val="003C3C9B"/>
    <w:rsid w:val="003C3D9F"/>
    <w:rsid w:val="003C6537"/>
    <w:rsid w:val="003C6766"/>
    <w:rsid w:val="003C6EEA"/>
    <w:rsid w:val="003C7A74"/>
    <w:rsid w:val="003D015B"/>
    <w:rsid w:val="003D10F9"/>
    <w:rsid w:val="003D28AC"/>
    <w:rsid w:val="003D4701"/>
    <w:rsid w:val="003D7CF3"/>
    <w:rsid w:val="003E09B6"/>
    <w:rsid w:val="003E1146"/>
    <w:rsid w:val="003E121A"/>
    <w:rsid w:val="003E2BE3"/>
    <w:rsid w:val="003E3154"/>
    <w:rsid w:val="003E60C9"/>
    <w:rsid w:val="003E69AB"/>
    <w:rsid w:val="003F7A62"/>
    <w:rsid w:val="004003BA"/>
    <w:rsid w:val="00400858"/>
    <w:rsid w:val="0040199B"/>
    <w:rsid w:val="00401BC2"/>
    <w:rsid w:val="0040366E"/>
    <w:rsid w:val="004060BA"/>
    <w:rsid w:val="00406D28"/>
    <w:rsid w:val="004072BD"/>
    <w:rsid w:val="004107AF"/>
    <w:rsid w:val="004113B7"/>
    <w:rsid w:val="004141FE"/>
    <w:rsid w:val="0041442A"/>
    <w:rsid w:val="00416ED2"/>
    <w:rsid w:val="0041751C"/>
    <w:rsid w:val="00417728"/>
    <w:rsid w:val="004200E1"/>
    <w:rsid w:val="00420A93"/>
    <w:rsid w:val="00422AC7"/>
    <w:rsid w:val="0042365B"/>
    <w:rsid w:val="00423F43"/>
    <w:rsid w:val="004262DB"/>
    <w:rsid w:val="004264C1"/>
    <w:rsid w:val="00427A35"/>
    <w:rsid w:val="004304CA"/>
    <w:rsid w:val="00436E09"/>
    <w:rsid w:val="00437661"/>
    <w:rsid w:val="00437B2D"/>
    <w:rsid w:val="004417C6"/>
    <w:rsid w:val="004420C8"/>
    <w:rsid w:val="00443916"/>
    <w:rsid w:val="0044467D"/>
    <w:rsid w:val="00445CC0"/>
    <w:rsid w:val="004460E4"/>
    <w:rsid w:val="00447005"/>
    <w:rsid w:val="00447B7F"/>
    <w:rsid w:val="00447C65"/>
    <w:rsid w:val="004512E7"/>
    <w:rsid w:val="00451754"/>
    <w:rsid w:val="004523B9"/>
    <w:rsid w:val="00453248"/>
    <w:rsid w:val="00454336"/>
    <w:rsid w:val="004543F9"/>
    <w:rsid w:val="00454688"/>
    <w:rsid w:val="00454DFE"/>
    <w:rsid w:val="00456957"/>
    <w:rsid w:val="00457C89"/>
    <w:rsid w:val="00457FA3"/>
    <w:rsid w:val="00460743"/>
    <w:rsid w:val="0046154E"/>
    <w:rsid w:val="00461B4B"/>
    <w:rsid w:val="00462A2C"/>
    <w:rsid w:val="00462F1E"/>
    <w:rsid w:val="004633F8"/>
    <w:rsid w:val="0047059D"/>
    <w:rsid w:val="00471668"/>
    <w:rsid w:val="00471A33"/>
    <w:rsid w:val="00473892"/>
    <w:rsid w:val="00473FB5"/>
    <w:rsid w:val="004746F9"/>
    <w:rsid w:val="00475A2D"/>
    <w:rsid w:val="00475E7B"/>
    <w:rsid w:val="0047693D"/>
    <w:rsid w:val="0048004E"/>
    <w:rsid w:val="00483082"/>
    <w:rsid w:val="004842F2"/>
    <w:rsid w:val="00492246"/>
    <w:rsid w:val="00492504"/>
    <w:rsid w:val="00492703"/>
    <w:rsid w:val="00492F21"/>
    <w:rsid w:val="0049409D"/>
    <w:rsid w:val="004948C2"/>
    <w:rsid w:val="00495690"/>
    <w:rsid w:val="0049569D"/>
    <w:rsid w:val="00495EAB"/>
    <w:rsid w:val="00495EEC"/>
    <w:rsid w:val="00496C2B"/>
    <w:rsid w:val="00496CBC"/>
    <w:rsid w:val="00497E21"/>
    <w:rsid w:val="004A0945"/>
    <w:rsid w:val="004A2930"/>
    <w:rsid w:val="004A3891"/>
    <w:rsid w:val="004A4C97"/>
    <w:rsid w:val="004A78FF"/>
    <w:rsid w:val="004B08E3"/>
    <w:rsid w:val="004B0CA9"/>
    <w:rsid w:val="004B2353"/>
    <w:rsid w:val="004B4E18"/>
    <w:rsid w:val="004B58EB"/>
    <w:rsid w:val="004B6C7B"/>
    <w:rsid w:val="004C051A"/>
    <w:rsid w:val="004C12F9"/>
    <w:rsid w:val="004C144B"/>
    <w:rsid w:val="004C3972"/>
    <w:rsid w:val="004C4964"/>
    <w:rsid w:val="004C4EDC"/>
    <w:rsid w:val="004C5D53"/>
    <w:rsid w:val="004C671C"/>
    <w:rsid w:val="004C6AC3"/>
    <w:rsid w:val="004C7BB7"/>
    <w:rsid w:val="004D1917"/>
    <w:rsid w:val="004D31D3"/>
    <w:rsid w:val="004D35A8"/>
    <w:rsid w:val="004D500B"/>
    <w:rsid w:val="004E0365"/>
    <w:rsid w:val="004E1ADF"/>
    <w:rsid w:val="004E3F95"/>
    <w:rsid w:val="004E4CD9"/>
    <w:rsid w:val="004E64F4"/>
    <w:rsid w:val="004F22F5"/>
    <w:rsid w:val="004F2423"/>
    <w:rsid w:val="004F2C54"/>
    <w:rsid w:val="004F4D06"/>
    <w:rsid w:val="004F5789"/>
    <w:rsid w:val="004F6BA9"/>
    <w:rsid w:val="004F7B71"/>
    <w:rsid w:val="00503090"/>
    <w:rsid w:val="00504D68"/>
    <w:rsid w:val="00505978"/>
    <w:rsid w:val="00510AD1"/>
    <w:rsid w:val="00511B4A"/>
    <w:rsid w:val="00513995"/>
    <w:rsid w:val="005144DF"/>
    <w:rsid w:val="00515886"/>
    <w:rsid w:val="00517AA3"/>
    <w:rsid w:val="005220BF"/>
    <w:rsid w:val="00522CC3"/>
    <w:rsid w:val="00526C34"/>
    <w:rsid w:val="00527FF2"/>
    <w:rsid w:val="00530749"/>
    <w:rsid w:val="00533A55"/>
    <w:rsid w:val="00534056"/>
    <w:rsid w:val="005357E0"/>
    <w:rsid w:val="0053600F"/>
    <w:rsid w:val="00540984"/>
    <w:rsid w:val="005409B6"/>
    <w:rsid w:val="00541A58"/>
    <w:rsid w:val="00541C40"/>
    <w:rsid w:val="0054295F"/>
    <w:rsid w:val="00542AB6"/>
    <w:rsid w:val="00544115"/>
    <w:rsid w:val="00544EF3"/>
    <w:rsid w:val="00546208"/>
    <w:rsid w:val="00550925"/>
    <w:rsid w:val="00550A83"/>
    <w:rsid w:val="005520F8"/>
    <w:rsid w:val="00552FFE"/>
    <w:rsid w:val="00553D72"/>
    <w:rsid w:val="00555A81"/>
    <w:rsid w:val="0055603C"/>
    <w:rsid w:val="00557B40"/>
    <w:rsid w:val="00557F66"/>
    <w:rsid w:val="0056271C"/>
    <w:rsid w:val="00564C9A"/>
    <w:rsid w:val="00565F56"/>
    <w:rsid w:val="00566601"/>
    <w:rsid w:val="00572A4A"/>
    <w:rsid w:val="00572EFE"/>
    <w:rsid w:val="00573737"/>
    <w:rsid w:val="005744A3"/>
    <w:rsid w:val="00574BF0"/>
    <w:rsid w:val="00574EEF"/>
    <w:rsid w:val="00575077"/>
    <w:rsid w:val="00575459"/>
    <w:rsid w:val="0057549F"/>
    <w:rsid w:val="0057593F"/>
    <w:rsid w:val="00576081"/>
    <w:rsid w:val="00577847"/>
    <w:rsid w:val="00580A25"/>
    <w:rsid w:val="00580F6C"/>
    <w:rsid w:val="00583415"/>
    <w:rsid w:val="005836B6"/>
    <w:rsid w:val="005851D2"/>
    <w:rsid w:val="005853EE"/>
    <w:rsid w:val="00586C66"/>
    <w:rsid w:val="00586D7B"/>
    <w:rsid w:val="00591AAF"/>
    <w:rsid w:val="005937AA"/>
    <w:rsid w:val="0059706D"/>
    <w:rsid w:val="0059716A"/>
    <w:rsid w:val="005A1FC6"/>
    <w:rsid w:val="005A2CA6"/>
    <w:rsid w:val="005A6FE3"/>
    <w:rsid w:val="005A704E"/>
    <w:rsid w:val="005A71AF"/>
    <w:rsid w:val="005B1C69"/>
    <w:rsid w:val="005B23D4"/>
    <w:rsid w:val="005B2CEE"/>
    <w:rsid w:val="005B6808"/>
    <w:rsid w:val="005B6AE0"/>
    <w:rsid w:val="005B779C"/>
    <w:rsid w:val="005B7DF8"/>
    <w:rsid w:val="005C4A7E"/>
    <w:rsid w:val="005C4F32"/>
    <w:rsid w:val="005C5235"/>
    <w:rsid w:val="005C5A4A"/>
    <w:rsid w:val="005C61D8"/>
    <w:rsid w:val="005D0018"/>
    <w:rsid w:val="005D007A"/>
    <w:rsid w:val="005D011D"/>
    <w:rsid w:val="005D07F9"/>
    <w:rsid w:val="005D1716"/>
    <w:rsid w:val="005D2DDA"/>
    <w:rsid w:val="005D3C36"/>
    <w:rsid w:val="005D7BD2"/>
    <w:rsid w:val="005E0FBA"/>
    <w:rsid w:val="005E1553"/>
    <w:rsid w:val="005E2C08"/>
    <w:rsid w:val="005E4A47"/>
    <w:rsid w:val="005E716A"/>
    <w:rsid w:val="005E7C4C"/>
    <w:rsid w:val="005F04AE"/>
    <w:rsid w:val="005F13A2"/>
    <w:rsid w:val="005F201D"/>
    <w:rsid w:val="005F5503"/>
    <w:rsid w:val="005F55FA"/>
    <w:rsid w:val="00603444"/>
    <w:rsid w:val="006040B1"/>
    <w:rsid w:val="0060617E"/>
    <w:rsid w:val="00606B86"/>
    <w:rsid w:val="00607B99"/>
    <w:rsid w:val="00607F40"/>
    <w:rsid w:val="00610542"/>
    <w:rsid w:val="00610BD9"/>
    <w:rsid w:val="00613E0B"/>
    <w:rsid w:val="006146E6"/>
    <w:rsid w:val="00614FD5"/>
    <w:rsid w:val="006151B1"/>
    <w:rsid w:val="00620689"/>
    <w:rsid w:val="006209E0"/>
    <w:rsid w:val="00621FB0"/>
    <w:rsid w:val="00622C0F"/>
    <w:rsid w:val="006232CF"/>
    <w:rsid w:val="006236AB"/>
    <w:rsid w:val="00623CC2"/>
    <w:rsid w:val="00624AE9"/>
    <w:rsid w:val="006254D1"/>
    <w:rsid w:val="00625CAA"/>
    <w:rsid w:val="00627E64"/>
    <w:rsid w:val="00631B3C"/>
    <w:rsid w:val="00634C49"/>
    <w:rsid w:val="0063553E"/>
    <w:rsid w:val="00635E89"/>
    <w:rsid w:val="00636D4F"/>
    <w:rsid w:val="00637019"/>
    <w:rsid w:val="0064056A"/>
    <w:rsid w:val="006419A9"/>
    <w:rsid w:val="00643461"/>
    <w:rsid w:val="00643632"/>
    <w:rsid w:val="00644DA7"/>
    <w:rsid w:val="006465C7"/>
    <w:rsid w:val="00647CD9"/>
    <w:rsid w:val="0065086C"/>
    <w:rsid w:val="00651014"/>
    <w:rsid w:val="006514EA"/>
    <w:rsid w:val="006523F8"/>
    <w:rsid w:val="00654915"/>
    <w:rsid w:val="00654AA5"/>
    <w:rsid w:val="00657178"/>
    <w:rsid w:val="0066098C"/>
    <w:rsid w:val="00661120"/>
    <w:rsid w:val="0066229F"/>
    <w:rsid w:val="00665525"/>
    <w:rsid w:val="00666628"/>
    <w:rsid w:val="0066717D"/>
    <w:rsid w:val="006671FB"/>
    <w:rsid w:val="0066734D"/>
    <w:rsid w:val="0067318A"/>
    <w:rsid w:val="0067447B"/>
    <w:rsid w:val="00674F5F"/>
    <w:rsid w:val="006773E6"/>
    <w:rsid w:val="00677BB2"/>
    <w:rsid w:val="006817AB"/>
    <w:rsid w:val="00681F9A"/>
    <w:rsid w:val="006847AC"/>
    <w:rsid w:val="00684C88"/>
    <w:rsid w:val="00686101"/>
    <w:rsid w:val="006864DA"/>
    <w:rsid w:val="0069105A"/>
    <w:rsid w:val="00693073"/>
    <w:rsid w:val="00693639"/>
    <w:rsid w:val="00697106"/>
    <w:rsid w:val="006A240A"/>
    <w:rsid w:val="006A42EE"/>
    <w:rsid w:val="006A42F0"/>
    <w:rsid w:val="006A6482"/>
    <w:rsid w:val="006A65F1"/>
    <w:rsid w:val="006B2900"/>
    <w:rsid w:val="006B2DCC"/>
    <w:rsid w:val="006B2FDF"/>
    <w:rsid w:val="006B3294"/>
    <w:rsid w:val="006B3484"/>
    <w:rsid w:val="006B4450"/>
    <w:rsid w:val="006B48C7"/>
    <w:rsid w:val="006C1E7D"/>
    <w:rsid w:val="006C24C6"/>
    <w:rsid w:val="006C25D8"/>
    <w:rsid w:val="006C3268"/>
    <w:rsid w:val="006C37A0"/>
    <w:rsid w:val="006C401E"/>
    <w:rsid w:val="006C4885"/>
    <w:rsid w:val="006C49E8"/>
    <w:rsid w:val="006C52F1"/>
    <w:rsid w:val="006C5479"/>
    <w:rsid w:val="006C6657"/>
    <w:rsid w:val="006C6A73"/>
    <w:rsid w:val="006C6FBD"/>
    <w:rsid w:val="006C7B47"/>
    <w:rsid w:val="006D2183"/>
    <w:rsid w:val="006D4776"/>
    <w:rsid w:val="006D74F9"/>
    <w:rsid w:val="006E079B"/>
    <w:rsid w:val="006E29BE"/>
    <w:rsid w:val="006E3518"/>
    <w:rsid w:val="006E36D9"/>
    <w:rsid w:val="006E39ED"/>
    <w:rsid w:val="006E74D6"/>
    <w:rsid w:val="006F024F"/>
    <w:rsid w:val="006F140D"/>
    <w:rsid w:val="006F1EEF"/>
    <w:rsid w:val="006F2433"/>
    <w:rsid w:val="006F3915"/>
    <w:rsid w:val="006F66B5"/>
    <w:rsid w:val="006F75ED"/>
    <w:rsid w:val="006F7FA8"/>
    <w:rsid w:val="00700878"/>
    <w:rsid w:val="007032C9"/>
    <w:rsid w:val="00703BC2"/>
    <w:rsid w:val="00704655"/>
    <w:rsid w:val="007105B3"/>
    <w:rsid w:val="00711FA0"/>
    <w:rsid w:val="00711FA8"/>
    <w:rsid w:val="007139C3"/>
    <w:rsid w:val="00716D01"/>
    <w:rsid w:val="0072214A"/>
    <w:rsid w:val="007228C0"/>
    <w:rsid w:val="007230E1"/>
    <w:rsid w:val="0072426B"/>
    <w:rsid w:val="00724609"/>
    <w:rsid w:val="00730B8B"/>
    <w:rsid w:val="00731DF3"/>
    <w:rsid w:val="00731E5B"/>
    <w:rsid w:val="00733E4D"/>
    <w:rsid w:val="00734758"/>
    <w:rsid w:val="00734EDC"/>
    <w:rsid w:val="00735B19"/>
    <w:rsid w:val="00735C40"/>
    <w:rsid w:val="00736AE5"/>
    <w:rsid w:val="0073706C"/>
    <w:rsid w:val="0073750D"/>
    <w:rsid w:val="007378A1"/>
    <w:rsid w:val="00737985"/>
    <w:rsid w:val="00741BE4"/>
    <w:rsid w:val="00744458"/>
    <w:rsid w:val="00745332"/>
    <w:rsid w:val="00747A31"/>
    <w:rsid w:val="0075113B"/>
    <w:rsid w:val="007515A0"/>
    <w:rsid w:val="00754C57"/>
    <w:rsid w:val="0075629C"/>
    <w:rsid w:val="00756FDA"/>
    <w:rsid w:val="00757D46"/>
    <w:rsid w:val="00757E57"/>
    <w:rsid w:val="00757EE9"/>
    <w:rsid w:val="00760254"/>
    <w:rsid w:val="007608D3"/>
    <w:rsid w:val="00760B42"/>
    <w:rsid w:val="0076169C"/>
    <w:rsid w:val="00764166"/>
    <w:rsid w:val="00765968"/>
    <w:rsid w:val="00770F6B"/>
    <w:rsid w:val="0077368E"/>
    <w:rsid w:val="0077375E"/>
    <w:rsid w:val="00773CB0"/>
    <w:rsid w:val="00773EAF"/>
    <w:rsid w:val="00776622"/>
    <w:rsid w:val="00777D42"/>
    <w:rsid w:val="00780892"/>
    <w:rsid w:val="00780AE8"/>
    <w:rsid w:val="007830C7"/>
    <w:rsid w:val="007832A6"/>
    <w:rsid w:val="00785FC0"/>
    <w:rsid w:val="00786C80"/>
    <w:rsid w:val="00790C61"/>
    <w:rsid w:val="007925C6"/>
    <w:rsid w:val="00793250"/>
    <w:rsid w:val="00794871"/>
    <w:rsid w:val="0079621B"/>
    <w:rsid w:val="00796385"/>
    <w:rsid w:val="00797B3C"/>
    <w:rsid w:val="007A0A3D"/>
    <w:rsid w:val="007A0E6D"/>
    <w:rsid w:val="007A0F4A"/>
    <w:rsid w:val="007A1661"/>
    <w:rsid w:val="007A2380"/>
    <w:rsid w:val="007A35EF"/>
    <w:rsid w:val="007A3EB0"/>
    <w:rsid w:val="007A4102"/>
    <w:rsid w:val="007A55EA"/>
    <w:rsid w:val="007A6790"/>
    <w:rsid w:val="007A7017"/>
    <w:rsid w:val="007B06DC"/>
    <w:rsid w:val="007B164A"/>
    <w:rsid w:val="007B1DDA"/>
    <w:rsid w:val="007B4AF1"/>
    <w:rsid w:val="007B4B2C"/>
    <w:rsid w:val="007B56DE"/>
    <w:rsid w:val="007B6200"/>
    <w:rsid w:val="007C3AB4"/>
    <w:rsid w:val="007C3AC3"/>
    <w:rsid w:val="007C507F"/>
    <w:rsid w:val="007C66CC"/>
    <w:rsid w:val="007C6C2B"/>
    <w:rsid w:val="007C6D35"/>
    <w:rsid w:val="007C7473"/>
    <w:rsid w:val="007D00F9"/>
    <w:rsid w:val="007D069C"/>
    <w:rsid w:val="007D13C1"/>
    <w:rsid w:val="007D179C"/>
    <w:rsid w:val="007D1BD0"/>
    <w:rsid w:val="007D3907"/>
    <w:rsid w:val="007D4C3B"/>
    <w:rsid w:val="007D5367"/>
    <w:rsid w:val="007D6D88"/>
    <w:rsid w:val="007D7FA4"/>
    <w:rsid w:val="007E1A7E"/>
    <w:rsid w:val="007E1CE6"/>
    <w:rsid w:val="007E287B"/>
    <w:rsid w:val="007E3F40"/>
    <w:rsid w:val="007E4D82"/>
    <w:rsid w:val="007E51E0"/>
    <w:rsid w:val="007E5BFE"/>
    <w:rsid w:val="007E63CD"/>
    <w:rsid w:val="007E7149"/>
    <w:rsid w:val="007F111E"/>
    <w:rsid w:val="007F11C6"/>
    <w:rsid w:val="007F2042"/>
    <w:rsid w:val="007F2473"/>
    <w:rsid w:val="007F3A97"/>
    <w:rsid w:val="007F4051"/>
    <w:rsid w:val="007F4297"/>
    <w:rsid w:val="007F4C57"/>
    <w:rsid w:val="007F5DD3"/>
    <w:rsid w:val="007F644A"/>
    <w:rsid w:val="008009DA"/>
    <w:rsid w:val="00800B72"/>
    <w:rsid w:val="00804345"/>
    <w:rsid w:val="00804B35"/>
    <w:rsid w:val="00805761"/>
    <w:rsid w:val="008078A8"/>
    <w:rsid w:val="00807BC4"/>
    <w:rsid w:val="00810B28"/>
    <w:rsid w:val="00811120"/>
    <w:rsid w:val="00812329"/>
    <w:rsid w:val="0081510A"/>
    <w:rsid w:val="0081707E"/>
    <w:rsid w:val="008205D2"/>
    <w:rsid w:val="00822078"/>
    <w:rsid w:val="00822E62"/>
    <w:rsid w:val="008238BD"/>
    <w:rsid w:val="00823C88"/>
    <w:rsid w:val="00824953"/>
    <w:rsid w:val="00824A80"/>
    <w:rsid w:val="00826DE0"/>
    <w:rsid w:val="00827AFA"/>
    <w:rsid w:val="008316D0"/>
    <w:rsid w:val="0083229D"/>
    <w:rsid w:val="00833A49"/>
    <w:rsid w:val="00833CE0"/>
    <w:rsid w:val="008370A6"/>
    <w:rsid w:val="0083729A"/>
    <w:rsid w:val="008374E1"/>
    <w:rsid w:val="00837C35"/>
    <w:rsid w:val="008400A3"/>
    <w:rsid w:val="0084087F"/>
    <w:rsid w:val="00841D13"/>
    <w:rsid w:val="00843969"/>
    <w:rsid w:val="008465C4"/>
    <w:rsid w:val="0085009E"/>
    <w:rsid w:val="0085057D"/>
    <w:rsid w:val="00850624"/>
    <w:rsid w:val="00853629"/>
    <w:rsid w:val="00857A83"/>
    <w:rsid w:val="0086075C"/>
    <w:rsid w:val="00866009"/>
    <w:rsid w:val="008661F6"/>
    <w:rsid w:val="0087133D"/>
    <w:rsid w:val="00872EA9"/>
    <w:rsid w:val="00873036"/>
    <w:rsid w:val="0087496E"/>
    <w:rsid w:val="008751B7"/>
    <w:rsid w:val="00875E5D"/>
    <w:rsid w:val="0087637B"/>
    <w:rsid w:val="00876A6A"/>
    <w:rsid w:val="008774AC"/>
    <w:rsid w:val="008777CB"/>
    <w:rsid w:val="00877AE9"/>
    <w:rsid w:val="00880B06"/>
    <w:rsid w:val="00880F45"/>
    <w:rsid w:val="00881BB9"/>
    <w:rsid w:val="00881FAA"/>
    <w:rsid w:val="008824D2"/>
    <w:rsid w:val="00882D73"/>
    <w:rsid w:val="00883FB4"/>
    <w:rsid w:val="008855D0"/>
    <w:rsid w:val="00885700"/>
    <w:rsid w:val="0088703C"/>
    <w:rsid w:val="00887BF6"/>
    <w:rsid w:val="00891EE6"/>
    <w:rsid w:val="00891F10"/>
    <w:rsid w:val="00892C2A"/>
    <w:rsid w:val="00894D13"/>
    <w:rsid w:val="008951C1"/>
    <w:rsid w:val="008957E7"/>
    <w:rsid w:val="00896849"/>
    <w:rsid w:val="008970CC"/>
    <w:rsid w:val="008976DD"/>
    <w:rsid w:val="00897E84"/>
    <w:rsid w:val="008A2548"/>
    <w:rsid w:val="008A29DC"/>
    <w:rsid w:val="008A2D53"/>
    <w:rsid w:val="008A34AB"/>
    <w:rsid w:val="008A4CD1"/>
    <w:rsid w:val="008A575E"/>
    <w:rsid w:val="008A5AE5"/>
    <w:rsid w:val="008A6F4E"/>
    <w:rsid w:val="008A7E07"/>
    <w:rsid w:val="008A7EA7"/>
    <w:rsid w:val="008B0370"/>
    <w:rsid w:val="008B0ECD"/>
    <w:rsid w:val="008B1362"/>
    <w:rsid w:val="008B17B0"/>
    <w:rsid w:val="008B180E"/>
    <w:rsid w:val="008B23DA"/>
    <w:rsid w:val="008B346C"/>
    <w:rsid w:val="008B3E16"/>
    <w:rsid w:val="008B51B5"/>
    <w:rsid w:val="008B558E"/>
    <w:rsid w:val="008C28EB"/>
    <w:rsid w:val="008C2A61"/>
    <w:rsid w:val="008C3240"/>
    <w:rsid w:val="008C4361"/>
    <w:rsid w:val="008C459F"/>
    <w:rsid w:val="008C5C4D"/>
    <w:rsid w:val="008C5ED1"/>
    <w:rsid w:val="008C608C"/>
    <w:rsid w:val="008C62B4"/>
    <w:rsid w:val="008D00B6"/>
    <w:rsid w:val="008D0AF0"/>
    <w:rsid w:val="008D0E45"/>
    <w:rsid w:val="008D15E1"/>
    <w:rsid w:val="008D1C5E"/>
    <w:rsid w:val="008D226B"/>
    <w:rsid w:val="008D29FF"/>
    <w:rsid w:val="008D317E"/>
    <w:rsid w:val="008D3291"/>
    <w:rsid w:val="008D5749"/>
    <w:rsid w:val="008D5885"/>
    <w:rsid w:val="008D7137"/>
    <w:rsid w:val="008D71AA"/>
    <w:rsid w:val="008E0739"/>
    <w:rsid w:val="008E23E5"/>
    <w:rsid w:val="008E2BD0"/>
    <w:rsid w:val="008E37B9"/>
    <w:rsid w:val="008E4BB3"/>
    <w:rsid w:val="008E619C"/>
    <w:rsid w:val="008E6648"/>
    <w:rsid w:val="008E73F7"/>
    <w:rsid w:val="008F2053"/>
    <w:rsid w:val="008F23CB"/>
    <w:rsid w:val="008F2BE5"/>
    <w:rsid w:val="008F5A58"/>
    <w:rsid w:val="008F6E35"/>
    <w:rsid w:val="008F7913"/>
    <w:rsid w:val="009038E7"/>
    <w:rsid w:val="00903B0E"/>
    <w:rsid w:val="009041E7"/>
    <w:rsid w:val="00904FC3"/>
    <w:rsid w:val="00905C37"/>
    <w:rsid w:val="00907787"/>
    <w:rsid w:val="009107FE"/>
    <w:rsid w:val="00911582"/>
    <w:rsid w:val="00913BD6"/>
    <w:rsid w:val="00915265"/>
    <w:rsid w:val="009156DF"/>
    <w:rsid w:val="00917421"/>
    <w:rsid w:val="00921027"/>
    <w:rsid w:val="00921F1B"/>
    <w:rsid w:val="00925541"/>
    <w:rsid w:val="00925DB6"/>
    <w:rsid w:val="00926DF5"/>
    <w:rsid w:val="00926FB4"/>
    <w:rsid w:val="00930DAD"/>
    <w:rsid w:val="0093150E"/>
    <w:rsid w:val="00934590"/>
    <w:rsid w:val="009361FF"/>
    <w:rsid w:val="00937A88"/>
    <w:rsid w:val="00941129"/>
    <w:rsid w:val="00941ACC"/>
    <w:rsid w:val="00941D8E"/>
    <w:rsid w:val="00943005"/>
    <w:rsid w:val="0094336D"/>
    <w:rsid w:val="00943393"/>
    <w:rsid w:val="00944177"/>
    <w:rsid w:val="0094580B"/>
    <w:rsid w:val="00945F24"/>
    <w:rsid w:val="009460FA"/>
    <w:rsid w:val="009506D5"/>
    <w:rsid w:val="00955D4D"/>
    <w:rsid w:val="0095609D"/>
    <w:rsid w:val="009601F4"/>
    <w:rsid w:val="00960E54"/>
    <w:rsid w:val="00962188"/>
    <w:rsid w:val="0096252F"/>
    <w:rsid w:val="0096298C"/>
    <w:rsid w:val="00962CA4"/>
    <w:rsid w:val="00963169"/>
    <w:rsid w:val="00963DAD"/>
    <w:rsid w:val="00965CEB"/>
    <w:rsid w:val="00967C1E"/>
    <w:rsid w:val="00970BAC"/>
    <w:rsid w:val="00972B8E"/>
    <w:rsid w:val="00973409"/>
    <w:rsid w:val="009744B0"/>
    <w:rsid w:val="00974F41"/>
    <w:rsid w:val="009752A0"/>
    <w:rsid w:val="0097663C"/>
    <w:rsid w:val="009767E4"/>
    <w:rsid w:val="009815F2"/>
    <w:rsid w:val="00982B3E"/>
    <w:rsid w:val="009840CA"/>
    <w:rsid w:val="00984EBE"/>
    <w:rsid w:val="00985957"/>
    <w:rsid w:val="00986C9C"/>
    <w:rsid w:val="00987B11"/>
    <w:rsid w:val="00990084"/>
    <w:rsid w:val="00993CDC"/>
    <w:rsid w:val="00996BF1"/>
    <w:rsid w:val="00997324"/>
    <w:rsid w:val="009A2FE0"/>
    <w:rsid w:val="009A50DA"/>
    <w:rsid w:val="009A519A"/>
    <w:rsid w:val="009A67A5"/>
    <w:rsid w:val="009A6A3C"/>
    <w:rsid w:val="009A6C72"/>
    <w:rsid w:val="009A7924"/>
    <w:rsid w:val="009A7D65"/>
    <w:rsid w:val="009B0EE0"/>
    <w:rsid w:val="009B41EE"/>
    <w:rsid w:val="009B555C"/>
    <w:rsid w:val="009B6CEB"/>
    <w:rsid w:val="009B7D8F"/>
    <w:rsid w:val="009C1CB1"/>
    <w:rsid w:val="009C303C"/>
    <w:rsid w:val="009C3547"/>
    <w:rsid w:val="009C36AA"/>
    <w:rsid w:val="009C5240"/>
    <w:rsid w:val="009C63A2"/>
    <w:rsid w:val="009C6E50"/>
    <w:rsid w:val="009D03C8"/>
    <w:rsid w:val="009D0B44"/>
    <w:rsid w:val="009D1428"/>
    <w:rsid w:val="009D1AE8"/>
    <w:rsid w:val="009D273D"/>
    <w:rsid w:val="009D2ABD"/>
    <w:rsid w:val="009D2FF6"/>
    <w:rsid w:val="009D307C"/>
    <w:rsid w:val="009D4ECC"/>
    <w:rsid w:val="009D64EB"/>
    <w:rsid w:val="009D6507"/>
    <w:rsid w:val="009D7AB0"/>
    <w:rsid w:val="009E0AA4"/>
    <w:rsid w:val="009E123D"/>
    <w:rsid w:val="009E132B"/>
    <w:rsid w:val="009E2BF1"/>
    <w:rsid w:val="009E3AD3"/>
    <w:rsid w:val="009E3EF4"/>
    <w:rsid w:val="009E5F90"/>
    <w:rsid w:val="009E6C3C"/>
    <w:rsid w:val="009F0702"/>
    <w:rsid w:val="009F228C"/>
    <w:rsid w:val="009F456F"/>
    <w:rsid w:val="009F68D2"/>
    <w:rsid w:val="009F7360"/>
    <w:rsid w:val="009F77E5"/>
    <w:rsid w:val="009F7FC3"/>
    <w:rsid w:val="00A00F71"/>
    <w:rsid w:val="00A01157"/>
    <w:rsid w:val="00A011DD"/>
    <w:rsid w:val="00A0124E"/>
    <w:rsid w:val="00A020D2"/>
    <w:rsid w:val="00A0232F"/>
    <w:rsid w:val="00A03EF5"/>
    <w:rsid w:val="00A047E6"/>
    <w:rsid w:val="00A05F04"/>
    <w:rsid w:val="00A06856"/>
    <w:rsid w:val="00A10AE0"/>
    <w:rsid w:val="00A115CE"/>
    <w:rsid w:val="00A11AAE"/>
    <w:rsid w:val="00A12B39"/>
    <w:rsid w:val="00A142D8"/>
    <w:rsid w:val="00A16071"/>
    <w:rsid w:val="00A16543"/>
    <w:rsid w:val="00A20E93"/>
    <w:rsid w:val="00A225E8"/>
    <w:rsid w:val="00A22EA3"/>
    <w:rsid w:val="00A242F1"/>
    <w:rsid w:val="00A25F83"/>
    <w:rsid w:val="00A26216"/>
    <w:rsid w:val="00A323D1"/>
    <w:rsid w:val="00A33310"/>
    <w:rsid w:val="00A34A7C"/>
    <w:rsid w:val="00A34B35"/>
    <w:rsid w:val="00A35336"/>
    <w:rsid w:val="00A35721"/>
    <w:rsid w:val="00A40EAF"/>
    <w:rsid w:val="00A42354"/>
    <w:rsid w:val="00A42CEC"/>
    <w:rsid w:val="00A46ABB"/>
    <w:rsid w:val="00A47BDB"/>
    <w:rsid w:val="00A47D62"/>
    <w:rsid w:val="00A504D1"/>
    <w:rsid w:val="00A504EC"/>
    <w:rsid w:val="00A50CF4"/>
    <w:rsid w:val="00A50D47"/>
    <w:rsid w:val="00A51011"/>
    <w:rsid w:val="00A51429"/>
    <w:rsid w:val="00A52ED9"/>
    <w:rsid w:val="00A530F5"/>
    <w:rsid w:val="00A532B5"/>
    <w:rsid w:val="00A54CEB"/>
    <w:rsid w:val="00A55057"/>
    <w:rsid w:val="00A56116"/>
    <w:rsid w:val="00A57859"/>
    <w:rsid w:val="00A57A72"/>
    <w:rsid w:val="00A57E76"/>
    <w:rsid w:val="00A60891"/>
    <w:rsid w:val="00A61F6C"/>
    <w:rsid w:val="00A6217E"/>
    <w:rsid w:val="00A6243D"/>
    <w:rsid w:val="00A62E32"/>
    <w:rsid w:val="00A63B72"/>
    <w:rsid w:val="00A65743"/>
    <w:rsid w:val="00A667D8"/>
    <w:rsid w:val="00A669E2"/>
    <w:rsid w:val="00A66DCB"/>
    <w:rsid w:val="00A673C2"/>
    <w:rsid w:val="00A705F7"/>
    <w:rsid w:val="00A70749"/>
    <w:rsid w:val="00A7076A"/>
    <w:rsid w:val="00A70FFB"/>
    <w:rsid w:val="00A71246"/>
    <w:rsid w:val="00A71915"/>
    <w:rsid w:val="00A7202A"/>
    <w:rsid w:val="00A73A06"/>
    <w:rsid w:val="00A75192"/>
    <w:rsid w:val="00A81D92"/>
    <w:rsid w:val="00A84D4E"/>
    <w:rsid w:val="00A86172"/>
    <w:rsid w:val="00A86CAA"/>
    <w:rsid w:val="00A8700D"/>
    <w:rsid w:val="00A8717D"/>
    <w:rsid w:val="00A94515"/>
    <w:rsid w:val="00A949C7"/>
    <w:rsid w:val="00A94FC8"/>
    <w:rsid w:val="00A9527C"/>
    <w:rsid w:val="00A955D7"/>
    <w:rsid w:val="00A95B9A"/>
    <w:rsid w:val="00A9633C"/>
    <w:rsid w:val="00AA0B08"/>
    <w:rsid w:val="00AA1817"/>
    <w:rsid w:val="00AA2B4D"/>
    <w:rsid w:val="00AA5B79"/>
    <w:rsid w:val="00AA66B4"/>
    <w:rsid w:val="00AA7EA3"/>
    <w:rsid w:val="00AB1FF6"/>
    <w:rsid w:val="00AB311A"/>
    <w:rsid w:val="00AB3599"/>
    <w:rsid w:val="00AB7756"/>
    <w:rsid w:val="00AB7E02"/>
    <w:rsid w:val="00AC13BD"/>
    <w:rsid w:val="00AC1746"/>
    <w:rsid w:val="00AC204B"/>
    <w:rsid w:val="00AC2A92"/>
    <w:rsid w:val="00AC2C84"/>
    <w:rsid w:val="00AC36EC"/>
    <w:rsid w:val="00AC3984"/>
    <w:rsid w:val="00AC4BCB"/>
    <w:rsid w:val="00AC5A1B"/>
    <w:rsid w:val="00AC600D"/>
    <w:rsid w:val="00AC685B"/>
    <w:rsid w:val="00AC7713"/>
    <w:rsid w:val="00AC7DB4"/>
    <w:rsid w:val="00AD2F10"/>
    <w:rsid w:val="00AD3101"/>
    <w:rsid w:val="00AD5D30"/>
    <w:rsid w:val="00AE0FAE"/>
    <w:rsid w:val="00AE1554"/>
    <w:rsid w:val="00AE2755"/>
    <w:rsid w:val="00AE5625"/>
    <w:rsid w:val="00AE56B9"/>
    <w:rsid w:val="00AE5A2D"/>
    <w:rsid w:val="00AE62B3"/>
    <w:rsid w:val="00AE633F"/>
    <w:rsid w:val="00AE762F"/>
    <w:rsid w:val="00AE7777"/>
    <w:rsid w:val="00AF17D0"/>
    <w:rsid w:val="00AF216D"/>
    <w:rsid w:val="00AF6667"/>
    <w:rsid w:val="00B007A9"/>
    <w:rsid w:val="00B008BF"/>
    <w:rsid w:val="00B00A4E"/>
    <w:rsid w:val="00B022AE"/>
    <w:rsid w:val="00B02A0F"/>
    <w:rsid w:val="00B0403A"/>
    <w:rsid w:val="00B04C3E"/>
    <w:rsid w:val="00B04E1A"/>
    <w:rsid w:val="00B07CC0"/>
    <w:rsid w:val="00B10059"/>
    <w:rsid w:val="00B12052"/>
    <w:rsid w:val="00B12E56"/>
    <w:rsid w:val="00B15264"/>
    <w:rsid w:val="00B20B10"/>
    <w:rsid w:val="00B20F42"/>
    <w:rsid w:val="00B219DA"/>
    <w:rsid w:val="00B21A9A"/>
    <w:rsid w:val="00B21D14"/>
    <w:rsid w:val="00B21E18"/>
    <w:rsid w:val="00B231CB"/>
    <w:rsid w:val="00B23487"/>
    <w:rsid w:val="00B24A05"/>
    <w:rsid w:val="00B25914"/>
    <w:rsid w:val="00B27050"/>
    <w:rsid w:val="00B30613"/>
    <w:rsid w:val="00B32A16"/>
    <w:rsid w:val="00B353D1"/>
    <w:rsid w:val="00B358AE"/>
    <w:rsid w:val="00B37513"/>
    <w:rsid w:val="00B442C9"/>
    <w:rsid w:val="00B4607C"/>
    <w:rsid w:val="00B46175"/>
    <w:rsid w:val="00B467BF"/>
    <w:rsid w:val="00B51E09"/>
    <w:rsid w:val="00B5590A"/>
    <w:rsid w:val="00B55A98"/>
    <w:rsid w:val="00B55BBE"/>
    <w:rsid w:val="00B56A14"/>
    <w:rsid w:val="00B57431"/>
    <w:rsid w:val="00B606D0"/>
    <w:rsid w:val="00B60A5D"/>
    <w:rsid w:val="00B6344C"/>
    <w:rsid w:val="00B65319"/>
    <w:rsid w:val="00B657C0"/>
    <w:rsid w:val="00B6651E"/>
    <w:rsid w:val="00B6672A"/>
    <w:rsid w:val="00B67FCA"/>
    <w:rsid w:val="00B731BE"/>
    <w:rsid w:val="00B7345B"/>
    <w:rsid w:val="00B76967"/>
    <w:rsid w:val="00B775DC"/>
    <w:rsid w:val="00B77F17"/>
    <w:rsid w:val="00B801A2"/>
    <w:rsid w:val="00B8192F"/>
    <w:rsid w:val="00B81D03"/>
    <w:rsid w:val="00B81D6D"/>
    <w:rsid w:val="00B81E08"/>
    <w:rsid w:val="00B835C6"/>
    <w:rsid w:val="00B85360"/>
    <w:rsid w:val="00B85738"/>
    <w:rsid w:val="00B85D76"/>
    <w:rsid w:val="00B90614"/>
    <w:rsid w:val="00B90789"/>
    <w:rsid w:val="00B909F0"/>
    <w:rsid w:val="00B90B04"/>
    <w:rsid w:val="00B9320D"/>
    <w:rsid w:val="00B93835"/>
    <w:rsid w:val="00B95448"/>
    <w:rsid w:val="00B95A36"/>
    <w:rsid w:val="00B96393"/>
    <w:rsid w:val="00BA09D4"/>
    <w:rsid w:val="00BA2A5C"/>
    <w:rsid w:val="00BA40EF"/>
    <w:rsid w:val="00BA5553"/>
    <w:rsid w:val="00BA67D1"/>
    <w:rsid w:val="00BA67F5"/>
    <w:rsid w:val="00BA788D"/>
    <w:rsid w:val="00BB1E89"/>
    <w:rsid w:val="00BB2013"/>
    <w:rsid w:val="00BC22E1"/>
    <w:rsid w:val="00BC7781"/>
    <w:rsid w:val="00BD07CA"/>
    <w:rsid w:val="00BD16A7"/>
    <w:rsid w:val="00BD3575"/>
    <w:rsid w:val="00BD45EE"/>
    <w:rsid w:val="00BD5F3B"/>
    <w:rsid w:val="00BD715C"/>
    <w:rsid w:val="00BE0D03"/>
    <w:rsid w:val="00BE1D71"/>
    <w:rsid w:val="00BE275D"/>
    <w:rsid w:val="00BE41D0"/>
    <w:rsid w:val="00BF0F53"/>
    <w:rsid w:val="00BF369C"/>
    <w:rsid w:val="00BF42C6"/>
    <w:rsid w:val="00BF5DD6"/>
    <w:rsid w:val="00BF7D3D"/>
    <w:rsid w:val="00BF7EA2"/>
    <w:rsid w:val="00BF7F16"/>
    <w:rsid w:val="00C005E0"/>
    <w:rsid w:val="00C00DB9"/>
    <w:rsid w:val="00C0197A"/>
    <w:rsid w:val="00C01F33"/>
    <w:rsid w:val="00C04A80"/>
    <w:rsid w:val="00C04C5A"/>
    <w:rsid w:val="00C063E2"/>
    <w:rsid w:val="00C067A8"/>
    <w:rsid w:val="00C11536"/>
    <w:rsid w:val="00C1167A"/>
    <w:rsid w:val="00C1244F"/>
    <w:rsid w:val="00C13809"/>
    <w:rsid w:val="00C155FA"/>
    <w:rsid w:val="00C160B1"/>
    <w:rsid w:val="00C16CBB"/>
    <w:rsid w:val="00C200B4"/>
    <w:rsid w:val="00C202F2"/>
    <w:rsid w:val="00C204FA"/>
    <w:rsid w:val="00C20B29"/>
    <w:rsid w:val="00C21762"/>
    <w:rsid w:val="00C220C0"/>
    <w:rsid w:val="00C222DA"/>
    <w:rsid w:val="00C22935"/>
    <w:rsid w:val="00C24344"/>
    <w:rsid w:val="00C24706"/>
    <w:rsid w:val="00C2493E"/>
    <w:rsid w:val="00C27357"/>
    <w:rsid w:val="00C30D74"/>
    <w:rsid w:val="00C31C80"/>
    <w:rsid w:val="00C32B85"/>
    <w:rsid w:val="00C35120"/>
    <w:rsid w:val="00C378EA"/>
    <w:rsid w:val="00C41A78"/>
    <w:rsid w:val="00C43692"/>
    <w:rsid w:val="00C45A25"/>
    <w:rsid w:val="00C473E8"/>
    <w:rsid w:val="00C47F3B"/>
    <w:rsid w:val="00C50821"/>
    <w:rsid w:val="00C616FA"/>
    <w:rsid w:val="00C62381"/>
    <w:rsid w:val="00C625F0"/>
    <w:rsid w:val="00C62928"/>
    <w:rsid w:val="00C63C3D"/>
    <w:rsid w:val="00C64007"/>
    <w:rsid w:val="00C65EA3"/>
    <w:rsid w:val="00C679E6"/>
    <w:rsid w:val="00C67F8D"/>
    <w:rsid w:val="00C71D72"/>
    <w:rsid w:val="00C72227"/>
    <w:rsid w:val="00C737F6"/>
    <w:rsid w:val="00C75A6F"/>
    <w:rsid w:val="00C8143B"/>
    <w:rsid w:val="00C829ED"/>
    <w:rsid w:val="00C82A13"/>
    <w:rsid w:val="00C83E62"/>
    <w:rsid w:val="00C83EC3"/>
    <w:rsid w:val="00C84FB1"/>
    <w:rsid w:val="00C86656"/>
    <w:rsid w:val="00C87736"/>
    <w:rsid w:val="00C9032C"/>
    <w:rsid w:val="00C905DD"/>
    <w:rsid w:val="00C919A0"/>
    <w:rsid w:val="00C91AA7"/>
    <w:rsid w:val="00C924AE"/>
    <w:rsid w:val="00C94638"/>
    <w:rsid w:val="00C964F5"/>
    <w:rsid w:val="00C9718F"/>
    <w:rsid w:val="00C973E8"/>
    <w:rsid w:val="00CA0696"/>
    <w:rsid w:val="00CA1009"/>
    <w:rsid w:val="00CA1B92"/>
    <w:rsid w:val="00CA3734"/>
    <w:rsid w:val="00CA3CF6"/>
    <w:rsid w:val="00CA5F56"/>
    <w:rsid w:val="00CA65CC"/>
    <w:rsid w:val="00CA6ACB"/>
    <w:rsid w:val="00CA6CF2"/>
    <w:rsid w:val="00CB086B"/>
    <w:rsid w:val="00CB2859"/>
    <w:rsid w:val="00CB2930"/>
    <w:rsid w:val="00CB349B"/>
    <w:rsid w:val="00CB3820"/>
    <w:rsid w:val="00CB3A14"/>
    <w:rsid w:val="00CB728A"/>
    <w:rsid w:val="00CB7C57"/>
    <w:rsid w:val="00CC0DD3"/>
    <w:rsid w:val="00CC1CD3"/>
    <w:rsid w:val="00CC2B41"/>
    <w:rsid w:val="00CC467F"/>
    <w:rsid w:val="00CC7260"/>
    <w:rsid w:val="00CC7C92"/>
    <w:rsid w:val="00CD1698"/>
    <w:rsid w:val="00CD37A9"/>
    <w:rsid w:val="00CD37E1"/>
    <w:rsid w:val="00CD5956"/>
    <w:rsid w:val="00CD6408"/>
    <w:rsid w:val="00CD66B6"/>
    <w:rsid w:val="00CE07C0"/>
    <w:rsid w:val="00CE0915"/>
    <w:rsid w:val="00CE1DC4"/>
    <w:rsid w:val="00CE4080"/>
    <w:rsid w:val="00CF1AC6"/>
    <w:rsid w:val="00CF27E9"/>
    <w:rsid w:val="00CF4AE7"/>
    <w:rsid w:val="00CF6015"/>
    <w:rsid w:val="00CF7C30"/>
    <w:rsid w:val="00D0070F"/>
    <w:rsid w:val="00D00F45"/>
    <w:rsid w:val="00D01495"/>
    <w:rsid w:val="00D03A7C"/>
    <w:rsid w:val="00D0577D"/>
    <w:rsid w:val="00D077A2"/>
    <w:rsid w:val="00D1686C"/>
    <w:rsid w:val="00D16908"/>
    <w:rsid w:val="00D16A06"/>
    <w:rsid w:val="00D177A1"/>
    <w:rsid w:val="00D17CC0"/>
    <w:rsid w:val="00D21851"/>
    <w:rsid w:val="00D22AD2"/>
    <w:rsid w:val="00D22B32"/>
    <w:rsid w:val="00D239B5"/>
    <w:rsid w:val="00D242F1"/>
    <w:rsid w:val="00D25433"/>
    <w:rsid w:val="00D256AE"/>
    <w:rsid w:val="00D27016"/>
    <w:rsid w:val="00D31620"/>
    <w:rsid w:val="00D31CBD"/>
    <w:rsid w:val="00D31CCB"/>
    <w:rsid w:val="00D32502"/>
    <w:rsid w:val="00D34927"/>
    <w:rsid w:val="00D364D8"/>
    <w:rsid w:val="00D40020"/>
    <w:rsid w:val="00D41637"/>
    <w:rsid w:val="00D42572"/>
    <w:rsid w:val="00D450C1"/>
    <w:rsid w:val="00D469A9"/>
    <w:rsid w:val="00D46D49"/>
    <w:rsid w:val="00D478CD"/>
    <w:rsid w:val="00D52E2D"/>
    <w:rsid w:val="00D609E4"/>
    <w:rsid w:val="00D60E0F"/>
    <w:rsid w:val="00D60FA8"/>
    <w:rsid w:val="00D63842"/>
    <w:rsid w:val="00D63BA5"/>
    <w:rsid w:val="00D64BA9"/>
    <w:rsid w:val="00D64CB6"/>
    <w:rsid w:val="00D65DD4"/>
    <w:rsid w:val="00D710F5"/>
    <w:rsid w:val="00D7247B"/>
    <w:rsid w:val="00D75910"/>
    <w:rsid w:val="00D76ED8"/>
    <w:rsid w:val="00D779E8"/>
    <w:rsid w:val="00D816A5"/>
    <w:rsid w:val="00D82632"/>
    <w:rsid w:val="00D9215F"/>
    <w:rsid w:val="00D94EE7"/>
    <w:rsid w:val="00D95680"/>
    <w:rsid w:val="00DA0DC4"/>
    <w:rsid w:val="00DA1A7C"/>
    <w:rsid w:val="00DA1F4F"/>
    <w:rsid w:val="00DA569A"/>
    <w:rsid w:val="00DA5D14"/>
    <w:rsid w:val="00DA61FC"/>
    <w:rsid w:val="00DA75B8"/>
    <w:rsid w:val="00DB0665"/>
    <w:rsid w:val="00DB1486"/>
    <w:rsid w:val="00DB280A"/>
    <w:rsid w:val="00DB5A43"/>
    <w:rsid w:val="00DB6B4E"/>
    <w:rsid w:val="00DB792D"/>
    <w:rsid w:val="00DB7B21"/>
    <w:rsid w:val="00DB7C47"/>
    <w:rsid w:val="00DC0EE8"/>
    <w:rsid w:val="00DC37A6"/>
    <w:rsid w:val="00DC3B47"/>
    <w:rsid w:val="00DC5283"/>
    <w:rsid w:val="00DC7580"/>
    <w:rsid w:val="00DC7F50"/>
    <w:rsid w:val="00DD2776"/>
    <w:rsid w:val="00DD4D00"/>
    <w:rsid w:val="00DD592F"/>
    <w:rsid w:val="00DD70D0"/>
    <w:rsid w:val="00DE1D83"/>
    <w:rsid w:val="00DE205D"/>
    <w:rsid w:val="00DE242D"/>
    <w:rsid w:val="00DE3DD9"/>
    <w:rsid w:val="00DE6478"/>
    <w:rsid w:val="00DE734C"/>
    <w:rsid w:val="00DE7729"/>
    <w:rsid w:val="00DE7869"/>
    <w:rsid w:val="00DF141F"/>
    <w:rsid w:val="00DF19FB"/>
    <w:rsid w:val="00DF387F"/>
    <w:rsid w:val="00DF4F72"/>
    <w:rsid w:val="00DF62BF"/>
    <w:rsid w:val="00E0188E"/>
    <w:rsid w:val="00E01E77"/>
    <w:rsid w:val="00E02B32"/>
    <w:rsid w:val="00E032CE"/>
    <w:rsid w:val="00E06009"/>
    <w:rsid w:val="00E06E62"/>
    <w:rsid w:val="00E11E0E"/>
    <w:rsid w:val="00E1381E"/>
    <w:rsid w:val="00E140C0"/>
    <w:rsid w:val="00E155B8"/>
    <w:rsid w:val="00E16FB0"/>
    <w:rsid w:val="00E16FEF"/>
    <w:rsid w:val="00E20BAC"/>
    <w:rsid w:val="00E2673E"/>
    <w:rsid w:val="00E27D25"/>
    <w:rsid w:val="00E30318"/>
    <w:rsid w:val="00E3034B"/>
    <w:rsid w:val="00E30438"/>
    <w:rsid w:val="00E32ACD"/>
    <w:rsid w:val="00E335D1"/>
    <w:rsid w:val="00E33619"/>
    <w:rsid w:val="00E341E2"/>
    <w:rsid w:val="00E3517E"/>
    <w:rsid w:val="00E365E1"/>
    <w:rsid w:val="00E36CCB"/>
    <w:rsid w:val="00E36D83"/>
    <w:rsid w:val="00E401A4"/>
    <w:rsid w:val="00E4198A"/>
    <w:rsid w:val="00E41C0F"/>
    <w:rsid w:val="00E43DE6"/>
    <w:rsid w:val="00E442A7"/>
    <w:rsid w:val="00E46F1F"/>
    <w:rsid w:val="00E47183"/>
    <w:rsid w:val="00E510E7"/>
    <w:rsid w:val="00E53984"/>
    <w:rsid w:val="00E54020"/>
    <w:rsid w:val="00E5440D"/>
    <w:rsid w:val="00E570D1"/>
    <w:rsid w:val="00E575ED"/>
    <w:rsid w:val="00E602AB"/>
    <w:rsid w:val="00E60396"/>
    <w:rsid w:val="00E612A4"/>
    <w:rsid w:val="00E616DF"/>
    <w:rsid w:val="00E6345B"/>
    <w:rsid w:val="00E66A12"/>
    <w:rsid w:val="00E66A98"/>
    <w:rsid w:val="00E6768A"/>
    <w:rsid w:val="00E7167C"/>
    <w:rsid w:val="00E74034"/>
    <w:rsid w:val="00E7415F"/>
    <w:rsid w:val="00E750CE"/>
    <w:rsid w:val="00E81E12"/>
    <w:rsid w:val="00E82800"/>
    <w:rsid w:val="00E82860"/>
    <w:rsid w:val="00E8533F"/>
    <w:rsid w:val="00E85C7E"/>
    <w:rsid w:val="00E86E3A"/>
    <w:rsid w:val="00E86E6F"/>
    <w:rsid w:val="00E905B4"/>
    <w:rsid w:val="00E91234"/>
    <w:rsid w:val="00E913C0"/>
    <w:rsid w:val="00E91649"/>
    <w:rsid w:val="00E916B4"/>
    <w:rsid w:val="00E917CA"/>
    <w:rsid w:val="00E92151"/>
    <w:rsid w:val="00E93839"/>
    <w:rsid w:val="00E939D2"/>
    <w:rsid w:val="00E93A2A"/>
    <w:rsid w:val="00E952A1"/>
    <w:rsid w:val="00E9535F"/>
    <w:rsid w:val="00EA0BA9"/>
    <w:rsid w:val="00EA15FB"/>
    <w:rsid w:val="00EA19D9"/>
    <w:rsid w:val="00EA2A43"/>
    <w:rsid w:val="00EA4DEE"/>
    <w:rsid w:val="00EA71CA"/>
    <w:rsid w:val="00EB0AF8"/>
    <w:rsid w:val="00EB2933"/>
    <w:rsid w:val="00EB2A3A"/>
    <w:rsid w:val="00EB41E2"/>
    <w:rsid w:val="00EB4394"/>
    <w:rsid w:val="00EB48C0"/>
    <w:rsid w:val="00EB4958"/>
    <w:rsid w:val="00EB553F"/>
    <w:rsid w:val="00EB612E"/>
    <w:rsid w:val="00EB6A1E"/>
    <w:rsid w:val="00EB7270"/>
    <w:rsid w:val="00EC3F69"/>
    <w:rsid w:val="00EC4774"/>
    <w:rsid w:val="00EC4DE1"/>
    <w:rsid w:val="00EC5280"/>
    <w:rsid w:val="00EC6404"/>
    <w:rsid w:val="00ED00AE"/>
    <w:rsid w:val="00ED1A0E"/>
    <w:rsid w:val="00ED427C"/>
    <w:rsid w:val="00ED535F"/>
    <w:rsid w:val="00ED5AFE"/>
    <w:rsid w:val="00ED5C83"/>
    <w:rsid w:val="00ED6339"/>
    <w:rsid w:val="00ED75F1"/>
    <w:rsid w:val="00EE075E"/>
    <w:rsid w:val="00EE2E0B"/>
    <w:rsid w:val="00EE379F"/>
    <w:rsid w:val="00EE3896"/>
    <w:rsid w:val="00EE3CEE"/>
    <w:rsid w:val="00EE4A67"/>
    <w:rsid w:val="00EE4B5E"/>
    <w:rsid w:val="00EE6BA2"/>
    <w:rsid w:val="00EE746D"/>
    <w:rsid w:val="00EE75A3"/>
    <w:rsid w:val="00EE7F56"/>
    <w:rsid w:val="00EF1AF5"/>
    <w:rsid w:val="00EF57F9"/>
    <w:rsid w:val="00EF7151"/>
    <w:rsid w:val="00F00103"/>
    <w:rsid w:val="00F004C3"/>
    <w:rsid w:val="00F014D2"/>
    <w:rsid w:val="00F01C56"/>
    <w:rsid w:val="00F04D06"/>
    <w:rsid w:val="00F0799B"/>
    <w:rsid w:val="00F11C61"/>
    <w:rsid w:val="00F13B95"/>
    <w:rsid w:val="00F143EC"/>
    <w:rsid w:val="00F155E5"/>
    <w:rsid w:val="00F15FB6"/>
    <w:rsid w:val="00F16E3E"/>
    <w:rsid w:val="00F170D8"/>
    <w:rsid w:val="00F205F3"/>
    <w:rsid w:val="00F22E6C"/>
    <w:rsid w:val="00F26BAB"/>
    <w:rsid w:val="00F300C0"/>
    <w:rsid w:val="00F33395"/>
    <w:rsid w:val="00F346B0"/>
    <w:rsid w:val="00F356D9"/>
    <w:rsid w:val="00F375BE"/>
    <w:rsid w:val="00F404A5"/>
    <w:rsid w:val="00F41007"/>
    <w:rsid w:val="00F41220"/>
    <w:rsid w:val="00F41B2B"/>
    <w:rsid w:val="00F4334C"/>
    <w:rsid w:val="00F43405"/>
    <w:rsid w:val="00F43FC6"/>
    <w:rsid w:val="00F45077"/>
    <w:rsid w:val="00F47AD6"/>
    <w:rsid w:val="00F47CEB"/>
    <w:rsid w:val="00F51FA0"/>
    <w:rsid w:val="00F52BAB"/>
    <w:rsid w:val="00F5582C"/>
    <w:rsid w:val="00F56632"/>
    <w:rsid w:val="00F57230"/>
    <w:rsid w:val="00F61B4C"/>
    <w:rsid w:val="00F6203E"/>
    <w:rsid w:val="00F62D5A"/>
    <w:rsid w:val="00F645A2"/>
    <w:rsid w:val="00F66660"/>
    <w:rsid w:val="00F66B5F"/>
    <w:rsid w:val="00F675B7"/>
    <w:rsid w:val="00F716DC"/>
    <w:rsid w:val="00F72516"/>
    <w:rsid w:val="00F747FE"/>
    <w:rsid w:val="00F74DFD"/>
    <w:rsid w:val="00F779D5"/>
    <w:rsid w:val="00F80174"/>
    <w:rsid w:val="00F80BC1"/>
    <w:rsid w:val="00F80E0A"/>
    <w:rsid w:val="00F81594"/>
    <w:rsid w:val="00F81BA0"/>
    <w:rsid w:val="00F838B9"/>
    <w:rsid w:val="00F839B0"/>
    <w:rsid w:val="00F85975"/>
    <w:rsid w:val="00F94E02"/>
    <w:rsid w:val="00F9589A"/>
    <w:rsid w:val="00F95912"/>
    <w:rsid w:val="00F979D4"/>
    <w:rsid w:val="00F97A0A"/>
    <w:rsid w:val="00FA04C2"/>
    <w:rsid w:val="00FA0886"/>
    <w:rsid w:val="00FA211D"/>
    <w:rsid w:val="00FA3473"/>
    <w:rsid w:val="00FA41D9"/>
    <w:rsid w:val="00FA4BA8"/>
    <w:rsid w:val="00FA4F53"/>
    <w:rsid w:val="00FA50C8"/>
    <w:rsid w:val="00FA6F6C"/>
    <w:rsid w:val="00FA7ABC"/>
    <w:rsid w:val="00FB0D23"/>
    <w:rsid w:val="00FB0FF7"/>
    <w:rsid w:val="00FB11A3"/>
    <w:rsid w:val="00FB51A9"/>
    <w:rsid w:val="00FB5B06"/>
    <w:rsid w:val="00FB5CC3"/>
    <w:rsid w:val="00FB6DFF"/>
    <w:rsid w:val="00FB7FFD"/>
    <w:rsid w:val="00FC0D8F"/>
    <w:rsid w:val="00FC1281"/>
    <w:rsid w:val="00FC36F0"/>
    <w:rsid w:val="00FC4CDD"/>
    <w:rsid w:val="00FC58B5"/>
    <w:rsid w:val="00FC62C8"/>
    <w:rsid w:val="00FD0912"/>
    <w:rsid w:val="00FD1F17"/>
    <w:rsid w:val="00FD2E59"/>
    <w:rsid w:val="00FD363C"/>
    <w:rsid w:val="00FD3879"/>
    <w:rsid w:val="00FD55D8"/>
    <w:rsid w:val="00FD693B"/>
    <w:rsid w:val="00FE0C93"/>
    <w:rsid w:val="00FE676D"/>
    <w:rsid w:val="00FE6B1E"/>
    <w:rsid w:val="00FE6F24"/>
    <w:rsid w:val="00FE729B"/>
    <w:rsid w:val="00FF195B"/>
    <w:rsid w:val="00FF1962"/>
    <w:rsid w:val="00FF2978"/>
    <w:rsid w:val="00FF2A21"/>
    <w:rsid w:val="00FF2FA1"/>
    <w:rsid w:val="00FF3405"/>
    <w:rsid w:val="00FF5070"/>
    <w:rsid w:val="00F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F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54E"/>
    <w:pPr>
      <w:tabs>
        <w:tab w:val="center" w:pos="4680"/>
        <w:tab w:val="right" w:pos="9360"/>
      </w:tabs>
      <w:spacing w:line="240" w:lineRule="auto"/>
    </w:pPr>
  </w:style>
  <w:style w:type="character" w:customStyle="1" w:styleId="HeaderChar">
    <w:name w:val="Header Char"/>
    <w:basedOn w:val="DefaultParagraphFont"/>
    <w:link w:val="Header"/>
    <w:uiPriority w:val="99"/>
    <w:rsid w:val="0046154E"/>
    <w:rPr>
      <w:rFonts w:ascii="Century Schoolbook" w:hAnsi="Century Schoolbook"/>
      <w:sz w:val="26"/>
      <w:szCs w:val="22"/>
    </w:rPr>
  </w:style>
  <w:style w:type="paragraph" w:styleId="Footer">
    <w:name w:val="footer"/>
    <w:basedOn w:val="Normal"/>
    <w:link w:val="FooterChar"/>
    <w:uiPriority w:val="99"/>
    <w:unhideWhenUsed/>
    <w:rsid w:val="0046154E"/>
    <w:pPr>
      <w:tabs>
        <w:tab w:val="center" w:pos="4680"/>
        <w:tab w:val="right" w:pos="9360"/>
      </w:tabs>
      <w:spacing w:line="240" w:lineRule="auto"/>
    </w:pPr>
  </w:style>
  <w:style w:type="character" w:customStyle="1" w:styleId="FooterChar">
    <w:name w:val="Footer Char"/>
    <w:basedOn w:val="DefaultParagraphFont"/>
    <w:link w:val="Footer"/>
    <w:uiPriority w:val="99"/>
    <w:rsid w:val="0046154E"/>
    <w:rPr>
      <w:rFonts w:ascii="Century Schoolbook" w:hAnsi="Century Schoolbook"/>
      <w:sz w:val="26"/>
      <w:szCs w:val="22"/>
    </w:rPr>
  </w:style>
  <w:style w:type="paragraph" w:styleId="FootnoteText">
    <w:name w:val="footnote text"/>
    <w:basedOn w:val="Normal"/>
    <w:link w:val="FootnoteTextChar"/>
    <w:uiPriority w:val="99"/>
    <w:unhideWhenUsed/>
    <w:rsid w:val="00CE1DC4"/>
    <w:pPr>
      <w:spacing w:line="240" w:lineRule="auto"/>
    </w:pPr>
    <w:rPr>
      <w:sz w:val="20"/>
      <w:szCs w:val="20"/>
    </w:rPr>
  </w:style>
  <w:style w:type="character" w:customStyle="1" w:styleId="FootnoteTextChar">
    <w:name w:val="Footnote Text Char"/>
    <w:basedOn w:val="DefaultParagraphFont"/>
    <w:link w:val="FootnoteText"/>
    <w:uiPriority w:val="99"/>
    <w:rsid w:val="00CE1DC4"/>
    <w:rPr>
      <w:rFonts w:ascii="Century Schoolbook" w:hAnsi="Century Schoolbook"/>
    </w:rPr>
  </w:style>
  <w:style w:type="character" w:styleId="FootnoteReference">
    <w:name w:val="footnote reference"/>
    <w:basedOn w:val="DefaultParagraphFont"/>
    <w:uiPriority w:val="99"/>
    <w:semiHidden/>
    <w:unhideWhenUsed/>
    <w:rsid w:val="00CE1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8417">
      <w:bodyDiv w:val="1"/>
      <w:marLeft w:val="0"/>
      <w:marRight w:val="0"/>
      <w:marTop w:val="0"/>
      <w:marBottom w:val="0"/>
      <w:divBdr>
        <w:top w:val="none" w:sz="0" w:space="0" w:color="auto"/>
        <w:left w:val="none" w:sz="0" w:space="0" w:color="auto"/>
        <w:bottom w:val="none" w:sz="0" w:space="0" w:color="auto"/>
        <w:right w:val="none" w:sz="0" w:space="0" w:color="auto"/>
      </w:divBdr>
      <w:divsChild>
        <w:div w:id="546840614">
          <w:marLeft w:val="0"/>
          <w:marRight w:val="0"/>
          <w:marTop w:val="0"/>
          <w:marBottom w:val="0"/>
          <w:divBdr>
            <w:top w:val="none" w:sz="0" w:space="0" w:color="3D3D3D"/>
            <w:left w:val="none" w:sz="0" w:space="0" w:color="3D3D3D"/>
            <w:bottom w:val="none" w:sz="0" w:space="0" w:color="3D3D3D"/>
            <w:right w:val="none" w:sz="0" w:space="0" w:color="3D3D3D"/>
          </w:divBdr>
          <w:divsChild>
            <w:div w:id="11978138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2767</Words>
  <Characters>14415</Characters>
  <Application>Microsoft Office Word</Application>
  <DocSecurity>0</DocSecurity>
  <Lines>331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2024-02-28T21:03:00Z</cp:lastPrinted>
  <dcterms:created xsi:type="dcterms:W3CDTF">2024-02-28T21:12:00Z</dcterms:created>
  <dcterms:modified xsi:type="dcterms:W3CDTF">2024-02-28T21:12:00Z</dcterms:modified>
  <cp:category/>
</cp:coreProperties>
</file>