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90B89" w:rsidRPr="00B555DD" w:rsidP="00B555DD" w14:paraId="7861A2EF" w14:textId="2C20B596">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1/25/2024</w:t>
      </w:r>
    </w:p>
    <w:p w:rsidR="00D370B4" w:rsidRPr="00D370B4" w:rsidP="00562CBA" w14:paraId="26A24885" w14:textId="61F7BEDA">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rsidR="009A7218" w:rsidRPr="009A7218" w:rsidP="00D0414F" w14:paraId="1B92DE46" w14:textId="77777777">
      <w:pPr>
        <w:spacing w:line="288" w:lineRule="auto"/>
        <w:jc w:val="center"/>
        <w:rPr>
          <w:rFonts w:ascii="Century Schoolbook" w:eastAsia="Calibri" w:hAnsi="Century Schoolbook"/>
          <w:sz w:val="26"/>
        </w:rPr>
      </w:pPr>
    </w:p>
    <w:p w:rsidR="009A7218" w:rsidRPr="009A7218" w:rsidP="00E042BC" w14:paraId="6C65E19E"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rsidR="009A7218" w:rsidRPr="009A7218" w:rsidP="00E042BC" w14:paraId="1B8D6176" w14:textId="77777777">
      <w:pPr>
        <w:spacing w:line="288" w:lineRule="auto"/>
        <w:jc w:val="center"/>
        <w:rPr>
          <w:rFonts w:ascii="Century Schoolbook" w:eastAsia="Calibri" w:hAnsi="Century Schoolbook"/>
          <w:sz w:val="26"/>
        </w:rPr>
      </w:pPr>
    </w:p>
    <w:p w:rsidR="009A7218" w:rsidRPr="009A7218" w:rsidP="00E042BC" w14:paraId="19E0B779"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rsidR="009A7218" w:rsidRPr="009A7218" w:rsidP="00E042BC" w14:paraId="5CEB5AFF" w14:textId="77777777">
      <w:pPr>
        <w:spacing w:line="288" w:lineRule="auto"/>
        <w:jc w:val="center"/>
        <w:rPr>
          <w:rFonts w:ascii="Century Schoolbook" w:eastAsia="Calibri" w:hAnsi="Century Schoolbook"/>
          <w:sz w:val="26"/>
        </w:rPr>
      </w:pPr>
    </w:p>
    <w:p w:rsidR="009A7218" w:rsidRPr="009A7218" w:rsidP="00E042BC" w14:paraId="4C0ED1C3" w14:textId="17ACFE9A">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rsidR="009A7218" w:rsidRPr="009A7218" w:rsidP="00E042BC" w14:paraId="4E21B25C" w14:textId="77777777">
      <w:pPr>
        <w:spacing w:line="288" w:lineRule="auto"/>
        <w:rPr>
          <w:rFonts w:ascii="Century Schoolbook" w:eastAsia="Calibri" w:hAnsi="Century Schoolbook"/>
          <w:sz w:val="26"/>
        </w:rPr>
      </w:pPr>
    </w:p>
    <w:tbl>
      <w:tblPr>
        <w:tblW w:w="0" w:type="auto"/>
        <w:tblLayout w:type="fixed"/>
        <w:tblLook w:val="0000"/>
      </w:tblPr>
      <w:tblGrid>
        <w:gridCol w:w="4068"/>
        <w:gridCol w:w="4068"/>
      </w:tblGrid>
      <w:tr w14:paraId="5A127FF3" w14:textId="77777777" w:rsidTr="00AF7E07">
        <w:tblPrEx>
          <w:tblW w:w="0" w:type="auto"/>
          <w:tblLayout w:type="fixed"/>
          <w:tblLook w:val="0000"/>
        </w:tblPrEx>
        <w:tc>
          <w:tcPr>
            <w:tcW w:w="4068" w:type="dxa"/>
            <w:tcBorders>
              <w:bottom w:val="single" w:sz="4" w:space="0" w:color="auto"/>
              <w:right w:val="single" w:sz="4" w:space="0" w:color="auto"/>
            </w:tcBorders>
            <w:shd w:val="clear" w:color="auto" w:fill="auto"/>
          </w:tcPr>
          <w:p w:rsidR="009A7218" w:rsidRPr="009A7218" w:rsidP="00E042BC" w14:paraId="7DC4416B" w14:textId="756B2BC7">
            <w:pPr>
              <w:spacing w:line="288" w:lineRule="auto"/>
              <w:rPr>
                <w:rFonts w:ascii="Century Schoolbook" w:eastAsia="Calibri" w:hAnsi="Century Schoolbook"/>
                <w:sz w:val="26"/>
              </w:rPr>
            </w:pPr>
            <w:r>
              <w:rPr>
                <w:rFonts w:ascii="Century Schoolbook" w:eastAsia="Calibri" w:hAnsi="Century Schoolbook"/>
                <w:sz w:val="26"/>
              </w:rPr>
              <w:t>ALI SHALG</w:t>
            </w:r>
            <w:r w:rsidR="008B3CA9">
              <w:rPr>
                <w:rFonts w:ascii="Century Schoolbook" w:eastAsia="Calibri" w:hAnsi="Century Schoolbook"/>
                <w:sz w:val="26"/>
              </w:rPr>
              <w:t>H</w:t>
            </w:r>
            <w:r>
              <w:rPr>
                <w:rFonts w:ascii="Century Schoolbook" w:eastAsia="Calibri" w:hAnsi="Century Schoolbook"/>
                <w:sz w:val="26"/>
              </w:rPr>
              <w:t>OUN</w:t>
            </w:r>
            <w:r w:rsidR="003D24DE">
              <w:rPr>
                <w:rFonts w:ascii="Century Schoolbook" w:eastAsia="Calibri" w:hAnsi="Century Schoolbook"/>
                <w:sz w:val="26"/>
              </w:rPr>
              <w:t>,</w:t>
            </w:r>
          </w:p>
          <w:p w:rsidR="009A7218" w:rsidRPr="009A7218" w:rsidP="00E042BC" w14:paraId="6D0EA971" w14:textId="77777777">
            <w:pPr>
              <w:spacing w:line="288" w:lineRule="auto"/>
              <w:rPr>
                <w:rFonts w:ascii="Century Schoolbook" w:eastAsia="Calibri" w:hAnsi="Century Schoolbook"/>
                <w:sz w:val="26"/>
              </w:rPr>
            </w:pPr>
          </w:p>
          <w:p w:rsidR="009A7218" w:rsidRPr="00E66023" w:rsidP="00E042BC" w14:paraId="668752C1" w14:textId="6B3E4116">
            <w:pPr>
              <w:spacing w:line="288" w:lineRule="auto"/>
              <w:rPr>
                <w:rFonts w:ascii="Century Schoolbook" w:eastAsia="Calibri" w:hAnsi="Century Schoolbook"/>
                <w:sz w:val="26"/>
              </w:rPr>
            </w:pPr>
            <w:r w:rsidRPr="009A7218">
              <w:rPr>
                <w:rFonts w:ascii="Century Schoolbook" w:eastAsia="Calibri" w:hAnsi="Century Schoolbook"/>
                <w:sz w:val="26"/>
              </w:rPr>
              <w:tab/>
            </w:r>
            <w:r w:rsidRPr="00E66023" w:rsidR="001479C7">
              <w:rPr>
                <w:rFonts w:ascii="Century Schoolbook" w:eastAsia="Calibri" w:hAnsi="Century Schoolbook"/>
                <w:sz w:val="26"/>
              </w:rPr>
              <w:t>Plaintiff</w:t>
            </w:r>
            <w:r w:rsidRPr="00E66023" w:rsidR="00500B49">
              <w:rPr>
                <w:rFonts w:ascii="Century Schoolbook" w:eastAsia="Calibri" w:hAnsi="Century Schoolbook"/>
                <w:sz w:val="26"/>
              </w:rPr>
              <w:t xml:space="preserve"> </w:t>
            </w:r>
            <w:r w:rsidRPr="00E66023" w:rsidR="00321100">
              <w:rPr>
                <w:rFonts w:ascii="Century Schoolbook" w:eastAsia="Calibri" w:hAnsi="Century Schoolbook"/>
                <w:sz w:val="26"/>
              </w:rPr>
              <w:t>and Appellant</w:t>
            </w:r>
            <w:r w:rsidRPr="00E66023">
              <w:rPr>
                <w:rFonts w:ascii="Century Schoolbook" w:eastAsia="Calibri" w:hAnsi="Century Schoolbook"/>
                <w:sz w:val="26"/>
              </w:rPr>
              <w:t>,</w:t>
            </w:r>
          </w:p>
          <w:p w:rsidR="009A7218" w:rsidRPr="00E66023" w:rsidP="00E042BC" w14:paraId="707E95F2" w14:textId="77777777">
            <w:pPr>
              <w:spacing w:line="288" w:lineRule="auto"/>
              <w:rPr>
                <w:rFonts w:ascii="Century Schoolbook" w:eastAsia="Calibri" w:hAnsi="Century Schoolbook"/>
                <w:sz w:val="26"/>
              </w:rPr>
            </w:pPr>
          </w:p>
          <w:p w:rsidR="009A7218" w:rsidRPr="00E66023" w:rsidP="00E042BC" w14:paraId="434B4AF7" w14:textId="77777777">
            <w:pPr>
              <w:spacing w:line="288" w:lineRule="auto"/>
              <w:rPr>
                <w:rFonts w:ascii="Century Schoolbook" w:eastAsia="Calibri" w:hAnsi="Century Schoolbook"/>
                <w:sz w:val="26"/>
              </w:rPr>
            </w:pPr>
            <w:r w:rsidRPr="00E66023">
              <w:rPr>
                <w:rFonts w:ascii="Century Schoolbook" w:eastAsia="Calibri" w:hAnsi="Century Schoolbook"/>
                <w:sz w:val="26"/>
              </w:rPr>
              <w:tab/>
              <w:t>v.</w:t>
            </w:r>
          </w:p>
          <w:p w:rsidR="009A7218" w:rsidRPr="00E66023" w:rsidP="00E042BC" w14:paraId="3A87CEDB" w14:textId="77777777">
            <w:pPr>
              <w:spacing w:line="288" w:lineRule="auto"/>
              <w:rPr>
                <w:rFonts w:ascii="Century Schoolbook" w:eastAsia="Calibri" w:hAnsi="Century Schoolbook"/>
                <w:sz w:val="26"/>
              </w:rPr>
            </w:pPr>
          </w:p>
          <w:p w:rsidR="009A7218" w:rsidRPr="00E66023" w:rsidP="00E042BC" w14:paraId="07177B55" w14:textId="78DD714F">
            <w:pPr>
              <w:spacing w:line="288" w:lineRule="auto"/>
              <w:rPr>
                <w:rFonts w:ascii="Century Schoolbook" w:eastAsia="Calibri" w:hAnsi="Century Schoolbook"/>
                <w:sz w:val="26"/>
              </w:rPr>
            </w:pPr>
            <w:r>
              <w:rPr>
                <w:rFonts w:ascii="Century Schoolbook" w:eastAsia="Calibri" w:hAnsi="Century Schoolbook"/>
                <w:sz w:val="26"/>
              </w:rPr>
              <w:t>NORTH LOS ANGELES COUNTY REGIONAL CENTER, INC.</w:t>
            </w:r>
            <w:r w:rsidRPr="00E66023" w:rsidR="001F1F07">
              <w:rPr>
                <w:rFonts w:ascii="Century Schoolbook" w:eastAsia="Calibri" w:hAnsi="Century Schoolbook"/>
                <w:sz w:val="26"/>
              </w:rPr>
              <w:t>,</w:t>
            </w:r>
          </w:p>
          <w:p w:rsidR="009A7218" w:rsidRPr="00E66023" w:rsidP="00E042BC" w14:paraId="2AE32234" w14:textId="77777777">
            <w:pPr>
              <w:spacing w:line="288" w:lineRule="auto"/>
              <w:rPr>
                <w:rFonts w:ascii="Century Schoolbook" w:eastAsia="Calibri" w:hAnsi="Century Schoolbook"/>
                <w:sz w:val="26"/>
              </w:rPr>
            </w:pPr>
          </w:p>
          <w:p w:rsidR="009A7218" w:rsidRPr="009A7218" w:rsidP="00E042BC" w14:paraId="66A3F2D0" w14:textId="68D4236C">
            <w:pPr>
              <w:spacing w:line="288" w:lineRule="auto"/>
              <w:rPr>
                <w:rFonts w:ascii="Century Schoolbook" w:eastAsia="Calibri" w:hAnsi="Century Schoolbook"/>
                <w:sz w:val="26"/>
              </w:rPr>
            </w:pPr>
            <w:r w:rsidRPr="00E66023">
              <w:rPr>
                <w:rFonts w:ascii="Century Schoolbook" w:eastAsia="Calibri" w:hAnsi="Century Schoolbook"/>
                <w:sz w:val="26"/>
              </w:rPr>
              <w:tab/>
              <w:t>Defendant</w:t>
            </w:r>
            <w:r w:rsidRPr="00E66023" w:rsidR="001479C7">
              <w:rPr>
                <w:rFonts w:ascii="Century Schoolbook" w:eastAsia="Calibri" w:hAnsi="Century Schoolbook"/>
                <w:sz w:val="26"/>
              </w:rPr>
              <w:t xml:space="preserve"> </w:t>
            </w:r>
            <w:r w:rsidRPr="00E66023">
              <w:rPr>
                <w:rFonts w:ascii="Century Schoolbook" w:eastAsia="Calibri" w:hAnsi="Century Schoolbook"/>
                <w:sz w:val="26"/>
              </w:rPr>
              <w:t xml:space="preserve">and </w:t>
            </w:r>
            <w:r w:rsidRPr="00E66023" w:rsidR="001F1F07">
              <w:rPr>
                <w:rFonts w:ascii="Century Schoolbook" w:eastAsia="Calibri" w:hAnsi="Century Schoolbook"/>
                <w:sz w:val="26"/>
              </w:rPr>
              <w:t>Respondent</w:t>
            </w:r>
            <w:r w:rsidRPr="00E66023">
              <w:rPr>
                <w:rFonts w:ascii="Century Schoolbook" w:eastAsia="Calibri" w:hAnsi="Century Schoolbook"/>
                <w:sz w:val="26"/>
              </w:rPr>
              <w:t>.</w:t>
            </w:r>
          </w:p>
          <w:p w:rsidR="009A7218" w:rsidRPr="009A7218" w:rsidP="00E042BC" w14:paraId="3AA7122B" w14:textId="77777777">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rsidR="009A7218" w:rsidRPr="009A7218" w:rsidP="00E042BC" w14:paraId="3670D815" w14:textId="000A9AB1">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BB4228" w:rsidR="00BB4228">
              <w:rPr>
                <w:rFonts w:ascii="Century Schoolbook" w:eastAsia="Calibri" w:hAnsi="Century Schoolbook"/>
                <w:sz w:val="26"/>
              </w:rPr>
              <w:t>B32</w:t>
            </w:r>
            <w:r w:rsidR="00CF7790">
              <w:rPr>
                <w:rFonts w:ascii="Century Schoolbook" w:eastAsia="Calibri" w:hAnsi="Century Schoolbook"/>
                <w:sz w:val="26"/>
              </w:rPr>
              <w:t>3186</w:t>
            </w:r>
          </w:p>
          <w:p w:rsidR="009A7218" w:rsidRPr="009A7218" w:rsidP="00E042BC" w14:paraId="221E7D04" w14:textId="77777777">
            <w:pPr>
              <w:spacing w:line="288" w:lineRule="auto"/>
              <w:rPr>
                <w:rFonts w:ascii="Century Schoolbook" w:eastAsia="Calibri" w:hAnsi="Century Schoolbook"/>
                <w:sz w:val="26"/>
              </w:rPr>
            </w:pPr>
          </w:p>
          <w:p w:rsidR="009A7218" w:rsidRPr="00A72DBD" w:rsidP="00E042BC" w14:paraId="06AEBEB3" w14:textId="77777777">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rsidR="009A7218" w:rsidRPr="009A7218" w:rsidP="00E042BC" w14:paraId="78D68E00" w14:textId="57B36515">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00CF7790">
              <w:rPr>
                <w:rFonts w:ascii="Century Schoolbook" w:eastAsia="Calibri" w:hAnsi="Century Schoolbook"/>
                <w:sz w:val="26"/>
              </w:rPr>
              <w:t>19STCV19756</w:t>
            </w:r>
            <w:r w:rsidRPr="009A7218">
              <w:rPr>
                <w:rFonts w:ascii="Century Schoolbook" w:eastAsia="Calibri" w:hAnsi="Century Schoolbook"/>
                <w:sz w:val="26"/>
              </w:rPr>
              <w:t>)</w:t>
            </w:r>
          </w:p>
        </w:tc>
      </w:tr>
    </w:tbl>
    <w:p w:rsidR="009A7218" w:rsidRPr="009A7218" w:rsidP="00D0414F" w14:paraId="12C36120" w14:textId="77777777">
      <w:pPr>
        <w:spacing w:line="288" w:lineRule="auto"/>
        <w:rPr>
          <w:rFonts w:ascii="Century Schoolbook" w:eastAsia="Calibri" w:hAnsi="Century Schoolbook"/>
          <w:sz w:val="26"/>
        </w:rPr>
      </w:pPr>
    </w:p>
    <w:p w:rsidR="009A7218" w:rsidRPr="009A7218" w:rsidP="00E042BC" w14:paraId="6C71C5EA" w14:textId="186101AF">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from </w:t>
      </w:r>
      <w:r w:rsidRPr="00ED0BBB" w:rsidR="00C2429B">
        <w:rPr>
          <w:rFonts w:ascii="Century Schoolbook" w:hAnsi="Century Schoolbook"/>
          <w:sz w:val="26"/>
          <w:szCs w:val="26"/>
        </w:rPr>
        <w:t>a</w:t>
      </w:r>
      <w:r w:rsidRPr="00ED0BBB" w:rsidR="003D24DE">
        <w:rPr>
          <w:rFonts w:ascii="Century Schoolbook" w:hAnsi="Century Schoolbook"/>
          <w:sz w:val="26"/>
          <w:szCs w:val="26"/>
        </w:rPr>
        <w:t xml:space="preserve"> judgment</w:t>
      </w:r>
      <w:r w:rsidRPr="00ED0BBB" w:rsidR="00ED0BBB">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Pr="000949F8" w:rsidR="000949F8">
        <w:rPr>
          <w:rFonts w:ascii="Century Schoolbook" w:hAnsi="Century Schoolbook"/>
          <w:sz w:val="26"/>
          <w:szCs w:val="26"/>
        </w:rPr>
        <w:t>Mark A. Young</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C46631">
        <w:rPr>
          <w:rFonts w:ascii="Century Schoolbook" w:hAnsi="Century Schoolbook"/>
          <w:sz w:val="26"/>
          <w:szCs w:val="26"/>
        </w:rPr>
        <w:t>Affirmed.</w:t>
      </w:r>
    </w:p>
    <w:p w:rsidR="009A7218" w:rsidRPr="009A7218" w:rsidP="00E042BC" w14:paraId="63C2922C" w14:textId="77777777">
      <w:pPr>
        <w:spacing w:line="288" w:lineRule="auto"/>
        <w:rPr>
          <w:rFonts w:ascii="Century Schoolbook" w:hAnsi="Century Schoolbook"/>
          <w:sz w:val="26"/>
          <w:szCs w:val="26"/>
        </w:rPr>
      </w:pPr>
      <w:r w:rsidRPr="009A7218">
        <w:rPr>
          <w:rFonts w:ascii="Century Schoolbook" w:hAnsi="Century Schoolbook"/>
          <w:sz w:val="26"/>
          <w:szCs w:val="26"/>
        </w:rPr>
        <w:tab/>
      </w:r>
    </w:p>
    <w:p w:rsidR="00C2429B" w:rsidRPr="005C529D" w:rsidP="00E042BC" w14:paraId="752C0650" w14:textId="60DE66F7">
      <w:pPr>
        <w:spacing w:line="288" w:lineRule="auto"/>
        <w:ind w:firstLine="720"/>
        <w:rPr>
          <w:rFonts w:ascii="Century Schoolbook" w:hAnsi="Century Schoolbook"/>
          <w:sz w:val="26"/>
          <w:szCs w:val="26"/>
        </w:rPr>
      </w:pPr>
      <w:r w:rsidRPr="005C529D">
        <w:rPr>
          <w:rFonts w:ascii="Century Schoolbook" w:hAnsi="Century Schoolbook"/>
          <w:sz w:val="26"/>
          <w:szCs w:val="26"/>
        </w:rPr>
        <w:t xml:space="preserve">Doumanian &amp; </w:t>
      </w:r>
      <w:r w:rsidRPr="005C529D" w:rsidR="00F802F6">
        <w:rPr>
          <w:rFonts w:ascii="Century Schoolbook" w:hAnsi="Century Schoolbook"/>
          <w:sz w:val="26"/>
          <w:szCs w:val="26"/>
        </w:rPr>
        <w:t>Associates</w:t>
      </w:r>
      <w:r w:rsidR="00844693">
        <w:rPr>
          <w:rFonts w:ascii="Century Schoolbook" w:hAnsi="Century Schoolbook"/>
          <w:sz w:val="26"/>
          <w:szCs w:val="26"/>
        </w:rPr>
        <w:t xml:space="preserve">, </w:t>
      </w:r>
      <w:r w:rsidRPr="005C529D" w:rsidR="005C529D">
        <w:rPr>
          <w:rFonts w:ascii="Century Schoolbook" w:hAnsi="Century Schoolbook"/>
          <w:sz w:val="26"/>
          <w:szCs w:val="26"/>
        </w:rPr>
        <w:t>Nancy P. Doumanian</w:t>
      </w:r>
      <w:r w:rsidRPr="005C529D" w:rsidR="00723076">
        <w:rPr>
          <w:rFonts w:ascii="Century Schoolbook" w:hAnsi="Century Schoolbook"/>
          <w:sz w:val="26"/>
          <w:szCs w:val="26"/>
        </w:rPr>
        <w:t xml:space="preserve">; </w:t>
      </w:r>
      <w:r w:rsidRPr="005C529D" w:rsidR="005C529D">
        <w:rPr>
          <w:rFonts w:ascii="Century Schoolbook" w:hAnsi="Century Schoolbook"/>
          <w:sz w:val="26"/>
          <w:szCs w:val="26"/>
        </w:rPr>
        <w:t xml:space="preserve">The Arkin Law Firm </w:t>
      </w:r>
      <w:r w:rsidR="005C529D">
        <w:rPr>
          <w:rFonts w:ascii="Century Schoolbook" w:hAnsi="Century Schoolbook"/>
          <w:sz w:val="26"/>
          <w:szCs w:val="26"/>
        </w:rPr>
        <w:t xml:space="preserve">and </w:t>
      </w:r>
      <w:r w:rsidRPr="005C529D">
        <w:rPr>
          <w:rFonts w:ascii="Century Schoolbook" w:hAnsi="Century Schoolbook"/>
          <w:sz w:val="26"/>
          <w:szCs w:val="26"/>
        </w:rPr>
        <w:t>Sharon J. Arkin</w:t>
      </w:r>
      <w:r w:rsidRPr="005C529D" w:rsidR="00723076">
        <w:rPr>
          <w:rFonts w:ascii="Century Schoolbook" w:hAnsi="Century Schoolbook"/>
          <w:sz w:val="26"/>
          <w:szCs w:val="26"/>
        </w:rPr>
        <w:t xml:space="preserve"> </w:t>
      </w:r>
      <w:r w:rsidRPr="005C529D">
        <w:rPr>
          <w:rFonts w:ascii="Century Schoolbook" w:hAnsi="Century Schoolbook"/>
          <w:sz w:val="26"/>
          <w:szCs w:val="26"/>
        </w:rPr>
        <w:t xml:space="preserve">for </w:t>
      </w:r>
      <w:r w:rsidRPr="005C529D" w:rsidR="001479C7">
        <w:rPr>
          <w:rFonts w:ascii="Century Schoolbook" w:hAnsi="Century Schoolbook"/>
          <w:sz w:val="26"/>
          <w:szCs w:val="26"/>
        </w:rPr>
        <w:t>Plaintiff</w:t>
      </w:r>
      <w:r w:rsidRPr="005C529D">
        <w:rPr>
          <w:rFonts w:ascii="Century Schoolbook" w:hAnsi="Century Schoolbook"/>
          <w:sz w:val="26"/>
          <w:szCs w:val="26"/>
        </w:rPr>
        <w:t xml:space="preserve"> and Appellant.</w:t>
      </w:r>
    </w:p>
    <w:p w:rsidR="004754AF" w:rsidRPr="005C529D" w:rsidP="00E042BC" w14:paraId="52984056" w14:textId="47A70285">
      <w:pPr>
        <w:spacing w:line="288" w:lineRule="auto"/>
        <w:ind w:firstLine="720"/>
        <w:rPr>
          <w:rFonts w:ascii="Century Schoolbook" w:hAnsi="Century Schoolbook"/>
          <w:sz w:val="26"/>
          <w:szCs w:val="26"/>
        </w:rPr>
      </w:pPr>
    </w:p>
    <w:p w:rsidR="004754AF" w:rsidP="00E042BC" w14:paraId="6D188F31" w14:textId="4F20EE0B">
      <w:pPr>
        <w:spacing w:line="288" w:lineRule="auto"/>
        <w:ind w:firstLine="720"/>
        <w:rPr>
          <w:rFonts w:ascii="Century Schoolbook" w:hAnsi="Century Schoolbook"/>
          <w:sz w:val="26"/>
          <w:szCs w:val="26"/>
        </w:rPr>
      </w:pPr>
      <w:r w:rsidRPr="005C529D">
        <w:rPr>
          <w:rFonts w:ascii="Century Schoolbook" w:hAnsi="Century Schoolbook"/>
          <w:sz w:val="26"/>
          <w:szCs w:val="26"/>
        </w:rPr>
        <w:t xml:space="preserve">Beach Law Group, </w:t>
      </w:r>
      <w:r w:rsidRPr="005C529D" w:rsidR="00ED0BBB">
        <w:rPr>
          <w:rFonts w:ascii="Century Schoolbook" w:hAnsi="Century Schoolbook"/>
          <w:sz w:val="26"/>
          <w:szCs w:val="26"/>
        </w:rPr>
        <w:t>Thomas E. Beach</w:t>
      </w:r>
      <w:r w:rsidRPr="005C529D">
        <w:rPr>
          <w:rFonts w:ascii="Century Schoolbook" w:hAnsi="Century Schoolbook"/>
          <w:sz w:val="26"/>
          <w:szCs w:val="26"/>
        </w:rPr>
        <w:t xml:space="preserve"> and</w:t>
      </w:r>
      <w:r w:rsidRPr="005C529D" w:rsidR="00ED0BBB">
        <w:rPr>
          <w:rFonts w:ascii="Century Schoolbook" w:hAnsi="Century Schoolbook"/>
          <w:sz w:val="26"/>
          <w:szCs w:val="26"/>
        </w:rPr>
        <w:t xml:space="preserve"> Darryl C. Hottinger</w:t>
      </w:r>
      <w:r w:rsidRPr="005C529D" w:rsidR="00004CFC">
        <w:rPr>
          <w:rFonts w:ascii="Century Schoolbook" w:hAnsi="Century Schoolbook"/>
          <w:sz w:val="26"/>
          <w:szCs w:val="26"/>
        </w:rPr>
        <w:t xml:space="preserve"> </w:t>
      </w:r>
      <w:r w:rsidRPr="005C529D">
        <w:rPr>
          <w:rFonts w:ascii="Century Schoolbook" w:hAnsi="Century Schoolbook"/>
          <w:sz w:val="26"/>
          <w:szCs w:val="26"/>
        </w:rPr>
        <w:t>for</w:t>
      </w:r>
      <w:r>
        <w:rPr>
          <w:rFonts w:ascii="Century Schoolbook" w:hAnsi="Century Schoolbook"/>
          <w:sz w:val="26"/>
          <w:szCs w:val="26"/>
        </w:rPr>
        <w:t xml:space="preserve"> Defendant and Respondent.</w:t>
      </w:r>
    </w:p>
    <w:p w:rsidR="009A7218" w:rsidRPr="009A7218" w:rsidP="00E042BC" w14:paraId="4C16BE05" w14:textId="3AEB98EE">
      <w:pPr>
        <w:spacing w:line="288" w:lineRule="auto"/>
        <w:rPr>
          <w:rFonts w:ascii="Century Schoolbook" w:hAnsi="Century Schoolbook"/>
          <w:sz w:val="26"/>
          <w:szCs w:val="26"/>
        </w:rPr>
      </w:pPr>
    </w:p>
    <w:p w:rsidR="009A7218" w:rsidRPr="00E92B8E" w:rsidP="00E042BC" w14:paraId="4B1ED400" w14:textId="00F974FD">
      <w:pPr>
        <w:spacing w:line="288" w:lineRule="auto"/>
        <w:jc w:val="center"/>
        <w:rPr>
          <w:rFonts w:ascii="Century Schoolbook" w:hAnsi="Century Schoolbook"/>
          <w:sz w:val="26"/>
          <w:szCs w:val="26"/>
        </w:rPr>
      </w:pPr>
      <w:r w:rsidRPr="009A7218">
        <w:rPr>
          <w:rFonts w:ascii="Century Schoolbook" w:hAnsi="Century Schoolbook"/>
          <w:sz w:val="26"/>
          <w:szCs w:val="26"/>
        </w:rPr>
        <w:t>* * * * * *</w:t>
      </w:r>
    </w:p>
    <w:p w:rsidR="00C46631" w:rsidRPr="00C46631" w:rsidP="00E042BC" w14:paraId="5BEB7E5F" w14:textId="45F8A981">
      <w:pPr>
        <w:spacing w:line="288" w:lineRule="auto"/>
        <w:ind w:firstLine="720"/>
        <w:rPr>
          <w:rFonts w:ascii="Century Schoolbook" w:hAnsi="Century Schoolbook"/>
          <w:sz w:val="26"/>
          <w:szCs w:val="26"/>
        </w:rPr>
      </w:pPr>
      <w:bookmarkStart w:id="0" w:name="_Hlk122494658"/>
      <w:r w:rsidRPr="00C46631">
        <w:rPr>
          <w:rFonts w:ascii="Century Schoolbook" w:hAnsi="Century Schoolbook"/>
          <w:sz w:val="26"/>
          <w:szCs w:val="26"/>
        </w:rPr>
        <w:t xml:space="preserve">In the Lanterman Developmental Disabilities Services Act (the Lanterman Act or the Act) (Welf. &amp; Inst. Code, § 4500 </w:t>
      </w:r>
      <w:r w:rsidRPr="00CC60B2">
        <w:rPr>
          <w:rFonts w:ascii="Century Schoolbook" w:hAnsi="Century Schoolbook"/>
          <w:sz w:val="26"/>
          <w:szCs w:val="26"/>
        </w:rPr>
        <w:t>et seq.</w:t>
      </w:r>
      <w:r w:rsidRPr="00C46631">
        <w:rPr>
          <w:rFonts w:ascii="Century Schoolbook" w:hAnsi="Century Schoolbook"/>
          <w:sz w:val="26"/>
          <w:szCs w:val="26"/>
        </w:rPr>
        <w:t>),</w:t>
      </w:r>
      <w:r>
        <w:rPr>
          <w:rFonts w:ascii="Century Schoolbook" w:hAnsi="Century Schoolbook"/>
          <w:b/>
          <w:bCs/>
          <w:sz w:val="26"/>
          <w:szCs w:val="26"/>
          <w:vertAlign w:val="superscript"/>
        </w:rPr>
        <w:footnoteReference w:id="2"/>
      </w:r>
      <w:r w:rsidRPr="00C46631">
        <w:rPr>
          <w:rFonts w:ascii="Century Schoolbook" w:hAnsi="Century Schoolbook"/>
          <w:sz w:val="26"/>
          <w:szCs w:val="26"/>
        </w:rPr>
        <w:t xml:space="preserve"> the State of California has undertaken the duty to provide developmentally disabled </w:t>
      </w:r>
      <w:r w:rsidR="00CC60B2">
        <w:rPr>
          <w:rFonts w:ascii="Century Schoolbook" w:hAnsi="Century Schoolbook"/>
          <w:sz w:val="26"/>
          <w:szCs w:val="26"/>
        </w:rPr>
        <w:t>persons</w:t>
      </w:r>
      <w:r w:rsidRPr="00C46631" w:rsidR="00CC60B2">
        <w:rPr>
          <w:rFonts w:ascii="Century Schoolbook" w:hAnsi="Century Schoolbook"/>
          <w:sz w:val="26"/>
          <w:szCs w:val="26"/>
        </w:rPr>
        <w:t xml:space="preserve"> </w:t>
      </w:r>
      <w:r w:rsidRPr="00C46631">
        <w:rPr>
          <w:rFonts w:ascii="Century Schoolbook" w:hAnsi="Century Schoolbook"/>
          <w:sz w:val="26"/>
          <w:szCs w:val="26"/>
        </w:rPr>
        <w:t xml:space="preserve">with appropriately tailored services and support.  To discharge this duty, the Department of Developmental Services (the Department) uses a network of private, nonprofit entities called “regional centers.”  (§ 4620.)  Regional centers do not themselves provide services; instead, they evaluate the developmentally disabled </w:t>
      </w:r>
      <w:r w:rsidR="00CC60B2">
        <w:rPr>
          <w:rFonts w:ascii="Century Schoolbook" w:hAnsi="Century Schoolbook"/>
          <w:sz w:val="26"/>
          <w:szCs w:val="26"/>
        </w:rPr>
        <w:t>persons</w:t>
      </w:r>
      <w:r w:rsidRPr="00C46631" w:rsidR="00CC60B2">
        <w:rPr>
          <w:rFonts w:ascii="Century Schoolbook" w:hAnsi="Century Schoolbook"/>
          <w:sz w:val="26"/>
          <w:szCs w:val="26"/>
        </w:rPr>
        <w:t xml:space="preserve"> </w:t>
      </w:r>
      <w:r w:rsidRPr="00C46631">
        <w:rPr>
          <w:rFonts w:ascii="Century Schoolbook" w:hAnsi="Century Schoolbook"/>
          <w:sz w:val="26"/>
          <w:szCs w:val="26"/>
        </w:rPr>
        <w:t>(whom the Act calls “consumers”), develop individually tailored plan</w:t>
      </w:r>
      <w:r w:rsidR="0012257F">
        <w:rPr>
          <w:rFonts w:ascii="Century Schoolbook" w:hAnsi="Century Schoolbook"/>
          <w:sz w:val="26"/>
          <w:szCs w:val="26"/>
        </w:rPr>
        <w:t>s</w:t>
      </w:r>
      <w:r w:rsidRPr="00C46631">
        <w:rPr>
          <w:rFonts w:ascii="Century Schoolbook" w:hAnsi="Century Schoolbook"/>
          <w:sz w:val="26"/>
          <w:szCs w:val="26"/>
        </w:rPr>
        <w:t xml:space="preserve"> for their care, enter into contracts with direct service providers to provide the services</w:t>
      </w:r>
      <w:r w:rsidR="00F53CC4">
        <w:rPr>
          <w:rFonts w:ascii="Century Schoolbook" w:hAnsi="Century Schoolbook"/>
          <w:sz w:val="26"/>
          <w:szCs w:val="26"/>
        </w:rPr>
        <w:t xml:space="preserve"> and support</w:t>
      </w:r>
      <w:r w:rsidRPr="00C46631">
        <w:rPr>
          <w:rFonts w:ascii="Century Schoolbook" w:hAnsi="Century Schoolbook"/>
          <w:sz w:val="26"/>
          <w:szCs w:val="26"/>
        </w:rPr>
        <w:t xml:space="preserve"> set forth in the plan</w:t>
      </w:r>
      <w:r w:rsidR="0012257F">
        <w:rPr>
          <w:rFonts w:ascii="Century Schoolbook" w:hAnsi="Century Schoolbook"/>
          <w:sz w:val="26"/>
          <w:szCs w:val="26"/>
        </w:rPr>
        <w:t>s</w:t>
      </w:r>
      <w:r w:rsidRPr="00C46631">
        <w:rPr>
          <w:rFonts w:ascii="Century Schoolbook" w:hAnsi="Century Schoolbook"/>
          <w:sz w:val="26"/>
          <w:szCs w:val="26"/>
        </w:rPr>
        <w:t xml:space="preserve">, and monitor </w:t>
      </w:r>
      <w:r w:rsidR="00615681">
        <w:rPr>
          <w:rFonts w:ascii="Century Schoolbook" w:hAnsi="Century Schoolbook"/>
          <w:sz w:val="26"/>
          <w:szCs w:val="26"/>
        </w:rPr>
        <w:t xml:space="preserve">the </w:t>
      </w:r>
      <w:r w:rsidRPr="00C46631">
        <w:rPr>
          <w:rFonts w:ascii="Century Schoolbook" w:hAnsi="Century Schoolbook"/>
          <w:sz w:val="26"/>
          <w:szCs w:val="26"/>
        </w:rPr>
        <w:t>implementation of those contracts and the consumers</w:t>
      </w:r>
      <w:r w:rsidR="0012257F">
        <w:rPr>
          <w:rFonts w:ascii="Century Schoolbook" w:hAnsi="Century Schoolbook"/>
          <w:sz w:val="26"/>
          <w:szCs w:val="26"/>
        </w:rPr>
        <w:t>’</w:t>
      </w:r>
      <w:r w:rsidRPr="00C46631">
        <w:rPr>
          <w:rFonts w:ascii="Century Schoolbook" w:hAnsi="Century Schoolbook"/>
          <w:sz w:val="26"/>
          <w:szCs w:val="26"/>
        </w:rPr>
        <w:t xml:space="preserve"> plan</w:t>
      </w:r>
      <w:r w:rsidR="0012257F">
        <w:rPr>
          <w:rFonts w:ascii="Century Schoolbook" w:hAnsi="Century Schoolbook"/>
          <w:sz w:val="26"/>
          <w:szCs w:val="26"/>
        </w:rPr>
        <w:t>s</w:t>
      </w:r>
      <w:r w:rsidRPr="00C46631">
        <w:rPr>
          <w:rFonts w:ascii="Century Schoolbook" w:hAnsi="Century Schoolbook"/>
          <w:sz w:val="26"/>
          <w:szCs w:val="26"/>
        </w:rPr>
        <w:t>.  (§§ 4642, 4643, 4640.6, subd</w:t>
      </w:r>
      <w:r w:rsidR="0012257F">
        <w:rPr>
          <w:rFonts w:ascii="Century Schoolbook" w:hAnsi="Century Schoolbook"/>
          <w:sz w:val="26"/>
          <w:szCs w:val="26"/>
        </w:rPr>
        <w:t xml:space="preserve">. </w:t>
      </w:r>
      <w:r w:rsidRPr="00C46631">
        <w:rPr>
          <w:rFonts w:ascii="Century Schoolbook" w:hAnsi="Century Schoolbook"/>
          <w:sz w:val="26"/>
          <w:szCs w:val="26"/>
        </w:rPr>
        <w:t xml:space="preserve">(a), 4647, 4648, </w:t>
      </w:r>
      <w:r w:rsidRPr="00C46631" w:rsidR="0012257F">
        <w:rPr>
          <w:rFonts w:ascii="Century Schoolbook" w:hAnsi="Century Schoolbook"/>
          <w:sz w:val="26"/>
          <w:szCs w:val="26"/>
        </w:rPr>
        <w:t>4648.1</w:t>
      </w:r>
      <w:r w:rsidR="0012257F">
        <w:rPr>
          <w:rFonts w:ascii="Century Schoolbook" w:hAnsi="Century Schoolbook"/>
          <w:sz w:val="26"/>
          <w:szCs w:val="26"/>
        </w:rPr>
        <w:t xml:space="preserve">, </w:t>
      </w:r>
      <w:r w:rsidRPr="00C46631">
        <w:rPr>
          <w:rFonts w:ascii="Century Schoolbook" w:hAnsi="Century Schoolbook"/>
          <w:sz w:val="26"/>
          <w:szCs w:val="26"/>
        </w:rPr>
        <w:t xml:space="preserve">4742, 4743.)  In this case, a regional center arranged for a developmentally disabled </w:t>
      </w:r>
      <w:r w:rsidR="00CC60B2">
        <w:rPr>
          <w:rFonts w:ascii="Century Schoolbook" w:hAnsi="Century Schoolbook"/>
          <w:sz w:val="26"/>
          <w:szCs w:val="26"/>
        </w:rPr>
        <w:t>person</w:t>
      </w:r>
      <w:r w:rsidRPr="00C46631" w:rsidR="00CC60B2">
        <w:rPr>
          <w:rFonts w:ascii="Century Schoolbook" w:hAnsi="Century Schoolbook"/>
          <w:sz w:val="26"/>
          <w:szCs w:val="26"/>
        </w:rPr>
        <w:t xml:space="preserve"> </w:t>
      </w:r>
      <w:r w:rsidRPr="00C46631">
        <w:rPr>
          <w:rFonts w:ascii="Century Schoolbook" w:hAnsi="Century Schoolbook"/>
          <w:sz w:val="26"/>
          <w:szCs w:val="26"/>
        </w:rPr>
        <w:t xml:space="preserve">to be placed in a residential facility, the facility thereafter informed the regional center that it could no longer provide the level of care the </w:t>
      </w:r>
      <w:r w:rsidR="00CC60B2">
        <w:rPr>
          <w:rFonts w:ascii="Century Schoolbook" w:hAnsi="Century Schoolbook"/>
          <w:sz w:val="26"/>
          <w:szCs w:val="26"/>
        </w:rPr>
        <w:t>person</w:t>
      </w:r>
      <w:r w:rsidRPr="00C46631">
        <w:rPr>
          <w:rFonts w:ascii="Century Schoolbook" w:hAnsi="Century Schoolbook"/>
          <w:sz w:val="26"/>
          <w:szCs w:val="26"/>
        </w:rPr>
        <w:t xml:space="preserve"> required, and the </w:t>
      </w:r>
      <w:r w:rsidR="00CC60B2">
        <w:rPr>
          <w:rFonts w:ascii="Century Schoolbook" w:hAnsi="Century Schoolbook"/>
          <w:sz w:val="26"/>
          <w:szCs w:val="26"/>
        </w:rPr>
        <w:t>person</w:t>
      </w:r>
      <w:r w:rsidRPr="00C46631">
        <w:rPr>
          <w:rFonts w:ascii="Century Schoolbook" w:hAnsi="Century Schoolbook"/>
          <w:sz w:val="26"/>
          <w:szCs w:val="26"/>
        </w:rPr>
        <w:t>—while the regional center was in the midst of lining up a different facility—attacked and injured the facility’s administrator.  The administrator sued the regional center for his injuries.  His lawsuit presents the following question:  Does a regional center have a duty to protect the employe</w:t>
      </w:r>
      <w:r w:rsidR="00CC60B2">
        <w:rPr>
          <w:rFonts w:ascii="Century Schoolbook" w:hAnsi="Century Schoolbook"/>
          <w:sz w:val="26"/>
          <w:szCs w:val="26"/>
        </w:rPr>
        <w:t>e</w:t>
      </w:r>
      <w:r w:rsidRPr="00C46631">
        <w:rPr>
          <w:rFonts w:ascii="Century Schoolbook" w:hAnsi="Century Schoolbook"/>
          <w:sz w:val="26"/>
          <w:szCs w:val="26"/>
        </w:rPr>
        <w:t>s of a residential facility that accepted a developmentally disabled person as a resident when the regional center does not immediately relocate that person as requested by the facility</w:t>
      </w:r>
      <w:r w:rsidRPr="00B230C2">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sz w:val="26"/>
          <w:szCs w:val="26"/>
        </w:rPr>
        <w:t xml:space="preserve">We conclude that the answer is “no,” and accordingly affirm the trial court’s grant of summary judgment </w:t>
      </w:r>
      <w:r w:rsidR="00CC60B2">
        <w:rPr>
          <w:rFonts w:ascii="Century Schoolbook" w:hAnsi="Century Schoolbook"/>
          <w:sz w:val="26"/>
          <w:szCs w:val="26"/>
        </w:rPr>
        <w:t>for</w:t>
      </w:r>
      <w:r w:rsidRPr="00C46631" w:rsidR="00CC60B2">
        <w:rPr>
          <w:rFonts w:ascii="Century Schoolbook" w:hAnsi="Century Schoolbook"/>
          <w:sz w:val="26"/>
          <w:szCs w:val="26"/>
        </w:rPr>
        <w:t xml:space="preserve"> </w:t>
      </w:r>
      <w:r w:rsidRPr="00C46631">
        <w:rPr>
          <w:rFonts w:ascii="Century Schoolbook" w:hAnsi="Century Schoolbook"/>
          <w:sz w:val="26"/>
          <w:szCs w:val="26"/>
        </w:rPr>
        <w:t>the regional center.</w:t>
      </w:r>
    </w:p>
    <w:p w:rsidR="00C46631" w:rsidRPr="00C46631" w:rsidP="00C46631" w14:paraId="745BF620"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FACTS AND PROCEDURAL BACKGROUND</w:t>
      </w:r>
    </w:p>
    <w:p w:rsidR="00C46631" w:rsidRPr="00C46631" w:rsidP="00C46631" w14:paraId="06FE0DE2"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w:t>
      </w:r>
      <w:r w:rsidRPr="00C46631">
        <w:rPr>
          <w:rFonts w:ascii="Century Schoolbook" w:hAnsi="Century Schoolbook"/>
          <w:b/>
          <w:bCs/>
          <w:sz w:val="26"/>
          <w:szCs w:val="26"/>
        </w:rPr>
        <w:tab/>
        <w:t>Facts</w:t>
      </w:r>
    </w:p>
    <w:p w:rsidR="00C46631" w:rsidRPr="00C46631" w:rsidP="00C46631" w14:paraId="5B674C13"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A.</w:t>
      </w:r>
      <w:r w:rsidRPr="00C46631">
        <w:rPr>
          <w:rFonts w:ascii="Century Schoolbook" w:hAnsi="Century Schoolbook"/>
          <w:b/>
          <w:bCs/>
          <w:sz w:val="26"/>
          <w:szCs w:val="26"/>
        </w:rPr>
        <w:tab/>
      </w:r>
      <w:r w:rsidRPr="00C46631">
        <w:rPr>
          <w:rFonts w:ascii="Century Schoolbook" w:hAnsi="Century Schoolbook"/>
          <w:b/>
          <w:bCs/>
          <w:i/>
          <w:iCs/>
          <w:sz w:val="26"/>
          <w:szCs w:val="26"/>
        </w:rPr>
        <w:t>J.C. and his history</w:t>
      </w:r>
    </w:p>
    <w:p w:rsidR="00C46631" w:rsidRPr="00C46631" w:rsidP="00C46631" w14:paraId="24DE5EDA" w14:textId="0C6BD195">
      <w:pPr>
        <w:spacing w:line="288" w:lineRule="auto"/>
        <w:rPr>
          <w:rFonts w:ascii="Century Schoolbook" w:hAnsi="Century Schoolbook"/>
          <w:sz w:val="26"/>
          <w:szCs w:val="26"/>
        </w:rPr>
      </w:pPr>
      <w:r w:rsidRPr="00C46631">
        <w:rPr>
          <w:rFonts w:ascii="Century Schoolbook" w:hAnsi="Century Schoolbook"/>
          <w:sz w:val="26"/>
          <w:szCs w:val="26"/>
        </w:rPr>
        <w:tab/>
        <w:t xml:space="preserve">J.C. is a man in his </w:t>
      </w:r>
      <w:r w:rsidR="00F53CC4">
        <w:rPr>
          <w:rFonts w:ascii="Century Schoolbook" w:hAnsi="Century Schoolbook"/>
          <w:sz w:val="26"/>
          <w:szCs w:val="26"/>
        </w:rPr>
        <w:t xml:space="preserve">early </w:t>
      </w:r>
      <w:r w:rsidR="00CC60B2">
        <w:rPr>
          <w:rFonts w:ascii="Century Schoolbook" w:hAnsi="Century Schoolbook"/>
          <w:sz w:val="26"/>
          <w:szCs w:val="26"/>
        </w:rPr>
        <w:t>thirties</w:t>
      </w:r>
      <w:r w:rsidRPr="00C46631">
        <w:rPr>
          <w:rFonts w:ascii="Century Schoolbook" w:hAnsi="Century Schoolbook"/>
          <w:sz w:val="26"/>
          <w:szCs w:val="26"/>
        </w:rPr>
        <w:t xml:space="preserve"> with a “mild intellectual disability” along with autism, a</w:t>
      </w:r>
      <w:r w:rsidR="002E23AF">
        <w:rPr>
          <w:rFonts w:ascii="Century Schoolbook" w:hAnsi="Century Schoolbook"/>
          <w:sz w:val="26"/>
          <w:szCs w:val="26"/>
        </w:rPr>
        <w:t>n “unspecified”</w:t>
      </w:r>
      <w:r w:rsidRPr="00C46631">
        <w:rPr>
          <w:rFonts w:ascii="Century Schoolbook" w:hAnsi="Century Schoolbook"/>
          <w:sz w:val="26"/>
          <w:szCs w:val="26"/>
        </w:rPr>
        <w:t xml:space="preserve"> “non</w:t>
      </w:r>
      <w:r w:rsidR="001B1D78">
        <w:rPr>
          <w:rFonts w:ascii="Century Schoolbook" w:hAnsi="Century Schoolbook"/>
          <w:sz w:val="26"/>
          <w:szCs w:val="26"/>
        </w:rPr>
        <w:t>-</w:t>
      </w:r>
      <w:r w:rsidRPr="00C46631">
        <w:rPr>
          <w:rFonts w:ascii="Century Schoolbook" w:hAnsi="Century Schoolbook"/>
          <w:sz w:val="26"/>
          <w:szCs w:val="26"/>
        </w:rPr>
        <w:t>psychotic mental disorder,” a “generalized anxiety disorder,” and “obsessive compulsive disorder.”  J.C. engages in self-harming behavior and also has “outbursts of physical violence and aggression” toward others.</w:t>
      </w:r>
    </w:p>
    <w:p w:rsidR="00C46631" w:rsidRPr="00C46631" w:rsidP="00C46631" w14:paraId="01E9A4E5" w14:textId="17D77D8B">
      <w:pPr>
        <w:spacing w:line="288" w:lineRule="auto"/>
        <w:rPr>
          <w:rFonts w:ascii="Century Schoolbook" w:hAnsi="Century Schoolbook"/>
          <w:sz w:val="26"/>
          <w:szCs w:val="26"/>
        </w:rPr>
      </w:pPr>
      <w:r w:rsidRPr="00C46631">
        <w:rPr>
          <w:rFonts w:ascii="Century Schoolbook" w:hAnsi="Century Schoolbook"/>
          <w:sz w:val="26"/>
          <w:szCs w:val="26"/>
        </w:rPr>
        <w:tab/>
        <w:t>J.C. is a client of the North Los Angeles County Regional Center</w:t>
      </w:r>
      <w:r w:rsidR="00F53CC4">
        <w:rPr>
          <w:rFonts w:ascii="Century Schoolbook" w:hAnsi="Century Schoolbook"/>
          <w:sz w:val="26"/>
          <w:szCs w:val="26"/>
        </w:rPr>
        <w:t>, Inc.</w:t>
      </w:r>
      <w:r w:rsidRPr="00C46631">
        <w:rPr>
          <w:rFonts w:ascii="Century Schoolbook" w:hAnsi="Century Schoolbook"/>
          <w:sz w:val="26"/>
          <w:szCs w:val="26"/>
        </w:rPr>
        <w:t xml:space="preserve"> (the Regional Center).  The Regional Center developed an individual program plan for J.C., which includes housing him</w:t>
      </w:r>
      <w:r w:rsidR="00CC60B2">
        <w:rPr>
          <w:rFonts w:ascii="Century Schoolbook" w:hAnsi="Century Schoolbook"/>
          <w:sz w:val="26"/>
          <w:szCs w:val="26"/>
        </w:rPr>
        <w:t xml:space="preserve"> at</w:t>
      </w:r>
      <w:r w:rsidRPr="00C46631">
        <w:rPr>
          <w:rFonts w:ascii="Century Schoolbook" w:hAnsi="Century Schoolbook"/>
          <w:sz w:val="26"/>
          <w:szCs w:val="26"/>
        </w:rPr>
        <w:t xml:space="preserve"> a residential facility.</w:t>
      </w:r>
    </w:p>
    <w:p w:rsidR="00C46631" w:rsidRPr="00C46631" w:rsidP="00C46631" w14:paraId="7B67948B" w14:textId="1997AF9E">
      <w:pPr>
        <w:spacing w:line="288" w:lineRule="auto"/>
        <w:rPr>
          <w:rFonts w:ascii="Century Schoolbook" w:hAnsi="Century Schoolbook"/>
          <w:sz w:val="26"/>
          <w:szCs w:val="26"/>
        </w:rPr>
      </w:pPr>
      <w:r w:rsidRPr="00C46631">
        <w:rPr>
          <w:rFonts w:ascii="Century Schoolbook" w:hAnsi="Century Schoolbook"/>
          <w:sz w:val="26"/>
          <w:szCs w:val="26"/>
        </w:rPr>
        <w:tab/>
        <w:t xml:space="preserve">Between April 2008 and April 2016, the Regional Center arranged for J.C. to be housed at the Fairview Developmental Center, a residential facility for developmentally disabled </w:t>
      </w:r>
      <w:r w:rsidR="00CC60B2">
        <w:rPr>
          <w:rFonts w:ascii="Century Schoolbook" w:hAnsi="Century Schoolbook"/>
          <w:sz w:val="26"/>
          <w:szCs w:val="26"/>
        </w:rPr>
        <w:t>persons</w:t>
      </w:r>
      <w:r w:rsidRPr="00C46631">
        <w:rPr>
          <w:rFonts w:ascii="Century Schoolbook" w:hAnsi="Century Schoolbook"/>
          <w:sz w:val="26"/>
          <w:szCs w:val="26"/>
        </w:rPr>
        <w:t>.  While there, J.C. exhibited “dangerous propensities to hurt himself and others.”</w:t>
      </w:r>
    </w:p>
    <w:p w:rsidR="00C46631" w:rsidRPr="00C46631" w:rsidP="00C46631" w14:paraId="4FBA90E8" w14:textId="62633338">
      <w:pPr>
        <w:spacing w:line="288" w:lineRule="auto"/>
        <w:rPr>
          <w:rFonts w:ascii="Century Schoolbook" w:hAnsi="Century Schoolbook"/>
          <w:b/>
          <w:bCs/>
          <w:i/>
          <w:iCs/>
          <w:sz w:val="26"/>
          <w:szCs w:val="26"/>
        </w:rPr>
      </w:pPr>
      <w:r w:rsidRPr="00C46631">
        <w:rPr>
          <w:rFonts w:ascii="Century Schoolbook" w:hAnsi="Century Schoolbook"/>
          <w:b/>
          <w:bCs/>
          <w:sz w:val="26"/>
          <w:szCs w:val="26"/>
        </w:rPr>
        <w:tab/>
        <w:t>B.</w:t>
      </w:r>
      <w:r w:rsidRPr="00C46631">
        <w:rPr>
          <w:rFonts w:ascii="Century Schoolbook" w:hAnsi="Century Schoolbook"/>
          <w:b/>
          <w:bCs/>
          <w:sz w:val="26"/>
          <w:szCs w:val="26"/>
        </w:rPr>
        <w:tab/>
      </w:r>
      <w:r w:rsidRPr="00C46631">
        <w:rPr>
          <w:rFonts w:ascii="Century Schoolbook" w:hAnsi="Century Schoolbook"/>
          <w:b/>
          <w:bCs/>
          <w:i/>
          <w:iCs/>
          <w:sz w:val="26"/>
          <w:szCs w:val="26"/>
        </w:rPr>
        <w:t>Placement in Hargis Ho</w:t>
      </w:r>
      <w:r w:rsidR="005F267C">
        <w:rPr>
          <w:rFonts w:ascii="Century Schoolbook" w:hAnsi="Century Schoolbook"/>
          <w:b/>
          <w:bCs/>
          <w:i/>
          <w:iCs/>
          <w:sz w:val="26"/>
          <w:szCs w:val="26"/>
        </w:rPr>
        <w:t>m</w:t>
      </w:r>
      <w:r w:rsidRPr="00C46631">
        <w:rPr>
          <w:rFonts w:ascii="Century Schoolbook" w:hAnsi="Century Schoolbook"/>
          <w:b/>
          <w:bCs/>
          <w:i/>
          <w:iCs/>
          <w:sz w:val="26"/>
          <w:szCs w:val="26"/>
        </w:rPr>
        <w:t>e</w:t>
      </w:r>
    </w:p>
    <w:p w:rsidR="00C46631" w:rsidRPr="00C46631" w:rsidP="00C46631" w14:paraId="43560127" w14:textId="4A7C7E73">
      <w:pPr>
        <w:spacing w:line="288" w:lineRule="auto"/>
        <w:rPr>
          <w:rFonts w:ascii="Century Schoolbook" w:hAnsi="Century Schoolbook"/>
          <w:sz w:val="26"/>
          <w:szCs w:val="26"/>
        </w:rPr>
      </w:pPr>
      <w:r w:rsidRPr="00C46631">
        <w:rPr>
          <w:rFonts w:ascii="Century Schoolbook" w:hAnsi="Century Schoolbook"/>
          <w:sz w:val="26"/>
          <w:szCs w:val="26"/>
        </w:rPr>
        <w:tab/>
        <w:t>On April 21, 2016, J.C. moved into Hargis Ho</w:t>
      </w:r>
      <w:r w:rsidR="005B4485">
        <w:rPr>
          <w:rFonts w:ascii="Century Schoolbook" w:hAnsi="Century Schoolbook"/>
          <w:sz w:val="26"/>
          <w:szCs w:val="26"/>
        </w:rPr>
        <w:t>m</w:t>
      </w:r>
      <w:r w:rsidRPr="00C46631">
        <w:rPr>
          <w:rFonts w:ascii="Century Schoolbook" w:hAnsi="Century Schoolbook"/>
          <w:sz w:val="26"/>
          <w:szCs w:val="26"/>
        </w:rPr>
        <w:t>e</w:t>
      </w:r>
      <w:r w:rsidR="00CC60B2">
        <w:rPr>
          <w:rFonts w:ascii="Century Schoolbook" w:hAnsi="Century Schoolbook"/>
          <w:sz w:val="26"/>
          <w:szCs w:val="26"/>
        </w:rPr>
        <w:t xml:space="preserve">, </w:t>
      </w:r>
      <w:r w:rsidRPr="00C46631">
        <w:rPr>
          <w:rFonts w:ascii="Century Schoolbook" w:hAnsi="Century Schoolbook"/>
          <w:sz w:val="26"/>
          <w:szCs w:val="26"/>
        </w:rPr>
        <w:t xml:space="preserve">a licensed adult residential </w:t>
      </w:r>
      <w:r w:rsidR="00CC60B2">
        <w:rPr>
          <w:rFonts w:ascii="Century Schoolbook" w:hAnsi="Century Schoolbook"/>
          <w:sz w:val="26"/>
          <w:szCs w:val="26"/>
        </w:rPr>
        <w:t>facility</w:t>
      </w:r>
      <w:r w:rsidRPr="00C46631" w:rsidR="00CC60B2">
        <w:rPr>
          <w:rFonts w:ascii="Century Schoolbook" w:hAnsi="Century Schoolbook"/>
          <w:sz w:val="26"/>
          <w:szCs w:val="26"/>
        </w:rPr>
        <w:t xml:space="preserve"> </w:t>
      </w:r>
      <w:r w:rsidRPr="00C46631">
        <w:rPr>
          <w:rFonts w:ascii="Century Schoolbook" w:hAnsi="Century Schoolbook"/>
          <w:sz w:val="26"/>
          <w:szCs w:val="26"/>
        </w:rPr>
        <w:t>owned by People’s Care</w:t>
      </w:r>
      <w:r w:rsidR="002128CF">
        <w:rPr>
          <w:rFonts w:ascii="Century Schoolbook" w:hAnsi="Century Schoolbook"/>
          <w:sz w:val="26"/>
          <w:szCs w:val="26"/>
        </w:rPr>
        <w:t xml:space="preserve"> Los Angeles, LLC</w:t>
      </w:r>
      <w:r w:rsidR="00F53CC4">
        <w:rPr>
          <w:rFonts w:ascii="Century Schoolbook" w:hAnsi="Century Schoolbook"/>
          <w:sz w:val="26"/>
          <w:szCs w:val="26"/>
        </w:rPr>
        <w:t>.</w:t>
      </w:r>
      <w:r w:rsidRPr="00C46631">
        <w:rPr>
          <w:rFonts w:ascii="Century Schoolbook" w:hAnsi="Century Schoolbook"/>
          <w:sz w:val="26"/>
          <w:szCs w:val="26"/>
        </w:rPr>
        <w:t xml:space="preserve">  Hargis Ho</w:t>
      </w:r>
      <w:r w:rsidR="005B4485">
        <w:rPr>
          <w:rFonts w:ascii="Century Schoolbook" w:hAnsi="Century Schoolbook"/>
          <w:sz w:val="26"/>
          <w:szCs w:val="26"/>
        </w:rPr>
        <w:t>m</w:t>
      </w:r>
      <w:r w:rsidRPr="00C46631">
        <w:rPr>
          <w:rFonts w:ascii="Century Schoolbook" w:hAnsi="Century Schoolbook"/>
          <w:sz w:val="26"/>
          <w:szCs w:val="26"/>
        </w:rPr>
        <w:t>e is rated as being able to provide the “highest level” of care</w:t>
      </w:r>
      <w:r w:rsidR="00CC60B2">
        <w:rPr>
          <w:rFonts w:ascii="Century Schoolbook" w:hAnsi="Century Schoolbook"/>
          <w:sz w:val="26"/>
          <w:szCs w:val="26"/>
        </w:rPr>
        <w:t xml:space="preserve"> for developmentally disabled persons</w:t>
      </w:r>
      <w:r w:rsidRPr="00C46631">
        <w:rPr>
          <w:rFonts w:ascii="Century Schoolbook" w:hAnsi="Century Schoolbook"/>
          <w:sz w:val="26"/>
          <w:szCs w:val="26"/>
        </w:rPr>
        <w:t xml:space="preserve"> and can accommodate </w:t>
      </w:r>
      <w:r w:rsidR="00F53CC4">
        <w:rPr>
          <w:rFonts w:ascii="Century Schoolbook" w:hAnsi="Century Schoolbook"/>
          <w:sz w:val="26"/>
          <w:szCs w:val="26"/>
        </w:rPr>
        <w:t xml:space="preserve">a total of </w:t>
      </w:r>
      <w:r w:rsidRPr="00C46631">
        <w:rPr>
          <w:rFonts w:ascii="Century Schoolbook" w:hAnsi="Century Schoolbook"/>
          <w:sz w:val="26"/>
          <w:szCs w:val="26"/>
        </w:rPr>
        <w:t>three residents.</w:t>
      </w:r>
    </w:p>
    <w:p w:rsidR="00C46631" w:rsidRPr="00C46631" w:rsidP="00C46631" w14:paraId="55770C15" w14:textId="759650E6">
      <w:pPr>
        <w:spacing w:line="288" w:lineRule="auto"/>
        <w:rPr>
          <w:rFonts w:ascii="Century Schoolbook" w:hAnsi="Century Schoolbook"/>
          <w:sz w:val="26"/>
          <w:szCs w:val="26"/>
        </w:rPr>
      </w:pPr>
      <w:r w:rsidRPr="00C46631">
        <w:rPr>
          <w:rFonts w:ascii="Century Schoolbook" w:hAnsi="Century Schoolbook"/>
          <w:sz w:val="26"/>
          <w:szCs w:val="26"/>
        </w:rPr>
        <w:tab/>
        <w:t>The Regional Center had “suggest</w:t>
      </w:r>
      <w:r w:rsidR="00526FB6">
        <w:rPr>
          <w:rFonts w:ascii="Century Schoolbook" w:hAnsi="Century Schoolbook"/>
          <w:sz w:val="26"/>
          <w:szCs w:val="26"/>
        </w:rPr>
        <w:t>[</w:t>
      </w:r>
      <w:r w:rsidRPr="00C46631">
        <w:rPr>
          <w:rFonts w:ascii="Century Schoolbook" w:hAnsi="Century Schoolbook"/>
          <w:sz w:val="26"/>
          <w:szCs w:val="26"/>
        </w:rPr>
        <w:t>ed</w:t>
      </w:r>
      <w:r w:rsidR="00526FB6">
        <w:rPr>
          <w:rFonts w:ascii="Century Schoolbook" w:hAnsi="Century Schoolbook"/>
          <w:sz w:val="26"/>
          <w:szCs w:val="26"/>
        </w:rPr>
        <w:t>]</w:t>
      </w:r>
      <w:r w:rsidRPr="00C46631">
        <w:rPr>
          <w:rFonts w:ascii="Century Schoolbook" w:hAnsi="Century Schoolbook"/>
          <w:sz w:val="26"/>
          <w:szCs w:val="26"/>
        </w:rPr>
        <w:t>” Hargis Ho</w:t>
      </w:r>
      <w:r w:rsidR="005B4485">
        <w:rPr>
          <w:rFonts w:ascii="Century Schoolbook" w:hAnsi="Century Schoolbook"/>
          <w:sz w:val="26"/>
          <w:szCs w:val="26"/>
        </w:rPr>
        <w:t>m</w:t>
      </w:r>
      <w:r w:rsidRPr="00C46631">
        <w:rPr>
          <w:rFonts w:ascii="Century Schoolbook" w:hAnsi="Century Schoolbook"/>
          <w:sz w:val="26"/>
          <w:szCs w:val="26"/>
        </w:rPr>
        <w:t xml:space="preserve">e as a possible placement for J.C. after Fairview </w:t>
      </w:r>
      <w:r w:rsidRPr="00C46631" w:rsidR="00CC60B2">
        <w:rPr>
          <w:rFonts w:ascii="Century Schoolbook" w:hAnsi="Century Schoolbook"/>
          <w:sz w:val="26"/>
          <w:szCs w:val="26"/>
        </w:rPr>
        <w:t>Developmental Center</w:t>
      </w:r>
      <w:r w:rsidRPr="00C46631">
        <w:rPr>
          <w:rFonts w:ascii="Century Schoolbook" w:hAnsi="Century Schoolbook"/>
          <w:sz w:val="26"/>
          <w:szCs w:val="26"/>
        </w:rPr>
        <w:t>, but Hargis Ho</w:t>
      </w:r>
      <w:r w:rsidR="00AA65D7">
        <w:rPr>
          <w:rFonts w:ascii="Century Schoolbook" w:hAnsi="Century Schoolbook"/>
          <w:sz w:val="26"/>
          <w:szCs w:val="26"/>
        </w:rPr>
        <w:t>me</w:t>
      </w:r>
      <w:r w:rsidRPr="00C46631">
        <w:rPr>
          <w:rFonts w:ascii="Century Schoolbook" w:hAnsi="Century Schoolbook"/>
          <w:sz w:val="26"/>
          <w:szCs w:val="26"/>
        </w:rPr>
        <w:t xml:space="preserve"> independently conducted its own assessment of whether it could accommodate J.C.</w:t>
      </w:r>
      <w:r w:rsidR="00F53CC4">
        <w:rPr>
          <w:rFonts w:ascii="Century Schoolbook" w:hAnsi="Century Schoolbook"/>
          <w:sz w:val="26"/>
          <w:szCs w:val="26"/>
        </w:rPr>
        <w:t xml:space="preserve"> given his</w:t>
      </w:r>
      <w:r w:rsidRPr="00C46631">
        <w:rPr>
          <w:rFonts w:ascii="Century Schoolbook" w:hAnsi="Century Schoolbook"/>
          <w:sz w:val="26"/>
          <w:szCs w:val="26"/>
        </w:rPr>
        <w:t xml:space="preserve"> level of disability.  After determining that J.C. was “compatible with other </w:t>
      </w:r>
      <w:r w:rsidR="00A06DD6">
        <w:rPr>
          <w:rFonts w:ascii="Century Schoolbook" w:hAnsi="Century Schoolbook"/>
          <w:sz w:val="26"/>
          <w:szCs w:val="26"/>
        </w:rPr>
        <w:t>[</w:t>
      </w:r>
      <w:r w:rsidRPr="00C46631">
        <w:rPr>
          <w:rFonts w:ascii="Century Schoolbook" w:hAnsi="Century Schoolbook"/>
          <w:sz w:val="26"/>
          <w:szCs w:val="26"/>
        </w:rPr>
        <w:t>r</w:t>
      </w:r>
      <w:r w:rsidR="00A06DD6">
        <w:rPr>
          <w:rFonts w:ascii="Century Schoolbook" w:hAnsi="Century Schoolbook"/>
          <w:sz w:val="26"/>
          <w:szCs w:val="26"/>
        </w:rPr>
        <w:t>]</w:t>
      </w:r>
      <w:r w:rsidRPr="00C46631">
        <w:rPr>
          <w:rFonts w:ascii="Century Schoolbook" w:hAnsi="Century Schoolbook"/>
          <w:sz w:val="26"/>
          <w:szCs w:val="26"/>
        </w:rPr>
        <w:t>esidents</w:t>
      </w:r>
      <w:r w:rsidR="00CC60B2">
        <w:rPr>
          <w:rFonts w:ascii="Century Schoolbook" w:hAnsi="Century Schoolbook"/>
          <w:sz w:val="26"/>
          <w:szCs w:val="26"/>
        </w:rPr>
        <w:t>”</w:t>
      </w:r>
      <w:r w:rsidRPr="00C46631">
        <w:rPr>
          <w:rFonts w:ascii="Century Schoolbook" w:hAnsi="Century Schoolbook"/>
          <w:sz w:val="26"/>
          <w:szCs w:val="26"/>
        </w:rPr>
        <w:t xml:space="preserve"> of the </w:t>
      </w:r>
      <w:r w:rsidR="00CC60B2">
        <w:rPr>
          <w:rFonts w:ascii="Century Schoolbook" w:hAnsi="Century Schoolbook"/>
          <w:sz w:val="26"/>
          <w:szCs w:val="26"/>
        </w:rPr>
        <w:t>facility</w:t>
      </w:r>
      <w:r w:rsidRPr="00C46631">
        <w:rPr>
          <w:rFonts w:ascii="Century Schoolbook" w:hAnsi="Century Schoolbook"/>
          <w:sz w:val="26"/>
          <w:szCs w:val="26"/>
        </w:rPr>
        <w:t xml:space="preserve"> </w:t>
      </w:r>
      <w:r w:rsidR="00AA65D7">
        <w:rPr>
          <w:rFonts w:ascii="Century Schoolbook" w:hAnsi="Century Schoolbook"/>
          <w:sz w:val="26"/>
          <w:szCs w:val="26"/>
        </w:rPr>
        <w:t xml:space="preserve">as well as </w:t>
      </w:r>
      <w:r w:rsidRPr="00C46631">
        <w:rPr>
          <w:rFonts w:ascii="Century Schoolbook" w:hAnsi="Century Schoolbook"/>
          <w:sz w:val="26"/>
          <w:szCs w:val="26"/>
        </w:rPr>
        <w:t>Hargis Ho</w:t>
      </w:r>
      <w:r w:rsidR="00AA65D7">
        <w:rPr>
          <w:rFonts w:ascii="Century Schoolbook" w:hAnsi="Century Schoolbook"/>
          <w:sz w:val="26"/>
          <w:szCs w:val="26"/>
        </w:rPr>
        <w:t xml:space="preserve">me’s </w:t>
      </w:r>
      <w:r w:rsidRPr="00C46631">
        <w:rPr>
          <w:rFonts w:ascii="Century Schoolbook" w:hAnsi="Century Schoolbook"/>
          <w:sz w:val="26"/>
          <w:szCs w:val="26"/>
        </w:rPr>
        <w:t>“program design and service level</w:t>
      </w:r>
      <w:r w:rsidR="002A4BE5">
        <w:rPr>
          <w:rFonts w:ascii="Century Schoolbook" w:hAnsi="Century Schoolbook"/>
          <w:sz w:val="26"/>
          <w:szCs w:val="26"/>
        </w:rPr>
        <w:t>,</w:t>
      </w:r>
      <w:r w:rsidRPr="00C46631">
        <w:rPr>
          <w:rFonts w:ascii="Century Schoolbook" w:hAnsi="Century Schoolbook"/>
          <w:sz w:val="26"/>
          <w:szCs w:val="26"/>
        </w:rPr>
        <w:t>” Hargis Ho</w:t>
      </w:r>
      <w:r w:rsidR="005B4485">
        <w:rPr>
          <w:rFonts w:ascii="Century Schoolbook" w:hAnsi="Century Schoolbook"/>
          <w:sz w:val="26"/>
          <w:szCs w:val="26"/>
        </w:rPr>
        <w:t>me</w:t>
      </w:r>
      <w:r w:rsidRPr="00C46631">
        <w:rPr>
          <w:rFonts w:ascii="Century Schoolbook" w:hAnsi="Century Schoolbook"/>
          <w:sz w:val="26"/>
          <w:szCs w:val="26"/>
        </w:rPr>
        <w:t xml:space="preserve"> signed a contract with the Regional Center accepting J.C. as a resident.  In that contract, Hargis Ho</w:t>
      </w:r>
      <w:r w:rsidR="005B4485">
        <w:rPr>
          <w:rFonts w:ascii="Century Schoolbook" w:hAnsi="Century Schoolbook"/>
          <w:sz w:val="26"/>
          <w:szCs w:val="26"/>
        </w:rPr>
        <w:t>m</w:t>
      </w:r>
      <w:r w:rsidRPr="00C46631">
        <w:rPr>
          <w:rFonts w:ascii="Century Schoolbook" w:hAnsi="Century Schoolbook"/>
          <w:sz w:val="26"/>
          <w:szCs w:val="26"/>
        </w:rPr>
        <w:t>e affirmed that the Regional Center had “provided all available information concerning [J.C.’s] history of dangerous behavior</w:t>
      </w:r>
      <w:r w:rsidR="00F53CC4">
        <w:rPr>
          <w:rFonts w:ascii="Century Schoolbook" w:hAnsi="Century Schoolbook"/>
          <w:sz w:val="26"/>
          <w:szCs w:val="26"/>
        </w:rPr>
        <w:t>.</w:t>
      </w:r>
      <w:r w:rsidRPr="00C46631">
        <w:rPr>
          <w:rFonts w:ascii="Century Schoolbook" w:hAnsi="Century Schoolbook"/>
          <w:sz w:val="26"/>
          <w:szCs w:val="26"/>
        </w:rPr>
        <w:t>”</w:t>
      </w:r>
    </w:p>
    <w:p w:rsidR="00C46631" w:rsidRPr="00C46631" w:rsidP="00C46631" w14:paraId="53177671" w14:textId="22AA710F">
      <w:pPr>
        <w:spacing w:line="288" w:lineRule="auto"/>
        <w:rPr>
          <w:rFonts w:ascii="Century Schoolbook" w:hAnsi="Century Schoolbook"/>
          <w:sz w:val="26"/>
          <w:szCs w:val="26"/>
        </w:rPr>
      </w:pPr>
      <w:r w:rsidRPr="00C46631">
        <w:rPr>
          <w:rFonts w:ascii="Century Schoolbook" w:hAnsi="Century Schoolbook"/>
          <w:sz w:val="26"/>
          <w:szCs w:val="26"/>
        </w:rPr>
        <w:tab/>
        <w:t>The Regional Center contracted with My</w:t>
      </w:r>
      <w:r w:rsidR="00335539">
        <w:rPr>
          <w:rFonts w:ascii="Century Schoolbook" w:hAnsi="Century Schoolbook"/>
          <w:sz w:val="26"/>
          <w:szCs w:val="26"/>
        </w:rPr>
        <w:t xml:space="preserve"> </w:t>
      </w:r>
      <w:r w:rsidRPr="00C46631">
        <w:rPr>
          <w:rFonts w:ascii="Century Schoolbook" w:hAnsi="Century Schoolbook"/>
          <w:sz w:val="26"/>
          <w:szCs w:val="26"/>
        </w:rPr>
        <w:t>Life Foundation</w:t>
      </w:r>
      <w:r w:rsidR="00B25B09">
        <w:rPr>
          <w:rFonts w:ascii="Century Schoolbook" w:hAnsi="Century Schoolbook"/>
          <w:sz w:val="26"/>
          <w:szCs w:val="26"/>
        </w:rPr>
        <w:t>, Inc.</w:t>
      </w:r>
      <w:r w:rsidRPr="00C46631">
        <w:rPr>
          <w:rFonts w:ascii="Century Schoolbook" w:hAnsi="Century Schoolbook"/>
          <w:sz w:val="26"/>
          <w:szCs w:val="26"/>
        </w:rPr>
        <w:t xml:space="preserve"> to provide additional staff to attend to J.C. when J.C. would leave </w:t>
      </w:r>
      <w:r w:rsidR="00CC60B2">
        <w:rPr>
          <w:rFonts w:ascii="Century Schoolbook" w:hAnsi="Century Schoolbook"/>
          <w:sz w:val="26"/>
          <w:szCs w:val="26"/>
        </w:rPr>
        <w:t>Hargis</w:t>
      </w:r>
      <w:r w:rsidRPr="00C46631" w:rsidR="00CC60B2">
        <w:rPr>
          <w:rFonts w:ascii="Century Schoolbook" w:hAnsi="Century Schoolbook"/>
          <w:sz w:val="26"/>
          <w:szCs w:val="26"/>
        </w:rPr>
        <w:t xml:space="preserve"> </w:t>
      </w:r>
      <w:r w:rsidRPr="00C46631">
        <w:rPr>
          <w:rFonts w:ascii="Century Schoolbook" w:hAnsi="Century Schoolbook"/>
          <w:sz w:val="26"/>
          <w:szCs w:val="26"/>
        </w:rPr>
        <w:t>Ho</w:t>
      </w:r>
      <w:r w:rsidR="005B4485">
        <w:rPr>
          <w:rFonts w:ascii="Century Schoolbook" w:hAnsi="Century Schoolbook"/>
          <w:sz w:val="26"/>
          <w:szCs w:val="26"/>
        </w:rPr>
        <w:t>m</w:t>
      </w:r>
      <w:r w:rsidRPr="00C46631">
        <w:rPr>
          <w:rFonts w:ascii="Century Schoolbook" w:hAnsi="Century Schoolbook"/>
          <w:sz w:val="26"/>
          <w:szCs w:val="26"/>
        </w:rPr>
        <w:t>e on outings.</w:t>
      </w:r>
    </w:p>
    <w:p w:rsidR="00C46631" w:rsidRPr="00C46631" w:rsidP="00C46631" w14:paraId="4627ADB5" w14:textId="72CE46FD">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C.</w:t>
      </w:r>
      <w:r w:rsidRPr="00C46631">
        <w:rPr>
          <w:rFonts w:ascii="Century Schoolbook" w:hAnsi="Century Schoolbook"/>
          <w:b/>
          <w:bCs/>
          <w:sz w:val="26"/>
          <w:szCs w:val="26"/>
        </w:rPr>
        <w:tab/>
      </w:r>
      <w:r w:rsidRPr="00C46631">
        <w:rPr>
          <w:rFonts w:ascii="Century Schoolbook" w:hAnsi="Century Schoolbook"/>
          <w:b/>
          <w:bCs/>
          <w:i/>
          <w:iCs/>
          <w:sz w:val="26"/>
          <w:szCs w:val="26"/>
        </w:rPr>
        <w:t>Plaintiff becomes the administrator of Hargis Ho</w:t>
      </w:r>
      <w:r w:rsidR="00DF4A25">
        <w:rPr>
          <w:rFonts w:ascii="Century Schoolbook" w:hAnsi="Century Schoolbook"/>
          <w:b/>
          <w:bCs/>
          <w:i/>
          <w:iCs/>
          <w:sz w:val="26"/>
          <w:szCs w:val="26"/>
        </w:rPr>
        <w:t>m</w:t>
      </w:r>
      <w:r w:rsidRPr="00C46631">
        <w:rPr>
          <w:rFonts w:ascii="Century Schoolbook" w:hAnsi="Century Schoolbook"/>
          <w:b/>
          <w:bCs/>
          <w:i/>
          <w:iCs/>
          <w:sz w:val="26"/>
          <w:szCs w:val="26"/>
        </w:rPr>
        <w:t>e, and has concerns about its ability to care for J.C.</w:t>
      </w:r>
    </w:p>
    <w:p w:rsidR="00C46631" w:rsidRPr="00C46631" w:rsidP="00C46631" w14:paraId="7B3FDEBA" w14:textId="1FC1DEDA">
      <w:pPr>
        <w:spacing w:line="288" w:lineRule="auto"/>
        <w:rPr>
          <w:rFonts w:ascii="Century Schoolbook" w:hAnsi="Century Schoolbook"/>
          <w:sz w:val="26"/>
          <w:szCs w:val="26"/>
        </w:rPr>
      </w:pPr>
      <w:r w:rsidRPr="00C46631">
        <w:rPr>
          <w:rFonts w:ascii="Century Schoolbook" w:hAnsi="Century Schoolbook"/>
          <w:sz w:val="26"/>
          <w:szCs w:val="26"/>
        </w:rPr>
        <w:tab/>
        <w:t>Ali Shalg</w:t>
      </w:r>
      <w:r w:rsidR="008B3CA9">
        <w:rPr>
          <w:rFonts w:ascii="Century Schoolbook" w:hAnsi="Century Schoolbook"/>
          <w:sz w:val="26"/>
          <w:szCs w:val="26"/>
        </w:rPr>
        <w:t>h</w:t>
      </w:r>
      <w:r w:rsidRPr="00C46631">
        <w:rPr>
          <w:rFonts w:ascii="Century Schoolbook" w:hAnsi="Century Schoolbook"/>
          <w:sz w:val="26"/>
          <w:szCs w:val="26"/>
        </w:rPr>
        <w:t>oun (plaintiff) became the administrator of Hargis Ho</w:t>
      </w:r>
      <w:r w:rsidR="00DF4A25">
        <w:rPr>
          <w:rFonts w:ascii="Century Schoolbook" w:hAnsi="Century Schoolbook"/>
          <w:sz w:val="26"/>
          <w:szCs w:val="26"/>
        </w:rPr>
        <w:t>m</w:t>
      </w:r>
      <w:r w:rsidRPr="00C46631">
        <w:rPr>
          <w:rFonts w:ascii="Century Schoolbook" w:hAnsi="Century Schoolbook"/>
          <w:sz w:val="26"/>
          <w:szCs w:val="26"/>
        </w:rPr>
        <w:t xml:space="preserve">e in </w:t>
      </w:r>
      <w:r w:rsidR="00CC60B2">
        <w:rPr>
          <w:rFonts w:ascii="Century Schoolbook" w:hAnsi="Century Schoolbook"/>
          <w:sz w:val="26"/>
          <w:szCs w:val="26"/>
        </w:rPr>
        <w:t xml:space="preserve">November </w:t>
      </w:r>
      <w:r w:rsidRPr="00C46631">
        <w:rPr>
          <w:rFonts w:ascii="Century Schoolbook" w:hAnsi="Century Schoolbook"/>
          <w:sz w:val="26"/>
          <w:szCs w:val="26"/>
        </w:rPr>
        <w:t>201</w:t>
      </w:r>
      <w:r w:rsidR="00CC60B2">
        <w:rPr>
          <w:rFonts w:ascii="Century Schoolbook" w:hAnsi="Century Schoolbook"/>
          <w:sz w:val="26"/>
          <w:szCs w:val="26"/>
        </w:rPr>
        <w:t>7</w:t>
      </w:r>
      <w:r w:rsidRPr="00C46631">
        <w:rPr>
          <w:rFonts w:ascii="Century Schoolbook" w:hAnsi="Century Schoolbook"/>
          <w:sz w:val="26"/>
          <w:szCs w:val="26"/>
        </w:rPr>
        <w:t xml:space="preserve">.  Despite being hired as the facility’s administrator, plaintiff alternatively asserted that he had no idea that </w:t>
      </w:r>
      <w:r w:rsidR="00F53CC4">
        <w:rPr>
          <w:rFonts w:ascii="Century Schoolbook" w:hAnsi="Century Schoolbook"/>
          <w:sz w:val="26"/>
          <w:szCs w:val="26"/>
        </w:rPr>
        <w:t xml:space="preserve">any of </w:t>
      </w:r>
      <w:r w:rsidRPr="00C46631">
        <w:rPr>
          <w:rFonts w:ascii="Century Schoolbook" w:hAnsi="Century Schoolbook"/>
          <w:sz w:val="26"/>
          <w:szCs w:val="26"/>
        </w:rPr>
        <w:t xml:space="preserve">the facility’s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exhibited “aggressive or violent behavior</w:t>
      </w:r>
      <w:r w:rsidR="002A4BE5">
        <w:rPr>
          <w:rFonts w:ascii="Century Schoolbook" w:hAnsi="Century Schoolbook"/>
          <w:sz w:val="26"/>
          <w:szCs w:val="26"/>
        </w:rPr>
        <w:t>,</w:t>
      </w:r>
      <w:r w:rsidRPr="00C46631">
        <w:rPr>
          <w:rFonts w:ascii="Century Schoolbook" w:hAnsi="Century Schoolbook"/>
          <w:sz w:val="26"/>
          <w:szCs w:val="26"/>
        </w:rPr>
        <w:t>” that he “w</w:t>
      </w:r>
      <w:r w:rsidR="00DF4A25">
        <w:rPr>
          <w:rFonts w:ascii="Century Schoolbook" w:hAnsi="Century Schoolbook"/>
          <w:sz w:val="26"/>
          <w:szCs w:val="26"/>
        </w:rPr>
        <w:t>[</w:t>
      </w:r>
      <w:r w:rsidRPr="00C46631">
        <w:rPr>
          <w:rFonts w:ascii="Century Schoolbook" w:hAnsi="Century Schoolbook"/>
          <w:sz w:val="26"/>
          <w:szCs w:val="26"/>
        </w:rPr>
        <w:t>as</w:t>
      </w:r>
      <w:r w:rsidR="00DF4A25">
        <w:rPr>
          <w:rFonts w:ascii="Century Schoolbook" w:hAnsi="Century Schoolbook"/>
          <w:sz w:val="26"/>
          <w:szCs w:val="26"/>
        </w:rPr>
        <w:t>]</w:t>
      </w:r>
      <w:r w:rsidRPr="00C46631">
        <w:rPr>
          <w:rFonts w:ascii="Century Schoolbook" w:hAnsi="Century Schoolbook"/>
          <w:sz w:val="26"/>
          <w:szCs w:val="26"/>
        </w:rPr>
        <w:t xml:space="preserve">n’t clear” about the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behavior and the corresponding level of care Hargis Ho</w:t>
      </w:r>
      <w:r w:rsidR="00DF4A25">
        <w:rPr>
          <w:rFonts w:ascii="Century Schoolbook" w:hAnsi="Century Schoolbook"/>
          <w:sz w:val="26"/>
          <w:szCs w:val="26"/>
        </w:rPr>
        <w:t>m</w:t>
      </w:r>
      <w:r w:rsidRPr="00C46631">
        <w:rPr>
          <w:rFonts w:ascii="Century Schoolbook" w:hAnsi="Century Schoolbook"/>
          <w:sz w:val="26"/>
          <w:szCs w:val="26"/>
        </w:rPr>
        <w:t xml:space="preserve">e offered, and that he </w:t>
      </w:r>
      <w:r w:rsidRPr="00C46631">
        <w:rPr>
          <w:rFonts w:ascii="Century Schoolbook" w:hAnsi="Century Schoolbook"/>
          <w:i/>
          <w:iCs/>
          <w:sz w:val="26"/>
          <w:szCs w:val="26"/>
        </w:rPr>
        <w:t>did know</w:t>
      </w:r>
      <w:r w:rsidRPr="00C46631">
        <w:rPr>
          <w:rFonts w:ascii="Century Schoolbook" w:hAnsi="Century Schoolbook"/>
          <w:sz w:val="26"/>
          <w:szCs w:val="26"/>
        </w:rPr>
        <w:t xml:space="preserve"> that the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 xml:space="preserve">exhibited such behavior but did not know “the </w:t>
      </w:r>
      <w:r w:rsidRPr="00C46631">
        <w:rPr>
          <w:rFonts w:ascii="Century Schoolbook" w:hAnsi="Century Schoolbook"/>
          <w:i/>
          <w:iCs/>
          <w:sz w:val="26"/>
          <w:szCs w:val="26"/>
        </w:rPr>
        <w:t>level</w:t>
      </w:r>
      <w:r w:rsidRPr="00C46631">
        <w:rPr>
          <w:rFonts w:ascii="Century Schoolbook" w:hAnsi="Century Schoolbook"/>
          <w:sz w:val="26"/>
          <w:szCs w:val="26"/>
        </w:rPr>
        <w:t xml:space="preserve"> of</w:t>
      </w:r>
      <w:r w:rsidR="000561B8">
        <w:rPr>
          <w:rFonts w:ascii="Century Schoolbook" w:hAnsi="Century Schoolbook"/>
          <w:sz w:val="26"/>
          <w:szCs w:val="26"/>
        </w:rPr>
        <w:t xml:space="preserve"> the</w:t>
      </w:r>
      <w:r w:rsidRPr="00C46631">
        <w:rPr>
          <w:rFonts w:ascii="Century Schoolbook" w:hAnsi="Century Schoolbook"/>
          <w:sz w:val="26"/>
          <w:szCs w:val="26"/>
        </w:rPr>
        <w:t xml:space="preserve"> aggression</w:t>
      </w:r>
      <w:r w:rsidR="002A4BE5">
        <w:rPr>
          <w:rFonts w:ascii="Century Schoolbook" w:hAnsi="Century Schoolbook"/>
          <w:sz w:val="26"/>
          <w:szCs w:val="26"/>
        </w:rPr>
        <w:t>.</w:t>
      </w:r>
      <w:r w:rsidRPr="00C46631">
        <w:rPr>
          <w:rFonts w:ascii="Century Schoolbook" w:hAnsi="Century Schoolbook"/>
          <w:sz w:val="26"/>
          <w:szCs w:val="26"/>
        </w:rPr>
        <w:t>”</w:t>
      </w:r>
      <w:r w:rsidR="000561B8">
        <w:rPr>
          <w:rFonts w:ascii="Century Schoolbook" w:hAnsi="Century Schoolbook"/>
          <w:sz w:val="26"/>
          <w:szCs w:val="26"/>
        </w:rPr>
        <w:t xml:space="preserve">  (Italics added.) </w:t>
      </w:r>
    </w:p>
    <w:p w:rsidR="00C46631" w:rsidRPr="00C46631" w:rsidP="00C46631" w14:paraId="5C508DF0" w14:textId="6B8F075E">
      <w:pPr>
        <w:spacing w:line="288" w:lineRule="auto"/>
        <w:rPr>
          <w:rFonts w:ascii="Century Schoolbook" w:hAnsi="Century Schoolbook"/>
          <w:sz w:val="26"/>
          <w:szCs w:val="26"/>
        </w:rPr>
      </w:pPr>
      <w:r w:rsidRPr="00C46631">
        <w:rPr>
          <w:rFonts w:ascii="Century Schoolbook" w:hAnsi="Century Schoolbook"/>
          <w:sz w:val="26"/>
          <w:szCs w:val="26"/>
        </w:rPr>
        <w:tab/>
        <w:t>Despite Hargis Ho</w:t>
      </w:r>
      <w:r w:rsidR="00E7589D">
        <w:rPr>
          <w:rFonts w:ascii="Century Schoolbook" w:hAnsi="Century Schoolbook"/>
          <w:sz w:val="26"/>
          <w:szCs w:val="26"/>
        </w:rPr>
        <w:t>m</w:t>
      </w:r>
      <w:r w:rsidRPr="00C46631">
        <w:rPr>
          <w:rFonts w:ascii="Century Schoolbook" w:hAnsi="Century Schoolbook"/>
          <w:sz w:val="26"/>
          <w:szCs w:val="26"/>
        </w:rPr>
        <w:t>e’s initial determination and representation that it could accommodate J.C.’s level of disability, plaintiff felt that its staff was “not trained sufficiently” to handle J.C.  Plaintiff did not act on his concerns until much later.</w:t>
      </w:r>
      <w:r>
        <w:rPr>
          <w:rFonts w:ascii="Century Schoolbook" w:hAnsi="Century Schoolbook"/>
          <w:b/>
          <w:bCs/>
          <w:sz w:val="26"/>
          <w:szCs w:val="26"/>
          <w:vertAlign w:val="superscript"/>
        </w:rPr>
        <w:footnoteReference w:id="3"/>
      </w:r>
    </w:p>
    <w:p w:rsidR="00C46631" w:rsidRPr="00C46631" w:rsidP="00C46631" w14:paraId="19622082" w14:textId="691A8780">
      <w:pPr>
        <w:spacing w:line="288" w:lineRule="auto"/>
        <w:rPr>
          <w:rFonts w:ascii="Century Schoolbook" w:hAnsi="Century Schoolbook"/>
          <w:sz w:val="26"/>
          <w:szCs w:val="26"/>
        </w:rPr>
      </w:pPr>
      <w:r w:rsidRPr="00C46631">
        <w:rPr>
          <w:rFonts w:ascii="Century Schoolbook" w:hAnsi="Century Schoolbook"/>
          <w:sz w:val="26"/>
          <w:szCs w:val="26"/>
        </w:rPr>
        <w:tab/>
        <w:t xml:space="preserve">In February 2018, J.C. had an encounter with plaintiff in which J.C. smeared feces and ripped </w:t>
      </w:r>
      <w:r w:rsidR="00F53CC4">
        <w:rPr>
          <w:rFonts w:ascii="Century Schoolbook" w:hAnsi="Century Schoolbook"/>
          <w:sz w:val="26"/>
          <w:szCs w:val="26"/>
        </w:rPr>
        <w:t>plaintiff’s</w:t>
      </w:r>
      <w:r w:rsidRPr="00C46631">
        <w:rPr>
          <w:rFonts w:ascii="Century Schoolbook" w:hAnsi="Century Schoolbook"/>
          <w:sz w:val="26"/>
          <w:szCs w:val="26"/>
        </w:rPr>
        <w:t xml:space="preserve"> clothes.</w:t>
      </w:r>
    </w:p>
    <w:p w:rsidR="00C46631" w:rsidRPr="00C46631" w:rsidP="00C46631" w14:paraId="6485D96A" w14:textId="39CD1823">
      <w:pPr>
        <w:spacing w:line="288" w:lineRule="auto"/>
        <w:rPr>
          <w:rFonts w:ascii="Century Schoolbook" w:hAnsi="Century Schoolbook"/>
          <w:sz w:val="26"/>
          <w:szCs w:val="26"/>
        </w:rPr>
      </w:pPr>
      <w:r w:rsidRPr="00C46631">
        <w:rPr>
          <w:rFonts w:ascii="Century Schoolbook" w:hAnsi="Century Schoolbook"/>
          <w:sz w:val="26"/>
          <w:szCs w:val="26"/>
        </w:rPr>
        <w:tab/>
        <w:t>In April 2018, J.C. assaulted plaintiff</w:t>
      </w:r>
      <w:r w:rsidR="00E7589D">
        <w:rPr>
          <w:rFonts w:ascii="Century Schoolbook" w:hAnsi="Century Schoolbook"/>
          <w:sz w:val="26"/>
          <w:szCs w:val="26"/>
        </w:rPr>
        <w:t xml:space="preserve"> and was restrained</w:t>
      </w:r>
      <w:r w:rsidRPr="00C46631">
        <w:rPr>
          <w:rFonts w:ascii="Century Schoolbook" w:hAnsi="Century Schoolbook"/>
          <w:sz w:val="26"/>
          <w:szCs w:val="26"/>
        </w:rPr>
        <w:t>.</w:t>
      </w:r>
    </w:p>
    <w:p w:rsidR="00C46631" w:rsidRPr="00C46631" w:rsidP="00C46631" w14:paraId="7DF2AE91" w14:textId="0C23BA01">
      <w:pPr>
        <w:spacing w:line="288" w:lineRule="auto"/>
        <w:rPr>
          <w:rFonts w:ascii="Century Schoolbook" w:hAnsi="Century Schoolbook"/>
          <w:sz w:val="26"/>
          <w:szCs w:val="26"/>
        </w:rPr>
      </w:pPr>
      <w:r w:rsidRPr="00C46631">
        <w:rPr>
          <w:rFonts w:ascii="Century Schoolbook" w:hAnsi="Century Schoolbook"/>
          <w:sz w:val="26"/>
          <w:szCs w:val="26"/>
        </w:rPr>
        <w:tab/>
        <w:t xml:space="preserve">In May 2018, J.C. again assaulted plaintiff by “bec[oming] aggressive towards </w:t>
      </w:r>
      <w:r w:rsidR="006845D1">
        <w:rPr>
          <w:rFonts w:ascii="Century Schoolbook" w:hAnsi="Century Schoolbook"/>
          <w:sz w:val="26"/>
          <w:szCs w:val="26"/>
        </w:rPr>
        <w:t>[</w:t>
      </w:r>
      <w:r w:rsidRPr="00C46631">
        <w:rPr>
          <w:rFonts w:ascii="Century Schoolbook" w:hAnsi="Century Schoolbook"/>
          <w:sz w:val="26"/>
          <w:szCs w:val="26"/>
        </w:rPr>
        <w:t>p</w:t>
      </w:r>
      <w:r w:rsidR="006845D1">
        <w:rPr>
          <w:rFonts w:ascii="Century Schoolbook" w:hAnsi="Century Schoolbook"/>
          <w:sz w:val="26"/>
          <w:szCs w:val="26"/>
        </w:rPr>
        <w:t>]</w:t>
      </w:r>
      <w:r w:rsidRPr="00C46631">
        <w:rPr>
          <w:rFonts w:ascii="Century Schoolbook" w:hAnsi="Century Schoolbook"/>
          <w:sz w:val="26"/>
          <w:szCs w:val="26"/>
        </w:rPr>
        <w:t xml:space="preserve">laintiff when </w:t>
      </w:r>
      <w:r w:rsidR="006845D1">
        <w:rPr>
          <w:rFonts w:ascii="Century Schoolbook" w:hAnsi="Century Schoolbook"/>
          <w:sz w:val="26"/>
          <w:szCs w:val="26"/>
        </w:rPr>
        <w:t>[</w:t>
      </w:r>
      <w:r w:rsidRPr="00C46631">
        <w:rPr>
          <w:rFonts w:ascii="Century Schoolbook" w:hAnsi="Century Schoolbook"/>
          <w:sz w:val="26"/>
          <w:szCs w:val="26"/>
        </w:rPr>
        <w:t>p</w:t>
      </w:r>
      <w:r w:rsidR="006845D1">
        <w:rPr>
          <w:rFonts w:ascii="Century Schoolbook" w:hAnsi="Century Schoolbook"/>
          <w:sz w:val="26"/>
          <w:szCs w:val="26"/>
        </w:rPr>
        <w:t>]</w:t>
      </w:r>
      <w:r w:rsidRPr="00C46631">
        <w:rPr>
          <w:rFonts w:ascii="Century Schoolbook" w:hAnsi="Century Schoolbook"/>
          <w:sz w:val="26"/>
          <w:szCs w:val="26"/>
        </w:rPr>
        <w:t xml:space="preserve">laintiff told him of </w:t>
      </w:r>
      <w:r w:rsidR="006845D1">
        <w:rPr>
          <w:rFonts w:ascii="Century Schoolbook" w:hAnsi="Century Schoolbook"/>
          <w:sz w:val="26"/>
          <w:szCs w:val="26"/>
        </w:rPr>
        <w:t>[</w:t>
      </w:r>
      <w:r w:rsidRPr="00C46631">
        <w:rPr>
          <w:rFonts w:ascii="Century Schoolbook" w:hAnsi="Century Schoolbook"/>
          <w:sz w:val="26"/>
          <w:szCs w:val="26"/>
        </w:rPr>
        <w:t>an</w:t>
      </w:r>
      <w:r w:rsidR="006845D1">
        <w:rPr>
          <w:rFonts w:ascii="Century Schoolbook" w:hAnsi="Century Schoolbook"/>
          <w:sz w:val="26"/>
          <w:szCs w:val="26"/>
        </w:rPr>
        <w:t>]</w:t>
      </w:r>
      <w:r w:rsidRPr="00C46631">
        <w:rPr>
          <w:rFonts w:ascii="Century Schoolbook" w:hAnsi="Century Schoolbook"/>
          <w:sz w:val="26"/>
          <w:szCs w:val="26"/>
        </w:rPr>
        <w:t xml:space="preserve"> upcoming appointment.”</w:t>
      </w:r>
    </w:p>
    <w:p w:rsidR="00C46631" w:rsidRPr="00C46631" w:rsidP="00C46631" w14:paraId="621FE291" w14:textId="4479D2E9">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D.</w:t>
      </w:r>
      <w:r w:rsidRPr="00C46631">
        <w:rPr>
          <w:rFonts w:ascii="Century Schoolbook" w:hAnsi="Century Schoolbook"/>
          <w:b/>
          <w:bCs/>
          <w:sz w:val="26"/>
          <w:szCs w:val="26"/>
        </w:rPr>
        <w:tab/>
      </w:r>
      <w:r w:rsidRPr="00C46631">
        <w:rPr>
          <w:rFonts w:ascii="Century Schoolbook" w:hAnsi="Century Schoolbook"/>
          <w:b/>
          <w:bCs/>
          <w:i/>
          <w:iCs/>
          <w:sz w:val="26"/>
          <w:szCs w:val="26"/>
        </w:rPr>
        <w:t>Hargis Ho</w:t>
      </w:r>
      <w:r w:rsidR="00372E2E">
        <w:rPr>
          <w:rFonts w:ascii="Century Schoolbook" w:hAnsi="Century Schoolbook"/>
          <w:b/>
          <w:bCs/>
          <w:i/>
          <w:iCs/>
          <w:sz w:val="26"/>
          <w:szCs w:val="26"/>
        </w:rPr>
        <w:t>m</w:t>
      </w:r>
      <w:r w:rsidRPr="00C46631">
        <w:rPr>
          <w:rFonts w:ascii="Century Schoolbook" w:hAnsi="Century Schoolbook"/>
          <w:b/>
          <w:bCs/>
          <w:i/>
          <w:iCs/>
          <w:sz w:val="26"/>
          <w:szCs w:val="26"/>
        </w:rPr>
        <w:t xml:space="preserve">e sends the Regional Center a letter </w:t>
      </w:r>
      <w:r w:rsidR="00197320">
        <w:rPr>
          <w:rFonts w:ascii="Century Schoolbook" w:hAnsi="Century Schoolbook"/>
          <w:b/>
          <w:bCs/>
          <w:i/>
          <w:iCs/>
          <w:sz w:val="26"/>
          <w:szCs w:val="26"/>
        </w:rPr>
        <w:t>requesting</w:t>
      </w:r>
      <w:r w:rsidRPr="00C46631" w:rsidR="00197320">
        <w:rPr>
          <w:rFonts w:ascii="Century Schoolbook" w:hAnsi="Century Schoolbook"/>
          <w:b/>
          <w:bCs/>
          <w:i/>
          <w:iCs/>
          <w:sz w:val="26"/>
          <w:szCs w:val="26"/>
        </w:rPr>
        <w:t xml:space="preserve"> </w:t>
      </w:r>
      <w:r w:rsidRPr="00C46631">
        <w:rPr>
          <w:rFonts w:ascii="Century Schoolbook" w:hAnsi="Century Schoolbook"/>
          <w:b/>
          <w:bCs/>
          <w:i/>
          <w:iCs/>
          <w:sz w:val="26"/>
          <w:szCs w:val="26"/>
        </w:rPr>
        <w:t>that J.C. be moved to a different facility</w:t>
      </w:r>
    </w:p>
    <w:p w:rsidR="00C46631" w:rsidRPr="00C46631" w:rsidP="00C46631" w14:paraId="7C43B21C" w14:textId="29CDC934">
      <w:pPr>
        <w:spacing w:line="288" w:lineRule="auto"/>
        <w:rPr>
          <w:rFonts w:ascii="Century Schoolbook" w:hAnsi="Century Schoolbook"/>
          <w:sz w:val="26"/>
          <w:szCs w:val="26"/>
        </w:rPr>
      </w:pPr>
      <w:r w:rsidRPr="00C46631">
        <w:rPr>
          <w:rFonts w:ascii="Century Schoolbook" w:hAnsi="Century Schoolbook"/>
          <w:sz w:val="26"/>
          <w:szCs w:val="26"/>
        </w:rPr>
        <w:tab/>
        <w:t>On May 16, 2018, Hargis Ho</w:t>
      </w:r>
      <w:r w:rsidR="00372E2E">
        <w:rPr>
          <w:rFonts w:ascii="Century Schoolbook" w:hAnsi="Century Schoolbook"/>
          <w:sz w:val="26"/>
          <w:szCs w:val="26"/>
        </w:rPr>
        <w:t>m</w:t>
      </w:r>
      <w:r w:rsidRPr="00C46631">
        <w:rPr>
          <w:rFonts w:ascii="Century Schoolbook" w:hAnsi="Century Schoolbook"/>
          <w:sz w:val="26"/>
          <w:szCs w:val="26"/>
        </w:rPr>
        <w:t>e sent the Regional Center a letter.  In that letter, Hargis Ho</w:t>
      </w:r>
      <w:r w:rsidR="00372E2E">
        <w:rPr>
          <w:rFonts w:ascii="Century Schoolbook" w:hAnsi="Century Schoolbook"/>
          <w:sz w:val="26"/>
          <w:szCs w:val="26"/>
        </w:rPr>
        <w:t>m</w:t>
      </w:r>
      <w:r w:rsidRPr="00C46631">
        <w:rPr>
          <w:rFonts w:ascii="Century Schoolbook" w:hAnsi="Century Schoolbook"/>
          <w:sz w:val="26"/>
          <w:szCs w:val="26"/>
        </w:rPr>
        <w:t>e stated its view that J.C. has “intensive needs,” that “his needs exceed [Hargis Ho</w:t>
      </w:r>
      <w:r w:rsidR="00372E2E">
        <w:rPr>
          <w:rFonts w:ascii="Century Schoolbook" w:hAnsi="Century Schoolbook"/>
          <w:sz w:val="26"/>
          <w:szCs w:val="26"/>
        </w:rPr>
        <w:t>m</w:t>
      </w:r>
      <w:r w:rsidRPr="00C46631">
        <w:rPr>
          <w:rFonts w:ascii="Century Schoolbook" w:hAnsi="Century Schoolbook"/>
          <w:sz w:val="26"/>
          <w:szCs w:val="26"/>
        </w:rPr>
        <w:t xml:space="preserve">e’s] design mandate,” and that this mismatch “places [J.C.] and the other residents at risk </w:t>
      </w:r>
      <w:r w:rsidR="00A553BF">
        <w:rPr>
          <w:rFonts w:ascii="Century Schoolbook" w:hAnsi="Century Schoolbook"/>
          <w:sz w:val="26"/>
          <w:szCs w:val="26"/>
        </w:rPr>
        <w:t>for</w:t>
      </w:r>
      <w:r w:rsidRPr="00C46631">
        <w:rPr>
          <w:rFonts w:ascii="Century Schoolbook" w:hAnsi="Century Schoolbook"/>
          <w:sz w:val="26"/>
          <w:szCs w:val="26"/>
        </w:rPr>
        <w:t xml:space="preserve"> injury.”  Hargis Ho</w:t>
      </w:r>
      <w:r w:rsidR="00372E2E">
        <w:rPr>
          <w:rFonts w:ascii="Century Schoolbook" w:hAnsi="Century Schoolbook"/>
          <w:sz w:val="26"/>
          <w:szCs w:val="26"/>
        </w:rPr>
        <w:t>m</w:t>
      </w:r>
      <w:r w:rsidRPr="00C46631">
        <w:rPr>
          <w:rFonts w:ascii="Century Schoolbook" w:hAnsi="Century Schoolbook"/>
          <w:sz w:val="26"/>
          <w:szCs w:val="26"/>
        </w:rPr>
        <w:t>e was thus “issuing a 30-day notice” to the Regional Center, and “request[ing] help . . . in finding alternative placement” for J.C. and “extra direct care staffing hours to support [J.C.] 24/7.”</w:t>
      </w:r>
    </w:p>
    <w:p w:rsidR="00C46631" w:rsidRPr="00C46631" w:rsidP="00C46631" w14:paraId="4C14C96B" w14:textId="56AC8C95">
      <w:pPr>
        <w:spacing w:line="288" w:lineRule="auto"/>
        <w:rPr>
          <w:rFonts w:ascii="Century Schoolbook" w:hAnsi="Century Schoolbook"/>
          <w:sz w:val="26"/>
          <w:szCs w:val="26"/>
        </w:rPr>
      </w:pPr>
      <w:r w:rsidRPr="00C46631">
        <w:rPr>
          <w:rFonts w:ascii="Century Schoolbook" w:hAnsi="Century Schoolbook"/>
          <w:sz w:val="26"/>
          <w:szCs w:val="26"/>
        </w:rPr>
        <w:tab/>
        <w:t>In May or June 2018, Hargis Ho</w:t>
      </w:r>
      <w:r w:rsidR="00372E2E">
        <w:rPr>
          <w:rFonts w:ascii="Century Schoolbook" w:hAnsi="Century Schoolbook"/>
          <w:sz w:val="26"/>
          <w:szCs w:val="26"/>
        </w:rPr>
        <w:t>m</w:t>
      </w:r>
      <w:r w:rsidRPr="00C46631">
        <w:rPr>
          <w:rFonts w:ascii="Century Schoolbook" w:hAnsi="Century Schoolbook"/>
          <w:sz w:val="26"/>
          <w:szCs w:val="26"/>
        </w:rPr>
        <w:t>e also initiated eviction proceedings against J.C.</w:t>
      </w:r>
    </w:p>
    <w:p w:rsidR="00C46631" w:rsidRPr="00C46631" w:rsidP="00C46631" w14:paraId="547FE16A" w14:textId="38462D93">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E.</w:t>
      </w:r>
      <w:r w:rsidRPr="00C46631">
        <w:rPr>
          <w:rFonts w:ascii="Century Schoolbook" w:hAnsi="Century Schoolbook"/>
          <w:b/>
          <w:bCs/>
          <w:sz w:val="26"/>
          <w:szCs w:val="26"/>
        </w:rPr>
        <w:tab/>
      </w:r>
      <w:r w:rsidR="00197320">
        <w:rPr>
          <w:rFonts w:ascii="Century Schoolbook" w:hAnsi="Century Schoolbook"/>
          <w:b/>
          <w:bCs/>
          <w:i/>
          <w:iCs/>
          <w:sz w:val="26"/>
          <w:szCs w:val="26"/>
        </w:rPr>
        <w:t xml:space="preserve">The </w:t>
      </w:r>
      <w:r w:rsidRPr="00C46631">
        <w:rPr>
          <w:rFonts w:ascii="Century Schoolbook" w:hAnsi="Century Schoolbook"/>
          <w:b/>
          <w:bCs/>
          <w:i/>
          <w:iCs/>
          <w:sz w:val="26"/>
          <w:szCs w:val="26"/>
        </w:rPr>
        <w:t>Regional Center takes action</w:t>
      </w:r>
    </w:p>
    <w:p w:rsidR="00C46631" w:rsidRPr="00F53CC4" w:rsidP="00C46631" w14:paraId="48F78DA7" w14:textId="660DDAD3">
      <w:pPr>
        <w:spacing w:line="288" w:lineRule="auto"/>
        <w:rPr>
          <w:rFonts w:ascii="Century Schoolbook" w:hAnsi="Century Schoolbook"/>
          <w:sz w:val="26"/>
          <w:szCs w:val="26"/>
        </w:rPr>
      </w:pPr>
      <w:r w:rsidRPr="00C46631">
        <w:rPr>
          <w:rFonts w:ascii="Century Schoolbook" w:hAnsi="Century Schoolbook"/>
          <w:sz w:val="26"/>
          <w:szCs w:val="26"/>
        </w:rPr>
        <w:tab/>
        <w:t>The Regional Center began a statewide search for a new facility to house J.C.  By July 6, 2018, it had asked five different residential facilities if they could accommodate J.C.; all had declined.  But the Regional Center continued its search.</w:t>
      </w:r>
    </w:p>
    <w:p w:rsidR="00C46631" w:rsidP="00C46631" w14:paraId="5C0219F5" w14:textId="3C90C085">
      <w:pPr>
        <w:spacing w:line="288" w:lineRule="auto"/>
        <w:rPr>
          <w:rFonts w:ascii="Century Schoolbook" w:hAnsi="Century Schoolbook"/>
          <w:sz w:val="26"/>
          <w:szCs w:val="26"/>
        </w:rPr>
      </w:pPr>
      <w:r w:rsidRPr="00C46631">
        <w:rPr>
          <w:rFonts w:ascii="Century Schoolbook" w:hAnsi="Century Schoolbook"/>
          <w:sz w:val="26"/>
          <w:szCs w:val="26"/>
        </w:rPr>
        <w:tab/>
        <w:t>In the meantime, the Regional Center secured additional funding for additional staffing “in order to keep [J.C.] and staff [at Hargis Ho</w:t>
      </w:r>
      <w:r w:rsidR="005F267C">
        <w:rPr>
          <w:rFonts w:ascii="Century Schoolbook" w:hAnsi="Century Schoolbook"/>
          <w:sz w:val="26"/>
          <w:szCs w:val="26"/>
        </w:rPr>
        <w:t>m</w:t>
      </w:r>
      <w:r w:rsidRPr="00C46631">
        <w:rPr>
          <w:rFonts w:ascii="Century Schoolbook" w:hAnsi="Century Schoolbook"/>
          <w:sz w:val="26"/>
          <w:szCs w:val="26"/>
        </w:rPr>
        <w:t>e] safe.”</w:t>
      </w:r>
    </w:p>
    <w:p w:rsidR="003A5057" w:rsidP="00C46631" w14:paraId="4A9600A0" w14:textId="77777777">
      <w:pPr>
        <w:spacing w:line="288" w:lineRule="auto"/>
        <w:rPr>
          <w:rFonts w:ascii="Century Schoolbook" w:hAnsi="Century Schoolbook"/>
          <w:sz w:val="26"/>
          <w:szCs w:val="26"/>
        </w:rPr>
      </w:pPr>
    </w:p>
    <w:p w:rsidR="003A5057" w:rsidRPr="00C46631" w:rsidP="00C46631" w14:paraId="30746865" w14:textId="77777777">
      <w:pPr>
        <w:spacing w:line="288" w:lineRule="auto"/>
        <w:rPr>
          <w:rFonts w:ascii="Century Schoolbook" w:hAnsi="Century Schoolbook"/>
          <w:sz w:val="26"/>
          <w:szCs w:val="26"/>
        </w:rPr>
      </w:pPr>
    </w:p>
    <w:p w:rsidR="00C46631" w:rsidRPr="00C46631" w:rsidP="00C46631" w14:paraId="57AAA11F"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F.</w:t>
      </w:r>
      <w:r w:rsidRPr="00C46631">
        <w:rPr>
          <w:rFonts w:ascii="Century Schoolbook" w:hAnsi="Century Schoolbook"/>
          <w:b/>
          <w:bCs/>
          <w:sz w:val="26"/>
          <w:szCs w:val="26"/>
        </w:rPr>
        <w:tab/>
      </w:r>
      <w:r w:rsidRPr="00C46631">
        <w:rPr>
          <w:rFonts w:ascii="Century Schoolbook" w:hAnsi="Century Schoolbook"/>
          <w:b/>
          <w:bCs/>
          <w:i/>
          <w:iCs/>
          <w:sz w:val="26"/>
          <w:szCs w:val="26"/>
        </w:rPr>
        <w:t>J.C. attacks and seriously injures plaintiff</w:t>
      </w:r>
    </w:p>
    <w:p w:rsidR="00C46631" w:rsidRPr="00C46631" w:rsidP="00C46631" w14:paraId="47F4094A" w14:textId="4C3B0E24">
      <w:pPr>
        <w:spacing w:line="288" w:lineRule="auto"/>
        <w:rPr>
          <w:rFonts w:ascii="Century Schoolbook" w:hAnsi="Century Schoolbook"/>
          <w:sz w:val="26"/>
          <w:szCs w:val="26"/>
        </w:rPr>
      </w:pPr>
      <w:r w:rsidRPr="00C46631">
        <w:rPr>
          <w:rFonts w:ascii="Century Schoolbook" w:hAnsi="Century Schoolbook"/>
          <w:sz w:val="26"/>
          <w:szCs w:val="26"/>
        </w:rPr>
        <w:tab/>
        <w:t>On July 2</w:t>
      </w:r>
      <w:r w:rsidR="00B852E9">
        <w:rPr>
          <w:rFonts w:ascii="Century Schoolbook" w:hAnsi="Century Schoolbook"/>
          <w:sz w:val="26"/>
          <w:szCs w:val="26"/>
        </w:rPr>
        <w:t>7</w:t>
      </w:r>
      <w:r w:rsidRPr="00C46631">
        <w:rPr>
          <w:rFonts w:ascii="Century Schoolbook" w:hAnsi="Century Schoolbook"/>
          <w:sz w:val="26"/>
          <w:szCs w:val="26"/>
        </w:rPr>
        <w:t>, 2018, J.C. approached plaintiff as plaintiff worked at a desk on the premises of Hargis Ho</w:t>
      </w:r>
      <w:r w:rsidR="005F267C">
        <w:rPr>
          <w:rFonts w:ascii="Century Schoolbook" w:hAnsi="Century Schoolbook"/>
          <w:sz w:val="26"/>
          <w:szCs w:val="26"/>
        </w:rPr>
        <w:t>m</w:t>
      </w:r>
      <w:r w:rsidRPr="00C46631">
        <w:rPr>
          <w:rFonts w:ascii="Century Schoolbook" w:hAnsi="Century Schoolbook"/>
          <w:sz w:val="26"/>
          <w:szCs w:val="26"/>
        </w:rPr>
        <w:t xml:space="preserve">e.  J.C.—who is </w:t>
      </w:r>
      <w:r w:rsidR="003F3242">
        <w:rPr>
          <w:rFonts w:ascii="Century Schoolbook" w:hAnsi="Century Schoolbook"/>
          <w:sz w:val="26"/>
          <w:szCs w:val="26"/>
        </w:rPr>
        <w:t xml:space="preserve">around </w:t>
      </w:r>
      <w:r w:rsidRPr="00C46631">
        <w:rPr>
          <w:rFonts w:ascii="Century Schoolbook" w:hAnsi="Century Schoolbook"/>
          <w:sz w:val="26"/>
          <w:szCs w:val="26"/>
        </w:rPr>
        <w:t>5</w:t>
      </w:r>
      <w:r w:rsidR="00B852E9">
        <w:rPr>
          <w:rFonts w:ascii="Century Schoolbook" w:hAnsi="Century Schoolbook"/>
          <w:sz w:val="26"/>
          <w:szCs w:val="26"/>
        </w:rPr>
        <w:t xml:space="preserve"> feet </w:t>
      </w:r>
      <w:r w:rsidR="00117F0D">
        <w:rPr>
          <w:rFonts w:ascii="Century Schoolbook" w:hAnsi="Century Schoolbook"/>
          <w:sz w:val="26"/>
          <w:szCs w:val="26"/>
        </w:rPr>
        <w:t>8</w:t>
      </w:r>
      <w:r w:rsidR="00B852E9">
        <w:rPr>
          <w:rFonts w:ascii="Century Schoolbook" w:hAnsi="Century Schoolbook"/>
          <w:sz w:val="26"/>
          <w:szCs w:val="26"/>
        </w:rPr>
        <w:t xml:space="preserve"> inches tall</w:t>
      </w:r>
      <w:r w:rsidRPr="00C46631">
        <w:rPr>
          <w:rFonts w:ascii="Century Schoolbook" w:hAnsi="Century Schoolbook"/>
          <w:sz w:val="26"/>
          <w:szCs w:val="26"/>
        </w:rPr>
        <w:t xml:space="preserve"> and weighs 2</w:t>
      </w:r>
      <w:r w:rsidR="00117F0D">
        <w:rPr>
          <w:rFonts w:ascii="Century Schoolbook" w:hAnsi="Century Schoolbook"/>
          <w:sz w:val="26"/>
          <w:szCs w:val="26"/>
        </w:rPr>
        <w:t>6</w:t>
      </w:r>
      <w:r w:rsidRPr="00C46631">
        <w:rPr>
          <w:rFonts w:ascii="Century Schoolbook" w:hAnsi="Century Schoolbook"/>
          <w:sz w:val="26"/>
          <w:szCs w:val="26"/>
        </w:rPr>
        <w:t xml:space="preserve">5 pounds—picked up plaintiff and threw him backwards against an overhead cabinet.  </w:t>
      </w:r>
      <w:r w:rsidR="00F53CC4">
        <w:rPr>
          <w:rFonts w:ascii="Century Schoolbook" w:hAnsi="Century Schoolbook"/>
          <w:sz w:val="26"/>
          <w:szCs w:val="26"/>
        </w:rPr>
        <w:t>Plaintiff’s</w:t>
      </w:r>
      <w:r w:rsidRPr="00C46631">
        <w:rPr>
          <w:rFonts w:ascii="Century Schoolbook" w:hAnsi="Century Schoolbook"/>
          <w:sz w:val="26"/>
          <w:szCs w:val="26"/>
        </w:rPr>
        <w:t xml:space="preserve"> head struck the cabinet.  Plaintiff suffered a laceration to his head, a “mild concussion” with attendant tinnitus and dizziness, pain in his neck and shoulder, and lost a tooth. </w:t>
      </w:r>
    </w:p>
    <w:p w:rsidR="00C46631" w:rsidRPr="00C46631" w:rsidP="00C46631" w14:paraId="78152C5A" w14:textId="0CFA7E90">
      <w:pPr>
        <w:spacing w:line="288" w:lineRule="auto"/>
        <w:rPr>
          <w:rFonts w:ascii="Century Schoolbook" w:hAnsi="Century Schoolbook"/>
          <w:sz w:val="26"/>
          <w:szCs w:val="26"/>
        </w:rPr>
      </w:pPr>
      <w:r w:rsidRPr="00C46631">
        <w:rPr>
          <w:rFonts w:ascii="Century Schoolbook" w:hAnsi="Century Schoolbook"/>
          <w:sz w:val="26"/>
          <w:szCs w:val="26"/>
        </w:rPr>
        <w:tab/>
        <w:t>Plaintiff pursued and obtained a workers</w:t>
      </w:r>
      <w:r w:rsidR="00892AC4">
        <w:rPr>
          <w:rFonts w:ascii="Century Schoolbook" w:hAnsi="Century Schoolbook"/>
          <w:sz w:val="26"/>
          <w:szCs w:val="26"/>
        </w:rPr>
        <w:t>’</w:t>
      </w:r>
      <w:r w:rsidRPr="00C46631">
        <w:rPr>
          <w:rFonts w:ascii="Century Schoolbook" w:hAnsi="Century Schoolbook"/>
          <w:sz w:val="26"/>
          <w:szCs w:val="26"/>
        </w:rPr>
        <w:t xml:space="preserve"> compensation award from People’s Care</w:t>
      </w:r>
      <w:r w:rsidR="002128CF">
        <w:rPr>
          <w:rFonts w:ascii="Century Schoolbook" w:hAnsi="Century Schoolbook"/>
          <w:sz w:val="26"/>
          <w:szCs w:val="26"/>
        </w:rPr>
        <w:t xml:space="preserve"> Los Angeles, LLC</w:t>
      </w:r>
      <w:r w:rsidRPr="00C46631">
        <w:rPr>
          <w:rFonts w:ascii="Century Schoolbook" w:hAnsi="Century Schoolbook"/>
          <w:sz w:val="26"/>
          <w:szCs w:val="26"/>
        </w:rPr>
        <w:t>.</w:t>
      </w:r>
    </w:p>
    <w:p w:rsidR="00C46631" w:rsidRPr="00C46631" w:rsidP="00C46631" w14:paraId="5F537C0B"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II.</w:t>
      </w:r>
      <w:r w:rsidRPr="00C46631">
        <w:rPr>
          <w:rFonts w:ascii="Century Schoolbook" w:hAnsi="Century Schoolbook"/>
          <w:b/>
          <w:bCs/>
          <w:sz w:val="26"/>
          <w:szCs w:val="26"/>
        </w:rPr>
        <w:tab/>
        <w:t>Procedural Background</w:t>
      </w:r>
    </w:p>
    <w:p w:rsidR="00C46631" w:rsidRPr="00C46631" w:rsidP="00C46631" w14:paraId="20CA9BDF" w14:textId="2E9C92E7">
      <w:pPr>
        <w:spacing w:line="288" w:lineRule="auto"/>
        <w:rPr>
          <w:rFonts w:ascii="Century Schoolbook" w:hAnsi="Century Schoolbook"/>
          <w:sz w:val="26"/>
          <w:szCs w:val="26"/>
        </w:rPr>
      </w:pPr>
      <w:r w:rsidRPr="00C46631">
        <w:rPr>
          <w:rFonts w:ascii="Century Schoolbook" w:hAnsi="Century Schoolbook"/>
          <w:sz w:val="26"/>
          <w:szCs w:val="26"/>
        </w:rPr>
        <w:tab/>
        <w:t>On June 6, 2019, plaintiff sued the Regional Center for his injuries on two theories—namely, (1) vicarious liability for the negligence of its employees (Gov. Code, § 815.2)</w:t>
      </w:r>
      <w:r w:rsidR="00612318">
        <w:rPr>
          <w:rFonts w:ascii="Century Schoolbook" w:hAnsi="Century Schoolbook"/>
          <w:sz w:val="26"/>
          <w:szCs w:val="26"/>
        </w:rPr>
        <w:t>;</w:t>
      </w:r>
      <w:r w:rsidRPr="00C46631">
        <w:rPr>
          <w:rFonts w:ascii="Century Schoolbook" w:hAnsi="Century Schoolbook"/>
          <w:sz w:val="26"/>
          <w:szCs w:val="26"/>
        </w:rPr>
        <w:t xml:space="preserve"> and (2) failure to satisfy its mandatory duties to monitor Hargis Ho</w:t>
      </w:r>
      <w:r w:rsidR="005F267C">
        <w:rPr>
          <w:rFonts w:ascii="Century Schoolbook" w:hAnsi="Century Schoolbook"/>
          <w:sz w:val="26"/>
          <w:szCs w:val="26"/>
        </w:rPr>
        <w:t>m</w:t>
      </w:r>
      <w:r w:rsidRPr="00C46631">
        <w:rPr>
          <w:rFonts w:ascii="Century Schoolbook" w:hAnsi="Century Schoolbook"/>
          <w:sz w:val="26"/>
          <w:szCs w:val="26"/>
        </w:rPr>
        <w:t>e (</w:t>
      </w:r>
      <w:r w:rsidRPr="00C46631" w:rsidR="005F7771">
        <w:rPr>
          <w:rFonts w:ascii="Century Schoolbook" w:hAnsi="Century Schoolbook"/>
          <w:sz w:val="26"/>
          <w:szCs w:val="26"/>
        </w:rPr>
        <w:t xml:space="preserve">Gov. Code, </w:t>
      </w:r>
      <w:r w:rsidRPr="00C46631">
        <w:rPr>
          <w:rFonts w:ascii="Century Schoolbook" w:hAnsi="Century Schoolbook"/>
          <w:sz w:val="26"/>
          <w:szCs w:val="26"/>
        </w:rPr>
        <w:t>§ 815.6).</w:t>
      </w:r>
      <w:r>
        <w:rPr>
          <w:rFonts w:ascii="Century Schoolbook" w:hAnsi="Century Schoolbook"/>
          <w:b/>
          <w:bCs/>
          <w:sz w:val="26"/>
          <w:szCs w:val="26"/>
          <w:vertAlign w:val="superscript"/>
        </w:rPr>
        <w:footnoteReference w:id="4"/>
      </w:r>
    </w:p>
    <w:p w:rsidR="00C46631" w:rsidRPr="00C46631" w:rsidP="00C46631" w14:paraId="17CA86BE" w14:textId="65605F5A">
      <w:pPr>
        <w:spacing w:line="288" w:lineRule="auto"/>
        <w:rPr>
          <w:rFonts w:ascii="Century Schoolbook" w:hAnsi="Century Schoolbook"/>
          <w:sz w:val="26"/>
          <w:szCs w:val="26"/>
        </w:rPr>
      </w:pPr>
      <w:r w:rsidRPr="00C46631">
        <w:rPr>
          <w:rFonts w:ascii="Century Schoolbook" w:hAnsi="Century Schoolbook"/>
          <w:sz w:val="26"/>
          <w:szCs w:val="26"/>
        </w:rPr>
        <w:tab/>
        <w:t>In March 2022, the Regional Center moved for summary judgment on the grounds, as pertinent here, that (1) it owed plaintiff no legal duty, and (2) plaintiff had assumed the risk of the types of injur</w:t>
      </w:r>
      <w:r w:rsidR="0089031A">
        <w:rPr>
          <w:rFonts w:ascii="Century Schoolbook" w:hAnsi="Century Schoolbook"/>
          <w:sz w:val="26"/>
          <w:szCs w:val="26"/>
        </w:rPr>
        <w:t>ies</w:t>
      </w:r>
      <w:r w:rsidRPr="00C46631">
        <w:rPr>
          <w:rFonts w:ascii="Century Schoolbook" w:hAnsi="Century Schoolbook"/>
          <w:sz w:val="26"/>
          <w:szCs w:val="26"/>
        </w:rPr>
        <w:t xml:space="preserve"> caused by J.C. by </w:t>
      </w:r>
      <w:r w:rsidR="00F53CC4">
        <w:rPr>
          <w:rFonts w:ascii="Century Schoolbook" w:hAnsi="Century Schoolbook"/>
          <w:sz w:val="26"/>
          <w:szCs w:val="26"/>
        </w:rPr>
        <w:t>accepting a job</w:t>
      </w:r>
      <w:r w:rsidRPr="00C46631">
        <w:rPr>
          <w:rFonts w:ascii="Century Schoolbook" w:hAnsi="Century Schoolbook"/>
          <w:sz w:val="26"/>
          <w:szCs w:val="26"/>
        </w:rPr>
        <w:t xml:space="preserve"> at Hargis Ho</w:t>
      </w:r>
      <w:r w:rsidR="005F267C">
        <w:rPr>
          <w:rFonts w:ascii="Century Schoolbook" w:hAnsi="Century Schoolbook"/>
          <w:sz w:val="26"/>
          <w:szCs w:val="26"/>
        </w:rPr>
        <w:t>m</w:t>
      </w:r>
      <w:r w:rsidRPr="00C46631">
        <w:rPr>
          <w:rFonts w:ascii="Century Schoolbook" w:hAnsi="Century Schoolbook"/>
          <w:sz w:val="26"/>
          <w:szCs w:val="26"/>
        </w:rPr>
        <w:t xml:space="preserve">e.  After full briefing and a hearing, the trial court granted the Regional Center’s motion on the first ground.  Specifically, the court reasoned that the Regional Center “only owed duties to [J.C.], and not to </w:t>
      </w:r>
      <w:r w:rsidR="0089031A">
        <w:rPr>
          <w:rFonts w:ascii="Century Schoolbook" w:hAnsi="Century Schoolbook"/>
          <w:sz w:val="26"/>
          <w:szCs w:val="26"/>
        </w:rPr>
        <w:t>[p]</w:t>
      </w:r>
      <w:r w:rsidRPr="00C46631">
        <w:rPr>
          <w:rFonts w:ascii="Century Schoolbook" w:hAnsi="Century Schoolbook"/>
          <w:sz w:val="26"/>
          <w:szCs w:val="26"/>
        </w:rPr>
        <w:t>laintiff,</w:t>
      </w:r>
      <w:r w:rsidR="00F53CC4">
        <w:rPr>
          <w:rFonts w:ascii="Century Schoolbook" w:hAnsi="Century Schoolbook"/>
          <w:sz w:val="26"/>
          <w:szCs w:val="26"/>
        </w:rPr>
        <w:t>”</w:t>
      </w:r>
      <w:r w:rsidRPr="00C46631">
        <w:rPr>
          <w:rFonts w:ascii="Century Schoolbook" w:hAnsi="Century Schoolbook"/>
          <w:sz w:val="26"/>
          <w:szCs w:val="26"/>
        </w:rPr>
        <w:t xml:space="preserve"> and that this result accords with the purpose of the Act because regional centers “should be concerned with providing adequate resources to consumers for the consumer’s sake, not for potentially unknown third-party employees of a residential facility.”</w:t>
      </w:r>
    </w:p>
    <w:p w:rsidR="00C46631" w:rsidRPr="00C46631" w:rsidP="00C46631" w14:paraId="4F9FDA80" w14:textId="7D35A393">
      <w:pPr>
        <w:spacing w:line="288" w:lineRule="auto"/>
        <w:rPr>
          <w:rFonts w:ascii="Century Schoolbook" w:hAnsi="Century Schoolbook"/>
          <w:sz w:val="26"/>
          <w:szCs w:val="26"/>
        </w:rPr>
      </w:pPr>
      <w:r w:rsidRPr="00C46631">
        <w:rPr>
          <w:rFonts w:ascii="Century Schoolbook" w:hAnsi="Century Schoolbook"/>
          <w:sz w:val="26"/>
          <w:szCs w:val="26"/>
        </w:rPr>
        <w:tab/>
        <w:t>After judgment was entered, plaintiff filed this timely appeal.</w:t>
      </w:r>
    </w:p>
    <w:p w:rsidR="00C46631" w:rsidRPr="00C46631" w:rsidP="00C46631" w14:paraId="428E322C"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DISCUSSION</w:t>
      </w:r>
    </w:p>
    <w:p w:rsidR="00C46631" w:rsidRPr="00C46631" w:rsidP="00C46631" w14:paraId="64279B5F" w14:textId="77777777">
      <w:pPr>
        <w:spacing w:line="288" w:lineRule="auto"/>
        <w:rPr>
          <w:rFonts w:ascii="Century Schoolbook" w:hAnsi="Century Schoolbook"/>
          <w:sz w:val="26"/>
          <w:szCs w:val="26"/>
        </w:rPr>
      </w:pPr>
      <w:r w:rsidRPr="00C46631">
        <w:rPr>
          <w:rFonts w:ascii="Century Schoolbook" w:hAnsi="Century Schoolbook"/>
          <w:sz w:val="26"/>
          <w:szCs w:val="26"/>
        </w:rPr>
        <w:tab/>
        <w:t>Plaintiff argues that the trial court erred in granting summary judgment to the Regional Center on the ground that the Regional Center did not owe him a duty of care.</w:t>
      </w:r>
    </w:p>
    <w:p w:rsidR="00C46631" w:rsidRPr="00C46631" w:rsidP="00C46631" w14:paraId="5E808019" w14:textId="1E2EAA56">
      <w:pPr>
        <w:spacing w:line="288" w:lineRule="auto"/>
        <w:rPr>
          <w:rFonts w:ascii="Century Schoolbook" w:hAnsi="Century Schoolbook"/>
          <w:sz w:val="26"/>
          <w:szCs w:val="26"/>
        </w:rPr>
      </w:pPr>
      <w:r w:rsidRPr="00C46631">
        <w:rPr>
          <w:rFonts w:ascii="Century Schoolbook" w:hAnsi="Century Schoolbook"/>
          <w:sz w:val="26"/>
          <w:szCs w:val="26"/>
        </w:rPr>
        <w:tab/>
        <w:t>“Summary judgment is appropriate only ‘where no triable issue of material fact exists and the moving party is entitled to judgment as a mat</w:t>
      </w:r>
      <w:r>
        <w:rPr>
          <w:rFonts w:ascii="Century Schoolbook" w:hAnsi="Century Schoolbook"/>
          <w:sz w:val="26"/>
          <w:szCs w:val="26"/>
        </w:rPr>
        <w:t>t</w:t>
      </w:r>
      <w:r w:rsidRPr="00C46631">
        <w:rPr>
          <w:rFonts w:ascii="Century Schoolbook" w:hAnsi="Century Schoolbook"/>
          <w:sz w:val="26"/>
          <w:szCs w:val="26"/>
        </w:rPr>
        <w:t>er of law.’”  (</w:t>
      </w:r>
      <w:r w:rsidRPr="00C46631">
        <w:rPr>
          <w:rFonts w:ascii="Century Schoolbook" w:hAnsi="Century Schoolbook"/>
          <w:i/>
          <w:iCs/>
          <w:sz w:val="26"/>
          <w:szCs w:val="26"/>
        </w:rPr>
        <w:t xml:space="preserve">Regents of University of California v. Superior Court </w:t>
      </w:r>
      <w:r w:rsidRPr="00C46631">
        <w:rPr>
          <w:rFonts w:ascii="Century Schoolbook" w:hAnsi="Century Schoolbook"/>
          <w:sz w:val="26"/>
          <w:szCs w:val="26"/>
        </w:rPr>
        <w:t>(2018) 4 Cal.5th 607, 618 (</w:t>
      </w:r>
      <w:r w:rsidRPr="00C46631">
        <w:rPr>
          <w:rFonts w:ascii="Century Schoolbook" w:hAnsi="Century Schoolbook"/>
          <w:i/>
          <w:iCs/>
          <w:sz w:val="26"/>
          <w:szCs w:val="26"/>
        </w:rPr>
        <w:t>Regents</w:t>
      </w:r>
      <w:r w:rsidRPr="00C46631">
        <w:rPr>
          <w:rFonts w:ascii="Century Schoolbook" w:hAnsi="Century Schoolbook"/>
          <w:sz w:val="26"/>
          <w:szCs w:val="26"/>
        </w:rPr>
        <w:t xml:space="preserve">); Code Civ. Proc., § 437c, subd. (c).)  To prevail on such a motion, the moving party—here, the Regional Center—must show that </w:t>
      </w:r>
      <w:r w:rsidR="0089031A">
        <w:rPr>
          <w:rFonts w:ascii="Century Schoolbook" w:hAnsi="Century Schoolbook"/>
          <w:sz w:val="26"/>
          <w:szCs w:val="26"/>
        </w:rPr>
        <w:t xml:space="preserve">the </w:t>
      </w:r>
      <w:r w:rsidRPr="00C46631">
        <w:rPr>
          <w:rFonts w:ascii="Century Schoolbook" w:hAnsi="Century Schoolbook"/>
          <w:sz w:val="26"/>
          <w:szCs w:val="26"/>
        </w:rPr>
        <w:t>plaintiff “has not established, and reasonably cannot be expected to establish, one or more elements of the cause of action in question.”  (</w:t>
      </w:r>
      <w:r w:rsidRPr="00C46631">
        <w:rPr>
          <w:rFonts w:ascii="Century Schoolbook" w:hAnsi="Century Schoolbook"/>
          <w:i/>
          <w:iCs/>
          <w:sz w:val="26"/>
          <w:szCs w:val="26"/>
        </w:rPr>
        <w:t xml:space="preserve">Patterson v. Domino’s Pizza, LLC </w:t>
      </w:r>
      <w:r w:rsidRPr="00C46631">
        <w:rPr>
          <w:rFonts w:ascii="Century Schoolbook" w:hAnsi="Century Schoolbook"/>
          <w:sz w:val="26"/>
          <w:szCs w:val="26"/>
        </w:rPr>
        <w:t>(2014) 60 Cal.4th 474, 500.)  In evaluating whether the Regional Center made this showing, we liberally construe the evidence before the trial court in support of the party opposing summary judgment and resolve all doubts concerning that evidence in support of that party.  (</w:t>
      </w:r>
      <w:r w:rsidRPr="00C46631">
        <w:rPr>
          <w:rFonts w:ascii="Century Schoolbook" w:hAnsi="Century Schoolbook"/>
          <w:i/>
          <w:iCs/>
          <w:sz w:val="26"/>
          <w:szCs w:val="26"/>
        </w:rPr>
        <w:t xml:space="preserve">Gonzalez v. Mathis </w:t>
      </w:r>
      <w:r w:rsidRPr="00C46631">
        <w:rPr>
          <w:rFonts w:ascii="Century Schoolbook" w:hAnsi="Century Schoolbook"/>
          <w:sz w:val="26"/>
          <w:szCs w:val="26"/>
        </w:rPr>
        <w:t>(2021) 12 Cal.5th 29, 39.)  We independently review the grant of summary judgment as well as any subsidiary legal questions, such as whether a duty of care or special relationship exists.  (</w:t>
      </w:r>
      <w:r w:rsidRPr="00C46631">
        <w:rPr>
          <w:rFonts w:ascii="Century Schoolbook" w:hAnsi="Century Schoolbook"/>
          <w:i/>
          <w:iCs/>
          <w:sz w:val="26"/>
          <w:szCs w:val="26"/>
        </w:rPr>
        <w:t xml:space="preserve">California Medical Assn. v. Aetna Health of California Inc. </w:t>
      </w:r>
      <w:r w:rsidRPr="00C46631">
        <w:rPr>
          <w:rFonts w:ascii="Century Schoolbook" w:hAnsi="Century Schoolbook"/>
          <w:sz w:val="26"/>
          <w:szCs w:val="26"/>
        </w:rPr>
        <w:t xml:space="preserve">(2023) 14 Cal.5th 1075, 1087 [summary judgment]; </w:t>
      </w:r>
      <w:r w:rsidRPr="00C46631">
        <w:rPr>
          <w:rFonts w:ascii="Century Schoolbook" w:hAnsi="Century Schoolbook"/>
          <w:i/>
          <w:iCs/>
          <w:sz w:val="26"/>
          <w:szCs w:val="26"/>
        </w:rPr>
        <w:t xml:space="preserve">Brown v. USA Taekwondo </w:t>
      </w:r>
      <w:r w:rsidRPr="00C46631">
        <w:rPr>
          <w:rFonts w:ascii="Century Schoolbook" w:hAnsi="Century Schoolbook"/>
          <w:sz w:val="26"/>
          <w:szCs w:val="26"/>
        </w:rPr>
        <w:t>(2021) 11 Cal.5th 204, 213 (</w:t>
      </w:r>
      <w:r w:rsidRPr="00C46631">
        <w:rPr>
          <w:rFonts w:ascii="Century Schoolbook" w:hAnsi="Century Schoolbook"/>
          <w:i/>
          <w:iCs/>
          <w:sz w:val="26"/>
          <w:szCs w:val="26"/>
        </w:rPr>
        <w:t>Brown</w:t>
      </w:r>
      <w:r w:rsidRPr="00C46631">
        <w:rPr>
          <w:rFonts w:ascii="Century Schoolbook" w:hAnsi="Century Schoolbook"/>
          <w:sz w:val="26"/>
          <w:szCs w:val="26"/>
        </w:rPr>
        <w:t xml:space="preserve">) [duty of care];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sz w:val="26"/>
          <w:szCs w:val="26"/>
        </w:rPr>
        <w:t xml:space="preserve"> at p. 620 [special relationship].)</w:t>
      </w:r>
    </w:p>
    <w:p w:rsidR="00C46631" w:rsidRPr="00C46631" w:rsidP="00C46631" w14:paraId="02BF3134"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w:t>
      </w:r>
      <w:r w:rsidRPr="00C46631">
        <w:rPr>
          <w:rFonts w:ascii="Century Schoolbook" w:hAnsi="Century Schoolbook"/>
          <w:b/>
          <w:bCs/>
          <w:sz w:val="26"/>
          <w:szCs w:val="26"/>
        </w:rPr>
        <w:tab/>
        <w:t>The Lanterman Act</w:t>
      </w:r>
    </w:p>
    <w:p w:rsidR="00C46631" w:rsidRPr="00C46631" w:rsidP="00C46631" w14:paraId="7BCF3D80" w14:textId="662A5E3A">
      <w:pPr>
        <w:spacing w:line="288" w:lineRule="auto"/>
        <w:rPr>
          <w:rFonts w:ascii="Century Schoolbook" w:hAnsi="Century Schoolbook"/>
          <w:sz w:val="26"/>
          <w:szCs w:val="26"/>
        </w:rPr>
      </w:pPr>
      <w:r w:rsidRPr="00C46631">
        <w:rPr>
          <w:rFonts w:ascii="Century Schoolbook" w:hAnsi="Century Schoolbook"/>
          <w:sz w:val="26"/>
          <w:szCs w:val="26"/>
        </w:rPr>
        <w:tab/>
        <w:t xml:space="preserve">Pursuant to the Lanterman Act, our </w:t>
      </w:r>
      <w:r w:rsidR="006F0798">
        <w:rPr>
          <w:rFonts w:ascii="Century Schoolbook" w:hAnsi="Century Schoolbook"/>
          <w:sz w:val="26"/>
          <w:szCs w:val="26"/>
        </w:rPr>
        <w:t>s</w:t>
      </w:r>
      <w:r w:rsidRPr="00C46631">
        <w:rPr>
          <w:rFonts w:ascii="Century Schoolbook" w:hAnsi="Century Schoolbook"/>
          <w:sz w:val="26"/>
          <w:szCs w:val="26"/>
        </w:rPr>
        <w:t>tate has undertaken the duty to provide “[a]n array of services and support</w:t>
      </w:r>
      <w:r w:rsidR="00B230C2">
        <w:rPr>
          <w:rFonts w:ascii="Century Schoolbook" w:hAnsi="Century Schoolbook"/>
          <w:sz w:val="26"/>
          <w:szCs w:val="26"/>
        </w:rPr>
        <w:t>s</w:t>
      </w:r>
      <w:r w:rsidRPr="00C46631">
        <w:rPr>
          <w:rFonts w:ascii="Century Schoolbook" w:hAnsi="Century Schoolbook"/>
          <w:sz w:val="26"/>
          <w:szCs w:val="26"/>
        </w:rPr>
        <w:t xml:space="preserve">” to “person[s] with developmental disabilities.”  (§ 4501; see also § 4512, subd. (a)(1) [defining “developmental disability”]; </w:t>
      </w:r>
      <w:r w:rsidRPr="00C46631">
        <w:rPr>
          <w:rFonts w:ascii="Century Schoolbook" w:hAnsi="Century Schoolbook"/>
          <w:i/>
          <w:iCs/>
          <w:sz w:val="26"/>
          <w:szCs w:val="26"/>
        </w:rPr>
        <w:t xml:space="preserve">Association for Retarded Citizens v. Department of Developmental Services </w:t>
      </w:r>
      <w:r w:rsidRPr="00C46631">
        <w:rPr>
          <w:rFonts w:ascii="Century Schoolbook" w:hAnsi="Century Schoolbook"/>
          <w:sz w:val="26"/>
          <w:szCs w:val="26"/>
        </w:rPr>
        <w:t xml:space="preserve">(1985) 38 Cal.3d 384, 388-389.)  The Act </w:t>
      </w:r>
      <w:r w:rsidR="00F53CC4">
        <w:rPr>
          <w:rFonts w:ascii="Century Schoolbook" w:hAnsi="Century Schoolbook"/>
          <w:sz w:val="26"/>
          <w:szCs w:val="26"/>
        </w:rPr>
        <w:t>labels</w:t>
      </w:r>
      <w:r w:rsidRPr="00C46631">
        <w:rPr>
          <w:rFonts w:ascii="Century Schoolbook" w:hAnsi="Century Schoolbook"/>
          <w:sz w:val="26"/>
          <w:szCs w:val="26"/>
        </w:rPr>
        <w:t xml:space="preserve"> those persons “consumers.”  (E.g., § 4640.7 et seq.; Cal. Code Regs.,</w:t>
      </w:r>
      <w:r w:rsidR="00BD26D4">
        <w:rPr>
          <w:rFonts w:ascii="Century Schoolbook" w:hAnsi="Century Schoolbook"/>
          <w:sz w:val="26"/>
          <w:szCs w:val="26"/>
        </w:rPr>
        <w:t xml:space="preserve"> tit. 17,</w:t>
      </w:r>
      <w:r w:rsidRPr="00C46631">
        <w:rPr>
          <w:rFonts w:ascii="Century Schoolbook" w:hAnsi="Century Schoolbook"/>
          <w:sz w:val="26"/>
          <w:szCs w:val="26"/>
        </w:rPr>
        <w:t xml:space="preserve"> § 56002</w:t>
      </w:r>
      <w:r w:rsidR="00BD26D4">
        <w:rPr>
          <w:rFonts w:ascii="Century Schoolbook" w:hAnsi="Century Schoolbook"/>
          <w:sz w:val="26"/>
          <w:szCs w:val="26"/>
        </w:rPr>
        <w:t xml:space="preserve">, subd. </w:t>
      </w:r>
      <w:r w:rsidRPr="00C46631">
        <w:rPr>
          <w:rFonts w:ascii="Century Schoolbook" w:hAnsi="Century Schoolbook"/>
          <w:sz w:val="26"/>
          <w:szCs w:val="26"/>
        </w:rPr>
        <w:t xml:space="preserve">(a)(5).)   </w:t>
      </w:r>
    </w:p>
    <w:p w:rsidR="00C46631" w:rsidRPr="00C46631" w:rsidP="00C46631" w14:paraId="58775EBF" w14:textId="474DB39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Department oversees the provision of services and support to those consumers.  (§ 4416.)  However, because those services and support “cannot be satisfactorily provided by state agencies,” the Act requires the Department to </w:t>
      </w:r>
      <w:r w:rsidR="00F53CC4">
        <w:rPr>
          <w:rFonts w:ascii="Century Schoolbook" w:hAnsi="Century Schoolbook"/>
          <w:sz w:val="26"/>
          <w:szCs w:val="26"/>
        </w:rPr>
        <w:t xml:space="preserve">do so by </w:t>
      </w:r>
      <w:r w:rsidRPr="00C46631">
        <w:rPr>
          <w:rFonts w:ascii="Century Schoolbook" w:hAnsi="Century Schoolbook"/>
          <w:sz w:val="26"/>
          <w:szCs w:val="26"/>
        </w:rPr>
        <w:t>contract</w:t>
      </w:r>
      <w:r w:rsidR="00F53CC4">
        <w:rPr>
          <w:rFonts w:ascii="Century Schoolbook" w:hAnsi="Century Schoolbook"/>
          <w:sz w:val="26"/>
          <w:szCs w:val="26"/>
        </w:rPr>
        <w:t>ing</w:t>
      </w:r>
      <w:r w:rsidRPr="00C46631">
        <w:rPr>
          <w:rFonts w:ascii="Century Schoolbook" w:hAnsi="Century Schoolbook"/>
          <w:sz w:val="26"/>
          <w:szCs w:val="26"/>
        </w:rPr>
        <w:t xml:space="preserve"> with “regional centers,” which are “private nonprofit community agencies” that operate as “fixed points of contact in the community” to diagnose, counsel and coordinate the acquisition of the necessary services and support.  (§§ 4501, 4620, 4621, 4640.6, subd. (a), 4640.7, subd. (a); Cal. Code Regs., </w:t>
      </w:r>
      <w:r w:rsidR="00BD26D4">
        <w:rPr>
          <w:rFonts w:ascii="Century Schoolbook" w:hAnsi="Century Schoolbook"/>
          <w:sz w:val="26"/>
          <w:szCs w:val="26"/>
        </w:rPr>
        <w:t xml:space="preserve">tit. 17, </w:t>
      </w:r>
      <w:r w:rsidRPr="00C46631">
        <w:rPr>
          <w:rFonts w:ascii="Century Schoolbook" w:hAnsi="Century Schoolbook"/>
          <w:sz w:val="26"/>
          <w:szCs w:val="26"/>
        </w:rPr>
        <w:t>§ 56002</w:t>
      </w:r>
      <w:r w:rsidR="00BD26D4">
        <w:rPr>
          <w:rFonts w:ascii="Century Schoolbook" w:hAnsi="Century Schoolbook"/>
          <w:sz w:val="26"/>
          <w:szCs w:val="26"/>
        </w:rPr>
        <w:t xml:space="preserve">, subd. </w:t>
      </w:r>
      <w:r w:rsidRPr="00C46631">
        <w:rPr>
          <w:rFonts w:ascii="Century Schoolbook" w:hAnsi="Century Schoolbook"/>
          <w:sz w:val="26"/>
          <w:szCs w:val="26"/>
        </w:rPr>
        <w:t xml:space="preserve">(a)(36); </w:t>
      </w:r>
      <w:r w:rsidRPr="00C46631">
        <w:rPr>
          <w:rFonts w:ascii="Century Schoolbook" w:hAnsi="Century Schoolbook"/>
          <w:i/>
          <w:iCs/>
          <w:sz w:val="26"/>
          <w:szCs w:val="26"/>
        </w:rPr>
        <w:t>Morohoshi v. Pacific Home</w:t>
      </w:r>
      <w:r w:rsidRPr="00C46631">
        <w:rPr>
          <w:rFonts w:ascii="Century Schoolbook" w:hAnsi="Century Schoolbook"/>
          <w:sz w:val="26"/>
          <w:szCs w:val="26"/>
        </w:rPr>
        <w:t xml:space="preserve"> (2004) 34 Cal.4th 482, 486-488 (</w:t>
      </w:r>
      <w:r w:rsidRPr="00C46631">
        <w:rPr>
          <w:rFonts w:ascii="Century Schoolbook" w:hAnsi="Century Schoolbook"/>
          <w:i/>
          <w:iCs/>
          <w:sz w:val="26"/>
          <w:szCs w:val="26"/>
        </w:rPr>
        <w:t>Morohoshi</w:t>
      </w:r>
      <w:r w:rsidRPr="00C46631">
        <w:rPr>
          <w:rFonts w:ascii="Century Schoolbook" w:hAnsi="Century Schoolbook"/>
          <w:sz w:val="26"/>
          <w:szCs w:val="26"/>
        </w:rPr>
        <w:t xml:space="preserve">); </w:t>
      </w:r>
      <w:r w:rsidRPr="00C46631">
        <w:rPr>
          <w:rFonts w:ascii="Century Schoolbook" w:hAnsi="Century Schoolbook"/>
          <w:i/>
          <w:iCs/>
          <w:sz w:val="26"/>
          <w:szCs w:val="26"/>
        </w:rPr>
        <w:t>In re Williams</w:t>
      </w:r>
      <w:r w:rsidRPr="00C46631">
        <w:rPr>
          <w:rFonts w:ascii="Century Schoolbook" w:hAnsi="Century Schoolbook"/>
          <w:sz w:val="26"/>
          <w:szCs w:val="26"/>
        </w:rPr>
        <w:t xml:space="preserve"> (2014) 228 Cal.App.4th 989, 996, fn. 2.)</w:t>
      </w:r>
    </w:p>
    <w:p w:rsidR="00C46631" w:rsidRPr="00C46631" w:rsidP="00C46631" w14:paraId="767AB0E8"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More specifically, regional centers are tasked with the following:</w:t>
      </w:r>
    </w:p>
    <w:p w:rsidR="00C46631" w:rsidRPr="00C46631" w:rsidP="00C46631" w14:paraId="5BE1A738" w14:textId="54EEC046">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Diagnosis and counseling</w:t>
      </w:r>
      <w:r w:rsidRPr="00C46631">
        <w:rPr>
          <w:rFonts w:ascii="Century Schoolbook" w:hAnsi="Century Schoolbook"/>
          <w:sz w:val="26"/>
          <w:szCs w:val="26"/>
        </w:rPr>
        <w:t>.  Regional centers must evaluate whether a particular individual suffers from a “developmental disability.”  (§§ 4642, 4643.)  If so, the regional center must assess their needs and formulate an “individual program plan”</w:t>
      </w:r>
      <w:r w:rsidR="00F53CC4">
        <w:rPr>
          <w:rFonts w:ascii="Century Schoolbook" w:hAnsi="Century Schoolbook"/>
          <w:sz w:val="26"/>
          <w:szCs w:val="26"/>
        </w:rPr>
        <w:t xml:space="preserve"> (or IPP)</w:t>
      </w:r>
      <w:r w:rsidRPr="00C46631">
        <w:rPr>
          <w:rFonts w:ascii="Century Schoolbook" w:hAnsi="Century Schoolbook"/>
          <w:sz w:val="26"/>
          <w:szCs w:val="26"/>
        </w:rPr>
        <w:t xml:space="preserve"> that delineates </w:t>
      </w:r>
      <w:r w:rsidR="00F53CC4">
        <w:rPr>
          <w:rFonts w:ascii="Century Schoolbook" w:hAnsi="Century Schoolbook"/>
          <w:sz w:val="26"/>
          <w:szCs w:val="26"/>
        </w:rPr>
        <w:t>each consumer’s</w:t>
      </w:r>
      <w:r w:rsidRPr="00C46631">
        <w:rPr>
          <w:rFonts w:ascii="Century Schoolbook" w:hAnsi="Century Schoolbook"/>
          <w:sz w:val="26"/>
          <w:szCs w:val="26"/>
        </w:rPr>
        <w:t xml:space="preserve"> “goals, objectives, and [needed] services and supports.”  (§§ 4646, 4512, 4646.5, subd. (a); </w:t>
      </w:r>
      <w:r w:rsidRPr="00C46631">
        <w:rPr>
          <w:rFonts w:ascii="Century Schoolbook" w:hAnsi="Century Schoolbook"/>
          <w:i/>
          <w:iCs/>
          <w:sz w:val="26"/>
          <w:szCs w:val="26"/>
        </w:rPr>
        <w:t>Moroh</w:t>
      </w:r>
      <w:r w:rsidR="00F97BE9">
        <w:rPr>
          <w:rFonts w:ascii="Century Schoolbook" w:hAnsi="Century Schoolbook"/>
          <w:i/>
          <w:iCs/>
          <w:sz w:val="26"/>
          <w:szCs w:val="26"/>
        </w:rPr>
        <w:t>o</w:t>
      </w:r>
      <w:r w:rsidRPr="00C46631">
        <w:rPr>
          <w:rFonts w:ascii="Century Schoolbook" w:hAnsi="Century Schoolbook"/>
          <w:i/>
          <w:iCs/>
          <w:sz w:val="26"/>
          <w:szCs w:val="26"/>
        </w:rPr>
        <w:t>shi</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34 Cal.4th at pp. 487-488;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BD26D4">
        <w:rPr>
          <w:rFonts w:ascii="Century Schoolbook" w:hAnsi="Century Schoolbook"/>
          <w:sz w:val="26"/>
          <w:szCs w:val="26"/>
        </w:rPr>
        <w:t xml:space="preserve">tit. 17, </w:t>
      </w:r>
      <w:r w:rsidRPr="00C46631">
        <w:rPr>
          <w:rFonts w:ascii="Century Schoolbook" w:hAnsi="Century Schoolbook"/>
          <w:sz w:val="26"/>
          <w:szCs w:val="26"/>
        </w:rPr>
        <w:t>§ 56022</w:t>
      </w:r>
      <w:r w:rsidR="00BD26D4">
        <w:rPr>
          <w:rFonts w:ascii="Century Schoolbook" w:hAnsi="Century Schoolbook"/>
          <w:sz w:val="26"/>
          <w:szCs w:val="26"/>
        </w:rPr>
        <w:t xml:space="preserve">, subd. </w:t>
      </w:r>
      <w:r w:rsidRPr="00C46631">
        <w:rPr>
          <w:rFonts w:ascii="Century Schoolbook" w:hAnsi="Century Schoolbook"/>
          <w:sz w:val="26"/>
          <w:szCs w:val="26"/>
        </w:rPr>
        <w:t xml:space="preserve">(b).)  </w:t>
      </w:r>
    </w:p>
    <w:p w:rsidR="00C46631" w:rsidRPr="00C46631" w:rsidP="00C46631" w14:paraId="7AD901C2" w14:textId="46656D2F">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Coordinating the provision of services and support</w:t>
      </w:r>
      <w:r w:rsidRPr="00C46631">
        <w:rPr>
          <w:rFonts w:ascii="Century Schoolbook" w:hAnsi="Century Schoolbook"/>
          <w:sz w:val="26"/>
          <w:szCs w:val="26"/>
        </w:rPr>
        <w:t xml:space="preserve">.  Regional centers do not </w:t>
      </w:r>
      <w:r w:rsidRPr="00C46631">
        <w:rPr>
          <w:rFonts w:ascii="Century Schoolbook" w:hAnsi="Century Schoolbook"/>
          <w:i/>
          <w:iCs/>
          <w:sz w:val="26"/>
          <w:szCs w:val="26"/>
        </w:rPr>
        <w:t>themselves</w:t>
      </w:r>
      <w:r w:rsidRPr="00C46631">
        <w:rPr>
          <w:rFonts w:ascii="Century Schoolbook" w:hAnsi="Century Schoolbook"/>
          <w:sz w:val="26"/>
          <w:szCs w:val="26"/>
        </w:rPr>
        <w:t xml:space="preserve"> directly provide any services </w:t>
      </w:r>
      <w:r w:rsidR="0089031A">
        <w:rPr>
          <w:rFonts w:ascii="Century Schoolbook" w:hAnsi="Century Schoolbook"/>
          <w:sz w:val="26"/>
          <w:szCs w:val="26"/>
        </w:rPr>
        <w:t xml:space="preserve">or </w:t>
      </w:r>
      <w:r w:rsidR="00F53CC4">
        <w:rPr>
          <w:rFonts w:ascii="Century Schoolbook" w:hAnsi="Century Schoolbook"/>
          <w:sz w:val="26"/>
          <w:szCs w:val="26"/>
        </w:rPr>
        <w:t xml:space="preserve">support </w:t>
      </w:r>
      <w:r w:rsidRPr="00C46631">
        <w:rPr>
          <w:rFonts w:ascii="Century Schoolbook" w:hAnsi="Century Schoolbook"/>
          <w:sz w:val="26"/>
          <w:szCs w:val="26"/>
        </w:rPr>
        <w:t xml:space="preserve">to consumers.  (§ 4648, subd. (a)(1);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34 Cal.4th at p. 489 [“the responsibility of a regional center is to ‘secure,’ not provide</w:t>
      </w:r>
      <w:r w:rsidR="00A011A3">
        <w:rPr>
          <w:rFonts w:ascii="Century Schoolbook" w:hAnsi="Century Schoolbook"/>
          <w:sz w:val="26"/>
          <w:szCs w:val="26"/>
        </w:rPr>
        <w:t>,</w:t>
      </w:r>
      <w:r w:rsidRPr="00C46631">
        <w:rPr>
          <w:rFonts w:ascii="Century Schoolbook" w:hAnsi="Century Schoolbook"/>
          <w:sz w:val="26"/>
          <w:szCs w:val="26"/>
        </w:rPr>
        <w:t xml:space="preserve"> care”].)  Instead, they </w:t>
      </w:r>
      <w:r w:rsidRPr="00C46631">
        <w:rPr>
          <w:rFonts w:ascii="Century Schoolbook" w:hAnsi="Century Schoolbook"/>
          <w:i/>
          <w:iCs/>
          <w:sz w:val="26"/>
          <w:szCs w:val="26"/>
        </w:rPr>
        <w:t>coordinate</w:t>
      </w:r>
      <w:r w:rsidRPr="00C46631">
        <w:rPr>
          <w:rFonts w:ascii="Century Schoolbook" w:hAnsi="Century Schoolbook"/>
          <w:sz w:val="26"/>
          <w:szCs w:val="26"/>
        </w:rPr>
        <w:t xml:space="preserve"> the provision of services</w:t>
      </w:r>
      <w:r w:rsidR="00F53CC4">
        <w:rPr>
          <w:rFonts w:ascii="Century Schoolbook" w:hAnsi="Century Schoolbook"/>
          <w:sz w:val="26"/>
          <w:szCs w:val="26"/>
        </w:rPr>
        <w:t xml:space="preserve"> and support</w:t>
      </w:r>
      <w:r w:rsidRPr="00C46631">
        <w:rPr>
          <w:rFonts w:ascii="Century Schoolbook" w:hAnsi="Century Schoolbook"/>
          <w:sz w:val="26"/>
          <w:szCs w:val="26"/>
        </w:rPr>
        <w:t xml:space="preserve"> by entering into contracts with “direct service providers”—that is, the entities who actually provide residential facilities, counseling or other services </w:t>
      </w:r>
      <w:r w:rsidR="00F53CC4">
        <w:rPr>
          <w:rFonts w:ascii="Century Schoolbook" w:hAnsi="Century Schoolbook"/>
          <w:sz w:val="26"/>
          <w:szCs w:val="26"/>
        </w:rPr>
        <w:t xml:space="preserve">and support </w:t>
      </w:r>
      <w:r w:rsidRPr="00C46631">
        <w:rPr>
          <w:rFonts w:ascii="Century Schoolbook" w:hAnsi="Century Schoolbook"/>
          <w:sz w:val="26"/>
          <w:szCs w:val="26"/>
        </w:rPr>
        <w:t xml:space="preserve">that the consumers need.  (§§ 4640.6, subd. (a), 4647, 4648;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C46631">
        <w:rPr>
          <w:rFonts w:ascii="Century Schoolbook" w:hAnsi="Century Schoolbook"/>
          <w:sz w:val="26"/>
          <w:szCs w:val="26"/>
        </w:rPr>
        <w:t xml:space="preserve">, at p. 488.)  When it comes to placing a consumer in a residential facility, the regional center </w:t>
      </w:r>
      <w:r w:rsidRPr="00C46631">
        <w:rPr>
          <w:rFonts w:ascii="Century Schoolbook" w:hAnsi="Century Schoolbook"/>
          <w:i/>
          <w:iCs/>
          <w:sz w:val="26"/>
          <w:szCs w:val="26"/>
        </w:rPr>
        <w:t xml:space="preserve">suggests or recommends </w:t>
      </w:r>
      <w:r w:rsidRPr="00C46631">
        <w:rPr>
          <w:rFonts w:ascii="Century Schoolbook" w:hAnsi="Century Schoolbook"/>
          <w:sz w:val="26"/>
          <w:szCs w:val="26"/>
        </w:rPr>
        <w:t>where a consumer may be placed, but it is up to the residential facility whether to accept the consumer as a resident.  (Cal. Code Reg</w:t>
      </w:r>
      <w:r w:rsidR="003C5A27">
        <w:rPr>
          <w:rFonts w:ascii="Century Schoolbook" w:hAnsi="Century Schoolbook"/>
          <w:sz w:val="26"/>
          <w:szCs w:val="26"/>
        </w:rPr>
        <w:t>s</w:t>
      </w:r>
      <w:r w:rsidRPr="00C46631">
        <w:rPr>
          <w:rFonts w:ascii="Century Schoolbook" w:hAnsi="Century Schoolbook"/>
          <w:sz w:val="26"/>
          <w:szCs w:val="26"/>
        </w:rPr>
        <w:t>.,</w:t>
      </w:r>
      <w:r w:rsidR="00A011A3">
        <w:rPr>
          <w:rFonts w:ascii="Century Schoolbook" w:hAnsi="Century Schoolbook"/>
          <w:sz w:val="26"/>
          <w:szCs w:val="26"/>
        </w:rPr>
        <w:t xml:space="preserve"> tit. 17,</w:t>
      </w:r>
      <w:r w:rsidRPr="00C46631">
        <w:rPr>
          <w:rFonts w:ascii="Century Schoolbook" w:hAnsi="Century Schoolbook"/>
          <w:sz w:val="26"/>
          <w:szCs w:val="26"/>
        </w:rPr>
        <w:t xml:space="preserve"> § 56016</w:t>
      </w:r>
      <w:r w:rsidR="00A011A3">
        <w:rPr>
          <w:rFonts w:ascii="Century Schoolbook" w:hAnsi="Century Schoolbook"/>
          <w:sz w:val="26"/>
          <w:szCs w:val="26"/>
        </w:rPr>
        <w:t xml:space="preserve">, subd. </w:t>
      </w:r>
      <w:r w:rsidRPr="00C46631">
        <w:rPr>
          <w:rFonts w:ascii="Century Schoolbook" w:hAnsi="Century Schoolbook"/>
          <w:sz w:val="26"/>
          <w:szCs w:val="26"/>
        </w:rPr>
        <w:t>(c); Cal. Code Reg</w:t>
      </w:r>
      <w:r w:rsidR="003C5A27">
        <w:rPr>
          <w:rFonts w:ascii="Century Schoolbook" w:hAnsi="Century Schoolbook"/>
          <w:sz w:val="26"/>
          <w:szCs w:val="26"/>
        </w:rPr>
        <w:t>s</w:t>
      </w:r>
      <w:r w:rsidRPr="00C46631">
        <w:rPr>
          <w:rFonts w:ascii="Century Schoolbook" w:hAnsi="Century Schoolbook"/>
          <w:sz w:val="26"/>
          <w:szCs w:val="26"/>
        </w:rPr>
        <w:t>.,</w:t>
      </w:r>
      <w:r w:rsidR="00A011A3">
        <w:rPr>
          <w:rFonts w:ascii="Century Schoolbook" w:hAnsi="Century Schoolbook"/>
          <w:sz w:val="26"/>
          <w:szCs w:val="26"/>
        </w:rPr>
        <w:t xml:space="preserve"> tit. 22, </w:t>
      </w:r>
      <w:r w:rsidRPr="00C46631">
        <w:rPr>
          <w:rFonts w:ascii="Century Schoolbook" w:hAnsi="Century Schoolbook"/>
          <w:sz w:val="26"/>
          <w:szCs w:val="26"/>
        </w:rPr>
        <w:t>§ 85068.4</w:t>
      </w:r>
      <w:r w:rsidR="00A011A3">
        <w:rPr>
          <w:rFonts w:ascii="Century Schoolbook" w:hAnsi="Century Schoolbook"/>
          <w:sz w:val="26"/>
          <w:szCs w:val="26"/>
        </w:rPr>
        <w:t xml:space="preserve">, subd. </w:t>
      </w:r>
      <w:r w:rsidRPr="00C46631">
        <w:rPr>
          <w:rFonts w:ascii="Century Schoolbook" w:hAnsi="Century Schoolbook"/>
          <w:sz w:val="26"/>
          <w:szCs w:val="26"/>
        </w:rPr>
        <w:t xml:space="preserve">(a).)  A central goal of the Act is to place consumers in the “least restrictive environment” that can </w:t>
      </w:r>
      <w:r w:rsidR="00A011A3">
        <w:rPr>
          <w:rFonts w:ascii="Century Schoolbook" w:hAnsi="Century Schoolbook"/>
          <w:sz w:val="26"/>
          <w:szCs w:val="26"/>
        </w:rPr>
        <w:t>manage</w:t>
      </w:r>
      <w:r w:rsidRPr="00C46631" w:rsidR="00A011A3">
        <w:rPr>
          <w:rFonts w:ascii="Century Schoolbook" w:hAnsi="Century Schoolbook"/>
          <w:sz w:val="26"/>
          <w:szCs w:val="26"/>
        </w:rPr>
        <w:t xml:space="preserve"> </w:t>
      </w:r>
      <w:r w:rsidRPr="00C46631">
        <w:rPr>
          <w:rFonts w:ascii="Century Schoolbook" w:hAnsi="Century Schoolbook"/>
          <w:sz w:val="26"/>
          <w:szCs w:val="26"/>
        </w:rPr>
        <w:t xml:space="preserve">their specific developmental disability, as doing so enables </w:t>
      </w:r>
      <w:r w:rsidR="00F53CC4">
        <w:rPr>
          <w:rFonts w:ascii="Century Schoolbook" w:hAnsi="Century Schoolbook"/>
          <w:sz w:val="26"/>
          <w:szCs w:val="26"/>
        </w:rPr>
        <w:t>those consumers</w:t>
      </w:r>
      <w:r w:rsidRPr="00C46631">
        <w:rPr>
          <w:rFonts w:ascii="Century Schoolbook" w:hAnsi="Century Schoolbook"/>
          <w:sz w:val="26"/>
          <w:szCs w:val="26"/>
        </w:rPr>
        <w:t xml:space="preserve"> to “achieve[] . . .</w:t>
      </w:r>
      <w:r w:rsidR="006944B1">
        <w:rPr>
          <w:rFonts w:ascii="Century Schoolbook" w:hAnsi="Century Schoolbook"/>
          <w:sz w:val="26"/>
          <w:szCs w:val="26"/>
        </w:rPr>
        <w:t xml:space="preserve"> </w:t>
      </w:r>
      <w:r w:rsidRPr="00C46631">
        <w:rPr>
          <w:rFonts w:ascii="Century Schoolbook" w:hAnsi="Century Schoolbook"/>
          <w:sz w:val="26"/>
          <w:szCs w:val="26"/>
        </w:rPr>
        <w:t>the most independent, productive</w:t>
      </w:r>
      <w:r w:rsidR="007E708A">
        <w:rPr>
          <w:rFonts w:ascii="Century Schoolbook" w:hAnsi="Century Schoolbook"/>
          <w:sz w:val="26"/>
          <w:szCs w:val="26"/>
        </w:rPr>
        <w:t>,</w:t>
      </w:r>
      <w:r w:rsidRPr="00C46631">
        <w:rPr>
          <w:rFonts w:ascii="Century Schoolbook" w:hAnsi="Century Schoolbook"/>
          <w:sz w:val="26"/>
          <w:szCs w:val="26"/>
        </w:rPr>
        <w:t xml:space="preserve"> and normal lives possible.”  (§</w:t>
      </w:r>
      <w:r w:rsidR="005F7771">
        <w:rPr>
          <w:rFonts w:ascii="Century Schoolbook" w:hAnsi="Century Schoolbook"/>
          <w:sz w:val="26"/>
          <w:szCs w:val="26"/>
        </w:rPr>
        <w:t xml:space="preserve"> </w:t>
      </w:r>
      <w:r w:rsidRPr="00C46631">
        <w:rPr>
          <w:rFonts w:ascii="Century Schoolbook" w:hAnsi="Century Schoolbook"/>
          <w:sz w:val="26"/>
          <w:szCs w:val="26"/>
        </w:rPr>
        <w:t>4502, subd. (</w:t>
      </w:r>
      <w:r w:rsidR="007E708A">
        <w:rPr>
          <w:rFonts w:ascii="Century Schoolbook" w:hAnsi="Century Schoolbook"/>
          <w:sz w:val="26"/>
          <w:szCs w:val="26"/>
        </w:rPr>
        <w:t>b</w:t>
      </w:r>
      <w:r w:rsidRPr="00C46631">
        <w:rPr>
          <w:rFonts w:ascii="Century Schoolbook" w:hAnsi="Century Schoolbook"/>
          <w:sz w:val="26"/>
          <w:szCs w:val="26"/>
        </w:rPr>
        <w:t>)(1);</w:t>
      </w:r>
      <w:r w:rsidR="005F7771">
        <w:rPr>
          <w:rFonts w:ascii="Century Schoolbook" w:hAnsi="Century Schoolbook"/>
          <w:sz w:val="26"/>
          <w:szCs w:val="26"/>
        </w:rPr>
        <w:t xml:space="preserve"> </w:t>
      </w:r>
      <w:r w:rsidRPr="00C46631" w:rsidR="005F7771">
        <w:rPr>
          <w:rFonts w:ascii="Century Schoolbook" w:hAnsi="Century Schoolbook"/>
          <w:sz w:val="26"/>
          <w:szCs w:val="26"/>
        </w:rPr>
        <w:t>§</w:t>
      </w:r>
      <w:r w:rsidRPr="00C46631">
        <w:rPr>
          <w:rFonts w:ascii="Century Schoolbook" w:hAnsi="Century Schoolbook"/>
          <w:sz w:val="26"/>
          <w:szCs w:val="26"/>
        </w:rPr>
        <w:t xml:space="preserve"> 4648, subd. (a)(1) [“highest preference” should be given </w:t>
      </w:r>
      <w:r w:rsidR="0089031A">
        <w:rPr>
          <w:rFonts w:ascii="Century Schoolbook" w:hAnsi="Century Schoolbook"/>
          <w:sz w:val="26"/>
          <w:szCs w:val="26"/>
        </w:rPr>
        <w:t>“</w:t>
      </w:r>
      <w:r w:rsidRPr="00C46631">
        <w:rPr>
          <w:rFonts w:ascii="Century Schoolbook" w:hAnsi="Century Schoolbook"/>
          <w:sz w:val="26"/>
          <w:szCs w:val="26"/>
        </w:rPr>
        <w:t>to those services and supports that would allow . . . adult persons with developmental disabilities to live as independently as possible in the community”].)</w:t>
      </w:r>
    </w:p>
    <w:p w:rsidR="00C46631" w:rsidRPr="00C46631" w:rsidP="00C46631" w14:paraId="72255753" w14:textId="7578FD95">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 xml:space="preserve">Monitoring the provision of services. </w:t>
      </w:r>
      <w:r w:rsidRPr="00C46631">
        <w:rPr>
          <w:rFonts w:ascii="Century Schoolbook" w:hAnsi="Century Schoolbook"/>
          <w:sz w:val="26"/>
          <w:szCs w:val="26"/>
        </w:rPr>
        <w:t xml:space="preserve"> Regional centers are tasked with monitoring, on a going-forward basis, whether the services and support they have arranged are in accord with the consumer’s IPP.  (§§ 4742, 4743; Cal. Code Regs.,</w:t>
      </w:r>
      <w:r w:rsidR="005A56B2">
        <w:rPr>
          <w:rFonts w:ascii="Century Schoolbook" w:hAnsi="Century Schoolbook"/>
          <w:sz w:val="26"/>
          <w:szCs w:val="26"/>
        </w:rPr>
        <w:t xml:space="preserve"> tit. 17,</w:t>
      </w:r>
      <w:r w:rsidRPr="00C46631">
        <w:rPr>
          <w:rFonts w:ascii="Century Schoolbook" w:hAnsi="Century Schoolbook"/>
          <w:sz w:val="26"/>
          <w:szCs w:val="26"/>
        </w:rPr>
        <w:t xml:space="preserve"> § 56047</w:t>
      </w:r>
      <w:r w:rsidR="005A56B2">
        <w:rPr>
          <w:rFonts w:ascii="Century Schoolbook" w:hAnsi="Century Schoolbook"/>
          <w:sz w:val="26"/>
          <w:szCs w:val="26"/>
        </w:rPr>
        <w:t xml:space="preserve">, subd. </w:t>
      </w:r>
      <w:r w:rsidRPr="00C46631">
        <w:rPr>
          <w:rFonts w:ascii="Century Schoolbook" w:hAnsi="Century Schoolbook"/>
          <w:sz w:val="26"/>
          <w:szCs w:val="26"/>
        </w:rPr>
        <w:t xml:space="preserve">(a) [requiring “quarterly” meetings regarding progress under IPP]; </w:t>
      </w:r>
      <w:r w:rsidRPr="00C46631">
        <w:rPr>
          <w:rFonts w:ascii="Century Schoolbook" w:hAnsi="Century Schoolbook"/>
          <w:i/>
          <w:iCs/>
          <w:sz w:val="26"/>
          <w:szCs w:val="26"/>
        </w:rPr>
        <w:t>Morohoshi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34 Cal.4th at p. 4</w:t>
      </w:r>
      <w:r w:rsidR="007950B0">
        <w:rPr>
          <w:rFonts w:ascii="Century Schoolbook" w:hAnsi="Century Schoolbook"/>
          <w:sz w:val="26"/>
          <w:szCs w:val="26"/>
        </w:rPr>
        <w:t>90</w:t>
      </w:r>
      <w:r w:rsidRPr="00C46631">
        <w:rPr>
          <w:rFonts w:ascii="Century Schoolbook" w:hAnsi="Century Schoolbook"/>
          <w:sz w:val="26"/>
          <w:szCs w:val="26"/>
        </w:rPr>
        <w:t xml:space="preserve"> [“Regional centers have important but limited monitoring responsibilities”].)  When a regional center places a consumer in a residential facility, the center is also tasked with monitoring whether the facility remains safe for the consumer, informing the facility of any deficiencies, and terminating the center</w:t>
      </w:r>
      <w:r w:rsidR="00F53CC4">
        <w:rPr>
          <w:rFonts w:ascii="Century Schoolbook" w:hAnsi="Century Schoolbook"/>
          <w:sz w:val="26"/>
          <w:szCs w:val="26"/>
        </w:rPr>
        <w:t>’</w:t>
      </w:r>
      <w:r w:rsidRPr="00C46631">
        <w:rPr>
          <w:rFonts w:ascii="Century Schoolbook" w:hAnsi="Century Schoolbook"/>
          <w:sz w:val="26"/>
          <w:szCs w:val="26"/>
        </w:rPr>
        <w:t>s contract with the facility if those deficiencies are not remedied or, if there is an immediate danger to the consumer, taking immediate steps to relocate the consumer.  (§ 4648.1;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56048</w:t>
      </w:r>
      <w:r w:rsidR="00EF2C43">
        <w:rPr>
          <w:rFonts w:ascii="Century Schoolbook" w:hAnsi="Century Schoolbook"/>
          <w:sz w:val="26"/>
          <w:szCs w:val="26"/>
        </w:rPr>
        <w:t xml:space="preserve">, subd. </w:t>
      </w:r>
      <w:r w:rsidRPr="00C46631">
        <w:rPr>
          <w:rFonts w:ascii="Century Schoolbook" w:hAnsi="Century Schoolbook"/>
          <w:sz w:val="26"/>
          <w:szCs w:val="26"/>
        </w:rPr>
        <w:t xml:space="preserve">(d), 56053.)  The Act obligates a </w:t>
      </w:r>
      <w:r w:rsidR="0089031A">
        <w:rPr>
          <w:rFonts w:ascii="Century Schoolbook" w:hAnsi="Century Schoolbook"/>
          <w:sz w:val="26"/>
          <w:szCs w:val="26"/>
        </w:rPr>
        <w:t xml:space="preserve">regional </w:t>
      </w:r>
      <w:r w:rsidRPr="00C46631">
        <w:rPr>
          <w:rFonts w:ascii="Century Schoolbook" w:hAnsi="Century Schoolbook"/>
          <w:sz w:val="26"/>
          <w:szCs w:val="26"/>
        </w:rPr>
        <w:t>center to audit facilities and to conduct “periodic” (that is, annual or semi-annual) visits; a center does not engage in strict, “hour-by-hour” oversight.  (§ 4648.1, subd. (a) [minimum of “two monitor</w:t>
      </w:r>
      <w:r w:rsidR="00133456">
        <w:rPr>
          <w:rFonts w:ascii="Century Schoolbook" w:hAnsi="Century Schoolbook"/>
          <w:sz w:val="26"/>
          <w:szCs w:val="26"/>
        </w:rPr>
        <w:t>[</w:t>
      </w:r>
      <w:r w:rsidRPr="00C46631">
        <w:rPr>
          <w:rFonts w:ascii="Century Schoolbook" w:hAnsi="Century Schoolbook"/>
          <w:sz w:val="26"/>
          <w:szCs w:val="26"/>
        </w:rPr>
        <w:t>ed</w:t>
      </w:r>
      <w:r w:rsidR="00133456">
        <w:rPr>
          <w:rFonts w:ascii="Century Schoolbook" w:hAnsi="Century Schoolbook"/>
          <w:sz w:val="26"/>
          <w:szCs w:val="26"/>
        </w:rPr>
        <w:t>]</w:t>
      </w:r>
      <w:r w:rsidRPr="00C46631">
        <w:rPr>
          <w:rFonts w:ascii="Century Schoolbook" w:hAnsi="Century Schoolbook"/>
          <w:sz w:val="26"/>
          <w:szCs w:val="26"/>
        </w:rPr>
        <w:t>” and “unannounced</w:t>
      </w:r>
      <w:r w:rsidR="0089031A">
        <w:rPr>
          <w:rFonts w:ascii="Century Schoolbook" w:hAnsi="Century Schoolbook"/>
          <w:sz w:val="26"/>
          <w:szCs w:val="26"/>
        </w:rPr>
        <w:t>”</w:t>
      </w:r>
      <w:r w:rsidRPr="00C46631">
        <w:rPr>
          <w:rFonts w:ascii="Century Schoolbook" w:hAnsi="Century Schoolbook"/>
          <w:sz w:val="26"/>
          <w:szCs w:val="26"/>
        </w:rPr>
        <w:t xml:space="preserve"> visits per year];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EF2C43">
        <w:rPr>
          <w:rFonts w:ascii="Century Schoolbook" w:hAnsi="Century Schoolbook"/>
          <w:sz w:val="26"/>
          <w:szCs w:val="26"/>
        </w:rPr>
        <w:t xml:space="preserve">tit. 17, </w:t>
      </w:r>
      <w:r w:rsidRPr="00C46631">
        <w:rPr>
          <w:rFonts w:ascii="Century Schoolbook" w:hAnsi="Century Schoolbook"/>
          <w:sz w:val="26"/>
          <w:szCs w:val="26"/>
        </w:rPr>
        <w:t>§§ 56047</w:t>
      </w:r>
      <w:r w:rsidR="00EF2C43">
        <w:rPr>
          <w:rFonts w:ascii="Century Schoolbook" w:hAnsi="Century Schoolbook"/>
          <w:sz w:val="26"/>
          <w:szCs w:val="26"/>
        </w:rPr>
        <w:t xml:space="preserve">, subd. </w:t>
      </w:r>
      <w:r w:rsidRPr="00C46631">
        <w:rPr>
          <w:rFonts w:ascii="Century Schoolbook" w:hAnsi="Century Schoolbook"/>
          <w:sz w:val="26"/>
          <w:szCs w:val="26"/>
        </w:rPr>
        <w:t>(a) [quarterly meeting regarding IPP may occur at facility], 56048</w:t>
      </w:r>
      <w:r w:rsidR="00EF2C43">
        <w:rPr>
          <w:rFonts w:ascii="Century Schoolbook" w:hAnsi="Century Schoolbook"/>
          <w:sz w:val="26"/>
          <w:szCs w:val="26"/>
        </w:rPr>
        <w:t xml:space="preserve">, subd. </w:t>
      </w:r>
      <w:r w:rsidRPr="00C46631">
        <w:rPr>
          <w:rFonts w:ascii="Century Schoolbook" w:hAnsi="Century Schoolbook"/>
          <w:sz w:val="26"/>
          <w:szCs w:val="26"/>
        </w:rPr>
        <w:t xml:space="preserve">(d)(1) [facility liaison must conduct one monitoring visit per year];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pp. 490-491 [regional centers do not engage in “hour-by-hour monitoring”].)  A consumer may ask the regional center</w:t>
      </w:r>
      <w:r w:rsidR="00F63E54">
        <w:rPr>
          <w:rFonts w:ascii="Century Schoolbook" w:hAnsi="Century Schoolbook"/>
          <w:sz w:val="26"/>
          <w:szCs w:val="26"/>
        </w:rPr>
        <w:t xml:space="preserve"> that they</w:t>
      </w:r>
      <w:r w:rsidRPr="00C46631">
        <w:rPr>
          <w:rFonts w:ascii="Century Schoolbook" w:hAnsi="Century Schoolbook"/>
          <w:sz w:val="26"/>
          <w:szCs w:val="26"/>
        </w:rPr>
        <w:t xml:space="preserve"> be relocated </w:t>
      </w:r>
      <w:r w:rsidR="00F53CC4">
        <w:rPr>
          <w:rFonts w:ascii="Century Schoolbook" w:hAnsi="Century Schoolbook"/>
          <w:sz w:val="26"/>
          <w:szCs w:val="26"/>
        </w:rPr>
        <w:t>to</w:t>
      </w:r>
      <w:r w:rsidRPr="00C46631">
        <w:rPr>
          <w:rFonts w:ascii="Century Schoolbook" w:hAnsi="Century Schoolbook"/>
          <w:sz w:val="26"/>
          <w:szCs w:val="26"/>
        </w:rPr>
        <w:t xml:space="preserve"> a new residential placement, which obligates the regional center to “schedule an individual program plan meeting . . . to assist in locating and moving to another residence.”  (§ 4747;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56017</w:t>
      </w:r>
      <w:r w:rsidR="00EF2C43">
        <w:rPr>
          <w:rFonts w:ascii="Century Schoolbook" w:hAnsi="Century Schoolbook"/>
          <w:sz w:val="26"/>
          <w:szCs w:val="26"/>
        </w:rPr>
        <w:t xml:space="preserve">, subd. </w:t>
      </w:r>
      <w:r w:rsidRPr="00C46631">
        <w:rPr>
          <w:rFonts w:ascii="Century Schoolbook" w:hAnsi="Century Schoolbook"/>
          <w:sz w:val="26"/>
          <w:szCs w:val="26"/>
        </w:rPr>
        <w:t xml:space="preserve">(a).)  A facility that “determines that [it] can no longer meet the needs of </w:t>
      </w:r>
      <w:r w:rsidR="0014628D">
        <w:rPr>
          <w:rFonts w:ascii="Century Schoolbook" w:hAnsi="Century Schoolbook"/>
          <w:sz w:val="26"/>
          <w:szCs w:val="26"/>
        </w:rPr>
        <w:t>[a]</w:t>
      </w:r>
      <w:r w:rsidRPr="00C46631" w:rsidR="0014628D">
        <w:rPr>
          <w:rFonts w:ascii="Century Schoolbook" w:hAnsi="Century Schoolbook"/>
          <w:sz w:val="26"/>
          <w:szCs w:val="26"/>
        </w:rPr>
        <w:t xml:space="preserve"> </w:t>
      </w:r>
      <w:r w:rsidRPr="00C46631">
        <w:rPr>
          <w:rFonts w:ascii="Century Schoolbook" w:hAnsi="Century Schoolbook"/>
          <w:sz w:val="26"/>
          <w:szCs w:val="26"/>
        </w:rPr>
        <w:t xml:space="preserve">consumer” may ask the regional center to “assist[]” in relocating </w:t>
      </w:r>
      <w:r w:rsidR="0014628D">
        <w:rPr>
          <w:rFonts w:ascii="Century Schoolbook" w:hAnsi="Century Schoolbook"/>
          <w:sz w:val="26"/>
          <w:szCs w:val="26"/>
        </w:rPr>
        <w:t xml:space="preserve">the </w:t>
      </w:r>
      <w:r w:rsidRPr="00C46631">
        <w:rPr>
          <w:rFonts w:ascii="Century Schoolbook" w:hAnsi="Century Schoolbook"/>
          <w:sz w:val="26"/>
          <w:szCs w:val="26"/>
        </w:rPr>
        <w:t>consumer; upon receiving this request, the regional center (1) “shall relocate the consumer within 30</w:t>
      </w:r>
      <w:r w:rsidR="0014628D">
        <w:rPr>
          <w:rFonts w:ascii="Century Schoolbook" w:hAnsi="Century Schoolbook"/>
          <w:sz w:val="26"/>
          <w:szCs w:val="26"/>
        </w:rPr>
        <w:t xml:space="preserve"> </w:t>
      </w:r>
      <w:r w:rsidRPr="00C46631">
        <w:rPr>
          <w:rFonts w:ascii="Century Schoolbook" w:hAnsi="Century Schoolbook"/>
          <w:sz w:val="26"/>
          <w:szCs w:val="26"/>
        </w:rPr>
        <w:t>days or within” a “mutually agreed</w:t>
      </w:r>
      <w:r w:rsidR="008F27C0">
        <w:rPr>
          <w:rFonts w:ascii="Century Schoolbook" w:hAnsi="Century Schoolbook"/>
          <w:sz w:val="26"/>
          <w:szCs w:val="26"/>
        </w:rPr>
        <w:t>-</w:t>
      </w:r>
      <w:r w:rsidRPr="00C46631">
        <w:rPr>
          <w:rFonts w:ascii="Century Schoolbook" w:hAnsi="Century Schoolbook"/>
          <w:sz w:val="26"/>
          <w:szCs w:val="26"/>
        </w:rPr>
        <w:t>upon” “time frame”</w:t>
      </w:r>
      <w:r w:rsidR="00612318">
        <w:rPr>
          <w:rFonts w:ascii="Century Schoolbook" w:hAnsi="Century Schoolbook"/>
          <w:sz w:val="26"/>
          <w:szCs w:val="26"/>
        </w:rPr>
        <w:t>;</w:t>
      </w:r>
      <w:r w:rsidRPr="00C46631">
        <w:rPr>
          <w:rFonts w:ascii="Century Schoolbook" w:hAnsi="Century Schoolbook"/>
          <w:sz w:val="26"/>
          <w:szCs w:val="26"/>
        </w:rPr>
        <w:t xml:space="preserve"> and (2) </w:t>
      </w:r>
      <w:r w:rsidR="00F53CC4">
        <w:rPr>
          <w:rFonts w:ascii="Century Schoolbook" w:hAnsi="Century Schoolbook"/>
          <w:sz w:val="26"/>
          <w:szCs w:val="26"/>
        </w:rPr>
        <w:t xml:space="preserve">must </w:t>
      </w:r>
      <w:r w:rsidRPr="00C46631">
        <w:rPr>
          <w:rFonts w:ascii="Century Schoolbook" w:hAnsi="Century Schoolbook"/>
          <w:sz w:val="26"/>
          <w:szCs w:val="26"/>
        </w:rPr>
        <w:t>provide “</w:t>
      </w:r>
      <w:r w:rsidR="008F27C0">
        <w:rPr>
          <w:rFonts w:ascii="Century Schoolbook" w:hAnsi="Century Schoolbook"/>
          <w:sz w:val="26"/>
          <w:szCs w:val="26"/>
        </w:rPr>
        <w:t>[</w:t>
      </w:r>
      <w:r w:rsidRPr="00C46631">
        <w:rPr>
          <w:rFonts w:ascii="Century Schoolbook" w:hAnsi="Century Schoolbook"/>
          <w:sz w:val="26"/>
          <w:szCs w:val="26"/>
        </w:rPr>
        <w:t>a</w:t>
      </w:r>
      <w:r w:rsidR="008F27C0">
        <w:rPr>
          <w:rFonts w:ascii="Century Schoolbook" w:hAnsi="Century Schoolbook"/>
          <w:sz w:val="26"/>
          <w:szCs w:val="26"/>
        </w:rPr>
        <w:t>]</w:t>
      </w:r>
      <w:r w:rsidRPr="00C46631">
        <w:rPr>
          <w:rFonts w:ascii="Century Schoolbook" w:hAnsi="Century Schoolbook"/>
          <w:sz w:val="26"/>
          <w:szCs w:val="26"/>
        </w:rPr>
        <w:t xml:space="preserve">ny additional measures necessary to meet </w:t>
      </w:r>
      <w:r w:rsidRPr="00C46631">
        <w:rPr>
          <w:rFonts w:ascii="Century Schoolbook" w:hAnsi="Century Schoolbook"/>
          <w:i/>
          <w:iCs/>
          <w:sz w:val="26"/>
          <w:szCs w:val="26"/>
        </w:rPr>
        <w:t>the consumer’s</w:t>
      </w:r>
      <w:r w:rsidRPr="00C46631">
        <w:rPr>
          <w:rFonts w:ascii="Century Schoolbook" w:hAnsi="Century Schoolbook"/>
          <w:sz w:val="26"/>
          <w:szCs w:val="26"/>
        </w:rPr>
        <w:t xml:space="preserve"> health and safety needs until the relocation has been accomplished.”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56016</w:t>
      </w:r>
      <w:r w:rsidR="00EF2C43">
        <w:rPr>
          <w:rFonts w:ascii="Century Schoolbook" w:hAnsi="Century Schoolbook"/>
          <w:sz w:val="26"/>
          <w:szCs w:val="26"/>
        </w:rPr>
        <w:t xml:space="preserve">, subds. </w:t>
      </w:r>
      <w:r w:rsidR="008F27C0">
        <w:rPr>
          <w:rFonts w:ascii="Century Schoolbook" w:hAnsi="Century Schoolbook"/>
          <w:sz w:val="26"/>
          <w:szCs w:val="26"/>
        </w:rPr>
        <w:t xml:space="preserve">(e), (b), </w:t>
      </w:r>
      <w:r w:rsidRPr="00C46631">
        <w:rPr>
          <w:rFonts w:ascii="Century Schoolbook" w:hAnsi="Century Schoolbook"/>
          <w:sz w:val="26"/>
          <w:szCs w:val="26"/>
        </w:rPr>
        <w:t>(f)</w:t>
      </w:r>
      <w:r w:rsidR="00917BCD">
        <w:rPr>
          <w:rFonts w:ascii="Century Schoolbook" w:hAnsi="Century Schoolbook"/>
          <w:sz w:val="26"/>
          <w:szCs w:val="26"/>
        </w:rPr>
        <w:t xml:space="preserve"> &amp;</w:t>
      </w:r>
      <w:r w:rsidRPr="00C46631">
        <w:rPr>
          <w:rFonts w:ascii="Century Schoolbook" w:hAnsi="Century Schoolbook"/>
          <w:sz w:val="26"/>
          <w:szCs w:val="26"/>
        </w:rPr>
        <w:t xml:space="preserve"> (g), italics added.)  Residential facilities independently have the power to evict a consumer, with either 30 days’ or three days’ notice; as pertinent here, a residential facility may evict a consumer if he “has engaged or is engaging in behavior which is a threat to his/her mental and/or physical </w:t>
      </w:r>
      <w:r w:rsidR="00A6096B">
        <w:rPr>
          <w:rFonts w:ascii="Century Schoolbook" w:hAnsi="Century Schoolbook"/>
          <w:sz w:val="26"/>
          <w:szCs w:val="26"/>
        </w:rPr>
        <w:t>health</w:t>
      </w:r>
      <w:r w:rsidRPr="00C46631" w:rsidR="00A6096B">
        <w:rPr>
          <w:rFonts w:ascii="Century Schoolbook" w:hAnsi="Century Schoolbook"/>
          <w:sz w:val="26"/>
          <w:szCs w:val="26"/>
        </w:rPr>
        <w:t xml:space="preserve"> </w:t>
      </w:r>
      <w:r w:rsidRPr="00C46631">
        <w:rPr>
          <w:rFonts w:ascii="Century Schoolbook" w:hAnsi="Century Schoolbook"/>
          <w:sz w:val="26"/>
          <w:szCs w:val="26"/>
        </w:rPr>
        <w:t>or safety, or to the health and safety of others in the facility.”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22,</w:t>
      </w:r>
      <w:r w:rsidRPr="00C46631">
        <w:rPr>
          <w:rFonts w:ascii="Century Schoolbook" w:hAnsi="Century Schoolbook"/>
          <w:sz w:val="26"/>
          <w:szCs w:val="26"/>
        </w:rPr>
        <w:t xml:space="preserve"> § 85068.5.)  </w:t>
      </w:r>
    </w:p>
    <w:p w:rsidR="00C46631" w:rsidRPr="00C46631" w:rsidP="00C46631" w14:paraId="1D940211" w14:textId="3DA521AF">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Coordinating funding</w:t>
      </w:r>
      <w:r w:rsidRPr="00C46631">
        <w:rPr>
          <w:rFonts w:ascii="Century Schoolbook" w:hAnsi="Century Schoolbook"/>
          <w:sz w:val="26"/>
          <w:szCs w:val="26"/>
        </w:rPr>
        <w:t xml:space="preserve">.  Regional centers are funded by the </w:t>
      </w:r>
      <w:r w:rsidR="006F0798">
        <w:rPr>
          <w:rFonts w:ascii="Century Schoolbook" w:hAnsi="Century Schoolbook"/>
          <w:sz w:val="26"/>
          <w:szCs w:val="26"/>
        </w:rPr>
        <w:t>s</w:t>
      </w:r>
      <w:r w:rsidRPr="00C46631">
        <w:rPr>
          <w:rFonts w:ascii="Century Schoolbook" w:hAnsi="Century Schoolbook"/>
          <w:sz w:val="26"/>
          <w:szCs w:val="26"/>
        </w:rPr>
        <w:t xml:space="preserve">tate (§§ 4620, 4621, 4629), but are obligated also to </w:t>
      </w:r>
      <w:r w:rsidR="00F53CC4">
        <w:rPr>
          <w:rFonts w:ascii="Century Schoolbook" w:hAnsi="Century Schoolbook"/>
          <w:sz w:val="26"/>
          <w:szCs w:val="26"/>
        </w:rPr>
        <w:t xml:space="preserve">seek </w:t>
      </w:r>
      <w:r w:rsidRPr="00C46631">
        <w:rPr>
          <w:rFonts w:ascii="Century Schoolbook" w:hAnsi="Century Schoolbook"/>
          <w:sz w:val="26"/>
          <w:szCs w:val="26"/>
        </w:rPr>
        <w:t>funding from other sources (§ 4659).</w:t>
      </w:r>
    </w:p>
    <w:p w:rsidR="00C46631" w:rsidRPr="00C46631" w:rsidP="00C46631" w14:paraId="522003D7" w14:textId="77777777">
      <w:pPr>
        <w:spacing w:line="288" w:lineRule="auto"/>
        <w:rPr>
          <w:rFonts w:ascii="Century Schoolbook" w:hAnsi="Century Schoolbook"/>
          <w:sz w:val="26"/>
          <w:szCs w:val="26"/>
        </w:rPr>
      </w:pPr>
      <w:r w:rsidRPr="00C46631">
        <w:rPr>
          <w:rFonts w:ascii="Century Schoolbook" w:hAnsi="Century Schoolbook"/>
          <w:b/>
          <w:bCs/>
          <w:sz w:val="26"/>
          <w:szCs w:val="26"/>
        </w:rPr>
        <w:t>II.</w:t>
      </w:r>
      <w:r w:rsidRPr="00C46631">
        <w:rPr>
          <w:rFonts w:ascii="Century Schoolbook" w:hAnsi="Century Schoolbook"/>
          <w:b/>
          <w:bCs/>
          <w:sz w:val="26"/>
          <w:szCs w:val="26"/>
        </w:rPr>
        <w:tab/>
        <w:t>Analysis</w:t>
      </w:r>
    </w:p>
    <w:p w:rsidR="00C46631" w:rsidRPr="00C46631" w:rsidP="00C46631" w14:paraId="31403BC1" w14:textId="030A076D">
      <w:pPr>
        <w:spacing w:line="288" w:lineRule="auto"/>
        <w:rPr>
          <w:rFonts w:ascii="Century Schoolbook" w:hAnsi="Century Schoolbook"/>
          <w:sz w:val="26"/>
          <w:szCs w:val="26"/>
        </w:rPr>
      </w:pPr>
      <w:r w:rsidRPr="00C46631">
        <w:rPr>
          <w:rFonts w:ascii="Century Schoolbook" w:hAnsi="Century Schoolbook"/>
          <w:sz w:val="26"/>
          <w:szCs w:val="26"/>
        </w:rPr>
        <w:tab/>
        <w:t xml:space="preserve">Plaintiff’s two claims against the Regional Center are both grounded in negligence.  A plaintiff can prevail on a negligence claim only if he establishes, as a “threshold matter,” that </w:t>
      </w:r>
      <w:r w:rsidRPr="00C46631">
        <w:rPr>
          <w:rFonts w:ascii="Century Schoolbook" w:hAnsi="Century Schoolbook"/>
          <w:i/>
          <w:iCs/>
          <w:sz w:val="26"/>
          <w:szCs w:val="26"/>
        </w:rPr>
        <w:t xml:space="preserve">the particular defendant he is suing </w:t>
      </w:r>
      <w:r w:rsidRPr="00C46631">
        <w:rPr>
          <w:rFonts w:ascii="Century Schoolbook" w:hAnsi="Century Schoolbook"/>
          <w:sz w:val="26"/>
          <w:szCs w:val="26"/>
        </w:rPr>
        <w:t>owes him a “legal duty of care.”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Cal.5th at pp. 213</w:t>
      </w:r>
      <w:r w:rsidR="004574E9">
        <w:rPr>
          <w:rFonts w:ascii="Century Schoolbook" w:hAnsi="Century Schoolbook"/>
          <w:sz w:val="26"/>
          <w:szCs w:val="26"/>
        </w:rPr>
        <w:t>, 209</w:t>
      </w:r>
      <w:r w:rsidRPr="00C46631">
        <w:rPr>
          <w:rFonts w:ascii="Century Schoolbook" w:hAnsi="Century Schoolbook"/>
          <w:sz w:val="26"/>
          <w:szCs w:val="26"/>
        </w:rPr>
        <w:t>.)</w:t>
      </w:r>
    </w:p>
    <w:p w:rsidR="00C46631" w:rsidRPr="00C46631" w:rsidP="00C46631" w14:paraId="08411D21"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A.</w:t>
      </w:r>
      <w:r w:rsidRPr="00C46631">
        <w:rPr>
          <w:rFonts w:ascii="Century Schoolbook" w:hAnsi="Century Schoolbook"/>
          <w:b/>
          <w:bCs/>
          <w:sz w:val="26"/>
          <w:szCs w:val="26"/>
        </w:rPr>
        <w:tab/>
      </w:r>
      <w:r w:rsidRPr="00C46631">
        <w:rPr>
          <w:rFonts w:ascii="Century Schoolbook" w:hAnsi="Century Schoolbook"/>
          <w:b/>
          <w:bCs/>
          <w:i/>
          <w:iCs/>
          <w:sz w:val="26"/>
          <w:szCs w:val="26"/>
        </w:rPr>
        <w:t>Legal duties of care, generally</w:t>
      </w:r>
    </w:p>
    <w:p w:rsidR="00C46631" w:rsidP="00C46631" w14:paraId="45072F70" w14:textId="5DAE1F2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Whether a particular defendant owes a particular plaintiff a legal duty of care (actionable in a claim for negligence) is, at bottom, a “question of public policy”—namely, </w:t>
      </w:r>
      <w:r w:rsidRPr="00C46631">
        <w:rPr>
          <w:rFonts w:ascii="Century Schoolbook" w:hAnsi="Century Schoolbook"/>
          <w:i/>
          <w:iCs/>
          <w:sz w:val="26"/>
          <w:szCs w:val="26"/>
        </w:rPr>
        <w:t>should</w:t>
      </w:r>
      <w:r w:rsidRPr="00C46631">
        <w:rPr>
          <w:rFonts w:ascii="Century Schoolbook" w:hAnsi="Century Schoolbook"/>
          <w:sz w:val="26"/>
          <w:szCs w:val="26"/>
        </w:rPr>
        <w:t xml:space="preserve"> that plaintiff’s interests be entitled to legal protection against the defendant’s conduct?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4 Cal.5th at pp. 627-628; </w:t>
      </w:r>
      <w:r w:rsidRPr="00C46631">
        <w:rPr>
          <w:rFonts w:ascii="Century Schoolbook" w:hAnsi="Century Schoolbook"/>
          <w:i/>
          <w:iCs/>
          <w:sz w:val="26"/>
          <w:szCs w:val="26"/>
        </w:rPr>
        <w:t xml:space="preserve">Kuciemba v. Victory Woodworks, Inc. </w:t>
      </w:r>
      <w:r w:rsidRPr="00C46631">
        <w:rPr>
          <w:rFonts w:ascii="Century Schoolbook" w:hAnsi="Century Schoolbook"/>
          <w:sz w:val="26"/>
          <w:szCs w:val="26"/>
        </w:rPr>
        <w:t>(2023) 14 Cal.5th 993, 1016</w:t>
      </w:r>
      <w:r w:rsidR="00AE64E8">
        <w:rPr>
          <w:rFonts w:ascii="Century Schoolbook" w:hAnsi="Century Schoolbook"/>
          <w:sz w:val="26"/>
          <w:szCs w:val="26"/>
        </w:rPr>
        <w:t xml:space="preserve"> (</w:t>
      </w:r>
      <w:r w:rsidR="00AE64E8">
        <w:rPr>
          <w:rFonts w:ascii="Century Schoolbook" w:hAnsi="Century Schoolbook"/>
          <w:i/>
          <w:iCs/>
          <w:sz w:val="26"/>
          <w:szCs w:val="26"/>
        </w:rPr>
        <w:t>Kuciemba</w:t>
      </w:r>
      <w:r w:rsidR="00AE64E8">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Kesner v. Superior Court</w:t>
      </w:r>
      <w:r w:rsidRPr="00C46631">
        <w:rPr>
          <w:rFonts w:ascii="Century Schoolbook" w:hAnsi="Century Schoolbook"/>
          <w:sz w:val="26"/>
          <w:szCs w:val="26"/>
        </w:rPr>
        <w:t xml:space="preserve"> (2016) 1 Cal.5th 1132, 1143 (</w:t>
      </w:r>
      <w:r w:rsidRPr="00C46631">
        <w:rPr>
          <w:rFonts w:ascii="Century Schoolbook" w:hAnsi="Century Schoolbook"/>
          <w:i/>
          <w:iCs/>
          <w:sz w:val="26"/>
          <w:szCs w:val="26"/>
        </w:rPr>
        <w:t>Kesner</w:t>
      </w:r>
      <w:r w:rsidRPr="00C46631">
        <w:rPr>
          <w:rFonts w:ascii="Century Schoolbook" w:hAnsi="Century Schoolbook"/>
          <w:sz w:val="26"/>
          <w:szCs w:val="26"/>
        </w:rPr>
        <w:t>).)</w:t>
      </w:r>
    </w:p>
    <w:p w:rsidR="00C46631" w:rsidRPr="00C46631" w:rsidP="00AE64E8" w14:paraId="3FB3BB39" w14:textId="32CB93B3">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our Supreme Court clarified in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Cal.5th at pp. 209, 218-219, answering that question obligates us to ask two further questions:  (1) Does the defendant owe the plaintiff a legal duty</w:t>
      </w:r>
      <w:r w:rsidR="0014628D">
        <w:rPr>
          <w:rFonts w:ascii="Century Schoolbook" w:hAnsi="Century Schoolbook"/>
          <w:sz w:val="26"/>
          <w:szCs w:val="26"/>
        </w:rPr>
        <w:t xml:space="preserve"> of</w:t>
      </w:r>
      <w:r w:rsidRPr="00C46631">
        <w:rPr>
          <w:rFonts w:ascii="Century Schoolbook" w:hAnsi="Century Schoolbook"/>
          <w:sz w:val="26"/>
          <w:szCs w:val="26"/>
        </w:rPr>
        <w:t xml:space="preserve"> care under traditional principles of tort law, and if so, (2) </w:t>
      </w:r>
      <w:r w:rsidR="00612318">
        <w:rPr>
          <w:rFonts w:ascii="Century Schoolbook" w:hAnsi="Century Schoolbook"/>
          <w:sz w:val="26"/>
          <w:szCs w:val="26"/>
        </w:rPr>
        <w:t>d</w:t>
      </w:r>
      <w:r w:rsidRPr="00C46631">
        <w:rPr>
          <w:rFonts w:ascii="Century Schoolbook" w:hAnsi="Century Schoolbook"/>
          <w:sz w:val="26"/>
          <w:szCs w:val="26"/>
        </w:rPr>
        <w:t xml:space="preserve">o the relevant public policy considerations set forth in </w:t>
      </w:r>
      <w:r w:rsidRPr="00C46631">
        <w:rPr>
          <w:rFonts w:ascii="Century Schoolbook" w:hAnsi="Century Schoolbook"/>
          <w:i/>
          <w:iCs/>
          <w:sz w:val="26"/>
          <w:szCs w:val="26"/>
        </w:rPr>
        <w:t>Rowland v. Christian</w:t>
      </w:r>
      <w:r w:rsidRPr="00C46631">
        <w:rPr>
          <w:rFonts w:ascii="Century Schoolbook" w:hAnsi="Century Schoolbook"/>
          <w:sz w:val="26"/>
          <w:szCs w:val="26"/>
        </w:rPr>
        <w:t xml:space="preserve"> (1968) 69 Cal.2d 108 (</w:t>
      </w:r>
      <w:r w:rsidRPr="00C46631">
        <w:rPr>
          <w:rFonts w:ascii="Century Schoolbook" w:hAnsi="Century Schoolbook"/>
          <w:i/>
          <w:iCs/>
          <w:sz w:val="26"/>
          <w:szCs w:val="26"/>
        </w:rPr>
        <w:t>Rowland</w:t>
      </w:r>
      <w:r w:rsidRPr="00C46631">
        <w:rPr>
          <w:rFonts w:ascii="Century Schoolbook" w:hAnsi="Century Schoolbook"/>
          <w:sz w:val="26"/>
          <w:szCs w:val="26"/>
        </w:rPr>
        <w:t>) nevertheless favor “limiting that duty”?</w:t>
      </w:r>
    </w:p>
    <w:p w:rsidR="00C46631" w:rsidRPr="00C46631" w:rsidP="00C46631" w14:paraId="6D2243E2" w14:textId="3706489E">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1.</w:t>
      </w:r>
      <w:r w:rsidRPr="00C46631">
        <w:rPr>
          <w:rFonts w:ascii="Century Schoolbook" w:hAnsi="Century Schoolbook"/>
          <w:sz w:val="26"/>
          <w:szCs w:val="26"/>
        </w:rPr>
        <w:tab/>
      </w:r>
      <w:r w:rsidRPr="00C46631">
        <w:rPr>
          <w:rFonts w:ascii="Century Schoolbook" w:hAnsi="Century Schoolbook"/>
          <w:i/>
          <w:iCs/>
          <w:sz w:val="26"/>
          <w:szCs w:val="26"/>
        </w:rPr>
        <w:t>Duty, under traditional principles of tort law</w:t>
      </w:r>
    </w:p>
    <w:p w:rsidR="00C46631" w:rsidRPr="00C46631" w:rsidP="00C46631" w14:paraId="56932E8F"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California tort law rests on two general rules governing legal duties of care.  </w:t>
      </w:r>
    </w:p>
    <w:p w:rsidR="00C46631" w:rsidRPr="00C46631" w:rsidP="00C46631" w14:paraId="676E0EB8" w14:textId="6700DE4F">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first rule is that a person has a legal duty to act reasonably and with due care under the circumstances </w:t>
      </w:r>
      <w:r w:rsidRPr="00C46631">
        <w:rPr>
          <w:rFonts w:ascii="Century Schoolbook" w:hAnsi="Century Schoolbook"/>
          <w:i/>
          <w:iCs/>
          <w:sz w:val="26"/>
          <w:szCs w:val="26"/>
        </w:rPr>
        <w:t xml:space="preserve">with </w:t>
      </w:r>
      <w:r w:rsidR="00AE64E8">
        <w:rPr>
          <w:rFonts w:ascii="Century Schoolbook" w:hAnsi="Century Schoolbook"/>
          <w:i/>
          <w:iCs/>
          <w:sz w:val="26"/>
          <w:szCs w:val="26"/>
        </w:rPr>
        <w:t xml:space="preserve">respect to </w:t>
      </w:r>
      <w:r w:rsidR="006048A1">
        <w:rPr>
          <w:rFonts w:ascii="Century Schoolbook" w:hAnsi="Century Schoolbook"/>
          <w:i/>
          <w:iCs/>
          <w:sz w:val="26"/>
          <w:szCs w:val="26"/>
        </w:rPr>
        <w:t>their</w:t>
      </w:r>
      <w:r w:rsidRPr="00C46631">
        <w:rPr>
          <w:rFonts w:ascii="Century Schoolbook" w:hAnsi="Century Schoolbook"/>
          <w:i/>
          <w:iCs/>
          <w:sz w:val="26"/>
          <w:szCs w:val="26"/>
        </w:rPr>
        <w:t xml:space="preserve"> own actions</w:t>
      </w:r>
      <w:r w:rsidRPr="00C46631">
        <w:rPr>
          <w:rFonts w:ascii="Century Schoolbook" w:hAnsi="Century Schoolbook"/>
          <w:sz w:val="26"/>
          <w:szCs w:val="26"/>
        </w:rPr>
        <w:t xml:space="preserve">.  (Civ. Code, § 1714, subd. (a);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14 Cal.5th at p. 1016;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11 Cal.5th at pp. 213-214; </w:t>
      </w:r>
      <w:r w:rsidRPr="00C46631">
        <w:rPr>
          <w:rFonts w:ascii="Century Schoolbook" w:hAnsi="Century Schoolbook"/>
          <w:i/>
          <w:iCs/>
          <w:sz w:val="26"/>
          <w:szCs w:val="26"/>
        </w:rPr>
        <w:t xml:space="preserve">Southern California Gas Leak Cases </w:t>
      </w:r>
      <w:r w:rsidRPr="00C46631">
        <w:rPr>
          <w:rFonts w:ascii="Century Schoolbook" w:hAnsi="Century Schoolbook"/>
          <w:sz w:val="26"/>
          <w:szCs w:val="26"/>
        </w:rPr>
        <w:t>(2019) 7 Cal.5th 391, 398</w:t>
      </w:r>
      <w:r w:rsidR="00AE64E8">
        <w:rPr>
          <w:rFonts w:ascii="Century Schoolbook" w:hAnsi="Century Schoolbook"/>
          <w:sz w:val="26"/>
          <w:szCs w:val="26"/>
        </w:rPr>
        <w:t xml:space="preserve"> (</w:t>
      </w:r>
      <w:r w:rsidR="00AE64E8">
        <w:rPr>
          <w:rFonts w:ascii="Century Schoolbook" w:hAnsi="Century Schoolbook"/>
          <w:i/>
          <w:iCs/>
          <w:sz w:val="26"/>
          <w:szCs w:val="26"/>
        </w:rPr>
        <w:t>Gas Leak Cases</w:t>
      </w:r>
      <w:r w:rsidR="00AE64E8">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619;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 Cal.5th at p</w:t>
      </w:r>
      <w:r w:rsidR="00F537D7">
        <w:rPr>
          <w:rFonts w:ascii="Century Schoolbook" w:hAnsi="Century Schoolbook"/>
          <w:sz w:val="26"/>
          <w:szCs w:val="26"/>
        </w:rPr>
        <w:t>p</w:t>
      </w:r>
      <w:r w:rsidRPr="00C46631">
        <w:rPr>
          <w:rFonts w:ascii="Century Schoolbook" w:hAnsi="Century Schoolbook"/>
          <w:sz w:val="26"/>
          <w:szCs w:val="26"/>
        </w:rPr>
        <w:t>. 1142</w:t>
      </w:r>
      <w:r w:rsidR="00F537D7">
        <w:rPr>
          <w:rFonts w:ascii="Century Schoolbook" w:hAnsi="Century Schoolbook"/>
          <w:sz w:val="26"/>
          <w:szCs w:val="26"/>
        </w:rPr>
        <w:t>-1143</w:t>
      </w:r>
      <w:r w:rsidRPr="00C46631">
        <w:rPr>
          <w:rFonts w:ascii="Century Schoolbook" w:hAnsi="Century Schoolbook"/>
          <w:sz w:val="26"/>
          <w:szCs w:val="26"/>
        </w:rPr>
        <w:t xml:space="preserve">; </w:t>
      </w:r>
      <w:r w:rsidRPr="00C46631">
        <w:rPr>
          <w:rFonts w:ascii="Century Schoolbook" w:hAnsi="Century Schoolbook"/>
          <w:i/>
          <w:iCs/>
          <w:sz w:val="26"/>
          <w:szCs w:val="26"/>
        </w:rPr>
        <w:t>Cabral v. Ralphs Grocery Co.</w:t>
      </w:r>
      <w:r w:rsidRPr="00C46631">
        <w:rPr>
          <w:rFonts w:ascii="Century Schoolbook" w:hAnsi="Century Schoolbook"/>
          <w:sz w:val="26"/>
          <w:szCs w:val="26"/>
        </w:rPr>
        <w:t xml:space="preserve"> (2011) 51 Cal.4th 764, 771</w:t>
      </w:r>
      <w:r w:rsidR="0014628D">
        <w:rPr>
          <w:rFonts w:ascii="Century Schoolbook" w:hAnsi="Century Schoolbook"/>
          <w:sz w:val="26"/>
          <w:szCs w:val="26"/>
        </w:rPr>
        <w:t xml:space="preserve"> (</w:t>
      </w:r>
      <w:r w:rsidR="0014628D">
        <w:rPr>
          <w:rFonts w:ascii="Century Schoolbook" w:hAnsi="Century Schoolbook"/>
          <w:i/>
          <w:iCs/>
          <w:sz w:val="26"/>
          <w:szCs w:val="26"/>
        </w:rPr>
        <w:t>Cabral</w:t>
      </w:r>
      <w:r w:rsidR="0014628D">
        <w:rPr>
          <w:rFonts w:ascii="Century Schoolbook" w:hAnsi="Century Schoolbook"/>
          <w:sz w:val="26"/>
          <w:szCs w:val="26"/>
        </w:rPr>
        <w:t>)</w:t>
      </w:r>
      <w:r w:rsidRPr="00C46631">
        <w:rPr>
          <w:rFonts w:ascii="Century Schoolbook" w:hAnsi="Century Schoolbook"/>
          <w:sz w:val="26"/>
          <w:szCs w:val="26"/>
        </w:rPr>
        <w:t xml:space="preserve">.)  In this situation, liability for breach of this duty rests upon </w:t>
      </w:r>
      <w:r w:rsidRPr="00D42E17">
        <w:rPr>
          <w:rFonts w:ascii="Century Schoolbook" w:hAnsi="Century Schoolbook"/>
          <w:sz w:val="26"/>
          <w:szCs w:val="26"/>
        </w:rPr>
        <w:t>that person’s</w:t>
      </w:r>
      <w:r w:rsidRPr="00C46631">
        <w:rPr>
          <w:rFonts w:ascii="Century Schoolbook" w:hAnsi="Century Schoolbook"/>
          <w:i/>
          <w:iCs/>
          <w:sz w:val="26"/>
          <w:szCs w:val="26"/>
        </w:rPr>
        <w:t xml:space="preserve"> affirmative conduct</w:t>
      </w:r>
      <w:r w:rsidRPr="00C46631">
        <w:rPr>
          <w:rFonts w:ascii="Century Schoolbook" w:hAnsi="Century Schoolbook"/>
          <w:sz w:val="26"/>
          <w:szCs w:val="26"/>
        </w:rPr>
        <w:t xml:space="preserve">; as a result, the duty itself is grounded in </w:t>
      </w:r>
      <w:r w:rsidRPr="00C46631">
        <w:rPr>
          <w:rFonts w:ascii="Century Schoolbook" w:hAnsi="Century Schoolbook"/>
          <w:i/>
          <w:iCs/>
          <w:sz w:val="26"/>
          <w:szCs w:val="26"/>
        </w:rPr>
        <w:t>misfeasance</w:t>
      </w:r>
      <w:r w:rsidRPr="00C46631">
        <w:rPr>
          <w:rFonts w:ascii="Century Schoolbook" w:hAnsi="Century Schoolbook"/>
          <w:sz w:val="26"/>
          <w:szCs w:val="26"/>
        </w:rPr>
        <w:t>.</w:t>
      </w:r>
      <w:r>
        <w:rPr>
          <w:rStyle w:val="FootnoteReference"/>
          <w:rFonts w:ascii="Century Schoolbook" w:hAnsi="Century Schoolbook"/>
          <w:b/>
          <w:bCs/>
          <w:szCs w:val="26"/>
        </w:rPr>
        <w:footnoteReference w:id="5"/>
      </w:r>
      <w:r w:rsidRPr="00C46631">
        <w:rPr>
          <w:rFonts w:ascii="Century Schoolbook" w:hAnsi="Century Schoolbook"/>
          <w:sz w:val="26"/>
          <w:szCs w:val="26"/>
        </w:rPr>
        <w:t xml:space="preserve">  (</w:t>
      </w:r>
      <w:r w:rsidRPr="00C46631">
        <w:rPr>
          <w:rFonts w:ascii="Century Schoolbook" w:hAnsi="Century Schoolbook"/>
          <w:i/>
          <w:iCs/>
          <w:sz w:val="26"/>
          <w:szCs w:val="26"/>
        </w:rPr>
        <w:t xml:space="preserve">Lugtu v. California Highway Patrol </w:t>
      </w:r>
      <w:r w:rsidRPr="00C46631">
        <w:rPr>
          <w:rFonts w:ascii="Century Schoolbook" w:hAnsi="Century Schoolbook"/>
          <w:sz w:val="26"/>
          <w:szCs w:val="26"/>
        </w:rPr>
        <w:t>(20</w:t>
      </w:r>
      <w:r w:rsidR="00492E8E">
        <w:rPr>
          <w:rFonts w:ascii="Century Schoolbook" w:hAnsi="Century Schoolbook"/>
          <w:sz w:val="26"/>
          <w:szCs w:val="26"/>
        </w:rPr>
        <w:t>01</w:t>
      </w:r>
      <w:r w:rsidRPr="00C46631">
        <w:rPr>
          <w:rFonts w:ascii="Century Schoolbook" w:hAnsi="Century Schoolbook"/>
          <w:sz w:val="26"/>
          <w:szCs w:val="26"/>
        </w:rPr>
        <w:t>) 26 Cal.4th 703, 716 (</w:t>
      </w:r>
      <w:r w:rsidRPr="00C46631">
        <w:rPr>
          <w:rFonts w:ascii="Century Schoolbook" w:hAnsi="Century Schoolbook"/>
          <w:i/>
          <w:iCs/>
          <w:sz w:val="26"/>
          <w:szCs w:val="26"/>
        </w:rPr>
        <w:t>Lugtu</w:t>
      </w:r>
      <w:r w:rsidRPr="00C46631">
        <w:rPr>
          <w:rFonts w:ascii="Century Schoolbook" w:hAnsi="Century Schoolbook"/>
          <w:sz w:val="26"/>
          <w:szCs w:val="26"/>
        </w:rPr>
        <w:t xml:space="preserve">) [“‘[m]isfeasance exists when the </w:t>
      </w:r>
      <w:r w:rsidRPr="00AE64E8">
        <w:rPr>
          <w:rFonts w:ascii="Century Schoolbook" w:hAnsi="Century Schoolbook"/>
          <w:i/>
          <w:iCs/>
          <w:sz w:val="26"/>
          <w:szCs w:val="26"/>
        </w:rPr>
        <w:t>defendant</w:t>
      </w:r>
      <w:r w:rsidRPr="00C46631">
        <w:rPr>
          <w:rFonts w:ascii="Century Schoolbook" w:hAnsi="Century Schoolbook"/>
          <w:sz w:val="26"/>
          <w:szCs w:val="26"/>
        </w:rPr>
        <w:t xml:space="preserve"> is responsible for making the plaintiff’s position</w:t>
      </w:r>
      <w:r w:rsidR="00C54D4E">
        <w:rPr>
          <w:rFonts w:ascii="Century Schoolbook" w:hAnsi="Century Schoolbook"/>
          <w:sz w:val="26"/>
          <w:szCs w:val="26"/>
        </w:rPr>
        <w:t xml:space="preserve"> worse</w:t>
      </w:r>
      <w:r w:rsidRPr="00C46631">
        <w:rPr>
          <w:rFonts w:ascii="Century Schoolbook" w:hAnsi="Century Schoolbook"/>
          <w:sz w:val="26"/>
          <w:szCs w:val="26"/>
        </w:rPr>
        <w:t>’”]</w:t>
      </w:r>
      <w:r w:rsidR="00AE64E8">
        <w:rPr>
          <w:rFonts w:ascii="Century Schoolbook" w:hAnsi="Century Schoolbook"/>
          <w:sz w:val="26"/>
          <w:szCs w:val="26"/>
        </w:rPr>
        <w:t>, italics added</w:t>
      </w:r>
      <w:r w:rsidRPr="00C46631">
        <w:rPr>
          <w:rFonts w:ascii="Century Schoolbook" w:hAnsi="Century Schoolbook"/>
          <w:sz w:val="26"/>
          <w:szCs w:val="26"/>
        </w:rPr>
        <w:t xml:space="preserve">.)  </w:t>
      </w:r>
    </w:p>
    <w:p w:rsidR="00C46631" w:rsidP="00C46631" w14:paraId="54F67D64" w14:textId="72E9D868">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second rule is that a person has </w:t>
      </w:r>
      <w:r w:rsidRPr="00C46631">
        <w:rPr>
          <w:rFonts w:ascii="Century Schoolbook" w:hAnsi="Century Schoolbook"/>
          <w:i/>
          <w:iCs/>
          <w:sz w:val="26"/>
          <w:szCs w:val="26"/>
        </w:rPr>
        <w:t>no</w:t>
      </w:r>
      <w:r w:rsidRPr="00C46631">
        <w:rPr>
          <w:rFonts w:ascii="Century Schoolbook" w:hAnsi="Century Schoolbook"/>
          <w:sz w:val="26"/>
          <w:szCs w:val="26"/>
        </w:rPr>
        <w:t xml:space="preserve"> legal duty to protect others from a </w:t>
      </w:r>
      <w:r w:rsidRPr="00C46631">
        <w:rPr>
          <w:rFonts w:ascii="Century Schoolbook" w:hAnsi="Century Schoolbook"/>
          <w:i/>
          <w:iCs/>
          <w:sz w:val="26"/>
          <w:szCs w:val="26"/>
        </w:rPr>
        <w:t xml:space="preserve">third party’s </w:t>
      </w:r>
      <w:r w:rsidRPr="00C46631">
        <w:rPr>
          <w:rFonts w:ascii="Century Schoolbook" w:hAnsi="Century Schoolbook"/>
          <w:sz w:val="26"/>
          <w:szCs w:val="26"/>
        </w:rPr>
        <w:t>conduct.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pp. 619, 627; </w:t>
      </w:r>
      <w:r w:rsidRPr="00C46631">
        <w:rPr>
          <w:rFonts w:ascii="Century Schoolbook" w:hAnsi="Century Schoolbook"/>
          <w:i/>
          <w:iCs/>
          <w:sz w:val="26"/>
          <w:szCs w:val="26"/>
        </w:rPr>
        <w:t>Zelig</w:t>
      </w:r>
      <w:r w:rsidRPr="00D42E17" w:rsidR="00574E65">
        <w:rPr>
          <w:rFonts w:ascii="Century Schoolbook" w:hAnsi="Century Schoolbook"/>
          <w:sz w:val="26"/>
          <w:szCs w:val="26"/>
        </w:rPr>
        <w:t>,</w:t>
      </w:r>
      <w:r w:rsidRPr="00C46631">
        <w:rPr>
          <w:rFonts w:ascii="Century Schoolbook" w:hAnsi="Century Schoolbook"/>
          <w:i/>
          <w:iCs/>
          <w:sz w:val="26"/>
          <w:szCs w:val="26"/>
        </w:rPr>
        <w:t xml:space="preserve"> </w:t>
      </w:r>
      <w:r w:rsidRPr="00C46631" w:rsidR="00574E65">
        <w:rPr>
          <w:rFonts w:ascii="Century Schoolbook" w:hAnsi="Century Schoolbook"/>
          <w:i/>
          <w:iCs/>
          <w:sz w:val="26"/>
          <w:szCs w:val="26"/>
        </w:rPr>
        <w:t>supra</w:t>
      </w:r>
      <w:r w:rsidRPr="00C46631" w:rsidR="00574E65">
        <w:rPr>
          <w:rFonts w:ascii="Century Schoolbook" w:hAnsi="Century Schoolbook"/>
          <w:sz w:val="26"/>
          <w:szCs w:val="26"/>
        </w:rPr>
        <w:t xml:space="preserve">, </w:t>
      </w:r>
      <w:r w:rsidRPr="00C46631">
        <w:rPr>
          <w:rFonts w:ascii="Century Schoolbook" w:hAnsi="Century Schoolbook"/>
          <w:sz w:val="26"/>
          <w:szCs w:val="26"/>
        </w:rPr>
        <w:t xml:space="preserve">27 Cal.4th </w:t>
      </w:r>
      <w:r w:rsidR="00574E65">
        <w:rPr>
          <w:rFonts w:ascii="Century Schoolbook" w:hAnsi="Century Schoolbook"/>
          <w:sz w:val="26"/>
          <w:szCs w:val="26"/>
        </w:rPr>
        <w:t xml:space="preserve">at p. </w:t>
      </w:r>
      <w:r w:rsidRPr="00C46631">
        <w:rPr>
          <w:rFonts w:ascii="Century Schoolbook" w:hAnsi="Century Schoolbook"/>
          <w:sz w:val="26"/>
          <w:szCs w:val="26"/>
        </w:rPr>
        <w:t xml:space="preserve">1129; </w:t>
      </w:r>
      <w:r w:rsidRPr="00C46631">
        <w:rPr>
          <w:rFonts w:ascii="Century Schoolbook" w:hAnsi="Century Schoolbook"/>
          <w:i/>
          <w:iCs/>
          <w:sz w:val="26"/>
          <w:szCs w:val="26"/>
        </w:rPr>
        <w:t xml:space="preserve">Williams v. State of California </w:t>
      </w:r>
      <w:r w:rsidRPr="00C46631">
        <w:rPr>
          <w:rFonts w:ascii="Century Schoolbook" w:hAnsi="Century Schoolbook"/>
          <w:sz w:val="26"/>
          <w:szCs w:val="26"/>
        </w:rPr>
        <w:t xml:space="preserve">(1983) 34 Cal.3d 18, 23; </w:t>
      </w:r>
      <w:r w:rsidRPr="00C46631">
        <w:rPr>
          <w:rFonts w:ascii="Century Schoolbook" w:hAnsi="Century Schoolbook"/>
          <w:i/>
          <w:iCs/>
          <w:sz w:val="26"/>
          <w:szCs w:val="26"/>
        </w:rPr>
        <w:t xml:space="preserve">Weirum v. RKO General, Inc. </w:t>
      </w:r>
      <w:r w:rsidRPr="00C46631">
        <w:rPr>
          <w:rFonts w:ascii="Century Schoolbook" w:hAnsi="Century Schoolbook"/>
          <w:sz w:val="26"/>
          <w:szCs w:val="26"/>
        </w:rPr>
        <w:t xml:space="preserve">(1975) 15 Cal.3d 40, 49.)  </w:t>
      </w:r>
      <w:r w:rsidR="00DF503D">
        <w:rPr>
          <w:rFonts w:ascii="Century Schoolbook" w:hAnsi="Century Schoolbook"/>
          <w:sz w:val="26"/>
          <w:szCs w:val="26"/>
        </w:rPr>
        <w:t>L</w:t>
      </w:r>
      <w:r w:rsidRPr="00C46631">
        <w:rPr>
          <w:rFonts w:ascii="Century Schoolbook" w:hAnsi="Century Schoolbook"/>
          <w:sz w:val="26"/>
          <w:szCs w:val="26"/>
        </w:rPr>
        <w:t xml:space="preserve">iability for breach of this duty would rest upon that person’s </w:t>
      </w:r>
      <w:r w:rsidRPr="00C46631">
        <w:rPr>
          <w:rFonts w:ascii="Century Schoolbook" w:hAnsi="Century Schoolbook"/>
          <w:i/>
          <w:iCs/>
          <w:sz w:val="26"/>
          <w:szCs w:val="26"/>
        </w:rPr>
        <w:t>failure to take action</w:t>
      </w:r>
      <w:r w:rsidRPr="00C46631">
        <w:rPr>
          <w:rFonts w:ascii="Century Schoolbook" w:hAnsi="Century Schoolbook"/>
          <w:sz w:val="26"/>
          <w:szCs w:val="26"/>
        </w:rPr>
        <w:t xml:space="preserve"> </w:t>
      </w:r>
      <w:r w:rsidRPr="00C46631">
        <w:rPr>
          <w:rFonts w:ascii="Century Schoolbook" w:hAnsi="Century Schoolbook"/>
          <w:i/>
          <w:iCs/>
          <w:sz w:val="26"/>
          <w:szCs w:val="26"/>
        </w:rPr>
        <w:t>to protect the plaintiff</w:t>
      </w:r>
      <w:r w:rsidRPr="00C46631">
        <w:rPr>
          <w:rFonts w:ascii="Century Schoolbook" w:hAnsi="Century Schoolbook"/>
          <w:sz w:val="26"/>
          <w:szCs w:val="26"/>
        </w:rPr>
        <w:t xml:space="preserve">; as a result, any duty would be grounded in </w:t>
      </w:r>
      <w:r w:rsidRPr="00C46631">
        <w:rPr>
          <w:rFonts w:ascii="Century Schoolbook" w:hAnsi="Century Schoolbook"/>
          <w:i/>
          <w:iCs/>
          <w:sz w:val="26"/>
          <w:szCs w:val="26"/>
        </w:rPr>
        <w:t>nonfeasance</w:t>
      </w:r>
      <w:r w:rsidRPr="00C46631">
        <w:rPr>
          <w:rFonts w:ascii="Century Schoolbook" w:hAnsi="Century Schoolbook"/>
          <w:sz w:val="26"/>
          <w:szCs w:val="26"/>
        </w:rPr>
        <w:t>.  (</w:t>
      </w:r>
      <w:r w:rsidRPr="00C46631">
        <w:rPr>
          <w:rFonts w:ascii="Century Schoolbook" w:hAnsi="Century Schoolbook"/>
          <w:i/>
          <w:iCs/>
          <w:sz w:val="26"/>
          <w:szCs w:val="26"/>
        </w:rPr>
        <w:t>Lugtu</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26 Cal.4th at p. 716 [“‘nonfeasance is found when the defendant has failed to aid plaintiff through beneficial intervention’”]; </w:t>
      </w:r>
      <w:r w:rsidRPr="00C46631">
        <w:rPr>
          <w:rFonts w:ascii="Century Schoolbook" w:hAnsi="Century Schoolbook"/>
          <w:i/>
          <w:iCs/>
          <w:sz w:val="26"/>
          <w:szCs w:val="26"/>
        </w:rPr>
        <w:t>Brown</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11 Cal.5th at pp. 214-215.)</w:t>
      </w:r>
    </w:p>
    <w:p w:rsidR="00C46631" w:rsidRPr="00C46631" w:rsidP="00D73A7E" w14:paraId="656E6DC3" w14:textId="436FB027">
      <w:pPr>
        <w:spacing w:line="288" w:lineRule="auto"/>
        <w:ind w:firstLine="720"/>
        <w:rPr>
          <w:rFonts w:ascii="Century Schoolbook" w:hAnsi="Century Schoolbook"/>
          <w:sz w:val="26"/>
          <w:szCs w:val="26"/>
        </w:rPr>
      </w:pPr>
      <w:r>
        <w:rPr>
          <w:rFonts w:ascii="Century Schoolbook" w:hAnsi="Century Schoolbook"/>
          <w:sz w:val="26"/>
          <w:szCs w:val="26"/>
        </w:rPr>
        <w:t xml:space="preserve">This </w:t>
      </w:r>
      <w:r w:rsidRPr="00C46631">
        <w:rPr>
          <w:rFonts w:ascii="Century Schoolbook" w:hAnsi="Century Schoolbook"/>
          <w:sz w:val="26"/>
          <w:szCs w:val="26"/>
        </w:rPr>
        <w:t xml:space="preserve">second, no-duty-to-protect rule </w:t>
      </w:r>
      <w:r>
        <w:rPr>
          <w:rFonts w:ascii="Century Schoolbook" w:hAnsi="Century Schoolbook"/>
          <w:sz w:val="26"/>
          <w:szCs w:val="26"/>
        </w:rPr>
        <w:t xml:space="preserve">is not without exception, although the exception pertinent to this case is a narrow one.  </w:t>
      </w:r>
      <w:r w:rsidRPr="00C46631">
        <w:rPr>
          <w:rFonts w:ascii="Century Schoolbook" w:hAnsi="Century Schoolbook"/>
          <w:sz w:val="26"/>
          <w:szCs w:val="26"/>
        </w:rPr>
        <w:t xml:space="preserve">Unlike the legal duty not to engage in </w:t>
      </w:r>
      <w:r w:rsidRPr="00C46631">
        <w:rPr>
          <w:rFonts w:ascii="Century Schoolbook" w:hAnsi="Century Schoolbook"/>
          <w:i/>
          <w:iCs/>
          <w:sz w:val="26"/>
          <w:szCs w:val="26"/>
        </w:rPr>
        <w:t>misfeasance</w:t>
      </w:r>
      <w:r w:rsidRPr="00C46631">
        <w:rPr>
          <w:rFonts w:ascii="Century Schoolbook" w:hAnsi="Century Schoolbook"/>
          <w:sz w:val="26"/>
          <w:szCs w:val="26"/>
        </w:rPr>
        <w:t xml:space="preserve">, which runs to </w:t>
      </w:r>
      <w:r w:rsidRPr="00C46631">
        <w:rPr>
          <w:rFonts w:ascii="Century Schoolbook" w:hAnsi="Century Schoolbook"/>
          <w:i/>
          <w:iCs/>
          <w:sz w:val="26"/>
          <w:szCs w:val="26"/>
        </w:rPr>
        <w:t>anyone whose injuries are proximately caused by a breach of that duty</w:t>
      </w:r>
      <w:r w:rsidRPr="00C46631">
        <w:rPr>
          <w:rFonts w:ascii="Century Schoolbook" w:hAnsi="Century Schoolbook"/>
          <w:sz w:val="26"/>
          <w:szCs w:val="26"/>
        </w:rPr>
        <w:t xml:space="preserve">, a legal duty </w:t>
      </w:r>
      <w:r w:rsidRPr="00C46631" w:rsidR="0014628D">
        <w:rPr>
          <w:rFonts w:ascii="Century Schoolbook" w:hAnsi="Century Schoolbook"/>
          <w:sz w:val="26"/>
          <w:szCs w:val="26"/>
        </w:rPr>
        <w:t>not</w:t>
      </w:r>
      <w:r w:rsidR="00AD6685">
        <w:rPr>
          <w:rFonts w:ascii="Century Schoolbook" w:hAnsi="Century Schoolbook"/>
          <w:sz w:val="26"/>
          <w:szCs w:val="26"/>
        </w:rPr>
        <w:t xml:space="preserve"> to</w:t>
      </w:r>
      <w:r w:rsidRPr="00C46631" w:rsidR="0014628D">
        <w:rPr>
          <w:rFonts w:ascii="Century Schoolbook" w:hAnsi="Century Schoolbook"/>
          <w:sz w:val="26"/>
          <w:szCs w:val="26"/>
        </w:rPr>
        <w:t xml:space="preserve"> </w:t>
      </w:r>
      <w:r w:rsidRPr="00C46631">
        <w:rPr>
          <w:rFonts w:ascii="Century Schoolbook" w:hAnsi="Century Schoolbook"/>
          <w:sz w:val="26"/>
          <w:szCs w:val="26"/>
        </w:rPr>
        <w:t xml:space="preserve">engage in </w:t>
      </w:r>
      <w:r w:rsidRPr="00C46631">
        <w:rPr>
          <w:rFonts w:ascii="Century Schoolbook" w:hAnsi="Century Schoolbook"/>
          <w:i/>
          <w:iCs/>
          <w:sz w:val="26"/>
          <w:szCs w:val="26"/>
        </w:rPr>
        <w:t>nonfeasance</w:t>
      </w:r>
      <w:r w:rsidRPr="00C46631">
        <w:rPr>
          <w:rFonts w:ascii="Century Schoolbook" w:hAnsi="Century Schoolbook"/>
          <w:sz w:val="26"/>
          <w:szCs w:val="26"/>
        </w:rPr>
        <w:t xml:space="preserve"> is actionable only if </w:t>
      </w:r>
      <w:r>
        <w:rPr>
          <w:rFonts w:ascii="Century Schoolbook" w:hAnsi="Century Schoolbook"/>
          <w:sz w:val="26"/>
          <w:szCs w:val="26"/>
        </w:rPr>
        <w:t>the person being sued (the defendant) (1) has a “special relationship” with a specific individual</w:t>
      </w:r>
      <w:r w:rsidR="00612318">
        <w:rPr>
          <w:rFonts w:ascii="Century Schoolbook" w:hAnsi="Century Schoolbook"/>
          <w:sz w:val="26"/>
          <w:szCs w:val="26"/>
        </w:rPr>
        <w:t>;</w:t>
      </w:r>
      <w:r>
        <w:rPr>
          <w:rFonts w:ascii="Century Schoolbook" w:hAnsi="Century Schoolbook"/>
          <w:sz w:val="26"/>
          <w:szCs w:val="26"/>
        </w:rPr>
        <w:t xml:space="preserve"> and (2) that special relationship gives rise to a legal duty of care running </w:t>
      </w:r>
      <w:r w:rsidRPr="00C46631">
        <w:rPr>
          <w:rFonts w:ascii="Century Schoolbook" w:hAnsi="Century Schoolbook"/>
          <w:i/>
          <w:iCs/>
          <w:sz w:val="26"/>
          <w:szCs w:val="26"/>
        </w:rPr>
        <w:t xml:space="preserve">to the plaintiff </w:t>
      </w:r>
      <w:r w:rsidRPr="00D42E17">
        <w:rPr>
          <w:rFonts w:ascii="Century Schoolbook" w:hAnsi="Century Schoolbook"/>
          <w:sz w:val="26"/>
          <w:szCs w:val="26"/>
        </w:rPr>
        <w:t>(or, more broadly,</w:t>
      </w:r>
      <w:r w:rsidRPr="00C46631">
        <w:rPr>
          <w:rFonts w:ascii="Century Schoolbook" w:hAnsi="Century Schoolbook"/>
          <w:i/>
          <w:iCs/>
          <w:sz w:val="26"/>
          <w:szCs w:val="26"/>
        </w:rPr>
        <w:t xml:space="preserve"> to the class of persons to which the plaintiff belongs</w:t>
      </w:r>
      <w:r w:rsidRPr="00D42E17">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Zelig</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27 Cal.4th at p. 1129; </w:t>
      </w:r>
      <w:r w:rsidRPr="00C46631">
        <w:rPr>
          <w:rFonts w:ascii="Century Schoolbook" w:hAnsi="Century Schoolbook"/>
          <w:i/>
          <w:iCs/>
          <w:sz w:val="26"/>
          <w:szCs w:val="26"/>
        </w:rPr>
        <w:t>Davidson v. City of Westminster</w:t>
      </w:r>
      <w:r w:rsidRPr="00C46631">
        <w:rPr>
          <w:rFonts w:ascii="Century Schoolbook" w:hAnsi="Century Schoolbook"/>
          <w:sz w:val="26"/>
          <w:szCs w:val="26"/>
        </w:rPr>
        <w:t xml:space="preserve"> (198</w:t>
      </w:r>
      <w:r w:rsidR="003563F7">
        <w:rPr>
          <w:rFonts w:ascii="Century Schoolbook" w:hAnsi="Century Schoolbook"/>
          <w:sz w:val="26"/>
          <w:szCs w:val="26"/>
        </w:rPr>
        <w:t>2</w:t>
      </w:r>
      <w:r w:rsidRPr="00C46631">
        <w:rPr>
          <w:rFonts w:ascii="Century Schoolbook" w:hAnsi="Century Schoolbook"/>
          <w:sz w:val="26"/>
          <w:szCs w:val="26"/>
        </w:rPr>
        <w:t xml:space="preserve">) 32 Cal.3d 197, 203; </w:t>
      </w:r>
      <w:r w:rsidRPr="00C46631">
        <w:rPr>
          <w:rFonts w:ascii="Century Schoolbook" w:hAnsi="Century Schoolbook"/>
          <w:i/>
          <w:iCs/>
          <w:sz w:val="26"/>
          <w:szCs w:val="26"/>
        </w:rPr>
        <w:t>Tarasoff v. Regents of Univ</w:t>
      </w:r>
      <w:r w:rsidR="00944D45">
        <w:rPr>
          <w:rFonts w:ascii="Century Schoolbook" w:hAnsi="Century Schoolbook"/>
          <w:i/>
          <w:iCs/>
          <w:sz w:val="26"/>
          <w:szCs w:val="26"/>
        </w:rPr>
        <w:t>ersity</w:t>
      </w:r>
      <w:r w:rsidRPr="00C46631">
        <w:rPr>
          <w:rFonts w:ascii="Century Schoolbook" w:hAnsi="Century Schoolbook"/>
          <w:i/>
          <w:iCs/>
          <w:sz w:val="26"/>
          <w:szCs w:val="26"/>
        </w:rPr>
        <w:t xml:space="preserve"> of California </w:t>
      </w:r>
      <w:r w:rsidRPr="00C46631">
        <w:rPr>
          <w:rFonts w:ascii="Century Schoolbook" w:hAnsi="Century Schoolbook"/>
          <w:sz w:val="26"/>
          <w:szCs w:val="26"/>
        </w:rPr>
        <w:t>(1976) 17 Cal.3d 425, 435, superseded on other grounds by Civ. Code § 43.92</w:t>
      </w:r>
      <w:r>
        <w:rPr>
          <w:rFonts w:ascii="Century Schoolbook" w:hAnsi="Century Schoolbook"/>
          <w:sz w:val="26"/>
          <w:szCs w:val="26"/>
        </w:rPr>
        <w:t xml:space="preserve">;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7 Cal.5th at pp. 397-398 [defendant must owe a duty to</w:t>
      </w:r>
      <w:r w:rsidRPr="00C46631" w:rsidR="00AD2181">
        <w:rPr>
          <w:rFonts w:ascii="Century Schoolbook" w:hAnsi="Century Schoolbook"/>
          <w:sz w:val="26"/>
          <w:szCs w:val="26"/>
        </w:rPr>
        <w:t xml:space="preserve"> </w:t>
      </w:r>
      <w:r w:rsidRPr="00C46631">
        <w:rPr>
          <w:rFonts w:ascii="Century Schoolbook" w:hAnsi="Century Schoolbook"/>
          <w:sz w:val="26"/>
          <w:szCs w:val="26"/>
        </w:rPr>
        <w:t>“</w:t>
      </w:r>
      <w:r w:rsidR="00AD2181">
        <w:rPr>
          <w:rFonts w:ascii="Century Schoolbook" w:hAnsi="Century Schoolbook"/>
          <w:sz w:val="26"/>
          <w:szCs w:val="26"/>
        </w:rPr>
        <w:t>‘“</w:t>
      </w:r>
      <w:r w:rsidR="00590B9C">
        <w:rPr>
          <w:rFonts w:ascii="Century Schoolbook" w:hAnsi="Century Schoolbook"/>
          <w:sz w:val="26"/>
          <w:szCs w:val="26"/>
        </w:rPr>
        <w:t xml:space="preserve">an </w:t>
      </w:r>
      <w:r w:rsidRPr="00C46631">
        <w:rPr>
          <w:rFonts w:ascii="Century Schoolbook" w:hAnsi="Century Schoolbook"/>
          <w:sz w:val="26"/>
          <w:szCs w:val="26"/>
        </w:rPr>
        <w:t xml:space="preserve">interest of </w:t>
      </w:r>
      <w:r w:rsidR="00AD2181">
        <w:rPr>
          <w:rFonts w:ascii="Century Schoolbook" w:hAnsi="Century Schoolbook"/>
          <w:sz w:val="26"/>
          <w:szCs w:val="26"/>
        </w:rPr>
        <w:t>[</w:t>
      </w:r>
      <w:r w:rsidRPr="00C46631">
        <w:rPr>
          <w:rFonts w:ascii="Century Schoolbook" w:hAnsi="Century Schoolbook"/>
          <w:sz w:val="26"/>
          <w:szCs w:val="26"/>
        </w:rPr>
        <w:t>the plaintiff]</w:t>
      </w:r>
      <w:r w:rsidR="00AD2181">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Brown</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11 Cal.5th at p. 213 [same]</w:t>
      </w:r>
      <w:r>
        <w:rPr>
          <w:rFonts w:ascii="Century Schoolbook" w:hAnsi="Century Schoolbook"/>
          <w:sz w:val="26"/>
          <w:szCs w:val="26"/>
        </w:rPr>
        <w:t xml:space="preserve">; </w:t>
      </w:r>
      <w:r w:rsidRPr="00C46631">
        <w:rPr>
          <w:rFonts w:ascii="Century Schoolbook" w:hAnsi="Century Schoolbook"/>
          <w:i/>
          <w:iCs/>
          <w:sz w:val="26"/>
          <w:szCs w:val="26"/>
        </w:rPr>
        <w:t xml:space="preserve">Musgrove v. Silver </w:t>
      </w:r>
      <w:r w:rsidRPr="00C46631">
        <w:rPr>
          <w:rFonts w:ascii="Century Schoolbook" w:hAnsi="Century Schoolbook"/>
          <w:sz w:val="26"/>
          <w:szCs w:val="26"/>
        </w:rPr>
        <w:t>(2022) 82 Cal.App.5th 694, 706 (</w:t>
      </w:r>
      <w:r w:rsidRPr="00C46631">
        <w:rPr>
          <w:rFonts w:ascii="Century Schoolbook" w:hAnsi="Century Schoolbook"/>
          <w:i/>
          <w:iCs/>
          <w:sz w:val="26"/>
          <w:szCs w:val="26"/>
        </w:rPr>
        <w:t>Musgrove</w:t>
      </w:r>
      <w:r w:rsidRPr="00C46631">
        <w:rPr>
          <w:rFonts w:ascii="Century Schoolbook" w:hAnsi="Century Schoolbook"/>
          <w:sz w:val="26"/>
          <w:szCs w:val="26"/>
        </w:rPr>
        <w:t xml:space="preserve">); </w:t>
      </w:r>
      <w:r w:rsidRPr="00C46631">
        <w:rPr>
          <w:rFonts w:ascii="Century Schoolbook" w:hAnsi="Century Schoolbook"/>
          <w:i/>
          <w:iCs/>
          <w:sz w:val="26"/>
          <w:szCs w:val="26"/>
        </w:rPr>
        <w:t>Iss</w:t>
      </w:r>
      <w:r w:rsidR="00C330FF">
        <w:rPr>
          <w:rFonts w:ascii="Century Schoolbook" w:hAnsi="Century Schoolbook"/>
          <w:i/>
          <w:iCs/>
          <w:sz w:val="26"/>
          <w:szCs w:val="26"/>
        </w:rPr>
        <w:t>a</w:t>
      </w:r>
      <w:r w:rsidRPr="00C46631">
        <w:rPr>
          <w:rFonts w:ascii="Century Schoolbook" w:hAnsi="Century Schoolbook"/>
          <w:i/>
          <w:iCs/>
          <w:sz w:val="26"/>
          <w:szCs w:val="26"/>
        </w:rPr>
        <w:t>khani v. Shadow Glen Homeowners Ass</w:t>
      </w:r>
      <w:r w:rsidR="00D241E5">
        <w:rPr>
          <w:rFonts w:ascii="Century Schoolbook" w:hAnsi="Century Schoolbook"/>
          <w:i/>
          <w:iCs/>
          <w:sz w:val="26"/>
          <w:szCs w:val="26"/>
        </w:rPr>
        <w:t>n</w:t>
      </w:r>
      <w:r w:rsidRPr="00C46631">
        <w:rPr>
          <w:rFonts w:ascii="Century Schoolbook" w:hAnsi="Century Schoolbook"/>
          <w:i/>
          <w:iCs/>
          <w:sz w:val="26"/>
          <w:szCs w:val="26"/>
        </w:rPr>
        <w:t>., Inc.</w:t>
      </w:r>
      <w:r w:rsidRPr="00C46631">
        <w:rPr>
          <w:rFonts w:ascii="Century Schoolbook" w:hAnsi="Century Schoolbook"/>
          <w:sz w:val="26"/>
          <w:szCs w:val="26"/>
        </w:rPr>
        <w:t xml:space="preserve"> (2021) 63 Cal.App.5th 917, 931 (</w:t>
      </w:r>
      <w:r w:rsidRPr="00C46631">
        <w:rPr>
          <w:rFonts w:ascii="Century Schoolbook" w:hAnsi="Century Schoolbook"/>
          <w:i/>
          <w:iCs/>
          <w:sz w:val="26"/>
          <w:szCs w:val="26"/>
        </w:rPr>
        <w:t>Iss</w:t>
      </w:r>
      <w:r w:rsidR="00C330FF">
        <w:rPr>
          <w:rFonts w:ascii="Century Schoolbook" w:hAnsi="Century Schoolbook"/>
          <w:i/>
          <w:iCs/>
          <w:sz w:val="26"/>
          <w:szCs w:val="26"/>
        </w:rPr>
        <w:t>a</w:t>
      </w:r>
      <w:r w:rsidRPr="00C46631">
        <w:rPr>
          <w:rFonts w:ascii="Century Schoolbook" w:hAnsi="Century Schoolbook"/>
          <w:i/>
          <w:iCs/>
          <w:sz w:val="26"/>
          <w:szCs w:val="26"/>
        </w:rPr>
        <w:t>khani</w:t>
      </w:r>
      <w:r w:rsidRPr="00C46631">
        <w:rPr>
          <w:rFonts w:ascii="Century Schoolbook" w:hAnsi="Century Schoolbook"/>
          <w:sz w:val="26"/>
          <w:szCs w:val="26"/>
        </w:rPr>
        <w:t>);</w:t>
      </w:r>
      <w:r>
        <w:rPr>
          <w:rFonts w:ascii="Century Schoolbook" w:hAnsi="Century Schoolbook"/>
          <w:sz w:val="26"/>
          <w:szCs w:val="26"/>
        </w:rPr>
        <w:t xml:space="preserve"> </w:t>
      </w:r>
      <w:r w:rsidRPr="00C46631">
        <w:rPr>
          <w:rFonts w:ascii="Century Schoolbook" w:hAnsi="Century Schoolbook"/>
          <w:i/>
          <w:iCs/>
          <w:sz w:val="26"/>
          <w:szCs w:val="26"/>
        </w:rPr>
        <w:t>Regents</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4 Cal.5th at p. 621 [“a special relationship is limited to specific individuals”].)</w:t>
      </w:r>
      <w:r>
        <w:rPr>
          <w:rFonts w:ascii="Century Schoolbook" w:hAnsi="Century Schoolbook"/>
          <w:sz w:val="26"/>
          <w:szCs w:val="26"/>
        </w:rPr>
        <w:t xml:space="preserve">  More specifically, a defendant may be liable to a plaintiff for </w:t>
      </w:r>
      <w:r w:rsidR="00C330FF">
        <w:rPr>
          <w:rFonts w:ascii="Century Schoolbook" w:hAnsi="Century Schoolbook"/>
          <w:sz w:val="26"/>
          <w:szCs w:val="26"/>
        </w:rPr>
        <w:t xml:space="preserve">the defendant’s </w:t>
      </w:r>
      <w:r>
        <w:rPr>
          <w:rFonts w:ascii="Century Schoolbook" w:hAnsi="Century Schoolbook"/>
          <w:sz w:val="26"/>
          <w:szCs w:val="26"/>
        </w:rPr>
        <w:t xml:space="preserve">nonfeasance in the following two scenarios:  </w:t>
      </w:r>
    </w:p>
    <w:p w:rsidR="00C46631" w:rsidRPr="00C46631" w:rsidP="00C46631" w14:paraId="5875CE5F" w14:textId="7F8F5329">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00D73A7E">
        <w:rPr>
          <w:rFonts w:ascii="Century Schoolbook" w:hAnsi="Century Schoolbook"/>
          <w:i/>
          <w:iCs/>
          <w:sz w:val="26"/>
          <w:szCs w:val="26"/>
        </w:rPr>
        <w:t>When the defendant has a s</w:t>
      </w:r>
      <w:r w:rsidRPr="00C46631">
        <w:rPr>
          <w:rFonts w:ascii="Century Schoolbook" w:hAnsi="Century Schoolbook"/>
          <w:i/>
          <w:iCs/>
          <w:sz w:val="26"/>
          <w:szCs w:val="26"/>
        </w:rPr>
        <w:t xml:space="preserve">pecial relationship with </w:t>
      </w:r>
      <w:r w:rsidR="00D73A7E">
        <w:rPr>
          <w:rFonts w:ascii="Century Schoolbook" w:hAnsi="Century Schoolbook"/>
          <w:i/>
          <w:iCs/>
          <w:sz w:val="26"/>
          <w:szCs w:val="26"/>
        </w:rPr>
        <w:t xml:space="preserve">the </w:t>
      </w:r>
      <w:r w:rsidRPr="00C46631">
        <w:rPr>
          <w:rFonts w:ascii="Century Schoolbook" w:hAnsi="Century Schoolbook"/>
          <w:i/>
          <w:iCs/>
          <w:sz w:val="26"/>
          <w:szCs w:val="26"/>
        </w:rPr>
        <w:t>third party</w:t>
      </w:r>
      <w:r w:rsidR="00D73A7E">
        <w:rPr>
          <w:rFonts w:ascii="Century Schoolbook" w:hAnsi="Century Schoolbook"/>
          <w:i/>
          <w:iCs/>
          <w:sz w:val="26"/>
          <w:szCs w:val="26"/>
        </w:rPr>
        <w:t xml:space="preserve"> who causes harm</w:t>
      </w:r>
      <w:r w:rsidRPr="00C46631">
        <w:rPr>
          <w:rFonts w:ascii="Century Schoolbook" w:hAnsi="Century Schoolbook"/>
          <w:sz w:val="26"/>
          <w:szCs w:val="26"/>
        </w:rPr>
        <w:t xml:space="preserve">.  A defendant owes a legal duty of care to the plaintiff </w:t>
      </w:r>
      <w:r w:rsidRPr="00C46631">
        <w:rPr>
          <w:rFonts w:ascii="Century Schoolbook" w:hAnsi="Century Schoolbook"/>
          <w:i/>
          <w:iCs/>
          <w:sz w:val="26"/>
          <w:szCs w:val="26"/>
        </w:rPr>
        <w:t xml:space="preserve">if </w:t>
      </w:r>
      <w:r w:rsidRPr="00C46631">
        <w:rPr>
          <w:rFonts w:ascii="Century Schoolbook" w:hAnsi="Century Schoolbook"/>
          <w:sz w:val="26"/>
          <w:szCs w:val="26"/>
        </w:rPr>
        <w:t xml:space="preserve">(1) </w:t>
      </w:r>
      <w:r w:rsidR="00D73A7E">
        <w:rPr>
          <w:rFonts w:ascii="Century Schoolbook" w:hAnsi="Century Schoolbook"/>
          <w:sz w:val="26"/>
          <w:szCs w:val="26"/>
        </w:rPr>
        <w:t>the defendant</w:t>
      </w:r>
      <w:r w:rsidRPr="00C46631">
        <w:rPr>
          <w:rFonts w:ascii="Century Schoolbook" w:hAnsi="Century Schoolbook"/>
          <w:sz w:val="26"/>
          <w:szCs w:val="26"/>
        </w:rPr>
        <w:t xml:space="preserve"> has a “special relationship” with </w:t>
      </w:r>
      <w:r w:rsidR="00C330FF">
        <w:rPr>
          <w:rFonts w:ascii="Century Schoolbook" w:hAnsi="Century Schoolbook"/>
          <w:sz w:val="26"/>
          <w:szCs w:val="26"/>
        </w:rPr>
        <w:t>a</w:t>
      </w:r>
      <w:r w:rsidRPr="00C46631" w:rsidR="00C330FF">
        <w:rPr>
          <w:rFonts w:ascii="Century Schoolbook" w:hAnsi="Century Schoolbook"/>
          <w:sz w:val="26"/>
          <w:szCs w:val="26"/>
        </w:rPr>
        <w:t xml:space="preserve"> </w:t>
      </w:r>
      <w:r w:rsidRPr="00C46631">
        <w:rPr>
          <w:rFonts w:ascii="Century Schoolbook" w:hAnsi="Century Schoolbook"/>
          <w:sz w:val="26"/>
          <w:szCs w:val="26"/>
        </w:rPr>
        <w:t xml:space="preserve">third party who injures the plaintiff, and (2) that special relationship entails a duty to control the </w:t>
      </w:r>
      <w:r w:rsidR="00D73A7E">
        <w:rPr>
          <w:rFonts w:ascii="Century Schoolbook" w:hAnsi="Century Schoolbook"/>
          <w:sz w:val="26"/>
          <w:szCs w:val="26"/>
        </w:rPr>
        <w:t xml:space="preserve">third party’s </w:t>
      </w:r>
      <w:r w:rsidRPr="00C46631">
        <w:rPr>
          <w:rFonts w:ascii="Century Schoolbook" w:hAnsi="Century Schoolbook"/>
          <w:sz w:val="26"/>
          <w:szCs w:val="26"/>
        </w:rPr>
        <w:t xml:space="preserve">conduct </w:t>
      </w:r>
      <w:r w:rsidR="00D73A7E">
        <w:rPr>
          <w:rFonts w:ascii="Century Schoolbook" w:hAnsi="Century Schoolbook"/>
          <w:sz w:val="26"/>
          <w:szCs w:val="26"/>
        </w:rPr>
        <w:t>for the benefit of the plaintiff or the class of persons to wh</w:t>
      </w:r>
      <w:r w:rsidR="000E3A42">
        <w:rPr>
          <w:rFonts w:ascii="Century Schoolbook" w:hAnsi="Century Schoolbook"/>
          <w:sz w:val="26"/>
          <w:szCs w:val="26"/>
        </w:rPr>
        <w:t>ich</w:t>
      </w:r>
      <w:r w:rsidR="00D73A7E">
        <w:rPr>
          <w:rFonts w:ascii="Century Schoolbook" w:hAnsi="Century Schoolbook"/>
          <w:sz w:val="26"/>
          <w:szCs w:val="26"/>
        </w:rPr>
        <w:t xml:space="preserve"> the plaintiff belongs</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4 Cal.5th at p. 619.)  With regard to the second element, a duty to control presupposes an </w:t>
      </w:r>
      <w:r w:rsidRPr="00C46631">
        <w:rPr>
          <w:rFonts w:ascii="Century Schoolbook" w:hAnsi="Century Schoolbook"/>
          <w:i/>
          <w:iCs/>
          <w:sz w:val="26"/>
          <w:szCs w:val="26"/>
        </w:rPr>
        <w:t>ability</w:t>
      </w:r>
      <w:r w:rsidRPr="00C46631">
        <w:rPr>
          <w:rFonts w:ascii="Century Schoolbook" w:hAnsi="Century Schoolbook"/>
          <w:sz w:val="26"/>
          <w:szCs w:val="26"/>
        </w:rPr>
        <w:t xml:space="preserve"> to control “such that ‘if exercised, [it] would meaningfully reduce the risk of the harm that actually occurred.’”  (</w:t>
      </w:r>
      <w:r w:rsidRPr="00C46631" w:rsidR="00CB6710">
        <w:rPr>
          <w:rFonts w:ascii="Century Schoolbook" w:hAnsi="Century Schoolbook"/>
          <w:i/>
          <w:iCs/>
          <w:sz w:val="26"/>
          <w:szCs w:val="26"/>
        </w:rPr>
        <w:t xml:space="preserve">Barenborg v. Sigma Alpha Epsilon Fraternity </w:t>
      </w:r>
      <w:r w:rsidRPr="00C46631" w:rsidR="00CB6710">
        <w:rPr>
          <w:rFonts w:ascii="Century Schoolbook" w:hAnsi="Century Schoolbook"/>
          <w:sz w:val="26"/>
          <w:szCs w:val="26"/>
        </w:rPr>
        <w:t>(2019) 33 Cal.App.5th 70, 7</w:t>
      </w:r>
      <w:r w:rsidR="00D512DA">
        <w:rPr>
          <w:rFonts w:ascii="Century Schoolbook" w:hAnsi="Century Schoolbook"/>
          <w:sz w:val="26"/>
          <w:szCs w:val="26"/>
        </w:rPr>
        <w:t>8</w:t>
      </w:r>
      <w:r w:rsidRPr="00C46631" w:rsidR="00CB6710">
        <w:rPr>
          <w:rFonts w:ascii="Century Schoolbook" w:hAnsi="Century Schoolbook"/>
          <w:sz w:val="26"/>
          <w:szCs w:val="26"/>
        </w:rPr>
        <w:t xml:space="preserve">; </w:t>
      </w:r>
      <w:r w:rsidRPr="00C46631">
        <w:rPr>
          <w:rFonts w:ascii="Century Schoolbook" w:hAnsi="Century Schoolbook"/>
          <w:i/>
          <w:iCs/>
          <w:sz w:val="26"/>
          <w:szCs w:val="26"/>
        </w:rPr>
        <w:t>Megeff v. Do</w:t>
      </w:r>
      <w:r w:rsidR="00CB6710">
        <w:rPr>
          <w:rFonts w:ascii="Century Schoolbook" w:hAnsi="Century Schoolbook"/>
          <w:i/>
          <w:iCs/>
          <w:sz w:val="26"/>
          <w:szCs w:val="26"/>
        </w:rPr>
        <w:t>l</w:t>
      </w:r>
      <w:r w:rsidRPr="00C46631">
        <w:rPr>
          <w:rFonts w:ascii="Century Schoolbook" w:hAnsi="Century Schoolbook"/>
          <w:i/>
          <w:iCs/>
          <w:sz w:val="26"/>
          <w:szCs w:val="26"/>
        </w:rPr>
        <w:t>a</w:t>
      </w:r>
      <w:r w:rsidR="00CB6710">
        <w:rPr>
          <w:rFonts w:ascii="Century Schoolbook" w:hAnsi="Century Schoolbook"/>
          <w:i/>
          <w:iCs/>
          <w:sz w:val="26"/>
          <w:szCs w:val="26"/>
        </w:rPr>
        <w:t>n</w:t>
      </w:r>
      <w:r w:rsidRPr="00C46631">
        <w:rPr>
          <w:rFonts w:ascii="Century Schoolbook" w:hAnsi="Century Schoolbook"/>
          <w:i/>
          <w:iCs/>
          <w:sz w:val="26"/>
          <w:szCs w:val="26"/>
        </w:rPr>
        <w:t>d</w:t>
      </w:r>
      <w:r w:rsidRPr="00C46631">
        <w:rPr>
          <w:rFonts w:ascii="Century Schoolbook" w:hAnsi="Century Schoolbook"/>
          <w:sz w:val="26"/>
          <w:szCs w:val="26"/>
        </w:rPr>
        <w:t xml:space="preserve"> (1981) 123 Cal.App.3d 251, 261; </w:t>
      </w:r>
      <w:r w:rsidRPr="00C46631">
        <w:rPr>
          <w:rFonts w:ascii="Century Schoolbook" w:hAnsi="Century Schoolbook"/>
          <w:i/>
          <w:iCs/>
          <w:sz w:val="26"/>
          <w:szCs w:val="26"/>
        </w:rPr>
        <w:t>Smith v. Fre</w:t>
      </w:r>
      <w:r w:rsidR="00CB6710">
        <w:rPr>
          <w:rFonts w:ascii="Century Schoolbook" w:hAnsi="Century Schoolbook"/>
          <w:i/>
          <w:iCs/>
          <w:sz w:val="26"/>
          <w:szCs w:val="26"/>
        </w:rPr>
        <w:t>u</w:t>
      </w:r>
      <w:r w:rsidRPr="00C46631">
        <w:rPr>
          <w:rFonts w:ascii="Century Schoolbook" w:hAnsi="Century Schoolbook"/>
          <w:i/>
          <w:iCs/>
          <w:sz w:val="26"/>
          <w:szCs w:val="26"/>
        </w:rPr>
        <w:t>nd</w:t>
      </w:r>
      <w:r w:rsidRPr="00C46631">
        <w:rPr>
          <w:rFonts w:ascii="Century Schoolbook" w:hAnsi="Century Schoolbook"/>
          <w:sz w:val="26"/>
          <w:szCs w:val="26"/>
        </w:rPr>
        <w:t xml:space="preserve"> (2011) 192 Cal.App.4th 466, 473; </w:t>
      </w:r>
      <w:r w:rsidRPr="00C46631">
        <w:rPr>
          <w:rFonts w:ascii="Century Schoolbook" w:hAnsi="Century Schoolbook"/>
          <w:i/>
          <w:iCs/>
          <w:sz w:val="26"/>
          <w:szCs w:val="26"/>
        </w:rPr>
        <w:t xml:space="preserve">Wise v. Superior Court </w:t>
      </w:r>
      <w:r w:rsidRPr="00C46631">
        <w:rPr>
          <w:rFonts w:ascii="Century Schoolbook" w:hAnsi="Century Schoolbook"/>
          <w:sz w:val="26"/>
          <w:szCs w:val="26"/>
        </w:rPr>
        <w:t>(1990) 222 Cal.App.3d 1008, 1013-1014.)  The ability (and hence concomitant duty) to control may be anchored in (1) control imparted by virtue of the nature of the relationship itself (as is the case with a parent-child or employer-employee relationship)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 Cal.5th at p. 1148; </w:t>
      </w:r>
      <w:r w:rsidRPr="00C46631">
        <w:rPr>
          <w:rFonts w:ascii="Century Schoolbook" w:hAnsi="Century Schoolbook"/>
          <w:i/>
          <w:iCs/>
          <w:sz w:val="26"/>
          <w:szCs w:val="26"/>
        </w:rPr>
        <w:t>Musgrove</w:t>
      </w:r>
      <w:r w:rsidR="00C330FF">
        <w:rPr>
          <w:rFonts w:ascii="Century Schoolbook" w:hAnsi="Century Schoolbook"/>
          <w:sz w:val="26"/>
          <w:szCs w:val="26"/>
        </w:rPr>
        <w:t xml:space="preserve">, </w:t>
      </w:r>
      <w:r w:rsidR="00C330FF">
        <w:rPr>
          <w:rFonts w:ascii="Century Schoolbook" w:hAnsi="Century Schoolbook"/>
          <w:i/>
          <w:iCs/>
          <w:sz w:val="26"/>
          <w:szCs w:val="26"/>
        </w:rPr>
        <w:t>supra</w:t>
      </w:r>
      <w:r w:rsidR="00C330FF">
        <w:rPr>
          <w:rFonts w:ascii="Century Schoolbook" w:hAnsi="Century Schoolbook"/>
          <w:sz w:val="26"/>
          <w:szCs w:val="26"/>
        </w:rPr>
        <w:t xml:space="preserve">, </w:t>
      </w:r>
      <w:r w:rsidRPr="00C46631">
        <w:rPr>
          <w:rFonts w:ascii="Century Schoolbook" w:hAnsi="Century Schoolbook"/>
          <w:sz w:val="26"/>
          <w:szCs w:val="26"/>
        </w:rPr>
        <w:t xml:space="preserve">82 Cal.App.5th </w:t>
      </w:r>
      <w:r w:rsidR="00C330FF">
        <w:rPr>
          <w:rFonts w:ascii="Century Schoolbook" w:hAnsi="Century Schoolbook"/>
          <w:sz w:val="26"/>
          <w:szCs w:val="26"/>
        </w:rPr>
        <w:t>at p.</w:t>
      </w:r>
      <w:r w:rsidRPr="00C46631">
        <w:rPr>
          <w:rFonts w:ascii="Century Schoolbook" w:hAnsi="Century Schoolbook"/>
          <w:sz w:val="26"/>
          <w:szCs w:val="26"/>
        </w:rPr>
        <w:t xml:space="preserve"> 711; </w:t>
      </w:r>
      <w:r w:rsidRPr="00C46631">
        <w:rPr>
          <w:rFonts w:ascii="Century Schoolbook" w:hAnsi="Century Schoolbook"/>
          <w:i/>
          <w:iCs/>
          <w:sz w:val="26"/>
          <w:szCs w:val="26"/>
        </w:rPr>
        <w:t xml:space="preserve">McHenry v. Asylum Entertainment Delaware, LLC </w:t>
      </w:r>
      <w:r w:rsidRPr="00C46631">
        <w:rPr>
          <w:rFonts w:ascii="Century Schoolbook" w:hAnsi="Century Schoolbook"/>
          <w:sz w:val="26"/>
          <w:szCs w:val="26"/>
        </w:rPr>
        <w:t>(2020) 46 Cal.App.5th 469, 484-485)</w:t>
      </w:r>
      <w:r w:rsidR="00612318">
        <w:rPr>
          <w:rFonts w:ascii="Century Schoolbook" w:hAnsi="Century Schoolbook"/>
          <w:sz w:val="26"/>
          <w:szCs w:val="26"/>
        </w:rPr>
        <w:t>;</w:t>
      </w:r>
      <w:r w:rsidRPr="00C46631">
        <w:rPr>
          <w:rFonts w:ascii="Century Schoolbook" w:hAnsi="Century Schoolbook"/>
          <w:sz w:val="26"/>
          <w:szCs w:val="26"/>
        </w:rPr>
        <w:t xml:space="preserve"> or (2) control imparted by virtue of control over “the environment” where the plaintiff is injured (as i</w:t>
      </w:r>
      <w:r w:rsidR="000B504E">
        <w:rPr>
          <w:rFonts w:ascii="Century Schoolbook" w:hAnsi="Century Schoolbook"/>
          <w:sz w:val="26"/>
          <w:szCs w:val="26"/>
        </w:rPr>
        <w:t>s</w:t>
      </w:r>
      <w:r w:rsidRPr="00C46631">
        <w:rPr>
          <w:rFonts w:ascii="Century Schoolbook" w:hAnsi="Century Schoolbook"/>
          <w:sz w:val="26"/>
          <w:szCs w:val="26"/>
        </w:rPr>
        <w:t xml:space="preserve"> the case with schools being able to control students on campus)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w:t>
      </w:r>
      <w:r w:rsidR="00CA7320">
        <w:rPr>
          <w:rFonts w:ascii="Century Schoolbook" w:hAnsi="Century Schoolbook"/>
          <w:sz w:val="26"/>
          <w:szCs w:val="26"/>
        </w:rPr>
        <w:t>p</w:t>
      </w:r>
      <w:r w:rsidRPr="00C46631">
        <w:rPr>
          <w:rFonts w:ascii="Century Schoolbook" w:hAnsi="Century Schoolbook"/>
          <w:sz w:val="26"/>
          <w:szCs w:val="26"/>
        </w:rPr>
        <w:t>. 631</w:t>
      </w:r>
      <w:r w:rsidR="00CA7320">
        <w:rPr>
          <w:rFonts w:ascii="Century Schoolbook" w:hAnsi="Century Schoolbook"/>
          <w:sz w:val="26"/>
          <w:szCs w:val="26"/>
        </w:rPr>
        <w:t>-632</w:t>
      </w:r>
      <w:r w:rsidRPr="00C46631">
        <w:rPr>
          <w:rFonts w:ascii="Century Schoolbook" w:hAnsi="Century Schoolbook"/>
          <w:sz w:val="26"/>
          <w:szCs w:val="26"/>
        </w:rPr>
        <w:t xml:space="preserve">; </w:t>
      </w:r>
      <w:r w:rsidRPr="00C46631">
        <w:rPr>
          <w:rFonts w:ascii="Century Schoolbook" w:hAnsi="Century Schoolbook"/>
          <w:i/>
          <w:iCs/>
          <w:sz w:val="26"/>
          <w:szCs w:val="26"/>
        </w:rPr>
        <w:t>Wise</w:t>
      </w:r>
      <w:r w:rsidRPr="00D42E17">
        <w:rPr>
          <w:rFonts w:ascii="Century Schoolbook" w:hAnsi="Century Schoolbook"/>
          <w:sz w:val="26"/>
          <w:szCs w:val="26"/>
        </w:rPr>
        <w:t>,</w:t>
      </w:r>
      <w:r w:rsidRPr="000B504E">
        <w:rPr>
          <w:rFonts w:ascii="Century Schoolbook" w:hAnsi="Century Schoolbook"/>
          <w:sz w:val="26"/>
          <w:szCs w:val="26"/>
        </w:rPr>
        <w:t xml:space="preserve"> </w:t>
      </w:r>
      <w:r w:rsidRPr="00C46631">
        <w:rPr>
          <w:rFonts w:ascii="Century Schoolbook" w:hAnsi="Century Schoolbook"/>
          <w:sz w:val="26"/>
          <w:szCs w:val="26"/>
        </w:rPr>
        <w:t xml:space="preserve">at p. 1013).  </w:t>
      </w:r>
    </w:p>
    <w:p w:rsidR="00C46631" w:rsidRPr="00C46631" w:rsidP="00C46631" w14:paraId="3A7AE801" w14:textId="776EDECA">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00D73A7E">
        <w:rPr>
          <w:rFonts w:ascii="Century Schoolbook" w:hAnsi="Century Schoolbook"/>
          <w:i/>
          <w:iCs/>
          <w:sz w:val="26"/>
          <w:szCs w:val="26"/>
        </w:rPr>
        <w:t>When the defendant has a s</w:t>
      </w:r>
      <w:r w:rsidRPr="00C46631">
        <w:rPr>
          <w:rFonts w:ascii="Century Schoolbook" w:hAnsi="Century Schoolbook"/>
          <w:i/>
          <w:iCs/>
          <w:sz w:val="26"/>
          <w:szCs w:val="26"/>
        </w:rPr>
        <w:t>pecial relationship with the plaintiff</w:t>
      </w:r>
      <w:r w:rsidRPr="00C46631">
        <w:rPr>
          <w:rFonts w:ascii="Century Schoolbook" w:hAnsi="Century Schoolbook"/>
          <w:sz w:val="26"/>
          <w:szCs w:val="26"/>
        </w:rPr>
        <w:t xml:space="preserve">.  A defendant owes a legal duty </w:t>
      </w:r>
      <w:r w:rsidR="000B504E">
        <w:rPr>
          <w:rFonts w:ascii="Century Schoolbook" w:hAnsi="Century Schoolbook"/>
          <w:sz w:val="26"/>
          <w:szCs w:val="26"/>
        </w:rPr>
        <w:t>of</w:t>
      </w:r>
      <w:r w:rsidRPr="00C46631" w:rsidR="000B504E">
        <w:rPr>
          <w:rFonts w:ascii="Century Schoolbook" w:hAnsi="Century Schoolbook"/>
          <w:sz w:val="26"/>
          <w:szCs w:val="26"/>
        </w:rPr>
        <w:t xml:space="preserve"> </w:t>
      </w:r>
      <w:r w:rsidRPr="00C46631">
        <w:rPr>
          <w:rFonts w:ascii="Century Schoolbook" w:hAnsi="Century Schoolbook"/>
          <w:sz w:val="26"/>
          <w:szCs w:val="26"/>
        </w:rPr>
        <w:t xml:space="preserve">care </w:t>
      </w:r>
      <w:r w:rsidR="000B504E">
        <w:rPr>
          <w:rFonts w:ascii="Century Schoolbook" w:hAnsi="Century Schoolbook"/>
          <w:sz w:val="26"/>
          <w:szCs w:val="26"/>
        </w:rPr>
        <w:t>to</w:t>
      </w:r>
      <w:r w:rsidRPr="00C46631" w:rsidR="000B504E">
        <w:rPr>
          <w:rFonts w:ascii="Century Schoolbook" w:hAnsi="Century Schoolbook"/>
          <w:sz w:val="26"/>
          <w:szCs w:val="26"/>
        </w:rPr>
        <w:t xml:space="preserve"> </w:t>
      </w:r>
      <w:r w:rsidRPr="00C46631">
        <w:rPr>
          <w:rFonts w:ascii="Century Schoolbook" w:hAnsi="Century Schoolbook"/>
          <w:sz w:val="26"/>
          <w:szCs w:val="26"/>
        </w:rPr>
        <w:t xml:space="preserve">the plaintiff </w:t>
      </w:r>
      <w:r w:rsidRPr="00C46631">
        <w:rPr>
          <w:rFonts w:ascii="Century Schoolbook" w:hAnsi="Century Schoolbook"/>
          <w:i/>
          <w:iCs/>
          <w:sz w:val="26"/>
          <w:szCs w:val="26"/>
        </w:rPr>
        <w:t>if</w:t>
      </w:r>
      <w:r w:rsidRPr="00C46631">
        <w:rPr>
          <w:rFonts w:ascii="Century Schoolbook" w:hAnsi="Century Schoolbook"/>
          <w:sz w:val="26"/>
          <w:szCs w:val="26"/>
        </w:rPr>
        <w:t xml:space="preserve"> </w:t>
      </w:r>
      <w:r w:rsidR="00D73A7E">
        <w:rPr>
          <w:rFonts w:ascii="Century Schoolbook" w:hAnsi="Century Schoolbook"/>
          <w:sz w:val="26"/>
          <w:szCs w:val="26"/>
        </w:rPr>
        <w:t>the defendant</w:t>
      </w:r>
      <w:r w:rsidRPr="00C46631">
        <w:rPr>
          <w:rFonts w:ascii="Century Schoolbook" w:hAnsi="Century Schoolbook"/>
          <w:sz w:val="26"/>
          <w:szCs w:val="26"/>
        </w:rPr>
        <w:t xml:space="preserve"> has a “special relationship” with the plaintiff grounded in the defendant’s “superior control over the means of protect[ing]” the plaintiff (and the plaintiff’s concomitant “dependency” on that protection).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w:t>
      </w:r>
      <w:r w:rsidR="00CB6710">
        <w:rPr>
          <w:rFonts w:ascii="Century Schoolbook" w:hAnsi="Century Schoolbook"/>
          <w:sz w:val="26"/>
          <w:szCs w:val="26"/>
        </w:rPr>
        <w:t>th</w:t>
      </w:r>
      <w:r w:rsidRPr="00C46631">
        <w:rPr>
          <w:rFonts w:ascii="Century Schoolbook" w:hAnsi="Century Schoolbook"/>
          <w:sz w:val="26"/>
          <w:szCs w:val="26"/>
        </w:rPr>
        <w:t xml:space="preserve"> at pp. 619-62</w:t>
      </w:r>
      <w:r w:rsidR="00677172">
        <w:rPr>
          <w:rFonts w:ascii="Century Schoolbook" w:hAnsi="Century Schoolbook"/>
          <w:sz w:val="26"/>
          <w:szCs w:val="26"/>
        </w:rPr>
        <w:t>1</w:t>
      </w:r>
      <w:r w:rsidRPr="00C46631">
        <w:rPr>
          <w:rFonts w:ascii="Century Schoolbook" w:hAnsi="Century Schoolbook"/>
          <w:sz w:val="26"/>
          <w:szCs w:val="26"/>
        </w:rPr>
        <w:t xml:space="preserve">.)  This type of special relationship exists between a common carrier and its passengers, an innkeeper and its guests, a jailer and its prisoners, and an employer and its employee(s); in each instance, the former has superior control over the means of protecting the latter that creates </w:t>
      </w:r>
      <w:r w:rsidR="00D73A7E">
        <w:rPr>
          <w:rFonts w:ascii="Century Schoolbook" w:hAnsi="Century Schoolbook"/>
          <w:sz w:val="26"/>
          <w:szCs w:val="26"/>
        </w:rPr>
        <w:t>a</w:t>
      </w:r>
      <w:r w:rsidRPr="00C46631">
        <w:rPr>
          <w:rFonts w:ascii="Century Schoolbook" w:hAnsi="Century Schoolbook"/>
          <w:sz w:val="26"/>
          <w:szCs w:val="26"/>
        </w:rPr>
        <w:t xml:space="preserve"> duty to protect</w:t>
      </w:r>
      <w:r w:rsidR="00D73A7E">
        <w:rPr>
          <w:rFonts w:ascii="Century Schoolbook" w:hAnsi="Century Schoolbook"/>
          <w:sz w:val="26"/>
          <w:szCs w:val="26"/>
        </w:rPr>
        <w:t xml:space="preserve"> that runs to the plaintiff</w:t>
      </w:r>
      <w:r w:rsidRPr="00C46631">
        <w:rPr>
          <w:rFonts w:ascii="Century Schoolbook" w:hAnsi="Century Schoolbook"/>
          <w:sz w:val="26"/>
          <w:szCs w:val="26"/>
        </w:rPr>
        <w:t>.  (</w:t>
      </w:r>
      <w:r w:rsidRPr="00C46631">
        <w:rPr>
          <w:rFonts w:ascii="Century Schoolbook" w:hAnsi="Century Schoolbook"/>
          <w:i/>
          <w:iCs/>
          <w:sz w:val="26"/>
          <w:szCs w:val="26"/>
        </w:rPr>
        <w:t>Regents</w:t>
      </w:r>
      <w:r w:rsidRPr="00C46631">
        <w:rPr>
          <w:rFonts w:ascii="Century Schoolbook" w:hAnsi="Century Schoolbook"/>
          <w:sz w:val="26"/>
          <w:szCs w:val="26"/>
        </w:rPr>
        <w:t xml:space="preserve">, at p. 621;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w:t>
      </w:r>
      <w:r w:rsidR="00E46D03">
        <w:rPr>
          <w:rFonts w:ascii="Century Schoolbook" w:hAnsi="Century Schoolbook"/>
          <w:sz w:val="26"/>
          <w:szCs w:val="26"/>
        </w:rPr>
        <w:t>th</w:t>
      </w:r>
      <w:r w:rsidRPr="00C46631">
        <w:rPr>
          <w:rFonts w:ascii="Century Schoolbook" w:hAnsi="Century Schoolbook"/>
          <w:sz w:val="26"/>
          <w:szCs w:val="26"/>
        </w:rPr>
        <w:t xml:space="preserve"> at p. 216; </w:t>
      </w:r>
      <w:r w:rsidRPr="00C46631">
        <w:rPr>
          <w:rFonts w:ascii="Century Schoolbook" w:hAnsi="Century Schoolbook"/>
          <w:i/>
          <w:iCs/>
          <w:sz w:val="26"/>
          <w:szCs w:val="26"/>
        </w:rPr>
        <w:t>Musgrove</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82 Cal.App.5</w:t>
      </w:r>
      <w:r w:rsidR="00E46D03">
        <w:rPr>
          <w:rFonts w:ascii="Century Schoolbook" w:hAnsi="Century Schoolbook"/>
          <w:sz w:val="26"/>
          <w:szCs w:val="26"/>
        </w:rPr>
        <w:t>th</w:t>
      </w:r>
      <w:r w:rsidRPr="00C46631">
        <w:rPr>
          <w:rFonts w:ascii="Century Schoolbook" w:hAnsi="Century Schoolbook"/>
          <w:sz w:val="26"/>
          <w:szCs w:val="26"/>
        </w:rPr>
        <w:t xml:space="preserve"> at p. 711.)</w:t>
      </w:r>
    </w:p>
    <w:p w:rsidR="00C46631" w:rsidRPr="00C46631" w:rsidP="00C46631" w14:paraId="182351DF" w14:textId="77777777">
      <w:pPr>
        <w:spacing w:line="288" w:lineRule="auto"/>
        <w:ind w:firstLine="1440"/>
        <w:rPr>
          <w:rFonts w:ascii="Century Schoolbook" w:hAnsi="Century Schoolbook"/>
          <w:i/>
          <w:iCs/>
          <w:sz w:val="26"/>
          <w:szCs w:val="26"/>
        </w:rPr>
      </w:pPr>
      <w:r w:rsidRPr="00C46631">
        <w:rPr>
          <w:rFonts w:ascii="Century Schoolbook" w:hAnsi="Century Schoolbook"/>
          <w:sz w:val="26"/>
          <w:szCs w:val="26"/>
        </w:rPr>
        <w:t>2.</w:t>
      </w:r>
      <w:r w:rsidRPr="00C46631">
        <w:rPr>
          <w:rFonts w:ascii="Century Schoolbook" w:hAnsi="Century Schoolbook"/>
          <w:sz w:val="26"/>
          <w:szCs w:val="26"/>
        </w:rPr>
        <w:tab/>
      </w:r>
      <w:r w:rsidRPr="00C46631">
        <w:rPr>
          <w:rFonts w:ascii="Century Schoolbook" w:hAnsi="Century Schoolbook"/>
          <w:i/>
          <w:iCs/>
          <w:sz w:val="26"/>
          <w:szCs w:val="26"/>
        </w:rPr>
        <w:t>Public policy considerations that may counsel in favor of limiting the duty</w:t>
      </w:r>
    </w:p>
    <w:p w:rsidR="00C46631" w:rsidRPr="00C46631" w:rsidP="00C46631" w14:paraId="1E0893E2" w14:textId="0F2CA2C9">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Even if California law provides that a legal duty of care runs between a plaintiff and </w:t>
      </w:r>
      <w:r w:rsidR="00536507">
        <w:rPr>
          <w:rFonts w:ascii="Century Schoolbook" w:hAnsi="Century Schoolbook"/>
          <w:sz w:val="26"/>
          <w:szCs w:val="26"/>
        </w:rPr>
        <w:t xml:space="preserve">a </w:t>
      </w:r>
      <w:r w:rsidRPr="00C46631">
        <w:rPr>
          <w:rFonts w:ascii="Century Schoolbook" w:hAnsi="Century Schoolbook"/>
          <w:sz w:val="26"/>
          <w:szCs w:val="26"/>
        </w:rPr>
        <w:t>defendant, courts have the power and obligation to examine whether considerations of public policy warrant limiting that duty.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w:t>
      </w:r>
      <w:r w:rsidR="00310B9F">
        <w:rPr>
          <w:rFonts w:ascii="Century Schoolbook" w:hAnsi="Century Schoolbook"/>
          <w:sz w:val="26"/>
          <w:szCs w:val="26"/>
        </w:rPr>
        <w:t>th</w:t>
      </w:r>
      <w:r w:rsidRPr="00C46631">
        <w:rPr>
          <w:rFonts w:ascii="Century Schoolbook" w:hAnsi="Century Schoolbook"/>
          <w:sz w:val="26"/>
          <w:szCs w:val="26"/>
        </w:rPr>
        <w:t xml:space="preserve"> at p. 217; </w:t>
      </w:r>
      <w:r w:rsidRPr="00C46631">
        <w:rPr>
          <w:rFonts w:ascii="Century Schoolbook" w:hAnsi="Century Schoolbook"/>
          <w:i/>
          <w:iCs/>
          <w:sz w:val="26"/>
          <w:szCs w:val="26"/>
        </w:rPr>
        <w:t>Regents</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4 Cal.5</w:t>
      </w:r>
      <w:r w:rsidR="00310B9F">
        <w:rPr>
          <w:rFonts w:ascii="Century Schoolbook" w:hAnsi="Century Schoolbook"/>
          <w:sz w:val="26"/>
          <w:szCs w:val="26"/>
        </w:rPr>
        <w:t>th</w:t>
      </w:r>
      <w:r w:rsidRPr="00C46631">
        <w:rPr>
          <w:rFonts w:ascii="Century Schoolbook" w:hAnsi="Century Schoolbook"/>
          <w:sz w:val="26"/>
          <w:szCs w:val="26"/>
        </w:rPr>
        <w:t xml:space="preserve"> at pp. 628-629;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7 Cal.5th at pp. 398-399; </w:t>
      </w:r>
      <w:r w:rsidRPr="00C46631">
        <w:rPr>
          <w:rFonts w:ascii="Century Schoolbook" w:hAnsi="Century Schoolbook"/>
          <w:i/>
          <w:iCs/>
          <w:sz w:val="26"/>
          <w:szCs w:val="26"/>
        </w:rPr>
        <w:t>Cabral</w:t>
      </w:r>
      <w:r w:rsidR="000B504E">
        <w:rPr>
          <w:rFonts w:ascii="Century Schoolbook" w:hAnsi="Century Schoolbook"/>
          <w:sz w:val="26"/>
          <w:szCs w:val="26"/>
        </w:rPr>
        <w:t xml:space="preserve">, </w:t>
      </w:r>
      <w:r w:rsidR="000B504E">
        <w:rPr>
          <w:rFonts w:ascii="Century Schoolbook" w:hAnsi="Century Schoolbook"/>
          <w:i/>
          <w:iCs/>
          <w:sz w:val="26"/>
          <w:szCs w:val="26"/>
        </w:rPr>
        <w:t>supra</w:t>
      </w:r>
      <w:r w:rsidR="000B504E">
        <w:rPr>
          <w:rFonts w:ascii="Century Schoolbook" w:hAnsi="Century Schoolbook"/>
          <w:sz w:val="26"/>
          <w:szCs w:val="26"/>
        </w:rPr>
        <w:t xml:space="preserve">, </w:t>
      </w:r>
      <w:r w:rsidRPr="00C46631">
        <w:rPr>
          <w:rFonts w:ascii="Century Schoolbook" w:hAnsi="Century Schoolbook"/>
          <w:sz w:val="26"/>
          <w:szCs w:val="26"/>
        </w:rPr>
        <w:t xml:space="preserve">51 Cal.4th </w:t>
      </w:r>
      <w:r w:rsidR="000B504E">
        <w:rPr>
          <w:rFonts w:ascii="Century Schoolbook" w:hAnsi="Century Schoolbook"/>
          <w:sz w:val="26"/>
          <w:szCs w:val="26"/>
        </w:rPr>
        <w:t>at p.</w:t>
      </w:r>
      <w:r w:rsidRPr="00C46631">
        <w:rPr>
          <w:rFonts w:ascii="Century Schoolbook" w:hAnsi="Century Schoolbook"/>
          <w:sz w:val="26"/>
          <w:szCs w:val="26"/>
        </w:rPr>
        <w:t xml:space="preserve"> 772.)  This public policy analysis is “forward-looking” and to be conducted on a general, categorical basis (</w:t>
      </w:r>
      <w:r w:rsidRPr="00C46631" w:rsidR="00D52A45">
        <w:rPr>
          <w:rFonts w:ascii="Century Schoolbook" w:hAnsi="Century Schoolbook"/>
          <w:i/>
          <w:iCs/>
          <w:sz w:val="26"/>
          <w:szCs w:val="26"/>
        </w:rPr>
        <w:t>Kesner</w:t>
      </w:r>
      <w:r w:rsidRPr="00356B70" w:rsidR="00D52A45">
        <w:rPr>
          <w:rFonts w:ascii="Century Schoolbook" w:hAnsi="Century Schoolbook"/>
          <w:sz w:val="26"/>
          <w:szCs w:val="26"/>
        </w:rPr>
        <w:t>,</w:t>
      </w:r>
      <w:r w:rsidRPr="00C46631" w:rsidR="00D52A45">
        <w:rPr>
          <w:rFonts w:ascii="Century Schoolbook" w:hAnsi="Century Schoolbook"/>
          <w:i/>
          <w:iCs/>
          <w:sz w:val="26"/>
          <w:szCs w:val="26"/>
        </w:rPr>
        <w:t xml:space="preserve"> supra</w:t>
      </w:r>
      <w:r w:rsidRPr="00C46631" w:rsidR="00D52A45">
        <w:rPr>
          <w:rFonts w:ascii="Century Schoolbook" w:hAnsi="Century Schoolbook"/>
          <w:sz w:val="26"/>
          <w:szCs w:val="26"/>
        </w:rPr>
        <w:t>, 1 Cal.5th at p. 1152</w:t>
      </w:r>
      <w:r w:rsidR="00D52A45">
        <w:rPr>
          <w:rFonts w:ascii="Century Schoolbook" w:hAnsi="Century Schoolbook"/>
          <w:sz w:val="26"/>
          <w:szCs w:val="26"/>
        </w:rPr>
        <w:t xml:space="preserve">;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14 Cal.5th at p. 102</w:t>
      </w:r>
      <w:r w:rsidR="00D52A45">
        <w:rPr>
          <w:rFonts w:ascii="Century Schoolbook" w:hAnsi="Century Schoolbook"/>
          <w:sz w:val="26"/>
          <w:szCs w:val="26"/>
        </w:rPr>
        <w:t>2</w:t>
      </w:r>
      <w:r w:rsidRPr="00C46631">
        <w:rPr>
          <w:rFonts w:ascii="Century Schoolbook" w:hAnsi="Century Schoolbook"/>
          <w:sz w:val="26"/>
          <w:szCs w:val="26"/>
        </w:rPr>
        <w:t xml:space="preserve">); in effect, we ask:  Does public policy warrant curtailing liability in a particular </w:t>
      </w:r>
      <w:r w:rsidRPr="00C46631">
        <w:rPr>
          <w:rFonts w:ascii="Century Schoolbook" w:hAnsi="Century Schoolbook"/>
          <w:i/>
          <w:iCs/>
          <w:sz w:val="26"/>
          <w:szCs w:val="26"/>
        </w:rPr>
        <w:t>category</w:t>
      </w:r>
      <w:r w:rsidRPr="00C46631">
        <w:rPr>
          <w:rFonts w:ascii="Century Schoolbook" w:hAnsi="Century Schoolbook"/>
          <w:sz w:val="26"/>
          <w:szCs w:val="26"/>
        </w:rPr>
        <w:t xml:space="preserve"> of cases in the future?</w:t>
      </w:r>
    </w:p>
    <w:p w:rsidR="00C46631" w:rsidRPr="00C46631" w:rsidP="00C46631" w14:paraId="4A1DFD99" w14:textId="020AD350">
      <w:pPr>
        <w:spacing w:line="288" w:lineRule="auto"/>
        <w:ind w:firstLine="720"/>
        <w:rPr>
          <w:rFonts w:ascii="Century Schoolbook" w:hAnsi="Century Schoolbook"/>
          <w:sz w:val="26"/>
          <w:szCs w:val="26"/>
        </w:rPr>
      </w:pPr>
      <w:bookmarkStart w:id="1" w:name="_Hlk153789870"/>
      <w:r w:rsidRPr="00C46631">
        <w:rPr>
          <w:rFonts w:ascii="Century Schoolbook" w:hAnsi="Century Schoolbook"/>
          <w:sz w:val="26"/>
          <w:szCs w:val="26"/>
        </w:rPr>
        <w:t xml:space="preserve">Our Supreme Court in </w:t>
      </w:r>
      <w:r w:rsidRPr="00C46631">
        <w:rPr>
          <w:rFonts w:ascii="Century Schoolbook" w:hAnsi="Century Schoolbook"/>
          <w:i/>
          <w:iCs/>
          <w:sz w:val="26"/>
          <w:szCs w:val="26"/>
        </w:rPr>
        <w:t xml:space="preserve">Rowland </w:t>
      </w:r>
      <w:r w:rsidRPr="00C46631">
        <w:rPr>
          <w:rFonts w:ascii="Century Schoolbook" w:hAnsi="Century Schoolbook"/>
          <w:sz w:val="26"/>
          <w:szCs w:val="26"/>
        </w:rPr>
        <w:t xml:space="preserve">outlined the </w:t>
      </w:r>
      <w:r w:rsidR="00536507">
        <w:rPr>
          <w:rFonts w:ascii="Century Schoolbook" w:hAnsi="Century Schoolbook"/>
          <w:sz w:val="26"/>
          <w:szCs w:val="26"/>
        </w:rPr>
        <w:t xml:space="preserve">pertinent </w:t>
      </w:r>
      <w:r w:rsidRPr="00C46631">
        <w:rPr>
          <w:rFonts w:ascii="Century Schoolbook" w:hAnsi="Century Schoolbook"/>
          <w:sz w:val="26"/>
          <w:szCs w:val="26"/>
        </w:rPr>
        <w:t>public policy considerations.  They fall into two categories.</w:t>
      </w:r>
    </w:p>
    <w:bookmarkEnd w:id="1"/>
    <w:p w:rsidR="00C46631" w:rsidRPr="00C46631" w:rsidP="00C46631" w14:paraId="7B96AEC5" w14:textId="3E6DBC4E">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first category examines the foreseeability of the plaintiff’s injury.  </w:t>
      </w:r>
      <w:r w:rsidRPr="00C46631">
        <w:rPr>
          <w:rFonts w:ascii="Century Schoolbook" w:hAnsi="Century Schoolbook"/>
          <w:i/>
          <w:iCs/>
          <w:sz w:val="26"/>
          <w:szCs w:val="26"/>
        </w:rPr>
        <w:t>Rowland</w:t>
      </w:r>
      <w:r w:rsidRPr="00C46631">
        <w:rPr>
          <w:rFonts w:ascii="Century Schoolbook" w:hAnsi="Century Schoolbook"/>
          <w:sz w:val="26"/>
          <w:szCs w:val="26"/>
        </w:rPr>
        <w:t xml:space="preserve"> identifies three foreseeability considerations:  (1) whether “‘</w:t>
      </w:r>
      <w:r w:rsidR="00E80A7D">
        <w:rPr>
          <w:rFonts w:ascii="Century Schoolbook" w:hAnsi="Century Schoolbook"/>
          <w:sz w:val="26"/>
          <w:szCs w:val="26"/>
        </w:rPr>
        <w:t>“</w:t>
      </w:r>
      <w:r w:rsidRPr="00C46631">
        <w:rPr>
          <w:rFonts w:ascii="Century Schoolbook" w:hAnsi="Century Schoolbook"/>
          <w:sz w:val="26"/>
          <w:szCs w:val="26"/>
        </w:rPr>
        <w:t>the category of negligent conduct at issue is sufficiently likely to result in the kind of harm experienced that liability may appropriately be imposed</w:t>
      </w:r>
      <w:r w:rsidR="00E80A7D">
        <w:rPr>
          <w:rFonts w:ascii="Century Schoolbook" w:hAnsi="Century Schoolbook"/>
          <w:sz w:val="26"/>
          <w:szCs w:val="26"/>
        </w:rPr>
        <w:t>”</w:t>
      </w:r>
      <w:r w:rsidRPr="00C46631">
        <w:rPr>
          <w:rFonts w:ascii="Century Schoolbook" w:hAnsi="Century Schoolbook"/>
          <w:sz w:val="26"/>
          <w:szCs w:val="26"/>
        </w:rPr>
        <w:t>’”; (2) the degree of certainty that the plaintiff suffered injury; and (3) the closeness of the connection “</w:t>
      </w:r>
      <w:r w:rsidR="00E80A7D">
        <w:rPr>
          <w:rFonts w:ascii="Century Schoolbook" w:hAnsi="Century Schoolbook"/>
          <w:sz w:val="26"/>
          <w:szCs w:val="26"/>
        </w:rPr>
        <w:t>‘</w:t>
      </w:r>
      <w:r w:rsidRPr="00C46631">
        <w:rPr>
          <w:rFonts w:ascii="Century Schoolbook" w:hAnsi="Century Schoolbook"/>
          <w:sz w:val="26"/>
          <w:szCs w:val="26"/>
        </w:rPr>
        <w:t>between the defendant</w:t>
      </w:r>
      <w:r w:rsidR="000B504E">
        <w:rPr>
          <w:rFonts w:ascii="Century Schoolbook" w:hAnsi="Century Schoolbook"/>
          <w:sz w:val="26"/>
          <w:szCs w:val="26"/>
        </w:rPr>
        <w:t>’</w:t>
      </w:r>
      <w:r w:rsidRPr="00C46631">
        <w:rPr>
          <w:rFonts w:ascii="Century Schoolbook" w:hAnsi="Century Schoolbook"/>
          <w:sz w:val="26"/>
          <w:szCs w:val="26"/>
        </w:rPr>
        <w:t>s conduct and the injury suffered.</w:t>
      </w:r>
      <w:r w:rsidR="00E80A7D">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pp. 629-630.)</w:t>
      </w:r>
    </w:p>
    <w:p w:rsidR="00C46631" w:rsidRPr="00C46631" w:rsidP="00C46631" w14:paraId="5EBBB3C0" w14:textId="153995E3">
      <w:pPr>
        <w:spacing w:line="288" w:lineRule="auto"/>
        <w:ind w:firstLine="720"/>
        <w:rPr>
          <w:rFonts w:ascii="Century Schoolbook" w:hAnsi="Century Schoolbook"/>
          <w:sz w:val="26"/>
          <w:szCs w:val="26"/>
        </w:rPr>
      </w:pPr>
      <w:r w:rsidRPr="00C46631">
        <w:rPr>
          <w:rFonts w:ascii="Century Schoolbook" w:hAnsi="Century Schoolbook"/>
          <w:sz w:val="26"/>
          <w:szCs w:val="26"/>
        </w:rPr>
        <w:t>Although these foreseeability factors are “</w:t>
      </w:r>
      <w:r w:rsidR="00E27304">
        <w:rPr>
          <w:rFonts w:ascii="Century Schoolbook" w:hAnsi="Century Schoolbook"/>
          <w:sz w:val="26"/>
          <w:szCs w:val="26"/>
        </w:rPr>
        <w:t>‘</w:t>
      </w:r>
      <w:r w:rsidRPr="00C46631">
        <w:rPr>
          <w:rFonts w:ascii="Century Schoolbook" w:hAnsi="Century Schoolbook"/>
          <w:sz w:val="26"/>
          <w:szCs w:val="26"/>
        </w:rPr>
        <w:t>[t]he most important</w:t>
      </w:r>
      <w:r w:rsidR="00E27304">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629), foreseeability is not dispositive of the policy analysis and may be outweighed by the second category of </w:t>
      </w:r>
      <w:r w:rsidRPr="00C46631">
        <w:rPr>
          <w:rFonts w:ascii="Century Schoolbook" w:hAnsi="Century Schoolbook"/>
          <w:i/>
          <w:iCs/>
          <w:sz w:val="26"/>
          <w:szCs w:val="26"/>
        </w:rPr>
        <w:t xml:space="preserve">Rowland </w:t>
      </w:r>
      <w:r w:rsidRPr="00C46631">
        <w:rPr>
          <w:rFonts w:ascii="Century Schoolbook" w:hAnsi="Century Schoolbook"/>
          <w:sz w:val="26"/>
          <w:szCs w:val="26"/>
        </w:rPr>
        <w:t>factors.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 Cal.5th at p. 11</w:t>
      </w:r>
      <w:r w:rsidR="000577AA">
        <w:rPr>
          <w:rFonts w:ascii="Century Schoolbook" w:hAnsi="Century Schoolbook"/>
          <w:sz w:val="26"/>
          <w:szCs w:val="26"/>
        </w:rPr>
        <w:t>49</w:t>
      </w:r>
      <w:r w:rsidRPr="00C46631">
        <w:rPr>
          <w:rFonts w:ascii="Century Schoolbook" w:hAnsi="Century Schoolbook"/>
          <w:sz w:val="26"/>
          <w:szCs w:val="26"/>
        </w:rPr>
        <w:t xml:space="preserve"> [“</w:t>
      </w:r>
      <w:r w:rsidR="000577AA">
        <w:rPr>
          <w:rFonts w:ascii="Century Schoolbook" w:hAnsi="Century Schoolbook"/>
          <w:sz w:val="26"/>
          <w:szCs w:val="26"/>
        </w:rPr>
        <w:t>‘[f]</w:t>
      </w:r>
      <w:r w:rsidRPr="00C46631">
        <w:rPr>
          <w:rFonts w:ascii="Century Schoolbook" w:hAnsi="Century Schoolbook"/>
          <w:sz w:val="26"/>
          <w:szCs w:val="26"/>
        </w:rPr>
        <w:t>oreseeability alone is not sufficient</w:t>
      </w:r>
      <w:r w:rsidR="000577AA">
        <w:rPr>
          <w:rFonts w:ascii="Century Schoolbook" w:hAnsi="Century Schoolbook"/>
          <w:sz w:val="26"/>
          <w:szCs w:val="26"/>
        </w:rPr>
        <w:t>’</w:t>
      </w:r>
      <w:r w:rsidRPr="00C46631">
        <w:rPr>
          <w:rFonts w:ascii="Century Schoolbook" w:hAnsi="Century Schoolbook"/>
          <w:sz w:val="26"/>
          <w:szCs w:val="26"/>
        </w:rPr>
        <w:t xml:space="preserve">”]; accord,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w:t>
      </w:r>
      <w:r w:rsidR="00B21E54">
        <w:rPr>
          <w:rFonts w:ascii="Century Schoolbook" w:hAnsi="Century Schoolbook"/>
          <w:sz w:val="26"/>
          <w:szCs w:val="26"/>
        </w:rPr>
        <w:t>p</w:t>
      </w:r>
      <w:r w:rsidRPr="00C46631">
        <w:rPr>
          <w:rFonts w:ascii="Century Schoolbook" w:hAnsi="Century Schoolbook"/>
          <w:sz w:val="26"/>
          <w:szCs w:val="26"/>
        </w:rPr>
        <w:t xml:space="preserve">. </w:t>
      </w:r>
      <w:r w:rsidR="00B21E54">
        <w:rPr>
          <w:rFonts w:ascii="Century Schoolbook" w:hAnsi="Century Schoolbook"/>
          <w:sz w:val="26"/>
          <w:szCs w:val="26"/>
        </w:rPr>
        <w:t>633-</w:t>
      </w:r>
      <w:r w:rsidRPr="00C46631">
        <w:rPr>
          <w:rFonts w:ascii="Century Schoolbook" w:hAnsi="Century Schoolbook"/>
          <w:sz w:val="26"/>
          <w:szCs w:val="26"/>
        </w:rPr>
        <w:t xml:space="preserve">634 [although it is foreseeable that students could hurt </w:t>
      </w:r>
      <w:r w:rsidRPr="00C46631">
        <w:rPr>
          <w:rFonts w:ascii="Century Schoolbook" w:hAnsi="Century Schoolbook"/>
          <w:i/>
          <w:iCs/>
          <w:sz w:val="26"/>
          <w:szCs w:val="26"/>
        </w:rPr>
        <w:t>anyone</w:t>
      </w:r>
      <w:r w:rsidRPr="00C46631">
        <w:rPr>
          <w:rFonts w:ascii="Century Schoolbook" w:hAnsi="Century Schoolbook"/>
          <w:sz w:val="26"/>
          <w:szCs w:val="26"/>
        </w:rPr>
        <w:t xml:space="preserve">, a university’s duty to protect is confined to other registered students]; </w:t>
      </w:r>
      <w:r w:rsidRPr="00C46631">
        <w:rPr>
          <w:rFonts w:ascii="Century Schoolbook" w:hAnsi="Century Schoolbook"/>
          <w:i/>
          <w:iCs/>
          <w:sz w:val="26"/>
          <w:szCs w:val="26"/>
        </w:rPr>
        <w:t>Kesner</w:t>
      </w:r>
      <w:r w:rsidRPr="00D42E17">
        <w:rPr>
          <w:rFonts w:ascii="Century Schoolbook" w:hAnsi="Century Schoolbook"/>
          <w:sz w:val="26"/>
          <w:szCs w:val="26"/>
        </w:rPr>
        <w:t xml:space="preserve">, </w:t>
      </w:r>
      <w:r w:rsidRPr="00C46631">
        <w:rPr>
          <w:rFonts w:ascii="Century Schoolbook" w:hAnsi="Century Schoolbook"/>
          <w:sz w:val="26"/>
          <w:szCs w:val="26"/>
        </w:rPr>
        <w:t>at pp. 1154-1155 [although it is foreseeable that anyone may be harmed by asbestos carried home from the workplace by an employee, an employer’s duty to protect is confined to the employee’s household members].)  Those factors ask whether “</w:t>
      </w:r>
      <w:r w:rsidR="00482379">
        <w:rPr>
          <w:rFonts w:ascii="Century Schoolbook" w:hAnsi="Century Schoolbook"/>
          <w:sz w:val="26"/>
          <w:szCs w:val="26"/>
        </w:rPr>
        <w:t>‘</w:t>
      </w:r>
      <w:r w:rsidRPr="00C46631">
        <w:rPr>
          <w:rFonts w:ascii="Century Schoolbook" w:hAnsi="Century Schoolbook"/>
          <w:sz w:val="26"/>
          <w:szCs w:val="26"/>
        </w:rPr>
        <w:t>the social utility of the activity concerned is so great, and avoidance of the injuries so burdensome to society, as to outweigh the compensatory and cost-internalization values of negligence liability.</w:t>
      </w:r>
      <w:r w:rsidR="00482379">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 1150.)  In other words, they ask whether recognizing the duty “would deter socially beneficial behavior.”  (</w:t>
      </w:r>
      <w:r w:rsidRPr="00C46631">
        <w:rPr>
          <w:rFonts w:ascii="Century Schoolbook" w:hAnsi="Century Schoolbook"/>
          <w:i/>
          <w:iCs/>
          <w:sz w:val="26"/>
          <w:szCs w:val="26"/>
        </w:rPr>
        <w:t>Kuciemba</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14 Cal.5th at p. 1028.)  </w:t>
      </w:r>
      <w:r w:rsidRPr="00C46631">
        <w:rPr>
          <w:rFonts w:ascii="Century Schoolbook" w:hAnsi="Century Schoolbook"/>
          <w:i/>
          <w:iCs/>
          <w:sz w:val="26"/>
          <w:szCs w:val="26"/>
        </w:rPr>
        <w:t xml:space="preserve">Rowland </w:t>
      </w:r>
      <w:r w:rsidRPr="00C46631">
        <w:rPr>
          <w:rFonts w:ascii="Century Schoolbook" w:hAnsi="Century Schoolbook"/>
          <w:sz w:val="26"/>
          <w:szCs w:val="26"/>
        </w:rPr>
        <w:t xml:space="preserve">identifies four of these countervailing policy considerations: (1) the moral blame attaching to the defendant’s conduct, which is “typically found when the defendant reaps a financial benefit from the risks it </w:t>
      </w:r>
      <w:r w:rsidR="00F828BF">
        <w:rPr>
          <w:rFonts w:ascii="Century Schoolbook" w:hAnsi="Century Schoolbook"/>
          <w:sz w:val="26"/>
          <w:szCs w:val="26"/>
        </w:rPr>
        <w:t xml:space="preserve">has </w:t>
      </w:r>
      <w:r w:rsidRPr="00C46631">
        <w:rPr>
          <w:rFonts w:ascii="Century Schoolbook" w:hAnsi="Century Schoolbook"/>
          <w:sz w:val="26"/>
          <w:szCs w:val="26"/>
        </w:rPr>
        <w:t>created” (</w:t>
      </w:r>
      <w:r w:rsidRPr="00C46631">
        <w:rPr>
          <w:rFonts w:ascii="Century Schoolbook" w:hAnsi="Century Schoolbook"/>
          <w:i/>
          <w:iCs/>
          <w:sz w:val="26"/>
          <w:szCs w:val="26"/>
        </w:rPr>
        <w:t>Kuciemba</w:t>
      </w:r>
      <w:r w:rsidRPr="00C46631">
        <w:rPr>
          <w:rFonts w:ascii="Century Schoolbook" w:hAnsi="Century Schoolbook"/>
          <w:sz w:val="26"/>
          <w:szCs w:val="26"/>
        </w:rPr>
        <w:t>, at p. 1025)</w:t>
      </w:r>
      <w:r w:rsidR="00612318">
        <w:rPr>
          <w:rFonts w:ascii="Century Schoolbook" w:hAnsi="Century Schoolbook"/>
          <w:sz w:val="26"/>
          <w:szCs w:val="26"/>
        </w:rPr>
        <w:t>;</w:t>
      </w:r>
      <w:r w:rsidRPr="00C46631">
        <w:rPr>
          <w:rFonts w:ascii="Century Schoolbook" w:hAnsi="Century Schoolbook"/>
          <w:sz w:val="26"/>
          <w:szCs w:val="26"/>
        </w:rPr>
        <w:t xml:space="preserve"> (2) whether liability will “prevent[] future harm,” which looks to “both the positive and the negative societ</w:t>
      </w:r>
      <w:r w:rsidR="000B504E">
        <w:rPr>
          <w:rFonts w:ascii="Century Schoolbook" w:hAnsi="Century Schoolbook"/>
          <w:sz w:val="26"/>
          <w:szCs w:val="26"/>
        </w:rPr>
        <w:t>al</w:t>
      </w:r>
      <w:r w:rsidRPr="00C46631">
        <w:rPr>
          <w:rFonts w:ascii="Century Schoolbook" w:hAnsi="Century Schoolbook"/>
          <w:sz w:val="26"/>
          <w:szCs w:val="26"/>
        </w:rPr>
        <w:t xml:space="preserve"> consequences of recognizing a tort duty” in terms of how the imposition of liability </w:t>
      </w:r>
      <w:r w:rsidR="00536507">
        <w:rPr>
          <w:rFonts w:ascii="Century Schoolbook" w:hAnsi="Century Schoolbook"/>
          <w:sz w:val="26"/>
          <w:szCs w:val="26"/>
        </w:rPr>
        <w:t>is likely to</w:t>
      </w:r>
      <w:r w:rsidRPr="00C46631">
        <w:rPr>
          <w:rFonts w:ascii="Century Schoolbook" w:hAnsi="Century Schoolbook"/>
          <w:sz w:val="26"/>
          <w:szCs w:val="26"/>
        </w:rPr>
        <w:t xml:space="preserve"> play out (</w:t>
      </w:r>
      <w:r w:rsidRPr="00C46631">
        <w:rPr>
          <w:rFonts w:ascii="Century Schoolbook" w:hAnsi="Century Schoolbook"/>
          <w:i/>
          <w:iCs/>
          <w:sz w:val="26"/>
          <w:szCs w:val="26"/>
        </w:rPr>
        <w:t>id.</w:t>
      </w:r>
      <w:r w:rsidRPr="00C46631">
        <w:rPr>
          <w:rFonts w:ascii="Century Schoolbook" w:hAnsi="Century Schoolbook"/>
          <w:sz w:val="26"/>
          <w:szCs w:val="26"/>
        </w:rPr>
        <w:t xml:space="preserve"> at pp. 1021-1022, 102</w:t>
      </w:r>
      <w:r w:rsidR="00C24E44">
        <w:rPr>
          <w:rFonts w:ascii="Century Schoolbook" w:hAnsi="Century Schoolbook"/>
          <w:sz w:val="26"/>
          <w:szCs w:val="26"/>
        </w:rPr>
        <w:t>6</w:t>
      </w:r>
      <w:r w:rsidRPr="00C46631">
        <w:rPr>
          <w:rFonts w:ascii="Century Schoolbook" w:hAnsi="Century Schoolbook"/>
          <w:sz w:val="26"/>
          <w:szCs w:val="26"/>
        </w:rPr>
        <w:t xml:space="preserve">;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 xml:space="preserve">da v. Olsher </w:t>
      </w:r>
      <w:r w:rsidRPr="00C46631">
        <w:rPr>
          <w:rFonts w:ascii="Century Schoolbook" w:hAnsi="Century Schoolbook"/>
          <w:sz w:val="26"/>
          <w:szCs w:val="26"/>
        </w:rPr>
        <w:t>(2007) 41 Cal.4th 1205, 1217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C46631">
        <w:rPr>
          <w:rFonts w:ascii="Century Schoolbook" w:hAnsi="Century Schoolbook"/>
          <w:sz w:val="26"/>
          <w:szCs w:val="26"/>
        </w:rPr>
        <w:t>))</w:t>
      </w:r>
      <w:r w:rsidR="00612318">
        <w:rPr>
          <w:rFonts w:ascii="Century Schoolbook" w:hAnsi="Century Schoolbook"/>
          <w:sz w:val="26"/>
          <w:szCs w:val="26"/>
        </w:rPr>
        <w:t>;</w:t>
      </w:r>
      <w:r w:rsidRPr="00C46631">
        <w:rPr>
          <w:rFonts w:ascii="Century Schoolbook" w:hAnsi="Century Schoolbook"/>
          <w:sz w:val="26"/>
          <w:szCs w:val="26"/>
        </w:rPr>
        <w:t xml:space="preserve"> (3) the “</w:t>
      </w:r>
      <w:r w:rsidR="003D3BB7">
        <w:rPr>
          <w:rFonts w:ascii="Century Schoolbook" w:hAnsi="Century Schoolbook"/>
          <w:sz w:val="26"/>
          <w:szCs w:val="26"/>
        </w:rPr>
        <w:t>‘</w:t>
      </w:r>
      <w:r w:rsidRPr="00C46631">
        <w:rPr>
          <w:rFonts w:ascii="Century Schoolbook" w:hAnsi="Century Schoolbook"/>
          <w:sz w:val="26"/>
          <w:szCs w:val="26"/>
        </w:rPr>
        <w:t>extent of the burden to the defendant and consequences to the community of imposing a duty . . . with resulting liability for breach</w:t>
      </w:r>
      <w:r w:rsidR="003D3BB7">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D42E17">
        <w:rPr>
          <w:rFonts w:ascii="Century Schoolbook" w:hAnsi="Century Schoolbook"/>
          <w:i/>
          <w:iCs/>
          <w:sz w:val="26"/>
          <w:szCs w:val="26"/>
        </w:rPr>
        <w:t>supra</w:t>
      </w:r>
      <w:r w:rsidRPr="00C46631">
        <w:rPr>
          <w:rFonts w:ascii="Century Schoolbook" w:hAnsi="Century Schoolbook"/>
          <w:sz w:val="26"/>
          <w:szCs w:val="26"/>
        </w:rPr>
        <w:t>, 7 Cal.5th at p. 398), including whether recognizing tort liability “would impose enormous and unprecedented financial burdens” on likely defendants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at </w:t>
      </w:r>
      <w:r w:rsidR="00C976E9">
        <w:rPr>
          <w:rFonts w:ascii="Century Schoolbook" w:hAnsi="Century Schoolbook"/>
          <w:sz w:val="26"/>
          <w:szCs w:val="26"/>
        </w:rPr>
        <w:t xml:space="preserve">pp. 1027, </w:t>
      </w:r>
      <w:r w:rsidRPr="00C46631">
        <w:rPr>
          <w:rFonts w:ascii="Century Schoolbook" w:hAnsi="Century Schoolbook"/>
          <w:sz w:val="26"/>
          <w:szCs w:val="26"/>
        </w:rPr>
        <w:t>1021-1022)</w:t>
      </w:r>
      <w:r w:rsidR="00612318">
        <w:rPr>
          <w:rFonts w:ascii="Century Schoolbook" w:hAnsi="Century Schoolbook"/>
          <w:sz w:val="26"/>
          <w:szCs w:val="26"/>
        </w:rPr>
        <w:t>;</w:t>
      </w:r>
      <w:r w:rsidRPr="00C46631">
        <w:rPr>
          <w:rFonts w:ascii="Century Schoolbook" w:hAnsi="Century Schoolbook"/>
          <w:sz w:val="26"/>
          <w:szCs w:val="26"/>
        </w:rPr>
        <w:t xml:space="preserve"> and (4) the availability of insurance (</w:t>
      </w:r>
      <w:r w:rsidRPr="00C46631">
        <w:rPr>
          <w:rFonts w:ascii="Century Schoolbook" w:hAnsi="Century Schoolbook"/>
          <w:i/>
          <w:iCs/>
          <w:sz w:val="26"/>
          <w:szCs w:val="26"/>
        </w:rPr>
        <w:t xml:space="preserve">id. </w:t>
      </w:r>
      <w:r w:rsidRPr="00C46631">
        <w:rPr>
          <w:rFonts w:ascii="Century Schoolbook" w:hAnsi="Century Schoolbook"/>
          <w:sz w:val="26"/>
          <w:szCs w:val="26"/>
        </w:rPr>
        <w:t>at pp. 1021-1022).</w:t>
      </w:r>
    </w:p>
    <w:p w:rsidR="00C46631" w:rsidRPr="00C46631" w:rsidP="00C46631" w14:paraId="61EBB413" w14:textId="77777777">
      <w:pPr>
        <w:spacing w:line="288" w:lineRule="auto"/>
        <w:ind w:firstLine="720"/>
        <w:rPr>
          <w:rFonts w:ascii="Century Schoolbook" w:hAnsi="Century Schoolbook"/>
          <w:sz w:val="26"/>
          <w:szCs w:val="26"/>
        </w:rPr>
      </w:pPr>
      <w:r w:rsidRPr="00C46631">
        <w:rPr>
          <w:rFonts w:ascii="Century Schoolbook" w:hAnsi="Century Schoolbook"/>
          <w:b/>
          <w:bCs/>
          <w:sz w:val="26"/>
          <w:szCs w:val="26"/>
        </w:rPr>
        <w:t>B.</w:t>
      </w:r>
      <w:r w:rsidRPr="00C46631">
        <w:rPr>
          <w:rFonts w:ascii="Century Schoolbook" w:hAnsi="Century Schoolbook"/>
          <w:b/>
          <w:bCs/>
          <w:sz w:val="26"/>
          <w:szCs w:val="26"/>
        </w:rPr>
        <w:tab/>
      </w:r>
      <w:r w:rsidRPr="00C46631">
        <w:rPr>
          <w:rFonts w:ascii="Century Schoolbook" w:hAnsi="Century Schoolbook"/>
          <w:b/>
          <w:bCs/>
          <w:i/>
          <w:iCs/>
          <w:sz w:val="26"/>
          <w:szCs w:val="26"/>
        </w:rPr>
        <w:t>Application</w:t>
      </w:r>
    </w:p>
    <w:p w:rsidR="00C46631" w:rsidRPr="00C46631" w:rsidP="00C46631" w14:paraId="2A682940" w14:textId="15047308">
      <w:pPr>
        <w:spacing w:line="288" w:lineRule="auto"/>
        <w:ind w:firstLine="720"/>
        <w:rPr>
          <w:rFonts w:ascii="Century Schoolbook" w:hAnsi="Century Schoolbook"/>
          <w:sz w:val="26"/>
          <w:szCs w:val="26"/>
        </w:rPr>
      </w:pPr>
      <w:r w:rsidRPr="00C46631">
        <w:rPr>
          <w:rFonts w:ascii="Century Schoolbook" w:hAnsi="Century Schoolbook"/>
          <w:sz w:val="26"/>
          <w:szCs w:val="26"/>
        </w:rPr>
        <w:t>Because the Lanterman Act does not explicitly create a duty running from a regional center to the employees of the residential facilities where consumers are placed,</w:t>
      </w:r>
      <w:r>
        <w:rPr>
          <w:rFonts w:ascii="Century Schoolbook" w:hAnsi="Century Schoolbook"/>
          <w:b/>
          <w:bCs/>
          <w:sz w:val="26"/>
          <w:szCs w:val="26"/>
          <w:vertAlign w:val="superscript"/>
        </w:rPr>
        <w:footnoteReference w:id="6"/>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the question presented </w:t>
      </w:r>
      <w:r w:rsidR="000B504E">
        <w:rPr>
          <w:rFonts w:ascii="Century Schoolbook" w:hAnsi="Century Schoolbook"/>
          <w:sz w:val="26"/>
          <w:szCs w:val="26"/>
        </w:rPr>
        <w:t>here</w:t>
      </w:r>
      <w:r w:rsidRPr="00C46631">
        <w:rPr>
          <w:rFonts w:ascii="Century Schoolbook" w:hAnsi="Century Schoolbook"/>
          <w:sz w:val="26"/>
          <w:szCs w:val="26"/>
        </w:rPr>
        <w:t xml:space="preserve"> boils down to this:  Does a regional center</w:t>
      </w:r>
      <w:r w:rsidR="00B8204F">
        <w:rPr>
          <w:rFonts w:ascii="Century Schoolbook" w:hAnsi="Century Schoolbook"/>
          <w:sz w:val="26"/>
          <w:szCs w:val="26"/>
        </w:rPr>
        <w:t xml:space="preserve"> have a special relationship with the consumers it serves that gives rise to </w:t>
      </w:r>
      <w:r w:rsidRPr="00C46631">
        <w:rPr>
          <w:rFonts w:ascii="Century Schoolbook" w:hAnsi="Century Schoolbook"/>
          <w:sz w:val="26"/>
          <w:szCs w:val="26"/>
        </w:rPr>
        <w:t>a legal duty of care</w:t>
      </w:r>
      <w:r w:rsidR="00B8204F">
        <w:rPr>
          <w:rFonts w:ascii="Century Schoolbook" w:hAnsi="Century Schoolbook"/>
          <w:sz w:val="26"/>
          <w:szCs w:val="26"/>
        </w:rPr>
        <w:t xml:space="preserve"> owed by </w:t>
      </w:r>
      <w:r w:rsidR="004D7B30">
        <w:rPr>
          <w:rFonts w:ascii="Century Schoolbook" w:hAnsi="Century Schoolbook"/>
          <w:sz w:val="26"/>
          <w:szCs w:val="26"/>
        </w:rPr>
        <w:t>the</w:t>
      </w:r>
      <w:r w:rsidR="00B8204F">
        <w:rPr>
          <w:rFonts w:ascii="Century Schoolbook" w:hAnsi="Century Schoolbook"/>
          <w:sz w:val="26"/>
          <w:szCs w:val="26"/>
        </w:rPr>
        <w:t xml:space="preserve"> center</w:t>
      </w:r>
      <w:r w:rsidRPr="00C46631">
        <w:rPr>
          <w:rFonts w:ascii="Century Schoolbook" w:hAnsi="Century Schoolbook"/>
          <w:sz w:val="26"/>
          <w:szCs w:val="26"/>
        </w:rPr>
        <w:t xml:space="preserve"> to th</w:t>
      </w:r>
      <w:r w:rsidR="004D7B30">
        <w:rPr>
          <w:rFonts w:ascii="Century Schoolbook" w:hAnsi="Century Schoolbook"/>
          <w:sz w:val="26"/>
          <w:szCs w:val="26"/>
        </w:rPr>
        <w:t>e</w:t>
      </w:r>
      <w:r w:rsidRPr="00C46631">
        <w:rPr>
          <w:rFonts w:ascii="Century Schoolbook" w:hAnsi="Century Schoolbook"/>
          <w:sz w:val="26"/>
          <w:szCs w:val="26"/>
        </w:rPr>
        <w:t xml:space="preserve"> employees of residential facilit</w:t>
      </w:r>
      <w:r w:rsidR="004D7B30">
        <w:rPr>
          <w:rFonts w:ascii="Century Schoolbook" w:hAnsi="Century Schoolbook"/>
          <w:sz w:val="26"/>
          <w:szCs w:val="26"/>
        </w:rPr>
        <w:t>ies that house the consumers</w:t>
      </w:r>
      <w:r w:rsidRPr="00C46631">
        <w:rPr>
          <w:rFonts w:ascii="Century Schoolbook" w:hAnsi="Century Schoolbook"/>
          <w:sz w:val="26"/>
          <w:szCs w:val="26"/>
        </w:rPr>
        <w:t xml:space="preserve"> when the center does not immediately relocate a consumer after the facility has so requested?</w:t>
      </w:r>
      <w:r>
        <w:rPr>
          <w:rStyle w:val="FootnoteReference"/>
          <w:rFonts w:ascii="Century Schoolbook" w:hAnsi="Century Schoolbook"/>
          <w:b/>
          <w:bCs/>
          <w:szCs w:val="26"/>
        </w:rPr>
        <w:footnoteReference w:id="7"/>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 </w:t>
      </w:r>
    </w:p>
    <w:p w:rsidR="00C46631" w:rsidRPr="00C46631" w:rsidP="00C46631" w14:paraId="790348C0"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We conclude that the answer is “no,” and do so for three reasons.</w:t>
      </w:r>
    </w:p>
    <w:p w:rsidR="00C46631" w:rsidRPr="00C46631" w:rsidP="00C46631" w14:paraId="0E0AD90D" w14:textId="071CB9A8">
      <w:pPr>
        <w:spacing w:line="288" w:lineRule="auto"/>
        <w:rPr>
          <w:rFonts w:ascii="Century Schoolbook" w:hAnsi="Century Schoolbook"/>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1.</w:t>
      </w:r>
      <w:r w:rsidRPr="00C46631">
        <w:rPr>
          <w:rFonts w:ascii="Century Schoolbook" w:hAnsi="Century Schoolbook"/>
          <w:sz w:val="26"/>
          <w:szCs w:val="26"/>
        </w:rPr>
        <w:tab/>
      </w:r>
      <w:r w:rsidRPr="00C46631">
        <w:rPr>
          <w:rFonts w:ascii="Century Schoolbook" w:hAnsi="Century Schoolbook"/>
          <w:i/>
          <w:iCs/>
          <w:sz w:val="26"/>
          <w:szCs w:val="26"/>
        </w:rPr>
        <w:t>The Regional Center lacks the ability—and hence the duty—to control J.C.</w:t>
      </w:r>
    </w:p>
    <w:p w:rsidR="007906E5" w:rsidP="00C46631" w14:paraId="0F664BAC" w14:textId="047A10B5">
      <w:pPr>
        <w:spacing w:line="288" w:lineRule="auto"/>
        <w:ind w:firstLine="720"/>
        <w:rPr>
          <w:rFonts w:ascii="Century Schoolbook" w:hAnsi="Century Schoolbook"/>
          <w:sz w:val="26"/>
          <w:szCs w:val="26"/>
        </w:rPr>
      </w:pPr>
      <w:r w:rsidRPr="00C46631">
        <w:rPr>
          <w:rFonts w:ascii="Century Schoolbook" w:hAnsi="Century Schoolbook"/>
          <w:sz w:val="26"/>
          <w:szCs w:val="26"/>
        </w:rPr>
        <w:t>The undisputed facts establish that the Regional Center does not have the ability to control J.C.</w:t>
      </w:r>
      <w:r>
        <w:rPr>
          <w:rFonts w:ascii="Century Schoolbook" w:hAnsi="Century Schoolbook"/>
          <w:sz w:val="26"/>
          <w:szCs w:val="26"/>
        </w:rPr>
        <w:t xml:space="preserve"> and, therefore, no special relationship exists </w:t>
      </w:r>
      <w:r w:rsidR="002C7E02">
        <w:rPr>
          <w:rFonts w:ascii="Century Schoolbook" w:hAnsi="Century Schoolbook"/>
          <w:sz w:val="26"/>
          <w:szCs w:val="26"/>
        </w:rPr>
        <w:t xml:space="preserve">between the Regional Center and J.C. </w:t>
      </w:r>
      <w:r>
        <w:rPr>
          <w:rFonts w:ascii="Century Schoolbook" w:hAnsi="Century Schoolbook"/>
          <w:sz w:val="26"/>
          <w:szCs w:val="26"/>
        </w:rPr>
        <w:t>that could give rise to a</w:t>
      </w:r>
      <w:r w:rsidR="00D53A73">
        <w:rPr>
          <w:rFonts w:ascii="Century Schoolbook" w:hAnsi="Century Schoolbook"/>
          <w:sz w:val="26"/>
          <w:szCs w:val="26"/>
        </w:rPr>
        <w:t xml:space="preserve"> </w:t>
      </w:r>
      <w:r>
        <w:rPr>
          <w:rFonts w:ascii="Century Schoolbook" w:hAnsi="Century Schoolbook"/>
          <w:sz w:val="26"/>
          <w:szCs w:val="26"/>
        </w:rPr>
        <w:t>duty.</w:t>
      </w:r>
    </w:p>
    <w:p w:rsidR="00C46631" w:rsidRPr="00C46631" w:rsidP="00C46631" w14:paraId="51357F65" w14:textId="186BDADA">
      <w:pPr>
        <w:spacing w:line="288" w:lineRule="auto"/>
        <w:ind w:firstLine="720"/>
        <w:rPr>
          <w:rFonts w:ascii="Century Schoolbook" w:hAnsi="Century Schoolbook"/>
          <w:sz w:val="26"/>
          <w:szCs w:val="26"/>
        </w:rPr>
      </w:pPr>
      <w:r w:rsidRPr="00C46631">
        <w:rPr>
          <w:rFonts w:ascii="Century Schoolbook" w:hAnsi="Century Schoolbook"/>
          <w:sz w:val="26"/>
          <w:szCs w:val="26"/>
        </w:rPr>
        <w:t>The Regional Center stands in a service coordinator-consumer relationship with J.C., which is not a relationship which inherently involves the former’s control over the latter.  The Regional Center also does not have the ability to control J.C.’s environment, which is owned and operated by Hargis Ho</w:t>
      </w:r>
      <w:r w:rsidR="005F267C">
        <w:rPr>
          <w:rFonts w:ascii="Century Schoolbook" w:hAnsi="Century Schoolbook"/>
          <w:sz w:val="26"/>
          <w:szCs w:val="26"/>
        </w:rPr>
        <w:t>m</w:t>
      </w:r>
      <w:r w:rsidRPr="00C46631">
        <w:rPr>
          <w:rFonts w:ascii="Century Schoolbook" w:hAnsi="Century Schoolbook"/>
          <w:sz w:val="26"/>
          <w:szCs w:val="26"/>
        </w:rPr>
        <w:t>e.  Although landlords (and schools) may have a duty to protect one tenant (or student) from another by virtue of their control over the premises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41 Cal.4th at pp. 1219-1220 [landlord]; </w:t>
      </w:r>
      <w:r w:rsidRPr="00C46631">
        <w:rPr>
          <w:rFonts w:ascii="Century Schoolbook" w:hAnsi="Century Schoolbook"/>
          <w:i/>
          <w:iCs/>
          <w:sz w:val="26"/>
          <w:szCs w:val="26"/>
        </w:rPr>
        <w:t>Andrews v. Mobile Air</w:t>
      </w:r>
      <w:r w:rsidR="00310B9F">
        <w:rPr>
          <w:rFonts w:ascii="Century Schoolbook" w:hAnsi="Century Schoolbook"/>
          <w:i/>
          <w:iCs/>
          <w:sz w:val="26"/>
          <w:szCs w:val="26"/>
        </w:rPr>
        <w:t>e</w:t>
      </w:r>
      <w:r w:rsidRPr="00C46631">
        <w:rPr>
          <w:rFonts w:ascii="Century Schoolbook" w:hAnsi="Century Schoolbook"/>
          <w:i/>
          <w:iCs/>
          <w:sz w:val="26"/>
          <w:szCs w:val="26"/>
        </w:rPr>
        <w:t xml:space="preserve"> Estates </w:t>
      </w:r>
      <w:r w:rsidRPr="00C46631">
        <w:rPr>
          <w:rFonts w:ascii="Century Schoolbook" w:hAnsi="Century Schoolbook"/>
          <w:sz w:val="26"/>
          <w:szCs w:val="26"/>
        </w:rPr>
        <w:t xml:space="preserve">(2005) 125 Cal.App.4th 578, 596 [same]; </w:t>
      </w:r>
      <w:r w:rsidRPr="00C46631">
        <w:rPr>
          <w:rFonts w:ascii="Century Schoolbook" w:hAnsi="Century Schoolbook"/>
          <w:i/>
          <w:iCs/>
          <w:sz w:val="26"/>
          <w:szCs w:val="26"/>
        </w:rPr>
        <w:t>Madhani v. Cooper</w:t>
      </w:r>
      <w:r w:rsidRPr="00C46631">
        <w:rPr>
          <w:rFonts w:ascii="Century Schoolbook" w:hAnsi="Century Schoolbook"/>
          <w:sz w:val="26"/>
          <w:szCs w:val="26"/>
        </w:rPr>
        <w:t xml:space="preserve"> (2003) 106 Cal.App.4th 412, 413-415 [same];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634 [university]; </w:t>
      </w:r>
      <w:r w:rsidRPr="00C46631">
        <w:rPr>
          <w:rFonts w:ascii="Century Schoolbook" w:hAnsi="Century Schoolbook"/>
          <w:i/>
          <w:iCs/>
          <w:sz w:val="26"/>
          <w:szCs w:val="26"/>
        </w:rPr>
        <w:t>Peterson v. San Francisco Community College Dist.</w:t>
      </w:r>
      <w:r w:rsidRPr="00C46631">
        <w:rPr>
          <w:rFonts w:ascii="Century Schoolbook" w:hAnsi="Century Schoolbook"/>
          <w:sz w:val="26"/>
          <w:szCs w:val="26"/>
        </w:rPr>
        <w:t xml:space="preserve"> (1984) 36 Cal.3d 799, 805-806 [community college]), the Regional Center is neither a landlord nor an academic institution. </w:t>
      </w:r>
    </w:p>
    <w:p w:rsidR="00C46631" w:rsidRPr="00C46631" w:rsidP="00C46631" w14:paraId="0C651DF6" w14:textId="4D35F3C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More to the point of the current iteration </w:t>
      </w:r>
      <w:r w:rsidR="007906E5">
        <w:rPr>
          <w:rFonts w:ascii="Century Schoolbook" w:hAnsi="Century Schoolbook"/>
          <w:sz w:val="26"/>
          <w:szCs w:val="26"/>
        </w:rPr>
        <w:t xml:space="preserve">of </w:t>
      </w:r>
      <w:r w:rsidRPr="00C46631">
        <w:rPr>
          <w:rFonts w:ascii="Century Schoolbook" w:hAnsi="Century Schoolbook"/>
          <w:sz w:val="26"/>
          <w:szCs w:val="26"/>
        </w:rPr>
        <w:t xml:space="preserve">plaintiff’s claim, and contrary to what plaintiff asserts, the undisputed facts establish that the Regional Center does not have the </w:t>
      </w:r>
      <w:r w:rsidR="006048A1">
        <w:rPr>
          <w:rFonts w:ascii="Century Schoolbook" w:hAnsi="Century Schoolbook"/>
          <w:sz w:val="26"/>
          <w:szCs w:val="26"/>
        </w:rPr>
        <w:t xml:space="preserve">sole (or, as plaintiff states, </w:t>
      </w:r>
      <w:r w:rsidRPr="00C46631">
        <w:rPr>
          <w:rFonts w:ascii="Century Schoolbook" w:hAnsi="Century Schoolbook"/>
          <w:sz w:val="26"/>
          <w:szCs w:val="26"/>
        </w:rPr>
        <w:t>“ultimate”</w:t>
      </w:r>
      <w:r w:rsidR="006048A1">
        <w:rPr>
          <w:rFonts w:ascii="Century Schoolbook" w:hAnsi="Century Schoolbook"/>
          <w:sz w:val="26"/>
          <w:szCs w:val="26"/>
        </w:rPr>
        <w:t>)</w:t>
      </w:r>
      <w:r w:rsidRPr="00C46631">
        <w:rPr>
          <w:rFonts w:ascii="Century Schoolbook" w:hAnsi="Century Schoolbook"/>
          <w:sz w:val="26"/>
          <w:szCs w:val="26"/>
        </w:rPr>
        <w:t xml:space="preserve"> ability to control J.C.’s placement among various facilities.  Regional centers are service </w:t>
      </w:r>
      <w:r w:rsidRPr="00C46631">
        <w:rPr>
          <w:rFonts w:ascii="Century Schoolbook" w:hAnsi="Century Schoolbook"/>
          <w:i/>
          <w:iCs/>
          <w:sz w:val="26"/>
          <w:szCs w:val="26"/>
        </w:rPr>
        <w:t>coordinators</w:t>
      </w:r>
      <w:r w:rsidRPr="00C46631">
        <w:rPr>
          <w:rFonts w:ascii="Century Schoolbook" w:hAnsi="Century Schoolbook"/>
          <w:sz w:val="26"/>
          <w:szCs w:val="26"/>
        </w:rPr>
        <w:t xml:space="preserve">; they do not themselves own or operate residential facilities.  Thus, when a consumer is to be relocated from one facility to another, the regional center must </w:t>
      </w:r>
      <w:r w:rsidR="007906E5">
        <w:rPr>
          <w:rFonts w:ascii="Century Schoolbook" w:hAnsi="Century Schoolbook"/>
          <w:sz w:val="26"/>
          <w:szCs w:val="26"/>
        </w:rPr>
        <w:t>identify</w:t>
      </w:r>
      <w:r w:rsidRPr="00C46631" w:rsidR="007906E5">
        <w:rPr>
          <w:rFonts w:ascii="Century Schoolbook" w:hAnsi="Century Schoolbook"/>
          <w:sz w:val="26"/>
          <w:szCs w:val="26"/>
        </w:rPr>
        <w:t xml:space="preserve"> </w:t>
      </w:r>
      <w:r w:rsidRPr="00C46631">
        <w:rPr>
          <w:rFonts w:ascii="Century Schoolbook" w:hAnsi="Century Schoolbook"/>
          <w:sz w:val="26"/>
          <w:szCs w:val="26"/>
        </w:rPr>
        <w:t xml:space="preserve">another facility able and willing to accept the consumer as a resident.  (Accord,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14 Cal.5th at p. 1026 [employer that cannot “fully control the risk of infection” not liable for infections that its employees bring home from work].)  </w:t>
      </w:r>
      <w:r w:rsidR="00643E03">
        <w:rPr>
          <w:rFonts w:ascii="Century Schoolbook" w:hAnsi="Century Schoolbook"/>
          <w:sz w:val="26"/>
          <w:szCs w:val="26"/>
        </w:rPr>
        <w:t xml:space="preserve">Contrary to what plaintiff </w:t>
      </w:r>
      <w:r w:rsidR="00AD531F">
        <w:rPr>
          <w:rFonts w:ascii="Century Schoolbook" w:hAnsi="Century Schoolbook"/>
          <w:sz w:val="26"/>
          <w:szCs w:val="26"/>
        </w:rPr>
        <w:t>asserted</w:t>
      </w:r>
      <w:r w:rsidR="00643E03">
        <w:rPr>
          <w:rFonts w:ascii="Century Schoolbook" w:hAnsi="Century Schoolbook"/>
          <w:sz w:val="26"/>
          <w:szCs w:val="26"/>
        </w:rPr>
        <w:t xml:space="preserve"> at oral argument, a regional center cannot unilaterally </w:t>
      </w:r>
      <w:r w:rsidR="00AD531F">
        <w:rPr>
          <w:rFonts w:ascii="Century Schoolbook" w:hAnsi="Century Schoolbook"/>
          <w:sz w:val="26"/>
          <w:szCs w:val="26"/>
        </w:rPr>
        <w:t>relocate</w:t>
      </w:r>
      <w:r w:rsidR="00643E03">
        <w:rPr>
          <w:rFonts w:ascii="Century Schoolbook" w:hAnsi="Century Schoolbook"/>
          <w:sz w:val="26"/>
          <w:szCs w:val="26"/>
        </w:rPr>
        <w:t xml:space="preserve"> a consumer to a mental institution; plaintiff cites no statute</w:t>
      </w:r>
      <w:r w:rsidR="00AD531F">
        <w:rPr>
          <w:rFonts w:ascii="Century Schoolbook" w:hAnsi="Century Schoolbook"/>
          <w:sz w:val="26"/>
          <w:szCs w:val="26"/>
        </w:rPr>
        <w:t xml:space="preserve"> or regulation</w:t>
      </w:r>
      <w:r w:rsidR="00643E03">
        <w:rPr>
          <w:rFonts w:ascii="Century Schoolbook" w:hAnsi="Century Schoolbook"/>
          <w:sz w:val="26"/>
          <w:szCs w:val="26"/>
        </w:rPr>
        <w:t xml:space="preserve"> providing such authority, and offered no evidence that the Regional Center had a practice of doing so </w:t>
      </w:r>
      <w:r w:rsidR="00AD531F">
        <w:rPr>
          <w:rFonts w:ascii="Century Schoolbook" w:hAnsi="Century Schoolbook"/>
          <w:sz w:val="26"/>
          <w:szCs w:val="26"/>
        </w:rPr>
        <w:t xml:space="preserve">for J.C. </w:t>
      </w:r>
      <w:r w:rsidR="00643E03">
        <w:rPr>
          <w:rFonts w:ascii="Century Schoolbook" w:hAnsi="Century Schoolbook"/>
          <w:sz w:val="26"/>
          <w:szCs w:val="26"/>
        </w:rPr>
        <w:t xml:space="preserve">in the past.  </w:t>
      </w:r>
      <w:r w:rsidRPr="00C46631">
        <w:rPr>
          <w:rFonts w:ascii="Century Schoolbook" w:hAnsi="Century Schoolbook"/>
          <w:sz w:val="26"/>
          <w:szCs w:val="26"/>
        </w:rPr>
        <w:t>Whether Hargis Ho</w:t>
      </w:r>
      <w:r w:rsidR="005F267C">
        <w:rPr>
          <w:rFonts w:ascii="Century Schoolbook" w:hAnsi="Century Schoolbook"/>
          <w:sz w:val="26"/>
          <w:szCs w:val="26"/>
        </w:rPr>
        <w:t>m</w:t>
      </w:r>
      <w:r w:rsidRPr="00C46631">
        <w:rPr>
          <w:rFonts w:ascii="Century Schoolbook" w:hAnsi="Century Schoolbook"/>
          <w:sz w:val="26"/>
          <w:szCs w:val="26"/>
        </w:rPr>
        <w:t xml:space="preserve">e </w:t>
      </w:r>
      <w:r w:rsidRPr="00C46631">
        <w:rPr>
          <w:rFonts w:ascii="Century Schoolbook" w:hAnsi="Century Schoolbook"/>
          <w:i/>
          <w:iCs/>
          <w:sz w:val="26"/>
          <w:szCs w:val="26"/>
        </w:rPr>
        <w:t>also</w:t>
      </w:r>
      <w:r w:rsidRPr="00C46631">
        <w:rPr>
          <w:rFonts w:ascii="Century Schoolbook" w:hAnsi="Century Schoolbook"/>
          <w:sz w:val="26"/>
          <w:szCs w:val="26"/>
        </w:rPr>
        <w:t xml:space="preserve"> had the power to evict J.C. is therefore beside the point, as it has no bearing on </w:t>
      </w:r>
      <w:r w:rsidRPr="00C46631">
        <w:rPr>
          <w:rFonts w:ascii="Century Schoolbook" w:hAnsi="Century Schoolbook"/>
          <w:i/>
          <w:iCs/>
          <w:sz w:val="26"/>
          <w:szCs w:val="26"/>
        </w:rPr>
        <w:t>the Regional Center</w:t>
      </w:r>
      <w:r w:rsidRPr="00C46631">
        <w:rPr>
          <w:rFonts w:ascii="Century Schoolbook" w:hAnsi="Century Schoolbook"/>
          <w:sz w:val="26"/>
          <w:szCs w:val="26"/>
        </w:rPr>
        <w:t>’s</w:t>
      </w:r>
      <w:r w:rsidRPr="00C46631">
        <w:rPr>
          <w:rFonts w:ascii="Century Schoolbook" w:hAnsi="Century Schoolbook"/>
          <w:i/>
          <w:iCs/>
          <w:sz w:val="26"/>
          <w:szCs w:val="26"/>
        </w:rPr>
        <w:t xml:space="preserve"> </w:t>
      </w:r>
      <w:r w:rsidRPr="00C46631">
        <w:rPr>
          <w:rFonts w:ascii="Century Schoolbook" w:hAnsi="Century Schoolbook"/>
          <w:sz w:val="26"/>
          <w:szCs w:val="26"/>
        </w:rPr>
        <w:t>ability to control J.C.’s placement; contrary to what plaintiff argues, Hargis Ho</w:t>
      </w:r>
      <w:r w:rsidR="005F267C">
        <w:rPr>
          <w:rFonts w:ascii="Century Schoolbook" w:hAnsi="Century Schoolbook"/>
          <w:sz w:val="26"/>
          <w:szCs w:val="26"/>
        </w:rPr>
        <w:t>m</w:t>
      </w:r>
      <w:r w:rsidRPr="00C46631">
        <w:rPr>
          <w:rFonts w:ascii="Century Schoolbook" w:hAnsi="Century Schoolbook"/>
          <w:sz w:val="26"/>
          <w:szCs w:val="26"/>
        </w:rPr>
        <w:t>e’s power to evict does not somehow imbue the Regional Center with control or otherwise ma</w:t>
      </w:r>
      <w:r w:rsidR="00F867B4">
        <w:rPr>
          <w:rFonts w:ascii="Century Schoolbook" w:hAnsi="Century Schoolbook"/>
          <w:sz w:val="26"/>
          <w:szCs w:val="26"/>
        </w:rPr>
        <w:t>k</w:t>
      </w:r>
      <w:r w:rsidRPr="00C46631">
        <w:rPr>
          <w:rFonts w:ascii="Century Schoolbook" w:hAnsi="Century Schoolbook"/>
          <w:sz w:val="26"/>
          <w:szCs w:val="26"/>
        </w:rPr>
        <w:t>e Hargis Ho</w:t>
      </w:r>
      <w:r w:rsidR="005F267C">
        <w:rPr>
          <w:rFonts w:ascii="Century Schoolbook" w:hAnsi="Century Schoolbook"/>
          <w:sz w:val="26"/>
          <w:szCs w:val="26"/>
        </w:rPr>
        <w:t>m</w:t>
      </w:r>
      <w:r w:rsidRPr="00C46631">
        <w:rPr>
          <w:rFonts w:ascii="Century Schoolbook" w:hAnsi="Century Schoolbook"/>
          <w:sz w:val="26"/>
          <w:szCs w:val="26"/>
        </w:rPr>
        <w:t xml:space="preserve">e and the Regional Center joint tortfeasors.  </w:t>
      </w:r>
    </w:p>
    <w:p w:rsidR="00C46631" w:rsidRPr="00C46631" w:rsidP="00C46631" w14:paraId="1E3B18CC" w14:textId="65477399">
      <w:pPr>
        <w:spacing w:line="288" w:lineRule="auto"/>
        <w:ind w:firstLine="720"/>
        <w:rPr>
          <w:rFonts w:ascii="Century Schoolbook" w:hAnsi="Century Schoolbook"/>
          <w:sz w:val="26"/>
          <w:szCs w:val="26"/>
        </w:rPr>
      </w:pPr>
      <w:r w:rsidRPr="00C46631">
        <w:rPr>
          <w:rFonts w:ascii="Century Schoolbook" w:hAnsi="Century Schoolbook"/>
          <w:sz w:val="26"/>
          <w:szCs w:val="26"/>
        </w:rPr>
        <w:t>Because the Regional Center lacks the ability to unilaterally control J.C.</w:t>
      </w:r>
      <w:r w:rsidR="00FC0837">
        <w:rPr>
          <w:rFonts w:ascii="Century Schoolbook" w:hAnsi="Century Schoolbook"/>
          <w:sz w:val="26"/>
          <w:szCs w:val="26"/>
        </w:rPr>
        <w:t xml:space="preserve">, </w:t>
      </w:r>
      <w:r w:rsidRPr="00C46631">
        <w:rPr>
          <w:rFonts w:ascii="Century Schoolbook" w:hAnsi="Century Schoolbook"/>
          <w:sz w:val="26"/>
          <w:szCs w:val="26"/>
        </w:rPr>
        <w:t>J.C.’s location</w:t>
      </w:r>
      <w:r w:rsidR="00BE2BF3">
        <w:rPr>
          <w:rFonts w:ascii="Century Schoolbook" w:hAnsi="Century Schoolbook"/>
          <w:sz w:val="26"/>
          <w:szCs w:val="26"/>
        </w:rPr>
        <w:t>,</w:t>
      </w:r>
      <w:r w:rsidR="00FC0837">
        <w:rPr>
          <w:rFonts w:ascii="Century Schoolbook" w:hAnsi="Century Schoolbook"/>
          <w:sz w:val="26"/>
          <w:szCs w:val="26"/>
        </w:rPr>
        <w:t xml:space="preserve"> or J.C’s</w:t>
      </w:r>
      <w:r w:rsidRPr="00C46631">
        <w:rPr>
          <w:rFonts w:ascii="Century Schoolbook" w:hAnsi="Century Schoolbook"/>
          <w:sz w:val="26"/>
          <w:szCs w:val="26"/>
        </w:rPr>
        <w:t xml:space="preserve"> relocation, the Regional Center necessarily lacks the </w:t>
      </w:r>
      <w:r w:rsidRPr="00C46631">
        <w:rPr>
          <w:rFonts w:ascii="Century Schoolbook" w:hAnsi="Century Schoolbook"/>
          <w:i/>
          <w:iCs/>
          <w:sz w:val="26"/>
          <w:szCs w:val="26"/>
        </w:rPr>
        <w:t>duty</w:t>
      </w:r>
      <w:r w:rsidRPr="00C46631">
        <w:rPr>
          <w:rFonts w:ascii="Century Schoolbook" w:hAnsi="Century Schoolbook"/>
          <w:sz w:val="26"/>
          <w:szCs w:val="26"/>
        </w:rPr>
        <w:t xml:space="preserve"> to control—and hence does not stand in a special relationship with J.C. that could give rise to a duty running to plaintiff.</w:t>
      </w:r>
    </w:p>
    <w:p w:rsidR="00C46631" w:rsidRPr="00C46631" w:rsidP="00536507" w14:paraId="5C3306F3"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Plaintiff resists this conclusion with what boils down to two arguments.</w:t>
      </w:r>
    </w:p>
    <w:p w:rsidR="00C46631" w:rsidRPr="00C46631" w:rsidP="00C46631" w14:paraId="2C9E8500" w14:textId="3D088A8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First, plaintiff argues that the Regional Center’s more generalized duty to monitor creates a duty.  It does not.  As our Supreme Court noted in </w:t>
      </w:r>
      <w:r w:rsidRPr="00C46631">
        <w:rPr>
          <w:rFonts w:ascii="Century Schoolbook" w:hAnsi="Century Schoolbook"/>
          <w:i/>
          <w:iCs/>
          <w:sz w:val="26"/>
          <w:szCs w:val="26"/>
        </w:rPr>
        <w:t>Morohoshi</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34 Cal.4th 48</w:t>
      </w:r>
      <w:r w:rsidR="00936BB4">
        <w:rPr>
          <w:rFonts w:ascii="Century Schoolbook" w:hAnsi="Century Schoolbook"/>
          <w:sz w:val="26"/>
          <w:szCs w:val="26"/>
        </w:rPr>
        <w:t>2</w:t>
      </w:r>
      <w:r w:rsidRPr="00C46631">
        <w:rPr>
          <w:rFonts w:ascii="Century Schoolbook" w:hAnsi="Century Schoolbook"/>
          <w:sz w:val="26"/>
          <w:szCs w:val="26"/>
        </w:rPr>
        <w:t xml:space="preserve">, a regional center’s “monitoring responsibilities” are “important but </w:t>
      </w:r>
      <w:r w:rsidRPr="00C46631">
        <w:rPr>
          <w:rFonts w:ascii="Century Schoolbook" w:hAnsi="Century Schoolbook"/>
          <w:i/>
          <w:iCs/>
          <w:sz w:val="26"/>
          <w:szCs w:val="26"/>
        </w:rPr>
        <w:t>limited</w:t>
      </w:r>
      <w:r w:rsidRPr="00C46631">
        <w:rPr>
          <w:rFonts w:ascii="Century Schoolbook" w:hAnsi="Century Schoolbook"/>
          <w:sz w:val="26"/>
          <w:szCs w:val="26"/>
        </w:rPr>
        <w:t>.”  (</w:t>
      </w:r>
      <w:r w:rsidRPr="00C46631">
        <w:rPr>
          <w:rFonts w:ascii="Century Schoolbook" w:hAnsi="Century Schoolbook"/>
          <w:i/>
          <w:iCs/>
          <w:sz w:val="26"/>
          <w:szCs w:val="26"/>
        </w:rPr>
        <w:t>Id.</w:t>
      </w:r>
      <w:r w:rsidRPr="00C46631">
        <w:rPr>
          <w:rFonts w:ascii="Century Schoolbook" w:hAnsi="Century Schoolbook"/>
          <w:sz w:val="26"/>
          <w:szCs w:val="26"/>
        </w:rPr>
        <w:t xml:space="preserve"> at p. 4</w:t>
      </w:r>
      <w:r w:rsidR="00936BB4">
        <w:rPr>
          <w:rFonts w:ascii="Century Schoolbook" w:hAnsi="Century Schoolbook"/>
          <w:sz w:val="26"/>
          <w:szCs w:val="26"/>
        </w:rPr>
        <w:t>90, italics added</w:t>
      </w:r>
      <w:r w:rsidRPr="00C46631">
        <w:rPr>
          <w:rFonts w:ascii="Century Schoolbook" w:hAnsi="Century Schoolbook"/>
          <w:sz w:val="26"/>
          <w:szCs w:val="26"/>
        </w:rPr>
        <w:t xml:space="preserve">.)  </w:t>
      </w:r>
    </w:p>
    <w:p w:rsidR="00C46631" w:rsidRPr="00C46631" w:rsidP="00C46631" w14:paraId="586119FB" w14:textId="43694802">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Second, plaintiff argues that he relied upon—and was dependent upon—the Regional Center to relocate J.C., and that reliance and dependency are a basis for creating a special relationship.  This argument </w:t>
      </w:r>
      <w:r w:rsidR="00536507">
        <w:rPr>
          <w:rFonts w:ascii="Century Schoolbook" w:hAnsi="Century Schoolbook"/>
          <w:sz w:val="26"/>
          <w:szCs w:val="26"/>
        </w:rPr>
        <w:t xml:space="preserve">also </w:t>
      </w:r>
      <w:r w:rsidRPr="00C46631">
        <w:rPr>
          <w:rFonts w:ascii="Century Schoolbook" w:hAnsi="Century Schoolbook"/>
          <w:sz w:val="26"/>
          <w:szCs w:val="26"/>
        </w:rPr>
        <w:t xml:space="preserve">lacks merit.  For starters, this argument ignores that a plaintiff’s reliance and dependency are, as explained above, </w:t>
      </w:r>
      <w:r w:rsidR="00536507">
        <w:rPr>
          <w:rFonts w:ascii="Century Schoolbook" w:hAnsi="Century Schoolbook"/>
          <w:sz w:val="26"/>
          <w:szCs w:val="26"/>
        </w:rPr>
        <w:t xml:space="preserve">typically </w:t>
      </w:r>
      <w:r w:rsidRPr="00C46631">
        <w:rPr>
          <w:rFonts w:ascii="Century Schoolbook" w:hAnsi="Century Schoolbook"/>
          <w:sz w:val="26"/>
          <w:szCs w:val="26"/>
        </w:rPr>
        <w:t xml:space="preserve">relevant to establishing when a defendant has a special relationship </w:t>
      </w:r>
      <w:r w:rsidRPr="00C46631">
        <w:rPr>
          <w:rFonts w:ascii="Century Schoolbook" w:hAnsi="Century Schoolbook"/>
          <w:i/>
          <w:iCs/>
          <w:sz w:val="26"/>
          <w:szCs w:val="26"/>
        </w:rPr>
        <w:t xml:space="preserve">with a plaintiff </w:t>
      </w:r>
      <w:r w:rsidRPr="00C46631">
        <w:rPr>
          <w:rFonts w:ascii="Century Schoolbook" w:hAnsi="Century Schoolbook"/>
          <w:sz w:val="26"/>
          <w:szCs w:val="26"/>
        </w:rPr>
        <w:t>by virtue of its “superior control over the means of protect[ing]” the plaintiff.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 </w:t>
      </w:r>
      <w:r w:rsidRPr="00C46631">
        <w:rPr>
          <w:rFonts w:ascii="Century Schoolbook" w:hAnsi="Century Schoolbook"/>
          <w:sz w:val="26"/>
          <w:szCs w:val="26"/>
        </w:rPr>
        <w:t>4 Cal.5th at pp. 619-62</w:t>
      </w:r>
      <w:r w:rsidR="00A5413C">
        <w:rPr>
          <w:rFonts w:ascii="Century Schoolbook" w:hAnsi="Century Schoolbook"/>
          <w:sz w:val="26"/>
          <w:szCs w:val="26"/>
        </w:rPr>
        <w:t>1</w:t>
      </w:r>
      <w:r w:rsidRPr="00C46631">
        <w:rPr>
          <w:rFonts w:ascii="Century Schoolbook" w:hAnsi="Century Schoolbook"/>
          <w:sz w:val="26"/>
          <w:szCs w:val="26"/>
        </w:rPr>
        <w:t xml:space="preserve">.)  But plaintiff premises his position on the Regional Center’s special relationship </w:t>
      </w:r>
      <w:r w:rsidRPr="00C46631">
        <w:rPr>
          <w:rFonts w:ascii="Century Schoolbook" w:hAnsi="Century Schoolbook"/>
          <w:i/>
          <w:iCs/>
          <w:sz w:val="26"/>
          <w:szCs w:val="26"/>
        </w:rPr>
        <w:t>with J.C.</w:t>
      </w:r>
      <w:r w:rsidRPr="00C46631">
        <w:rPr>
          <w:rFonts w:ascii="Century Schoolbook" w:hAnsi="Century Schoolbook"/>
          <w:sz w:val="26"/>
          <w:szCs w:val="26"/>
        </w:rPr>
        <w:t xml:space="preserve">—not with plaintiff himself.  We reject plaintiff’s attempt to make apple pie </w:t>
      </w:r>
      <w:r w:rsidR="00F867B4">
        <w:rPr>
          <w:rFonts w:ascii="Century Schoolbook" w:hAnsi="Century Schoolbook"/>
          <w:sz w:val="26"/>
          <w:szCs w:val="26"/>
        </w:rPr>
        <w:t>out of</w:t>
      </w:r>
      <w:r w:rsidRPr="00C46631" w:rsidR="00F867B4">
        <w:rPr>
          <w:rFonts w:ascii="Century Schoolbook" w:hAnsi="Century Schoolbook"/>
          <w:sz w:val="26"/>
          <w:szCs w:val="26"/>
        </w:rPr>
        <w:t xml:space="preserve"> </w:t>
      </w:r>
      <w:r w:rsidRPr="00C46631">
        <w:rPr>
          <w:rFonts w:ascii="Century Schoolbook" w:hAnsi="Century Schoolbook"/>
          <w:sz w:val="26"/>
          <w:szCs w:val="26"/>
        </w:rPr>
        <w:t>oranges.  What is more, the undisputed facts establish that plaintiff did not rely and was not dependent upon the Regional Center to relocate J.C. because Hargis Ho</w:t>
      </w:r>
      <w:r w:rsidR="005F267C">
        <w:rPr>
          <w:rFonts w:ascii="Century Schoolbook" w:hAnsi="Century Schoolbook"/>
          <w:sz w:val="26"/>
          <w:szCs w:val="26"/>
        </w:rPr>
        <w:t>m</w:t>
      </w:r>
      <w:r w:rsidRPr="00C46631">
        <w:rPr>
          <w:rFonts w:ascii="Century Schoolbook" w:hAnsi="Century Schoolbook"/>
          <w:sz w:val="26"/>
          <w:szCs w:val="26"/>
        </w:rPr>
        <w:t xml:space="preserve">e—of which plaintiff was </w:t>
      </w:r>
      <w:r w:rsidR="00F867B4">
        <w:rPr>
          <w:rFonts w:ascii="Century Schoolbook" w:hAnsi="Century Schoolbook"/>
          <w:sz w:val="26"/>
          <w:szCs w:val="26"/>
        </w:rPr>
        <w:t xml:space="preserve">the </w:t>
      </w:r>
      <w:r w:rsidRPr="00C46631">
        <w:rPr>
          <w:rFonts w:ascii="Century Schoolbook" w:hAnsi="Century Schoolbook"/>
          <w:sz w:val="26"/>
          <w:szCs w:val="26"/>
        </w:rPr>
        <w:t>administrator—had the power, by regulation and contract, to evict J.C. on its own, and because it knew that the Regional Center lacked the unilateral power to relocate J.C. because relocation was contingent upon a new facility accepting J.C. as a resident.</w:t>
      </w:r>
    </w:p>
    <w:p w:rsidR="00C46631" w:rsidRPr="00C46631" w:rsidP="00C46631" w14:paraId="202E88E1" w14:textId="785ADBF9">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2.</w:t>
      </w:r>
      <w:r w:rsidRPr="00C46631">
        <w:rPr>
          <w:rFonts w:ascii="Century Schoolbook" w:hAnsi="Century Schoolbook"/>
          <w:sz w:val="26"/>
          <w:szCs w:val="26"/>
        </w:rPr>
        <w:tab/>
      </w:r>
      <w:r w:rsidRPr="00C46631">
        <w:rPr>
          <w:rFonts w:ascii="Century Schoolbook" w:hAnsi="Century Schoolbook"/>
          <w:i/>
          <w:iCs/>
          <w:sz w:val="26"/>
          <w:szCs w:val="26"/>
        </w:rPr>
        <w:t>Even if the Regional Center had the ability (and thus duty) to control J.C., any such duty would be to protect J.C.—not to protect plaintiff</w:t>
      </w:r>
    </w:p>
    <w:p w:rsidR="00C46631" w:rsidRPr="00C46631" w:rsidP="00536507" w14:paraId="3445D949" w14:textId="41BC1F48">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noted above, </w:t>
      </w:r>
      <w:r w:rsidR="00536507">
        <w:rPr>
          <w:rFonts w:ascii="Century Schoolbook" w:hAnsi="Century Schoolbook"/>
          <w:sz w:val="26"/>
          <w:szCs w:val="26"/>
        </w:rPr>
        <w:t xml:space="preserve">even </w:t>
      </w:r>
      <w:r w:rsidRPr="00C46631">
        <w:rPr>
          <w:rFonts w:ascii="Century Schoolbook" w:hAnsi="Century Schoolbook"/>
          <w:sz w:val="26"/>
          <w:szCs w:val="26"/>
        </w:rPr>
        <w:t xml:space="preserve">when a duty arises by virtue of a special relationship, that duty </w:t>
      </w:r>
      <w:r w:rsidR="00536507">
        <w:rPr>
          <w:rFonts w:ascii="Century Schoolbook" w:hAnsi="Century Schoolbook"/>
          <w:sz w:val="26"/>
          <w:szCs w:val="26"/>
        </w:rPr>
        <w:t xml:space="preserve">is actionable </w:t>
      </w:r>
      <w:r w:rsidR="0037501E">
        <w:rPr>
          <w:rFonts w:ascii="Century Schoolbook" w:hAnsi="Century Schoolbook"/>
          <w:sz w:val="26"/>
          <w:szCs w:val="26"/>
        </w:rPr>
        <w:t xml:space="preserve">only </w:t>
      </w:r>
      <w:r w:rsidR="008C45B4">
        <w:rPr>
          <w:rFonts w:ascii="Century Schoolbook" w:hAnsi="Century Schoolbook"/>
          <w:sz w:val="26"/>
          <w:szCs w:val="26"/>
        </w:rPr>
        <w:t xml:space="preserve">if that special relationship gives rise to a legal duty of care for the benefit of—and hence to protect—the plaintiff (or the class of persons to which the plaintiff belongs).  </w:t>
      </w:r>
      <w:r w:rsidRPr="00C46631">
        <w:rPr>
          <w:rFonts w:ascii="Century Schoolbook" w:hAnsi="Century Schoolbook"/>
          <w:sz w:val="26"/>
          <w:szCs w:val="26"/>
        </w:rPr>
        <w:t>(</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621.)  To the extent regional centers have the ability to control consumers, the sole duty that could arise from that control is the duty to </w:t>
      </w:r>
      <w:r w:rsidR="001B0E22">
        <w:rPr>
          <w:rFonts w:ascii="Century Schoolbook" w:hAnsi="Century Schoolbook"/>
          <w:sz w:val="26"/>
          <w:szCs w:val="26"/>
        </w:rPr>
        <w:t xml:space="preserve">benefit—and hence </w:t>
      </w:r>
      <w:r w:rsidR="0000592D">
        <w:rPr>
          <w:rFonts w:ascii="Century Schoolbook" w:hAnsi="Century Schoolbook"/>
          <w:sz w:val="26"/>
          <w:szCs w:val="26"/>
        </w:rPr>
        <w:t xml:space="preserve">to </w:t>
      </w:r>
      <w:r w:rsidR="001B0E22">
        <w:rPr>
          <w:rFonts w:ascii="Century Schoolbook" w:hAnsi="Century Schoolbook"/>
          <w:sz w:val="26"/>
          <w:szCs w:val="26"/>
        </w:rPr>
        <w:t>protect—</w:t>
      </w:r>
      <w:r w:rsidRPr="00C46631">
        <w:rPr>
          <w:rFonts w:ascii="Century Schoolbook" w:hAnsi="Century Schoolbook"/>
          <w:i/>
          <w:iCs/>
          <w:sz w:val="26"/>
          <w:szCs w:val="26"/>
        </w:rPr>
        <w:t>the consumer.</w:t>
      </w:r>
      <w:r w:rsidRPr="00C46631">
        <w:rPr>
          <w:rFonts w:ascii="Century Schoolbook" w:hAnsi="Century Schoolbook"/>
          <w:sz w:val="26"/>
          <w:szCs w:val="26"/>
        </w:rPr>
        <w:t xml:space="preserve">  As a general matter, the focus of the Act itself is providing services and support—and, critically, protection—</w:t>
      </w:r>
      <w:r w:rsidRPr="00C46631">
        <w:rPr>
          <w:rFonts w:ascii="Century Schoolbook" w:hAnsi="Century Schoolbook"/>
          <w:i/>
          <w:iCs/>
          <w:sz w:val="26"/>
          <w:szCs w:val="26"/>
        </w:rPr>
        <w:t>to the developmentally disabled person who is the consumer.</w:t>
      </w:r>
      <w:r w:rsidRPr="00C46631">
        <w:rPr>
          <w:rFonts w:ascii="Century Schoolbook" w:hAnsi="Century Schoolbook"/>
          <w:sz w:val="26"/>
          <w:szCs w:val="26"/>
        </w:rPr>
        <w:t xml:space="preserve">  (E.g., §§ 4502, subds. (b)(1) &amp; (b)(8) [“persons with developmental disabilities shall have . . . [a] right to treatment and </w:t>
      </w:r>
      <w:r w:rsidR="00310B9F">
        <w:rPr>
          <w:rFonts w:ascii="Century Schoolbook" w:hAnsi="Century Schoolbook"/>
          <w:sz w:val="26"/>
          <w:szCs w:val="26"/>
        </w:rPr>
        <w:t>habilitation</w:t>
      </w:r>
      <w:r w:rsidRPr="00C46631" w:rsidR="00310B9F">
        <w:rPr>
          <w:rFonts w:ascii="Century Schoolbook" w:hAnsi="Century Schoolbook"/>
          <w:sz w:val="26"/>
          <w:szCs w:val="26"/>
        </w:rPr>
        <w:t xml:space="preserve"> </w:t>
      </w:r>
      <w:r w:rsidRPr="00C46631">
        <w:rPr>
          <w:rFonts w:ascii="Century Schoolbook" w:hAnsi="Century Schoolbook"/>
          <w:sz w:val="26"/>
          <w:szCs w:val="26"/>
        </w:rPr>
        <w:t>services and supports” and “[a] right to be free from harm, including unnecessary physical restraint, or isolation, excessive medication, abuse</w:t>
      </w:r>
      <w:r w:rsidR="00310B9F">
        <w:rPr>
          <w:rFonts w:ascii="Century Schoolbook" w:hAnsi="Century Schoolbook"/>
          <w:sz w:val="26"/>
          <w:szCs w:val="26"/>
        </w:rPr>
        <w:t>,</w:t>
      </w:r>
      <w:r w:rsidRPr="00C46631">
        <w:rPr>
          <w:rFonts w:ascii="Century Schoolbook" w:hAnsi="Century Schoolbook"/>
          <w:sz w:val="26"/>
          <w:szCs w:val="26"/>
        </w:rPr>
        <w:t xml:space="preserve"> or neglect”], 4620.3, subd. (g)(1) [best practices for regional centers “shall not . . . </w:t>
      </w:r>
      <w:r w:rsidR="00FE19CE">
        <w:rPr>
          <w:rFonts w:ascii="Century Schoolbook" w:hAnsi="Century Schoolbook"/>
          <w:sz w:val="26"/>
          <w:szCs w:val="26"/>
        </w:rPr>
        <w:t>[</w:t>
      </w:r>
      <w:r w:rsidRPr="00C46631">
        <w:rPr>
          <w:rFonts w:ascii="Century Schoolbook" w:hAnsi="Century Schoolbook"/>
          <w:sz w:val="26"/>
          <w:szCs w:val="26"/>
        </w:rPr>
        <w:t>e</w:t>
      </w:r>
      <w:r w:rsidR="00FE19CE">
        <w:rPr>
          <w:rFonts w:ascii="Century Schoolbook" w:hAnsi="Century Schoolbook"/>
          <w:sz w:val="26"/>
          <w:szCs w:val="26"/>
        </w:rPr>
        <w:t>]</w:t>
      </w:r>
      <w:r w:rsidRPr="00C46631">
        <w:rPr>
          <w:rFonts w:ascii="Century Schoolbook" w:hAnsi="Century Schoolbook"/>
          <w:sz w:val="26"/>
          <w:szCs w:val="26"/>
        </w:rPr>
        <w:t xml:space="preserve">ndanger a consumer’s health or safety”].)  Nothing in the Act or any of its attendant regulations evinces any </w:t>
      </w:r>
      <w:r w:rsidR="00536507">
        <w:rPr>
          <w:rFonts w:ascii="Century Schoolbook" w:hAnsi="Century Schoolbook"/>
          <w:sz w:val="26"/>
          <w:szCs w:val="26"/>
        </w:rPr>
        <w:t>intent to</w:t>
      </w:r>
      <w:r w:rsidRPr="00C46631">
        <w:rPr>
          <w:rFonts w:ascii="Century Schoolbook" w:hAnsi="Century Schoolbook"/>
          <w:sz w:val="26"/>
          <w:szCs w:val="26"/>
        </w:rPr>
        <w:t xml:space="preserve"> creat</w:t>
      </w:r>
      <w:r w:rsidR="00536507">
        <w:rPr>
          <w:rFonts w:ascii="Century Schoolbook" w:hAnsi="Century Schoolbook"/>
          <w:sz w:val="26"/>
          <w:szCs w:val="26"/>
        </w:rPr>
        <w:t xml:space="preserve">e </w:t>
      </w:r>
      <w:r w:rsidRPr="00C46631">
        <w:rPr>
          <w:rFonts w:ascii="Century Schoolbook" w:hAnsi="Century Schoolbook"/>
          <w:sz w:val="26"/>
          <w:szCs w:val="26"/>
        </w:rPr>
        <w:t>a duty to protect anyone else, including the employees of residential facilities where consumers are housed.</w:t>
      </w:r>
    </w:p>
    <w:p w:rsidR="00C46631" w:rsidRPr="00C46631" w:rsidP="00C46631" w14:paraId="76AD8C2D" w14:textId="5BD9D20C">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resists this conclusion as well.  Specifically, he points to a regulation specifying that a “regional center” that receives notice from a residential facility that “the facility can no longer meet the needs of </w:t>
      </w:r>
      <w:r w:rsidR="00775B18">
        <w:rPr>
          <w:rFonts w:ascii="Century Schoolbook" w:hAnsi="Century Schoolbook"/>
          <w:sz w:val="26"/>
          <w:szCs w:val="26"/>
        </w:rPr>
        <w:t>[a]</w:t>
      </w:r>
      <w:r w:rsidRPr="00C46631">
        <w:rPr>
          <w:rFonts w:ascii="Century Schoolbook" w:hAnsi="Century Schoolbook"/>
          <w:sz w:val="26"/>
          <w:szCs w:val="26"/>
        </w:rPr>
        <w:t xml:space="preserve"> consumer” “shall relocate [a] consumer with</w:t>
      </w:r>
      <w:r w:rsidR="00BA6A0C">
        <w:rPr>
          <w:rFonts w:ascii="Century Schoolbook" w:hAnsi="Century Schoolbook"/>
          <w:sz w:val="26"/>
          <w:szCs w:val="26"/>
        </w:rPr>
        <w:t>in</w:t>
      </w:r>
      <w:r w:rsidRPr="00C46631">
        <w:rPr>
          <w:rFonts w:ascii="Century Schoolbook" w:hAnsi="Century Schoolbook"/>
          <w:sz w:val="26"/>
          <w:szCs w:val="26"/>
        </w:rPr>
        <w:t xml:space="preserve"> 30 days or within a time frame which has been mutually agreed</w:t>
      </w:r>
      <w:r w:rsidR="00565F62">
        <w:rPr>
          <w:rFonts w:ascii="Century Schoolbook" w:hAnsi="Century Schoolbook"/>
          <w:sz w:val="26"/>
          <w:szCs w:val="26"/>
        </w:rPr>
        <w:t>[]</w:t>
      </w:r>
      <w:r w:rsidRPr="00C46631">
        <w:rPr>
          <w:rFonts w:ascii="Century Schoolbook" w:hAnsi="Century Schoolbook"/>
          <w:sz w:val="26"/>
          <w:szCs w:val="26"/>
        </w:rPr>
        <w:t xml:space="preserve"> upon” and “shall” “determine” “[a]ny additional measures necessary to meet the consumer’s health and safety needs until the relocation has been accomplished.”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310B9F">
        <w:rPr>
          <w:rFonts w:ascii="Century Schoolbook" w:hAnsi="Century Schoolbook"/>
          <w:sz w:val="26"/>
          <w:szCs w:val="26"/>
        </w:rPr>
        <w:t xml:space="preserve">tit. 17, </w:t>
      </w:r>
      <w:r w:rsidRPr="00C46631">
        <w:rPr>
          <w:rFonts w:ascii="Century Schoolbook" w:hAnsi="Century Schoolbook"/>
          <w:sz w:val="26"/>
          <w:szCs w:val="26"/>
        </w:rPr>
        <w:t>§ 56016</w:t>
      </w:r>
      <w:r w:rsidR="00310B9F">
        <w:rPr>
          <w:rFonts w:ascii="Century Schoolbook" w:hAnsi="Century Schoolbook"/>
          <w:sz w:val="26"/>
          <w:szCs w:val="26"/>
        </w:rPr>
        <w:t xml:space="preserve">, subds. </w:t>
      </w:r>
      <w:r w:rsidRPr="00C46631">
        <w:rPr>
          <w:rFonts w:ascii="Century Schoolbook" w:hAnsi="Century Schoolbook"/>
          <w:sz w:val="26"/>
          <w:szCs w:val="26"/>
        </w:rPr>
        <w:t>(e), (f)</w:t>
      </w:r>
      <w:r w:rsidR="00917BCD">
        <w:rPr>
          <w:rFonts w:ascii="Century Schoolbook" w:hAnsi="Century Schoolbook"/>
          <w:sz w:val="26"/>
          <w:szCs w:val="26"/>
        </w:rPr>
        <w:t xml:space="preserve"> &amp;</w:t>
      </w:r>
      <w:r w:rsidRPr="00C46631">
        <w:rPr>
          <w:rFonts w:ascii="Century Schoolbook" w:hAnsi="Century Schoolbook"/>
          <w:sz w:val="26"/>
          <w:szCs w:val="26"/>
        </w:rPr>
        <w:t xml:space="preserve"> (g).)  Plaintiff urges that this regulation creates a legal duty that obligates regional centers to protect </w:t>
      </w:r>
      <w:r w:rsidRPr="00C46631">
        <w:rPr>
          <w:rFonts w:ascii="Century Schoolbook" w:hAnsi="Century Schoolbook"/>
          <w:i/>
          <w:iCs/>
          <w:sz w:val="26"/>
          <w:szCs w:val="26"/>
        </w:rPr>
        <w:t>everyone</w:t>
      </w:r>
      <w:r w:rsidRPr="00C46631">
        <w:rPr>
          <w:rFonts w:ascii="Century Schoolbook" w:hAnsi="Century Schoolbook"/>
          <w:sz w:val="26"/>
          <w:szCs w:val="26"/>
        </w:rPr>
        <w:t xml:space="preserve"> from injury inflicted by a consumer; plaintiff </w:t>
      </w:r>
      <w:r w:rsidR="00536507">
        <w:rPr>
          <w:rFonts w:ascii="Century Schoolbook" w:hAnsi="Century Schoolbook"/>
          <w:sz w:val="26"/>
          <w:szCs w:val="26"/>
        </w:rPr>
        <w:t>thus goes on to assert</w:t>
      </w:r>
      <w:r w:rsidRPr="00C46631">
        <w:rPr>
          <w:rFonts w:ascii="Century Schoolbook" w:hAnsi="Century Schoolbook"/>
          <w:sz w:val="26"/>
          <w:szCs w:val="26"/>
        </w:rPr>
        <w:t xml:space="preserve"> that “whether [th</w:t>
      </w:r>
      <w:r w:rsidR="00536507">
        <w:rPr>
          <w:rFonts w:ascii="Century Schoolbook" w:hAnsi="Century Schoolbook"/>
          <w:sz w:val="26"/>
          <w:szCs w:val="26"/>
        </w:rPr>
        <w:t>is</w:t>
      </w:r>
      <w:r w:rsidRPr="00C46631">
        <w:rPr>
          <w:rFonts w:ascii="Century Schoolbook" w:hAnsi="Century Schoolbook"/>
          <w:sz w:val="26"/>
          <w:szCs w:val="26"/>
        </w:rPr>
        <w:t xml:space="preserve"> regulation] is directly intended to protect only </w:t>
      </w:r>
      <w:r w:rsidR="000250FD">
        <w:rPr>
          <w:rFonts w:ascii="Century Schoolbook" w:hAnsi="Century Schoolbook"/>
          <w:sz w:val="26"/>
          <w:szCs w:val="26"/>
        </w:rPr>
        <w:t>[</w:t>
      </w:r>
      <w:r w:rsidRPr="00C46631">
        <w:rPr>
          <w:rFonts w:ascii="Century Schoolbook" w:hAnsi="Century Schoolbook"/>
          <w:sz w:val="26"/>
          <w:szCs w:val="26"/>
        </w:rPr>
        <w:t>J.C.</w:t>
      </w:r>
      <w:r w:rsidR="000250FD">
        <w:rPr>
          <w:rFonts w:ascii="Century Schoolbook" w:hAnsi="Century Schoolbook"/>
          <w:sz w:val="26"/>
          <w:szCs w:val="26"/>
        </w:rPr>
        <w:t>]</w:t>
      </w:r>
      <w:r w:rsidRPr="00C46631">
        <w:rPr>
          <w:rFonts w:ascii="Century Schoolbook" w:hAnsi="Century Schoolbook"/>
          <w:sz w:val="26"/>
          <w:szCs w:val="26"/>
        </w:rPr>
        <w:t xml:space="preserve"> or [instead] other residents and staff as well is irrelevant.” </w:t>
      </w:r>
    </w:p>
    <w:p w:rsidR="00C46631" w:rsidRPr="00C46631" w:rsidP="00C46631" w14:paraId="7AE77F33"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is wrong.  </w:t>
      </w:r>
    </w:p>
    <w:p w:rsidR="00C46631" w:rsidRPr="00C46631" w:rsidP="00C46631" w14:paraId="1E07B440" w14:textId="2DC2BD6C">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a threshold matter, plaintiff’s argument conflates a </w:t>
      </w:r>
      <w:r w:rsidRPr="00C46631">
        <w:rPr>
          <w:rFonts w:ascii="Century Schoolbook" w:hAnsi="Century Schoolbook"/>
          <w:i/>
          <w:iCs/>
          <w:sz w:val="26"/>
          <w:szCs w:val="26"/>
        </w:rPr>
        <w:t xml:space="preserve">duty </w:t>
      </w:r>
      <w:r w:rsidRPr="00C46631">
        <w:rPr>
          <w:rFonts w:ascii="Century Schoolbook" w:hAnsi="Century Schoolbook"/>
          <w:sz w:val="26"/>
          <w:szCs w:val="26"/>
        </w:rPr>
        <w:t xml:space="preserve">of care with a </w:t>
      </w:r>
      <w:r w:rsidRPr="00C46631">
        <w:rPr>
          <w:rFonts w:ascii="Century Schoolbook" w:hAnsi="Century Schoolbook"/>
          <w:i/>
          <w:iCs/>
          <w:sz w:val="26"/>
          <w:szCs w:val="26"/>
        </w:rPr>
        <w:t>standard</w:t>
      </w:r>
      <w:r w:rsidRPr="00C46631">
        <w:rPr>
          <w:rFonts w:ascii="Century Schoolbook" w:hAnsi="Century Schoolbook"/>
          <w:sz w:val="26"/>
          <w:szCs w:val="26"/>
        </w:rPr>
        <w:t xml:space="preserve"> of care.  “The duty of care establishes whether one person has a legal obligation to prevent harm to another</w:t>
      </w:r>
      <w:r w:rsidR="00855673">
        <w:rPr>
          <w:rFonts w:ascii="Century Schoolbook" w:hAnsi="Century Schoolbook"/>
          <w:sz w:val="26"/>
          <w:szCs w:val="26"/>
        </w:rPr>
        <w:t xml:space="preserve"> [citation]</w:t>
      </w:r>
      <w:r w:rsidRPr="00C46631">
        <w:rPr>
          <w:rFonts w:ascii="Century Schoolbook" w:hAnsi="Century Schoolbook"/>
          <w:sz w:val="26"/>
          <w:szCs w:val="26"/>
        </w:rPr>
        <w:t>, while the standard of care defines what that person must do to meet that obligation and thus sets the standard for assessing whether there has been a breach</w:t>
      </w:r>
      <w:r w:rsidR="00855673">
        <w:rPr>
          <w:rFonts w:ascii="Century Schoolbook" w:hAnsi="Century Schoolbook"/>
          <w:sz w:val="26"/>
          <w:szCs w:val="26"/>
        </w:rPr>
        <w:t xml:space="preserve"> [citation]</w:t>
      </w:r>
      <w:r w:rsidRPr="00C46631">
        <w:rPr>
          <w:rFonts w:ascii="Century Schoolbook" w:hAnsi="Century Schoolbook"/>
          <w:sz w:val="26"/>
          <w:szCs w:val="26"/>
        </w:rPr>
        <w:t>.”  (</w:t>
      </w:r>
      <w:r w:rsidRPr="00C46631">
        <w:rPr>
          <w:rFonts w:ascii="Century Schoolbook" w:hAnsi="Century Schoolbook"/>
          <w:i/>
          <w:iCs/>
          <w:sz w:val="26"/>
          <w:szCs w:val="26"/>
        </w:rPr>
        <w:t>Iss</w:t>
      </w:r>
      <w:r w:rsidR="00B360DE">
        <w:rPr>
          <w:rFonts w:ascii="Century Schoolbook" w:hAnsi="Century Schoolbook"/>
          <w:i/>
          <w:iCs/>
          <w:sz w:val="26"/>
          <w:szCs w:val="26"/>
        </w:rPr>
        <w:t>a</w:t>
      </w:r>
      <w:r w:rsidRPr="00C46631">
        <w:rPr>
          <w:rFonts w:ascii="Century Schoolbook" w:hAnsi="Century Schoolbook"/>
          <w:i/>
          <w:iCs/>
          <w:sz w:val="26"/>
          <w:szCs w:val="26"/>
        </w:rPr>
        <w:t>khani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63 Cal.App.5th at p. 934.)  By defining a time period during which relocation should occur and what a regional center should do in the interim, this regulation defines what a regional </w:t>
      </w:r>
      <w:r w:rsidR="00536507">
        <w:rPr>
          <w:rFonts w:ascii="Century Schoolbook" w:hAnsi="Century Schoolbook"/>
          <w:sz w:val="26"/>
          <w:szCs w:val="26"/>
        </w:rPr>
        <w:t xml:space="preserve">center </w:t>
      </w:r>
      <w:r w:rsidRPr="00C46631">
        <w:rPr>
          <w:rFonts w:ascii="Century Schoolbook" w:hAnsi="Century Schoolbook"/>
          <w:sz w:val="26"/>
          <w:szCs w:val="26"/>
        </w:rPr>
        <w:t>must do to meet its obligations</w:t>
      </w:r>
      <w:r w:rsidR="00536507">
        <w:rPr>
          <w:rFonts w:ascii="Century Schoolbook" w:hAnsi="Century Schoolbook"/>
          <w:sz w:val="26"/>
          <w:szCs w:val="26"/>
        </w:rPr>
        <w:t xml:space="preserve">; in other words, it lays out a </w:t>
      </w:r>
      <w:r w:rsidR="00536507">
        <w:rPr>
          <w:rFonts w:ascii="Century Schoolbook" w:hAnsi="Century Schoolbook"/>
          <w:i/>
          <w:iCs/>
          <w:sz w:val="26"/>
          <w:szCs w:val="26"/>
        </w:rPr>
        <w:t xml:space="preserve">standard </w:t>
      </w:r>
      <w:r w:rsidR="00536507">
        <w:rPr>
          <w:rFonts w:ascii="Century Schoolbook" w:hAnsi="Century Schoolbook"/>
          <w:sz w:val="26"/>
          <w:szCs w:val="26"/>
        </w:rPr>
        <w:t>of care.</w:t>
      </w:r>
      <w:r w:rsidRPr="00C46631">
        <w:rPr>
          <w:rFonts w:ascii="Century Schoolbook" w:hAnsi="Century Schoolbook"/>
          <w:sz w:val="26"/>
          <w:szCs w:val="26"/>
        </w:rPr>
        <w:t xml:space="preserve">  “The standard of care </w:t>
      </w:r>
      <w:r w:rsidRPr="00C46631">
        <w:rPr>
          <w:rFonts w:ascii="Century Schoolbook" w:hAnsi="Century Schoolbook"/>
          <w:i/>
          <w:iCs/>
          <w:sz w:val="26"/>
          <w:szCs w:val="26"/>
        </w:rPr>
        <w:t xml:space="preserve">presupposes </w:t>
      </w:r>
      <w:r w:rsidRPr="00C46631">
        <w:rPr>
          <w:rFonts w:ascii="Century Schoolbook" w:hAnsi="Century Schoolbook"/>
          <w:sz w:val="26"/>
          <w:szCs w:val="26"/>
        </w:rPr>
        <w:t xml:space="preserve">a duty [of care]; it cannot </w:t>
      </w:r>
      <w:r w:rsidRPr="00C46631">
        <w:rPr>
          <w:rFonts w:ascii="Century Schoolbook" w:hAnsi="Century Schoolbook"/>
          <w:i/>
          <w:iCs/>
          <w:sz w:val="26"/>
          <w:szCs w:val="26"/>
        </w:rPr>
        <w:t>create</w:t>
      </w:r>
      <w:r w:rsidRPr="00C46631">
        <w:rPr>
          <w:rFonts w:ascii="Century Schoolbook" w:hAnsi="Century Schoolbook"/>
          <w:sz w:val="26"/>
          <w:szCs w:val="26"/>
        </w:rPr>
        <w:t xml:space="preserve"> one.”  (</w:t>
      </w:r>
      <w:r w:rsidRPr="00C46631">
        <w:rPr>
          <w:rFonts w:ascii="Century Schoolbook" w:hAnsi="Century Schoolbook"/>
          <w:i/>
          <w:iCs/>
          <w:sz w:val="26"/>
          <w:szCs w:val="26"/>
        </w:rPr>
        <w:t>Id.</w:t>
      </w:r>
      <w:r w:rsidRPr="00C46631">
        <w:rPr>
          <w:rFonts w:ascii="Century Schoolbook" w:hAnsi="Century Schoolbook"/>
          <w:sz w:val="26"/>
          <w:szCs w:val="26"/>
        </w:rPr>
        <w:t xml:space="preserve"> at p. 935</w:t>
      </w:r>
      <w:r w:rsidR="006F69B6">
        <w:rPr>
          <w:rFonts w:ascii="Century Schoolbook" w:hAnsi="Century Schoolbook"/>
          <w:sz w:val="26"/>
          <w:szCs w:val="26"/>
        </w:rPr>
        <w:t>.</w:t>
      </w:r>
      <w:r w:rsidRPr="00C46631">
        <w:rPr>
          <w:rFonts w:ascii="Century Schoolbook" w:hAnsi="Century Schoolbook"/>
          <w:sz w:val="26"/>
          <w:szCs w:val="26"/>
        </w:rPr>
        <w:t>)</w:t>
      </w:r>
      <w:r>
        <w:rPr>
          <w:rFonts w:ascii="Century Schoolbook" w:hAnsi="Century Schoolbook"/>
          <w:b/>
          <w:bCs/>
          <w:sz w:val="26"/>
          <w:szCs w:val="26"/>
          <w:vertAlign w:val="superscript"/>
        </w:rPr>
        <w:footnoteReference w:id="8"/>
      </w:r>
    </w:p>
    <w:p w:rsidR="00C46631" w:rsidRPr="00C46631" w:rsidP="00C46631" w14:paraId="289AC44F" w14:textId="4E5BFE83">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And even if we assume that the regulation counsels in favor of recognizing a duty to protect, that duty runs solely </w:t>
      </w:r>
      <w:r w:rsidRPr="00C46631">
        <w:rPr>
          <w:rFonts w:ascii="Century Schoolbook" w:hAnsi="Century Schoolbook"/>
          <w:i/>
          <w:iCs/>
          <w:sz w:val="26"/>
          <w:szCs w:val="26"/>
        </w:rPr>
        <w:t>to the consumer</w:t>
      </w:r>
      <w:r w:rsidRPr="00C46631">
        <w:rPr>
          <w:rFonts w:ascii="Century Schoolbook" w:hAnsi="Century Schoolbook"/>
          <w:sz w:val="26"/>
          <w:szCs w:val="26"/>
        </w:rPr>
        <w:t xml:space="preserve">—and </w:t>
      </w:r>
      <w:r w:rsidRPr="00C46631">
        <w:rPr>
          <w:rFonts w:ascii="Century Schoolbook" w:hAnsi="Century Schoolbook"/>
          <w:i/>
          <w:iCs/>
          <w:sz w:val="26"/>
          <w:szCs w:val="26"/>
        </w:rPr>
        <w:t>not</w:t>
      </w:r>
      <w:r w:rsidRPr="00C46631">
        <w:rPr>
          <w:rFonts w:ascii="Century Schoolbook" w:hAnsi="Century Schoolbook"/>
          <w:sz w:val="26"/>
          <w:szCs w:val="26"/>
        </w:rPr>
        <w:t xml:space="preserve"> to the employees of the residential facility where a consumer is housed because, as noted above, the Act is concerned with the well-being of the consumer, not those who come into the consumer’s orbit.</w:t>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 Plaintiff disagrees, citing a different regulation that obligates a regional center to “initiate [an] emergency relocation of [a] consumer” should various “situations” “come to [its] attention,” including “[t]he presence of an individual exhibiting aggressive or assaultive behavior which is life threatening to self </w:t>
      </w:r>
      <w:r w:rsidRPr="00C46631">
        <w:rPr>
          <w:rFonts w:ascii="Century Schoolbook" w:hAnsi="Century Schoolbook"/>
          <w:i/>
          <w:iCs/>
          <w:sz w:val="26"/>
          <w:szCs w:val="26"/>
        </w:rPr>
        <w:t>or others</w:t>
      </w:r>
      <w:r w:rsidRPr="00C46631">
        <w:rPr>
          <w:rFonts w:ascii="Century Schoolbook" w:hAnsi="Century Schoolbook"/>
          <w:sz w:val="26"/>
          <w:szCs w:val="26"/>
        </w:rPr>
        <w:t>.”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D1618B">
        <w:rPr>
          <w:rFonts w:ascii="Century Schoolbook" w:hAnsi="Century Schoolbook"/>
          <w:sz w:val="26"/>
          <w:szCs w:val="26"/>
        </w:rPr>
        <w:t xml:space="preserve">tit. 17, </w:t>
      </w:r>
      <w:r w:rsidRPr="00C46631">
        <w:rPr>
          <w:rFonts w:ascii="Century Schoolbook" w:hAnsi="Century Schoolbook"/>
          <w:sz w:val="26"/>
          <w:szCs w:val="26"/>
        </w:rPr>
        <w:t>§ 56053</w:t>
      </w:r>
      <w:r w:rsidR="00D1618B">
        <w:rPr>
          <w:rFonts w:ascii="Century Schoolbook" w:hAnsi="Century Schoolbook"/>
          <w:sz w:val="26"/>
          <w:szCs w:val="26"/>
        </w:rPr>
        <w:t>, subd</w:t>
      </w:r>
      <w:r w:rsidR="00AE5F35">
        <w:rPr>
          <w:rFonts w:ascii="Century Schoolbook" w:hAnsi="Century Schoolbook"/>
          <w:sz w:val="26"/>
          <w:szCs w:val="26"/>
        </w:rPr>
        <w:t>s. (e)(1) &amp; (a)(5)</w:t>
      </w:r>
      <w:r w:rsidRPr="00C46631">
        <w:rPr>
          <w:rFonts w:ascii="Century Schoolbook" w:hAnsi="Century Schoolbook"/>
          <w:sz w:val="26"/>
          <w:szCs w:val="26"/>
        </w:rPr>
        <w:t xml:space="preserve">, italics added.)  Plaintiff urges that the italicized language evinces an intent to protect the staff of a residential facility from the “aggressive or assaultive behavior” of a consumer.  But this misreads the regulation, as this provision refers to “individual[s]”—not “consumers”—exhibiting potentially injurious behavior; because the regulation uses </w:t>
      </w:r>
      <w:r w:rsidR="00FC0837">
        <w:rPr>
          <w:rFonts w:ascii="Century Schoolbook" w:hAnsi="Century Schoolbook"/>
          <w:sz w:val="26"/>
          <w:szCs w:val="26"/>
        </w:rPr>
        <w:t>the</w:t>
      </w:r>
      <w:r w:rsidRPr="00C46631" w:rsidR="00FC0837">
        <w:rPr>
          <w:rFonts w:ascii="Century Schoolbook" w:hAnsi="Century Schoolbook"/>
          <w:sz w:val="26"/>
          <w:szCs w:val="26"/>
        </w:rPr>
        <w:t xml:space="preserve"> </w:t>
      </w:r>
      <w:r w:rsidRPr="00C46631">
        <w:rPr>
          <w:rFonts w:ascii="Century Schoolbook" w:hAnsi="Century Schoolbook"/>
          <w:sz w:val="26"/>
          <w:szCs w:val="26"/>
        </w:rPr>
        <w:t>terms</w:t>
      </w:r>
      <w:r w:rsidR="00FC0837">
        <w:rPr>
          <w:rFonts w:ascii="Century Schoolbook" w:hAnsi="Century Schoolbook"/>
          <w:sz w:val="26"/>
          <w:szCs w:val="26"/>
        </w:rPr>
        <w:t xml:space="preserve"> “individual” and “consumer”</w:t>
      </w:r>
      <w:r w:rsidRPr="00C46631">
        <w:rPr>
          <w:rFonts w:ascii="Century Schoolbook" w:hAnsi="Century Schoolbook"/>
          <w:sz w:val="26"/>
          <w:szCs w:val="26"/>
        </w:rPr>
        <w:t xml:space="preserve"> distinctly (</w:t>
      </w:r>
      <w:r w:rsidR="00323DCA">
        <w:rPr>
          <w:rFonts w:ascii="Century Schoolbook" w:hAnsi="Century Schoolbook"/>
          <w:i/>
          <w:iCs/>
          <w:sz w:val="26"/>
          <w:szCs w:val="26"/>
        </w:rPr>
        <w:t>i</w:t>
      </w:r>
      <w:r w:rsidR="00151221">
        <w:rPr>
          <w:rFonts w:ascii="Century Schoolbook" w:hAnsi="Century Schoolbook"/>
          <w:i/>
          <w:iCs/>
          <w:sz w:val="26"/>
          <w:szCs w:val="26"/>
        </w:rPr>
        <w:t>d.</w:t>
      </w:r>
      <w:r w:rsidR="00151221">
        <w:rPr>
          <w:rFonts w:ascii="Century Schoolbook" w:hAnsi="Century Schoolbook"/>
          <w:sz w:val="26"/>
          <w:szCs w:val="26"/>
        </w:rPr>
        <w:t>, subd. (a))</w:t>
      </w:r>
      <w:r w:rsidRPr="00C46631">
        <w:rPr>
          <w:rFonts w:ascii="Century Schoolbook" w:hAnsi="Century Schoolbook"/>
          <w:sz w:val="26"/>
          <w:szCs w:val="26"/>
        </w:rPr>
        <w:t>, we reject plaintiff’s attempt to conflate them</w:t>
      </w:r>
      <w:r w:rsidR="00FC0837">
        <w:rPr>
          <w:rFonts w:ascii="Century Schoolbook" w:hAnsi="Century Schoolbook"/>
          <w:sz w:val="26"/>
          <w:szCs w:val="26"/>
        </w:rPr>
        <w:t xml:space="preserve"> and treat them as synonymous</w:t>
      </w:r>
      <w:r w:rsidRPr="00C46631">
        <w:rPr>
          <w:rFonts w:ascii="Century Schoolbook" w:hAnsi="Century Schoolbook"/>
          <w:sz w:val="26"/>
          <w:szCs w:val="26"/>
        </w:rPr>
        <w:t xml:space="preserve">.  As written, the regulation can be read consistently with the Act itself to implement the Act’s intention to protect </w:t>
      </w:r>
      <w:r w:rsidRPr="00C46631">
        <w:rPr>
          <w:rFonts w:ascii="Century Schoolbook" w:hAnsi="Century Schoolbook"/>
          <w:i/>
          <w:iCs/>
          <w:sz w:val="26"/>
          <w:szCs w:val="26"/>
        </w:rPr>
        <w:t>consumers</w:t>
      </w:r>
      <w:r w:rsidRPr="00C46631">
        <w:rPr>
          <w:rFonts w:ascii="Century Schoolbook" w:hAnsi="Century Schoolbook"/>
          <w:sz w:val="26"/>
          <w:szCs w:val="26"/>
        </w:rPr>
        <w:t xml:space="preserve"> who might be harmed by that </w:t>
      </w:r>
      <w:r w:rsidR="00B360DE">
        <w:rPr>
          <w:rFonts w:ascii="Century Schoolbook" w:hAnsi="Century Schoolbook"/>
          <w:sz w:val="26"/>
          <w:szCs w:val="26"/>
        </w:rPr>
        <w:t>“</w:t>
      </w:r>
      <w:r w:rsidRPr="00C46631">
        <w:rPr>
          <w:rFonts w:ascii="Century Schoolbook" w:hAnsi="Century Schoolbook"/>
          <w:sz w:val="26"/>
          <w:szCs w:val="26"/>
        </w:rPr>
        <w:t>individual</w:t>
      </w:r>
      <w:r w:rsidR="0040022F">
        <w:rPr>
          <w:rFonts w:ascii="Century Schoolbook" w:hAnsi="Century Schoolbook"/>
          <w:sz w:val="26"/>
          <w:szCs w:val="26"/>
        </w:rPr>
        <w:t>[</w:t>
      </w:r>
      <w:r w:rsidRPr="00C46631">
        <w:rPr>
          <w:rFonts w:ascii="Century Schoolbook" w:hAnsi="Century Schoolbook"/>
          <w:sz w:val="26"/>
          <w:szCs w:val="26"/>
        </w:rPr>
        <w:t>’s</w:t>
      </w:r>
      <w:r w:rsidR="0040022F">
        <w:rPr>
          <w:rFonts w:ascii="Century Schoolbook" w:hAnsi="Century Schoolbook"/>
          <w:sz w:val="26"/>
          <w:szCs w:val="26"/>
        </w:rPr>
        <w:t>]</w:t>
      </w:r>
      <w:r w:rsidR="00B360DE">
        <w:rPr>
          <w:rFonts w:ascii="Century Schoolbook" w:hAnsi="Century Schoolbook"/>
          <w:sz w:val="26"/>
          <w:szCs w:val="26"/>
        </w:rPr>
        <w:t>”</w:t>
      </w:r>
      <w:r w:rsidRPr="00C46631">
        <w:rPr>
          <w:rFonts w:ascii="Century Schoolbook" w:hAnsi="Century Schoolbook"/>
          <w:sz w:val="26"/>
          <w:szCs w:val="26"/>
        </w:rPr>
        <w:t xml:space="preserve"> behavior.</w:t>
      </w:r>
    </w:p>
    <w:p w:rsidR="00C46631" w:rsidRPr="00C46631" w:rsidP="00C46631" w14:paraId="5469C1FF" w14:textId="0C89500B">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3.</w:t>
      </w:r>
      <w:r w:rsidRPr="00C46631">
        <w:rPr>
          <w:rFonts w:ascii="Century Schoolbook" w:hAnsi="Century Schoolbook"/>
          <w:sz w:val="26"/>
          <w:szCs w:val="26"/>
        </w:rPr>
        <w:tab/>
      </w:r>
      <w:r w:rsidRPr="00C46631">
        <w:rPr>
          <w:rFonts w:ascii="Century Schoolbook" w:hAnsi="Century Schoolbook"/>
          <w:i/>
          <w:iCs/>
          <w:sz w:val="26"/>
          <w:szCs w:val="26"/>
        </w:rPr>
        <w:t xml:space="preserve">Even if the Regional Center had </w:t>
      </w:r>
      <w:r w:rsidR="00C85B19">
        <w:rPr>
          <w:rFonts w:ascii="Century Schoolbook" w:hAnsi="Century Schoolbook"/>
          <w:i/>
          <w:iCs/>
          <w:sz w:val="26"/>
          <w:szCs w:val="26"/>
        </w:rPr>
        <w:t xml:space="preserve">a </w:t>
      </w:r>
      <w:r w:rsidR="005F29B7">
        <w:rPr>
          <w:rFonts w:ascii="Century Schoolbook" w:hAnsi="Century Schoolbook"/>
          <w:i/>
          <w:iCs/>
          <w:sz w:val="26"/>
          <w:szCs w:val="26"/>
        </w:rPr>
        <w:t xml:space="preserve">duty to control J.C. that </w:t>
      </w:r>
      <w:r w:rsidR="003D155B">
        <w:rPr>
          <w:rFonts w:ascii="Century Schoolbook" w:hAnsi="Century Schoolbook"/>
          <w:i/>
          <w:iCs/>
          <w:sz w:val="26"/>
          <w:szCs w:val="26"/>
        </w:rPr>
        <w:t xml:space="preserve">triggered a </w:t>
      </w:r>
      <w:r w:rsidRPr="00C46631">
        <w:rPr>
          <w:rFonts w:ascii="Century Schoolbook" w:hAnsi="Century Schoolbook"/>
          <w:i/>
          <w:iCs/>
          <w:sz w:val="26"/>
          <w:szCs w:val="26"/>
        </w:rPr>
        <w:t>legal duty to protect others, public policy disfavors the recognition of liability for breach of that duty</w:t>
      </w:r>
    </w:p>
    <w:p w:rsidR="00C46631" w:rsidRPr="00C46631" w:rsidP="00C46631" w14:paraId="78442F6C" w14:textId="23A0ADC5">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asserts that harm to residential facility staff, other residents and anyone else within striking distance of a developmentally disabled person is reasonably foreseeable when that person has previously exhibited aggressive or violent behavior.  The Regional Center does not strenuously disagree with that assertion.  Although a regional center’s inability to relocate a consumer on its own (that is, without the willingness of a different residential facility to accept the consumer) tends to render less close the connection between </w:t>
      </w:r>
      <w:r w:rsidR="006D7F8A">
        <w:rPr>
          <w:rFonts w:ascii="Century Schoolbook" w:hAnsi="Century Schoolbook"/>
          <w:sz w:val="26"/>
          <w:szCs w:val="26"/>
        </w:rPr>
        <w:t>a</w:t>
      </w:r>
      <w:r w:rsidRPr="00C46631" w:rsidR="006D7F8A">
        <w:rPr>
          <w:rFonts w:ascii="Century Schoolbook" w:hAnsi="Century Schoolbook"/>
          <w:sz w:val="26"/>
          <w:szCs w:val="26"/>
        </w:rPr>
        <w:t xml:space="preserve"> </w:t>
      </w:r>
      <w:r w:rsidRPr="00C46631">
        <w:rPr>
          <w:rFonts w:ascii="Century Schoolbook" w:hAnsi="Century Schoolbook"/>
          <w:sz w:val="26"/>
          <w:szCs w:val="26"/>
        </w:rPr>
        <w:t xml:space="preserve">regional center’s conduct and the injury suffered, we will assume for the sake of argument that the injury </w:t>
      </w:r>
      <w:r w:rsidR="006D7F8A">
        <w:rPr>
          <w:rFonts w:ascii="Century Schoolbook" w:hAnsi="Century Schoolbook"/>
          <w:sz w:val="26"/>
          <w:szCs w:val="26"/>
        </w:rPr>
        <w:t xml:space="preserve">suffered by </w:t>
      </w:r>
      <w:r w:rsidRPr="00C46631">
        <w:rPr>
          <w:rFonts w:ascii="Century Schoolbook" w:hAnsi="Century Schoolbook"/>
          <w:sz w:val="26"/>
          <w:szCs w:val="26"/>
        </w:rPr>
        <w:t xml:space="preserve">third parties at the hands of persons whose developmental disabilities render them </w:t>
      </w:r>
      <w:r w:rsidR="00536507">
        <w:rPr>
          <w:rFonts w:ascii="Century Schoolbook" w:hAnsi="Century Schoolbook"/>
          <w:sz w:val="26"/>
          <w:szCs w:val="26"/>
        </w:rPr>
        <w:t xml:space="preserve">aggressive or </w:t>
      </w:r>
      <w:r w:rsidRPr="00C46631">
        <w:rPr>
          <w:rFonts w:ascii="Century Schoolbook" w:hAnsi="Century Schoolbook"/>
          <w:sz w:val="26"/>
          <w:szCs w:val="26"/>
        </w:rPr>
        <w:t>violent is reasonably foreseeable.</w:t>
      </w:r>
    </w:p>
    <w:p w:rsidR="00C46631" w:rsidRPr="00C46631" w:rsidP="00C46631" w14:paraId="6ADC2FA1" w14:textId="382BB3BF">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But do countervailing public policy considerations militate against holding a regional center liable for </w:t>
      </w:r>
      <w:r w:rsidR="00536507">
        <w:rPr>
          <w:rFonts w:ascii="Century Schoolbook" w:hAnsi="Century Schoolbook"/>
          <w:sz w:val="26"/>
          <w:szCs w:val="26"/>
        </w:rPr>
        <w:t>such a</w:t>
      </w:r>
      <w:r w:rsidRPr="00C46631">
        <w:rPr>
          <w:rFonts w:ascii="Century Schoolbook" w:hAnsi="Century Schoolbook"/>
          <w:sz w:val="26"/>
          <w:szCs w:val="26"/>
        </w:rPr>
        <w:t xml:space="preserve"> consumer’s behavior if the center’s attempts to relocate have yet to prove successful?  </w:t>
      </w:r>
    </w:p>
    <w:p w:rsidR="00C46631" w:rsidRPr="00C46631" w:rsidP="00C46631" w14:paraId="1C1C14D3" w14:textId="4349F845">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Yes, they do.  The </w:t>
      </w:r>
      <w:r w:rsidRPr="00C46631">
        <w:rPr>
          <w:rFonts w:ascii="Century Schoolbook" w:hAnsi="Century Schoolbook"/>
          <w:i/>
          <w:iCs/>
          <w:sz w:val="26"/>
          <w:szCs w:val="26"/>
        </w:rPr>
        <w:t>Rowland</w:t>
      </w:r>
      <w:r w:rsidRPr="00C46631">
        <w:rPr>
          <w:rFonts w:ascii="Century Schoolbook" w:hAnsi="Century Schoolbook"/>
          <w:sz w:val="26"/>
          <w:szCs w:val="26"/>
        </w:rPr>
        <w:t xml:space="preserve"> factors </w:t>
      </w:r>
      <w:r w:rsidR="00536507">
        <w:rPr>
          <w:rFonts w:ascii="Century Schoolbook" w:hAnsi="Century Schoolbook"/>
          <w:sz w:val="26"/>
          <w:szCs w:val="26"/>
        </w:rPr>
        <w:t>dictate this answer</w:t>
      </w:r>
      <w:r w:rsidRPr="00C46631">
        <w:rPr>
          <w:rFonts w:ascii="Century Schoolbook" w:hAnsi="Century Schoolbook"/>
          <w:sz w:val="26"/>
          <w:szCs w:val="26"/>
        </w:rPr>
        <w:t>.</w:t>
      </w:r>
    </w:p>
    <w:p w:rsidR="00C46631" w:rsidRPr="00C46631" w:rsidP="00C46631" w14:paraId="7C579454" w14:textId="121E72B4">
      <w:pPr>
        <w:spacing w:line="288" w:lineRule="auto"/>
        <w:ind w:firstLine="720"/>
        <w:rPr>
          <w:rFonts w:ascii="Century Schoolbook" w:hAnsi="Century Schoolbook"/>
          <w:sz w:val="26"/>
          <w:szCs w:val="26"/>
        </w:rPr>
      </w:pPr>
      <w:r w:rsidRPr="00C46631">
        <w:rPr>
          <w:rFonts w:ascii="Century Schoolbook" w:hAnsi="Century Schoolbook"/>
          <w:sz w:val="26"/>
          <w:szCs w:val="26"/>
        </w:rPr>
        <w:t>The moral blame attaching to the Regional Center’s conduct is minimal.  Because it is a private, nonprofit organization, the Regional Center had no profit motive for its conduct.  More to the point, the Regional Center did not ignore Hargis Ho</w:t>
      </w:r>
      <w:r w:rsidR="005F267C">
        <w:rPr>
          <w:rFonts w:ascii="Century Schoolbook" w:hAnsi="Century Schoolbook"/>
          <w:sz w:val="26"/>
          <w:szCs w:val="26"/>
        </w:rPr>
        <w:t>m</w:t>
      </w:r>
      <w:r w:rsidRPr="00C46631">
        <w:rPr>
          <w:rFonts w:ascii="Century Schoolbook" w:hAnsi="Century Schoolbook"/>
          <w:sz w:val="26"/>
          <w:szCs w:val="26"/>
        </w:rPr>
        <w:t>e’s May 2018 letter requesting relocation; to the contrary, it actively conducted a statewide search for a new residential facility to house J.C. and also provided Hargis Ho</w:t>
      </w:r>
      <w:r w:rsidR="005F267C">
        <w:rPr>
          <w:rFonts w:ascii="Century Schoolbook" w:hAnsi="Century Schoolbook"/>
          <w:sz w:val="26"/>
          <w:szCs w:val="26"/>
        </w:rPr>
        <w:t>m</w:t>
      </w:r>
      <w:r w:rsidRPr="00C46631">
        <w:rPr>
          <w:rFonts w:ascii="Century Schoolbook" w:hAnsi="Century Schoolbook"/>
          <w:sz w:val="26"/>
          <w:szCs w:val="26"/>
        </w:rPr>
        <w:t>e with additional personnel to monitor J.C. while the search was ongoing.  Given these efforts, which plaintiff does not prove—or even allege—were unreasonable, the Regional Center’s inability to relocate J.C. immediately was not morally blameworthy.</w:t>
      </w:r>
    </w:p>
    <w:p w:rsidR="00C46631" w:rsidRPr="00C46631" w:rsidP="00C46631" w14:paraId="46E244C4" w14:textId="3921993B">
      <w:pPr>
        <w:spacing w:line="288" w:lineRule="auto"/>
        <w:rPr>
          <w:rFonts w:ascii="Century Schoolbook" w:hAnsi="Century Schoolbook"/>
          <w:sz w:val="26"/>
          <w:szCs w:val="26"/>
        </w:rPr>
      </w:pPr>
      <w:r w:rsidRPr="00C46631">
        <w:rPr>
          <w:rFonts w:ascii="Century Schoolbook" w:hAnsi="Century Schoolbook"/>
          <w:sz w:val="26"/>
          <w:szCs w:val="26"/>
        </w:rPr>
        <w:tab/>
        <w:t xml:space="preserve">Imposing liability on regional centers would also not prevent future harm to third parties injured by developmentally disabled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at a residential facility after </w:t>
      </w:r>
      <w:r w:rsidR="00483EB4">
        <w:rPr>
          <w:rFonts w:ascii="Century Schoolbook" w:hAnsi="Century Schoolbook"/>
          <w:sz w:val="26"/>
          <w:szCs w:val="26"/>
        </w:rPr>
        <w:t>a</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regional center has been asked to relocate the </w:t>
      </w:r>
      <w:r w:rsidR="00483EB4">
        <w:rPr>
          <w:rFonts w:ascii="Century Schoolbook" w:hAnsi="Century Schoolbook"/>
          <w:sz w:val="26"/>
          <w:szCs w:val="26"/>
        </w:rPr>
        <w:t>person</w:t>
      </w:r>
      <w:r w:rsidRPr="00C46631">
        <w:rPr>
          <w:rFonts w:ascii="Century Schoolbook" w:hAnsi="Century Schoolbook"/>
          <w:sz w:val="26"/>
          <w:szCs w:val="26"/>
        </w:rPr>
        <w:t>.  That is because regional centers do not have the u</w:t>
      </w:r>
      <w:r w:rsidR="00536507">
        <w:rPr>
          <w:rFonts w:ascii="Century Schoolbook" w:hAnsi="Century Schoolbook"/>
          <w:sz w:val="26"/>
          <w:szCs w:val="26"/>
        </w:rPr>
        <w:t>nilateral</w:t>
      </w:r>
      <w:r w:rsidRPr="00C46631">
        <w:rPr>
          <w:rFonts w:ascii="Century Schoolbook" w:hAnsi="Century Schoolbook"/>
          <w:sz w:val="26"/>
          <w:szCs w:val="26"/>
        </w:rPr>
        <w:t xml:space="preserve"> power to relocate consumers; their power to do so is contingent upon the acceptance of the consumer by another residential facility, a contingency over which they do not have control.  Although plaintiff tries to limit the scope of liability to injuries to residential facility staff if relocation takes longer than the 30</w:t>
      </w:r>
      <w:r w:rsidR="00483EB4">
        <w:rPr>
          <w:rFonts w:ascii="Century Schoolbook" w:hAnsi="Century Schoolbook"/>
          <w:sz w:val="26"/>
          <w:szCs w:val="26"/>
        </w:rPr>
        <w:t>-</w:t>
      </w:r>
      <w:r w:rsidRPr="00C46631">
        <w:rPr>
          <w:rFonts w:ascii="Century Schoolbook" w:hAnsi="Century Schoolbook"/>
          <w:sz w:val="26"/>
          <w:szCs w:val="26"/>
        </w:rPr>
        <w:t xml:space="preserve">day default period set forth in one regulation, this limitation is artificial and unlikely to withstand scrutiny:  If a regional center is to be liable for injuries inflicted by a developmentally disabled </w:t>
      </w:r>
      <w:r w:rsidR="00483EB4">
        <w:rPr>
          <w:rFonts w:ascii="Century Schoolbook" w:hAnsi="Century Schoolbook"/>
          <w:sz w:val="26"/>
          <w:szCs w:val="26"/>
        </w:rPr>
        <w:t>person</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after the center receives notice of that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propensity for aggression or violence, there is little basis for denying liability if an injury occurs 29 days after a relocation request or is inflicted upon another resident or guest rather than an employee of the residential facility.  As noted above, this is why the regulation sets out a </w:t>
      </w:r>
      <w:r w:rsidRPr="00C46631">
        <w:rPr>
          <w:rFonts w:ascii="Century Schoolbook" w:hAnsi="Century Schoolbook"/>
          <w:i/>
          <w:iCs/>
          <w:sz w:val="26"/>
          <w:szCs w:val="26"/>
        </w:rPr>
        <w:t>standard of care</w:t>
      </w:r>
      <w:r w:rsidRPr="00C46631">
        <w:rPr>
          <w:rFonts w:ascii="Century Schoolbook" w:hAnsi="Century Schoolbook"/>
          <w:sz w:val="26"/>
          <w:szCs w:val="26"/>
        </w:rPr>
        <w:t xml:space="preserve"> that at best provides the presumptive, default standard for breach;</w:t>
      </w:r>
      <w:r w:rsidR="00536507">
        <w:rPr>
          <w:rFonts w:ascii="Century Schoolbook" w:hAnsi="Century Schoolbook"/>
          <w:sz w:val="26"/>
          <w:szCs w:val="26"/>
        </w:rPr>
        <w:t xml:space="preserve"> but</w:t>
      </w:r>
      <w:r w:rsidRPr="00C46631">
        <w:rPr>
          <w:rFonts w:ascii="Century Schoolbook" w:hAnsi="Century Schoolbook"/>
          <w:sz w:val="26"/>
          <w:szCs w:val="26"/>
        </w:rPr>
        <w:t xml:space="preserve"> it does not define the scope of </w:t>
      </w:r>
      <w:r w:rsidRPr="00C46631">
        <w:rPr>
          <w:rFonts w:ascii="Century Schoolbook" w:hAnsi="Century Schoolbook"/>
          <w:i/>
          <w:iCs/>
          <w:sz w:val="26"/>
          <w:szCs w:val="26"/>
        </w:rPr>
        <w:t>the legal duty of care</w:t>
      </w:r>
      <w:r w:rsidRPr="00C46631">
        <w:rPr>
          <w:rFonts w:ascii="Century Schoolbook" w:hAnsi="Century Schoolbook"/>
          <w:sz w:val="26"/>
          <w:szCs w:val="26"/>
        </w:rPr>
        <w:t xml:space="preserve">.  Because, as this case indicates, developmentally disabled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sometimes have a propensity for aggressive and violent behavior, and because regional centers are tasked with evaluating those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in order to assess </w:t>
      </w:r>
      <w:r w:rsidR="00536507">
        <w:rPr>
          <w:rFonts w:ascii="Century Schoolbook" w:hAnsi="Century Schoolbook"/>
          <w:sz w:val="26"/>
          <w:szCs w:val="26"/>
        </w:rPr>
        <w:t xml:space="preserve">appropriate </w:t>
      </w:r>
      <w:r w:rsidRPr="00C46631">
        <w:rPr>
          <w:rFonts w:ascii="Century Schoolbook" w:hAnsi="Century Schoolbook"/>
          <w:sz w:val="26"/>
          <w:szCs w:val="26"/>
        </w:rPr>
        <w:t>residential placements, regional centers will usually be aware of consumers’ propensities</w:t>
      </w:r>
      <w:r w:rsidR="00665991">
        <w:rPr>
          <w:rFonts w:ascii="Century Schoolbook" w:hAnsi="Century Schoolbook"/>
          <w:sz w:val="26"/>
          <w:szCs w:val="26"/>
        </w:rPr>
        <w:t xml:space="preserve">; thus, if liability is imposed against regional centers due to their awareness of such propensities, they </w:t>
      </w:r>
      <w:r w:rsidR="00063296">
        <w:rPr>
          <w:rFonts w:ascii="Century Schoolbook" w:hAnsi="Century Schoolbook"/>
          <w:sz w:val="26"/>
          <w:szCs w:val="26"/>
        </w:rPr>
        <w:t xml:space="preserve">will become de facto insurers against </w:t>
      </w:r>
      <w:r w:rsidR="00665991">
        <w:rPr>
          <w:rFonts w:ascii="Century Schoolbook" w:hAnsi="Century Schoolbook"/>
          <w:sz w:val="26"/>
          <w:szCs w:val="26"/>
        </w:rPr>
        <w:t xml:space="preserve">all </w:t>
      </w:r>
      <w:r w:rsidR="00063296">
        <w:rPr>
          <w:rFonts w:ascii="Century Schoolbook" w:hAnsi="Century Schoolbook"/>
          <w:sz w:val="26"/>
          <w:szCs w:val="26"/>
        </w:rPr>
        <w:t xml:space="preserve">injuries inflicted by </w:t>
      </w:r>
      <w:r w:rsidR="00665991">
        <w:rPr>
          <w:rFonts w:ascii="Century Schoolbook" w:hAnsi="Century Schoolbook"/>
          <w:sz w:val="26"/>
          <w:szCs w:val="26"/>
        </w:rPr>
        <w:t>anyone</w:t>
      </w:r>
      <w:r w:rsidR="00063296">
        <w:rPr>
          <w:rFonts w:ascii="Century Schoolbook" w:hAnsi="Century Schoolbook"/>
          <w:sz w:val="26"/>
          <w:szCs w:val="26"/>
        </w:rPr>
        <w:t xml:space="preserve"> whose services and support they coordinate </w:t>
      </w:r>
      <w:r w:rsidRPr="00C46631">
        <w:rPr>
          <w:rFonts w:ascii="Century Schoolbook" w:hAnsi="Century Schoolbook"/>
          <w:sz w:val="26"/>
          <w:szCs w:val="26"/>
        </w:rPr>
        <w:t>whenever</w:t>
      </w:r>
      <w:r w:rsidR="00665991">
        <w:rPr>
          <w:rFonts w:ascii="Century Schoolbook" w:hAnsi="Century Schoolbook"/>
          <w:sz w:val="26"/>
          <w:szCs w:val="26"/>
        </w:rPr>
        <w:t xml:space="preserve"> such a consumer</w:t>
      </w:r>
      <w:r w:rsidR="00C22A12">
        <w:rPr>
          <w:rFonts w:ascii="Century Schoolbook" w:hAnsi="Century Schoolbook"/>
          <w:sz w:val="26"/>
          <w:szCs w:val="26"/>
        </w:rPr>
        <w:t xml:space="preserve"> </w:t>
      </w:r>
      <w:r w:rsidRPr="00C46631">
        <w:rPr>
          <w:rFonts w:ascii="Century Schoolbook" w:hAnsi="Century Schoolbook"/>
          <w:sz w:val="26"/>
          <w:szCs w:val="26"/>
        </w:rPr>
        <w:t>act</w:t>
      </w:r>
      <w:r w:rsidR="00483EB4">
        <w:rPr>
          <w:rFonts w:ascii="Century Schoolbook" w:hAnsi="Century Schoolbook"/>
          <w:sz w:val="26"/>
          <w:szCs w:val="26"/>
        </w:rPr>
        <w:t>s</w:t>
      </w:r>
      <w:r w:rsidRPr="00C46631">
        <w:rPr>
          <w:rFonts w:ascii="Century Schoolbook" w:hAnsi="Century Schoolbook"/>
          <w:sz w:val="26"/>
          <w:szCs w:val="26"/>
        </w:rPr>
        <w:t xml:space="preserve"> on that propensity.  (Accord,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 634 [expressi</w:t>
      </w:r>
      <w:r w:rsidR="00536507">
        <w:rPr>
          <w:rFonts w:ascii="Century Schoolbook" w:hAnsi="Century Schoolbook"/>
          <w:sz w:val="26"/>
          <w:szCs w:val="26"/>
        </w:rPr>
        <w:t xml:space="preserve">ng </w:t>
      </w:r>
      <w:r w:rsidRPr="00C46631">
        <w:rPr>
          <w:rFonts w:ascii="Century Schoolbook" w:hAnsi="Century Schoolbook"/>
          <w:sz w:val="26"/>
          <w:szCs w:val="26"/>
        </w:rPr>
        <w:t xml:space="preserve">hesitation when the imposition of liability will convert a class of defendant into “the ultimate insurers of all . . . safety”].)  </w:t>
      </w:r>
      <w:r w:rsidR="00483EB4">
        <w:rPr>
          <w:rFonts w:ascii="Century Schoolbook" w:hAnsi="Century Schoolbook"/>
          <w:sz w:val="26"/>
          <w:szCs w:val="26"/>
        </w:rPr>
        <w:t>I</w:t>
      </w:r>
      <w:r w:rsidRPr="00C46631">
        <w:rPr>
          <w:rFonts w:ascii="Century Schoolbook" w:hAnsi="Century Schoolbook"/>
          <w:sz w:val="26"/>
          <w:szCs w:val="26"/>
        </w:rPr>
        <w:t>mposi</w:t>
      </w:r>
      <w:r w:rsidR="00536507">
        <w:rPr>
          <w:rFonts w:ascii="Century Schoolbook" w:hAnsi="Century Schoolbook"/>
          <w:sz w:val="26"/>
          <w:szCs w:val="26"/>
        </w:rPr>
        <w:t>ng</w:t>
      </w:r>
      <w:r w:rsidRPr="00C46631">
        <w:rPr>
          <w:rFonts w:ascii="Century Schoolbook" w:hAnsi="Century Schoolbook"/>
          <w:sz w:val="26"/>
          <w:szCs w:val="26"/>
        </w:rPr>
        <w:t xml:space="preserve"> </w:t>
      </w:r>
      <w:r w:rsidR="00483EB4">
        <w:rPr>
          <w:rFonts w:ascii="Century Schoolbook" w:hAnsi="Century Schoolbook"/>
          <w:sz w:val="26"/>
          <w:szCs w:val="26"/>
        </w:rPr>
        <w:t xml:space="preserve">such vast </w:t>
      </w:r>
      <w:r w:rsidRPr="00C46631">
        <w:rPr>
          <w:rFonts w:ascii="Century Schoolbook" w:hAnsi="Century Schoolbook"/>
          <w:sz w:val="26"/>
          <w:szCs w:val="26"/>
        </w:rPr>
        <w:t xml:space="preserve">tort liability </w:t>
      </w:r>
      <w:r w:rsidR="00483EB4">
        <w:rPr>
          <w:rFonts w:ascii="Century Schoolbook" w:hAnsi="Century Schoolbook"/>
          <w:sz w:val="26"/>
          <w:szCs w:val="26"/>
        </w:rPr>
        <w:t xml:space="preserve">on </w:t>
      </w:r>
      <w:r w:rsidRPr="00C46631" w:rsidR="00483EB4">
        <w:rPr>
          <w:rFonts w:ascii="Century Schoolbook" w:hAnsi="Century Schoolbook"/>
          <w:sz w:val="26"/>
          <w:szCs w:val="26"/>
        </w:rPr>
        <w:t>regional centers that are, by definition, nonprofit entities,</w:t>
      </w:r>
      <w:r w:rsidR="00483EB4">
        <w:rPr>
          <w:rFonts w:ascii="Century Schoolbook" w:hAnsi="Century Schoolbook"/>
          <w:sz w:val="26"/>
          <w:szCs w:val="26"/>
        </w:rPr>
        <w:t xml:space="preserve"> </w:t>
      </w:r>
      <w:r w:rsidRPr="00C46631">
        <w:rPr>
          <w:rFonts w:ascii="Century Schoolbook" w:hAnsi="Century Schoolbook"/>
          <w:sz w:val="26"/>
          <w:szCs w:val="26"/>
        </w:rPr>
        <w:t xml:space="preserve">will likely drive them out of business and hence end up doing </w:t>
      </w:r>
      <w:r w:rsidRPr="00C46631">
        <w:rPr>
          <w:rFonts w:ascii="Century Schoolbook" w:hAnsi="Century Schoolbook"/>
          <w:i/>
          <w:iCs/>
          <w:sz w:val="26"/>
          <w:szCs w:val="26"/>
        </w:rPr>
        <w:t>nothing</w:t>
      </w:r>
      <w:r w:rsidRPr="00C46631">
        <w:rPr>
          <w:rFonts w:ascii="Century Schoolbook" w:hAnsi="Century Schoolbook"/>
          <w:sz w:val="26"/>
          <w:szCs w:val="26"/>
        </w:rPr>
        <w:t xml:space="preserve"> to prevent future harm.</w:t>
      </w:r>
    </w:p>
    <w:p w:rsidR="00C46631" w:rsidRPr="00C46631" w:rsidP="00C46631" w14:paraId="7174DC8E" w14:textId="5AF20A86">
      <w:pPr>
        <w:spacing w:line="288" w:lineRule="auto"/>
        <w:rPr>
          <w:rFonts w:ascii="Century Schoolbook" w:hAnsi="Century Schoolbook"/>
          <w:sz w:val="26"/>
          <w:szCs w:val="26"/>
        </w:rPr>
      </w:pPr>
      <w:r w:rsidRPr="00C46631">
        <w:rPr>
          <w:rFonts w:ascii="Century Schoolbook" w:hAnsi="Century Schoolbook"/>
          <w:sz w:val="26"/>
          <w:szCs w:val="26"/>
        </w:rPr>
        <w:tab/>
        <w:t xml:space="preserve">Imposing liability on regional centers for injuries inflicted by the consumers whose services and support the centers coordinate would impose a </w:t>
      </w:r>
      <w:r w:rsidR="00536507">
        <w:rPr>
          <w:rFonts w:ascii="Century Schoolbook" w:hAnsi="Century Schoolbook"/>
          <w:sz w:val="26"/>
          <w:szCs w:val="26"/>
        </w:rPr>
        <w:t>crushing</w:t>
      </w:r>
      <w:r w:rsidRPr="00C46631">
        <w:rPr>
          <w:rFonts w:ascii="Century Schoolbook" w:hAnsi="Century Schoolbook"/>
          <w:sz w:val="26"/>
          <w:szCs w:val="26"/>
        </w:rPr>
        <w:t xml:space="preserve"> burden on those centers, which are the very backbone of the body of organizations the Lanterman Act uses to dispense support and services to the population of developmentally disabled persons in California.  As explained above, holding regional centers liable for injuries inflicted by consumers may well drive them out of business.  Because regional centers play a “vital” role in the administration of the Lanterman Act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34 Cal.4th at p. 488 [regional centers play a “vital” role]; § 4620, subd. (b) [regional centers have a “special and unique nature”]), their extinction is likely to collapse the entire ecosystem of the Act, thereby depriving developmentally disabled persons of much needed services and support.  Even if imposing liability does not exterminate regional centers, the imposition of tort liability is likely to skew how the centers conduct their business—and, critically, skew it in a way that is </w:t>
      </w:r>
      <w:r w:rsidRPr="00C46631">
        <w:rPr>
          <w:rFonts w:ascii="Century Schoolbook" w:hAnsi="Century Schoolbook"/>
          <w:i/>
          <w:iCs/>
          <w:sz w:val="26"/>
          <w:szCs w:val="26"/>
        </w:rPr>
        <w:t>inconsistent</w:t>
      </w:r>
      <w:r w:rsidRPr="00C46631">
        <w:rPr>
          <w:rFonts w:ascii="Century Schoolbook" w:hAnsi="Century Schoolbook"/>
          <w:sz w:val="26"/>
          <w:szCs w:val="26"/>
        </w:rPr>
        <w:t xml:space="preserve"> with the state</w:t>
      </w:r>
      <w:r>
        <w:rPr>
          <w:rFonts w:ascii="Century Schoolbook" w:hAnsi="Century Schoolbook"/>
          <w:sz w:val="26"/>
          <w:szCs w:val="26"/>
        </w:rPr>
        <w:t>d</w:t>
      </w:r>
      <w:r w:rsidRPr="00C46631">
        <w:rPr>
          <w:rFonts w:ascii="Century Schoolbook" w:hAnsi="Century Schoolbook"/>
          <w:sz w:val="26"/>
          <w:szCs w:val="26"/>
        </w:rPr>
        <w:t xml:space="preserve"> purposes of the Lanterman Act.  (Accord,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41 Cal.4th at pp. 1210, 1216 [imposing liability on landlords not to rent property to “gang members” imposes unacceptable burden on landlord because it “would tend to encourage arbitrary housing discrimination” on the “basis of race, ethnicity, family comp</w:t>
      </w:r>
      <w:r w:rsidR="0043118D">
        <w:rPr>
          <w:rFonts w:ascii="Century Schoolbook" w:hAnsi="Century Schoolbook"/>
          <w:sz w:val="26"/>
          <w:szCs w:val="26"/>
        </w:rPr>
        <w:t>osition</w:t>
      </w:r>
      <w:r w:rsidRPr="00C46631">
        <w:rPr>
          <w:rFonts w:ascii="Century Schoolbook" w:hAnsi="Century Schoolbook"/>
          <w:sz w:val="26"/>
          <w:szCs w:val="26"/>
        </w:rPr>
        <w:t>, dress</w:t>
      </w:r>
      <w:r w:rsidR="0043118D">
        <w:rPr>
          <w:rFonts w:ascii="Century Schoolbook" w:hAnsi="Century Schoolbook"/>
          <w:sz w:val="26"/>
          <w:szCs w:val="26"/>
        </w:rPr>
        <w:t xml:space="preserve"> and </w:t>
      </w:r>
      <w:r w:rsidRPr="00C46631">
        <w:rPr>
          <w:rFonts w:ascii="Century Schoolbook" w:hAnsi="Century Schoolbook"/>
          <w:sz w:val="26"/>
          <w:szCs w:val="26"/>
        </w:rPr>
        <w:t>appearance</w:t>
      </w:r>
      <w:r w:rsidR="0043118D">
        <w:rPr>
          <w:rFonts w:ascii="Century Schoolbook" w:hAnsi="Century Schoolbook"/>
          <w:sz w:val="26"/>
          <w:szCs w:val="26"/>
        </w:rPr>
        <w:t xml:space="preserve">, or </w:t>
      </w:r>
      <w:r w:rsidRPr="00C46631">
        <w:rPr>
          <w:rFonts w:ascii="Century Schoolbook" w:hAnsi="Century Schoolbook"/>
          <w:sz w:val="26"/>
          <w:szCs w:val="26"/>
        </w:rPr>
        <w:t xml:space="preserve">reputation”].)  For instance, regional centers wishing to avoid liability </w:t>
      </w:r>
      <w:r w:rsidR="00536507">
        <w:rPr>
          <w:rFonts w:ascii="Century Schoolbook" w:hAnsi="Century Schoolbook"/>
          <w:sz w:val="26"/>
          <w:szCs w:val="26"/>
        </w:rPr>
        <w:t xml:space="preserve">for injuries inflicted by the consumers they serve </w:t>
      </w:r>
      <w:r w:rsidRPr="00C46631">
        <w:rPr>
          <w:rFonts w:ascii="Century Schoolbook" w:hAnsi="Century Schoolbook"/>
          <w:sz w:val="26"/>
          <w:szCs w:val="26"/>
        </w:rPr>
        <w:t xml:space="preserve">will err on the side of placing </w:t>
      </w:r>
      <w:r w:rsidR="00536507">
        <w:rPr>
          <w:rFonts w:ascii="Century Schoolbook" w:hAnsi="Century Schoolbook"/>
          <w:sz w:val="26"/>
          <w:szCs w:val="26"/>
        </w:rPr>
        <w:t xml:space="preserve">those </w:t>
      </w:r>
      <w:r w:rsidRPr="00C46631">
        <w:rPr>
          <w:rFonts w:ascii="Century Schoolbook" w:hAnsi="Century Schoolbook"/>
          <w:sz w:val="26"/>
          <w:szCs w:val="26"/>
        </w:rPr>
        <w:t>consumers in the most restrictive residential facilities; but that is at odds with the Act’s mandate to place consumers in the “least restrictive environment</w:t>
      </w:r>
      <w:r w:rsidR="00596DE8">
        <w:rPr>
          <w:rFonts w:ascii="Century Schoolbook" w:hAnsi="Century Schoolbook"/>
          <w:sz w:val="26"/>
          <w:szCs w:val="26"/>
        </w:rPr>
        <w:t>.</w:t>
      </w:r>
      <w:r w:rsidRPr="00C46631">
        <w:rPr>
          <w:rFonts w:ascii="Century Schoolbook" w:hAnsi="Century Schoolbook"/>
          <w:sz w:val="26"/>
          <w:szCs w:val="26"/>
        </w:rPr>
        <w:t xml:space="preserve">” </w:t>
      </w:r>
      <w:r w:rsidR="00596DE8">
        <w:rPr>
          <w:rFonts w:ascii="Century Schoolbook" w:hAnsi="Century Schoolbook"/>
          <w:sz w:val="26"/>
          <w:szCs w:val="26"/>
        </w:rPr>
        <w:t xml:space="preserve"> </w:t>
      </w:r>
      <w:r w:rsidRPr="00C46631">
        <w:rPr>
          <w:rFonts w:ascii="Century Schoolbook" w:hAnsi="Century Schoolbook"/>
          <w:sz w:val="26"/>
          <w:szCs w:val="26"/>
        </w:rPr>
        <w:t>(§ 4502, subd. (</w:t>
      </w:r>
      <w:r w:rsidR="00480179">
        <w:rPr>
          <w:rFonts w:ascii="Century Schoolbook" w:hAnsi="Century Schoolbook"/>
          <w:sz w:val="26"/>
          <w:szCs w:val="26"/>
        </w:rPr>
        <w:t>b</w:t>
      </w:r>
      <w:r w:rsidRPr="00C46631">
        <w:rPr>
          <w:rFonts w:ascii="Century Schoolbook" w:hAnsi="Century Schoolbook"/>
          <w:sz w:val="26"/>
          <w:szCs w:val="26"/>
        </w:rPr>
        <w:t>)(1)</w:t>
      </w:r>
      <w:r w:rsidR="00596DE8">
        <w:rPr>
          <w:rFonts w:ascii="Century Schoolbook" w:hAnsi="Century Schoolbook"/>
          <w:sz w:val="26"/>
          <w:szCs w:val="26"/>
        </w:rPr>
        <w:t>.</w:t>
      </w:r>
      <w:r w:rsidRPr="00C46631">
        <w:rPr>
          <w:rFonts w:ascii="Century Schoolbook" w:hAnsi="Century Schoolbook"/>
          <w:sz w:val="26"/>
          <w:szCs w:val="26"/>
        </w:rPr>
        <w:t>)  Along similar lines, and as the trial court noted, regional centers facing liability will inevitabl</w:t>
      </w:r>
      <w:r w:rsidR="00536507">
        <w:rPr>
          <w:rFonts w:ascii="Century Schoolbook" w:hAnsi="Century Schoolbook"/>
          <w:sz w:val="26"/>
          <w:szCs w:val="26"/>
        </w:rPr>
        <w:t>y</w:t>
      </w:r>
      <w:r w:rsidRPr="00C46631">
        <w:rPr>
          <w:rFonts w:ascii="Century Schoolbook" w:hAnsi="Century Schoolbook"/>
          <w:sz w:val="26"/>
          <w:szCs w:val="26"/>
        </w:rPr>
        <w:t xml:space="preserve"> factor the potential for liability into their decisionmaking when it comes to services and support; but that is at odds with the Act’s focus on what is best for </w:t>
      </w:r>
      <w:r w:rsidRPr="00C46631">
        <w:rPr>
          <w:rFonts w:ascii="Century Schoolbook" w:hAnsi="Century Schoolbook"/>
          <w:i/>
          <w:iCs/>
          <w:sz w:val="26"/>
          <w:szCs w:val="26"/>
        </w:rPr>
        <w:t>the consumer</w:t>
      </w:r>
      <w:r w:rsidRPr="00C46631">
        <w:rPr>
          <w:rFonts w:ascii="Century Schoolbook" w:hAnsi="Century Schoolbook"/>
          <w:sz w:val="26"/>
          <w:szCs w:val="26"/>
        </w:rPr>
        <w:t xml:space="preserve"> (rather than</w:t>
      </w:r>
      <w:r w:rsidR="00536507">
        <w:rPr>
          <w:rFonts w:ascii="Century Schoolbook" w:hAnsi="Century Schoolbook"/>
          <w:sz w:val="26"/>
          <w:szCs w:val="26"/>
        </w:rPr>
        <w:t xml:space="preserve"> on what is best for the regional center’s risk management strategy).  </w:t>
      </w:r>
      <w:r w:rsidRPr="00C46631">
        <w:rPr>
          <w:rFonts w:ascii="Century Schoolbook" w:hAnsi="Century Schoolbook"/>
          <w:sz w:val="26"/>
          <w:szCs w:val="26"/>
        </w:rPr>
        <w:t>These burdens are particularly unwarranted where, as here, the plaintiff already has another available remedy for injuries—namely, workers</w:t>
      </w:r>
      <w:r w:rsidR="00892AC4">
        <w:rPr>
          <w:rFonts w:ascii="Century Schoolbook" w:hAnsi="Century Schoolbook"/>
          <w:sz w:val="26"/>
          <w:szCs w:val="26"/>
        </w:rPr>
        <w:t>’</w:t>
      </w:r>
      <w:r w:rsidRPr="00C46631">
        <w:rPr>
          <w:rFonts w:ascii="Century Schoolbook" w:hAnsi="Century Schoolbook"/>
          <w:sz w:val="26"/>
          <w:szCs w:val="26"/>
        </w:rPr>
        <w:t xml:space="preserve"> compensation.  Citing </w:t>
      </w:r>
      <w:r w:rsidRPr="00C46631">
        <w:rPr>
          <w:rFonts w:ascii="Century Schoolbook" w:hAnsi="Century Schoolbook"/>
          <w:i/>
          <w:iCs/>
          <w:sz w:val="26"/>
          <w:szCs w:val="26"/>
        </w:rPr>
        <w:t>Kesner</w:t>
      </w:r>
      <w:r w:rsidRPr="00C46631">
        <w:rPr>
          <w:rFonts w:ascii="Century Schoolbook" w:hAnsi="Century Schoolbook"/>
          <w:sz w:val="26"/>
          <w:szCs w:val="26"/>
        </w:rPr>
        <w:t xml:space="preserve">, plaintiff urges that we may not consider the likely burdens of </w:t>
      </w:r>
      <w:r w:rsidR="00536507">
        <w:rPr>
          <w:rFonts w:ascii="Century Schoolbook" w:hAnsi="Century Schoolbook"/>
          <w:sz w:val="26"/>
          <w:szCs w:val="26"/>
        </w:rPr>
        <w:t xml:space="preserve">imposing </w:t>
      </w:r>
      <w:r w:rsidRPr="00C46631">
        <w:rPr>
          <w:rFonts w:ascii="Century Schoolbook" w:hAnsi="Century Schoolbook"/>
          <w:sz w:val="26"/>
          <w:szCs w:val="26"/>
        </w:rPr>
        <w:t xml:space="preserve">liability; plaintiff misreads </w:t>
      </w:r>
      <w:r w:rsidRPr="00C46631">
        <w:rPr>
          <w:rFonts w:ascii="Century Schoolbook" w:hAnsi="Century Schoolbook"/>
          <w:i/>
          <w:iCs/>
          <w:sz w:val="26"/>
          <w:szCs w:val="26"/>
        </w:rPr>
        <w:t>Kesner</w:t>
      </w:r>
      <w:r w:rsidRPr="00C46631">
        <w:rPr>
          <w:rFonts w:ascii="Century Schoolbook" w:hAnsi="Century Schoolbook"/>
          <w:sz w:val="26"/>
          <w:szCs w:val="26"/>
        </w:rPr>
        <w:t xml:space="preserve">, which </w:t>
      </w:r>
      <w:r w:rsidR="00536507">
        <w:rPr>
          <w:rFonts w:ascii="Century Schoolbook" w:hAnsi="Century Schoolbook"/>
          <w:sz w:val="26"/>
          <w:szCs w:val="26"/>
        </w:rPr>
        <w:t>declares irrelevant any</w:t>
      </w:r>
      <w:r w:rsidRPr="00C46631">
        <w:rPr>
          <w:rFonts w:ascii="Century Schoolbook" w:hAnsi="Century Schoolbook"/>
          <w:sz w:val="26"/>
          <w:szCs w:val="26"/>
        </w:rPr>
        <w:t xml:space="preserve"> consideration of how recognizing a duty would impose liability for </w:t>
      </w:r>
      <w:r w:rsidRPr="00C46631">
        <w:rPr>
          <w:rFonts w:ascii="Century Schoolbook" w:hAnsi="Century Schoolbook"/>
          <w:i/>
          <w:iCs/>
          <w:sz w:val="26"/>
          <w:szCs w:val="26"/>
        </w:rPr>
        <w:t>past</w:t>
      </w:r>
      <w:r w:rsidRPr="00C46631">
        <w:rPr>
          <w:rFonts w:ascii="Century Schoolbook" w:hAnsi="Century Schoolbook"/>
          <w:sz w:val="26"/>
          <w:szCs w:val="26"/>
        </w:rPr>
        <w:t xml:space="preserve"> acts, but allows a forward-looking assessment of the burdens </w:t>
      </w:r>
      <w:r w:rsidR="0051757A">
        <w:rPr>
          <w:rFonts w:ascii="Century Schoolbook" w:hAnsi="Century Schoolbook"/>
          <w:sz w:val="26"/>
          <w:szCs w:val="26"/>
        </w:rPr>
        <w:t>that th</w:t>
      </w:r>
      <w:r w:rsidR="00E50C66">
        <w:rPr>
          <w:rFonts w:ascii="Century Schoolbook" w:hAnsi="Century Schoolbook"/>
          <w:sz w:val="26"/>
          <w:szCs w:val="26"/>
        </w:rPr>
        <w:t>e</w:t>
      </w:r>
      <w:r w:rsidR="0051757A">
        <w:rPr>
          <w:rFonts w:ascii="Century Schoolbook" w:hAnsi="Century Schoolbook"/>
          <w:sz w:val="26"/>
          <w:szCs w:val="26"/>
        </w:rPr>
        <w:t xml:space="preserve"> recognition of tort </w:t>
      </w:r>
      <w:r w:rsidRPr="00C46631">
        <w:rPr>
          <w:rFonts w:ascii="Century Schoolbook" w:hAnsi="Century Schoolbook"/>
          <w:sz w:val="26"/>
          <w:szCs w:val="26"/>
        </w:rPr>
        <w:t>liability would impose.  (</w:t>
      </w:r>
      <w:r w:rsidRPr="00C46631">
        <w:rPr>
          <w:rFonts w:ascii="Century Schoolbook" w:hAnsi="Century Schoolbook"/>
          <w:i/>
          <w:iCs/>
          <w:sz w:val="26"/>
          <w:szCs w:val="26"/>
        </w:rPr>
        <w:t>Kesner</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 Cal.5th at p. 1152.)</w:t>
      </w:r>
    </w:p>
    <w:p w:rsidR="00C46631" w:rsidRPr="00C46631" w:rsidP="00C46631" w14:paraId="2B3E2D1F" w14:textId="243A2BEC">
      <w:pPr>
        <w:spacing w:line="288" w:lineRule="auto"/>
        <w:ind w:firstLine="720"/>
        <w:rPr>
          <w:rFonts w:ascii="Century Schoolbook" w:hAnsi="Century Schoolbook"/>
          <w:sz w:val="26"/>
          <w:szCs w:val="26"/>
        </w:rPr>
      </w:pPr>
      <w:r w:rsidRPr="00C46631">
        <w:rPr>
          <w:rFonts w:ascii="Century Schoolbook" w:hAnsi="Century Schoolbook"/>
          <w:sz w:val="26"/>
          <w:szCs w:val="26"/>
        </w:rPr>
        <w:t>The imposition of liability may or may not be mitigated by the availability of insurance.  Plaintiff observes that Hargis Ho</w:t>
      </w:r>
      <w:r w:rsidR="005F267C">
        <w:rPr>
          <w:rFonts w:ascii="Century Schoolbook" w:hAnsi="Century Schoolbook"/>
          <w:sz w:val="26"/>
          <w:szCs w:val="26"/>
        </w:rPr>
        <w:t>m</w:t>
      </w:r>
      <w:r w:rsidRPr="00C46631">
        <w:rPr>
          <w:rFonts w:ascii="Century Schoolbook" w:hAnsi="Century Schoolbook"/>
          <w:sz w:val="26"/>
          <w:szCs w:val="26"/>
        </w:rPr>
        <w:t>e is able to obtain insurance.  But Hargis Ho</w:t>
      </w:r>
      <w:r w:rsidR="005F267C">
        <w:rPr>
          <w:rFonts w:ascii="Century Schoolbook" w:hAnsi="Century Schoolbook"/>
          <w:sz w:val="26"/>
          <w:szCs w:val="26"/>
        </w:rPr>
        <w:t>m</w:t>
      </w:r>
      <w:r w:rsidRPr="00C46631">
        <w:rPr>
          <w:rFonts w:ascii="Century Schoolbook" w:hAnsi="Century Schoolbook"/>
          <w:sz w:val="26"/>
          <w:szCs w:val="26"/>
        </w:rPr>
        <w:t xml:space="preserve">e has control over the premises where its employees work and its residents live.  It is far from clear that insurers would insure regional centers for the type of open-ended liability that may accrue here when such centers lack the ability to </w:t>
      </w:r>
      <w:r w:rsidR="0051757A">
        <w:rPr>
          <w:rFonts w:ascii="Century Schoolbook" w:hAnsi="Century Schoolbook"/>
          <w:sz w:val="26"/>
          <w:szCs w:val="26"/>
        </w:rPr>
        <w:t xml:space="preserve">relocate consumers on their own, and hence lack the ability </w:t>
      </w:r>
      <w:r w:rsidR="002457BD">
        <w:rPr>
          <w:rFonts w:ascii="Century Schoolbook" w:hAnsi="Century Schoolbook"/>
          <w:sz w:val="26"/>
          <w:szCs w:val="26"/>
        </w:rPr>
        <w:t xml:space="preserve">to </w:t>
      </w:r>
      <w:r w:rsidRPr="00C46631">
        <w:rPr>
          <w:rFonts w:ascii="Century Schoolbook" w:hAnsi="Century Schoolbook"/>
          <w:sz w:val="26"/>
          <w:szCs w:val="26"/>
        </w:rPr>
        <w:t xml:space="preserve">mitigate </w:t>
      </w:r>
      <w:r w:rsidR="00FC0837">
        <w:rPr>
          <w:rFonts w:ascii="Century Schoolbook" w:hAnsi="Century Schoolbook"/>
          <w:sz w:val="26"/>
          <w:szCs w:val="26"/>
        </w:rPr>
        <w:t xml:space="preserve">(or, for that matter, even manage) </w:t>
      </w:r>
      <w:r w:rsidRPr="00C46631">
        <w:rPr>
          <w:rFonts w:ascii="Century Schoolbook" w:hAnsi="Century Schoolbook"/>
          <w:sz w:val="26"/>
          <w:szCs w:val="26"/>
        </w:rPr>
        <w:t>liability</w:t>
      </w:r>
      <w:r w:rsidR="00EA5CE1">
        <w:rPr>
          <w:rFonts w:ascii="Century Schoolbook" w:hAnsi="Century Schoolbook"/>
          <w:sz w:val="26"/>
          <w:szCs w:val="26"/>
        </w:rPr>
        <w:t xml:space="preserve"> arising from the failure to relocate</w:t>
      </w:r>
      <w:r w:rsidRPr="00C46631">
        <w:rPr>
          <w:rFonts w:ascii="Century Schoolbook" w:hAnsi="Century Schoolbook"/>
          <w:sz w:val="26"/>
          <w:szCs w:val="26"/>
        </w:rPr>
        <w:t xml:space="preserve">.  </w:t>
      </w:r>
    </w:p>
    <w:p w:rsidR="00C46631" w:rsidRPr="00C46631" w:rsidP="00C46631" w14:paraId="0B55C9B8" w14:textId="67E493EE">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On balance, these factors resoundingly favor the conclusion that regional centers should not be liable in tort </w:t>
      </w:r>
      <w:r w:rsidR="00536507">
        <w:rPr>
          <w:rFonts w:ascii="Century Schoolbook" w:hAnsi="Century Schoolbook"/>
          <w:sz w:val="26"/>
          <w:szCs w:val="26"/>
        </w:rPr>
        <w:t xml:space="preserve">to residential facility employees </w:t>
      </w:r>
      <w:r w:rsidRPr="00C46631">
        <w:rPr>
          <w:rFonts w:ascii="Century Schoolbook" w:hAnsi="Century Schoolbook"/>
          <w:sz w:val="26"/>
          <w:szCs w:val="26"/>
        </w:rPr>
        <w:t xml:space="preserve">for failing to relocate a developmentally disabled </w:t>
      </w:r>
      <w:r w:rsidR="000D25F4">
        <w:rPr>
          <w:rFonts w:ascii="Century Schoolbook" w:hAnsi="Century Schoolbook"/>
          <w:sz w:val="26"/>
          <w:szCs w:val="26"/>
        </w:rPr>
        <w:t>person</w:t>
      </w:r>
      <w:r w:rsidRPr="00C46631" w:rsidR="000D25F4">
        <w:rPr>
          <w:rFonts w:ascii="Century Schoolbook" w:hAnsi="Century Schoolbook"/>
          <w:sz w:val="26"/>
          <w:szCs w:val="26"/>
        </w:rPr>
        <w:t xml:space="preserve"> </w:t>
      </w:r>
      <w:r w:rsidRPr="00C46631">
        <w:rPr>
          <w:rFonts w:ascii="Century Schoolbook" w:hAnsi="Century Schoolbook"/>
          <w:sz w:val="26"/>
          <w:szCs w:val="26"/>
        </w:rPr>
        <w:t xml:space="preserve">despite a </w:t>
      </w:r>
      <w:r w:rsidR="000D25F4">
        <w:rPr>
          <w:rFonts w:ascii="Century Schoolbook" w:hAnsi="Century Schoolbook"/>
          <w:sz w:val="26"/>
          <w:szCs w:val="26"/>
        </w:rPr>
        <w:t xml:space="preserve">facility’s </w:t>
      </w:r>
      <w:r w:rsidRPr="00C46631">
        <w:rPr>
          <w:rFonts w:ascii="Century Schoolbook" w:hAnsi="Century Schoolbook"/>
          <w:sz w:val="26"/>
          <w:szCs w:val="26"/>
        </w:rPr>
        <w:t>request to do so.</w:t>
      </w:r>
    </w:p>
    <w:p w:rsidR="00C46631" w:rsidRPr="00C46631" w:rsidP="00C46631" w14:paraId="752847F2" w14:textId="77777777">
      <w:pPr>
        <w:spacing w:line="288" w:lineRule="auto"/>
        <w:jc w:val="center"/>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t>*</w:t>
      </w:r>
      <w:r w:rsidRPr="00C46631">
        <w:rPr>
          <w:rFonts w:ascii="Century Schoolbook" w:hAnsi="Century Schoolbook"/>
          <w:sz w:val="26"/>
          <w:szCs w:val="26"/>
        </w:rPr>
        <w:tab/>
        <w:t>*</w:t>
      </w:r>
    </w:p>
    <w:p w:rsidR="00C46631" w:rsidP="00C46631" w14:paraId="255D0048" w14:textId="470C0A8C">
      <w:pPr>
        <w:spacing w:line="288" w:lineRule="auto"/>
        <w:rPr>
          <w:rFonts w:ascii="Century Schoolbook" w:hAnsi="Century Schoolbook"/>
          <w:sz w:val="26"/>
          <w:szCs w:val="26"/>
        </w:rPr>
      </w:pPr>
      <w:r w:rsidRPr="00C46631">
        <w:rPr>
          <w:rFonts w:ascii="Century Schoolbook" w:hAnsi="Century Schoolbook"/>
          <w:sz w:val="26"/>
          <w:szCs w:val="26"/>
        </w:rPr>
        <w:tab/>
        <w:t>In light of our analysis, we have no occasion to reach the further issue of whether plaintiff has assumed the risk of injury from Hargis Ho</w:t>
      </w:r>
      <w:r w:rsidR="005F267C">
        <w:rPr>
          <w:rFonts w:ascii="Century Schoolbook" w:hAnsi="Century Schoolbook"/>
          <w:sz w:val="26"/>
          <w:szCs w:val="26"/>
        </w:rPr>
        <w:t>m</w:t>
      </w:r>
      <w:r w:rsidRPr="00C46631">
        <w:rPr>
          <w:rFonts w:ascii="Century Schoolbook" w:hAnsi="Century Schoolbook"/>
          <w:sz w:val="26"/>
          <w:szCs w:val="26"/>
        </w:rPr>
        <w:t>e’s developmentally disabled residents by agreeing to be employed as the facility’s administrator.</w:t>
      </w:r>
    </w:p>
    <w:p w:rsidR="003A5057" w:rsidP="00C46631" w14:paraId="6BE0DAD3" w14:textId="77777777">
      <w:pPr>
        <w:spacing w:line="288" w:lineRule="auto"/>
        <w:rPr>
          <w:rFonts w:ascii="Century Schoolbook" w:hAnsi="Century Schoolbook"/>
          <w:sz w:val="26"/>
          <w:szCs w:val="26"/>
        </w:rPr>
      </w:pPr>
    </w:p>
    <w:p w:rsidR="003A5057" w:rsidP="00C46631" w14:paraId="535368BA" w14:textId="77777777">
      <w:pPr>
        <w:spacing w:line="288" w:lineRule="auto"/>
        <w:rPr>
          <w:rFonts w:ascii="Century Schoolbook" w:hAnsi="Century Schoolbook"/>
          <w:sz w:val="26"/>
          <w:szCs w:val="26"/>
        </w:rPr>
      </w:pPr>
    </w:p>
    <w:p w:rsidR="003A5057" w:rsidP="00C46631" w14:paraId="5EE503DE" w14:textId="77777777">
      <w:pPr>
        <w:spacing w:line="288" w:lineRule="auto"/>
        <w:rPr>
          <w:rFonts w:ascii="Century Schoolbook" w:hAnsi="Century Schoolbook"/>
          <w:sz w:val="26"/>
          <w:szCs w:val="26"/>
        </w:rPr>
      </w:pPr>
    </w:p>
    <w:p w:rsidR="003A5057" w:rsidRPr="00C46631" w:rsidP="00C46631" w14:paraId="6F969C4C" w14:textId="77777777">
      <w:pPr>
        <w:spacing w:line="288" w:lineRule="auto"/>
        <w:rPr>
          <w:rFonts w:ascii="Century Schoolbook" w:hAnsi="Century Schoolbook"/>
          <w:sz w:val="26"/>
          <w:szCs w:val="26"/>
        </w:rPr>
      </w:pPr>
    </w:p>
    <w:p w:rsidR="00C46631" w:rsidRPr="00C46631" w:rsidP="00C46631" w14:paraId="7BE09D40"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DISPOSITION</w:t>
      </w:r>
    </w:p>
    <w:p w:rsidR="00C46631" w:rsidRPr="00C46631" w:rsidP="00C46631" w14:paraId="72FD8AF2"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The judgment is affirmed.  The Regional Center is entitled to its costs on appeal.</w:t>
      </w:r>
    </w:p>
    <w:p w:rsidR="001528F1" w:rsidRPr="001528F1" w:rsidP="00D0414F" w14:paraId="36BC07DD" w14:textId="24F4A4C3">
      <w:pPr>
        <w:spacing w:line="288" w:lineRule="auto"/>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rsidR="001528F1" w:rsidRPr="001528F1" w:rsidP="00D0414F" w14:paraId="668687C5" w14:textId="77777777">
      <w:pPr>
        <w:spacing w:line="288" w:lineRule="auto"/>
        <w:ind w:firstLine="720"/>
        <w:rPr>
          <w:rFonts w:ascii="Century Schoolbook" w:eastAsia="Calibri" w:hAnsi="Century Schoolbook"/>
          <w:sz w:val="26"/>
          <w:szCs w:val="26"/>
        </w:rPr>
      </w:pPr>
    </w:p>
    <w:p w:rsidR="001528F1" w:rsidRPr="001528F1" w:rsidP="00D0414F" w14:paraId="52136C47" w14:textId="77777777">
      <w:pPr>
        <w:spacing w:line="288" w:lineRule="auto"/>
        <w:ind w:firstLine="720"/>
        <w:rPr>
          <w:rFonts w:ascii="Century Schoolbook" w:eastAsia="Calibri" w:hAnsi="Century Schoolbook"/>
          <w:sz w:val="26"/>
          <w:szCs w:val="26"/>
        </w:rPr>
      </w:pPr>
    </w:p>
    <w:p w:rsidR="001528F1" w:rsidRPr="001528F1" w:rsidP="00D0414F" w14:paraId="4E2DC638"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rsidR="001528F1" w:rsidRPr="001528F1" w:rsidP="00D0414F" w14:paraId="4D1A37CC"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rsidR="001528F1" w:rsidRPr="001528F1" w:rsidP="00D0414F" w14:paraId="01DB64B4" w14:textId="77777777">
      <w:pPr>
        <w:spacing w:line="288" w:lineRule="auto"/>
        <w:rPr>
          <w:rFonts w:ascii="Century Schoolbook" w:eastAsia="Calibri" w:hAnsi="Century Schoolbook"/>
          <w:sz w:val="26"/>
          <w:szCs w:val="26"/>
        </w:rPr>
      </w:pPr>
    </w:p>
    <w:p w:rsidR="001528F1" w:rsidRPr="001528F1" w:rsidP="00D0414F" w14:paraId="58B30DD4"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rsidR="001528F1" w:rsidRPr="001528F1" w:rsidP="00D0414F" w14:paraId="68265FF2"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233BC745"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7585B50" w14:textId="6A89556C">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 xml:space="preserve">_________________________, </w:t>
      </w:r>
      <w:r w:rsidR="00AE07C2">
        <w:rPr>
          <w:rFonts w:ascii="Century Schoolbook" w:eastAsia="Century Schoolbook" w:hAnsi="Century Schoolbook" w:cs="Century Schoolbook"/>
          <w:color w:val="000000"/>
          <w:sz w:val="26"/>
          <w:szCs w:val="26"/>
        </w:rPr>
        <w:t xml:space="preserve">Acting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rsidR="001528F1" w:rsidRPr="001528F1" w:rsidP="00D0414F" w14:paraId="23B3DD36" w14:textId="4A6008D0">
      <w:pPr>
        <w:widowControl w:val="0"/>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 </w:t>
      </w:r>
      <w:r w:rsidR="00AE07C2">
        <w:rPr>
          <w:rFonts w:ascii="Century Schoolbook" w:eastAsia="Century Schoolbook" w:hAnsi="Century Schoolbook" w:cs="Century Schoolbook"/>
          <w:color w:val="000000"/>
          <w:sz w:val="26"/>
          <w:szCs w:val="26"/>
        </w:rPr>
        <w:t>ASHMANN-GERST</w:t>
      </w:r>
    </w:p>
    <w:p w:rsidR="001528F1" w:rsidRPr="001528F1" w:rsidP="00D0414F" w14:paraId="463A2F97"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1409EEE"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671DD997"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rsidR="00A1623E" w:rsidP="00D0414F" w14:paraId="496CDABF" w14:textId="76F348A9">
      <w:pPr>
        <w:spacing w:line="288" w:lineRule="auto"/>
        <w:rPr>
          <w:rFonts w:ascii="Century Schoolbook" w:eastAsia="Calibri" w:hAnsi="Century Schoolbook"/>
          <w:sz w:val="26"/>
          <w:szCs w:val="26"/>
        </w:rPr>
      </w:pPr>
      <w:r>
        <w:rPr>
          <w:rFonts w:ascii="Century Schoolbook" w:eastAsia="Century Schoolbook" w:hAnsi="Century Schoolbook" w:cs="Century Schoolbook"/>
          <w:sz w:val="26"/>
          <w:szCs w:val="26"/>
        </w:rPr>
        <w:t xml:space="preserve"> </w:t>
      </w:r>
      <w:r w:rsidR="00EF4575">
        <w:rPr>
          <w:rFonts w:ascii="Century Schoolbook" w:eastAsia="Century Schoolbook" w:hAnsi="Century Schoolbook" w:cs="Century Schoolbook"/>
          <w:sz w:val="26"/>
          <w:szCs w:val="26"/>
        </w:rPr>
        <w:t>CHAVEZ</w:t>
      </w:r>
    </w:p>
    <w:bookmarkEnd w:id="0"/>
    <w:p w:rsidR="003710FF" w:rsidP="00D0414F" w14:paraId="204E120E" w14:textId="40CDD1DC">
      <w:pPr>
        <w:spacing w:line="288" w:lineRule="auto"/>
        <w:rPr>
          <w:rFonts w:ascii="Century Schoolbook" w:hAnsi="Century Schoolbook"/>
          <w:sz w:val="26"/>
          <w:szCs w:val="26"/>
        </w:rPr>
      </w:pPr>
      <w:r>
        <w:rPr>
          <w:rFonts w:ascii="Century Schoolbook" w:hAnsi="Century Schoolbook"/>
          <w:sz w:val="26"/>
          <w:szCs w:val="26"/>
        </w:rPr>
        <w:t xml:space="preserve"> </w:t>
      </w:r>
    </w:p>
    <w:sectPr w:rsidSect="00F560FD">
      <w:footerReference w:type="default" r:id="rId6"/>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6077613"/>
      <w:docPartObj>
        <w:docPartGallery w:val="Page Numbers (Bottom of Page)"/>
        <w:docPartUnique/>
      </w:docPartObj>
    </w:sdtPr>
    <w:sdtEndPr>
      <w:rPr>
        <w:rFonts w:ascii="Century Schoolbook" w:hAnsi="Century Schoolbook"/>
        <w:noProof/>
        <w:sz w:val="26"/>
        <w:szCs w:val="26"/>
      </w:rPr>
    </w:sdtEndPr>
    <w:sdtContent>
      <w:p w:rsidR="001F0B32" w:rsidRPr="00F560FD" w14:paraId="74596096" w14:textId="2F2807F3">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rsidR="001F0B32" w14:paraId="6D8574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0C0" w:rsidRPr="00ED7C99" w:rsidP="00ED7C99" w14:paraId="2A59D4D4" w14:textId="77777777">
      <w:r>
        <w:continuationSeparator/>
      </w:r>
    </w:p>
  </w:footnote>
  <w:footnote w:type="continuationSeparator" w:id="1">
    <w:p w:rsidR="00E250C0" w:rsidP="00DA5C42" w14:paraId="5527FCA8" w14:textId="77777777">
      <w:r>
        <w:continuationSeparator/>
      </w:r>
    </w:p>
  </w:footnote>
  <w:footnote w:id="2">
    <w:p w:rsidR="00C46631" w:rsidRPr="00F77291" w:rsidP="00C46631" w14:paraId="03C858EF" w14:textId="77777777">
      <w:pPr>
        <w:pStyle w:val="FootnoteText"/>
        <w:rPr>
          <w:rFonts w:ascii="Century Schoolbook" w:hAnsi="Century Schoolbook"/>
          <w:sz w:val="26"/>
          <w:szCs w:val="26"/>
        </w:rPr>
      </w:pPr>
      <w:r w:rsidRPr="00CC60B2">
        <w:rPr>
          <w:rStyle w:val="FootnoteReference"/>
          <w:rFonts w:ascii="Century Schoolbook" w:hAnsi="Century Schoolbook"/>
          <w:b/>
          <w:bCs/>
          <w:sz w:val="20"/>
          <w:vertAlign w:val="baseline"/>
        </w:rPr>
        <w:footnoteRef/>
      </w:r>
      <w:r w:rsidRPr="00CC60B2">
        <w:rPr>
          <w:rFonts w:ascii="Century Schoolbook" w:hAnsi="Century Schoolbook"/>
          <w:b/>
          <w:bCs/>
        </w:rPr>
        <w:t xml:space="preserve"> </w:t>
      </w:r>
      <w:r w:rsidRPr="00CC60B2">
        <w:rPr>
          <w:rFonts w:ascii="Century Schoolbook" w:hAnsi="Century Schoolbook"/>
          <w:b/>
          <w:bCs/>
        </w:rPr>
        <w:tab/>
      </w:r>
      <w:r w:rsidRPr="00F77291">
        <w:rPr>
          <w:rFonts w:ascii="Century Schoolbook" w:hAnsi="Century Schoolbook"/>
          <w:sz w:val="26"/>
          <w:szCs w:val="26"/>
        </w:rPr>
        <w:t>All further statutory references are to the Welfare and Institutions Code unless otherwise indicated.</w:t>
      </w:r>
    </w:p>
  </w:footnote>
  <w:footnote w:id="3">
    <w:p w:rsidR="00C46631" w:rsidRPr="007E0BFC" w:rsidP="00C46631" w14:paraId="38087568" w14:textId="39A7993F">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7E0BFC">
        <w:rPr>
          <w:rFonts w:ascii="Century Schoolbook" w:hAnsi="Century Schoolbook"/>
          <w:sz w:val="26"/>
          <w:szCs w:val="26"/>
        </w:rPr>
        <w:t xml:space="preserve">In a January 2018 </w:t>
      </w:r>
      <w:r w:rsidR="00197320">
        <w:rPr>
          <w:rFonts w:ascii="Century Schoolbook" w:hAnsi="Century Schoolbook"/>
          <w:sz w:val="26"/>
          <w:szCs w:val="26"/>
        </w:rPr>
        <w:t xml:space="preserve">interim </w:t>
      </w:r>
      <w:r w:rsidRPr="007E0BFC">
        <w:rPr>
          <w:rFonts w:ascii="Century Schoolbook" w:hAnsi="Century Schoolbook"/>
          <w:sz w:val="26"/>
          <w:szCs w:val="26"/>
        </w:rPr>
        <w:t>report, the Regional Center noted that Hargis Ho</w:t>
      </w:r>
      <w:r w:rsidR="005F267C">
        <w:rPr>
          <w:rFonts w:ascii="Century Schoolbook" w:hAnsi="Century Schoolbook"/>
          <w:sz w:val="26"/>
          <w:szCs w:val="26"/>
        </w:rPr>
        <w:t>m</w:t>
      </w:r>
      <w:r w:rsidRPr="007E0BFC">
        <w:rPr>
          <w:rFonts w:ascii="Century Schoolbook" w:hAnsi="Century Schoolbook"/>
          <w:sz w:val="26"/>
          <w:szCs w:val="26"/>
        </w:rPr>
        <w:t>e was not “address[ing]” J.</w:t>
      </w:r>
      <w:r>
        <w:rPr>
          <w:rFonts w:ascii="Century Schoolbook" w:hAnsi="Century Schoolbook"/>
          <w:sz w:val="26"/>
          <w:szCs w:val="26"/>
        </w:rPr>
        <w:t>C</w:t>
      </w:r>
      <w:r w:rsidRPr="007E0BFC">
        <w:rPr>
          <w:rFonts w:ascii="Century Schoolbook" w:hAnsi="Century Schoolbook"/>
          <w:sz w:val="26"/>
          <w:szCs w:val="26"/>
        </w:rPr>
        <w:t>.’s “developmental needs and the type and intensity of car</w:t>
      </w:r>
      <w:r w:rsidR="00F53CC4">
        <w:rPr>
          <w:rFonts w:ascii="Century Schoolbook" w:hAnsi="Century Schoolbook"/>
          <w:sz w:val="26"/>
          <w:szCs w:val="26"/>
        </w:rPr>
        <w:t>e</w:t>
      </w:r>
      <w:r w:rsidRPr="007E0BFC">
        <w:rPr>
          <w:rFonts w:ascii="Century Schoolbook" w:hAnsi="Century Schoolbook"/>
          <w:sz w:val="26"/>
          <w:szCs w:val="26"/>
        </w:rPr>
        <w:t xml:space="preserve"> required” because </w:t>
      </w:r>
      <w:r w:rsidR="00197320">
        <w:rPr>
          <w:rFonts w:ascii="Century Schoolbook" w:hAnsi="Century Schoolbook"/>
          <w:sz w:val="26"/>
          <w:szCs w:val="26"/>
        </w:rPr>
        <w:t>the staff</w:t>
      </w:r>
      <w:r w:rsidRPr="007E0BFC" w:rsidR="00197320">
        <w:rPr>
          <w:rFonts w:ascii="Century Schoolbook" w:hAnsi="Century Schoolbook"/>
          <w:sz w:val="26"/>
          <w:szCs w:val="26"/>
        </w:rPr>
        <w:t xml:space="preserve"> </w:t>
      </w:r>
      <w:r w:rsidRPr="007E0BFC">
        <w:rPr>
          <w:rFonts w:ascii="Century Schoolbook" w:hAnsi="Century Schoolbook"/>
          <w:sz w:val="26"/>
          <w:szCs w:val="26"/>
        </w:rPr>
        <w:t>were not feeding him food that accounted for his obesity.  This issue was resolved by March 2018.</w:t>
      </w:r>
    </w:p>
  </w:footnote>
  <w:footnote w:id="4">
    <w:p w:rsidR="00C46631" w:rsidRPr="00002A55" w:rsidP="00C46631" w14:paraId="378CF38B" w14:textId="0E122749">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002A55">
        <w:rPr>
          <w:rFonts w:ascii="Century Schoolbook" w:hAnsi="Century Schoolbook"/>
          <w:sz w:val="26"/>
          <w:szCs w:val="26"/>
        </w:rPr>
        <w:t xml:space="preserve">Plaintiff also sued the County of Los Angeles, </w:t>
      </w:r>
      <w:r w:rsidRPr="00002A55" w:rsidR="006056D4">
        <w:rPr>
          <w:rFonts w:ascii="Century Schoolbook" w:hAnsi="Century Schoolbook"/>
          <w:sz w:val="26"/>
          <w:szCs w:val="26"/>
        </w:rPr>
        <w:t>the L</w:t>
      </w:r>
      <w:r w:rsidR="006056D4">
        <w:rPr>
          <w:rFonts w:ascii="Century Schoolbook" w:hAnsi="Century Schoolbook"/>
          <w:sz w:val="26"/>
          <w:szCs w:val="26"/>
        </w:rPr>
        <w:t xml:space="preserve">os </w:t>
      </w:r>
      <w:r w:rsidRPr="00002A55" w:rsidR="006056D4">
        <w:rPr>
          <w:rFonts w:ascii="Century Schoolbook" w:hAnsi="Century Schoolbook"/>
          <w:sz w:val="26"/>
          <w:szCs w:val="26"/>
        </w:rPr>
        <w:t>A</w:t>
      </w:r>
      <w:r w:rsidR="006056D4">
        <w:rPr>
          <w:rFonts w:ascii="Century Schoolbook" w:hAnsi="Century Schoolbook"/>
          <w:sz w:val="26"/>
          <w:szCs w:val="26"/>
        </w:rPr>
        <w:t>ngeles</w:t>
      </w:r>
      <w:r w:rsidRPr="00002A55" w:rsidR="006056D4">
        <w:rPr>
          <w:rFonts w:ascii="Century Schoolbook" w:hAnsi="Century Schoolbook"/>
          <w:sz w:val="26"/>
          <w:szCs w:val="26"/>
        </w:rPr>
        <w:t xml:space="preserve"> </w:t>
      </w:r>
      <w:r w:rsidR="007447A8">
        <w:rPr>
          <w:rFonts w:ascii="Century Schoolbook" w:hAnsi="Century Schoolbook"/>
          <w:sz w:val="26"/>
          <w:szCs w:val="26"/>
        </w:rPr>
        <w:t xml:space="preserve">County </w:t>
      </w:r>
      <w:r w:rsidRPr="00002A55" w:rsidR="006056D4">
        <w:rPr>
          <w:rFonts w:ascii="Century Schoolbook" w:hAnsi="Century Schoolbook"/>
          <w:sz w:val="26"/>
          <w:szCs w:val="26"/>
        </w:rPr>
        <w:t>Department of Mental Health</w:t>
      </w:r>
      <w:r w:rsidR="006056D4">
        <w:rPr>
          <w:rFonts w:ascii="Century Schoolbook" w:hAnsi="Century Schoolbook"/>
          <w:sz w:val="26"/>
          <w:szCs w:val="26"/>
        </w:rPr>
        <w:t>,</w:t>
      </w:r>
      <w:r w:rsidRPr="00002A55" w:rsidR="006056D4">
        <w:rPr>
          <w:rFonts w:ascii="Century Schoolbook" w:hAnsi="Century Schoolbook"/>
          <w:sz w:val="26"/>
          <w:szCs w:val="26"/>
        </w:rPr>
        <w:t xml:space="preserve"> </w:t>
      </w:r>
      <w:r w:rsidRPr="00002A55">
        <w:rPr>
          <w:rFonts w:ascii="Century Schoolbook" w:hAnsi="Century Schoolbook"/>
          <w:sz w:val="26"/>
          <w:szCs w:val="26"/>
        </w:rPr>
        <w:t>My Life Foundation</w:t>
      </w:r>
      <w:r w:rsidR="00B25B09">
        <w:rPr>
          <w:rFonts w:ascii="Century Schoolbook" w:hAnsi="Century Schoolbook"/>
          <w:sz w:val="26"/>
          <w:szCs w:val="26"/>
        </w:rPr>
        <w:t>, Inc.</w:t>
      </w:r>
      <w:r w:rsidRPr="00002A55">
        <w:rPr>
          <w:rFonts w:ascii="Century Schoolbook" w:hAnsi="Century Schoolbook"/>
          <w:sz w:val="26"/>
          <w:szCs w:val="26"/>
        </w:rPr>
        <w:t xml:space="preserve">, and five of the Regional Center’s employees.  Plaintiff subsequently dismissed </w:t>
      </w:r>
      <w:r w:rsidR="006056D4">
        <w:rPr>
          <w:rFonts w:ascii="Century Schoolbook" w:hAnsi="Century Schoolbook"/>
          <w:sz w:val="26"/>
          <w:szCs w:val="26"/>
        </w:rPr>
        <w:t>the County of Los Angeles</w:t>
      </w:r>
      <w:r w:rsidR="004960F3">
        <w:rPr>
          <w:rFonts w:ascii="Century Schoolbook" w:hAnsi="Century Schoolbook"/>
          <w:sz w:val="26"/>
          <w:szCs w:val="26"/>
        </w:rPr>
        <w:t xml:space="preserve"> and</w:t>
      </w:r>
      <w:r w:rsidR="006056D4">
        <w:rPr>
          <w:rFonts w:ascii="Century Schoolbook" w:hAnsi="Century Schoolbook"/>
          <w:sz w:val="26"/>
          <w:szCs w:val="26"/>
        </w:rPr>
        <w:t xml:space="preserve"> </w:t>
      </w:r>
      <w:r w:rsidRPr="00002A55">
        <w:rPr>
          <w:rFonts w:ascii="Century Schoolbook" w:hAnsi="Century Schoolbook"/>
          <w:sz w:val="26"/>
          <w:szCs w:val="26"/>
        </w:rPr>
        <w:t>My Life Foundation</w:t>
      </w:r>
      <w:r w:rsidR="00B25B09">
        <w:rPr>
          <w:rFonts w:ascii="Century Schoolbook" w:hAnsi="Century Schoolbook"/>
          <w:sz w:val="26"/>
          <w:szCs w:val="26"/>
        </w:rPr>
        <w:t>, Inc</w:t>
      </w:r>
      <w:r w:rsidRPr="00002A55">
        <w:rPr>
          <w:rFonts w:ascii="Century Schoolbook" w:hAnsi="Century Schoolbook"/>
          <w:sz w:val="26"/>
          <w:szCs w:val="26"/>
        </w:rPr>
        <w:t xml:space="preserve">.  The only defendant pertinent to this appeal is the Regional Center. </w:t>
      </w:r>
    </w:p>
  </w:footnote>
  <w:footnote w:id="5">
    <w:p w:rsidR="002F47B1" w14:paraId="7CB87B32" w14:textId="6979E46C">
      <w:pPr>
        <w:pStyle w:val="FootnoteText"/>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rsidRPr="00D42E17">
        <w:rPr>
          <w:rFonts w:ascii="Century Schoolbook" w:hAnsi="Century Schoolbook"/>
          <w:b/>
          <w:bCs/>
        </w:rPr>
        <w:tab/>
      </w:r>
      <w:r w:rsidRPr="00D42E17">
        <w:rPr>
          <w:rFonts w:ascii="Century Schoolbook" w:hAnsi="Century Schoolbook"/>
          <w:sz w:val="26"/>
          <w:szCs w:val="26"/>
        </w:rPr>
        <w:t xml:space="preserve">Plaintiff has abandoned his prior theory that </w:t>
      </w:r>
      <w:r w:rsidRPr="0012257F">
        <w:rPr>
          <w:rFonts w:ascii="Century Schoolbook" w:hAnsi="Century Schoolbook"/>
          <w:sz w:val="26"/>
          <w:szCs w:val="26"/>
        </w:rPr>
        <w:t xml:space="preserve">the Regional Center is liable in negligence for its affirmative conduct </w:t>
      </w:r>
      <w:r>
        <w:rPr>
          <w:rFonts w:ascii="Century Schoolbook" w:hAnsi="Century Schoolbook"/>
          <w:sz w:val="26"/>
          <w:szCs w:val="26"/>
        </w:rPr>
        <w:t xml:space="preserve">(and hence misfeasance) </w:t>
      </w:r>
      <w:r w:rsidRPr="0012257F">
        <w:rPr>
          <w:rFonts w:ascii="Century Schoolbook" w:hAnsi="Century Schoolbook"/>
          <w:sz w:val="26"/>
          <w:szCs w:val="26"/>
        </w:rPr>
        <w:t>in suggesting that J.C. be housed at Hargis Ho</w:t>
      </w:r>
      <w:r w:rsidR="005F267C">
        <w:rPr>
          <w:rFonts w:ascii="Century Schoolbook" w:hAnsi="Century Schoolbook"/>
          <w:sz w:val="26"/>
          <w:szCs w:val="26"/>
        </w:rPr>
        <w:t>m</w:t>
      </w:r>
      <w:r w:rsidRPr="0012257F">
        <w:rPr>
          <w:rFonts w:ascii="Century Schoolbook" w:hAnsi="Century Schoolbook"/>
          <w:sz w:val="26"/>
          <w:szCs w:val="26"/>
        </w:rPr>
        <w:t>e.  This theory is foreclosed as a matter of law in any event because it is undisputed that Hargis Ho</w:t>
      </w:r>
      <w:r w:rsidR="005F267C">
        <w:rPr>
          <w:rFonts w:ascii="Century Schoolbook" w:hAnsi="Century Schoolbook"/>
          <w:sz w:val="26"/>
          <w:szCs w:val="26"/>
        </w:rPr>
        <w:t>m</w:t>
      </w:r>
      <w:r w:rsidRPr="0012257F">
        <w:rPr>
          <w:rFonts w:ascii="Century Schoolbook" w:hAnsi="Century Schoolbook"/>
          <w:sz w:val="26"/>
          <w:szCs w:val="26"/>
        </w:rPr>
        <w:t xml:space="preserve">e independently evaluated J.C.’s fitness for its facility, so </w:t>
      </w:r>
      <w:r w:rsidR="004563A3">
        <w:rPr>
          <w:rFonts w:ascii="Century Schoolbook" w:hAnsi="Century Schoolbook"/>
          <w:sz w:val="26"/>
          <w:szCs w:val="26"/>
        </w:rPr>
        <w:t xml:space="preserve">it </w:t>
      </w:r>
      <w:r w:rsidRPr="0012257F">
        <w:rPr>
          <w:rFonts w:ascii="Century Schoolbook" w:hAnsi="Century Schoolbook"/>
          <w:sz w:val="26"/>
          <w:szCs w:val="26"/>
        </w:rPr>
        <w:t>did not rely on the Regional Center’s initial “suggestion” for placement.  As a result, the Regional Center did not engage in any misfeasance that cause</w:t>
      </w:r>
      <w:r w:rsidRPr="00D42E17" w:rsidR="00C4082D">
        <w:rPr>
          <w:rFonts w:ascii="Century Schoolbook" w:hAnsi="Century Schoolbook"/>
          <w:sz w:val="26"/>
          <w:szCs w:val="26"/>
        </w:rPr>
        <w:t>d</w:t>
      </w:r>
      <w:r w:rsidRPr="0012257F">
        <w:rPr>
          <w:rFonts w:ascii="Century Schoolbook" w:hAnsi="Century Schoolbook"/>
          <w:sz w:val="26"/>
          <w:szCs w:val="26"/>
        </w:rPr>
        <w:t xml:space="preserve"> Hargis Ho</w:t>
      </w:r>
      <w:r w:rsidR="005F267C">
        <w:rPr>
          <w:rFonts w:ascii="Century Schoolbook" w:hAnsi="Century Schoolbook"/>
          <w:sz w:val="26"/>
          <w:szCs w:val="26"/>
        </w:rPr>
        <w:t>m</w:t>
      </w:r>
      <w:r w:rsidRPr="0012257F">
        <w:rPr>
          <w:rFonts w:ascii="Century Schoolbook" w:hAnsi="Century Schoolbook"/>
          <w:sz w:val="26"/>
          <w:szCs w:val="26"/>
        </w:rPr>
        <w:t xml:space="preserve">e’s employees to be placed in peril.  (Cf. </w:t>
      </w:r>
      <w:r w:rsidRPr="0012257F">
        <w:rPr>
          <w:rFonts w:ascii="Century Schoolbook" w:hAnsi="Century Schoolbook"/>
          <w:i/>
          <w:iCs/>
          <w:sz w:val="26"/>
          <w:szCs w:val="26"/>
        </w:rPr>
        <w:t>Regents</w:t>
      </w:r>
      <w:r w:rsidRPr="00D42E17">
        <w:rPr>
          <w:rFonts w:ascii="Century Schoolbook" w:hAnsi="Century Schoolbook"/>
          <w:sz w:val="26"/>
          <w:szCs w:val="26"/>
        </w:rPr>
        <w:t>,</w:t>
      </w:r>
      <w:r w:rsidRPr="0012257F">
        <w:rPr>
          <w:rFonts w:ascii="Century Schoolbook" w:hAnsi="Century Schoolbook"/>
          <w:i/>
          <w:iCs/>
          <w:sz w:val="26"/>
          <w:szCs w:val="26"/>
        </w:rPr>
        <w:t xml:space="preserve"> supra</w:t>
      </w:r>
      <w:r w:rsidRPr="0012257F">
        <w:rPr>
          <w:rFonts w:ascii="Century Schoolbook" w:hAnsi="Century Schoolbook"/>
          <w:sz w:val="26"/>
          <w:szCs w:val="26"/>
        </w:rPr>
        <w:t xml:space="preserve">, 4 Cal.5th at p. 619; </w:t>
      </w:r>
      <w:r w:rsidRPr="0012257F">
        <w:rPr>
          <w:rFonts w:ascii="Century Schoolbook" w:hAnsi="Century Schoolbook"/>
          <w:i/>
          <w:iCs/>
          <w:sz w:val="26"/>
          <w:szCs w:val="26"/>
        </w:rPr>
        <w:t>Zelig</w:t>
      </w:r>
      <w:r w:rsidR="007B10B4">
        <w:rPr>
          <w:rFonts w:ascii="Century Schoolbook" w:hAnsi="Century Schoolbook"/>
          <w:sz w:val="26"/>
          <w:szCs w:val="26"/>
        </w:rPr>
        <w:t xml:space="preserve"> </w:t>
      </w:r>
      <w:r w:rsidRPr="00C46631" w:rsidR="007B10B4">
        <w:rPr>
          <w:rFonts w:ascii="Century Schoolbook" w:hAnsi="Century Schoolbook"/>
          <w:i/>
          <w:iCs/>
          <w:sz w:val="26"/>
          <w:szCs w:val="26"/>
        </w:rPr>
        <w:t xml:space="preserve">v. County of Los Angeles </w:t>
      </w:r>
      <w:r w:rsidRPr="00C46631" w:rsidR="007B10B4">
        <w:rPr>
          <w:rFonts w:ascii="Century Schoolbook" w:hAnsi="Century Schoolbook"/>
          <w:sz w:val="26"/>
          <w:szCs w:val="26"/>
        </w:rPr>
        <w:t>(2002)</w:t>
      </w:r>
      <w:r w:rsidRPr="0012257F">
        <w:rPr>
          <w:rFonts w:ascii="Century Schoolbook" w:hAnsi="Century Schoolbook"/>
          <w:sz w:val="26"/>
          <w:szCs w:val="26"/>
        </w:rPr>
        <w:t xml:space="preserve"> 27 Cal.4th </w:t>
      </w:r>
      <w:r w:rsidR="00574E65">
        <w:rPr>
          <w:rFonts w:ascii="Century Schoolbook" w:hAnsi="Century Schoolbook"/>
          <w:sz w:val="26"/>
          <w:szCs w:val="26"/>
        </w:rPr>
        <w:t xml:space="preserve">1112, </w:t>
      </w:r>
      <w:r w:rsidRPr="0012257F">
        <w:rPr>
          <w:rFonts w:ascii="Century Schoolbook" w:hAnsi="Century Schoolbook"/>
          <w:sz w:val="26"/>
          <w:szCs w:val="26"/>
        </w:rPr>
        <w:t>1128</w:t>
      </w:r>
      <w:r w:rsidR="00574E65">
        <w:rPr>
          <w:rFonts w:ascii="Century Schoolbook" w:hAnsi="Century Schoolbook"/>
          <w:sz w:val="26"/>
          <w:szCs w:val="26"/>
        </w:rPr>
        <w:t xml:space="preserve"> </w:t>
      </w:r>
      <w:r w:rsidRPr="00C46631" w:rsidR="00574E65">
        <w:rPr>
          <w:rFonts w:ascii="Century Schoolbook" w:hAnsi="Century Schoolbook"/>
          <w:sz w:val="26"/>
          <w:szCs w:val="26"/>
        </w:rPr>
        <w:t>(</w:t>
      </w:r>
      <w:r w:rsidRPr="00C46631" w:rsidR="00574E65">
        <w:rPr>
          <w:rFonts w:ascii="Century Schoolbook" w:hAnsi="Century Schoolbook"/>
          <w:i/>
          <w:iCs/>
          <w:sz w:val="26"/>
          <w:szCs w:val="26"/>
        </w:rPr>
        <w:t>Zelig</w:t>
      </w:r>
      <w:r w:rsidRPr="00C46631" w:rsidR="00574E65">
        <w:rPr>
          <w:rFonts w:ascii="Century Schoolbook" w:hAnsi="Century Schoolbook"/>
          <w:sz w:val="26"/>
          <w:szCs w:val="26"/>
        </w:rPr>
        <w:t>)</w:t>
      </w:r>
      <w:r w:rsidRPr="0012257F">
        <w:rPr>
          <w:rFonts w:ascii="Century Schoolbook" w:hAnsi="Century Schoolbook"/>
          <w:sz w:val="26"/>
          <w:szCs w:val="26"/>
        </w:rPr>
        <w:t xml:space="preserve">; </w:t>
      </w:r>
      <w:r w:rsidRPr="0012257F">
        <w:rPr>
          <w:rFonts w:ascii="Century Schoolbook" w:hAnsi="Century Schoolbook"/>
          <w:i/>
          <w:iCs/>
          <w:sz w:val="26"/>
          <w:szCs w:val="26"/>
        </w:rPr>
        <w:t xml:space="preserve">MacDonald v. California </w:t>
      </w:r>
      <w:r w:rsidRPr="0012257F">
        <w:rPr>
          <w:rFonts w:ascii="Century Schoolbook" w:hAnsi="Century Schoolbook"/>
          <w:sz w:val="26"/>
          <w:szCs w:val="26"/>
        </w:rPr>
        <w:t xml:space="preserve">(1991) 230 Cal.App.3d 319, 334; </w:t>
      </w:r>
      <w:r w:rsidRPr="0012257F">
        <w:rPr>
          <w:rFonts w:ascii="Century Schoolbook" w:hAnsi="Century Schoolbook"/>
          <w:i/>
          <w:iCs/>
          <w:sz w:val="26"/>
          <w:szCs w:val="26"/>
        </w:rPr>
        <w:t>Melton v. Boustred</w:t>
      </w:r>
      <w:r w:rsidRPr="0012257F">
        <w:rPr>
          <w:rFonts w:ascii="Century Schoolbook" w:hAnsi="Century Schoolbook"/>
          <w:sz w:val="26"/>
          <w:szCs w:val="26"/>
        </w:rPr>
        <w:t xml:space="preserve"> (2010) 183 Cal.App.4th 521, 533.)</w:t>
      </w:r>
    </w:p>
    <w:p w:rsidR="002F47B1" w:rsidP="00D42E17" w14:paraId="622EBFF0" w14:textId="455D4119">
      <w:pPr>
        <w:pStyle w:val="FootnoteText"/>
        <w:ind w:firstLine="720"/>
      </w:pPr>
      <w:r>
        <w:rPr>
          <w:rFonts w:ascii="Century Schoolbook" w:hAnsi="Century Schoolbook"/>
          <w:sz w:val="26"/>
          <w:szCs w:val="26"/>
        </w:rPr>
        <w:t xml:space="preserve">Plaintiff has also abandoned his prior (and somewhat related) theory that the Regional Center created a peril by failing to warn him of J.C.’s violent propensities.  This theory is also foreclosed as a matter of law in any event because the undisputed facts establish that Hargis Home </w:t>
      </w:r>
      <w:r>
        <w:rPr>
          <w:rFonts w:ascii="Century Schoolbook" w:hAnsi="Century Schoolbook"/>
          <w:i/>
          <w:iCs/>
          <w:sz w:val="26"/>
          <w:szCs w:val="26"/>
        </w:rPr>
        <w:t xml:space="preserve">was </w:t>
      </w:r>
      <w:r>
        <w:rPr>
          <w:rFonts w:ascii="Century Schoolbook" w:hAnsi="Century Schoolbook"/>
          <w:sz w:val="26"/>
          <w:szCs w:val="26"/>
        </w:rPr>
        <w:t xml:space="preserve">fully informed of J.C.’s violent propensities.  Thus, </w:t>
      </w:r>
      <w:r w:rsidRPr="005C4E40">
        <w:rPr>
          <w:rFonts w:ascii="Century Schoolbook" w:hAnsi="Century Schoolbook"/>
          <w:sz w:val="26"/>
          <w:szCs w:val="26"/>
        </w:rPr>
        <w:t xml:space="preserve">plaintiff’s citation to </w:t>
      </w:r>
      <w:r w:rsidRPr="005C4E40">
        <w:rPr>
          <w:rFonts w:ascii="Century Schoolbook" w:hAnsi="Century Schoolbook"/>
          <w:i/>
          <w:iCs/>
          <w:sz w:val="26"/>
          <w:szCs w:val="26"/>
        </w:rPr>
        <w:t>Johnson v. State of California</w:t>
      </w:r>
      <w:r w:rsidRPr="005C4E40">
        <w:rPr>
          <w:rFonts w:ascii="Century Schoolbook" w:hAnsi="Century Schoolbook"/>
          <w:sz w:val="26"/>
          <w:szCs w:val="26"/>
        </w:rPr>
        <w:t xml:space="preserve"> (1968) 69 Cal.2d 782—a case dealing with failure to warn—is inapt.</w:t>
      </w:r>
    </w:p>
  </w:footnote>
  <w:footnote w:id="6">
    <w:p w:rsidR="00F11EC3" w:rsidRPr="00696C8B" w:rsidP="00C46631" w14:paraId="5D4FF87C" w14:textId="043CF953">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696C8B">
        <w:rPr>
          <w:rFonts w:ascii="Century Schoolbook" w:hAnsi="Century Schoolbook"/>
          <w:sz w:val="26"/>
          <w:szCs w:val="26"/>
        </w:rPr>
        <w:t xml:space="preserve">Although a statute can sometimes explicitly create a duty of care (e.g., </w:t>
      </w:r>
      <w:r w:rsidRPr="00696C8B">
        <w:rPr>
          <w:rFonts w:ascii="Century Schoolbook" w:hAnsi="Century Schoolbook"/>
          <w:i/>
          <w:iCs/>
          <w:sz w:val="26"/>
          <w:szCs w:val="26"/>
        </w:rPr>
        <w:t>Vesely v. Sager</w:t>
      </w:r>
      <w:r w:rsidRPr="00696C8B">
        <w:rPr>
          <w:rFonts w:ascii="Century Schoolbook" w:hAnsi="Century Schoolbook"/>
          <w:sz w:val="26"/>
          <w:szCs w:val="26"/>
        </w:rPr>
        <w:t xml:space="preserve"> (1971) 5 Cal.3d 153, 164, </w:t>
      </w:r>
      <w:r w:rsidR="006A2EA2">
        <w:rPr>
          <w:rFonts w:ascii="Century Schoolbook" w:hAnsi="Century Schoolbook"/>
          <w:sz w:val="26"/>
          <w:szCs w:val="26"/>
        </w:rPr>
        <w:t>superseded by statute</w:t>
      </w:r>
      <w:r w:rsidRPr="00696C8B">
        <w:rPr>
          <w:rFonts w:ascii="Century Schoolbook" w:hAnsi="Century Schoolbook"/>
          <w:sz w:val="26"/>
          <w:szCs w:val="26"/>
        </w:rPr>
        <w:t xml:space="preserve"> on other grounds as stated in </w:t>
      </w:r>
      <w:r w:rsidRPr="00696C8B">
        <w:rPr>
          <w:rFonts w:ascii="Century Schoolbook" w:hAnsi="Century Schoolbook"/>
          <w:i/>
          <w:iCs/>
          <w:sz w:val="26"/>
          <w:szCs w:val="26"/>
        </w:rPr>
        <w:t>Ennabe v. Manosa</w:t>
      </w:r>
      <w:r w:rsidRPr="00696C8B">
        <w:rPr>
          <w:rFonts w:ascii="Century Schoolbook" w:hAnsi="Century Schoolbook"/>
          <w:sz w:val="26"/>
          <w:szCs w:val="26"/>
        </w:rPr>
        <w:t xml:space="preserve"> (2014) 58 Cal.4th 697, 707; </w:t>
      </w:r>
      <w:r w:rsidRPr="00696C8B">
        <w:rPr>
          <w:rFonts w:ascii="Century Schoolbook" w:hAnsi="Century Schoolbook"/>
          <w:i/>
          <w:iCs/>
          <w:sz w:val="26"/>
          <w:szCs w:val="26"/>
        </w:rPr>
        <w:t>J’Aire Corp. v. Gregory</w:t>
      </w:r>
      <w:r w:rsidRPr="00696C8B">
        <w:rPr>
          <w:rFonts w:ascii="Century Schoolbook" w:hAnsi="Century Schoolbook"/>
          <w:sz w:val="26"/>
          <w:szCs w:val="26"/>
        </w:rPr>
        <w:t xml:space="preserve"> (1979) 24 Cal.3d 799, 803), where it does not, courts may still examine the “public policy embodied in [the] legislative</w:t>
      </w:r>
      <w:r w:rsidR="000B504E">
        <w:rPr>
          <w:rFonts w:ascii="Century Schoolbook" w:hAnsi="Century Schoolbook"/>
          <w:sz w:val="26"/>
          <w:szCs w:val="26"/>
        </w:rPr>
        <w:t>ly</w:t>
      </w:r>
      <w:r w:rsidRPr="00696C8B">
        <w:rPr>
          <w:rFonts w:ascii="Century Schoolbook" w:hAnsi="Century Schoolbook"/>
          <w:sz w:val="26"/>
          <w:szCs w:val="26"/>
        </w:rPr>
        <w:t xml:space="preserve"> enacted statute” when undertaking its analysis of public policy factors under </w:t>
      </w:r>
      <w:r w:rsidRPr="00696C8B">
        <w:rPr>
          <w:rFonts w:ascii="Century Schoolbook" w:hAnsi="Century Schoolbook"/>
          <w:i/>
          <w:iCs/>
          <w:sz w:val="26"/>
          <w:szCs w:val="26"/>
        </w:rPr>
        <w:t>Rowland</w:t>
      </w:r>
      <w:r w:rsidRPr="00696C8B">
        <w:rPr>
          <w:rFonts w:ascii="Century Schoolbook" w:hAnsi="Century Schoolbook"/>
          <w:sz w:val="26"/>
          <w:szCs w:val="26"/>
        </w:rPr>
        <w:t xml:space="preserve"> (</w:t>
      </w:r>
      <w:r w:rsidRPr="00696C8B">
        <w:rPr>
          <w:rFonts w:ascii="Century Schoolbook" w:hAnsi="Century Schoolbook"/>
          <w:i/>
          <w:iCs/>
          <w:sz w:val="26"/>
          <w:szCs w:val="26"/>
        </w:rPr>
        <w:t>Issakhani</w:t>
      </w:r>
      <w:r w:rsidRPr="00696C8B">
        <w:rPr>
          <w:rFonts w:ascii="Century Schoolbook" w:hAnsi="Century Schoolbook"/>
          <w:sz w:val="26"/>
          <w:szCs w:val="26"/>
        </w:rPr>
        <w:t xml:space="preserve">, </w:t>
      </w:r>
      <w:r w:rsidRPr="000B504E" w:rsidR="000B504E">
        <w:rPr>
          <w:rFonts w:ascii="Century Schoolbook" w:hAnsi="Century Schoolbook"/>
          <w:i/>
          <w:iCs/>
          <w:sz w:val="26"/>
          <w:szCs w:val="26"/>
        </w:rPr>
        <w:t>supra</w:t>
      </w:r>
      <w:r w:rsidR="000B504E">
        <w:rPr>
          <w:rFonts w:ascii="Century Schoolbook" w:hAnsi="Century Schoolbook"/>
          <w:sz w:val="26"/>
          <w:szCs w:val="26"/>
        </w:rPr>
        <w:t>, 63 Cal.</w:t>
      </w:r>
      <w:r w:rsidR="00BA6A0C">
        <w:rPr>
          <w:rFonts w:ascii="Century Schoolbook" w:hAnsi="Century Schoolbook"/>
          <w:sz w:val="26"/>
          <w:szCs w:val="26"/>
        </w:rPr>
        <w:t>A</w:t>
      </w:r>
      <w:r w:rsidR="000B504E">
        <w:rPr>
          <w:rFonts w:ascii="Century Schoolbook" w:hAnsi="Century Schoolbook"/>
          <w:sz w:val="26"/>
          <w:szCs w:val="26"/>
        </w:rPr>
        <w:t xml:space="preserve">pp.5th </w:t>
      </w:r>
      <w:r w:rsidRPr="000B504E">
        <w:rPr>
          <w:rFonts w:ascii="Century Schoolbook" w:hAnsi="Century Schoolbook"/>
          <w:sz w:val="26"/>
          <w:szCs w:val="26"/>
        </w:rPr>
        <w:t>at</w:t>
      </w:r>
      <w:r w:rsidRPr="00696C8B">
        <w:rPr>
          <w:rFonts w:ascii="Century Schoolbook" w:hAnsi="Century Schoolbook"/>
          <w:sz w:val="26"/>
          <w:szCs w:val="26"/>
        </w:rPr>
        <w:t xml:space="preserve"> p. 929; </w:t>
      </w:r>
      <w:r w:rsidRPr="00696C8B">
        <w:rPr>
          <w:rFonts w:ascii="Century Schoolbook" w:hAnsi="Century Schoolbook"/>
          <w:i/>
          <w:iCs/>
          <w:sz w:val="26"/>
          <w:szCs w:val="26"/>
        </w:rPr>
        <w:t>Elsner v. Uveges</w:t>
      </w:r>
      <w:r w:rsidRPr="00696C8B">
        <w:rPr>
          <w:rFonts w:ascii="Century Schoolbook" w:hAnsi="Century Schoolbook"/>
          <w:sz w:val="26"/>
          <w:szCs w:val="26"/>
        </w:rPr>
        <w:t xml:space="preserve"> (2004) 34 Cal.4th 915, 927, fn. 8)</w:t>
      </w:r>
      <w:r w:rsidR="000B504E">
        <w:rPr>
          <w:rFonts w:ascii="Century Schoolbook" w:hAnsi="Century Schoolbook"/>
          <w:sz w:val="26"/>
          <w:szCs w:val="26"/>
        </w:rPr>
        <w:t>.</w:t>
      </w:r>
    </w:p>
  </w:footnote>
  <w:footnote w:id="7">
    <w:p w:rsidR="00221734" w:rsidRPr="00D42E17" w14:paraId="2D7CD991" w14:textId="2B4C672D">
      <w:pPr>
        <w:pStyle w:val="FootnoteText"/>
        <w:rPr>
          <w:rFonts w:ascii="Century Schoolbook" w:hAnsi="Century Schoolbook"/>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rsidRPr="00D42E17">
        <w:rPr>
          <w:rFonts w:ascii="Century Schoolbook" w:hAnsi="Century Schoolbook"/>
        </w:rPr>
        <w:tab/>
      </w:r>
      <w:r w:rsidRPr="00D42E17">
        <w:rPr>
          <w:rFonts w:ascii="Century Schoolbook" w:hAnsi="Century Schoolbook"/>
          <w:sz w:val="26"/>
          <w:szCs w:val="26"/>
        </w:rPr>
        <w:t xml:space="preserve">Although, as explained above, a defendant may also be liable for its nonfeasance when it has a special relationship </w:t>
      </w:r>
      <w:r w:rsidRPr="00D42E17">
        <w:rPr>
          <w:rFonts w:ascii="Century Schoolbook" w:hAnsi="Century Schoolbook"/>
          <w:i/>
          <w:iCs/>
          <w:sz w:val="26"/>
          <w:szCs w:val="26"/>
        </w:rPr>
        <w:t>with the plaintiff</w:t>
      </w:r>
      <w:r w:rsidRPr="00D42E17">
        <w:rPr>
          <w:rFonts w:ascii="Century Schoolbook" w:hAnsi="Century Schoolbook"/>
          <w:sz w:val="26"/>
          <w:szCs w:val="26"/>
        </w:rPr>
        <w:t xml:space="preserve">, plaintiff here does not argue that the Regional Center has a special relationship </w:t>
      </w:r>
      <w:r w:rsidRPr="00D42E17">
        <w:rPr>
          <w:rFonts w:ascii="Century Schoolbook" w:hAnsi="Century Schoolbook"/>
          <w:i/>
          <w:iCs/>
          <w:sz w:val="26"/>
          <w:szCs w:val="26"/>
        </w:rPr>
        <w:t>with him</w:t>
      </w:r>
      <w:r w:rsidRPr="00D42E17">
        <w:rPr>
          <w:rFonts w:ascii="Century Schoolbook" w:hAnsi="Century Schoolbook"/>
          <w:sz w:val="26"/>
          <w:szCs w:val="26"/>
        </w:rPr>
        <w:t xml:space="preserve">. </w:t>
      </w:r>
      <w:r w:rsidRPr="00D42E17">
        <w:rPr>
          <w:rFonts w:ascii="Century Schoolbook" w:hAnsi="Century Schoolbook"/>
        </w:rPr>
        <w:t xml:space="preserve"> </w:t>
      </w:r>
    </w:p>
  </w:footnote>
  <w:footnote w:id="8">
    <w:p w:rsidR="00C46631" w:rsidRPr="000029F2" w:rsidP="00C46631" w14:paraId="012267D7" w14:textId="0C0BB675">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0029F2">
        <w:rPr>
          <w:rFonts w:ascii="Century Schoolbook" w:hAnsi="Century Schoolbook"/>
          <w:sz w:val="26"/>
          <w:szCs w:val="26"/>
        </w:rPr>
        <w:t xml:space="preserve">The undisputed facts also establish that the Regional Center complied with this standard of care: </w:t>
      </w:r>
      <w:r w:rsidR="006F69B6">
        <w:rPr>
          <w:rFonts w:ascii="Century Schoolbook" w:hAnsi="Century Schoolbook"/>
          <w:sz w:val="26"/>
          <w:szCs w:val="26"/>
        </w:rPr>
        <w:t xml:space="preserve"> </w:t>
      </w:r>
      <w:r w:rsidRPr="000029F2">
        <w:rPr>
          <w:rFonts w:ascii="Century Schoolbook" w:hAnsi="Century Schoolbook"/>
          <w:sz w:val="26"/>
          <w:szCs w:val="26"/>
        </w:rPr>
        <w:t xml:space="preserve">Although it did not move J.C. within 30 days of receiving notice, doing so </w:t>
      </w:r>
      <w:r w:rsidR="00D1618B">
        <w:rPr>
          <w:rFonts w:ascii="Century Schoolbook" w:hAnsi="Century Schoolbook"/>
          <w:sz w:val="26"/>
          <w:szCs w:val="26"/>
        </w:rPr>
        <w:t>unilaterally</w:t>
      </w:r>
      <w:r w:rsidR="00536507">
        <w:rPr>
          <w:rFonts w:ascii="Century Schoolbook" w:hAnsi="Century Schoolbook"/>
          <w:sz w:val="26"/>
          <w:szCs w:val="26"/>
        </w:rPr>
        <w:t xml:space="preserve"> </w:t>
      </w:r>
      <w:r w:rsidRPr="000029F2">
        <w:rPr>
          <w:rFonts w:ascii="Century Schoolbook" w:hAnsi="Century Schoolbook"/>
          <w:sz w:val="26"/>
          <w:szCs w:val="26"/>
        </w:rPr>
        <w:t>was—as explained above—beyond its power.  However, the Regional Center immediately conducted a statewide search for a new facility, asked five facilities to accept J.C., and provided additional support personnel for J.C. during the pendency of its 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43BDF"/>
    <w:multiLevelType w:val="hybridMultilevel"/>
    <w:tmpl w:val="9DA653EC"/>
    <w:lvl w:ilvl="0">
      <w:start w:val="1"/>
      <w:numFmt w:val="bullet"/>
      <w:lvlText w:val="-"/>
      <w:lvlJc w:val="left"/>
      <w:pPr>
        <w:ind w:left="720" w:hanging="360"/>
      </w:pPr>
      <w:rPr>
        <w:rFonts w:ascii="Century Schoolbook" w:hAnsi="Century School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B141DE"/>
    <w:multiLevelType w:val="hybridMultilevel"/>
    <w:tmpl w:val="0AF48530"/>
    <w:lvl w:ilvl="0">
      <w:start w:val="1290"/>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55E5DEE"/>
    <w:multiLevelType w:val="hybridMultilevel"/>
    <w:tmpl w:val="CA940AB6"/>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4C8"/>
    <w:rsid w:val="00000826"/>
    <w:rsid w:val="00000A0B"/>
    <w:rsid w:val="00002255"/>
    <w:rsid w:val="00002532"/>
    <w:rsid w:val="0000291C"/>
    <w:rsid w:val="000029DE"/>
    <w:rsid w:val="000029F2"/>
    <w:rsid w:val="00002A55"/>
    <w:rsid w:val="00002D66"/>
    <w:rsid w:val="00002DEC"/>
    <w:rsid w:val="0000375F"/>
    <w:rsid w:val="00003B6D"/>
    <w:rsid w:val="00004B3E"/>
    <w:rsid w:val="00004B7A"/>
    <w:rsid w:val="00004CFC"/>
    <w:rsid w:val="00004CFE"/>
    <w:rsid w:val="00005340"/>
    <w:rsid w:val="0000592D"/>
    <w:rsid w:val="00005E71"/>
    <w:rsid w:val="00005FBE"/>
    <w:rsid w:val="00006833"/>
    <w:rsid w:val="00006A32"/>
    <w:rsid w:val="00006EE3"/>
    <w:rsid w:val="000074A0"/>
    <w:rsid w:val="000078C0"/>
    <w:rsid w:val="00007D92"/>
    <w:rsid w:val="0001002C"/>
    <w:rsid w:val="000103E0"/>
    <w:rsid w:val="0001088C"/>
    <w:rsid w:val="00010921"/>
    <w:rsid w:val="00010CC4"/>
    <w:rsid w:val="00010E09"/>
    <w:rsid w:val="00011098"/>
    <w:rsid w:val="00011184"/>
    <w:rsid w:val="00011229"/>
    <w:rsid w:val="000116BD"/>
    <w:rsid w:val="00012405"/>
    <w:rsid w:val="00012446"/>
    <w:rsid w:val="000125D1"/>
    <w:rsid w:val="0001262B"/>
    <w:rsid w:val="00012B51"/>
    <w:rsid w:val="00013953"/>
    <w:rsid w:val="00015D6F"/>
    <w:rsid w:val="00015F54"/>
    <w:rsid w:val="0001622B"/>
    <w:rsid w:val="00016392"/>
    <w:rsid w:val="00016E3A"/>
    <w:rsid w:val="00016E4B"/>
    <w:rsid w:val="00017625"/>
    <w:rsid w:val="0001766D"/>
    <w:rsid w:val="0001795B"/>
    <w:rsid w:val="00017CFD"/>
    <w:rsid w:val="0002016D"/>
    <w:rsid w:val="000217D2"/>
    <w:rsid w:val="00021A89"/>
    <w:rsid w:val="00021C01"/>
    <w:rsid w:val="000223F8"/>
    <w:rsid w:val="000227D1"/>
    <w:rsid w:val="00022952"/>
    <w:rsid w:val="00022A18"/>
    <w:rsid w:val="00022B79"/>
    <w:rsid w:val="000233C4"/>
    <w:rsid w:val="00023512"/>
    <w:rsid w:val="00023A85"/>
    <w:rsid w:val="00023D41"/>
    <w:rsid w:val="000243B7"/>
    <w:rsid w:val="000245A9"/>
    <w:rsid w:val="000245B3"/>
    <w:rsid w:val="000247C4"/>
    <w:rsid w:val="0002481B"/>
    <w:rsid w:val="00024B6A"/>
    <w:rsid w:val="00024C52"/>
    <w:rsid w:val="000250FD"/>
    <w:rsid w:val="000251A3"/>
    <w:rsid w:val="000252C8"/>
    <w:rsid w:val="0002540C"/>
    <w:rsid w:val="00025C58"/>
    <w:rsid w:val="000265D6"/>
    <w:rsid w:val="00026D41"/>
    <w:rsid w:val="000276DD"/>
    <w:rsid w:val="0002793C"/>
    <w:rsid w:val="00027EFB"/>
    <w:rsid w:val="00030271"/>
    <w:rsid w:val="000303B7"/>
    <w:rsid w:val="00030707"/>
    <w:rsid w:val="00030A2F"/>
    <w:rsid w:val="00030A82"/>
    <w:rsid w:val="00030C5B"/>
    <w:rsid w:val="000315DA"/>
    <w:rsid w:val="00031C35"/>
    <w:rsid w:val="00031C3E"/>
    <w:rsid w:val="00031E7E"/>
    <w:rsid w:val="00032104"/>
    <w:rsid w:val="00032530"/>
    <w:rsid w:val="000329E2"/>
    <w:rsid w:val="00032A48"/>
    <w:rsid w:val="00032A9C"/>
    <w:rsid w:val="00032B0B"/>
    <w:rsid w:val="000333E0"/>
    <w:rsid w:val="00033549"/>
    <w:rsid w:val="000335D4"/>
    <w:rsid w:val="000335E0"/>
    <w:rsid w:val="00034001"/>
    <w:rsid w:val="00034D2E"/>
    <w:rsid w:val="000351B8"/>
    <w:rsid w:val="000353AD"/>
    <w:rsid w:val="0003556A"/>
    <w:rsid w:val="0003686E"/>
    <w:rsid w:val="00036DA5"/>
    <w:rsid w:val="000370C6"/>
    <w:rsid w:val="0003777C"/>
    <w:rsid w:val="00040022"/>
    <w:rsid w:val="00040063"/>
    <w:rsid w:val="00040407"/>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6072"/>
    <w:rsid w:val="000462E8"/>
    <w:rsid w:val="000470AB"/>
    <w:rsid w:val="00047585"/>
    <w:rsid w:val="00047715"/>
    <w:rsid w:val="0005007D"/>
    <w:rsid w:val="00050911"/>
    <w:rsid w:val="00050B05"/>
    <w:rsid w:val="00050B54"/>
    <w:rsid w:val="00050CFD"/>
    <w:rsid w:val="000515D1"/>
    <w:rsid w:val="00051965"/>
    <w:rsid w:val="00052128"/>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1B8"/>
    <w:rsid w:val="00056EC6"/>
    <w:rsid w:val="00057224"/>
    <w:rsid w:val="000572E9"/>
    <w:rsid w:val="0005758D"/>
    <w:rsid w:val="000577AA"/>
    <w:rsid w:val="000579B7"/>
    <w:rsid w:val="00057A33"/>
    <w:rsid w:val="0006089D"/>
    <w:rsid w:val="00060B44"/>
    <w:rsid w:val="00060B6C"/>
    <w:rsid w:val="00061010"/>
    <w:rsid w:val="00062301"/>
    <w:rsid w:val="0006294A"/>
    <w:rsid w:val="00062F1D"/>
    <w:rsid w:val="00062F75"/>
    <w:rsid w:val="00063053"/>
    <w:rsid w:val="00063137"/>
    <w:rsid w:val="0006317E"/>
    <w:rsid w:val="00063296"/>
    <w:rsid w:val="00063B56"/>
    <w:rsid w:val="00063CAD"/>
    <w:rsid w:val="00063DE3"/>
    <w:rsid w:val="00064BB2"/>
    <w:rsid w:val="00064EE3"/>
    <w:rsid w:val="000656E4"/>
    <w:rsid w:val="000658C4"/>
    <w:rsid w:val="00065AAE"/>
    <w:rsid w:val="00065C9D"/>
    <w:rsid w:val="00065E1B"/>
    <w:rsid w:val="0006601F"/>
    <w:rsid w:val="000661E6"/>
    <w:rsid w:val="0006629D"/>
    <w:rsid w:val="000663D0"/>
    <w:rsid w:val="00066786"/>
    <w:rsid w:val="000674AB"/>
    <w:rsid w:val="00067772"/>
    <w:rsid w:val="000708A0"/>
    <w:rsid w:val="000709C8"/>
    <w:rsid w:val="0007115F"/>
    <w:rsid w:val="00071B5C"/>
    <w:rsid w:val="00071C19"/>
    <w:rsid w:val="00072972"/>
    <w:rsid w:val="00072B5D"/>
    <w:rsid w:val="00072E0A"/>
    <w:rsid w:val="00072F07"/>
    <w:rsid w:val="00073D2F"/>
    <w:rsid w:val="00073FB2"/>
    <w:rsid w:val="00074712"/>
    <w:rsid w:val="0007510C"/>
    <w:rsid w:val="0007571A"/>
    <w:rsid w:val="000759E0"/>
    <w:rsid w:val="00075DD8"/>
    <w:rsid w:val="00076610"/>
    <w:rsid w:val="0007781C"/>
    <w:rsid w:val="00077EEE"/>
    <w:rsid w:val="000800B5"/>
    <w:rsid w:val="0008036C"/>
    <w:rsid w:val="000803DA"/>
    <w:rsid w:val="000806BF"/>
    <w:rsid w:val="00080C2F"/>
    <w:rsid w:val="0008102D"/>
    <w:rsid w:val="0008112B"/>
    <w:rsid w:val="00081538"/>
    <w:rsid w:val="000816D4"/>
    <w:rsid w:val="000816F3"/>
    <w:rsid w:val="00081DC3"/>
    <w:rsid w:val="000821EE"/>
    <w:rsid w:val="0008236C"/>
    <w:rsid w:val="00082389"/>
    <w:rsid w:val="00082534"/>
    <w:rsid w:val="000826FD"/>
    <w:rsid w:val="00082BAC"/>
    <w:rsid w:val="00082D58"/>
    <w:rsid w:val="00082D8F"/>
    <w:rsid w:val="000831DD"/>
    <w:rsid w:val="0008332B"/>
    <w:rsid w:val="0008362C"/>
    <w:rsid w:val="00083648"/>
    <w:rsid w:val="00083887"/>
    <w:rsid w:val="000838B7"/>
    <w:rsid w:val="00083B12"/>
    <w:rsid w:val="00084146"/>
    <w:rsid w:val="000848B2"/>
    <w:rsid w:val="00084F56"/>
    <w:rsid w:val="000858B2"/>
    <w:rsid w:val="000858BC"/>
    <w:rsid w:val="000859C6"/>
    <w:rsid w:val="00085E64"/>
    <w:rsid w:val="00086003"/>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13C"/>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36"/>
    <w:rsid w:val="000A192D"/>
    <w:rsid w:val="000A1E3A"/>
    <w:rsid w:val="000A1E7C"/>
    <w:rsid w:val="000A2571"/>
    <w:rsid w:val="000A2EEA"/>
    <w:rsid w:val="000A31BF"/>
    <w:rsid w:val="000A3347"/>
    <w:rsid w:val="000A387A"/>
    <w:rsid w:val="000A3EB2"/>
    <w:rsid w:val="000A4539"/>
    <w:rsid w:val="000A49D3"/>
    <w:rsid w:val="000A4A85"/>
    <w:rsid w:val="000A52C5"/>
    <w:rsid w:val="000A569F"/>
    <w:rsid w:val="000A63CF"/>
    <w:rsid w:val="000A70F2"/>
    <w:rsid w:val="000A7244"/>
    <w:rsid w:val="000A7BA9"/>
    <w:rsid w:val="000B02B0"/>
    <w:rsid w:val="000B0341"/>
    <w:rsid w:val="000B03E7"/>
    <w:rsid w:val="000B08D0"/>
    <w:rsid w:val="000B0C98"/>
    <w:rsid w:val="000B0C9C"/>
    <w:rsid w:val="000B0E5C"/>
    <w:rsid w:val="000B1027"/>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F36"/>
    <w:rsid w:val="000B504E"/>
    <w:rsid w:val="000B51BD"/>
    <w:rsid w:val="000B549A"/>
    <w:rsid w:val="000B5565"/>
    <w:rsid w:val="000B5E5E"/>
    <w:rsid w:val="000B62D8"/>
    <w:rsid w:val="000B6A94"/>
    <w:rsid w:val="000B6AE6"/>
    <w:rsid w:val="000B6C30"/>
    <w:rsid w:val="000B6F63"/>
    <w:rsid w:val="000B6F95"/>
    <w:rsid w:val="000B7149"/>
    <w:rsid w:val="000B788E"/>
    <w:rsid w:val="000B7A7D"/>
    <w:rsid w:val="000C091B"/>
    <w:rsid w:val="000C098B"/>
    <w:rsid w:val="000C0AFB"/>
    <w:rsid w:val="000C0FFC"/>
    <w:rsid w:val="000C1785"/>
    <w:rsid w:val="000C17FF"/>
    <w:rsid w:val="000C20A3"/>
    <w:rsid w:val="000C25E7"/>
    <w:rsid w:val="000C2E0D"/>
    <w:rsid w:val="000C33EC"/>
    <w:rsid w:val="000C3727"/>
    <w:rsid w:val="000C3777"/>
    <w:rsid w:val="000C377F"/>
    <w:rsid w:val="000C3EA2"/>
    <w:rsid w:val="000C4351"/>
    <w:rsid w:val="000C46B8"/>
    <w:rsid w:val="000C4BE6"/>
    <w:rsid w:val="000C4C40"/>
    <w:rsid w:val="000C58E9"/>
    <w:rsid w:val="000C595F"/>
    <w:rsid w:val="000C65C6"/>
    <w:rsid w:val="000C6799"/>
    <w:rsid w:val="000C67EF"/>
    <w:rsid w:val="000C703A"/>
    <w:rsid w:val="000C7174"/>
    <w:rsid w:val="000C7A35"/>
    <w:rsid w:val="000C7F75"/>
    <w:rsid w:val="000D0AB9"/>
    <w:rsid w:val="000D1012"/>
    <w:rsid w:val="000D1369"/>
    <w:rsid w:val="000D173F"/>
    <w:rsid w:val="000D18C1"/>
    <w:rsid w:val="000D18E0"/>
    <w:rsid w:val="000D25F4"/>
    <w:rsid w:val="000D27CD"/>
    <w:rsid w:val="000D2931"/>
    <w:rsid w:val="000D2BB6"/>
    <w:rsid w:val="000D3077"/>
    <w:rsid w:val="000D34D7"/>
    <w:rsid w:val="000D38EC"/>
    <w:rsid w:val="000D3B5E"/>
    <w:rsid w:val="000D3D19"/>
    <w:rsid w:val="000D41E5"/>
    <w:rsid w:val="000D4872"/>
    <w:rsid w:val="000D558F"/>
    <w:rsid w:val="000D5E80"/>
    <w:rsid w:val="000D66E2"/>
    <w:rsid w:val="000D6819"/>
    <w:rsid w:val="000D699F"/>
    <w:rsid w:val="000D7110"/>
    <w:rsid w:val="000D7884"/>
    <w:rsid w:val="000D7FE6"/>
    <w:rsid w:val="000E003B"/>
    <w:rsid w:val="000E03E6"/>
    <w:rsid w:val="000E0660"/>
    <w:rsid w:val="000E0764"/>
    <w:rsid w:val="000E087C"/>
    <w:rsid w:val="000E0E48"/>
    <w:rsid w:val="000E0FA5"/>
    <w:rsid w:val="000E12E7"/>
    <w:rsid w:val="000E151E"/>
    <w:rsid w:val="000E1D1D"/>
    <w:rsid w:val="000E2C13"/>
    <w:rsid w:val="000E3A42"/>
    <w:rsid w:val="000E3B21"/>
    <w:rsid w:val="000E3C79"/>
    <w:rsid w:val="000E41D7"/>
    <w:rsid w:val="000E41F5"/>
    <w:rsid w:val="000E434F"/>
    <w:rsid w:val="000E556B"/>
    <w:rsid w:val="000E5DBE"/>
    <w:rsid w:val="000E6680"/>
    <w:rsid w:val="000E6789"/>
    <w:rsid w:val="000E691F"/>
    <w:rsid w:val="000E6B70"/>
    <w:rsid w:val="000E6F92"/>
    <w:rsid w:val="000E72EB"/>
    <w:rsid w:val="000E753E"/>
    <w:rsid w:val="000E75C3"/>
    <w:rsid w:val="000E79A2"/>
    <w:rsid w:val="000E7F83"/>
    <w:rsid w:val="000F0AB6"/>
    <w:rsid w:val="000F0BC0"/>
    <w:rsid w:val="000F1168"/>
    <w:rsid w:val="000F27E1"/>
    <w:rsid w:val="000F2839"/>
    <w:rsid w:val="000F2AFF"/>
    <w:rsid w:val="000F2C9A"/>
    <w:rsid w:val="000F2E63"/>
    <w:rsid w:val="000F3D86"/>
    <w:rsid w:val="000F3DDF"/>
    <w:rsid w:val="000F3DFF"/>
    <w:rsid w:val="000F4655"/>
    <w:rsid w:val="000F4A1F"/>
    <w:rsid w:val="000F4CEA"/>
    <w:rsid w:val="000F4EF4"/>
    <w:rsid w:val="000F58DE"/>
    <w:rsid w:val="000F6103"/>
    <w:rsid w:val="000F61D1"/>
    <w:rsid w:val="000F6509"/>
    <w:rsid w:val="000F6F1F"/>
    <w:rsid w:val="000F74CE"/>
    <w:rsid w:val="000F7859"/>
    <w:rsid w:val="000F7C3D"/>
    <w:rsid w:val="000F7E22"/>
    <w:rsid w:val="0010027F"/>
    <w:rsid w:val="0010045C"/>
    <w:rsid w:val="001010E4"/>
    <w:rsid w:val="00101FBC"/>
    <w:rsid w:val="001021D5"/>
    <w:rsid w:val="0010237E"/>
    <w:rsid w:val="0010247C"/>
    <w:rsid w:val="00102817"/>
    <w:rsid w:val="00102989"/>
    <w:rsid w:val="00102B28"/>
    <w:rsid w:val="00103399"/>
    <w:rsid w:val="00103407"/>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E87"/>
    <w:rsid w:val="0011047C"/>
    <w:rsid w:val="00110833"/>
    <w:rsid w:val="00110933"/>
    <w:rsid w:val="0011137A"/>
    <w:rsid w:val="001114EE"/>
    <w:rsid w:val="00111ADE"/>
    <w:rsid w:val="00111C8A"/>
    <w:rsid w:val="00112399"/>
    <w:rsid w:val="001128D2"/>
    <w:rsid w:val="001128E5"/>
    <w:rsid w:val="00113092"/>
    <w:rsid w:val="00113404"/>
    <w:rsid w:val="001138C9"/>
    <w:rsid w:val="00113F1E"/>
    <w:rsid w:val="001144A0"/>
    <w:rsid w:val="00114BB2"/>
    <w:rsid w:val="0011579A"/>
    <w:rsid w:val="00115A8D"/>
    <w:rsid w:val="00115D24"/>
    <w:rsid w:val="001163F5"/>
    <w:rsid w:val="0011728A"/>
    <w:rsid w:val="00117997"/>
    <w:rsid w:val="00117F0D"/>
    <w:rsid w:val="00120105"/>
    <w:rsid w:val="00120245"/>
    <w:rsid w:val="0012051E"/>
    <w:rsid w:val="0012070B"/>
    <w:rsid w:val="00120831"/>
    <w:rsid w:val="001208E1"/>
    <w:rsid w:val="00120D02"/>
    <w:rsid w:val="00120EFB"/>
    <w:rsid w:val="001210CD"/>
    <w:rsid w:val="0012158C"/>
    <w:rsid w:val="00121D80"/>
    <w:rsid w:val="0012257F"/>
    <w:rsid w:val="00122647"/>
    <w:rsid w:val="00122973"/>
    <w:rsid w:val="00122B98"/>
    <w:rsid w:val="00122DF1"/>
    <w:rsid w:val="00123267"/>
    <w:rsid w:val="0012341A"/>
    <w:rsid w:val="00124354"/>
    <w:rsid w:val="0012493A"/>
    <w:rsid w:val="00125429"/>
    <w:rsid w:val="001257A8"/>
    <w:rsid w:val="00126193"/>
    <w:rsid w:val="00127540"/>
    <w:rsid w:val="00127C28"/>
    <w:rsid w:val="00127F1F"/>
    <w:rsid w:val="0013040A"/>
    <w:rsid w:val="0013051D"/>
    <w:rsid w:val="001308C6"/>
    <w:rsid w:val="00130A4E"/>
    <w:rsid w:val="00130B00"/>
    <w:rsid w:val="00130C8F"/>
    <w:rsid w:val="0013168D"/>
    <w:rsid w:val="001325EC"/>
    <w:rsid w:val="00132ACF"/>
    <w:rsid w:val="00132D98"/>
    <w:rsid w:val="00132FA1"/>
    <w:rsid w:val="00133456"/>
    <w:rsid w:val="00133731"/>
    <w:rsid w:val="001339FF"/>
    <w:rsid w:val="00134850"/>
    <w:rsid w:val="0013523C"/>
    <w:rsid w:val="00135989"/>
    <w:rsid w:val="00136BC0"/>
    <w:rsid w:val="00136BEF"/>
    <w:rsid w:val="00137246"/>
    <w:rsid w:val="00137352"/>
    <w:rsid w:val="00137436"/>
    <w:rsid w:val="001376E6"/>
    <w:rsid w:val="001378B6"/>
    <w:rsid w:val="0014023B"/>
    <w:rsid w:val="00140425"/>
    <w:rsid w:val="00140C45"/>
    <w:rsid w:val="00140DF7"/>
    <w:rsid w:val="00140E72"/>
    <w:rsid w:val="00140F58"/>
    <w:rsid w:val="00140FB8"/>
    <w:rsid w:val="00142003"/>
    <w:rsid w:val="00142006"/>
    <w:rsid w:val="001420F6"/>
    <w:rsid w:val="001426A2"/>
    <w:rsid w:val="001426D6"/>
    <w:rsid w:val="00142705"/>
    <w:rsid w:val="00143170"/>
    <w:rsid w:val="001440D7"/>
    <w:rsid w:val="00144324"/>
    <w:rsid w:val="001445E9"/>
    <w:rsid w:val="00144C2B"/>
    <w:rsid w:val="001457E1"/>
    <w:rsid w:val="0014599A"/>
    <w:rsid w:val="001459D5"/>
    <w:rsid w:val="0014628D"/>
    <w:rsid w:val="001469A2"/>
    <w:rsid w:val="00146AF5"/>
    <w:rsid w:val="00146FE3"/>
    <w:rsid w:val="001473AB"/>
    <w:rsid w:val="001479C7"/>
    <w:rsid w:val="00147C47"/>
    <w:rsid w:val="001502E6"/>
    <w:rsid w:val="001503D7"/>
    <w:rsid w:val="0015082A"/>
    <w:rsid w:val="00150910"/>
    <w:rsid w:val="00150C5D"/>
    <w:rsid w:val="00151221"/>
    <w:rsid w:val="001516B7"/>
    <w:rsid w:val="001519CB"/>
    <w:rsid w:val="00151AC5"/>
    <w:rsid w:val="001522D2"/>
    <w:rsid w:val="001523DB"/>
    <w:rsid w:val="001528F1"/>
    <w:rsid w:val="00152CA2"/>
    <w:rsid w:val="00153028"/>
    <w:rsid w:val="00153167"/>
    <w:rsid w:val="001534D2"/>
    <w:rsid w:val="00153672"/>
    <w:rsid w:val="00154BB1"/>
    <w:rsid w:val="00155422"/>
    <w:rsid w:val="001558EC"/>
    <w:rsid w:val="001559BB"/>
    <w:rsid w:val="00156246"/>
    <w:rsid w:val="001566F6"/>
    <w:rsid w:val="00156AC8"/>
    <w:rsid w:val="001575D2"/>
    <w:rsid w:val="0015762A"/>
    <w:rsid w:val="00157665"/>
    <w:rsid w:val="00157666"/>
    <w:rsid w:val="00157AA8"/>
    <w:rsid w:val="00157EC3"/>
    <w:rsid w:val="0016009A"/>
    <w:rsid w:val="0016068C"/>
    <w:rsid w:val="0016071E"/>
    <w:rsid w:val="00160820"/>
    <w:rsid w:val="001623DB"/>
    <w:rsid w:val="00163305"/>
    <w:rsid w:val="0016378E"/>
    <w:rsid w:val="001638A1"/>
    <w:rsid w:val="00163AF4"/>
    <w:rsid w:val="00163E64"/>
    <w:rsid w:val="00164009"/>
    <w:rsid w:val="001649FE"/>
    <w:rsid w:val="00164A65"/>
    <w:rsid w:val="00164DAB"/>
    <w:rsid w:val="00164E93"/>
    <w:rsid w:val="00164F86"/>
    <w:rsid w:val="0016561E"/>
    <w:rsid w:val="00166A08"/>
    <w:rsid w:val="00166B44"/>
    <w:rsid w:val="00166BF2"/>
    <w:rsid w:val="00167049"/>
    <w:rsid w:val="0016725E"/>
    <w:rsid w:val="00167342"/>
    <w:rsid w:val="00167836"/>
    <w:rsid w:val="00167CC7"/>
    <w:rsid w:val="00170C1A"/>
    <w:rsid w:val="00170D37"/>
    <w:rsid w:val="0017114B"/>
    <w:rsid w:val="001713D5"/>
    <w:rsid w:val="00171621"/>
    <w:rsid w:val="001725F6"/>
    <w:rsid w:val="001729C5"/>
    <w:rsid w:val="00172C79"/>
    <w:rsid w:val="00172CDD"/>
    <w:rsid w:val="00172D01"/>
    <w:rsid w:val="00173F79"/>
    <w:rsid w:val="00174373"/>
    <w:rsid w:val="0017450E"/>
    <w:rsid w:val="00174D38"/>
    <w:rsid w:val="001756E3"/>
    <w:rsid w:val="00175A84"/>
    <w:rsid w:val="0017634A"/>
    <w:rsid w:val="00176432"/>
    <w:rsid w:val="00176660"/>
    <w:rsid w:val="001768F9"/>
    <w:rsid w:val="00177207"/>
    <w:rsid w:val="0017781D"/>
    <w:rsid w:val="00180C3B"/>
    <w:rsid w:val="0018225C"/>
    <w:rsid w:val="0018234E"/>
    <w:rsid w:val="0018255C"/>
    <w:rsid w:val="001825BE"/>
    <w:rsid w:val="00182B8F"/>
    <w:rsid w:val="00182DCE"/>
    <w:rsid w:val="001833E6"/>
    <w:rsid w:val="001834F1"/>
    <w:rsid w:val="0018351F"/>
    <w:rsid w:val="00183F6C"/>
    <w:rsid w:val="00184542"/>
    <w:rsid w:val="00184FD9"/>
    <w:rsid w:val="00184FEE"/>
    <w:rsid w:val="0018501E"/>
    <w:rsid w:val="0018524E"/>
    <w:rsid w:val="001858EB"/>
    <w:rsid w:val="00185FBE"/>
    <w:rsid w:val="00186347"/>
    <w:rsid w:val="00186756"/>
    <w:rsid w:val="00186791"/>
    <w:rsid w:val="00186C4C"/>
    <w:rsid w:val="0018749E"/>
    <w:rsid w:val="0018779C"/>
    <w:rsid w:val="00187897"/>
    <w:rsid w:val="00187ABD"/>
    <w:rsid w:val="00190C4D"/>
    <w:rsid w:val="00190CE3"/>
    <w:rsid w:val="001911C8"/>
    <w:rsid w:val="00191C61"/>
    <w:rsid w:val="001920A6"/>
    <w:rsid w:val="001922D9"/>
    <w:rsid w:val="00192364"/>
    <w:rsid w:val="001924CA"/>
    <w:rsid w:val="00192954"/>
    <w:rsid w:val="00193518"/>
    <w:rsid w:val="00193585"/>
    <w:rsid w:val="00193B36"/>
    <w:rsid w:val="00194450"/>
    <w:rsid w:val="0019468A"/>
    <w:rsid w:val="00194833"/>
    <w:rsid w:val="00194C98"/>
    <w:rsid w:val="00194D6D"/>
    <w:rsid w:val="00194DA2"/>
    <w:rsid w:val="001952DC"/>
    <w:rsid w:val="001952F0"/>
    <w:rsid w:val="00195308"/>
    <w:rsid w:val="0019555A"/>
    <w:rsid w:val="001959B5"/>
    <w:rsid w:val="00195CBF"/>
    <w:rsid w:val="00195D9B"/>
    <w:rsid w:val="00195FCC"/>
    <w:rsid w:val="00195FEF"/>
    <w:rsid w:val="001964B8"/>
    <w:rsid w:val="00197320"/>
    <w:rsid w:val="0019736B"/>
    <w:rsid w:val="001973AA"/>
    <w:rsid w:val="00197793"/>
    <w:rsid w:val="001A0A7B"/>
    <w:rsid w:val="001A0CD8"/>
    <w:rsid w:val="001A0E79"/>
    <w:rsid w:val="001A1853"/>
    <w:rsid w:val="001A239E"/>
    <w:rsid w:val="001A3111"/>
    <w:rsid w:val="001A37C6"/>
    <w:rsid w:val="001A3A10"/>
    <w:rsid w:val="001A4143"/>
    <w:rsid w:val="001A41B1"/>
    <w:rsid w:val="001A4339"/>
    <w:rsid w:val="001A4921"/>
    <w:rsid w:val="001A4974"/>
    <w:rsid w:val="001A5DCC"/>
    <w:rsid w:val="001A6302"/>
    <w:rsid w:val="001A698B"/>
    <w:rsid w:val="001A6A7B"/>
    <w:rsid w:val="001A6B44"/>
    <w:rsid w:val="001A6D41"/>
    <w:rsid w:val="001A768E"/>
    <w:rsid w:val="001A769D"/>
    <w:rsid w:val="001A7B96"/>
    <w:rsid w:val="001A7C88"/>
    <w:rsid w:val="001B056F"/>
    <w:rsid w:val="001B0627"/>
    <w:rsid w:val="001B0838"/>
    <w:rsid w:val="001B0E22"/>
    <w:rsid w:val="001B0FF8"/>
    <w:rsid w:val="001B175C"/>
    <w:rsid w:val="001B1807"/>
    <w:rsid w:val="001B19C9"/>
    <w:rsid w:val="001B1D78"/>
    <w:rsid w:val="001B27AE"/>
    <w:rsid w:val="001B2803"/>
    <w:rsid w:val="001B3617"/>
    <w:rsid w:val="001B37BF"/>
    <w:rsid w:val="001B3BD9"/>
    <w:rsid w:val="001B3ED5"/>
    <w:rsid w:val="001B41E3"/>
    <w:rsid w:val="001B42B4"/>
    <w:rsid w:val="001B4405"/>
    <w:rsid w:val="001B48C8"/>
    <w:rsid w:val="001B4A8A"/>
    <w:rsid w:val="001B5020"/>
    <w:rsid w:val="001B50E3"/>
    <w:rsid w:val="001B5748"/>
    <w:rsid w:val="001B5992"/>
    <w:rsid w:val="001B5C0A"/>
    <w:rsid w:val="001B637D"/>
    <w:rsid w:val="001B63C8"/>
    <w:rsid w:val="001B6739"/>
    <w:rsid w:val="001B6C54"/>
    <w:rsid w:val="001B6D9A"/>
    <w:rsid w:val="001B6E76"/>
    <w:rsid w:val="001B71EA"/>
    <w:rsid w:val="001B7543"/>
    <w:rsid w:val="001B7B09"/>
    <w:rsid w:val="001C073E"/>
    <w:rsid w:val="001C0DAE"/>
    <w:rsid w:val="001C122E"/>
    <w:rsid w:val="001C186A"/>
    <w:rsid w:val="001C254B"/>
    <w:rsid w:val="001C2A27"/>
    <w:rsid w:val="001C2A9C"/>
    <w:rsid w:val="001C3462"/>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F5D"/>
    <w:rsid w:val="001D6113"/>
    <w:rsid w:val="001D63A2"/>
    <w:rsid w:val="001D66B9"/>
    <w:rsid w:val="001D69C9"/>
    <w:rsid w:val="001D6C6C"/>
    <w:rsid w:val="001D7538"/>
    <w:rsid w:val="001E051F"/>
    <w:rsid w:val="001E0571"/>
    <w:rsid w:val="001E0A0E"/>
    <w:rsid w:val="001E0E50"/>
    <w:rsid w:val="001E0F1A"/>
    <w:rsid w:val="001E1953"/>
    <w:rsid w:val="001E1E72"/>
    <w:rsid w:val="001E3276"/>
    <w:rsid w:val="001E37E4"/>
    <w:rsid w:val="001E3C2F"/>
    <w:rsid w:val="001E3EEA"/>
    <w:rsid w:val="001E4369"/>
    <w:rsid w:val="001E489F"/>
    <w:rsid w:val="001E4A6D"/>
    <w:rsid w:val="001E4DFC"/>
    <w:rsid w:val="001E4E4B"/>
    <w:rsid w:val="001E4F80"/>
    <w:rsid w:val="001E57DB"/>
    <w:rsid w:val="001E59EB"/>
    <w:rsid w:val="001E5A81"/>
    <w:rsid w:val="001E5AC1"/>
    <w:rsid w:val="001E7336"/>
    <w:rsid w:val="001E7DA8"/>
    <w:rsid w:val="001F04B0"/>
    <w:rsid w:val="001F04C7"/>
    <w:rsid w:val="001F0ACF"/>
    <w:rsid w:val="001F0B32"/>
    <w:rsid w:val="001F0C7F"/>
    <w:rsid w:val="001F1064"/>
    <w:rsid w:val="001F12C3"/>
    <w:rsid w:val="001F1BF0"/>
    <w:rsid w:val="001F1C06"/>
    <w:rsid w:val="001F1EF7"/>
    <w:rsid w:val="001F1F07"/>
    <w:rsid w:val="001F2273"/>
    <w:rsid w:val="001F22EC"/>
    <w:rsid w:val="001F2355"/>
    <w:rsid w:val="001F2643"/>
    <w:rsid w:val="001F26D9"/>
    <w:rsid w:val="001F2834"/>
    <w:rsid w:val="001F3064"/>
    <w:rsid w:val="001F30ED"/>
    <w:rsid w:val="001F31A0"/>
    <w:rsid w:val="001F38D6"/>
    <w:rsid w:val="001F3CFB"/>
    <w:rsid w:val="001F3FC1"/>
    <w:rsid w:val="001F457C"/>
    <w:rsid w:val="001F4CC8"/>
    <w:rsid w:val="001F4CF1"/>
    <w:rsid w:val="001F4D8D"/>
    <w:rsid w:val="001F50A0"/>
    <w:rsid w:val="001F560A"/>
    <w:rsid w:val="001F5696"/>
    <w:rsid w:val="001F637B"/>
    <w:rsid w:val="001F63AE"/>
    <w:rsid w:val="001F7581"/>
    <w:rsid w:val="001F7FD2"/>
    <w:rsid w:val="0020011D"/>
    <w:rsid w:val="0020016B"/>
    <w:rsid w:val="002007AF"/>
    <w:rsid w:val="00200A98"/>
    <w:rsid w:val="00200B83"/>
    <w:rsid w:val="00201116"/>
    <w:rsid w:val="0020165F"/>
    <w:rsid w:val="0020224C"/>
    <w:rsid w:val="002023D1"/>
    <w:rsid w:val="00202F16"/>
    <w:rsid w:val="0020347E"/>
    <w:rsid w:val="00203556"/>
    <w:rsid w:val="0020364B"/>
    <w:rsid w:val="00203739"/>
    <w:rsid w:val="00203B15"/>
    <w:rsid w:val="002043C9"/>
    <w:rsid w:val="002045E8"/>
    <w:rsid w:val="00204BA5"/>
    <w:rsid w:val="002054F1"/>
    <w:rsid w:val="0020550A"/>
    <w:rsid w:val="002057EB"/>
    <w:rsid w:val="0020594B"/>
    <w:rsid w:val="00205F09"/>
    <w:rsid w:val="0020630C"/>
    <w:rsid w:val="00206757"/>
    <w:rsid w:val="00206A58"/>
    <w:rsid w:val="00206A9A"/>
    <w:rsid w:val="00206C64"/>
    <w:rsid w:val="00207BAA"/>
    <w:rsid w:val="00207CF1"/>
    <w:rsid w:val="00207DC4"/>
    <w:rsid w:val="00207F90"/>
    <w:rsid w:val="0021074F"/>
    <w:rsid w:val="0021075A"/>
    <w:rsid w:val="00211B3F"/>
    <w:rsid w:val="00211E61"/>
    <w:rsid w:val="00212108"/>
    <w:rsid w:val="002128CF"/>
    <w:rsid w:val="00212F5D"/>
    <w:rsid w:val="0021365D"/>
    <w:rsid w:val="002138FA"/>
    <w:rsid w:val="00213AF8"/>
    <w:rsid w:val="00213C42"/>
    <w:rsid w:val="00213DC1"/>
    <w:rsid w:val="00214051"/>
    <w:rsid w:val="0021410B"/>
    <w:rsid w:val="002144A9"/>
    <w:rsid w:val="00214831"/>
    <w:rsid w:val="00214FCC"/>
    <w:rsid w:val="002150A7"/>
    <w:rsid w:val="00215A7B"/>
    <w:rsid w:val="00215BE7"/>
    <w:rsid w:val="00215D66"/>
    <w:rsid w:val="00215FE1"/>
    <w:rsid w:val="002167B5"/>
    <w:rsid w:val="00216894"/>
    <w:rsid w:val="00216E18"/>
    <w:rsid w:val="00216EAC"/>
    <w:rsid w:val="002175EF"/>
    <w:rsid w:val="002177F3"/>
    <w:rsid w:val="00217A9A"/>
    <w:rsid w:val="00217BF9"/>
    <w:rsid w:val="002205B4"/>
    <w:rsid w:val="002207EC"/>
    <w:rsid w:val="002208CF"/>
    <w:rsid w:val="00220E27"/>
    <w:rsid w:val="002213AA"/>
    <w:rsid w:val="00221734"/>
    <w:rsid w:val="00221931"/>
    <w:rsid w:val="00221BCF"/>
    <w:rsid w:val="002222D9"/>
    <w:rsid w:val="002225B7"/>
    <w:rsid w:val="002231B6"/>
    <w:rsid w:val="00223C88"/>
    <w:rsid w:val="0022408F"/>
    <w:rsid w:val="00224269"/>
    <w:rsid w:val="002245C2"/>
    <w:rsid w:val="002246C4"/>
    <w:rsid w:val="00224741"/>
    <w:rsid w:val="00224873"/>
    <w:rsid w:val="00224C17"/>
    <w:rsid w:val="002254F2"/>
    <w:rsid w:val="00226123"/>
    <w:rsid w:val="00226457"/>
    <w:rsid w:val="00226A03"/>
    <w:rsid w:val="00226D6F"/>
    <w:rsid w:val="00226EF6"/>
    <w:rsid w:val="00226F31"/>
    <w:rsid w:val="002272DA"/>
    <w:rsid w:val="002275A6"/>
    <w:rsid w:val="0022775F"/>
    <w:rsid w:val="00227B2E"/>
    <w:rsid w:val="002300AF"/>
    <w:rsid w:val="0023044B"/>
    <w:rsid w:val="00230466"/>
    <w:rsid w:val="00230645"/>
    <w:rsid w:val="002310C8"/>
    <w:rsid w:val="002317D7"/>
    <w:rsid w:val="00231B31"/>
    <w:rsid w:val="00231EC7"/>
    <w:rsid w:val="002327B6"/>
    <w:rsid w:val="0023298E"/>
    <w:rsid w:val="00232AF1"/>
    <w:rsid w:val="00232CF6"/>
    <w:rsid w:val="00232EC2"/>
    <w:rsid w:val="00232FD1"/>
    <w:rsid w:val="002337D1"/>
    <w:rsid w:val="00233995"/>
    <w:rsid w:val="00234353"/>
    <w:rsid w:val="002348F6"/>
    <w:rsid w:val="00234F40"/>
    <w:rsid w:val="00235516"/>
    <w:rsid w:val="002356E9"/>
    <w:rsid w:val="00235E36"/>
    <w:rsid w:val="00235E50"/>
    <w:rsid w:val="002361E7"/>
    <w:rsid w:val="0023686E"/>
    <w:rsid w:val="00236B43"/>
    <w:rsid w:val="00236B98"/>
    <w:rsid w:val="00236BEA"/>
    <w:rsid w:val="0023702C"/>
    <w:rsid w:val="00237075"/>
    <w:rsid w:val="002374FD"/>
    <w:rsid w:val="00240DDA"/>
    <w:rsid w:val="0024100A"/>
    <w:rsid w:val="00241884"/>
    <w:rsid w:val="002418B1"/>
    <w:rsid w:val="002422C1"/>
    <w:rsid w:val="00242332"/>
    <w:rsid w:val="002424E3"/>
    <w:rsid w:val="0024254D"/>
    <w:rsid w:val="002425D0"/>
    <w:rsid w:val="00243912"/>
    <w:rsid w:val="00244276"/>
    <w:rsid w:val="00244478"/>
    <w:rsid w:val="00244801"/>
    <w:rsid w:val="00244BEF"/>
    <w:rsid w:val="002451F4"/>
    <w:rsid w:val="00245508"/>
    <w:rsid w:val="002457BD"/>
    <w:rsid w:val="0024586B"/>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3D73"/>
    <w:rsid w:val="002541C8"/>
    <w:rsid w:val="002546B9"/>
    <w:rsid w:val="00254D49"/>
    <w:rsid w:val="002556FD"/>
    <w:rsid w:val="00255B5D"/>
    <w:rsid w:val="00255E0D"/>
    <w:rsid w:val="002564DC"/>
    <w:rsid w:val="00256605"/>
    <w:rsid w:val="00256B73"/>
    <w:rsid w:val="00256D57"/>
    <w:rsid w:val="00257C8C"/>
    <w:rsid w:val="002603F6"/>
    <w:rsid w:val="0026075C"/>
    <w:rsid w:val="002609DD"/>
    <w:rsid w:val="002611AE"/>
    <w:rsid w:val="00261401"/>
    <w:rsid w:val="002615F8"/>
    <w:rsid w:val="0026194D"/>
    <w:rsid w:val="00262503"/>
    <w:rsid w:val="00262D03"/>
    <w:rsid w:val="00263065"/>
    <w:rsid w:val="002640FC"/>
    <w:rsid w:val="0026416B"/>
    <w:rsid w:val="00264266"/>
    <w:rsid w:val="002642F0"/>
    <w:rsid w:val="00264824"/>
    <w:rsid w:val="002652B7"/>
    <w:rsid w:val="00265822"/>
    <w:rsid w:val="00265CCD"/>
    <w:rsid w:val="00265FD6"/>
    <w:rsid w:val="00266050"/>
    <w:rsid w:val="00266850"/>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6201"/>
    <w:rsid w:val="0027635A"/>
    <w:rsid w:val="0027655F"/>
    <w:rsid w:val="00276A0C"/>
    <w:rsid w:val="002771E0"/>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7ED"/>
    <w:rsid w:val="00290381"/>
    <w:rsid w:val="002905EB"/>
    <w:rsid w:val="00291006"/>
    <w:rsid w:val="002920B1"/>
    <w:rsid w:val="00292C69"/>
    <w:rsid w:val="00292FE6"/>
    <w:rsid w:val="002933A8"/>
    <w:rsid w:val="00293A1C"/>
    <w:rsid w:val="00294293"/>
    <w:rsid w:val="00294579"/>
    <w:rsid w:val="00294BC3"/>
    <w:rsid w:val="00294F99"/>
    <w:rsid w:val="002952A7"/>
    <w:rsid w:val="00295A0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166"/>
    <w:rsid w:val="002A119A"/>
    <w:rsid w:val="002A184F"/>
    <w:rsid w:val="002A1968"/>
    <w:rsid w:val="002A2089"/>
    <w:rsid w:val="002A28DE"/>
    <w:rsid w:val="002A2FBD"/>
    <w:rsid w:val="002A3266"/>
    <w:rsid w:val="002A33C9"/>
    <w:rsid w:val="002A3415"/>
    <w:rsid w:val="002A39B3"/>
    <w:rsid w:val="002A3BEF"/>
    <w:rsid w:val="002A3CFA"/>
    <w:rsid w:val="002A3E50"/>
    <w:rsid w:val="002A3F92"/>
    <w:rsid w:val="002A4BE5"/>
    <w:rsid w:val="002A5321"/>
    <w:rsid w:val="002A576A"/>
    <w:rsid w:val="002A5D6B"/>
    <w:rsid w:val="002A66A5"/>
    <w:rsid w:val="002A6761"/>
    <w:rsid w:val="002A712C"/>
    <w:rsid w:val="002A7DBE"/>
    <w:rsid w:val="002A7E62"/>
    <w:rsid w:val="002A7F87"/>
    <w:rsid w:val="002B014B"/>
    <w:rsid w:val="002B0532"/>
    <w:rsid w:val="002B071C"/>
    <w:rsid w:val="002B198F"/>
    <w:rsid w:val="002B2210"/>
    <w:rsid w:val="002B36C9"/>
    <w:rsid w:val="002B4827"/>
    <w:rsid w:val="002B484A"/>
    <w:rsid w:val="002B53BD"/>
    <w:rsid w:val="002B5FEA"/>
    <w:rsid w:val="002B6058"/>
    <w:rsid w:val="002B6233"/>
    <w:rsid w:val="002B6664"/>
    <w:rsid w:val="002B6ECE"/>
    <w:rsid w:val="002B71F7"/>
    <w:rsid w:val="002B7229"/>
    <w:rsid w:val="002B74C8"/>
    <w:rsid w:val="002B7758"/>
    <w:rsid w:val="002B7E73"/>
    <w:rsid w:val="002C0BE5"/>
    <w:rsid w:val="002C0C66"/>
    <w:rsid w:val="002C0C8A"/>
    <w:rsid w:val="002C0DCA"/>
    <w:rsid w:val="002C1705"/>
    <w:rsid w:val="002C1C8F"/>
    <w:rsid w:val="002C1D25"/>
    <w:rsid w:val="002C1D92"/>
    <w:rsid w:val="002C226C"/>
    <w:rsid w:val="002C2780"/>
    <w:rsid w:val="002C3004"/>
    <w:rsid w:val="002C3E81"/>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C7E02"/>
    <w:rsid w:val="002D03A2"/>
    <w:rsid w:val="002D0A48"/>
    <w:rsid w:val="002D0B39"/>
    <w:rsid w:val="002D169E"/>
    <w:rsid w:val="002D1975"/>
    <w:rsid w:val="002D23E4"/>
    <w:rsid w:val="002D25B4"/>
    <w:rsid w:val="002D2EA1"/>
    <w:rsid w:val="002D2F30"/>
    <w:rsid w:val="002D35A3"/>
    <w:rsid w:val="002D450F"/>
    <w:rsid w:val="002D4B4F"/>
    <w:rsid w:val="002D4D10"/>
    <w:rsid w:val="002D4D22"/>
    <w:rsid w:val="002D5180"/>
    <w:rsid w:val="002D5602"/>
    <w:rsid w:val="002D58F7"/>
    <w:rsid w:val="002D5A1E"/>
    <w:rsid w:val="002D5DF2"/>
    <w:rsid w:val="002D657A"/>
    <w:rsid w:val="002D6E78"/>
    <w:rsid w:val="002D7068"/>
    <w:rsid w:val="002D7C84"/>
    <w:rsid w:val="002E0B90"/>
    <w:rsid w:val="002E0C81"/>
    <w:rsid w:val="002E0D02"/>
    <w:rsid w:val="002E0DE9"/>
    <w:rsid w:val="002E191A"/>
    <w:rsid w:val="002E1ABA"/>
    <w:rsid w:val="002E1AC4"/>
    <w:rsid w:val="002E1BED"/>
    <w:rsid w:val="002E1D23"/>
    <w:rsid w:val="002E23AF"/>
    <w:rsid w:val="002E2408"/>
    <w:rsid w:val="002E2426"/>
    <w:rsid w:val="002E2A6B"/>
    <w:rsid w:val="002E3411"/>
    <w:rsid w:val="002E3726"/>
    <w:rsid w:val="002E4181"/>
    <w:rsid w:val="002E449A"/>
    <w:rsid w:val="002E56D8"/>
    <w:rsid w:val="002E58FD"/>
    <w:rsid w:val="002E5EB9"/>
    <w:rsid w:val="002E61D4"/>
    <w:rsid w:val="002E67FB"/>
    <w:rsid w:val="002E6893"/>
    <w:rsid w:val="002E6958"/>
    <w:rsid w:val="002E6F3F"/>
    <w:rsid w:val="002E73A9"/>
    <w:rsid w:val="002E73DD"/>
    <w:rsid w:val="002E7508"/>
    <w:rsid w:val="002E76AF"/>
    <w:rsid w:val="002E77AE"/>
    <w:rsid w:val="002E7D79"/>
    <w:rsid w:val="002E7F73"/>
    <w:rsid w:val="002F010B"/>
    <w:rsid w:val="002F0A71"/>
    <w:rsid w:val="002F121C"/>
    <w:rsid w:val="002F1A8A"/>
    <w:rsid w:val="002F1BE2"/>
    <w:rsid w:val="002F2423"/>
    <w:rsid w:val="002F327E"/>
    <w:rsid w:val="002F47B1"/>
    <w:rsid w:val="002F4DE4"/>
    <w:rsid w:val="002F531A"/>
    <w:rsid w:val="002F5748"/>
    <w:rsid w:val="002F5E65"/>
    <w:rsid w:val="002F5F66"/>
    <w:rsid w:val="002F6BF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874"/>
    <w:rsid w:val="00303DE1"/>
    <w:rsid w:val="00304111"/>
    <w:rsid w:val="0030452E"/>
    <w:rsid w:val="00304678"/>
    <w:rsid w:val="00304A2E"/>
    <w:rsid w:val="00304AD7"/>
    <w:rsid w:val="00304EA9"/>
    <w:rsid w:val="00305409"/>
    <w:rsid w:val="00305A0C"/>
    <w:rsid w:val="00305E1A"/>
    <w:rsid w:val="00305E5B"/>
    <w:rsid w:val="00305F85"/>
    <w:rsid w:val="0030640A"/>
    <w:rsid w:val="00307AE2"/>
    <w:rsid w:val="003106D0"/>
    <w:rsid w:val="00310B9F"/>
    <w:rsid w:val="00311409"/>
    <w:rsid w:val="00311735"/>
    <w:rsid w:val="00311C86"/>
    <w:rsid w:val="00311DFC"/>
    <w:rsid w:val="0031352A"/>
    <w:rsid w:val="00313734"/>
    <w:rsid w:val="003139FC"/>
    <w:rsid w:val="0031427E"/>
    <w:rsid w:val="00314EC8"/>
    <w:rsid w:val="00314F76"/>
    <w:rsid w:val="00316125"/>
    <w:rsid w:val="00316C08"/>
    <w:rsid w:val="00316EC6"/>
    <w:rsid w:val="00317292"/>
    <w:rsid w:val="0031730B"/>
    <w:rsid w:val="00320430"/>
    <w:rsid w:val="003207B9"/>
    <w:rsid w:val="00320B8A"/>
    <w:rsid w:val="00321100"/>
    <w:rsid w:val="00321D35"/>
    <w:rsid w:val="00321D8F"/>
    <w:rsid w:val="00321E8E"/>
    <w:rsid w:val="00322011"/>
    <w:rsid w:val="003220CA"/>
    <w:rsid w:val="00322302"/>
    <w:rsid w:val="00322988"/>
    <w:rsid w:val="00322BF0"/>
    <w:rsid w:val="00322DB2"/>
    <w:rsid w:val="003230B0"/>
    <w:rsid w:val="00323278"/>
    <w:rsid w:val="0032333E"/>
    <w:rsid w:val="003235AA"/>
    <w:rsid w:val="003238B4"/>
    <w:rsid w:val="00323BCB"/>
    <w:rsid w:val="00323DCA"/>
    <w:rsid w:val="003243C3"/>
    <w:rsid w:val="00324982"/>
    <w:rsid w:val="00324AA6"/>
    <w:rsid w:val="00324BB6"/>
    <w:rsid w:val="00324BE5"/>
    <w:rsid w:val="00325CF3"/>
    <w:rsid w:val="003265E1"/>
    <w:rsid w:val="00326F4D"/>
    <w:rsid w:val="00327067"/>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86D"/>
    <w:rsid w:val="00333BC9"/>
    <w:rsid w:val="003344B4"/>
    <w:rsid w:val="00335165"/>
    <w:rsid w:val="003352B2"/>
    <w:rsid w:val="00335395"/>
    <w:rsid w:val="00335480"/>
    <w:rsid w:val="00335539"/>
    <w:rsid w:val="00335CFF"/>
    <w:rsid w:val="0033638E"/>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AB2"/>
    <w:rsid w:val="00343C84"/>
    <w:rsid w:val="00343FFE"/>
    <w:rsid w:val="00344F81"/>
    <w:rsid w:val="003454D1"/>
    <w:rsid w:val="003455D8"/>
    <w:rsid w:val="003456E8"/>
    <w:rsid w:val="00345922"/>
    <w:rsid w:val="00345B5D"/>
    <w:rsid w:val="00345CA0"/>
    <w:rsid w:val="00345E7B"/>
    <w:rsid w:val="003460F3"/>
    <w:rsid w:val="00346298"/>
    <w:rsid w:val="0034647B"/>
    <w:rsid w:val="0034676C"/>
    <w:rsid w:val="00346829"/>
    <w:rsid w:val="00346EDB"/>
    <w:rsid w:val="003470DF"/>
    <w:rsid w:val="00347352"/>
    <w:rsid w:val="00347406"/>
    <w:rsid w:val="00347554"/>
    <w:rsid w:val="00347A0F"/>
    <w:rsid w:val="00347B30"/>
    <w:rsid w:val="003500E5"/>
    <w:rsid w:val="003501DB"/>
    <w:rsid w:val="003502DF"/>
    <w:rsid w:val="00350842"/>
    <w:rsid w:val="00350E06"/>
    <w:rsid w:val="00350F80"/>
    <w:rsid w:val="0035104E"/>
    <w:rsid w:val="003516BC"/>
    <w:rsid w:val="00351A65"/>
    <w:rsid w:val="003522AC"/>
    <w:rsid w:val="0035255E"/>
    <w:rsid w:val="00352A7A"/>
    <w:rsid w:val="003533F1"/>
    <w:rsid w:val="003544B8"/>
    <w:rsid w:val="003548A6"/>
    <w:rsid w:val="003549D2"/>
    <w:rsid w:val="00355500"/>
    <w:rsid w:val="00355E14"/>
    <w:rsid w:val="003561BB"/>
    <w:rsid w:val="003563F7"/>
    <w:rsid w:val="003563FD"/>
    <w:rsid w:val="003567EF"/>
    <w:rsid w:val="00356988"/>
    <w:rsid w:val="00356B70"/>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4285"/>
    <w:rsid w:val="003643E8"/>
    <w:rsid w:val="00364824"/>
    <w:rsid w:val="00364DA5"/>
    <w:rsid w:val="00364E2E"/>
    <w:rsid w:val="00364F8E"/>
    <w:rsid w:val="00365991"/>
    <w:rsid w:val="00365A2A"/>
    <w:rsid w:val="00365ABC"/>
    <w:rsid w:val="00365F9C"/>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2E2E"/>
    <w:rsid w:val="0037383A"/>
    <w:rsid w:val="00373A4C"/>
    <w:rsid w:val="00373AF1"/>
    <w:rsid w:val="00373C23"/>
    <w:rsid w:val="003740D2"/>
    <w:rsid w:val="00374636"/>
    <w:rsid w:val="003749CF"/>
    <w:rsid w:val="00374DD3"/>
    <w:rsid w:val="00374F64"/>
    <w:rsid w:val="00374FA0"/>
    <w:rsid w:val="0037501E"/>
    <w:rsid w:val="00375BD6"/>
    <w:rsid w:val="00375F62"/>
    <w:rsid w:val="0037611D"/>
    <w:rsid w:val="003764F8"/>
    <w:rsid w:val="003772BF"/>
    <w:rsid w:val="003803B1"/>
    <w:rsid w:val="0038049D"/>
    <w:rsid w:val="00380536"/>
    <w:rsid w:val="0038073C"/>
    <w:rsid w:val="00380D28"/>
    <w:rsid w:val="003812A1"/>
    <w:rsid w:val="0038181C"/>
    <w:rsid w:val="003819FD"/>
    <w:rsid w:val="00381B42"/>
    <w:rsid w:val="00382DB8"/>
    <w:rsid w:val="003835B4"/>
    <w:rsid w:val="00383A9B"/>
    <w:rsid w:val="0038410A"/>
    <w:rsid w:val="00384547"/>
    <w:rsid w:val="003845C9"/>
    <w:rsid w:val="00385BDB"/>
    <w:rsid w:val="00385CE4"/>
    <w:rsid w:val="00385F26"/>
    <w:rsid w:val="003860D9"/>
    <w:rsid w:val="003861F1"/>
    <w:rsid w:val="00386D26"/>
    <w:rsid w:val="00386F10"/>
    <w:rsid w:val="003871BA"/>
    <w:rsid w:val="0038740D"/>
    <w:rsid w:val="003874D2"/>
    <w:rsid w:val="003878B2"/>
    <w:rsid w:val="003878E5"/>
    <w:rsid w:val="00387B2C"/>
    <w:rsid w:val="00387D40"/>
    <w:rsid w:val="00387E72"/>
    <w:rsid w:val="00387F7E"/>
    <w:rsid w:val="00387FC4"/>
    <w:rsid w:val="00390433"/>
    <w:rsid w:val="0039051F"/>
    <w:rsid w:val="00391240"/>
    <w:rsid w:val="003914B6"/>
    <w:rsid w:val="00391BD0"/>
    <w:rsid w:val="00391DBF"/>
    <w:rsid w:val="0039221C"/>
    <w:rsid w:val="00392234"/>
    <w:rsid w:val="003922D8"/>
    <w:rsid w:val="00392913"/>
    <w:rsid w:val="00392B73"/>
    <w:rsid w:val="0039303E"/>
    <w:rsid w:val="00393483"/>
    <w:rsid w:val="00393A30"/>
    <w:rsid w:val="00393A99"/>
    <w:rsid w:val="00393C5F"/>
    <w:rsid w:val="00393D78"/>
    <w:rsid w:val="003940C3"/>
    <w:rsid w:val="003946CD"/>
    <w:rsid w:val="00394851"/>
    <w:rsid w:val="00394ACC"/>
    <w:rsid w:val="00395152"/>
    <w:rsid w:val="00395956"/>
    <w:rsid w:val="00396A5B"/>
    <w:rsid w:val="003972CC"/>
    <w:rsid w:val="003972F5"/>
    <w:rsid w:val="0039779B"/>
    <w:rsid w:val="00397906"/>
    <w:rsid w:val="00397D2A"/>
    <w:rsid w:val="00397D79"/>
    <w:rsid w:val="00397EA6"/>
    <w:rsid w:val="003A00CD"/>
    <w:rsid w:val="003A0706"/>
    <w:rsid w:val="003A0A7C"/>
    <w:rsid w:val="003A0DF2"/>
    <w:rsid w:val="003A0ED9"/>
    <w:rsid w:val="003A164C"/>
    <w:rsid w:val="003A1D4C"/>
    <w:rsid w:val="003A27D8"/>
    <w:rsid w:val="003A31A4"/>
    <w:rsid w:val="003A33B6"/>
    <w:rsid w:val="003A3EEF"/>
    <w:rsid w:val="003A42E5"/>
    <w:rsid w:val="003A44BC"/>
    <w:rsid w:val="003A47CA"/>
    <w:rsid w:val="003A4C0F"/>
    <w:rsid w:val="003A5057"/>
    <w:rsid w:val="003A540F"/>
    <w:rsid w:val="003A54F0"/>
    <w:rsid w:val="003A5B66"/>
    <w:rsid w:val="003A5EA1"/>
    <w:rsid w:val="003A6D08"/>
    <w:rsid w:val="003A6F6E"/>
    <w:rsid w:val="003A75F1"/>
    <w:rsid w:val="003A76CE"/>
    <w:rsid w:val="003A7E37"/>
    <w:rsid w:val="003B0034"/>
    <w:rsid w:val="003B0047"/>
    <w:rsid w:val="003B0136"/>
    <w:rsid w:val="003B0284"/>
    <w:rsid w:val="003B039B"/>
    <w:rsid w:val="003B048F"/>
    <w:rsid w:val="003B07D7"/>
    <w:rsid w:val="003B0BCA"/>
    <w:rsid w:val="003B0EE1"/>
    <w:rsid w:val="003B0F70"/>
    <w:rsid w:val="003B16E3"/>
    <w:rsid w:val="003B198D"/>
    <w:rsid w:val="003B1C0D"/>
    <w:rsid w:val="003B1F06"/>
    <w:rsid w:val="003B2050"/>
    <w:rsid w:val="003B22EA"/>
    <w:rsid w:val="003B2795"/>
    <w:rsid w:val="003B2841"/>
    <w:rsid w:val="003B28ED"/>
    <w:rsid w:val="003B2E36"/>
    <w:rsid w:val="003B3576"/>
    <w:rsid w:val="003B3BCB"/>
    <w:rsid w:val="003B4455"/>
    <w:rsid w:val="003B44AE"/>
    <w:rsid w:val="003B49CB"/>
    <w:rsid w:val="003B4A51"/>
    <w:rsid w:val="003B50B6"/>
    <w:rsid w:val="003B553C"/>
    <w:rsid w:val="003B5674"/>
    <w:rsid w:val="003B591E"/>
    <w:rsid w:val="003B5A93"/>
    <w:rsid w:val="003B6481"/>
    <w:rsid w:val="003B6E52"/>
    <w:rsid w:val="003B7045"/>
    <w:rsid w:val="003B759C"/>
    <w:rsid w:val="003B7745"/>
    <w:rsid w:val="003B7E26"/>
    <w:rsid w:val="003C01B8"/>
    <w:rsid w:val="003C0234"/>
    <w:rsid w:val="003C049E"/>
    <w:rsid w:val="003C13CF"/>
    <w:rsid w:val="003C1424"/>
    <w:rsid w:val="003C1568"/>
    <w:rsid w:val="003C1970"/>
    <w:rsid w:val="003C1B6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A27"/>
    <w:rsid w:val="003C5EBC"/>
    <w:rsid w:val="003C5F04"/>
    <w:rsid w:val="003C6054"/>
    <w:rsid w:val="003C636C"/>
    <w:rsid w:val="003C6621"/>
    <w:rsid w:val="003C67F0"/>
    <w:rsid w:val="003C6919"/>
    <w:rsid w:val="003C6990"/>
    <w:rsid w:val="003C6EAD"/>
    <w:rsid w:val="003C730D"/>
    <w:rsid w:val="003C7518"/>
    <w:rsid w:val="003C7645"/>
    <w:rsid w:val="003C7C8C"/>
    <w:rsid w:val="003C7FE3"/>
    <w:rsid w:val="003D029C"/>
    <w:rsid w:val="003D0868"/>
    <w:rsid w:val="003D0D1D"/>
    <w:rsid w:val="003D0E4E"/>
    <w:rsid w:val="003D12A7"/>
    <w:rsid w:val="003D155B"/>
    <w:rsid w:val="003D1885"/>
    <w:rsid w:val="003D1A54"/>
    <w:rsid w:val="003D215C"/>
    <w:rsid w:val="003D2329"/>
    <w:rsid w:val="003D24DE"/>
    <w:rsid w:val="003D24E5"/>
    <w:rsid w:val="003D2577"/>
    <w:rsid w:val="003D2714"/>
    <w:rsid w:val="003D2C94"/>
    <w:rsid w:val="003D3012"/>
    <w:rsid w:val="003D303F"/>
    <w:rsid w:val="003D34BA"/>
    <w:rsid w:val="003D3669"/>
    <w:rsid w:val="003D3BB7"/>
    <w:rsid w:val="003D403D"/>
    <w:rsid w:val="003D46D7"/>
    <w:rsid w:val="003D4824"/>
    <w:rsid w:val="003D48D8"/>
    <w:rsid w:val="003D4C15"/>
    <w:rsid w:val="003D53F9"/>
    <w:rsid w:val="003D544D"/>
    <w:rsid w:val="003D5769"/>
    <w:rsid w:val="003D62B6"/>
    <w:rsid w:val="003D67A9"/>
    <w:rsid w:val="003D69A9"/>
    <w:rsid w:val="003D7003"/>
    <w:rsid w:val="003D7569"/>
    <w:rsid w:val="003D76ED"/>
    <w:rsid w:val="003D7717"/>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F2D"/>
    <w:rsid w:val="003E6656"/>
    <w:rsid w:val="003E6714"/>
    <w:rsid w:val="003E6DE5"/>
    <w:rsid w:val="003E74D6"/>
    <w:rsid w:val="003E75AC"/>
    <w:rsid w:val="003E76EF"/>
    <w:rsid w:val="003E7727"/>
    <w:rsid w:val="003E7EAC"/>
    <w:rsid w:val="003F029E"/>
    <w:rsid w:val="003F03E7"/>
    <w:rsid w:val="003F0A5B"/>
    <w:rsid w:val="003F0B10"/>
    <w:rsid w:val="003F1474"/>
    <w:rsid w:val="003F17CC"/>
    <w:rsid w:val="003F18E2"/>
    <w:rsid w:val="003F1AC1"/>
    <w:rsid w:val="003F1BDF"/>
    <w:rsid w:val="003F1D80"/>
    <w:rsid w:val="003F202B"/>
    <w:rsid w:val="003F22AD"/>
    <w:rsid w:val="003F2C93"/>
    <w:rsid w:val="003F2F25"/>
    <w:rsid w:val="003F3242"/>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E18"/>
    <w:rsid w:val="003F5FB7"/>
    <w:rsid w:val="003F617A"/>
    <w:rsid w:val="003F6475"/>
    <w:rsid w:val="003F683E"/>
    <w:rsid w:val="003F6FC2"/>
    <w:rsid w:val="003F7192"/>
    <w:rsid w:val="003F745B"/>
    <w:rsid w:val="003F7CB3"/>
    <w:rsid w:val="003F7F86"/>
    <w:rsid w:val="003F7FA7"/>
    <w:rsid w:val="0040022F"/>
    <w:rsid w:val="004004D9"/>
    <w:rsid w:val="00400D9D"/>
    <w:rsid w:val="00400F9E"/>
    <w:rsid w:val="00401296"/>
    <w:rsid w:val="004013BA"/>
    <w:rsid w:val="004013E6"/>
    <w:rsid w:val="00401C6E"/>
    <w:rsid w:val="00402264"/>
    <w:rsid w:val="004026BE"/>
    <w:rsid w:val="00402FEC"/>
    <w:rsid w:val="00403302"/>
    <w:rsid w:val="004034CD"/>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7381"/>
    <w:rsid w:val="004079B2"/>
    <w:rsid w:val="00407A7D"/>
    <w:rsid w:val="00407D92"/>
    <w:rsid w:val="00407EB0"/>
    <w:rsid w:val="00407FC7"/>
    <w:rsid w:val="004102FB"/>
    <w:rsid w:val="004103E4"/>
    <w:rsid w:val="00410E0C"/>
    <w:rsid w:val="00410F62"/>
    <w:rsid w:val="00411168"/>
    <w:rsid w:val="00412570"/>
    <w:rsid w:val="004125C6"/>
    <w:rsid w:val="0041273A"/>
    <w:rsid w:val="00412EDA"/>
    <w:rsid w:val="004138AE"/>
    <w:rsid w:val="0041464C"/>
    <w:rsid w:val="00414AC4"/>
    <w:rsid w:val="00414C8D"/>
    <w:rsid w:val="00414CF3"/>
    <w:rsid w:val="00414EDF"/>
    <w:rsid w:val="00415435"/>
    <w:rsid w:val="00415528"/>
    <w:rsid w:val="0041566C"/>
    <w:rsid w:val="004156E4"/>
    <w:rsid w:val="00415D54"/>
    <w:rsid w:val="0041619F"/>
    <w:rsid w:val="0041640B"/>
    <w:rsid w:val="0041660D"/>
    <w:rsid w:val="00416F1A"/>
    <w:rsid w:val="004174E1"/>
    <w:rsid w:val="004176C4"/>
    <w:rsid w:val="00417934"/>
    <w:rsid w:val="00421D4D"/>
    <w:rsid w:val="00421ED2"/>
    <w:rsid w:val="00421F71"/>
    <w:rsid w:val="0042210D"/>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496"/>
    <w:rsid w:val="0043088B"/>
    <w:rsid w:val="00430F25"/>
    <w:rsid w:val="0043118D"/>
    <w:rsid w:val="0043151C"/>
    <w:rsid w:val="00431611"/>
    <w:rsid w:val="004319D2"/>
    <w:rsid w:val="00431E95"/>
    <w:rsid w:val="00432109"/>
    <w:rsid w:val="0043251D"/>
    <w:rsid w:val="00432A30"/>
    <w:rsid w:val="00432B88"/>
    <w:rsid w:val="00432E3E"/>
    <w:rsid w:val="004333AC"/>
    <w:rsid w:val="00433A7E"/>
    <w:rsid w:val="00433B25"/>
    <w:rsid w:val="00433EA7"/>
    <w:rsid w:val="00434004"/>
    <w:rsid w:val="00434214"/>
    <w:rsid w:val="004344E3"/>
    <w:rsid w:val="00434930"/>
    <w:rsid w:val="00434C4E"/>
    <w:rsid w:val="004350A6"/>
    <w:rsid w:val="00435419"/>
    <w:rsid w:val="004354CC"/>
    <w:rsid w:val="004354DF"/>
    <w:rsid w:val="00435BBA"/>
    <w:rsid w:val="00435FB8"/>
    <w:rsid w:val="0043613F"/>
    <w:rsid w:val="004362C3"/>
    <w:rsid w:val="0043643B"/>
    <w:rsid w:val="00436960"/>
    <w:rsid w:val="00436C55"/>
    <w:rsid w:val="00436D82"/>
    <w:rsid w:val="004375B0"/>
    <w:rsid w:val="004379BC"/>
    <w:rsid w:val="004401FD"/>
    <w:rsid w:val="004404FF"/>
    <w:rsid w:val="004407AC"/>
    <w:rsid w:val="00440E22"/>
    <w:rsid w:val="00441539"/>
    <w:rsid w:val="00441DEF"/>
    <w:rsid w:val="0044218C"/>
    <w:rsid w:val="00442A58"/>
    <w:rsid w:val="00442A85"/>
    <w:rsid w:val="00442AE9"/>
    <w:rsid w:val="00442EF6"/>
    <w:rsid w:val="00443032"/>
    <w:rsid w:val="004430D1"/>
    <w:rsid w:val="004434B4"/>
    <w:rsid w:val="004447DC"/>
    <w:rsid w:val="00444825"/>
    <w:rsid w:val="00444B92"/>
    <w:rsid w:val="00444F21"/>
    <w:rsid w:val="00445289"/>
    <w:rsid w:val="00445A12"/>
    <w:rsid w:val="00445DE7"/>
    <w:rsid w:val="00445E02"/>
    <w:rsid w:val="00446248"/>
    <w:rsid w:val="00446953"/>
    <w:rsid w:val="00446B0F"/>
    <w:rsid w:val="00446CF1"/>
    <w:rsid w:val="00446D19"/>
    <w:rsid w:val="0044714F"/>
    <w:rsid w:val="004471B7"/>
    <w:rsid w:val="0044720D"/>
    <w:rsid w:val="00447872"/>
    <w:rsid w:val="00447F9D"/>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E0F"/>
    <w:rsid w:val="00455962"/>
    <w:rsid w:val="00455ADA"/>
    <w:rsid w:val="004563A3"/>
    <w:rsid w:val="00456912"/>
    <w:rsid w:val="00456F77"/>
    <w:rsid w:val="00456FB7"/>
    <w:rsid w:val="00457069"/>
    <w:rsid w:val="00457304"/>
    <w:rsid w:val="004573E3"/>
    <w:rsid w:val="004574C4"/>
    <w:rsid w:val="004574E9"/>
    <w:rsid w:val="004578E3"/>
    <w:rsid w:val="00457BC9"/>
    <w:rsid w:val="004602B6"/>
    <w:rsid w:val="0046091B"/>
    <w:rsid w:val="004613C2"/>
    <w:rsid w:val="00461538"/>
    <w:rsid w:val="004615B7"/>
    <w:rsid w:val="0046191E"/>
    <w:rsid w:val="00461F72"/>
    <w:rsid w:val="004621F1"/>
    <w:rsid w:val="0046220B"/>
    <w:rsid w:val="004625AE"/>
    <w:rsid w:val="004625C9"/>
    <w:rsid w:val="00463952"/>
    <w:rsid w:val="004639C4"/>
    <w:rsid w:val="004645C7"/>
    <w:rsid w:val="00464916"/>
    <w:rsid w:val="004649FD"/>
    <w:rsid w:val="00464FD0"/>
    <w:rsid w:val="00465040"/>
    <w:rsid w:val="00465948"/>
    <w:rsid w:val="00465AF8"/>
    <w:rsid w:val="00465D7C"/>
    <w:rsid w:val="00466515"/>
    <w:rsid w:val="004665CA"/>
    <w:rsid w:val="00466779"/>
    <w:rsid w:val="00467277"/>
    <w:rsid w:val="004676BC"/>
    <w:rsid w:val="0046783A"/>
    <w:rsid w:val="004705B3"/>
    <w:rsid w:val="00470A88"/>
    <w:rsid w:val="00470FFC"/>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BA4"/>
    <w:rsid w:val="00474CAB"/>
    <w:rsid w:val="00475031"/>
    <w:rsid w:val="00475188"/>
    <w:rsid w:val="004754AF"/>
    <w:rsid w:val="0047575F"/>
    <w:rsid w:val="004769AA"/>
    <w:rsid w:val="00476B8B"/>
    <w:rsid w:val="004772F1"/>
    <w:rsid w:val="00477957"/>
    <w:rsid w:val="00477A03"/>
    <w:rsid w:val="00477BF6"/>
    <w:rsid w:val="00477DD1"/>
    <w:rsid w:val="00480179"/>
    <w:rsid w:val="00480C49"/>
    <w:rsid w:val="004818FF"/>
    <w:rsid w:val="00481EC8"/>
    <w:rsid w:val="00481F87"/>
    <w:rsid w:val="0048203B"/>
    <w:rsid w:val="00482141"/>
    <w:rsid w:val="00482149"/>
    <w:rsid w:val="004821E5"/>
    <w:rsid w:val="004822F4"/>
    <w:rsid w:val="00482379"/>
    <w:rsid w:val="004825B7"/>
    <w:rsid w:val="00482C82"/>
    <w:rsid w:val="00482E32"/>
    <w:rsid w:val="00482E4B"/>
    <w:rsid w:val="00483272"/>
    <w:rsid w:val="00483A0E"/>
    <w:rsid w:val="00483AFB"/>
    <w:rsid w:val="00483EB4"/>
    <w:rsid w:val="004844BF"/>
    <w:rsid w:val="0048475C"/>
    <w:rsid w:val="00484815"/>
    <w:rsid w:val="00484875"/>
    <w:rsid w:val="00484BD5"/>
    <w:rsid w:val="00484F44"/>
    <w:rsid w:val="004851A9"/>
    <w:rsid w:val="004855A8"/>
    <w:rsid w:val="00486135"/>
    <w:rsid w:val="004865EA"/>
    <w:rsid w:val="004867D3"/>
    <w:rsid w:val="00486CEE"/>
    <w:rsid w:val="00487157"/>
    <w:rsid w:val="00487810"/>
    <w:rsid w:val="00487831"/>
    <w:rsid w:val="004879AF"/>
    <w:rsid w:val="00487FEB"/>
    <w:rsid w:val="004900C9"/>
    <w:rsid w:val="004903F5"/>
    <w:rsid w:val="00490645"/>
    <w:rsid w:val="00490720"/>
    <w:rsid w:val="00490DB4"/>
    <w:rsid w:val="00491C45"/>
    <w:rsid w:val="00491D0A"/>
    <w:rsid w:val="00492D0C"/>
    <w:rsid w:val="00492E8E"/>
    <w:rsid w:val="00492EA2"/>
    <w:rsid w:val="00493795"/>
    <w:rsid w:val="00493CC7"/>
    <w:rsid w:val="00493DE1"/>
    <w:rsid w:val="00493F1C"/>
    <w:rsid w:val="0049414F"/>
    <w:rsid w:val="00495073"/>
    <w:rsid w:val="004953C4"/>
    <w:rsid w:val="00495E49"/>
    <w:rsid w:val="0049603A"/>
    <w:rsid w:val="004960F3"/>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73FE"/>
    <w:rsid w:val="004A74D6"/>
    <w:rsid w:val="004A76FC"/>
    <w:rsid w:val="004A77F6"/>
    <w:rsid w:val="004A7A4D"/>
    <w:rsid w:val="004A7D51"/>
    <w:rsid w:val="004B0893"/>
    <w:rsid w:val="004B13E0"/>
    <w:rsid w:val="004B1667"/>
    <w:rsid w:val="004B1814"/>
    <w:rsid w:val="004B21F2"/>
    <w:rsid w:val="004B2DED"/>
    <w:rsid w:val="004B356A"/>
    <w:rsid w:val="004B378D"/>
    <w:rsid w:val="004B399B"/>
    <w:rsid w:val="004B3E22"/>
    <w:rsid w:val="004B4059"/>
    <w:rsid w:val="004B4315"/>
    <w:rsid w:val="004B48C4"/>
    <w:rsid w:val="004B4B1E"/>
    <w:rsid w:val="004B51A7"/>
    <w:rsid w:val="004B51FB"/>
    <w:rsid w:val="004B57A2"/>
    <w:rsid w:val="004B61B1"/>
    <w:rsid w:val="004B6297"/>
    <w:rsid w:val="004B6458"/>
    <w:rsid w:val="004B65B4"/>
    <w:rsid w:val="004B667C"/>
    <w:rsid w:val="004B68DF"/>
    <w:rsid w:val="004B6958"/>
    <w:rsid w:val="004B6A0D"/>
    <w:rsid w:val="004B6B7E"/>
    <w:rsid w:val="004B6D9D"/>
    <w:rsid w:val="004B7370"/>
    <w:rsid w:val="004B749F"/>
    <w:rsid w:val="004B7EA8"/>
    <w:rsid w:val="004C019E"/>
    <w:rsid w:val="004C0728"/>
    <w:rsid w:val="004C0C34"/>
    <w:rsid w:val="004C11EF"/>
    <w:rsid w:val="004C14AA"/>
    <w:rsid w:val="004C1580"/>
    <w:rsid w:val="004C1A3B"/>
    <w:rsid w:val="004C222A"/>
    <w:rsid w:val="004C2434"/>
    <w:rsid w:val="004C2499"/>
    <w:rsid w:val="004C25D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A7"/>
    <w:rsid w:val="004C709D"/>
    <w:rsid w:val="004C715E"/>
    <w:rsid w:val="004C7784"/>
    <w:rsid w:val="004C7A02"/>
    <w:rsid w:val="004D099F"/>
    <w:rsid w:val="004D15BD"/>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D7B30"/>
    <w:rsid w:val="004E0A8F"/>
    <w:rsid w:val="004E0C80"/>
    <w:rsid w:val="004E0D23"/>
    <w:rsid w:val="004E0DE5"/>
    <w:rsid w:val="004E0E16"/>
    <w:rsid w:val="004E1144"/>
    <w:rsid w:val="004E125A"/>
    <w:rsid w:val="004E14A6"/>
    <w:rsid w:val="004E14F3"/>
    <w:rsid w:val="004E16AE"/>
    <w:rsid w:val="004E1A5E"/>
    <w:rsid w:val="004E204E"/>
    <w:rsid w:val="004E21D4"/>
    <w:rsid w:val="004E2486"/>
    <w:rsid w:val="004E2A54"/>
    <w:rsid w:val="004E3044"/>
    <w:rsid w:val="004E30FD"/>
    <w:rsid w:val="004E3885"/>
    <w:rsid w:val="004E38B6"/>
    <w:rsid w:val="004E43A8"/>
    <w:rsid w:val="004E4786"/>
    <w:rsid w:val="004E4813"/>
    <w:rsid w:val="004E48C7"/>
    <w:rsid w:val="004E4B9A"/>
    <w:rsid w:val="004E4E87"/>
    <w:rsid w:val="004E5273"/>
    <w:rsid w:val="004E52EB"/>
    <w:rsid w:val="004E5638"/>
    <w:rsid w:val="004E56E7"/>
    <w:rsid w:val="004E681A"/>
    <w:rsid w:val="004F10AC"/>
    <w:rsid w:val="004F1E1C"/>
    <w:rsid w:val="004F258E"/>
    <w:rsid w:val="004F25F1"/>
    <w:rsid w:val="004F2CE3"/>
    <w:rsid w:val="004F3663"/>
    <w:rsid w:val="004F38D7"/>
    <w:rsid w:val="004F3CF1"/>
    <w:rsid w:val="004F444F"/>
    <w:rsid w:val="004F466C"/>
    <w:rsid w:val="004F4BEF"/>
    <w:rsid w:val="004F4BF1"/>
    <w:rsid w:val="004F4E8D"/>
    <w:rsid w:val="004F5487"/>
    <w:rsid w:val="004F5F1A"/>
    <w:rsid w:val="004F61A3"/>
    <w:rsid w:val="004F6BCF"/>
    <w:rsid w:val="004F6D94"/>
    <w:rsid w:val="004F76E1"/>
    <w:rsid w:val="004F78FF"/>
    <w:rsid w:val="004F7D16"/>
    <w:rsid w:val="004F7D9B"/>
    <w:rsid w:val="005004EF"/>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22A"/>
    <w:rsid w:val="005103DD"/>
    <w:rsid w:val="00510798"/>
    <w:rsid w:val="005108D3"/>
    <w:rsid w:val="00510B12"/>
    <w:rsid w:val="00510EB5"/>
    <w:rsid w:val="00510FE4"/>
    <w:rsid w:val="00511765"/>
    <w:rsid w:val="005118BF"/>
    <w:rsid w:val="00511EB0"/>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7A"/>
    <w:rsid w:val="00517598"/>
    <w:rsid w:val="0051770D"/>
    <w:rsid w:val="00517806"/>
    <w:rsid w:val="00517CE2"/>
    <w:rsid w:val="005202D1"/>
    <w:rsid w:val="00520762"/>
    <w:rsid w:val="00521186"/>
    <w:rsid w:val="005211E0"/>
    <w:rsid w:val="00521EC6"/>
    <w:rsid w:val="00522317"/>
    <w:rsid w:val="00522C47"/>
    <w:rsid w:val="0052378D"/>
    <w:rsid w:val="00524193"/>
    <w:rsid w:val="00524792"/>
    <w:rsid w:val="00525136"/>
    <w:rsid w:val="005255E9"/>
    <w:rsid w:val="00525CC0"/>
    <w:rsid w:val="00525EAA"/>
    <w:rsid w:val="005267BC"/>
    <w:rsid w:val="00526FB6"/>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50C0"/>
    <w:rsid w:val="00535174"/>
    <w:rsid w:val="005357A9"/>
    <w:rsid w:val="00535D01"/>
    <w:rsid w:val="00535F84"/>
    <w:rsid w:val="0053611C"/>
    <w:rsid w:val="00536308"/>
    <w:rsid w:val="0053648F"/>
    <w:rsid w:val="00536507"/>
    <w:rsid w:val="00536773"/>
    <w:rsid w:val="0053694B"/>
    <w:rsid w:val="005369E7"/>
    <w:rsid w:val="00536C18"/>
    <w:rsid w:val="00536D5E"/>
    <w:rsid w:val="00537077"/>
    <w:rsid w:val="00537C8F"/>
    <w:rsid w:val="00540AFE"/>
    <w:rsid w:val="005412BE"/>
    <w:rsid w:val="0054134F"/>
    <w:rsid w:val="005419C7"/>
    <w:rsid w:val="005427DE"/>
    <w:rsid w:val="00542C67"/>
    <w:rsid w:val="005431B3"/>
    <w:rsid w:val="0054358C"/>
    <w:rsid w:val="00543762"/>
    <w:rsid w:val="0054388B"/>
    <w:rsid w:val="00543A0A"/>
    <w:rsid w:val="00544107"/>
    <w:rsid w:val="0054445B"/>
    <w:rsid w:val="0054447E"/>
    <w:rsid w:val="005450B1"/>
    <w:rsid w:val="005451AC"/>
    <w:rsid w:val="005457FA"/>
    <w:rsid w:val="005463A1"/>
    <w:rsid w:val="005467C8"/>
    <w:rsid w:val="00546BF4"/>
    <w:rsid w:val="00546D17"/>
    <w:rsid w:val="00546EEC"/>
    <w:rsid w:val="00547231"/>
    <w:rsid w:val="0054741E"/>
    <w:rsid w:val="00547D49"/>
    <w:rsid w:val="005501CB"/>
    <w:rsid w:val="0055028B"/>
    <w:rsid w:val="005504D5"/>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725"/>
    <w:rsid w:val="005552F2"/>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FF7"/>
    <w:rsid w:val="00563649"/>
    <w:rsid w:val="00563B5D"/>
    <w:rsid w:val="00563DC4"/>
    <w:rsid w:val="0056427D"/>
    <w:rsid w:val="005642EE"/>
    <w:rsid w:val="005647AB"/>
    <w:rsid w:val="00564B66"/>
    <w:rsid w:val="005651FB"/>
    <w:rsid w:val="005656E2"/>
    <w:rsid w:val="00565C6C"/>
    <w:rsid w:val="00565F62"/>
    <w:rsid w:val="00566102"/>
    <w:rsid w:val="005662FA"/>
    <w:rsid w:val="005667A2"/>
    <w:rsid w:val="005668F5"/>
    <w:rsid w:val="005669E8"/>
    <w:rsid w:val="00566F02"/>
    <w:rsid w:val="0056774A"/>
    <w:rsid w:val="00567AE7"/>
    <w:rsid w:val="00567AFB"/>
    <w:rsid w:val="00567F60"/>
    <w:rsid w:val="00570586"/>
    <w:rsid w:val="00570886"/>
    <w:rsid w:val="00570B52"/>
    <w:rsid w:val="00570C17"/>
    <w:rsid w:val="00570C5A"/>
    <w:rsid w:val="00570CF0"/>
    <w:rsid w:val="00570D6A"/>
    <w:rsid w:val="00571023"/>
    <w:rsid w:val="005711AE"/>
    <w:rsid w:val="00571464"/>
    <w:rsid w:val="00571B81"/>
    <w:rsid w:val="00571E7B"/>
    <w:rsid w:val="00572078"/>
    <w:rsid w:val="00572534"/>
    <w:rsid w:val="005726CB"/>
    <w:rsid w:val="00572BED"/>
    <w:rsid w:val="005731BE"/>
    <w:rsid w:val="005738B4"/>
    <w:rsid w:val="00573A8D"/>
    <w:rsid w:val="00573D00"/>
    <w:rsid w:val="00574073"/>
    <w:rsid w:val="0057437E"/>
    <w:rsid w:val="00574597"/>
    <w:rsid w:val="00574720"/>
    <w:rsid w:val="0057482E"/>
    <w:rsid w:val="00574E65"/>
    <w:rsid w:val="00574F12"/>
    <w:rsid w:val="005755DA"/>
    <w:rsid w:val="0057585D"/>
    <w:rsid w:val="00575FF3"/>
    <w:rsid w:val="0057659E"/>
    <w:rsid w:val="00576F87"/>
    <w:rsid w:val="00577113"/>
    <w:rsid w:val="0057745C"/>
    <w:rsid w:val="00577698"/>
    <w:rsid w:val="0057792F"/>
    <w:rsid w:val="00577E09"/>
    <w:rsid w:val="00577FA8"/>
    <w:rsid w:val="005800D9"/>
    <w:rsid w:val="00580E1B"/>
    <w:rsid w:val="00581132"/>
    <w:rsid w:val="005814BA"/>
    <w:rsid w:val="005818DE"/>
    <w:rsid w:val="00581A74"/>
    <w:rsid w:val="00581C2D"/>
    <w:rsid w:val="0058205B"/>
    <w:rsid w:val="005820EF"/>
    <w:rsid w:val="00582302"/>
    <w:rsid w:val="0058284F"/>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0B9C"/>
    <w:rsid w:val="00591021"/>
    <w:rsid w:val="00591141"/>
    <w:rsid w:val="00591148"/>
    <w:rsid w:val="0059121D"/>
    <w:rsid w:val="0059122B"/>
    <w:rsid w:val="00591989"/>
    <w:rsid w:val="00591F79"/>
    <w:rsid w:val="00592278"/>
    <w:rsid w:val="005924B2"/>
    <w:rsid w:val="005926BD"/>
    <w:rsid w:val="005932A8"/>
    <w:rsid w:val="00593740"/>
    <w:rsid w:val="00593B27"/>
    <w:rsid w:val="00594987"/>
    <w:rsid w:val="00594B1B"/>
    <w:rsid w:val="00594EA4"/>
    <w:rsid w:val="00594FEC"/>
    <w:rsid w:val="005955DA"/>
    <w:rsid w:val="00595893"/>
    <w:rsid w:val="00595CB2"/>
    <w:rsid w:val="00595D7D"/>
    <w:rsid w:val="00596096"/>
    <w:rsid w:val="00596DB0"/>
    <w:rsid w:val="00596DE8"/>
    <w:rsid w:val="00596E65"/>
    <w:rsid w:val="00597157"/>
    <w:rsid w:val="00597637"/>
    <w:rsid w:val="005A0059"/>
    <w:rsid w:val="005A0062"/>
    <w:rsid w:val="005A075A"/>
    <w:rsid w:val="005A0F88"/>
    <w:rsid w:val="005A10CE"/>
    <w:rsid w:val="005A1704"/>
    <w:rsid w:val="005A18F5"/>
    <w:rsid w:val="005A1961"/>
    <w:rsid w:val="005A3FBC"/>
    <w:rsid w:val="005A4805"/>
    <w:rsid w:val="005A5137"/>
    <w:rsid w:val="005A52E4"/>
    <w:rsid w:val="005A56B2"/>
    <w:rsid w:val="005A5B09"/>
    <w:rsid w:val="005A5B3F"/>
    <w:rsid w:val="005A612A"/>
    <w:rsid w:val="005A63D8"/>
    <w:rsid w:val="005A65C5"/>
    <w:rsid w:val="005A755E"/>
    <w:rsid w:val="005A76AF"/>
    <w:rsid w:val="005A7C9D"/>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485"/>
    <w:rsid w:val="005B450E"/>
    <w:rsid w:val="005B45E0"/>
    <w:rsid w:val="005B4BB1"/>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886"/>
    <w:rsid w:val="005C19E9"/>
    <w:rsid w:val="005C1DE1"/>
    <w:rsid w:val="005C2179"/>
    <w:rsid w:val="005C2374"/>
    <w:rsid w:val="005C2820"/>
    <w:rsid w:val="005C2BFA"/>
    <w:rsid w:val="005C3EBA"/>
    <w:rsid w:val="005C4E40"/>
    <w:rsid w:val="005C528E"/>
    <w:rsid w:val="005C529D"/>
    <w:rsid w:val="005C550B"/>
    <w:rsid w:val="005C5A7C"/>
    <w:rsid w:val="005C5AE6"/>
    <w:rsid w:val="005C5D27"/>
    <w:rsid w:val="005C6454"/>
    <w:rsid w:val="005C65B5"/>
    <w:rsid w:val="005C6A18"/>
    <w:rsid w:val="005C6F2D"/>
    <w:rsid w:val="005C7610"/>
    <w:rsid w:val="005C770E"/>
    <w:rsid w:val="005C7AC1"/>
    <w:rsid w:val="005C7C91"/>
    <w:rsid w:val="005C7F00"/>
    <w:rsid w:val="005D0157"/>
    <w:rsid w:val="005D01FA"/>
    <w:rsid w:val="005D20C1"/>
    <w:rsid w:val="005D26F5"/>
    <w:rsid w:val="005D3309"/>
    <w:rsid w:val="005D3804"/>
    <w:rsid w:val="005D3D91"/>
    <w:rsid w:val="005D451C"/>
    <w:rsid w:val="005D4E0D"/>
    <w:rsid w:val="005D51F5"/>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5311"/>
    <w:rsid w:val="005E5DC9"/>
    <w:rsid w:val="005E621B"/>
    <w:rsid w:val="005E64A1"/>
    <w:rsid w:val="005E6589"/>
    <w:rsid w:val="005E769F"/>
    <w:rsid w:val="005E770E"/>
    <w:rsid w:val="005E7B13"/>
    <w:rsid w:val="005E7F3F"/>
    <w:rsid w:val="005F037B"/>
    <w:rsid w:val="005F04EE"/>
    <w:rsid w:val="005F17AF"/>
    <w:rsid w:val="005F188E"/>
    <w:rsid w:val="005F1A36"/>
    <w:rsid w:val="005F267C"/>
    <w:rsid w:val="005F29B7"/>
    <w:rsid w:val="005F2B25"/>
    <w:rsid w:val="005F2B50"/>
    <w:rsid w:val="005F328A"/>
    <w:rsid w:val="005F4507"/>
    <w:rsid w:val="005F47F5"/>
    <w:rsid w:val="005F5001"/>
    <w:rsid w:val="005F569C"/>
    <w:rsid w:val="005F574C"/>
    <w:rsid w:val="005F5EE4"/>
    <w:rsid w:val="005F6191"/>
    <w:rsid w:val="005F61D4"/>
    <w:rsid w:val="005F6289"/>
    <w:rsid w:val="005F692A"/>
    <w:rsid w:val="005F7302"/>
    <w:rsid w:val="005F7576"/>
    <w:rsid w:val="005F7630"/>
    <w:rsid w:val="005F7771"/>
    <w:rsid w:val="005F7C57"/>
    <w:rsid w:val="005F7E12"/>
    <w:rsid w:val="006005E7"/>
    <w:rsid w:val="00600987"/>
    <w:rsid w:val="00600A4A"/>
    <w:rsid w:val="00600DC8"/>
    <w:rsid w:val="00601630"/>
    <w:rsid w:val="00602063"/>
    <w:rsid w:val="0060233D"/>
    <w:rsid w:val="006028C8"/>
    <w:rsid w:val="006028DF"/>
    <w:rsid w:val="00602E83"/>
    <w:rsid w:val="006031BB"/>
    <w:rsid w:val="00603687"/>
    <w:rsid w:val="006038CC"/>
    <w:rsid w:val="0060416D"/>
    <w:rsid w:val="00604332"/>
    <w:rsid w:val="006048A1"/>
    <w:rsid w:val="006049A7"/>
    <w:rsid w:val="00604EE1"/>
    <w:rsid w:val="0060513A"/>
    <w:rsid w:val="006056D4"/>
    <w:rsid w:val="00605CBF"/>
    <w:rsid w:val="00605D69"/>
    <w:rsid w:val="00605E6B"/>
    <w:rsid w:val="00606105"/>
    <w:rsid w:val="006066BD"/>
    <w:rsid w:val="006067D5"/>
    <w:rsid w:val="006073B3"/>
    <w:rsid w:val="006074B6"/>
    <w:rsid w:val="006109B2"/>
    <w:rsid w:val="00610A12"/>
    <w:rsid w:val="00610DD6"/>
    <w:rsid w:val="00611286"/>
    <w:rsid w:val="006112E5"/>
    <w:rsid w:val="0061182E"/>
    <w:rsid w:val="0061187F"/>
    <w:rsid w:val="00611AFC"/>
    <w:rsid w:val="00612318"/>
    <w:rsid w:val="006126BC"/>
    <w:rsid w:val="00612A9E"/>
    <w:rsid w:val="00612DAB"/>
    <w:rsid w:val="006130A0"/>
    <w:rsid w:val="006130D9"/>
    <w:rsid w:val="006131D7"/>
    <w:rsid w:val="00613829"/>
    <w:rsid w:val="00613AF9"/>
    <w:rsid w:val="00613F76"/>
    <w:rsid w:val="006142E8"/>
    <w:rsid w:val="00614E4B"/>
    <w:rsid w:val="00614F30"/>
    <w:rsid w:val="0061518F"/>
    <w:rsid w:val="0061557F"/>
    <w:rsid w:val="00615632"/>
    <w:rsid w:val="00615681"/>
    <w:rsid w:val="006158C7"/>
    <w:rsid w:val="00615941"/>
    <w:rsid w:val="00615EBB"/>
    <w:rsid w:val="006162E4"/>
    <w:rsid w:val="00616544"/>
    <w:rsid w:val="0061679E"/>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372B"/>
    <w:rsid w:val="006237CA"/>
    <w:rsid w:val="006239DE"/>
    <w:rsid w:val="00623FE1"/>
    <w:rsid w:val="0062427A"/>
    <w:rsid w:val="0062484B"/>
    <w:rsid w:val="00624F00"/>
    <w:rsid w:val="00625268"/>
    <w:rsid w:val="00625662"/>
    <w:rsid w:val="00625850"/>
    <w:rsid w:val="00625D0E"/>
    <w:rsid w:val="00626038"/>
    <w:rsid w:val="0062626C"/>
    <w:rsid w:val="006264BC"/>
    <w:rsid w:val="00626543"/>
    <w:rsid w:val="00626821"/>
    <w:rsid w:val="00626A8D"/>
    <w:rsid w:val="00626B40"/>
    <w:rsid w:val="00626E3F"/>
    <w:rsid w:val="006270B9"/>
    <w:rsid w:val="006272D1"/>
    <w:rsid w:val="00630040"/>
    <w:rsid w:val="0063058F"/>
    <w:rsid w:val="006305FD"/>
    <w:rsid w:val="00630B10"/>
    <w:rsid w:val="00630BE0"/>
    <w:rsid w:val="0063121A"/>
    <w:rsid w:val="0063124E"/>
    <w:rsid w:val="0063131E"/>
    <w:rsid w:val="00631CE1"/>
    <w:rsid w:val="00631E1B"/>
    <w:rsid w:val="0063208D"/>
    <w:rsid w:val="00632379"/>
    <w:rsid w:val="006341AB"/>
    <w:rsid w:val="00634ED4"/>
    <w:rsid w:val="0063539A"/>
    <w:rsid w:val="0063542C"/>
    <w:rsid w:val="006355C5"/>
    <w:rsid w:val="006356FC"/>
    <w:rsid w:val="0063616B"/>
    <w:rsid w:val="00636CF6"/>
    <w:rsid w:val="00636D31"/>
    <w:rsid w:val="0064023F"/>
    <w:rsid w:val="00640663"/>
    <w:rsid w:val="00641E0F"/>
    <w:rsid w:val="00642435"/>
    <w:rsid w:val="00642B13"/>
    <w:rsid w:val="00642E14"/>
    <w:rsid w:val="00643458"/>
    <w:rsid w:val="00643E03"/>
    <w:rsid w:val="00643FB4"/>
    <w:rsid w:val="00644112"/>
    <w:rsid w:val="0064415A"/>
    <w:rsid w:val="0064492F"/>
    <w:rsid w:val="00645172"/>
    <w:rsid w:val="00645F77"/>
    <w:rsid w:val="00646008"/>
    <w:rsid w:val="0064610A"/>
    <w:rsid w:val="0065078F"/>
    <w:rsid w:val="006507AC"/>
    <w:rsid w:val="0065091C"/>
    <w:rsid w:val="00650A22"/>
    <w:rsid w:val="0065102D"/>
    <w:rsid w:val="006511D6"/>
    <w:rsid w:val="00651476"/>
    <w:rsid w:val="00651501"/>
    <w:rsid w:val="006515E0"/>
    <w:rsid w:val="00651677"/>
    <w:rsid w:val="00652018"/>
    <w:rsid w:val="006521F5"/>
    <w:rsid w:val="00653119"/>
    <w:rsid w:val="00653279"/>
    <w:rsid w:val="0065357F"/>
    <w:rsid w:val="006536B5"/>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429"/>
    <w:rsid w:val="006634AA"/>
    <w:rsid w:val="00663AF2"/>
    <w:rsid w:val="00663C21"/>
    <w:rsid w:val="00664132"/>
    <w:rsid w:val="0066504E"/>
    <w:rsid w:val="00665991"/>
    <w:rsid w:val="006659C6"/>
    <w:rsid w:val="00665D6F"/>
    <w:rsid w:val="00665D74"/>
    <w:rsid w:val="006661B0"/>
    <w:rsid w:val="00666BD2"/>
    <w:rsid w:val="00666E7A"/>
    <w:rsid w:val="00667719"/>
    <w:rsid w:val="00667747"/>
    <w:rsid w:val="00667B69"/>
    <w:rsid w:val="00667F48"/>
    <w:rsid w:val="0067067E"/>
    <w:rsid w:val="006709BF"/>
    <w:rsid w:val="00670A01"/>
    <w:rsid w:val="00670AFB"/>
    <w:rsid w:val="00670B78"/>
    <w:rsid w:val="0067103B"/>
    <w:rsid w:val="006715F6"/>
    <w:rsid w:val="0067195E"/>
    <w:rsid w:val="00671C62"/>
    <w:rsid w:val="00672354"/>
    <w:rsid w:val="006729A0"/>
    <w:rsid w:val="00673D5A"/>
    <w:rsid w:val="00674753"/>
    <w:rsid w:val="00675125"/>
    <w:rsid w:val="0067581A"/>
    <w:rsid w:val="006758F2"/>
    <w:rsid w:val="00675AAC"/>
    <w:rsid w:val="006764EA"/>
    <w:rsid w:val="00676B7D"/>
    <w:rsid w:val="00677172"/>
    <w:rsid w:val="00680E04"/>
    <w:rsid w:val="0068117B"/>
    <w:rsid w:val="00681865"/>
    <w:rsid w:val="0068196E"/>
    <w:rsid w:val="0068210A"/>
    <w:rsid w:val="00682577"/>
    <w:rsid w:val="00682745"/>
    <w:rsid w:val="00682E07"/>
    <w:rsid w:val="0068325B"/>
    <w:rsid w:val="00683344"/>
    <w:rsid w:val="00683CC7"/>
    <w:rsid w:val="006840DD"/>
    <w:rsid w:val="006845D1"/>
    <w:rsid w:val="00684B5A"/>
    <w:rsid w:val="00684D87"/>
    <w:rsid w:val="0068525B"/>
    <w:rsid w:val="00685575"/>
    <w:rsid w:val="00685742"/>
    <w:rsid w:val="0068593A"/>
    <w:rsid w:val="00685A1C"/>
    <w:rsid w:val="00685F97"/>
    <w:rsid w:val="006861D2"/>
    <w:rsid w:val="00686687"/>
    <w:rsid w:val="00686E03"/>
    <w:rsid w:val="00687321"/>
    <w:rsid w:val="00687FBE"/>
    <w:rsid w:val="006900B2"/>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289"/>
    <w:rsid w:val="006933F0"/>
    <w:rsid w:val="00693869"/>
    <w:rsid w:val="00693929"/>
    <w:rsid w:val="00693CA2"/>
    <w:rsid w:val="006942CB"/>
    <w:rsid w:val="006944A1"/>
    <w:rsid w:val="006944B1"/>
    <w:rsid w:val="006944C5"/>
    <w:rsid w:val="00694810"/>
    <w:rsid w:val="00694986"/>
    <w:rsid w:val="00694AF6"/>
    <w:rsid w:val="00694D3E"/>
    <w:rsid w:val="00694E1D"/>
    <w:rsid w:val="00695074"/>
    <w:rsid w:val="006956E9"/>
    <w:rsid w:val="00695709"/>
    <w:rsid w:val="0069599E"/>
    <w:rsid w:val="00695E25"/>
    <w:rsid w:val="00695ECF"/>
    <w:rsid w:val="00696C8B"/>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50C"/>
    <w:rsid w:val="006A273E"/>
    <w:rsid w:val="006A2AB2"/>
    <w:rsid w:val="006A2C50"/>
    <w:rsid w:val="006A2EA2"/>
    <w:rsid w:val="006A325C"/>
    <w:rsid w:val="006A381B"/>
    <w:rsid w:val="006A4067"/>
    <w:rsid w:val="006A40F2"/>
    <w:rsid w:val="006A4267"/>
    <w:rsid w:val="006A44EC"/>
    <w:rsid w:val="006A4549"/>
    <w:rsid w:val="006A494D"/>
    <w:rsid w:val="006A4CFD"/>
    <w:rsid w:val="006A5C13"/>
    <w:rsid w:val="006A5D0E"/>
    <w:rsid w:val="006A5DCD"/>
    <w:rsid w:val="006A6190"/>
    <w:rsid w:val="006A6220"/>
    <w:rsid w:val="006A68A8"/>
    <w:rsid w:val="006A6A44"/>
    <w:rsid w:val="006A6D84"/>
    <w:rsid w:val="006A6E85"/>
    <w:rsid w:val="006A6F2F"/>
    <w:rsid w:val="006A77ED"/>
    <w:rsid w:val="006A7C7C"/>
    <w:rsid w:val="006B05C3"/>
    <w:rsid w:val="006B066F"/>
    <w:rsid w:val="006B0785"/>
    <w:rsid w:val="006B098F"/>
    <w:rsid w:val="006B0FE4"/>
    <w:rsid w:val="006B0FFF"/>
    <w:rsid w:val="006B106E"/>
    <w:rsid w:val="006B1274"/>
    <w:rsid w:val="006B19EB"/>
    <w:rsid w:val="006B1E11"/>
    <w:rsid w:val="006B1E1D"/>
    <w:rsid w:val="006B2702"/>
    <w:rsid w:val="006B2C6B"/>
    <w:rsid w:val="006B30F4"/>
    <w:rsid w:val="006B3124"/>
    <w:rsid w:val="006B3595"/>
    <w:rsid w:val="006B4047"/>
    <w:rsid w:val="006B4260"/>
    <w:rsid w:val="006B42F0"/>
    <w:rsid w:val="006B4529"/>
    <w:rsid w:val="006B4B72"/>
    <w:rsid w:val="006B5BAA"/>
    <w:rsid w:val="006B5DC5"/>
    <w:rsid w:val="006B6564"/>
    <w:rsid w:val="006B65DC"/>
    <w:rsid w:val="006B69F4"/>
    <w:rsid w:val="006B6FAD"/>
    <w:rsid w:val="006B7234"/>
    <w:rsid w:val="006C07E9"/>
    <w:rsid w:val="006C092C"/>
    <w:rsid w:val="006C0930"/>
    <w:rsid w:val="006C0B6B"/>
    <w:rsid w:val="006C0B94"/>
    <w:rsid w:val="006C12D4"/>
    <w:rsid w:val="006C1BD1"/>
    <w:rsid w:val="006C20D8"/>
    <w:rsid w:val="006C2303"/>
    <w:rsid w:val="006C234F"/>
    <w:rsid w:val="006C237D"/>
    <w:rsid w:val="006C28DB"/>
    <w:rsid w:val="006C3059"/>
    <w:rsid w:val="006C3196"/>
    <w:rsid w:val="006C3B92"/>
    <w:rsid w:val="006C3F83"/>
    <w:rsid w:val="006C432A"/>
    <w:rsid w:val="006C543E"/>
    <w:rsid w:val="006C55D0"/>
    <w:rsid w:val="006C59A7"/>
    <w:rsid w:val="006C5FF5"/>
    <w:rsid w:val="006C627D"/>
    <w:rsid w:val="006C63A9"/>
    <w:rsid w:val="006C6427"/>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B4E"/>
    <w:rsid w:val="006D5D53"/>
    <w:rsid w:val="006D611C"/>
    <w:rsid w:val="006D6F41"/>
    <w:rsid w:val="006D74C4"/>
    <w:rsid w:val="006D75BA"/>
    <w:rsid w:val="006D7693"/>
    <w:rsid w:val="006D7CC6"/>
    <w:rsid w:val="006D7F8A"/>
    <w:rsid w:val="006E0567"/>
    <w:rsid w:val="006E0DC9"/>
    <w:rsid w:val="006E1383"/>
    <w:rsid w:val="006E270A"/>
    <w:rsid w:val="006E2BEC"/>
    <w:rsid w:val="006E2FD5"/>
    <w:rsid w:val="006E335D"/>
    <w:rsid w:val="006E3473"/>
    <w:rsid w:val="006E3AD7"/>
    <w:rsid w:val="006E46C4"/>
    <w:rsid w:val="006E4AD1"/>
    <w:rsid w:val="006E4D83"/>
    <w:rsid w:val="006E4FC5"/>
    <w:rsid w:val="006E4FDB"/>
    <w:rsid w:val="006E528B"/>
    <w:rsid w:val="006E5B98"/>
    <w:rsid w:val="006E5EFB"/>
    <w:rsid w:val="006E6462"/>
    <w:rsid w:val="006E65AC"/>
    <w:rsid w:val="006E6616"/>
    <w:rsid w:val="006E74DD"/>
    <w:rsid w:val="006E762C"/>
    <w:rsid w:val="006E77DA"/>
    <w:rsid w:val="006E7A87"/>
    <w:rsid w:val="006E7FB3"/>
    <w:rsid w:val="006F0084"/>
    <w:rsid w:val="006F0798"/>
    <w:rsid w:val="006F07C5"/>
    <w:rsid w:val="006F0EEF"/>
    <w:rsid w:val="006F1260"/>
    <w:rsid w:val="006F1695"/>
    <w:rsid w:val="006F16C8"/>
    <w:rsid w:val="006F1C7A"/>
    <w:rsid w:val="006F1C89"/>
    <w:rsid w:val="006F1D25"/>
    <w:rsid w:val="006F2C6E"/>
    <w:rsid w:val="006F327F"/>
    <w:rsid w:val="006F38B3"/>
    <w:rsid w:val="006F3AC9"/>
    <w:rsid w:val="006F3D29"/>
    <w:rsid w:val="006F4258"/>
    <w:rsid w:val="006F4A00"/>
    <w:rsid w:val="006F5113"/>
    <w:rsid w:val="006F5189"/>
    <w:rsid w:val="006F55BB"/>
    <w:rsid w:val="006F5E95"/>
    <w:rsid w:val="006F606C"/>
    <w:rsid w:val="006F666E"/>
    <w:rsid w:val="006F69B6"/>
    <w:rsid w:val="006F716F"/>
    <w:rsid w:val="006F7898"/>
    <w:rsid w:val="006F79A7"/>
    <w:rsid w:val="00700294"/>
    <w:rsid w:val="00701272"/>
    <w:rsid w:val="00701F69"/>
    <w:rsid w:val="0070201A"/>
    <w:rsid w:val="0070204B"/>
    <w:rsid w:val="00702185"/>
    <w:rsid w:val="00702869"/>
    <w:rsid w:val="00702883"/>
    <w:rsid w:val="00703239"/>
    <w:rsid w:val="007034A3"/>
    <w:rsid w:val="00703D04"/>
    <w:rsid w:val="007049C6"/>
    <w:rsid w:val="0070504F"/>
    <w:rsid w:val="007054B7"/>
    <w:rsid w:val="00705BF6"/>
    <w:rsid w:val="00705F43"/>
    <w:rsid w:val="00705FD1"/>
    <w:rsid w:val="00706DFD"/>
    <w:rsid w:val="00707736"/>
    <w:rsid w:val="0071023E"/>
    <w:rsid w:val="00710A44"/>
    <w:rsid w:val="00710D2E"/>
    <w:rsid w:val="00710F0A"/>
    <w:rsid w:val="007114D0"/>
    <w:rsid w:val="00711537"/>
    <w:rsid w:val="007124B7"/>
    <w:rsid w:val="00712C77"/>
    <w:rsid w:val="00713026"/>
    <w:rsid w:val="00713315"/>
    <w:rsid w:val="0071334B"/>
    <w:rsid w:val="007133F2"/>
    <w:rsid w:val="00713CC0"/>
    <w:rsid w:val="007145DE"/>
    <w:rsid w:val="007147A6"/>
    <w:rsid w:val="00714A47"/>
    <w:rsid w:val="0071513C"/>
    <w:rsid w:val="007151F1"/>
    <w:rsid w:val="00715499"/>
    <w:rsid w:val="007157B5"/>
    <w:rsid w:val="007157F0"/>
    <w:rsid w:val="00715C7D"/>
    <w:rsid w:val="00715E81"/>
    <w:rsid w:val="007160DE"/>
    <w:rsid w:val="007166B7"/>
    <w:rsid w:val="007169AB"/>
    <w:rsid w:val="00717455"/>
    <w:rsid w:val="00717D67"/>
    <w:rsid w:val="00717F80"/>
    <w:rsid w:val="0072042C"/>
    <w:rsid w:val="00720645"/>
    <w:rsid w:val="00720CEF"/>
    <w:rsid w:val="00720E77"/>
    <w:rsid w:val="00721E8F"/>
    <w:rsid w:val="00721E93"/>
    <w:rsid w:val="00721F95"/>
    <w:rsid w:val="00721FB2"/>
    <w:rsid w:val="00722171"/>
    <w:rsid w:val="0072236C"/>
    <w:rsid w:val="00722C78"/>
    <w:rsid w:val="00722DB2"/>
    <w:rsid w:val="00723076"/>
    <w:rsid w:val="00723A4C"/>
    <w:rsid w:val="00723BB1"/>
    <w:rsid w:val="00723C97"/>
    <w:rsid w:val="00723F1A"/>
    <w:rsid w:val="0072461D"/>
    <w:rsid w:val="00724863"/>
    <w:rsid w:val="007253B8"/>
    <w:rsid w:val="007259FA"/>
    <w:rsid w:val="00725A06"/>
    <w:rsid w:val="00725ACA"/>
    <w:rsid w:val="00726014"/>
    <w:rsid w:val="00726194"/>
    <w:rsid w:val="007261A5"/>
    <w:rsid w:val="0072653F"/>
    <w:rsid w:val="007268C5"/>
    <w:rsid w:val="007268E8"/>
    <w:rsid w:val="00726956"/>
    <w:rsid w:val="00726AC8"/>
    <w:rsid w:val="00726ACD"/>
    <w:rsid w:val="00726D45"/>
    <w:rsid w:val="00726E5F"/>
    <w:rsid w:val="00727E69"/>
    <w:rsid w:val="007314B2"/>
    <w:rsid w:val="00731A8E"/>
    <w:rsid w:val="00731B0C"/>
    <w:rsid w:val="0073217F"/>
    <w:rsid w:val="0073280F"/>
    <w:rsid w:val="007335D1"/>
    <w:rsid w:val="0073370D"/>
    <w:rsid w:val="007337B1"/>
    <w:rsid w:val="007337EA"/>
    <w:rsid w:val="00733EC8"/>
    <w:rsid w:val="00733FD4"/>
    <w:rsid w:val="00734164"/>
    <w:rsid w:val="007344CC"/>
    <w:rsid w:val="0073459C"/>
    <w:rsid w:val="007350A7"/>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411D"/>
    <w:rsid w:val="0074428D"/>
    <w:rsid w:val="00744475"/>
    <w:rsid w:val="007446F9"/>
    <w:rsid w:val="007447A8"/>
    <w:rsid w:val="007448B9"/>
    <w:rsid w:val="00744A1A"/>
    <w:rsid w:val="00744B29"/>
    <w:rsid w:val="00744F4C"/>
    <w:rsid w:val="007451CA"/>
    <w:rsid w:val="0074537B"/>
    <w:rsid w:val="00745435"/>
    <w:rsid w:val="00745630"/>
    <w:rsid w:val="0074599E"/>
    <w:rsid w:val="00745FA3"/>
    <w:rsid w:val="007460BC"/>
    <w:rsid w:val="007461BA"/>
    <w:rsid w:val="007465E1"/>
    <w:rsid w:val="0074667C"/>
    <w:rsid w:val="00746F56"/>
    <w:rsid w:val="00747554"/>
    <w:rsid w:val="007479CB"/>
    <w:rsid w:val="00750605"/>
    <w:rsid w:val="00750796"/>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22F"/>
    <w:rsid w:val="007562A1"/>
    <w:rsid w:val="0075634A"/>
    <w:rsid w:val="00756564"/>
    <w:rsid w:val="00756BC1"/>
    <w:rsid w:val="00756E45"/>
    <w:rsid w:val="00757206"/>
    <w:rsid w:val="00757574"/>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72A9"/>
    <w:rsid w:val="007673A3"/>
    <w:rsid w:val="007676B7"/>
    <w:rsid w:val="00767762"/>
    <w:rsid w:val="00767C49"/>
    <w:rsid w:val="00770DF9"/>
    <w:rsid w:val="00770E21"/>
    <w:rsid w:val="00771594"/>
    <w:rsid w:val="00771727"/>
    <w:rsid w:val="007717B3"/>
    <w:rsid w:val="007726AF"/>
    <w:rsid w:val="00773323"/>
    <w:rsid w:val="007735A6"/>
    <w:rsid w:val="00773895"/>
    <w:rsid w:val="00773D89"/>
    <w:rsid w:val="00773E4B"/>
    <w:rsid w:val="00774331"/>
    <w:rsid w:val="00774553"/>
    <w:rsid w:val="00774977"/>
    <w:rsid w:val="00774EE4"/>
    <w:rsid w:val="00775193"/>
    <w:rsid w:val="00775850"/>
    <w:rsid w:val="00775B18"/>
    <w:rsid w:val="00775E64"/>
    <w:rsid w:val="0077677B"/>
    <w:rsid w:val="00776A0C"/>
    <w:rsid w:val="00777292"/>
    <w:rsid w:val="0077766D"/>
    <w:rsid w:val="007779DE"/>
    <w:rsid w:val="00777AF3"/>
    <w:rsid w:val="00777CFC"/>
    <w:rsid w:val="007802EB"/>
    <w:rsid w:val="00780561"/>
    <w:rsid w:val="00780B7B"/>
    <w:rsid w:val="00781094"/>
    <w:rsid w:val="007810EF"/>
    <w:rsid w:val="007810F7"/>
    <w:rsid w:val="0078137B"/>
    <w:rsid w:val="00781814"/>
    <w:rsid w:val="00782473"/>
    <w:rsid w:val="0078274F"/>
    <w:rsid w:val="00782D78"/>
    <w:rsid w:val="00783999"/>
    <w:rsid w:val="00783F58"/>
    <w:rsid w:val="00784500"/>
    <w:rsid w:val="00784643"/>
    <w:rsid w:val="00784849"/>
    <w:rsid w:val="00784AB9"/>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6E5"/>
    <w:rsid w:val="0079151C"/>
    <w:rsid w:val="00791A01"/>
    <w:rsid w:val="0079200E"/>
    <w:rsid w:val="00792036"/>
    <w:rsid w:val="00793209"/>
    <w:rsid w:val="0079364A"/>
    <w:rsid w:val="007947D0"/>
    <w:rsid w:val="007950B0"/>
    <w:rsid w:val="00795164"/>
    <w:rsid w:val="0079583E"/>
    <w:rsid w:val="00795C52"/>
    <w:rsid w:val="007973C4"/>
    <w:rsid w:val="00797903"/>
    <w:rsid w:val="00797AF6"/>
    <w:rsid w:val="007A0094"/>
    <w:rsid w:val="007A0FD1"/>
    <w:rsid w:val="007A12D0"/>
    <w:rsid w:val="007A134C"/>
    <w:rsid w:val="007A1D69"/>
    <w:rsid w:val="007A2874"/>
    <w:rsid w:val="007A32A4"/>
    <w:rsid w:val="007A3444"/>
    <w:rsid w:val="007A371B"/>
    <w:rsid w:val="007A37E6"/>
    <w:rsid w:val="007A38BE"/>
    <w:rsid w:val="007A4CDD"/>
    <w:rsid w:val="007A545E"/>
    <w:rsid w:val="007A5968"/>
    <w:rsid w:val="007A5AC7"/>
    <w:rsid w:val="007A5B4B"/>
    <w:rsid w:val="007A5BFF"/>
    <w:rsid w:val="007A5C95"/>
    <w:rsid w:val="007A6999"/>
    <w:rsid w:val="007A6A33"/>
    <w:rsid w:val="007A6F1D"/>
    <w:rsid w:val="007A71F2"/>
    <w:rsid w:val="007A720D"/>
    <w:rsid w:val="007A767D"/>
    <w:rsid w:val="007A78E5"/>
    <w:rsid w:val="007A7C18"/>
    <w:rsid w:val="007A7C81"/>
    <w:rsid w:val="007B0549"/>
    <w:rsid w:val="007B0F69"/>
    <w:rsid w:val="007B10B4"/>
    <w:rsid w:val="007B14B4"/>
    <w:rsid w:val="007B1D13"/>
    <w:rsid w:val="007B1F4B"/>
    <w:rsid w:val="007B20C0"/>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9F1"/>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C70"/>
    <w:rsid w:val="007D13DB"/>
    <w:rsid w:val="007D1D87"/>
    <w:rsid w:val="007D1DE2"/>
    <w:rsid w:val="007D1FCA"/>
    <w:rsid w:val="007D1FF8"/>
    <w:rsid w:val="007D33ED"/>
    <w:rsid w:val="007D3B8E"/>
    <w:rsid w:val="007D3D8D"/>
    <w:rsid w:val="007D47B3"/>
    <w:rsid w:val="007D4850"/>
    <w:rsid w:val="007D4AB3"/>
    <w:rsid w:val="007D4AF1"/>
    <w:rsid w:val="007D4C57"/>
    <w:rsid w:val="007D4FEC"/>
    <w:rsid w:val="007D5CA8"/>
    <w:rsid w:val="007D5CD9"/>
    <w:rsid w:val="007D5E54"/>
    <w:rsid w:val="007D6B32"/>
    <w:rsid w:val="007D72E1"/>
    <w:rsid w:val="007D744A"/>
    <w:rsid w:val="007D7D95"/>
    <w:rsid w:val="007E0000"/>
    <w:rsid w:val="007E0025"/>
    <w:rsid w:val="007E086C"/>
    <w:rsid w:val="007E0A23"/>
    <w:rsid w:val="007E0AA1"/>
    <w:rsid w:val="007E0BFC"/>
    <w:rsid w:val="007E0CB6"/>
    <w:rsid w:val="007E0DAD"/>
    <w:rsid w:val="007E0F0B"/>
    <w:rsid w:val="007E0FF3"/>
    <w:rsid w:val="007E1595"/>
    <w:rsid w:val="007E1723"/>
    <w:rsid w:val="007E1742"/>
    <w:rsid w:val="007E176B"/>
    <w:rsid w:val="007E1EC8"/>
    <w:rsid w:val="007E20EB"/>
    <w:rsid w:val="007E237B"/>
    <w:rsid w:val="007E260D"/>
    <w:rsid w:val="007E2B7D"/>
    <w:rsid w:val="007E2B82"/>
    <w:rsid w:val="007E2E41"/>
    <w:rsid w:val="007E3048"/>
    <w:rsid w:val="007E335B"/>
    <w:rsid w:val="007E3832"/>
    <w:rsid w:val="007E3A57"/>
    <w:rsid w:val="007E3DBC"/>
    <w:rsid w:val="007E3FA7"/>
    <w:rsid w:val="007E3FE3"/>
    <w:rsid w:val="007E49D1"/>
    <w:rsid w:val="007E4CEB"/>
    <w:rsid w:val="007E5FED"/>
    <w:rsid w:val="007E6278"/>
    <w:rsid w:val="007E708A"/>
    <w:rsid w:val="007E70C0"/>
    <w:rsid w:val="007E71FE"/>
    <w:rsid w:val="007E72FB"/>
    <w:rsid w:val="007E79F5"/>
    <w:rsid w:val="007E7C44"/>
    <w:rsid w:val="007F0A44"/>
    <w:rsid w:val="007F0CF7"/>
    <w:rsid w:val="007F0D98"/>
    <w:rsid w:val="007F0E99"/>
    <w:rsid w:val="007F1554"/>
    <w:rsid w:val="007F199E"/>
    <w:rsid w:val="007F1C02"/>
    <w:rsid w:val="007F1C1F"/>
    <w:rsid w:val="007F1C4E"/>
    <w:rsid w:val="007F1F03"/>
    <w:rsid w:val="007F2381"/>
    <w:rsid w:val="007F2AE0"/>
    <w:rsid w:val="007F2B49"/>
    <w:rsid w:val="007F34D8"/>
    <w:rsid w:val="007F3B71"/>
    <w:rsid w:val="007F5237"/>
    <w:rsid w:val="007F56F1"/>
    <w:rsid w:val="007F627E"/>
    <w:rsid w:val="007F6816"/>
    <w:rsid w:val="007F6862"/>
    <w:rsid w:val="007F6888"/>
    <w:rsid w:val="007F6990"/>
    <w:rsid w:val="007F69C5"/>
    <w:rsid w:val="007F6C86"/>
    <w:rsid w:val="007F6F80"/>
    <w:rsid w:val="007F749C"/>
    <w:rsid w:val="007F7773"/>
    <w:rsid w:val="007F7880"/>
    <w:rsid w:val="007F7898"/>
    <w:rsid w:val="007F7C82"/>
    <w:rsid w:val="007F7D4D"/>
    <w:rsid w:val="00800694"/>
    <w:rsid w:val="0080069B"/>
    <w:rsid w:val="008008A3"/>
    <w:rsid w:val="00800926"/>
    <w:rsid w:val="00800F65"/>
    <w:rsid w:val="00801056"/>
    <w:rsid w:val="008014D9"/>
    <w:rsid w:val="00801D65"/>
    <w:rsid w:val="008022BA"/>
    <w:rsid w:val="00803008"/>
    <w:rsid w:val="00803286"/>
    <w:rsid w:val="0080379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20E2"/>
    <w:rsid w:val="00812A1D"/>
    <w:rsid w:val="00812B61"/>
    <w:rsid w:val="00813462"/>
    <w:rsid w:val="00813ABA"/>
    <w:rsid w:val="00813C4E"/>
    <w:rsid w:val="0081434E"/>
    <w:rsid w:val="00814990"/>
    <w:rsid w:val="00814A59"/>
    <w:rsid w:val="00814B6F"/>
    <w:rsid w:val="00815081"/>
    <w:rsid w:val="0081551B"/>
    <w:rsid w:val="008161B9"/>
    <w:rsid w:val="00816681"/>
    <w:rsid w:val="00817568"/>
    <w:rsid w:val="00817DD4"/>
    <w:rsid w:val="008201C0"/>
    <w:rsid w:val="0082030A"/>
    <w:rsid w:val="00820331"/>
    <w:rsid w:val="008205CA"/>
    <w:rsid w:val="0082086E"/>
    <w:rsid w:val="008209B8"/>
    <w:rsid w:val="00820B6E"/>
    <w:rsid w:val="00820D29"/>
    <w:rsid w:val="00820DA1"/>
    <w:rsid w:val="00820F78"/>
    <w:rsid w:val="00820FBC"/>
    <w:rsid w:val="00821D0E"/>
    <w:rsid w:val="00821F72"/>
    <w:rsid w:val="008220CF"/>
    <w:rsid w:val="00822D29"/>
    <w:rsid w:val="0082349E"/>
    <w:rsid w:val="0082358D"/>
    <w:rsid w:val="00823606"/>
    <w:rsid w:val="008239BA"/>
    <w:rsid w:val="00823C3E"/>
    <w:rsid w:val="0082438A"/>
    <w:rsid w:val="008245AE"/>
    <w:rsid w:val="008246E9"/>
    <w:rsid w:val="00824C7C"/>
    <w:rsid w:val="00824E65"/>
    <w:rsid w:val="00825341"/>
    <w:rsid w:val="0082552A"/>
    <w:rsid w:val="00825604"/>
    <w:rsid w:val="0082596E"/>
    <w:rsid w:val="00825B71"/>
    <w:rsid w:val="00825BFB"/>
    <w:rsid w:val="00825F5B"/>
    <w:rsid w:val="008263E9"/>
    <w:rsid w:val="008272C3"/>
    <w:rsid w:val="008274D5"/>
    <w:rsid w:val="00827640"/>
    <w:rsid w:val="00827A9E"/>
    <w:rsid w:val="00830779"/>
    <w:rsid w:val="0083190E"/>
    <w:rsid w:val="00831AA6"/>
    <w:rsid w:val="0083254F"/>
    <w:rsid w:val="008326E7"/>
    <w:rsid w:val="008329CF"/>
    <w:rsid w:val="0083320A"/>
    <w:rsid w:val="0083338B"/>
    <w:rsid w:val="0083352A"/>
    <w:rsid w:val="00833683"/>
    <w:rsid w:val="00833A4C"/>
    <w:rsid w:val="00833AD6"/>
    <w:rsid w:val="00834063"/>
    <w:rsid w:val="008345B8"/>
    <w:rsid w:val="00834A6E"/>
    <w:rsid w:val="00834B34"/>
    <w:rsid w:val="008353EB"/>
    <w:rsid w:val="00835826"/>
    <w:rsid w:val="0083611E"/>
    <w:rsid w:val="00836893"/>
    <w:rsid w:val="00836945"/>
    <w:rsid w:val="00836ABB"/>
    <w:rsid w:val="00837291"/>
    <w:rsid w:val="00837525"/>
    <w:rsid w:val="00837528"/>
    <w:rsid w:val="00837FBC"/>
    <w:rsid w:val="00840138"/>
    <w:rsid w:val="008404A5"/>
    <w:rsid w:val="00840600"/>
    <w:rsid w:val="00840E75"/>
    <w:rsid w:val="0084124F"/>
    <w:rsid w:val="0084193D"/>
    <w:rsid w:val="00842938"/>
    <w:rsid w:val="00842AC8"/>
    <w:rsid w:val="0084370F"/>
    <w:rsid w:val="00843939"/>
    <w:rsid w:val="00843C20"/>
    <w:rsid w:val="00843E25"/>
    <w:rsid w:val="00844123"/>
    <w:rsid w:val="00844693"/>
    <w:rsid w:val="00844C8D"/>
    <w:rsid w:val="00844EAD"/>
    <w:rsid w:val="00845518"/>
    <w:rsid w:val="0084564F"/>
    <w:rsid w:val="0084590B"/>
    <w:rsid w:val="00845C81"/>
    <w:rsid w:val="00845EBC"/>
    <w:rsid w:val="008468D0"/>
    <w:rsid w:val="00846CAD"/>
    <w:rsid w:val="008475A1"/>
    <w:rsid w:val="00847A00"/>
    <w:rsid w:val="00851133"/>
    <w:rsid w:val="008514E0"/>
    <w:rsid w:val="00851553"/>
    <w:rsid w:val="00851AB7"/>
    <w:rsid w:val="00851FB0"/>
    <w:rsid w:val="008520A1"/>
    <w:rsid w:val="00853018"/>
    <w:rsid w:val="00854E41"/>
    <w:rsid w:val="00855673"/>
    <w:rsid w:val="00855A3F"/>
    <w:rsid w:val="00855CA1"/>
    <w:rsid w:val="008564A7"/>
    <w:rsid w:val="00857109"/>
    <w:rsid w:val="008571D6"/>
    <w:rsid w:val="00857690"/>
    <w:rsid w:val="00857791"/>
    <w:rsid w:val="00857830"/>
    <w:rsid w:val="00857A7A"/>
    <w:rsid w:val="00857ED9"/>
    <w:rsid w:val="0086014D"/>
    <w:rsid w:val="0086035C"/>
    <w:rsid w:val="00860496"/>
    <w:rsid w:val="00860577"/>
    <w:rsid w:val="00860A27"/>
    <w:rsid w:val="008610BD"/>
    <w:rsid w:val="00861174"/>
    <w:rsid w:val="00861260"/>
    <w:rsid w:val="00861346"/>
    <w:rsid w:val="00861595"/>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32F"/>
    <w:rsid w:val="00871EA5"/>
    <w:rsid w:val="008721A8"/>
    <w:rsid w:val="00872764"/>
    <w:rsid w:val="0087286F"/>
    <w:rsid w:val="00873BE1"/>
    <w:rsid w:val="00873DE4"/>
    <w:rsid w:val="008741CD"/>
    <w:rsid w:val="008743F9"/>
    <w:rsid w:val="00874412"/>
    <w:rsid w:val="0087461D"/>
    <w:rsid w:val="0087486D"/>
    <w:rsid w:val="00874B2D"/>
    <w:rsid w:val="00874DE8"/>
    <w:rsid w:val="00874FF2"/>
    <w:rsid w:val="00875208"/>
    <w:rsid w:val="00875488"/>
    <w:rsid w:val="008756AA"/>
    <w:rsid w:val="00875CDD"/>
    <w:rsid w:val="00875D0B"/>
    <w:rsid w:val="008763B6"/>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9E6"/>
    <w:rsid w:val="00882B01"/>
    <w:rsid w:val="00882D22"/>
    <w:rsid w:val="00884147"/>
    <w:rsid w:val="00884332"/>
    <w:rsid w:val="0088453D"/>
    <w:rsid w:val="00884B92"/>
    <w:rsid w:val="00884BFB"/>
    <w:rsid w:val="008850FE"/>
    <w:rsid w:val="00885126"/>
    <w:rsid w:val="00886067"/>
    <w:rsid w:val="00886EC6"/>
    <w:rsid w:val="00887418"/>
    <w:rsid w:val="00887FF2"/>
    <w:rsid w:val="008900F4"/>
    <w:rsid w:val="008902B4"/>
    <w:rsid w:val="0089031A"/>
    <w:rsid w:val="00890498"/>
    <w:rsid w:val="00890FB6"/>
    <w:rsid w:val="008910B1"/>
    <w:rsid w:val="008921F3"/>
    <w:rsid w:val="0089235E"/>
    <w:rsid w:val="00892496"/>
    <w:rsid w:val="008926A9"/>
    <w:rsid w:val="00892A62"/>
    <w:rsid w:val="00892AC4"/>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2087"/>
    <w:rsid w:val="008A254B"/>
    <w:rsid w:val="008A2560"/>
    <w:rsid w:val="008A2831"/>
    <w:rsid w:val="008A32AF"/>
    <w:rsid w:val="008A364D"/>
    <w:rsid w:val="008A3684"/>
    <w:rsid w:val="008A3DFD"/>
    <w:rsid w:val="008A4644"/>
    <w:rsid w:val="008A49CB"/>
    <w:rsid w:val="008A549E"/>
    <w:rsid w:val="008A54BD"/>
    <w:rsid w:val="008A5587"/>
    <w:rsid w:val="008A561D"/>
    <w:rsid w:val="008A5B68"/>
    <w:rsid w:val="008A5CC5"/>
    <w:rsid w:val="008A5F35"/>
    <w:rsid w:val="008A6178"/>
    <w:rsid w:val="008A6228"/>
    <w:rsid w:val="008A68BB"/>
    <w:rsid w:val="008A6D1D"/>
    <w:rsid w:val="008A75FA"/>
    <w:rsid w:val="008A7726"/>
    <w:rsid w:val="008A7D34"/>
    <w:rsid w:val="008A7F62"/>
    <w:rsid w:val="008B09BC"/>
    <w:rsid w:val="008B0ECB"/>
    <w:rsid w:val="008B0F72"/>
    <w:rsid w:val="008B1192"/>
    <w:rsid w:val="008B154A"/>
    <w:rsid w:val="008B167A"/>
    <w:rsid w:val="008B1867"/>
    <w:rsid w:val="008B19A1"/>
    <w:rsid w:val="008B21CD"/>
    <w:rsid w:val="008B21F9"/>
    <w:rsid w:val="008B34C8"/>
    <w:rsid w:val="008B397F"/>
    <w:rsid w:val="008B3AD6"/>
    <w:rsid w:val="008B3CA9"/>
    <w:rsid w:val="008B3E5B"/>
    <w:rsid w:val="008B41C5"/>
    <w:rsid w:val="008B43F9"/>
    <w:rsid w:val="008B43FA"/>
    <w:rsid w:val="008B4F42"/>
    <w:rsid w:val="008B52BF"/>
    <w:rsid w:val="008B567E"/>
    <w:rsid w:val="008B57C5"/>
    <w:rsid w:val="008B67F3"/>
    <w:rsid w:val="008B68D2"/>
    <w:rsid w:val="008B6BFE"/>
    <w:rsid w:val="008B730A"/>
    <w:rsid w:val="008B731A"/>
    <w:rsid w:val="008B7D0E"/>
    <w:rsid w:val="008B7D19"/>
    <w:rsid w:val="008B7D78"/>
    <w:rsid w:val="008B7E08"/>
    <w:rsid w:val="008C00C1"/>
    <w:rsid w:val="008C0354"/>
    <w:rsid w:val="008C04D8"/>
    <w:rsid w:val="008C0708"/>
    <w:rsid w:val="008C0A3E"/>
    <w:rsid w:val="008C12F3"/>
    <w:rsid w:val="008C1738"/>
    <w:rsid w:val="008C2355"/>
    <w:rsid w:val="008C2432"/>
    <w:rsid w:val="008C3386"/>
    <w:rsid w:val="008C33D4"/>
    <w:rsid w:val="008C35B1"/>
    <w:rsid w:val="008C3721"/>
    <w:rsid w:val="008C3B38"/>
    <w:rsid w:val="008C446C"/>
    <w:rsid w:val="008C45B4"/>
    <w:rsid w:val="008C46CA"/>
    <w:rsid w:val="008C46ED"/>
    <w:rsid w:val="008C476D"/>
    <w:rsid w:val="008C47A6"/>
    <w:rsid w:val="008C49C1"/>
    <w:rsid w:val="008C4FCB"/>
    <w:rsid w:val="008C5DBD"/>
    <w:rsid w:val="008C692F"/>
    <w:rsid w:val="008C6D13"/>
    <w:rsid w:val="008C6D55"/>
    <w:rsid w:val="008C7488"/>
    <w:rsid w:val="008C7575"/>
    <w:rsid w:val="008C7A0B"/>
    <w:rsid w:val="008D0261"/>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FCD"/>
    <w:rsid w:val="008D3036"/>
    <w:rsid w:val="008D30F1"/>
    <w:rsid w:val="008D39CF"/>
    <w:rsid w:val="008D3D5C"/>
    <w:rsid w:val="008D4583"/>
    <w:rsid w:val="008D45DA"/>
    <w:rsid w:val="008D48C1"/>
    <w:rsid w:val="008D4B16"/>
    <w:rsid w:val="008D4D3E"/>
    <w:rsid w:val="008D4FE9"/>
    <w:rsid w:val="008D53FC"/>
    <w:rsid w:val="008D5992"/>
    <w:rsid w:val="008D5BA6"/>
    <w:rsid w:val="008D6556"/>
    <w:rsid w:val="008D6D23"/>
    <w:rsid w:val="008D6D47"/>
    <w:rsid w:val="008D708B"/>
    <w:rsid w:val="008D742D"/>
    <w:rsid w:val="008D7EA1"/>
    <w:rsid w:val="008E00E0"/>
    <w:rsid w:val="008E0F2C"/>
    <w:rsid w:val="008E10F0"/>
    <w:rsid w:val="008E14FF"/>
    <w:rsid w:val="008E159F"/>
    <w:rsid w:val="008E17B2"/>
    <w:rsid w:val="008E1B21"/>
    <w:rsid w:val="008E1D26"/>
    <w:rsid w:val="008E2911"/>
    <w:rsid w:val="008E2C10"/>
    <w:rsid w:val="008E2D6B"/>
    <w:rsid w:val="008E2DFA"/>
    <w:rsid w:val="008E31BF"/>
    <w:rsid w:val="008E32C6"/>
    <w:rsid w:val="008E36A2"/>
    <w:rsid w:val="008E4E21"/>
    <w:rsid w:val="008E676E"/>
    <w:rsid w:val="008E67AB"/>
    <w:rsid w:val="008E6E10"/>
    <w:rsid w:val="008E7698"/>
    <w:rsid w:val="008E77EF"/>
    <w:rsid w:val="008E79F3"/>
    <w:rsid w:val="008E7A0E"/>
    <w:rsid w:val="008F045D"/>
    <w:rsid w:val="008F09D2"/>
    <w:rsid w:val="008F0E04"/>
    <w:rsid w:val="008F1323"/>
    <w:rsid w:val="008F1942"/>
    <w:rsid w:val="008F1B99"/>
    <w:rsid w:val="008F1DD8"/>
    <w:rsid w:val="008F1F18"/>
    <w:rsid w:val="008F227A"/>
    <w:rsid w:val="008F2448"/>
    <w:rsid w:val="008F26A8"/>
    <w:rsid w:val="008F2700"/>
    <w:rsid w:val="008F27C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50DB"/>
    <w:rsid w:val="008F557C"/>
    <w:rsid w:val="008F5597"/>
    <w:rsid w:val="008F5617"/>
    <w:rsid w:val="008F6C24"/>
    <w:rsid w:val="008F6D00"/>
    <w:rsid w:val="008F6FD3"/>
    <w:rsid w:val="008F71A4"/>
    <w:rsid w:val="008F730B"/>
    <w:rsid w:val="008F7485"/>
    <w:rsid w:val="008F7498"/>
    <w:rsid w:val="009003EE"/>
    <w:rsid w:val="0090074E"/>
    <w:rsid w:val="009007D1"/>
    <w:rsid w:val="00900DE4"/>
    <w:rsid w:val="009012E1"/>
    <w:rsid w:val="009013C8"/>
    <w:rsid w:val="00901D1F"/>
    <w:rsid w:val="00902070"/>
    <w:rsid w:val="00902896"/>
    <w:rsid w:val="00902988"/>
    <w:rsid w:val="00902AF2"/>
    <w:rsid w:val="00902BA3"/>
    <w:rsid w:val="00902C26"/>
    <w:rsid w:val="00902DCD"/>
    <w:rsid w:val="00903724"/>
    <w:rsid w:val="00903D9F"/>
    <w:rsid w:val="00903FCD"/>
    <w:rsid w:val="009040CB"/>
    <w:rsid w:val="0090426D"/>
    <w:rsid w:val="00904651"/>
    <w:rsid w:val="0090465C"/>
    <w:rsid w:val="00904E09"/>
    <w:rsid w:val="00905025"/>
    <w:rsid w:val="00905527"/>
    <w:rsid w:val="0090567D"/>
    <w:rsid w:val="00905773"/>
    <w:rsid w:val="00905877"/>
    <w:rsid w:val="009062BD"/>
    <w:rsid w:val="00906E00"/>
    <w:rsid w:val="00906E9A"/>
    <w:rsid w:val="00907868"/>
    <w:rsid w:val="009107B6"/>
    <w:rsid w:val="00910BA8"/>
    <w:rsid w:val="00910C08"/>
    <w:rsid w:val="00911530"/>
    <w:rsid w:val="009116C4"/>
    <w:rsid w:val="00911ABF"/>
    <w:rsid w:val="00911DCE"/>
    <w:rsid w:val="00911E70"/>
    <w:rsid w:val="009125B0"/>
    <w:rsid w:val="009125EF"/>
    <w:rsid w:val="00912A9C"/>
    <w:rsid w:val="00912C62"/>
    <w:rsid w:val="00912D6A"/>
    <w:rsid w:val="00913246"/>
    <w:rsid w:val="00913546"/>
    <w:rsid w:val="009140A5"/>
    <w:rsid w:val="009140F5"/>
    <w:rsid w:val="00914315"/>
    <w:rsid w:val="0091495E"/>
    <w:rsid w:val="00914971"/>
    <w:rsid w:val="00914A98"/>
    <w:rsid w:val="00914E9A"/>
    <w:rsid w:val="00914EEC"/>
    <w:rsid w:val="00915BB6"/>
    <w:rsid w:val="00915CDF"/>
    <w:rsid w:val="00915E23"/>
    <w:rsid w:val="00916952"/>
    <w:rsid w:val="00917121"/>
    <w:rsid w:val="00917682"/>
    <w:rsid w:val="00917925"/>
    <w:rsid w:val="00917A2A"/>
    <w:rsid w:val="00917BCD"/>
    <w:rsid w:val="00917BEE"/>
    <w:rsid w:val="00920FE7"/>
    <w:rsid w:val="009210B3"/>
    <w:rsid w:val="009210F3"/>
    <w:rsid w:val="00921504"/>
    <w:rsid w:val="00921514"/>
    <w:rsid w:val="00921D36"/>
    <w:rsid w:val="00921D3A"/>
    <w:rsid w:val="00922796"/>
    <w:rsid w:val="009228EF"/>
    <w:rsid w:val="00922D74"/>
    <w:rsid w:val="00922D96"/>
    <w:rsid w:val="009234F2"/>
    <w:rsid w:val="00923761"/>
    <w:rsid w:val="00923C94"/>
    <w:rsid w:val="0092413A"/>
    <w:rsid w:val="0092434B"/>
    <w:rsid w:val="00925262"/>
    <w:rsid w:val="009258E8"/>
    <w:rsid w:val="0092682F"/>
    <w:rsid w:val="009268F5"/>
    <w:rsid w:val="009270A5"/>
    <w:rsid w:val="0092740F"/>
    <w:rsid w:val="0092771A"/>
    <w:rsid w:val="00927C24"/>
    <w:rsid w:val="009305AF"/>
    <w:rsid w:val="009310F5"/>
    <w:rsid w:val="0093131E"/>
    <w:rsid w:val="009318AE"/>
    <w:rsid w:val="00932141"/>
    <w:rsid w:val="0093217F"/>
    <w:rsid w:val="00932C52"/>
    <w:rsid w:val="00932D31"/>
    <w:rsid w:val="00933052"/>
    <w:rsid w:val="00933066"/>
    <w:rsid w:val="009331CB"/>
    <w:rsid w:val="009331FC"/>
    <w:rsid w:val="00933745"/>
    <w:rsid w:val="00933989"/>
    <w:rsid w:val="00933E00"/>
    <w:rsid w:val="00934060"/>
    <w:rsid w:val="00934F4C"/>
    <w:rsid w:val="00934FBD"/>
    <w:rsid w:val="00935924"/>
    <w:rsid w:val="00935B51"/>
    <w:rsid w:val="00935CB2"/>
    <w:rsid w:val="00935FE5"/>
    <w:rsid w:val="00935FFC"/>
    <w:rsid w:val="009362F5"/>
    <w:rsid w:val="00936BB4"/>
    <w:rsid w:val="00936F51"/>
    <w:rsid w:val="009379FA"/>
    <w:rsid w:val="0094012C"/>
    <w:rsid w:val="0094026B"/>
    <w:rsid w:val="0094051A"/>
    <w:rsid w:val="00940BF2"/>
    <w:rsid w:val="0094113A"/>
    <w:rsid w:val="009417B8"/>
    <w:rsid w:val="00941C0F"/>
    <w:rsid w:val="009428B7"/>
    <w:rsid w:val="00942AE8"/>
    <w:rsid w:val="00942BE4"/>
    <w:rsid w:val="00942D2A"/>
    <w:rsid w:val="00942E57"/>
    <w:rsid w:val="009430B3"/>
    <w:rsid w:val="00943B05"/>
    <w:rsid w:val="00943C73"/>
    <w:rsid w:val="00943D88"/>
    <w:rsid w:val="00944671"/>
    <w:rsid w:val="009447D7"/>
    <w:rsid w:val="00944D45"/>
    <w:rsid w:val="00944E3C"/>
    <w:rsid w:val="0094504B"/>
    <w:rsid w:val="00945253"/>
    <w:rsid w:val="00945780"/>
    <w:rsid w:val="00945A71"/>
    <w:rsid w:val="00945B26"/>
    <w:rsid w:val="009461AE"/>
    <w:rsid w:val="00946C4A"/>
    <w:rsid w:val="00946CDD"/>
    <w:rsid w:val="00946CE7"/>
    <w:rsid w:val="009477B2"/>
    <w:rsid w:val="00947E95"/>
    <w:rsid w:val="00950009"/>
    <w:rsid w:val="0095037C"/>
    <w:rsid w:val="00950D21"/>
    <w:rsid w:val="00951245"/>
    <w:rsid w:val="00951F5E"/>
    <w:rsid w:val="0095201B"/>
    <w:rsid w:val="0095229D"/>
    <w:rsid w:val="00952992"/>
    <w:rsid w:val="00953001"/>
    <w:rsid w:val="00953223"/>
    <w:rsid w:val="00953557"/>
    <w:rsid w:val="0095454C"/>
    <w:rsid w:val="00954644"/>
    <w:rsid w:val="0095474C"/>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3CC"/>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718F"/>
    <w:rsid w:val="00967B1D"/>
    <w:rsid w:val="00967C14"/>
    <w:rsid w:val="00967C26"/>
    <w:rsid w:val="0097044B"/>
    <w:rsid w:val="00971325"/>
    <w:rsid w:val="009714A2"/>
    <w:rsid w:val="00971C27"/>
    <w:rsid w:val="00972747"/>
    <w:rsid w:val="00972951"/>
    <w:rsid w:val="00972B01"/>
    <w:rsid w:val="00972BA9"/>
    <w:rsid w:val="00972D28"/>
    <w:rsid w:val="00972D8D"/>
    <w:rsid w:val="00972FCD"/>
    <w:rsid w:val="00973982"/>
    <w:rsid w:val="009742FC"/>
    <w:rsid w:val="00974E45"/>
    <w:rsid w:val="00974F8B"/>
    <w:rsid w:val="00975398"/>
    <w:rsid w:val="0097570C"/>
    <w:rsid w:val="009757EC"/>
    <w:rsid w:val="00975E74"/>
    <w:rsid w:val="00975FA9"/>
    <w:rsid w:val="00976D44"/>
    <w:rsid w:val="00977300"/>
    <w:rsid w:val="00977C17"/>
    <w:rsid w:val="00977C45"/>
    <w:rsid w:val="0098025E"/>
    <w:rsid w:val="00980DFE"/>
    <w:rsid w:val="00980E14"/>
    <w:rsid w:val="00981C00"/>
    <w:rsid w:val="00982FC2"/>
    <w:rsid w:val="0098337B"/>
    <w:rsid w:val="00983383"/>
    <w:rsid w:val="009833A7"/>
    <w:rsid w:val="009839E3"/>
    <w:rsid w:val="00984745"/>
    <w:rsid w:val="00984B0D"/>
    <w:rsid w:val="00984CC6"/>
    <w:rsid w:val="00984F4D"/>
    <w:rsid w:val="00985DD5"/>
    <w:rsid w:val="00985E8C"/>
    <w:rsid w:val="009862EE"/>
    <w:rsid w:val="0098680F"/>
    <w:rsid w:val="00986854"/>
    <w:rsid w:val="009868B0"/>
    <w:rsid w:val="00986A18"/>
    <w:rsid w:val="00987A77"/>
    <w:rsid w:val="00990661"/>
    <w:rsid w:val="00990937"/>
    <w:rsid w:val="00990941"/>
    <w:rsid w:val="00990AF7"/>
    <w:rsid w:val="00990C13"/>
    <w:rsid w:val="0099106B"/>
    <w:rsid w:val="00991C2B"/>
    <w:rsid w:val="00991D2F"/>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E47"/>
    <w:rsid w:val="0099777E"/>
    <w:rsid w:val="009977E5"/>
    <w:rsid w:val="00997DF5"/>
    <w:rsid w:val="009A091B"/>
    <w:rsid w:val="009A0BC1"/>
    <w:rsid w:val="009A14BB"/>
    <w:rsid w:val="009A1D4B"/>
    <w:rsid w:val="009A2B0E"/>
    <w:rsid w:val="009A3673"/>
    <w:rsid w:val="009A3B12"/>
    <w:rsid w:val="009A3C9D"/>
    <w:rsid w:val="009A4488"/>
    <w:rsid w:val="009A48B2"/>
    <w:rsid w:val="009A5030"/>
    <w:rsid w:val="009A61D8"/>
    <w:rsid w:val="009A699D"/>
    <w:rsid w:val="009A6AB0"/>
    <w:rsid w:val="009A7218"/>
    <w:rsid w:val="009A73B4"/>
    <w:rsid w:val="009A7CBE"/>
    <w:rsid w:val="009A7EEC"/>
    <w:rsid w:val="009B07D5"/>
    <w:rsid w:val="009B1643"/>
    <w:rsid w:val="009B1892"/>
    <w:rsid w:val="009B1941"/>
    <w:rsid w:val="009B2211"/>
    <w:rsid w:val="009B25F7"/>
    <w:rsid w:val="009B2680"/>
    <w:rsid w:val="009B2734"/>
    <w:rsid w:val="009B29BD"/>
    <w:rsid w:val="009B2C70"/>
    <w:rsid w:val="009B2D6B"/>
    <w:rsid w:val="009B2DA5"/>
    <w:rsid w:val="009B37B1"/>
    <w:rsid w:val="009B399E"/>
    <w:rsid w:val="009B3CE1"/>
    <w:rsid w:val="009B3D49"/>
    <w:rsid w:val="009B5A0D"/>
    <w:rsid w:val="009B6147"/>
    <w:rsid w:val="009B6238"/>
    <w:rsid w:val="009B6285"/>
    <w:rsid w:val="009B67D7"/>
    <w:rsid w:val="009B6F53"/>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70"/>
    <w:rsid w:val="009C3AB3"/>
    <w:rsid w:val="009C3CCB"/>
    <w:rsid w:val="009C3CEE"/>
    <w:rsid w:val="009C3D0E"/>
    <w:rsid w:val="009C41EA"/>
    <w:rsid w:val="009C4A5B"/>
    <w:rsid w:val="009C52DE"/>
    <w:rsid w:val="009C69E7"/>
    <w:rsid w:val="009C6AD7"/>
    <w:rsid w:val="009C6F37"/>
    <w:rsid w:val="009C736F"/>
    <w:rsid w:val="009C7820"/>
    <w:rsid w:val="009D0017"/>
    <w:rsid w:val="009D043B"/>
    <w:rsid w:val="009D0541"/>
    <w:rsid w:val="009D0729"/>
    <w:rsid w:val="009D0C63"/>
    <w:rsid w:val="009D1211"/>
    <w:rsid w:val="009D13B8"/>
    <w:rsid w:val="009D1566"/>
    <w:rsid w:val="009D15EA"/>
    <w:rsid w:val="009D1679"/>
    <w:rsid w:val="009D19A4"/>
    <w:rsid w:val="009D1C85"/>
    <w:rsid w:val="009D1D31"/>
    <w:rsid w:val="009D24C1"/>
    <w:rsid w:val="009D2620"/>
    <w:rsid w:val="009D2823"/>
    <w:rsid w:val="009D28B1"/>
    <w:rsid w:val="009D294B"/>
    <w:rsid w:val="009D2E7B"/>
    <w:rsid w:val="009D2F19"/>
    <w:rsid w:val="009D31EA"/>
    <w:rsid w:val="009D4092"/>
    <w:rsid w:val="009D484C"/>
    <w:rsid w:val="009D498F"/>
    <w:rsid w:val="009D4A5B"/>
    <w:rsid w:val="009D4BE2"/>
    <w:rsid w:val="009D5384"/>
    <w:rsid w:val="009D570A"/>
    <w:rsid w:val="009D5747"/>
    <w:rsid w:val="009D5AA8"/>
    <w:rsid w:val="009D63A6"/>
    <w:rsid w:val="009D66B4"/>
    <w:rsid w:val="009D6840"/>
    <w:rsid w:val="009D6B80"/>
    <w:rsid w:val="009D6F77"/>
    <w:rsid w:val="009D7465"/>
    <w:rsid w:val="009D7492"/>
    <w:rsid w:val="009E007D"/>
    <w:rsid w:val="009E031A"/>
    <w:rsid w:val="009E0672"/>
    <w:rsid w:val="009E0AD3"/>
    <w:rsid w:val="009E0E78"/>
    <w:rsid w:val="009E1B89"/>
    <w:rsid w:val="009E220F"/>
    <w:rsid w:val="009E22A0"/>
    <w:rsid w:val="009E293A"/>
    <w:rsid w:val="009E3557"/>
    <w:rsid w:val="009E3A4C"/>
    <w:rsid w:val="009E3D24"/>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A1F"/>
    <w:rsid w:val="009F31EE"/>
    <w:rsid w:val="009F3210"/>
    <w:rsid w:val="009F3478"/>
    <w:rsid w:val="009F38FD"/>
    <w:rsid w:val="009F421C"/>
    <w:rsid w:val="009F4491"/>
    <w:rsid w:val="009F4BB0"/>
    <w:rsid w:val="009F528B"/>
    <w:rsid w:val="009F5647"/>
    <w:rsid w:val="009F59BD"/>
    <w:rsid w:val="009F5EB5"/>
    <w:rsid w:val="009F5FFC"/>
    <w:rsid w:val="009F62F9"/>
    <w:rsid w:val="009F6510"/>
    <w:rsid w:val="009F655A"/>
    <w:rsid w:val="009F6EF4"/>
    <w:rsid w:val="009F7C88"/>
    <w:rsid w:val="009F7F73"/>
    <w:rsid w:val="00A0016D"/>
    <w:rsid w:val="00A0018F"/>
    <w:rsid w:val="00A00D19"/>
    <w:rsid w:val="00A00FE8"/>
    <w:rsid w:val="00A011A3"/>
    <w:rsid w:val="00A012FF"/>
    <w:rsid w:val="00A0151A"/>
    <w:rsid w:val="00A01A6E"/>
    <w:rsid w:val="00A01A6F"/>
    <w:rsid w:val="00A01B4D"/>
    <w:rsid w:val="00A01DC7"/>
    <w:rsid w:val="00A01E04"/>
    <w:rsid w:val="00A0208C"/>
    <w:rsid w:val="00A020CC"/>
    <w:rsid w:val="00A028B0"/>
    <w:rsid w:val="00A02ABC"/>
    <w:rsid w:val="00A032C4"/>
    <w:rsid w:val="00A034BD"/>
    <w:rsid w:val="00A03EDD"/>
    <w:rsid w:val="00A043AA"/>
    <w:rsid w:val="00A046E8"/>
    <w:rsid w:val="00A0536E"/>
    <w:rsid w:val="00A069B1"/>
    <w:rsid w:val="00A06A34"/>
    <w:rsid w:val="00A06DD6"/>
    <w:rsid w:val="00A07019"/>
    <w:rsid w:val="00A07228"/>
    <w:rsid w:val="00A0728C"/>
    <w:rsid w:val="00A07483"/>
    <w:rsid w:val="00A07600"/>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96"/>
    <w:rsid w:val="00A20B8C"/>
    <w:rsid w:val="00A214B7"/>
    <w:rsid w:val="00A21AF7"/>
    <w:rsid w:val="00A22431"/>
    <w:rsid w:val="00A22646"/>
    <w:rsid w:val="00A22A63"/>
    <w:rsid w:val="00A22C96"/>
    <w:rsid w:val="00A23095"/>
    <w:rsid w:val="00A23582"/>
    <w:rsid w:val="00A2393B"/>
    <w:rsid w:val="00A23CDF"/>
    <w:rsid w:val="00A2412D"/>
    <w:rsid w:val="00A2458D"/>
    <w:rsid w:val="00A247B4"/>
    <w:rsid w:val="00A247E5"/>
    <w:rsid w:val="00A24DA7"/>
    <w:rsid w:val="00A24FE2"/>
    <w:rsid w:val="00A251BA"/>
    <w:rsid w:val="00A25530"/>
    <w:rsid w:val="00A26178"/>
    <w:rsid w:val="00A2639F"/>
    <w:rsid w:val="00A264E2"/>
    <w:rsid w:val="00A265A1"/>
    <w:rsid w:val="00A26B5B"/>
    <w:rsid w:val="00A26D30"/>
    <w:rsid w:val="00A271F0"/>
    <w:rsid w:val="00A2732F"/>
    <w:rsid w:val="00A278A7"/>
    <w:rsid w:val="00A27EAD"/>
    <w:rsid w:val="00A27F8F"/>
    <w:rsid w:val="00A304E5"/>
    <w:rsid w:val="00A30635"/>
    <w:rsid w:val="00A306E0"/>
    <w:rsid w:val="00A30894"/>
    <w:rsid w:val="00A308EA"/>
    <w:rsid w:val="00A30C74"/>
    <w:rsid w:val="00A30D1B"/>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993"/>
    <w:rsid w:val="00A36C94"/>
    <w:rsid w:val="00A36E7C"/>
    <w:rsid w:val="00A37F76"/>
    <w:rsid w:val="00A406F6"/>
    <w:rsid w:val="00A40B3C"/>
    <w:rsid w:val="00A41AF0"/>
    <w:rsid w:val="00A41ECC"/>
    <w:rsid w:val="00A42486"/>
    <w:rsid w:val="00A42FB6"/>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5B6"/>
    <w:rsid w:val="00A478A7"/>
    <w:rsid w:val="00A47C7D"/>
    <w:rsid w:val="00A47F06"/>
    <w:rsid w:val="00A5058A"/>
    <w:rsid w:val="00A50CD8"/>
    <w:rsid w:val="00A50EA4"/>
    <w:rsid w:val="00A511FA"/>
    <w:rsid w:val="00A515C6"/>
    <w:rsid w:val="00A51E3E"/>
    <w:rsid w:val="00A5210D"/>
    <w:rsid w:val="00A52CEF"/>
    <w:rsid w:val="00A52F15"/>
    <w:rsid w:val="00A53026"/>
    <w:rsid w:val="00A53330"/>
    <w:rsid w:val="00A539E4"/>
    <w:rsid w:val="00A53A4D"/>
    <w:rsid w:val="00A53D30"/>
    <w:rsid w:val="00A54034"/>
    <w:rsid w:val="00A5413C"/>
    <w:rsid w:val="00A54BB6"/>
    <w:rsid w:val="00A553BF"/>
    <w:rsid w:val="00A565BA"/>
    <w:rsid w:val="00A56BAD"/>
    <w:rsid w:val="00A57269"/>
    <w:rsid w:val="00A576B8"/>
    <w:rsid w:val="00A5778E"/>
    <w:rsid w:val="00A57DFE"/>
    <w:rsid w:val="00A607D7"/>
    <w:rsid w:val="00A6096B"/>
    <w:rsid w:val="00A61155"/>
    <w:rsid w:val="00A61206"/>
    <w:rsid w:val="00A61967"/>
    <w:rsid w:val="00A622E7"/>
    <w:rsid w:val="00A623F7"/>
    <w:rsid w:val="00A62496"/>
    <w:rsid w:val="00A62A08"/>
    <w:rsid w:val="00A62A4B"/>
    <w:rsid w:val="00A62B83"/>
    <w:rsid w:val="00A62E0A"/>
    <w:rsid w:val="00A6378D"/>
    <w:rsid w:val="00A639A4"/>
    <w:rsid w:val="00A64237"/>
    <w:rsid w:val="00A6467D"/>
    <w:rsid w:val="00A6473E"/>
    <w:rsid w:val="00A648E7"/>
    <w:rsid w:val="00A64B27"/>
    <w:rsid w:val="00A6539B"/>
    <w:rsid w:val="00A66AEE"/>
    <w:rsid w:val="00A66E1F"/>
    <w:rsid w:val="00A66F57"/>
    <w:rsid w:val="00A679CE"/>
    <w:rsid w:val="00A67AA3"/>
    <w:rsid w:val="00A67D16"/>
    <w:rsid w:val="00A67E07"/>
    <w:rsid w:val="00A70606"/>
    <w:rsid w:val="00A70C94"/>
    <w:rsid w:val="00A719CC"/>
    <w:rsid w:val="00A72276"/>
    <w:rsid w:val="00A72969"/>
    <w:rsid w:val="00A72DBD"/>
    <w:rsid w:val="00A73571"/>
    <w:rsid w:val="00A73793"/>
    <w:rsid w:val="00A7434A"/>
    <w:rsid w:val="00A7514E"/>
    <w:rsid w:val="00A751A8"/>
    <w:rsid w:val="00A75421"/>
    <w:rsid w:val="00A75543"/>
    <w:rsid w:val="00A75D1B"/>
    <w:rsid w:val="00A75F03"/>
    <w:rsid w:val="00A75F2C"/>
    <w:rsid w:val="00A760FF"/>
    <w:rsid w:val="00A76798"/>
    <w:rsid w:val="00A77D6B"/>
    <w:rsid w:val="00A77E80"/>
    <w:rsid w:val="00A77FF2"/>
    <w:rsid w:val="00A8002F"/>
    <w:rsid w:val="00A803AF"/>
    <w:rsid w:val="00A80ABA"/>
    <w:rsid w:val="00A80D21"/>
    <w:rsid w:val="00A80EC6"/>
    <w:rsid w:val="00A811B1"/>
    <w:rsid w:val="00A8127E"/>
    <w:rsid w:val="00A81BD7"/>
    <w:rsid w:val="00A81D40"/>
    <w:rsid w:val="00A82828"/>
    <w:rsid w:val="00A829CC"/>
    <w:rsid w:val="00A82A0B"/>
    <w:rsid w:val="00A82EA6"/>
    <w:rsid w:val="00A82F8D"/>
    <w:rsid w:val="00A832DB"/>
    <w:rsid w:val="00A833F5"/>
    <w:rsid w:val="00A839AE"/>
    <w:rsid w:val="00A83A78"/>
    <w:rsid w:val="00A83D4D"/>
    <w:rsid w:val="00A83FBC"/>
    <w:rsid w:val="00A8458F"/>
    <w:rsid w:val="00A84AFE"/>
    <w:rsid w:val="00A84D76"/>
    <w:rsid w:val="00A854E1"/>
    <w:rsid w:val="00A85C95"/>
    <w:rsid w:val="00A864AD"/>
    <w:rsid w:val="00A86B32"/>
    <w:rsid w:val="00A872E1"/>
    <w:rsid w:val="00A87A92"/>
    <w:rsid w:val="00A87F00"/>
    <w:rsid w:val="00A87F45"/>
    <w:rsid w:val="00A90410"/>
    <w:rsid w:val="00A905B3"/>
    <w:rsid w:val="00A90642"/>
    <w:rsid w:val="00A90D7F"/>
    <w:rsid w:val="00A90DBB"/>
    <w:rsid w:val="00A91563"/>
    <w:rsid w:val="00A91689"/>
    <w:rsid w:val="00A916FC"/>
    <w:rsid w:val="00A91A3E"/>
    <w:rsid w:val="00A91E2D"/>
    <w:rsid w:val="00A920D8"/>
    <w:rsid w:val="00A925B0"/>
    <w:rsid w:val="00A929EB"/>
    <w:rsid w:val="00A9377B"/>
    <w:rsid w:val="00A93822"/>
    <w:rsid w:val="00A93834"/>
    <w:rsid w:val="00A93E58"/>
    <w:rsid w:val="00A947B5"/>
    <w:rsid w:val="00A94911"/>
    <w:rsid w:val="00A957A7"/>
    <w:rsid w:val="00A95CFD"/>
    <w:rsid w:val="00A96104"/>
    <w:rsid w:val="00A96482"/>
    <w:rsid w:val="00A9670C"/>
    <w:rsid w:val="00A96F20"/>
    <w:rsid w:val="00A975F2"/>
    <w:rsid w:val="00A9788A"/>
    <w:rsid w:val="00A97AAA"/>
    <w:rsid w:val="00A97DAC"/>
    <w:rsid w:val="00A97E21"/>
    <w:rsid w:val="00A97EB6"/>
    <w:rsid w:val="00AA026B"/>
    <w:rsid w:val="00AA0971"/>
    <w:rsid w:val="00AA1DE5"/>
    <w:rsid w:val="00AA259D"/>
    <w:rsid w:val="00AA2A79"/>
    <w:rsid w:val="00AA2D71"/>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5D7"/>
    <w:rsid w:val="00AA69BA"/>
    <w:rsid w:val="00AA6CFA"/>
    <w:rsid w:val="00AA6E04"/>
    <w:rsid w:val="00AA6EF7"/>
    <w:rsid w:val="00AA73B4"/>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4825"/>
    <w:rsid w:val="00AB48BC"/>
    <w:rsid w:val="00AB50D2"/>
    <w:rsid w:val="00AB58B9"/>
    <w:rsid w:val="00AB58FD"/>
    <w:rsid w:val="00AB5F73"/>
    <w:rsid w:val="00AB5F9B"/>
    <w:rsid w:val="00AB60B5"/>
    <w:rsid w:val="00AB619F"/>
    <w:rsid w:val="00AB66DB"/>
    <w:rsid w:val="00AB74EC"/>
    <w:rsid w:val="00AB770E"/>
    <w:rsid w:val="00AB7A1C"/>
    <w:rsid w:val="00AC07BC"/>
    <w:rsid w:val="00AC0AE8"/>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F9"/>
    <w:rsid w:val="00AD1706"/>
    <w:rsid w:val="00AD175F"/>
    <w:rsid w:val="00AD2181"/>
    <w:rsid w:val="00AD27DE"/>
    <w:rsid w:val="00AD3007"/>
    <w:rsid w:val="00AD341B"/>
    <w:rsid w:val="00AD3951"/>
    <w:rsid w:val="00AD3FF3"/>
    <w:rsid w:val="00AD42DD"/>
    <w:rsid w:val="00AD4440"/>
    <w:rsid w:val="00AD4830"/>
    <w:rsid w:val="00AD48D5"/>
    <w:rsid w:val="00AD4ACB"/>
    <w:rsid w:val="00AD531F"/>
    <w:rsid w:val="00AD63C9"/>
    <w:rsid w:val="00AD6685"/>
    <w:rsid w:val="00AD70A6"/>
    <w:rsid w:val="00AD719E"/>
    <w:rsid w:val="00AD71C3"/>
    <w:rsid w:val="00AD735A"/>
    <w:rsid w:val="00AD7573"/>
    <w:rsid w:val="00AD78F9"/>
    <w:rsid w:val="00AD79A9"/>
    <w:rsid w:val="00AE07C2"/>
    <w:rsid w:val="00AE08A6"/>
    <w:rsid w:val="00AE08B9"/>
    <w:rsid w:val="00AE14D5"/>
    <w:rsid w:val="00AE1953"/>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FA2"/>
    <w:rsid w:val="00AE4630"/>
    <w:rsid w:val="00AE4890"/>
    <w:rsid w:val="00AE4E11"/>
    <w:rsid w:val="00AE5491"/>
    <w:rsid w:val="00AE595A"/>
    <w:rsid w:val="00AE59B3"/>
    <w:rsid w:val="00AE5F35"/>
    <w:rsid w:val="00AE5F7C"/>
    <w:rsid w:val="00AE631C"/>
    <w:rsid w:val="00AE6414"/>
    <w:rsid w:val="00AE64E8"/>
    <w:rsid w:val="00AE65F2"/>
    <w:rsid w:val="00AE66A7"/>
    <w:rsid w:val="00AE67CB"/>
    <w:rsid w:val="00AE7111"/>
    <w:rsid w:val="00AE7F8C"/>
    <w:rsid w:val="00AE7FD0"/>
    <w:rsid w:val="00AF03D0"/>
    <w:rsid w:val="00AF0934"/>
    <w:rsid w:val="00AF0B99"/>
    <w:rsid w:val="00AF0C37"/>
    <w:rsid w:val="00AF0F28"/>
    <w:rsid w:val="00AF1211"/>
    <w:rsid w:val="00AF158A"/>
    <w:rsid w:val="00AF1758"/>
    <w:rsid w:val="00AF19F7"/>
    <w:rsid w:val="00AF2A4E"/>
    <w:rsid w:val="00AF2F32"/>
    <w:rsid w:val="00AF316D"/>
    <w:rsid w:val="00AF3308"/>
    <w:rsid w:val="00AF36A6"/>
    <w:rsid w:val="00AF391A"/>
    <w:rsid w:val="00AF42B4"/>
    <w:rsid w:val="00AF445D"/>
    <w:rsid w:val="00AF4C91"/>
    <w:rsid w:val="00AF55C6"/>
    <w:rsid w:val="00AF55D9"/>
    <w:rsid w:val="00AF562D"/>
    <w:rsid w:val="00AF686A"/>
    <w:rsid w:val="00AF73D2"/>
    <w:rsid w:val="00AF7C23"/>
    <w:rsid w:val="00B000A2"/>
    <w:rsid w:val="00B00195"/>
    <w:rsid w:val="00B004EE"/>
    <w:rsid w:val="00B00657"/>
    <w:rsid w:val="00B0148C"/>
    <w:rsid w:val="00B03539"/>
    <w:rsid w:val="00B035D9"/>
    <w:rsid w:val="00B036EE"/>
    <w:rsid w:val="00B043F7"/>
    <w:rsid w:val="00B04CA5"/>
    <w:rsid w:val="00B04F5F"/>
    <w:rsid w:val="00B053B9"/>
    <w:rsid w:val="00B054F5"/>
    <w:rsid w:val="00B05688"/>
    <w:rsid w:val="00B05CFE"/>
    <w:rsid w:val="00B06058"/>
    <w:rsid w:val="00B061CD"/>
    <w:rsid w:val="00B06230"/>
    <w:rsid w:val="00B069A5"/>
    <w:rsid w:val="00B06CAE"/>
    <w:rsid w:val="00B06E56"/>
    <w:rsid w:val="00B07167"/>
    <w:rsid w:val="00B073CC"/>
    <w:rsid w:val="00B073E9"/>
    <w:rsid w:val="00B075FA"/>
    <w:rsid w:val="00B076DE"/>
    <w:rsid w:val="00B107D5"/>
    <w:rsid w:val="00B10B02"/>
    <w:rsid w:val="00B10C6A"/>
    <w:rsid w:val="00B10D1A"/>
    <w:rsid w:val="00B10F7C"/>
    <w:rsid w:val="00B10FAD"/>
    <w:rsid w:val="00B11150"/>
    <w:rsid w:val="00B111BB"/>
    <w:rsid w:val="00B1142D"/>
    <w:rsid w:val="00B1193E"/>
    <w:rsid w:val="00B12195"/>
    <w:rsid w:val="00B1224B"/>
    <w:rsid w:val="00B1239F"/>
    <w:rsid w:val="00B12813"/>
    <w:rsid w:val="00B12BE8"/>
    <w:rsid w:val="00B13107"/>
    <w:rsid w:val="00B1347D"/>
    <w:rsid w:val="00B13AE0"/>
    <w:rsid w:val="00B13D5D"/>
    <w:rsid w:val="00B1485B"/>
    <w:rsid w:val="00B149BE"/>
    <w:rsid w:val="00B14CC5"/>
    <w:rsid w:val="00B14D6D"/>
    <w:rsid w:val="00B15656"/>
    <w:rsid w:val="00B156EE"/>
    <w:rsid w:val="00B1595E"/>
    <w:rsid w:val="00B159BC"/>
    <w:rsid w:val="00B15C44"/>
    <w:rsid w:val="00B163DD"/>
    <w:rsid w:val="00B1676F"/>
    <w:rsid w:val="00B16AD1"/>
    <w:rsid w:val="00B17130"/>
    <w:rsid w:val="00B17967"/>
    <w:rsid w:val="00B17A6D"/>
    <w:rsid w:val="00B2029D"/>
    <w:rsid w:val="00B202BB"/>
    <w:rsid w:val="00B20FCC"/>
    <w:rsid w:val="00B20FD3"/>
    <w:rsid w:val="00B219D2"/>
    <w:rsid w:val="00B21D48"/>
    <w:rsid w:val="00B21E54"/>
    <w:rsid w:val="00B2217E"/>
    <w:rsid w:val="00B224CD"/>
    <w:rsid w:val="00B230C2"/>
    <w:rsid w:val="00B2313D"/>
    <w:rsid w:val="00B23297"/>
    <w:rsid w:val="00B23684"/>
    <w:rsid w:val="00B23C53"/>
    <w:rsid w:val="00B240A7"/>
    <w:rsid w:val="00B24893"/>
    <w:rsid w:val="00B2489B"/>
    <w:rsid w:val="00B24B59"/>
    <w:rsid w:val="00B24D4E"/>
    <w:rsid w:val="00B25055"/>
    <w:rsid w:val="00B252C9"/>
    <w:rsid w:val="00B25444"/>
    <w:rsid w:val="00B255BC"/>
    <w:rsid w:val="00B257A3"/>
    <w:rsid w:val="00B259B6"/>
    <w:rsid w:val="00B25B09"/>
    <w:rsid w:val="00B25BBD"/>
    <w:rsid w:val="00B25BDA"/>
    <w:rsid w:val="00B25E72"/>
    <w:rsid w:val="00B26535"/>
    <w:rsid w:val="00B26665"/>
    <w:rsid w:val="00B26CE2"/>
    <w:rsid w:val="00B26CF7"/>
    <w:rsid w:val="00B276CF"/>
    <w:rsid w:val="00B276EB"/>
    <w:rsid w:val="00B27A4D"/>
    <w:rsid w:val="00B27C8C"/>
    <w:rsid w:val="00B27FB3"/>
    <w:rsid w:val="00B3168B"/>
    <w:rsid w:val="00B31748"/>
    <w:rsid w:val="00B31A31"/>
    <w:rsid w:val="00B31D31"/>
    <w:rsid w:val="00B32323"/>
    <w:rsid w:val="00B32436"/>
    <w:rsid w:val="00B32B39"/>
    <w:rsid w:val="00B32F3F"/>
    <w:rsid w:val="00B33245"/>
    <w:rsid w:val="00B33768"/>
    <w:rsid w:val="00B33CA5"/>
    <w:rsid w:val="00B34269"/>
    <w:rsid w:val="00B355FC"/>
    <w:rsid w:val="00B35C18"/>
    <w:rsid w:val="00B35C1B"/>
    <w:rsid w:val="00B36008"/>
    <w:rsid w:val="00B360DE"/>
    <w:rsid w:val="00B361D8"/>
    <w:rsid w:val="00B36829"/>
    <w:rsid w:val="00B369CF"/>
    <w:rsid w:val="00B37A23"/>
    <w:rsid w:val="00B37C1F"/>
    <w:rsid w:val="00B37DF2"/>
    <w:rsid w:val="00B37F4F"/>
    <w:rsid w:val="00B403FA"/>
    <w:rsid w:val="00B40545"/>
    <w:rsid w:val="00B414BD"/>
    <w:rsid w:val="00B414C0"/>
    <w:rsid w:val="00B4181D"/>
    <w:rsid w:val="00B418E7"/>
    <w:rsid w:val="00B41C01"/>
    <w:rsid w:val="00B41F30"/>
    <w:rsid w:val="00B4256A"/>
    <w:rsid w:val="00B42BE1"/>
    <w:rsid w:val="00B42C9B"/>
    <w:rsid w:val="00B43090"/>
    <w:rsid w:val="00B4323C"/>
    <w:rsid w:val="00B432F5"/>
    <w:rsid w:val="00B434F6"/>
    <w:rsid w:val="00B43801"/>
    <w:rsid w:val="00B4405D"/>
    <w:rsid w:val="00B44500"/>
    <w:rsid w:val="00B448E3"/>
    <w:rsid w:val="00B449A9"/>
    <w:rsid w:val="00B44C78"/>
    <w:rsid w:val="00B44FF7"/>
    <w:rsid w:val="00B45326"/>
    <w:rsid w:val="00B45401"/>
    <w:rsid w:val="00B45805"/>
    <w:rsid w:val="00B4646D"/>
    <w:rsid w:val="00B464E8"/>
    <w:rsid w:val="00B46508"/>
    <w:rsid w:val="00B465E2"/>
    <w:rsid w:val="00B471BC"/>
    <w:rsid w:val="00B47661"/>
    <w:rsid w:val="00B47C91"/>
    <w:rsid w:val="00B47EE3"/>
    <w:rsid w:val="00B50069"/>
    <w:rsid w:val="00B50F2F"/>
    <w:rsid w:val="00B50FF2"/>
    <w:rsid w:val="00B52572"/>
    <w:rsid w:val="00B527C0"/>
    <w:rsid w:val="00B52854"/>
    <w:rsid w:val="00B5289A"/>
    <w:rsid w:val="00B528DC"/>
    <w:rsid w:val="00B52DB7"/>
    <w:rsid w:val="00B531CB"/>
    <w:rsid w:val="00B531F3"/>
    <w:rsid w:val="00B53968"/>
    <w:rsid w:val="00B53B0F"/>
    <w:rsid w:val="00B541A6"/>
    <w:rsid w:val="00B542FB"/>
    <w:rsid w:val="00B55052"/>
    <w:rsid w:val="00B555DD"/>
    <w:rsid w:val="00B55A56"/>
    <w:rsid w:val="00B55C87"/>
    <w:rsid w:val="00B55D63"/>
    <w:rsid w:val="00B56852"/>
    <w:rsid w:val="00B56C29"/>
    <w:rsid w:val="00B56C97"/>
    <w:rsid w:val="00B600FB"/>
    <w:rsid w:val="00B60550"/>
    <w:rsid w:val="00B606B9"/>
    <w:rsid w:val="00B60CF2"/>
    <w:rsid w:val="00B61024"/>
    <w:rsid w:val="00B6142C"/>
    <w:rsid w:val="00B61729"/>
    <w:rsid w:val="00B61BE8"/>
    <w:rsid w:val="00B6323C"/>
    <w:rsid w:val="00B63808"/>
    <w:rsid w:val="00B63B85"/>
    <w:rsid w:val="00B63BBD"/>
    <w:rsid w:val="00B63D2E"/>
    <w:rsid w:val="00B63D4F"/>
    <w:rsid w:val="00B644F9"/>
    <w:rsid w:val="00B64E5B"/>
    <w:rsid w:val="00B65595"/>
    <w:rsid w:val="00B65841"/>
    <w:rsid w:val="00B65855"/>
    <w:rsid w:val="00B65F3E"/>
    <w:rsid w:val="00B660A2"/>
    <w:rsid w:val="00B66183"/>
    <w:rsid w:val="00B661F4"/>
    <w:rsid w:val="00B669D9"/>
    <w:rsid w:val="00B66AE7"/>
    <w:rsid w:val="00B6757B"/>
    <w:rsid w:val="00B67D40"/>
    <w:rsid w:val="00B702ED"/>
    <w:rsid w:val="00B70A26"/>
    <w:rsid w:val="00B71490"/>
    <w:rsid w:val="00B71790"/>
    <w:rsid w:val="00B71FC1"/>
    <w:rsid w:val="00B721B9"/>
    <w:rsid w:val="00B727CD"/>
    <w:rsid w:val="00B72B87"/>
    <w:rsid w:val="00B73387"/>
    <w:rsid w:val="00B73432"/>
    <w:rsid w:val="00B73916"/>
    <w:rsid w:val="00B73A49"/>
    <w:rsid w:val="00B74014"/>
    <w:rsid w:val="00B74461"/>
    <w:rsid w:val="00B74DFA"/>
    <w:rsid w:val="00B74F3F"/>
    <w:rsid w:val="00B753F6"/>
    <w:rsid w:val="00B755CF"/>
    <w:rsid w:val="00B75913"/>
    <w:rsid w:val="00B75A2C"/>
    <w:rsid w:val="00B75C39"/>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04F"/>
    <w:rsid w:val="00B82402"/>
    <w:rsid w:val="00B82B2B"/>
    <w:rsid w:val="00B834AE"/>
    <w:rsid w:val="00B835B7"/>
    <w:rsid w:val="00B83850"/>
    <w:rsid w:val="00B84123"/>
    <w:rsid w:val="00B8419C"/>
    <w:rsid w:val="00B842B0"/>
    <w:rsid w:val="00B843FC"/>
    <w:rsid w:val="00B84507"/>
    <w:rsid w:val="00B84B07"/>
    <w:rsid w:val="00B84CE4"/>
    <w:rsid w:val="00B84EB2"/>
    <w:rsid w:val="00B852A1"/>
    <w:rsid w:val="00B852E9"/>
    <w:rsid w:val="00B85DC6"/>
    <w:rsid w:val="00B85F7F"/>
    <w:rsid w:val="00B86C83"/>
    <w:rsid w:val="00B90344"/>
    <w:rsid w:val="00B903F3"/>
    <w:rsid w:val="00B904D5"/>
    <w:rsid w:val="00B9051D"/>
    <w:rsid w:val="00B90B89"/>
    <w:rsid w:val="00B91161"/>
    <w:rsid w:val="00B91372"/>
    <w:rsid w:val="00B91507"/>
    <w:rsid w:val="00B9168E"/>
    <w:rsid w:val="00B91FF8"/>
    <w:rsid w:val="00B928B5"/>
    <w:rsid w:val="00B93231"/>
    <w:rsid w:val="00B933A2"/>
    <w:rsid w:val="00B93577"/>
    <w:rsid w:val="00B936B5"/>
    <w:rsid w:val="00B9406A"/>
    <w:rsid w:val="00B94614"/>
    <w:rsid w:val="00B948AE"/>
    <w:rsid w:val="00B94BA9"/>
    <w:rsid w:val="00B94CAA"/>
    <w:rsid w:val="00B94EB6"/>
    <w:rsid w:val="00B95374"/>
    <w:rsid w:val="00B957BE"/>
    <w:rsid w:val="00B95DF7"/>
    <w:rsid w:val="00B96199"/>
    <w:rsid w:val="00B96AA0"/>
    <w:rsid w:val="00B96EE9"/>
    <w:rsid w:val="00B97F62"/>
    <w:rsid w:val="00BA02F2"/>
    <w:rsid w:val="00BA1031"/>
    <w:rsid w:val="00BA164A"/>
    <w:rsid w:val="00BA18C6"/>
    <w:rsid w:val="00BA18FB"/>
    <w:rsid w:val="00BA1F00"/>
    <w:rsid w:val="00BA2235"/>
    <w:rsid w:val="00BA257E"/>
    <w:rsid w:val="00BA26FF"/>
    <w:rsid w:val="00BA28CB"/>
    <w:rsid w:val="00BA3043"/>
    <w:rsid w:val="00BA30B9"/>
    <w:rsid w:val="00BA31C1"/>
    <w:rsid w:val="00BA39F5"/>
    <w:rsid w:val="00BA3F6D"/>
    <w:rsid w:val="00BA4058"/>
    <w:rsid w:val="00BA4E3E"/>
    <w:rsid w:val="00BA4E4D"/>
    <w:rsid w:val="00BA540A"/>
    <w:rsid w:val="00BA55A3"/>
    <w:rsid w:val="00BA5853"/>
    <w:rsid w:val="00BA5925"/>
    <w:rsid w:val="00BA5CC7"/>
    <w:rsid w:val="00BA6081"/>
    <w:rsid w:val="00BA617E"/>
    <w:rsid w:val="00BA6812"/>
    <w:rsid w:val="00BA6A0C"/>
    <w:rsid w:val="00BA6C32"/>
    <w:rsid w:val="00BA6CBB"/>
    <w:rsid w:val="00BA6F53"/>
    <w:rsid w:val="00BA74FD"/>
    <w:rsid w:val="00BB08A5"/>
    <w:rsid w:val="00BB0EF5"/>
    <w:rsid w:val="00BB10B4"/>
    <w:rsid w:val="00BB11AB"/>
    <w:rsid w:val="00BB171E"/>
    <w:rsid w:val="00BB19D7"/>
    <w:rsid w:val="00BB2005"/>
    <w:rsid w:val="00BB20BA"/>
    <w:rsid w:val="00BB2215"/>
    <w:rsid w:val="00BB2AB0"/>
    <w:rsid w:val="00BB30C0"/>
    <w:rsid w:val="00BB3293"/>
    <w:rsid w:val="00BB333B"/>
    <w:rsid w:val="00BB38AA"/>
    <w:rsid w:val="00BB40BF"/>
    <w:rsid w:val="00BB4228"/>
    <w:rsid w:val="00BB5253"/>
    <w:rsid w:val="00BB57B7"/>
    <w:rsid w:val="00BB59CF"/>
    <w:rsid w:val="00BB5ECA"/>
    <w:rsid w:val="00BB6640"/>
    <w:rsid w:val="00BB6746"/>
    <w:rsid w:val="00BB67D3"/>
    <w:rsid w:val="00BB69FB"/>
    <w:rsid w:val="00BB6BDC"/>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C87"/>
    <w:rsid w:val="00BC30AF"/>
    <w:rsid w:val="00BC36CF"/>
    <w:rsid w:val="00BC420B"/>
    <w:rsid w:val="00BC47D5"/>
    <w:rsid w:val="00BC4D3D"/>
    <w:rsid w:val="00BC4E80"/>
    <w:rsid w:val="00BC4FAF"/>
    <w:rsid w:val="00BC5318"/>
    <w:rsid w:val="00BC55EB"/>
    <w:rsid w:val="00BC6174"/>
    <w:rsid w:val="00BC6585"/>
    <w:rsid w:val="00BC65FF"/>
    <w:rsid w:val="00BC70E3"/>
    <w:rsid w:val="00BC730C"/>
    <w:rsid w:val="00BC78B1"/>
    <w:rsid w:val="00BD0404"/>
    <w:rsid w:val="00BD06D1"/>
    <w:rsid w:val="00BD0D2E"/>
    <w:rsid w:val="00BD0D79"/>
    <w:rsid w:val="00BD11E9"/>
    <w:rsid w:val="00BD1544"/>
    <w:rsid w:val="00BD1A61"/>
    <w:rsid w:val="00BD1EC6"/>
    <w:rsid w:val="00BD1F33"/>
    <w:rsid w:val="00BD2103"/>
    <w:rsid w:val="00BD231F"/>
    <w:rsid w:val="00BD26D4"/>
    <w:rsid w:val="00BD2A87"/>
    <w:rsid w:val="00BD37EC"/>
    <w:rsid w:val="00BD3938"/>
    <w:rsid w:val="00BD41BE"/>
    <w:rsid w:val="00BD450F"/>
    <w:rsid w:val="00BD5341"/>
    <w:rsid w:val="00BD5456"/>
    <w:rsid w:val="00BD571B"/>
    <w:rsid w:val="00BD58F2"/>
    <w:rsid w:val="00BD5BE1"/>
    <w:rsid w:val="00BD5BF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BF3"/>
    <w:rsid w:val="00BE2C55"/>
    <w:rsid w:val="00BE2EBD"/>
    <w:rsid w:val="00BE32EE"/>
    <w:rsid w:val="00BE360C"/>
    <w:rsid w:val="00BE3E21"/>
    <w:rsid w:val="00BE544F"/>
    <w:rsid w:val="00BE5D1B"/>
    <w:rsid w:val="00BE655F"/>
    <w:rsid w:val="00BE6C0E"/>
    <w:rsid w:val="00BE6E8B"/>
    <w:rsid w:val="00BE6E95"/>
    <w:rsid w:val="00BE6EC9"/>
    <w:rsid w:val="00BE71D4"/>
    <w:rsid w:val="00BE7684"/>
    <w:rsid w:val="00BE77A9"/>
    <w:rsid w:val="00BF053C"/>
    <w:rsid w:val="00BF076E"/>
    <w:rsid w:val="00BF0905"/>
    <w:rsid w:val="00BF0942"/>
    <w:rsid w:val="00BF0962"/>
    <w:rsid w:val="00BF0AA8"/>
    <w:rsid w:val="00BF13A1"/>
    <w:rsid w:val="00BF13C8"/>
    <w:rsid w:val="00BF2089"/>
    <w:rsid w:val="00BF2103"/>
    <w:rsid w:val="00BF2599"/>
    <w:rsid w:val="00BF31F9"/>
    <w:rsid w:val="00BF3BCC"/>
    <w:rsid w:val="00BF45CA"/>
    <w:rsid w:val="00BF4B0F"/>
    <w:rsid w:val="00BF4E12"/>
    <w:rsid w:val="00BF4F66"/>
    <w:rsid w:val="00BF52E9"/>
    <w:rsid w:val="00BF57E7"/>
    <w:rsid w:val="00BF591D"/>
    <w:rsid w:val="00BF5D27"/>
    <w:rsid w:val="00BF5D93"/>
    <w:rsid w:val="00BF5F87"/>
    <w:rsid w:val="00BF66F3"/>
    <w:rsid w:val="00BF66F5"/>
    <w:rsid w:val="00BF6B07"/>
    <w:rsid w:val="00BF738F"/>
    <w:rsid w:val="00BF7767"/>
    <w:rsid w:val="00BF7B41"/>
    <w:rsid w:val="00BF7B8F"/>
    <w:rsid w:val="00C0007E"/>
    <w:rsid w:val="00C002E6"/>
    <w:rsid w:val="00C005AC"/>
    <w:rsid w:val="00C006B6"/>
    <w:rsid w:val="00C007C0"/>
    <w:rsid w:val="00C00AC7"/>
    <w:rsid w:val="00C0115E"/>
    <w:rsid w:val="00C011CC"/>
    <w:rsid w:val="00C01531"/>
    <w:rsid w:val="00C0169C"/>
    <w:rsid w:val="00C019BB"/>
    <w:rsid w:val="00C01BA7"/>
    <w:rsid w:val="00C0208D"/>
    <w:rsid w:val="00C0213D"/>
    <w:rsid w:val="00C02620"/>
    <w:rsid w:val="00C0301A"/>
    <w:rsid w:val="00C0367C"/>
    <w:rsid w:val="00C03C75"/>
    <w:rsid w:val="00C03D22"/>
    <w:rsid w:val="00C03D87"/>
    <w:rsid w:val="00C03F28"/>
    <w:rsid w:val="00C04514"/>
    <w:rsid w:val="00C04BED"/>
    <w:rsid w:val="00C04DFF"/>
    <w:rsid w:val="00C04F4B"/>
    <w:rsid w:val="00C053F7"/>
    <w:rsid w:val="00C0565D"/>
    <w:rsid w:val="00C05E83"/>
    <w:rsid w:val="00C06395"/>
    <w:rsid w:val="00C06A05"/>
    <w:rsid w:val="00C06A62"/>
    <w:rsid w:val="00C07371"/>
    <w:rsid w:val="00C07823"/>
    <w:rsid w:val="00C07869"/>
    <w:rsid w:val="00C079EA"/>
    <w:rsid w:val="00C07AAA"/>
    <w:rsid w:val="00C10320"/>
    <w:rsid w:val="00C107DE"/>
    <w:rsid w:val="00C108EB"/>
    <w:rsid w:val="00C10CD1"/>
    <w:rsid w:val="00C10DD8"/>
    <w:rsid w:val="00C111BA"/>
    <w:rsid w:val="00C113F1"/>
    <w:rsid w:val="00C11599"/>
    <w:rsid w:val="00C11D05"/>
    <w:rsid w:val="00C11D68"/>
    <w:rsid w:val="00C1265F"/>
    <w:rsid w:val="00C13DE4"/>
    <w:rsid w:val="00C14494"/>
    <w:rsid w:val="00C14D9B"/>
    <w:rsid w:val="00C14E45"/>
    <w:rsid w:val="00C150FB"/>
    <w:rsid w:val="00C15B39"/>
    <w:rsid w:val="00C15FEF"/>
    <w:rsid w:val="00C16799"/>
    <w:rsid w:val="00C1690C"/>
    <w:rsid w:val="00C16F03"/>
    <w:rsid w:val="00C16F2F"/>
    <w:rsid w:val="00C173C0"/>
    <w:rsid w:val="00C17A5F"/>
    <w:rsid w:val="00C17ADB"/>
    <w:rsid w:val="00C20069"/>
    <w:rsid w:val="00C201AB"/>
    <w:rsid w:val="00C20217"/>
    <w:rsid w:val="00C20C00"/>
    <w:rsid w:val="00C2101E"/>
    <w:rsid w:val="00C2106A"/>
    <w:rsid w:val="00C210D0"/>
    <w:rsid w:val="00C212A7"/>
    <w:rsid w:val="00C217FF"/>
    <w:rsid w:val="00C21AE9"/>
    <w:rsid w:val="00C21D88"/>
    <w:rsid w:val="00C22196"/>
    <w:rsid w:val="00C22262"/>
    <w:rsid w:val="00C2236E"/>
    <w:rsid w:val="00C22478"/>
    <w:rsid w:val="00C226CC"/>
    <w:rsid w:val="00C22A12"/>
    <w:rsid w:val="00C22B67"/>
    <w:rsid w:val="00C22F2A"/>
    <w:rsid w:val="00C23151"/>
    <w:rsid w:val="00C23192"/>
    <w:rsid w:val="00C23300"/>
    <w:rsid w:val="00C2359A"/>
    <w:rsid w:val="00C23CD6"/>
    <w:rsid w:val="00C23CFD"/>
    <w:rsid w:val="00C2429B"/>
    <w:rsid w:val="00C24A4C"/>
    <w:rsid w:val="00C24C3D"/>
    <w:rsid w:val="00C24D5A"/>
    <w:rsid w:val="00C24E44"/>
    <w:rsid w:val="00C251CB"/>
    <w:rsid w:val="00C25207"/>
    <w:rsid w:val="00C253D6"/>
    <w:rsid w:val="00C257EF"/>
    <w:rsid w:val="00C26644"/>
    <w:rsid w:val="00C26821"/>
    <w:rsid w:val="00C26F2B"/>
    <w:rsid w:val="00C2704F"/>
    <w:rsid w:val="00C276A9"/>
    <w:rsid w:val="00C277BA"/>
    <w:rsid w:val="00C27C56"/>
    <w:rsid w:val="00C30164"/>
    <w:rsid w:val="00C309E0"/>
    <w:rsid w:val="00C316ED"/>
    <w:rsid w:val="00C31836"/>
    <w:rsid w:val="00C31F00"/>
    <w:rsid w:val="00C32BB5"/>
    <w:rsid w:val="00C32CF8"/>
    <w:rsid w:val="00C330FF"/>
    <w:rsid w:val="00C331AC"/>
    <w:rsid w:val="00C331FD"/>
    <w:rsid w:val="00C33989"/>
    <w:rsid w:val="00C33FE7"/>
    <w:rsid w:val="00C341A0"/>
    <w:rsid w:val="00C34616"/>
    <w:rsid w:val="00C3461F"/>
    <w:rsid w:val="00C34FB1"/>
    <w:rsid w:val="00C34FD9"/>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82D"/>
    <w:rsid w:val="00C40A0B"/>
    <w:rsid w:val="00C40A79"/>
    <w:rsid w:val="00C40BEB"/>
    <w:rsid w:val="00C40DCB"/>
    <w:rsid w:val="00C414AF"/>
    <w:rsid w:val="00C41DCC"/>
    <w:rsid w:val="00C424C3"/>
    <w:rsid w:val="00C429AA"/>
    <w:rsid w:val="00C43008"/>
    <w:rsid w:val="00C4302C"/>
    <w:rsid w:val="00C43479"/>
    <w:rsid w:val="00C43D5F"/>
    <w:rsid w:val="00C43DC2"/>
    <w:rsid w:val="00C4457A"/>
    <w:rsid w:val="00C44DA0"/>
    <w:rsid w:val="00C45397"/>
    <w:rsid w:val="00C45AA0"/>
    <w:rsid w:val="00C46631"/>
    <w:rsid w:val="00C473C1"/>
    <w:rsid w:val="00C478A1"/>
    <w:rsid w:val="00C47E06"/>
    <w:rsid w:val="00C47E1D"/>
    <w:rsid w:val="00C47F3F"/>
    <w:rsid w:val="00C5000E"/>
    <w:rsid w:val="00C5009E"/>
    <w:rsid w:val="00C50331"/>
    <w:rsid w:val="00C50CCE"/>
    <w:rsid w:val="00C51D6C"/>
    <w:rsid w:val="00C51E6B"/>
    <w:rsid w:val="00C5220D"/>
    <w:rsid w:val="00C522A0"/>
    <w:rsid w:val="00C52512"/>
    <w:rsid w:val="00C5262E"/>
    <w:rsid w:val="00C52A84"/>
    <w:rsid w:val="00C52F05"/>
    <w:rsid w:val="00C53199"/>
    <w:rsid w:val="00C531C8"/>
    <w:rsid w:val="00C534FD"/>
    <w:rsid w:val="00C53FB7"/>
    <w:rsid w:val="00C54C9C"/>
    <w:rsid w:val="00C54D4E"/>
    <w:rsid w:val="00C551B2"/>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E0E"/>
    <w:rsid w:val="00C61FBE"/>
    <w:rsid w:val="00C62040"/>
    <w:rsid w:val="00C625C2"/>
    <w:rsid w:val="00C62779"/>
    <w:rsid w:val="00C63A9B"/>
    <w:rsid w:val="00C63F5C"/>
    <w:rsid w:val="00C6403F"/>
    <w:rsid w:val="00C6486E"/>
    <w:rsid w:val="00C648B9"/>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FD7"/>
    <w:rsid w:val="00C71352"/>
    <w:rsid w:val="00C71451"/>
    <w:rsid w:val="00C71F2B"/>
    <w:rsid w:val="00C71F92"/>
    <w:rsid w:val="00C72CA4"/>
    <w:rsid w:val="00C73426"/>
    <w:rsid w:val="00C735C1"/>
    <w:rsid w:val="00C73EE0"/>
    <w:rsid w:val="00C73F83"/>
    <w:rsid w:val="00C74198"/>
    <w:rsid w:val="00C74841"/>
    <w:rsid w:val="00C74C64"/>
    <w:rsid w:val="00C753DE"/>
    <w:rsid w:val="00C754AD"/>
    <w:rsid w:val="00C75A9E"/>
    <w:rsid w:val="00C75B7F"/>
    <w:rsid w:val="00C7606B"/>
    <w:rsid w:val="00C76626"/>
    <w:rsid w:val="00C766B7"/>
    <w:rsid w:val="00C76743"/>
    <w:rsid w:val="00C7689F"/>
    <w:rsid w:val="00C76DFB"/>
    <w:rsid w:val="00C771D6"/>
    <w:rsid w:val="00C772D1"/>
    <w:rsid w:val="00C77380"/>
    <w:rsid w:val="00C775A9"/>
    <w:rsid w:val="00C77B2F"/>
    <w:rsid w:val="00C77FF2"/>
    <w:rsid w:val="00C80002"/>
    <w:rsid w:val="00C80034"/>
    <w:rsid w:val="00C81378"/>
    <w:rsid w:val="00C81498"/>
    <w:rsid w:val="00C81596"/>
    <w:rsid w:val="00C81F43"/>
    <w:rsid w:val="00C8228E"/>
    <w:rsid w:val="00C83489"/>
    <w:rsid w:val="00C8361E"/>
    <w:rsid w:val="00C8378A"/>
    <w:rsid w:val="00C84437"/>
    <w:rsid w:val="00C84D6F"/>
    <w:rsid w:val="00C8585E"/>
    <w:rsid w:val="00C85ACA"/>
    <w:rsid w:val="00C85B19"/>
    <w:rsid w:val="00C86265"/>
    <w:rsid w:val="00C869B1"/>
    <w:rsid w:val="00C873A8"/>
    <w:rsid w:val="00C879C0"/>
    <w:rsid w:val="00C87BB0"/>
    <w:rsid w:val="00C9004C"/>
    <w:rsid w:val="00C904C5"/>
    <w:rsid w:val="00C9156B"/>
    <w:rsid w:val="00C91E1E"/>
    <w:rsid w:val="00C9267A"/>
    <w:rsid w:val="00C93133"/>
    <w:rsid w:val="00C9375A"/>
    <w:rsid w:val="00C937B7"/>
    <w:rsid w:val="00C939E1"/>
    <w:rsid w:val="00C93C3C"/>
    <w:rsid w:val="00C93C69"/>
    <w:rsid w:val="00C946B7"/>
    <w:rsid w:val="00C946FF"/>
    <w:rsid w:val="00C94EB5"/>
    <w:rsid w:val="00C95082"/>
    <w:rsid w:val="00C95397"/>
    <w:rsid w:val="00C95668"/>
    <w:rsid w:val="00C95780"/>
    <w:rsid w:val="00C959D1"/>
    <w:rsid w:val="00C95E48"/>
    <w:rsid w:val="00C964E2"/>
    <w:rsid w:val="00C9676F"/>
    <w:rsid w:val="00C969A6"/>
    <w:rsid w:val="00C969F1"/>
    <w:rsid w:val="00C96A5A"/>
    <w:rsid w:val="00C96B88"/>
    <w:rsid w:val="00C96CDE"/>
    <w:rsid w:val="00C96EC1"/>
    <w:rsid w:val="00C97045"/>
    <w:rsid w:val="00C971A7"/>
    <w:rsid w:val="00C976E9"/>
    <w:rsid w:val="00C97A6A"/>
    <w:rsid w:val="00C97EE3"/>
    <w:rsid w:val="00CA0851"/>
    <w:rsid w:val="00CA23C9"/>
    <w:rsid w:val="00CA2581"/>
    <w:rsid w:val="00CA2CAA"/>
    <w:rsid w:val="00CA3052"/>
    <w:rsid w:val="00CA3275"/>
    <w:rsid w:val="00CA331A"/>
    <w:rsid w:val="00CA3361"/>
    <w:rsid w:val="00CA33CC"/>
    <w:rsid w:val="00CA368D"/>
    <w:rsid w:val="00CA3853"/>
    <w:rsid w:val="00CA42E9"/>
    <w:rsid w:val="00CA4688"/>
    <w:rsid w:val="00CA547C"/>
    <w:rsid w:val="00CA5E16"/>
    <w:rsid w:val="00CA620F"/>
    <w:rsid w:val="00CA69EC"/>
    <w:rsid w:val="00CA7320"/>
    <w:rsid w:val="00CB00BB"/>
    <w:rsid w:val="00CB01BF"/>
    <w:rsid w:val="00CB0822"/>
    <w:rsid w:val="00CB0CAE"/>
    <w:rsid w:val="00CB0DEA"/>
    <w:rsid w:val="00CB13B3"/>
    <w:rsid w:val="00CB20AA"/>
    <w:rsid w:val="00CB2DBB"/>
    <w:rsid w:val="00CB35E0"/>
    <w:rsid w:val="00CB4A1C"/>
    <w:rsid w:val="00CB4FAD"/>
    <w:rsid w:val="00CB5033"/>
    <w:rsid w:val="00CB5190"/>
    <w:rsid w:val="00CB5752"/>
    <w:rsid w:val="00CB6710"/>
    <w:rsid w:val="00CB74A4"/>
    <w:rsid w:val="00CB76EB"/>
    <w:rsid w:val="00CB77C9"/>
    <w:rsid w:val="00CB7EB4"/>
    <w:rsid w:val="00CB7FA1"/>
    <w:rsid w:val="00CC0344"/>
    <w:rsid w:val="00CC0A63"/>
    <w:rsid w:val="00CC0BEB"/>
    <w:rsid w:val="00CC11BB"/>
    <w:rsid w:val="00CC1382"/>
    <w:rsid w:val="00CC2279"/>
    <w:rsid w:val="00CC29F7"/>
    <w:rsid w:val="00CC318A"/>
    <w:rsid w:val="00CC3348"/>
    <w:rsid w:val="00CC342B"/>
    <w:rsid w:val="00CC350B"/>
    <w:rsid w:val="00CC36F0"/>
    <w:rsid w:val="00CC39C8"/>
    <w:rsid w:val="00CC3AA3"/>
    <w:rsid w:val="00CC3C17"/>
    <w:rsid w:val="00CC3D55"/>
    <w:rsid w:val="00CC44EF"/>
    <w:rsid w:val="00CC4AD7"/>
    <w:rsid w:val="00CC4FB4"/>
    <w:rsid w:val="00CC513E"/>
    <w:rsid w:val="00CC57D9"/>
    <w:rsid w:val="00CC5F67"/>
    <w:rsid w:val="00CC60B2"/>
    <w:rsid w:val="00CC65C4"/>
    <w:rsid w:val="00CC68A0"/>
    <w:rsid w:val="00CC797D"/>
    <w:rsid w:val="00CC7F8F"/>
    <w:rsid w:val="00CD0014"/>
    <w:rsid w:val="00CD044A"/>
    <w:rsid w:val="00CD0552"/>
    <w:rsid w:val="00CD085B"/>
    <w:rsid w:val="00CD0888"/>
    <w:rsid w:val="00CD08D5"/>
    <w:rsid w:val="00CD0A6A"/>
    <w:rsid w:val="00CD149C"/>
    <w:rsid w:val="00CD1900"/>
    <w:rsid w:val="00CD1B81"/>
    <w:rsid w:val="00CD1D7E"/>
    <w:rsid w:val="00CD2302"/>
    <w:rsid w:val="00CD27A7"/>
    <w:rsid w:val="00CD28C0"/>
    <w:rsid w:val="00CD3779"/>
    <w:rsid w:val="00CD39EC"/>
    <w:rsid w:val="00CD47BB"/>
    <w:rsid w:val="00CD49F0"/>
    <w:rsid w:val="00CD523B"/>
    <w:rsid w:val="00CD570F"/>
    <w:rsid w:val="00CD63A9"/>
    <w:rsid w:val="00CD6468"/>
    <w:rsid w:val="00CD650A"/>
    <w:rsid w:val="00CD66C7"/>
    <w:rsid w:val="00CD6E9C"/>
    <w:rsid w:val="00CD7577"/>
    <w:rsid w:val="00CD78BE"/>
    <w:rsid w:val="00CD7AAE"/>
    <w:rsid w:val="00CD7EE6"/>
    <w:rsid w:val="00CE06CA"/>
    <w:rsid w:val="00CE0DAD"/>
    <w:rsid w:val="00CE124F"/>
    <w:rsid w:val="00CE13F5"/>
    <w:rsid w:val="00CE17DF"/>
    <w:rsid w:val="00CE18D0"/>
    <w:rsid w:val="00CE21D3"/>
    <w:rsid w:val="00CE2464"/>
    <w:rsid w:val="00CE2811"/>
    <w:rsid w:val="00CE2926"/>
    <w:rsid w:val="00CE2FB4"/>
    <w:rsid w:val="00CE339D"/>
    <w:rsid w:val="00CE3702"/>
    <w:rsid w:val="00CE39D0"/>
    <w:rsid w:val="00CE4322"/>
    <w:rsid w:val="00CE4650"/>
    <w:rsid w:val="00CE47D0"/>
    <w:rsid w:val="00CE48C4"/>
    <w:rsid w:val="00CE4A6B"/>
    <w:rsid w:val="00CE5AF0"/>
    <w:rsid w:val="00CE5B36"/>
    <w:rsid w:val="00CE6166"/>
    <w:rsid w:val="00CE6349"/>
    <w:rsid w:val="00CE6862"/>
    <w:rsid w:val="00CE6EEE"/>
    <w:rsid w:val="00CE7D5E"/>
    <w:rsid w:val="00CF0095"/>
    <w:rsid w:val="00CF01F8"/>
    <w:rsid w:val="00CF0304"/>
    <w:rsid w:val="00CF093F"/>
    <w:rsid w:val="00CF0DF5"/>
    <w:rsid w:val="00CF1164"/>
    <w:rsid w:val="00CF1526"/>
    <w:rsid w:val="00CF16B2"/>
    <w:rsid w:val="00CF1999"/>
    <w:rsid w:val="00CF21E9"/>
    <w:rsid w:val="00CF229D"/>
    <w:rsid w:val="00CF23EC"/>
    <w:rsid w:val="00CF2861"/>
    <w:rsid w:val="00CF291C"/>
    <w:rsid w:val="00CF2E09"/>
    <w:rsid w:val="00CF30A7"/>
    <w:rsid w:val="00CF333F"/>
    <w:rsid w:val="00CF3735"/>
    <w:rsid w:val="00CF3C43"/>
    <w:rsid w:val="00CF3C55"/>
    <w:rsid w:val="00CF42D6"/>
    <w:rsid w:val="00CF496A"/>
    <w:rsid w:val="00CF4CFC"/>
    <w:rsid w:val="00CF5DFF"/>
    <w:rsid w:val="00CF5E7C"/>
    <w:rsid w:val="00CF60C0"/>
    <w:rsid w:val="00CF6178"/>
    <w:rsid w:val="00CF6A28"/>
    <w:rsid w:val="00CF6B7D"/>
    <w:rsid w:val="00CF6C79"/>
    <w:rsid w:val="00CF71A6"/>
    <w:rsid w:val="00CF7265"/>
    <w:rsid w:val="00CF7790"/>
    <w:rsid w:val="00D007E7"/>
    <w:rsid w:val="00D00F6A"/>
    <w:rsid w:val="00D01377"/>
    <w:rsid w:val="00D0182B"/>
    <w:rsid w:val="00D01B62"/>
    <w:rsid w:val="00D01DF0"/>
    <w:rsid w:val="00D021EB"/>
    <w:rsid w:val="00D0234B"/>
    <w:rsid w:val="00D023AF"/>
    <w:rsid w:val="00D03401"/>
    <w:rsid w:val="00D035ED"/>
    <w:rsid w:val="00D0414F"/>
    <w:rsid w:val="00D0421C"/>
    <w:rsid w:val="00D04A41"/>
    <w:rsid w:val="00D052D4"/>
    <w:rsid w:val="00D0579C"/>
    <w:rsid w:val="00D061CA"/>
    <w:rsid w:val="00D06502"/>
    <w:rsid w:val="00D066E5"/>
    <w:rsid w:val="00D06AC5"/>
    <w:rsid w:val="00D06BA2"/>
    <w:rsid w:val="00D0752C"/>
    <w:rsid w:val="00D07734"/>
    <w:rsid w:val="00D07791"/>
    <w:rsid w:val="00D077D3"/>
    <w:rsid w:val="00D079FE"/>
    <w:rsid w:val="00D07C28"/>
    <w:rsid w:val="00D07D84"/>
    <w:rsid w:val="00D10829"/>
    <w:rsid w:val="00D10F5A"/>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18B"/>
    <w:rsid w:val="00D1660B"/>
    <w:rsid w:val="00D17274"/>
    <w:rsid w:val="00D205D8"/>
    <w:rsid w:val="00D210A3"/>
    <w:rsid w:val="00D21833"/>
    <w:rsid w:val="00D21B12"/>
    <w:rsid w:val="00D21B30"/>
    <w:rsid w:val="00D21C39"/>
    <w:rsid w:val="00D21DE8"/>
    <w:rsid w:val="00D227A2"/>
    <w:rsid w:val="00D22C03"/>
    <w:rsid w:val="00D23310"/>
    <w:rsid w:val="00D23AF2"/>
    <w:rsid w:val="00D241E5"/>
    <w:rsid w:val="00D24C4E"/>
    <w:rsid w:val="00D25BDE"/>
    <w:rsid w:val="00D25FF8"/>
    <w:rsid w:val="00D26410"/>
    <w:rsid w:val="00D269AA"/>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284"/>
    <w:rsid w:val="00D3743B"/>
    <w:rsid w:val="00D3749B"/>
    <w:rsid w:val="00D37C09"/>
    <w:rsid w:val="00D40094"/>
    <w:rsid w:val="00D400F5"/>
    <w:rsid w:val="00D401B0"/>
    <w:rsid w:val="00D40246"/>
    <w:rsid w:val="00D40DAB"/>
    <w:rsid w:val="00D40E15"/>
    <w:rsid w:val="00D41361"/>
    <w:rsid w:val="00D415B2"/>
    <w:rsid w:val="00D41BBA"/>
    <w:rsid w:val="00D42049"/>
    <w:rsid w:val="00D422A1"/>
    <w:rsid w:val="00D42366"/>
    <w:rsid w:val="00D42DFE"/>
    <w:rsid w:val="00D42E17"/>
    <w:rsid w:val="00D42F04"/>
    <w:rsid w:val="00D42F9A"/>
    <w:rsid w:val="00D43177"/>
    <w:rsid w:val="00D4364C"/>
    <w:rsid w:val="00D440A7"/>
    <w:rsid w:val="00D44248"/>
    <w:rsid w:val="00D44669"/>
    <w:rsid w:val="00D4471E"/>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11EF"/>
    <w:rsid w:val="00D512DA"/>
    <w:rsid w:val="00D51905"/>
    <w:rsid w:val="00D51FD3"/>
    <w:rsid w:val="00D52124"/>
    <w:rsid w:val="00D5221D"/>
    <w:rsid w:val="00D5225E"/>
    <w:rsid w:val="00D52727"/>
    <w:rsid w:val="00D52872"/>
    <w:rsid w:val="00D52A45"/>
    <w:rsid w:val="00D52CFD"/>
    <w:rsid w:val="00D52D34"/>
    <w:rsid w:val="00D52E1C"/>
    <w:rsid w:val="00D532A6"/>
    <w:rsid w:val="00D5392B"/>
    <w:rsid w:val="00D53A73"/>
    <w:rsid w:val="00D53F3B"/>
    <w:rsid w:val="00D53F5D"/>
    <w:rsid w:val="00D54220"/>
    <w:rsid w:val="00D54888"/>
    <w:rsid w:val="00D54904"/>
    <w:rsid w:val="00D55197"/>
    <w:rsid w:val="00D55445"/>
    <w:rsid w:val="00D557B7"/>
    <w:rsid w:val="00D5588C"/>
    <w:rsid w:val="00D5599D"/>
    <w:rsid w:val="00D55FFD"/>
    <w:rsid w:val="00D56DFC"/>
    <w:rsid w:val="00D56F26"/>
    <w:rsid w:val="00D57183"/>
    <w:rsid w:val="00D573DF"/>
    <w:rsid w:val="00D575D7"/>
    <w:rsid w:val="00D57D7A"/>
    <w:rsid w:val="00D57FD5"/>
    <w:rsid w:val="00D60259"/>
    <w:rsid w:val="00D60327"/>
    <w:rsid w:val="00D6097A"/>
    <w:rsid w:val="00D61334"/>
    <w:rsid w:val="00D615BA"/>
    <w:rsid w:val="00D61785"/>
    <w:rsid w:val="00D62BC2"/>
    <w:rsid w:val="00D62BE3"/>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7E"/>
    <w:rsid w:val="00D73A9F"/>
    <w:rsid w:val="00D74033"/>
    <w:rsid w:val="00D7490B"/>
    <w:rsid w:val="00D74CD1"/>
    <w:rsid w:val="00D754F8"/>
    <w:rsid w:val="00D75E1F"/>
    <w:rsid w:val="00D75E9D"/>
    <w:rsid w:val="00D75EB3"/>
    <w:rsid w:val="00D75F53"/>
    <w:rsid w:val="00D7614D"/>
    <w:rsid w:val="00D76247"/>
    <w:rsid w:val="00D76760"/>
    <w:rsid w:val="00D76A55"/>
    <w:rsid w:val="00D77F48"/>
    <w:rsid w:val="00D8043B"/>
    <w:rsid w:val="00D804E1"/>
    <w:rsid w:val="00D80B46"/>
    <w:rsid w:val="00D81349"/>
    <w:rsid w:val="00D81367"/>
    <w:rsid w:val="00D81AAC"/>
    <w:rsid w:val="00D827E0"/>
    <w:rsid w:val="00D82A7D"/>
    <w:rsid w:val="00D83504"/>
    <w:rsid w:val="00D83763"/>
    <w:rsid w:val="00D8453C"/>
    <w:rsid w:val="00D852B4"/>
    <w:rsid w:val="00D8549D"/>
    <w:rsid w:val="00D858E3"/>
    <w:rsid w:val="00D85E92"/>
    <w:rsid w:val="00D86C32"/>
    <w:rsid w:val="00D874C4"/>
    <w:rsid w:val="00D877F3"/>
    <w:rsid w:val="00D87DF6"/>
    <w:rsid w:val="00D90737"/>
    <w:rsid w:val="00D90BEF"/>
    <w:rsid w:val="00D91002"/>
    <w:rsid w:val="00D91FA5"/>
    <w:rsid w:val="00D92943"/>
    <w:rsid w:val="00D92A8A"/>
    <w:rsid w:val="00D92AB8"/>
    <w:rsid w:val="00D933A4"/>
    <w:rsid w:val="00D93D25"/>
    <w:rsid w:val="00D94188"/>
    <w:rsid w:val="00D94846"/>
    <w:rsid w:val="00D94EF4"/>
    <w:rsid w:val="00D95004"/>
    <w:rsid w:val="00D95370"/>
    <w:rsid w:val="00D95D20"/>
    <w:rsid w:val="00D9658D"/>
    <w:rsid w:val="00D96E25"/>
    <w:rsid w:val="00D96FEA"/>
    <w:rsid w:val="00D97911"/>
    <w:rsid w:val="00D97A11"/>
    <w:rsid w:val="00D97E6C"/>
    <w:rsid w:val="00DA0168"/>
    <w:rsid w:val="00DA040F"/>
    <w:rsid w:val="00DA0797"/>
    <w:rsid w:val="00DA0B2A"/>
    <w:rsid w:val="00DA0C12"/>
    <w:rsid w:val="00DA10B7"/>
    <w:rsid w:val="00DA1CA8"/>
    <w:rsid w:val="00DA2213"/>
    <w:rsid w:val="00DA28DB"/>
    <w:rsid w:val="00DA29A1"/>
    <w:rsid w:val="00DA2E82"/>
    <w:rsid w:val="00DA35F8"/>
    <w:rsid w:val="00DA3D72"/>
    <w:rsid w:val="00DA447B"/>
    <w:rsid w:val="00DA46E8"/>
    <w:rsid w:val="00DA5C42"/>
    <w:rsid w:val="00DA61F9"/>
    <w:rsid w:val="00DA66CF"/>
    <w:rsid w:val="00DA76A5"/>
    <w:rsid w:val="00DA7C98"/>
    <w:rsid w:val="00DA7FFD"/>
    <w:rsid w:val="00DB040F"/>
    <w:rsid w:val="00DB134A"/>
    <w:rsid w:val="00DB18E8"/>
    <w:rsid w:val="00DB1A45"/>
    <w:rsid w:val="00DB1EC3"/>
    <w:rsid w:val="00DB2302"/>
    <w:rsid w:val="00DB2544"/>
    <w:rsid w:val="00DB2984"/>
    <w:rsid w:val="00DB3015"/>
    <w:rsid w:val="00DB39D6"/>
    <w:rsid w:val="00DB41BC"/>
    <w:rsid w:val="00DB43A4"/>
    <w:rsid w:val="00DB4439"/>
    <w:rsid w:val="00DB48CD"/>
    <w:rsid w:val="00DB50C8"/>
    <w:rsid w:val="00DB5477"/>
    <w:rsid w:val="00DB553A"/>
    <w:rsid w:val="00DB578F"/>
    <w:rsid w:val="00DB5810"/>
    <w:rsid w:val="00DB5C84"/>
    <w:rsid w:val="00DB5FAA"/>
    <w:rsid w:val="00DB6B15"/>
    <w:rsid w:val="00DB6BD2"/>
    <w:rsid w:val="00DB6D8B"/>
    <w:rsid w:val="00DB7B77"/>
    <w:rsid w:val="00DB7C00"/>
    <w:rsid w:val="00DB7D6C"/>
    <w:rsid w:val="00DC008C"/>
    <w:rsid w:val="00DC06AA"/>
    <w:rsid w:val="00DC07A9"/>
    <w:rsid w:val="00DC115C"/>
    <w:rsid w:val="00DC135B"/>
    <w:rsid w:val="00DC1EE8"/>
    <w:rsid w:val="00DC236F"/>
    <w:rsid w:val="00DC32B2"/>
    <w:rsid w:val="00DC340D"/>
    <w:rsid w:val="00DC35E4"/>
    <w:rsid w:val="00DC36EA"/>
    <w:rsid w:val="00DC3764"/>
    <w:rsid w:val="00DC384B"/>
    <w:rsid w:val="00DC3FFA"/>
    <w:rsid w:val="00DC40D0"/>
    <w:rsid w:val="00DC430F"/>
    <w:rsid w:val="00DC450A"/>
    <w:rsid w:val="00DC45BC"/>
    <w:rsid w:val="00DC4C14"/>
    <w:rsid w:val="00DC50A2"/>
    <w:rsid w:val="00DC55AC"/>
    <w:rsid w:val="00DC61C4"/>
    <w:rsid w:val="00DC6BDA"/>
    <w:rsid w:val="00DC6E30"/>
    <w:rsid w:val="00DC7C3C"/>
    <w:rsid w:val="00DD0218"/>
    <w:rsid w:val="00DD06FB"/>
    <w:rsid w:val="00DD1237"/>
    <w:rsid w:val="00DD14E5"/>
    <w:rsid w:val="00DD163B"/>
    <w:rsid w:val="00DD1AC4"/>
    <w:rsid w:val="00DD2DE3"/>
    <w:rsid w:val="00DD2FCB"/>
    <w:rsid w:val="00DD44FB"/>
    <w:rsid w:val="00DD4544"/>
    <w:rsid w:val="00DD4999"/>
    <w:rsid w:val="00DD631F"/>
    <w:rsid w:val="00DD6E59"/>
    <w:rsid w:val="00DD723A"/>
    <w:rsid w:val="00DD74B9"/>
    <w:rsid w:val="00DD7912"/>
    <w:rsid w:val="00DE01FD"/>
    <w:rsid w:val="00DE069E"/>
    <w:rsid w:val="00DE0705"/>
    <w:rsid w:val="00DE0EE1"/>
    <w:rsid w:val="00DE1B2B"/>
    <w:rsid w:val="00DE1C15"/>
    <w:rsid w:val="00DE20FB"/>
    <w:rsid w:val="00DE2136"/>
    <w:rsid w:val="00DE24B1"/>
    <w:rsid w:val="00DE2C94"/>
    <w:rsid w:val="00DE2F69"/>
    <w:rsid w:val="00DE358B"/>
    <w:rsid w:val="00DE37B0"/>
    <w:rsid w:val="00DE4385"/>
    <w:rsid w:val="00DE46A4"/>
    <w:rsid w:val="00DE4AA1"/>
    <w:rsid w:val="00DE4D6E"/>
    <w:rsid w:val="00DE54FC"/>
    <w:rsid w:val="00DE5C81"/>
    <w:rsid w:val="00DE5E86"/>
    <w:rsid w:val="00DE616C"/>
    <w:rsid w:val="00DE6478"/>
    <w:rsid w:val="00DE6BE0"/>
    <w:rsid w:val="00DF09E8"/>
    <w:rsid w:val="00DF0AEF"/>
    <w:rsid w:val="00DF0B44"/>
    <w:rsid w:val="00DF198E"/>
    <w:rsid w:val="00DF19F5"/>
    <w:rsid w:val="00DF2184"/>
    <w:rsid w:val="00DF21CB"/>
    <w:rsid w:val="00DF24E0"/>
    <w:rsid w:val="00DF24EB"/>
    <w:rsid w:val="00DF2538"/>
    <w:rsid w:val="00DF2B07"/>
    <w:rsid w:val="00DF2EDE"/>
    <w:rsid w:val="00DF31AD"/>
    <w:rsid w:val="00DF3906"/>
    <w:rsid w:val="00DF3B92"/>
    <w:rsid w:val="00DF3BD8"/>
    <w:rsid w:val="00DF3C72"/>
    <w:rsid w:val="00DF3ED5"/>
    <w:rsid w:val="00DF40E5"/>
    <w:rsid w:val="00DF453D"/>
    <w:rsid w:val="00DF47B0"/>
    <w:rsid w:val="00DF4A25"/>
    <w:rsid w:val="00DF4BAA"/>
    <w:rsid w:val="00DF503D"/>
    <w:rsid w:val="00DF508E"/>
    <w:rsid w:val="00DF5979"/>
    <w:rsid w:val="00DF5A01"/>
    <w:rsid w:val="00DF5E6C"/>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DA2"/>
    <w:rsid w:val="00E02FC5"/>
    <w:rsid w:val="00E03E19"/>
    <w:rsid w:val="00E03F7F"/>
    <w:rsid w:val="00E042BC"/>
    <w:rsid w:val="00E04A7C"/>
    <w:rsid w:val="00E04B1F"/>
    <w:rsid w:val="00E04BFD"/>
    <w:rsid w:val="00E05F33"/>
    <w:rsid w:val="00E064B4"/>
    <w:rsid w:val="00E064CE"/>
    <w:rsid w:val="00E06E12"/>
    <w:rsid w:val="00E073A4"/>
    <w:rsid w:val="00E0777C"/>
    <w:rsid w:val="00E10391"/>
    <w:rsid w:val="00E10543"/>
    <w:rsid w:val="00E10D1B"/>
    <w:rsid w:val="00E11646"/>
    <w:rsid w:val="00E119B2"/>
    <w:rsid w:val="00E11BFA"/>
    <w:rsid w:val="00E121C8"/>
    <w:rsid w:val="00E12301"/>
    <w:rsid w:val="00E127D3"/>
    <w:rsid w:val="00E1294D"/>
    <w:rsid w:val="00E12F56"/>
    <w:rsid w:val="00E134F2"/>
    <w:rsid w:val="00E1355D"/>
    <w:rsid w:val="00E1397C"/>
    <w:rsid w:val="00E1424C"/>
    <w:rsid w:val="00E14DE3"/>
    <w:rsid w:val="00E14E1A"/>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D4B"/>
    <w:rsid w:val="00E21EA2"/>
    <w:rsid w:val="00E220D7"/>
    <w:rsid w:val="00E22543"/>
    <w:rsid w:val="00E22B25"/>
    <w:rsid w:val="00E22C90"/>
    <w:rsid w:val="00E23BAB"/>
    <w:rsid w:val="00E24045"/>
    <w:rsid w:val="00E244D3"/>
    <w:rsid w:val="00E24A00"/>
    <w:rsid w:val="00E24A6B"/>
    <w:rsid w:val="00E24CBC"/>
    <w:rsid w:val="00E250C0"/>
    <w:rsid w:val="00E2531C"/>
    <w:rsid w:val="00E2578D"/>
    <w:rsid w:val="00E25DFE"/>
    <w:rsid w:val="00E26B2E"/>
    <w:rsid w:val="00E27304"/>
    <w:rsid w:val="00E27BBD"/>
    <w:rsid w:val="00E27D42"/>
    <w:rsid w:val="00E27FB0"/>
    <w:rsid w:val="00E30BA5"/>
    <w:rsid w:val="00E3115B"/>
    <w:rsid w:val="00E311FC"/>
    <w:rsid w:val="00E3218E"/>
    <w:rsid w:val="00E3236E"/>
    <w:rsid w:val="00E3262A"/>
    <w:rsid w:val="00E32BF7"/>
    <w:rsid w:val="00E32EB6"/>
    <w:rsid w:val="00E33223"/>
    <w:rsid w:val="00E33785"/>
    <w:rsid w:val="00E33C95"/>
    <w:rsid w:val="00E33F32"/>
    <w:rsid w:val="00E3415F"/>
    <w:rsid w:val="00E34214"/>
    <w:rsid w:val="00E342B1"/>
    <w:rsid w:val="00E3474B"/>
    <w:rsid w:val="00E34C3B"/>
    <w:rsid w:val="00E368C8"/>
    <w:rsid w:val="00E36D82"/>
    <w:rsid w:val="00E36E81"/>
    <w:rsid w:val="00E371DD"/>
    <w:rsid w:val="00E3769B"/>
    <w:rsid w:val="00E37AF6"/>
    <w:rsid w:val="00E402BB"/>
    <w:rsid w:val="00E405E6"/>
    <w:rsid w:val="00E406D3"/>
    <w:rsid w:val="00E40C5C"/>
    <w:rsid w:val="00E40DC4"/>
    <w:rsid w:val="00E4150C"/>
    <w:rsid w:val="00E4167E"/>
    <w:rsid w:val="00E4183D"/>
    <w:rsid w:val="00E41CC9"/>
    <w:rsid w:val="00E41DC9"/>
    <w:rsid w:val="00E420DE"/>
    <w:rsid w:val="00E426A4"/>
    <w:rsid w:val="00E4300D"/>
    <w:rsid w:val="00E431E2"/>
    <w:rsid w:val="00E435D0"/>
    <w:rsid w:val="00E4377E"/>
    <w:rsid w:val="00E43E4C"/>
    <w:rsid w:val="00E4439A"/>
    <w:rsid w:val="00E44D81"/>
    <w:rsid w:val="00E44E7A"/>
    <w:rsid w:val="00E45041"/>
    <w:rsid w:val="00E4514D"/>
    <w:rsid w:val="00E4517E"/>
    <w:rsid w:val="00E452BD"/>
    <w:rsid w:val="00E4531F"/>
    <w:rsid w:val="00E45A32"/>
    <w:rsid w:val="00E45AA4"/>
    <w:rsid w:val="00E4617F"/>
    <w:rsid w:val="00E46A6C"/>
    <w:rsid w:val="00E46A79"/>
    <w:rsid w:val="00E46D03"/>
    <w:rsid w:val="00E47891"/>
    <w:rsid w:val="00E501A8"/>
    <w:rsid w:val="00E50525"/>
    <w:rsid w:val="00E50679"/>
    <w:rsid w:val="00E50C66"/>
    <w:rsid w:val="00E514A7"/>
    <w:rsid w:val="00E51BCA"/>
    <w:rsid w:val="00E52333"/>
    <w:rsid w:val="00E54018"/>
    <w:rsid w:val="00E5434A"/>
    <w:rsid w:val="00E549F7"/>
    <w:rsid w:val="00E54CD4"/>
    <w:rsid w:val="00E5562A"/>
    <w:rsid w:val="00E557D9"/>
    <w:rsid w:val="00E55867"/>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6023"/>
    <w:rsid w:val="00E666A1"/>
    <w:rsid w:val="00E666D7"/>
    <w:rsid w:val="00E6695A"/>
    <w:rsid w:val="00E66B1B"/>
    <w:rsid w:val="00E66EE6"/>
    <w:rsid w:val="00E670B1"/>
    <w:rsid w:val="00E6724E"/>
    <w:rsid w:val="00E674F2"/>
    <w:rsid w:val="00E7097D"/>
    <w:rsid w:val="00E71455"/>
    <w:rsid w:val="00E718E3"/>
    <w:rsid w:val="00E720B0"/>
    <w:rsid w:val="00E7274A"/>
    <w:rsid w:val="00E734F0"/>
    <w:rsid w:val="00E7356A"/>
    <w:rsid w:val="00E73DBB"/>
    <w:rsid w:val="00E73F4B"/>
    <w:rsid w:val="00E74410"/>
    <w:rsid w:val="00E744F7"/>
    <w:rsid w:val="00E74689"/>
    <w:rsid w:val="00E74B83"/>
    <w:rsid w:val="00E7530B"/>
    <w:rsid w:val="00E753C6"/>
    <w:rsid w:val="00E75678"/>
    <w:rsid w:val="00E7589D"/>
    <w:rsid w:val="00E75C05"/>
    <w:rsid w:val="00E7636E"/>
    <w:rsid w:val="00E768E5"/>
    <w:rsid w:val="00E76949"/>
    <w:rsid w:val="00E76969"/>
    <w:rsid w:val="00E76DB1"/>
    <w:rsid w:val="00E80484"/>
    <w:rsid w:val="00E80A7D"/>
    <w:rsid w:val="00E812F4"/>
    <w:rsid w:val="00E81429"/>
    <w:rsid w:val="00E81982"/>
    <w:rsid w:val="00E81BB5"/>
    <w:rsid w:val="00E821DE"/>
    <w:rsid w:val="00E824F9"/>
    <w:rsid w:val="00E8275F"/>
    <w:rsid w:val="00E8353E"/>
    <w:rsid w:val="00E83557"/>
    <w:rsid w:val="00E83599"/>
    <w:rsid w:val="00E83B33"/>
    <w:rsid w:val="00E83E58"/>
    <w:rsid w:val="00E84210"/>
    <w:rsid w:val="00E84C2D"/>
    <w:rsid w:val="00E851BA"/>
    <w:rsid w:val="00E8548E"/>
    <w:rsid w:val="00E85791"/>
    <w:rsid w:val="00E86010"/>
    <w:rsid w:val="00E862A6"/>
    <w:rsid w:val="00E862B4"/>
    <w:rsid w:val="00E86809"/>
    <w:rsid w:val="00E86EC5"/>
    <w:rsid w:val="00E86EF6"/>
    <w:rsid w:val="00E87082"/>
    <w:rsid w:val="00E8733F"/>
    <w:rsid w:val="00E87392"/>
    <w:rsid w:val="00E87525"/>
    <w:rsid w:val="00E87755"/>
    <w:rsid w:val="00E87BCB"/>
    <w:rsid w:val="00E87CA7"/>
    <w:rsid w:val="00E87CBB"/>
    <w:rsid w:val="00E90019"/>
    <w:rsid w:val="00E90740"/>
    <w:rsid w:val="00E90B09"/>
    <w:rsid w:val="00E91210"/>
    <w:rsid w:val="00E91370"/>
    <w:rsid w:val="00E915B9"/>
    <w:rsid w:val="00E91641"/>
    <w:rsid w:val="00E91717"/>
    <w:rsid w:val="00E917AF"/>
    <w:rsid w:val="00E91AE9"/>
    <w:rsid w:val="00E91F69"/>
    <w:rsid w:val="00E92A13"/>
    <w:rsid w:val="00E92B8E"/>
    <w:rsid w:val="00E92C64"/>
    <w:rsid w:val="00E93AC9"/>
    <w:rsid w:val="00E93C3E"/>
    <w:rsid w:val="00E93CFF"/>
    <w:rsid w:val="00E94B43"/>
    <w:rsid w:val="00E94C42"/>
    <w:rsid w:val="00E951B7"/>
    <w:rsid w:val="00E952D9"/>
    <w:rsid w:val="00E9545A"/>
    <w:rsid w:val="00E9549C"/>
    <w:rsid w:val="00E9576A"/>
    <w:rsid w:val="00E958E8"/>
    <w:rsid w:val="00E9612F"/>
    <w:rsid w:val="00E96A5E"/>
    <w:rsid w:val="00E973DB"/>
    <w:rsid w:val="00E97D7E"/>
    <w:rsid w:val="00EA03B8"/>
    <w:rsid w:val="00EA05CE"/>
    <w:rsid w:val="00EA0BD7"/>
    <w:rsid w:val="00EA0F8A"/>
    <w:rsid w:val="00EA1CE1"/>
    <w:rsid w:val="00EA21F1"/>
    <w:rsid w:val="00EA289B"/>
    <w:rsid w:val="00EA29D0"/>
    <w:rsid w:val="00EA2BD4"/>
    <w:rsid w:val="00EA40B9"/>
    <w:rsid w:val="00EA44C0"/>
    <w:rsid w:val="00EA4B39"/>
    <w:rsid w:val="00EA4B7F"/>
    <w:rsid w:val="00EA542F"/>
    <w:rsid w:val="00EA5435"/>
    <w:rsid w:val="00EA551F"/>
    <w:rsid w:val="00EA5983"/>
    <w:rsid w:val="00EA5A38"/>
    <w:rsid w:val="00EA5A78"/>
    <w:rsid w:val="00EA5CE1"/>
    <w:rsid w:val="00EA60C0"/>
    <w:rsid w:val="00EA64EA"/>
    <w:rsid w:val="00EA6931"/>
    <w:rsid w:val="00EA6B10"/>
    <w:rsid w:val="00EA6B14"/>
    <w:rsid w:val="00EA6B51"/>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D3F"/>
    <w:rsid w:val="00EB3354"/>
    <w:rsid w:val="00EB3391"/>
    <w:rsid w:val="00EB3ACC"/>
    <w:rsid w:val="00EB3C29"/>
    <w:rsid w:val="00EB3C7F"/>
    <w:rsid w:val="00EB444A"/>
    <w:rsid w:val="00EB53A2"/>
    <w:rsid w:val="00EB5F28"/>
    <w:rsid w:val="00EB6757"/>
    <w:rsid w:val="00EB681E"/>
    <w:rsid w:val="00EB6E4C"/>
    <w:rsid w:val="00EB7026"/>
    <w:rsid w:val="00EB70A0"/>
    <w:rsid w:val="00EB71E6"/>
    <w:rsid w:val="00EB748E"/>
    <w:rsid w:val="00EB7905"/>
    <w:rsid w:val="00EB79A8"/>
    <w:rsid w:val="00EB7C2E"/>
    <w:rsid w:val="00EC070B"/>
    <w:rsid w:val="00EC093B"/>
    <w:rsid w:val="00EC1A3A"/>
    <w:rsid w:val="00EC1C2B"/>
    <w:rsid w:val="00EC290E"/>
    <w:rsid w:val="00EC317B"/>
    <w:rsid w:val="00EC34BC"/>
    <w:rsid w:val="00EC3A9B"/>
    <w:rsid w:val="00EC3BD7"/>
    <w:rsid w:val="00EC3D4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7"/>
    <w:rsid w:val="00ED11B4"/>
    <w:rsid w:val="00ED1632"/>
    <w:rsid w:val="00ED21CA"/>
    <w:rsid w:val="00ED2477"/>
    <w:rsid w:val="00ED2CA3"/>
    <w:rsid w:val="00ED2EA6"/>
    <w:rsid w:val="00ED2F22"/>
    <w:rsid w:val="00ED3446"/>
    <w:rsid w:val="00ED34C9"/>
    <w:rsid w:val="00ED374F"/>
    <w:rsid w:val="00ED3C00"/>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AE"/>
    <w:rsid w:val="00EE1146"/>
    <w:rsid w:val="00EE15B8"/>
    <w:rsid w:val="00EE1728"/>
    <w:rsid w:val="00EE1C4E"/>
    <w:rsid w:val="00EE2265"/>
    <w:rsid w:val="00EE22AF"/>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C62"/>
    <w:rsid w:val="00EE7D51"/>
    <w:rsid w:val="00EF004C"/>
    <w:rsid w:val="00EF00C9"/>
    <w:rsid w:val="00EF03FF"/>
    <w:rsid w:val="00EF126E"/>
    <w:rsid w:val="00EF1425"/>
    <w:rsid w:val="00EF1D32"/>
    <w:rsid w:val="00EF1E50"/>
    <w:rsid w:val="00EF2C43"/>
    <w:rsid w:val="00EF2DA7"/>
    <w:rsid w:val="00EF2FAD"/>
    <w:rsid w:val="00EF327B"/>
    <w:rsid w:val="00EF442E"/>
    <w:rsid w:val="00EF4575"/>
    <w:rsid w:val="00EF458F"/>
    <w:rsid w:val="00EF4AFB"/>
    <w:rsid w:val="00EF4B9D"/>
    <w:rsid w:val="00EF4E75"/>
    <w:rsid w:val="00EF509A"/>
    <w:rsid w:val="00EF515E"/>
    <w:rsid w:val="00EF6285"/>
    <w:rsid w:val="00EF6B01"/>
    <w:rsid w:val="00EF6C09"/>
    <w:rsid w:val="00EF6E9D"/>
    <w:rsid w:val="00EF72FC"/>
    <w:rsid w:val="00EF757D"/>
    <w:rsid w:val="00EF7644"/>
    <w:rsid w:val="00EF7725"/>
    <w:rsid w:val="00EF772A"/>
    <w:rsid w:val="00EF7796"/>
    <w:rsid w:val="00F004F6"/>
    <w:rsid w:val="00F00981"/>
    <w:rsid w:val="00F00B84"/>
    <w:rsid w:val="00F010E1"/>
    <w:rsid w:val="00F0168C"/>
    <w:rsid w:val="00F027FB"/>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964"/>
    <w:rsid w:val="00F07350"/>
    <w:rsid w:val="00F07427"/>
    <w:rsid w:val="00F0752A"/>
    <w:rsid w:val="00F077F6"/>
    <w:rsid w:val="00F0793A"/>
    <w:rsid w:val="00F1004E"/>
    <w:rsid w:val="00F106A7"/>
    <w:rsid w:val="00F109DC"/>
    <w:rsid w:val="00F11446"/>
    <w:rsid w:val="00F11BAD"/>
    <w:rsid w:val="00F11EA3"/>
    <w:rsid w:val="00F11EC3"/>
    <w:rsid w:val="00F11F76"/>
    <w:rsid w:val="00F1243A"/>
    <w:rsid w:val="00F124B9"/>
    <w:rsid w:val="00F1266B"/>
    <w:rsid w:val="00F12FF9"/>
    <w:rsid w:val="00F13313"/>
    <w:rsid w:val="00F141BF"/>
    <w:rsid w:val="00F14579"/>
    <w:rsid w:val="00F14888"/>
    <w:rsid w:val="00F14E55"/>
    <w:rsid w:val="00F15022"/>
    <w:rsid w:val="00F152AA"/>
    <w:rsid w:val="00F1548B"/>
    <w:rsid w:val="00F154A2"/>
    <w:rsid w:val="00F155F4"/>
    <w:rsid w:val="00F15BA2"/>
    <w:rsid w:val="00F15C91"/>
    <w:rsid w:val="00F16021"/>
    <w:rsid w:val="00F1620D"/>
    <w:rsid w:val="00F163A3"/>
    <w:rsid w:val="00F163CC"/>
    <w:rsid w:val="00F168BC"/>
    <w:rsid w:val="00F16D05"/>
    <w:rsid w:val="00F16EA1"/>
    <w:rsid w:val="00F17214"/>
    <w:rsid w:val="00F17332"/>
    <w:rsid w:val="00F174AC"/>
    <w:rsid w:val="00F179A3"/>
    <w:rsid w:val="00F17B2C"/>
    <w:rsid w:val="00F2002A"/>
    <w:rsid w:val="00F20AA8"/>
    <w:rsid w:val="00F21FFB"/>
    <w:rsid w:val="00F222C5"/>
    <w:rsid w:val="00F22865"/>
    <w:rsid w:val="00F2286E"/>
    <w:rsid w:val="00F23432"/>
    <w:rsid w:val="00F23747"/>
    <w:rsid w:val="00F23913"/>
    <w:rsid w:val="00F23B2C"/>
    <w:rsid w:val="00F2487A"/>
    <w:rsid w:val="00F24ABC"/>
    <w:rsid w:val="00F24D29"/>
    <w:rsid w:val="00F2534B"/>
    <w:rsid w:val="00F256C1"/>
    <w:rsid w:val="00F256F6"/>
    <w:rsid w:val="00F260CF"/>
    <w:rsid w:val="00F262A0"/>
    <w:rsid w:val="00F266FC"/>
    <w:rsid w:val="00F26A13"/>
    <w:rsid w:val="00F26C2B"/>
    <w:rsid w:val="00F26EB2"/>
    <w:rsid w:val="00F27731"/>
    <w:rsid w:val="00F27AFD"/>
    <w:rsid w:val="00F27C8A"/>
    <w:rsid w:val="00F304A5"/>
    <w:rsid w:val="00F30774"/>
    <w:rsid w:val="00F30B2C"/>
    <w:rsid w:val="00F315BC"/>
    <w:rsid w:val="00F316DD"/>
    <w:rsid w:val="00F3187E"/>
    <w:rsid w:val="00F32115"/>
    <w:rsid w:val="00F32436"/>
    <w:rsid w:val="00F32976"/>
    <w:rsid w:val="00F32C74"/>
    <w:rsid w:val="00F33866"/>
    <w:rsid w:val="00F33AB3"/>
    <w:rsid w:val="00F34A61"/>
    <w:rsid w:val="00F35226"/>
    <w:rsid w:val="00F354D0"/>
    <w:rsid w:val="00F35740"/>
    <w:rsid w:val="00F35C21"/>
    <w:rsid w:val="00F35DA4"/>
    <w:rsid w:val="00F35DA6"/>
    <w:rsid w:val="00F35E60"/>
    <w:rsid w:val="00F362E2"/>
    <w:rsid w:val="00F3635C"/>
    <w:rsid w:val="00F364F6"/>
    <w:rsid w:val="00F367D4"/>
    <w:rsid w:val="00F36822"/>
    <w:rsid w:val="00F36CDE"/>
    <w:rsid w:val="00F3785F"/>
    <w:rsid w:val="00F4027C"/>
    <w:rsid w:val="00F41403"/>
    <w:rsid w:val="00F417E1"/>
    <w:rsid w:val="00F419C7"/>
    <w:rsid w:val="00F41A25"/>
    <w:rsid w:val="00F41CD8"/>
    <w:rsid w:val="00F41F84"/>
    <w:rsid w:val="00F420E5"/>
    <w:rsid w:val="00F427D4"/>
    <w:rsid w:val="00F42913"/>
    <w:rsid w:val="00F4303C"/>
    <w:rsid w:val="00F437BC"/>
    <w:rsid w:val="00F43836"/>
    <w:rsid w:val="00F43957"/>
    <w:rsid w:val="00F43B57"/>
    <w:rsid w:val="00F44424"/>
    <w:rsid w:val="00F44AD9"/>
    <w:rsid w:val="00F44B9D"/>
    <w:rsid w:val="00F44F71"/>
    <w:rsid w:val="00F459C3"/>
    <w:rsid w:val="00F45C14"/>
    <w:rsid w:val="00F45C20"/>
    <w:rsid w:val="00F45C8C"/>
    <w:rsid w:val="00F46104"/>
    <w:rsid w:val="00F46924"/>
    <w:rsid w:val="00F46DE5"/>
    <w:rsid w:val="00F46ECC"/>
    <w:rsid w:val="00F46F29"/>
    <w:rsid w:val="00F4713C"/>
    <w:rsid w:val="00F50752"/>
    <w:rsid w:val="00F5082F"/>
    <w:rsid w:val="00F50837"/>
    <w:rsid w:val="00F50DB4"/>
    <w:rsid w:val="00F519EF"/>
    <w:rsid w:val="00F51DDA"/>
    <w:rsid w:val="00F51F42"/>
    <w:rsid w:val="00F52048"/>
    <w:rsid w:val="00F5230D"/>
    <w:rsid w:val="00F52AAA"/>
    <w:rsid w:val="00F52D5E"/>
    <w:rsid w:val="00F532AC"/>
    <w:rsid w:val="00F53377"/>
    <w:rsid w:val="00F537D7"/>
    <w:rsid w:val="00F53A4F"/>
    <w:rsid w:val="00F53CC4"/>
    <w:rsid w:val="00F53CE6"/>
    <w:rsid w:val="00F5416A"/>
    <w:rsid w:val="00F547A1"/>
    <w:rsid w:val="00F5492F"/>
    <w:rsid w:val="00F5514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3E54"/>
    <w:rsid w:val="00F64029"/>
    <w:rsid w:val="00F6402F"/>
    <w:rsid w:val="00F65377"/>
    <w:rsid w:val="00F654C8"/>
    <w:rsid w:val="00F65BED"/>
    <w:rsid w:val="00F65CFD"/>
    <w:rsid w:val="00F66388"/>
    <w:rsid w:val="00F665A2"/>
    <w:rsid w:val="00F66A0C"/>
    <w:rsid w:val="00F66D31"/>
    <w:rsid w:val="00F67721"/>
    <w:rsid w:val="00F67CA2"/>
    <w:rsid w:val="00F706E9"/>
    <w:rsid w:val="00F70CCE"/>
    <w:rsid w:val="00F71025"/>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DB"/>
    <w:rsid w:val="00F7691D"/>
    <w:rsid w:val="00F770BF"/>
    <w:rsid w:val="00F77291"/>
    <w:rsid w:val="00F779B6"/>
    <w:rsid w:val="00F77F0E"/>
    <w:rsid w:val="00F802F6"/>
    <w:rsid w:val="00F8035F"/>
    <w:rsid w:val="00F804E7"/>
    <w:rsid w:val="00F8144D"/>
    <w:rsid w:val="00F814F1"/>
    <w:rsid w:val="00F81A36"/>
    <w:rsid w:val="00F81C52"/>
    <w:rsid w:val="00F82041"/>
    <w:rsid w:val="00F82249"/>
    <w:rsid w:val="00F828BF"/>
    <w:rsid w:val="00F82B11"/>
    <w:rsid w:val="00F832EB"/>
    <w:rsid w:val="00F8369D"/>
    <w:rsid w:val="00F83B17"/>
    <w:rsid w:val="00F842B7"/>
    <w:rsid w:val="00F8468B"/>
    <w:rsid w:val="00F84F1E"/>
    <w:rsid w:val="00F858C3"/>
    <w:rsid w:val="00F86242"/>
    <w:rsid w:val="00F862AF"/>
    <w:rsid w:val="00F867B4"/>
    <w:rsid w:val="00F86B49"/>
    <w:rsid w:val="00F8714C"/>
    <w:rsid w:val="00F8730D"/>
    <w:rsid w:val="00F87433"/>
    <w:rsid w:val="00F87636"/>
    <w:rsid w:val="00F90183"/>
    <w:rsid w:val="00F904A8"/>
    <w:rsid w:val="00F90627"/>
    <w:rsid w:val="00F9086E"/>
    <w:rsid w:val="00F90ACA"/>
    <w:rsid w:val="00F914BC"/>
    <w:rsid w:val="00F91BEB"/>
    <w:rsid w:val="00F91C4B"/>
    <w:rsid w:val="00F925FD"/>
    <w:rsid w:val="00F926B1"/>
    <w:rsid w:val="00F928F1"/>
    <w:rsid w:val="00F92B56"/>
    <w:rsid w:val="00F92BC9"/>
    <w:rsid w:val="00F92C97"/>
    <w:rsid w:val="00F92ECF"/>
    <w:rsid w:val="00F94078"/>
    <w:rsid w:val="00F94817"/>
    <w:rsid w:val="00F94D3B"/>
    <w:rsid w:val="00F9559D"/>
    <w:rsid w:val="00F95654"/>
    <w:rsid w:val="00F96BC4"/>
    <w:rsid w:val="00F96C56"/>
    <w:rsid w:val="00F96E56"/>
    <w:rsid w:val="00F97935"/>
    <w:rsid w:val="00F97BE9"/>
    <w:rsid w:val="00F97C80"/>
    <w:rsid w:val="00FA02B9"/>
    <w:rsid w:val="00FA09CF"/>
    <w:rsid w:val="00FA1288"/>
    <w:rsid w:val="00FA13FA"/>
    <w:rsid w:val="00FA1D86"/>
    <w:rsid w:val="00FA2001"/>
    <w:rsid w:val="00FA2540"/>
    <w:rsid w:val="00FA2BDF"/>
    <w:rsid w:val="00FA35D9"/>
    <w:rsid w:val="00FA3AD2"/>
    <w:rsid w:val="00FA4476"/>
    <w:rsid w:val="00FA4609"/>
    <w:rsid w:val="00FA4953"/>
    <w:rsid w:val="00FA4B86"/>
    <w:rsid w:val="00FA5663"/>
    <w:rsid w:val="00FA5BBA"/>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BF8"/>
    <w:rsid w:val="00FB3CF5"/>
    <w:rsid w:val="00FB3ECC"/>
    <w:rsid w:val="00FB41ED"/>
    <w:rsid w:val="00FB4566"/>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837"/>
    <w:rsid w:val="00FC09EF"/>
    <w:rsid w:val="00FC0DA7"/>
    <w:rsid w:val="00FC0F4F"/>
    <w:rsid w:val="00FC10D2"/>
    <w:rsid w:val="00FC11A6"/>
    <w:rsid w:val="00FC2684"/>
    <w:rsid w:val="00FC2AA7"/>
    <w:rsid w:val="00FC3107"/>
    <w:rsid w:val="00FC3DE0"/>
    <w:rsid w:val="00FC3F15"/>
    <w:rsid w:val="00FC46D6"/>
    <w:rsid w:val="00FC4713"/>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237"/>
    <w:rsid w:val="00FD6321"/>
    <w:rsid w:val="00FD67C6"/>
    <w:rsid w:val="00FD69BD"/>
    <w:rsid w:val="00FD7034"/>
    <w:rsid w:val="00FD7059"/>
    <w:rsid w:val="00FD7063"/>
    <w:rsid w:val="00FD774D"/>
    <w:rsid w:val="00FD7EE5"/>
    <w:rsid w:val="00FD7F3E"/>
    <w:rsid w:val="00FE05DB"/>
    <w:rsid w:val="00FE0ACA"/>
    <w:rsid w:val="00FE0C2B"/>
    <w:rsid w:val="00FE1143"/>
    <w:rsid w:val="00FE19CE"/>
    <w:rsid w:val="00FE1D9C"/>
    <w:rsid w:val="00FE226A"/>
    <w:rsid w:val="00FE2D31"/>
    <w:rsid w:val="00FE2D33"/>
    <w:rsid w:val="00FE3A77"/>
    <w:rsid w:val="00FE4005"/>
    <w:rsid w:val="00FE4125"/>
    <w:rsid w:val="00FE4AFF"/>
    <w:rsid w:val="00FE4E79"/>
    <w:rsid w:val="00FE50E8"/>
    <w:rsid w:val="00FE5169"/>
    <w:rsid w:val="00FE5336"/>
    <w:rsid w:val="00FE59A2"/>
    <w:rsid w:val="00FE5BD5"/>
    <w:rsid w:val="00FE5D59"/>
    <w:rsid w:val="00FE6315"/>
    <w:rsid w:val="00FE644A"/>
    <w:rsid w:val="00FE7315"/>
    <w:rsid w:val="00FE7EBD"/>
    <w:rsid w:val="00FF08EF"/>
    <w:rsid w:val="00FF0A74"/>
    <w:rsid w:val="00FF0CA3"/>
    <w:rsid w:val="00FF17EC"/>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E3"/>
    <w:rsid w:val="00FF6C6D"/>
    <w:rsid w:val="00FF6EF7"/>
    <w:rsid w:val="00FF75DA"/>
    <w:rsid w:val="00FF7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6505</Words>
  <Characters>37083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2024-01-25T19:23:34Z</dcterms:created>
  <dcterms:modified xsi:type="dcterms:W3CDTF">2024-01-25T19:23:34Z</dcterms:modified>
</cp:coreProperties>
</file>