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1228C8" w:rsidRPr="00C92DAB" w:rsidP="001228C8" w14:paraId="23A47F6B" w14:textId="4BC78774">
      <w:pPr>
        <w:spacing w:line="288" w:lineRule="auto"/>
        <w:rPr>
          <w:rFonts w:ascii="Century Schoolbook" w:eastAsia="Calibri" w:hAnsi="Century Schoolbook"/>
          <w:bCs/>
          <w:sz w:val="20"/>
          <w:szCs w:val="20"/>
        </w:rPr>
      </w:pPr>
      <w:r>
        <w:rPr>
          <w:rFonts w:ascii="Century Schoolbook" w:eastAsia="Calibri" w:hAnsi="Century Schoolbook"/>
          <w:bCs/>
          <w:sz w:val="20"/>
          <w:szCs w:val="20"/>
        </w:rPr>
        <w:t>Filed 2/22/24 (unmodified opn. attached)</w:t>
      </w:r>
    </w:p>
    <w:p w:rsidR="001228C8" w:rsidRPr="00D370B4" w:rsidP="001228C8" w14:paraId="78B8E4D0" w14:textId="77777777">
      <w:pPr>
        <w:spacing w:line="288" w:lineRule="auto"/>
        <w:jc w:val="center"/>
        <w:rPr>
          <w:rFonts w:ascii="Century Schoolbook" w:eastAsia="Calibri" w:hAnsi="Century Schoolbook"/>
          <w:b/>
          <w:sz w:val="26"/>
          <w:szCs w:val="22"/>
        </w:rPr>
      </w:pPr>
      <w:r w:rsidRPr="00D370B4">
        <w:rPr>
          <w:rFonts w:ascii="Century Schoolbook" w:eastAsia="Calibri" w:hAnsi="Century Schoolbook"/>
          <w:b/>
          <w:sz w:val="26"/>
          <w:szCs w:val="22"/>
        </w:rPr>
        <w:t>CERTIFIED FOR PUBLICATION</w:t>
      </w:r>
    </w:p>
    <w:p w:rsidR="001228C8" w:rsidRPr="009A7218" w:rsidP="001228C8" w14:paraId="682F0190" w14:textId="77777777">
      <w:pPr>
        <w:spacing w:line="288" w:lineRule="auto"/>
        <w:jc w:val="center"/>
        <w:rPr>
          <w:rFonts w:ascii="Century Schoolbook" w:eastAsia="Calibri" w:hAnsi="Century Schoolbook"/>
          <w:sz w:val="26"/>
        </w:rPr>
      </w:pPr>
    </w:p>
    <w:p w:rsidR="001228C8" w:rsidRPr="009A7218" w:rsidP="001228C8" w14:paraId="6E5BD0D8"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IN THE COURT OF APPEAL OF THE STATE OF CALIFORNIA</w:t>
      </w:r>
    </w:p>
    <w:p w:rsidR="001228C8" w:rsidRPr="009A7218" w:rsidP="001228C8" w14:paraId="5367DF03" w14:textId="77777777">
      <w:pPr>
        <w:spacing w:line="288" w:lineRule="auto"/>
        <w:jc w:val="center"/>
        <w:rPr>
          <w:rFonts w:ascii="Century Schoolbook" w:eastAsia="Calibri" w:hAnsi="Century Schoolbook"/>
          <w:sz w:val="26"/>
        </w:rPr>
      </w:pPr>
    </w:p>
    <w:p w:rsidR="001228C8" w:rsidRPr="009A7218" w:rsidP="001228C8" w14:paraId="52E34956"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SECOND APPELLATE DISTRICT</w:t>
      </w:r>
    </w:p>
    <w:p w:rsidR="001228C8" w:rsidRPr="009A7218" w:rsidP="001228C8" w14:paraId="74813A83" w14:textId="77777777">
      <w:pPr>
        <w:spacing w:line="288" w:lineRule="auto"/>
        <w:jc w:val="center"/>
        <w:rPr>
          <w:rFonts w:ascii="Century Schoolbook" w:eastAsia="Calibri" w:hAnsi="Century Schoolbook"/>
          <w:sz w:val="26"/>
        </w:rPr>
      </w:pPr>
    </w:p>
    <w:p w:rsidR="001228C8" w:rsidRPr="009A7218" w:rsidP="001228C8" w14:paraId="1CAE9E5D" w14:textId="77777777">
      <w:pPr>
        <w:tabs>
          <w:tab w:val="center" w:pos="3960"/>
          <w:tab w:val="left" w:pos="5700"/>
        </w:tabs>
        <w:spacing w:line="288" w:lineRule="auto"/>
        <w:rPr>
          <w:rFonts w:ascii="Century Schoolbook" w:eastAsia="Calibri" w:hAnsi="Century Schoolbook"/>
          <w:sz w:val="26"/>
        </w:rPr>
      </w:pPr>
      <w:r>
        <w:rPr>
          <w:rFonts w:ascii="Century Schoolbook" w:eastAsia="Calibri" w:hAnsi="Century Schoolbook"/>
          <w:sz w:val="26"/>
        </w:rPr>
        <w:tab/>
      </w:r>
      <w:r w:rsidRPr="009A7218">
        <w:rPr>
          <w:rFonts w:ascii="Century Schoolbook" w:eastAsia="Calibri" w:hAnsi="Century Schoolbook"/>
          <w:sz w:val="26"/>
        </w:rPr>
        <w:t>DIVISION TWO</w:t>
      </w:r>
      <w:r>
        <w:rPr>
          <w:rFonts w:ascii="Century Schoolbook" w:eastAsia="Calibri" w:hAnsi="Century Schoolbook"/>
          <w:sz w:val="26"/>
        </w:rPr>
        <w:tab/>
      </w:r>
    </w:p>
    <w:p w:rsidR="001228C8" w:rsidRPr="009A7218" w:rsidP="001228C8" w14:paraId="71FE297A" w14:textId="77777777">
      <w:pPr>
        <w:spacing w:line="288" w:lineRule="auto"/>
        <w:rPr>
          <w:rFonts w:ascii="Century Schoolbook" w:eastAsia="Calibri" w:hAnsi="Century Schoolbook"/>
          <w:sz w:val="26"/>
        </w:rPr>
      </w:pPr>
    </w:p>
    <w:tbl>
      <w:tblPr>
        <w:tblW w:w="0" w:type="auto"/>
        <w:tblLayout w:type="fixed"/>
        <w:tblLook w:val="0000"/>
      </w:tblPr>
      <w:tblGrid>
        <w:gridCol w:w="4068"/>
        <w:gridCol w:w="4068"/>
      </w:tblGrid>
      <w:tr w14:paraId="71A27411" w14:textId="77777777" w:rsidTr="00DB22BF">
        <w:tblPrEx>
          <w:tblW w:w="0" w:type="auto"/>
          <w:tblLayout w:type="fixed"/>
          <w:tblLook w:val="0000"/>
        </w:tblPrEx>
        <w:tc>
          <w:tcPr>
            <w:tcW w:w="4068" w:type="dxa"/>
            <w:tcBorders>
              <w:bottom w:val="single" w:sz="4" w:space="0" w:color="auto"/>
              <w:right w:val="single" w:sz="4" w:space="0" w:color="auto"/>
            </w:tcBorders>
            <w:shd w:val="clear" w:color="auto" w:fill="auto"/>
          </w:tcPr>
          <w:p w:rsidR="001228C8" w:rsidRPr="009A7218" w:rsidP="00DB22BF" w14:paraId="3E8A2967" w14:textId="77777777">
            <w:pPr>
              <w:spacing w:line="288" w:lineRule="auto"/>
              <w:rPr>
                <w:rFonts w:ascii="Century Schoolbook" w:eastAsia="Calibri" w:hAnsi="Century Schoolbook"/>
                <w:sz w:val="26"/>
              </w:rPr>
            </w:pPr>
            <w:r>
              <w:rPr>
                <w:rFonts w:ascii="Century Schoolbook" w:eastAsia="Calibri" w:hAnsi="Century Schoolbook"/>
                <w:sz w:val="26"/>
              </w:rPr>
              <w:t>ALI SHALGHOUN,</w:t>
            </w:r>
          </w:p>
          <w:p w:rsidR="001228C8" w:rsidRPr="009A7218" w:rsidP="00DB22BF" w14:paraId="55632677" w14:textId="77777777">
            <w:pPr>
              <w:spacing w:line="288" w:lineRule="auto"/>
              <w:rPr>
                <w:rFonts w:ascii="Century Schoolbook" w:eastAsia="Calibri" w:hAnsi="Century Schoolbook"/>
                <w:sz w:val="26"/>
              </w:rPr>
            </w:pPr>
          </w:p>
          <w:p w:rsidR="001228C8" w:rsidRPr="00E66023" w:rsidP="00DB22BF" w14:paraId="57C77919" w14:textId="77777777">
            <w:pPr>
              <w:spacing w:line="288" w:lineRule="auto"/>
              <w:rPr>
                <w:rFonts w:ascii="Century Schoolbook" w:eastAsia="Calibri" w:hAnsi="Century Schoolbook"/>
                <w:sz w:val="26"/>
              </w:rPr>
            </w:pPr>
            <w:r w:rsidRPr="009A7218">
              <w:rPr>
                <w:rFonts w:ascii="Century Schoolbook" w:eastAsia="Calibri" w:hAnsi="Century Schoolbook"/>
                <w:sz w:val="26"/>
              </w:rPr>
              <w:tab/>
            </w:r>
            <w:r w:rsidRPr="00E66023">
              <w:rPr>
                <w:rFonts w:ascii="Century Schoolbook" w:eastAsia="Calibri" w:hAnsi="Century Schoolbook"/>
                <w:sz w:val="26"/>
              </w:rPr>
              <w:t>Plaintiff and Appellant,</w:t>
            </w:r>
          </w:p>
          <w:p w:rsidR="001228C8" w:rsidRPr="00E66023" w:rsidP="00DB22BF" w14:paraId="1A7D9411" w14:textId="77777777">
            <w:pPr>
              <w:spacing w:line="288" w:lineRule="auto"/>
              <w:rPr>
                <w:rFonts w:ascii="Century Schoolbook" w:eastAsia="Calibri" w:hAnsi="Century Schoolbook"/>
                <w:sz w:val="26"/>
              </w:rPr>
            </w:pPr>
          </w:p>
          <w:p w:rsidR="001228C8" w:rsidRPr="00E66023" w:rsidP="00DB22BF" w14:paraId="5EA61DCD" w14:textId="77777777">
            <w:pPr>
              <w:spacing w:line="288" w:lineRule="auto"/>
              <w:rPr>
                <w:rFonts w:ascii="Century Schoolbook" w:eastAsia="Calibri" w:hAnsi="Century Schoolbook"/>
                <w:sz w:val="26"/>
              </w:rPr>
            </w:pPr>
            <w:r w:rsidRPr="00E66023">
              <w:rPr>
                <w:rFonts w:ascii="Century Schoolbook" w:eastAsia="Calibri" w:hAnsi="Century Schoolbook"/>
                <w:sz w:val="26"/>
              </w:rPr>
              <w:tab/>
              <w:t>v.</w:t>
            </w:r>
          </w:p>
          <w:p w:rsidR="001228C8" w:rsidRPr="00E66023" w:rsidP="00DB22BF" w14:paraId="25D22235" w14:textId="77777777">
            <w:pPr>
              <w:spacing w:line="288" w:lineRule="auto"/>
              <w:rPr>
                <w:rFonts w:ascii="Century Schoolbook" w:eastAsia="Calibri" w:hAnsi="Century Schoolbook"/>
                <w:sz w:val="26"/>
              </w:rPr>
            </w:pPr>
          </w:p>
          <w:p w:rsidR="001228C8" w:rsidRPr="00E66023" w:rsidP="00DB22BF" w14:paraId="097711D7" w14:textId="77777777">
            <w:pPr>
              <w:spacing w:line="288" w:lineRule="auto"/>
              <w:rPr>
                <w:rFonts w:ascii="Century Schoolbook" w:eastAsia="Calibri" w:hAnsi="Century Schoolbook"/>
                <w:sz w:val="26"/>
              </w:rPr>
            </w:pPr>
            <w:r>
              <w:rPr>
                <w:rFonts w:ascii="Century Schoolbook" w:eastAsia="Calibri" w:hAnsi="Century Schoolbook"/>
                <w:sz w:val="26"/>
              </w:rPr>
              <w:t>NORTH LOS ANGELES COUNTY REGIONAL CENTER, INC.</w:t>
            </w:r>
            <w:r w:rsidRPr="00E66023">
              <w:rPr>
                <w:rFonts w:ascii="Century Schoolbook" w:eastAsia="Calibri" w:hAnsi="Century Schoolbook"/>
                <w:sz w:val="26"/>
              </w:rPr>
              <w:t>,</w:t>
            </w:r>
          </w:p>
          <w:p w:rsidR="001228C8" w:rsidRPr="00E66023" w:rsidP="00DB22BF" w14:paraId="37F41CA1" w14:textId="77777777">
            <w:pPr>
              <w:spacing w:line="288" w:lineRule="auto"/>
              <w:rPr>
                <w:rFonts w:ascii="Century Schoolbook" w:eastAsia="Calibri" w:hAnsi="Century Schoolbook"/>
                <w:sz w:val="26"/>
              </w:rPr>
            </w:pPr>
          </w:p>
          <w:p w:rsidR="001228C8" w:rsidRPr="009A7218" w:rsidP="00DB22BF" w14:paraId="2AFB16D2" w14:textId="77777777">
            <w:pPr>
              <w:spacing w:line="288" w:lineRule="auto"/>
              <w:rPr>
                <w:rFonts w:ascii="Century Schoolbook" w:eastAsia="Calibri" w:hAnsi="Century Schoolbook"/>
                <w:sz w:val="26"/>
              </w:rPr>
            </w:pPr>
            <w:r w:rsidRPr="00E66023">
              <w:rPr>
                <w:rFonts w:ascii="Century Schoolbook" w:eastAsia="Calibri" w:hAnsi="Century Schoolbook"/>
                <w:sz w:val="26"/>
              </w:rPr>
              <w:tab/>
              <w:t>Defendant and Respondent.</w:t>
            </w:r>
          </w:p>
          <w:p w:rsidR="001228C8" w:rsidRPr="009A7218" w:rsidP="00DB22BF" w14:paraId="7DA730F4" w14:textId="77777777">
            <w:pPr>
              <w:spacing w:line="288" w:lineRule="auto"/>
              <w:rPr>
                <w:rFonts w:ascii="Century Schoolbook" w:eastAsia="Calibri" w:hAnsi="Century Schoolbook"/>
                <w:sz w:val="26"/>
              </w:rPr>
            </w:pPr>
          </w:p>
        </w:tc>
        <w:tc>
          <w:tcPr>
            <w:tcW w:w="4068" w:type="dxa"/>
            <w:tcBorders>
              <w:left w:val="single" w:sz="4" w:space="0" w:color="auto"/>
            </w:tcBorders>
            <w:shd w:val="clear" w:color="auto" w:fill="auto"/>
          </w:tcPr>
          <w:p w:rsidR="001228C8" w:rsidRPr="009A7218" w:rsidP="00DB22BF" w14:paraId="120E0976" w14:textId="77777777">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BB4228">
              <w:rPr>
                <w:rFonts w:ascii="Century Schoolbook" w:eastAsia="Calibri" w:hAnsi="Century Schoolbook"/>
                <w:sz w:val="26"/>
              </w:rPr>
              <w:t>B32</w:t>
            </w:r>
            <w:r>
              <w:rPr>
                <w:rFonts w:ascii="Century Schoolbook" w:eastAsia="Calibri" w:hAnsi="Century Schoolbook"/>
                <w:sz w:val="26"/>
              </w:rPr>
              <w:t>3186</w:t>
            </w:r>
          </w:p>
          <w:p w:rsidR="001228C8" w:rsidRPr="009A7218" w:rsidP="00DB22BF" w14:paraId="3F8DC16B" w14:textId="77777777">
            <w:pPr>
              <w:spacing w:line="288" w:lineRule="auto"/>
              <w:rPr>
                <w:rFonts w:ascii="Century Schoolbook" w:eastAsia="Calibri" w:hAnsi="Century Schoolbook"/>
                <w:sz w:val="26"/>
              </w:rPr>
            </w:pPr>
          </w:p>
          <w:p w:rsidR="001228C8" w:rsidRPr="00A72DBD" w:rsidP="00DB22BF" w14:paraId="3C41FFA3" w14:textId="77777777">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A72DBD">
              <w:rPr>
                <w:rFonts w:ascii="Century Schoolbook" w:eastAsia="Calibri" w:hAnsi="Century Schoolbook"/>
                <w:sz w:val="26"/>
              </w:rPr>
              <w:t>(Los Angeles County</w:t>
            </w:r>
          </w:p>
          <w:p w:rsidR="001228C8" w:rsidP="00DB22BF" w14:paraId="4AF8DAEB" w14:textId="77777777">
            <w:pPr>
              <w:spacing w:line="288" w:lineRule="auto"/>
              <w:ind w:left="421" w:hanging="421"/>
              <w:rPr>
                <w:rFonts w:ascii="Century Schoolbook" w:eastAsia="Calibri" w:hAnsi="Century Schoolbook"/>
                <w:sz w:val="26"/>
              </w:rPr>
            </w:pPr>
            <w:r w:rsidRPr="00A72DBD">
              <w:rPr>
                <w:rFonts w:ascii="Century Schoolbook" w:eastAsia="Calibri" w:hAnsi="Century Schoolbook"/>
                <w:sz w:val="26"/>
              </w:rPr>
              <w:t xml:space="preserve">      Super. Ct. No. </w:t>
            </w:r>
            <w:r>
              <w:rPr>
                <w:rFonts w:ascii="Century Schoolbook" w:eastAsia="Calibri" w:hAnsi="Century Schoolbook"/>
                <w:sz w:val="26"/>
              </w:rPr>
              <w:t>19STCV19756</w:t>
            </w:r>
            <w:r w:rsidRPr="009A7218">
              <w:rPr>
                <w:rFonts w:ascii="Century Schoolbook" w:eastAsia="Calibri" w:hAnsi="Century Schoolbook"/>
                <w:sz w:val="26"/>
              </w:rPr>
              <w:t>)</w:t>
            </w:r>
          </w:p>
          <w:p w:rsidR="001228C8" w:rsidP="00DB22BF" w14:paraId="47F346E2" w14:textId="77777777">
            <w:pPr>
              <w:spacing w:line="288" w:lineRule="auto"/>
              <w:ind w:left="421" w:hanging="421"/>
              <w:rPr>
                <w:rFonts w:ascii="Century Schoolbook" w:eastAsia="Calibri" w:hAnsi="Century Schoolbook"/>
                <w:sz w:val="26"/>
              </w:rPr>
            </w:pPr>
          </w:p>
          <w:p w:rsidR="001228C8" w:rsidRPr="005D355F" w:rsidP="00DB22BF" w14:paraId="5AF319F3" w14:textId="77777777">
            <w:pPr>
              <w:spacing w:line="288" w:lineRule="auto"/>
              <w:ind w:left="421"/>
              <w:rPr>
                <w:rFonts w:ascii="Century Schoolbook" w:eastAsia="Calibri" w:hAnsi="Century Schoolbook"/>
                <w:sz w:val="26"/>
                <w:szCs w:val="26"/>
              </w:rPr>
            </w:pPr>
            <w:r w:rsidRPr="005D355F">
              <w:rPr>
                <w:rFonts w:ascii="Century Schoolbook" w:eastAsia="Calibri" w:hAnsi="Century Schoolbook"/>
                <w:sz w:val="26"/>
                <w:szCs w:val="26"/>
              </w:rPr>
              <w:t xml:space="preserve">ORDER MODIFYING </w:t>
            </w:r>
          </w:p>
          <w:p w:rsidR="001228C8" w:rsidRPr="005D355F" w:rsidP="00DB22BF" w14:paraId="3B3774EA" w14:textId="77777777">
            <w:pPr>
              <w:spacing w:line="288" w:lineRule="auto"/>
              <w:rPr>
                <w:rFonts w:ascii="Century Schoolbook" w:eastAsia="Calibri" w:hAnsi="Century Schoolbook"/>
                <w:sz w:val="26"/>
                <w:szCs w:val="26"/>
              </w:rPr>
            </w:pPr>
            <w:r w:rsidRPr="005D355F">
              <w:rPr>
                <w:rFonts w:ascii="Century Schoolbook" w:eastAsia="Calibri" w:hAnsi="Century Schoolbook"/>
                <w:sz w:val="26"/>
                <w:szCs w:val="26"/>
              </w:rPr>
              <w:t xml:space="preserve">      OPINION AND DENYING </w:t>
            </w:r>
          </w:p>
          <w:p w:rsidR="001228C8" w:rsidRPr="005D355F" w:rsidP="00DB22BF" w14:paraId="598D1597" w14:textId="77777777">
            <w:pPr>
              <w:spacing w:line="288" w:lineRule="auto"/>
              <w:rPr>
                <w:rFonts w:ascii="Century Schoolbook" w:eastAsia="Calibri" w:hAnsi="Century Schoolbook"/>
                <w:sz w:val="26"/>
                <w:szCs w:val="26"/>
              </w:rPr>
            </w:pPr>
            <w:r w:rsidRPr="005D355F">
              <w:rPr>
                <w:rFonts w:ascii="Century Schoolbook" w:eastAsia="Calibri" w:hAnsi="Century Schoolbook"/>
                <w:sz w:val="26"/>
                <w:szCs w:val="26"/>
              </w:rPr>
              <w:t xml:space="preserve">      REHEARING</w:t>
            </w:r>
          </w:p>
          <w:p w:rsidR="001228C8" w:rsidRPr="005D355F" w:rsidP="00DB22BF" w14:paraId="148220DE" w14:textId="77777777">
            <w:pPr>
              <w:spacing w:line="288" w:lineRule="auto"/>
              <w:rPr>
                <w:rFonts w:ascii="Century Schoolbook" w:eastAsia="Calibri" w:hAnsi="Century Schoolbook"/>
                <w:sz w:val="26"/>
                <w:szCs w:val="26"/>
              </w:rPr>
            </w:pPr>
          </w:p>
          <w:p w:rsidR="001228C8" w:rsidRPr="005D355F" w:rsidP="00DB22BF" w14:paraId="5F33A469" w14:textId="77777777">
            <w:pPr>
              <w:spacing w:line="288" w:lineRule="auto"/>
              <w:rPr>
                <w:rFonts w:ascii="Century Schoolbook" w:eastAsia="Calibri" w:hAnsi="Century Schoolbook"/>
                <w:sz w:val="26"/>
                <w:szCs w:val="26"/>
              </w:rPr>
            </w:pPr>
            <w:r w:rsidRPr="005D355F">
              <w:rPr>
                <w:rFonts w:ascii="Century Schoolbook" w:eastAsia="Calibri" w:hAnsi="Century Schoolbook"/>
                <w:sz w:val="26"/>
                <w:szCs w:val="26"/>
              </w:rPr>
              <w:t xml:space="preserve">      NO CHANGE IN THE </w:t>
            </w:r>
          </w:p>
          <w:p w:rsidR="001228C8" w:rsidRPr="009A7218" w:rsidP="00DB22BF" w14:paraId="5B374016" w14:textId="77777777">
            <w:pPr>
              <w:spacing w:line="288" w:lineRule="auto"/>
              <w:ind w:left="421" w:hanging="421"/>
              <w:rPr>
                <w:rFonts w:ascii="Century Schoolbook" w:eastAsia="Calibri" w:hAnsi="Century Schoolbook"/>
                <w:sz w:val="26"/>
              </w:rPr>
            </w:pPr>
            <w:r w:rsidRPr="005D355F">
              <w:rPr>
                <w:rFonts w:ascii="Century Schoolbook" w:eastAsia="Calibri" w:hAnsi="Century Schoolbook"/>
                <w:sz w:val="26"/>
                <w:szCs w:val="26"/>
              </w:rPr>
              <w:t xml:space="preserve">      JUDGMENT</w:t>
            </w:r>
          </w:p>
        </w:tc>
      </w:tr>
    </w:tbl>
    <w:p w:rsidR="001228C8" w:rsidP="001228C8" w14:paraId="004B957C" w14:textId="77777777">
      <w:pPr>
        <w:spacing w:line="288" w:lineRule="auto"/>
        <w:rPr>
          <w:rFonts w:ascii="Century Schoolbook" w:eastAsia="Calibri" w:hAnsi="Century Schoolbook"/>
          <w:sz w:val="26"/>
        </w:rPr>
      </w:pPr>
    </w:p>
    <w:p w:rsidR="001228C8" w:rsidRPr="005D355F" w:rsidP="001228C8" w14:paraId="6EB25956" w14:textId="77777777">
      <w:pPr>
        <w:spacing w:line="288" w:lineRule="auto"/>
        <w:rPr>
          <w:rFonts w:ascii="Century Schoolbook" w:eastAsia="Calibri" w:hAnsi="Century Schoolbook"/>
          <w:sz w:val="26"/>
          <w:szCs w:val="26"/>
        </w:rPr>
      </w:pPr>
      <w:bookmarkStart w:id="0" w:name="_Hlk130910524"/>
      <w:r w:rsidRPr="005D355F">
        <w:rPr>
          <w:rFonts w:ascii="Century Schoolbook" w:eastAsia="Calibri" w:hAnsi="Century Schoolbook"/>
          <w:sz w:val="26"/>
          <w:szCs w:val="26"/>
        </w:rPr>
        <w:t>THE COURT:</w:t>
      </w:r>
    </w:p>
    <w:p w:rsidR="001228C8" w:rsidRPr="005D355F" w:rsidP="001228C8" w14:paraId="4B1A2749" w14:textId="77777777">
      <w:pPr>
        <w:spacing w:line="288" w:lineRule="auto"/>
        <w:rPr>
          <w:rFonts w:ascii="Century Schoolbook" w:eastAsia="Calibri" w:hAnsi="Century Schoolbook"/>
          <w:sz w:val="26"/>
          <w:szCs w:val="26"/>
        </w:rPr>
      </w:pPr>
    </w:p>
    <w:p w:rsidR="001228C8" w:rsidRPr="005D355F" w:rsidP="001228C8" w14:paraId="45620B16" w14:textId="77777777">
      <w:pPr>
        <w:spacing w:line="288" w:lineRule="auto"/>
        <w:ind w:left="720" w:hanging="720"/>
        <w:rPr>
          <w:rFonts w:ascii="Century Schoolbook" w:eastAsia="Calibri" w:hAnsi="Century Schoolbook"/>
          <w:sz w:val="26"/>
          <w:szCs w:val="26"/>
        </w:rPr>
      </w:pPr>
      <w:r w:rsidRPr="005D355F">
        <w:rPr>
          <w:rFonts w:ascii="Century Schoolbook" w:eastAsia="Calibri" w:hAnsi="Century Schoolbook"/>
          <w:sz w:val="26"/>
          <w:szCs w:val="26"/>
        </w:rPr>
        <w:t>It is ordered that the opinion filed herein on January 25, 2024, be modified as follows:</w:t>
      </w:r>
    </w:p>
    <w:p w:rsidR="001228C8" w:rsidRPr="005D355F" w:rsidP="001228C8" w14:paraId="5D503696" w14:textId="77777777">
      <w:pPr>
        <w:spacing w:line="288" w:lineRule="auto"/>
        <w:ind w:left="720" w:hanging="720"/>
        <w:rPr>
          <w:rFonts w:ascii="Century Schoolbook" w:eastAsia="Calibri" w:hAnsi="Century Schoolbook"/>
          <w:sz w:val="26"/>
          <w:szCs w:val="26"/>
        </w:rPr>
      </w:pPr>
    </w:p>
    <w:p w:rsidR="001228C8" w:rsidP="001228C8" w14:paraId="694B1266" w14:textId="77777777">
      <w:pPr>
        <w:numPr>
          <w:ilvl w:val="0"/>
          <w:numId w:val="4"/>
        </w:numPr>
        <w:spacing w:line="288" w:lineRule="auto"/>
        <w:contextualSpacing/>
        <w:rPr>
          <w:rFonts w:ascii="Century Schoolbook" w:eastAsia="Calibri" w:hAnsi="Century Schoolbook"/>
          <w:sz w:val="26"/>
          <w:szCs w:val="26"/>
        </w:rPr>
      </w:pPr>
      <w:r>
        <w:rPr>
          <w:rFonts w:ascii="Century Schoolbook" w:eastAsia="Calibri" w:hAnsi="Century Schoolbook"/>
          <w:sz w:val="26"/>
          <w:szCs w:val="26"/>
        </w:rPr>
        <w:t>After the last sentence of footnote 2 on page 5, which ends “resolved by March 2018,” add the following sentences to the end of the footnote:</w:t>
      </w:r>
    </w:p>
    <w:p w:rsidR="001228C8" w:rsidP="001228C8" w14:paraId="000DC134" w14:textId="77777777">
      <w:pPr>
        <w:spacing w:line="288" w:lineRule="auto"/>
        <w:ind w:left="720"/>
        <w:contextualSpacing/>
        <w:rPr>
          <w:rFonts w:ascii="Century Schoolbook" w:eastAsia="Calibri" w:hAnsi="Century Schoolbook"/>
          <w:sz w:val="26"/>
          <w:szCs w:val="26"/>
        </w:rPr>
      </w:pPr>
    </w:p>
    <w:p w:rsidR="001228C8" w:rsidP="001228C8" w14:paraId="2AB99BD1" w14:textId="77777777">
      <w:pPr>
        <w:ind w:left="1440"/>
        <w:contextualSpacing/>
        <w:rPr>
          <w:rFonts w:ascii="Century Schoolbook" w:eastAsia="Calibri" w:hAnsi="Century Schoolbook"/>
          <w:sz w:val="26"/>
          <w:szCs w:val="26"/>
        </w:rPr>
      </w:pPr>
      <w:r w:rsidRPr="007B6E26">
        <w:rPr>
          <w:rFonts w:ascii="Century Schoolbook" w:eastAsia="Calibri" w:hAnsi="Century Schoolbook"/>
          <w:sz w:val="26"/>
          <w:szCs w:val="26"/>
        </w:rPr>
        <w:t>At oral argument and in a petition for rehearing, plaintiff repeatedly cites this report as evidence that Hargis Home was not providing J.C. with an “appropriate level of care” vis-à-vis his physical outbursts.  This is a blatant misrepresentation of the record.</w:t>
      </w:r>
    </w:p>
    <w:p w:rsidR="001228C8" w:rsidP="001228C8" w14:paraId="2D9B760C" w14:textId="77777777">
      <w:pPr>
        <w:spacing w:line="288" w:lineRule="auto"/>
        <w:ind w:left="1440"/>
        <w:contextualSpacing/>
        <w:rPr>
          <w:rFonts w:ascii="Century Schoolbook" w:eastAsia="Calibri" w:hAnsi="Century Schoolbook"/>
          <w:sz w:val="26"/>
          <w:szCs w:val="26"/>
        </w:rPr>
      </w:pPr>
    </w:p>
    <w:p w:rsidR="001228C8" w:rsidRPr="005D355F" w:rsidP="001228C8" w14:paraId="400C78A9" w14:textId="77777777">
      <w:pPr>
        <w:numPr>
          <w:ilvl w:val="0"/>
          <w:numId w:val="4"/>
        </w:numPr>
        <w:spacing w:line="288" w:lineRule="auto"/>
        <w:contextualSpacing/>
        <w:rPr>
          <w:rFonts w:ascii="Century Schoolbook" w:eastAsia="Calibri" w:hAnsi="Century Schoolbook"/>
          <w:sz w:val="26"/>
          <w:szCs w:val="26"/>
        </w:rPr>
      </w:pPr>
      <w:r>
        <w:rPr>
          <w:rFonts w:ascii="Century Schoolbook" w:eastAsia="Calibri" w:hAnsi="Century Schoolbook"/>
          <w:sz w:val="26"/>
          <w:szCs w:val="26"/>
        </w:rPr>
        <w:t xml:space="preserve">On page 10, line 18, after the citation ending </w:t>
      </w:r>
      <w:r w:rsidRPr="005D355F">
        <w:rPr>
          <w:rFonts w:ascii="Century Schoolbook" w:eastAsia="Calibri" w:hAnsi="Century Schoolbook"/>
          <w:sz w:val="26"/>
          <w:szCs w:val="26"/>
        </w:rPr>
        <w:t>“</w:t>
      </w:r>
      <w:r>
        <w:rPr>
          <w:rFonts w:ascii="Century Schoolbook" w:eastAsia="Calibri" w:hAnsi="Century Schoolbook"/>
          <w:sz w:val="26"/>
          <w:szCs w:val="26"/>
        </w:rPr>
        <w:t>[regional centers do not engage in ‘hour-by-hour monitoring’].),”</w:t>
      </w:r>
      <w:r w:rsidRPr="005D355F">
        <w:rPr>
          <w:rFonts w:ascii="Century Schoolbook" w:eastAsia="Calibri" w:hAnsi="Century Schoolbook"/>
          <w:sz w:val="26"/>
          <w:szCs w:val="26"/>
        </w:rPr>
        <w:t xml:space="preserve"> add as </w:t>
      </w:r>
      <w:r w:rsidRPr="00DE4CA8">
        <w:rPr>
          <w:rFonts w:ascii="Century Schoolbook" w:eastAsia="Calibri" w:hAnsi="Century Schoolbook"/>
          <w:sz w:val="26"/>
          <w:szCs w:val="26"/>
        </w:rPr>
        <w:t>footnote 4</w:t>
      </w:r>
      <w:r w:rsidRPr="005D355F">
        <w:rPr>
          <w:rFonts w:ascii="Century Schoolbook" w:eastAsia="Calibri" w:hAnsi="Century Schoolbook"/>
          <w:sz w:val="26"/>
          <w:szCs w:val="26"/>
        </w:rPr>
        <w:t xml:space="preserve"> the following footnote, </w:t>
      </w:r>
      <w:bookmarkStart w:id="1" w:name="_Hlk158725128"/>
      <w:r w:rsidRPr="005D355F">
        <w:rPr>
          <w:rFonts w:ascii="Century Schoolbook" w:eastAsia="Calibri" w:hAnsi="Century Schoolbook"/>
          <w:sz w:val="26"/>
          <w:szCs w:val="26"/>
        </w:rPr>
        <w:t xml:space="preserve">which will require renumbering of all subsequent footnotes: </w:t>
      </w:r>
      <w:bookmarkEnd w:id="1"/>
    </w:p>
    <w:p w:rsidR="001228C8" w:rsidRPr="005D355F" w:rsidP="001228C8" w14:paraId="397DBE1E" w14:textId="77777777">
      <w:pPr>
        <w:spacing w:line="288" w:lineRule="auto"/>
        <w:contextualSpacing/>
        <w:rPr>
          <w:rFonts w:ascii="Century Schoolbook" w:eastAsia="Calibri" w:hAnsi="Century Schoolbook"/>
          <w:sz w:val="26"/>
          <w:szCs w:val="26"/>
        </w:rPr>
      </w:pPr>
    </w:p>
    <w:p w:rsidR="001228C8" w:rsidP="001228C8" w14:paraId="27F34CC2" w14:textId="77777777">
      <w:pPr>
        <w:ind w:left="1440"/>
        <w:rPr>
          <w:rFonts w:ascii="Century Schoolbook" w:eastAsia="Calibri" w:hAnsi="Century Schoolbook"/>
          <w:sz w:val="26"/>
          <w:szCs w:val="26"/>
        </w:rPr>
      </w:pPr>
      <w:r w:rsidRPr="00DE4CA8">
        <w:rPr>
          <w:rFonts w:ascii="Century Schoolbook" w:eastAsia="Calibri" w:hAnsi="Century Schoolbook"/>
          <w:b/>
          <w:bCs/>
          <w:sz w:val="20"/>
          <w:szCs w:val="20"/>
        </w:rPr>
        <w:t>4</w:t>
      </w:r>
      <w:r w:rsidRPr="005D355F">
        <w:rPr>
          <w:rFonts w:ascii="Century Schoolbook" w:eastAsia="Calibri" w:hAnsi="Century Schoolbook"/>
          <w:sz w:val="26"/>
          <w:szCs w:val="26"/>
        </w:rPr>
        <w:tab/>
      </w:r>
      <w:r w:rsidRPr="007B6E26">
        <w:rPr>
          <w:rFonts w:ascii="Century Schoolbook" w:eastAsia="Calibri" w:hAnsi="Century Schoolbook"/>
          <w:sz w:val="26"/>
          <w:szCs w:val="26"/>
        </w:rPr>
        <w:t xml:space="preserve">For the first time </w:t>
      </w:r>
      <w:r>
        <w:rPr>
          <w:rFonts w:ascii="Century Schoolbook" w:eastAsia="Calibri" w:hAnsi="Century Schoolbook"/>
          <w:sz w:val="26"/>
          <w:szCs w:val="26"/>
        </w:rPr>
        <w:t xml:space="preserve">in his petition for </w:t>
      </w:r>
      <w:r w:rsidRPr="007B6E26">
        <w:rPr>
          <w:rFonts w:ascii="Century Schoolbook" w:eastAsia="Calibri" w:hAnsi="Century Schoolbook"/>
          <w:sz w:val="26"/>
          <w:szCs w:val="26"/>
        </w:rPr>
        <w:t xml:space="preserve">rehearing, plaintiff relies on </w:t>
      </w:r>
      <w:r w:rsidRPr="00DE4CA8">
        <w:rPr>
          <w:rFonts w:ascii="Century Schoolbook" w:eastAsia="Calibri" w:hAnsi="Century Schoolbook"/>
          <w:sz w:val="26"/>
          <w:szCs w:val="26"/>
        </w:rPr>
        <w:t>information on</w:t>
      </w:r>
      <w:r w:rsidRPr="007B6E26">
        <w:rPr>
          <w:rFonts w:ascii="Century Schoolbook" w:eastAsia="Calibri" w:hAnsi="Century Schoolbook"/>
          <w:sz w:val="26"/>
          <w:szCs w:val="26"/>
        </w:rPr>
        <w:t xml:space="preserve"> a website in urging us to disagree with our Supreme Court’s characterization of the extensiveness of monitoring by regional centers.  New evidence may not be presented on appeal, let alone for the first time in a petition for rehearing.  What is more, the information plaintiff quotes from the website merely confirms what we have set forth in this opinion.</w:t>
      </w:r>
    </w:p>
    <w:p w:rsidR="001228C8" w:rsidP="001228C8" w14:paraId="3BD4695F" w14:textId="77777777">
      <w:pPr>
        <w:spacing w:line="288" w:lineRule="auto"/>
        <w:rPr>
          <w:rFonts w:ascii="Century Schoolbook" w:eastAsia="Calibri" w:hAnsi="Century Schoolbook"/>
          <w:sz w:val="26"/>
          <w:szCs w:val="26"/>
        </w:rPr>
      </w:pPr>
    </w:p>
    <w:p w:rsidR="001228C8" w:rsidP="001228C8" w14:paraId="5EDB3282" w14:textId="77777777">
      <w:pPr>
        <w:pStyle w:val="ListParagraph"/>
        <w:numPr>
          <w:ilvl w:val="0"/>
          <w:numId w:val="4"/>
        </w:numPr>
        <w:spacing w:after="0" w:line="288" w:lineRule="auto"/>
        <w:rPr>
          <w:rFonts w:ascii="Century Schoolbook" w:eastAsia="Calibri" w:hAnsi="Century Schoolbook"/>
          <w:sz w:val="26"/>
          <w:szCs w:val="26"/>
        </w:rPr>
      </w:pPr>
      <w:r>
        <w:rPr>
          <w:rFonts w:ascii="Century Schoolbook" w:eastAsia="Calibri" w:hAnsi="Century Schoolbook"/>
          <w:sz w:val="26"/>
          <w:szCs w:val="26"/>
        </w:rPr>
        <w:t xml:space="preserve">On page 19, line 17, after the sentence ending “had a practice of doing so for J.C. in the past,” add the following sentences: </w:t>
      </w:r>
    </w:p>
    <w:p w:rsidR="001228C8" w:rsidP="001228C8" w14:paraId="1A2D8CA1" w14:textId="77777777">
      <w:pPr>
        <w:spacing w:line="288" w:lineRule="auto"/>
        <w:rPr>
          <w:rFonts w:ascii="Century Schoolbook" w:eastAsia="Calibri" w:hAnsi="Century Schoolbook"/>
          <w:sz w:val="26"/>
          <w:szCs w:val="26"/>
        </w:rPr>
      </w:pPr>
    </w:p>
    <w:p w:rsidR="001228C8" w:rsidP="001228C8" w14:paraId="6078C970" w14:textId="77777777">
      <w:pPr>
        <w:spacing w:line="288" w:lineRule="auto"/>
        <w:ind w:left="1440"/>
        <w:rPr>
          <w:rFonts w:ascii="Century Schoolbook" w:eastAsia="Calibri" w:hAnsi="Century Schoolbook"/>
          <w:sz w:val="26"/>
          <w:szCs w:val="26"/>
        </w:rPr>
      </w:pPr>
      <w:r w:rsidRPr="007B6E26">
        <w:rPr>
          <w:rFonts w:ascii="Century Schoolbook" w:eastAsia="Calibri" w:hAnsi="Century Schoolbook"/>
          <w:sz w:val="26"/>
          <w:szCs w:val="26"/>
        </w:rPr>
        <w:t>In his petition for rehearing, plaintiff for the first time offered up section 4648, subdivisions (a)(10)(A) and (f), as well as section 4698 as statutes empowering such unilateral relocation.  These statutes are inapt.  Subdivision (a)(10)(A) of section 4648 authorizes a regional center—either “directly or through an agency acting on [its] behalf”—to place a consumer in a “health care facilit</w:t>
      </w:r>
      <w:r>
        <w:rPr>
          <w:rFonts w:ascii="Century Schoolbook" w:eastAsia="Calibri" w:hAnsi="Century Schoolbook"/>
          <w:sz w:val="26"/>
          <w:szCs w:val="26"/>
        </w:rPr>
        <w:t>[</w:t>
      </w:r>
      <w:r w:rsidRPr="007B6E26">
        <w:rPr>
          <w:rFonts w:ascii="Century Schoolbook" w:eastAsia="Calibri" w:hAnsi="Century Schoolbook"/>
          <w:sz w:val="26"/>
          <w:szCs w:val="26"/>
        </w:rPr>
        <w:t>y</w:t>
      </w:r>
      <w:r>
        <w:rPr>
          <w:rFonts w:ascii="Century Schoolbook" w:eastAsia="Calibri" w:hAnsi="Century Schoolbook"/>
          <w:sz w:val="26"/>
          <w:szCs w:val="26"/>
        </w:rPr>
        <w:t>]</w:t>
      </w:r>
      <w:r w:rsidRPr="007B6E26">
        <w:rPr>
          <w:rFonts w:ascii="Century Schoolbook" w:eastAsia="Calibri" w:hAnsi="Century Schoolbook"/>
          <w:sz w:val="26"/>
          <w:szCs w:val="26"/>
        </w:rPr>
        <w:t xml:space="preserve">” (or a “foster family” or other residential facility), but does not empower a regional center to do so unilaterally and over that facility’s (or family’s) objection; subdivision (f) of section 4648 deals with a regional center’s power to “provide direct </w:t>
      </w:r>
      <w:r w:rsidRPr="009B2BAC">
        <w:rPr>
          <w:rFonts w:ascii="Century Schoolbook" w:eastAsia="Calibri" w:hAnsi="Century Schoolbook"/>
          <w:i/>
          <w:iCs/>
          <w:sz w:val="26"/>
          <w:szCs w:val="26"/>
        </w:rPr>
        <w:t>treatment and therapeutic services</w:t>
      </w:r>
      <w:r w:rsidRPr="007B6E26">
        <w:rPr>
          <w:rFonts w:ascii="Century Schoolbook" w:eastAsia="Calibri" w:hAnsi="Century Schoolbook"/>
          <w:sz w:val="26"/>
          <w:szCs w:val="26"/>
        </w:rPr>
        <w:t xml:space="preserve">” in “emergency situations” </w:t>
      </w:r>
      <w:r>
        <w:rPr>
          <w:rFonts w:ascii="Century Schoolbook" w:eastAsia="Calibri" w:hAnsi="Century Schoolbook"/>
          <w:sz w:val="26"/>
          <w:szCs w:val="26"/>
        </w:rPr>
        <w:t xml:space="preserve">(italics added), </w:t>
      </w:r>
      <w:r w:rsidRPr="007B6E26">
        <w:rPr>
          <w:rFonts w:ascii="Century Schoolbook" w:eastAsia="Calibri" w:hAnsi="Century Schoolbook"/>
          <w:sz w:val="26"/>
          <w:szCs w:val="26"/>
        </w:rPr>
        <w:t>but does not empower a regional center to directly and unilaterally house a consumer; and section 4698 deals with the certification and oversight of “community crisis homes,” but again does not empower a regional center to place a consumer into such a home over the home’s objection.</w:t>
      </w:r>
    </w:p>
    <w:p w:rsidR="001228C8" w:rsidP="001228C8" w14:paraId="14D4BC6F" w14:textId="77777777">
      <w:pPr>
        <w:spacing w:line="288" w:lineRule="auto"/>
        <w:rPr>
          <w:rFonts w:ascii="Century Schoolbook" w:eastAsia="Calibri" w:hAnsi="Century Schoolbook"/>
          <w:sz w:val="26"/>
          <w:szCs w:val="26"/>
        </w:rPr>
      </w:pPr>
    </w:p>
    <w:p w:rsidR="001228C8" w:rsidP="001228C8" w14:paraId="404DB3A2" w14:textId="77777777">
      <w:pPr>
        <w:pStyle w:val="ListParagraph"/>
        <w:numPr>
          <w:ilvl w:val="0"/>
          <w:numId w:val="4"/>
        </w:numPr>
        <w:spacing w:after="0" w:line="288" w:lineRule="auto"/>
        <w:rPr>
          <w:rFonts w:ascii="Century Schoolbook" w:eastAsia="Calibri" w:hAnsi="Century Schoolbook"/>
          <w:sz w:val="26"/>
          <w:szCs w:val="26"/>
        </w:rPr>
      </w:pPr>
      <w:r>
        <w:rPr>
          <w:rFonts w:ascii="Century Schoolbook" w:eastAsia="Calibri" w:hAnsi="Century Schoolbook"/>
          <w:sz w:val="26"/>
          <w:szCs w:val="26"/>
        </w:rPr>
        <w:t xml:space="preserve">On page 22, line 21, after the sentence ending “into the consumer’s orbit,” </w:t>
      </w:r>
      <w:bookmarkStart w:id="2" w:name="_Hlk158725599"/>
      <w:r>
        <w:rPr>
          <w:rFonts w:ascii="Century Schoolbook" w:eastAsia="Calibri" w:hAnsi="Century Schoolbook"/>
          <w:sz w:val="26"/>
          <w:szCs w:val="26"/>
        </w:rPr>
        <w:t xml:space="preserve">add as footnote </w:t>
      </w:r>
      <w:r w:rsidRPr="009925C4">
        <w:rPr>
          <w:rFonts w:ascii="Century Schoolbook" w:eastAsia="Calibri" w:hAnsi="Century Schoolbook"/>
          <w:sz w:val="26"/>
          <w:szCs w:val="26"/>
        </w:rPr>
        <w:t>9 t</w:t>
      </w:r>
      <w:r>
        <w:rPr>
          <w:rFonts w:ascii="Century Schoolbook" w:eastAsia="Calibri" w:hAnsi="Century Schoolbook"/>
          <w:sz w:val="26"/>
          <w:szCs w:val="26"/>
        </w:rPr>
        <w:t xml:space="preserve">he following footnote, </w:t>
      </w:r>
      <w:r w:rsidRPr="001F660C">
        <w:rPr>
          <w:rFonts w:ascii="Century Schoolbook" w:eastAsia="Calibri" w:hAnsi="Century Schoolbook"/>
          <w:sz w:val="26"/>
          <w:szCs w:val="26"/>
        </w:rPr>
        <w:t>which will require renumbering of all subsequent footnotes:</w:t>
      </w:r>
    </w:p>
    <w:p w:rsidR="001228C8" w:rsidP="001228C8" w14:paraId="7FF1285D" w14:textId="77777777">
      <w:pPr>
        <w:spacing w:line="288" w:lineRule="auto"/>
        <w:rPr>
          <w:rFonts w:ascii="Century Schoolbook" w:eastAsia="Calibri" w:hAnsi="Century Schoolbook"/>
          <w:sz w:val="26"/>
          <w:szCs w:val="26"/>
        </w:rPr>
      </w:pPr>
    </w:p>
    <w:p w:rsidR="001228C8" w:rsidP="001228C8" w14:paraId="61A661CF" w14:textId="77777777">
      <w:pPr>
        <w:pStyle w:val="ListParagraph"/>
        <w:spacing w:after="0" w:line="240" w:lineRule="auto"/>
        <w:ind w:left="1440"/>
        <w:rPr>
          <w:rFonts w:ascii="Century Schoolbook" w:eastAsia="Calibri" w:hAnsi="Century Schoolbook"/>
          <w:sz w:val="26"/>
          <w:szCs w:val="26"/>
        </w:rPr>
      </w:pPr>
      <w:r w:rsidRPr="009925C4">
        <w:rPr>
          <w:rFonts w:ascii="Century Schoolbook" w:eastAsia="Calibri" w:hAnsi="Century Schoolbook"/>
          <w:b/>
          <w:bCs/>
          <w:sz w:val="20"/>
          <w:szCs w:val="20"/>
        </w:rPr>
        <w:t>9</w:t>
      </w:r>
      <w:r w:rsidRPr="005D355F">
        <w:rPr>
          <w:rFonts w:ascii="Century Schoolbook" w:eastAsia="Calibri" w:hAnsi="Century Schoolbook"/>
          <w:sz w:val="26"/>
          <w:szCs w:val="26"/>
        </w:rPr>
        <w:tab/>
      </w:r>
      <w:r w:rsidRPr="001F660C">
        <w:rPr>
          <w:rFonts w:ascii="Century Schoolbook" w:eastAsia="Calibri" w:hAnsi="Century Schoolbook"/>
          <w:sz w:val="26"/>
          <w:szCs w:val="26"/>
        </w:rPr>
        <w:t xml:space="preserve">The Regional Center’s acknowledgment, in its July 6, 2018 progress </w:t>
      </w:r>
      <w:bookmarkEnd w:id="2"/>
      <w:r w:rsidRPr="001F660C">
        <w:rPr>
          <w:rFonts w:ascii="Century Schoolbook" w:eastAsia="Calibri" w:hAnsi="Century Schoolbook"/>
          <w:sz w:val="26"/>
          <w:szCs w:val="26"/>
        </w:rPr>
        <w:t xml:space="preserve">report, that it had secured funding for additional staff “to keep [J.C.] </w:t>
      </w:r>
      <w:r w:rsidRPr="00DB5275">
        <w:rPr>
          <w:rFonts w:ascii="Century Schoolbook" w:eastAsia="Calibri" w:hAnsi="Century Schoolbook"/>
          <w:i/>
          <w:iCs/>
          <w:sz w:val="26"/>
          <w:szCs w:val="26"/>
        </w:rPr>
        <w:t>and staff</w:t>
      </w:r>
      <w:r w:rsidRPr="001F660C">
        <w:rPr>
          <w:rFonts w:ascii="Century Schoolbook" w:eastAsia="Calibri" w:hAnsi="Century Schoolbook"/>
          <w:sz w:val="26"/>
          <w:szCs w:val="26"/>
        </w:rPr>
        <w:t xml:space="preserve"> safe” (italics added) does not, contrary to what plaintiff argues </w:t>
      </w:r>
      <w:r>
        <w:rPr>
          <w:rFonts w:ascii="Century Schoolbook" w:eastAsia="Calibri" w:hAnsi="Century Schoolbook"/>
          <w:sz w:val="26"/>
          <w:szCs w:val="26"/>
        </w:rPr>
        <w:t xml:space="preserve">in his petition for </w:t>
      </w:r>
      <w:r w:rsidRPr="001F660C">
        <w:rPr>
          <w:rFonts w:ascii="Century Schoolbook" w:eastAsia="Calibri" w:hAnsi="Century Schoolbook"/>
          <w:sz w:val="26"/>
          <w:szCs w:val="26"/>
        </w:rPr>
        <w:t>rehearing, establish a duty running from the Regional Center to staff.  The question of duty is a</w:t>
      </w:r>
      <w:r>
        <w:rPr>
          <w:rFonts w:ascii="Century Schoolbook" w:eastAsia="Calibri" w:hAnsi="Century Schoolbook"/>
          <w:sz w:val="26"/>
          <w:szCs w:val="26"/>
        </w:rPr>
        <w:t xml:space="preserve"> </w:t>
      </w:r>
      <w:r w:rsidRPr="001F660C">
        <w:rPr>
          <w:rFonts w:ascii="Century Schoolbook" w:eastAsia="Calibri" w:hAnsi="Century Schoolbook"/>
          <w:sz w:val="26"/>
          <w:szCs w:val="26"/>
        </w:rPr>
        <w:t>question</w:t>
      </w:r>
      <w:r>
        <w:rPr>
          <w:rFonts w:ascii="Century Schoolbook" w:eastAsia="Calibri" w:hAnsi="Century Schoolbook"/>
          <w:sz w:val="26"/>
          <w:szCs w:val="26"/>
        </w:rPr>
        <w:t xml:space="preserve"> of law for the courts</w:t>
      </w:r>
      <w:r w:rsidRPr="001F660C">
        <w:rPr>
          <w:rFonts w:ascii="Century Schoolbook" w:eastAsia="Calibri" w:hAnsi="Century Schoolbook"/>
          <w:sz w:val="26"/>
          <w:szCs w:val="26"/>
        </w:rPr>
        <w:t>.</w:t>
      </w:r>
    </w:p>
    <w:p w:rsidR="001228C8" w:rsidP="001228C8" w14:paraId="47031CF0" w14:textId="77777777">
      <w:pPr>
        <w:spacing w:line="288" w:lineRule="auto"/>
        <w:rPr>
          <w:rFonts w:ascii="Century Schoolbook" w:eastAsia="Calibri" w:hAnsi="Century Schoolbook"/>
          <w:sz w:val="26"/>
          <w:szCs w:val="26"/>
        </w:rPr>
      </w:pPr>
    </w:p>
    <w:p w:rsidR="001228C8" w:rsidP="001228C8" w14:paraId="5D79FBC0" w14:textId="77777777">
      <w:pPr>
        <w:pStyle w:val="ListParagraph"/>
        <w:numPr>
          <w:ilvl w:val="0"/>
          <w:numId w:val="4"/>
        </w:numPr>
        <w:spacing w:after="0" w:line="288" w:lineRule="auto"/>
        <w:rPr>
          <w:rFonts w:ascii="Century Schoolbook" w:eastAsia="Calibri" w:hAnsi="Century Schoolbook"/>
          <w:sz w:val="26"/>
          <w:szCs w:val="26"/>
        </w:rPr>
      </w:pPr>
      <w:r>
        <w:rPr>
          <w:rFonts w:ascii="Century Schoolbook" w:eastAsia="Calibri" w:hAnsi="Century Schoolbook"/>
          <w:sz w:val="26"/>
          <w:szCs w:val="26"/>
        </w:rPr>
        <w:t xml:space="preserve">On page 27, line 2, after the sentence ending “namely, workers’ compensation,” add the following sentence: </w:t>
      </w:r>
    </w:p>
    <w:p w:rsidR="001228C8" w:rsidP="001228C8" w14:paraId="2BBBE96A" w14:textId="77777777">
      <w:pPr>
        <w:pStyle w:val="ListParagraph"/>
        <w:spacing w:after="0" w:line="288" w:lineRule="auto"/>
        <w:rPr>
          <w:rFonts w:ascii="Century Schoolbook" w:eastAsia="Calibri" w:hAnsi="Century Schoolbook"/>
          <w:sz w:val="26"/>
          <w:szCs w:val="26"/>
        </w:rPr>
      </w:pPr>
    </w:p>
    <w:p w:rsidR="001228C8" w:rsidP="001228C8" w14:paraId="62F65A3A" w14:textId="77777777">
      <w:pPr>
        <w:spacing w:line="288" w:lineRule="auto"/>
        <w:ind w:left="1440"/>
        <w:contextualSpacing/>
        <w:rPr>
          <w:rFonts w:ascii="Century Schoolbook" w:eastAsia="Calibri" w:hAnsi="Century Schoolbook"/>
          <w:sz w:val="26"/>
          <w:szCs w:val="26"/>
        </w:rPr>
      </w:pPr>
      <w:r w:rsidRPr="00FC378C">
        <w:rPr>
          <w:rFonts w:ascii="Century Schoolbook" w:eastAsia="Calibri" w:hAnsi="Century Schoolbook"/>
          <w:sz w:val="26"/>
          <w:szCs w:val="26"/>
        </w:rPr>
        <w:t>Plaintiff complains that the workers’ compensation system does not provide for full recovery, but that only illuminates the true motivation of this action and demonstrates why recognizing the duty plaintiff urges would be devastating to regional centers.</w:t>
      </w:r>
    </w:p>
    <w:p w:rsidR="001228C8" w:rsidP="001228C8" w14:paraId="1FF0514B" w14:textId="77777777">
      <w:pPr>
        <w:spacing w:line="288" w:lineRule="auto"/>
        <w:contextualSpacing/>
        <w:rPr>
          <w:rFonts w:ascii="Century Schoolbook" w:eastAsia="Calibri" w:hAnsi="Century Schoolbook"/>
          <w:sz w:val="26"/>
          <w:szCs w:val="26"/>
        </w:rPr>
      </w:pPr>
    </w:p>
    <w:p w:rsidR="001228C8" w:rsidP="001228C8" w14:paraId="616B6523" w14:textId="77777777">
      <w:pPr>
        <w:pStyle w:val="ListParagraph"/>
        <w:numPr>
          <w:ilvl w:val="0"/>
          <w:numId w:val="4"/>
        </w:numPr>
        <w:spacing w:after="0" w:line="288" w:lineRule="auto"/>
        <w:rPr>
          <w:rFonts w:ascii="Century Schoolbook" w:eastAsia="Calibri" w:hAnsi="Century Schoolbook"/>
          <w:sz w:val="26"/>
          <w:szCs w:val="26"/>
        </w:rPr>
      </w:pPr>
      <w:r>
        <w:rPr>
          <w:rFonts w:ascii="Century Schoolbook" w:eastAsia="Calibri" w:hAnsi="Century Schoolbook"/>
          <w:sz w:val="26"/>
          <w:szCs w:val="26"/>
        </w:rPr>
        <w:t xml:space="preserve">In line 3 of the first full paragraph on page 27, after the sentence ending “is able to obtain insurance,” add as </w:t>
      </w:r>
      <w:r w:rsidRPr="00E67A64">
        <w:rPr>
          <w:rFonts w:ascii="Century Schoolbook" w:eastAsia="Calibri" w:hAnsi="Century Schoolbook"/>
          <w:sz w:val="26"/>
          <w:szCs w:val="26"/>
        </w:rPr>
        <w:t>footnote 10 the</w:t>
      </w:r>
      <w:r>
        <w:rPr>
          <w:rFonts w:ascii="Century Schoolbook" w:eastAsia="Calibri" w:hAnsi="Century Schoolbook"/>
          <w:sz w:val="26"/>
          <w:szCs w:val="26"/>
        </w:rPr>
        <w:t xml:space="preserve"> following footnote</w:t>
      </w:r>
      <w:r w:rsidRPr="001F660C">
        <w:rPr>
          <w:rFonts w:ascii="Century Schoolbook" w:eastAsia="Calibri" w:hAnsi="Century Schoolbook"/>
          <w:sz w:val="26"/>
          <w:szCs w:val="26"/>
        </w:rPr>
        <w:t>:</w:t>
      </w:r>
    </w:p>
    <w:p w:rsidR="001228C8" w:rsidP="001228C8" w14:paraId="7013E713" w14:textId="77777777">
      <w:pPr>
        <w:spacing w:line="288" w:lineRule="auto"/>
        <w:rPr>
          <w:rFonts w:ascii="Century Schoolbook" w:eastAsia="Calibri" w:hAnsi="Century Schoolbook"/>
          <w:sz w:val="26"/>
          <w:szCs w:val="26"/>
        </w:rPr>
      </w:pPr>
    </w:p>
    <w:p w:rsidR="001228C8" w:rsidRPr="00FC378C" w:rsidP="001228C8" w14:paraId="4694AB4E" w14:textId="77777777">
      <w:pPr>
        <w:pStyle w:val="ListParagraph"/>
        <w:spacing w:line="240" w:lineRule="auto"/>
        <w:ind w:left="1440"/>
        <w:rPr>
          <w:rFonts w:ascii="Century Schoolbook" w:eastAsia="Calibri" w:hAnsi="Century Schoolbook"/>
          <w:sz w:val="26"/>
          <w:szCs w:val="26"/>
        </w:rPr>
      </w:pPr>
      <w:r w:rsidRPr="00E67A64">
        <w:rPr>
          <w:rFonts w:ascii="Century Schoolbook" w:eastAsia="Calibri" w:hAnsi="Century Schoolbook"/>
          <w:b/>
          <w:bCs/>
          <w:sz w:val="20"/>
          <w:szCs w:val="20"/>
        </w:rPr>
        <w:t>10</w:t>
      </w:r>
      <w:r w:rsidRPr="005D355F">
        <w:rPr>
          <w:rFonts w:ascii="Century Schoolbook" w:eastAsia="Calibri" w:hAnsi="Century Schoolbook"/>
          <w:sz w:val="26"/>
          <w:szCs w:val="26"/>
        </w:rPr>
        <w:tab/>
      </w:r>
      <w:r w:rsidRPr="00681E22">
        <w:rPr>
          <w:rFonts w:ascii="Century Schoolbook" w:eastAsia="Calibri" w:hAnsi="Century Schoolbook"/>
          <w:sz w:val="26"/>
          <w:szCs w:val="26"/>
        </w:rPr>
        <w:t xml:space="preserve">For the first time </w:t>
      </w:r>
      <w:r>
        <w:rPr>
          <w:rFonts w:ascii="Century Schoolbook" w:eastAsia="Calibri" w:hAnsi="Century Schoolbook"/>
          <w:sz w:val="26"/>
          <w:szCs w:val="26"/>
        </w:rPr>
        <w:t>in his petition for</w:t>
      </w:r>
      <w:r w:rsidRPr="00681E22">
        <w:rPr>
          <w:rFonts w:ascii="Century Schoolbook" w:eastAsia="Calibri" w:hAnsi="Century Schoolbook"/>
          <w:sz w:val="26"/>
          <w:szCs w:val="26"/>
        </w:rPr>
        <w:t xml:space="preserve"> rehearing and once again pointing us to a website to provide additional evidence never presented before, plaintiff argues that Hargis Home was required to name the Regional Center as an additional insured on </w:t>
      </w:r>
      <w:r w:rsidRPr="00414FEF">
        <w:rPr>
          <w:rFonts w:ascii="Century Schoolbook" w:eastAsia="Calibri" w:hAnsi="Century Schoolbook"/>
          <w:i/>
          <w:iCs/>
          <w:sz w:val="26"/>
          <w:szCs w:val="26"/>
        </w:rPr>
        <w:t xml:space="preserve">Hargis </w:t>
      </w:r>
      <w:r w:rsidRPr="003D71B0">
        <w:rPr>
          <w:rFonts w:ascii="Century Schoolbook" w:eastAsia="Calibri" w:hAnsi="Century Schoolbook"/>
          <w:i/>
          <w:iCs/>
          <w:sz w:val="26"/>
          <w:szCs w:val="26"/>
        </w:rPr>
        <w:t>Home</w:t>
      </w:r>
      <w:r w:rsidRPr="00414FEF">
        <w:rPr>
          <w:rFonts w:ascii="Century Schoolbook" w:eastAsia="Calibri" w:hAnsi="Century Schoolbook"/>
          <w:sz w:val="26"/>
          <w:szCs w:val="26"/>
        </w:rPr>
        <w:t>’s</w:t>
      </w:r>
      <w:r w:rsidRPr="00681E22">
        <w:rPr>
          <w:rFonts w:ascii="Century Schoolbook" w:eastAsia="Calibri" w:hAnsi="Century Schoolbook"/>
          <w:sz w:val="26"/>
          <w:szCs w:val="26"/>
        </w:rPr>
        <w:t xml:space="preserve"> insurance policy.  But an insurance company’s willingness to ensure a regional center on the basis of the limited liability that exists today does not speak to whether insurance would be available for the open-ended liability that would exist if we recognized the duty plaintiff proposes.</w:t>
      </w:r>
    </w:p>
    <w:p w:rsidR="001228C8" w:rsidRPr="005D355F" w:rsidP="001228C8" w14:paraId="507C9C49" w14:textId="77777777">
      <w:pPr>
        <w:spacing w:line="288" w:lineRule="auto"/>
        <w:rPr>
          <w:rFonts w:ascii="Century Schoolbook" w:eastAsia="Calibri" w:hAnsi="Century Schoolbook" w:cs="MV Boli"/>
          <w:sz w:val="26"/>
          <w:szCs w:val="26"/>
        </w:rPr>
      </w:pPr>
    </w:p>
    <w:p w:rsidR="001228C8" w:rsidRPr="005D355F" w:rsidP="001228C8" w14:paraId="57848B43" w14:textId="77777777">
      <w:pPr>
        <w:spacing w:line="288" w:lineRule="auto"/>
        <w:jc w:val="center"/>
        <w:rPr>
          <w:rFonts w:ascii="Century Schoolbook" w:eastAsia="Calibri" w:hAnsi="Century Schoolbook"/>
          <w:sz w:val="26"/>
          <w:szCs w:val="26"/>
        </w:rPr>
      </w:pPr>
      <w:r w:rsidRPr="005D355F">
        <w:rPr>
          <w:rFonts w:ascii="Century Schoolbook" w:eastAsia="Calibri" w:hAnsi="Century Schoolbook"/>
          <w:sz w:val="26"/>
          <w:szCs w:val="26"/>
        </w:rPr>
        <w:t>*</w:t>
      </w:r>
      <w:r w:rsidRPr="005D355F">
        <w:rPr>
          <w:rFonts w:ascii="Century Schoolbook" w:eastAsia="Calibri" w:hAnsi="Century Schoolbook"/>
          <w:sz w:val="26"/>
          <w:szCs w:val="26"/>
        </w:rPr>
        <w:tab/>
        <w:t>*</w:t>
      </w:r>
      <w:r w:rsidRPr="005D355F">
        <w:rPr>
          <w:rFonts w:ascii="Century Schoolbook" w:eastAsia="Calibri" w:hAnsi="Century Schoolbook"/>
          <w:sz w:val="26"/>
          <w:szCs w:val="26"/>
        </w:rPr>
        <w:tab/>
        <w:t>*</w:t>
      </w:r>
    </w:p>
    <w:p w:rsidR="001228C8" w:rsidRPr="005D355F" w:rsidP="001228C8" w14:paraId="12DF7504" w14:textId="77777777">
      <w:pPr>
        <w:spacing w:line="288" w:lineRule="auto"/>
        <w:rPr>
          <w:rFonts w:ascii="Century Schoolbook" w:eastAsia="Calibri" w:hAnsi="Century Schoolbook"/>
          <w:sz w:val="26"/>
          <w:szCs w:val="26"/>
        </w:rPr>
      </w:pPr>
    </w:p>
    <w:p w:rsidR="001228C8" w:rsidRPr="005D355F" w:rsidP="001228C8" w14:paraId="2198CE9B" w14:textId="77777777">
      <w:pPr>
        <w:spacing w:line="288" w:lineRule="auto"/>
        <w:rPr>
          <w:rFonts w:ascii="Century Schoolbook" w:eastAsia="Calibri" w:hAnsi="Century Schoolbook"/>
          <w:sz w:val="26"/>
          <w:szCs w:val="26"/>
        </w:rPr>
      </w:pPr>
      <w:r w:rsidRPr="005D355F">
        <w:rPr>
          <w:rFonts w:ascii="Century Schoolbook" w:eastAsia="Calibri" w:hAnsi="Century Schoolbook"/>
          <w:sz w:val="26"/>
          <w:szCs w:val="26"/>
        </w:rPr>
        <w:t xml:space="preserve">There is no change in the judgment.  </w:t>
      </w:r>
    </w:p>
    <w:p w:rsidR="001228C8" w:rsidRPr="005D355F" w:rsidP="001228C8" w14:paraId="7E3AD3F7" w14:textId="77777777">
      <w:pPr>
        <w:spacing w:line="288" w:lineRule="auto"/>
        <w:rPr>
          <w:rFonts w:ascii="Century Schoolbook" w:eastAsia="Calibri" w:hAnsi="Century Schoolbook"/>
          <w:sz w:val="26"/>
          <w:szCs w:val="26"/>
          <w:highlight w:val="yellow"/>
        </w:rPr>
      </w:pPr>
    </w:p>
    <w:p w:rsidR="001228C8" w:rsidRPr="005D355F" w:rsidP="001228C8" w14:paraId="31E2ABC2" w14:textId="77777777">
      <w:pPr>
        <w:spacing w:line="288" w:lineRule="auto"/>
        <w:rPr>
          <w:rFonts w:ascii="Century Schoolbook" w:eastAsia="Calibri" w:hAnsi="Century Schoolbook"/>
          <w:sz w:val="26"/>
          <w:szCs w:val="26"/>
        </w:rPr>
      </w:pPr>
      <w:r w:rsidRPr="00681E22">
        <w:rPr>
          <w:rFonts w:ascii="Century Schoolbook" w:eastAsia="Calibri" w:hAnsi="Century Schoolbook"/>
          <w:sz w:val="26"/>
          <w:szCs w:val="26"/>
        </w:rPr>
        <w:t>Appellant’s petition</w:t>
      </w:r>
      <w:r w:rsidRPr="005D355F">
        <w:rPr>
          <w:rFonts w:ascii="Century Schoolbook" w:eastAsia="Calibri" w:hAnsi="Century Schoolbook"/>
          <w:sz w:val="26"/>
          <w:szCs w:val="26"/>
        </w:rPr>
        <w:t xml:space="preserve"> for rehearing is denied.  </w:t>
      </w:r>
    </w:p>
    <w:p w:rsidR="001228C8" w:rsidRPr="005D355F" w:rsidP="001228C8" w14:paraId="5FE40339" w14:textId="77777777">
      <w:pPr>
        <w:spacing w:line="288" w:lineRule="auto"/>
        <w:rPr>
          <w:rFonts w:ascii="Century Schoolbook" w:eastAsia="Calibri" w:hAnsi="Century Schoolbook"/>
          <w:sz w:val="26"/>
          <w:szCs w:val="26"/>
        </w:rPr>
      </w:pPr>
    </w:p>
    <w:p w:rsidR="001228C8" w:rsidRPr="005D355F" w:rsidP="001228C8" w14:paraId="495C8211" w14:textId="77777777">
      <w:pPr>
        <w:spacing w:line="288" w:lineRule="auto"/>
        <w:rPr>
          <w:rFonts w:ascii="Century Schoolbook" w:eastAsia="Calibri" w:hAnsi="Century Schoolbook"/>
          <w:sz w:val="26"/>
          <w:szCs w:val="26"/>
        </w:rPr>
      </w:pPr>
    </w:p>
    <w:p w:rsidR="001228C8" w:rsidRPr="005D355F" w:rsidP="001228C8" w14:paraId="7CF69047" w14:textId="77777777">
      <w:pPr>
        <w:spacing w:line="288" w:lineRule="auto"/>
        <w:rPr>
          <w:rFonts w:ascii="Century Schoolbook" w:eastAsia="Calibri" w:hAnsi="Century Schoolbook"/>
          <w:sz w:val="26"/>
          <w:szCs w:val="22"/>
        </w:rPr>
      </w:pPr>
      <w:r w:rsidRPr="005D355F">
        <w:rPr>
          <w:rFonts w:ascii="Century Schoolbook" w:eastAsia="Calibri" w:hAnsi="Century Schoolbook"/>
          <w:sz w:val="26"/>
          <w:szCs w:val="26"/>
        </w:rPr>
        <w:t xml:space="preserve">—————————————————————————————— </w:t>
      </w:r>
      <w:r w:rsidRPr="005D355F">
        <w:rPr>
          <w:rFonts w:ascii="Century Schoolbook" w:eastAsia="Calibri" w:hAnsi="Century Schoolbook"/>
          <w:sz w:val="26"/>
          <w:szCs w:val="22"/>
        </w:rPr>
        <w:t>ASHMANN-GERST</w:t>
      </w:r>
      <w:r w:rsidRPr="005D355F">
        <w:rPr>
          <w:rFonts w:ascii="Century Schoolbook" w:eastAsia="Calibri" w:hAnsi="Century Schoolbook"/>
          <w:sz w:val="26"/>
          <w:szCs w:val="26"/>
        </w:rPr>
        <w:t xml:space="preserve">, Acting P. J.  CHAVEZ, J.  </w:t>
      </w:r>
      <w:r w:rsidRPr="005D355F">
        <w:rPr>
          <w:rFonts w:ascii="Century Schoolbook" w:eastAsia="Calibri" w:hAnsi="Century Schoolbook"/>
          <w:sz w:val="26"/>
          <w:szCs w:val="26"/>
        </w:rPr>
        <w:tab/>
        <w:t>HOFFSTADT, J.</w:t>
      </w:r>
      <w:bookmarkEnd w:id="0"/>
    </w:p>
    <w:p w:rsidR="001228C8" w:rsidP="00B555DD" w14:paraId="259F3B5A" w14:textId="77777777">
      <w:pPr>
        <w:spacing w:line="288" w:lineRule="auto"/>
        <w:rPr>
          <w:rFonts w:ascii="Century Schoolbook" w:eastAsia="Calibri" w:hAnsi="Century Schoolbook"/>
          <w:bCs/>
          <w:sz w:val="20"/>
          <w:szCs w:val="20"/>
        </w:rPr>
        <w:sectPr w:rsidSect="00F560FD">
          <w:footerReference w:type="default" r:id="rId6"/>
          <w:pgSz w:w="12240" w:h="15840"/>
          <w:pgMar w:top="2160" w:right="2160" w:bottom="2160" w:left="2160" w:header="720" w:footer="720" w:gutter="0"/>
          <w:cols w:space="720"/>
          <w:titlePg/>
          <w:docGrid w:linePitch="360"/>
        </w:sectPr>
      </w:pPr>
    </w:p>
    <w:p w:rsidR="00B90B89" w:rsidRPr="00B555DD" w:rsidP="00B555DD" w14:paraId="7861A2EF" w14:textId="410D3B41">
      <w:pPr>
        <w:spacing w:line="288" w:lineRule="auto"/>
        <w:rPr>
          <w:rFonts w:ascii="Century Schoolbook" w:eastAsia="Calibri" w:hAnsi="Century Schoolbook"/>
          <w:bCs/>
          <w:sz w:val="20"/>
          <w:szCs w:val="20"/>
        </w:rPr>
      </w:pPr>
      <w:r>
        <w:rPr>
          <w:rFonts w:ascii="Century Schoolbook" w:eastAsia="Calibri" w:hAnsi="Century Schoolbook"/>
          <w:bCs/>
          <w:sz w:val="20"/>
          <w:szCs w:val="20"/>
        </w:rPr>
        <w:t>Filed 1/25/24</w:t>
      </w:r>
      <w:r w:rsidR="001228C8">
        <w:rPr>
          <w:rFonts w:ascii="Century Schoolbook" w:eastAsia="Calibri" w:hAnsi="Century Schoolbook"/>
          <w:bCs/>
          <w:sz w:val="20"/>
          <w:szCs w:val="20"/>
        </w:rPr>
        <w:t xml:space="preserve"> (unmodified opinion)</w:t>
      </w:r>
    </w:p>
    <w:p w:rsidR="00D370B4" w:rsidRPr="00D370B4" w:rsidP="00562CBA" w14:paraId="26A24885" w14:textId="61F7BEDA">
      <w:pPr>
        <w:spacing w:line="288" w:lineRule="auto"/>
        <w:jc w:val="center"/>
        <w:rPr>
          <w:rFonts w:ascii="Century Schoolbook" w:eastAsia="Calibri" w:hAnsi="Century Schoolbook"/>
          <w:b/>
          <w:sz w:val="26"/>
          <w:szCs w:val="22"/>
        </w:rPr>
      </w:pPr>
      <w:r w:rsidRPr="00D370B4">
        <w:rPr>
          <w:rFonts w:ascii="Century Schoolbook" w:eastAsia="Calibri" w:hAnsi="Century Schoolbook"/>
          <w:b/>
          <w:sz w:val="26"/>
          <w:szCs w:val="22"/>
        </w:rPr>
        <w:t>CERTIFIED FOR PUBLICATION</w:t>
      </w:r>
    </w:p>
    <w:p w:rsidR="009A7218" w:rsidRPr="009A7218" w:rsidP="00D0414F" w14:paraId="1B92DE46" w14:textId="77777777">
      <w:pPr>
        <w:spacing w:line="288" w:lineRule="auto"/>
        <w:jc w:val="center"/>
        <w:rPr>
          <w:rFonts w:ascii="Century Schoolbook" w:eastAsia="Calibri" w:hAnsi="Century Schoolbook"/>
          <w:sz w:val="26"/>
        </w:rPr>
      </w:pPr>
    </w:p>
    <w:p w:rsidR="009A7218" w:rsidRPr="009A7218" w:rsidP="00E042BC" w14:paraId="6C65E19E"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IN THE COURT OF APPEAL OF THE STATE OF CALIFORNIA</w:t>
      </w:r>
    </w:p>
    <w:p w:rsidR="009A7218" w:rsidRPr="009A7218" w:rsidP="00E042BC" w14:paraId="1B8D6176" w14:textId="77777777">
      <w:pPr>
        <w:spacing w:line="288" w:lineRule="auto"/>
        <w:jc w:val="center"/>
        <w:rPr>
          <w:rFonts w:ascii="Century Schoolbook" w:eastAsia="Calibri" w:hAnsi="Century Schoolbook"/>
          <w:sz w:val="26"/>
        </w:rPr>
      </w:pPr>
    </w:p>
    <w:p w:rsidR="009A7218" w:rsidRPr="009A7218" w:rsidP="00E042BC" w14:paraId="19E0B779"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SECOND APPELLATE DISTRICT</w:t>
      </w:r>
    </w:p>
    <w:p w:rsidR="009A7218" w:rsidRPr="009A7218" w:rsidP="00E042BC" w14:paraId="5CEB5AFF" w14:textId="77777777">
      <w:pPr>
        <w:spacing w:line="288" w:lineRule="auto"/>
        <w:jc w:val="center"/>
        <w:rPr>
          <w:rFonts w:ascii="Century Schoolbook" w:eastAsia="Calibri" w:hAnsi="Century Schoolbook"/>
          <w:sz w:val="26"/>
        </w:rPr>
      </w:pPr>
    </w:p>
    <w:p w:rsidR="009A7218" w:rsidRPr="009A7218" w:rsidP="00E042BC" w14:paraId="4C0ED1C3" w14:textId="17ACFE9A">
      <w:pPr>
        <w:tabs>
          <w:tab w:val="center" w:pos="3960"/>
          <w:tab w:val="left" w:pos="5700"/>
        </w:tabs>
        <w:spacing w:line="288" w:lineRule="auto"/>
        <w:rPr>
          <w:rFonts w:ascii="Century Schoolbook" w:eastAsia="Calibri" w:hAnsi="Century Schoolbook"/>
          <w:sz w:val="26"/>
        </w:rPr>
      </w:pPr>
      <w:r>
        <w:rPr>
          <w:rFonts w:ascii="Century Schoolbook" w:eastAsia="Calibri" w:hAnsi="Century Schoolbook"/>
          <w:sz w:val="26"/>
        </w:rPr>
        <w:tab/>
      </w:r>
      <w:r w:rsidRPr="009A7218">
        <w:rPr>
          <w:rFonts w:ascii="Century Schoolbook" w:eastAsia="Calibri" w:hAnsi="Century Schoolbook"/>
          <w:sz w:val="26"/>
        </w:rPr>
        <w:t>DIVISION TWO</w:t>
      </w:r>
      <w:r>
        <w:rPr>
          <w:rFonts w:ascii="Century Schoolbook" w:eastAsia="Calibri" w:hAnsi="Century Schoolbook"/>
          <w:sz w:val="26"/>
        </w:rPr>
        <w:tab/>
      </w:r>
    </w:p>
    <w:p w:rsidR="009A7218" w:rsidRPr="009A7218" w:rsidP="00E042BC" w14:paraId="4E21B25C" w14:textId="77777777">
      <w:pPr>
        <w:spacing w:line="288" w:lineRule="auto"/>
        <w:rPr>
          <w:rFonts w:ascii="Century Schoolbook" w:eastAsia="Calibri" w:hAnsi="Century Schoolbook"/>
          <w:sz w:val="26"/>
        </w:rPr>
      </w:pPr>
    </w:p>
    <w:tbl>
      <w:tblPr>
        <w:tblW w:w="0" w:type="auto"/>
        <w:tblLayout w:type="fixed"/>
        <w:tblLook w:val="0000"/>
      </w:tblPr>
      <w:tblGrid>
        <w:gridCol w:w="4068"/>
        <w:gridCol w:w="4068"/>
      </w:tblGrid>
      <w:tr w14:paraId="5A127FF3" w14:textId="77777777" w:rsidTr="00AF7E07">
        <w:tblPrEx>
          <w:tblW w:w="0" w:type="auto"/>
          <w:tblLayout w:type="fixed"/>
          <w:tblLook w:val="0000"/>
        </w:tblPrEx>
        <w:tc>
          <w:tcPr>
            <w:tcW w:w="4068" w:type="dxa"/>
            <w:tcBorders>
              <w:bottom w:val="single" w:sz="4" w:space="0" w:color="auto"/>
              <w:right w:val="single" w:sz="4" w:space="0" w:color="auto"/>
            </w:tcBorders>
            <w:shd w:val="clear" w:color="auto" w:fill="auto"/>
          </w:tcPr>
          <w:p w:rsidR="009A7218" w:rsidRPr="009A7218" w:rsidP="00E042BC" w14:paraId="7DC4416B" w14:textId="756B2BC7">
            <w:pPr>
              <w:spacing w:line="288" w:lineRule="auto"/>
              <w:rPr>
                <w:rFonts w:ascii="Century Schoolbook" w:eastAsia="Calibri" w:hAnsi="Century Schoolbook"/>
                <w:sz w:val="26"/>
              </w:rPr>
            </w:pPr>
            <w:r>
              <w:rPr>
                <w:rFonts w:ascii="Century Schoolbook" w:eastAsia="Calibri" w:hAnsi="Century Schoolbook"/>
                <w:sz w:val="26"/>
              </w:rPr>
              <w:t>ALI SHALG</w:t>
            </w:r>
            <w:r w:rsidR="008B3CA9">
              <w:rPr>
                <w:rFonts w:ascii="Century Schoolbook" w:eastAsia="Calibri" w:hAnsi="Century Schoolbook"/>
                <w:sz w:val="26"/>
              </w:rPr>
              <w:t>H</w:t>
            </w:r>
            <w:r>
              <w:rPr>
                <w:rFonts w:ascii="Century Schoolbook" w:eastAsia="Calibri" w:hAnsi="Century Schoolbook"/>
                <w:sz w:val="26"/>
              </w:rPr>
              <w:t>OUN</w:t>
            </w:r>
            <w:r w:rsidR="003D24DE">
              <w:rPr>
                <w:rFonts w:ascii="Century Schoolbook" w:eastAsia="Calibri" w:hAnsi="Century Schoolbook"/>
                <w:sz w:val="26"/>
              </w:rPr>
              <w:t>,</w:t>
            </w:r>
          </w:p>
          <w:p w:rsidR="009A7218" w:rsidRPr="009A7218" w:rsidP="00E042BC" w14:paraId="6D0EA971" w14:textId="77777777">
            <w:pPr>
              <w:spacing w:line="288" w:lineRule="auto"/>
              <w:rPr>
                <w:rFonts w:ascii="Century Schoolbook" w:eastAsia="Calibri" w:hAnsi="Century Schoolbook"/>
                <w:sz w:val="26"/>
              </w:rPr>
            </w:pPr>
          </w:p>
          <w:p w:rsidR="009A7218" w:rsidRPr="00E66023" w:rsidP="00E042BC" w14:paraId="668752C1" w14:textId="6B3E4116">
            <w:pPr>
              <w:spacing w:line="288" w:lineRule="auto"/>
              <w:rPr>
                <w:rFonts w:ascii="Century Schoolbook" w:eastAsia="Calibri" w:hAnsi="Century Schoolbook"/>
                <w:sz w:val="26"/>
              </w:rPr>
            </w:pPr>
            <w:r w:rsidRPr="009A7218">
              <w:rPr>
                <w:rFonts w:ascii="Century Schoolbook" w:eastAsia="Calibri" w:hAnsi="Century Schoolbook"/>
                <w:sz w:val="26"/>
              </w:rPr>
              <w:tab/>
            </w:r>
            <w:r w:rsidRPr="00E66023" w:rsidR="001479C7">
              <w:rPr>
                <w:rFonts w:ascii="Century Schoolbook" w:eastAsia="Calibri" w:hAnsi="Century Schoolbook"/>
                <w:sz w:val="26"/>
              </w:rPr>
              <w:t>Plaintiff</w:t>
            </w:r>
            <w:r w:rsidRPr="00E66023" w:rsidR="00500B49">
              <w:rPr>
                <w:rFonts w:ascii="Century Schoolbook" w:eastAsia="Calibri" w:hAnsi="Century Schoolbook"/>
                <w:sz w:val="26"/>
              </w:rPr>
              <w:t xml:space="preserve"> </w:t>
            </w:r>
            <w:r w:rsidRPr="00E66023" w:rsidR="00321100">
              <w:rPr>
                <w:rFonts w:ascii="Century Schoolbook" w:eastAsia="Calibri" w:hAnsi="Century Schoolbook"/>
                <w:sz w:val="26"/>
              </w:rPr>
              <w:t>and Appellant</w:t>
            </w:r>
            <w:r w:rsidRPr="00E66023">
              <w:rPr>
                <w:rFonts w:ascii="Century Schoolbook" w:eastAsia="Calibri" w:hAnsi="Century Schoolbook"/>
                <w:sz w:val="26"/>
              </w:rPr>
              <w:t>,</w:t>
            </w:r>
          </w:p>
          <w:p w:rsidR="009A7218" w:rsidRPr="00E66023" w:rsidP="00E042BC" w14:paraId="707E95F2" w14:textId="77777777">
            <w:pPr>
              <w:spacing w:line="288" w:lineRule="auto"/>
              <w:rPr>
                <w:rFonts w:ascii="Century Schoolbook" w:eastAsia="Calibri" w:hAnsi="Century Schoolbook"/>
                <w:sz w:val="26"/>
              </w:rPr>
            </w:pPr>
          </w:p>
          <w:p w:rsidR="009A7218" w:rsidRPr="00E66023" w:rsidP="00E042BC" w14:paraId="434B4AF7" w14:textId="77777777">
            <w:pPr>
              <w:spacing w:line="288" w:lineRule="auto"/>
              <w:rPr>
                <w:rFonts w:ascii="Century Schoolbook" w:eastAsia="Calibri" w:hAnsi="Century Schoolbook"/>
                <w:sz w:val="26"/>
              </w:rPr>
            </w:pPr>
            <w:r w:rsidRPr="00E66023">
              <w:rPr>
                <w:rFonts w:ascii="Century Schoolbook" w:eastAsia="Calibri" w:hAnsi="Century Schoolbook"/>
                <w:sz w:val="26"/>
              </w:rPr>
              <w:tab/>
              <w:t>v.</w:t>
            </w:r>
          </w:p>
          <w:p w:rsidR="009A7218" w:rsidRPr="00E66023" w:rsidP="00E042BC" w14:paraId="3A87CEDB" w14:textId="77777777">
            <w:pPr>
              <w:spacing w:line="288" w:lineRule="auto"/>
              <w:rPr>
                <w:rFonts w:ascii="Century Schoolbook" w:eastAsia="Calibri" w:hAnsi="Century Schoolbook"/>
                <w:sz w:val="26"/>
              </w:rPr>
            </w:pPr>
          </w:p>
          <w:p w:rsidR="009A7218" w:rsidRPr="00E66023" w:rsidP="00E042BC" w14:paraId="07177B55" w14:textId="78DD714F">
            <w:pPr>
              <w:spacing w:line="288" w:lineRule="auto"/>
              <w:rPr>
                <w:rFonts w:ascii="Century Schoolbook" w:eastAsia="Calibri" w:hAnsi="Century Schoolbook"/>
                <w:sz w:val="26"/>
              </w:rPr>
            </w:pPr>
            <w:r>
              <w:rPr>
                <w:rFonts w:ascii="Century Schoolbook" w:eastAsia="Calibri" w:hAnsi="Century Schoolbook"/>
                <w:sz w:val="26"/>
              </w:rPr>
              <w:t>NORTH LOS ANGELES COUNTY REGIONAL CENTER, INC.</w:t>
            </w:r>
            <w:r w:rsidRPr="00E66023" w:rsidR="001F1F07">
              <w:rPr>
                <w:rFonts w:ascii="Century Schoolbook" w:eastAsia="Calibri" w:hAnsi="Century Schoolbook"/>
                <w:sz w:val="26"/>
              </w:rPr>
              <w:t>,</w:t>
            </w:r>
          </w:p>
          <w:p w:rsidR="009A7218" w:rsidRPr="00E66023" w:rsidP="00E042BC" w14:paraId="2AE32234" w14:textId="77777777">
            <w:pPr>
              <w:spacing w:line="288" w:lineRule="auto"/>
              <w:rPr>
                <w:rFonts w:ascii="Century Schoolbook" w:eastAsia="Calibri" w:hAnsi="Century Schoolbook"/>
                <w:sz w:val="26"/>
              </w:rPr>
            </w:pPr>
          </w:p>
          <w:p w:rsidR="009A7218" w:rsidRPr="009A7218" w:rsidP="00E042BC" w14:paraId="66A3F2D0" w14:textId="68D4236C">
            <w:pPr>
              <w:spacing w:line="288" w:lineRule="auto"/>
              <w:rPr>
                <w:rFonts w:ascii="Century Schoolbook" w:eastAsia="Calibri" w:hAnsi="Century Schoolbook"/>
                <w:sz w:val="26"/>
              </w:rPr>
            </w:pPr>
            <w:r w:rsidRPr="00E66023">
              <w:rPr>
                <w:rFonts w:ascii="Century Schoolbook" w:eastAsia="Calibri" w:hAnsi="Century Schoolbook"/>
                <w:sz w:val="26"/>
              </w:rPr>
              <w:tab/>
              <w:t>Defendant</w:t>
            </w:r>
            <w:r w:rsidRPr="00E66023" w:rsidR="001479C7">
              <w:rPr>
                <w:rFonts w:ascii="Century Schoolbook" w:eastAsia="Calibri" w:hAnsi="Century Schoolbook"/>
                <w:sz w:val="26"/>
              </w:rPr>
              <w:t xml:space="preserve"> </w:t>
            </w:r>
            <w:r w:rsidRPr="00E66023">
              <w:rPr>
                <w:rFonts w:ascii="Century Schoolbook" w:eastAsia="Calibri" w:hAnsi="Century Schoolbook"/>
                <w:sz w:val="26"/>
              </w:rPr>
              <w:t xml:space="preserve">and </w:t>
            </w:r>
            <w:r w:rsidRPr="00E66023" w:rsidR="001F1F07">
              <w:rPr>
                <w:rFonts w:ascii="Century Schoolbook" w:eastAsia="Calibri" w:hAnsi="Century Schoolbook"/>
                <w:sz w:val="26"/>
              </w:rPr>
              <w:t>Respondent</w:t>
            </w:r>
            <w:r w:rsidRPr="00E66023">
              <w:rPr>
                <w:rFonts w:ascii="Century Schoolbook" w:eastAsia="Calibri" w:hAnsi="Century Schoolbook"/>
                <w:sz w:val="26"/>
              </w:rPr>
              <w:t>.</w:t>
            </w:r>
          </w:p>
          <w:p w:rsidR="009A7218" w:rsidRPr="009A7218" w:rsidP="00E042BC" w14:paraId="3AA7122B" w14:textId="77777777">
            <w:pPr>
              <w:spacing w:line="288" w:lineRule="auto"/>
              <w:rPr>
                <w:rFonts w:ascii="Century Schoolbook" w:eastAsia="Calibri" w:hAnsi="Century Schoolbook"/>
                <w:sz w:val="26"/>
              </w:rPr>
            </w:pPr>
          </w:p>
        </w:tc>
        <w:tc>
          <w:tcPr>
            <w:tcW w:w="4068" w:type="dxa"/>
            <w:tcBorders>
              <w:left w:val="single" w:sz="4" w:space="0" w:color="auto"/>
            </w:tcBorders>
            <w:shd w:val="clear" w:color="auto" w:fill="auto"/>
          </w:tcPr>
          <w:p w:rsidR="009A7218" w:rsidRPr="009A7218" w:rsidP="00E042BC" w14:paraId="3670D815" w14:textId="000A9AB1">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BB4228" w:rsidR="00BB4228">
              <w:rPr>
                <w:rFonts w:ascii="Century Schoolbook" w:eastAsia="Calibri" w:hAnsi="Century Schoolbook"/>
                <w:sz w:val="26"/>
              </w:rPr>
              <w:t>B32</w:t>
            </w:r>
            <w:r w:rsidR="00CF7790">
              <w:rPr>
                <w:rFonts w:ascii="Century Schoolbook" w:eastAsia="Calibri" w:hAnsi="Century Schoolbook"/>
                <w:sz w:val="26"/>
              </w:rPr>
              <w:t>3186</w:t>
            </w:r>
          </w:p>
          <w:p w:rsidR="009A7218" w:rsidRPr="009A7218" w:rsidP="00E042BC" w14:paraId="221E7D04" w14:textId="77777777">
            <w:pPr>
              <w:spacing w:line="288" w:lineRule="auto"/>
              <w:rPr>
                <w:rFonts w:ascii="Century Schoolbook" w:eastAsia="Calibri" w:hAnsi="Century Schoolbook"/>
                <w:sz w:val="26"/>
              </w:rPr>
            </w:pPr>
          </w:p>
          <w:p w:rsidR="009A7218" w:rsidRPr="00A72DBD" w:rsidP="00E042BC" w14:paraId="06AEBEB3" w14:textId="77777777">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A72DBD">
              <w:rPr>
                <w:rFonts w:ascii="Century Schoolbook" w:eastAsia="Calibri" w:hAnsi="Century Schoolbook"/>
                <w:sz w:val="26"/>
              </w:rPr>
              <w:t>(Los Angeles County</w:t>
            </w:r>
          </w:p>
          <w:p w:rsidR="009A7218" w:rsidRPr="009A7218" w:rsidP="00E042BC" w14:paraId="78D68E00" w14:textId="57B36515">
            <w:pPr>
              <w:spacing w:line="288" w:lineRule="auto"/>
              <w:ind w:left="421" w:hanging="421"/>
              <w:rPr>
                <w:rFonts w:ascii="Century Schoolbook" w:eastAsia="Calibri" w:hAnsi="Century Schoolbook"/>
                <w:sz w:val="26"/>
              </w:rPr>
            </w:pPr>
            <w:r w:rsidRPr="00A72DBD">
              <w:rPr>
                <w:rFonts w:ascii="Century Schoolbook" w:eastAsia="Calibri" w:hAnsi="Century Schoolbook"/>
                <w:sz w:val="26"/>
              </w:rPr>
              <w:t xml:space="preserve">      Super. Ct. No. </w:t>
            </w:r>
            <w:r w:rsidR="00CF7790">
              <w:rPr>
                <w:rFonts w:ascii="Century Schoolbook" w:eastAsia="Calibri" w:hAnsi="Century Schoolbook"/>
                <w:sz w:val="26"/>
              </w:rPr>
              <w:t>19STCV19756</w:t>
            </w:r>
            <w:r w:rsidRPr="009A7218">
              <w:rPr>
                <w:rFonts w:ascii="Century Schoolbook" w:eastAsia="Calibri" w:hAnsi="Century Schoolbook"/>
                <w:sz w:val="26"/>
              </w:rPr>
              <w:t>)</w:t>
            </w:r>
          </w:p>
        </w:tc>
      </w:tr>
    </w:tbl>
    <w:p w:rsidR="009A7218" w:rsidRPr="009A7218" w:rsidP="00D0414F" w14:paraId="12C36120" w14:textId="77777777">
      <w:pPr>
        <w:spacing w:line="288" w:lineRule="auto"/>
        <w:rPr>
          <w:rFonts w:ascii="Century Schoolbook" w:eastAsia="Calibri" w:hAnsi="Century Schoolbook"/>
          <w:sz w:val="26"/>
        </w:rPr>
      </w:pPr>
    </w:p>
    <w:p w:rsidR="009A7218" w:rsidRPr="009A7218" w:rsidP="00E042BC" w14:paraId="6C71C5EA" w14:textId="186101AF">
      <w:pPr>
        <w:spacing w:line="288" w:lineRule="auto"/>
        <w:ind w:firstLine="720"/>
        <w:rPr>
          <w:rFonts w:ascii="Century Schoolbook" w:hAnsi="Century Schoolbook"/>
          <w:sz w:val="26"/>
          <w:szCs w:val="26"/>
        </w:rPr>
      </w:pPr>
      <w:r w:rsidRPr="00ED0BBB">
        <w:rPr>
          <w:rFonts w:ascii="Century Schoolbook" w:hAnsi="Century Schoolbook"/>
          <w:sz w:val="26"/>
          <w:szCs w:val="26"/>
        </w:rPr>
        <w:t xml:space="preserve">APPEAL from </w:t>
      </w:r>
      <w:r w:rsidRPr="00ED0BBB" w:rsidR="00C2429B">
        <w:rPr>
          <w:rFonts w:ascii="Century Schoolbook" w:hAnsi="Century Schoolbook"/>
          <w:sz w:val="26"/>
          <w:szCs w:val="26"/>
        </w:rPr>
        <w:t>a</w:t>
      </w:r>
      <w:r w:rsidRPr="00ED0BBB" w:rsidR="003D24DE">
        <w:rPr>
          <w:rFonts w:ascii="Century Schoolbook" w:hAnsi="Century Schoolbook"/>
          <w:sz w:val="26"/>
          <w:szCs w:val="26"/>
        </w:rPr>
        <w:t xml:space="preserve"> judgment</w:t>
      </w:r>
      <w:r w:rsidRPr="00ED0BBB" w:rsidR="00ED0BBB">
        <w:rPr>
          <w:rFonts w:ascii="Century Schoolbook" w:hAnsi="Century Schoolbook"/>
          <w:sz w:val="26"/>
          <w:szCs w:val="26"/>
        </w:rPr>
        <w:t xml:space="preserve"> </w:t>
      </w:r>
      <w:r w:rsidRPr="00ED0BBB">
        <w:rPr>
          <w:rFonts w:ascii="Century Schoolbook" w:hAnsi="Century Schoolbook"/>
          <w:sz w:val="26"/>
          <w:szCs w:val="26"/>
        </w:rPr>
        <w:t>of the</w:t>
      </w:r>
      <w:r w:rsidRPr="009A7218">
        <w:rPr>
          <w:rFonts w:ascii="Century Schoolbook" w:hAnsi="Century Schoolbook"/>
          <w:sz w:val="26"/>
          <w:szCs w:val="26"/>
        </w:rPr>
        <w:t xml:space="preserve"> Superior Court of Los Angeles </w:t>
      </w:r>
      <w:r w:rsidRPr="000949F8">
        <w:rPr>
          <w:rFonts w:ascii="Century Schoolbook" w:hAnsi="Century Schoolbook"/>
          <w:sz w:val="26"/>
          <w:szCs w:val="26"/>
        </w:rPr>
        <w:t xml:space="preserve">County, </w:t>
      </w:r>
      <w:r w:rsidRPr="000949F8" w:rsidR="000949F8">
        <w:rPr>
          <w:rFonts w:ascii="Century Schoolbook" w:hAnsi="Century Schoolbook"/>
          <w:sz w:val="26"/>
          <w:szCs w:val="26"/>
        </w:rPr>
        <w:t>Mark A. Young</w:t>
      </w:r>
      <w:r w:rsidRPr="000949F8">
        <w:rPr>
          <w:rFonts w:ascii="Century Schoolbook" w:hAnsi="Century Schoolbook"/>
          <w:sz w:val="26"/>
          <w:szCs w:val="26"/>
        </w:rPr>
        <w:t>, Judge.</w:t>
      </w:r>
      <w:r w:rsidRPr="009A7218">
        <w:rPr>
          <w:rFonts w:ascii="Century Schoolbook" w:hAnsi="Century Schoolbook"/>
          <w:sz w:val="26"/>
          <w:szCs w:val="26"/>
        </w:rPr>
        <w:t xml:space="preserve">  </w:t>
      </w:r>
      <w:r w:rsidR="00C46631">
        <w:rPr>
          <w:rFonts w:ascii="Century Schoolbook" w:hAnsi="Century Schoolbook"/>
          <w:sz w:val="26"/>
          <w:szCs w:val="26"/>
        </w:rPr>
        <w:t>Affirmed.</w:t>
      </w:r>
    </w:p>
    <w:p w:rsidR="009A7218" w:rsidRPr="009A7218" w:rsidP="00E042BC" w14:paraId="63C2922C" w14:textId="77777777">
      <w:pPr>
        <w:spacing w:line="288" w:lineRule="auto"/>
        <w:rPr>
          <w:rFonts w:ascii="Century Schoolbook" w:hAnsi="Century Schoolbook"/>
          <w:sz w:val="26"/>
          <w:szCs w:val="26"/>
        </w:rPr>
      </w:pPr>
      <w:r w:rsidRPr="009A7218">
        <w:rPr>
          <w:rFonts w:ascii="Century Schoolbook" w:hAnsi="Century Schoolbook"/>
          <w:sz w:val="26"/>
          <w:szCs w:val="26"/>
        </w:rPr>
        <w:tab/>
      </w:r>
    </w:p>
    <w:p w:rsidR="00C2429B" w:rsidRPr="005C529D" w:rsidP="00E042BC" w14:paraId="752C0650" w14:textId="60DE66F7">
      <w:pPr>
        <w:spacing w:line="288" w:lineRule="auto"/>
        <w:ind w:firstLine="720"/>
        <w:rPr>
          <w:rFonts w:ascii="Century Schoolbook" w:hAnsi="Century Schoolbook"/>
          <w:sz w:val="26"/>
          <w:szCs w:val="26"/>
        </w:rPr>
      </w:pPr>
      <w:r w:rsidRPr="005C529D">
        <w:rPr>
          <w:rFonts w:ascii="Century Schoolbook" w:hAnsi="Century Schoolbook"/>
          <w:sz w:val="26"/>
          <w:szCs w:val="26"/>
        </w:rPr>
        <w:t xml:space="preserve">Doumanian &amp; </w:t>
      </w:r>
      <w:r w:rsidRPr="005C529D" w:rsidR="00F802F6">
        <w:rPr>
          <w:rFonts w:ascii="Century Schoolbook" w:hAnsi="Century Schoolbook"/>
          <w:sz w:val="26"/>
          <w:szCs w:val="26"/>
        </w:rPr>
        <w:t>Associates</w:t>
      </w:r>
      <w:r w:rsidR="00844693">
        <w:rPr>
          <w:rFonts w:ascii="Century Schoolbook" w:hAnsi="Century Schoolbook"/>
          <w:sz w:val="26"/>
          <w:szCs w:val="26"/>
        </w:rPr>
        <w:t xml:space="preserve">, </w:t>
      </w:r>
      <w:r w:rsidRPr="005C529D" w:rsidR="005C529D">
        <w:rPr>
          <w:rFonts w:ascii="Century Schoolbook" w:hAnsi="Century Schoolbook"/>
          <w:sz w:val="26"/>
          <w:szCs w:val="26"/>
        </w:rPr>
        <w:t>Nancy P. Doumanian</w:t>
      </w:r>
      <w:r w:rsidRPr="005C529D" w:rsidR="00723076">
        <w:rPr>
          <w:rFonts w:ascii="Century Schoolbook" w:hAnsi="Century Schoolbook"/>
          <w:sz w:val="26"/>
          <w:szCs w:val="26"/>
        </w:rPr>
        <w:t xml:space="preserve">; </w:t>
      </w:r>
      <w:r w:rsidRPr="005C529D" w:rsidR="005C529D">
        <w:rPr>
          <w:rFonts w:ascii="Century Schoolbook" w:hAnsi="Century Schoolbook"/>
          <w:sz w:val="26"/>
          <w:szCs w:val="26"/>
        </w:rPr>
        <w:t xml:space="preserve">The Arkin Law Firm </w:t>
      </w:r>
      <w:r w:rsidR="005C529D">
        <w:rPr>
          <w:rFonts w:ascii="Century Schoolbook" w:hAnsi="Century Schoolbook"/>
          <w:sz w:val="26"/>
          <w:szCs w:val="26"/>
        </w:rPr>
        <w:t xml:space="preserve">and </w:t>
      </w:r>
      <w:r w:rsidRPr="005C529D">
        <w:rPr>
          <w:rFonts w:ascii="Century Schoolbook" w:hAnsi="Century Schoolbook"/>
          <w:sz w:val="26"/>
          <w:szCs w:val="26"/>
        </w:rPr>
        <w:t>Sharon J. Arkin</w:t>
      </w:r>
      <w:r w:rsidRPr="005C529D" w:rsidR="00723076">
        <w:rPr>
          <w:rFonts w:ascii="Century Schoolbook" w:hAnsi="Century Schoolbook"/>
          <w:sz w:val="26"/>
          <w:szCs w:val="26"/>
        </w:rPr>
        <w:t xml:space="preserve"> </w:t>
      </w:r>
      <w:r w:rsidRPr="005C529D">
        <w:rPr>
          <w:rFonts w:ascii="Century Schoolbook" w:hAnsi="Century Schoolbook"/>
          <w:sz w:val="26"/>
          <w:szCs w:val="26"/>
        </w:rPr>
        <w:t xml:space="preserve">for </w:t>
      </w:r>
      <w:r w:rsidRPr="005C529D" w:rsidR="001479C7">
        <w:rPr>
          <w:rFonts w:ascii="Century Schoolbook" w:hAnsi="Century Schoolbook"/>
          <w:sz w:val="26"/>
          <w:szCs w:val="26"/>
        </w:rPr>
        <w:t>Plaintiff</w:t>
      </w:r>
      <w:r w:rsidRPr="005C529D">
        <w:rPr>
          <w:rFonts w:ascii="Century Schoolbook" w:hAnsi="Century Schoolbook"/>
          <w:sz w:val="26"/>
          <w:szCs w:val="26"/>
        </w:rPr>
        <w:t xml:space="preserve"> and Appellant.</w:t>
      </w:r>
    </w:p>
    <w:p w:rsidR="004754AF" w:rsidRPr="005C529D" w:rsidP="00E042BC" w14:paraId="52984056" w14:textId="47A70285">
      <w:pPr>
        <w:spacing w:line="288" w:lineRule="auto"/>
        <w:ind w:firstLine="720"/>
        <w:rPr>
          <w:rFonts w:ascii="Century Schoolbook" w:hAnsi="Century Schoolbook"/>
          <w:sz w:val="26"/>
          <w:szCs w:val="26"/>
        </w:rPr>
      </w:pPr>
    </w:p>
    <w:p w:rsidR="004754AF" w:rsidP="00E042BC" w14:paraId="6D188F31" w14:textId="4F20EE0B">
      <w:pPr>
        <w:spacing w:line="288" w:lineRule="auto"/>
        <w:ind w:firstLine="720"/>
        <w:rPr>
          <w:rFonts w:ascii="Century Schoolbook" w:hAnsi="Century Schoolbook"/>
          <w:sz w:val="26"/>
          <w:szCs w:val="26"/>
        </w:rPr>
      </w:pPr>
      <w:r w:rsidRPr="005C529D">
        <w:rPr>
          <w:rFonts w:ascii="Century Schoolbook" w:hAnsi="Century Schoolbook"/>
          <w:sz w:val="26"/>
          <w:szCs w:val="26"/>
        </w:rPr>
        <w:t xml:space="preserve">Beach Law Group, </w:t>
      </w:r>
      <w:r w:rsidRPr="005C529D" w:rsidR="00ED0BBB">
        <w:rPr>
          <w:rFonts w:ascii="Century Schoolbook" w:hAnsi="Century Schoolbook"/>
          <w:sz w:val="26"/>
          <w:szCs w:val="26"/>
        </w:rPr>
        <w:t>Thomas E. Beach</w:t>
      </w:r>
      <w:r w:rsidRPr="005C529D">
        <w:rPr>
          <w:rFonts w:ascii="Century Schoolbook" w:hAnsi="Century Schoolbook"/>
          <w:sz w:val="26"/>
          <w:szCs w:val="26"/>
        </w:rPr>
        <w:t xml:space="preserve"> and</w:t>
      </w:r>
      <w:r w:rsidRPr="005C529D" w:rsidR="00ED0BBB">
        <w:rPr>
          <w:rFonts w:ascii="Century Schoolbook" w:hAnsi="Century Schoolbook"/>
          <w:sz w:val="26"/>
          <w:szCs w:val="26"/>
        </w:rPr>
        <w:t xml:space="preserve"> Darryl C. Hottinger</w:t>
      </w:r>
      <w:r w:rsidRPr="005C529D" w:rsidR="00004CFC">
        <w:rPr>
          <w:rFonts w:ascii="Century Schoolbook" w:hAnsi="Century Schoolbook"/>
          <w:sz w:val="26"/>
          <w:szCs w:val="26"/>
        </w:rPr>
        <w:t xml:space="preserve"> </w:t>
      </w:r>
      <w:r w:rsidRPr="005C529D">
        <w:rPr>
          <w:rFonts w:ascii="Century Schoolbook" w:hAnsi="Century Schoolbook"/>
          <w:sz w:val="26"/>
          <w:szCs w:val="26"/>
        </w:rPr>
        <w:t>for</w:t>
      </w:r>
      <w:r>
        <w:rPr>
          <w:rFonts w:ascii="Century Schoolbook" w:hAnsi="Century Schoolbook"/>
          <w:sz w:val="26"/>
          <w:szCs w:val="26"/>
        </w:rPr>
        <w:t xml:space="preserve"> Defendant and Respondent.</w:t>
      </w:r>
    </w:p>
    <w:p w:rsidR="009A7218" w:rsidRPr="009A7218" w:rsidP="00E042BC" w14:paraId="4C16BE05" w14:textId="3AEB98EE">
      <w:pPr>
        <w:spacing w:line="288" w:lineRule="auto"/>
        <w:rPr>
          <w:rFonts w:ascii="Century Schoolbook" w:hAnsi="Century Schoolbook"/>
          <w:sz w:val="26"/>
          <w:szCs w:val="26"/>
        </w:rPr>
      </w:pPr>
    </w:p>
    <w:p w:rsidR="009A7218" w:rsidRPr="00E92B8E" w:rsidP="00E042BC" w14:paraId="4B1ED400" w14:textId="00F974FD">
      <w:pPr>
        <w:spacing w:line="288" w:lineRule="auto"/>
        <w:jc w:val="center"/>
        <w:rPr>
          <w:rFonts w:ascii="Century Schoolbook" w:hAnsi="Century Schoolbook"/>
          <w:sz w:val="26"/>
          <w:szCs w:val="26"/>
        </w:rPr>
      </w:pPr>
      <w:r w:rsidRPr="009A7218">
        <w:rPr>
          <w:rFonts w:ascii="Century Schoolbook" w:hAnsi="Century Schoolbook"/>
          <w:sz w:val="26"/>
          <w:szCs w:val="26"/>
        </w:rPr>
        <w:t>* * * * * *</w:t>
      </w:r>
    </w:p>
    <w:p w:rsidR="00C46631" w:rsidRPr="00C46631" w:rsidP="00E042BC" w14:paraId="5BEB7E5F" w14:textId="45F8A981">
      <w:pPr>
        <w:spacing w:line="288" w:lineRule="auto"/>
        <w:ind w:firstLine="720"/>
        <w:rPr>
          <w:rFonts w:ascii="Century Schoolbook" w:hAnsi="Century Schoolbook"/>
          <w:sz w:val="26"/>
          <w:szCs w:val="26"/>
        </w:rPr>
      </w:pPr>
      <w:bookmarkStart w:id="3" w:name="_Hlk122494658"/>
      <w:r w:rsidRPr="00C46631">
        <w:rPr>
          <w:rFonts w:ascii="Century Schoolbook" w:hAnsi="Century Schoolbook"/>
          <w:sz w:val="26"/>
          <w:szCs w:val="26"/>
        </w:rPr>
        <w:t xml:space="preserve">In the Lanterman Developmental Disabilities Services Act (the Lanterman Act or the Act) (Welf. &amp; Inst. Code, § 4500 </w:t>
      </w:r>
      <w:r w:rsidRPr="00CC60B2">
        <w:rPr>
          <w:rFonts w:ascii="Century Schoolbook" w:hAnsi="Century Schoolbook"/>
          <w:sz w:val="26"/>
          <w:szCs w:val="26"/>
        </w:rPr>
        <w:t>et seq.</w:t>
      </w:r>
      <w:r w:rsidRPr="00C46631">
        <w:rPr>
          <w:rFonts w:ascii="Century Schoolbook" w:hAnsi="Century Schoolbook"/>
          <w:sz w:val="26"/>
          <w:szCs w:val="26"/>
        </w:rPr>
        <w:t>),</w:t>
      </w:r>
      <w:r>
        <w:rPr>
          <w:rFonts w:ascii="Century Schoolbook" w:hAnsi="Century Schoolbook"/>
          <w:b/>
          <w:bCs/>
          <w:sz w:val="26"/>
          <w:szCs w:val="26"/>
          <w:vertAlign w:val="superscript"/>
        </w:rPr>
        <w:footnoteReference w:id="2"/>
      </w:r>
      <w:r w:rsidRPr="00C46631">
        <w:rPr>
          <w:rFonts w:ascii="Century Schoolbook" w:hAnsi="Century Schoolbook"/>
          <w:sz w:val="26"/>
          <w:szCs w:val="26"/>
        </w:rPr>
        <w:t xml:space="preserve"> the State of California has undertaken the duty to provide developmentally disabled </w:t>
      </w:r>
      <w:r w:rsidR="00CC60B2">
        <w:rPr>
          <w:rFonts w:ascii="Century Schoolbook" w:hAnsi="Century Schoolbook"/>
          <w:sz w:val="26"/>
          <w:szCs w:val="26"/>
        </w:rPr>
        <w:t>persons</w:t>
      </w:r>
      <w:r w:rsidRPr="00C46631" w:rsidR="00CC60B2">
        <w:rPr>
          <w:rFonts w:ascii="Century Schoolbook" w:hAnsi="Century Schoolbook"/>
          <w:sz w:val="26"/>
          <w:szCs w:val="26"/>
        </w:rPr>
        <w:t xml:space="preserve"> </w:t>
      </w:r>
      <w:r w:rsidRPr="00C46631">
        <w:rPr>
          <w:rFonts w:ascii="Century Schoolbook" w:hAnsi="Century Schoolbook"/>
          <w:sz w:val="26"/>
          <w:szCs w:val="26"/>
        </w:rPr>
        <w:t xml:space="preserve">with appropriately tailored services and support.  To discharge this duty, the Department of Developmental Services (the Department) uses a network of private, nonprofit entities called “regional centers.”  (§ 4620.)  Regional centers do not themselves provide services; instead, they evaluate the developmentally disabled </w:t>
      </w:r>
      <w:r w:rsidR="00CC60B2">
        <w:rPr>
          <w:rFonts w:ascii="Century Schoolbook" w:hAnsi="Century Schoolbook"/>
          <w:sz w:val="26"/>
          <w:szCs w:val="26"/>
        </w:rPr>
        <w:t>persons</w:t>
      </w:r>
      <w:r w:rsidRPr="00C46631" w:rsidR="00CC60B2">
        <w:rPr>
          <w:rFonts w:ascii="Century Schoolbook" w:hAnsi="Century Schoolbook"/>
          <w:sz w:val="26"/>
          <w:szCs w:val="26"/>
        </w:rPr>
        <w:t xml:space="preserve"> </w:t>
      </w:r>
      <w:r w:rsidRPr="00C46631">
        <w:rPr>
          <w:rFonts w:ascii="Century Schoolbook" w:hAnsi="Century Schoolbook"/>
          <w:sz w:val="26"/>
          <w:szCs w:val="26"/>
        </w:rPr>
        <w:t>(whom the Act calls “consumers”), develop individually tailored plan</w:t>
      </w:r>
      <w:r w:rsidR="0012257F">
        <w:rPr>
          <w:rFonts w:ascii="Century Schoolbook" w:hAnsi="Century Schoolbook"/>
          <w:sz w:val="26"/>
          <w:szCs w:val="26"/>
        </w:rPr>
        <w:t>s</w:t>
      </w:r>
      <w:r w:rsidRPr="00C46631">
        <w:rPr>
          <w:rFonts w:ascii="Century Schoolbook" w:hAnsi="Century Schoolbook"/>
          <w:sz w:val="26"/>
          <w:szCs w:val="26"/>
        </w:rPr>
        <w:t xml:space="preserve"> for their care, enter into contracts with direct service providers to provide the services</w:t>
      </w:r>
      <w:r w:rsidR="00F53CC4">
        <w:rPr>
          <w:rFonts w:ascii="Century Schoolbook" w:hAnsi="Century Schoolbook"/>
          <w:sz w:val="26"/>
          <w:szCs w:val="26"/>
        </w:rPr>
        <w:t xml:space="preserve"> and support</w:t>
      </w:r>
      <w:r w:rsidRPr="00C46631">
        <w:rPr>
          <w:rFonts w:ascii="Century Schoolbook" w:hAnsi="Century Schoolbook"/>
          <w:sz w:val="26"/>
          <w:szCs w:val="26"/>
        </w:rPr>
        <w:t xml:space="preserve"> set forth in the plan</w:t>
      </w:r>
      <w:r w:rsidR="0012257F">
        <w:rPr>
          <w:rFonts w:ascii="Century Schoolbook" w:hAnsi="Century Schoolbook"/>
          <w:sz w:val="26"/>
          <w:szCs w:val="26"/>
        </w:rPr>
        <w:t>s</w:t>
      </w:r>
      <w:r w:rsidRPr="00C46631">
        <w:rPr>
          <w:rFonts w:ascii="Century Schoolbook" w:hAnsi="Century Schoolbook"/>
          <w:sz w:val="26"/>
          <w:szCs w:val="26"/>
        </w:rPr>
        <w:t xml:space="preserve">, and monitor </w:t>
      </w:r>
      <w:r w:rsidR="00615681">
        <w:rPr>
          <w:rFonts w:ascii="Century Schoolbook" w:hAnsi="Century Schoolbook"/>
          <w:sz w:val="26"/>
          <w:szCs w:val="26"/>
        </w:rPr>
        <w:t xml:space="preserve">the </w:t>
      </w:r>
      <w:r w:rsidRPr="00C46631">
        <w:rPr>
          <w:rFonts w:ascii="Century Schoolbook" w:hAnsi="Century Schoolbook"/>
          <w:sz w:val="26"/>
          <w:szCs w:val="26"/>
        </w:rPr>
        <w:t>implementation of those contracts and the consumers</w:t>
      </w:r>
      <w:r w:rsidR="0012257F">
        <w:rPr>
          <w:rFonts w:ascii="Century Schoolbook" w:hAnsi="Century Schoolbook"/>
          <w:sz w:val="26"/>
          <w:szCs w:val="26"/>
        </w:rPr>
        <w:t>’</w:t>
      </w:r>
      <w:r w:rsidRPr="00C46631">
        <w:rPr>
          <w:rFonts w:ascii="Century Schoolbook" w:hAnsi="Century Schoolbook"/>
          <w:sz w:val="26"/>
          <w:szCs w:val="26"/>
        </w:rPr>
        <w:t xml:space="preserve"> plan</w:t>
      </w:r>
      <w:r w:rsidR="0012257F">
        <w:rPr>
          <w:rFonts w:ascii="Century Schoolbook" w:hAnsi="Century Schoolbook"/>
          <w:sz w:val="26"/>
          <w:szCs w:val="26"/>
        </w:rPr>
        <w:t>s</w:t>
      </w:r>
      <w:r w:rsidRPr="00C46631">
        <w:rPr>
          <w:rFonts w:ascii="Century Schoolbook" w:hAnsi="Century Schoolbook"/>
          <w:sz w:val="26"/>
          <w:szCs w:val="26"/>
        </w:rPr>
        <w:t>.  (§§ 4642, 4643, 4640.6, subd</w:t>
      </w:r>
      <w:r w:rsidR="0012257F">
        <w:rPr>
          <w:rFonts w:ascii="Century Schoolbook" w:hAnsi="Century Schoolbook"/>
          <w:sz w:val="26"/>
          <w:szCs w:val="26"/>
        </w:rPr>
        <w:t xml:space="preserve">. </w:t>
      </w:r>
      <w:r w:rsidRPr="00C46631">
        <w:rPr>
          <w:rFonts w:ascii="Century Schoolbook" w:hAnsi="Century Schoolbook"/>
          <w:sz w:val="26"/>
          <w:szCs w:val="26"/>
        </w:rPr>
        <w:t xml:space="preserve">(a), 4647, 4648, </w:t>
      </w:r>
      <w:r w:rsidRPr="00C46631" w:rsidR="0012257F">
        <w:rPr>
          <w:rFonts w:ascii="Century Schoolbook" w:hAnsi="Century Schoolbook"/>
          <w:sz w:val="26"/>
          <w:szCs w:val="26"/>
        </w:rPr>
        <w:t>4648.1</w:t>
      </w:r>
      <w:r w:rsidR="0012257F">
        <w:rPr>
          <w:rFonts w:ascii="Century Schoolbook" w:hAnsi="Century Schoolbook"/>
          <w:sz w:val="26"/>
          <w:szCs w:val="26"/>
        </w:rPr>
        <w:t xml:space="preserve">, </w:t>
      </w:r>
      <w:r w:rsidRPr="00C46631">
        <w:rPr>
          <w:rFonts w:ascii="Century Schoolbook" w:hAnsi="Century Schoolbook"/>
          <w:sz w:val="26"/>
          <w:szCs w:val="26"/>
        </w:rPr>
        <w:t xml:space="preserve">4742, 4743.)  In this case, a regional center arranged for a developmentally disabled </w:t>
      </w:r>
      <w:r w:rsidR="00CC60B2">
        <w:rPr>
          <w:rFonts w:ascii="Century Schoolbook" w:hAnsi="Century Schoolbook"/>
          <w:sz w:val="26"/>
          <w:szCs w:val="26"/>
        </w:rPr>
        <w:t>person</w:t>
      </w:r>
      <w:r w:rsidRPr="00C46631" w:rsidR="00CC60B2">
        <w:rPr>
          <w:rFonts w:ascii="Century Schoolbook" w:hAnsi="Century Schoolbook"/>
          <w:sz w:val="26"/>
          <w:szCs w:val="26"/>
        </w:rPr>
        <w:t xml:space="preserve"> </w:t>
      </w:r>
      <w:r w:rsidRPr="00C46631">
        <w:rPr>
          <w:rFonts w:ascii="Century Schoolbook" w:hAnsi="Century Schoolbook"/>
          <w:sz w:val="26"/>
          <w:szCs w:val="26"/>
        </w:rPr>
        <w:t xml:space="preserve">to be placed in a residential facility, the facility thereafter informed the regional center that it could no longer provide the level of care the </w:t>
      </w:r>
      <w:r w:rsidR="00CC60B2">
        <w:rPr>
          <w:rFonts w:ascii="Century Schoolbook" w:hAnsi="Century Schoolbook"/>
          <w:sz w:val="26"/>
          <w:szCs w:val="26"/>
        </w:rPr>
        <w:t>person</w:t>
      </w:r>
      <w:r w:rsidRPr="00C46631">
        <w:rPr>
          <w:rFonts w:ascii="Century Schoolbook" w:hAnsi="Century Schoolbook"/>
          <w:sz w:val="26"/>
          <w:szCs w:val="26"/>
        </w:rPr>
        <w:t xml:space="preserve"> required, and the </w:t>
      </w:r>
      <w:r w:rsidR="00CC60B2">
        <w:rPr>
          <w:rFonts w:ascii="Century Schoolbook" w:hAnsi="Century Schoolbook"/>
          <w:sz w:val="26"/>
          <w:szCs w:val="26"/>
        </w:rPr>
        <w:t>person</w:t>
      </w:r>
      <w:r w:rsidRPr="00C46631">
        <w:rPr>
          <w:rFonts w:ascii="Century Schoolbook" w:hAnsi="Century Schoolbook"/>
          <w:sz w:val="26"/>
          <w:szCs w:val="26"/>
        </w:rPr>
        <w:t>—while the regional center was in the midst of lining up a different facility—attacked and injured the facility’s administrator.  The administrator sued the regional center for his injuries.  His lawsuit presents the following question:  Does a regional center have a duty to protect the employe</w:t>
      </w:r>
      <w:r w:rsidR="00CC60B2">
        <w:rPr>
          <w:rFonts w:ascii="Century Schoolbook" w:hAnsi="Century Schoolbook"/>
          <w:sz w:val="26"/>
          <w:szCs w:val="26"/>
        </w:rPr>
        <w:t>e</w:t>
      </w:r>
      <w:r w:rsidRPr="00C46631">
        <w:rPr>
          <w:rFonts w:ascii="Century Schoolbook" w:hAnsi="Century Schoolbook"/>
          <w:sz w:val="26"/>
          <w:szCs w:val="26"/>
        </w:rPr>
        <w:t>s of a residential facility that accepted a developmentally disabled person as a resident when the regional center does not immediately relocate that person as requested by the facility</w:t>
      </w:r>
      <w:r w:rsidRPr="00B230C2">
        <w:rPr>
          <w:rFonts w:ascii="Century Schoolbook" w:hAnsi="Century Schoolbook"/>
          <w:sz w:val="26"/>
          <w:szCs w:val="26"/>
        </w:rPr>
        <w:t>?</w:t>
      </w:r>
      <w:r w:rsidRPr="00C46631">
        <w:rPr>
          <w:rFonts w:ascii="Century Schoolbook" w:hAnsi="Century Schoolbook"/>
          <w:sz w:val="26"/>
          <w:szCs w:val="26"/>
        </w:rPr>
        <w:t xml:space="preserve">  We conclude that the answer is “no,” and accordingly affirm the trial court’s grant of summary judgment </w:t>
      </w:r>
      <w:r w:rsidR="00CC60B2">
        <w:rPr>
          <w:rFonts w:ascii="Century Schoolbook" w:hAnsi="Century Schoolbook"/>
          <w:sz w:val="26"/>
          <w:szCs w:val="26"/>
        </w:rPr>
        <w:t>for</w:t>
      </w:r>
      <w:r w:rsidRPr="00C46631" w:rsidR="00CC60B2">
        <w:rPr>
          <w:rFonts w:ascii="Century Schoolbook" w:hAnsi="Century Schoolbook"/>
          <w:sz w:val="26"/>
          <w:szCs w:val="26"/>
        </w:rPr>
        <w:t xml:space="preserve"> </w:t>
      </w:r>
      <w:r w:rsidRPr="00C46631">
        <w:rPr>
          <w:rFonts w:ascii="Century Schoolbook" w:hAnsi="Century Schoolbook"/>
          <w:sz w:val="26"/>
          <w:szCs w:val="26"/>
        </w:rPr>
        <w:t>the regional center.</w:t>
      </w:r>
    </w:p>
    <w:p w:rsidR="00C46631" w:rsidRPr="00C46631" w:rsidP="00C46631" w14:paraId="745BF620" w14:textId="77777777">
      <w:pPr>
        <w:spacing w:line="288" w:lineRule="auto"/>
        <w:jc w:val="center"/>
        <w:rPr>
          <w:rFonts w:ascii="Century Schoolbook" w:hAnsi="Century Schoolbook"/>
          <w:b/>
          <w:bCs/>
          <w:sz w:val="26"/>
          <w:szCs w:val="26"/>
        </w:rPr>
      </w:pPr>
      <w:r w:rsidRPr="00C46631">
        <w:rPr>
          <w:rFonts w:ascii="Century Schoolbook" w:hAnsi="Century Schoolbook"/>
          <w:b/>
          <w:bCs/>
          <w:sz w:val="26"/>
          <w:szCs w:val="26"/>
        </w:rPr>
        <w:t>FACTS AND PROCEDURAL BACKGROUND</w:t>
      </w:r>
    </w:p>
    <w:p w:rsidR="00C46631" w:rsidRPr="00C46631" w:rsidP="00C46631" w14:paraId="06FE0DE2" w14:textId="77777777">
      <w:pPr>
        <w:spacing w:line="288" w:lineRule="auto"/>
        <w:rPr>
          <w:rFonts w:ascii="Century Schoolbook" w:hAnsi="Century Schoolbook"/>
          <w:b/>
          <w:bCs/>
          <w:sz w:val="26"/>
          <w:szCs w:val="26"/>
        </w:rPr>
      </w:pPr>
      <w:r w:rsidRPr="00C46631">
        <w:rPr>
          <w:rFonts w:ascii="Century Schoolbook" w:hAnsi="Century Schoolbook"/>
          <w:b/>
          <w:bCs/>
          <w:sz w:val="26"/>
          <w:szCs w:val="26"/>
        </w:rPr>
        <w:t>I.</w:t>
      </w:r>
      <w:r w:rsidRPr="00C46631">
        <w:rPr>
          <w:rFonts w:ascii="Century Schoolbook" w:hAnsi="Century Schoolbook"/>
          <w:b/>
          <w:bCs/>
          <w:sz w:val="26"/>
          <w:szCs w:val="26"/>
        </w:rPr>
        <w:tab/>
        <w:t>Facts</w:t>
      </w:r>
    </w:p>
    <w:p w:rsidR="00C46631" w:rsidRPr="00C46631" w:rsidP="00C46631" w14:paraId="5B674C13" w14:textId="77777777">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A.</w:t>
      </w:r>
      <w:r w:rsidRPr="00C46631">
        <w:rPr>
          <w:rFonts w:ascii="Century Schoolbook" w:hAnsi="Century Schoolbook"/>
          <w:b/>
          <w:bCs/>
          <w:sz w:val="26"/>
          <w:szCs w:val="26"/>
        </w:rPr>
        <w:tab/>
      </w:r>
      <w:r w:rsidRPr="00C46631">
        <w:rPr>
          <w:rFonts w:ascii="Century Schoolbook" w:hAnsi="Century Schoolbook"/>
          <w:b/>
          <w:bCs/>
          <w:i/>
          <w:iCs/>
          <w:sz w:val="26"/>
          <w:szCs w:val="26"/>
        </w:rPr>
        <w:t>J.C. and his history</w:t>
      </w:r>
    </w:p>
    <w:p w:rsidR="00C46631" w:rsidRPr="00C46631" w:rsidP="00C46631" w14:paraId="24DE5EDA" w14:textId="0C6BD195">
      <w:pPr>
        <w:spacing w:line="288" w:lineRule="auto"/>
        <w:rPr>
          <w:rFonts w:ascii="Century Schoolbook" w:hAnsi="Century Schoolbook"/>
          <w:sz w:val="26"/>
          <w:szCs w:val="26"/>
        </w:rPr>
      </w:pPr>
      <w:r w:rsidRPr="00C46631">
        <w:rPr>
          <w:rFonts w:ascii="Century Schoolbook" w:hAnsi="Century Schoolbook"/>
          <w:sz w:val="26"/>
          <w:szCs w:val="26"/>
        </w:rPr>
        <w:tab/>
        <w:t xml:space="preserve">J.C. is a man in his </w:t>
      </w:r>
      <w:r w:rsidR="00F53CC4">
        <w:rPr>
          <w:rFonts w:ascii="Century Schoolbook" w:hAnsi="Century Schoolbook"/>
          <w:sz w:val="26"/>
          <w:szCs w:val="26"/>
        </w:rPr>
        <w:t xml:space="preserve">early </w:t>
      </w:r>
      <w:r w:rsidR="00CC60B2">
        <w:rPr>
          <w:rFonts w:ascii="Century Schoolbook" w:hAnsi="Century Schoolbook"/>
          <w:sz w:val="26"/>
          <w:szCs w:val="26"/>
        </w:rPr>
        <w:t>thirties</w:t>
      </w:r>
      <w:r w:rsidRPr="00C46631">
        <w:rPr>
          <w:rFonts w:ascii="Century Schoolbook" w:hAnsi="Century Schoolbook"/>
          <w:sz w:val="26"/>
          <w:szCs w:val="26"/>
        </w:rPr>
        <w:t xml:space="preserve"> with a “mild intellectual disability” along with autism, a</w:t>
      </w:r>
      <w:r w:rsidR="002E23AF">
        <w:rPr>
          <w:rFonts w:ascii="Century Schoolbook" w:hAnsi="Century Schoolbook"/>
          <w:sz w:val="26"/>
          <w:szCs w:val="26"/>
        </w:rPr>
        <w:t>n “unspecified”</w:t>
      </w:r>
      <w:r w:rsidRPr="00C46631">
        <w:rPr>
          <w:rFonts w:ascii="Century Schoolbook" w:hAnsi="Century Schoolbook"/>
          <w:sz w:val="26"/>
          <w:szCs w:val="26"/>
        </w:rPr>
        <w:t xml:space="preserve"> “non</w:t>
      </w:r>
      <w:r w:rsidR="001B1D78">
        <w:rPr>
          <w:rFonts w:ascii="Century Schoolbook" w:hAnsi="Century Schoolbook"/>
          <w:sz w:val="26"/>
          <w:szCs w:val="26"/>
        </w:rPr>
        <w:t>-</w:t>
      </w:r>
      <w:r w:rsidRPr="00C46631">
        <w:rPr>
          <w:rFonts w:ascii="Century Schoolbook" w:hAnsi="Century Schoolbook"/>
          <w:sz w:val="26"/>
          <w:szCs w:val="26"/>
        </w:rPr>
        <w:t>psychotic mental disorder,” a “generalized anxiety disorder,” and “obsessive compulsive disorder.”  J.C. engages in self-harming behavior and also has “outbursts of physical violence and aggression” toward others.</w:t>
      </w:r>
    </w:p>
    <w:p w:rsidR="00C46631" w:rsidRPr="00C46631" w:rsidP="00C46631" w14:paraId="01E9A4E5" w14:textId="17D77D8B">
      <w:pPr>
        <w:spacing w:line="288" w:lineRule="auto"/>
        <w:rPr>
          <w:rFonts w:ascii="Century Schoolbook" w:hAnsi="Century Schoolbook"/>
          <w:sz w:val="26"/>
          <w:szCs w:val="26"/>
        </w:rPr>
      </w:pPr>
      <w:r w:rsidRPr="00C46631">
        <w:rPr>
          <w:rFonts w:ascii="Century Schoolbook" w:hAnsi="Century Schoolbook"/>
          <w:sz w:val="26"/>
          <w:szCs w:val="26"/>
        </w:rPr>
        <w:tab/>
        <w:t>J.C. is a client of the North Los Angeles County Regional Center</w:t>
      </w:r>
      <w:r w:rsidR="00F53CC4">
        <w:rPr>
          <w:rFonts w:ascii="Century Schoolbook" w:hAnsi="Century Schoolbook"/>
          <w:sz w:val="26"/>
          <w:szCs w:val="26"/>
        </w:rPr>
        <w:t>, Inc.</w:t>
      </w:r>
      <w:r w:rsidRPr="00C46631">
        <w:rPr>
          <w:rFonts w:ascii="Century Schoolbook" w:hAnsi="Century Schoolbook"/>
          <w:sz w:val="26"/>
          <w:szCs w:val="26"/>
        </w:rPr>
        <w:t xml:space="preserve"> (the Regional Center).  The Regional Center developed an individual program plan for J.C., which includes housing him</w:t>
      </w:r>
      <w:r w:rsidR="00CC60B2">
        <w:rPr>
          <w:rFonts w:ascii="Century Schoolbook" w:hAnsi="Century Schoolbook"/>
          <w:sz w:val="26"/>
          <w:szCs w:val="26"/>
        </w:rPr>
        <w:t xml:space="preserve"> at</w:t>
      </w:r>
      <w:r w:rsidRPr="00C46631">
        <w:rPr>
          <w:rFonts w:ascii="Century Schoolbook" w:hAnsi="Century Schoolbook"/>
          <w:sz w:val="26"/>
          <w:szCs w:val="26"/>
        </w:rPr>
        <w:t xml:space="preserve"> a residential facility.</w:t>
      </w:r>
    </w:p>
    <w:p w:rsidR="00C46631" w:rsidRPr="00C46631" w:rsidP="00C46631" w14:paraId="7B67948B" w14:textId="1997AF9E">
      <w:pPr>
        <w:spacing w:line="288" w:lineRule="auto"/>
        <w:rPr>
          <w:rFonts w:ascii="Century Schoolbook" w:hAnsi="Century Schoolbook"/>
          <w:sz w:val="26"/>
          <w:szCs w:val="26"/>
        </w:rPr>
      </w:pPr>
      <w:r w:rsidRPr="00C46631">
        <w:rPr>
          <w:rFonts w:ascii="Century Schoolbook" w:hAnsi="Century Schoolbook"/>
          <w:sz w:val="26"/>
          <w:szCs w:val="26"/>
        </w:rPr>
        <w:tab/>
        <w:t xml:space="preserve">Between April 2008 and April 2016, the Regional Center arranged for J.C. to be housed at the Fairview Developmental Center, a residential facility for developmentally disabled </w:t>
      </w:r>
      <w:r w:rsidR="00CC60B2">
        <w:rPr>
          <w:rFonts w:ascii="Century Schoolbook" w:hAnsi="Century Schoolbook"/>
          <w:sz w:val="26"/>
          <w:szCs w:val="26"/>
        </w:rPr>
        <w:t>persons</w:t>
      </w:r>
      <w:r w:rsidRPr="00C46631">
        <w:rPr>
          <w:rFonts w:ascii="Century Schoolbook" w:hAnsi="Century Schoolbook"/>
          <w:sz w:val="26"/>
          <w:szCs w:val="26"/>
        </w:rPr>
        <w:t>.  While there, J.C. exhibited “dangerous propensities to hurt himself and others.”</w:t>
      </w:r>
    </w:p>
    <w:p w:rsidR="00C46631" w:rsidRPr="00C46631" w:rsidP="00C46631" w14:paraId="4FBA90E8" w14:textId="62633338">
      <w:pPr>
        <w:spacing w:line="288" w:lineRule="auto"/>
        <w:rPr>
          <w:rFonts w:ascii="Century Schoolbook" w:hAnsi="Century Schoolbook"/>
          <w:b/>
          <w:bCs/>
          <w:i/>
          <w:iCs/>
          <w:sz w:val="26"/>
          <w:szCs w:val="26"/>
        </w:rPr>
      </w:pPr>
      <w:r w:rsidRPr="00C46631">
        <w:rPr>
          <w:rFonts w:ascii="Century Schoolbook" w:hAnsi="Century Schoolbook"/>
          <w:b/>
          <w:bCs/>
          <w:sz w:val="26"/>
          <w:szCs w:val="26"/>
        </w:rPr>
        <w:tab/>
        <w:t>B.</w:t>
      </w:r>
      <w:r w:rsidRPr="00C46631">
        <w:rPr>
          <w:rFonts w:ascii="Century Schoolbook" w:hAnsi="Century Schoolbook"/>
          <w:b/>
          <w:bCs/>
          <w:sz w:val="26"/>
          <w:szCs w:val="26"/>
        </w:rPr>
        <w:tab/>
      </w:r>
      <w:r w:rsidRPr="00C46631">
        <w:rPr>
          <w:rFonts w:ascii="Century Schoolbook" w:hAnsi="Century Schoolbook"/>
          <w:b/>
          <w:bCs/>
          <w:i/>
          <w:iCs/>
          <w:sz w:val="26"/>
          <w:szCs w:val="26"/>
        </w:rPr>
        <w:t>Placement in Hargis Ho</w:t>
      </w:r>
      <w:r w:rsidR="005F267C">
        <w:rPr>
          <w:rFonts w:ascii="Century Schoolbook" w:hAnsi="Century Schoolbook"/>
          <w:b/>
          <w:bCs/>
          <w:i/>
          <w:iCs/>
          <w:sz w:val="26"/>
          <w:szCs w:val="26"/>
        </w:rPr>
        <w:t>m</w:t>
      </w:r>
      <w:r w:rsidRPr="00C46631">
        <w:rPr>
          <w:rFonts w:ascii="Century Schoolbook" w:hAnsi="Century Schoolbook"/>
          <w:b/>
          <w:bCs/>
          <w:i/>
          <w:iCs/>
          <w:sz w:val="26"/>
          <w:szCs w:val="26"/>
        </w:rPr>
        <w:t>e</w:t>
      </w:r>
    </w:p>
    <w:p w:rsidR="00C46631" w:rsidRPr="00C46631" w:rsidP="00C46631" w14:paraId="43560127" w14:textId="4A7C7E73">
      <w:pPr>
        <w:spacing w:line="288" w:lineRule="auto"/>
        <w:rPr>
          <w:rFonts w:ascii="Century Schoolbook" w:hAnsi="Century Schoolbook"/>
          <w:sz w:val="26"/>
          <w:szCs w:val="26"/>
        </w:rPr>
      </w:pPr>
      <w:r w:rsidRPr="00C46631">
        <w:rPr>
          <w:rFonts w:ascii="Century Schoolbook" w:hAnsi="Century Schoolbook"/>
          <w:sz w:val="26"/>
          <w:szCs w:val="26"/>
        </w:rPr>
        <w:tab/>
        <w:t>On April 21, 2016, J.C. moved into Hargis Ho</w:t>
      </w:r>
      <w:r w:rsidR="005B4485">
        <w:rPr>
          <w:rFonts w:ascii="Century Schoolbook" w:hAnsi="Century Schoolbook"/>
          <w:sz w:val="26"/>
          <w:szCs w:val="26"/>
        </w:rPr>
        <w:t>m</w:t>
      </w:r>
      <w:r w:rsidRPr="00C46631">
        <w:rPr>
          <w:rFonts w:ascii="Century Schoolbook" w:hAnsi="Century Schoolbook"/>
          <w:sz w:val="26"/>
          <w:szCs w:val="26"/>
        </w:rPr>
        <w:t>e</w:t>
      </w:r>
      <w:r w:rsidR="00CC60B2">
        <w:rPr>
          <w:rFonts w:ascii="Century Schoolbook" w:hAnsi="Century Schoolbook"/>
          <w:sz w:val="26"/>
          <w:szCs w:val="26"/>
        </w:rPr>
        <w:t xml:space="preserve">, </w:t>
      </w:r>
      <w:r w:rsidRPr="00C46631">
        <w:rPr>
          <w:rFonts w:ascii="Century Schoolbook" w:hAnsi="Century Schoolbook"/>
          <w:sz w:val="26"/>
          <w:szCs w:val="26"/>
        </w:rPr>
        <w:t xml:space="preserve">a licensed adult residential </w:t>
      </w:r>
      <w:r w:rsidR="00CC60B2">
        <w:rPr>
          <w:rFonts w:ascii="Century Schoolbook" w:hAnsi="Century Schoolbook"/>
          <w:sz w:val="26"/>
          <w:szCs w:val="26"/>
        </w:rPr>
        <w:t>facility</w:t>
      </w:r>
      <w:r w:rsidRPr="00C46631" w:rsidR="00CC60B2">
        <w:rPr>
          <w:rFonts w:ascii="Century Schoolbook" w:hAnsi="Century Schoolbook"/>
          <w:sz w:val="26"/>
          <w:szCs w:val="26"/>
        </w:rPr>
        <w:t xml:space="preserve"> </w:t>
      </w:r>
      <w:r w:rsidRPr="00C46631">
        <w:rPr>
          <w:rFonts w:ascii="Century Schoolbook" w:hAnsi="Century Schoolbook"/>
          <w:sz w:val="26"/>
          <w:szCs w:val="26"/>
        </w:rPr>
        <w:t>owned by People’s Care</w:t>
      </w:r>
      <w:r w:rsidR="002128CF">
        <w:rPr>
          <w:rFonts w:ascii="Century Schoolbook" w:hAnsi="Century Schoolbook"/>
          <w:sz w:val="26"/>
          <w:szCs w:val="26"/>
        </w:rPr>
        <w:t xml:space="preserve"> Los Angeles, LLC</w:t>
      </w:r>
      <w:r w:rsidR="00F53CC4">
        <w:rPr>
          <w:rFonts w:ascii="Century Schoolbook" w:hAnsi="Century Schoolbook"/>
          <w:sz w:val="26"/>
          <w:szCs w:val="26"/>
        </w:rPr>
        <w:t>.</w:t>
      </w:r>
      <w:r w:rsidRPr="00C46631">
        <w:rPr>
          <w:rFonts w:ascii="Century Schoolbook" w:hAnsi="Century Schoolbook"/>
          <w:sz w:val="26"/>
          <w:szCs w:val="26"/>
        </w:rPr>
        <w:t xml:space="preserve">  Hargis Ho</w:t>
      </w:r>
      <w:r w:rsidR="005B4485">
        <w:rPr>
          <w:rFonts w:ascii="Century Schoolbook" w:hAnsi="Century Schoolbook"/>
          <w:sz w:val="26"/>
          <w:szCs w:val="26"/>
        </w:rPr>
        <w:t>m</w:t>
      </w:r>
      <w:r w:rsidRPr="00C46631">
        <w:rPr>
          <w:rFonts w:ascii="Century Schoolbook" w:hAnsi="Century Schoolbook"/>
          <w:sz w:val="26"/>
          <w:szCs w:val="26"/>
        </w:rPr>
        <w:t>e is rated as being able to provide the “highest level” of care</w:t>
      </w:r>
      <w:r w:rsidR="00CC60B2">
        <w:rPr>
          <w:rFonts w:ascii="Century Schoolbook" w:hAnsi="Century Schoolbook"/>
          <w:sz w:val="26"/>
          <w:szCs w:val="26"/>
        </w:rPr>
        <w:t xml:space="preserve"> for developmentally disabled persons</w:t>
      </w:r>
      <w:r w:rsidRPr="00C46631">
        <w:rPr>
          <w:rFonts w:ascii="Century Schoolbook" w:hAnsi="Century Schoolbook"/>
          <w:sz w:val="26"/>
          <w:szCs w:val="26"/>
        </w:rPr>
        <w:t xml:space="preserve"> and can accommodate </w:t>
      </w:r>
      <w:r w:rsidR="00F53CC4">
        <w:rPr>
          <w:rFonts w:ascii="Century Schoolbook" w:hAnsi="Century Schoolbook"/>
          <w:sz w:val="26"/>
          <w:szCs w:val="26"/>
        </w:rPr>
        <w:t xml:space="preserve">a total of </w:t>
      </w:r>
      <w:r w:rsidRPr="00C46631">
        <w:rPr>
          <w:rFonts w:ascii="Century Schoolbook" w:hAnsi="Century Schoolbook"/>
          <w:sz w:val="26"/>
          <w:szCs w:val="26"/>
        </w:rPr>
        <w:t>three residents.</w:t>
      </w:r>
    </w:p>
    <w:p w:rsidR="00C46631" w:rsidRPr="00C46631" w:rsidP="00C46631" w14:paraId="55770C15" w14:textId="759650E6">
      <w:pPr>
        <w:spacing w:line="288" w:lineRule="auto"/>
        <w:rPr>
          <w:rFonts w:ascii="Century Schoolbook" w:hAnsi="Century Schoolbook"/>
          <w:sz w:val="26"/>
          <w:szCs w:val="26"/>
        </w:rPr>
      </w:pPr>
      <w:r w:rsidRPr="00C46631">
        <w:rPr>
          <w:rFonts w:ascii="Century Schoolbook" w:hAnsi="Century Schoolbook"/>
          <w:sz w:val="26"/>
          <w:szCs w:val="26"/>
        </w:rPr>
        <w:tab/>
        <w:t>The Regional Center had “suggest</w:t>
      </w:r>
      <w:r w:rsidR="00526FB6">
        <w:rPr>
          <w:rFonts w:ascii="Century Schoolbook" w:hAnsi="Century Schoolbook"/>
          <w:sz w:val="26"/>
          <w:szCs w:val="26"/>
        </w:rPr>
        <w:t>[</w:t>
      </w:r>
      <w:r w:rsidRPr="00C46631">
        <w:rPr>
          <w:rFonts w:ascii="Century Schoolbook" w:hAnsi="Century Schoolbook"/>
          <w:sz w:val="26"/>
          <w:szCs w:val="26"/>
        </w:rPr>
        <w:t>ed</w:t>
      </w:r>
      <w:r w:rsidR="00526FB6">
        <w:rPr>
          <w:rFonts w:ascii="Century Schoolbook" w:hAnsi="Century Schoolbook"/>
          <w:sz w:val="26"/>
          <w:szCs w:val="26"/>
        </w:rPr>
        <w:t>]</w:t>
      </w:r>
      <w:r w:rsidRPr="00C46631">
        <w:rPr>
          <w:rFonts w:ascii="Century Schoolbook" w:hAnsi="Century Schoolbook"/>
          <w:sz w:val="26"/>
          <w:szCs w:val="26"/>
        </w:rPr>
        <w:t>” Hargis Ho</w:t>
      </w:r>
      <w:r w:rsidR="005B4485">
        <w:rPr>
          <w:rFonts w:ascii="Century Schoolbook" w:hAnsi="Century Schoolbook"/>
          <w:sz w:val="26"/>
          <w:szCs w:val="26"/>
        </w:rPr>
        <w:t>m</w:t>
      </w:r>
      <w:r w:rsidRPr="00C46631">
        <w:rPr>
          <w:rFonts w:ascii="Century Schoolbook" w:hAnsi="Century Schoolbook"/>
          <w:sz w:val="26"/>
          <w:szCs w:val="26"/>
        </w:rPr>
        <w:t xml:space="preserve">e as a possible placement for J.C. after Fairview </w:t>
      </w:r>
      <w:r w:rsidRPr="00C46631" w:rsidR="00CC60B2">
        <w:rPr>
          <w:rFonts w:ascii="Century Schoolbook" w:hAnsi="Century Schoolbook"/>
          <w:sz w:val="26"/>
          <w:szCs w:val="26"/>
        </w:rPr>
        <w:t>Developmental Center</w:t>
      </w:r>
      <w:r w:rsidRPr="00C46631">
        <w:rPr>
          <w:rFonts w:ascii="Century Schoolbook" w:hAnsi="Century Schoolbook"/>
          <w:sz w:val="26"/>
          <w:szCs w:val="26"/>
        </w:rPr>
        <w:t>, but Hargis Ho</w:t>
      </w:r>
      <w:r w:rsidR="00AA65D7">
        <w:rPr>
          <w:rFonts w:ascii="Century Schoolbook" w:hAnsi="Century Schoolbook"/>
          <w:sz w:val="26"/>
          <w:szCs w:val="26"/>
        </w:rPr>
        <w:t>me</w:t>
      </w:r>
      <w:r w:rsidRPr="00C46631">
        <w:rPr>
          <w:rFonts w:ascii="Century Schoolbook" w:hAnsi="Century Schoolbook"/>
          <w:sz w:val="26"/>
          <w:szCs w:val="26"/>
        </w:rPr>
        <w:t xml:space="preserve"> independently conducted its own assessment of whether it could accommodate J.C.</w:t>
      </w:r>
      <w:r w:rsidR="00F53CC4">
        <w:rPr>
          <w:rFonts w:ascii="Century Schoolbook" w:hAnsi="Century Schoolbook"/>
          <w:sz w:val="26"/>
          <w:szCs w:val="26"/>
        </w:rPr>
        <w:t xml:space="preserve"> given his</w:t>
      </w:r>
      <w:r w:rsidRPr="00C46631">
        <w:rPr>
          <w:rFonts w:ascii="Century Schoolbook" w:hAnsi="Century Schoolbook"/>
          <w:sz w:val="26"/>
          <w:szCs w:val="26"/>
        </w:rPr>
        <w:t xml:space="preserve"> level of disability.  After determining that J.C. was “compatible with other </w:t>
      </w:r>
      <w:r w:rsidR="00A06DD6">
        <w:rPr>
          <w:rFonts w:ascii="Century Schoolbook" w:hAnsi="Century Schoolbook"/>
          <w:sz w:val="26"/>
          <w:szCs w:val="26"/>
        </w:rPr>
        <w:t>[</w:t>
      </w:r>
      <w:r w:rsidRPr="00C46631">
        <w:rPr>
          <w:rFonts w:ascii="Century Schoolbook" w:hAnsi="Century Schoolbook"/>
          <w:sz w:val="26"/>
          <w:szCs w:val="26"/>
        </w:rPr>
        <w:t>r</w:t>
      </w:r>
      <w:r w:rsidR="00A06DD6">
        <w:rPr>
          <w:rFonts w:ascii="Century Schoolbook" w:hAnsi="Century Schoolbook"/>
          <w:sz w:val="26"/>
          <w:szCs w:val="26"/>
        </w:rPr>
        <w:t>]</w:t>
      </w:r>
      <w:r w:rsidRPr="00C46631">
        <w:rPr>
          <w:rFonts w:ascii="Century Schoolbook" w:hAnsi="Century Schoolbook"/>
          <w:sz w:val="26"/>
          <w:szCs w:val="26"/>
        </w:rPr>
        <w:t>esidents</w:t>
      </w:r>
      <w:r w:rsidR="00CC60B2">
        <w:rPr>
          <w:rFonts w:ascii="Century Schoolbook" w:hAnsi="Century Schoolbook"/>
          <w:sz w:val="26"/>
          <w:szCs w:val="26"/>
        </w:rPr>
        <w:t>”</w:t>
      </w:r>
      <w:r w:rsidRPr="00C46631">
        <w:rPr>
          <w:rFonts w:ascii="Century Schoolbook" w:hAnsi="Century Schoolbook"/>
          <w:sz w:val="26"/>
          <w:szCs w:val="26"/>
        </w:rPr>
        <w:t xml:space="preserve"> of the </w:t>
      </w:r>
      <w:r w:rsidR="00CC60B2">
        <w:rPr>
          <w:rFonts w:ascii="Century Schoolbook" w:hAnsi="Century Schoolbook"/>
          <w:sz w:val="26"/>
          <w:szCs w:val="26"/>
        </w:rPr>
        <w:t>facility</w:t>
      </w:r>
      <w:r w:rsidRPr="00C46631">
        <w:rPr>
          <w:rFonts w:ascii="Century Schoolbook" w:hAnsi="Century Schoolbook"/>
          <w:sz w:val="26"/>
          <w:szCs w:val="26"/>
        </w:rPr>
        <w:t xml:space="preserve"> </w:t>
      </w:r>
      <w:r w:rsidR="00AA65D7">
        <w:rPr>
          <w:rFonts w:ascii="Century Schoolbook" w:hAnsi="Century Schoolbook"/>
          <w:sz w:val="26"/>
          <w:szCs w:val="26"/>
        </w:rPr>
        <w:t xml:space="preserve">as well as </w:t>
      </w:r>
      <w:r w:rsidRPr="00C46631">
        <w:rPr>
          <w:rFonts w:ascii="Century Schoolbook" w:hAnsi="Century Schoolbook"/>
          <w:sz w:val="26"/>
          <w:szCs w:val="26"/>
        </w:rPr>
        <w:t>Hargis Ho</w:t>
      </w:r>
      <w:r w:rsidR="00AA65D7">
        <w:rPr>
          <w:rFonts w:ascii="Century Schoolbook" w:hAnsi="Century Schoolbook"/>
          <w:sz w:val="26"/>
          <w:szCs w:val="26"/>
        </w:rPr>
        <w:t xml:space="preserve">me’s </w:t>
      </w:r>
      <w:r w:rsidRPr="00C46631">
        <w:rPr>
          <w:rFonts w:ascii="Century Schoolbook" w:hAnsi="Century Schoolbook"/>
          <w:sz w:val="26"/>
          <w:szCs w:val="26"/>
        </w:rPr>
        <w:t>“program design and service level</w:t>
      </w:r>
      <w:r w:rsidR="002A4BE5">
        <w:rPr>
          <w:rFonts w:ascii="Century Schoolbook" w:hAnsi="Century Schoolbook"/>
          <w:sz w:val="26"/>
          <w:szCs w:val="26"/>
        </w:rPr>
        <w:t>,</w:t>
      </w:r>
      <w:r w:rsidRPr="00C46631">
        <w:rPr>
          <w:rFonts w:ascii="Century Schoolbook" w:hAnsi="Century Schoolbook"/>
          <w:sz w:val="26"/>
          <w:szCs w:val="26"/>
        </w:rPr>
        <w:t>” Hargis Ho</w:t>
      </w:r>
      <w:r w:rsidR="005B4485">
        <w:rPr>
          <w:rFonts w:ascii="Century Schoolbook" w:hAnsi="Century Schoolbook"/>
          <w:sz w:val="26"/>
          <w:szCs w:val="26"/>
        </w:rPr>
        <w:t>me</w:t>
      </w:r>
      <w:r w:rsidRPr="00C46631">
        <w:rPr>
          <w:rFonts w:ascii="Century Schoolbook" w:hAnsi="Century Schoolbook"/>
          <w:sz w:val="26"/>
          <w:szCs w:val="26"/>
        </w:rPr>
        <w:t xml:space="preserve"> signed a contract with the Regional Center accepting J.C. as a resident.  In that contract, Hargis Ho</w:t>
      </w:r>
      <w:r w:rsidR="005B4485">
        <w:rPr>
          <w:rFonts w:ascii="Century Schoolbook" w:hAnsi="Century Schoolbook"/>
          <w:sz w:val="26"/>
          <w:szCs w:val="26"/>
        </w:rPr>
        <w:t>m</w:t>
      </w:r>
      <w:r w:rsidRPr="00C46631">
        <w:rPr>
          <w:rFonts w:ascii="Century Schoolbook" w:hAnsi="Century Schoolbook"/>
          <w:sz w:val="26"/>
          <w:szCs w:val="26"/>
        </w:rPr>
        <w:t>e affirmed that the Regional Center had “provided all available information concerning [J.C.’s] history of dangerous behavior</w:t>
      </w:r>
      <w:r w:rsidR="00F53CC4">
        <w:rPr>
          <w:rFonts w:ascii="Century Schoolbook" w:hAnsi="Century Schoolbook"/>
          <w:sz w:val="26"/>
          <w:szCs w:val="26"/>
        </w:rPr>
        <w:t>.</w:t>
      </w:r>
      <w:r w:rsidRPr="00C46631">
        <w:rPr>
          <w:rFonts w:ascii="Century Schoolbook" w:hAnsi="Century Schoolbook"/>
          <w:sz w:val="26"/>
          <w:szCs w:val="26"/>
        </w:rPr>
        <w:t>”</w:t>
      </w:r>
    </w:p>
    <w:p w:rsidR="00C46631" w:rsidRPr="00C46631" w:rsidP="00C46631" w14:paraId="53177671" w14:textId="22AA710F">
      <w:pPr>
        <w:spacing w:line="288" w:lineRule="auto"/>
        <w:rPr>
          <w:rFonts w:ascii="Century Schoolbook" w:hAnsi="Century Schoolbook"/>
          <w:sz w:val="26"/>
          <w:szCs w:val="26"/>
        </w:rPr>
      </w:pPr>
      <w:r w:rsidRPr="00C46631">
        <w:rPr>
          <w:rFonts w:ascii="Century Schoolbook" w:hAnsi="Century Schoolbook"/>
          <w:sz w:val="26"/>
          <w:szCs w:val="26"/>
        </w:rPr>
        <w:tab/>
        <w:t>The Regional Center contracted with My</w:t>
      </w:r>
      <w:r w:rsidR="00335539">
        <w:rPr>
          <w:rFonts w:ascii="Century Schoolbook" w:hAnsi="Century Schoolbook"/>
          <w:sz w:val="26"/>
          <w:szCs w:val="26"/>
        </w:rPr>
        <w:t xml:space="preserve"> </w:t>
      </w:r>
      <w:r w:rsidRPr="00C46631">
        <w:rPr>
          <w:rFonts w:ascii="Century Schoolbook" w:hAnsi="Century Schoolbook"/>
          <w:sz w:val="26"/>
          <w:szCs w:val="26"/>
        </w:rPr>
        <w:t>Life Foundation</w:t>
      </w:r>
      <w:r w:rsidR="00B25B09">
        <w:rPr>
          <w:rFonts w:ascii="Century Schoolbook" w:hAnsi="Century Schoolbook"/>
          <w:sz w:val="26"/>
          <w:szCs w:val="26"/>
        </w:rPr>
        <w:t>, Inc.</w:t>
      </w:r>
      <w:r w:rsidRPr="00C46631">
        <w:rPr>
          <w:rFonts w:ascii="Century Schoolbook" w:hAnsi="Century Schoolbook"/>
          <w:sz w:val="26"/>
          <w:szCs w:val="26"/>
        </w:rPr>
        <w:t xml:space="preserve"> to provide additional staff to attend to J.C. when J.C. would leave </w:t>
      </w:r>
      <w:r w:rsidR="00CC60B2">
        <w:rPr>
          <w:rFonts w:ascii="Century Schoolbook" w:hAnsi="Century Schoolbook"/>
          <w:sz w:val="26"/>
          <w:szCs w:val="26"/>
        </w:rPr>
        <w:t>Hargis</w:t>
      </w:r>
      <w:r w:rsidRPr="00C46631" w:rsidR="00CC60B2">
        <w:rPr>
          <w:rFonts w:ascii="Century Schoolbook" w:hAnsi="Century Schoolbook"/>
          <w:sz w:val="26"/>
          <w:szCs w:val="26"/>
        </w:rPr>
        <w:t xml:space="preserve"> </w:t>
      </w:r>
      <w:r w:rsidRPr="00C46631">
        <w:rPr>
          <w:rFonts w:ascii="Century Schoolbook" w:hAnsi="Century Schoolbook"/>
          <w:sz w:val="26"/>
          <w:szCs w:val="26"/>
        </w:rPr>
        <w:t>Ho</w:t>
      </w:r>
      <w:r w:rsidR="005B4485">
        <w:rPr>
          <w:rFonts w:ascii="Century Schoolbook" w:hAnsi="Century Schoolbook"/>
          <w:sz w:val="26"/>
          <w:szCs w:val="26"/>
        </w:rPr>
        <w:t>m</w:t>
      </w:r>
      <w:r w:rsidRPr="00C46631">
        <w:rPr>
          <w:rFonts w:ascii="Century Schoolbook" w:hAnsi="Century Schoolbook"/>
          <w:sz w:val="26"/>
          <w:szCs w:val="26"/>
        </w:rPr>
        <w:t>e on outings.</w:t>
      </w:r>
    </w:p>
    <w:p w:rsidR="00C46631" w:rsidRPr="00C46631" w:rsidP="00C46631" w14:paraId="4627ADB5" w14:textId="72CE46FD">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C.</w:t>
      </w:r>
      <w:r w:rsidRPr="00C46631">
        <w:rPr>
          <w:rFonts w:ascii="Century Schoolbook" w:hAnsi="Century Schoolbook"/>
          <w:b/>
          <w:bCs/>
          <w:sz w:val="26"/>
          <w:szCs w:val="26"/>
        </w:rPr>
        <w:tab/>
      </w:r>
      <w:r w:rsidRPr="00C46631">
        <w:rPr>
          <w:rFonts w:ascii="Century Schoolbook" w:hAnsi="Century Schoolbook"/>
          <w:b/>
          <w:bCs/>
          <w:i/>
          <w:iCs/>
          <w:sz w:val="26"/>
          <w:szCs w:val="26"/>
        </w:rPr>
        <w:t>Plaintiff becomes the administrator of Hargis Ho</w:t>
      </w:r>
      <w:r w:rsidR="00DF4A25">
        <w:rPr>
          <w:rFonts w:ascii="Century Schoolbook" w:hAnsi="Century Schoolbook"/>
          <w:b/>
          <w:bCs/>
          <w:i/>
          <w:iCs/>
          <w:sz w:val="26"/>
          <w:szCs w:val="26"/>
        </w:rPr>
        <w:t>m</w:t>
      </w:r>
      <w:r w:rsidRPr="00C46631">
        <w:rPr>
          <w:rFonts w:ascii="Century Schoolbook" w:hAnsi="Century Schoolbook"/>
          <w:b/>
          <w:bCs/>
          <w:i/>
          <w:iCs/>
          <w:sz w:val="26"/>
          <w:szCs w:val="26"/>
        </w:rPr>
        <w:t>e, and has concerns about its ability to care for J.C.</w:t>
      </w:r>
    </w:p>
    <w:p w:rsidR="00C46631" w:rsidRPr="00C46631" w:rsidP="00C46631" w14:paraId="7B3FDEBA" w14:textId="1FC1DEDA">
      <w:pPr>
        <w:spacing w:line="288" w:lineRule="auto"/>
        <w:rPr>
          <w:rFonts w:ascii="Century Schoolbook" w:hAnsi="Century Schoolbook"/>
          <w:sz w:val="26"/>
          <w:szCs w:val="26"/>
        </w:rPr>
      </w:pPr>
      <w:r w:rsidRPr="00C46631">
        <w:rPr>
          <w:rFonts w:ascii="Century Schoolbook" w:hAnsi="Century Schoolbook"/>
          <w:sz w:val="26"/>
          <w:szCs w:val="26"/>
        </w:rPr>
        <w:tab/>
        <w:t>Ali Shalg</w:t>
      </w:r>
      <w:r w:rsidR="008B3CA9">
        <w:rPr>
          <w:rFonts w:ascii="Century Schoolbook" w:hAnsi="Century Schoolbook"/>
          <w:sz w:val="26"/>
          <w:szCs w:val="26"/>
        </w:rPr>
        <w:t>h</w:t>
      </w:r>
      <w:r w:rsidRPr="00C46631">
        <w:rPr>
          <w:rFonts w:ascii="Century Schoolbook" w:hAnsi="Century Schoolbook"/>
          <w:sz w:val="26"/>
          <w:szCs w:val="26"/>
        </w:rPr>
        <w:t>oun (plaintiff) became the administrator of Hargis Ho</w:t>
      </w:r>
      <w:r w:rsidR="00DF4A25">
        <w:rPr>
          <w:rFonts w:ascii="Century Schoolbook" w:hAnsi="Century Schoolbook"/>
          <w:sz w:val="26"/>
          <w:szCs w:val="26"/>
        </w:rPr>
        <w:t>m</w:t>
      </w:r>
      <w:r w:rsidRPr="00C46631">
        <w:rPr>
          <w:rFonts w:ascii="Century Schoolbook" w:hAnsi="Century Schoolbook"/>
          <w:sz w:val="26"/>
          <w:szCs w:val="26"/>
        </w:rPr>
        <w:t xml:space="preserve">e in </w:t>
      </w:r>
      <w:r w:rsidR="00CC60B2">
        <w:rPr>
          <w:rFonts w:ascii="Century Schoolbook" w:hAnsi="Century Schoolbook"/>
          <w:sz w:val="26"/>
          <w:szCs w:val="26"/>
        </w:rPr>
        <w:t xml:space="preserve">November </w:t>
      </w:r>
      <w:r w:rsidRPr="00C46631">
        <w:rPr>
          <w:rFonts w:ascii="Century Schoolbook" w:hAnsi="Century Schoolbook"/>
          <w:sz w:val="26"/>
          <w:szCs w:val="26"/>
        </w:rPr>
        <w:t>201</w:t>
      </w:r>
      <w:r w:rsidR="00CC60B2">
        <w:rPr>
          <w:rFonts w:ascii="Century Schoolbook" w:hAnsi="Century Schoolbook"/>
          <w:sz w:val="26"/>
          <w:szCs w:val="26"/>
        </w:rPr>
        <w:t>7</w:t>
      </w:r>
      <w:r w:rsidRPr="00C46631">
        <w:rPr>
          <w:rFonts w:ascii="Century Schoolbook" w:hAnsi="Century Schoolbook"/>
          <w:sz w:val="26"/>
          <w:szCs w:val="26"/>
        </w:rPr>
        <w:t xml:space="preserve">.  Despite being hired as the facility’s administrator, plaintiff alternatively asserted that he had no idea that </w:t>
      </w:r>
      <w:r w:rsidR="00F53CC4">
        <w:rPr>
          <w:rFonts w:ascii="Century Schoolbook" w:hAnsi="Century Schoolbook"/>
          <w:sz w:val="26"/>
          <w:szCs w:val="26"/>
        </w:rPr>
        <w:t xml:space="preserve">any of </w:t>
      </w:r>
      <w:r w:rsidRPr="00C46631">
        <w:rPr>
          <w:rFonts w:ascii="Century Schoolbook" w:hAnsi="Century Schoolbook"/>
          <w:sz w:val="26"/>
          <w:szCs w:val="26"/>
        </w:rPr>
        <w:t xml:space="preserve">the facility’s </w:t>
      </w:r>
      <w:r w:rsidR="00DF4A25">
        <w:rPr>
          <w:rFonts w:ascii="Century Schoolbook" w:hAnsi="Century Schoolbook"/>
          <w:sz w:val="26"/>
          <w:szCs w:val="26"/>
        </w:rPr>
        <w:t>residents</w:t>
      </w:r>
      <w:r w:rsidRPr="00C46631" w:rsidR="00DF4A25">
        <w:rPr>
          <w:rFonts w:ascii="Century Schoolbook" w:hAnsi="Century Schoolbook"/>
          <w:sz w:val="26"/>
          <w:szCs w:val="26"/>
        </w:rPr>
        <w:t xml:space="preserve"> </w:t>
      </w:r>
      <w:r w:rsidRPr="00C46631">
        <w:rPr>
          <w:rFonts w:ascii="Century Schoolbook" w:hAnsi="Century Schoolbook"/>
          <w:sz w:val="26"/>
          <w:szCs w:val="26"/>
        </w:rPr>
        <w:t>exhibited “aggressive or violent behavior</w:t>
      </w:r>
      <w:r w:rsidR="002A4BE5">
        <w:rPr>
          <w:rFonts w:ascii="Century Schoolbook" w:hAnsi="Century Schoolbook"/>
          <w:sz w:val="26"/>
          <w:szCs w:val="26"/>
        </w:rPr>
        <w:t>,</w:t>
      </w:r>
      <w:r w:rsidRPr="00C46631">
        <w:rPr>
          <w:rFonts w:ascii="Century Schoolbook" w:hAnsi="Century Schoolbook"/>
          <w:sz w:val="26"/>
          <w:szCs w:val="26"/>
        </w:rPr>
        <w:t>” that he “w</w:t>
      </w:r>
      <w:r w:rsidR="00DF4A25">
        <w:rPr>
          <w:rFonts w:ascii="Century Schoolbook" w:hAnsi="Century Schoolbook"/>
          <w:sz w:val="26"/>
          <w:szCs w:val="26"/>
        </w:rPr>
        <w:t>[</w:t>
      </w:r>
      <w:r w:rsidRPr="00C46631">
        <w:rPr>
          <w:rFonts w:ascii="Century Schoolbook" w:hAnsi="Century Schoolbook"/>
          <w:sz w:val="26"/>
          <w:szCs w:val="26"/>
        </w:rPr>
        <w:t>as</w:t>
      </w:r>
      <w:r w:rsidR="00DF4A25">
        <w:rPr>
          <w:rFonts w:ascii="Century Schoolbook" w:hAnsi="Century Schoolbook"/>
          <w:sz w:val="26"/>
          <w:szCs w:val="26"/>
        </w:rPr>
        <w:t>]</w:t>
      </w:r>
      <w:r w:rsidRPr="00C46631">
        <w:rPr>
          <w:rFonts w:ascii="Century Schoolbook" w:hAnsi="Century Schoolbook"/>
          <w:sz w:val="26"/>
          <w:szCs w:val="26"/>
        </w:rPr>
        <w:t xml:space="preserve">n’t clear” about the </w:t>
      </w:r>
      <w:r w:rsidR="00DF4A25">
        <w:rPr>
          <w:rFonts w:ascii="Century Schoolbook" w:hAnsi="Century Schoolbook"/>
          <w:sz w:val="26"/>
          <w:szCs w:val="26"/>
        </w:rPr>
        <w:t>residents’</w:t>
      </w:r>
      <w:r w:rsidRPr="00C46631" w:rsidR="00DF4A25">
        <w:rPr>
          <w:rFonts w:ascii="Century Schoolbook" w:hAnsi="Century Schoolbook"/>
          <w:sz w:val="26"/>
          <w:szCs w:val="26"/>
        </w:rPr>
        <w:t xml:space="preserve"> </w:t>
      </w:r>
      <w:r w:rsidRPr="00C46631">
        <w:rPr>
          <w:rFonts w:ascii="Century Schoolbook" w:hAnsi="Century Schoolbook"/>
          <w:sz w:val="26"/>
          <w:szCs w:val="26"/>
        </w:rPr>
        <w:t>behavior and the corresponding level of care Hargis Ho</w:t>
      </w:r>
      <w:r w:rsidR="00DF4A25">
        <w:rPr>
          <w:rFonts w:ascii="Century Schoolbook" w:hAnsi="Century Schoolbook"/>
          <w:sz w:val="26"/>
          <w:szCs w:val="26"/>
        </w:rPr>
        <w:t>m</w:t>
      </w:r>
      <w:r w:rsidRPr="00C46631">
        <w:rPr>
          <w:rFonts w:ascii="Century Schoolbook" w:hAnsi="Century Schoolbook"/>
          <w:sz w:val="26"/>
          <w:szCs w:val="26"/>
        </w:rPr>
        <w:t xml:space="preserve">e offered, and that he </w:t>
      </w:r>
      <w:r w:rsidRPr="00C46631">
        <w:rPr>
          <w:rFonts w:ascii="Century Schoolbook" w:hAnsi="Century Schoolbook"/>
          <w:i/>
          <w:iCs/>
          <w:sz w:val="26"/>
          <w:szCs w:val="26"/>
        </w:rPr>
        <w:t>did know</w:t>
      </w:r>
      <w:r w:rsidRPr="00C46631">
        <w:rPr>
          <w:rFonts w:ascii="Century Schoolbook" w:hAnsi="Century Schoolbook"/>
          <w:sz w:val="26"/>
          <w:szCs w:val="26"/>
        </w:rPr>
        <w:t xml:space="preserve"> that the </w:t>
      </w:r>
      <w:r w:rsidR="00DF4A25">
        <w:rPr>
          <w:rFonts w:ascii="Century Schoolbook" w:hAnsi="Century Schoolbook"/>
          <w:sz w:val="26"/>
          <w:szCs w:val="26"/>
        </w:rPr>
        <w:t>residents</w:t>
      </w:r>
      <w:r w:rsidRPr="00C46631" w:rsidR="00DF4A25">
        <w:rPr>
          <w:rFonts w:ascii="Century Schoolbook" w:hAnsi="Century Schoolbook"/>
          <w:sz w:val="26"/>
          <w:szCs w:val="26"/>
        </w:rPr>
        <w:t xml:space="preserve"> </w:t>
      </w:r>
      <w:r w:rsidRPr="00C46631">
        <w:rPr>
          <w:rFonts w:ascii="Century Schoolbook" w:hAnsi="Century Schoolbook"/>
          <w:sz w:val="26"/>
          <w:szCs w:val="26"/>
        </w:rPr>
        <w:t xml:space="preserve">exhibited such behavior but did not know “the </w:t>
      </w:r>
      <w:r w:rsidRPr="00C46631">
        <w:rPr>
          <w:rFonts w:ascii="Century Schoolbook" w:hAnsi="Century Schoolbook"/>
          <w:i/>
          <w:iCs/>
          <w:sz w:val="26"/>
          <w:szCs w:val="26"/>
        </w:rPr>
        <w:t>level</w:t>
      </w:r>
      <w:r w:rsidRPr="00C46631">
        <w:rPr>
          <w:rFonts w:ascii="Century Schoolbook" w:hAnsi="Century Schoolbook"/>
          <w:sz w:val="26"/>
          <w:szCs w:val="26"/>
        </w:rPr>
        <w:t xml:space="preserve"> of</w:t>
      </w:r>
      <w:r w:rsidR="000561B8">
        <w:rPr>
          <w:rFonts w:ascii="Century Schoolbook" w:hAnsi="Century Schoolbook"/>
          <w:sz w:val="26"/>
          <w:szCs w:val="26"/>
        </w:rPr>
        <w:t xml:space="preserve"> the</w:t>
      </w:r>
      <w:r w:rsidRPr="00C46631">
        <w:rPr>
          <w:rFonts w:ascii="Century Schoolbook" w:hAnsi="Century Schoolbook"/>
          <w:sz w:val="26"/>
          <w:szCs w:val="26"/>
        </w:rPr>
        <w:t xml:space="preserve"> aggression</w:t>
      </w:r>
      <w:r w:rsidR="002A4BE5">
        <w:rPr>
          <w:rFonts w:ascii="Century Schoolbook" w:hAnsi="Century Schoolbook"/>
          <w:sz w:val="26"/>
          <w:szCs w:val="26"/>
        </w:rPr>
        <w:t>.</w:t>
      </w:r>
      <w:r w:rsidRPr="00C46631">
        <w:rPr>
          <w:rFonts w:ascii="Century Schoolbook" w:hAnsi="Century Schoolbook"/>
          <w:sz w:val="26"/>
          <w:szCs w:val="26"/>
        </w:rPr>
        <w:t>”</w:t>
      </w:r>
      <w:r w:rsidR="000561B8">
        <w:rPr>
          <w:rFonts w:ascii="Century Schoolbook" w:hAnsi="Century Schoolbook"/>
          <w:sz w:val="26"/>
          <w:szCs w:val="26"/>
        </w:rPr>
        <w:t xml:space="preserve">  (Italics added.) </w:t>
      </w:r>
    </w:p>
    <w:p w:rsidR="00C46631" w:rsidRPr="00C46631" w:rsidP="00C46631" w14:paraId="5C508DF0" w14:textId="6B8F075E">
      <w:pPr>
        <w:spacing w:line="288" w:lineRule="auto"/>
        <w:rPr>
          <w:rFonts w:ascii="Century Schoolbook" w:hAnsi="Century Schoolbook"/>
          <w:sz w:val="26"/>
          <w:szCs w:val="26"/>
        </w:rPr>
      </w:pPr>
      <w:r w:rsidRPr="00C46631">
        <w:rPr>
          <w:rFonts w:ascii="Century Schoolbook" w:hAnsi="Century Schoolbook"/>
          <w:sz w:val="26"/>
          <w:szCs w:val="26"/>
        </w:rPr>
        <w:tab/>
        <w:t>Despite Hargis Ho</w:t>
      </w:r>
      <w:r w:rsidR="00E7589D">
        <w:rPr>
          <w:rFonts w:ascii="Century Schoolbook" w:hAnsi="Century Schoolbook"/>
          <w:sz w:val="26"/>
          <w:szCs w:val="26"/>
        </w:rPr>
        <w:t>m</w:t>
      </w:r>
      <w:r w:rsidRPr="00C46631">
        <w:rPr>
          <w:rFonts w:ascii="Century Schoolbook" w:hAnsi="Century Schoolbook"/>
          <w:sz w:val="26"/>
          <w:szCs w:val="26"/>
        </w:rPr>
        <w:t>e’s initial determination and representation that it could accommodate J.C.’s level of disability, plaintiff felt that its staff was “not trained sufficiently” to handle J.C.  Plaintiff did not act on his concerns until much later.</w:t>
      </w:r>
      <w:r>
        <w:rPr>
          <w:rFonts w:ascii="Century Schoolbook" w:hAnsi="Century Schoolbook"/>
          <w:b/>
          <w:bCs/>
          <w:sz w:val="26"/>
          <w:szCs w:val="26"/>
          <w:vertAlign w:val="superscript"/>
        </w:rPr>
        <w:footnoteReference w:id="3"/>
      </w:r>
    </w:p>
    <w:p w:rsidR="00C46631" w:rsidRPr="00C46631" w:rsidP="00C46631" w14:paraId="19622082" w14:textId="691A8780">
      <w:pPr>
        <w:spacing w:line="288" w:lineRule="auto"/>
        <w:rPr>
          <w:rFonts w:ascii="Century Schoolbook" w:hAnsi="Century Schoolbook"/>
          <w:sz w:val="26"/>
          <w:szCs w:val="26"/>
        </w:rPr>
      </w:pPr>
      <w:r w:rsidRPr="00C46631">
        <w:rPr>
          <w:rFonts w:ascii="Century Schoolbook" w:hAnsi="Century Schoolbook"/>
          <w:sz w:val="26"/>
          <w:szCs w:val="26"/>
        </w:rPr>
        <w:tab/>
        <w:t xml:space="preserve">In February 2018, J.C. had an encounter with plaintiff in which J.C. smeared feces and ripped </w:t>
      </w:r>
      <w:r w:rsidR="00F53CC4">
        <w:rPr>
          <w:rFonts w:ascii="Century Schoolbook" w:hAnsi="Century Schoolbook"/>
          <w:sz w:val="26"/>
          <w:szCs w:val="26"/>
        </w:rPr>
        <w:t>plaintiff’s</w:t>
      </w:r>
      <w:r w:rsidRPr="00C46631">
        <w:rPr>
          <w:rFonts w:ascii="Century Schoolbook" w:hAnsi="Century Schoolbook"/>
          <w:sz w:val="26"/>
          <w:szCs w:val="26"/>
        </w:rPr>
        <w:t xml:space="preserve"> clothes.</w:t>
      </w:r>
    </w:p>
    <w:p w:rsidR="00C46631" w:rsidRPr="00C46631" w:rsidP="00C46631" w14:paraId="6485D96A" w14:textId="39CD1823">
      <w:pPr>
        <w:spacing w:line="288" w:lineRule="auto"/>
        <w:rPr>
          <w:rFonts w:ascii="Century Schoolbook" w:hAnsi="Century Schoolbook"/>
          <w:sz w:val="26"/>
          <w:szCs w:val="26"/>
        </w:rPr>
      </w:pPr>
      <w:r w:rsidRPr="00C46631">
        <w:rPr>
          <w:rFonts w:ascii="Century Schoolbook" w:hAnsi="Century Schoolbook"/>
          <w:sz w:val="26"/>
          <w:szCs w:val="26"/>
        </w:rPr>
        <w:tab/>
        <w:t>In April 2018, J.C. assaulted plaintiff</w:t>
      </w:r>
      <w:r w:rsidR="00E7589D">
        <w:rPr>
          <w:rFonts w:ascii="Century Schoolbook" w:hAnsi="Century Schoolbook"/>
          <w:sz w:val="26"/>
          <w:szCs w:val="26"/>
        </w:rPr>
        <w:t xml:space="preserve"> and was restrained</w:t>
      </w:r>
      <w:r w:rsidRPr="00C46631">
        <w:rPr>
          <w:rFonts w:ascii="Century Schoolbook" w:hAnsi="Century Schoolbook"/>
          <w:sz w:val="26"/>
          <w:szCs w:val="26"/>
        </w:rPr>
        <w:t>.</w:t>
      </w:r>
    </w:p>
    <w:p w:rsidR="00C46631" w:rsidRPr="00C46631" w:rsidP="00C46631" w14:paraId="7DF2AE91" w14:textId="0C23BA01">
      <w:pPr>
        <w:spacing w:line="288" w:lineRule="auto"/>
        <w:rPr>
          <w:rFonts w:ascii="Century Schoolbook" w:hAnsi="Century Schoolbook"/>
          <w:sz w:val="26"/>
          <w:szCs w:val="26"/>
        </w:rPr>
      </w:pPr>
      <w:r w:rsidRPr="00C46631">
        <w:rPr>
          <w:rFonts w:ascii="Century Schoolbook" w:hAnsi="Century Schoolbook"/>
          <w:sz w:val="26"/>
          <w:szCs w:val="26"/>
        </w:rPr>
        <w:tab/>
        <w:t xml:space="preserve">In May 2018, J.C. again assaulted plaintiff by “bec[oming] aggressive towards </w:t>
      </w:r>
      <w:r w:rsidR="006845D1">
        <w:rPr>
          <w:rFonts w:ascii="Century Schoolbook" w:hAnsi="Century Schoolbook"/>
          <w:sz w:val="26"/>
          <w:szCs w:val="26"/>
        </w:rPr>
        <w:t>[</w:t>
      </w:r>
      <w:r w:rsidRPr="00C46631">
        <w:rPr>
          <w:rFonts w:ascii="Century Schoolbook" w:hAnsi="Century Schoolbook"/>
          <w:sz w:val="26"/>
          <w:szCs w:val="26"/>
        </w:rPr>
        <w:t>p</w:t>
      </w:r>
      <w:r w:rsidR="006845D1">
        <w:rPr>
          <w:rFonts w:ascii="Century Schoolbook" w:hAnsi="Century Schoolbook"/>
          <w:sz w:val="26"/>
          <w:szCs w:val="26"/>
        </w:rPr>
        <w:t>]</w:t>
      </w:r>
      <w:r w:rsidRPr="00C46631">
        <w:rPr>
          <w:rFonts w:ascii="Century Schoolbook" w:hAnsi="Century Schoolbook"/>
          <w:sz w:val="26"/>
          <w:szCs w:val="26"/>
        </w:rPr>
        <w:t xml:space="preserve">laintiff when </w:t>
      </w:r>
      <w:r w:rsidR="006845D1">
        <w:rPr>
          <w:rFonts w:ascii="Century Schoolbook" w:hAnsi="Century Schoolbook"/>
          <w:sz w:val="26"/>
          <w:szCs w:val="26"/>
        </w:rPr>
        <w:t>[</w:t>
      </w:r>
      <w:r w:rsidRPr="00C46631">
        <w:rPr>
          <w:rFonts w:ascii="Century Schoolbook" w:hAnsi="Century Schoolbook"/>
          <w:sz w:val="26"/>
          <w:szCs w:val="26"/>
        </w:rPr>
        <w:t>p</w:t>
      </w:r>
      <w:r w:rsidR="006845D1">
        <w:rPr>
          <w:rFonts w:ascii="Century Schoolbook" w:hAnsi="Century Schoolbook"/>
          <w:sz w:val="26"/>
          <w:szCs w:val="26"/>
        </w:rPr>
        <w:t>]</w:t>
      </w:r>
      <w:r w:rsidRPr="00C46631">
        <w:rPr>
          <w:rFonts w:ascii="Century Schoolbook" w:hAnsi="Century Schoolbook"/>
          <w:sz w:val="26"/>
          <w:szCs w:val="26"/>
        </w:rPr>
        <w:t xml:space="preserve">laintiff told him of </w:t>
      </w:r>
      <w:r w:rsidR="006845D1">
        <w:rPr>
          <w:rFonts w:ascii="Century Schoolbook" w:hAnsi="Century Schoolbook"/>
          <w:sz w:val="26"/>
          <w:szCs w:val="26"/>
        </w:rPr>
        <w:t>[</w:t>
      </w:r>
      <w:r w:rsidRPr="00C46631">
        <w:rPr>
          <w:rFonts w:ascii="Century Schoolbook" w:hAnsi="Century Schoolbook"/>
          <w:sz w:val="26"/>
          <w:szCs w:val="26"/>
        </w:rPr>
        <w:t>an</w:t>
      </w:r>
      <w:r w:rsidR="006845D1">
        <w:rPr>
          <w:rFonts w:ascii="Century Schoolbook" w:hAnsi="Century Schoolbook"/>
          <w:sz w:val="26"/>
          <w:szCs w:val="26"/>
        </w:rPr>
        <w:t>]</w:t>
      </w:r>
      <w:r w:rsidRPr="00C46631">
        <w:rPr>
          <w:rFonts w:ascii="Century Schoolbook" w:hAnsi="Century Schoolbook"/>
          <w:sz w:val="26"/>
          <w:szCs w:val="26"/>
        </w:rPr>
        <w:t xml:space="preserve"> upcoming appointment.”</w:t>
      </w:r>
    </w:p>
    <w:p w:rsidR="00C46631" w:rsidRPr="00C46631" w:rsidP="00C46631" w14:paraId="621FE291" w14:textId="4479D2E9">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D.</w:t>
      </w:r>
      <w:r w:rsidRPr="00C46631">
        <w:rPr>
          <w:rFonts w:ascii="Century Schoolbook" w:hAnsi="Century Schoolbook"/>
          <w:b/>
          <w:bCs/>
          <w:sz w:val="26"/>
          <w:szCs w:val="26"/>
        </w:rPr>
        <w:tab/>
      </w:r>
      <w:r w:rsidRPr="00C46631">
        <w:rPr>
          <w:rFonts w:ascii="Century Schoolbook" w:hAnsi="Century Schoolbook"/>
          <w:b/>
          <w:bCs/>
          <w:i/>
          <w:iCs/>
          <w:sz w:val="26"/>
          <w:szCs w:val="26"/>
        </w:rPr>
        <w:t>Hargis Ho</w:t>
      </w:r>
      <w:r w:rsidR="00372E2E">
        <w:rPr>
          <w:rFonts w:ascii="Century Schoolbook" w:hAnsi="Century Schoolbook"/>
          <w:b/>
          <w:bCs/>
          <w:i/>
          <w:iCs/>
          <w:sz w:val="26"/>
          <w:szCs w:val="26"/>
        </w:rPr>
        <w:t>m</w:t>
      </w:r>
      <w:r w:rsidRPr="00C46631">
        <w:rPr>
          <w:rFonts w:ascii="Century Schoolbook" w:hAnsi="Century Schoolbook"/>
          <w:b/>
          <w:bCs/>
          <w:i/>
          <w:iCs/>
          <w:sz w:val="26"/>
          <w:szCs w:val="26"/>
        </w:rPr>
        <w:t xml:space="preserve">e sends the Regional Center a letter </w:t>
      </w:r>
      <w:r w:rsidR="00197320">
        <w:rPr>
          <w:rFonts w:ascii="Century Schoolbook" w:hAnsi="Century Schoolbook"/>
          <w:b/>
          <w:bCs/>
          <w:i/>
          <w:iCs/>
          <w:sz w:val="26"/>
          <w:szCs w:val="26"/>
        </w:rPr>
        <w:t>requesting</w:t>
      </w:r>
      <w:r w:rsidRPr="00C46631" w:rsidR="00197320">
        <w:rPr>
          <w:rFonts w:ascii="Century Schoolbook" w:hAnsi="Century Schoolbook"/>
          <w:b/>
          <w:bCs/>
          <w:i/>
          <w:iCs/>
          <w:sz w:val="26"/>
          <w:szCs w:val="26"/>
        </w:rPr>
        <w:t xml:space="preserve"> </w:t>
      </w:r>
      <w:r w:rsidRPr="00C46631">
        <w:rPr>
          <w:rFonts w:ascii="Century Schoolbook" w:hAnsi="Century Schoolbook"/>
          <w:b/>
          <w:bCs/>
          <w:i/>
          <w:iCs/>
          <w:sz w:val="26"/>
          <w:szCs w:val="26"/>
        </w:rPr>
        <w:t>that J.C. be moved to a different facility</w:t>
      </w:r>
    </w:p>
    <w:p w:rsidR="00C46631" w:rsidRPr="00C46631" w:rsidP="00C46631" w14:paraId="7C43B21C" w14:textId="29CDC934">
      <w:pPr>
        <w:spacing w:line="288" w:lineRule="auto"/>
        <w:rPr>
          <w:rFonts w:ascii="Century Schoolbook" w:hAnsi="Century Schoolbook"/>
          <w:sz w:val="26"/>
          <w:szCs w:val="26"/>
        </w:rPr>
      </w:pPr>
      <w:r w:rsidRPr="00C46631">
        <w:rPr>
          <w:rFonts w:ascii="Century Schoolbook" w:hAnsi="Century Schoolbook"/>
          <w:sz w:val="26"/>
          <w:szCs w:val="26"/>
        </w:rPr>
        <w:tab/>
        <w:t>On May 16, 2018, Hargis Ho</w:t>
      </w:r>
      <w:r w:rsidR="00372E2E">
        <w:rPr>
          <w:rFonts w:ascii="Century Schoolbook" w:hAnsi="Century Schoolbook"/>
          <w:sz w:val="26"/>
          <w:szCs w:val="26"/>
        </w:rPr>
        <w:t>m</w:t>
      </w:r>
      <w:r w:rsidRPr="00C46631">
        <w:rPr>
          <w:rFonts w:ascii="Century Schoolbook" w:hAnsi="Century Schoolbook"/>
          <w:sz w:val="26"/>
          <w:szCs w:val="26"/>
        </w:rPr>
        <w:t>e sent the Regional Center a letter.  In that letter, Hargis Ho</w:t>
      </w:r>
      <w:r w:rsidR="00372E2E">
        <w:rPr>
          <w:rFonts w:ascii="Century Schoolbook" w:hAnsi="Century Schoolbook"/>
          <w:sz w:val="26"/>
          <w:szCs w:val="26"/>
        </w:rPr>
        <w:t>m</w:t>
      </w:r>
      <w:r w:rsidRPr="00C46631">
        <w:rPr>
          <w:rFonts w:ascii="Century Schoolbook" w:hAnsi="Century Schoolbook"/>
          <w:sz w:val="26"/>
          <w:szCs w:val="26"/>
        </w:rPr>
        <w:t>e stated its view that J.C. has “intensive needs,” that “his needs exceed [Hargis Ho</w:t>
      </w:r>
      <w:r w:rsidR="00372E2E">
        <w:rPr>
          <w:rFonts w:ascii="Century Schoolbook" w:hAnsi="Century Schoolbook"/>
          <w:sz w:val="26"/>
          <w:szCs w:val="26"/>
        </w:rPr>
        <w:t>m</w:t>
      </w:r>
      <w:r w:rsidRPr="00C46631">
        <w:rPr>
          <w:rFonts w:ascii="Century Schoolbook" w:hAnsi="Century Schoolbook"/>
          <w:sz w:val="26"/>
          <w:szCs w:val="26"/>
        </w:rPr>
        <w:t xml:space="preserve">e’s] design mandate,” and that this mismatch “places [J.C.] and the other residents at risk </w:t>
      </w:r>
      <w:r w:rsidR="00A553BF">
        <w:rPr>
          <w:rFonts w:ascii="Century Schoolbook" w:hAnsi="Century Schoolbook"/>
          <w:sz w:val="26"/>
          <w:szCs w:val="26"/>
        </w:rPr>
        <w:t>for</w:t>
      </w:r>
      <w:r w:rsidRPr="00C46631">
        <w:rPr>
          <w:rFonts w:ascii="Century Schoolbook" w:hAnsi="Century Schoolbook"/>
          <w:sz w:val="26"/>
          <w:szCs w:val="26"/>
        </w:rPr>
        <w:t xml:space="preserve"> injury.”  Hargis Ho</w:t>
      </w:r>
      <w:r w:rsidR="00372E2E">
        <w:rPr>
          <w:rFonts w:ascii="Century Schoolbook" w:hAnsi="Century Schoolbook"/>
          <w:sz w:val="26"/>
          <w:szCs w:val="26"/>
        </w:rPr>
        <w:t>m</w:t>
      </w:r>
      <w:r w:rsidRPr="00C46631">
        <w:rPr>
          <w:rFonts w:ascii="Century Schoolbook" w:hAnsi="Century Schoolbook"/>
          <w:sz w:val="26"/>
          <w:szCs w:val="26"/>
        </w:rPr>
        <w:t>e was thus “issuing a 30-day notice” to the Regional Center, and “request[ing] help . . . in finding alternative placement” for J.C. and “extra direct care staffing hours to support [J.C.] 24/7.”</w:t>
      </w:r>
    </w:p>
    <w:p w:rsidR="00C46631" w:rsidRPr="00C46631" w:rsidP="00C46631" w14:paraId="4C14C96B" w14:textId="56AC8C95">
      <w:pPr>
        <w:spacing w:line="288" w:lineRule="auto"/>
        <w:rPr>
          <w:rFonts w:ascii="Century Schoolbook" w:hAnsi="Century Schoolbook"/>
          <w:sz w:val="26"/>
          <w:szCs w:val="26"/>
        </w:rPr>
      </w:pPr>
      <w:r w:rsidRPr="00C46631">
        <w:rPr>
          <w:rFonts w:ascii="Century Schoolbook" w:hAnsi="Century Schoolbook"/>
          <w:sz w:val="26"/>
          <w:szCs w:val="26"/>
        </w:rPr>
        <w:tab/>
        <w:t>In May or June 2018, Hargis Ho</w:t>
      </w:r>
      <w:r w:rsidR="00372E2E">
        <w:rPr>
          <w:rFonts w:ascii="Century Schoolbook" w:hAnsi="Century Schoolbook"/>
          <w:sz w:val="26"/>
          <w:szCs w:val="26"/>
        </w:rPr>
        <w:t>m</w:t>
      </w:r>
      <w:r w:rsidRPr="00C46631">
        <w:rPr>
          <w:rFonts w:ascii="Century Schoolbook" w:hAnsi="Century Schoolbook"/>
          <w:sz w:val="26"/>
          <w:szCs w:val="26"/>
        </w:rPr>
        <w:t>e also initiated eviction proceedings against J.C.</w:t>
      </w:r>
    </w:p>
    <w:p w:rsidR="00C46631" w:rsidRPr="00C46631" w:rsidP="00C46631" w14:paraId="547FE16A" w14:textId="38462D93">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E.</w:t>
      </w:r>
      <w:r w:rsidRPr="00C46631">
        <w:rPr>
          <w:rFonts w:ascii="Century Schoolbook" w:hAnsi="Century Schoolbook"/>
          <w:b/>
          <w:bCs/>
          <w:sz w:val="26"/>
          <w:szCs w:val="26"/>
        </w:rPr>
        <w:tab/>
      </w:r>
      <w:r w:rsidR="00197320">
        <w:rPr>
          <w:rFonts w:ascii="Century Schoolbook" w:hAnsi="Century Schoolbook"/>
          <w:b/>
          <w:bCs/>
          <w:i/>
          <w:iCs/>
          <w:sz w:val="26"/>
          <w:szCs w:val="26"/>
        </w:rPr>
        <w:t xml:space="preserve">The </w:t>
      </w:r>
      <w:r w:rsidRPr="00C46631">
        <w:rPr>
          <w:rFonts w:ascii="Century Schoolbook" w:hAnsi="Century Schoolbook"/>
          <w:b/>
          <w:bCs/>
          <w:i/>
          <w:iCs/>
          <w:sz w:val="26"/>
          <w:szCs w:val="26"/>
        </w:rPr>
        <w:t>Regional Center takes action</w:t>
      </w:r>
    </w:p>
    <w:p w:rsidR="00C46631" w:rsidRPr="00F53CC4" w:rsidP="00C46631" w14:paraId="48F78DA7" w14:textId="660DDAD3">
      <w:pPr>
        <w:spacing w:line="288" w:lineRule="auto"/>
        <w:rPr>
          <w:rFonts w:ascii="Century Schoolbook" w:hAnsi="Century Schoolbook"/>
          <w:sz w:val="26"/>
          <w:szCs w:val="26"/>
        </w:rPr>
      </w:pPr>
      <w:r w:rsidRPr="00C46631">
        <w:rPr>
          <w:rFonts w:ascii="Century Schoolbook" w:hAnsi="Century Schoolbook"/>
          <w:sz w:val="26"/>
          <w:szCs w:val="26"/>
        </w:rPr>
        <w:tab/>
        <w:t>The Regional Center began a statewide search for a new facility to house J.C.  By July 6, 2018, it had asked five different residential facilities if they could accommodate J.C.; all had declined.  But the Regional Center continued its search.</w:t>
      </w:r>
    </w:p>
    <w:p w:rsidR="00C46631" w:rsidP="00C46631" w14:paraId="5C0219F5" w14:textId="3C90C085">
      <w:pPr>
        <w:spacing w:line="288" w:lineRule="auto"/>
        <w:rPr>
          <w:rFonts w:ascii="Century Schoolbook" w:hAnsi="Century Schoolbook"/>
          <w:sz w:val="26"/>
          <w:szCs w:val="26"/>
        </w:rPr>
      </w:pPr>
      <w:r w:rsidRPr="00C46631">
        <w:rPr>
          <w:rFonts w:ascii="Century Schoolbook" w:hAnsi="Century Schoolbook"/>
          <w:sz w:val="26"/>
          <w:szCs w:val="26"/>
        </w:rPr>
        <w:tab/>
        <w:t>In the meantime, the Regional Center secured additional funding for additional staffing “in order to keep [J.C.] and staff [at Hargis Ho</w:t>
      </w:r>
      <w:r w:rsidR="005F267C">
        <w:rPr>
          <w:rFonts w:ascii="Century Schoolbook" w:hAnsi="Century Schoolbook"/>
          <w:sz w:val="26"/>
          <w:szCs w:val="26"/>
        </w:rPr>
        <w:t>m</w:t>
      </w:r>
      <w:r w:rsidRPr="00C46631">
        <w:rPr>
          <w:rFonts w:ascii="Century Schoolbook" w:hAnsi="Century Schoolbook"/>
          <w:sz w:val="26"/>
          <w:szCs w:val="26"/>
        </w:rPr>
        <w:t>e] safe.”</w:t>
      </w:r>
    </w:p>
    <w:p w:rsidR="003A5057" w:rsidP="00C46631" w14:paraId="4A9600A0" w14:textId="77777777">
      <w:pPr>
        <w:spacing w:line="288" w:lineRule="auto"/>
        <w:rPr>
          <w:rFonts w:ascii="Century Schoolbook" w:hAnsi="Century Schoolbook"/>
          <w:sz w:val="26"/>
          <w:szCs w:val="26"/>
        </w:rPr>
      </w:pPr>
    </w:p>
    <w:p w:rsidR="003A5057" w:rsidRPr="00C46631" w:rsidP="00C46631" w14:paraId="30746865" w14:textId="77777777">
      <w:pPr>
        <w:spacing w:line="288" w:lineRule="auto"/>
        <w:rPr>
          <w:rFonts w:ascii="Century Schoolbook" w:hAnsi="Century Schoolbook"/>
          <w:sz w:val="26"/>
          <w:szCs w:val="26"/>
        </w:rPr>
      </w:pPr>
    </w:p>
    <w:p w:rsidR="00C46631" w:rsidRPr="00C46631" w:rsidP="00C46631" w14:paraId="57AAA11F" w14:textId="77777777">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F.</w:t>
      </w:r>
      <w:r w:rsidRPr="00C46631">
        <w:rPr>
          <w:rFonts w:ascii="Century Schoolbook" w:hAnsi="Century Schoolbook"/>
          <w:b/>
          <w:bCs/>
          <w:sz w:val="26"/>
          <w:szCs w:val="26"/>
        </w:rPr>
        <w:tab/>
      </w:r>
      <w:r w:rsidRPr="00C46631">
        <w:rPr>
          <w:rFonts w:ascii="Century Schoolbook" w:hAnsi="Century Schoolbook"/>
          <w:b/>
          <w:bCs/>
          <w:i/>
          <w:iCs/>
          <w:sz w:val="26"/>
          <w:szCs w:val="26"/>
        </w:rPr>
        <w:t>J.C. attacks and seriously injures plaintiff</w:t>
      </w:r>
    </w:p>
    <w:p w:rsidR="00C46631" w:rsidRPr="00C46631" w:rsidP="00C46631" w14:paraId="47F4094A" w14:textId="4C3B0E24">
      <w:pPr>
        <w:spacing w:line="288" w:lineRule="auto"/>
        <w:rPr>
          <w:rFonts w:ascii="Century Schoolbook" w:hAnsi="Century Schoolbook"/>
          <w:sz w:val="26"/>
          <w:szCs w:val="26"/>
        </w:rPr>
      </w:pPr>
      <w:r w:rsidRPr="00C46631">
        <w:rPr>
          <w:rFonts w:ascii="Century Schoolbook" w:hAnsi="Century Schoolbook"/>
          <w:sz w:val="26"/>
          <w:szCs w:val="26"/>
        </w:rPr>
        <w:tab/>
        <w:t>On July 2</w:t>
      </w:r>
      <w:r w:rsidR="00B852E9">
        <w:rPr>
          <w:rFonts w:ascii="Century Schoolbook" w:hAnsi="Century Schoolbook"/>
          <w:sz w:val="26"/>
          <w:szCs w:val="26"/>
        </w:rPr>
        <w:t>7</w:t>
      </w:r>
      <w:r w:rsidRPr="00C46631">
        <w:rPr>
          <w:rFonts w:ascii="Century Schoolbook" w:hAnsi="Century Schoolbook"/>
          <w:sz w:val="26"/>
          <w:szCs w:val="26"/>
        </w:rPr>
        <w:t>, 2018, J.C. approached plaintiff as plaintiff worked at a desk on the premises of Hargis Ho</w:t>
      </w:r>
      <w:r w:rsidR="005F267C">
        <w:rPr>
          <w:rFonts w:ascii="Century Schoolbook" w:hAnsi="Century Schoolbook"/>
          <w:sz w:val="26"/>
          <w:szCs w:val="26"/>
        </w:rPr>
        <w:t>m</w:t>
      </w:r>
      <w:r w:rsidRPr="00C46631">
        <w:rPr>
          <w:rFonts w:ascii="Century Schoolbook" w:hAnsi="Century Schoolbook"/>
          <w:sz w:val="26"/>
          <w:szCs w:val="26"/>
        </w:rPr>
        <w:t xml:space="preserve">e.  J.C.—who is </w:t>
      </w:r>
      <w:r w:rsidR="003F3242">
        <w:rPr>
          <w:rFonts w:ascii="Century Schoolbook" w:hAnsi="Century Schoolbook"/>
          <w:sz w:val="26"/>
          <w:szCs w:val="26"/>
        </w:rPr>
        <w:t xml:space="preserve">around </w:t>
      </w:r>
      <w:r w:rsidRPr="00C46631">
        <w:rPr>
          <w:rFonts w:ascii="Century Schoolbook" w:hAnsi="Century Schoolbook"/>
          <w:sz w:val="26"/>
          <w:szCs w:val="26"/>
        </w:rPr>
        <w:t>5</w:t>
      </w:r>
      <w:r w:rsidR="00B852E9">
        <w:rPr>
          <w:rFonts w:ascii="Century Schoolbook" w:hAnsi="Century Schoolbook"/>
          <w:sz w:val="26"/>
          <w:szCs w:val="26"/>
        </w:rPr>
        <w:t xml:space="preserve"> feet </w:t>
      </w:r>
      <w:r w:rsidR="00117F0D">
        <w:rPr>
          <w:rFonts w:ascii="Century Schoolbook" w:hAnsi="Century Schoolbook"/>
          <w:sz w:val="26"/>
          <w:szCs w:val="26"/>
        </w:rPr>
        <w:t>8</w:t>
      </w:r>
      <w:r w:rsidR="00B852E9">
        <w:rPr>
          <w:rFonts w:ascii="Century Schoolbook" w:hAnsi="Century Schoolbook"/>
          <w:sz w:val="26"/>
          <w:szCs w:val="26"/>
        </w:rPr>
        <w:t xml:space="preserve"> inches tall</w:t>
      </w:r>
      <w:r w:rsidRPr="00C46631">
        <w:rPr>
          <w:rFonts w:ascii="Century Schoolbook" w:hAnsi="Century Schoolbook"/>
          <w:sz w:val="26"/>
          <w:szCs w:val="26"/>
        </w:rPr>
        <w:t xml:space="preserve"> and weighs 2</w:t>
      </w:r>
      <w:r w:rsidR="00117F0D">
        <w:rPr>
          <w:rFonts w:ascii="Century Schoolbook" w:hAnsi="Century Schoolbook"/>
          <w:sz w:val="26"/>
          <w:szCs w:val="26"/>
        </w:rPr>
        <w:t>6</w:t>
      </w:r>
      <w:r w:rsidRPr="00C46631">
        <w:rPr>
          <w:rFonts w:ascii="Century Schoolbook" w:hAnsi="Century Schoolbook"/>
          <w:sz w:val="26"/>
          <w:szCs w:val="26"/>
        </w:rPr>
        <w:t xml:space="preserve">5 pounds—picked up plaintiff and threw him backwards against an overhead cabinet.  </w:t>
      </w:r>
      <w:r w:rsidR="00F53CC4">
        <w:rPr>
          <w:rFonts w:ascii="Century Schoolbook" w:hAnsi="Century Schoolbook"/>
          <w:sz w:val="26"/>
          <w:szCs w:val="26"/>
        </w:rPr>
        <w:t>Plaintiff’s</w:t>
      </w:r>
      <w:r w:rsidRPr="00C46631">
        <w:rPr>
          <w:rFonts w:ascii="Century Schoolbook" w:hAnsi="Century Schoolbook"/>
          <w:sz w:val="26"/>
          <w:szCs w:val="26"/>
        </w:rPr>
        <w:t xml:space="preserve"> head struck the cabinet.  Plaintiff suffered a laceration to his head, a “mild concussion” with attendant tinnitus and dizziness, pain in his neck and shoulder, and lost a tooth. </w:t>
      </w:r>
    </w:p>
    <w:p w:rsidR="00C46631" w:rsidRPr="00C46631" w:rsidP="00C46631" w14:paraId="78152C5A" w14:textId="0CFA7E90">
      <w:pPr>
        <w:spacing w:line="288" w:lineRule="auto"/>
        <w:rPr>
          <w:rFonts w:ascii="Century Schoolbook" w:hAnsi="Century Schoolbook"/>
          <w:sz w:val="26"/>
          <w:szCs w:val="26"/>
        </w:rPr>
      </w:pPr>
      <w:r w:rsidRPr="00C46631">
        <w:rPr>
          <w:rFonts w:ascii="Century Schoolbook" w:hAnsi="Century Schoolbook"/>
          <w:sz w:val="26"/>
          <w:szCs w:val="26"/>
        </w:rPr>
        <w:tab/>
        <w:t>Plaintiff pursued and obtained a workers</w:t>
      </w:r>
      <w:r w:rsidR="00892AC4">
        <w:rPr>
          <w:rFonts w:ascii="Century Schoolbook" w:hAnsi="Century Schoolbook"/>
          <w:sz w:val="26"/>
          <w:szCs w:val="26"/>
        </w:rPr>
        <w:t>’</w:t>
      </w:r>
      <w:r w:rsidRPr="00C46631">
        <w:rPr>
          <w:rFonts w:ascii="Century Schoolbook" w:hAnsi="Century Schoolbook"/>
          <w:sz w:val="26"/>
          <w:szCs w:val="26"/>
        </w:rPr>
        <w:t xml:space="preserve"> compensation award from People’s Care</w:t>
      </w:r>
      <w:r w:rsidR="002128CF">
        <w:rPr>
          <w:rFonts w:ascii="Century Schoolbook" w:hAnsi="Century Schoolbook"/>
          <w:sz w:val="26"/>
          <w:szCs w:val="26"/>
        </w:rPr>
        <w:t xml:space="preserve"> Los Angeles, LLC</w:t>
      </w:r>
      <w:r w:rsidRPr="00C46631">
        <w:rPr>
          <w:rFonts w:ascii="Century Schoolbook" w:hAnsi="Century Schoolbook"/>
          <w:sz w:val="26"/>
          <w:szCs w:val="26"/>
        </w:rPr>
        <w:t>.</w:t>
      </w:r>
    </w:p>
    <w:p w:rsidR="00C46631" w:rsidRPr="00C46631" w:rsidP="00C46631" w14:paraId="5F537C0B" w14:textId="77777777">
      <w:pPr>
        <w:spacing w:line="288" w:lineRule="auto"/>
        <w:rPr>
          <w:rFonts w:ascii="Century Schoolbook" w:hAnsi="Century Schoolbook"/>
          <w:b/>
          <w:bCs/>
          <w:sz w:val="26"/>
          <w:szCs w:val="26"/>
        </w:rPr>
      </w:pPr>
      <w:r w:rsidRPr="00C46631">
        <w:rPr>
          <w:rFonts w:ascii="Century Schoolbook" w:hAnsi="Century Schoolbook"/>
          <w:b/>
          <w:bCs/>
          <w:sz w:val="26"/>
          <w:szCs w:val="26"/>
        </w:rPr>
        <w:t>II.</w:t>
      </w:r>
      <w:r w:rsidRPr="00C46631">
        <w:rPr>
          <w:rFonts w:ascii="Century Schoolbook" w:hAnsi="Century Schoolbook"/>
          <w:b/>
          <w:bCs/>
          <w:sz w:val="26"/>
          <w:szCs w:val="26"/>
        </w:rPr>
        <w:tab/>
        <w:t>Procedural Background</w:t>
      </w:r>
    </w:p>
    <w:p w:rsidR="00C46631" w:rsidRPr="00C46631" w:rsidP="00C46631" w14:paraId="20CA9BDF" w14:textId="2E9C92E7">
      <w:pPr>
        <w:spacing w:line="288" w:lineRule="auto"/>
        <w:rPr>
          <w:rFonts w:ascii="Century Schoolbook" w:hAnsi="Century Schoolbook"/>
          <w:sz w:val="26"/>
          <w:szCs w:val="26"/>
        </w:rPr>
      </w:pPr>
      <w:r w:rsidRPr="00C46631">
        <w:rPr>
          <w:rFonts w:ascii="Century Schoolbook" w:hAnsi="Century Schoolbook"/>
          <w:sz w:val="26"/>
          <w:szCs w:val="26"/>
        </w:rPr>
        <w:tab/>
        <w:t>On June 6, 2019, plaintiff sued the Regional Center for his injuries on two theories—namely, (1) vicarious liability for the negligence of its employees (Gov. Code, § 815.2)</w:t>
      </w:r>
      <w:r w:rsidR="00612318">
        <w:rPr>
          <w:rFonts w:ascii="Century Schoolbook" w:hAnsi="Century Schoolbook"/>
          <w:sz w:val="26"/>
          <w:szCs w:val="26"/>
        </w:rPr>
        <w:t>;</w:t>
      </w:r>
      <w:r w:rsidRPr="00C46631">
        <w:rPr>
          <w:rFonts w:ascii="Century Schoolbook" w:hAnsi="Century Schoolbook"/>
          <w:sz w:val="26"/>
          <w:szCs w:val="26"/>
        </w:rPr>
        <w:t xml:space="preserve"> and (2) failure to satisfy its mandatory duties to monitor Hargis Ho</w:t>
      </w:r>
      <w:r w:rsidR="005F267C">
        <w:rPr>
          <w:rFonts w:ascii="Century Schoolbook" w:hAnsi="Century Schoolbook"/>
          <w:sz w:val="26"/>
          <w:szCs w:val="26"/>
        </w:rPr>
        <w:t>m</w:t>
      </w:r>
      <w:r w:rsidRPr="00C46631">
        <w:rPr>
          <w:rFonts w:ascii="Century Schoolbook" w:hAnsi="Century Schoolbook"/>
          <w:sz w:val="26"/>
          <w:szCs w:val="26"/>
        </w:rPr>
        <w:t>e (</w:t>
      </w:r>
      <w:r w:rsidRPr="00C46631" w:rsidR="005F7771">
        <w:rPr>
          <w:rFonts w:ascii="Century Schoolbook" w:hAnsi="Century Schoolbook"/>
          <w:sz w:val="26"/>
          <w:szCs w:val="26"/>
        </w:rPr>
        <w:t xml:space="preserve">Gov. Code, </w:t>
      </w:r>
      <w:r w:rsidRPr="00C46631">
        <w:rPr>
          <w:rFonts w:ascii="Century Schoolbook" w:hAnsi="Century Schoolbook"/>
          <w:sz w:val="26"/>
          <w:szCs w:val="26"/>
        </w:rPr>
        <w:t>§ 815.6).</w:t>
      </w:r>
      <w:r>
        <w:rPr>
          <w:rFonts w:ascii="Century Schoolbook" w:hAnsi="Century Schoolbook"/>
          <w:b/>
          <w:bCs/>
          <w:sz w:val="26"/>
          <w:szCs w:val="26"/>
          <w:vertAlign w:val="superscript"/>
        </w:rPr>
        <w:footnoteReference w:id="4"/>
      </w:r>
    </w:p>
    <w:p w:rsidR="00C46631" w:rsidRPr="00C46631" w:rsidP="00C46631" w14:paraId="17CA86BE" w14:textId="65605F5A">
      <w:pPr>
        <w:spacing w:line="288" w:lineRule="auto"/>
        <w:rPr>
          <w:rFonts w:ascii="Century Schoolbook" w:hAnsi="Century Schoolbook"/>
          <w:sz w:val="26"/>
          <w:szCs w:val="26"/>
        </w:rPr>
      </w:pPr>
      <w:r w:rsidRPr="00C46631">
        <w:rPr>
          <w:rFonts w:ascii="Century Schoolbook" w:hAnsi="Century Schoolbook"/>
          <w:sz w:val="26"/>
          <w:szCs w:val="26"/>
        </w:rPr>
        <w:tab/>
        <w:t>In March 2022, the Regional Center moved for summary judgment on the grounds, as pertinent here, that (1) it owed plaintiff no legal duty, and (2) plaintiff had assumed the risk of the types of injur</w:t>
      </w:r>
      <w:r w:rsidR="0089031A">
        <w:rPr>
          <w:rFonts w:ascii="Century Schoolbook" w:hAnsi="Century Schoolbook"/>
          <w:sz w:val="26"/>
          <w:szCs w:val="26"/>
        </w:rPr>
        <w:t>ies</w:t>
      </w:r>
      <w:r w:rsidRPr="00C46631">
        <w:rPr>
          <w:rFonts w:ascii="Century Schoolbook" w:hAnsi="Century Schoolbook"/>
          <w:sz w:val="26"/>
          <w:szCs w:val="26"/>
        </w:rPr>
        <w:t xml:space="preserve"> caused by J.C. by </w:t>
      </w:r>
      <w:r w:rsidR="00F53CC4">
        <w:rPr>
          <w:rFonts w:ascii="Century Schoolbook" w:hAnsi="Century Schoolbook"/>
          <w:sz w:val="26"/>
          <w:szCs w:val="26"/>
        </w:rPr>
        <w:t>accepting a job</w:t>
      </w:r>
      <w:r w:rsidRPr="00C46631">
        <w:rPr>
          <w:rFonts w:ascii="Century Schoolbook" w:hAnsi="Century Schoolbook"/>
          <w:sz w:val="26"/>
          <w:szCs w:val="26"/>
        </w:rPr>
        <w:t xml:space="preserve"> at Hargis Ho</w:t>
      </w:r>
      <w:r w:rsidR="005F267C">
        <w:rPr>
          <w:rFonts w:ascii="Century Schoolbook" w:hAnsi="Century Schoolbook"/>
          <w:sz w:val="26"/>
          <w:szCs w:val="26"/>
        </w:rPr>
        <w:t>m</w:t>
      </w:r>
      <w:r w:rsidRPr="00C46631">
        <w:rPr>
          <w:rFonts w:ascii="Century Schoolbook" w:hAnsi="Century Schoolbook"/>
          <w:sz w:val="26"/>
          <w:szCs w:val="26"/>
        </w:rPr>
        <w:t xml:space="preserve">e.  After full briefing and a hearing, the trial court granted the Regional Center’s motion on the first ground.  Specifically, the court reasoned that the Regional Center “only owed duties to [J.C.], and not to </w:t>
      </w:r>
      <w:r w:rsidR="0089031A">
        <w:rPr>
          <w:rFonts w:ascii="Century Schoolbook" w:hAnsi="Century Schoolbook"/>
          <w:sz w:val="26"/>
          <w:szCs w:val="26"/>
        </w:rPr>
        <w:t>[p]</w:t>
      </w:r>
      <w:r w:rsidRPr="00C46631">
        <w:rPr>
          <w:rFonts w:ascii="Century Schoolbook" w:hAnsi="Century Schoolbook"/>
          <w:sz w:val="26"/>
          <w:szCs w:val="26"/>
        </w:rPr>
        <w:t>laintiff,</w:t>
      </w:r>
      <w:r w:rsidR="00F53CC4">
        <w:rPr>
          <w:rFonts w:ascii="Century Schoolbook" w:hAnsi="Century Schoolbook"/>
          <w:sz w:val="26"/>
          <w:szCs w:val="26"/>
        </w:rPr>
        <w:t>”</w:t>
      </w:r>
      <w:r w:rsidRPr="00C46631">
        <w:rPr>
          <w:rFonts w:ascii="Century Schoolbook" w:hAnsi="Century Schoolbook"/>
          <w:sz w:val="26"/>
          <w:szCs w:val="26"/>
        </w:rPr>
        <w:t xml:space="preserve"> and that this result accords with the purpose of the Act because regional centers “should be concerned with providing adequate resources to consumers for the consumer’s sake, not for potentially unknown third-party employees of a residential facility.”</w:t>
      </w:r>
    </w:p>
    <w:p w:rsidR="00C46631" w:rsidRPr="00C46631" w:rsidP="00C46631" w14:paraId="4F9FDA80" w14:textId="7D35A393">
      <w:pPr>
        <w:spacing w:line="288" w:lineRule="auto"/>
        <w:rPr>
          <w:rFonts w:ascii="Century Schoolbook" w:hAnsi="Century Schoolbook"/>
          <w:sz w:val="26"/>
          <w:szCs w:val="26"/>
        </w:rPr>
      </w:pPr>
      <w:r w:rsidRPr="00C46631">
        <w:rPr>
          <w:rFonts w:ascii="Century Schoolbook" w:hAnsi="Century Schoolbook"/>
          <w:sz w:val="26"/>
          <w:szCs w:val="26"/>
        </w:rPr>
        <w:tab/>
        <w:t>After judgment was entered, plaintiff filed this timely appeal.</w:t>
      </w:r>
    </w:p>
    <w:p w:rsidR="00C46631" w:rsidRPr="00C46631" w:rsidP="00C46631" w14:paraId="428E322C" w14:textId="77777777">
      <w:pPr>
        <w:spacing w:line="288" w:lineRule="auto"/>
        <w:jc w:val="center"/>
        <w:rPr>
          <w:rFonts w:ascii="Century Schoolbook" w:hAnsi="Century Schoolbook"/>
          <w:b/>
          <w:bCs/>
          <w:sz w:val="26"/>
          <w:szCs w:val="26"/>
        </w:rPr>
      </w:pPr>
      <w:r w:rsidRPr="00C46631">
        <w:rPr>
          <w:rFonts w:ascii="Century Schoolbook" w:hAnsi="Century Schoolbook"/>
          <w:b/>
          <w:bCs/>
          <w:sz w:val="26"/>
          <w:szCs w:val="26"/>
        </w:rPr>
        <w:t>DISCUSSION</w:t>
      </w:r>
    </w:p>
    <w:p w:rsidR="00C46631" w:rsidRPr="00C46631" w:rsidP="00C46631" w14:paraId="64279B5F" w14:textId="77777777">
      <w:pPr>
        <w:spacing w:line="288" w:lineRule="auto"/>
        <w:rPr>
          <w:rFonts w:ascii="Century Schoolbook" w:hAnsi="Century Schoolbook"/>
          <w:sz w:val="26"/>
          <w:szCs w:val="26"/>
        </w:rPr>
      </w:pPr>
      <w:r w:rsidRPr="00C46631">
        <w:rPr>
          <w:rFonts w:ascii="Century Schoolbook" w:hAnsi="Century Schoolbook"/>
          <w:sz w:val="26"/>
          <w:szCs w:val="26"/>
        </w:rPr>
        <w:tab/>
        <w:t>Plaintiff argues that the trial court erred in granting summary judgment to the Regional Center on the ground that the Regional Center did not owe him a duty of care.</w:t>
      </w:r>
    </w:p>
    <w:p w:rsidR="00C46631" w:rsidRPr="00C46631" w:rsidP="00C46631" w14:paraId="5E808019" w14:textId="1E2EAA56">
      <w:pPr>
        <w:spacing w:line="288" w:lineRule="auto"/>
        <w:rPr>
          <w:rFonts w:ascii="Century Schoolbook" w:hAnsi="Century Schoolbook"/>
          <w:sz w:val="26"/>
          <w:szCs w:val="26"/>
        </w:rPr>
      </w:pPr>
      <w:r w:rsidRPr="00C46631">
        <w:rPr>
          <w:rFonts w:ascii="Century Schoolbook" w:hAnsi="Century Schoolbook"/>
          <w:sz w:val="26"/>
          <w:szCs w:val="26"/>
        </w:rPr>
        <w:tab/>
        <w:t>“Summary judgment is appropriate only ‘where no triable issue of material fact exists and the moving party is entitled to judgment as a mat</w:t>
      </w:r>
      <w:r>
        <w:rPr>
          <w:rFonts w:ascii="Century Schoolbook" w:hAnsi="Century Schoolbook"/>
          <w:sz w:val="26"/>
          <w:szCs w:val="26"/>
        </w:rPr>
        <w:t>t</w:t>
      </w:r>
      <w:r w:rsidRPr="00C46631">
        <w:rPr>
          <w:rFonts w:ascii="Century Schoolbook" w:hAnsi="Century Schoolbook"/>
          <w:sz w:val="26"/>
          <w:szCs w:val="26"/>
        </w:rPr>
        <w:t>er of law.’”  (</w:t>
      </w:r>
      <w:r w:rsidRPr="00C46631">
        <w:rPr>
          <w:rFonts w:ascii="Century Schoolbook" w:hAnsi="Century Schoolbook"/>
          <w:i/>
          <w:iCs/>
          <w:sz w:val="26"/>
          <w:szCs w:val="26"/>
        </w:rPr>
        <w:t xml:space="preserve">Regents of University of California v. Superior Court </w:t>
      </w:r>
      <w:r w:rsidRPr="00C46631">
        <w:rPr>
          <w:rFonts w:ascii="Century Schoolbook" w:hAnsi="Century Schoolbook"/>
          <w:sz w:val="26"/>
          <w:szCs w:val="26"/>
        </w:rPr>
        <w:t>(2018) 4 Cal.5th 607, 618 (</w:t>
      </w:r>
      <w:r w:rsidRPr="00C46631">
        <w:rPr>
          <w:rFonts w:ascii="Century Schoolbook" w:hAnsi="Century Schoolbook"/>
          <w:i/>
          <w:iCs/>
          <w:sz w:val="26"/>
          <w:szCs w:val="26"/>
        </w:rPr>
        <w:t>Regents</w:t>
      </w:r>
      <w:r w:rsidRPr="00C46631">
        <w:rPr>
          <w:rFonts w:ascii="Century Schoolbook" w:hAnsi="Century Schoolbook"/>
          <w:sz w:val="26"/>
          <w:szCs w:val="26"/>
        </w:rPr>
        <w:t xml:space="preserve">); Code Civ. Proc., § 437c, subd. (c).)  To prevail on such a motion, the moving party—here, the Regional Center—must show that </w:t>
      </w:r>
      <w:r w:rsidR="0089031A">
        <w:rPr>
          <w:rFonts w:ascii="Century Schoolbook" w:hAnsi="Century Schoolbook"/>
          <w:sz w:val="26"/>
          <w:szCs w:val="26"/>
        </w:rPr>
        <w:t xml:space="preserve">the </w:t>
      </w:r>
      <w:r w:rsidRPr="00C46631">
        <w:rPr>
          <w:rFonts w:ascii="Century Schoolbook" w:hAnsi="Century Schoolbook"/>
          <w:sz w:val="26"/>
          <w:szCs w:val="26"/>
        </w:rPr>
        <w:t>plaintiff “has not established, and reasonably cannot be expected to establish, one or more elements of the cause of action in question.”  (</w:t>
      </w:r>
      <w:r w:rsidRPr="00C46631">
        <w:rPr>
          <w:rFonts w:ascii="Century Schoolbook" w:hAnsi="Century Schoolbook"/>
          <w:i/>
          <w:iCs/>
          <w:sz w:val="26"/>
          <w:szCs w:val="26"/>
        </w:rPr>
        <w:t xml:space="preserve">Patterson v. Domino’s Pizza, LLC </w:t>
      </w:r>
      <w:r w:rsidRPr="00C46631">
        <w:rPr>
          <w:rFonts w:ascii="Century Schoolbook" w:hAnsi="Century Schoolbook"/>
          <w:sz w:val="26"/>
          <w:szCs w:val="26"/>
        </w:rPr>
        <w:t>(2014) 60 Cal.4th 474, 500.)  In evaluating whether the Regional Center made this showing, we liberally construe the evidence before the trial court in support of the party opposing summary judgment and resolve all doubts concerning that evidence in support of that party.  (</w:t>
      </w:r>
      <w:r w:rsidRPr="00C46631">
        <w:rPr>
          <w:rFonts w:ascii="Century Schoolbook" w:hAnsi="Century Schoolbook"/>
          <w:i/>
          <w:iCs/>
          <w:sz w:val="26"/>
          <w:szCs w:val="26"/>
        </w:rPr>
        <w:t xml:space="preserve">Gonzalez v. Mathis </w:t>
      </w:r>
      <w:r w:rsidRPr="00C46631">
        <w:rPr>
          <w:rFonts w:ascii="Century Schoolbook" w:hAnsi="Century Schoolbook"/>
          <w:sz w:val="26"/>
          <w:szCs w:val="26"/>
        </w:rPr>
        <w:t>(2021) 12 Cal.5th 29, 39.)  We independently review the grant of summary judgment as well as any subsidiary legal questions, such as whether a duty of care or special relationship exists.  (</w:t>
      </w:r>
      <w:r w:rsidRPr="00C46631">
        <w:rPr>
          <w:rFonts w:ascii="Century Schoolbook" w:hAnsi="Century Schoolbook"/>
          <w:i/>
          <w:iCs/>
          <w:sz w:val="26"/>
          <w:szCs w:val="26"/>
        </w:rPr>
        <w:t xml:space="preserve">California Medical Assn. v. Aetna Health of California Inc. </w:t>
      </w:r>
      <w:r w:rsidRPr="00C46631">
        <w:rPr>
          <w:rFonts w:ascii="Century Schoolbook" w:hAnsi="Century Schoolbook"/>
          <w:sz w:val="26"/>
          <w:szCs w:val="26"/>
        </w:rPr>
        <w:t xml:space="preserve">(2023) 14 Cal.5th 1075, 1087 [summary judgment]; </w:t>
      </w:r>
      <w:r w:rsidRPr="00C46631">
        <w:rPr>
          <w:rFonts w:ascii="Century Schoolbook" w:hAnsi="Century Schoolbook"/>
          <w:i/>
          <w:iCs/>
          <w:sz w:val="26"/>
          <w:szCs w:val="26"/>
        </w:rPr>
        <w:t xml:space="preserve">Brown v. USA Taekwondo </w:t>
      </w:r>
      <w:r w:rsidRPr="00C46631">
        <w:rPr>
          <w:rFonts w:ascii="Century Schoolbook" w:hAnsi="Century Schoolbook"/>
          <w:sz w:val="26"/>
          <w:szCs w:val="26"/>
        </w:rPr>
        <w:t>(2021) 11 Cal.5th 204, 213 (</w:t>
      </w:r>
      <w:r w:rsidRPr="00C46631">
        <w:rPr>
          <w:rFonts w:ascii="Century Schoolbook" w:hAnsi="Century Schoolbook"/>
          <w:i/>
          <w:iCs/>
          <w:sz w:val="26"/>
          <w:szCs w:val="26"/>
        </w:rPr>
        <w:t>Brown</w:t>
      </w:r>
      <w:r w:rsidRPr="00C46631">
        <w:rPr>
          <w:rFonts w:ascii="Century Schoolbook" w:hAnsi="Century Schoolbook"/>
          <w:sz w:val="26"/>
          <w:szCs w:val="26"/>
        </w:rPr>
        <w:t xml:space="preserve">) [duty of care];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sz w:val="26"/>
          <w:szCs w:val="26"/>
        </w:rPr>
        <w:t xml:space="preserve"> at p. 620 [special relationship].)</w:t>
      </w:r>
    </w:p>
    <w:p w:rsidR="00C46631" w:rsidRPr="00C46631" w:rsidP="00C46631" w14:paraId="02BF3134" w14:textId="77777777">
      <w:pPr>
        <w:spacing w:line="288" w:lineRule="auto"/>
        <w:rPr>
          <w:rFonts w:ascii="Century Schoolbook" w:hAnsi="Century Schoolbook"/>
          <w:b/>
          <w:bCs/>
          <w:sz w:val="26"/>
          <w:szCs w:val="26"/>
        </w:rPr>
      </w:pPr>
      <w:r w:rsidRPr="00C46631">
        <w:rPr>
          <w:rFonts w:ascii="Century Schoolbook" w:hAnsi="Century Schoolbook"/>
          <w:b/>
          <w:bCs/>
          <w:sz w:val="26"/>
          <w:szCs w:val="26"/>
        </w:rPr>
        <w:t>I.</w:t>
      </w:r>
      <w:r w:rsidRPr="00C46631">
        <w:rPr>
          <w:rFonts w:ascii="Century Schoolbook" w:hAnsi="Century Schoolbook"/>
          <w:b/>
          <w:bCs/>
          <w:sz w:val="26"/>
          <w:szCs w:val="26"/>
        </w:rPr>
        <w:tab/>
        <w:t>The Lanterman Act</w:t>
      </w:r>
    </w:p>
    <w:p w:rsidR="00C46631" w:rsidRPr="00C46631" w:rsidP="00C46631" w14:paraId="7BCF3D80" w14:textId="662A5E3A">
      <w:pPr>
        <w:spacing w:line="288" w:lineRule="auto"/>
        <w:rPr>
          <w:rFonts w:ascii="Century Schoolbook" w:hAnsi="Century Schoolbook"/>
          <w:sz w:val="26"/>
          <w:szCs w:val="26"/>
        </w:rPr>
      </w:pPr>
      <w:r w:rsidRPr="00C46631">
        <w:rPr>
          <w:rFonts w:ascii="Century Schoolbook" w:hAnsi="Century Schoolbook"/>
          <w:sz w:val="26"/>
          <w:szCs w:val="26"/>
        </w:rPr>
        <w:tab/>
        <w:t xml:space="preserve">Pursuant to the Lanterman Act, our </w:t>
      </w:r>
      <w:r w:rsidR="006F0798">
        <w:rPr>
          <w:rFonts w:ascii="Century Schoolbook" w:hAnsi="Century Schoolbook"/>
          <w:sz w:val="26"/>
          <w:szCs w:val="26"/>
        </w:rPr>
        <w:t>s</w:t>
      </w:r>
      <w:r w:rsidRPr="00C46631">
        <w:rPr>
          <w:rFonts w:ascii="Century Schoolbook" w:hAnsi="Century Schoolbook"/>
          <w:sz w:val="26"/>
          <w:szCs w:val="26"/>
        </w:rPr>
        <w:t>tate has undertaken the duty to provide “[a]n array of services and support</w:t>
      </w:r>
      <w:r w:rsidR="00B230C2">
        <w:rPr>
          <w:rFonts w:ascii="Century Schoolbook" w:hAnsi="Century Schoolbook"/>
          <w:sz w:val="26"/>
          <w:szCs w:val="26"/>
        </w:rPr>
        <w:t>s</w:t>
      </w:r>
      <w:r w:rsidRPr="00C46631">
        <w:rPr>
          <w:rFonts w:ascii="Century Schoolbook" w:hAnsi="Century Schoolbook"/>
          <w:sz w:val="26"/>
          <w:szCs w:val="26"/>
        </w:rPr>
        <w:t xml:space="preserve">” to “person[s] with developmental disabilities.”  (§ 4501; see also § 4512, subd. (a)(1) [defining “developmental disability”]; </w:t>
      </w:r>
      <w:r w:rsidRPr="00C46631">
        <w:rPr>
          <w:rFonts w:ascii="Century Schoolbook" w:hAnsi="Century Schoolbook"/>
          <w:i/>
          <w:iCs/>
          <w:sz w:val="26"/>
          <w:szCs w:val="26"/>
        </w:rPr>
        <w:t xml:space="preserve">Association for Retarded Citizens v. Department of Developmental Services </w:t>
      </w:r>
      <w:r w:rsidRPr="00C46631">
        <w:rPr>
          <w:rFonts w:ascii="Century Schoolbook" w:hAnsi="Century Schoolbook"/>
          <w:sz w:val="26"/>
          <w:szCs w:val="26"/>
        </w:rPr>
        <w:t xml:space="preserve">(1985) 38 Cal.3d 384, 388-389.)  The Act </w:t>
      </w:r>
      <w:r w:rsidR="00F53CC4">
        <w:rPr>
          <w:rFonts w:ascii="Century Schoolbook" w:hAnsi="Century Schoolbook"/>
          <w:sz w:val="26"/>
          <w:szCs w:val="26"/>
        </w:rPr>
        <w:t>labels</w:t>
      </w:r>
      <w:r w:rsidRPr="00C46631">
        <w:rPr>
          <w:rFonts w:ascii="Century Schoolbook" w:hAnsi="Century Schoolbook"/>
          <w:sz w:val="26"/>
          <w:szCs w:val="26"/>
        </w:rPr>
        <w:t xml:space="preserve"> those persons “consumers.”  (E.g., § 4640.7 et seq.; Cal. Code Regs.,</w:t>
      </w:r>
      <w:r w:rsidR="00BD26D4">
        <w:rPr>
          <w:rFonts w:ascii="Century Schoolbook" w:hAnsi="Century Schoolbook"/>
          <w:sz w:val="26"/>
          <w:szCs w:val="26"/>
        </w:rPr>
        <w:t xml:space="preserve"> tit. 17,</w:t>
      </w:r>
      <w:r w:rsidRPr="00C46631">
        <w:rPr>
          <w:rFonts w:ascii="Century Schoolbook" w:hAnsi="Century Schoolbook"/>
          <w:sz w:val="26"/>
          <w:szCs w:val="26"/>
        </w:rPr>
        <w:t xml:space="preserve"> § 56002</w:t>
      </w:r>
      <w:r w:rsidR="00BD26D4">
        <w:rPr>
          <w:rFonts w:ascii="Century Schoolbook" w:hAnsi="Century Schoolbook"/>
          <w:sz w:val="26"/>
          <w:szCs w:val="26"/>
        </w:rPr>
        <w:t xml:space="preserve">, subd. </w:t>
      </w:r>
      <w:r w:rsidRPr="00C46631">
        <w:rPr>
          <w:rFonts w:ascii="Century Schoolbook" w:hAnsi="Century Schoolbook"/>
          <w:sz w:val="26"/>
          <w:szCs w:val="26"/>
        </w:rPr>
        <w:t xml:space="preserve">(a)(5).)   </w:t>
      </w:r>
    </w:p>
    <w:p w:rsidR="00C46631" w:rsidRPr="00C46631" w:rsidP="00C46631" w14:paraId="58775EBF" w14:textId="474DB39D">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The Department oversees the provision of services and support to those consumers.  (§ 4416.)  However, because those services and support “cannot be satisfactorily provided by state agencies,” the Act requires the Department to </w:t>
      </w:r>
      <w:r w:rsidR="00F53CC4">
        <w:rPr>
          <w:rFonts w:ascii="Century Schoolbook" w:hAnsi="Century Schoolbook"/>
          <w:sz w:val="26"/>
          <w:szCs w:val="26"/>
        </w:rPr>
        <w:t xml:space="preserve">do so by </w:t>
      </w:r>
      <w:r w:rsidRPr="00C46631">
        <w:rPr>
          <w:rFonts w:ascii="Century Schoolbook" w:hAnsi="Century Schoolbook"/>
          <w:sz w:val="26"/>
          <w:szCs w:val="26"/>
        </w:rPr>
        <w:t>contract</w:t>
      </w:r>
      <w:r w:rsidR="00F53CC4">
        <w:rPr>
          <w:rFonts w:ascii="Century Schoolbook" w:hAnsi="Century Schoolbook"/>
          <w:sz w:val="26"/>
          <w:szCs w:val="26"/>
        </w:rPr>
        <w:t>ing</w:t>
      </w:r>
      <w:r w:rsidRPr="00C46631">
        <w:rPr>
          <w:rFonts w:ascii="Century Schoolbook" w:hAnsi="Century Schoolbook"/>
          <w:sz w:val="26"/>
          <w:szCs w:val="26"/>
        </w:rPr>
        <w:t xml:space="preserve"> with “regional centers,” which are “private nonprofit community agencies” that operate as “fixed points of contact in the community” to diagnose, counsel and coordinate the acquisition of the necessary services and support.  (§§ 4501, 4620, 4621, 4640.6, subd. (a), 4640.7, subd. (a); Cal. Code Regs., </w:t>
      </w:r>
      <w:r w:rsidR="00BD26D4">
        <w:rPr>
          <w:rFonts w:ascii="Century Schoolbook" w:hAnsi="Century Schoolbook"/>
          <w:sz w:val="26"/>
          <w:szCs w:val="26"/>
        </w:rPr>
        <w:t xml:space="preserve">tit. 17, </w:t>
      </w:r>
      <w:r w:rsidRPr="00C46631">
        <w:rPr>
          <w:rFonts w:ascii="Century Schoolbook" w:hAnsi="Century Schoolbook"/>
          <w:sz w:val="26"/>
          <w:szCs w:val="26"/>
        </w:rPr>
        <w:t>§ 56002</w:t>
      </w:r>
      <w:r w:rsidR="00BD26D4">
        <w:rPr>
          <w:rFonts w:ascii="Century Schoolbook" w:hAnsi="Century Schoolbook"/>
          <w:sz w:val="26"/>
          <w:szCs w:val="26"/>
        </w:rPr>
        <w:t xml:space="preserve">, subd. </w:t>
      </w:r>
      <w:r w:rsidRPr="00C46631">
        <w:rPr>
          <w:rFonts w:ascii="Century Schoolbook" w:hAnsi="Century Schoolbook"/>
          <w:sz w:val="26"/>
          <w:szCs w:val="26"/>
        </w:rPr>
        <w:t xml:space="preserve">(a)(36); </w:t>
      </w:r>
      <w:r w:rsidRPr="00C46631">
        <w:rPr>
          <w:rFonts w:ascii="Century Schoolbook" w:hAnsi="Century Schoolbook"/>
          <w:i/>
          <w:iCs/>
          <w:sz w:val="26"/>
          <w:szCs w:val="26"/>
        </w:rPr>
        <w:t>Morohoshi v. Pacific Home</w:t>
      </w:r>
      <w:r w:rsidRPr="00C46631">
        <w:rPr>
          <w:rFonts w:ascii="Century Schoolbook" w:hAnsi="Century Schoolbook"/>
          <w:sz w:val="26"/>
          <w:szCs w:val="26"/>
        </w:rPr>
        <w:t xml:space="preserve"> (2004) 34 Cal.4th 482, 486-488 (</w:t>
      </w:r>
      <w:r w:rsidRPr="00C46631">
        <w:rPr>
          <w:rFonts w:ascii="Century Schoolbook" w:hAnsi="Century Schoolbook"/>
          <w:i/>
          <w:iCs/>
          <w:sz w:val="26"/>
          <w:szCs w:val="26"/>
        </w:rPr>
        <w:t>Morohoshi</w:t>
      </w:r>
      <w:r w:rsidRPr="00C46631">
        <w:rPr>
          <w:rFonts w:ascii="Century Schoolbook" w:hAnsi="Century Schoolbook"/>
          <w:sz w:val="26"/>
          <w:szCs w:val="26"/>
        </w:rPr>
        <w:t xml:space="preserve">); </w:t>
      </w:r>
      <w:r w:rsidRPr="00C46631">
        <w:rPr>
          <w:rFonts w:ascii="Century Schoolbook" w:hAnsi="Century Schoolbook"/>
          <w:i/>
          <w:iCs/>
          <w:sz w:val="26"/>
          <w:szCs w:val="26"/>
        </w:rPr>
        <w:t>In re Williams</w:t>
      </w:r>
      <w:r w:rsidRPr="00C46631">
        <w:rPr>
          <w:rFonts w:ascii="Century Schoolbook" w:hAnsi="Century Schoolbook"/>
          <w:sz w:val="26"/>
          <w:szCs w:val="26"/>
        </w:rPr>
        <w:t xml:space="preserve"> (2014) 228 Cal.App.4th 989, 996, fn. 2.)</w:t>
      </w:r>
    </w:p>
    <w:p w:rsidR="00C46631" w:rsidRPr="00C46631" w:rsidP="00C46631" w14:paraId="767AB0E8"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More specifically, regional centers are tasked with the following:</w:t>
      </w:r>
    </w:p>
    <w:p w:rsidR="00C46631" w:rsidRPr="00C46631" w:rsidP="00C46631" w14:paraId="5BE1A738" w14:textId="54EEC046">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Pr="00C46631">
        <w:rPr>
          <w:rFonts w:ascii="Century Schoolbook" w:hAnsi="Century Schoolbook"/>
          <w:i/>
          <w:iCs/>
          <w:sz w:val="26"/>
          <w:szCs w:val="26"/>
        </w:rPr>
        <w:t>Diagnosis and counseling</w:t>
      </w:r>
      <w:r w:rsidRPr="00C46631">
        <w:rPr>
          <w:rFonts w:ascii="Century Schoolbook" w:hAnsi="Century Schoolbook"/>
          <w:sz w:val="26"/>
          <w:szCs w:val="26"/>
        </w:rPr>
        <w:t>.  Regional centers must evaluate whether a particular individual suffers from a “developmental disability.”  (§§ 4642, 4643.)  If so, the regional center must assess their needs and formulate an “individual program plan”</w:t>
      </w:r>
      <w:r w:rsidR="00F53CC4">
        <w:rPr>
          <w:rFonts w:ascii="Century Schoolbook" w:hAnsi="Century Schoolbook"/>
          <w:sz w:val="26"/>
          <w:szCs w:val="26"/>
        </w:rPr>
        <w:t xml:space="preserve"> (or IPP)</w:t>
      </w:r>
      <w:r w:rsidRPr="00C46631">
        <w:rPr>
          <w:rFonts w:ascii="Century Schoolbook" w:hAnsi="Century Schoolbook"/>
          <w:sz w:val="26"/>
          <w:szCs w:val="26"/>
        </w:rPr>
        <w:t xml:space="preserve"> that delineates </w:t>
      </w:r>
      <w:r w:rsidR="00F53CC4">
        <w:rPr>
          <w:rFonts w:ascii="Century Schoolbook" w:hAnsi="Century Schoolbook"/>
          <w:sz w:val="26"/>
          <w:szCs w:val="26"/>
        </w:rPr>
        <w:t>each consumer’s</w:t>
      </w:r>
      <w:r w:rsidRPr="00C46631">
        <w:rPr>
          <w:rFonts w:ascii="Century Schoolbook" w:hAnsi="Century Schoolbook"/>
          <w:sz w:val="26"/>
          <w:szCs w:val="26"/>
        </w:rPr>
        <w:t xml:space="preserve"> “goals, objectives, and [needed] services and supports.”  (§§ 4646, 4512, 4646.5, subd. (a); </w:t>
      </w:r>
      <w:r w:rsidRPr="00C46631">
        <w:rPr>
          <w:rFonts w:ascii="Century Schoolbook" w:hAnsi="Century Schoolbook"/>
          <w:i/>
          <w:iCs/>
          <w:sz w:val="26"/>
          <w:szCs w:val="26"/>
        </w:rPr>
        <w:t>Moroh</w:t>
      </w:r>
      <w:r w:rsidR="00F97BE9">
        <w:rPr>
          <w:rFonts w:ascii="Century Schoolbook" w:hAnsi="Century Schoolbook"/>
          <w:i/>
          <w:iCs/>
          <w:sz w:val="26"/>
          <w:szCs w:val="26"/>
        </w:rPr>
        <w:t>o</w:t>
      </w:r>
      <w:r w:rsidRPr="00C46631">
        <w:rPr>
          <w:rFonts w:ascii="Century Schoolbook" w:hAnsi="Century Schoolbook"/>
          <w:i/>
          <w:iCs/>
          <w:sz w:val="26"/>
          <w:szCs w:val="26"/>
        </w:rPr>
        <w:t>shi</w:t>
      </w:r>
      <w:r w:rsidRPr="00C46631">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34 Cal.4th at pp. 487-488; Cal. Code Reg</w:t>
      </w:r>
      <w:r w:rsidR="003C5A27">
        <w:rPr>
          <w:rFonts w:ascii="Century Schoolbook" w:hAnsi="Century Schoolbook"/>
          <w:sz w:val="26"/>
          <w:szCs w:val="26"/>
        </w:rPr>
        <w:t>s</w:t>
      </w:r>
      <w:r w:rsidRPr="00C46631">
        <w:rPr>
          <w:rFonts w:ascii="Century Schoolbook" w:hAnsi="Century Schoolbook"/>
          <w:sz w:val="26"/>
          <w:szCs w:val="26"/>
        </w:rPr>
        <w:t xml:space="preserve">., </w:t>
      </w:r>
      <w:r w:rsidR="00BD26D4">
        <w:rPr>
          <w:rFonts w:ascii="Century Schoolbook" w:hAnsi="Century Schoolbook"/>
          <w:sz w:val="26"/>
          <w:szCs w:val="26"/>
        </w:rPr>
        <w:t xml:space="preserve">tit. 17, </w:t>
      </w:r>
      <w:r w:rsidRPr="00C46631">
        <w:rPr>
          <w:rFonts w:ascii="Century Schoolbook" w:hAnsi="Century Schoolbook"/>
          <w:sz w:val="26"/>
          <w:szCs w:val="26"/>
        </w:rPr>
        <w:t>§ 56022</w:t>
      </w:r>
      <w:r w:rsidR="00BD26D4">
        <w:rPr>
          <w:rFonts w:ascii="Century Schoolbook" w:hAnsi="Century Schoolbook"/>
          <w:sz w:val="26"/>
          <w:szCs w:val="26"/>
        </w:rPr>
        <w:t xml:space="preserve">, subd. </w:t>
      </w:r>
      <w:r w:rsidRPr="00C46631">
        <w:rPr>
          <w:rFonts w:ascii="Century Schoolbook" w:hAnsi="Century Schoolbook"/>
          <w:sz w:val="26"/>
          <w:szCs w:val="26"/>
        </w:rPr>
        <w:t xml:space="preserve">(b).)  </w:t>
      </w:r>
    </w:p>
    <w:p w:rsidR="00C46631" w:rsidRPr="00C46631" w:rsidP="00C46631" w14:paraId="7AD901C2" w14:textId="46656D2F">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Pr="00C46631">
        <w:rPr>
          <w:rFonts w:ascii="Century Schoolbook" w:hAnsi="Century Schoolbook"/>
          <w:i/>
          <w:iCs/>
          <w:sz w:val="26"/>
          <w:szCs w:val="26"/>
        </w:rPr>
        <w:t>Coordinating the provision of services and support</w:t>
      </w:r>
      <w:r w:rsidRPr="00C46631">
        <w:rPr>
          <w:rFonts w:ascii="Century Schoolbook" w:hAnsi="Century Schoolbook"/>
          <w:sz w:val="26"/>
          <w:szCs w:val="26"/>
        </w:rPr>
        <w:t xml:space="preserve">.  Regional centers do not </w:t>
      </w:r>
      <w:r w:rsidRPr="00C46631">
        <w:rPr>
          <w:rFonts w:ascii="Century Schoolbook" w:hAnsi="Century Schoolbook"/>
          <w:i/>
          <w:iCs/>
          <w:sz w:val="26"/>
          <w:szCs w:val="26"/>
        </w:rPr>
        <w:t>themselves</w:t>
      </w:r>
      <w:r w:rsidRPr="00C46631">
        <w:rPr>
          <w:rFonts w:ascii="Century Schoolbook" w:hAnsi="Century Schoolbook"/>
          <w:sz w:val="26"/>
          <w:szCs w:val="26"/>
        </w:rPr>
        <w:t xml:space="preserve"> directly provide any services </w:t>
      </w:r>
      <w:r w:rsidR="0089031A">
        <w:rPr>
          <w:rFonts w:ascii="Century Schoolbook" w:hAnsi="Century Schoolbook"/>
          <w:sz w:val="26"/>
          <w:szCs w:val="26"/>
        </w:rPr>
        <w:t xml:space="preserve">or </w:t>
      </w:r>
      <w:r w:rsidR="00F53CC4">
        <w:rPr>
          <w:rFonts w:ascii="Century Schoolbook" w:hAnsi="Century Schoolbook"/>
          <w:sz w:val="26"/>
          <w:szCs w:val="26"/>
        </w:rPr>
        <w:t xml:space="preserve">support </w:t>
      </w:r>
      <w:r w:rsidRPr="00C46631">
        <w:rPr>
          <w:rFonts w:ascii="Century Schoolbook" w:hAnsi="Century Schoolbook"/>
          <w:sz w:val="26"/>
          <w:szCs w:val="26"/>
        </w:rPr>
        <w:t xml:space="preserve">to consumers.  (§ 4648, subd. (a)(1); </w:t>
      </w:r>
      <w:r w:rsidRPr="00C46631">
        <w:rPr>
          <w:rFonts w:ascii="Century Schoolbook" w:hAnsi="Century Schoolbook"/>
          <w:i/>
          <w:iCs/>
          <w:sz w:val="26"/>
          <w:szCs w:val="26"/>
        </w:rPr>
        <w:t>Moroh</w:t>
      </w:r>
      <w:r w:rsidR="009F38FD">
        <w:rPr>
          <w:rFonts w:ascii="Century Schoolbook" w:hAnsi="Century Schoolbook"/>
          <w:i/>
          <w:iCs/>
          <w:sz w:val="26"/>
          <w:szCs w:val="26"/>
        </w:rPr>
        <w:t>o</w:t>
      </w:r>
      <w:r w:rsidRPr="00C46631">
        <w:rPr>
          <w:rFonts w:ascii="Century Schoolbook" w:hAnsi="Century Schoolbook"/>
          <w:i/>
          <w:iCs/>
          <w:sz w:val="26"/>
          <w:szCs w:val="26"/>
        </w:rPr>
        <w:t>shi</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34 Cal.4th at p. 489 [“the responsibility of a regional center is to ‘secure,’ not provide</w:t>
      </w:r>
      <w:r w:rsidR="00A011A3">
        <w:rPr>
          <w:rFonts w:ascii="Century Schoolbook" w:hAnsi="Century Schoolbook"/>
          <w:sz w:val="26"/>
          <w:szCs w:val="26"/>
        </w:rPr>
        <w:t>,</w:t>
      </w:r>
      <w:r w:rsidRPr="00C46631">
        <w:rPr>
          <w:rFonts w:ascii="Century Schoolbook" w:hAnsi="Century Schoolbook"/>
          <w:sz w:val="26"/>
          <w:szCs w:val="26"/>
        </w:rPr>
        <w:t xml:space="preserve"> care”].)  Instead, they </w:t>
      </w:r>
      <w:r w:rsidRPr="00C46631">
        <w:rPr>
          <w:rFonts w:ascii="Century Schoolbook" w:hAnsi="Century Schoolbook"/>
          <w:i/>
          <w:iCs/>
          <w:sz w:val="26"/>
          <w:szCs w:val="26"/>
        </w:rPr>
        <w:t>coordinate</w:t>
      </w:r>
      <w:r w:rsidRPr="00C46631">
        <w:rPr>
          <w:rFonts w:ascii="Century Schoolbook" w:hAnsi="Century Schoolbook"/>
          <w:sz w:val="26"/>
          <w:szCs w:val="26"/>
        </w:rPr>
        <w:t xml:space="preserve"> the provision of services</w:t>
      </w:r>
      <w:r w:rsidR="00F53CC4">
        <w:rPr>
          <w:rFonts w:ascii="Century Schoolbook" w:hAnsi="Century Schoolbook"/>
          <w:sz w:val="26"/>
          <w:szCs w:val="26"/>
        </w:rPr>
        <w:t xml:space="preserve"> and support</w:t>
      </w:r>
      <w:r w:rsidRPr="00C46631">
        <w:rPr>
          <w:rFonts w:ascii="Century Schoolbook" w:hAnsi="Century Schoolbook"/>
          <w:sz w:val="26"/>
          <w:szCs w:val="26"/>
        </w:rPr>
        <w:t xml:space="preserve"> by entering into contracts with “direct service providers”—that is, the entities who actually provide residential facilities, counseling or other services </w:t>
      </w:r>
      <w:r w:rsidR="00F53CC4">
        <w:rPr>
          <w:rFonts w:ascii="Century Schoolbook" w:hAnsi="Century Schoolbook"/>
          <w:sz w:val="26"/>
          <w:szCs w:val="26"/>
        </w:rPr>
        <w:t xml:space="preserve">and support </w:t>
      </w:r>
      <w:r w:rsidRPr="00C46631">
        <w:rPr>
          <w:rFonts w:ascii="Century Schoolbook" w:hAnsi="Century Schoolbook"/>
          <w:sz w:val="26"/>
          <w:szCs w:val="26"/>
        </w:rPr>
        <w:t xml:space="preserve">that the consumers need.  (§§ 4640.6, subd. (a), 4647, 4648; </w:t>
      </w:r>
      <w:r w:rsidRPr="00C46631">
        <w:rPr>
          <w:rFonts w:ascii="Century Schoolbook" w:hAnsi="Century Schoolbook"/>
          <w:i/>
          <w:iCs/>
          <w:sz w:val="26"/>
          <w:szCs w:val="26"/>
        </w:rPr>
        <w:t>Moroh</w:t>
      </w:r>
      <w:r w:rsidR="009F38FD">
        <w:rPr>
          <w:rFonts w:ascii="Century Schoolbook" w:hAnsi="Century Schoolbook"/>
          <w:i/>
          <w:iCs/>
          <w:sz w:val="26"/>
          <w:szCs w:val="26"/>
        </w:rPr>
        <w:t>o</w:t>
      </w:r>
      <w:r w:rsidRPr="00C46631">
        <w:rPr>
          <w:rFonts w:ascii="Century Schoolbook" w:hAnsi="Century Schoolbook"/>
          <w:i/>
          <w:iCs/>
          <w:sz w:val="26"/>
          <w:szCs w:val="26"/>
        </w:rPr>
        <w:t>shi</w:t>
      </w:r>
      <w:r w:rsidRPr="00C46631">
        <w:rPr>
          <w:rFonts w:ascii="Century Schoolbook" w:hAnsi="Century Schoolbook"/>
          <w:sz w:val="26"/>
          <w:szCs w:val="26"/>
        </w:rPr>
        <w:t xml:space="preserve">, at p. 488.)  When it comes to placing a consumer in a residential facility, the regional center </w:t>
      </w:r>
      <w:r w:rsidRPr="00C46631">
        <w:rPr>
          <w:rFonts w:ascii="Century Schoolbook" w:hAnsi="Century Schoolbook"/>
          <w:i/>
          <w:iCs/>
          <w:sz w:val="26"/>
          <w:szCs w:val="26"/>
        </w:rPr>
        <w:t xml:space="preserve">suggests or recommends </w:t>
      </w:r>
      <w:r w:rsidRPr="00C46631">
        <w:rPr>
          <w:rFonts w:ascii="Century Schoolbook" w:hAnsi="Century Schoolbook"/>
          <w:sz w:val="26"/>
          <w:szCs w:val="26"/>
        </w:rPr>
        <w:t>where a consumer may be placed, but it is up to the residential facility whether to accept the consumer as a resident.  (Cal. Code Reg</w:t>
      </w:r>
      <w:r w:rsidR="003C5A27">
        <w:rPr>
          <w:rFonts w:ascii="Century Schoolbook" w:hAnsi="Century Schoolbook"/>
          <w:sz w:val="26"/>
          <w:szCs w:val="26"/>
        </w:rPr>
        <w:t>s</w:t>
      </w:r>
      <w:r w:rsidRPr="00C46631">
        <w:rPr>
          <w:rFonts w:ascii="Century Schoolbook" w:hAnsi="Century Schoolbook"/>
          <w:sz w:val="26"/>
          <w:szCs w:val="26"/>
        </w:rPr>
        <w:t>.,</w:t>
      </w:r>
      <w:r w:rsidR="00A011A3">
        <w:rPr>
          <w:rFonts w:ascii="Century Schoolbook" w:hAnsi="Century Schoolbook"/>
          <w:sz w:val="26"/>
          <w:szCs w:val="26"/>
        </w:rPr>
        <w:t xml:space="preserve"> tit. 17,</w:t>
      </w:r>
      <w:r w:rsidRPr="00C46631">
        <w:rPr>
          <w:rFonts w:ascii="Century Schoolbook" w:hAnsi="Century Schoolbook"/>
          <w:sz w:val="26"/>
          <w:szCs w:val="26"/>
        </w:rPr>
        <w:t xml:space="preserve"> § 56016</w:t>
      </w:r>
      <w:r w:rsidR="00A011A3">
        <w:rPr>
          <w:rFonts w:ascii="Century Schoolbook" w:hAnsi="Century Schoolbook"/>
          <w:sz w:val="26"/>
          <w:szCs w:val="26"/>
        </w:rPr>
        <w:t xml:space="preserve">, subd. </w:t>
      </w:r>
      <w:r w:rsidRPr="00C46631">
        <w:rPr>
          <w:rFonts w:ascii="Century Schoolbook" w:hAnsi="Century Schoolbook"/>
          <w:sz w:val="26"/>
          <w:szCs w:val="26"/>
        </w:rPr>
        <w:t>(c); Cal. Code Reg</w:t>
      </w:r>
      <w:r w:rsidR="003C5A27">
        <w:rPr>
          <w:rFonts w:ascii="Century Schoolbook" w:hAnsi="Century Schoolbook"/>
          <w:sz w:val="26"/>
          <w:szCs w:val="26"/>
        </w:rPr>
        <w:t>s</w:t>
      </w:r>
      <w:r w:rsidRPr="00C46631">
        <w:rPr>
          <w:rFonts w:ascii="Century Schoolbook" w:hAnsi="Century Schoolbook"/>
          <w:sz w:val="26"/>
          <w:szCs w:val="26"/>
        </w:rPr>
        <w:t>.,</w:t>
      </w:r>
      <w:r w:rsidR="00A011A3">
        <w:rPr>
          <w:rFonts w:ascii="Century Schoolbook" w:hAnsi="Century Schoolbook"/>
          <w:sz w:val="26"/>
          <w:szCs w:val="26"/>
        </w:rPr>
        <w:t xml:space="preserve"> tit. 22, </w:t>
      </w:r>
      <w:r w:rsidRPr="00C46631">
        <w:rPr>
          <w:rFonts w:ascii="Century Schoolbook" w:hAnsi="Century Schoolbook"/>
          <w:sz w:val="26"/>
          <w:szCs w:val="26"/>
        </w:rPr>
        <w:t>§ 85068.4</w:t>
      </w:r>
      <w:r w:rsidR="00A011A3">
        <w:rPr>
          <w:rFonts w:ascii="Century Schoolbook" w:hAnsi="Century Schoolbook"/>
          <w:sz w:val="26"/>
          <w:szCs w:val="26"/>
        </w:rPr>
        <w:t xml:space="preserve">, subd. </w:t>
      </w:r>
      <w:r w:rsidRPr="00C46631">
        <w:rPr>
          <w:rFonts w:ascii="Century Schoolbook" w:hAnsi="Century Schoolbook"/>
          <w:sz w:val="26"/>
          <w:szCs w:val="26"/>
        </w:rPr>
        <w:t xml:space="preserve">(a).)  A central goal of the Act is to place consumers in the “least restrictive environment” that can </w:t>
      </w:r>
      <w:r w:rsidR="00A011A3">
        <w:rPr>
          <w:rFonts w:ascii="Century Schoolbook" w:hAnsi="Century Schoolbook"/>
          <w:sz w:val="26"/>
          <w:szCs w:val="26"/>
        </w:rPr>
        <w:t>manage</w:t>
      </w:r>
      <w:r w:rsidRPr="00C46631" w:rsidR="00A011A3">
        <w:rPr>
          <w:rFonts w:ascii="Century Schoolbook" w:hAnsi="Century Schoolbook"/>
          <w:sz w:val="26"/>
          <w:szCs w:val="26"/>
        </w:rPr>
        <w:t xml:space="preserve"> </w:t>
      </w:r>
      <w:r w:rsidRPr="00C46631">
        <w:rPr>
          <w:rFonts w:ascii="Century Schoolbook" w:hAnsi="Century Schoolbook"/>
          <w:sz w:val="26"/>
          <w:szCs w:val="26"/>
        </w:rPr>
        <w:t xml:space="preserve">their specific developmental disability, as doing so enables </w:t>
      </w:r>
      <w:r w:rsidR="00F53CC4">
        <w:rPr>
          <w:rFonts w:ascii="Century Schoolbook" w:hAnsi="Century Schoolbook"/>
          <w:sz w:val="26"/>
          <w:szCs w:val="26"/>
        </w:rPr>
        <w:t>those consumers</w:t>
      </w:r>
      <w:r w:rsidRPr="00C46631">
        <w:rPr>
          <w:rFonts w:ascii="Century Schoolbook" w:hAnsi="Century Schoolbook"/>
          <w:sz w:val="26"/>
          <w:szCs w:val="26"/>
        </w:rPr>
        <w:t xml:space="preserve"> to “achieve[] . . .</w:t>
      </w:r>
      <w:r w:rsidR="006944B1">
        <w:rPr>
          <w:rFonts w:ascii="Century Schoolbook" w:hAnsi="Century Schoolbook"/>
          <w:sz w:val="26"/>
          <w:szCs w:val="26"/>
        </w:rPr>
        <w:t xml:space="preserve"> </w:t>
      </w:r>
      <w:r w:rsidRPr="00C46631">
        <w:rPr>
          <w:rFonts w:ascii="Century Schoolbook" w:hAnsi="Century Schoolbook"/>
          <w:sz w:val="26"/>
          <w:szCs w:val="26"/>
        </w:rPr>
        <w:t>the most independent, productive</w:t>
      </w:r>
      <w:r w:rsidR="007E708A">
        <w:rPr>
          <w:rFonts w:ascii="Century Schoolbook" w:hAnsi="Century Schoolbook"/>
          <w:sz w:val="26"/>
          <w:szCs w:val="26"/>
        </w:rPr>
        <w:t>,</w:t>
      </w:r>
      <w:r w:rsidRPr="00C46631">
        <w:rPr>
          <w:rFonts w:ascii="Century Schoolbook" w:hAnsi="Century Schoolbook"/>
          <w:sz w:val="26"/>
          <w:szCs w:val="26"/>
        </w:rPr>
        <w:t xml:space="preserve"> and normal lives possible.”  (§</w:t>
      </w:r>
      <w:r w:rsidR="005F7771">
        <w:rPr>
          <w:rFonts w:ascii="Century Schoolbook" w:hAnsi="Century Schoolbook"/>
          <w:sz w:val="26"/>
          <w:szCs w:val="26"/>
        </w:rPr>
        <w:t xml:space="preserve"> </w:t>
      </w:r>
      <w:r w:rsidRPr="00C46631">
        <w:rPr>
          <w:rFonts w:ascii="Century Schoolbook" w:hAnsi="Century Schoolbook"/>
          <w:sz w:val="26"/>
          <w:szCs w:val="26"/>
        </w:rPr>
        <w:t>4502, subd. (</w:t>
      </w:r>
      <w:r w:rsidR="007E708A">
        <w:rPr>
          <w:rFonts w:ascii="Century Schoolbook" w:hAnsi="Century Schoolbook"/>
          <w:sz w:val="26"/>
          <w:szCs w:val="26"/>
        </w:rPr>
        <w:t>b</w:t>
      </w:r>
      <w:r w:rsidRPr="00C46631">
        <w:rPr>
          <w:rFonts w:ascii="Century Schoolbook" w:hAnsi="Century Schoolbook"/>
          <w:sz w:val="26"/>
          <w:szCs w:val="26"/>
        </w:rPr>
        <w:t>)(1);</w:t>
      </w:r>
      <w:r w:rsidR="005F7771">
        <w:rPr>
          <w:rFonts w:ascii="Century Schoolbook" w:hAnsi="Century Schoolbook"/>
          <w:sz w:val="26"/>
          <w:szCs w:val="26"/>
        </w:rPr>
        <w:t xml:space="preserve"> </w:t>
      </w:r>
      <w:r w:rsidRPr="00C46631" w:rsidR="005F7771">
        <w:rPr>
          <w:rFonts w:ascii="Century Schoolbook" w:hAnsi="Century Schoolbook"/>
          <w:sz w:val="26"/>
          <w:szCs w:val="26"/>
        </w:rPr>
        <w:t>§</w:t>
      </w:r>
      <w:r w:rsidRPr="00C46631">
        <w:rPr>
          <w:rFonts w:ascii="Century Schoolbook" w:hAnsi="Century Schoolbook"/>
          <w:sz w:val="26"/>
          <w:szCs w:val="26"/>
        </w:rPr>
        <w:t xml:space="preserve"> 4648, subd. (a)(1) [“highest preference” should be given </w:t>
      </w:r>
      <w:r w:rsidR="0089031A">
        <w:rPr>
          <w:rFonts w:ascii="Century Schoolbook" w:hAnsi="Century Schoolbook"/>
          <w:sz w:val="26"/>
          <w:szCs w:val="26"/>
        </w:rPr>
        <w:t>“</w:t>
      </w:r>
      <w:r w:rsidRPr="00C46631">
        <w:rPr>
          <w:rFonts w:ascii="Century Schoolbook" w:hAnsi="Century Schoolbook"/>
          <w:sz w:val="26"/>
          <w:szCs w:val="26"/>
        </w:rPr>
        <w:t>to those services and supports that would allow . . . adult persons with developmental disabilities to live as independently as possible in the community”].)</w:t>
      </w:r>
    </w:p>
    <w:p w:rsidR="00C46631" w:rsidRPr="00C46631" w:rsidP="00C46631" w14:paraId="72255753" w14:textId="7578FD95">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Pr="00C46631">
        <w:rPr>
          <w:rFonts w:ascii="Century Schoolbook" w:hAnsi="Century Schoolbook"/>
          <w:i/>
          <w:iCs/>
          <w:sz w:val="26"/>
          <w:szCs w:val="26"/>
        </w:rPr>
        <w:t xml:space="preserve">Monitoring the provision of services. </w:t>
      </w:r>
      <w:r w:rsidRPr="00C46631">
        <w:rPr>
          <w:rFonts w:ascii="Century Schoolbook" w:hAnsi="Century Schoolbook"/>
          <w:sz w:val="26"/>
          <w:szCs w:val="26"/>
        </w:rPr>
        <w:t xml:space="preserve"> Regional centers are tasked with monitoring, on a going-forward basis, whether the services and support they have arranged are in accord with the consumer’s IPP.  (§§ 4742, 4743; Cal. Code Regs.,</w:t>
      </w:r>
      <w:r w:rsidR="005A56B2">
        <w:rPr>
          <w:rFonts w:ascii="Century Schoolbook" w:hAnsi="Century Schoolbook"/>
          <w:sz w:val="26"/>
          <w:szCs w:val="26"/>
        </w:rPr>
        <w:t xml:space="preserve"> tit. 17,</w:t>
      </w:r>
      <w:r w:rsidRPr="00C46631">
        <w:rPr>
          <w:rFonts w:ascii="Century Schoolbook" w:hAnsi="Century Schoolbook"/>
          <w:sz w:val="26"/>
          <w:szCs w:val="26"/>
        </w:rPr>
        <w:t xml:space="preserve"> § 56047</w:t>
      </w:r>
      <w:r w:rsidR="005A56B2">
        <w:rPr>
          <w:rFonts w:ascii="Century Schoolbook" w:hAnsi="Century Schoolbook"/>
          <w:sz w:val="26"/>
          <w:szCs w:val="26"/>
        </w:rPr>
        <w:t xml:space="preserve">, subd. </w:t>
      </w:r>
      <w:r w:rsidRPr="00C46631">
        <w:rPr>
          <w:rFonts w:ascii="Century Schoolbook" w:hAnsi="Century Schoolbook"/>
          <w:sz w:val="26"/>
          <w:szCs w:val="26"/>
        </w:rPr>
        <w:t xml:space="preserve">(a) [requiring “quarterly” meetings regarding progress under IPP]; </w:t>
      </w:r>
      <w:r w:rsidRPr="00C46631">
        <w:rPr>
          <w:rFonts w:ascii="Century Schoolbook" w:hAnsi="Century Schoolbook"/>
          <w:i/>
          <w:iCs/>
          <w:sz w:val="26"/>
          <w:szCs w:val="26"/>
        </w:rPr>
        <w:t>Morohoshi</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34 Cal.4th at p. 4</w:t>
      </w:r>
      <w:r w:rsidR="007950B0">
        <w:rPr>
          <w:rFonts w:ascii="Century Schoolbook" w:hAnsi="Century Schoolbook"/>
          <w:sz w:val="26"/>
          <w:szCs w:val="26"/>
        </w:rPr>
        <w:t>90</w:t>
      </w:r>
      <w:r w:rsidRPr="00C46631">
        <w:rPr>
          <w:rFonts w:ascii="Century Schoolbook" w:hAnsi="Century Schoolbook"/>
          <w:sz w:val="26"/>
          <w:szCs w:val="26"/>
        </w:rPr>
        <w:t xml:space="preserve"> [“Regional centers have important but limited monitoring responsibilities”].)  When a regional center places a consumer in a residential facility, the center is also tasked with monitoring whether the facility remains safe for the consumer, informing the facility of any deficiencies, and terminating the center</w:t>
      </w:r>
      <w:r w:rsidR="00F53CC4">
        <w:rPr>
          <w:rFonts w:ascii="Century Schoolbook" w:hAnsi="Century Schoolbook"/>
          <w:sz w:val="26"/>
          <w:szCs w:val="26"/>
        </w:rPr>
        <w:t>’</w:t>
      </w:r>
      <w:r w:rsidRPr="00C46631">
        <w:rPr>
          <w:rFonts w:ascii="Century Schoolbook" w:hAnsi="Century Schoolbook"/>
          <w:sz w:val="26"/>
          <w:szCs w:val="26"/>
        </w:rPr>
        <w:t>s contract with the facility if those deficiencies are not remedied or, if there is an immediate danger to the consumer, taking immediate steps to relocate the consumer.  (§ 4648.1; Cal. Code Reg</w:t>
      </w:r>
      <w:r w:rsidR="003C5A27">
        <w:rPr>
          <w:rFonts w:ascii="Century Schoolbook" w:hAnsi="Century Schoolbook"/>
          <w:sz w:val="26"/>
          <w:szCs w:val="26"/>
        </w:rPr>
        <w:t>s</w:t>
      </w:r>
      <w:r w:rsidRPr="00C46631">
        <w:rPr>
          <w:rFonts w:ascii="Century Schoolbook" w:hAnsi="Century Schoolbook"/>
          <w:sz w:val="26"/>
          <w:szCs w:val="26"/>
        </w:rPr>
        <w:t>.,</w:t>
      </w:r>
      <w:r w:rsidR="00EF2C43">
        <w:rPr>
          <w:rFonts w:ascii="Century Schoolbook" w:hAnsi="Century Schoolbook"/>
          <w:sz w:val="26"/>
          <w:szCs w:val="26"/>
        </w:rPr>
        <w:t xml:space="preserve"> tit. 17,</w:t>
      </w:r>
      <w:r w:rsidRPr="00C46631">
        <w:rPr>
          <w:rFonts w:ascii="Century Schoolbook" w:hAnsi="Century Schoolbook"/>
          <w:sz w:val="26"/>
          <w:szCs w:val="26"/>
        </w:rPr>
        <w:t xml:space="preserve"> §§ 56048</w:t>
      </w:r>
      <w:r w:rsidR="00EF2C43">
        <w:rPr>
          <w:rFonts w:ascii="Century Schoolbook" w:hAnsi="Century Schoolbook"/>
          <w:sz w:val="26"/>
          <w:szCs w:val="26"/>
        </w:rPr>
        <w:t xml:space="preserve">, subd. </w:t>
      </w:r>
      <w:r w:rsidRPr="00C46631">
        <w:rPr>
          <w:rFonts w:ascii="Century Schoolbook" w:hAnsi="Century Schoolbook"/>
          <w:sz w:val="26"/>
          <w:szCs w:val="26"/>
        </w:rPr>
        <w:t xml:space="preserve">(d), 56053.)  The Act obligates a </w:t>
      </w:r>
      <w:r w:rsidR="0089031A">
        <w:rPr>
          <w:rFonts w:ascii="Century Schoolbook" w:hAnsi="Century Schoolbook"/>
          <w:sz w:val="26"/>
          <w:szCs w:val="26"/>
        </w:rPr>
        <w:t xml:space="preserve">regional </w:t>
      </w:r>
      <w:r w:rsidRPr="00C46631">
        <w:rPr>
          <w:rFonts w:ascii="Century Schoolbook" w:hAnsi="Century Schoolbook"/>
          <w:sz w:val="26"/>
          <w:szCs w:val="26"/>
        </w:rPr>
        <w:t>center to audit facilities and to conduct “periodic” (that is, annual or semi-annual) visits; a center does not engage in strict, “hour-by-hour” oversight.  (§ 4648.1, subd. (a) [minimum of “two monitor</w:t>
      </w:r>
      <w:r w:rsidR="00133456">
        <w:rPr>
          <w:rFonts w:ascii="Century Schoolbook" w:hAnsi="Century Schoolbook"/>
          <w:sz w:val="26"/>
          <w:szCs w:val="26"/>
        </w:rPr>
        <w:t>[</w:t>
      </w:r>
      <w:r w:rsidRPr="00C46631">
        <w:rPr>
          <w:rFonts w:ascii="Century Schoolbook" w:hAnsi="Century Schoolbook"/>
          <w:sz w:val="26"/>
          <w:szCs w:val="26"/>
        </w:rPr>
        <w:t>ed</w:t>
      </w:r>
      <w:r w:rsidR="00133456">
        <w:rPr>
          <w:rFonts w:ascii="Century Schoolbook" w:hAnsi="Century Schoolbook"/>
          <w:sz w:val="26"/>
          <w:szCs w:val="26"/>
        </w:rPr>
        <w:t>]</w:t>
      </w:r>
      <w:r w:rsidRPr="00C46631">
        <w:rPr>
          <w:rFonts w:ascii="Century Schoolbook" w:hAnsi="Century Schoolbook"/>
          <w:sz w:val="26"/>
          <w:szCs w:val="26"/>
        </w:rPr>
        <w:t>” and “unannounced</w:t>
      </w:r>
      <w:r w:rsidR="0089031A">
        <w:rPr>
          <w:rFonts w:ascii="Century Schoolbook" w:hAnsi="Century Schoolbook"/>
          <w:sz w:val="26"/>
          <w:szCs w:val="26"/>
        </w:rPr>
        <w:t>”</w:t>
      </w:r>
      <w:r w:rsidRPr="00C46631">
        <w:rPr>
          <w:rFonts w:ascii="Century Schoolbook" w:hAnsi="Century Schoolbook"/>
          <w:sz w:val="26"/>
          <w:szCs w:val="26"/>
        </w:rPr>
        <w:t xml:space="preserve"> visits per year]; Cal. Code Reg</w:t>
      </w:r>
      <w:r w:rsidR="003C5A27">
        <w:rPr>
          <w:rFonts w:ascii="Century Schoolbook" w:hAnsi="Century Schoolbook"/>
          <w:sz w:val="26"/>
          <w:szCs w:val="26"/>
        </w:rPr>
        <w:t>s</w:t>
      </w:r>
      <w:r w:rsidRPr="00C46631">
        <w:rPr>
          <w:rFonts w:ascii="Century Schoolbook" w:hAnsi="Century Schoolbook"/>
          <w:sz w:val="26"/>
          <w:szCs w:val="26"/>
        </w:rPr>
        <w:t xml:space="preserve">., </w:t>
      </w:r>
      <w:r w:rsidR="00EF2C43">
        <w:rPr>
          <w:rFonts w:ascii="Century Schoolbook" w:hAnsi="Century Schoolbook"/>
          <w:sz w:val="26"/>
          <w:szCs w:val="26"/>
        </w:rPr>
        <w:t xml:space="preserve">tit. 17, </w:t>
      </w:r>
      <w:r w:rsidRPr="00C46631">
        <w:rPr>
          <w:rFonts w:ascii="Century Schoolbook" w:hAnsi="Century Schoolbook"/>
          <w:sz w:val="26"/>
          <w:szCs w:val="26"/>
        </w:rPr>
        <w:t>§§ 56047</w:t>
      </w:r>
      <w:r w:rsidR="00EF2C43">
        <w:rPr>
          <w:rFonts w:ascii="Century Schoolbook" w:hAnsi="Century Schoolbook"/>
          <w:sz w:val="26"/>
          <w:szCs w:val="26"/>
        </w:rPr>
        <w:t xml:space="preserve">, subd. </w:t>
      </w:r>
      <w:r w:rsidRPr="00C46631">
        <w:rPr>
          <w:rFonts w:ascii="Century Schoolbook" w:hAnsi="Century Schoolbook"/>
          <w:sz w:val="26"/>
          <w:szCs w:val="26"/>
        </w:rPr>
        <w:t>(a) [quarterly meeting regarding IPP may occur at facility], 56048</w:t>
      </w:r>
      <w:r w:rsidR="00EF2C43">
        <w:rPr>
          <w:rFonts w:ascii="Century Schoolbook" w:hAnsi="Century Schoolbook"/>
          <w:sz w:val="26"/>
          <w:szCs w:val="26"/>
        </w:rPr>
        <w:t xml:space="preserve">, subd. </w:t>
      </w:r>
      <w:r w:rsidRPr="00C46631">
        <w:rPr>
          <w:rFonts w:ascii="Century Schoolbook" w:hAnsi="Century Schoolbook"/>
          <w:sz w:val="26"/>
          <w:szCs w:val="26"/>
        </w:rPr>
        <w:t xml:space="preserve">(d)(1) [facility liaison must conduct one monitoring visit per year]; </w:t>
      </w:r>
      <w:r w:rsidRPr="00C46631">
        <w:rPr>
          <w:rFonts w:ascii="Century Schoolbook" w:hAnsi="Century Schoolbook"/>
          <w:i/>
          <w:iCs/>
          <w:sz w:val="26"/>
          <w:szCs w:val="26"/>
        </w:rPr>
        <w:t>Moroh</w:t>
      </w:r>
      <w:r w:rsidR="009F38FD">
        <w:rPr>
          <w:rFonts w:ascii="Century Schoolbook" w:hAnsi="Century Schoolbook"/>
          <w:i/>
          <w:iCs/>
          <w:sz w:val="26"/>
          <w:szCs w:val="26"/>
        </w:rPr>
        <w:t>o</w:t>
      </w:r>
      <w:r w:rsidRPr="00C46631">
        <w:rPr>
          <w:rFonts w:ascii="Century Schoolbook" w:hAnsi="Century Schoolbook"/>
          <w:i/>
          <w:iCs/>
          <w:sz w:val="26"/>
          <w:szCs w:val="26"/>
        </w:rPr>
        <w:t>shi</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at pp. 490-491 [regional centers do not engage in “hour-by-hour monitoring”].)  A consumer may ask the regional center</w:t>
      </w:r>
      <w:r w:rsidR="00F63E54">
        <w:rPr>
          <w:rFonts w:ascii="Century Schoolbook" w:hAnsi="Century Schoolbook"/>
          <w:sz w:val="26"/>
          <w:szCs w:val="26"/>
        </w:rPr>
        <w:t xml:space="preserve"> that they</w:t>
      </w:r>
      <w:r w:rsidRPr="00C46631">
        <w:rPr>
          <w:rFonts w:ascii="Century Schoolbook" w:hAnsi="Century Schoolbook"/>
          <w:sz w:val="26"/>
          <w:szCs w:val="26"/>
        </w:rPr>
        <w:t xml:space="preserve"> be relocated </w:t>
      </w:r>
      <w:r w:rsidR="00F53CC4">
        <w:rPr>
          <w:rFonts w:ascii="Century Schoolbook" w:hAnsi="Century Schoolbook"/>
          <w:sz w:val="26"/>
          <w:szCs w:val="26"/>
        </w:rPr>
        <w:t>to</w:t>
      </w:r>
      <w:r w:rsidRPr="00C46631">
        <w:rPr>
          <w:rFonts w:ascii="Century Schoolbook" w:hAnsi="Century Schoolbook"/>
          <w:sz w:val="26"/>
          <w:szCs w:val="26"/>
        </w:rPr>
        <w:t xml:space="preserve"> a new residential placement, which obligates the regional center to “schedule an individual program plan meeting . . . to assist in locating and moving to another residence.”  (§ 4747; Cal. Code Reg</w:t>
      </w:r>
      <w:r w:rsidR="003C5A27">
        <w:rPr>
          <w:rFonts w:ascii="Century Schoolbook" w:hAnsi="Century Schoolbook"/>
          <w:sz w:val="26"/>
          <w:szCs w:val="26"/>
        </w:rPr>
        <w:t>s</w:t>
      </w:r>
      <w:r w:rsidRPr="00C46631">
        <w:rPr>
          <w:rFonts w:ascii="Century Schoolbook" w:hAnsi="Century Schoolbook"/>
          <w:sz w:val="26"/>
          <w:szCs w:val="26"/>
        </w:rPr>
        <w:t>.,</w:t>
      </w:r>
      <w:r w:rsidR="00EF2C43">
        <w:rPr>
          <w:rFonts w:ascii="Century Schoolbook" w:hAnsi="Century Schoolbook"/>
          <w:sz w:val="26"/>
          <w:szCs w:val="26"/>
        </w:rPr>
        <w:t xml:space="preserve"> tit. 17,</w:t>
      </w:r>
      <w:r w:rsidRPr="00C46631">
        <w:rPr>
          <w:rFonts w:ascii="Century Schoolbook" w:hAnsi="Century Schoolbook"/>
          <w:sz w:val="26"/>
          <w:szCs w:val="26"/>
        </w:rPr>
        <w:t xml:space="preserve"> § 56017</w:t>
      </w:r>
      <w:r w:rsidR="00EF2C43">
        <w:rPr>
          <w:rFonts w:ascii="Century Schoolbook" w:hAnsi="Century Schoolbook"/>
          <w:sz w:val="26"/>
          <w:szCs w:val="26"/>
        </w:rPr>
        <w:t xml:space="preserve">, subd. </w:t>
      </w:r>
      <w:r w:rsidRPr="00C46631">
        <w:rPr>
          <w:rFonts w:ascii="Century Schoolbook" w:hAnsi="Century Schoolbook"/>
          <w:sz w:val="26"/>
          <w:szCs w:val="26"/>
        </w:rPr>
        <w:t xml:space="preserve">(a).)  A facility that “determines that [it] can no longer meet the needs of </w:t>
      </w:r>
      <w:r w:rsidR="0014628D">
        <w:rPr>
          <w:rFonts w:ascii="Century Schoolbook" w:hAnsi="Century Schoolbook"/>
          <w:sz w:val="26"/>
          <w:szCs w:val="26"/>
        </w:rPr>
        <w:t>[a]</w:t>
      </w:r>
      <w:r w:rsidRPr="00C46631" w:rsidR="0014628D">
        <w:rPr>
          <w:rFonts w:ascii="Century Schoolbook" w:hAnsi="Century Schoolbook"/>
          <w:sz w:val="26"/>
          <w:szCs w:val="26"/>
        </w:rPr>
        <w:t xml:space="preserve"> </w:t>
      </w:r>
      <w:r w:rsidRPr="00C46631">
        <w:rPr>
          <w:rFonts w:ascii="Century Schoolbook" w:hAnsi="Century Schoolbook"/>
          <w:sz w:val="26"/>
          <w:szCs w:val="26"/>
        </w:rPr>
        <w:t xml:space="preserve">consumer” may ask the regional center to “assist[]” in relocating </w:t>
      </w:r>
      <w:r w:rsidR="0014628D">
        <w:rPr>
          <w:rFonts w:ascii="Century Schoolbook" w:hAnsi="Century Schoolbook"/>
          <w:sz w:val="26"/>
          <w:szCs w:val="26"/>
        </w:rPr>
        <w:t xml:space="preserve">the </w:t>
      </w:r>
      <w:r w:rsidRPr="00C46631">
        <w:rPr>
          <w:rFonts w:ascii="Century Schoolbook" w:hAnsi="Century Schoolbook"/>
          <w:sz w:val="26"/>
          <w:szCs w:val="26"/>
        </w:rPr>
        <w:t>consumer; upon receiving this request, the regional center (1) “shall relocate the consumer within 30</w:t>
      </w:r>
      <w:r w:rsidR="0014628D">
        <w:rPr>
          <w:rFonts w:ascii="Century Schoolbook" w:hAnsi="Century Schoolbook"/>
          <w:sz w:val="26"/>
          <w:szCs w:val="26"/>
        </w:rPr>
        <w:t xml:space="preserve"> </w:t>
      </w:r>
      <w:r w:rsidRPr="00C46631">
        <w:rPr>
          <w:rFonts w:ascii="Century Schoolbook" w:hAnsi="Century Schoolbook"/>
          <w:sz w:val="26"/>
          <w:szCs w:val="26"/>
        </w:rPr>
        <w:t>days or within” a “mutually agreed</w:t>
      </w:r>
      <w:r w:rsidR="008F27C0">
        <w:rPr>
          <w:rFonts w:ascii="Century Schoolbook" w:hAnsi="Century Schoolbook"/>
          <w:sz w:val="26"/>
          <w:szCs w:val="26"/>
        </w:rPr>
        <w:t>-</w:t>
      </w:r>
      <w:r w:rsidRPr="00C46631">
        <w:rPr>
          <w:rFonts w:ascii="Century Schoolbook" w:hAnsi="Century Schoolbook"/>
          <w:sz w:val="26"/>
          <w:szCs w:val="26"/>
        </w:rPr>
        <w:t>upon” “time frame”</w:t>
      </w:r>
      <w:r w:rsidR="00612318">
        <w:rPr>
          <w:rFonts w:ascii="Century Schoolbook" w:hAnsi="Century Schoolbook"/>
          <w:sz w:val="26"/>
          <w:szCs w:val="26"/>
        </w:rPr>
        <w:t>;</w:t>
      </w:r>
      <w:r w:rsidRPr="00C46631">
        <w:rPr>
          <w:rFonts w:ascii="Century Schoolbook" w:hAnsi="Century Schoolbook"/>
          <w:sz w:val="26"/>
          <w:szCs w:val="26"/>
        </w:rPr>
        <w:t xml:space="preserve"> and (2) </w:t>
      </w:r>
      <w:r w:rsidR="00F53CC4">
        <w:rPr>
          <w:rFonts w:ascii="Century Schoolbook" w:hAnsi="Century Schoolbook"/>
          <w:sz w:val="26"/>
          <w:szCs w:val="26"/>
        </w:rPr>
        <w:t xml:space="preserve">must </w:t>
      </w:r>
      <w:r w:rsidRPr="00C46631">
        <w:rPr>
          <w:rFonts w:ascii="Century Schoolbook" w:hAnsi="Century Schoolbook"/>
          <w:sz w:val="26"/>
          <w:szCs w:val="26"/>
        </w:rPr>
        <w:t>provide “</w:t>
      </w:r>
      <w:r w:rsidR="008F27C0">
        <w:rPr>
          <w:rFonts w:ascii="Century Schoolbook" w:hAnsi="Century Schoolbook"/>
          <w:sz w:val="26"/>
          <w:szCs w:val="26"/>
        </w:rPr>
        <w:t>[</w:t>
      </w:r>
      <w:r w:rsidRPr="00C46631">
        <w:rPr>
          <w:rFonts w:ascii="Century Schoolbook" w:hAnsi="Century Schoolbook"/>
          <w:sz w:val="26"/>
          <w:szCs w:val="26"/>
        </w:rPr>
        <w:t>a</w:t>
      </w:r>
      <w:r w:rsidR="008F27C0">
        <w:rPr>
          <w:rFonts w:ascii="Century Schoolbook" w:hAnsi="Century Schoolbook"/>
          <w:sz w:val="26"/>
          <w:szCs w:val="26"/>
        </w:rPr>
        <w:t>]</w:t>
      </w:r>
      <w:r w:rsidRPr="00C46631">
        <w:rPr>
          <w:rFonts w:ascii="Century Schoolbook" w:hAnsi="Century Schoolbook"/>
          <w:sz w:val="26"/>
          <w:szCs w:val="26"/>
        </w:rPr>
        <w:t xml:space="preserve">ny additional measures necessary to meet </w:t>
      </w:r>
      <w:r w:rsidRPr="00C46631">
        <w:rPr>
          <w:rFonts w:ascii="Century Schoolbook" w:hAnsi="Century Schoolbook"/>
          <w:i/>
          <w:iCs/>
          <w:sz w:val="26"/>
          <w:szCs w:val="26"/>
        </w:rPr>
        <w:t>the consumer’s</w:t>
      </w:r>
      <w:r w:rsidRPr="00C46631">
        <w:rPr>
          <w:rFonts w:ascii="Century Schoolbook" w:hAnsi="Century Schoolbook"/>
          <w:sz w:val="26"/>
          <w:szCs w:val="26"/>
        </w:rPr>
        <w:t xml:space="preserve"> health and safety needs until the relocation has been accomplished.”  (Cal. Code Reg</w:t>
      </w:r>
      <w:r w:rsidR="003C5A27">
        <w:rPr>
          <w:rFonts w:ascii="Century Schoolbook" w:hAnsi="Century Schoolbook"/>
          <w:sz w:val="26"/>
          <w:szCs w:val="26"/>
        </w:rPr>
        <w:t>s</w:t>
      </w:r>
      <w:r w:rsidRPr="00C46631">
        <w:rPr>
          <w:rFonts w:ascii="Century Schoolbook" w:hAnsi="Century Schoolbook"/>
          <w:sz w:val="26"/>
          <w:szCs w:val="26"/>
        </w:rPr>
        <w:t>.,</w:t>
      </w:r>
      <w:r w:rsidR="00EF2C43">
        <w:rPr>
          <w:rFonts w:ascii="Century Schoolbook" w:hAnsi="Century Schoolbook"/>
          <w:sz w:val="26"/>
          <w:szCs w:val="26"/>
        </w:rPr>
        <w:t xml:space="preserve"> tit. 17,</w:t>
      </w:r>
      <w:r w:rsidRPr="00C46631">
        <w:rPr>
          <w:rFonts w:ascii="Century Schoolbook" w:hAnsi="Century Schoolbook"/>
          <w:sz w:val="26"/>
          <w:szCs w:val="26"/>
        </w:rPr>
        <w:t xml:space="preserve"> § 56016</w:t>
      </w:r>
      <w:r w:rsidR="00EF2C43">
        <w:rPr>
          <w:rFonts w:ascii="Century Schoolbook" w:hAnsi="Century Schoolbook"/>
          <w:sz w:val="26"/>
          <w:szCs w:val="26"/>
        </w:rPr>
        <w:t xml:space="preserve">, subds. </w:t>
      </w:r>
      <w:r w:rsidR="008F27C0">
        <w:rPr>
          <w:rFonts w:ascii="Century Schoolbook" w:hAnsi="Century Schoolbook"/>
          <w:sz w:val="26"/>
          <w:szCs w:val="26"/>
        </w:rPr>
        <w:t xml:space="preserve">(e), (b), </w:t>
      </w:r>
      <w:r w:rsidRPr="00C46631">
        <w:rPr>
          <w:rFonts w:ascii="Century Schoolbook" w:hAnsi="Century Schoolbook"/>
          <w:sz w:val="26"/>
          <w:szCs w:val="26"/>
        </w:rPr>
        <w:t>(f)</w:t>
      </w:r>
      <w:r w:rsidR="00917BCD">
        <w:rPr>
          <w:rFonts w:ascii="Century Schoolbook" w:hAnsi="Century Schoolbook"/>
          <w:sz w:val="26"/>
          <w:szCs w:val="26"/>
        </w:rPr>
        <w:t xml:space="preserve"> &amp;</w:t>
      </w:r>
      <w:r w:rsidRPr="00C46631">
        <w:rPr>
          <w:rFonts w:ascii="Century Schoolbook" w:hAnsi="Century Schoolbook"/>
          <w:sz w:val="26"/>
          <w:szCs w:val="26"/>
        </w:rPr>
        <w:t xml:space="preserve"> (g), italics added.)  Residential facilities independently have the power to evict a consumer, with either 30 days’ or three days’ notice; as pertinent here, a residential facility may evict a consumer if he “has engaged or is engaging in behavior which is a threat to his/her mental and/or physical </w:t>
      </w:r>
      <w:r w:rsidR="00A6096B">
        <w:rPr>
          <w:rFonts w:ascii="Century Schoolbook" w:hAnsi="Century Schoolbook"/>
          <w:sz w:val="26"/>
          <w:szCs w:val="26"/>
        </w:rPr>
        <w:t>health</w:t>
      </w:r>
      <w:r w:rsidRPr="00C46631" w:rsidR="00A6096B">
        <w:rPr>
          <w:rFonts w:ascii="Century Schoolbook" w:hAnsi="Century Schoolbook"/>
          <w:sz w:val="26"/>
          <w:szCs w:val="26"/>
        </w:rPr>
        <w:t xml:space="preserve"> </w:t>
      </w:r>
      <w:r w:rsidRPr="00C46631">
        <w:rPr>
          <w:rFonts w:ascii="Century Schoolbook" w:hAnsi="Century Schoolbook"/>
          <w:sz w:val="26"/>
          <w:szCs w:val="26"/>
        </w:rPr>
        <w:t>or safety, or to the health and safety of others in the facility.”  (Cal. Code Reg</w:t>
      </w:r>
      <w:r w:rsidR="003C5A27">
        <w:rPr>
          <w:rFonts w:ascii="Century Schoolbook" w:hAnsi="Century Schoolbook"/>
          <w:sz w:val="26"/>
          <w:szCs w:val="26"/>
        </w:rPr>
        <w:t>s</w:t>
      </w:r>
      <w:r w:rsidRPr="00C46631">
        <w:rPr>
          <w:rFonts w:ascii="Century Schoolbook" w:hAnsi="Century Schoolbook"/>
          <w:sz w:val="26"/>
          <w:szCs w:val="26"/>
        </w:rPr>
        <w:t>.,</w:t>
      </w:r>
      <w:r w:rsidR="00EF2C43">
        <w:rPr>
          <w:rFonts w:ascii="Century Schoolbook" w:hAnsi="Century Schoolbook"/>
          <w:sz w:val="26"/>
          <w:szCs w:val="26"/>
        </w:rPr>
        <w:t xml:space="preserve"> tit. 22,</w:t>
      </w:r>
      <w:r w:rsidRPr="00C46631">
        <w:rPr>
          <w:rFonts w:ascii="Century Schoolbook" w:hAnsi="Century Schoolbook"/>
          <w:sz w:val="26"/>
          <w:szCs w:val="26"/>
        </w:rPr>
        <w:t xml:space="preserve"> § 85068.5.)  </w:t>
      </w:r>
    </w:p>
    <w:p w:rsidR="00C46631" w:rsidRPr="00C46631" w:rsidP="00C46631" w14:paraId="1D940211" w14:textId="3DA521AF">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Pr="00C46631">
        <w:rPr>
          <w:rFonts w:ascii="Century Schoolbook" w:hAnsi="Century Schoolbook"/>
          <w:i/>
          <w:iCs/>
          <w:sz w:val="26"/>
          <w:szCs w:val="26"/>
        </w:rPr>
        <w:t>Coordinating funding</w:t>
      </w:r>
      <w:r w:rsidRPr="00C46631">
        <w:rPr>
          <w:rFonts w:ascii="Century Schoolbook" w:hAnsi="Century Schoolbook"/>
          <w:sz w:val="26"/>
          <w:szCs w:val="26"/>
        </w:rPr>
        <w:t xml:space="preserve">.  Regional centers are funded by the </w:t>
      </w:r>
      <w:r w:rsidR="006F0798">
        <w:rPr>
          <w:rFonts w:ascii="Century Schoolbook" w:hAnsi="Century Schoolbook"/>
          <w:sz w:val="26"/>
          <w:szCs w:val="26"/>
        </w:rPr>
        <w:t>s</w:t>
      </w:r>
      <w:r w:rsidRPr="00C46631">
        <w:rPr>
          <w:rFonts w:ascii="Century Schoolbook" w:hAnsi="Century Schoolbook"/>
          <w:sz w:val="26"/>
          <w:szCs w:val="26"/>
        </w:rPr>
        <w:t xml:space="preserve">tate (§§ 4620, 4621, 4629), but are obligated also to </w:t>
      </w:r>
      <w:r w:rsidR="00F53CC4">
        <w:rPr>
          <w:rFonts w:ascii="Century Schoolbook" w:hAnsi="Century Schoolbook"/>
          <w:sz w:val="26"/>
          <w:szCs w:val="26"/>
        </w:rPr>
        <w:t xml:space="preserve">seek </w:t>
      </w:r>
      <w:r w:rsidRPr="00C46631">
        <w:rPr>
          <w:rFonts w:ascii="Century Schoolbook" w:hAnsi="Century Schoolbook"/>
          <w:sz w:val="26"/>
          <w:szCs w:val="26"/>
        </w:rPr>
        <w:t>funding from other sources (§ 4659).</w:t>
      </w:r>
    </w:p>
    <w:p w:rsidR="00C46631" w:rsidRPr="00C46631" w:rsidP="00C46631" w14:paraId="522003D7" w14:textId="77777777">
      <w:pPr>
        <w:spacing w:line="288" w:lineRule="auto"/>
        <w:rPr>
          <w:rFonts w:ascii="Century Schoolbook" w:hAnsi="Century Schoolbook"/>
          <w:sz w:val="26"/>
          <w:szCs w:val="26"/>
        </w:rPr>
      </w:pPr>
      <w:r w:rsidRPr="00C46631">
        <w:rPr>
          <w:rFonts w:ascii="Century Schoolbook" w:hAnsi="Century Schoolbook"/>
          <w:b/>
          <w:bCs/>
          <w:sz w:val="26"/>
          <w:szCs w:val="26"/>
        </w:rPr>
        <w:t>II.</w:t>
      </w:r>
      <w:r w:rsidRPr="00C46631">
        <w:rPr>
          <w:rFonts w:ascii="Century Schoolbook" w:hAnsi="Century Schoolbook"/>
          <w:b/>
          <w:bCs/>
          <w:sz w:val="26"/>
          <w:szCs w:val="26"/>
        </w:rPr>
        <w:tab/>
        <w:t>Analysis</w:t>
      </w:r>
    </w:p>
    <w:p w:rsidR="00C46631" w:rsidRPr="00C46631" w:rsidP="00C46631" w14:paraId="31403BC1" w14:textId="030A076D">
      <w:pPr>
        <w:spacing w:line="288" w:lineRule="auto"/>
        <w:rPr>
          <w:rFonts w:ascii="Century Schoolbook" w:hAnsi="Century Schoolbook"/>
          <w:sz w:val="26"/>
          <w:szCs w:val="26"/>
        </w:rPr>
      </w:pPr>
      <w:r w:rsidRPr="00C46631">
        <w:rPr>
          <w:rFonts w:ascii="Century Schoolbook" w:hAnsi="Century Schoolbook"/>
          <w:sz w:val="26"/>
          <w:szCs w:val="26"/>
        </w:rPr>
        <w:tab/>
        <w:t xml:space="preserve">Plaintiff’s two claims against the Regional Center are both grounded in negligence.  A plaintiff can prevail on a negligence claim only if he establishes, as a “threshold matter,” that </w:t>
      </w:r>
      <w:r w:rsidRPr="00C46631">
        <w:rPr>
          <w:rFonts w:ascii="Century Schoolbook" w:hAnsi="Century Schoolbook"/>
          <w:i/>
          <w:iCs/>
          <w:sz w:val="26"/>
          <w:szCs w:val="26"/>
        </w:rPr>
        <w:t xml:space="preserve">the particular defendant he is suing </w:t>
      </w:r>
      <w:r w:rsidRPr="00C46631">
        <w:rPr>
          <w:rFonts w:ascii="Century Schoolbook" w:hAnsi="Century Schoolbook"/>
          <w:sz w:val="26"/>
          <w:szCs w:val="26"/>
        </w:rPr>
        <w:t>owes him a “legal duty of care.”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11 Cal.5th at pp. 213</w:t>
      </w:r>
      <w:r w:rsidR="004574E9">
        <w:rPr>
          <w:rFonts w:ascii="Century Schoolbook" w:hAnsi="Century Schoolbook"/>
          <w:sz w:val="26"/>
          <w:szCs w:val="26"/>
        </w:rPr>
        <w:t>, 209</w:t>
      </w:r>
      <w:r w:rsidRPr="00C46631">
        <w:rPr>
          <w:rFonts w:ascii="Century Schoolbook" w:hAnsi="Century Schoolbook"/>
          <w:sz w:val="26"/>
          <w:szCs w:val="26"/>
        </w:rPr>
        <w:t>.)</w:t>
      </w:r>
    </w:p>
    <w:p w:rsidR="00C46631" w:rsidRPr="00C46631" w:rsidP="00C46631" w14:paraId="08411D21" w14:textId="77777777">
      <w:pPr>
        <w:spacing w:line="288" w:lineRule="auto"/>
        <w:rPr>
          <w:rFonts w:ascii="Century Schoolbook" w:hAnsi="Century Schoolbook"/>
          <w:b/>
          <w:bCs/>
          <w:i/>
          <w:iCs/>
          <w:sz w:val="26"/>
          <w:szCs w:val="26"/>
        </w:rPr>
      </w:pPr>
      <w:r w:rsidRPr="00C46631">
        <w:rPr>
          <w:rFonts w:ascii="Century Schoolbook" w:hAnsi="Century Schoolbook"/>
          <w:sz w:val="26"/>
          <w:szCs w:val="26"/>
        </w:rPr>
        <w:tab/>
      </w:r>
      <w:r w:rsidRPr="00C46631">
        <w:rPr>
          <w:rFonts w:ascii="Century Schoolbook" w:hAnsi="Century Schoolbook"/>
          <w:b/>
          <w:bCs/>
          <w:sz w:val="26"/>
          <w:szCs w:val="26"/>
        </w:rPr>
        <w:t>A.</w:t>
      </w:r>
      <w:r w:rsidRPr="00C46631">
        <w:rPr>
          <w:rFonts w:ascii="Century Schoolbook" w:hAnsi="Century Schoolbook"/>
          <w:b/>
          <w:bCs/>
          <w:sz w:val="26"/>
          <w:szCs w:val="26"/>
        </w:rPr>
        <w:tab/>
      </w:r>
      <w:r w:rsidRPr="00C46631">
        <w:rPr>
          <w:rFonts w:ascii="Century Schoolbook" w:hAnsi="Century Schoolbook"/>
          <w:b/>
          <w:bCs/>
          <w:i/>
          <w:iCs/>
          <w:sz w:val="26"/>
          <w:szCs w:val="26"/>
        </w:rPr>
        <w:t>Legal duties of care, generally</w:t>
      </w:r>
    </w:p>
    <w:p w:rsidR="00C46631" w:rsidP="00C46631" w14:paraId="45072F70" w14:textId="5DAE1F2D">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Whether a particular defendant owes a particular plaintiff a legal duty of care (actionable in a claim for negligence) is, at bottom, a “question of public policy”—namely, </w:t>
      </w:r>
      <w:r w:rsidRPr="00C46631">
        <w:rPr>
          <w:rFonts w:ascii="Century Schoolbook" w:hAnsi="Century Schoolbook"/>
          <w:i/>
          <w:iCs/>
          <w:sz w:val="26"/>
          <w:szCs w:val="26"/>
        </w:rPr>
        <w:t>should</w:t>
      </w:r>
      <w:r w:rsidRPr="00C46631">
        <w:rPr>
          <w:rFonts w:ascii="Century Schoolbook" w:hAnsi="Century Schoolbook"/>
          <w:sz w:val="26"/>
          <w:szCs w:val="26"/>
        </w:rPr>
        <w:t xml:space="preserve"> that plaintiff’s interests be entitled to legal protection against the defendant’s conduct?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 xml:space="preserve">4 Cal.5th at pp. 627-628; </w:t>
      </w:r>
      <w:r w:rsidRPr="00C46631">
        <w:rPr>
          <w:rFonts w:ascii="Century Schoolbook" w:hAnsi="Century Schoolbook"/>
          <w:i/>
          <w:iCs/>
          <w:sz w:val="26"/>
          <w:szCs w:val="26"/>
        </w:rPr>
        <w:t xml:space="preserve">Kuciemba v. Victory Woodworks, Inc. </w:t>
      </w:r>
      <w:r w:rsidRPr="00C46631">
        <w:rPr>
          <w:rFonts w:ascii="Century Schoolbook" w:hAnsi="Century Schoolbook"/>
          <w:sz w:val="26"/>
          <w:szCs w:val="26"/>
        </w:rPr>
        <w:t>(2023) 14 Cal.5th 993, 1016</w:t>
      </w:r>
      <w:r w:rsidR="00AE64E8">
        <w:rPr>
          <w:rFonts w:ascii="Century Schoolbook" w:hAnsi="Century Schoolbook"/>
          <w:sz w:val="26"/>
          <w:szCs w:val="26"/>
        </w:rPr>
        <w:t xml:space="preserve"> (</w:t>
      </w:r>
      <w:r w:rsidR="00AE64E8">
        <w:rPr>
          <w:rFonts w:ascii="Century Schoolbook" w:hAnsi="Century Schoolbook"/>
          <w:i/>
          <w:iCs/>
          <w:sz w:val="26"/>
          <w:szCs w:val="26"/>
        </w:rPr>
        <w:t>Kuciemba</w:t>
      </w:r>
      <w:r w:rsidR="00AE64E8">
        <w:rPr>
          <w:rFonts w:ascii="Century Schoolbook" w:hAnsi="Century Schoolbook"/>
          <w:sz w:val="26"/>
          <w:szCs w:val="26"/>
        </w:rPr>
        <w:t>)</w:t>
      </w:r>
      <w:r w:rsidRPr="00C46631">
        <w:rPr>
          <w:rFonts w:ascii="Century Schoolbook" w:hAnsi="Century Schoolbook"/>
          <w:sz w:val="26"/>
          <w:szCs w:val="26"/>
        </w:rPr>
        <w:t xml:space="preserve">; </w:t>
      </w:r>
      <w:r w:rsidRPr="00C46631">
        <w:rPr>
          <w:rFonts w:ascii="Century Schoolbook" w:hAnsi="Century Schoolbook"/>
          <w:i/>
          <w:iCs/>
          <w:sz w:val="26"/>
          <w:szCs w:val="26"/>
        </w:rPr>
        <w:t>Kesner v. Superior Court</w:t>
      </w:r>
      <w:r w:rsidRPr="00C46631">
        <w:rPr>
          <w:rFonts w:ascii="Century Schoolbook" w:hAnsi="Century Schoolbook"/>
          <w:sz w:val="26"/>
          <w:szCs w:val="26"/>
        </w:rPr>
        <w:t xml:space="preserve"> (2016) 1 Cal.5th 1132, 1143 (</w:t>
      </w:r>
      <w:r w:rsidRPr="00C46631">
        <w:rPr>
          <w:rFonts w:ascii="Century Schoolbook" w:hAnsi="Century Schoolbook"/>
          <w:i/>
          <w:iCs/>
          <w:sz w:val="26"/>
          <w:szCs w:val="26"/>
        </w:rPr>
        <w:t>Kesner</w:t>
      </w:r>
      <w:r w:rsidRPr="00C46631">
        <w:rPr>
          <w:rFonts w:ascii="Century Schoolbook" w:hAnsi="Century Schoolbook"/>
          <w:sz w:val="26"/>
          <w:szCs w:val="26"/>
        </w:rPr>
        <w:t>).)</w:t>
      </w:r>
    </w:p>
    <w:p w:rsidR="00C46631" w:rsidRPr="00C46631" w:rsidP="00AE64E8" w14:paraId="3FB3BB39" w14:textId="32CB93B3">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As our Supreme Court clarified in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11 Cal.5th at pp. 209, 218-219, answering that question obligates us to ask two further questions:  (1) Does the defendant owe the plaintiff a legal duty</w:t>
      </w:r>
      <w:r w:rsidR="0014628D">
        <w:rPr>
          <w:rFonts w:ascii="Century Schoolbook" w:hAnsi="Century Schoolbook"/>
          <w:sz w:val="26"/>
          <w:szCs w:val="26"/>
        </w:rPr>
        <w:t xml:space="preserve"> of</w:t>
      </w:r>
      <w:r w:rsidRPr="00C46631">
        <w:rPr>
          <w:rFonts w:ascii="Century Schoolbook" w:hAnsi="Century Schoolbook"/>
          <w:sz w:val="26"/>
          <w:szCs w:val="26"/>
        </w:rPr>
        <w:t xml:space="preserve"> care under traditional principles of tort law, and if so, (2) </w:t>
      </w:r>
      <w:r w:rsidR="00612318">
        <w:rPr>
          <w:rFonts w:ascii="Century Schoolbook" w:hAnsi="Century Schoolbook"/>
          <w:sz w:val="26"/>
          <w:szCs w:val="26"/>
        </w:rPr>
        <w:t>d</w:t>
      </w:r>
      <w:r w:rsidRPr="00C46631">
        <w:rPr>
          <w:rFonts w:ascii="Century Schoolbook" w:hAnsi="Century Schoolbook"/>
          <w:sz w:val="26"/>
          <w:szCs w:val="26"/>
        </w:rPr>
        <w:t xml:space="preserve">o the relevant public policy considerations set forth in </w:t>
      </w:r>
      <w:r w:rsidRPr="00C46631">
        <w:rPr>
          <w:rFonts w:ascii="Century Schoolbook" w:hAnsi="Century Schoolbook"/>
          <w:i/>
          <w:iCs/>
          <w:sz w:val="26"/>
          <w:szCs w:val="26"/>
        </w:rPr>
        <w:t>Rowland v. Christian</w:t>
      </w:r>
      <w:r w:rsidRPr="00C46631">
        <w:rPr>
          <w:rFonts w:ascii="Century Schoolbook" w:hAnsi="Century Schoolbook"/>
          <w:sz w:val="26"/>
          <w:szCs w:val="26"/>
        </w:rPr>
        <w:t xml:space="preserve"> (1968) 69 Cal.2d 108 (</w:t>
      </w:r>
      <w:r w:rsidRPr="00C46631">
        <w:rPr>
          <w:rFonts w:ascii="Century Schoolbook" w:hAnsi="Century Schoolbook"/>
          <w:i/>
          <w:iCs/>
          <w:sz w:val="26"/>
          <w:szCs w:val="26"/>
        </w:rPr>
        <w:t>Rowland</w:t>
      </w:r>
      <w:r w:rsidRPr="00C46631">
        <w:rPr>
          <w:rFonts w:ascii="Century Schoolbook" w:hAnsi="Century Schoolbook"/>
          <w:sz w:val="26"/>
          <w:szCs w:val="26"/>
        </w:rPr>
        <w:t>) nevertheless favor “limiting that duty”?</w:t>
      </w:r>
    </w:p>
    <w:p w:rsidR="00C46631" w:rsidRPr="00C46631" w:rsidP="00C46631" w14:paraId="6D2243E2" w14:textId="3706489E">
      <w:pPr>
        <w:spacing w:line="288" w:lineRule="auto"/>
        <w:rPr>
          <w:rFonts w:ascii="Century Schoolbook" w:hAnsi="Century Schoolbook"/>
          <w:i/>
          <w:iCs/>
          <w:sz w:val="26"/>
          <w:szCs w:val="26"/>
        </w:rPr>
      </w:pPr>
      <w:r w:rsidRPr="00C46631">
        <w:rPr>
          <w:rFonts w:ascii="Century Schoolbook" w:hAnsi="Century Schoolbook"/>
          <w:sz w:val="26"/>
          <w:szCs w:val="26"/>
        </w:rPr>
        <w:tab/>
      </w:r>
      <w:r>
        <w:rPr>
          <w:rFonts w:ascii="Century Schoolbook" w:hAnsi="Century Schoolbook"/>
          <w:sz w:val="26"/>
          <w:szCs w:val="26"/>
        </w:rPr>
        <w:tab/>
      </w:r>
      <w:r w:rsidRPr="00C46631">
        <w:rPr>
          <w:rFonts w:ascii="Century Schoolbook" w:hAnsi="Century Schoolbook"/>
          <w:sz w:val="26"/>
          <w:szCs w:val="26"/>
        </w:rPr>
        <w:t>1.</w:t>
      </w:r>
      <w:r w:rsidRPr="00C46631">
        <w:rPr>
          <w:rFonts w:ascii="Century Schoolbook" w:hAnsi="Century Schoolbook"/>
          <w:sz w:val="26"/>
          <w:szCs w:val="26"/>
        </w:rPr>
        <w:tab/>
      </w:r>
      <w:r w:rsidRPr="00C46631">
        <w:rPr>
          <w:rFonts w:ascii="Century Schoolbook" w:hAnsi="Century Schoolbook"/>
          <w:i/>
          <w:iCs/>
          <w:sz w:val="26"/>
          <w:szCs w:val="26"/>
        </w:rPr>
        <w:t>Duty, under traditional principles of tort law</w:t>
      </w:r>
    </w:p>
    <w:p w:rsidR="00C46631" w:rsidRPr="00C46631" w:rsidP="00C46631" w14:paraId="56932E8F"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California tort law rests on two general rules governing legal duties of care.  </w:t>
      </w:r>
    </w:p>
    <w:p w:rsidR="00C46631" w:rsidRPr="00C46631" w:rsidP="00C46631" w14:paraId="676E0EB8" w14:textId="6700DE4F">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The first rule is that a person has a legal duty to act reasonably and with due care under the circumstances </w:t>
      </w:r>
      <w:r w:rsidRPr="00C46631">
        <w:rPr>
          <w:rFonts w:ascii="Century Schoolbook" w:hAnsi="Century Schoolbook"/>
          <w:i/>
          <w:iCs/>
          <w:sz w:val="26"/>
          <w:szCs w:val="26"/>
        </w:rPr>
        <w:t xml:space="preserve">with </w:t>
      </w:r>
      <w:r w:rsidR="00AE64E8">
        <w:rPr>
          <w:rFonts w:ascii="Century Schoolbook" w:hAnsi="Century Schoolbook"/>
          <w:i/>
          <w:iCs/>
          <w:sz w:val="26"/>
          <w:szCs w:val="26"/>
        </w:rPr>
        <w:t xml:space="preserve">respect to </w:t>
      </w:r>
      <w:r w:rsidR="006048A1">
        <w:rPr>
          <w:rFonts w:ascii="Century Schoolbook" w:hAnsi="Century Schoolbook"/>
          <w:i/>
          <w:iCs/>
          <w:sz w:val="26"/>
          <w:szCs w:val="26"/>
        </w:rPr>
        <w:t>their</w:t>
      </w:r>
      <w:r w:rsidRPr="00C46631">
        <w:rPr>
          <w:rFonts w:ascii="Century Schoolbook" w:hAnsi="Century Schoolbook"/>
          <w:i/>
          <w:iCs/>
          <w:sz w:val="26"/>
          <w:szCs w:val="26"/>
        </w:rPr>
        <w:t xml:space="preserve"> own actions</w:t>
      </w:r>
      <w:r w:rsidRPr="00C46631">
        <w:rPr>
          <w:rFonts w:ascii="Century Schoolbook" w:hAnsi="Century Schoolbook"/>
          <w:sz w:val="26"/>
          <w:szCs w:val="26"/>
        </w:rPr>
        <w:t xml:space="preserve">.  (Civ. Code, § 1714, subd. (a); </w:t>
      </w:r>
      <w:r w:rsidRPr="00C46631">
        <w:rPr>
          <w:rFonts w:ascii="Century Schoolbook" w:hAnsi="Century Schoolbook"/>
          <w:i/>
          <w:iCs/>
          <w:sz w:val="26"/>
          <w:szCs w:val="26"/>
        </w:rPr>
        <w:t>Kuciemba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14 Cal.5th at p. 1016;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 xml:space="preserve">11 Cal.5th at pp. 213-214; </w:t>
      </w:r>
      <w:r w:rsidRPr="00C46631">
        <w:rPr>
          <w:rFonts w:ascii="Century Schoolbook" w:hAnsi="Century Schoolbook"/>
          <w:i/>
          <w:iCs/>
          <w:sz w:val="26"/>
          <w:szCs w:val="26"/>
        </w:rPr>
        <w:t xml:space="preserve">Southern California Gas Leak Cases </w:t>
      </w:r>
      <w:r w:rsidRPr="00C46631">
        <w:rPr>
          <w:rFonts w:ascii="Century Schoolbook" w:hAnsi="Century Schoolbook"/>
          <w:sz w:val="26"/>
          <w:szCs w:val="26"/>
        </w:rPr>
        <w:t>(2019) 7 Cal.5th 391, 398</w:t>
      </w:r>
      <w:r w:rsidR="00AE64E8">
        <w:rPr>
          <w:rFonts w:ascii="Century Schoolbook" w:hAnsi="Century Schoolbook"/>
          <w:sz w:val="26"/>
          <w:szCs w:val="26"/>
        </w:rPr>
        <w:t xml:space="preserve"> (</w:t>
      </w:r>
      <w:r w:rsidR="00AE64E8">
        <w:rPr>
          <w:rFonts w:ascii="Century Schoolbook" w:hAnsi="Century Schoolbook"/>
          <w:i/>
          <w:iCs/>
          <w:sz w:val="26"/>
          <w:szCs w:val="26"/>
        </w:rPr>
        <w:t>Gas Leak Cases</w:t>
      </w:r>
      <w:r w:rsidR="00AE64E8">
        <w:rPr>
          <w:rFonts w:ascii="Century Schoolbook" w:hAnsi="Century Schoolbook"/>
          <w:sz w:val="26"/>
          <w:szCs w:val="26"/>
        </w:rPr>
        <w:t>)</w:t>
      </w:r>
      <w:r w:rsidRPr="00C46631">
        <w:rPr>
          <w:rFonts w:ascii="Century Schoolbook" w:hAnsi="Century Schoolbook"/>
          <w:sz w:val="26"/>
          <w:szCs w:val="26"/>
        </w:rPr>
        <w:t xml:space="preserve">;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 619; </w:t>
      </w:r>
      <w:r w:rsidRPr="00C46631">
        <w:rPr>
          <w:rFonts w:ascii="Century Schoolbook" w:hAnsi="Century Schoolbook"/>
          <w:i/>
          <w:iCs/>
          <w:sz w:val="26"/>
          <w:szCs w:val="26"/>
        </w:rPr>
        <w:t>Kesner</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 Cal.5th at p</w:t>
      </w:r>
      <w:r w:rsidR="00F537D7">
        <w:rPr>
          <w:rFonts w:ascii="Century Schoolbook" w:hAnsi="Century Schoolbook"/>
          <w:sz w:val="26"/>
          <w:szCs w:val="26"/>
        </w:rPr>
        <w:t>p</w:t>
      </w:r>
      <w:r w:rsidRPr="00C46631">
        <w:rPr>
          <w:rFonts w:ascii="Century Schoolbook" w:hAnsi="Century Schoolbook"/>
          <w:sz w:val="26"/>
          <w:szCs w:val="26"/>
        </w:rPr>
        <w:t>. 1142</w:t>
      </w:r>
      <w:r w:rsidR="00F537D7">
        <w:rPr>
          <w:rFonts w:ascii="Century Schoolbook" w:hAnsi="Century Schoolbook"/>
          <w:sz w:val="26"/>
          <w:szCs w:val="26"/>
        </w:rPr>
        <w:t>-1143</w:t>
      </w:r>
      <w:r w:rsidRPr="00C46631">
        <w:rPr>
          <w:rFonts w:ascii="Century Schoolbook" w:hAnsi="Century Schoolbook"/>
          <w:sz w:val="26"/>
          <w:szCs w:val="26"/>
        </w:rPr>
        <w:t xml:space="preserve">; </w:t>
      </w:r>
      <w:r w:rsidRPr="00C46631">
        <w:rPr>
          <w:rFonts w:ascii="Century Schoolbook" w:hAnsi="Century Schoolbook"/>
          <w:i/>
          <w:iCs/>
          <w:sz w:val="26"/>
          <w:szCs w:val="26"/>
        </w:rPr>
        <w:t>Cabral v. Ralphs Grocery Co.</w:t>
      </w:r>
      <w:r w:rsidRPr="00C46631">
        <w:rPr>
          <w:rFonts w:ascii="Century Schoolbook" w:hAnsi="Century Schoolbook"/>
          <w:sz w:val="26"/>
          <w:szCs w:val="26"/>
        </w:rPr>
        <w:t xml:space="preserve"> (2011) 51 Cal.4th 764, 771</w:t>
      </w:r>
      <w:r w:rsidR="0014628D">
        <w:rPr>
          <w:rFonts w:ascii="Century Schoolbook" w:hAnsi="Century Schoolbook"/>
          <w:sz w:val="26"/>
          <w:szCs w:val="26"/>
        </w:rPr>
        <w:t xml:space="preserve"> (</w:t>
      </w:r>
      <w:r w:rsidR="0014628D">
        <w:rPr>
          <w:rFonts w:ascii="Century Schoolbook" w:hAnsi="Century Schoolbook"/>
          <w:i/>
          <w:iCs/>
          <w:sz w:val="26"/>
          <w:szCs w:val="26"/>
        </w:rPr>
        <w:t>Cabral</w:t>
      </w:r>
      <w:r w:rsidR="0014628D">
        <w:rPr>
          <w:rFonts w:ascii="Century Schoolbook" w:hAnsi="Century Schoolbook"/>
          <w:sz w:val="26"/>
          <w:szCs w:val="26"/>
        </w:rPr>
        <w:t>)</w:t>
      </w:r>
      <w:r w:rsidRPr="00C46631">
        <w:rPr>
          <w:rFonts w:ascii="Century Schoolbook" w:hAnsi="Century Schoolbook"/>
          <w:sz w:val="26"/>
          <w:szCs w:val="26"/>
        </w:rPr>
        <w:t xml:space="preserve">.)  In this situation, liability for breach of this duty rests upon </w:t>
      </w:r>
      <w:r w:rsidRPr="00D42E17">
        <w:rPr>
          <w:rFonts w:ascii="Century Schoolbook" w:hAnsi="Century Schoolbook"/>
          <w:sz w:val="26"/>
          <w:szCs w:val="26"/>
        </w:rPr>
        <w:t>that person’s</w:t>
      </w:r>
      <w:r w:rsidRPr="00C46631">
        <w:rPr>
          <w:rFonts w:ascii="Century Schoolbook" w:hAnsi="Century Schoolbook"/>
          <w:i/>
          <w:iCs/>
          <w:sz w:val="26"/>
          <w:szCs w:val="26"/>
        </w:rPr>
        <w:t xml:space="preserve"> affirmative conduct</w:t>
      </w:r>
      <w:r w:rsidRPr="00C46631">
        <w:rPr>
          <w:rFonts w:ascii="Century Schoolbook" w:hAnsi="Century Schoolbook"/>
          <w:sz w:val="26"/>
          <w:szCs w:val="26"/>
        </w:rPr>
        <w:t xml:space="preserve">; as a result, the duty itself is grounded in </w:t>
      </w:r>
      <w:r w:rsidRPr="00C46631">
        <w:rPr>
          <w:rFonts w:ascii="Century Schoolbook" w:hAnsi="Century Schoolbook"/>
          <w:i/>
          <w:iCs/>
          <w:sz w:val="26"/>
          <w:szCs w:val="26"/>
        </w:rPr>
        <w:t>misfeasance</w:t>
      </w:r>
      <w:r w:rsidRPr="00C46631">
        <w:rPr>
          <w:rFonts w:ascii="Century Schoolbook" w:hAnsi="Century Schoolbook"/>
          <w:sz w:val="26"/>
          <w:szCs w:val="26"/>
        </w:rPr>
        <w:t>.</w:t>
      </w:r>
      <w:r>
        <w:rPr>
          <w:rStyle w:val="FootnoteReference"/>
          <w:rFonts w:ascii="Century Schoolbook" w:hAnsi="Century Schoolbook"/>
          <w:b/>
          <w:bCs/>
          <w:szCs w:val="26"/>
        </w:rPr>
        <w:footnoteReference w:id="5"/>
      </w:r>
      <w:r w:rsidRPr="00C46631">
        <w:rPr>
          <w:rFonts w:ascii="Century Schoolbook" w:hAnsi="Century Schoolbook"/>
          <w:sz w:val="26"/>
          <w:szCs w:val="26"/>
        </w:rPr>
        <w:t xml:space="preserve">  (</w:t>
      </w:r>
      <w:r w:rsidRPr="00C46631">
        <w:rPr>
          <w:rFonts w:ascii="Century Schoolbook" w:hAnsi="Century Schoolbook"/>
          <w:i/>
          <w:iCs/>
          <w:sz w:val="26"/>
          <w:szCs w:val="26"/>
        </w:rPr>
        <w:t xml:space="preserve">Lugtu v. California Highway Patrol </w:t>
      </w:r>
      <w:r w:rsidRPr="00C46631">
        <w:rPr>
          <w:rFonts w:ascii="Century Schoolbook" w:hAnsi="Century Schoolbook"/>
          <w:sz w:val="26"/>
          <w:szCs w:val="26"/>
        </w:rPr>
        <w:t>(20</w:t>
      </w:r>
      <w:r w:rsidR="00492E8E">
        <w:rPr>
          <w:rFonts w:ascii="Century Schoolbook" w:hAnsi="Century Schoolbook"/>
          <w:sz w:val="26"/>
          <w:szCs w:val="26"/>
        </w:rPr>
        <w:t>01</w:t>
      </w:r>
      <w:r w:rsidRPr="00C46631">
        <w:rPr>
          <w:rFonts w:ascii="Century Schoolbook" w:hAnsi="Century Schoolbook"/>
          <w:sz w:val="26"/>
          <w:szCs w:val="26"/>
        </w:rPr>
        <w:t>) 26 Cal.4th 703, 716 (</w:t>
      </w:r>
      <w:r w:rsidRPr="00C46631">
        <w:rPr>
          <w:rFonts w:ascii="Century Schoolbook" w:hAnsi="Century Schoolbook"/>
          <w:i/>
          <w:iCs/>
          <w:sz w:val="26"/>
          <w:szCs w:val="26"/>
        </w:rPr>
        <w:t>Lugtu</w:t>
      </w:r>
      <w:r w:rsidRPr="00C46631">
        <w:rPr>
          <w:rFonts w:ascii="Century Schoolbook" w:hAnsi="Century Schoolbook"/>
          <w:sz w:val="26"/>
          <w:szCs w:val="26"/>
        </w:rPr>
        <w:t xml:space="preserve">) [“‘[m]isfeasance exists when the </w:t>
      </w:r>
      <w:r w:rsidRPr="00AE64E8">
        <w:rPr>
          <w:rFonts w:ascii="Century Schoolbook" w:hAnsi="Century Schoolbook"/>
          <w:i/>
          <w:iCs/>
          <w:sz w:val="26"/>
          <w:szCs w:val="26"/>
        </w:rPr>
        <w:t>defendant</w:t>
      </w:r>
      <w:r w:rsidRPr="00C46631">
        <w:rPr>
          <w:rFonts w:ascii="Century Schoolbook" w:hAnsi="Century Schoolbook"/>
          <w:sz w:val="26"/>
          <w:szCs w:val="26"/>
        </w:rPr>
        <w:t xml:space="preserve"> is responsible for making the plaintiff’s position</w:t>
      </w:r>
      <w:r w:rsidR="00C54D4E">
        <w:rPr>
          <w:rFonts w:ascii="Century Schoolbook" w:hAnsi="Century Schoolbook"/>
          <w:sz w:val="26"/>
          <w:szCs w:val="26"/>
        </w:rPr>
        <w:t xml:space="preserve"> worse</w:t>
      </w:r>
      <w:r w:rsidRPr="00C46631">
        <w:rPr>
          <w:rFonts w:ascii="Century Schoolbook" w:hAnsi="Century Schoolbook"/>
          <w:sz w:val="26"/>
          <w:szCs w:val="26"/>
        </w:rPr>
        <w:t>’”]</w:t>
      </w:r>
      <w:r w:rsidR="00AE64E8">
        <w:rPr>
          <w:rFonts w:ascii="Century Schoolbook" w:hAnsi="Century Schoolbook"/>
          <w:sz w:val="26"/>
          <w:szCs w:val="26"/>
        </w:rPr>
        <w:t>, italics added</w:t>
      </w:r>
      <w:r w:rsidRPr="00C46631">
        <w:rPr>
          <w:rFonts w:ascii="Century Schoolbook" w:hAnsi="Century Schoolbook"/>
          <w:sz w:val="26"/>
          <w:szCs w:val="26"/>
        </w:rPr>
        <w:t xml:space="preserve">.)  </w:t>
      </w:r>
    </w:p>
    <w:p w:rsidR="00C46631" w:rsidP="00C46631" w14:paraId="54F67D64" w14:textId="72E9D868">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The second rule is that a person has </w:t>
      </w:r>
      <w:r w:rsidRPr="00C46631">
        <w:rPr>
          <w:rFonts w:ascii="Century Schoolbook" w:hAnsi="Century Schoolbook"/>
          <w:i/>
          <w:iCs/>
          <w:sz w:val="26"/>
          <w:szCs w:val="26"/>
        </w:rPr>
        <w:t>no</w:t>
      </w:r>
      <w:r w:rsidRPr="00C46631">
        <w:rPr>
          <w:rFonts w:ascii="Century Schoolbook" w:hAnsi="Century Schoolbook"/>
          <w:sz w:val="26"/>
          <w:szCs w:val="26"/>
        </w:rPr>
        <w:t xml:space="preserve"> legal duty to protect others from a </w:t>
      </w:r>
      <w:r w:rsidRPr="00C46631">
        <w:rPr>
          <w:rFonts w:ascii="Century Schoolbook" w:hAnsi="Century Schoolbook"/>
          <w:i/>
          <w:iCs/>
          <w:sz w:val="26"/>
          <w:szCs w:val="26"/>
        </w:rPr>
        <w:t xml:space="preserve">third party’s </w:t>
      </w:r>
      <w:r w:rsidRPr="00C46631">
        <w:rPr>
          <w:rFonts w:ascii="Century Schoolbook" w:hAnsi="Century Schoolbook"/>
          <w:sz w:val="26"/>
          <w:szCs w:val="26"/>
        </w:rPr>
        <w:t>conduct.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pp. 619, 627; </w:t>
      </w:r>
      <w:r w:rsidRPr="00C46631">
        <w:rPr>
          <w:rFonts w:ascii="Century Schoolbook" w:hAnsi="Century Schoolbook"/>
          <w:i/>
          <w:iCs/>
          <w:sz w:val="26"/>
          <w:szCs w:val="26"/>
        </w:rPr>
        <w:t>Zelig</w:t>
      </w:r>
      <w:r w:rsidRPr="00D42E17" w:rsidR="00574E65">
        <w:rPr>
          <w:rFonts w:ascii="Century Schoolbook" w:hAnsi="Century Schoolbook"/>
          <w:sz w:val="26"/>
          <w:szCs w:val="26"/>
        </w:rPr>
        <w:t>,</w:t>
      </w:r>
      <w:r w:rsidRPr="00C46631">
        <w:rPr>
          <w:rFonts w:ascii="Century Schoolbook" w:hAnsi="Century Schoolbook"/>
          <w:i/>
          <w:iCs/>
          <w:sz w:val="26"/>
          <w:szCs w:val="26"/>
        </w:rPr>
        <w:t xml:space="preserve"> </w:t>
      </w:r>
      <w:r w:rsidRPr="00C46631" w:rsidR="00574E65">
        <w:rPr>
          <w:rFonts w:ascii="Century Schoolbook" w:hAnsi="Century Schoolbook"/>
          <w:i/>
          <w:iCs/>
          <w:sz w:val="26"/>
          <w:szCs w:val="26"/>
        </w:rPr>
        <w:t>supra</w:t>
      </w:r>
      <w:r w:rsidRPr="00C46631" w:rsidR="00574E65">
        <w:rPr>
          <w:rFonts w:ascii="Century Schoolbook" w:hAnsi="Century Schoolbook"/>
          <w:sz w:val="26"/>
          <w:szCs w:val="26"/>
        </w:rPr>
        <w:t xml:space="preserve">, </w:t>
      </w:r>
      <w:r w:rsidRPr="00C46631">
        <w:rPr>
          <w:rFonts w:ascii="Century Schoolbook" w:hAnsi="Century Schoolbook"/>
          <w:sz w:val="26"/>
          <w:szCs w:val="26"/>
        </w:rPr>
        <w:t xml:space="preserve">27 Cal.4th </w:t>
      </w:r>
      <w:r w:rsidR="00574E65">
        <w:rPr>
          <w:rFonts w:ascii="Century Schoolbook" w:hAnsi="Century Schoolbook"/>
          <w:sz w:val="26"/>
          <w:szCs w:val="26"/>
        </w:rPr>
        <w:t xml:space="preserve">at p. </w:t>
      </w:r>
      <w:r w:rsidRPr="00C46631">
        <w:rPr>
          <w:rFonts w:ascii="Century Schoolbook" w:hAnsi="Century Schoolbook"/>
          <w:sz w:val="26"/>
          <w:szCs w:val="26"/>
        </w:rPr>
        <w:t xml:space="preserve">1129; </w:t>
      </w:r>
      <w:r w:rsidRPr="00C46631">
        <w:rPr>
          <w:rFonts w:ascii="Century Schoolbook" w:hAnsi="Century Schoolbook"/>
          <w:i/>
          <w:iCs/>
          <w:sz w:val="26"/>
          <w:szCs w:val="26"/>
        </w:rPr>
        <w:t xml:space="preserve">Williams v. State of California </w:t>
      </w:r>
      <w:r w:rsidRPr="00C46631">
        <w:rPr>
          <w:rFonts w:ascii="Century Schoolbook" w:hAnsi="Century Schoolbook"/>
          <w:sz w:val="26"/>
          <w:szCs w:val="26"/>
        </w:rPr>
        <w:t xml:space="preserve">(1983) 34 Cal.3d 18, 23; </w:t>
      </w:r>
      <w:r w:rsidRPr="00C46631">
        <w:rPr>
          <w:rFonts w:ascii="Century Schoolbook" w:hAnsi="Century Schoolbook"/>
          <w:i/>
          <w:iCs/>
          <w:sz w:val="26"/>
          <w:szCs w:val="26"/>
        </w:rPr>
        <w:t xml:space="preserve">Weirum v. RKO General, Inc. </w:t>
      </w:r>
      <w:r w:rsidRPr="00C46631">
        <w:rPr>
          <w:rFonts w:ascii="Century Schoolbook" w:hAnsi="Century Schoolbook"/>
          <w:sz w:val="26"/>
          <w:szCs w:val="26"/>
        </w:rPr>
        <w:t xml:space="preserve">(1975) 15 Cal.3d 40, 49.)  </w:t>
      </w:r>
      <w:r w:rsidR="00DF503D">
        <w:rPr>
          <w:rFonts w:ascii="Century Schoolbook" w:hAnsi="Century Schoolbook"/>
          <w:sz w:val="26"/>
          <w:szCs w:val="26"/>
        </w:rPr>
        <w:t>L</w:t>
      </w:r>
      <w:r w:rsidRPr="00C46631">
        <w:rPr>
          <w:rFonts w:ascii="Century Schoolbook" w:hAnsi="Century Schoolbook"/>
          <w:sz w:val="26"/>
          <w:szCs w:val="26"/>
        </w:rPr>
        <w:t xml:space="preserve">iability for breach of this duty would rest upon that person’s </w:t>
      </w:r>
      <w:r w:rsidRPr="00C46631">
        <w:rPr>
          <w:rFonts w:ascii="Century Schoolbook" w:hAnsi="Century Schoolbook"/>
          <w:i/>
          <w:iCs/>
          <w:sz w:val="26"/>
          <w:szCs w:val="26"/>
        </w:rPr>
        <w:t>failure to take action</w:t>
      </w:r>
      <w:r w:rsidRPr="00C46631">
        <w:rPr>
          <w:rFonts w:ascii="Century Schoolbook" w:hAnsi="Century Schoolbook"/>
          <w:sz w:val="26"/>
          <w:szCs w:val="26"/>
        </w:rPr>
        <w:t xml:space="preserve"> </w:t>
      </w:r>
      <w:r w:rsidRPr="00C46631">
        <w:rPr>
          <w:rFonts w:ascii="Century Schoolbook" w:hAnsi="Century Schoolbook"/>
          <w:i/>
          <w:iCs/>
          <w:sz w:val="26"/>
          <w:szCs w:val="26"/>
        </w:rPr>
        <w:t>to protect the plaintiff</w:t>
      </w:r>
      <w:r w:rsidRPr="00C46631">
        <w:rPr>
          <w:rFonts w:ascii="Century Schoolbook" w:hAnsi="Century Schoolbook"/>
          <w:sz w:val="26"/>
          <w:szCs w:val="26"/>
        </w:rPr>
        <w:t xml:space="preserve">; as a result, any duty would be grounded in </w:t>
      </w:r>
      <w:r w:rsidRPr="00C46631">
        <w:rPr>
          <w:rFonts w:ascii="Century Schoolbook" w:hAnsi="Century Schoolbook"/>
          <w:i/>
          <w:iCs/>
          <w:sz w:val="26"/>
          <w:szCs w:val="26"/>
        </w:rPr>
        <w:t>nonfeasance</w:t>
      </w:r>
      <w:r w:rsidRPr="00C46631">
        <w:rPr>
          <w:rFonts w:ascii="Century Schoolbook" w:hAnsi="Century Schoolbook"/>
          <w:sz w:val="26"/>
          <w:szCs w:val="26"/>
        </w:rPr>
        <w:t>.  (</w:t>
      </w:r>
      <w:r w:rsidRPr="00C46631">
        <w:rPr>
          <w:rFonts w:ascii="Century Schoolbook" w:hAnsi="Century Schoolbook"/>
          <w:i/>
          <w:iCs/>
          <w:sz w:val="26"/>
          <w:szCs w:val="26"/>
        </w:rPr>
        <w:t>Lugtu</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26 Cal.4th at p. 716 [“‘nonfeasance is found when the defendant has failed to aid plaintiff through beneficial intervention’”]; </w:t>
      </w:r>
      <w:r w:rsidRPr="00C46631">
        <w:rPr>
          <w:rFonts w:ascii="Century Schoolbook" w:hAnsi="Century Schoolbook"/>
          <w:i/>
          <w:iCs/>
          <w:sz w:val="26"/>
          <w:szCs w:val="26"/>
        </w:rPr>
        <w:t>Brown</w:t>
      </w:r>
      <w:r w:rsidRPr="00C46631">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11 Cal.5th at pp. 214-215.)</w:t>
      </w:r>
    </w:p>
    <w:p w:rsidR="00C46631" w:rsidRPr="00C46631" w:rsidP="00D73A7E" w14:paraId="656E6DC3" w14:textId="436FB027">
      <w:pPr>
        <w:spacing w:line="288" w:lineRule="auto"/>
        <w:ind w:firstLine="720"/>
        <w:rPr>
          <w:rFonts w:ascii="Century Schoolbook" w:hAnsi="Century Schoolbook"/>
          <w:sz w:val="26"/>
          <w:szCs w:val="26"/>
        </w:rPr>
      </w:pPr>
      <w:r>
        <w:rPr>
          <w:rFonts w:ascii="Century Schoolbook" w:hAnsi="Century Schoolbook"/>
          <w:sz w:val="26"/>
          <w:szCs w:val="26"/>
        </w:rPr>
        <w:t xml:space="preserve">This </w:t>
      </w:r>
      <w:r w:rsidRPr="00C46631">
        <w:rPr>
          <w:rFonts w:ascii="Century Schoolbook" w:hAnsi="Century Schoolbook"/>
          <w:sz w:val="26"/>
          <w:szCs w:val="26"/>
        </w:rPr>
        <w:t xml:space="preserve">second, no-duty-to-protect rule </w:t>
      </w:r>
      <w:r>
        <w:rPr>
          <w:rFonts w:ascii="Century Schoolbook" w:hAnsi="Century Schoolbook"/>
          <w:sz w:val="26"/>
          <w:szCs w:val="26"/>
        </w:rPr>
        <w:t xml:space="preserve">is not without exception, although the exception pertinent to this case is a narrow one.  </w:t>
      </w:r>
      <w:r w:rsidRPr="00C46631">
        <w:rPr>
          <w:rFonts w:ascii="Century Schoolbook" w:hAnsi="Century Schoolbook"/>
          <w:sz w:val="26"/>
          <w:szCs w:val="26"/>
        </w:rPr>
        <w:t xml:space="preserve">Unlike the legal duty not to engage in </w:t>
      </w:r>
      <w:r w:rsidRPr="00C46631">
        <w:rPr>
          <w:rFonts w:ascii="Century Schoolbook" w:hAnsi="Century Schoolbook"/>
          <w:i/>
          <w:iCs/>
          <w:sz w:val="26"/>
          <w:szCs w:val="26"/>
        </w:rPr>
        <w:t>misfeasance</w:t>
      </w:r>
      <w:r w:rsidRPr="00C46631">
        <w:rPr>
          <w:rFonts w:ascii="Century Schoolbook" w:hAnsi="Century Schoolbook"/>
          <w:sz w:val="26"/>
          <w:szCs w:val="26"/>
        </w:rPr>
        <w:t xml:space="preserve">, which runs to </w:t>
      </w:r>
      <w:r w:rsidRPr="00C46631">
        <w:rPr>
          <w:rFonts w:ascii="Century Schoolbook" w:hAnsi="Century Schoolbook"/>
          <w:i/>
          <w:iCs/>
          <w:sz w:val="26"/>
          <w:szCs w:val="26"/>
        </w:rPr>
        <w:t>anyone whose injuries are proximately caused by a breach of that duty</w:t>
      </w:r>
      <w:r w:rsidRPr="00C46631">
        <w:rPr>
          <w:rFonts w:ascii="Century Schoolbook" w:hAnsi="Century Schoolbook"/>
          <w:sz w:val="26"/>
          <w:szCs w:val="26"/>
        </w:rPr>
        <w:t xml:space="preserve">, a legal duty </w:t>
      </w:r>
      <w:r w:rsidRPr="00C46631" w:rsidR="0014628D">
        <w:rPr>
          <w:rFonts w:ascii="Century Schoolbook" w:hAnsi="Century Schoolbook"/>
          <w:sz w:val="26"/>
          <w:szCs w:val="26"/>
        </w:rPr>
        <w:t>not</w:t>
      </w:r>
      <w:r w:rsidR="00AD6685">
        <w:rPr>
          <w:rFonts w:ascii="Century Schoolbook" w:hAnsi="Century Schoolbook"/>
          <w:sz w:val="26"/>
          <w:szCs w:val="26"/>
        </w:rPr>
        <w:t xml:space="preserve"> to</w:t>
      </w:r>
      <w:r w:rsidRPr="00C46631" w:rsidR="0014628D">
        <w:rPr>
          <w:rFonts w:ascii="Century Schoolbook" w:hAnsi="Century Schoolbook"/>
          <w:sz w:val="26"/>
          <w:szCs w:val="26"/>
        </w:rPr>
        <w:t xml:space="preserve"> </w:t>
      </w:r>
      <w:r w:rsidRPr="00C46631">
        <w:rPr>
          <w:rFonts w:ascii="Century Schoolbook" w:hAnsi="Century Schoolbook"/>
          <w:sz w:val="26"/>
          <w:szCs w:val="26"/>
        </w:rPr>
        <w:t xml:space="preserve">engage in </w:t>
      </w:r>
      <w:r w:rsidRPr="00C46631">
        <w:rPr>
          <w:rFonts w:ascii="Century Schoolbook" w:hAnsi="Century Schoolbook"/>
          <w:i/>
          <w:iCs/>
          <w:sz w:val="26"/>
          <w:szCs w:val="26"/>
        </w:rPr>
        <w:t>nonfeasance</w:t>
      </w:r>
      <w:r w:rsidRPr="00C46631">
        <w:rPr>
          <w:rFonts w:ascii="Century Schoolbook" w:hAnsi="Century Schoolbook"/>
          <w:sz w:val="26"/>
          <w:szCs w:val="26"/>
        </w:rPr>
        <w:t xml:space="preserve"> is actionable only if </w:t>
      </w:r>
      <w:r>
        <w:rPr>
          <w:rFonts w:ascii="Century Schoolbook" w:hAnsi="Century Schoolbook"/>
          <w:sz w:val="26"/>
          <w:szCs w:val="26"/>
        </w:rPr>
        <w:t>the person being sued (the defendant) (1) has a “special relationship” with a specific individual</w:t>
      </w:r>
      <w:r w:rsidR="00612318">
        <w:rPr>
          <w:rFonts w:ascii="Century Schoolbook" w:hAnsi="Century Schoolbook"/>
          <w:sz w:val="26"/>
          <w:szCs w:val="26"/>
        </w:rPr>
        <w:t>;</w:t>
      </w:r>
      <w:r>
        <w:rPr>
          <w:rFonts w:ascii="Century Schoolbook" w:hAnsi="Century Schoolbook"/>
          <w:sz w:val="26"/>
          <w:szCs w:val="26"/>
        </w:rPr>
        <w:t xml:space="preserve"> and (2) that special relationship gives rise to a legal duty of care running </w:t>
      </w:r>
      <w:r w:rsidRPr="00C46631">
        <w:rPr>
          <w:rFonts w:ascii="Century Schoolbook" w:hAnsi="Century Schoolbook"/>
          <w:i/>
          <w:iCs/>
          <w:sz w:val="26"/>
          <w:szCs w:val="26"/>
        </w:rPr>
        <w:t xml:space="preserve">to the plaintiff </w:t>
      </w:r>
      <w:r w:rsidRPr="00D42E17">
        <w:rPr>
          <w:rFonts w:ascii="Century Schoolbook" w:hAnsi="Century Schoolbook"/>
          <w:sz w:val="26"/>
          <w:szCs w:val="26"/>
        </w:rPr>
        <w:t>(or, more broadly,</w:t>
      </w:r>
      <w:r w:rsidRPr="00C46631">
        <w:rPr>
          <w:rFonts w:ascii="Century Schoolbook" w:hAnsi="Century Schoolbook"/>
          <w:i/>
          <w:iCs/>
          <w:sz w:val="26"/>
          <w:szCs w:val="26"/>
        </w:rPr>
        <w:t xml:space="preserve"> to the class of persons to which the plaintiff belongs</w:t>
      </w:r>
      <w:r w:rsidRPr="00D42E17">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Zelig</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xml:space="preserve">, 27 Cal.4th at p. 1129; </w:t>
      </w:r>
      <w:r w:rsidRPr="00C46631">
        <w:rPr>
          <w:rFonts w:ascii="Century Schoolbook" w:hAnsi="Century Schoolbook"/>
          <w:i/>
          <w:iCs/>
          <w:sz w:val="26"/>
          <w:szCs w:val="26"/>
        </w:rPr>
        <w:t>Davidson v. City of Westminster</w:t>
      </w:r>
      <w:r w:rsidRPr="00C46631">
        <w:rPr>
          <w:rFonts w:ascii="Century Schoolbook" w:hAnsi="Century Schoolbook"/>
          <w:sz w:val="26"/>
          <w:szCs w:val="26"/>
        </w:rPr>
        <w:t xml:space="preserve"> (198</w:t>
      </w:r>
      <w:r w:rsidR="003563F7">
        <w:rPr>
          <w:rFonts w:ascii="Century Schoolbook" w:hAnsi="Century Schoolbook"/>
          <w:sz w:val="26"/>
          <w:szCs w:val="26"/>
        </w:rPr>
        <w:t>2</w:t>
      </w:r>
      <w:r w:rsidRPr="00C46631">
        <w:rPr>
          <w:rFonts w:ascii="Century Schoolbook" w:hAnsi="Century Schoolbook"/>
          <w:sz w:val="26"/>
          <w:szCs w:val="26"/>
        </w:rPr>
        <w:t xml:space="preserve">) 32 Cal.3d 197, 203; </w:t>
      </w:r>
      <w:r w:rsidRPr="00C46631">
        <w:rPr>
          <w:rFonts w:ascii="Century Schoolbook" w:hAnsi="Century Schoolbook"/>
          <w:i/>
          <w:iCs/>
          <w:sz w:val="26"/>
          <w:szCs w:val="26"/>
        </w:rPr>
        <w:t>Tarasoff v. Regents of Univ</w:t>
      </w:r>
      <w:r w:rsidR="00944D45">
        <w:rPr>
          <w:rFonts w:ascii="Century Schoolbook" w:hAnsi="Century Schoolbook"/>
          <w:i/>
          <w:iCs/>
          <w:sz w:val="26"/>
          <w:szCs w:val="26"/>
        </w:rPr>
        <w:t>ersity</w:t>
      </w:r>
      <w:r w:rsidRPr="00C46631">
        <w:rPr>
          <w:rFonts w:ascii="Century Schoolbook" w:hAnsi="Century Schoolbook"/>
          <w:i/>
          <w:iCs/>
          <w:sz w:val="26"/>
          <w:szCs w:val="26"/>
        </w:rPr>
        <w:t xml:space="preserve"> of California </w:t>
      </w:r>
      <w:r w:rsidRPr="00C46631">
        <w:rPr>
          <w:rFonts w:ascii="Century Schoolbook" w:hAnsi="Century Schoolbook"/>
          <w:sz w:val="26"/>
          <w:szCs w:val="26"/>
        </w:rPr>
        <w:t>(1976) 17 Cal.3d 425, 435, superseded on other grounds by Civ. Code § 43.92</w:t>
      </w:r>
      <w:r>
        <w:rPr>
          <w:rFonts w:ascii="Century Schoolbook" w:hAnsi="Century Schoolbook"/>
          <w:sz w:val="26"/>
          <w:szCs w:val="26"/>
        </w:rPr>
        <w:t xml:space="preserve">; </w:t>
      </w:r>
      <w:r w:rsidRPr="00C46631">
        <w:rPr>
          <w:rFonts w:ascii="Century Schoolbook" w:hAnsi="Century Schoolbook"/>
          <w:i/>
          <w:iCs/>
          <w:sz w:val="26"/>
          <w:szCs w:val="26"/>
        </w:rPr>
        <w:t>Gas Leak Cases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7 Cal.5th at pp. 397-398 [defendant must owe a duty to</w:t>
      </w:r>
      <w:r w:rsidRPr="00C46631" w:rsidR="00AD2181">
        <w:rPr>
          <w:rFonts w:ascii="Century Schoolbook" w:hAnsi="Century Schoolbook"/>
          <w:sz w:val="26"/>
          <w:szCs w:val="26"/>
        </w:rPr>
        <w:t xml:space="preserve"> </w:t>
      </w:r>
      <w:r w:rsidRPr="00C46631">
        <w:rPr>
          <w:rFonts w:ascii="Century Schoolbook" w:hAnsi="Century Schoolbook"/>
          <w:sz w:val="26"/>
          <w:szCs w:val="26"/>
        </w:rPr>
        <w:t>“</w:t>
      </w:r>
      <w:r w:rsidR="00AD2181">
        <w:rPr>
          <w:rFonts w:ascii="Century Schoolbook" w:hAnsi="Century Schoolbook"/>
          <w:sz w:val="26"/>
          <w:szCs w:val="26"/>
        </w:rPr>
        <w:t>‘“</w:t>
      </w:r>
      <w:r w:rsidR="00590B9C">
        <w:rPr>
          <w:rFonts w:ascii="Century Schoolbook" w:hAnsi="Century Schoolbook"/>
          <w:sz w:val="26"/>
          <w:szCs w:val="26"/>
        </w:rPr>
        <w:t xml:space="preserve">an </w:t>
      </w:r>
      <w:r w:rsidRPr="00C46631">
        <w:rPr>
          <w:rFonts w:ascii="Century Schoolbook" w:hAnsi="Century Schoolbook"/>
          <w:sz w:val="26"/>
          <w:szCs w:val="26"/>
        </w:rPr>
        <w:t xml:space="preserve">interest of </w:t>
      </w:r>
      <w:r w:rsidR="00AD2181">
        <w:rPr>
          <w:rFonts w:ascii="Century Schoolbook" w:hAnsi="Century Schoolbook"/>
          <w:sz w:val="26"/>
          <w:szCs w:val="26"/>
        </w:rPr>
        <w:t>[</w:t>
      </w:r>
      <w:r w:rsidRPr="00C46631">
        <w:rPr>
          <w:rFonts w:ascii="Century Schoolbook" w:hAnsi="Century Schoolbook"/>
          <w:sz w:val="26"/>
          <w:szCs w:val="26"/>
        </w:rPr>
        <w:t>the plaintiff]</w:t>
      </w:r>
      <w:r w:rsidR="00AD2181">
        <w:rPr>
          <w:rFonts w:ascii="Century Schoolbook" w:hAnsi="Century Schoolbook"/>
          <w:sz w:val="26"/>
          <w:szCs w:val="26"/>
        </w:rPr>
        <w:t>”’</w:t>
      </w:r>
      <w:r w:rsidRPr="00C46631">
        <w:rPr>
          <w:rFonts w:ascii="Century Schoolbook" w:hAnsi="Century Schoolbook"/>
          <w:sz w:val="26"/>
          <w:szCs w:val="26"/>
        </w:rPr>
        <w:t xml:space="preserve">”]; </w:t>
      </w:r>
      <w:r w:rsidRPr="00C46631">
        <w:rPr>
          <w:rFonts w:ascii="Century Schoolbook" w:hAnsi="Century Schoolbook"/>
          <w:i/>
          <w:iCs/>
          <w:sz w:val="26"/>
          <w:szCs w:val="26"/>
        </w:rPr>
        <w:t>Brown</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11 Cal.5th at p. 213 [same]</w:t>
      </w:r>
      <w:r>
        <w:rPr>
          <w:rFonts w:ascii="Century Schoolbook" w:hAnsi="Century Schoolbook"/>
          <w:sz w:val="26"/>
          <w:szCs w:val="26"/>
        </w:rPr>
        <w:t xml:space="preserve">; </w:t>
      </w:r>
      <w:r w:rsidRPr="00C46631">
        <w:rPr>
          <w:rFonts w:ascii="Century Schoolbook" w:hAnsi="Century Schoolbook"/>
          <w:i/>
          <w:iCs/>
          <w:sz w:val="26"/>
          <w:szCs w:val="26"/>
        </w:rPr>
        <w:t xml:space="preserve">Musgrove v. Silver </w:t>
      </w:r>
      <w:r w:rsidRPr="00C46631">
        <w:rPr>
          <w:rFonts w:ascii="Century Schoolbook" w:hAnsi="Century Schoolbook"/>
          <w:sz w:val="26"/>
          <w:szCs w:val="26"/>
        </w:rPr>
        <w:t>(2022) 82 Cal.App.5th 694, 706 (</w:t>
      </w:r>
      <w:r w:rsidRPr="00C46631">
        <w:rPr>
          <w:rFonts w:ascii="Century Schoolbook" w:hAnsi="Century Schoolbook"/>
          <w:i/>
          <w:iCs/>
          <w:sz w:val="26"/>
          <w:szCs w:val="26"/>
        </w:rPr>
        <w:t>Musgrove</w:t>
      </w:r>
      <w:r w:rsidRPr="00C46631">
        <w:rPr>
          <w:rFonts w:ascii="Century Schoolbook" w:hAnsi="Century Schoolbook"/>
          <w:sz w:val="26"/>
          <w:szCs w:val="26"/>
        </w:rPr>
        <w:t xml:space="preserve">); </w:t>
      </w:r>
      <w:r w:rsidRPr="00C46631">
        <w:rPr>
          <w:rFonts w:ascii="Century Schoolbook" w:hAnsi="Century Schoolbook"/>
          <w:i/>
          <w:iCs/>
          <w:sz w:val="26"/>
          <w:szCs w:val="26"/>
        </w:rPr>
        <w:t>Iss</w:t>
      </w:r>
      <w:r w:rsidR="00C330FF">
        <w:rPr>
          <w:rFonts w:ascii="Century Schoolbook" w:hAnsi="Century Schoolbook"/>
          <w:i/>
          <w:iCs/>
          <w:sz w:val="26"/>
          <w:szCs w:val="26"/>
        </w:rPr>
        <w:t>a</w:t>
      </w:r>
      <w:r w:rsidRPr="00C46631">
        <w:rPr>
          <w:rFonts w:ascii="Century Schoolbook" w:hAnsi="Century Schoolbook"/>
          <w:i/>
          <w:iCs/>
          <w:sz w:val="26"/>
          <w:szCs w:val="26"/>
        </w:rPr>
        <w:t>khani v. Shadow Glen Homeowners Ass</w:t>
      </w:r>
      <w:r w:rsidR="00D241E5">
        <w:rPr>
          <w:rFonts w:ascii="Century Schoolbook" w:hAnsi="Century Schoolbook"/>
          <w:i/>
          <w:iCs/>
          <w:sz w:val="26"/>
          <w:szCs w:val="26"/>
        </w:rPr>
        <w:t>n</w:t>
      </w:r>
      <w:r w:rsidRPr="00C46631">
        <w:rPr>
          <w:rFonts w:ascii="Century Schoolbook" w:hAnsi="Century Schoolbook"/>
          <w:i/>
          <w:iCs/>
          <w:sz w:val="26"/>
          <w:szCs w:val="26"/>
        </w:rPr>
        <w:t>., Inc.</w:t>
      </w:r>
      <w:r w:rsidRPr="00C46631">
        <w:rPr>
          <w:rFonts w:ascii="Century Schoolbook" w:hAnsi="Century Schoolbook"/>
          <w:sz w:val="26"/>
          <w:szCs w:val="26"/>
        </w:rPr>
        <w:t xml:space="preserve"> (2021) 63 Cal.App.5th 917, 931 (</w:t>
      </w:r>
      <w:r w:rsidRPr="00C46631">
        <w:rPr>
          <w:rFonts w:ascii="Century Schoolbook" w:hAnsi="Century Schoolbook"/>
          <w:i/>
          <w:iCs/>
          <w:sz w:val="26"/>
          <w:szCs w:val="26"/>
        </w:rPr>
        <w:t>Iss</w:t>
      </w:r>
      <w:r w:rsidR="00C330FF">
        <w:rPr>
          <w:rFonts w:ascii="Century Schoolbook" w:hAnsi="Century Schoolbook"/>
          <w:i/>
          <w:iCs/>
          <w:sz w:val="26"/>
          <w:szCs w:val="26"/>
        </w:rPr>
        <w:t>a</w:t>
      </w:r>
      <w:r w:rsidRPr="00C46631">
        <w:rPr>
          <w:rFonts w:ascii="Century Schoolbook" w:hAnsi="Century Schoolbook"/>
          <w:i/>
          <w:iCs/>
          <w:sz w:val="26"/>
          <w:szCs w:val="26"/>
        </w:rPr>
        <w:t>khani</w:t>
      </w:r>
      <w:r w:rsidRPr="00C46631">
        <w:rPr>
          <w:rFonts w:ascii="Century Schoolbook" w:hAnsi="Century Schoolbook"/>
          <w:sz w:val="26"/>
          <w:szCs w:val="26"/>
        </w:rPr>
        <w:t>);</w:t>
      </w:r>
      <w:r>
        <w:rPr>
          <w:rFonts w:ascii="Century Schoolbook" w:hAnsi="Century Schoolbook"/>
          <w:sz w:val="26"/>
          <w:szCs w:val="26"/>
        </w:rPr>
        <w:t xml:space="preserve"> </w:t>
      </w:r>
      <w:r w:rsidRPr="00C46631">
        <w:rPr>
          <w:rFonts w:ascii="Century Schoolbook" w:hAnsi="Century Schoolbook"/>
          <w:i/>
          <w:iCs/>
          <w:sz w:val="26"/>
          <w:szCs w:val="26"/>
        </w:rPr>
        <w:t>Regents</w:t>
      </w:r>
      <w:r w:rsidRPr="00C46631">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4 Cal.5th at p. 621 [“a special relationship is limited to specific individuals”].)</w:t>
      </w:r>
      <w:r>
        <w:rPr>
          <w:rFonts w:ascii="Century Schoolbook" w:hAnsi="Century Schoolbook"/>
          <w:sz w:val="26"/>
          <w:szCs w:val="26"/>
        </w:rPr>
        <w:t xml:space="preserve">  More specifically, a defendant may be liable to a plaintiff for </w:t>
      </w:r>
      <w:r w:rsidR="00C330FF">
        <w:rPr>
          <w:rFonts w:ascii="Century Schoolbook" w:hAnsi="Century Schoolbook"/>
          <w:sz w:val="26"/>
          <w:szCs w:val="26"/>
        </w:rPr>
        <w:t xml:space="preserve">the defendant’s </w:t>
      </w:r>
      <w:r>
        <w:rPr>
          <w:rFonts w:ascii="Century Schoolbook" w:hAnsi="Century Schoolbook"/>
          <w:sz w:val="26"/>
          <w:szCs w:val="26"/>
        </w:rPr>
        <w:t xml:space="preserve">nonfeasance in the following two scenarios:  </w:t>
      </w:r>
    </w:p>
    <w:p w:rsidR="00C46631" w:rsidRPr="00C46631" w:rsidP="00C46631" w14:paraId="5875CE5F" w14:textId="7F8F5329">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00D73A7E">
        <w:rPr>
          <w:rFonts w:ascii="Century Schoolbook" w:hAnsi="Century Schoolbook"/>
          <w:i/>
          <w:iCs/>
          <w:sz w:val="26"/>
          <w:szCs w:val="26"/>
        </w:rPr>
        <w:t>When the defendant has a s</w:t>
      </w:r>
      <w:r w:rsidRPr="00C46631">
        <w:rPr>
          <w:rFonts w:ascii="Century Schoolbook" w:hAnsi="Century Schoolbook"/>
          <w:i/>
          <w:iCs/>
          <w:sz w:val="26"/>
          <w:szCs w:val="26"/>
        </w:rPr>
        <w:t xml:space="preserve">pecial relationship with </w:t>
      </w:r>
      <w:r w:rsidR="00D73A7E">
        <w:rPr>
          <w:rFonts w:ascii="Century Schoolbook" w:hAnsi="Century Schoolbook"/>
          <w:i/>
          <w:iCs/>
          <w:sz w:val="26"/>
          <w:szCs w:val="26"/>
        </w:rPr>
        <w:t xml:space="preserve">the </w:t>
      </w:r>
      <w:r w:rsidRPr="00C46631">
        <w:rPr>
          <w:rFonts w:ascii="Century Schoolbook" w:hAnsi="Century Schoolbook"/>
          <w:i/>
          <w:iCs/>
          <w:sz w:val="26"/>
          <w:szCs w:val="26"/>
        </w:rPr>
        <w:t>third party</w:t>
      </w:r>
      <w:r w:rsidR="00D73A7E">
        <w:rPr>
          <w:rFonts w:ascii="Century Schoolbook" w:hAnsi="Century Schoolbook"/>
          <w:i/>
          <w:iCs/>
          <w:sz w:val="26"/>
          <w:szCs w:val="26"/>
        </w:rPr>
        <w:t xml:space="preserve"> who causes harm</w:t>
      </w:r>
      <w:r w:rsidRPr="00C46631">
        <w:rPr>
          <w:rFonts w:ascii="Century Schoolbook" w:hAnsi="Century Schoolbook"/>
          <w:sz w:val="26"/>
          <w:szCs w:val="26"/>
        </w:rPr>
        <w:t xml:space="preserve">.  A defendant owes a legal duty of care to the plaintiff </w:t>
      </w:r>
      <w:r w:rsidRPr="00C46631">
        <w:rPr>
          <w:rFonts w:ascii="Century Schoolbook" w:hAnsi="Century Schoolbook"/>
          <w:i/>
          <w:iCs/>
          <w:sz w:val="26"/>
          <w:szCs w:val="26"/>
        </w:rPr>
        <w:t xml:space="preserve">if </w:t>
      </w:r>
      <w:r w:rsidRPr="00C46631">
        <w:rPr>
          <w:rFonts w:ascii="Century Schoolbook" w:hAnsi="Century Schoolbook"/>
          <w:sz w:val="26"/>
          <w:szCs w:val="26"/>
        </w:rPr>
        <w:t xml:space="preserve">(1) </w:t>
      </w:r>
      <w:r w:rsidR="00D73A7E">
        <w:rPr>
          <w:rFonts w:ascii="Century Schoolbook" w:hAnsi="Century Schoolbook"/>
          <w:sz w:val="26"/>
          <w:szCs w:val="26"/>
        </w:rPr>
        <w:t>the defendant</w:t>
      </w:r>
      <w:r w:rsidRPr="00C46631">
        <w:rPr>
          <w:rFonts w:ascii="Century Schoolbook" w:hAnsi="Century Schoolbook"/>
          <w:sz w:val="26"/>
          <w:szCs w:val="26"/>
        </w:rPr>
        <w:t xml:space="preserve"> has a “special relationship” with </w:t>
      </w:r>
      <w:r w:rsidR="00C330FF">
        <w:rPr>
          <w:rFonts w:ascii="Century Schoolbook" w:hAnsi="Century Schoolbook"/>
          <w:sz w:val="26"/>
          <w:szCs w:val="26"/>
        </w:rPr>
        <w:t>a</w:t>
      </w:r>
      <w:r w:rsidRPr="00C46631" w:rsidR="00C330FF">
        <w:rPr>
          <w:rFonts w:ascii="Century Schoolbook" w:hAnsi="Century Schoolbook"/>
          <w:sz w:val="26"/>
          <w:szCs w:val="26"/>
        </w:rPr>
        <w:t xml:space="preserve"> </w:t>
      </w:r>
      <w:r w:rsidRPr="00C46631">
        <w:rPr>
          <w:rFonts w:ascii="Century Schoolbook" w:hAnsi="Century Schoolbook"/>
          <w:sz w:val="26"/>
          <w:szCs w:val="26"/>
        </w:rPr>
        <w:t xml:space="preserve">third party who injures the plaintiff, and (2) that special relationship entails a duty to control the </w:t>
      </w:r>
      <w:r w:rsidR="00D73A7E">
        <w:rPr>
          <w:rFonts w:ascii="Century Schoolbook" w:hAnsi="Century Schoolbook"/>
          <w:sz w:val="26"/>
          <w:szCs w:val="26"/>
        </w:rPr>
        <w:t xml:space="preserve">third party’s </w:t>
      </w:r>
      <w:r w:rsidRPr="00C46631">
        <w:rPr>
          <w:rFonts w:ascii="Century Schoolbook" w:hAnsi="Century Schoolbook"/>
          <w:sz w:val="26"/>
          <w:szCs w:val="26"/>
        </w:rPr>
        <w:t xml:space="preserve">conduct </w:t>
      </w:r>
      <w:r w:rsidR="00D73A7E">
        <w:rPr>
          <w:rFonts w:ascii="Century Schoolbook" w:hAnsi="Century Schoolbook"/>
          <w:sz w:val="26"/>
          <w:szCs w:val="26"/>
        </w:rPr>
        <w:t>for the benefit of the plaintiff or the class of persons to wh</w:t>
      </w:r>
      <w:r w:rsidR="000E3A42">
        <w:rPr>
          <w:rFonts w:ascii="Century Schoolbook" w:hAnsi="Century Schoolbook"/>
          <w:sz w:val="26"/>
          <w:szCs w:val="26"/>
        </w:rPr>
        <w:t>ich</w:t>
      </w:r>
      <w:r w:rsidR="00D73A7E">
        <w:rPr>
          <w:rFonts w:ascii="Century Schoolbook" w:hAnsi="Century Schoolbook"/>
          <w:sz w:val="26"/>
          <w:szCs w:val="26"/>
        </w:rPr>
        <w:t xml:space="preserve"> the plaintiff belongs</w:t>
      </w:r>
      <w:r w:rsidRPr="00C46631">
        <w:rPr>
          <w:rFonts w:ascii="Century Schoolbook" w:hAnsi="Century Schoolbook"/>
          <w:sz w:val="26"/>
          <w:szCs w:val="26"/>
        </w:rPr>
        <w:t>.  (</w:t>
      </w:r>
      <w:r w:rsidRPr="00C46631">
        <w:rPr>
          <w:rFonts w:ascii="Century Schoolbook" w:hAnsi="Century Schoolbook"/>
          <w:i/>
          <w:iCs/>
          <w:sz w:val="26"/>
          <w:szCs w:val="26"/>
        </w:rPr>
        <w:t>Regents</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xml:space="preserve">, 4 Cal.5th at p. 619.)  With regard to the second element, a duty to control presupposes an </w:t>
      </w:r>
      <w:r w:rsidRPr="00C46631">
        <w:rPr>
          <w:rFonts w:ascii="Century Schoolbook" w:hAnsi="Century Schoolbook"/>
          <w:i/>
          <w:iCs/>
          <w:sz w:val="26"/>
          <w:szCs w:val="26"/>
        </w:rPr>
        <w:t>ability</w:t>
      </w:r>
      <w:r w:rsidRPr="00C46631">
        <w:rPr>
          <w:rFonts w:ascii="Century Schoolbook" w:hAnsi="Century Schoolbook"/>
          <w:sz w:val="26"/>
          <w:szCs w:val="26"/>
        </w:rPr>
        <w:t xml:space="preserve"> to control “such that ‘if exercised, [it] would meaningfully reduce the risk of the harm that actually occurred.’”  (</w:t>
      </w:r>
      <w:r w:rsidRPr="00C46631" w:rsidR="00CB6710">
        <w:rPr>
          <w:rFonts w:ascii="Century Schoolbook" w:hAnsi="Century Schoolbook"/>
          <w:i/>
          <w:iCs/>
          <w:sz w:val="26"/>
          <w:szCs w:val="26"/>
        </w:rPr>
        <w:t xml:space="preserve">Barenborg v. Sigma Alpha Epsilon Fraternity </w:t>
      </w:r>
      <w:r w:rsidRPr="00C46631" w:rsidR="00CB6710">
        <w:rPr>
          <w:rFonts w:ascii="Century Schoolbook" w:hAnsi="Century Schoolbook"/>
          <w:sz w:val="26"/>
          <w:szCs w:val="26"/>
        </w:rPr>
        <w:t>(2019) 33 Cal.App.5th 70, 7</w:t>
      </w:r>
      <w:r w:rsidR="00D512DA">
        <w:rPr>
          <w:rFonts w:ascii="Century Schoolbook" w:hAnsi="Century Schoolbook"/>
          <w:sz w:val="26"/>
          <w:szCs w:val="26"/>
        </w:rPr>
        <w:t>8</w:t>
      </w:r>
      <w:r w:rsidRPr="00C46631" w:rsidR="00CB6710">
        <w:rPr>
          <w:rFonts w:ascii="Century Schoolbook" w:hAnsi="Century Schoolbook"/>
          <w:sz w:val="26"/>
          <w:szCs w:val="26"/>
        </w:rPr>
        <w:t xml:space="preserve">; </w:t>
      </w:r>
      <w:r w:rsidRPr="00C46631">
        <w:rPr>
          <w:rFonts w:ascii="Century Schoolbook" w:hAnsi="Century Schoolbook"/>
          <w:i/>
          <w:iCs/>
          <w:sz w:val="26"/>
          <w:szCs w:val="26"/>
        </w:rPr>
        <w:t>Megeff v. Do</w:t>
      </w:r>
      <w:r w:rsidR="00CB6710">
        <w:rPr>
          <w:rFonts w:ascii="Century Schoolbook" w:hAnsi="Century Schoolbook"/>
          <w:i/>
          <w:iCs/>
          <w:sz w:val="26"/>
          <w:szCs w:val="26"/>
        </w:rPr>
        <w:t>l</w:t>
      </w:r>
      <w:r w:rsidRPr="00C46631">
        <w:rPr>
          <w:rFonts w:ascii="Century Schoolbook" w:hAnsi="Century Schoolbook"/>
          <w:i/>
          <w:iCs/>
          <w:sz w:val="26"/>
          <w:szCs w:val="26"/>
        </w:rPr>
        <w:t>a</w:t>
      </w:r>
      <w:r w:rsidR="00CB6710">
        <w:rPr>
          <w:rFonts w:ascii="Century Schoolbook" w:hAnsi="Century Schoolbook"/>
          <w:i/>
          <w:iCs/>
          <w:sz w:val="26"/>
          <w:szCs w:val="26"/>
        </w:rPr>
        <w:t>n</w:t>
      </w:r>
      <w:r w:rsidRPr="00C46631">
        <w:rPr>
          <w:rFonts w:ascii="Century Schoolbook" w:hAnsi="Century Schoolbook"/>
          <w:i/>
          <w:iCs/>
          <w:sz w:val="26"/>
          <w:szCs w:val="26"/>
        </w:rPr>
        <w:t>d</w:t>
      </w:r>
      <w:r w:rsidRPr="00C46631">
        <w:rPr>
          <w:rFonts w:ascii="Century Schoolbook" w:hAnsi="Century Schoolbook"/>
          <w:sz w:val="26"/>
          <w:szCs w:val="26"/>
        </w:rPr>
        <w:t xml:space="preserve"> (1981) 123 Cal.App.3d 251, 261; </w:t>
      </w:r>
      <w:r w:rsidRPr="00C46631">
        <w:rPr>
          <w:rFonts w:ascii="Century Schoolbook" w:hAnsi="Century Schoolbook"/>
          <w:i/>
          <w:iCs/>
          <w:sz w:val="26"/>
          <w:szCs w:val="26"/>
        </w:rPr>
        <w:t>Smith v. Fre</w:t>
      </w:r>
      <w:r w:rsidR="00CB6710">
        <w:rPr>
          <w:rFonts w:ascii="Century Schoolbook" w:hAnsi="Century Schoolbook"/>
          <w:i/>
          <w:iCs/>
          <w:sz w:val="26"/>
          <w:szCs w:val="26"/>
        </w:rPr>
        <w:t>u</w:t>
      </w:r>
      <w:r w:rsidRPr="00C46631">
        <w:rPr>
          <w:rFonts w:ascii="Century Schoolbook" w:hAnsi="Century Schoolbook"/>
          <w:i/>
          <w:iCs/>
          <w:sz w:val="26"/>
          <w:szCs w:val="26"/>
        </w:rPr>
        <w:t>nd</w:t>
      </w:r>
      <w:r w:rsidRPr="00C46631">
        <w:rPr>
          <w:rFonts w:ascii="Century Schoolbook" w:hAnsi="Century Schoolbook"/>
          <w:sz w:val="26"/>
          <w:szCs w:val="26"/>
        </w:rPr>
        <w:t xml:space="preserve"> (2011) 192 Cal.App.4th 466, 473; </w:t>
      </w:r>
      <w:r w:rsidRPr="00C46631">
        <w:rPr>
          <w:rFonts w:ascii="Century Schoolbook" w:hAnsi="Century Schoolbook"/>
          <w:i/>
          <w:iCs/>
          <w:sz w:val="26"/>
          <w:szCs w:val="26"/>
        </w:rPr>
        <w:t xml:space="preserve">Wise v. Superior Court </w:t>
      </w:r>
      <w:r w:rsidRPr="00C46631">
        <w:rPr>
          <w:rFonts w:ascii="Century Schoolbook" w:hAnsi="Century Schoolbook"/>
          <w:sz w:val="26"/>
          <w:szCs w:val="26"/>
        </w:rPr>
        <w:t>(1990) 222 Cal.App.3d 1008, 1013-1014.)  The ability (and hence concomitant duty) to control may be anchored in (1) control imparted by virtue of the nature of the relationship itself (as is the case with a parent-child or employer-employee relationship) (</w:t>
      </w:r>
      <w:r w:rsidRPr="00C46631">
        <w:rPr>
          <w:rFonts w:ascii="Century Schoolbook" w:hAnsi="Century Schoolbook"/>
          <w:i/>
          <w:iCs/>
          <w:sz w:val="26"/>
          <w:szCs w:val="26"/>
        </w:rPr>
        <w:t>Kesner</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1 Cal.5th at p. 1148; </w:t>
      </w:r>
      <w:r w:rsidRPr="00C46631">
        <w:rPr>
          <w:rFonts w:ascii="Century Schoolbook" w:hAnsi="Century Schoolbook"/>
          <w:i/>
          <w:iCs/>
          <w:sz w:val="26"/>
          <w:szCs w:val="26"/>
        </w:rPr>
        <w:t>Musgrove</w:t>
      </w:r>
      <w:r w:rsidR="00C330FF">
        <w:rPr>
          <w:rFonts w:ascii="Century Schoolbook" w:hAnsi="Century Schoolbook"/>
          <w:sz w:val="26"/>
          <w:szCs w:val="26"/>
        </w:rPr>
        <w:t xml:space="preserve">, </w:t>
      </w:r>
      <w:r w:rsidR="00C330FF">
        <w:rPr>
          <w:rFonts w:ascii="Century Schoolbook" w:hAnsi="Century Schoolbook"/>
          <w:i/>
          <w:iCs/>
          <w:sz w:val="26"/>
          <w:szCs w:val="26"/>
        </w:rPr>
        <w:t>supra</w:t>
      </w:r>
      <w:r w:rsidR="00C330FF">
        <w:rPr>
          <w:rFonts w:ascii="Century Schoolbook" w:hAnsi="Century Schoolbook"/>
          <w:sz w:val="26"/>
          <w:szCs w:val="26"/>
        </w:rPr>
        <w:t xml:space="preserve">, </w:t>
      </w:r>
      <w:r w:rsidRPr="00C46631">
        <w:rPr>
          <w:rFonts w:ascii="Century Schoolbook" w:hAnsi="Century Schoolbook"/>
          <w:sz w:val="26"/>
          <w:szCs w:val="26"/>
        </w:rPr>
        <w:t xml:space="preserve">82 Cal.App.5th </w:t>
      </w:r>
      <w:r w:rsidR="00C330FF">
        <w:rPr>
          <w:rFonts w:ascii="Century Schoolbook" w:hAnsi="Century Schoolbook"/>
          <w:sz w:val="26"/>
          <w:szCs w:val="26"/>
        </w:rPr>
        <w:t>at p.</w:t>
      </w:r>
      <w:r w:rsidRPr="00C46631">
        <w:rPr>
          <w:rFonts w:ascii="Century Schoolbook" w:hAnsi="Century Schoolbook"/>
          <w:sz w:val="26"/>
          <w:szCs w:val="26"/>
        </w:rPr>
        <w:t xml:space="preserve"> 711; </w:t>
      </w:r>
      <w:r w:rsidRPr="00C46631">
        <w:rPr>
          <w:rFonts w:ascii="Century Schoolbook" w:hAnsi="Century Schoolbook"/>
          <w:i/>
          <w:iCs/>
          <w:sz w:val="26"/>
          <w:szCs w:val="26"/>
        </w:rPr>
        <w:t xml:space="preserve">McHenry v. Asylum Entertainment Delaware, LLC </w:t>
      </w:r>
      <w:r w:rsidRPr="00C46631">
        <w:rPr>
          <w:rFonts w:ascii="Century Schoolbook" w:hAnsi="Century Schoolbook"/>
          <w:sz w:val="26"/>
          <w:szCs w:val="26"/>
        </w:rPr>
        <w:t>(2020) 46 Cal.App.5th 469, 484-485)</w:t>
      </w:r>
      <w:r w:rsidR="00612318">
        <w:rPr>
          <w:rFonts w:ascii="Century Schoolbook" w:hAnsi="Century Schoolbook"/>
          <w:sz w:val="26"/>
          <w:szCs w:val="26"/>
        </w:rPr>
        <w:t>;</w:t>
      </w:r>
      <w:r w:rsidRPr="00C46631">
        <w:rPr>
          <w:rFonts w:ascii="Century Schoolbook" w:hAnsi="Century Schoolbook"/>
          <w:sz w:val="26"/>
          <w:szCs w:val="26"/>
        </w:rPr>
        <w:t xml:space="preserve"> or (2) control imparted by virtue of control over “the environment” where the plaintiff is injured (as i</w:t>
      </w:r>
      <w:r w:rsidR="000B504E">
        <w:rPr>
          <w:rFonts w:ascii="Century Schoolbook" w:hAnsi="Century Schoolbook"/>
          <w:sz w:val="26"/>
          <w:szCs w:val="26"/>
        </w:rPr>
        <w:t>s</w:t>
      </w:r>
      <w:r w:rsidRPr="00C46631">
        <w:rPr>
          <w:rFonts w:ascii="Century Schoolbook" w:hAnsi="Century Schoolbook"/>
          <w:sz w:val="26"/>
          <w:szCs w:val="26"/>
        </w:rPr>
        <w:t xml:space="preserve"> the case with schools being able to control students on campus)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 Cal.5th at p</w:t>
      </w:r>
      <w:r w:rsidR="00CA7320">
        <w:rPr>
          <w:rFonts w:ascii="Century Schoolbook" w:hAnsi="Century Schoolbook"/>
          <w:sz w:val="26"/>
          <w:szCs w:val="26"/>
        </w:rPr>
        <w:t>p</w:t>
      </w:r>
      <w:r w:rsidRPr="00C46631">
        <w:rPr>
          <w:rFonts w:ascii="Century Schoolbook" w:hAnsi="Century Schoolbook"/>
          <w:sz w:val="26"/>
          <w:szCs w:val="26"/>
        </w:rPr>
        <w:t>. 631</w:t>
      </w:r>
      <w:r w:rsidR="00CA7320">
        <w:rPr>
          <w:rFonts w:ascii="Century Schoolbook" w:hAnsi="Century Schoolbook"/>
          <w:sz w:val="26"/>
          <w:szCs w:val="26"/>
        </w:rPr>
        <w:t>-632</w:t>
      </w:r>
      <w:r w:rsidRPr="00C46631">
        <w:rPr>
          <w:rFonts w:ascii="Century Schoolbook" w:hAnsi="Century Schoolbook"/>
          <w:sz w:val="26"/>
          <w:szCs w:val="26"/>
        </w:rPr>
        <w:t xml:space="preserve">; </w:t>
      </w:r>
      <w:r w:rsidRPr="00C46631">
        <w:rPr>
          <w:rFonts w:ascii="Century Schoolbook" w:hAnsi="Century Schoolbook"/>
          <w:i/>
          <w:iCs/>
          <w:sz w:val="26"/>
          <w:szCs w:val="26"/>
        </w:rPr>
        <w:t>Wise</w:t>
      </w:r>
      <w:r w:rsidRPr="00D42E17">
        <w:rPr>
          <w:rFonts w:ascii="Century Schoolbook" w:hAnsi="Century Schoolbook"/>
          <w:sz w:val="26"/>
          <w:szCs w:val="26"/>
        </w:rPr>
        <w:t>,</w:t>
      </w:r>
      <w:r w:rsidRPr="000B504E">
        <w:rPr>
          <w:rFonts w:ascii="Century Schoolbook" w:hAnsi="Century Schoolbook"/>
          <w:sz w:val="26"/>
          <w:szCs w:val="26"/>
        </w:rPr>
        <w:t xml:space="preserve"> </w:t>
      </w:r>
      <w:r w:rsidRPr="00C46631">
        <w:rPr>
          <w:rFonts w:ascii="Century Schoolbook" w:hAnsi="Century Schoolbook"/>
          <w:sz w:val="26"/>
          <w:szCs w:val="26"/>
        </w:rPr>
        <w:t xml:space="preserve">at p. 1013).  </w:t>
      </w:r>
    </w:p>
    <w:p w:rsidR="00C46631" w:rsidRPr="00C46631" w:rsidP="00C46631" w14:paraId="3A7AE801" w14:textId="776EDECA">
      <w:pPr>
        <w:spacing w:line="288" w:lineRule="auto"/>
        <w:ind w:firstLine="720"/>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r>
      <w:r w:rsidR="00D73A7E">
        <w:rPr>
          <w:rFonts w:ascii="Century Schoolbook" w:hAnsi="Century Schoolbook"/>
          <w:i/>
          <w:iCs/>
          <w:sz w:val="26"/>
          <w:szCs w:val="26"/>
        </w:rPr>
        <w:t>When the defendant has a s</w:t>
      </w:r>
      <w:r w:rsidRPr="00C46631">
        <w:rPr>
          <w:rFonts w:ascii="Century Schoolbook" w:hAnsi="Century Schoolbook"/>
          <w:i/>
          <w:iCs/>
          <w:sz w:val="26"/>
          <w:szCs w:val="26"/>
        </w:rPr>
        <w:t>pecial relationship with the plaintiff</w:t>
      </w:r>
      <w:r w:rsidRPr="00C46631">
        <w:rPr>
          <w:rFonts w:ascii="Century Schoolbook" w:hAnsi="Century Schoolbook"/>
          <w:sz w:val="26"/>
          <w:szCs w:val="26"/>
        </w:rPr>
        <w:t xml:space="preserve">.  A defendant owes a legal duty </w:t>
      </w:r>
      <w:r w:rsidR="000B504E">
        <w:rPr>
          <w:rFonts w:ascii="Century Schoolbook" w:hAnsi="Century Schoolbook"/>
          <w:sz w:val="26"/>
          <w:szCs w:val="26"/>
        </w:rPr>
        <w:t>of</w:t>
      </w:r>
      <w:r w:rsidRPr="00C46631" w:rsidR="000B504E">
        <w:rPr>
          <w:rFonts w:ascii="Century Schoolbook" w:hAnsi="Century Schoolbook"/>
          <w:sz w:val="26"/>
          <w:szCs w:val="26"/>
        </w:rPr>
        <w:t xml:space="preserve"> </w:t>
      </w:r>
      <w:r w:rsidRPr="00C46631">
        <w:rPr>
          <w:rFonts w:ascii="Century Schoolbook" w:hAnsi="Century Schoolbook"/>
          <w:sz w:val="26"/>
          <w:szCs w:val="26"/>
        </w:rPr>
        <w:t xml:space="preserve">care </w:t>
      </w:r>
      <w:r w:rsidR="000B504E">
        <w:rPr>
          <w:rFonts w:ascii="Century Schoolbook" w:hAnsi="Century Schoolbook"/>
          <w:sz w:val="26"/>
          <w:szCs w:val="26"/>
        </w:rPr>
        <w:t>to</w:t>
      </w:r>
      <w:r w:rsidRPr="00C46631" w:rsidR="000B504E">
        <w:rPr>
          <w:rFonts w:ascii="Century Schoolbook" w:hAnsi="Century Schoolbook"/>
          <w:sz w:val="26"/>
          <w:szCs w:val="26"/>
        </w:rPr>
        <w:t xml:space="preserve"> </w:t>
      </w:r>
      <w:r w:rsidRPr="00C46631">
        <w:rPr>
          <w:rFonts w:ascii="Century Schoolbook" w:hAnsi="Century Schoolbook"/>
          <w:sz w:val="26"/>
          <w:szCs w:val="26"/>
        </w:rPr>
        <w:t xml:space="preserve">the plaintiff </w:t>
      </w:r>
      <w:r w:rsidRPr="00C46631">
        <w:rPr>
          <w:rFonts w:ascii="Century Schoolbook" w:hAnsi="Century Schoolbook"/>
          <w:i/>
          <w:iCs/>
          <w:sz w:val="26"/>
          <w:szCs w:val="26"/>
        </w:rPr>
        <w:t>if</w:t>
      </w:r>
      <w:r w:rsidRPr="00C46631">
        <w:rPr>
          <w:rFonts w:ascii="Century Schoolbook" w:hAnsi="Century Schoolbook"/>
          <w:sz w:val="26"/>
          <w:szCs w:val="26"/>
        </w:rPr>
        <w:t xml:space="preserve"> </w:t>
      </w:r>
      <w:r w:rsidR="00D73A7E">
        <w:rPr>
          <w:rFonts w:ascii="Century Schoolbook" w:hAnsi="Century Schoolbook"/>
          <w:sz w:val="26"/>
          <w:szCs w:val="26"/>
        </w:rPr>
        <w:t>the defendant</w:t>
      </w:r>
      <w:r w:rsidRPr="00C46631">
        <w:rPr>
          <w:rFonts w:ascii="Century Schoolbook" w:hAnsi="Century Schoolbook"/>
          <w:sz w:val="26"/>
          <w:szCs w:val="26"/>
        </w:rPr>
        <w:t xml:space="preserve"> has a “special relationship” with the plaintiff grounded in the defendant’s “superior control over the means of protect[ing]” the plaintiff (and the plaintiff’s concomitant “dependency” on that protection).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 Cal.5</w:t>
      </w:r>
      <w:r w:rsidR="00CB6710">
        <w:rPr>
          <w:rFonts w:ascii="Century Schoolbook" w:hAnsi="Century Schoolbook"/>
          <w:sz w:val="26"/>
          <w:szCs w:val="26"/>
        </w:rPr>
        <w:t>th</w:t>
      </w:r>
      <w:r w:rsidRPr="00C46631">
        <w:rPr>
          <w:rFonts w:ascii="Century Schoolbook" w:hAnsi="Century Schoolbook"/>
          <w:sz w:val="26"/>
          <w:szCs w:val="26"/>
        </w:rPr>
        <w:t xml:space="preserve"> at pp. 619-62</w:t>
      </w:r>
      <w:r w:rsidR="00677172">
        <w:rPr>
          <w:rFonts w:ascii="Century Schoolbook" w:hAnsi="Century Schoolbook"/>
          <w:sz w:val="26"/>
          <w:szCs w:val="26"/>
        </w:rPr>
        <w:t>1</w:t>
      </w:r>
      <w:r w:rsidRPr="00C46631">
        <w:rPr>
          <w:rFonts w:ascii="Century Schoolbook" w:hAnsi="Century Schoolbook"/>
          <w:sz w:val="26"/>
          <w:szCs w:val="26"/>
        </w:rPr>
        <w:t xml:space="preserve">.)  This type of special relationship exists between a common carrier and its passengers, an innkeeper and its guests, a jailer and its prisoners, and an employer and its employee(s); in each instance, the former has superior control over the means of protecting the latter that creates </w:t>
      </w:r>
      <w:r w:rsidR="00D73A7E">
        <w:rPr>
          <w:rFonts w:ascii="Century Schoolbook" w:hAnsi="Century Schoolbook"/>
          <w:sz w:val="26"/>
          <w:szCs w:val="26"/>
        </w:rPr>
        <w:t>a</w:t>
      </w:r>
      <w:r w:rsidRPr="00C46631">
        <w:rPr>
          <w:rFonts w:ascii="Century Schoolbook" w:hAnsi="Century Schoolbook"/>
          <w:sz w:val="26"/>
          <w:szCs w:val="26"/>
        </w:rPr>
        <w:t xml:space="preserve"> duty to protect</w:t>
      </w:r>
      <w:r w:rsidR="00D73A7E">
        <w:rPr>
          <w:rFonts w:ascii="Century Schoolbook" w:hAnsi="Century Schoolbook"/>
          <w:sz w:val="26"/>
          <w:szCs w:val="26"/>
        </w:rPr>
        <w:t xml:space="preserve"> that runs to the plaintiff</w:t>
      </w:r>
      <w:r w:rsidRPr="00C46631">
        <w:rPr>
          <w:rFonts w:ascii="Century Schoolbook" w:hAnsi="Century Schoolbook"/>
          <w:sz w:val="26"/>
          <w:szCs w:val="26"/>
        </w:rPr>
        <w:t>.  (</w:t>
      </w:r>
      <w:r w:rsidRPr="00C46631">
        <w:rPr>
          <w:rFonts w:ascii="Century Schoolbook" w:hAnsi="Century Schoolbook"/>
          <w:i/>
          <w:iCs/>
          <w:sz w:val="26"/>
          <w:szCs w:val="26"/>
        </w:rPr>
        <w:t>Regents</w:t>
      </w:r>
      <w:r w:rsidRPr="00C46631">
        <w:rPr>
          <w:rFonts w:ascii="Century Schoolbook" w:hAnsi="Century Schoolbook"/>
          <w:sz w:val="26"/>
          <w:szCs w:val="26"/>
        </w:rPr>
        <w:t xml:space="preserve">, at p. 621;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11 Cal.5</w:t>
      </w:r>
      <w:r w:rsidR="00E46D03">
        <w:rPr>
          <w:rFonts w:ascii="Century Schoolbook" w:hAnsi="Century Schoolbook"/>
          <w:sz w:val="26"/>
          <w:szCs w:val="26"/>
        </w:rPr>
        <w:t>th</w:t>
      </w:r>
      <w:r w:rsidRPr="00C46631">
        <w:rPr>
          <w:rFonts w:ascii="Century Schoolbook" w:hAnsi="Century Schoolbook"/>
          <w:sz w:val="26"/>
          <w:szCs w:val="26"/>
        </w:rPr>
        <w:t xml:space="preserve"> at p. 216; </w:t>
      </w:r>
      <w:r w:rsidRPr="00C46631">
        <w:rPr>
          <w:rFonts w:ascii="Century Schoolbook" w:hAnsi="Century Schoolbook"/>
          <w:i/>
          <w:iCs/>
          <w:sz w:val="26"/>
          <w:szCs w:val="26"/>
        </w:rPr>
        <w:t>Musgrove</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82 Cal.App.5</w:t>
      </w:r>
      <w:r w:rsidR="00E46D03">
        <w:rPr>
          <w:rFonts w:ascii="Century Schoolbook" w:hAnsi="Century Schoolbook"/>
          <w:sz w:val="26"/>
          <w:szCs w:val="26"/>
        </w:rPr>
        <w:t>th</w:t>
      </w:r>
      <w:r w:rsidRPr="00C46631">
        <w:rPr>
          <w:rFonts w:ascii="Century Schoolbook" w:hAnsi="Century Schoolbook"/>
          <w:sz w:val="26"/>
          <w:szCs w:val="26"/>
        </w:rPr>
        <w:t xml:space="preserve"> at p. 711.)</w:t>
      </w:r>
    </w:p>
    <w:p w:rsidR="00C46631" w:rsidRPr="00C46631" w:rsidP="00C46631" w14:paraId="182351DF" w14:textId="77777777">
      <w:pPr>
        <w:spacing w:line="288" w:lineRule="auto"/>
        <w:ind w:firstLine="1440"/>
        <w:rPr>
          <w:rFonts w:ascii="Century Schoolbook" w:hAnsi="Century Schoolbook"/>
          <w:i/>
          <w:iCs/>
          <w:sz w:val="26"/>
          <w:szCs w:val="26"/>
        </w:rPr>
      </w:pPr>
      <w:r w:rsidRPr="00C46631">
        <w:rPr>
          <w:rFonts w:ascii="Century Schoolbook" w:hAnsi="Century Schoolbook"/>
          <w:sz w:val="26"/>
          <w:szCs w:val="26"/>
        </w:rPr>
        <w:t>2.</w:t>
      </w:r>
      <w:r w:rsidRPr="00C46631">
        <w:rPr>
          <w:rFonts w:ascii="Century Schoolbook" w:hAnsi="Century Schoolbook"/>
          <w:sz w:val="26"/>
          <w:szCs w:val="26"/>
        </w:rPr>
        <w:tab/>
      </w:r>
      <w:r w:rsidRPr="00C46631">
        <w:rPr>
          <w:rFonts w:ascii="Century Schoolbook" w:hAnsi="Century Schoolbook"/>
          <w:i/>
          <w:iCs/>
          <w:sz w:val="26"/>
          <w:szCs w:val="26"/>
        </w:rPr>
        <w:t>Public policy considerations that may counsel in favor of limiting the duty</w:t>
      </w:r>
    </w:p>
    <w:p w:rsidR="00C46631" w:rsidRPr="00C46631" w:rsidP="00C46631" w14:paraId="1E0893E2" w14:textId="0F2CA2C9">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Even if California law provides that a legal duty of care runs between a plaintiff and </w:t>
      </w:r>
      <w:r w:rsidR="00536507">
        <w:rPr>
          <w:rFonts w:ascii="Century Schoolbook" w:hAnsi="Century Schoolbook"/>
          <w:sz w:val="26"/>
          <w:szCs w:val="26"/>
        </w:rPr>
        <w:t xml:space="preserve">a </w:t>
      </w:r>
      <w:r w:rsidRPr="00C46631">
        <w:rPr>
          <w:rFonts w:ascii="Century Schoolbook" w:hAnsi="Century Schoolbook"/>
          <w:sz w:val="26"/>
          <w:szCs w:val="26"/>
        </w:rPr>
        <w:t>defendant, courts have the power and obligation to examine whether considerations of public policy warrant limiting that duty.  (</w:t>
      </w:r>
      <w:r w:rsidRPr="00C46631">
        <w:rPr>
          <w:rFonts w:ascii="Century Schoolbook" w:hAnsi="Century Schoolbook"/>
          <w:i/>
          <w:iCs/>
          <w:sz w:val="26"/>
          <w:szCs w:val="26"/>
        </w:rPr>
        <w:t>Brown</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11 Cal.5</w:t>
      </w:r>
      <w:r w:rsidR="00310B9F">
        <w:rPr>
          <w:rFonts w:ascii="Century Schoolbook" w:hAnsi="Century Schoolbook"/>
          <w:sz w:val="26"/>
          <w:szCs w:val="26"/>
        </w:rPr>
        <w:t>th</w:t>
      </w:r>
      <w:r w:rsidRPr="00C46631">
        <w:rPr>
          <w:rFonts w:ascii="Century Schoolbook" w:hAnsi="Century Schoolbook"/>
          <w:sz w:val="26"/>
          <w:szCs w:val="26"/>
        </w:rPr>
        <w:t xml:space="preserve"> at p. 217; </w:t>
      </w:r>
      <w:r w:rsidRPr="00C46631">
        <w:rPr>
          <w:rFonts w:ascii="Century Schoolbook" w:hAnsi="Century Schoolbook"/>
          <w:i/>
          <w:iCs/>
          <w:sz w:val="26"/>
          <w:szCs w:val="26"/>
        </w:rPr>
        <w:t>Regents</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4 Cal.5</w:t>
      </w:r>
      <w:r w:rsidR="00310B9F">
        <w:rPr>
          <w:rFonts w:ascii="Century Schoolbook" w:hAnsi="Century Schoolbook"/>
          <w:sz w:val="26"/>
          <w:szCs w:val="26"/>
        </w:rPr>
        <w:t>th</w:t>
      </w:r>
      <w:r w:rsidRPr="00C46631">
        <w:rPr>
          <w:rFonts w:ascii="Century Schoolbook" w:hAnsi="Century Schoolbook"/>
          <w:sz w:val="26"/>
          <w:szCs w:val="26"/>
        </w:rPr>
        <w:t xml:space="preserve"> at pp. 628-629; </w:t>
      </w:r>
      <w:r w:rsidRPr="00C46631">
        <w:rPr>
          <w:rFonts w:ascii="Century Schoolbook" w:hAnsi="Century Schoolbook"/>
          <w:i/>
          <w:iCs/>
          <w:sz w:val="26"/>
          <w:szCs w:val="26"/>
        </w:rPr>
        <w:t>Gas Leak Cases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7 Cal.5th at pp. 398-399; </w:t>
      </w:r>
      <w:r w:rsidRPr="00C46631">
        <w:rPr>
          <w:rFonts w:ascii="Century Schoolbook" w:hAnsi="Century Schoolbook"/>
          <w:i/>
          <w:iCs/>
          <w:sz w:val="26"/>
          <w:szCs w:val="26"/>
        </w:rPr>
        <w:t>Cabral</w:t>
      </w:r>
      <w:r w:rsidR="000B504E">
        <w:rPr>
          <w:rFonts w:ascii="Century Schoolbook" w:hAnsi="Century Schoolbook"/>
          <w:sz w:val="26"/>
          <w:szCs w:val="26"/>
        </w:rPr>
        <w:t xml:space="preserve">, </w:t>
      </w:r>
      <w:r w:rsidR="000B504E">
        <w:rPr>
          <w:rFonts w:ascii="Century Schoolbook" w:hAnsi="Century Schoolbook"/>
          <w:i/>
          <w:iCs/>
          <w:sz w:val="26"/>
          <w:szCs w:val="26"/>
        </w:rPr>
        <w:t>supra</w:t>
      </w:r>
      <w:r w:rsidR="000B504E">
        <w:rPr>
          <w:rFonts w:ascii="Century Schoolbook" w:hAnsi="Century Schoolbook"/>
          <w:sz w:val="26"/>
          <w:szCs w:val="26"/>
        </w:rPr>
        <w:t xml:space="preserve">, </w:t>
      </w:r>
      <w:r w:rsidRPr="00C46631">
        <w:rPr>
          <w:rFonts w:ascii="Century Schoolbook" w:hAnsi="Century Schoolbook"/>
          <w:sz w:val="26"/>
          <w:szCs w:val="26"/>
        </w:rPr>
        <w:t xml:space="preserve">51 Cal.4th </w:t>
      </w:r>
      <w:r w:rsidR="000B504E">
        <w:rPr>
          <w:rFonts w:ascii="Century Schoolbook" w:hAnsi="Century Schoolbook"/>
          <w:sz w:val="26"/>
          <w:szCs w:val="26"/>
        </w:rPr>
        <w:t>at p.</w:t>
      </w:r>
      <w:r w:rsidRPr="00C46631">
        <w:rPr>
          <w:rFonts w:ascii="Century Schoolbook" w:hAnsi="Century Schoolbook"/>
          <w:sz w:val="26"/>
          <w:szCs w:val="26"/>
        </w:rPr>
        <w:t xml:space="preserve"> 772.)  This public policy analysis is “forward-looking” and to be conducted on a general, categorical basis (</w:t>
      </w:r>
      <w:r w:rsidRPr="00C46631" w:rsidR="00D52A45">
        <w:rPr>
          <w:rFonts w:ascii="Century Schoolbook" w:hAnsi="Century Schoolbook"/>
          <w:i/>
          <w:iCs/>
          <w:sz w:val="26"/>
          <w:szCs w:val="26"/>
        </w:rPr>
        <w:t>Kesner</w:t>
      </w:r>
      <w:r w:rsidRPr="00356B70" w:rsidR="00D52A45">
        <w:rPr>
          <w:rFonts w:ascii="Century Schoolbook" w:hAnsi="Century Schoolbook"/>
          <w:sz w:val="26"/>
          <w:szCs w:val="26"/>
        </w:rPr>
        <w:t>,</w:t>
      </w:r>
      <w:r w:rsidRPr="00C46631" w:rsidR="00D52A45">
        <w:rPr>
          <w:rFonts w:ascii="Century Schoolbook" w:hAnsi="Century Schoolbook"/>
          <w:i/>
          <w:iCs/>
          <w:sz w:val="26"/>
          <w:szCs w:val="26"/>
        </w:rPr>
        <w:t xml:space="preserve"> supra</w:t>
      </w:r>
      <w:r w:rsidRPr="00C46631" w:rsidR="00D52A45">
        <w:rPr>
          <w:rFonts w:ascii="Century Schoolbook" w:hAnsi="Century Schoolbook"/>
          <w:sz w:val="26"/>
          <w:szCs w:val="26"/>
        </w:rPr>
        <w:t>, 1 Cal.5th at p. 1152</w:t>
      </w:r>
      <w:r w:rsidR="00D52A45">
        <w:rPr>
          <w:rFonts w:ascii="Century Schoolbook" w:hAnsi="Century Schoolbook"/>
          <w:sz w:val="26"/>
          <w:szCs w:val="26"/>
        </w:rPr>
        <w:t xml:space="preserve">; </w:t>
      </w:r>
      <w:r w:rsidRPr="00C46631">
        <w:rPr>
          <w:rFonts w:ascii="Century Schoolbook" w:hAnsi="Century Schoolbook"/>
          <w:i/>
          <w:iCs/>
          <w:sz w:val="26"/>
          <w:szCs w:val="26"/>
        </w:rPr>
        <w:t>Kuciemba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14 Cal.5th at p. 102</w:t>
      </w:r>
      <w:r w:rsidR="00D52A45">
        <w:rPr>
          <w:rFonts w:ascii="Century Schoolbook" w:hAnsi="Century Schoolbook"/>
          <w:sz w:val="26"/>
          <w:szCs w:val="26"/>
        </w:rPr>
        <w:t>2</w:t>
      </w:r>
      <w:r w:rsidRPr="00C46631">
        <w:rPr>
          <w:rFonts w:ascii="Century Schoolbook" w:hAnsi="Century Schoolbook"/>
          <w:sz w:val="26"/>
          <w:szCs w:val="26"/>
        </w:rPr>
        <w:t xml:space="preserve">); in effect, we ask:  Does public policy warrant curtailing liability in a particular </w:t>
      </w:r>
      <w:r w:rsidRPr="00C46631">
        <w:rPr>
          <w:rFonts w:ascii="Century Schoolbook" w:hAnsi="Century Schoolbook"/>
          <w:i/>
          <w:iCs/>
          <w:sz w:val="26"/>
          <w:szCs w:val="26"/>
        </w:rPr>
        <w:t>category</w:t>
      </w:r>
      <w:r w:rsidRPr="00C46631">
        <w:rPr>
          <w:rFonts w:ascii="Century Schoolbook" w:hAnsi="Century Schoolbook"/>
          <w:sz w:val="26"/>
          <w:szCs w:val="26"/>
        </w:rPr>
        <w:t xml:space="preserve"> of cases in the future?</w:t>
      </w:r>
    </w:p>
    <w:p w:rsidR="00C46631" w:rsidRPr="00C46631" w:rsidP="00C46631" w14:paraId="4A1DFD99" w14:textId="020AD350">
      <w:pPr>
        <w:spacing w:line="288" w:lineRule="auto"/>
        <w:ind w:firstLine="720"/>
        <w:rPr>
          <w:rFonts w:ascii="Century Schoolbook" w:hAnsi="Century Schoolbook"/>
          <w:sz w:val="26"/>
          <w:szCs w:val="26"/>
        </w:rPr>
      </w:pPr>
      <w:bookmarkStart w:id="4" w:name="_Hlk153789870"/>
      <w:r w:rsidRPr="00C46631">
        <w:rPr>
          <w:rFonts w:ascii="Century Schoolbook" w:hAnsi="Century Schoolbook"/>
          <w:sz w:val="26"/>
          <w:szCs w:val="26"/>
        </w:rPr>
        <w:t xml:space="preserve">Our Supreme Court in </w:t>
      </w:r>
      <w:r w:rsidRPr="00C46631">
        <w:rPr>
          <w:rFonts w:ascii="Century Schoolbook" w:hAnsi="Century Schoolbook"/>
          <w:i/>
          <w:iCs/>
          <w:sz w:val="26"/>
          <w:szCs w:val="26"/>
        </w:rPr>
        <w:t xml:space="preserve">Rowland </w:t>
      </w:r>
      <w:r w:rsidRPr="00C46631">
        <w:rPr>
          <w:rFonts w:ascii="Century Schoolbook" w:hAnsi="Century Schoolbook"/>
          <w:sz w:val="26"/>
          <w:szCs w:val="26"/>
        </w:rPr>
        <w:t xml:space="preserve">outlined the </w:t>
      </w:r>
      <w:r w:rsidR="00536507">
        <w:rPr>
          <w:rFonts w:ascii="Century Schoolbook" w:hAnsi="Century Schoolbook"/>
          <w:sz w:val="26"/>
          <w:szCs w:val="26"/>
        </w:rPr>
        <w:t xml:space="preserve">pertinent </w:t>
      </w:r>
      <w:r w:rsidRPr="00C46631">
        <w:rPr>
          <w:rFonts w:ascii="Century Schoolbook" w:hAnsi="Century Schoolbook"/>
          <w:sz w:val="26"/>
          <w:szCs w:val="26"/>
        </w:rPr>
        <w:t>public policy considerations.  They fall into two categories.</w:t>
      </w:r>
    </w:p>
    <w:bookmarkEnd w:id="4"/>
    <w:p w:rsidR="00C46631" w:rsidRPr="00C46631" w:rsidP="00C46631" w14:paraId="7B96AEC5" w14:textId="3E6DBC4E">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The first category examines the foreseeability of the plaintiff’s injury.  </w:t>
      </w:r>
      <w:r w:rsidRPr="00C46631">
        <w:rPr>
          <w:rFonts w:ascii="Century Schoolbook" w:hAnsi="Century Schoolbook"/>
          <w:i/>
          <w:iCs/>
          <w:sz w:val="26"/>
          <w:szCs w:val="26"/>
        </w:rPr>
        <w:t>Rowland</w:t>
      </w:r>
      <w:r w:rsidRPr="00C46631">
        <w:rPr>
          <w:rFonts w:ascii="Century Schoolbook" w:hAnsi="Century Schoolbook"/>
          <w:sz w:val="26"/>
          <w:szCs w:val="26"/>
        </w:rPr>
        <w:t xml:space="preserve"> identifies three foreseeability considerations:  (1) whether “‘</w:t>
      </w:r>
      <w:r w:rsidR="00E80A7D">
        <w:rPr>
          <w:rFonts w:ascii="Century Schoolbook" w:hAnsi="Century Schoolbook"/>
          <w:sz w:val="26"/>
          <w:szCs w:val="26"/>
        </w:rPr>
        <w:t>“</w:t>
      </w:r>
      <w:r w:rsidRPr="00C46631">
        <w:rPr>
          <w:rFonts w:ascii="Century Schoolbook" w:hAnsi="Century Schoolbook"/>
          <w:sz w:val="26"/>
          <w:szCs w:val="26"/>
        </w:rPr>
        <w:t>the category of negligent conduct at issue is sufficiently likely to result in the kind of harm experienced that liability may appropriately be imposed</w:t>
      </w:r>
      <w:r w:rsidR="00E80A7D">
        <w:rPr>
          <w:rFonts w:ascii="Century Schoolbook" w:hAnsi="Century Schoolbook"/>
          <w:sz w:val="26"/>
          <w:szCs w:val="26"/>
        </w:rPr>
        <w:t>”</w:t>
      </w:r>
      <w:r w:rsidRPr="00C46631">
        <w:rPr>
          <w:rFonts w:ascii="Century Schoolbook" w:hAnsi="Century Schoolbook"/>
          <w:sz w:val="26"/>
          <w:szCs w:val="26"/>
        </w:rPr>
        <w:t>’”; (2) the degree of certainty that the plaintiff suffered injury; and (3) the closeness of the connection “</w:t>
      </w:r>
      <w:r w:rsidR="00E80A7D">
        <w:rPr>
          <w:rFonts w:ascii="Century Schoolbook" w:hAnsi="Century Schoolbook"/>
          <w:sz w:val="26"/>
          <w:szCs w:val="26"/>
        </w:rPr>
        <w:t>‘</w:t>
      </w:r>
      <w:r w:rsidRPr="00C46631">
        <w:rPr>
          <w:rFonts w:ascii="Century Schoolbook" w:hAnsi="Century Schoolbook"/>
          <w:sz w:val="26"/>
          <w:szCs w:val="26"/>
        </w:rPr>
        <w:t>between the defendant</w:t>
      </w:r>
      <w:r w:rsidR="000B504E">
        <w:rPr>
          <w:rFonts w:ascii="Century Schoolbook" w:hAnsi="Century Schoolbook"/>
          <w:sz w:val="26"/>
          <w:szCs w:val="26"/>
        </w:rPr>
        <w:t>’</w:t>
      </w:r>
      <w:r w:rsidRPr="00C46631">
        <w:rPr>
          <w:rFonts w:ascii="Century Schoolbook" w:hAnsi="Century Schoolbook"/>
          <w:sz w:val="26"/>
          <w:szCs w:val="26"/>
        </w:rPr>
        <w:t>s conduct and the injury suffered.</w:t>
      </w:r>
      <w:r w:rsidR="00E80A7D">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 Cal.5th at pp. 629-630.)</w:t>
      </w:r>
    </w:p>
    <w:p w:rsidR="00C46631" w:rsidRPr="00C46631" w:rsidP="00C46631" w14:paraId="5EBBB3C0" w14:textId="153995E3">
      <w:pPr>
        <w:spacing w:line="288" w:lineRule="auto"/>
        <w:ind w:firstLine="720"/>
        <w:rPr>
          <w:rFonts w:ascii="Century Schoolbook" w:hAnsi="Century Schoolbook"/>
          <w:sz w:val="26"/>
          <w:szCs w:val="26"/>
        </w:rPr>
      </w:pPr>
      <w:r w:rsidRPr="00C46631">
        <w:rPr>
          <w:rFonts w:ascii="Century Schoolbook" w:hAnsi="Century Schoolbook"/>
          <w:sz w:val="26"/>
          <w:szCs w:val="26"/>
        </w:rPr>
        <w:t>Although these foreseeability factors are “</w:t>
      </w:r>
      <w:r w:rsidR="00E27304">
        <w:rPr>
          <w:rFonts w:ascii="Century Schoolbook" w:hAnsi="Century Schoolbook"/>
          <w:sz w:val="26"/>
          <w:szCs w:val="26"/>
        </w:rPr>
        <w:t>‘</w:t>
      </w:r>
      <w:r w:rsidRPr="00C46631">
        <w:rPr>
          <w:rFonts w:ascii="Century Schoolbook" w:hAnsi="Century Schoolbook"/>
          <w:sz w:val="26"/>
          <w:szCs w:val="26"/>
        </w:rPr>
        <w:t>[t]he most important</w:t>
      </w:r>
      <w:r w:rsidR="00E27304">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 629), foreseeability is not dispositive of the policy analysis and may be outweighed by the second category of </w:t>
      </w:r>
      <w:r w:rsidRPr="00C46631">
        <w:rPr>
          <w:rFonts w:ascii="Century Schoolbook" w:hAnsi="Century Schoolbook"/>
          <w:i/>
          <w:iCs/>
          <w:sz w:val="26"/>
          <w:szCs w:val="26"/>
        </w:rPr>
        <w:t xml:space="preserve">Rowland </w:t>
      </w:r>
      <w:r w:rsidRPr="00C46631">
        <w:rPr>
          <w:rFonts w:ascii="Century Schoolbook" w:hAnsi="Century Schoolbook"/>
          <w:sz w:val="26"/>
          <w:szCs w:val="26"/>
        </w:rPr>
        <w:t>factors.  (</w:t>
      </w:r>
      <w:r w:rsidRPr="00C46631">
        <w:rPr>
          <w:rFonts w:ascii="Century Schoolbook" w:hAnsi="Century Schoolbook"/>
          <w:i/>
          <w:iCs/>
          <w:sz w:val="26"/>
          <w:szCs w:val="26"/>
        </w:rPr>
        <w:t>Kesner</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1 Cal.5th at p. 11</w:t>
      </w:r>
      <w:r w:rsidR="000577AA">
        <w:rPr>
          <w:rFonts w:ascii="Century Schoolbook" w:hAnsi="Century Schoolbook"/>
          <w:sz w:val="26"/>
          <w:szCs w:val="26"/>
        </w:rPr>
        <w:t>49</w:t>
      </w:r>
      <w:r w:rsidRPr="00C46631">
        <w:rPr>
          <w:rFonts w:ascii="Century Schoolbook" w:hAnsi="Century Schoolbook"/>
          <w:sz w:val="26"/>
          <w:szCs w:val="26"/>
        </w:rPr>
        <w:t xml:space="preserve"> [“</w:t>
      </w:r>
      <w:r w:rsidR="000577AA">
        <w:rPr>
          <w:rFonts w:ascii="Century Schoolbook" w:hAnsi="Century Schoolbook"/>
          <w:sz w:val="26"/>
          <w:szCs w:val="26"/>
        </w:rPr>
        <w:t>‘[f]</w:t>
      </w:r>
      <w:r w:rsidRPr="00C46631">
        <w:rPr>
          <w:rFonts w:ascii="Century Schoolbook" w:hAnsi="Century Schoolbook"/>
          <w:sz w:val="26"/>
          <w:szCs w:val="26"/>
        </w:rPr>
        <w:t>oreseeability alone is not sufficient</w:t>
      </w:r>
      <w:r w:rsidR="000577AA">
        <w:rPr>
          <w:rFonts w:ascii="Century Schoolbook" w:hAnsi="Century Schoolbook"/>
          <w:sz w:val="26"/>
          <w:szCs w:val="26"/>
        </w:rPr>
        <w:t>’</w:t>
      </w:r>
      <w:r w:rsidRPr="00C46631">
        <w:rPr>
          <w:rFonts w:ascii="Century Schoolbook" w:hAnsi="Century Schoolbook"/>
          <w:sz w:val="26"/>
          <w:szCs w:val="26"/>
        </w:rPr>
        <w:t xml:space="preserve">”]; accord,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at p</w:t>
      </w:r>
      <w:r w:rsidR="00B21E54">
        <w:rPr>
          <w:rFonts w:ascii="Century Schoolbook" w:hAnsi="Century Schoolbook"/>
          <w:sz w:val="26"/>
          <w:szCs w:val="26"/>
        </w:rPr>
        <w:t>p</w:t>
      </w:r>
      <w:r w:rsidRPr="00C46631">
        <w:rPr>
          <w:rFonts w:ascii="Century Schoolbook" w:hAnsi="Century Schoolbook"/>
          <w:sz w:val="26"/>
          <w:szCs w:val="26"/>
        </w:rPr>
        <w:t xml:space="preserve">. </w:t>
      </w:r>
      <w:r w:rsidR="00B21E54">
        <w:rPr>
          <w:rFonts w:ascii="Century Schoolbook" w:hAnsi="Century Schoolbook"/>
          <w:sz w:val="26"/>
          <w:szCs w:val="26"/>
        </w:rPr>
        <w:t>633-</w:t>
      </w:r>
      <w:r w:rsidRPr="00C46631">
        <w:rPr>
          <w:rFonts w:ascii="Century Schoolbook" w:hAnsi="Century Schoolbook"/>
          <w:sz w:val="26"/>
          <w:szCs w:val="26"/>
        </w:rPr>
        <w:t xml:space="preserve">634 [although it is foreseeable that students could hurt </w:t>
      </w:r>
      <w:r w:rsidRPr="00C46631">
        <w:rPr>
          <w:rFonts w:ascii="Century Schoolbook" w:hAnsi="Century Schoolbook"/>
          <w:i/>
          <w:iCs/>
          <w:sz w:val="26"/>
          <w:szCs w:val="26"/>
        </w:rPr>
        <w:t>anyone</w:t>
      </w:r>
      <w:r w:rsidRPr="00C46631">
        <w:rPr>
          <w:rFonts w:ascii="Century Schoolbook" w:hAnsi="Century Schoolbook"/>
          <w:sz w:val="26"/>
          <w:szCs w:val="26"/>
        </w:rPr>
        <w:t xml:space="preserve">, a university’s duty to protect is confined to other registered students]; </w:t>
      </w:r>
      <w:r w:rsidRPr="00C46631">
        <w:rPr>
          <w:rFonts w:ascii="Century Schoolbook" w:hAnsi="Century Schoolbook"/>
          <w:i/>
          <w:iCs/>
          <w:sz w:val="26"/>
          <w:szCs w:val="26"/>
        </w:rPr>
        <w:t>Kesner</w:t>
      </w:r>
      <w:r w:rsidRPr="00D42E17">
        <w:rPr>
          <w:rFonts w:ascii="Century Schoolbook" w:hAnsi="Century Schoolbook"/>
          <w:sz w:val="26"/>
          <w:szCs w:val="26"/>
        </w:rPr>
        <w:t xml:space="preserve">, </w:t>
      </w:r>
      <w:r w:rsidRPr="00C46631">
        <w:rPr>
          <w:rFonts w:ascii="Century Schoolbook" w:hAnsi="Century Schoolbook"/>
          <w:sz w:val="26"/>
          <w:szCs w:val="26"/>
        </w:rPr>
        <w:t>at pp. 1154-1155 [although it is foreseeable that anyone may be harmed by asbestos carried home from the workplace by an employee, an employer’s duty to protect is confined to the employee’s household members].)  Those factors ask whether “</w:t>
      </w:r>
      <w:r w:rsidR="00482379">
        <w:rPr>
          <w:rFonts w:ascii="Century Schoolbook" w:hAnsi="Century Schoolbook"/>
          <w:sz w:val="26"/>
          <w:szCs w:val="26"/>
        </w:rPr>
        <w:t>‘</w:t>
      </w:r>
      <w:r w:rsidRPr="00C46631">
        <w:rPr>
          <w:rFonts w:ascii="Century Schoolbook" w:hAnsi="Century Schoolbook"/>
          <w:sz w:val="26"/>
          <w:szCs w:val="26"/>
        </w:rPr>
        <w:t>the social utility of the activity concerned is so great, and avoidance of the injuries so burdensome to society, as to outweigh the compensatory and cost-internalization values of negligence liability.</w:t>
      </w:r>
      <w:r w:rsidR="00482379">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Kesner</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at p. 1150.)  In other words, they ask whether recognizing the duty “would deter socially beneficial behavior.”  (</w:t>
      </w:r>
      <w:r w:rsidRPr="00C46631">
        <w:rPr>
          <w:rFonts w:ascii="Century Schoolbook" w:hAnsi="Century Schoolbook"/>
          <w:i/>
          <w:iCs/>
          <w:sz w:val="26"/>
          <w:szCs w:val="26"/>
        </w:rPr>
        <w:t>Kuciemba</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xml:space="preserve">, 14 Cal.5th at p. 1028.)  </w:t>
      </w:r>
      <w:r w:rsidRPr="00C46631">
        <w:rPr>
          <w:rFonts w:ascii="Century Schoolbook" w:hAnsi="Century Schoolbook"/>
          <w:i/>
          <w:iCs/>
          <w:sz w:val="26"/>
          <w:szCs w:val="26"/>
        </w:rPr>
        <w:t xml:space="preserve">Rowland </w:t>
      </w:r>
      <w:r w:rsidRPr="00C46631">
        <w:rPr>
          <w:rFonts w:ascii="Century Schoolbook" w:hAnsi="Century Schoolbook"/>
          <w:sz w:val="26"/>
          <w:szCs w:val="26"/>
        </w:rPr>
        <w:t xml:space="preserve">identifies four of these countervailing policy considerations: (1) the moral blame attaching to the defendant’s conduct, which is “typically found when the defendant reaps a financial benefit from the risks it </w:t>
      </w:r>
      <w:r w:rsidR="00F828BF">
        <w:rPr>
          <w:rFonts w:ascii="Century Schoolbook" w:hAnsi="Century Schoolbook"/>
          <w:sz w:val="26"/>
          <w:szCs w:val="26"/>
        </w:rPr>
        <w:t xml:space="preserve">has </w:t>
      </w:r>
      <w:r w:rsidRPr="00C46631">
        <w:rPr>
          <w:rFonts w:ascii="Century Schoolbook" w:hAnsi="Century Schoolbook"/>
          <w:sz w:val="26"/>
          <w:szCs w:val="26"/>
        </w:rPr>
        <w:t>created” (</w:t>
      </w:r>
      <w:r w:rsidRPr="00C46631">
        <w:rPr>
          <w:rFonts w:ascii="Century Schoolbook" w:hAnsi="Century Schoolbook"/>
          <w:i/>
          <w:iCs/>
          <w:sz w:val="26"/>
          <w:szCs w:val="26"/>
        </w:rPr>
        <w:t>Kuciemba</w:t>
      </w:r>
      <w:r w:rsidRPr="00C46631">
        <w:rPr>
          <w:rFonts w:ascii="Century Schoolbook" w:hAnsi="Century Schoolbook"/>
          <w:sz w:val="26"/>
          <w:szCs w:val="26"/>
        </w:rPr>
        <w:t>, at p. 1025)</w:t>
      </w:r>
      <w:r w:rsidR="00612318">
        <w:rPr>
          <w:rFonts w:ascii="Century Schoolbook" w:hAnsi="Century Schoolbook"/>
          <w:sz w:val="26"/>
          <w:szCs w:val="26"/>
        </w:rPr>
        <w:t>;</w:t>
      </w:r>
      <w:r w:rsidRPr="00C46631">
        <w:rPr>
          <w:rFonts w:ascii="Century Schoolbook" w:hAnsi="Century Schoolbook"/>
          <w:sz w:val="26"/>
          <w:szCs w:val="26"/>
        </w:rPr>
        <w:t xml:space="preserve"> (2) whether liability will “prevent[] future harm,” which looks to “both the positive and the negative societ</w:t>
      </w:r>
      <w:r w:rsidR="000B504E">
        <w:rPr>
          <w:rFonts w:ascii="Century Schoolbook" w:hAnsi="Century Schoolbook"/>
          <w:sz w:val="26"/>
          <w:szCs w:val="26"/>
        </w:rPr>
        <w:t>al</w:t>
      </w:r>
      <w:r w:rsidRPr="00C46631">
        <w:rPr>
          <w:rFonts w:ascii="Century Schoolbook" w:hAnsi="Century Schoolbook"/>
          <w:sz w:val="26"/>
          <w:szCs w:val="26"/>
        </w:rPr>
        <w:t xml:space="preserve"> consequences of recognizing a tort duty” in terms of how the imposition of liability </w:t>
      </w:r>
      <w:r w:rsidR="00536507">
        <w:rPr>
          <w:rFonts w:ascii="Century Schoolbook" w:hAnsi="Century Schoolbook"/>
          <w:sz w:val="26"/>
          <w:szCs w:val="26"/>
        </w:rPr>
        <w:t>is likely to</w:t>
      </w:r>
      <w:r w:rsidRPr="00C46631">
        <w:rPr>
          <w:rFonts w:ascii="Century Schoolbook" w:hAnsi="Century Schoolbook"/>
          <w:sz w:val="26"/>
          <w:szCs w:val="26"/>
        </w:rPr>
        <w:t xml:space="preserve"> play out (</w:t>
      </w:r>
      <w:r w:rsidRPr="00C46631">
        <w:rPr>
          <w:rFonts w:ascii="Century Schoolbook" w:hAnsi="Century Schoolbook"/>
          <w:i/>
          <w:iCs/>
          <w:sz w:val="26"/>
          <w:szCs w:val="26"/>
        </w:rPr>
        <w:t>id.</w:t>
      </w:r>
      <w:r w:rsidRPr="00C46631">
        <w:rPr>
          <w:rFonts w:ascii="Century Schoolbook" w:hAnsi="Century Schoolbook"/>
          <w:sz w:val="26"/>
          <w:szCs w:val="26"/>
        </w:rPr>
        <w:t xml:space="preserve"> at pp. 1021-1022, 102</w:t>
      </w:r>
      <w:r w:rsidR="00C24E44">
        <w:rPr>
          <w:rFonts w:ascii="Century Schoolbook" w:hAnsi="Century Schoolbook"/>
          <w:sz w:val="26"/>
          <w:szCs w:val="26"/>
        </w:rPr>
        <w:t>6</w:t>
      </w:r>
      <w:r w:rsidRPr="00C46631">
        <w:rPr>
          <w:rFonts w:ascii="Century Schoolbook" w:hAnsi="Century Schoolbook"/>
          <w:sz w:val="26"/>
          <w:szCs w:val="26"/>
        </w:rPr>
        <w:t xml:space="preserve">; </w:t>
      </w:r>
      <w:r w:rsidRPr="00C46631">
        <w:rPr>
          <w:rFonts w:ascii="Century Schoolbook" w:hAnsi="Century Schoolbook"/>
          <w:i/>
          <w:iCs/>
          <w:sz w:val="26"/>
          <w:szCs w:val="26"/>
        </w:rPr>
        <w:t>Cast</w:t>
      </w:r>
      <w:r w:rsidR="00184FD9">
        <w:rPr>
          <w:rFonts w:ascii="Century Schoolbook" w:hAnsi="Century Schoolbook"/>
          <w:i/>
          <w:iCs/>
          <w:sz w:val="26"/>
          <w:szCs w:val="26"/>
        </w:rPr>
        <w:t>ane</w:t>
      </w:r>
      <w:r w:rsidRPr="00C46631">
        <w:rPr>
          <w:rFonts w:ascii="Century Schoolbook" w:hAnsi="Century Schoolbook"/>
          <w:i/>
          <w:iCs/>
          <w:sz w:val="26"/>
          <w:szCs w:val="26"/>
        </w:rPr>
        <w:t xml:space="preserve">da v. Olsher </w:t>
      </w:r>
      <w:r w:rsidRPr="00C46631">
        <w:rPr>
          <w:rFonts w:ascii="Century Schoolbook" w:hAnsi="Century Schoolbook"/>
          <w:sz w:val="26"/>
          <w:szCs w:val="26"/>
        </w:rPr>
        <w:t>(2007) 41 Cal.4th 1205, 1217 (</w:t>
      </w:r>
      <w:r w:rsidRPr="00C46631">
        <w:rPr>
          <w:rFonts w:ascii="Century Schoolbook" w:hAnsi="Century Schoolbook"/>
          <w:i/>
          <w:iCs/>
          <w:sz w:val="26"/>
          <w:szCs w:val="26"/>
        </w:rPr>
        <w:t>Cast</w:t>
      </w:r>
      <w:r w:rsidR="00184FD9">
        <w:rPr>
          <w:rFonts w:ascii="Century Schoolbook" w:hAnsi="Century Schoolbook"/>
          <w:i/>
          <w:iCs/>
          <w:sz w:val="26"/>
          <w:szCs w:val="26"/>
        </w:rPr>
        <w:t>ane</w:t>
      </w:r>
      <w:r w:rsidRPr="00C46631">
        <w:rPr>
          <w:rFonts w:ascii="Century Schoolbook" w:hAnsi="Century Schoolbook"/>
          <w:i/>
          <w:iCs/>
          <w:sz w:val="26"/>
          <w:szCs w:val="26"/>
        </w:rPr>
        <w:t>da</w:t>
      </w:r>
      <w:r w:rsidRPr="00C46631">
        <w:rPr>
          <w:rFonts w:ascii="Century Schoolbook" w:hAnsi="Century Schoolbook"/>
          <w:sz w:val="26"/>
          <w:szCs w:val="26"/>
        </w:rPr>
        <w:t>))</w:t>
      </w:r>
      <w:r w:rsidR="00612318">
        <w:rPr>
          <w:rFonts w:ascii="Century Schoolbook" w:hAnsi="Century Schoolbook"/>
          <w:sz w:val="26"/>
          <w:szCs w:val="26"/>
        </w:rPr>
        <w:t>;</w:t>
      </w:r>
      <w:r w:rsidRPr="00C46631">
        <w:rPr>
          <w:rFonts w:ascii="Century Schoolbook" w:hAnsi="Century Schoolbook"/>
          <w:sz w:val="26"/>
          <w:szCs w:val="26"/>
        </w:rPr>
        <w:t xml:space="preserve"> (3) the “</w:t>
      </w:r>
      <w:r w:rsidR="003D3BB7">
        <w:rPr>
          <w:rFonts w:ascii="Century Schoolbook" w:hAnsi="Century Schoolbook"/>
          <w:sz w:val="26"/>
          <w:szCs w:val="26"/>
        </w:rPr>
        <w:t>‘</w:t>
      </w:r>
      <w:r w:rsidRPr="00C46631">
        <w:rPr>
          <w:rFonts w:ascii="Century Schoolbook" w:hAnsi="Century Schoolbook"/>
          <w:sz w:val="26"/>
          <w:szCs w:val="26"/>
        </w:rPr>
        <w:t>extent of the burden to the defendant and consequences to the community of imposing a duty . . . with resulting liability for breach</w:t>
      </w:r>
      <w:r w:rsidR="003D3BB7">
        <w:rPr>
          <w:rFonts w:ascii="Century Schoolbook" w:hAnsi="Century Schoolbook"/>
          <w:sz w:val="26"/>
          <w:szCs w:val="26"/>
        </w:rPr>
        <w:t>’</w:t>
      </w:r>
      <w:r w:rsidRPr="00C46631">
        <w:rPr>
          <w:rFonts w:ascii="Century Schoolbook" w:hAnsi="Century Schoolbook"/>
          <w:sz w:val="26"/>
          <w:szCs w:val="26"/>
        </w:rPr>
        <w:t>” (</w:t>
      </w:r>
      <w:r w:rsidRPr="00C46631">
        <w:rPr>
          <w:rFonts w:ascii="Century Schoolbook" w:hAnsi="Century Schoolbook"/>
          <w:i/>
          <w:iCs/>
          <w:sz w:val="26"/>
          <w:szCs w:val="26"/>
        </w:rPr>
        <w:t>Gas Leak Cases</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D42E17">
        <w:rPr>
          <w:rFonts w:ascii="Century Schoolbook" w:hAnsi="Century Schoolbook"/>
          <w:i/>
          <w:iCs/>
          <w:sz w:val="26"/>
          <w:szCs w:val="26"/>
        </w:rPr>
        <w:t>supra</w:t>
      </w:r>
      <w:r w:rsidRPr="00C46631">
        <w:rPr>
          <w:rFonts w:ascii="Century Schoolbook" w:hAnsi="Century Schoolbook"/>
          <w:sz w:val="26"/>
          <w:szCs w:val="26"/>
        </w:rPr>
        <w:t>, 7 Cal.5th at p. 398), including whether recognizing tort liability “would impose enormous and unprecedented financial burdens” on likely defendants (</w:t>
      </w:r>
      <w:r w:rsidRPr="00C46631">
        <w:rPr>
          <w:rFonts w:ascii="Century Schoolbook" w:hAnsi="Century Schoolbook"/>
          <w:i/>
          <w:iCs/>
          <w:sz w:val="26"/>
          <w:szCs w:val="26"/>
        </w:rPr>
        <w:t>Kuciemba</w:t>
      </w:r>
      <w:r w:rsidRPr="00D42E17">
        <w:rPr>
          <w:rFonts w:ascii="Century Schoolbook" w:hAnsi="Century Schoolbook"/>
          <w:sz w:val="26"/>
          <w:szCs w:val="26"/>
        </w:rPr>
        <w:t>,</w:t>
      </w:r>
      <w:r w:rsidRPr="00C46631">
        <w:rPr>
          <w:rFonts w:ascii="Century Schoolbook" w:hAnsi="Century Schoolbook"/>
          <w:i/>
          <w:iCs/>
          <w:sz w:val="26"/>
          <w:szCs w:val="26"/>
        </w:rPr>
        <w:t xml:space="preserve"> </w:t>
      </w:r>
      <w:r w:rsidRPr="00C46631">
        <w:rPr>
          <w:rFonts w:ascii="Century Schoolbook" w:hAnsi="Century Schoolbook"/>
          <w:sz w:val="26"/>
          <w:szCs w:val="26"/>
        </w:rPr>
        <w:t xml:space="preserve">at </w:t>
      </w:r>
      <w:r w:rsidR="00C976E9">
        <w:rPr>
          <w:rFonts w:ascii="Century Schoolbook" w:hAnsi="Century Schoolbook"/>
          <w:sz w:val="26"/>
          <w:szCs w:val="26"/>
        </w:rPr>
        <w:t xml:space="preserve">pp. 1027, </w:t>
      </w:r>
      <w:r w:rsidRPr="00C46631">
        <w:rPr>
          <w:rFonts w:ascii="Century Schoolbook" w:hAnsi="Century Schoolbook"/>
          <w:sz w:val="26"/>
          <w:szCs w:val="26"/>
        </w:rPr>
        <w:t>1021-1022)</w:t>
      </w:r>
      <w:r w:rsidR="00612318">
        <w:rPr>
          <w:rFonts w:ascii="Century Schoolbook" w:hAnsi="Century Schoolbook"/>
          <w:sz w:val="26"/>
          <w:szCs w:val="26"/>
        </w:rPr>
        <w:t>;</w:t>
      </w:r>
      <w:r w:rsidRPr="00C46631">
        <w:rPr>
          <w:rFonts w:ascii="Century Schoolbook" w:hAnsi="Century Schoolbook"/>
          <w:sz w:val="26"/>
          <w:szCs w:val="26"/>
        </w:rPr>
        <w:t xml:space="preserve"> and (4) the availability of insurance (</w:t>
      </w:r>
      <w:r w:rsidRPr="00C46631">
        <w:rPr>
          <w:rFonts w:ascii="Century Schoolbook" w:hAnsi="Century Schoolbook"/>
          <w:i/>
          <w:iCs/>
          <w:sz w:val="26"/>
          <w:szCs w:val="26"/>
        </w:rPr>
        <w:t xml:space="preserve">id. </w:t>
      </w:r>
      <w:r w:rsidRPr="00C46631">
        <w:rPr>
          <w:rFonts w:ascii="Century Schoolbook" w:hAnsi="Century Schoolbook"/>
          <w:sz w:val="26"/>
          <w:szCs w:val="26"/>
        </w:rPr>
        <w:t>at pp. 1021-1022).</w:t>
      </w:r>
    </w:p>
    <w:p w:rsidR="00C46631" w:rsidRPr="00C46631" w:rsidP="00C46631" w14:paraId="61EBB413" w14:textId="77777777">
      <w:pPr>
        <w:spacing w:line="288" w:lineRule="auto"/>
        <w:ind w:firstLine="720"/>
        <w:rPr>
          <w:rFonts w:ascii="Century Schoolbook" w:hAnsi="Century Schoolbook"/>
          <w:sz w:val="26"/>
          <w:szCs w:val="26"/>
        </w:rPr>
      </w:pPr>
      <w:r w:rsidRPr="00C46631">
        <w:rPr>
          <w:rFonts w:ascii="Century Schoolbook" w:hAnsi="Century Schoolbook"/>
          <w:b/>
          <w:bCs/>
          <w:sz w:val="26"/>
          <w:szCs w:val="26"/>
        </w:rPr>
        <w:t>B.</w:t>
      </w:r>
      <w:r w:rsidRPr="00C46631">
        <w:rPr>
          <w:rFonts w:ascii="Century Schoolbook" w:hAnsi="Century Schoolbook"/>
          <w:b/>
          <w:bCs/>
          <w:sz w:val="26"/>
          <w:szCs w:val="26"/>
        </w:rPr>
        <w:tab/>
      </w:r>
      <w:r w:rsidRPr="00C46631">
        <w:rPr>
          <w:rFonts w:ascii="Century Schoolbook" w:hAnsi="Century Schoolbook"/>
          <w:b/>
          <w:bCs/>
          <w:i/>
          <w:iCs/>
          <w:sz w:val="26"/>
          <w:szCs w:val="26"/>
        </w:rPr>
        <w:t>Application</w:t>
      </w:r>
    </w:p>
    <w:p w:rsidR="00C46631" w:rsidRPr="00C46631" w:rsidP="00C46631" w14:paraId="2A682940" w14:textId="15047308">
      <w:pPr>
        <w:spacing w:line="288" w:lineRule="auto"/>
        <w:ind w:firstLine="720"/>
        <w:rPr>
          <w:rFonts w:ascii="Century Schoolbook" w:hAnsi="Century Schoolbook"/>
          <w:sz w:val="26"/>
          <w:szCs w:val="26"/>
        </w:rPr>
      </w:pPr>
      <w:r w:rsidRPr="00C46631">
        <w:rPr>
          <w:rFonts w:ascii="Century Schoolbook" w:hAnsi="Century Schoolbook"/>
          <w:sz w:val="26"/>
          <w:szCs w:val="26"/>
        </w:rPr>
        <w:t>Because the Lanterman Act does not explicitly create a duty running from a regional center to the employees of the residential facilities where consumers are placed,</w:t>
      </w:r>
      <w:r>
        <w:rPr>
          <w:rFonts w:ascii="Century Schoolbook" w:hAnsi="Century Schoolbook"/>
          <w:b/>
          <w:bCs/>
          <w:sz w:val="26"/>
          <w:szCs w:val="26"/>
          <w:vertAlign w:val="superscript"/>
        </w:rPr>
        <w:footnoteReference w:id="6"/>
      </w:r>
      <w:r w:rsidRPr="00D42E17">
        <w:rPr>
          <w:rFonts w:ascii="Century Schoolbook" w:hAnsi="Century Schoolbook"/>
          <w:b/>
          <w:bCs/>
          <w:sz w:val="26"/>
          <w:szCs w:val="26"/>
        </w:rPr>
        <w:t xml:space="preserve"> </w:t>
      </w:r>
      <w:r w:rsidRPr="00C46631">
        <w:rPr>
          <w:rFonts w:ascii="Century Schoolbook" w:hAnsi="Century Schoolbook"/>
          <w:sz w:val="26"/>
          <w:szCs w:val="26"/>
        </w:rPr>
        <w:t xml:space="preserve">the question presented </w:t>
      </w:r>
      <w:r w:rsidR="000B504E">
        <w:rPr>
          <w:rFonts w:ascii="Century Schoolbook" w:hAnsi="Century Schoolbook"/>
          <w:sz w:val="26"/>
          <w:szCs w:val="26"/>
        </w:rPr>
        <w:t>here</w:t>
      </w:r>
      <w:r w:rsidRPr="00C46631">
        <w:rPr>
          <w:rFonts w:ascii="Century Schoolbook" w:hAnsi="Century Schoolbook"/>
          <w:sz w:val="26"/>
          <w:szCs w:val="26"/>
        </w:rPr>
        <w:t xml:space="preserve"> boils down to this:  Does a regional center</w:t>
      </w:r>
      <w:r w:rsidR="00B8204F">
        <w:rPr>
          <w:rFonts w:ascii="Century Schoolbook" w:hAnsi="Century Schoolbook"/>
          <w:sz w:val="26"/>
          <w:szCs w:val="26"/>
        </w:rPr>
        <w:t xml:space="preserve"> have a special relationship with the consumers it serves that gives rise to </w:t>
      </w:r>
      <w:r w:rsidRPr="00C46631">
        <w:rPr>
          <w:rFonts w:ascii="Century Schoolbook" w:hAnsi="Century Schoolbook"/>
          <w:sz w:val="26"/>
          <w:szCs w:val="26"/>
        </w:rPr>
        <w:t>a legal duty of care</w:t>
      </w:r>
      <w:r w:rsidR="00B8204F">
        <w:rPr>
          <w:rFonts w:ascii="Century Schoolbook" w:hAnsi="Century Schoolbook"/>
          <w:sz w:val="26"/>
          <w:szCs w:val="26"/>
        </w:rPr>
        <w:t xml:space="preserve"> owed by </w:t>
      </w:r>
      <w:r w:rsidR="004D7B30">
        <w:rPr>
          <w:rFonts w:ascii="Century Schoolbook" w:hAnsi="Century Schoolbook"/>
          <w:sz w:val="26"/>
          <w:szCs w:val="26"/>
        </w:rPr>
        <w:t>the</w:t>
      </w:r>
      <w:r w:rsidR="00B8204F">
        <w:rPr>
          <w:rFonts w:ascii="Century Schoolbook" w:hAnsi="Century Schoolbook"/>
          <w:sz w:val="26"/>
          <w:szCs w:val="26"/>
        </w:rPr>
        <w:t xml:space="preserve"> center</w:t>
      </w:r>
      <w:r w:rsidRPr="00C46631">
        <w:rPr>
          <w:rFonts w:ascii="Century Schoolbook" w:hAnsi="Century Schoolbook"/>
          <w:sz w:val="26"/>
          <w:szCs w:val="26"/>
        </w:rPr>
        <w:t xml:space="preserve"> to th</w:t>
      </w:r>
      <w:r w:rsidR="004D7B30">
        <w:rPr>
          <w:rFonts w:ascii="Century Schoolbook" w:hAnsi="Century Schoolbook"/>
          <w:sz w:val="26"/>
          <w:szCs w:val="26"/>
        </w:rPr>
        <w:t>e</w:t>
      </w:r>
      <w:r w:rsidRPr="00C46631">
        <w:rPr>
          <w:rFonts w:ascii="Century Schoolbook" w:hAnsi="Century Schoolbook"/>
          <w:sz w:val="26"/>
          <w:szCs w:val="26"/>
        </w:rPr>
        <w:t xml:space="preserve"> employees of residential facilit</w:t>
      </w:r>
      <w:r w:rsidR="004D7B30">
        <w:rPr>
          <w:rFonts w:ascii="Century Schoolbook" w:hAnsi="Century Schoolbook"/>
          <w:sz w:val="26"/>
          <w:szCs w:val="26"/>
        </w:rPr>
        <w:t>ies that house the consumers</w:t>
      </w:r>
      <w:r w:rsidRPr="00C46631">
        <w:rPr>
          <w:rFonts w:ascii="Century Schoolbook" w:hAnsi="Century Schoolbook"/>
          <w:sz w:val="26"/>
          <w:szCs w:val="26"/>
        </w:rPr>
        <w:t xml:space="preserve"> when the center does not immediately relocate a consumer after the facility has so requested?</w:t>
      </w:r>
      <w:r>
        <w:rPr>
          <w:rStyle w:val="FootnoteReference"/>
          <w:rFonts w:ascii="Century Schoolbook" w:hAnsi="Century Schoolbook"/>
          <w:b/>
          <w:bCs/>
          <w:szCs w:val="26"/>
        </w:rPr>
        <w:footnoteReference w:id="7"/>
      </w:r>
      <w:r w:rsidRPr="00D42E17">
        <w:rPr>
          <w:rFonts w:ascii="Century Schoolbook" w:hAnsi="Century Schoolbook"/>
          <w:b/>
          <w:bCs/>
          <w:sz w:val="26"/>
          <w:szCs w:val="26"/>
        </w:rPr>
        <w:t xml:space="preserve"> </w:t>
      </w:r>
      <w:r w:rsidRPr="00C46631">
        <w:rPr>
          <w:rFonts w:ascii="Century Schoolbook" w:hAnsi="Century Schoolbook"/>
          <w:sz w:val="26"/>
          <w:szCs w:val="26"/>
        </w:rPr>
        <w:t xml:space="preserve"> </w:t>
      </w:r>
    </w:p>
    <w:p w:rsidR="00C46631" w:rsidRPr="00C46631" w:rsidP="00C46631" w14:paraId="790348C0"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We conclude that the answer is “no,” and do so for three reasons.</w:t>
      </w:r>
    </w:p>
    <w:p w:rsidR="00C46631" w:rsidRPr="00C46631" w:rsidP="00C46631" w14:paraId="0E0AD90D" w14:textId="071CB9A8">
      <w:pPr>
        <w:spacing w:line="288" w:lineRule="auto"/>
        <w:rPr>
          <w:rFonts w:ascii="Century Schoolbook" w:hAnsi="Century Schoolbook"/>
          <w:sz w:val="26"/>
          <w:szCs w:val="26"/>
        </w:rPr>
      </w:pPr>
      <w:r w:rsidRPr="00C46631">
        <w:rPr>
          <w:rFonts w:ascii="Century Schoolbook" w:hAnsi="Century Schoolbook"/>
          <w:sz w:val="26"/>
          <w:szCs w:val="26"/>
        </w:rPr>
        <w:tab/>
      </w:r>
      <w:r>
        <w:rPr>
          <w:rFonts w:ascii="Century Schoolbook" w:hAnsi="Century Schoolbook"/>
          <w:sz w:val="26"/>
          <w:szCs w:val="26"/>
        </w:rPr>
        <w:tab/>
      </w:r>
      <w:r w:rsidRPr="00C46631">
        <w:rPr>
          <w:rFonts w:ascii="Century Schoolbook" w:hAnsi="Century Schoolbook"/>
          <w:sz w:val="26"/>
          <w:szCs w:val="26"/>
        </w:rPr>
        <w:t>1.</w:t>
      </w:r>
      <w:r w:rsidRPr="00C46631">
        <w:rPr>
          <w:rFonts w:ascii="Century Schoolbook" w:hAnsi="Century Schoolbook"/>
          <w:sz w:val="26"/>
          <w:szCs w:val="26"/>
        </w:rPr>
        <w:tab/>
      </w:r>
      <w:r w:rsidRPr="00C46631">
        <w:rPr>
          <w:rFonts w:ascii="Century Schoolbook" w:hAnsi="Century Schoolbook"/>
          <w:i/>
          <w:iCs/>
          <w:sz w:val="26"/>
          <w:szCs w:val="26"/>
        </w:rPr>
        <w:t>The Regional Center lacks the ability—and hence the duty—to control J.C.</w:t>
      </w:r>
    </w:p>
    <w:p w:rsidR="007906E5" w:rsidP="00C46631" w14:paraId="0F664BAC" w14:textId="047A10B5">
      <w:pPr>
        <w:spacing w:line="288" w:lineRule="auto"/>
        <w:ind w:firstLine="720"/>
        <w:rPr>
          <w:rFonts w:ascii="Century Schoolbook" w:hAnsi="Century Schoolbook"/>
          <w:sz w:val="26"/>
          <w:szCs w:val="26"/>
        </w:rPr>
      </w:pPr>
      <w:r w:rsidRPr="00C46631">
        <w:rPr>
          <w:rFonts w:ascii="Century Schoolbook" w:hAnsi="Century Schoolbook"/>
          <w:sz w:val="26"/>
          <w:szCs w:val="26"/>
        </w:rPr>
        <w:t>The undisputed facts establish that the Regional Center does not have the ability to control J.C.</w:t>
      </w:r>
      <w:r>
        <w:rPr>
          <w:rFonts w:ascii="Century Schoolbook" w:hAnsi="Century Schoolbook"/>
          <w:sz w:val="26"/>
          <w:szCs w:val="26"/>
        </w:rPr>
        <w:t xml:space="preserve"> and, therefore, no special relationship exists </w:t>
      </w:r>
      <w:r w:rsidR="002C7E02">
        <w:rPr>
          <w:rFonts w:ascii="Century Schoolbook" w:hAnsi="Century Schoolbook"/>
          <w:sz w:val="26"/>
          <w:szCs w:val="26"/>
        </w:rPr>
        <w:t xml:space="preserve">between the Regional Center and J.C. </w:t>
      </w:r>
      <w:r>
        <w:rPr>
          <w:rFonts w:ascii="Century Schoolbook" w:hAnsi="Century Schoolbook"/>
          <w:sz w:val="26"/>
          <w:szCs w:val="26"/>
        </w:rPr>
        <w:t>that could give rise to a</w:t>
      </w:r>
      <w:r w:rsidR="00D53A73">
        <w:rPr>
          <w:rFonts w:ascii="Century Schoolbook" w:hAnsi="Century Schoolbook"/>
          <w:sz w:val="26"/>
          <w:szCs w:val="26"/>
        </w:rPr>
        <w:t xml:space="preserve"> </w:t>
      </w:r>
      <w:r>
        <w:rPr>
          <w:rFonts w:ascii="Century Schoolbook" w:hAnsi="Century Schoolbook"/>
          <w:sz w:val="26"/>
          <w:szCs w:val="26"/>
        </w:rPr>
        <w:t>duty.</w:t>
      </w:r>
    </w:p>
    <w:p w:rsidR="00C46631" w:rsidRPr="00C46631" w:rsidP="00C46631" w14:paraId="51357F65" w14:textId="186BDADA">
      <w:pPr>
        <w:spacing w:line="288" w:lineRule="auto"/>
        <w:ind w:firstLine="720"/>
        <w:rPr>
          <w:rFonts w:ascii="Century Schoolbook" w:hAnsi="Century Schoolbook"/>
          <w:sz w:val="26"/>
          <w:szCs w:val="26"/>
        </w:rPr>
      </w:pPr>
      <w:r w:rsidRPr="00C46631">
        <w:rPr>
          <w:rFonts w:ascii="Century Schoolbook" w:hAnsi="Century Schoolbook"/>
          <w:sz w:val="26"/>
          <w:szCs w:val="26"/>
        </w:rPr>
        <w:t>The Regional Center stands in a service coordinator-consumer relationship with J.C., which is not a relationship which inherently involves the former’s control over the latter.  The Regional Center also does not have the ability to control J.C.’s environment, which is owned and operated by Hargis Ho</w:t>
      </w:r>
      <w:r w:rsidR="005F267C">
        <w:rPr>
          <w:rFonts w:ascii="Century Schoolbook" w:hAnsi="Century Schoolbook"/>
          <w:sz w:val="26"/>
          <w:szCs w:val="26"/>
        </w:rPr>
        <w:t>m</w:t>
      </w:r>
      <w:r w:rsidRPr="00C46631">
        <w:rPr>
          <w:rFonts w:ascii="Century Schoolbook" w:hAnsi="Century Schoolbook"/>
          <w:sz w:val="26"/>
          <w:szCs w:val="26"/>
        </w:rPr>
        <w:t>e.  Although landlords (and schools) may have a duty to protect one tenant (or student) from another by virtue of their control over the premises (</w:t>
      </w:r>
      <w:r w:rsidRPr="00C46631">
        <w:rPr>
          <w:rFonts w:ascii="Century Schoolbook" w:hAnsi="Century Schoolbook"/>
          <w:i/>
          <w:iCs/>
          <w:sz w:val="26"/>
          <w:szCs w:val="26"/>
        </w:rPr>
        <w:t>Cast</w:t>
      </w:r>
      <w:r w:rsidR="00184FD9">
        <w:rPr>
          <w:rFonts w:ascii="Century Schoolbook" w:hAnsi="Century Schoolbook"/>
          <w:i/>
          <w:iCs/>
          <w:sz w:val="26"/>
          <w:szCs w:val="26"/>
        </w:rPr>
        <w:t>ane</w:t>
      </w:r>
      <w:r w:rsidRPr="00C46631">
        <w:rPr>
          <w:rFonts w:ascii="Century Schoolbook" w:hAnsi="Century Schoolbook"/>
          <w:i/>
          <w:iCs/>
          <w:sz w:val="26"/>
          <w:szCs w:val="26"/>
        </w:rPr>
        <w:t>da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41 Cal.4th at pp. 1219-1220 [landlord]; </w:t>
      </w:r>
      <w:r w:rsidRPr="00C46631">
        <w:rPr>
          <w:rFonts w:ascii="Century Schoolbook" w:hAnsi="Century Schoolbook"/>
          <w:i/>
          <w:iCs/>
          <w:sz w:val="26"/>
          <w:szCs w:val="26"/>
        </w:rPr>
        <w:t>Andrews v. Mobile Air</w:t>
      </w:r>
      <w:r w:rsidR="00310B9F">
        <w:rPr>
          <w:rFonts w:ascii="Century Schoolbook" w:hAnsi="Century Schoolbook"/>
          <w:i/>
          <w:iCs/>
          <w:sz w:val="26"/>
          <w:szCs w:val="26"/>
        </w:rPr>
        <w:t>e</w:t>
      </w:r>
      <w:r w:rsidRPr="00C46631">
        <w:rPr>
          <w:rFonts w:ascii="Century Schoolbook" w:hAnsi="Century Schoolbook"/>
          <w:i/>
          <w:iCs/>
          <w:sz w:val="26"/>
          <w:szCs w:val="26"/>
        </w:rPr>
        <w:t xml:space="preserve"> Estates </w:t>
      </w:r>
      <w:r w:rsidRPr="00C46631">
        <w:rPr>
          <w:rFonts w:ascii="Century Schoolbook" w:hAnsi="Century Schoolbook"/>
          <w:sz w:val="26"/>
          <w:szCs w:val="26"/>
        </w:rPr>
        <w:t xml:space="preserve">(2005) 125 Cal.App.4th 578, 596 [same]; </w:t>
      </w:r>
      <w:r w:rsidRPr="00C46631">
        <w:rPr>
          <w:rFonts w:ascii="Century Schoolbook" w:hAnsi="Century Schoolbook"/>
          <w:i/>
          <w:iCs/>
          <w:sz w:val="26"/>
          <w:szCs w:val="26"/>
        </w:rPr>
        <w:t>Madhani v. Cooper</w:t>
      </w:r>
      <w:r w:rsidRPr="00C46631">
        <w:rPr>
          <w:rFonts w:ascii="Century Schoolbook" w:hAnsi="Century Schoolbook"/>
          <w:sz w:val="26"/>
          <w:szCs w:val="26"/>
        </w:rPr>
        <w:t xml:space="preserve"> (2003) 106 Cal.App.4th 412, 413-415 [same];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 634 [university]; </w:t>
      </w:r>
      <w:r w:rsidRPr="00C46631">
        <w:rPr>
          <w:rFonts w:ascii="Century Schoolbook" w:hAnsi="Century Schoolbook"/>
          <w:i/>
          <w:iCs/>
          <w:sz w:val="26"/>
          <w:szCs w:val="26"/>
        </w:rPr>
        <w:t>Peterson v. San Francisco Community College Dist.</w:t>
      </w:r>
      <w:r w:rsidRPr="00C46631">
        <w:rPr>
          <w:rFonts w:ascii="Century Schoolbook" w:hAnsi="Century Schoolbook"/>
          <w:sz w:val="26"/>
          <w:szCs w:val="26"/>
        </w:rPr>
        <w:t xml:space="preserve"> (1984) 36 Cal.3d 799, 805-806 [community college]), the Regional Center is neither a landlord nor an academic institution. </w:t>
      </w:r>
    </w:p>
    <w:p w:rsidR="00C46631" w:rsidRPr="00C46631" w:rsidP="00C46631" w14:paraId="0C651DF6" w14:textId="4D35F3CD">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More to the point of the current iteration </w:t>
      </w:r>
      <w:r w:rsidR="007906E5">
        <w:rPr>
          <w:rFonts w:ascii="Century Schoolbook" w:hAnsi="Century Schoolbook"/>
          <w:sz w:val="26"/>
          <w:szCs w:val="26"/>
        </w:rPr>
        <w:t xml:space="preserve">of </w:t>
      </w:r>
      <w:r w:rsidRPr="00C46631">
        <w:rPr>
          <w:rFonts w:ascii="Century Schoolbook" w:hAnsi="Century Schoolbook"/>
          <w:sz w:val="26"/>
          <w:szCs w:val="26"/>
        </w:rPr>
        <w:t xml:space="preserve">plaintiff’s claim, and contrary to what plaintiff asserts, the undisputed facts establish that the Regional Center does not have the </w:t>
      </w:r>
      <w:r w:rsidR="006048A1">
        <w:rPr>
          <w:rFonts w:ascii="Century Schoolbook" w:hAnsi="Century Schoolbook"/>
          <w:sz w:val="26"/>
          <w:szCs w:val="26"/>
        </w:rPr>
        <w:t xml:space="preserve">sole (or, as plaintiff states, </w:t>
      </w:r>
      <w:r w:rsidRPr="00C46631">
        <w:rPr>
          <w:rFonts w:ascii="Century Schoolbook" w:hAnsi="Century Schoolbook"/>
          <w:sz w:val="26"/>
          <w:szCs w:val="26"/>
        </w:rPr>
        <w:t>“ultimate”</w:t>
      </w:r>
      <w:r w:rsidR="006048A1">
        <w:rPr>
          <w:rFonts w:ascii="Century Schoolbook" w:hAnsi="Century Schoolbook"/>
          <w:sz w:val="26"/>
          <w:szCs w:val="26"/>
        </w:rPr>
        <w:t>)</w:t>
      </w:r>
      <w:r w:rsidRPr="00C46631">
        <w:rPr>
          <w:rFonts w:ascii="Century Schoolbook" w:hAnsi="Century Schoolbook"/>
          <w:sz w:val="26"/>
          <w:szCs w:val="26"/>
        </w:rPr>
        <w:t xml:space="preserve"> ability to control J.C.’s placement among various facilities.  Regional centers are service </w:t>
      </w:r>
      <w:r w:rsidRPr="00C46631">
        <w:rPr>
          <w:rFonts w:ascii="Century Schoolbook" w:hAnsi="Century Schoolbook"/>
          <w:i/>
          <w:iCs/>
          <w:sz w:val="26"/>
          <w:szCs w:val="26"/>
        </w:rPr>
        <w:t>coordinators</w:t>
      </w:r>
      <w:r w:rsidRPr="00C46631">
        <w:rPr>
          <w:rFonts w:ascii="Century Schoolbook" w:hAnsi="Century Schoolbook"/>
          <w:sz w:val="26"/>
          <w:szCs w:val="26"/>
        </w:rPr>
        <w:t xml:space="preserve">; they do not themselves own or operate residential facilities.  Thus, when a consumer is to be relocated from one facility to another, the regional center must </w:t>
      </w:r>
      <w:r w:rsidR="007906E5">
        <w:rPr>
          <w:rFonts w:ascii="Century Schoolbook" w:hAnsi="Century Schoolbook"/>
          <w:sz w:val="26"/>
          <w:szCs w:val="26"/>
        </w:rPr>
        <w:t>identify</w:t>
      </w:r>
      <w:r w:rsidRPr="00C46631" w:rsidR="007906E5">
        <w:rPr>
          <w:rFonts w:ascii="Century Schoolbook" w:hAnsi="Century Schoolbook"/>
          <w:sz w:val="26"/>
          <w:szCs w:val="26"/>
        </w:rPr>
        <w:t xml:space="preserve"> </w:t>
      </w:r>
      <w:r w:rsidRPr="00C46631">
        <w:rPr>
          <w:rFonts w:ascii="Century Schoolbook" w:hAnsi="Century Schoolbook"/>
          <w:sz w:val="26"/>
          <w:szCs w:val="26"/>
        </w:rPr>
        <w:t xml:space="preserve">another facility able and willing to accept the consumer as a resident.  (Accord, </w:t>
      </w:r>
      <w:r w:rsidRPr="00C46631">
        <w:rPr>
          <w:rFonts w:ascii="Century Schoolbook" w:hAnsi="Century Schoolbook"/>
          <w:i/>
          <w:iCs/>
          <w:sz w:val="26"/>
          <w:szCs w:val="26"/>
        </w:rPr>
        <w:t>Kuciemba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14 Cal.5th at p. 1026 [employer that cannot “fully control the risk of infection” not liable for infections that its employees bring home from work].)  </w:t>
      </w:r>
      <w:r w:rsidR="00643E03">
        <w:rPr>
          <w:rFonts w:ascii="Century Schoolbook" w:hAnsi="Century Schoolbook"/>
          <w:sz w:val="26"/>
          <w:szCs w:val="26"/>
        </w:rPr>
        <w:t xml:space="preserve">Contrary to what plaintiff </w:t>
      </w:r>
      <w:r w:rsidR="00AD531F">
        <w:rPr>
          <w:rFonts w:ascii="Century Schoolbook" w:hAnsi="Century Schoolbook"/>
          <w:sz w:val="26"/>
          <w:szCs w:val="26"/>
        </w:rPr>
        <w:t>asserted</w:t>
      </w:r>
      <w:r w:rsidR="00643E03">
        <w:rPr>
          <w:rFonts w:ascii="Century Schoolbook" w:hAnsi="Century Schoolbook"/>
          <w:sz w:val="26"/>
          <w:szCs w:val="26"/>
        </w:rPr>
        <w:t xml:space="preserve"> at oral argument, a regional center cannot unilaterally </w:t>
      </w:r>
      <w:r w:rsidR="00AD531F">
        <w:rPr>
          <w:rFonts w:ascii="Century Schoolbook" w:hAnsi="Century Schoolbook"/>
          <w:sz w:val="26"/>
          <w:szCs w:val="26"/>
        </w:rPr>
        <w:t>relocate</w:t>
      </w:r>
      <w:r w:rsidR="00643E03">
        <w:rPr>
          <w:rFonts w:ascii="Century Schoolbook" w:hAnsi="Century Schoolbook"/>
          <w:sz w:val="26"/>
          <w:szCs w:val="26"/>
        </w:rPr>
        <w:t xml:space="preserve"> a consumer to a mental institution; plaintiff cites no statute</w:t>
      </w:r>
      <w:r w:rsidR="00AD531F">
        <w:rPr>
          <w:rFonts w:ascii="Century Schoolbook" w:hAnsi="Century Schoolbook"/>
          <w:sz w:val="26"/>
          <w:szCs w:val="26"/>
        </w:rPr>
        <w:t xml:space="preserve"> or regulation</w:t>
      </w:r>
      <w:r w:rsidR="00643E03">
        <w:rPr>
          <w:rFonts w:ascii="Century Schoolbook" w:hAnsi="Century Schoolbook"/>
          <w:sz w:val="26"/>
          <w:szCs w:val="26"/>
        </w:rPr>
        <w:t xml:space="preserve"> providing such authority, and offered no evidence that the Regional Center had a practice of doing so </w:t>
      </w:r>
      <w:r w:rsidR="00AD531F">
        <w:rPr>
          <w:rFonts w:ascii="Century Schoolbook" w:hAnsi="Century Schoolbook"/>
          <w:sz w:val="26"/>
          <w:szCs w:val="26"/>
        </w:rPr>
        <w:t xml:space="preserve">for J.C. </w:t>
      </w:r>
      <w:r w:rsidR="00643E03">
        <w:rPr>
          <w:rFonts w:ascii="Century Schoolbook" w:hAnsi="Century Schoolbook"/>
          <w:sz w:val="26"/>
          <w:szCs w:val="26"/>
        </w:rPr>
        <w:t xml:space="preserve">in the past.  </w:t>
      </w:r>
      <w:r w:rsidRPr="00C46631">
        <w:rPr>
          <w:rFonts w:ascii="Century Schoolbook" w:hAnsi="Century Schoolbook"/>
          <w:sz w:val="26"/>
          <w:szCs w:val="26"/>
        </w:rPr>
        <w:t>Whether Hargis Ho</w:t>
      </w:r>
      <w:r w:rsidR="005F267C">
        <w:rPr>
          <w:rFonts w:ascii="Century Schoolbook" w:hAnsi="Century Schoolbook"/>
          <w:sz w:val="26"/>
          <w:szCs w:val="26"/>
        </w:rPr>
        <w:t>m</w:t>
      </w:r>
      <w:r w:rsidRPr="00C46631">
        <w:rPr>
          <w:rFonts w:ascii="Century Schoolbook" w:hAnsi="Century Schoolbook"/>
          <w:sz w:val="26"/>
          <w:szCs w:val="26"/>
        </w:rPr>
        <w:t xml:space="preserve">e </w:t>
      </w:r>
      <w:r w:rsidRPr="00C46631">
        <w:rPr>
          <w:rFonts w:ascii="Century Schoolbook" w:hAnsi="Century Schoolbook"/>
          <w:i/>
          <w:iCs/>
          <w:sz w:val="26"/>
          <w:szCs w:val="26"/>
        </w:rPr>
        <w:t>also</w:t>
      </w:r>
      <w:r w:rsidRPr="00C46631">
        <w:rPr>
          <w:rFonts w:ascii="Century Schoolbook" w:hAnsi="Century Schoolbook"/>
          <w:sz w:val="26"/>
          <w:szCs w:val="26"/>
        </w:rPr>
        <w:t xml:space="preserve"> had the power to evict J.C. is therefore beside the point, as it has no bearing on </w:t>
      </w:r>
      <w:r w:rsidRPr="00C46631">
        <w:rPr>
          <w:rFonts w:ascii="Century Schoolbook" w:hAnsi="Century Schoolbook"/>
          <w:i/>
          <w:iCs/>
          <w:sz w:val="26"/>
          <w:szCs w:val="26"/>
        </w:rPr>
        <w:t>the Regional Center</w:t>
      </w:r>
      <w:r w:rsidRPr="00C46631">
        <w:rPr>
          <w:rFonts w:ascii="Century Schoolbook" w:hAnsi="Century Schoolbook"/>
          <w:sz w:val="26"/>
          <w:szCs w:val="26"/>
        </w:rPr>
        <w:t>’s</w:t>
      </w:r>
      <w:r w:rsidRPr="00C46631">
        <w:rPr>
          <w:rFonts w:ascii="Century Schoolbook" w:hAnsi="Century Schoolbook"/>
          <w:i/>
          <w:iCs/>
          <w:sz w:val="26"/>
          <w:szCs w:val="26"/>
        </w:rPr>
        <w:t xml:space="preserve"> </w:t>
      </w:r>
      <w:r w:rsidRPr="00C46631">
        <w:rPr>
          <w:rFonts w:ascii="Century Schoolbook" w:hAnsi="Century Schoolbook"/>
          <w:sz w:val="26"/>
          <w:szCs w:val="26"/>
        </w:rPr>
        <w:t>ability to control J.C.’s placement; contrary to what plaintiff argues, Hargis Ho</w:t>
      </w:r>
      <w:r w:rsidR="005F267C">
        <w:rPr>
          <w:rFonts w:ascii="Century Schoolbook" w:hAnsi="Century Schoolbook"/>
          <w:sz w:val="26"/>
          <w:szCs w:val="26"/>
        </w:rPr>
        <w:t>m</w:t>
      </w:r>
      <w:r w:rsidRPr="00C46631">
        <w:rPr>
          <w:rFonts w:ascii="Century Schoolbook" w:hAnsi="Century Schoolbook"/>
          <w:sz w:val="26"/>
          <w:szCs w:val="26"/>
        </w:rPr>
        <w:t>e’s power to evict does not somehow imbue the Regional Center with control or otherwise ma</w:t>
      </w:r>
      <w:r w:rsidR="00F867B4">
        <w:rPr>
          <w:rFonts w:ascii="Century Schoolbook" w:hAnsi="Century Schoolbook"/>
          <w:sz w:val="26"/>
          <w:szCs w:val="26"/>
        </w:rPr>
        <w:t>k</w:t>
      </w:r>
      <w:r w:rsidRPr="00C46631">
        <w:rPr>
          <w:rFonts w:ascii="Century Schoolbook" w:hAnsi="Century Schoolbook"/>
          <w:sz w:val="26"/>
          <w:szCs w:val="26"/>
        </w:rPr>
        <w:t>e Hargis Ho</w:t>
      </w:r>
      <w:r w:rsidR="005F267C">
        <w:rPr>
          <w:rFonts w:ascii="Century Schoolbook" w:hAnsi="Century Schoolbook"/>
          <w:sz w:val="26"/>
          <w:szCs w:val="26"/>
        </w:rPr>
        <w:t>m</w:t>
      </w:r>
      <w:r w:rsidRPr="00C46631">
        <w:rPr>
          <w:rFonts w:ascii="Century Schoolbook" w:hAnsi="Century Schoolbook"/>
          <w:sz w:val="26"/>
          <w:szCs w:val="26"/>
        </w:rPr>
        <w:t xml:space="preserve">e and the Regional Center joint tortfeasors.  </w:t>
      </w:r>
    </w:p>
    <w:p w:rsidR="00C46631" w:rsidRPr="00C46631" w:rsidP="00C46631" w14:paraId="1E3B18CC" w14:textId="65477399">
      <w:pPr>
        <w:spacing w:line="288" w:lineRule="auto"/>
        <w:ind w:firstLine="720"/>
        <w:rPr>
          <w:rFonts w:ascii="Century Schoolbook" w:hAnsi="Century Schoolbook"/>
          <w:sz w:val="26"/>
          <w:szCs w:val="26"/>
        </w:rPr>
      </w:pPr>
      <w:r w:rsidRPr="00C46631">
        <w:rPr>
          <w:rFonts w:ascii="Century Schoolbook" w:hAnsi="Century Schoolbook"/>
          <w:sz w:val="26"/>
          <w:szCs w:val="26"/>
        </w:rPr>
        <w:t>Because the Regional Center lacks the ability to unilaterally control J.C.</w:t>
      </w:r>
      <w:r w:rsidR="00FC0837">
        <w:rPr>
          <w:rFonts w:ascii="Century Schoolbook" w:hAnsi="Century Schoolbook"/>
          <w:sz w:val="26"/>
          <w:szCs w:val="26"/>
        </w:rPr>
        <w:t xml:space="preserve">, </w:t>
      </w:r>
      <w:r w:rsidRPr="00C46631">
        <w:rPr>
          <w:rFonts w:ascii="Century Schoolbook" w:hAnsi="Century Schoolbook"/>
          <w:sz w:val="26"/>
          <w:szCs w:val="26"/>
        </w:rPr>
        <w:t>J.C.’s location</w:t>
      </w:r>
      <w:r w:rsidR="00BE2BF3">
        <w:rPr>
          <w:rFonts w:ascii="Century Schoolbook" w:hAnsi="Century Schoolbook"/>
          <w:sz w:val="26"/>
          <w:szCs w:val="26"/>
        </w:rPr>
        <w:t>,</w:t>
      </w:r>
      <w:r w:rsidR="00FC0837">
        <w:rPr>
          <w:rFonts w:ascii="Century Schoolbook" w:hAnsi="Century Schoolbook"/>
          <w:sz w:val="26"/>
          <w:szCs w:val="26"/>
        </w:rPr>
        <w:t xml:space="preserve"> or J.C’s</w:t>
      </w:r>
      <w:r w:rsidRPr="00C46631">
        <w:rPr>
          <w:rFonts w:ascii="Century Schoolbook" w:hAnsi="Century Schoolbook"/>
          <w:sz w:val="26"/>
          <w:szCs w:val="26"/>
        </w:rPr>
        <w:t xml:space="preserve"> relocation, the Regional Center necessarily lacks the </w:t>
      </w:r>
      <w:r w:rsidRPr="00C46631">
        <w:rPr>
          <w:rFonts w:ascii="Century Schoolbook" w:hAnsi="Century Schoolbook"/>
          <w:i/>
          <w:iCs/>
          <w:sz w:val="26"/>
          <w:szCs w:val="26"/>
        </w:rPr>
        <w:t>duty</w:t>
      </w:r>
      <w:r w:rsidRPr="00C46631">
        <w:rPr>
          <w:rFonts w:ascii="Century Schoolbook" w:hAnsi="Century Schoolbook"/>
          <w:sz w:val="26"/>
          <w:szCs w:val="26"/>
        </w:rPr>
        <w:t xml:space="preserve"> to control—and hence does not stand in a special relationship with J.C. that could give rise to a duty running to plaintiff.</w:t>
      </w:r>
    </w:p>
    <w:p w:rsidR="00C46631" w:rsidRPr="00C46631" w:rsidP="00536507" w14:paraId="5C3306F3"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Plaintiff resists this conclusion with what boils down to two arguments.</w:t>
      </w:r>
    </w:p>
    <w:p w:rsidR="00C46631" w:rsidRPr="00C46631" w:rsidP="00C46631" w14:paraId="2C9E8500" w14:textId="3D088A8D">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First, plaintiff argues that the Regional Center’s more generalized duty to monitor creates a duty.  It does not.  As our Supreme Court noted in </w:t>
      </w:r>
      <w:r w:rsidRPr="00C46631">
        <w:rPr>
          <w:rFonts w:ascii="Century Schoolbook" w:hAnsi="Century Schoolbook"/>
          <w:i/>
          <w:iCs/>
          <w:sz w:val="26"/>
          <w:szCs w:val="26"/>
        </w:rPr>
        <w:t>Morohoshi</w:t>
      </w:r>
      <w:r w:rsidRPr="00C46631">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34 Cal.4th 48</w:t>
      </w:r>
      <w:r w:rsidR="00936BB4">
        <w:rPr>
          <w:rFonts w:ascii="Century Schoolbook" w:hAnsi="Century Schoolbook"/>
          <w:sz w:val="26"/>
          <w:szCs w:val="26"/>
        </w:rPr>
        <w:t>2</w:t>
      </w:r>
      <w:r w:rsidRPr="00C46631">
        <w:rPr>
          <w:rFonts w:ascii="Century Schoolbook" w:hAnsi="Century Schoolbook"/>
          <w:sz w:val="26"/>
          <w:szCs w:val="26"/>
        </w:rPr>
        <w:t xml:space="preserve">, a regional center’s “monitoring responsibilities” are “important but </w:t>
      </w:r>
      <w:r w:rsidRPr="00C46631">
        <w:rPr>
          <w:rFonts w:ascii="Century Schoolbook" w:hAnsi="Century Schoolbook"/>
          <w:i/>
          <w:iCs/>
          <w:sz w:val="26"/>
          <w:szCs w:val="26"/>
        </w:rPr>
        <w:t>limited</w:t>
      </w:r>
      <w:r w:rsidRPr="00C46631">
        <w:rPr>
          <w:rFonts w:ascii="Century Schoolbook" w:hAnsi="Century Schoolbook"/>
          <w:sz w:val="26"/>
          <w:szCs w:val="26"/>
        </w:rPr>
        <w:t>.”  (</w:t>
      </w:r>
      <w:r w:rsidRPr="00C46631">
        <w:rPr>
          <w:rFonts w:ascii="Century Schoolbook" w:hAnsi="Century Schoolbook"/>
          <w:i/>
          <w:iCs/>
          <w:sz w:val="26"/>
          <w:szCs w:val="26"/>
        </w:rPr>
        <w:t>Id.</w:t>
      </w:r>
      <w:r w:rsidRPr="00C46631">
        <w:rPr>
          <w:rFonts w:ascii="Century Schoolbook" w:hAnsi="Century Schoolbook"/>
          <w:sz w:val="26"/>
          <w:szCs w:val="26"/>
        </w:rPr>
        <w:t xml:space="preserve"> at p. 4</w:t>
      </w:r>
      <w:r w:rsidR="00936BB4">
        <w:rPr>
          <w:rFonts w:ascii="Century Schoolbook" w:hAnsi="Century Schoolbook"/>
          <w:sz w:val="26"/>
          <w:szCs w:val="26"/>
        </w:rPr>
        <w:t>90, italics added</w:t>
      </w:r>
      <w:r w:rsidRPr="00C46631">
        <w:rPr>
          <w:rFonts w:ascii="Century Schoolbook" w:hAnsi="Century Schoolbook"/>
          <w:sz w:val="26"/>
          <w:szCs w:val="26"/>
        </w:rPr>
        <w:t xml:space="preserve">.)  </w:t>
      </w:r>
    </w:p>
    <w:p w:rsidR="00C46631" w:rsidRPr="00C46631" w:rsidP="00C46631" w14:paraId="586119FB" w14:textId="43694802">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Second, plaintiff argues that he relied upon—and was dependent upon—the Regional Center to relocate J.C., and that reliance and dependency are a basis for creating a special relationship.  This argument </w:t>
      </w:r>
      <w:r w:rsidR="00536507">
        <w:rPr>
          <w:rFonts w:ascii="Century Schoolbook" w:hAnsi="Century Schoolbook"/>
          <w:sz w:val="26"/>
          <w:szCs w:val="26"/>
        </w:rPr>
        <w:t xml:space="preserve">also </w:t>
      </w:r>
      <w:r w:rsidRPr="00C46631">
        <w:rPr>
          <w:rFonts w:ascii="Century Schoolbook" w:hAnsi="Century Schoolbook"/>
          <w:sz w:val="26"/>
          <w:szCs w:val="26"/>
        </w:rPr>
        <w:t xml:space="preserve">lacks merit.  For starters, this argument ignores that a plaintiff’s reliance and dependency are, as explained above, </w:t>
      </w:r>
      <w:r w:rsidR="00536507">
        <w:rPr>
          <w:rFonts w:ascii="Century Schoolbook" w:hAnsi="Century Schoolbook"/>
          <w:sz w:val="26"/>
          <w:szCs w:val="26"/>
        </w:rPr>
        <w:t xml:space="preserve">typically </w:t>
      </w:r>
      <w:r w:rsidRPr="00C46631">
        <w:rPr>
          <w:rFonts w:ascii="Century Schoolbook" w:hAnsi="Century Schoolbook"/>
          <w:sz w:val="26"/>
          <w:szCs w:val="26"/>
        </w:rPr>
        <w:t xml:space="preserve">relevant to establishing when a defendant has a special relationship </w:t>
      </w:r>
      <w:r w:rsidRPr="00C46631">
        <w:rPr>
          <w:rFonts w:ascii="Century Schoolbook" w:hAnsi="Century Schoolbook"/>
          <w:i/>
          <w:iCs/>
          <w:sz w:val="26"/>
          <w:szCs w:val="26"/>
        </w:rPr>
        <w:t xml:space="preserve">with a plaintiff </w:t>
      </w:r>
      <w:r w:rsidRPr="00C46631">
        <w:rPr>
          <w:rFonts w:ascii="Century Schoolbook" w:hAnsi="Century Schoolbook"/>
          <w:sz w:val="26"/>
          <w:szCs w:val="26"/>
        </w:rPr>
        <w:t>by virtue of its “superior control over the means of protect[ing]” the plaintiff.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 </w:t>
      </w:r>
      <w:r w:rsidRPr="00C46631">
        <w:rPr>
          <w:rFonts w:ascii="Century Schoolbook" w:hAnsi="Century Schoolbook"/>
          <w:sz w:val="26"/>
          <w:szCs w:val="26"/>
        </w:rPr>
        <w:t>4 Cal.5th at pp. 619-62</w:t>
      </w:r>
      <w:r w:rsidR="00A5413C">
        <w:rPr>
          <w:rFonts w:ascii="Century Schoolbook" w:hAnsi="Century Schoolbook"/>
          <w:sz w:val="26"/>
          <w:szCs w:val="26"/>
        </w:rPr>
        <w:t>1</w:t>
      </w:r>
      <w:r w:rsidRPr="00C46631">
        <w:rPr>
          <w:rFonts w:ascii="Century Schoolbook" w:hAnsi="Century Schoolbook"/>
          <w:sz w:val="26"/>
          <w:szCs w:val="26"/>
        </w:rPr>
        <w:t xml:space="preserve">.)  But plaintiff premises his position on the Regional Center’s special relationship </w:t>
      </w:r>
      <w:r w:rsidRPr="00C46631">
        <w:rPr>
          <w:rFonts w:ascii="Century Schoolbook" w:hAnsi="Century Schoolbook"/>
          <w:i/>
          <w:iCs/>
          <w:sz w:val="26"/>
          <w:szCs w:val="26"/>
        </w:rPr>
        <w:t>with J.C.</w:t>
      </w:r>
      <w:r w:rsidRPr="00C46631">
        <w:rPr>
          <w:rFonts w:ascii="Century Schoolbook" w:hAnsi="Century Schoolbook"/>
          <w:sz w:val="26"/>
          <w:szCs w:val="26"/>
        </w:rPr>
        <w:t xml:space="preserve">—not with plaintiff himself.  We reject plaintiff’s attempt to make apple pie </w:t>
      </w:r>
      <w:r w:rsidR="00F867B4">
        <w:rPr>
          <w:rFonts w:ascii="Century Schoolbook" w:hAnsi="Century Schoolbook"/>
          <w:sz w:val="26"/>
          <w:szCs w:val="26"/>
        </w:rPr>
        <w:t>out of</w:t>
      </w:r>
      <w:r w:rsidRPr="00C46631" w:rsidR="00F867B4">
        <w:rPr>
          <w:rFonts w:ascii="Century Schoolbook" w:hAnsi="Century Schoolbook"/>
          <w:sz w:val="26"/>
          <w:szCs w:val="26"/>
        </w:rPr>
        <w:t xml:space="preserve"> </w:t>
      </w:r>
      <w:r w:rsidRPr="00C46631">
        <w:rPr>
          <w:rFonts w:ascii="Century Schoolbook" w:hAnsi="Century Schoolbook"/>
          <w:sz w:val="26"/>
          <w:szCs w:val="26"/>
        </w:rPr>
        <w:t>oranges.  What is more, the undisputed facts establish that plaintiff did not rely and was not dependent upon the Regional Center to relocate J.C. because Hargis Ho</w:t>
      </w:r>
      <w:r w:rsidR="005F267C">
        <w:rPr>
          <w:rFonts w:ascii="Century Schoolbook" w:hAnsi="Century Schoolbook"/>
          <w:sz w:val="26"/>
          <w:szCs w:val="26"/>
        </w:rPr>
        <w:t>m</w:t>
      </w:r>
      <w:r w:rsidRPr="00C46631">
        <w:rPr>
          <w:rFonts w:ascii="Century Schoolbook" w:hAnsi="Century Schoolbook"/>
          <w:sz w:val="26"/>
          <w:szCs w:val="26"/>
        </w:rPr>
        <w:t xml:space="preserve">e—of which plaintiff was </w:t>
      </w:r>
      <w:r w:rsidR="00F867B4">
        <w:rPr>
          <w:rFonts w:ascii="Century Schoolbook" w:hAnsi="Century Schoolbook"/>
          <w:sz w:val="26"/>
          <w:szCs w:val="26"/>
        </w:rPr>
        <w:t xml:space="preserve">the </w:t>
      </w:r>
      <w:r w:rsidRPr="00C46631">
        <w:rPr>
          <w:rFonts w:ascii="Century Schoolbook" w:hAnsi="Century Schoolbook"/>
          <w:sz w:val="26"/>
          <w:szCs w:val="26"/>
        </w:rPr>
        <w:t>administrator—had the power, by regulation and contract, to evict J.C. on its own, and because it knew that the Regional Center lacked the unilateral power to relocate J.C. because relocation was contingent upon a new facility accepting J.C. as a resident.</w:t>
      </w:r>
    </w:p>
    <w:p w:rsidR="00C46631" w:rsidRPr="00C46631" w:rsidP="00C46631" w14:paraId="202E88E1" w14:textId="785ADBF9">
      <w:pPr>
        <w:spacing w:line="288" w:lineRule="auto"/>
        <w:rPr>
          <w:rFonts w:ascii="Century Schoolbook" w:hAnsi="Century Schoolbook"/>
          <w:i/>
          <w:iCs/>
          <w:sz w:val="26"/>
          <w:szCs w:val="26"/>
        </w:rPr>
      </w:pPr>
      <w:r w:rsidRPr="00C46631">
        <w:rPr>
          <w:rFonts w:ascii="Century Schoolbook" w:hAnsi="Century Schoolbook"/>
          <w:sz w:val="26"/>
          <w:szCs w:val="26"/>
        </w:rPr>
        <w:tab/>
      </w:r>
      <w:r>
        <w:rPr>
          <w:rFonts w:ascii="Century Schoolbook" w:hAnsi="Century Schoolbook"/>
          <w:sz w:val="26"/>
          <w:szCs w:val="26"/>
        </w:rPr>
        <w:tab/>
      </w:r>
      <w:r w:rsidRPr="00C46631">
        <w:rPr>
          <w:rFonts w:ascii="Century Schoolbook" w:hAnsi="Century Schoolbook"/>
          <w:sz w:val="26"/>
          <w:szCs w:val="26"/>
        </w:rPr>
        <w:t>2.</w:t>
      </w:r>
      <w:r w:rsidRPr="00C46631">
        <w:rPr>
          <w:rFonts w:ascii="Century Schoolbook" w:hAnsi="Century Schoolbook"/>
          <w:sz w:val="26"/>
          <w:szCs w:val="26"/>
        </w:rPr>
        <w:tab/>
      </w:r>
      <w:r w:rsidRPr="00C46631">
        <w:rPr>
          <w:rFonts w:ascii="Century Schoolbook" w:hAnsi="Century Schoolbook"/>
          <w:i/>
          <w:iCs/>
          <w:sz w:val="26"/>
          <w:szCs w:val="26"/>
        </w:rPr>
        <w:t>Even if the Regional Center had the ability (and thus duty) to control J.C., any such duty would be to protect J.C.—not to protect plaintiff</w:t>
      </w:r>
    </w:p>
    <w:p w:rsidR="00C46631" w:rsidRPr="00C46631" w:rsidP="00536507" w14:paraId="3445D949" w14:textId="41BC1F48">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As noted above, </w:t>
      </w:r>
      <w:r w:rsidR="00536507">
        <w:rPr>
          <w:rFonts w:ascii="Century Schoolbook" w:hAnsi="Century Schoolbook"/>
          <w:sz w:val="26"/>
          <w:szCs w:val="26"/>
        </w:rPr>
        <w:t xml:space="preserve">even </w:t>
      </w:r>
      <w:r w:rsidRPr="00C46631">
        <w:rPr>
          <w:rFonts w:ascii="Century Schoolbook" w:hAnsi="Century Schoolbook"/>
          <w:sz w:val="26"/>
          <w:szCs w:val="26"/>
        </w:rPr>
        <w:t xml:space="preserve">when a duty arises by virtue of a special relationship, that duty </w:t>
      </w:r>
      <w:r w:rsidR="00536507">
        <w:rPr>
          <w:rFonts w:ascii="Century Schoolbook" w:hAnsi="Century Schoolbook"/>
          <w:sz w:val="26"/>
          <w:szCs w:val="26"/>
        </w:rPr>
        <w:t xml:space="preserve">is actionable </w:t>
      </w:r>
      <w:r w:rsidR="0037501E">
        <w:rPr>
          <w:rFonts w:ascii="Century Schoolbook" w:hAnsi="Century Schoolbook"/>
          <w:sz w:val="26"/>
          <w:szCs w:val="26"/>
        </w:rPr>
        <w:t xml:space="preserve">only </w:t>
      </w:r>
      <w:r w:rsidR="008C45B4">
        <w:rPr>
          <w:rFonts w:ascii="Century Schoolbook" w:hAnsi="Century Schoolbook"/>
          <w:sz w:val="26"/>
          <w:szCs w:val="26"/>
        </w:rPr>
        <w:t xml:space="preserve">if that special relationship gives rise to a legal duty of care for the benefit of—and hence to protect—the plaintiff (or the class of persons to which the plaintiff belongs).  </w:t>
      </w:r>
      <w:r w:rsidRPr="00C46631">
        <w:rPr>
          <w:rFonts w:ascii="Century Schoolbook" w:hAnsi="Century Schoolbook"/>
          <w:sz w:val="26"/>
          <w:szCs w:val="26"/>
        </w:rPr>
        <w:t>(</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4 Cal.5th at p. 621.)  To the extent regional centers have the ability to control consumers, the sole duty that could arise from that control is the duty to </w:t>
      </w:r>
      <w:r w:rsidR="001B0E22">
        <w:rPr>
          <w:rFonts w:ascii="Century Schoolbook" w:hAnsi="Century Schoolbook"/>
          <w:sz w:val="26"/>
          <w:szCs w:val="26"/>
        </w:rPr>
        <w:t xml:space="preserve">benefit—and hence </w:t>
      </w:r>
      <w:r w:rsidR="0000592D">
        <w:rPr>
          <w:rFonts w:ascii="Century Schoolbook" w:hAnsi="Century Schoolbook"/>
          <w:sz w:val="26"/>
          <w:szCs w:val="26"/>
        </w:rPr>
        <w:t xml:space="preserve">to </w:t>
      </w:r>
      <w:r w:rsidR="001B0E22">
        <w:rPr>
          <w:rFonts w:ascii="Century Schoolbook" w:hAnsi="Century Schoolbook"/>
          <w:sz w:val="26"/>
          <w:szCs w:val="26"/>
        </w:rPr>
        <w:t>protect—</w:t>
      </w:r>
      <w:r w:rsidRPr="00C46631">
        <w:rPr>
          <w:rFonts w:ascii="Century Schoolbook" w:hAnsi="Century Schoolbook"/>
          <w:i/>
          <w:iCs/>
          <w:sz w:val="26"/>
          <w:szCs w:val="26"/>
        </w:rPr>
        <w:t>the consumer.</w:t>
      </w:r>
      <w:r w:rsidRPr="00C46631">
        <w:rPr>
          <w:rFonts w:ascii="Century Schoolbook" w:hAnsi="Century Schoolbook"/>
          <w:sz w:val="26"/>
          <w:szCs w:val="26"/>
        </w:rPr>
        <w:t xml:space="preserve">  As a general matter, the focus of the Act itself is providing services and support—and, critically, protection—</w:t>
      </w:r>
      <w:r w:rsidRPr="00C46631">
        <w:rPr>
          <w:rFonts w:ascii="Century Schoolbook" w:hAnsi="Century Schoolbook"/>
          <w:i/>
          <w:iCs/>
          <w:sz w:val="26"/>
          <w:szCs w:val="26"/>
        </w:rPr>
        <w:t>to the developmentally disabled person who is the consumer.</w:t>
      </w:r>
      <w:r w:rsidRPr="00C46631">
        <w:rPr>
          <w:rFonts w:ascii="Century Schoolbook" w:hAnsi="Century Schoolbook"/>
          <w:sz w:val="26"/>
          <w:szCs w:val="26"/>
        </w:rPr>
        <w:t xml:space="preserve">  (E.g., §§ 4502, subds. (b)(1) &amp; (b)(8) [“persons with developmental disabilities shall have . . . [a] right to treatment and </w:t>
      </w:r>
      <w:r w:rsidR="00310B9F">
        <w:rPr>
          <w:rFonts w:ascii="Century Schoolbook" w:hAnsi="Century Schoolbook"/>
          <w:sz w:val="26"/>
          <w:szCs w:val="26"/>
        </w:rPr>
        <w:t>habilitation</w:t>
      </w:r>
      <w:r w:rsidRPr="00C46631" w:rsidR="00310B9F">
        <w:rPr>
          <w:rFonts w:ascii="Century Schoolbook" w:hAnsi="Century Schoolbook"/>
          <w:sz w:val="26"/>
          <w:szCs w:val="26"/>
        </w:rPr>
        <w:t xml:space="preserve"> </w:t>
      </w:r>
      <w:r w:rsidRPr="00C46631">
        <w:rPr>
          <w:rFonts w:ascii="Century Schoolbook" w:hAnsi="Century Schoolbook"/>
          <w:sz w:val="26"/>
          <w:szCs w:val="26"/>
        </w:rPr>
        <w:t>services and supports” and “[a] right to be free from harm, including unnecessary physical restraint, or isolation, excessive medication, abuse</w:t>
      </w:r>
      <w:r w:rsidR="00310B9F">
        <w:rPr>
          <w:rFonts w:ascii="Century Schoolbook" w:hAnsi="Century Schoolbook"/>
          <w:sz w:val="26"/>
          <w:szCs w:val="26"/>
        </w:rPr>
        <w:t>,</w:t>
      </w:r>
      <w:r w:rsidRPr="00C46631">
        <w:rPr>
          <w:rFonts w:ascii="Century Schoolbook" w:hAnsi="Century Schoolbook"/>
          <w:sz w:val="26"/>
          <w:szCs w:val="26"/>
        </w:rPr>
        <w:t xml:space="preserve"> or neglect”], 4620.3, subd. (g)(1) [best practices for regional centers “shall not . . . </w:t>
      </w:r>
      <w:r w:rsidR="00FE19CE">
        <w:rPr>
          <w:rFonts w:ascii="Century Schoolbook" w:hAnsi="Century Schoolbook"/>
          <w:sz w:val="26"/>
          <w:szCs w:val="26"/>
        </w:rPr>
        <w:t>[</w:t>
      </w:r>
      <w:r w:rsidRPr="00C46631">
        <w:rPr>
          <w:rFonts w:ascii="Century Schoolbook" w:hAnsi="Century Schoolbook"/>
          <w:sz w:val="26"/>
          <w:szCs w:val="26"/>
        </w:rPr>
        <w:t>e</w:t>
      </w:r>
      <w:r w:rsidR="00FE19CE">
        <w:rPr>
          <w:rFonts w:ascii="Century Schoolbook" w:hAnsi="Century Schoolbook"/>
          <w:sz w:val="26"/>
          <w:szCs w:val="26"/>
        </w:rPr>
        <w:t>]</w:t>
      </w:r>
      <w:r w:rsidRPr="00C46631">
        <w:rPr>
          <w:rFonts w:ascii="Century Schoolbook" w:hAnsi="Century Schoolbook"/>
          <w:sz w:val="26"/>
          <w:szCs w:val="26"/>
        </w:rPr>
        <w:t xml:space="preserve">ndanger a consumer’s health or safety”].)  Nothing in the Act or any of its attendant regulations evinces any </w:t>
      </w:r>
      <w:r w:rsidR="00536507">
        <w:rPr>
          <w:rFonts w:ascii="Century Schoolbook" w:hAnsi="Century Schoolbook"/>
          <w:sz w:val="26"/>
          <w:szCs w:val="26"/>
        </w:rPr>
        <w:t>intent to</w:t>
      </w:r>
      <w:r w:rsidRPr="00C46631">
        <w:rPr>
          <w:rFonts w:ascii="Century Schoolbook" w:hAnsi="Century Schoolbook"/>
          <w:sz w:val="26"/>
          <w:szCs w:val="26"/>
        </w:rPr>
        <w:t xml:space="preserve"> creat</w:t>
      </w:r>
      <w:r w:rsidR="00536507">
        <w:rPr>
          <w:rFonts w:ascii="Century Schoolbook" w:hAnsi="Century Schoolbook"/>
          <w:sz w:val="26"/>
          <w:szCs w:val="26"/>
        </w:rPr>
        <w:t xml:space="preserve">e </w:t>
      </w:r>
      <w:r w:rsidRPr="00C46631">
        <w:rPr>
          <w:rFonts w:ascii="Century Schoolbook" w:hAnsi="Century Schoolbook"/>
          <w:sz w:val="26"/>
          <w:szCs w:val="26"/>
        </w:rPr>
        <w:t>a duty to protect anyone else, including the employees of residential facilities where consumers are housed.</w:t>
      </w:r>
    </w:p>
    <w:p w:rsidR="00C46631" w:rsidRPr="00C46631" w:rsidP="00C46631" w14:paraId="76AD8C2D" w14:textId="5BD9D20C">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Plaintiff resists this conclusion as well.  Specifically, he points to a regulation specifying that a “regional center” that receives notice from a residential facility that “the facility can no longer meet the needs of </w:t>
      </w:r>
      <w:r w:rsidR="00775B18">
        <w:rPr>
          <w:rFonts w:ascii="Century Schoolbook" w:hAnsi="Century Schoolbook"/>
          <w:sz w:val="26"/>
          <w:szCs w:val="26"/>
        </w:rPr>
        <w:t>[a]</w:t>
      </w:r>
      <w:r w:rsidRPr="00C46631">
        <w:rPr>
          <w:rFonts w:ascii="Century Schoolbook" w:hAnsi="Century Schoolbook"/>
          <w:sz w:val="26"/>
          <w:szCs w:val="26"/>
        </w:rPr>
        <w:t xml:space="preserve"> consumer” “shall relocate [a] consumer with</w:t>
      </w:r>
      <w:r w:rsidR="00BA6A0C">
        <w:rPr>
          <w:rFonts w:ascii="Century Schoolbook" w:hAnsi="Century Schoolbook"/>
          <w:sz w:val="26"/>
          <w:szCs w:val="26"/>
        </w:rPr>
        <w:t>in</w:t>
      </w:r>
      <w:r w:rsidRPr="00C46631">
        <w:rPr>
          <w:rFonts w:ascii="Century Schoolbook" w:hAnsi="Century Schoolbook"/>
          <w:sz w:val="26"/>
          <w:szCs w:val="26"/>
        </w:rPr>
        <w:t xml:space="preserve"> 30 days or within a time frame which has been mutually agreed</w:t>
      </w:r>
      <w:r w:rsidR="00565F62">
        <w:rPr>
          <w:rFonts w:ascii="Century Schoolbook" w:hAnsi="Century Schoolbook"/>
          <w:sz w:val="26"/>
          <w:szCs w:val="26"/>
        </w:rPr>
        <w:t>[]</w:t>
      </w:r>
      <w:r w:rsidRPr="00C46631">
        <w:rPr>
          <w:rFonts w:ascii="Century Schoolbook" w:hAnsi="Century Schoolbook"/>
          <w:sz w:val="26"/>
          <w:szCs w:val="26"/>
        </w:rPr>
        <w:t xml:space="preserve"> upon” and “shall” “determine” “[a]ny additional measures necessary to meet the consumer’s health and safety needs until the relocation has been accomplished.”  (Cal. Code Reg</w:t>
      </w:r>
      <w:r w:rsidR="003C5A27">
        <w:rPr>
          <w:rFonts w:ascii="Century Schoolbook" w:hAnsi="Century Schoolbook"/>
          <w:sz w:val="26"/>
          <w:szCs w:val="26"/>
        </w:rPr>
        <w:t>s</w:t>
      </w:r>
      <w:r w:rsidRPr="00C46631">
        <w:rPr>
          <w:rFonts w:ascii="Century Schoolbook" w:hAnsi="Century Schoolbook"/>
          <w:sz w:val="26"/>
          <w:szCs w:val="26"/>
        </w:rPr>
        <w:t xml:space="preserve">., </w:t>
      </w:r>
      <w:r w:rsidR="00310B9F">
        <w:rPr>
          <w:rFonts w:ascii="Century Schoolbook" w:hAnsi="Century Schoolbook"/>
          <w:sz w:val="26"/>
          <w:szCs w:val="26"/>
        </w:rPr>
        <w:t xml:space="preserve">tit. 17, </w:t>
      </w:r>
      <w:r w:rsidRPr="00C46631">
        <w:rPr>
          <w:rFonts w:ascii="Century Schoolbook" w:hAnsi="Century Schoolbook"/>
          <w:sz w:val="26"/>
          <w:szCs w:val="26"/>
        </w:rPr>
        <w:t>§ 56016</w:t>
      </w:r>
      <w:r w:rsidR="00310B9F">
        <w:rPr>
          <w:rFonts w:ascii="Century Schoolbook" w:hAnsi="Century Schoolbook"/>
          <w:sz w:val="26"/>
          <w:szCs w:val="26"/>
        </w:rPr>
        <w:t xml:space="preserve">, subds. </w:t>
      </w:r>
      <w:r w:rsidRPr="00C46631">
        <w:rPr>
          <w:rFonts w:ascii="Century Schoolbook" w:hAnsi="Century Schoolbook"/>
          <w:sz w:val="26"/>
          <w:szCs w:val="26"/>
        </w:rPr>
        <w:t>(e), (f)</w:t>
      </w:r>
      <w:r w:rsidR="00917BCD">
        <w:rPr>
          <w:rFonts w:ascii="Century Schoolbook" w:hAnsi="Century Schoolbook"/>
          <w:sz w:val="26"/>
          <w:szCs w:val="26"/>
        </w:rPr>
        <w:t xml:space="preserve"> &amp;</w:t>
      </w:r>
      <w:r w:rsidRPr="00C46631">
        <w:rPr>
          <w:rFonts w:ascii="Century Schoolbook" w:hAnsi="Century Schoolbook"/>
          <w:sz w:val="26"/>
          <w:szCs w:val="26"/>
        </w:rPr>
        <w:t xml:space="preserve"> (g).)  Plaintiff urges that this regulation creates a legal duty that obligates regional centers to protect </w:t>
      </w:r>
      <w:r w:rsidRPr="00C46631">
        <w:rPr>
          <w:rFonts w:ascii="Century Schoolbook" w:hAnsi="Century Schoolbook"/>
          <w:i/>
          <w:iCs/>
          <w:sz w:val="26"/>
          <w:szCs w:val="26"/>
        </w:rPr>
        <w:t>everyone</w:t>
      </w:r>
      <w:r w:rsidRPr="00C46631">
        <w:rPr>
          <w:rFonts w:ascii="Century Schoolbook" w:hAnsi="Century Schoolbook"/>
          <w:sz w:val="26"/>
          <w:szCs w:val="26"/>
        </w:rPr>
        <w:t xml:space="preserve"> from injury inflicted by a consumer; plaintiff </w:t>
      </w:r>
      <w:r w:rsidR="00536507">
        <w:rPr>
          <w:rFonts w:ascii="Century Schoolbook" w:hAnsi="Century Schoolbook"/>
          <w:sz w:val="26"/>
          <w:szCs w:val="26"/>
        </w:rPr>
        <w:t>thus goes on to assert</w:t>
      </w:r>
      <w:r w:rsidRPr="00C46631">
        <w:rPr>
          <w:rFonts w:ascii="Century Schoolbook" w:hAnsi="Century Schoolbook"/>
          <w:sz w:val="26"/>
          <w:szCs w:val="26"/>
        </w:rPr>
        <w:t xml:space="preserve"> that “whether [th</w:t>
      </w:r>
      <w:r w:rsidR="00536507">
        <w:rPr>
          <w:rFonts w:ascii="Century Schoolbook" w:hAnsi="Century Schoolbook"/>
          <w:sz w:val="26"/>
          <w:szCs w:val="26"/>
        </w:rPr>
        <w:t>is</w:t>
      </w:r>
      <w:r w:rsidRPr="00C46631">
        <w:rPr>
          <w:rFonts w:ascii="Century Schoolbook" w:hAnsi="Century Schoolbook"/>
          <w:sz w:val="26"/>
          <w:szCs w:val="26"/>
        </w:rPr>
        <w:t xml:space="preserve"> regulation] is directly intended to protect only </w:t>
      </w:r>
      <w:r w:rsidR="000250FD">
        <w:rPr>
          <w:rFonts w:ascii="Century Schoolbook" w:hAnsi="Century Schoolbook"/>
          <w:sz w:val="26"/>
          <w:szCs w:val="26"/>
        </w:rPr>
        <w:t>[</w:t>
      </w:r>
      <w:r w:rsidRPr="00C46631">
        <w:rPr>
          <w:rFonts w:ascii="Century Schoolbook" w:hAnsi="Century Schoolbook"/>
          <w:sz w:val="26"/>
          <w:szCs w:val="26"/>
        </w:rPr>
        <w:t>J.C.</w:t>
      </w:r>
      <w:r w:rsidR="000250FD">
        <w:rPr>
          <w:rFonts w:ascii="Century Schoolbook" w:hAnsi="Century Schoolbook"/>
          <w:sz w:val="26"/>
          <w:szCs w:val="26"/>
        </w:rPr>
        <w:t>]</w:t>
      </w:r>
      <w:r w:rsidRPr="00C46631">
        <w:rPr>
          <w:rFonts w:ascii="Century Schoolbook" w:hAnsi="Century Schoolbook"/>
          <w:sz w:val="26"/>
          <w:szCs w:val="26"/>
        </w:rPr>
        <w:t xml:space="preserve"> or [instead] other residents and staff as well is irrelevant.” </w:t>
      </w:r>
    </w:p>
    <w:p w:rsidR="00C46631" w:rsidRPr="00C46631" w:rsidP="00C46631" w14:paraId="7AE77F33"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Plaintiff is wrong.  </w:t>
      </w:r>
    </w:p>
    <w:p w:rsidR="00C46631" w:rsidRPr="00C46631" w:rsidP="00C46631" w14:paraId="1E07B440" w14:textId="2DC2BD6C">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As a threshold matter, plaintiff’s argument conflates a </w:t>
      </w:r>
      <w:r w:rsidRPr="00C46631">
        <w:rPr>
          <w:rFonts w:ascii="Century Schoolbook" w:hAnsi="Century Schoolbook"/>
          <w:i/>
          <w:iCs/>
          <w:sz w:val="26"/>
          <w:szCs w:val="26"/>
        </w:rPr>
        <w:t xml:space="preserve">duty </w:t>
      </w:r>
      <w:r w:rsidRPr="00C46631">
        <w:rPr>
          <w:rFonts w:ascii="Century Schoolbook" w:hAnsi="Century Schoolbook"/>
          <w:sz w:val="26"/>
          <w:szCs w:val="26"/>
        </w:rPr>
        <w:t xml:space="preserve">of care with a </w:t>
      </w:r>
      <w:r w:rsidRPr="00C46631">
        <w:rPr>
          <w:rFonts w:ascii="Century Schoolbook" w:hAnsi="Century Schoolbook"/>
          <w:i/>
          <w:iCs/>
          <w:sz w:val="26"/>
          <w:szCs w:val="26"/>
        </w:rPr>
        <w:t>standard</w:t>
      </w:r>
      <w:r w:rsidRPr="00C46631">
        <w:rPr>
          <w:rFonts w:ascii="Century Schoolbook" w:hAnsi="Century Schoolbook"/>
          <w:sz w:val="26"/>
          <w:szCs w:val="26"/>
        </w:rPr>
        <w:t xml:space="preserve"> of care.  “The duty of care establishes whether one person has a legal obligation to prevent harm to another</w:t>
      </w:r>
      <w:r w:rsidR="00855673">
        <w:rPr>
          <w:rFonts w:ascii="Century Schoolbook" w:hAnsi="Century Schoolbook"/>
          <w:sz w:val="26"/>
          <w:szCs w:val="26"/>
        </w:rPr>
        <w:t xml:space="preserve"> [citation]</w:t>
      </w:r>
      <w:r w:rsidRPr="00C46631">
        <w:rPr>
          <w:rFonts w:ascii="Century Schoolbook" w:hAnsi="Century Schoolbook"/>
          <w:sz w:val="26"/>
          <w:szCs w:val="26"/>
        </w:rPr>
        <w:t>, while the standard of care defines what that person must do to meet that obligation and thus sets the standard for assessing whether there has been a breach</w:t>
      </w:r>
      <w:r w:rsidR="00855673">
        <w:rPr>
          <w:rFonts w:ascii="Century Schoolbook" w:hAnsi="Century Schoolbook"/>
          <w:sz w:val="26"/>
          <w:szCs w:val="26"/>
        </w:rPr>
        <w:t xml:space="preserve"> [citation]</w:t>
      </w:r>
      <w:r w:rsidRPr="00C46631">
        <w:rPr>
          <w:rFonts w:ascii="Century Schoolbook" w:hAnsi="Century Schoolbook"/>
          <w:sz w:val="26"/>
          <w:szCs w:val="26"/>
        </w:rPr>
        <w:t>.”  (</w:t>
      </w:r>
      <w:r w:rsidRPr="00C46631">
        <w:rPr>
          <w:rFonts w:ascii="Century Schoolbook" w:hAnsi="Century Schoolbook"/>
          <w:i/>
          <w:iCs/>
          <w:sz w:val="26"/>
          <w:szCs w:val="26"/>
        </w:rPr>
        <w:t>Iss</w:t>
      </w:r>
      <w:r w:rsidR="00B360DE">
        <w:rPr>
          <w:rFonts w:ascii="Century Schoolbook" w:hAnsi="Century Schoolbook"/>
          <w:i/>
          <w:iCs/>
          <w:sz w:val="26"/>
          <w:szCs w:val="26"/>
        </w:rPr>
        <w:t>a</w:t>
      </w:r>
      <w:r w:rsidRPr="00C46631">
        <w:rPr>
          <w:rFonts w:ascii="Century Schoolbook" w:hAnsi="Century Schoolbook"/>
          <w:i/>
          <w:iCs/>
          <w:sz w:val="26"/>
          <w:szCs w:val="26"/>
        </w:rPr>
        <w:t>khani</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63 Cal.App.5th at p. 934.)  By defining a time period during which relocation should occur and what a regional center should do in the interim, this regulation defines what a regional </w:t>
      </w:r>
      <w:r w:rsidR="00536507">
        <w:rPr>
          <w:rFonts w:ascii="Century Schoolbook" w:hAnsi="Century Schoolbook"/>
          <w:sz w:val="26"/>
          <w:szCs w:val="26"/>
        </w:rPr>
        <w:t xml:space="preserve">center </w:t>
      </w:r>
      <w:r w:rsidRPr="00C46631">
        <w:rPr>
          <w:rFonts w:ascii="Century Schoolbook" w:hAnsi="Century Schoolbook"/>
          <w:sz w:val="26"/>
          <w:szCs w:val="26"/>
        </w:rPr>
        <w:t>must do to meet its obligations</w:t>
      </w:r>
      <w:r w:rsidR="00536507">
        <w:rPr>
          <w:rFonts w:ascii="Century Schoolbook" w:hAnsi="Century Schoolbook"/>
          <w:sz w:val="26"/>
          <w:szCs w:val="26"/>
        </w:rPr>
        <w:t xml:space="preserve">; in other words, it lays out a </w:t>
      </w:r>
      <w:r w:rsidR="00536507">
        <w:rPr>
          <w:rFonts w:ascii="Century Schoolbook" w:hAnsi="Century Schoolbook"/>
          <w:i/>
          <w:iCs/>
          <w:sz w:val="26"/>
          <w:szCs w:val="26"/>
        </w:rPr>
        <w:t xml:space="preserve">standard </w:t>
      </w:r>
      <w:r w:rsidR="00536507">
        <w:rPr>
          <w:rFonts w:ascii="Century Schoolbook" w:hAnsi="Century Schoolbook"/>
          <w:sz w:val="26"/>
          <w:szCs w:val="26"/>
        </w:rPr>
        <w:t>of care.</w:t>
      </w:r>
      <w:r w:rsidRPr="00C46631">
        <w:rPr>
          <w:rFonts w:ascii="Century Schoolbook" w:hAnsi="Century Schoolbook"/>
          <w:sz w:val="26"/>
          <w:szCs w:val="26"/>
        </w:rPr>
        <w:t xml:space="preserve">  “The standard of care </w:t>
      </w:r>
      <w:r w:rsidRPr="00C46631">
        <w:rPr>
          <w:rFonts w:ascii="Century Schoolbook" w:hAnsi="Century Schoolbook"/>
          <w:i/>
          <w:iCs/>
          <w:sz w:val="26"/>
          <w:szCs w:val="26"/>
        </w:rPr>
        <w:t xml:space="preserve">presupposes </w:t>
      </w:r>
      <w:r w:rsidRPr="00C46631">
        <w:rPr>
          <w:rFonts w:ascii="Century Schoolbook" w:hAnsi="Century Schoolbook"/>
          <w:sz w:val="26"/>
          <w:szCs w:val="26"/>
        </w:rPr>
        <w:t xml:space="preserve">a duty [of care]; it cannot </w:t>
      </w:r>
      <w:r w:rsidRPr="00C46631">
        <w:rPr>
          <w:rFonts w:ascii="Century Schoolbook" w:hAnsi="Century Schoolbook"/>
          <w:i/>
          <w:iCs/>
          <w:sz w:val="26"/>
          <w:szCs w:val="26"/>
        </w:rPr>
        <w:t>create</w:t>
      </w:r>
      <w:r w:rsidRPr="00C46631">
        <w:rPr>
          <w:rFonts w:ascii="Century Schoolbook" w:hAnsi="Century Schoolbook"/>
          <w:sz w:val="26"/>
          <w:szCs w:val="26"/>
        </w:rPr>
        <w:t xml:space="preserve"> one.”  (</w:t>
      </w:r>
      <w:r w:rsidRPr="00C46631">
        <w:rPr>
          <w:rFonts w:ascii="Century Schoolbook" w:hAnsi="Century Schoolbook"/>
          <w:i/>
          <w:iCs/>
          <w:sz w:val="26"/>
          <w:szCs w:val="26"/>
        </w:rPr>
        <w:t>Id.</w:t>
      </w:r>
      <w:r w:rsidRPr="00C46631">
        <w:rPr>
          <w:rFonts w:ascii="Century Schoolbook" w:hAnsi="Century Schoolbook"/>
          <w:sz w:val="26"/>
          <w:szCs w:val="26"/>
        </w:rPr>
        <w:t xml:space="preserve"> at p. 935</w:t>
      </w:r>
      <w:r w:rsidR="006F69B6">
        <w:rPr>
          <w:rFonts w:ascii="Century Schoolbook" w:hAnsi="Century Schoolbook"/>
          <w:sz w:val="26"/>
          <w:szCs w:val="26"/>
        </w:rPr>
        <w:t>.</w:t>
      </w:r>
      <w:r w:rsidRPr="00C46631">
        <w:rPr>
          <w:rFonts w:ascii="Century Schoolbook" w:hAnsi="Century Schoolbook"/>
          <w:sz w:val="26"/>
          <w:szCs w:val="26"/>
        </w:rPr>
        <w:t>)</w:t>
      </w:r>
      <w:r>
        <w:rPr>
          <w:rFonts w:ascii="Century Schoolbook" w:hAnsi="Century Schoolbook"/>
          <w:b/>
          <w:bCs/>
          <w:sz w:val="26"/>
          <w:szCs w:val="26"/>
          <w:vertAlign w:val="superscript"/>
        </w:rPr>
        <w:footnoteReference w:id="8"/>
      </w:r>
    </w:p>
    <w:p w:rsidR="00C46631" w:rsidRPr="00C46631" w:rsidP="00C46631" w14:paraId="289AC44F" w14:textId="4E5BFE83">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And even if we assume that the regulation counsels in favor of recognizing a duty to protect, that duty runs solely </w:t>
      </w:r>
      <w:r w:rsidRPr="00C46631">
        <w:rPr>
          <w:rFonts w:ascii="Century Schoolbook" w:hAnsi="Century Schoolbook"/>
          <w:i/>
          <w:iCs/>
          <w:sz w:val="26"/>
          <w:szCs w:val="26"/>
        </w:rPr>
        <w:t>to the consumer</w:t>
      </w:r>
      <w:r w:rsidRPr="00C46631">
        <w:rPr>
          <w:rFonts w:ascii="Century Schoolbook" w:hAnsi="Century Schoolbook"/>
          <w:sz w:val="26"/>
          <w:szCs w:val="26"/>
        </w:rPr>
        <w:t xml:space="preserve">—and </w:t>
      </w:r>
      <w:r w:rsidRPr="00C46631">
        <w:rPr>
          <w:rFonts w:ascii="Century Schoolbook" w:hAnsi="Century Schoolbook"/>
          <w:i/>
          <w:iCs/>
          <w:sz w:val="26"/>
          <w:szCs w:val="26"/>
        </w:rPr>
        <w:t>not</w:t>
      </w:r>
      <w:r w:rsidRPr="00C46631">
        <w:rPr>
          <w:rFonts w:ascii="Century Schoolbook" w:hAnsi="Century Schoolbook"/>
          <w:sz w:val="26"/>
          <w:szCs w:val="26"/>
        </w:rPr>
        <w:t xml:space="preserve"> to the employees of the residential facility where a consumer is housed because, as noted above, the Act is concerned with the well-being of the consumer, not those who come into the consumer’s orbit.</w:t>
      </w:r>
      <w:r w:rsidRPr="00D42E17">
        <w:rPr>
          <w:rFonts w:ascii="Century Schoolbook" w:hAnsi="Century Schoolbook"/>
          <w:b/>
          <w:bCs/>
          <w:sz w:val="26"/>
          <w:szCs w:val="26"/>
        </w:rPr>
        <w:t xml:space="preserve"> </w:t>
      </w:r>
      <w:r w:rsidRPr="00C46631">
        <w:rPr>
          <w:rFonts w:ascii="Century Schoolbook" w:hAnsi="Century Schoolbook"/>
          <w:sz w:val="26"/>
          <w:szCs w:val="26"/>
        </w:rPr>
        <w:t xml:space="preserve"> Plaintiff disagrees, citing a different regulation that obligates a regional center to “initiate [an] emergency relocation of [a] consumer” should various “situations” “come to [its] attention,” including “[t]he presence of an individual exhibiting aggressive or assaultive behavior which is life threatening to self </w:t>
      </w:r>
      <w:r w:rsidRPr="00C46631">
        <w:rPr>
          <w:rFonts w:ascii="Century Schoolbook" w:hAnsi="Century Schoolbook"/>
          <w:i/>
          <w:iCs/>
          <w:sz w:val="26"/>
          <w:szCs w:val="26"/>
        </w:rPr>
        <w:t>or others</w:t>
      </w:r>
      <w:r w:rsidRPr="00C46631">
        <w:rPr>
          <w:rFonts w:ascii="Century Schoolbook" w:hAnsi="Century Schoolbook"/>
          <w:sz w:val="26"/>
          <w:szCs w:val="26"/>
        </w:rPr>
        <w:t>.”  (Cal. Code Reg</w:t>
      </w:r>
      <w:r w:rsidR="003C5A27">
        <w:rPr>
          <w:rFonts w:ascii="Century Schoolbook" w:hAnsi="Century Schoolbook"/>
          <w:sz w:val="26"/>
          <w:szCs w:val="26"/>
        </w:rPr>
        <w:t>s</w:t>
      </w:r>
      <w:r w:rsidRPr="00C46631">
        <w:rPr>
          <w:rFonts w:ascii="Century Schoolbook" w:hAnsi="Century Schoolbook"/>
          <w:sz w:val="26"/>
          <w:szCs w:val="26"/>
        </w:rPr>
        <w:t xml:space="preserve">., </w:t>
      </w:r>
      <w:r w:rsidR="00D1618B">
        <w:rPr>
          <w:rFonts w:ascii="Century Schoolbook" w:hAnsi="Century Schoolbook"/>
          <w:sz w:val="26"/>
          <w:szCs w:val="26"/>
        </w:rPr>
        <w:t xml:space="preserve">tit. 17, </w:t>
      </w:r>
      <w:r w:rsidRPr="00C46631">
        <w:rPr>
          <w:rFonts w:ascii="Century Schoolbook" w:hAnsi="Century Schoolbook"/>
          <w:sz w:val="26"/>
          <w:szCs w:val="26"/>
        </w:rPr>
        <w:t>§ 56053</w:t>
      </w:r>
      <w:r w:rsidR="00D1618B">
        <w:rPr>
          <w:rFonts w:ascii="Century Schoolbook" w:hAnsi="Century Schoolbook"/>
          <w:sz w:val="26"/>
          <w:szCs w:val="26"/>
        </w:rPr>
        <w:t>, subd</w:t>
      </w:r>
      <w:r w:rsidR="00AE5F35">
        <w:rPr>
          <w:rFonts w:ascii="Century Schoolbook" w:hAnsi="Century Schoolbook"/>
          <w:sz w:val="26"/>
          <w:szCs w:val="26"/>
        </w:rPr>
        <w:t>s. (e)(1) &amp; (a)(5)</w:t>
      </w:r>
      <w:r w:rsidRPr="00C46631">
        <w:rPr>
          <w:rFonts w:ascii="Century Schoolbook" w:hAnsi="Century Schoolbook"/>
          <w:sz w:val="26"/>
          <w:szCs w:val="26"/>
        </w:rPr>
        <w:t xml:space="preserve">, italics added.)  Plaintiff urges that the italicized language evinces an intent to protect the staff of a residential facility from the “aggressive or assaultive behavior” of a consumer.  But this misreads the regulation, as this provision refers to “individual[s]”—not “consumers”—exhibiting potentially injurious behavior; because the regulation uses </w:t>
      </w:r>
      <w:r w:rsidR="00FC0837">
        <w:rPr>
          <w:rFonts w:ascii="Century Schoolbook" w:hAnsi="Century Schoolbook"/>
          <w:sz w:val="26"/>
          <w:szCs w:val="26"/>
        </w:rPr>
        <w:t>the</w:t>
      </w:r>
      <w:r w:rsidRPr="00C46631" w:rsidR="00FC0837">
        <w:rPr>
          <w:rFonts w:ascii="Century Schoolbook" w:hAnsi="Century Schoolbook"/>
          <w:sz w:val="26"/>
          <w:szCs w:val="26"/>
        </w:rPr>
        <w:t xml:space="preserve"> </w:t>
      </w:r>
      <w:r w:rsidRPr="00C46631">
        <w:rPr>
          <w:rFonts w:ascii="Century Schoolbook" w:hAnsi="Century Schoolbook"/>
          <w:sz w:val="26"/>
          <w:szCs w:val="26"/>
        </w:rPr>
        <w:t>terms</w:t>
      </w:r>
      <w:r w:rsidR="00FC0837">
        <w:rPr>
          <w:rFonts w:ascii="Century Schoolbook" w:hAnsi="Century Schoolbook"/>
          <w:sz w:val="26"/>
          <w:szCs w:val="26"/>
        </w:rPr>
        <w:t xml:space="preserve"> “individual” and “consumer”</w:t>
      </w:r>
      <w:r w:rsidRPr="00C46631">
        <w:rPr>
          <w:rFonts w:ascii="Century Schoolbook" w:hAnsi="Century Schoolbook"/>
          <w:sz w:val="26"/>
          <w:szCs w:val="26"/>
        </w:rPr>
        <w:t xml:space="preserve"> distinctly (</w:t>
      </w:r>
      <w:r w:rsidR="00323DCA">
        <w:rPr>
          <w:rFonts w:ascii="Century Schoolbook" w:hAnsi="Century Schoolbook"/>
          <w:i/>
          <w:iCs/>
          <w:sz w:val="26"/>
          <w:szCs w:val="26"/>
        </w:rPr>
        <w:t>i</w:t>
      </w:r>
      <w:r w:rsidR="00151221">
        <w:rPr>
          <w:rFonts w:ascii="Century Schoolbook" w:hAnsi="Century Schoolbook"/>
          <w:i/>
          <w:iCs/>
          <w:sz w:val="26"/>
          <w:szCs w:val="26"/>
        </w:rPr>
        <w:t>d.</w:t>
      </w:r>
      <w:r w:rsidR="00151221">
        <w:rPr>
          <w:rFonts w:ascii="Century Schoolbook" w:hAnsi="Century Schoolbook"/>
          <w:sz w:val="26"/>
          <w:szCs w:val="26"/>
        </w:rPr>
        <w:t>, subd. (a))</w:t>
      </w:r>
      <w:r w:rsidRPr="00C46631">
        <w:rPr>
          <w:rFonts w:ascii="Century Schoolbook" w:hAnsi="Century Schoolbook"/>
          <w:sz w:val="26"/>
          <w:szCs w:val="26"/>
        </w:rPr>
        <w:t>, we reject plaintiff’s attempt to conflate them</w:t>
      </w:r>
      <w:r w:rsidR="00FC0837">
        <w:rPr>
          <w:rFonts w:ascii="Century Schoolbook" w:hAnsi="Century Schoolbook"/>
          <w:sz w:val="26"/>
          <w:szCs w:val="26"/>
        </w:rPr>
        <w:t xml:space="preserve"> and treat them as synonymous</w:t>
      </w:r>
      <w:r w:rsidRPr="00C46631">
        <w:rPr>
          <w:rFonts w:ascii="Century Schoolbook" w:hAnsi="Century Schoolbook"/>
          <w:sz w:val="26"/>
          <w:szCs w:val="26"/>
        </w:rPr>
        <w:t xml:space="preserve">.  As written, the regulation can be read consistently with the Act itself to implement the Act’s intention to protect </w:t>
      </w:r>
      <w:r w:rsidRPr="00C46631">
        <w:rPr>
          <w:rFonts w:ascii="Century Schoolbook" w:hAnsi="Century Schoolbook"/>
          <w:i/>
          <w:iCs/>
          <w:sz w:val="26"/>
          <w:szCs w:val="26"/>
        </w:rPr>
        <w:t>consumers</w:t>
      </w:r>
      <w:r w:rsidRPr="00C46631">
        <w:rPr>
          <w:rFonts w:ascii="Century Schoolbook" w:hAnsi="Century Schoolbook"/>
          <w:sz w:val="26"/>
          <w:szCs w:val="26"/>
        </w:rPr>
        <w:t xml:space="preserve"> who might be harmed by that </w:t>
      </w:r>
      <w:r w:rsidR="00B360DE">
        <w:rPr>
          <w:rFonts w:ascii="Century Schoolbook" w:hAnsi="Century Schoolbook"/>
          <w:sz w:val="26"/>
          <w:szCs w:val="26"/>
        </w:rPr>
        <w:t>“</w:t>
      </w:r>
      <w:r w:rsidRPr="00C46631">
        <w:rPr>
          <w:rFonts w:ascii="Century Schoolbook" w:hAnsi="Century Schoolbook"/>
          <w:sz w:val="26"/>
          <w:szCs w:val="26"/>
        </w:rPr>
        <w:t>individual</w:t>
      </w:r>
      <w:r w:rsidR="0040022F">
        <w:rPr>
          <w:rFonts w:ascii="Century Schoolbook" w:hAnsi="Century Schoolbook"/>
          <w:sz w:val="26"/>
          <w:szCs w:val="26"/>
        </w:rPr>
        <w:t>[</w:t>
      </w:r>
      <w:r w:rsidRPr="00C46631">
        <w:rPr>
          <w:rFonts w:ascii="Century Schoolbook" w:hAnsi="Century Schoolbook"/>
          <w:sz w:val="26"/>
          <w:szCs w:val="26"/>
        </w:rPr>
        <w:t>’s</w:t>
      </w:r>
      <w:r w:rsidR="0040022F">
        <w:rPr>
          <w:rFonts w:ascii="Century Schoolbook" w:hAnsi="Century Schoolbook"/>
          <w:sz w:val="26"/>
          <w:szCs w:val="26"/>
        </w:rPr>
        <w:t>]</w:t>
      </w:r>
      <w:r w:rsidR="00B360DE">
        <w:rPr>
          <w:rFonts w:ascii="Century Schoolbook" w:hAnsi="Century Schoolbook"/>
          <w:sz w:val="26"/>
          <w:szCs w:val="26"/>
        </w:rPr>
        <w:t>”</w:t>
      </w:r>
      <w:r w:rsidRPr="00C46631">
        <w:rPr>
          <w:rFonts w:ascii="Century Schoolbook" w:hAnsi="Century Schoolbook"/>
          <w:sz w:val="26"/>
          <w:szCs w:val="26"/>
        </w:rPr>
        <w:t xml:space="preserve"> behavior.</w:t>
      </w:r>
    </w:p>
    <w:p w:rsidR="00C46631" w:rsidRPr="00C46631" w:rsidP="00C46631" w14:paraId="5469C1FF" w14:textId="0C89500B">
      <w:pPr>
        <w:spacing w:line="288" w:lineRule="auto"/>
        <w:rPr>
          <w:rFonts w:ascii="Century Schoolbook" w:hAnsi="Century Schoolbook"/>
          <w:i/>
          <w:iCs/>
          <w:sz w:val="26"/>
          <w:szCs w:val="26"/>
        </w:rPr>
      </w:pPr>
      <w:r w:rsidRPr="00C46631">
        <w:rPr>
          <w:rFonts w:ascii="Century Schoolbook" w:hAnsi="Century Schoolbook"/>
          <w:sz w:val="26"/>
          <w:szCs w:val="26"/>
        </w:rPr>
        <w:tab/>
      </w:r>
      <w:r>
        <w:rPr>
          <w:rFonts w:ascii="Century Schoolbook" w:hAnsi="Century Schoolbook"/>
          <w:sz w:val="26"/>
          <w:szCs w:val="26"/>
        </w:rPr>
        <w:tab/>
      </w:r>
      <w:r w:rsidRPr="00C46631">
        <w:rPr>
          <w:rFonts w:ascii="Century Schoolbook" w:hAnsi="Century Schoolbook"/>
          <w:sz w:val="26"/>
          <w:szCs w:val="26"/>
        </w:rPr>
        <w:t>3.</w:t>
      </w:r>
      <w:r w:rsidRPr="00C46631">
        <w:rPr>
          <w:rFonts w:ascii="Century Schoolbook" w:hAnsi="Century Schoolbook"/>
          <w:sz w:val="26"/>
          <w:szCs w:val="26"/>
        </w:rPr>
        <w:tab/>
      </w:r>
      <w:r w:rsidRPr="00C46631">
        <w:rPr>
          <w:rFonts w:ascii="Century Schoolbook" w:hAnsi="Century Schoolbook"/>
          <w:i/>
          <w:iCs/>
          <w:sz w:val="26"/>
          <w:szCs w:val="26"/>
        </w:rPr>
        <w:t xml:space="preserve">Even if the Regional Center had </w:t>
      </w:r>
      <w:r w:rsidR="00C85B19">
        <w:rPr>
          <w:rFonts w:ascii="Century Schoolbook" w:hAnsi="Century Schoolbook"/>
          <w:i/>
          <w:iCs/>
          <w:sz w:val="26"/>
          <w:szCs w:val="26"/>
        </w:rPr>
        <w:t xml:space="preserve">a </w:t>
      </w:r>
      <w:r w:rsidR="005F29B7">
        <w:rPr>
          <w:rFonts w:ascii="Century Schoolbook" w:hAnsi="Century Schoolbook"/>
          <w:i/>
          <w:iCs/>
          <w:sz w:val="26"/>
          <w:szCs w:val="26"/>
        </w:rPr>
        <w:t xml:space="preserve">duty to control J.C. that </w:t>
      </w:r>
      <w:r w:rsidR="003D155B">
        <w:rPr>
          <w:rFonts w:ascii="Century Schoolbook" w:hAnsi="Century Schoolbook"/>
          <w:i/>
          <w:iCs/>
          <w:sz w:val="26"/>
          <w:szCs w:val="26"/>
        </w:rPr>
        <w:t xml:space="preserve">triggered a </w:t>
      </w:r>
      <w:r w:rsidRPr="00C46631">
        <w:rPr>
          <w:rFonts w:ascii="Century Schoolbook" w:hAnsi="Century Schoolbook"/>
          <w:i/>
          <w:iCs/>
          <w:sz w:val="26"/>
          <w:szCs w:val="26"/>
        </w:rPr>
        <w:t>legal duty to protect others, public policy disfavors the recognition of liability for breach of that duty</w:t>
      </w:r>
    </w:p>
    <w:p w:rsidR="00C46631" w:rsidRPr="00C46631" w:rsidP="00C46631" w14:paraId="78442F6C" w14:textId="23A0ADC5">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Plaintiff asserts that harm to residential facility staff, other residents and anyone else within striking distance of a developmentally disabled person is reasonably foreseeable when that person has previously exhibited aggressive or violent behavior.  The Regional Center does not strenuously disagree with that assertion.  Although a regional center’s inability to relocate a consumer on its own (that is, without the willingness of a different residential facility to accept the consumer) tends to render less close the connection between </w:t>
      </w:r>
      <w:r w:rsidR="006D7F8A">
        <w:rPr>
          <w:rFonts w:ascii="Century Schoolbook" w:hAnsi="Century Schoolbook"/>
          <w:sz w:val="26"/>
          <w:szCs w:val="26"/>
        </w:rPr>
        <w:t>a</w:t>
      </w:r>
      <w:r w:rsidRPr="00C46631" w:rsidR="006D7F8A">
        <w:rPr>
          <w:rFonts w:ascii="Century Schoolbook" w:hAnsi="Century Schoolbook"/>
          <w:sz w:val="26"/>
          <w:szCs w:val="26"/>
        </w:rPr>
        <w:t xml:space="preserve"> </w:t>
      </w:r>
      <w:r w:rsidRPr="00C46631">
        <w:rPr>
          <w:rFonts w:ascii="Century Schoolbook" w:hAnsi="Century Schoolbook"/>
          <w:sz w:val="26"/>
          <w:szCs w:val="26"/>
        </w:rPr>
        <w:t xml:space="preserve">regional center’s conduct and the injury suffered, we will assume for the sake of argument that the injury </w:t>
      </w:r>
      <w:r w:rsidR="006D7F8A">
        <w:rPr>
          <w:rFonts w:ascii="Century Schoolbook" w:hAnsi="Century Schoolbook"/>
          <w:sz w:val="26"/>
          <w:szCs w:val="26"/>
        </w:rPr>
        <w:t xml:space="preserve">suffered by </w:t>
      </w:r>
      <w:r w:rsidRPr="00C46631">
        <w:rPr>
          <w:rFonts w:ascii="Century Schoolbook" w:hAnsi="Century Schoolbook"/>
          <w:sz w:val="26"/>
          <w:szCs w:val="26"/>
        </w:rPr>
        <w:t xml:space="preserve">third parties at the hands of persons whose developmental disabilities render them </w:t>
      </w:r>
      <w:r w:rsidR="00536507">
        <w:rPr>
          <w:rFonts w:ascii="Century Schoolbook" w:hAnsi="Century Schoolbook"/>
          <w:sz w:val="26"/>
          <w:szCs w:val="26"/>
        </w:rPr>
        <w:t xml:space="preserve">aggressive or </w:t>
      </w:r>
      <w:r w:rsidRPr="00C46631">
        <w:rPr>
          <w:rFonts w:ascii="Century Schoolbook" w:hAnsi="Century Schoolbook"/>
          <w:sz w:val="26"/>
          <w:szCs w:val="26"/>
        </w:rPr>
        <w:t>violent is reasonably foreseeable.</w:t>
      </w:r>
    </w:p>
    <w:p w:rsidR="00C46631" w:rsidRPr="00C46631" w:rsidP="00C46631" w14:paraId="6ADC2FA1" w14:textId="382BB3BF">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But do countervailing public policy considerations militate against holding a regional center liable for </w:t>
      </w:r>
      <w:r w:rsidR="00536507">
        <w:rPr>
          <w:rFonts w:ascii="Century Schoolbook" w:hAnsi="Century Schoolbook"/>
          <w:sz w:val="26"/>
          <w:szCs w:val="26"/>
        </w:rPr>
        <w:t>such a</w:t>
      </w:r>
      <w:r w:rsidRPr="00C46631">
        <w:rPr>
          <w:rFonts w:ascii="Century Schoolbook" w:hAnsi="Century Schoolbook"/>
          <w:sz w:val="26"/>
          <w:szCs w:val="26"/>
        </w:rPr>
        <w:t xml:space="preserve"> consumer’s behavior if the center’s attempts to relocate have yet to prove successful?  </w:t>
      </w:r>
    </w:p>
    <w:p w:rsidR="00C46631" w:rsidRPr="00C46631" w:rsidP="00C46631" w14:paraId="1C1C14D3" w14:textId="4349F845">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Yes, they do.  The </w:t>
      </w:r>
      <w:r w:rsidRPr="00C46631">
        <w:rPr>
          <w:rFonts w:ascii="Century Schoolbook" w:hAnsi="Century Schoolbook"/>
          <w:i/>
          <w:iCs/>
          <w:sz w:val="26"/>
          <w:szCs w:val="26"/>
        </w:rPr>
        <w:t>Rowland</w:t>
      </w:r>
      <w:r w:rsidRPr="00C46631">
        <w:rPr>
          <w:rFonts w:ascii="Century Schoolbook" w:hAnsi="Century Schoolbook"/>
          <w:sz w:val="26"/>
          <w:szCs w:val="26"/>
        </w:rPr>
        <w:t xml:space="preserve"> factors </w:t>
      </w:r>
      <w:r w:rsidR="00536507">
        <w:rPr>
          <w:rFonts w:ascii="Century Schoolbook" w:hAnsi="Century Schoolbook"/>
          <w:sz w:val="26"/>
          <w:szCs w:val="26"/>
        </w:rPr>
        <w:t>dictate this answer</w:t>
      </w:r>
      <w:r w:rsidRPr="00C46631">
        <w:rPr>
          <w:rFonts w:ascii="Century Schoolbook" w:hAnsi="Century Schoolbook"/>
          <w:sz w:val="26"/>
          <w:szCs w:val="26"/>
        </w:rPr>
        <w:t>.</w:t>
      </w:r>
    </w:p>
    <w:p w:rsidR="00C46631" w:rsidRPr="00C46631" w:rsidP="00C46631" w14:paraId="7C579454" w14:textId="121E72B4">
      <w:pPr>
        <w:spacing w:line="288" w:lineRule="auto"/>
        <w:ind w:firstLine="720"/>
        <w:rPr>
          <w:rFonts w:ascii="Century Schoolbook" w:hAnsi="Century Schoolbook"/>
          <w:sz w:val="26"/>
          <w:szCs w:val="26"/>
        </w:rPr>
      </w:pPr>
      <w:r w:rsidRPr="00C46631">
        <w:rPr>
          <w:rFonts w:ascii="Century Schoolbook" w:hAnsi="Century Schoolbook"/>
          <w:sz w:val="26"/>
          <w:szCs w:val="26"/>
        </w:rPr>
        <w:t>The moral blame attaching to the Regional Center’s conduct is minimal.  Because it is a private, nonprofit organization, the Regional Center had no profit motive for its conduct.  More to the point, the Regional Center did not ignore Hargis Ho</w:t>
      </w:r>
      <w:r w:rsidR="005F267C">
        <w:rPr>
          <w:rFonts w:ascii="Century Schoolbook" w:hAnsi="Century Schoolbook"/>
          <w:sz w:val="26"/>
          <w:szCs w:val="26"/>
        </w:rPr>
        <w:t>m</w:t>
      </w:r>
      <w:r w:rsidRPr="00C46631">
        <w:rPr>
          <w:rFonts w:ascii="Century Schoolbook" w:hAnsi="Century Schoolbook"/>
          <w:sz w:val="26"/>
          <w:szCs w:val="26"/>
        </w:rPr>
        <w:t>e’s May 2018 letter requesting relocation; to the contrary, it actively conducted a statewide search for a new residential facility to house J.C. and also provided Hargis Ho</w:t>
      </w:r>
      <w:r w:rsidR="005F267C">
        <w:rPr>
          <w:rFonts w:ascii="Century Schoolbook" w:hAnsi="Century Schoolbook"/>
          <w:sz w:val="26"/>
          <w:szCs w:val="26"/>
        </w:rPr>
        <w:t>m</w:t>
      </w:r>
      <w:r w:rsidRPr="00C46631">
        <w:rPr>
          <w:rFonts w:ascii="Century Schoolbook" w:hAnsi="Century Schoolbook"/>
          <w:sz w:val="26"/>
          <w:szCs w:val="26"/>
        </w:rPr>
        <w:t>e with additional personnel to monitor J.C. while the search was ongoing.  Given these efforts, which plaintiff does not prove—or even allege—were unreasonable, the Regional Center’s inability to relocate J.C. immediately was not morally blameworthy.</w:t>
      </w:r>
    </w:p>
    <w:p w:rsidR="00C46631" w:rsidRPr="00C46631" w:rsidP="00C46631" w14:paraId="46E244C4" w14:textId="3921993B">
      <w:pPr>
        <w:spacing w:line="288" w:lineRule="auto"/>
        <w:rPr>
          <w:rFonts w:ascii="Century Schoolbook" w:hAnsi="Century Schoolbook"/>
          <w:sz w:val="26"/>
          <w:szCs w:val="26"/>
        </w:rPr>
      </w:pPr>
      <w:r w:rsidRPr="00C46631">
        <w:rPr>
          <w:rFonts w:ascii="Century Schoolbook" w:hAnsi="Century Schoolbook"/>
          <w:sz w:val="26"/>
          <w:szCs w:val="26"/>
        </w:rPr>
        <w:tab/>
        <w:t xml:space="preserve">Imposing liability on regional centers would also not prevent future harm to third parties injured by developmentally disabled </w:t>
      </w:r>
      <w:r w:rsidR="00483EB4">
        <w:rPr>
          <w:rFonts w:ascii="Century Schoolbook" w:hAnsi="Century Schoolbook"/>
          <w:sz w:val="26"/>
          <w:szCs w:val="26"/>
        </w:rPr>
        <w:t>persons</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at a residential facility after </w:t>
      </w:r>
      <w:r w:rsidR="00483EB4">
        <w:rPr>
          <w:rFonts w:ascii="Century Schoolbook" w:hAnsi="Century Schoolbook"/>
          <w:sz w:val="26"/>
          <w:szCs w:val="26"/>
        </w:rPr>
        <w:t>a</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regional center has been asked to relocate the </w:t>
      </w:r>
      <w:r w:rsidR="00483EB4">
        <w:rPr>
          <w:rFonts w:ascii="Century Schoolbook" w:hAnsi="Century Schoolbook"/>
          <w:sz w:val="26"/>
          <w:szCs w:val="26"/>
        </w:rPr>
        <w:t>person</w:t>
      </w:r>
      <w:r w:rsidRPr="00C46631">
        <w:rPr>
          <w:rFonts w:ascii="Century Schoolbook" w:hAnsi="Century Schoolbook"/>
          <w:sz w:val="26"/>
          <w:szCs w:val="26"/>
        </w:rPr>
        <w:t>.  That is because regional centers do not have the u</w:t>
      </w:r>
      <w:r w:rsidR="00536507">
        <w:rPr>
          <w:rFonts w:ascii="Century Schoolbook" w:hAnsi="Century Schoolbook"/>
          <w:sz w:val="26"/>
          <w:szCs w:val="26"/>
        </w:rPr>
        <w:t>nilateral</w:t>
      </w:r>
      <w:r w:rsidRPr="00C46631">
        <w:rPr>
          <w:rFonts w:ascii="Century Schoolbook" w:hAnsi="Century Schoolbook"/>
          <w:sz w:val="26"/>
          <w:szCs w:val="26"/>
        </w:rPr>
        <w:t xml:space="preserve"> power to relocate consumers; their power to do so is contingent upon the acceptance of the consumer by another residential facility, a contingency over which they do not have control.  Although plaintiff tries to limit the scope of liability to injuries to residential facility staff if relocation takes longer than the 30</w:t>
      </w:r>
      <w:r w:rsidR="00483EB4">
        <w:rPr>
          <w:rFonts w:ascii="Century Schoolbook" w:hAnsi="Century Schoolbook"/>
          <w:sz w:val="26"/>
          <w:szCs w:val="26"/>
        </w:rPr>
        <w:t>-</w:t>
      </w:r>
      <w:r w:rsidRPr="00C46631">
        <w:rPr>
          <w:rFonts w:ascii="Century Schoolbook" w:hAnsi="Century Schoolbook"/>
          <w:sz w:val="26"/>
          <w:szCs w:val="26"/>
        </w:rPr>
        <w:t xml:space="preserve">day default period set forth in one regulation, this limitation is artificial and unlikely to withstand scrutiny:  If a regional center is to be liable for injuries inflicted by a developmentally disabled </w:t>
      </w:r>
      <w:r w:rsidR="00483EB4">
        <w:rPr>
          <w:rFonts w:ascii="Century Schoolbook" w:hAnsi="Century Schoolbook"/>
          <w:sz w:val="26"/>
          <w:szCs w:val="26"/>
        </w:rPr>
        <w:t>person</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after the center receives notice of that </w:t>
      </w:r>
      <w:r w:rsidR="00483EB4">
        <w:rPr>
          <w:rFonts w:ascii="Century Schoolbook" w:hAnsi="Century Schoolbook"/>
          <w:sz w:val="26"/>
          <w:szCs w:val="26"/>
        </w:rPr>
        <w:t>person’s</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propensity for aggression or violence, there is little basis for denying liability if an injury occurs 29 days after a relocation request or is inflicted upon another resident or guest rather than an employee of the residential facility.  As noted above, this is why the regulation sets out a </w:t>
      </w:r>
      <w:r w:rsidRPr="00C46631">
        <w:rPr>
          <w:rFonts w:ascii="Century Schoolbook" w:hAnsi="Century Schoolbook"/>
          <w:i/>
          <w:iCs/>
          <w:sz w:val="26"/>
          <w:szCs w:val="26"/>
        </w:rPr>
        <w:t>standard of care</w:t>
      </w:r>
      <w:r w:rsidRPr="00C46631">
        <w:rPr>
          <w:rFonts w:ascii="Century Schoolbook" w:hAnsi="Century Schoolbook"/>
          <w:sz w:val="26"/>
          <w:szCs w:val="26"/>
        </w:rPr>
        <w:t xml:space="preserve"> that at best provides the presumptive, default standard for breach;</w:t>
      </w:r>
      <w:r w:rsidR="00536507">
        <w:rPr>
          <w:rFonts w:ascii="Century Schoolbook" w:hAnsi="Century Schoolbook"/>
          <w:sz w:val="26"/>
          <w:szCs w:val="26"/>
        </w:rPr>
        <w:t xml:space="preserve"> but</w:t>
      </w:r>
      <w:r w:rsidRPr="00C46631">
        <w:rPr>
          <w:rFonts w:ascii="Century Schoolbook" w:hAnsi="Century Schoolbook"/>
          <w:sz w:val="26"/>
          <w:szCs w:val="26"/>
        </w:rPr>
        <w:t xml:space="preserve"> it does not define the scope of </w:t>
      </w:r>
      <w:r w:rsidRPr="00C46631">
        <w:rPr>
          <w:rFonts w:ascii="Century Schoolbook" w:hAnsi="Century Schoolbook"/>
          <w:i/>
          <w:iCs/>
          <w:sz w:val="26"/>
          <w:szCs w:val="26"/>
        </w:rPr>
        <w:t>the legal duty of care</w:t>
      </w:r>
      <w:r w:rsidRPr="00C46631">
        <w:rPr>
          <w:rFonts w:ascii="Century Schoolbook" w:hAnsi="Century Schoolbook"/>
          <w:sz w:val="26"/>
          <w:szCs w:val="26"/>
        </w:rPr>
        <w:t xml:space="preserve">.  Because, as this case indicates, developmentally disabled </w:t>
      </w:r>
      <w:r w:rsidR="00483EB4">
        <w:rPr>
          <w:rFonts w:ascii="Century Schoolbook" w:hAnsi="Century Schoolbook"/>
          <w:sz w:val="26"/>
          <w:szCs w:val="26"/>
        </w:rPr>
        <w:t>persons</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sometimes have a propensity for aggressive and violent behavior, and because regional centers are tasked with evaluating those </w:t>
      </w:r>
      <w:r w:rsidR="00483EB4">
        <w:rPr>
          <w:rFonts w:ascii="Century Schoolbook" w:hAnsi="Century Schoolbook"/>
          <w:sz w:val="26"/>
          <w:szCs w:val="26"/>
        </w:rPr>
        <w:t>persons</w:t>
      </w:r>
      <w:r w:rsidRPr="00C46631" w:rsidR="00483EB4">
        <w:rPr>
          <w:rFonts w:ascii="Century Schoolbook" w:hAnsi="Century Schoolbook"/>
          <w:sz w:val="26"/>
          <w:szCs w:val="26"/>
        </w:rPr>
        <w:t xml:space="preserve"> </w:t>
      </w:r>
      <w:r w:rsidRPr="00C46631">
        <w:rPr>
          <w:rFonts w:ascii="Century Schoolbook" w:hAnsi="Century Schoolbook"/>
          <w:sz w:val="26"/>
          <w:szCs w:val="26"/>
        </w:rPr>
        <w:t xml:space="preserve">in order to assess </w:t>
      </w:r>
      <w:r w:rsidR="00536507">
        <w:rPr>
          <w:rFonts w:ascii="Century Schoolbook" w:hAnsi="Century Schoolbook"/>
          <w:sz w:val="26"/>
          <w:szCs w:val="26"/>
        </w:rPr>
        <w:t xml:space="preserve">appropriate </w:t>
      </w:r>
      <w:r w:rsidRPr="00C46631">
        <w:rPr>
          <w:rFonts w:ascii="Century Schoolbook" w:hAnsi="Century Schoolbook"/>
          <w:sz w:val="26"/>
          <w:szCs w:val="26"/>
        </w:rPr>
        <w:t>residential placements, regional centers will usually be aware of consumers’ propensities</w:t>
      </w:r>
      <w:r w:rsidR="00665991">
        <w:rPr>
          <w:rFonts w:ascii="Century Schoolbook" w:hAnsi="Century Schoolbook"/>
          <w:sz w:val="26"/>
          <w:szCs w:val="26"/>
        </w:rPr>
        <w:t xml:space="preserve">; thus, if liability is imposed against regional centers due to their awareness of such propensities, they </w:t>
      </w:r>
      <w:r w:rsidR="00063296">
        <w:rPr>
          <w:rFonts w:ascii="Century Schoolbook" w:hAnsi="Century Schoolbook"/>
          <w:sz w:val="26"/>
          <w:szCs w:val="26"/>
        </w:rPr>
        <w:t xml:space="preserve">will become de facto insurers against </w:t>
      </w:r>
      <w:r w:rsidR="00665991">
        <w:rPr>
          <w:rFonts w:ascii="Century Schoolbook" w:hAnsi="Century Schoolbook"/>
          <w:sz w:val="26"/>
          <w:szCs w:val="26"/>
        </w:rPr>
        <w:t xml:space="preserve">all </w:t>
      </w:r>
      <w:r w:rsidR="00063296">
        <w:rPr>
          <w:rFonts w:ascii="Century Schoolbook" w:hAnsi="Century Schoolbook"/>
          <w:sz w:val="26"/>
          <w:szCs w:val="26"/>
        </w:rPr>
        <w:t xml:space="preserve">injuries inflicted by </w:t>
      </w:r>
      <w:r w:rsidR="00665991">
        <w:rPr>
          <w:rFonts w:ascii="Century Schoolbook" w:hAnsi="Century Schoolbook"/>
          <w:sz w:val="26"/>
          <w:szCs w:val="26"/>
        </w:rPr>
        <w:t>anyone</w:t>
      </w:r>
      <w:r w:rsidR="00063296">
        <w:rPr>
          <w:rFonts w:ascii="Century Schoolbook" w:hAnsi="Century Schoolbook"/>
          <w:sz w:val="26"/>
          <w:szCs w:val="26"/>
        </w:rPr>
        <w:t xml:space="preserve"> whose services and support they coordinate </w:t>
      </w:r>
      <w:r w:rsidRPr="00C46631">
        <w:rPr>
          <w:rFonts w:ascii="Century Schoolbook" w:hAnsi="Century Schoolbook"/>
          <w:sz w:val="26"/>
          <w:szCs w:val="26"/>
        </w:rPr>
        <w:t>whenever</w:t>
      </w:r>
      <w:r w:rsidR="00665991">
        <w:rPr>
          <w:rFonts w:ascii="Century Schoolbook" w:hAnsi="Century Schoolbook"/>
          <w:sz w:val="26"/>
          <w:szCs w:val="26"/>
        </w:rPr>
        <w:t xml:space="preserve"> such a consumer</w:t>
      </w:r>
      <w:r w:rsidR="00C22A12">
        <w:rPr>
          <w:rFonts w:ascii="Century Schoolbook" w:hAnsi="Century Schoolbook"/>
          <w:sz w:val="26"/>
          <w:szCs w:val="26"/>
        </w:rPr>
        <w:t xml:space="preserve"> </w:t>
      </w:r>
      <w:r w:rsidRPr="00C46631">
        <w:rPr>
          <w:rFonts w:ascii="Century Schoolbook" w:hAnsi="Century Schoolbook"/>
          <w:sz w:val="26"/>
          <w:szCs w:val="26"/>
        </w:rPr>
        <w:t>act</w:t>
      </w:r>
      <w:r w:rsidR="00483EB4">
        <w:rPr>
          <w:rFonts w:ascii="Century Schoolbook" w:hAnsi="Century Schoolbook"/>
          <w:sz w:val="26"/>
          <w:szCs w:val="26"/>
        </w:rPr>
        <w:t>s</w:t>
      </w:r>
      <w:r w:rsidRPr="00C46631">
        <w:rPr>
          <w:rFonts w:ascii="Century Schoolbook" w:hAnsi="Century Schoolbook"/>
          <w:sz w:val="26"/>
          <w:szCs w:val="26"/>
        </w:rPr>
        <w:t xml:space="preserve"> on that propensity.  (Accord, </w:t>
      </w:r>
      <w:r w:rsidRPr="00C46631">
        <w:rPr>
          <w:rFonts w:ascii="Century Schoolbook" w:hAnsi="Century Schoolbook"/>
          <w:i/>
          <w:iCs/>
          <w:sz w:val="26"/>
          <w:szCs w:val="26"/>
        </w:rPr>
        <w:t>Regents</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 Cal.5th at p. 634 [expressi</w:t>
      </w:r>
      <w:r w:rsidR="00536507">
        <w:rPr>
          <w:rFonts w:ascii="Century Schoolbook" w:hAnsi="Century Schoolbook"/>
          <w:sz w:val="26"/>
          <w:szCs w:val="26"/>
        </w:rPr>
        <w:t xml:space="preserve">ng </w:t>
      </w:r>
      <w:r w:rsidRPr="00C46631">
        <w:rPr>
          <w:rFonts w:ascii="Century Schoolbook" w:hAnsi="Century Schoolbook"/>
          <w:sz w:val="26"/>
          <w:szCs w:val="26"/>
        </w:rPr>
        <w:t xml:space="preserve">hesitation when the imposition of liability will convert a class of defendant into “the ultimate insurers of all . . . safety”].)  </w:t>
      </w:r>
      <w:r w:rsidR="00483EB4">
        <w:rPr>
          <w:rFonts w:ascii="Century Schoolbook" w:hAnsi="Century Schoolbook"/>
          <w:sz w:val="26"/>
          <w:szCs w:val="26"/>
        </w:rPr>
        <w:t>I</w:t>
      </w:r>
      <w:r w:rsidRPr="00C46631">
        <w:rPr>
          <w:rFonts w:ascii="Century Schoolbook" w:hAnsi="Century Schoolbook"/>
          <w:sz w:val="26"/>
          <w:szCs w:val="26"/>
        </w:rPr>
        <w:t>mposi</w:t>
      </w:r>
      <w:r w:rsidR="00536507">
        <w:rPr>
          <w:rFonts w:ascii="Century Schoolbook" w:hAnsi="Century Schoolbook"/>
          <w:sz w:val="26"/>
          <w:szCs w:val="26"/>
        </w:rPr>
        <w:t>ng</w:t>
      </w:r>
      <w:r w:rsidRPr="00C46631">
        <w:rPr>
          <w:rFonts w:ascii="Century Schoolbook" w:hAnsi="Century Schoolbook"/>
          <w:sz w:val="26"/>
          <w:szCs w:val="26"/>
        </w:rPr>
        <w:t xml:space="preserve"> </w:t>
      </w:r>
      <w:r w:rsidR="00483EB4">
        <w:rPr>
          <w:rFonts w:ascii="Century Schoolbook" w:hAnsi="Century Schoolbook"/>
          <w:sz w:val="26"/>
          <w:szCs w:val="26"/>
        </w:rPr>
        <w:t xml:space="preserve">such vast </w:t>
      </w:r>
      <w:r w:rsidRPr="00C46631">
        <w:rPr>
          <w:rFonts w:ascii="Century Schoolbook" w:hAnsi="Century Schoolbook"/>
          <w:sz w:val="26"/>
          <w:szCs w:val="26"/>
        </w:rPr>
        <w:t xml:space="preserve">tort liability </w:t>
      </w:r>
      <w:r w:rsidR="00483EB4">
        <w:rPr>
          <w:rFonts w:ascii="Century Schoolbook" w:hAnsi="Century Schoolbook"/>
          <w:sz w:val="26"/>
          <w:szCs w:val="26"/>
        </w:rPr>
        <w:t xml:space="preserve">on </w:t>
      </w:r>
      <w:r w:rsidRPr="00C46631" w:rsidR="00483EB4">
        <w:rPr>
          <w:rFonts w:ascii="Century Schoolbook" w:hAnsi="Century Schoolbook"/>
          <w:sz w:val="26"/>
          <w:szCs w:val="26"/>
        </w:rPr>
        <w:t>regional centers that are, by definition, nonprofit entities,</w:t>
      </w:r>
      <w:r w:rsidR="00483EB4">
        <w:rPr>
          <w:rFonts w:ascii="Century Schoolbook" w:hAnsi="Century Schoolbook"/>
          <w:sz w:val="26"/>
          <w:szCs w:val="26"/>
        </w:rPr>
        <w:t xml:space="preserve"> </w:t>
      </w:r>
      <w:r w:rsidRPr="00C46631">
        <w:rPr>
          <w:rFonts w:ascii="Century Schoolbook" w:hAnsi="Century Schoolbook"/>
          <w:sz w:val="26"/>
          <w:szCs w:val="26"/>
        </w:rPr>
        <w:t xml:space="preserve">will likely drive them out of business and hence end up doing </w:t>
      </w:r>
      <w:r w:rsidRPr="00C46631">
        <w:rPr>
          <w:rFonts w:ascii="Century Schoolbook" w:hAnsi="Century Schoolbook"/>
          <w:i/>
          <w:iCs/>
          <w:sz w:val="26"/>
          <w:szCs w:val="26"/>
        </w:rPr>
        <w:t>nothing</w:t>
      </w:r>
      <w:r w:rsidRPr="00C46631">
        <w:rPr>
          <w:rFonts w:ascii="Century Schoolbook" w:hAnsi="Century Schoolbook"/>
          <w:sz w:val="26"/>
          <w:szCs w:val="26"/>
        </w:rPr>
        <w:t xml:space="preserve"> to prevent future harm.</w:t>
      </w:r>
    </w:p>
    <w:p w:rsidR="00C46631" w:rsidRPr="00C46631" w:rsidP="00C46631" w14:paraId="7174DC8E" w14:textId="5AF20A86">
      <w:pPr>
        <w:spacing w:line="288" w:lineRule="auto"/>
        <w:rPr>
          <w:rFonts w:ascii="Century Schoolbook" w:hAnsi="Century Schoolbook"/>
          <w:sz w:val="26"/>
          <w:szCs w:val="26"/>
        </w:rPr>
      </w:pPr>
      <w:r w:rsidRPr="00C46631">
        <w:rPr>
          <w:rFonts w:ascii="Century Schoolbook" w:hAnsi="Century Schoolbook"/>
          <w:sz w:val="26"/>
          <w:szCs w:val="26"/>
        </w:rPr>
        <w:tab/>
        <w:t xml:space="preserve">Imposing liability on regional centers for injuries inflicted by the consumers whose services and support the centers coordinate would impose a </w:t>
      </w:r>
      <w:r w:rsidR="00536507">
        <w:rPr>
          <w:rFonts w:ascii="Century Schoolbook" w:hAnsi="Century Schoolbook"/>
          <w:sz w:val="26"/>
          <w:szCs w:val="26"/>
        </w:rPr>
        <w:t>crushing</w:t>
      </w:r>
      <w:r w:rsidRPr="00C46631">
        <w:rPr>
          <w:rFonts w:ascii="Century Schoolbook" w:hAnsi="Century Schoolbook"/>
          <w:sz w:val="26"/>
          <w:szCs w:val="26"/>
        </w:rPr>
        <w:t xml:space="preserve"> burden on those centers, which are the very backbone of the body of organizations the Lanterman Act uses to dispense support and services to the population of developmentally disabled persons in California.  As explained above, holding regional centers liable for injuries inflicted by consumers may well drive them out of business.  Because regional centers play a “vital” role in the administration of the Lanterman Act (</w:t>
      </w:r>
      <w:r w:rsidRPr="00C46631">
        <w:rPr>
          <w:rFonts w:ascii="Century Schoolbook" w:hAnsi="Century Schoolbook"/>
          <w:i/>
          <w:iCs/>
          <w:sz w:val="26"/>
          <w:szCs w:val="26"/>
        </w:rPr>
        <w:t>Moroh</w:t>
      </w:r>
      <w:r w:rsidR="009F38FD">
        <w:rPr>
          <w:rFonts w:ascii="Century Schoolbook" w:hAnsi="Century Schoolbook"/>
          <w:i/>
          <w:iCs/>
          <w:sz w:val="26"/>
          <w:szCs w:val="26"/>
        </w:rPr>
        <w:t>o</w:t>
      </w:r>
      <w:r w:rsidRPr="00C46631">
        <w:rPr>
          <w:rFonts w:ascii="Century Schoolbook" w:hAnsi="Century Schoolbook"/>
          <w:i/>
          <w:iCs/>
          <w:sz w:val="26"/>
          <w:szCs w:val="26"/>
        </w:rPr>
        <w:t>shi</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xml:space="preserve">, 34 Cal.4th at p. 488 [regional centers play a “vital” role]; § 4620, subd. (b) [regional centers have a “special and unique nature”]), their extinction is likely to collapse the entire ecosystem of the Act, thereby depriving developmentally disabled persons of much needed services and support.  Even if imposing liability does not exterminate regional centers, the imposition of tort liability is likely to skew how the centers conduct their business—and, critically, skew it in a way that is </w:t>
      </w:r>
      <w:r w:rsidRPr="00C46631">
        <w:rPr>
          <w:rFonts w:ascii="Century Schoolbook" w:hAnsi="Century Schoolbook"/>
          <w:i/>
          <w:iCs/>
          <w:sz w:val="26"/>
          <w:szCs w:val="26"/>
        </w:rPr>
        <w:t>inconsistent</w:t>
      </w:r>
      <w:r w:rsidRPr="00C46631">
        <w:rPr>
          <w:rFonts w:ascii="Century Schoolbook" w:hAnsi="Century Schoolbook"/>
          <w:sz w:val="26"/>
          <w:szCs w:val="26"/>
        </w:rPr>
        <w:t xml:space="preserve"> with the state</w:t>
      </w:r>
      <w:r>
        <w:rPr>
          <w:rFonts w:ascii="Century Schoolbook" w:hAnsi="Century Schoolbook"/>
          <w:sz w:val="26"/>
          <w:szCs w:val="26"/>
        </w:rPr>
        <w:t>d</w:t>
      </w:r>
      <w:r w:rsidRPr="00C46631">
        <w:rPr>
          <w:rFonts w:ascii="Century Schoolbook" w:hAnsi="Century Schoolbook"/>
          <w:sz w:val="26"/>
          <w:szCs w:val="26"/>
        </w:rPr>
        <w:t xml:space="preserve"> purposes of the Lanterman Act.  (Accord, </w:t>
      </w:r>
      <w:r w:rsidRPr="00C46631">
        <w:rPr>
          <w:rFonts w:ascii="Century Schoolbook" w:hAnsi="Century Schoolbook"/>
          <w:i/>
          <w:iCs/>
          <w:sz w:val="26"/>
          <w:szCs w:val="26"/>
        </w:rPr>
        <w:t>Cast</w:t>
      </w:r>
      <w:r w:rsidR="00184FD9">
        <w:rPr>
          <w:rFonts w:ascii="Century Schoolbook" w:hAnsi="Century Schoolbook"/>
          <w:i/>
          <w:iCs/>
          <w:sz w:val="26"/>
          <w:szCs w:val="26"/>
        </w:rPr>
        <w:t>ane</w:t>
      </w:r>
      <w:r w:rsidRPr="00C46631">
        <w:rPr>
          <w:rFonts w:ascii="Century Schoolbook" w:hAnsi="Century Schoolbook"/>
          <w:i/>
          <w:iCs/>
          <w:sz w:val="26"/>
          <w:szCs w:val="26"/>
        </w:rPr>
        <w:t>da</w:t>
      </w:r>
      <w:r w:rsidRPr="00D42E17">
        <w:rPr>
          <w:rFonts w:ascii="Century Schoolbook" w:hAnsi="Century Schoolbook"/>
          <w:sz w:val="26"/>
          <w:szCs w:val="26"/>
        </w:rPr>
        <w:t>,</w:t>
      </w:r>
      <w:r w:rsidRPr="00C46631">
        <w:rPr>
          <w:rFonts w:ascii="Century Schoolbook" w:hAnsi="Century Schoolbook"/>
          <w:i/>
          <w:iCs/>
          <w:sz w:val="26"/>
          <w:szCs w:val="26"/>
        </w:rPr>
        <w:t xml:space="preserve"> supra</w:t>
      </w:r>
      <w:r w:rsidRPr="00C46631">
        <w:rPr>
          <w:rFonts w:ascii="Century Schoolbook" w:hAnsi="Century Schoolbook"/>
          <w:sz w:val="26"/>
          <w:szCs w:val="26"/>
        </w:rPr>
        <w:t>, 41 Cal.4th at pp. 1210, 1216 [imposing liability on landlords not to rent property to “gang members” imposes unacceptable burden on landlord because it “would tend to encourage arbitrary housing discrimination” on the “basis of race, ethnicity, family comp</w:t>
      </w:r>
      <w:r w:rsidR="0043118D">
        <w:rPr>
          <w:rFonts w:ascii="Century Schoolbook" w:hAnsi="Century Schoolbook"/>
          <w:sz w:val="26"/>
          <w:szCs w:val="26"/>
        </w:rPr>
        <w:t>osition</w:t>
      </w:r>
      <w:r w:rsidRPr="00C46631">
        <w:rPr>
          <w:rFonts w:ascii="Century Schoolbook" w:hAnsi="Century Schoolbook"/>
          <w:sz w:val="26"/>
          <w:szCs w:val="26"/>
        </w:rPr>
        <w:t>, dress</w:t>
      </w:r>
      <w:r w:rsidR="0043118D">
        <w:rPr>
          <w:rFonts w:ascii="Century Schoolbook" w:hAnsi="Century Schoolbook"/>
          <w:sz w:val="26"/>
          <w:szCs w:val="26"/>
        </w:rPr>
        <w:t xml:space="preserve"> and </w:t>
      </w:r>
      <w:r w:rsidRPr="00C46631">
        <w:rPr>
          <w:rFonts w:ascii="Century Schoolbook" w:hAnsi="Century Schoolbook"/>
          <w:sz w:val="26"/>
          <w:szCs w:val="26"/>
        </w:rPr>
        <w:t>appearance</w:t>
      </w:r>
      <w:r w:rsidR="0043118D">
        <w:rPr>
          <w:rFonts w:ascii="Century Schoolbook" w:hAnsi="Century Schoolbook"/>
          <w:sz w:val="26"/>
          <w:szCs w:val="26"/>
        </w:rPr>
        <w:t xml:space="preserve">, or </w:t>
      </w:r>
      <w:r w:rsidRPr="00C46631">
        <w:rPr>
          <w:rFonts w:ascii="Century Schoolbook" w:hAnsi="Century Schoolbook"/>
          <w:sz w:val="26"/>
          <w:szCs w:val="26"/>
        </w:rPr>
        <w:t xml:space="preserve">reputation”].)  For instance, regional centers wishing to avoid liability </w:t>
      </w:r>
      <w:r w:rsidR="00536507">
        <w:rPr>
          <w:rFonts w:ascii="Century Schoolbook" w:hAnsi="Century Schoolbook"/>
          <w:sz w:val="26"/>
          <w:szCs w:val="26"/>
        </w:rPr>
        <w:t xml:space="preserve">for injuries inflicted by the consumers they serve </w:t>
      </w:r>
      <w:r w:rsidRPr="00C46631">
        <w:rPr>
          <w:rFonts w:ascii="Century Schoolbook" w:hAnsi="Century Schoolbook"/>
          <w:sz w:val="26"/>
          <w:szCs w:val="26"/>
        </w:rPr>
        <w:t xml:space="preserve">will err on the side of placing </w:t>
      </w:r>
      <w:r w:rsidR="00536507">
        <w:rPr>
          <w:rFonts w:ascii="Century Schoolbook" w:hAnsi="Century Schoolbook"/>
          <w:sz w:val="26"/>
          <w:szCs w:val="26"/>
        </w:rPr>
        <w:t xml:space="preserve">those </w:t>
      </w:r>
      <w:r w:rsidRPr="00C46631">
        <w:rPr>
          <w:rFonts w:ascii="Century Schoolbook" w:hAnsi="Century Schoolbook"/>
          <w:sz w:val="26"/>
          <w:szCs w:val="26"/>
        </w:rPr>
        <w:t>consumers in the most restrictive residential facilities; but that is at odds with the Act’s mandate to place consumers in the “least restrictive environment</w:t>
      </w:r>
      <w:r w:rsidR="00596DE8">
        <w:rPr>
          <w:rFonts w:ascii="Century Schoolbook" w:hAnsi="Century Schoolbook"/>
          <w:sz w:val="26"/>
          <w:szCs w:val="26"/>
        </w:rPr>
        <w:t>.</w:t>
      </w:r>
      <w:r w:rsidRPr="00C46631">
        <w:rPr>
          <w:rFonts w:ascii="Century Schoolbook" w:hAnsi="Century Schoolbook"/>
          <w:sz w:val="26"/>
          <w:szCs w:val="26"/>
        </w:rPr>
        <w:t xml:space="preserve">” </w:t>
      </w:r>
      <w:r w:rsidR="00596DE8">
        <w:rPr>
          <w:rFonts w:ascii="Century Schoolbook" w:hAnsi="Century Schoolbook"/>
          <w:sz w:val="26"/>
          <w:szCs w:val="26"/>
        </w:rPr>
        <w:t xml:space="preserve"> </w:t>
      </w:r>
      <w:r w:rsidRPr="00C46631">
        <w:rPr>
          <w:rFonts w:ascii="Century Schoolbook" w:hAnsi="Century Schoolbook"/>
          <w:sz w:val="26"/>
          <w:szCs w:val="26"/>
        </w:rPr>
        <w:t>(§ 4502, subd. (</w:t>
      </w:r>
      <w:r w:rsidR="00480179">
        <w:rPr>
          <w:rFonts w:ascii="Century Schoolbook" w:hAnsi="Century Schoolbook"/>
          <w:sz w:val="26"/>
          <w:szCs w:val="26"/>
        </w:rPr>
        <w:t>b</w:t>
      </w:r>
      <w:r w:rsidRPr="00C46631">
        <w:rPr>
          <w:rFonts w:ascii="Century Schoolbook" w:hAnsi="Century Schoolbook"/>
          <w:sz w:val="26"/>
          <w:szCs w:val="26"/>
        </w:rPr>
        <w:t>)(1)</w:t>
      </w:r>
      <w:r w:rsidR="00596DE8">
        <w:rPr>
          <w:rFonts w:ascii="Century Schoolbook" w:hAnsi="Century Schoolbook"/>
          <w:sz w:val="26"/>
          <w:szCs w:val="26"/>
        </w:rPr>
        <w:t>.</w:t>
      </w:r>
      <w:r w:rsidRPr="00C46631">
        <w:rPr>
          <w:rFonts w:ascii="Century Schoolbook" w:hAnsi="Century Schoolbook"/>
          <w:sz w:val="26"/>
          <w:szCs w:val="26"/>
        </w:rPr>
        <w:t>)  Along similar lines, and as the trial court noted, regional centers facing liability will inevitabl</w:t>
      </w:r>
      <w:r w:rsidR="00536507">
        <w:rPr>
          <w:rFonts w:ascii="Century Schoolbook" w:hAnsi="Century Schoolbook"/>
          <w:sz w:val="26"/>
          <w:szCs w:val="26"/>
        </w:rPr>
        <w:t>y</w:t>
      </w:r>
      <w:r w:rsidRPr="00C46631">
        <w:rPr>
          <w:rFonts w:ascii="Century Schoolbook" w:hAnsi="Century Schoolbook"/>
          <w:sz w:val="26"/>
          <w:szCs w:val="26"/>
        </w:rPr>
        <w:t xml:space="preserve"> factor the potential for liability into their decisionmaking when it comes to services and support; but that is at odds with the Act’s focus on what is best for </w:t>
      </w:r>
      <w:r w:rsidRPr="00C46631">
        <w:rPr>
          <w:rFonts w:ascii="Century Schoolbook" w:hAnsi="Century Schoolbook"/>
          <w:i/>
          <w:iCs/>
          <w:sz w:val="26"/>
          <w:szCs w:val="26"/>
        </w:rPr>
        <w:t>the consumer</w:t>
      </w:r>
      <w:r w:rsidRPr="00C46631">
        <w:rPr>
          <w:rFonts w:ascii="Century Schoolbook" w:hAnsi="Century Schoolbook"/>
          <w:sz w:val="26"/>
          <w:szCs w:val="26"/>
        </w:rPr>
        <w:t xml:space="preserve"> (rather than</w:t>
      </w:r>
      <w:r w:rsidR="00536507">
        <w:rPr>
          <w:rFonts w:ascii="Century Schoolbook" w:hAnsi="Century Schoolbook"/>
          <w:sz w:val="26"/>
          <w:szCs w:val="26"/>
        </w:rPr>
        <w:t xml:space="preserve"> on what is best for the regional center’s risk management strategy).  </w:t>
      </w:r>
      <w:r w:rsidRPr="00C46631">
        <w:rPr>
          <w:rFonts w:ascii="Century Schoolbook" w:hAnsi="Century Schoolbook"/>
          <w:sz w:val="26"/>
          <w:szCs w:val="26"/>
        </w:rPr>
        <w:t>These burdens are particularly unwarranted where, as here, the plaintiff already has another available remedy for injuries—namely, workers</w:t>
      </w:r>
      <w:r w:rsidR="00892AC4">
        <w:rPr>
          <w:rFonts w:ascii="Century Schoolbook" w:hAnsi="Century Schoolbook"/>
          <w:sz w:val="26"/>
          <w:szCs w:val="26"/>
        </w:rPr>
        <w:t>’</w:t>
      </w:r>
      <w:r w:rsidRPr="00C46631">
        <w:rPr>
          <w:rFonts w:ascii="Century Schoolbook" w:hAnsi="Century Schoolbook"/>
          <w:sz w:val="26"/>
          <w:szCs w:val="26"/>
        </w:rPr>
        <w:t xml:space="preserve"> compensation.  Citing </w:t>
      </w:r>
      <w:r w:rsidRPr="00C46631">
        <w:rPr>
          <w:rFonts w:ascii="Century Schoolbook" w:hAnsi="Century Schoolbook"/>
          <w:i/>
          <w:iCs/>
          <w:sz w:val="26"/>
          <w:szCs w:val="26"/>
        </w:rPr>
        <w:t>Kesner</w:t>
      </w:r>
      <w:r w:rsidRPr="00C46631">
        <w:rPr>
          <w:rFonts w:ascii="Century Schoolbook" w:hAnsi="Century Schoolbook"/>
          <w:sz w:val="26"/>
          <w:szCs w:val="26"/>
        </w:rPr>
        <w:t xml:space="preserve">, plaintiff urges that we may not consider the likely burdens of </w:t>
      </w:r>
      <w:r w:rsidR="00536507">
        <w:rPr>
          <w:rFonts w:ascii="Century Schoolbook" w:hAnsi="Century Schoolbook"/>
          <w:sz w:val="26"/>
          <w:szCs w:val="26"/>
        </w:rPr>
        <w:t xml:space="preserve">imposing </w:t>
      </w:r>
      <w:r w:rsidRPr="00C46631">
        <w:rPr>
          <w:rFonts w:ascii="Century Schoolbook" w:hAnsi="Century Schoolbook"/>
          <w:sz w:val="26"/>
          <w:szCs w:val="26"/>
        </w:rPr>
        <w:t xml:space="preserve">liability; plaintiff misreads </w:t>
      </w:r>
      <w:r w:rsidRPr="00C46631">
        <w:rPr>
          <w:rFonts w:ascii="Century Schoolbook" w:hAnsi="Century Schoolbook"/>
          <w:i/>
          <w:iCs/>
          <w:sz w:val="26"/>
          <w:szCs w:val="26"/>
        </w:rPr>
        <w:t>Kesner</w:t>
      </w:r>
      <w:r w:rsidRPr="00C46631">
        <w:rPr>
          <w:rFonts w:ascii="Century Schoolbook" w:hAnsi="Century Schoolbook"/>
          <w:sz w:val="26"/>
          <w:szCs w:val="26"/>
        </w:rPr>
        <w:t xml:space="preserve">, which </w:t>
      </w:r>
      <w:r w:rsidR="00536507">
        <w:rPr>
          <w:rFonts w:ascii="Century Schoolbook" w:hAnsi="Century Schoolbook"/>
          <w:sz w:val="26"/>
          <w:szCs w:val="26"/>
        </w:rPr>
        <w:t>declares irrelevant any</w:t>
      </w:r>
      <w:r w:rsidRPr="00C46631">
        <w:rPr>
          <w:rFonts w:ascii="Century Schoolbook" w:hAnsi="Century Schoolbook"/>
          <w:sz w:val="26"/>
          <w:szCs w:val="26"/>
        </w:rPr>
        <w:t xml:space="preserve"> consideration of how recognizing a duty would impose liability for </w:t>
      </w:r>
      <w:r w:rsidRPr="00C46631">
        <w:rPr>
          <w:rFonts w:ascii="Century Schoolbook" w:hAnsi="Century Schoolbook"/>
          <w:i/>
          <w:iCs/>
          <w:sz w:val="26"/>
          <w:szCs w:val="26"/>
        </w:rPr>
        <w:t>past</w:t>
      </w:r>
      <w:r w:rsidRPr="00C46631">
        <w:rPr>
          <w:rFonts w:ascii="Century Schoolbook" w:hAnsi="Century Schoolbook"/>
          <w:sz w:val="26"/>
          <w:szCs w:val="26"/>
        </w:rPr>
        <w:t xml:space="preserve"> acts, but allows a forward-looking assessment of the burdens </w:t>
      </w:r>
      <w:r w:rsidR="0051757A">
        <w:rPr>
          <w:rFonts w:ascii="Century Schoolbook" w:hAnsi="Century Schoolbook"/>
          <w:sz w:val="26"/>
          <w:szCs w:val="26"/>
        </w:rPr>
        <w:t>that th</w:t>
      </w:r>
      <w:r w:rsidR="00E50C66">
        <w:rPr>
          <w:rFonts w:ascii="Century Schoolbook" w:hAnsi="Century Schoolbook"/>
          <w:sz w:val="26"/>
          <w:szCs w:val="26"/>
        </w:rPr>
        <w:t>e</w:t>
      </w:r>
      <w:r w:rsidR="0051757A">
        <w:rPr>
          <w:rFonts w:ascii="Century Schoolbook" w:hAnsi="Century Schoolbook"/>
          <w:sz w:val="26"/>
          <w:szCs w:val="26"/>
        </w:rPr>
        <w:t xml:space="preserve"> recognition of tort </w:t>
      </w:r>
      <w:r w:rsidRPr="00C46631">
        <w:rPr>
          <w:rFonts w:ascii="Century Schoolbook" w:hAnsi="Century Schoolbook"/>
          <w:sz w:val="26"/>
          <w:szCs w:val="26"/>
        </w:rPr>
        <w:t>liability would impose.  (</w:t>
      </w:r>
      <w:r w:rsidRPr="00C46631">
        <w:rPr>
          <w:rFonts w:ascii="Century Schoolbook" w:hAnsi="Century Schoolbook"/>
          <w:i/>
          <w:iCs/>
          <w:sz w:val="26"/>
          <w:szCs w:val="26"/>
        </w:rPr>
        <w:t>Kesner</w:t>
      </w:r>
      <w:r w:rsidRPr="00D42E17">
        <w:rPr>
          <w:rFonts w:ascii="Century Schoolbook" w:hAnsi="Century Schoolbook"/>
          <w:sz w:val="26"/>
          <w:szCs w:val="26"/>
        </w:rPr>
        <w:t xml:space="preserve">, </w:t>
      </w:r>
      <w:r w:rsidRPr="00C46631">
        <w:rPr>
          <w:rFonts w:ascii="Century Schoolbook" w:hAnsi="Century Schoolbook"/>
          <w:i/>
          <w:iCs/>
          <w:sz w:val="26"/>
          <w:szCs w:val="26"/>
        </w:rPr>
        <w:t>supra</w:t>
      </w:r>
      <w:r w:rsidRPr="00C46631">
        <w:rPr>
          <w:rFonts w:ascii="Century Schoolbook" w:hAnsi="Century Schoolbook"/>
          <w:sz w:val="26"/>
          <w:szCs w:val="26"/>
        </w:rPr>
        <w:t>, 1 Cal.5th at p. 1152.)</w:t>
      </w:r>
    </w:p>
    <w:p w:rsidR="00C46631" w:rsidRPr="00C46631" w:rsidP="00C46631" w14:paraId="2B3E2D1F" w14:textId="243A2BEC">
      <w:pPr>
        <w:spacing w:line="288" w:lineRule="auto"/>
        <w:ind w:firstLine="720"/>
        <w:rPr>
          <w:rFonts w:ascii="Century Schoolbook" w:hAnsi="Century Schoolbook"/>
          <w:sz w:val="26"/>
          <w:szCs w:val="26"/>
        </w:rPr>
      </w:pPr>
      <w:r w:rsidRPr="00C46631">
        <w:rPr>
          <w:rFonts w:ascii="Century Schoolbook" w:hAnsi="Century Schoolbook"/>
          <w:sz w:val="26"/>
          <w:szCs w:val="26"/>
        </w:rPr>
        <w:t>The imposition of liability may or may not be mitigated by the availability of insurance.  Plaintiff observes that Hargis Ho</w:t>
      </w:r>
      <w:r w:rsidR="005F267C">
        <w:rPr>
          <w:rFonts w:ascii="Century Schoolbook" w:hAnsi="Century Schoolbook"/>
          <w:sz w:val="26"/>
          <w:szCs w:val="26"/>
        </w:rPr>
        <w:t>m</w:t>
      </w:r>
      <w:r w:rsidRPr="00C46631">
        <w:rPr>
          <w:rFonts w:ascii="Century Schoolbook" w:hAnsi="Century Schoolbook"/>
          <w:sz w:val="26"/>
          <w:szCs w:val="26"/>
        </w:rPr>
        <w:t>e is able to obtain insurance.  But Hargis Ho</w:t>
      </w:r>
      <w:r w:rsidR="005F267C">
        <w:rPr>
          <w:rFonts w:ascii="Century Schoolbook" w:hAnsi="Century Schoolbook"/>
          <w:sz w:val="26"/>
          <w:szCs w:val="26"/>
        </w:rPr>
        <w:t>m</w:t>
      </w:r>
      <w:r w:rsidRPr="00C46631">
        <w:rPr>
          <w:rFonts w:ascii="Century Schoolbook" w:hAnsi="Century Schoolbook"/>
          <w:sz w:val="26"/>
          <w:szCs w:val="26"/>
        </w:rPr>
        <w:t xml:space="preserve">e has control over the premises where its employees work and its residents live.  It is far from clear that insurers would insure regional centers for the type of open-ended liability that may accrue here when such centers lack the ability to </w:t>
      </w:r>
      <w:r w:rsidR="0051757A">
        <w:rPr>
          <w:rFonts w:ascii="Century Schoolbook" w:hAnsi="Century Schoolbook"/>
          <w:sz w:val="26"/>
          <w:szCs w:val="26"/>
        </w:rPr>
        <w:t xml:space="preserve">relocate consumers on their own, and hence lack the ability </w:t>
      </w:r>
      <w:r w:rsidR="002457BD">
        <w:rPr>
          <w:rFonts w:ascii="Century Schoolbook" w:hAnsi="Century Schoolbook"/>
          <w:sz w:val="26"/>
          <w:szCs w:val="26"/>
        </w:rPr>
        <w:t xml:space="preserve">to </w:t>
      </w:r>
      <w:r w:rsidRPr="00C46631">
        <w:rPr>
          <w:rFonts w:ascii="Century Schoolbook" w:hAnsi="Century Schoolbook"/>
          <w:sz w:val="26"/>
          <w:szCs w:val="26"/>
        </w:rPr>
        <w:t xml:space="preserve">mitigate </w:t>
      </w:r>
      <w:r w:rsidR="00FC0837">
        <w:rPr>
          <w:rFonts w:ascii="Century Schoolbook" w:hAnsi="Century Schoolbook"/>
          <w:sz w:val="26"/>
          <w:szCs w:val="26"/>
        </w:rPr>
        <w:t xml:space="preserve">(or, for that matter, even manage) </w:t>
      </w:r>
      <w:r w:rsidRPr="00C46631">
        <w:rPr>
          <w:rFonts w:ascii="Century Schoolbook" w:hAnsi="Century Schoolbook"/>
          <w:sz w:val="26"/>
          <w:szCs w:val="26"/>
        </w:rPr>
        <w:t>liability</w:t>
      </w:r>
      <w:r w:rsidR="00EA5CE1">
        <w:rPr>
          <w:rFonts w:ascii="Century Schoolbook" w:hAnsi="Century Schoolbook"/>
          <w:sz w:val="26"/>
          <w:szCs w:val="26"/>
        </w:rPr>
        <w:t xml:space="preserve"> arising from the failure to relocate</w:t>
      </w:r>
      <w:r w:rsidRPr="00C46631">
        <w:rPr>
          <w:rFonts w:ascii="Century Schoolbook" w:hAnsi="Century Schoolbook"/>
          <w:sz w:val="26"/>
          <w:szCs w:val="26"/>
        </w:rPr>
        <w:t xml:space="preserve">.  </w:t>
      </w:r>
    </w:p>
    <w:p w:rsidR="00C46631" w:rsidRPr="00C46631" w:rsidP="00C46631" w14:paraId="0B55C9B8" w14:textId="67E493EE">
      <w:pPr>
        <w:spacing w:line="288" w:lineRule="auto"/>
        <w:ind w:firstLine="720"/>
        <w:rPr>
          <w:rFonts w:ascii="Century Schoolbook" w:hAnsi="Century Schoolbook"/>
          <w:sz w:val="26"/>
          <w:szCs w:val="26"/>
        </w:rPr>
      </w:pPr>
      <w:r w:rsidRPr="00C46631">
        <w:rPr>
          <w:rFonts w:ascii="Century Schoolbook" w:hAnsi="Century Schoolbook"/>
          <w:sz w:val="26"/>
          <w:szCs w:val="26"/>
        </w:rPr>
        <w:t xml:space="preserve">On balance, these factors resoundingly favor the conclusion that regional centers should not be liable in tort </w:t>
      </w:r>
      <w:r w:rsidR="00536507">
        <w:rPr>
          <w:rFonts w:ascii="Century Schoolbook" w:hAnsi="Century Schoolbook"/>
          <w:sz w:val="26"/>
          <w:szCs w:val="26"/>
        </w:rPr>
        <w:t xml:space="preserve">to residential facility employees </w:t>
      </w:r>
      <w:r w:rsidRPr="00C46631">
        <w:rPr>
          <w:rFonts w:ascii="Century Schoolbook" w:hAnsi="Century Schoolbook"/>
          <w:sz w:val="26"/>
          <w:szCs w:val="26"/>
        </w:rPr>
        <w:t xml:space="preserve">for failing to relocate a developmentally disabled </w:t>
      </w:r>
      <w:r w:rsidR="000D25F4">
        <w:rPr>
          <w:rFonts w:ascii="Century Schoolbook" w:hAnsi="Century Schoolbook"/>
          <w:sz w:val="26"/>
          <w:szCs w:val="26"/>
        </w:rPr>
        <w:t>person</w:t>
      </w:r>
      <w:r w:rsidRPr="00C46631" w:rsidR="000D25F4">
        <w:rPr>
          <w:rFonts w:ascii="Century Schoolbook" w:hAnsi="Century Schoolbook"/>
          <w:sz w:val="26"/>
          <w:szCs w:val="26"/>
        </w:rPr>
        <w:t xml:space="preserve"> </w:t>
      </w:r>
      <w:r w:rsidRPr="00C46631">
        <w:rPr>
          <w:rFonts w:ascii="Century Schoolbook" w:hAnsi="Century Schoolbook"/>
          <w:sz w:val="26"/>
          <w:szCs w:val="26"/>
        </w:rPr>
        <w:t xml:space="preserve">despite a </w:t>
      </w:r>
      <w:r w:rsidR="000D25F4">
        <w:rPr>
          <w:rFonts w:ascii="Century Schoolbook" w:hAnsi="Century Schoolbook"/>
          <w:sz w:val="26"/>
          <w:szCs w:val="26"/>
        </w:rPr>
        <w:t xml:space="preserve">facility’s </w:t>
      </w:r>
      <w:r w:rsidRPr="00C46631">
        <w:rPr>
          <w:rFonts w:ascii="Century Schoolbook" w:hAnsi="Century Schoolbook"/>
          <w:sz w:val="26"/>
          <w:szCs w:val="26"/>
        </w:rPr>
        <w:t>request to do so.</w:t>
      </w:r>
    </w:p>
    <w:p w:rsidR="00C46631" w:rsidRPr="00C46631" w:rsidP="00C46631" w14:paraId="752847F2" w14:textId="77777777">
      <w:pPr>
        <w:spacing w:line="288" w:lineRule="auto"/>
        <w:jc w:val="center"/>
        <w:rPr>
          <w:rFonts w:ascii="Century Schoolbook" w:hAnsi="Century Schoolbook"/>
          <w:sz w:val="26"/>
          <w:szCs w:val="26"/>
        </w:rPr>
      </w:pPr>
      <w:r w:rsidRPr="00C46631">
        <w:rPr>
          <w:rFonts w:ascii="Century Schoolbook" w:hAnsi="Century Schoolbook"/>
          <w:sz w:val="26"/>
          <w:szCs w:val="26"/>
        </w:rPr>
        <w:t>*</w:t>
      </w:r>
      <w:r w:rsidRPr="00C46631">
        <w:rPr>
          <w:rFonts w:ascii="Century Schoolbook" w:hAnsi="Century Schoolbook"/>
          <w:sz w:val="26"/>
          <w:szCs w:val="26"/>
        </w:rPr>
        <w:tab/>
        <w:t>*</w:t>
      </w:r>
      <w:r w:rsidRPr="00C46631">
        <w:rPr>
          <w:rFonts w:ascii="Century Schoolbook" w:hAnsi="Century Schoolbook"/>
          <w:sz w:val="26"/>
          <w:szCs w:val="26"/>
        </w:rPr>
        <w:tab/>
        <w:t>*</w:t>
      </w:r>
    </w:p>
    <w:p w:rsidR="00C46631" w:rsidP="00C46631" w14:paraId="255D0048" w14:textId="470C0A8C">
      <w:pPr>
        <w:spacing w:line="288" w:lineRule="auto"/>
        <w:rPr>
          <w:rFonts w:ascii="Century Schoolbook" w:hAnsi="Century Schoolbook"/>
          <w:sz w:val="26"/>
          <w:szCs w:val="26"/>
        </w:rPr>
      </w:pPr>
      <w:r w:rsidRPr="00C46631">
        <w:rPr>
          <w:rFonts w:ascii="Century Schoolbook" w:hAnsi="Century Schoolbook"/>
          <w:sz w:val="26"/>
          <w:szCs w:val="26"/>
        </w:rPr>
        <w:tab/>
        <w:t>In light of our analysis, we have no occasion to reach the further issue of whether plaintiff has assumed the risk of injury from Hargis Ho</w:t>
      </w:r>
      <w:r w:rsidR="005F267C">
        <w:rPr>
          <w:rFonts w:ascii="Century Schoolbook" w:hAnsi="Century Schoolbook"/>
          <w:sz w:val="26"/>
          <w:szCs w:val="26"/>
        </w:rPr>
        <w:t>m</w:t>
      </w:r>
      <w:r w:rsidRPr="00C46631">
        <w:rPr>
          <w:rFonts w:ascii="Century Schoolbook" w:hAnsi="Century Schoolbook"/>
          <w:sz w:val="26"/>
          <w:szCs w:val="26"/>
        </w:rPr>
        <w:t>e’s developmentally disabled residents by agreeing to be employed as the facility’s administrator.</w:t>
      </w:r>
    </w:p>
    <w:p w:rsidR="003A5057" w:rsidP="00C46631" w14:paraId="6BE0DAD3" w14:textId="77777777">
      <w:pPr>
        <w:spacing w:line="288" w:lineRule="auto"/>
        <w:rPr>
          <w:rFonts w:ascii="Century Schoolbook" w:hAnsi="Century Schoolbook"/>
          <w:sz w:val="26"/>
          <w:szCs w:val="26"/>
        </w:rPr>
      </w:pPr>
    </w:p>
    <w:p w:rsidR="003A5057" w:rsidP="00C46631" w14:paraId="535368BA" w14:textId="77777777">
      <w:pPr>
        <w:spacing w:line="288" w:lineRule="auto"/>
        <w:rPr>
          <w:rFonts w:ascii="Century Schoolbook" w:hAnsi="Century Schoolbook"/>
          <w:sz w:val="26"/>
          <w:szCs w:val="26"/>
        </w:rPr>
      </w:pPr>
    </w:p>
    <w:p w:rsidR="003A5057" w:rsidP="00C46631" w14:paraId="5EE503DE" w14:textId="77777777">
      <w:pPr>
        <w:spacing w:line="288" w:lineRule="auto"/>
        <w:rPr>
          <w:rFonts w:ascii="Century Schoolbook" w:hAnsi="Century Schoolbook"/>
          <w:sz w:val="26"/>
          <w:szCs w:val="26"/>
        </w:rPr>
      </w:pPr>
    </w:p>
    <w:p w:rsidR="003A5057" w:rsidRPr="00C46631" w:rsidP="00C46631" w14:paraId="6F969C4C" w14:textId="77777777">
      <w:pPr>
        <w:spacing w:line="288" w:lineRule="auto"/>
        <w:rPr>
          <w:rFonts w:ascii="Century Schoolbook" w:hAnsi="Century Schoolbook"/>
          <w:sz w:val="26"/>
          <w:szCs w:val="26"/>
        </w:rPr>
      </w:pPr>
    </w:p>
    <w:p w:rsidR="00C46631" w:rsidRPr="00C46631" w:rsidP="00C46631" w14:paraId="7BE09D40" w14:textId="77777777">
      <w:pPr>
        <w:spacing w:line="288" w:lineRule="auto"/>
        <w:jc w:val="center"/>
        <w:rPr>
          <w:rFonts w:ascii="Century Schoolbook" w:hAnsi="Century Schoolbook"/>
          <w:b/>
          <w:bCs/>
          <w:sz w:val="26"/>
          <w:szCs w:val="26"/>
        </w:rPr>
      </w:pPr>
      <w:r w:rsidRPr="00C46631">
        <w:rPr>
          <w:rFonts w:ascii="Century Schoolbook" w:hAnsi="Century Schoolbook"/>
          <w:b/>
          <w:bCs/>
          <w:sz w:val="26"/>
          <w:szCs w:val="26"/>
        </w:rPr>
        <w:t>DISPOSITION</w:t>
      </w:r>
    </w:p>
    <w:p w:rsidR="00C46631" w:rsidRPr="00C46631" w:rsidP="00C46631" w14:paraId="72FD8AF2" w14:textId="77777777">
      <w:pPr>
        <w:spacing w:line="288" w:lineRule="auto"/>
        <w:ind w:firstLine="720"/>
        <w:rPr>
          <w:rFonts w:ascii="Century Schoolbook" w:hAnsi="Century Schoolbook"/>
          <w:sz w:val="26"/>
          <w:szCs w:val="26"/>
        </w:rPr>
      </w:pPr>
      <w:r w:rsidRPr="00C46631">
        <w:rPr>
          <w:rFonts w:ascii="Century Schoolbook" w:hAnsi="Century Schoolbook"/>
          <w:sz w:val="26"/>
          <w:szCs w:val="26"/>
        </w:rPr>
        <w:t>The judgment is affirmed.  The Regional Center is entitled to its costs on appeal.</w:t>
      </w:r>
    </w:p>
    <w:p w:rsidR="001528F1" w:rsidRPr="001528F1" w:rsidP="00D0414F" w14:paraId="36BC07DD" w14:textId="24F4A4C3">
      <w:pPr>
        <w:spacing w:line="288" w:lineRule="auto"/>
        <w:ind w:firstLine="720"/>
        <w:rPr>
          <w:rFonts w:ascii="Century Schoolbook" w:eastAsia="Calibri" w:hAnsi="Century Schoolbook"/>
          <w:sz w:val="26"/>
          <w:szCs w:val="26"/>
        </w:rPr>
      </w:pPr>
      <w:r>
        <w:rPr>
          <w:rFonts w:ascii="Century Schoolbook" w:eastAsia="Calibri" w:hAnsi="Century Schoolbook"/>
          <w:b/>
          <w:bCs/>
          <w:sz w:val="26"/>
          <w:szCs w:val="26"/>
          <w:u w:val="single"/>
        </w:rPr>
        <w:t>CERTIFIED FOR PUBLICATION</w:t>
      </w:r>
      <w:r w:rsidRPr="001528F1">
        <w:rPr>
          <w:rFonts w:ascii="Century Schoolbook" w:eastAsia="Calibri" w:hAnsi="Century Schoolbook"/>
          <w:sz w:val="26"/>
          <w:szCs w:val="26"/>
        </w:rPr>
        <w:t>.</w:t>
      </w:r>
    </w:p>
    <w:p w:rsidR="001528F1" w:rsidRPr="001528F1" w:rsidP="00D0414F" w14:paraId="668687C5" w14:textId="77777777">
      <w:pPr>
        <w:spacing w:line="288" w:lineRule="auto"/>
        <w:ind w:firstLine="720"/>
        <w:rPr>
          <w:rFonts w:ascii="Century Schoolbook" w:eastAsia="Calibri" w:hAnsi="Century Schoolbook"/>
          <w:sz w:val="26"/>
          <w:szCs w:val="26"/>
        </w:rPr>
      </w:pPr>
    </w:p>
    <w:p w:rsidR="001528F1" w:rsidRPr="001528F1" w:rsidP="00D0414F" w14:paraId="52136C47" w14:textId="77777777">
      <w:pPr>
        <w:spacing w:line="288" w:lineRule="auto"/>
        <w:ind w:firstLine="720"/>
        <w:rPr>
          <w:rFonts w:ascii="Century Schoolbook" w:eastAsia="Calibri" w:hAnsi="Century Schoolbook"/>
          <w:sz w:val="26"/>
          <w:szCs w:val="26"/>
        </w:rPr>
      </w:pPr>
    </w:p>
    <w:p w:rsidR="001528F1" w:rsidRPr="001528F1" w:rsidP="00D0414F" w14:paraId="4E2DC638" w14:textId="77777777">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______________________, J.</w:t>
      </w:r>
    </w:p>
    <w:p w:rsidR="001528F1" w:rsidRPr="001528F1" w:rsidP="00D0414F" w14:paraId="4D1A37CC" w14:textId="77777777">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HOFFSTADT</w:t>
      </w:r>
    </w:p>
    <w:p w:rsidR="001528F1" w:rsidRPr="001528F1" w:rsidP="00D0414F" w14:paraId="01DB64B4" w14:textId="77777777">
      <w:pPr>
        <w:spacing w:line="288" w:lineRule="auto"/>
        <w:rPr>
          <w:rFonts w:ascii="Century Schoolbook" w:eastAsia="Calibri" w:hAnsi="Century Schoolbook"/>
          <w:sz w:val="26"/>
          <w:szCs w:val="26"/>
        </w:rPr>
      </w:pPr>
    </w:p>
    <w:p w:rsidR="001528F1" w:rsidRPr="001528F1" w:rsidP="00D0414F" w14:paraId="58B30DD4" w14:textId="77777777">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We concur:</w:t>
      </w:r>
    </w:p>
    <w:p w:rsidR="001528F1" w:rsidRPr="001528F1" w:rsidP="00D0414F" w14:paraId="68265FF2"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233BC745"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47585B50" w14:textId="6A89556C">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 xml:space="preserve">_________________________, </w:t>
      </w:r>
      <w:r w:rsidR="00AE07C2">
        <w:rPr>
          <w:rFonts w:ascii="Century Schoolbook" w:eastAsia="Century Schoolbook" w:hAnsi="Century Schoolbook" w:cs="Century Schoolbook"/>
          <w:color w:val="000000"/>
          <w:sz w:val="26"/>
          <w:szCs w:val="26"/>
        </w:rPr>
        <w:t xml:space="preserve">Acting </w:t>
      </w:r>
      <w:r w:rsidR="00227B2E">
        <w:rPr>
          <w:rFonts w:ascii="Century Schoolbook" w:eastAsia="Century Schoolbook" w:hAnsi="Century Schoolbook" w:cs="Century Schoolbook"/>
          <w:color w:val="000000"/>
          <w:sz w:val="26"/>
          <w:szCs w:val="26"/>
        </w:rPr>
        <w:t xml:space="preserve">P. </w:t>
      </w:r>
      <w:r w:rsidRPr="001528F1">
        <w:rPr>
          <w:rFonts w:ascii="Century Schoolbook" w:eastAsia="Century Schoolbook" w:hAnsi="Century Schoolbook" w:cs="Century Schoolbook"/>
          <w:color w:val="000000"/>
          <w:sz w:val="26"/>
          <w:szCs w:val="26"/>
        </w:rPr>
        <w:t>J.</w:t>
      </w:r>
    </w:p>
    <w:p w:rsidR="001528F1" w:rsidRPr="001528F1" w:rsidP="00D0414F" w14:paraId="23B3DD36" w14:textId="4A6008D0">
      <w:pPr>
        <w:widowControl w:val="0"/>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 </w:t>
      </w:r>
      <w:r w:rsidR="00AE07C2">
        <w:rPr>
          <w:rFonts w:ascii="Century Schoolbook" w:eastAsia="Century Schoolbook" w:hAnsi="Century Schoolbook" w:cs="Century Schoolbook"/>
          <w:color w:val="000000"/>
          <w:sz w:val="26"/>
          <w:szCs w:val="26"/>
        </w:rPr>
        <w:t>ASHMANN-GERST</w:t>
      </w:r>
    </w:p>
    <w:p w:rsidR="001528F1" w:rsidRPr="001528F1" w:rsidP="00D0414F" w14:paraId="463A2F97"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41409EEE"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671DD997" w14:textId="77777777">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 J.</w:t>
      </w:r>
    </w:p>
    <w:p w:rsidR="00A1623E" w:rsidP="00D0414F" w14:paraId="496CDABF" w14:textId="76F348A9">
      <w:pPr>
        <w:spacing w:line="288" w:lineRule="auto"/>
        <w:rPr>
          <w:rFonts w:ascii="Century Schoolbook" w:eastAsia="Calibri" w:hAnsi="Century Schoolbook"/>
          <w:sz w:val="26"/>
          <w:szCs w:val="26"/>
        </w:rPr>
      </w:pPr>
      <w:r>
        <w:rPr>
          <w:rFonts w:ascii="Century Schoolbook" w:eastAsia="Century Schoolbook" w:hAnsi="Century Schoolbook" w:cs="Century Schoolbook"/>
          <w:sz w:val="26"/>
          <w:szCs w:val="26"/>
        </w:rPr>
        <w:t xml:space="preserve"> </w:t>
      </w:r>
      <w:r w:rsidR="00EF4575">
        <w:rPr>
          <w:rFonts w:ascii="Century Schoolbook" w:eastAsia="Century Schoolbook" w:hAnsi="Century Schoolbook" w:cs="Century Schoolbook"/>
          <w:sz w:val="26"/>
          <w:szCs w:val="26"/>
        </w:rPr>
        <w:t>CHAVEZ</w:t>
      </w:r>
    </w:p>
    <w:bookmarkEnd w:id="3"/>
    <w:p w:rsidR="003710FF" w:rsidP="00D0414F" w14:paraId="204E120E" w14:textId="40CDD1DC">
      <w:pPr>
        <w:spacing w:line="288" w:lineRule="auto"/>
        <w:rPr>
          <w:rFonts w:ascii="Century Schoolbook" w:hAnsi="Century Schoolbook"/>
          <w:sz w:val="26"/>
          <w:szCs w:val="26"/>
        </w:rPr>
      </w:pPr>
      <w:r>
        <w:rPr>
          <w:rFonts w:ascii="Century Schoolbook" w:hAnsi="Century Schoolbook"/>
          <w:sz w:val="26"/>
          <w:szCs w:val="26"/>
        </w:rPr>
        <w:t xml:space="preserve"> </w:t>
      </w:r>
    </w:p>
    <w:sectPr w:rsidSect="001228C8">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6077613"/>
      <w:docPartObj>
        <w:docPartGallery w:val="Page Numbers (Bottom of Page)"/>
        <w:docPartUnique/>
      </w:docPartObj>
    </w:sdtPr>
    <w:sdtEndPr>
      <w:rPr>
        <w:rFonts w:ascii="Century Schoolbook" w:hAnsi="Century Schoolbook"/>
        <w:noProof/>
        <w:sz w:val="26"/>
        <w:szCs w:val="26"/>
      </w:rPr>
    </w:sdtEndPr>
    <w:sdtContent>
      <w:p w:rsidR="001F0B32" w:rsidRPr="00F560FD" w14:paraId="74596096" w14:textId="2F2807F3">
        <w:pPr>
          <w:pStyle w:val="Footer"/>
          <w:jc w:val="center"/>
          <w:rPr>
            <w:rFonts w:ascii="Century Schoolbook" w:hAnsi="Century Schoolbook"/>
            <w:sz w:val="26"/>
            <w:szCs w:val="26"/>
          </w:rPr>
        </w:pPr>
        <w:r w:rsidRPr="00F560FD">
          <w:rPr>
            <w:rFonts w:ascii="Century Schoolbook" w:hAnsi="Century Schoolbook"/>
            <w:sz w:val="26"/>
            <w:szCs w:val="26"/>
          </w:rPr>
          <w:fldChar w:fldCharType="begin"/>
        </w:r>
        <w:r w:rsidRPr="00F560FD">
          <w:rPr>
            <w:rFonts w:ascii="Century Schoolbook" w:hAnsi="Century Schoolbook"/>
            <w:sz w:val="26"/>
            <w:szCs w:val="26"/>
          </w:rPr>
          <w:instrText xml:space="preserve"> PAGE   \* MERGEFORMAT </w:instrText>
        </w:r>
        <w:r w:rsidRPr="00F560FD">
          <w:rPr>
            <w:rFonts w:ascii="Century Schoolbook" w:hAnsi="Century Schoolbook"/>
            <w:sz w:val="26"/>
            <w:szCs w:val="26"/>
          </w:rPr>
          <w:fldChar w:fldCharType="separate"/>
        </w:r>
        <w:r w:rsidRPr="00F560FD">
          <w:rPr>
            <w:rFonts w:ascii="Century Schoolbook" w:hAnsi="Century Schoolbook"/>
            <w:noProof/>
            <w:sz w:val="26"/>
            <w:szCs w:val="26"/>
          </w:rPr>
          <w:t>2</w:t>
        </w:r>
        <w:r w:rsidRPr="00F560FD">
          <w:rPr>
            <w:rFonts w:ascii="Century Schoolbook" w:hAnsi="Century Schoolbook"/>
            <w:noProof/>
            <w:sz w:val="26"/>
            <w:szCs w:val="26"/>
          </w:rPr>
          <w:fldChar w:fldCharType="end"/>
        </w:r>
      </w:p>
    </w:sdtContent>
  </w:sdt>
  <w:p w:rsidR="001F0B32" w14:paraId="6D8574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50C0" w:rsidRPr="00ED7C99" w:rsidP="00ED7C99" w14:paraId="2A59D4D4" w14:textId="77777777">
      <w:r>
        <w:continuationSeparator/>
      </w:r>
    </w:p>
  </w:footnote>
  <w:footnote w:type="continuationSeparator" w:id="1">
    <w:p w:rsidR="00E250C0" w:rsidP="00DA5C42" w14:paraId="5527FCA8" w14:textId="77777777">
      <w:r>
        <w:continuationSeparator/>
      </w:r>
    </w:p>
  </w:footnote>
  <w:footnote w:id="2">
    <w:p w:rsidR="00C46631" w:rsidRPr="00F77291" w:rsidP="00C46631" w14:paraId="03C858EF" w14:textId="77777777">
      <w:pPr>
        <w:pStyle w:val="FootnoteText"/>
        <w:rPr>
          <w:rFonts w:ascii="Century Schoolbook" w:hAnsi="Century Schoolbook"/>
          <w:sz w:val="26"/>
          <w:szCs w:val="26"/>
        </w:rPr>
      </w:pPr>
      <w:r w:rsidRPr="00CC60B2">
        <w:rPr>
          <w:rStyle w:val="FootnoteReference"/>
          <w:rFonts w:ascii="Century Schoolbook" w:hAnsi="Century Schoolbook"/>
          <w:b/>
          <w:bCs/>
          <w:sz w:val="20"/>
          <w:vertAlign w:val="baseline"/>
        </w:rPr>
        <w:footnoteRef/>
      </w:r>
      <w:r w:rsidRPr="00CC60B2">
        <w:rPr>
          <w:rFonts w:ascii="Century Schoolbook" w:hAnsi="Century Schoolbook"/>
          <w:b/>
          <w:bCs/>
        </w:rPr>
        <w:t xml:space="preserve"> </w:t>
      </w:r>
      <w:r w:rsidRPr="00CC60B2">
        <w:rPr>
          <w:rFonts w:ascii="Century Schoolbook" w:hAnsi="Century Schoolbook"/>
          <w:b/>
          <w:bCs/>
        </w:rPr>
        <w:tab/>
      </w:r>
      <w:r w:rsidRPr="00F77291">
        <w:rPr>
          <w:rFonts w:ascii="Century Schoolbook" w:hAnsi="Century Schoolbook"/>
          <w:sz w:val="26"/>
          <w:szCs w:val="26"/>
        </w:rPr>
        <w:t>All further statutory references are to the Welfare and Institutions Code unless otherwise indicated.</w:t>
      </w:r>
    </w:p>
  </w:footnote>
  <w:footnote w:id="3">
    <w:p w:rsidR="00C46631" w:rsidRPr="007E0BFC" w:rsidP="00C46631" w14:paraId="38087568" w14:textId="39A7993F">
      <w:pPr>
        <w:pStyle w:val="FootnoteText"/>
        <w:rPr>
          <w:rFonts w:ascii="Century Schoolbook" w:hAnsi="Century Schoolbook"/>
          <w:sz w:val="26"/>
          <w:szCs w:val="26"/>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tab/>
      </w:r>
      <w:r w:rsidRPr="007E0BFC">
        <w:rPr>
          <w:rFonts w:ascii="Century Schoolbook" w:hAnsi="Century Schoolbook"/>
          <w:sz w:val="26"/>
          <w:szCs w:val="26"/>
        </w:rPr>
        <w:t xml:space="preserve">In a January 2018 </w:t>
      </w:r>
      <w:r w:rsidR="00197320">
        <w:rPr>
          <w:rFonts w:ascii="Century Schoolbook" w:hAnsi="Century Schoolbook"/>
          <w:sz w:val="26"/>
          <w:szCs w:val="26"/>
        </w:rPr>
        <w:t xml:space="preserve">interim </w:t>
      </w:r>
      <w:r w:rsidRPr="007E0BFC">
        <w:rPr>
          <w:rFonts w:ascii="Century Schoolbook" w:hAnsi="Century Schoolbook"/>
          <w:sz w:val="26"/>
          <w:szCs w:val="26"/>
        </w:rPr>
        <w:t>report, the Regional Center noted that Hargis Ho</w:t>
      </w:r>
      <w:r w:rsidR="005F267C">
        <w:rPr>
          <w:rFonts w:ascii="Century Schoolbook" w:hAnsi="Century Schoolbook"/>
          <w:sz w:val="26"/>
          <w:szCs w:val="26"/>
        </w:rPr>
        <w:t>m</w:t>
      </w:r>
      <w:r w:rsidRPr="007E0BFC">
        <w:rPr>
          <w:rFonts w:ascii="Century Schoolbook" w:hAnsi="Century Schoolbook"/>
          <w:sz w:val="26"/>
          <w:szCs w:val="26"/>
        </w:rPr>
        <w:t>e was not “address[ing]” J.</w:t>
      </w:r>
      <w:r>
        <w:rPr>
          <w:rFonts w:ascii="Century Schoolbook" w:hAnsi="Century Schoolbook"/>
          <w:sz w:val="26"/>
          <w:szCs w:val="26"/>
        </w:rPr>
        <w:t>C</w:t>
      </w:r>
      <w:r w:rsidRPr="007E0BFC">
        <w:rPr>
          <w:rFonts w:ascii="Century Schoolbook" w:hAnsi="Century Schoolbook"/>
          <w:sz w:val="26"/>
          <w:szCs w:val="26"/>
        </w:rPr>
        <w:t>.’s “developmental needs and the type and intensity of car</w:t>
      </w:r>
      <w:r w:rsidR="00F53CC4">
        <w:rPr>
          <w:rFonts w:ascii="Century Schoolbook" w:hAnsi="Century Schoolbook"/>
          <w:sz w:val="26"/>
          <w:szCs w:val="26"/>
        </w:rPr>
        <w:t>e</w:t>
      </w:r>
      <w:r w:rsidRPr="007E0BFC">
        <w:rPr>
          <w:rFonts w:ascii="Century Schoolbook" w:hAnsi="Century Schoolbook"/>
          <w:sz w:val="26"/>
          <w:szCs w:val="26"/>
        </w:rPr>
        <w:t xml:space="preserve"> required” because </w:t>
      </w:r>
      <w:r w:rsidR="00197320">
        <w:rPr>
          <w:rFonts w:ascii="Century Schoolbook" w:hAnsi="Century Schoolbook"/>
          <w:sz w:val="26"/>
          <w:szCs w:val="26"/>
        </w:rPr>
        <w:t>the staff</w:t>
      </w:r>
      <w:r w:rsidRPr="007E0BFC" w:rsidR="00197320">
        <w:rPr>
          <w:rFonts w:ascii="Century Schoolbook" w:hAnsi="Century Schoolbook"/>
          <w:sz w:val="26"/>
          <w:szCs w:val="26"/>
        </w:rPr>
        <w:t xml:space="preserve"> </w:t>
      </w:r>
      <w:r w:rsidRPr="007E0BFC">
        <w:rPr>
          <w:rFonts w:ascii="Century Schoolbook" w:hAnsi="Century Schoolbook"/>
          <w:sz w:val="26"/>
          <w:szCs w:val="26"/>
        </w:rPr>
        <w:t>were not feeding him food that accounted for his obesity.  This issue was resolved by March 2018.</w:t>
      </w:r>
    </w:p>
  </w:footnote>
  <w:footnote w:id="4">
    <w:p w:rsidR="00C46631" w:rsidRPr="00002A55" w:rsidP="00C46631" w14:paraId="378CF38B" w14:textId="0E122749">
      <w:pPr>
        <w:pStyle w:val="FootnoteText"/>
        <w:rPr>
          <w:rFonts w:ascii="Century Schoolbook" w:hAnsi="Century Schoolbook"/>
          <w:sz w:val="26"/>
          <w:szCs w:val="26"/>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tab/>
      </w:r>
      <w:r w:rsidRPr="00002A55">
        <w:rPr>
          <w:rFonts w:ascii="Century Schoolbook" w:hAnsi="Century Schoolbook"/>
          <w:sz w:val="26"/>
          <w:szCs w:val="26"/>
        </w:rPr>
        <w:t xml:space="preserve">Plaintiff also sued the County of Los Angeles, </w:t>
      </w:r>
      <w:r w:rsidRPr="00002A55" w:rsidR="006056D4">
        <w:rPr>
          <w:rFonts w:ascii="Century Schoolbook" w:hAnsi="Century Schoolbook"/>
          <w:sz w:val="26"/>
          <w:szCs w:val="26"/>
        </w:rPr>
        <w:t>the L</w:t>
      </w:r>
      <w:r w:rsidR="006056D4">
        <w:rPr>
          <w:rFonts w:ascii="Century Schoolbook" w:hAnsi="Century Schoolbook"/>
          <w:sz w:val="26"/>
          <w:szCs w:val="26"/>
        </w:rPr>
        <w:t xml:space="preserve">os </w:t>
      </w:r>
      <w:r w:rsidRPr="00002A55" w:rsidR="006056D4">
        <w:rPr>
          <w:rFonts w:ascii="Century Schoolbook" w:hAnsi="Century Schoolbook"/>
          <w:sz w:val="26"/>
          <w:szCs w:val="26"/>
        </w:rPr>
        <w:t>A</w:t>
      </w:r>
      <w:r w:rsidR="006056D4">
        <w:rPr>
          <w:rFonts w:ascii="Century Schoolbook" w:hAnsi="Century Schoolbook"/>
          <w:sz w:val="26"/>
          <w:szCs w:val="26"/>
        </w:rPr>
        <w:t>ngeles</w:t>
      </w:r>
      <w:r w:rsidRPr="00002A55" w:rsidR="006056D4">
        <w:rPr>
          <w:rFonts w:ascii="Century Schoolbook" w:hAnsi="Century Schoolbook"/>
          <w:sz w:val="26"/>
          <w:szCs w:val="26"/>
        </w:rPr>
        <w:t xml:space="preserve"> </w:t>
      </w:r>
      <w:r w:rsidR="007447A8">
        <w:rPr>
          <w:rFonts w:ascii="Century Schoolbook" w:hAnsi="Century Schoolbook"/>
          <w:sz w:val="26"/>
          <w:szCs w:val="26"/>
        </w:rPr>
        <w:t xml:space="preserve">County </w:t>
      </w:r>
      <w:r w:rsidRPr="00002A55" w:rsidR="006056D4">
        <w:rPr>
          <w:rFonts w:ascii="Century Schoolbook" w:hAnsi="Century Schoolbook"/>
          <w:sz w:val="26"/>
          <w:szCs w:val="26"/>
        </w:rPr>
        <w:t>Department of Mental Health</w:t>
      </w:r>
      <w:r w:rsidR="006056D4">
        <w:rPr>
          <w:rFonts w:ascii="Century Schoolbook" w:hAnsi="Century Schoolbook"/>
          <w:sz w:val="26"/>
          <w:szCs w:val="26"/>
        </w:rPr>
        <w:t>,</w:t>
      </w:r>
      <w:r w:rsidRPr="00002A55" w:rsidR="006056D4">
        <w:rPr>
          <w:rFonts w:ascii="Century Schoolbook" w:hAnsi="Century Schoolbook"/>
          <w:sz w:val="26"/>
          <w:szCs w:val="26"/>
        </w:rPr>
        <w:t xml:space="preserve"> </w:t>
      </w:r>
      <w:r w:rsidRPr="00002A55">
        <w:rPr>
          <w:rFonts w:ascii="Century Schoolbook" w:hAnsi="Century Schoolbook"/>
          <w:sz w:val="26"/>
          <w:szCs w:val="26"/>
        </w:rPr>
        <w:t>My Life Foundation</w:t>
      </w:r>
      <w:r w:rsidR="00B25B09">
        <w:rPr>
          <w:rFonts w:ascii="Century Schoolbook" w:hAnsi="Century Schoolbook"/>
          <w:sz w:val="26"/>
          <w:szCs w:val="26"/>
        </w:rPr>
        <w:t>, Inc.</w:t>
      </w:r>
      <w:r w:rsidRPr="00002A55">
        <w:rPr>
          <w:rFonts w:ascii="Century Schoolbook" w:hAnsi="Century Schoolbook"/>
          <w:sz w:val="26"/>
          <w:szCs w:val="26"/>
        </w:rPr>
        <w:t xml:space="preserve">, and five of the Regional Center’s employees.  Plaintiff subsequently dismissed </w:t>
      </w:r>
      <w:r w:rsidR="006056D4">
        <w:rPr>
          <w:rFonts w:ascii="Century Schoolbook" w:hAnsi="Century Schoolbook"/>
          <w:sz w:val="26"/>
          <w:szCs w:val="26"/>
        </w:rPr>
        <w:t>the County of Los Angeles</w:t>
      </w:r>
      <w:r w:rsidR="004960F3">
        <w:rPr>
          <w:rFonts w:ascii="Century Schoolbook" w:hAnsi="Century Schoolbook"/>
          <w:sz w:val="26"/>
          <w:szCs w:val="26"/>
        </w:rPr>
        <w:t xml:space="preserve"> and</w:t>
      </w:r>
      <w:r w:rsidR="006056D4">
        <w:rPr>
          <w:rFonts w:ascii="Century Schoolbook" w:hAnsi="Century Schoolbook"/>
          <w:sz w:val="26"/>
          <w:szCs w:val="26"/>
        </w:rPr>
        <w:t xml:space="preserve"> </w:t>
      </w:r>
      <w:r w:rsidRPr="00002A55">
        <w:rPr>
          <w:rFonts w:ascii="Century Schoolbook" w:hAnsi="Century Schoolbook"/>
          <w:sz w:val="26"/>
          <w:szCs w:val="26"/>
        </w:rPr>
        <w:t>My Life Foundation</w:t>
      </w:r>
      <w:r w:rsidR="00B25B09">
        <w:rPr>
          <w:rFonts w:ascii="Century Schoolbook" w:hAnsi="Century Schoolbook"/>
          <w:sz w:val="26"/>
          <w:szCs w:val="26"/>
        </w:rPr>
        <w:t>, Inc</w:t>
      </w:r>
      <w:r w:rsidRPr="00002A55">
        <w:rPr>
          <w:rFonts w:ascii="Century Schoolbook" w:hAnsi="Century Schoolbook"/>
          <w:sz w:val="26"/>
          <w:szCs w:val="26"/>
        </w:rPr>
        <w:t xml:space="preserve">.  The only defendant pertinent to this appeal is the Regional Center. </w:t>
      </w:r>
    </w:p>
  </w:footnote>
  <w:footnote w:id="5">
    <w:p w:rsidR="002F47B1" w14:paraId="7CB87B32" w14:textId="6979E46C">
      <w:pPr>
        <w:pStyle w:val="FootnoteText"/>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rsidRPr="00D42E17">
        <w:rPr>
          <w:rFonts w:ascii="Century Schoolbook" w:hAnsi="Century Schoolbook"/>
          <w:b/>
          <w:bCs/>
        </w:rPr>
        <w:tab/>
      </w:r>
      <w:r w:rsidRPr="00D42E17">
        <w:rPr>
          <w:rFonts w:ascii="Century Schoolbook" w:hAnsi="Century Schoolbook"/>
          <w:sz w:val="26"/>
          <w:szCs w:val="26"/>
        </w:rPr>
        <w:t xml:space="preserve">Plaintiff has abandoned his prior theory that </w:t>
      </w:r>
      <w:r w:rsidRPr="0012257F">
        <w:rPr>
          <w:rFonts w:ascii="Century Schoolbook" w:hAnsi="Century Schoolbook"/>
          <w:sz w:val="26"/>
          <w:szCs w:val="26"/>
        </w:rPr>
        <w:t xml:space="preserve">the Regional Center is liable in negligence for its affirmative conduct </w:t>
      </w:r>
      <w:r>
        <w:rPr>
          <w:rFonts w:ascii="Century Schoolbook" w:hAnsi="Century Schoolbook"/>
          <w:sz w:val="26"/>
          <w:szCs w:val="26"/>
        </w:rPr>
        <w:t xml:space="preserve">(and hence misfeasance) </w:t>
      </w:r>
      <w:r w:rsidRPr="0012257F">
        <w:rPr>
          <w:rFonts w:ascii="Century Schoolbook" w:hAnsi="Century Schoolbook"/>
          <w:sz w:val="26"/>
          <w:szCs w:val="26"/>
        </w:rPr>
        <w:t>in suggesting that J.C. be housed at Hargis Ho</w:t>
      </w:r>
      <w:r w:rsidR="005F267C">
        <w:rPr>
          <w:rFonts w:ascii="Century Schoolbook" w:hAnsi="Century Schoolbook"/>
          <w:sz w:val="26"/>
          <w:szCs w:val="26"/>
        </w:rPr>
        <w:t>m</w:t>
      </w:r>
      <w:r w:rsidRPr="0012257F">
        <w:rPr>
          <w:rFonts w:ascii="Century Schoolbook" w:hAnsi="Century Schoolbook"/>
          <w:sz w:val="26"/>
          <w:szCs w:val="26"/>
        </w:rPr>
        <w:t>e.  This theory is foreclosed as a matter of law in any event because it is undisputed that Hargis Ho</w:t>
      </w:r>
      <w:r w:rsidR="005F267C">
        <w:rPr>
          <w:rFonts w:ascii="Century Schoolbook" w:hAnsi="Century Schoolbook"/>
          <w:sz w:val="26"/>
          <w:szCs w:val="26"/>
        </w:rPr>
        <w:t>m</w:t>
      </w:r>
      <w:r w:rsidRPr="0012257F">
        <w:rPr>
          <w:rFonts w:ascii="Century Schoolbook" w:hAnsi="Century Schoolbook"/>
          <w:sz w:val="26"/>
          <w:szCs w:val="26"/>
        </w:rPr>
        <w:t xml:space="preserve">e independently evaluated J.C.’s fitness for its facility, so </w:t>
      </w:r>
      <w:r w:rsidR="004563A3">
        <w:rPr>
          <w:rFonts w:ascii="Century Schoolbook" w:hAnsi="Century Schoolbook"/>
          <w:sz w:val="26"/>
          <w:szCs w:val="26"/>
        </w:rPr>
        <w:t xml:space="preserve">it </w:t>
      </w:r>
      <w:r w:rsidRPr="0012257F">
        <w:rPr>
          <w:rFonts w:ascii="Century Schoolbook" w:hAnsi="Century Schoolbook"/>
          <w:sz w:val="26"/>
          <w:szCs w:val="26"/>
        </w:rPr>
        <w:t>did not rely on the Regional Center’s initial “suggestion” for placement.  As a result, the Regional Center did not engage in any misfeasance that cause</w:t>
      </w:r>
      <w:r w:rsidRPr="00D42E17" w:rsidR="00C4082D">
        <w:rPr>
          <w:rFonts w:ascii="Century Schoolbook" w:hAnsi="Century Schoolbook"/>
          <w:sz w:val="26"/>
          <w:szCs w:val="26"/>
        </w:rPr>
        <w:t>d</w:t>
      </w:r>
      <w:r w:rsidRPr="0012257F">
        <w:rPr>
          <w:rFonts w:ascii="Century Schoolbook" w:hAnsi="Century Schoolbook"/>
          <w:sz w:val="26"/>
          <w:szCs w:val="26"/>
        </w:rPr>
        <w:t xml:space="preserve"> Hargis Ho</w:t>
      </w:r>
      <w:r w:rsidR="005F267C">
        <w:rPr>
          <w:rFonts w:ascii="Century Schoolbook" w:hAnsi="Century Schoolbook"/>
          <w:sz w:val="26"/>
          <w:szCs w:val="26"/>
        </w:rPr>
        <w:t>m</w:t>
      </w:r>
      <w:r w:rsidRPr="0012257F">
        <w:rPr>
          <w:rFonts w:ascii="Century Schoolbook" w:hAnsi="Century Schoolbook"/>
          <w:sz w:val="26"/>
          <w:szCs w:val="26"/>
        </w:rPr>
        <w:t xml:space="preserve">e’s employees to be placed in peril.  (Cf. </w:t>
      </w:r>
      <w:r w:rsidRPr="0012257F">
        <w:rPr>
          <w:rFonts w:ascii="Century Schoolbook" w:hAnsi="Century Schoolbook"/>
          <w:i/>
          <w:iCs/>
          <w:sz w:val="26"/>
          <w:szCs w:val="26"/>
        </w:rPr>
        <w:t>Regents</w:t>
      </w:r>
      <w:r w:rsidRPr="00D42E17">
        <w:rPr>
          <w:rFonts w:ascii="Century Schoolbook" w:hAnsi="Century Schoolbook"/>
          <w:sz w:val="26"/>
          <w:szCs w:val="26"/>
        </w:rPr>
        <w:t>,</w:t>
      </w:r>
      <w:r w:rsidRPr="0012257F">
        <w:rPr>
          <w:rFonts w:ascii="Century Schoolbook" w:hAnsi="Century Schoolbook"/>
          <w:i/>
          <w:iCs/>
          <w:sz w:val="26"/>
          <w:szCs w:val="26"/>
        </w:rPr>
        <w:t xml:space="preserve"> supra</w:t>
      </w:r>
      <w:r w:rsidRPr="0012257F">
        <w:rPr>
          <w:rFonts w:ascii="Century Schoolbook" w:hAnsi="Century Schoolbook"/>
          <w:sz w:val="26"/>
          <w:szCs w:val="26"/>
        </w:rPr>
        <w:t xml:space="preserve">, 4 Cal.5th at p. 619; </w:t>
      </w:r>
      <w:r w:rsidRPr="0012257F">
        <w:rPr>
          <w:rFonts w:ascii="Century Schoolbook" w:hAnsi="Century Schoolbook"/>
          <w:i/>
          <w:iCs/>
          <w:sz w:val="26"/>
          <w:szCs w:val="26"/>
        </w:rPr>
        <w:t>Zelig</w:t>
      </w:r>
      <w:r w:rsidR="007B10B4">
        <w:rPr>
          <w:rFonts w:ascii="Century Schoolbook" w:hAnsi="Century Schoolbook"/>
          <w:sz w:val="26"/>
          <w:szCs w:val="26"/>
        </w:rPr>
        <w:t xml:space="preserve"> </w:t>
      </w:r>
      <w:r w:rsidRPr="00C46631" w:rsidR="007B10B4">
        <w:rPr>
          <w:rFonts w:ascii="Century Schoolbook" w:hAnsi="Century Schoolbook"/>
          <w:i/>
          <w:iCs/>
          <w:sz w:val="26"/>
          <w:szCs w:val="26"/>
        </w:rPr>
        <w:t xml:space="preserve">v. County of Los Angeles </w:t>
      </w:r>
      <w:r w:rsidRPr="00C46631" w:rsidR="007B10B4">
        <w:rPr>
          <w:rFonts w:ascii="Century Schoolbook" w:hAnsi="Century Schoolbook"/>
          <w:sz w:val="26"/>
          <w:szCs w:val="26"/>
        </w:rPr>
        <w:t>(2002)</w:t>
      </w:r>
      <w:r w:rsidRPr="0012257F">
        <w:rPr>
          <w:rFonts w:ascii="Century Schoolbook" w:hAnsi="Century Schoolbook"/>
          <w:sz w:val="26"/>
          <w:szCs w:val="26"/>
        </w:rPr>
        <w:t xml:space="preserve"> 27 Cal.4th </w:t>
      </w:r>
      <w:r w:rsidR="00574E65">
        <w:rPr>
          <w:rFonts w:ascii="Century Schoolbook" w:hAnsi="Century Schoolbook"/>
          <w:sz w:val="26"/>
          <w:szCs w:val="26"/>
        </w:rPr>
        <w:t xml:space="preserve">1112, </w:t>
      </w:r>
      <w:r w:rsidRPr="0012257F">
        <w:rPr>
          <w:rFonts w:ascii="Century Schoolbook" w:hAnsi="Century Schoolbook"/>
          <w:sz w:val="26"/>
          <w:szCs w:val="26"/>
        </w:rPr>
        <w:t>1128</w:t>
      </w:r>
      <w:r w:rsidR="00574E65">
        <w:rPr>
          <w:rFonts w:ascii="Century Schoolbook" w:hAnsi="Century Schoolbook"/>
          <w:sz w:val="26"/>
          <w:szCs w:val="26"/>
        </w:rPr>
        <w:t xml:space="preserve"> </w:t>
      </w:r>
      <w:r w:rsidRPr="00C46631" w:rsidR="00574E65">
        <w:rPr>
          <w:rFonts w:ascii="Century Schoolbook" w:hAnsi="Century Schoolbook"/>
          <w:sz w:val="26"/>
          <w:szCs w:val="26"/>
        </w:rPr>
        <w:t>(</w:t>
      </w:r>
      <w:r w:rsidRPr="00C46631" w:rsidR="00574E65">
        <w:rPr>
          <w:rFonts w:ascii="Century Schoolbook" w:hAnsi="Century Schoolbook"/>
          <w:i/>
          <w:iCs/>
          <w:sz w:val="26"/>
          <w:szCs w:val="26"/>
        </w:rPr>
        <w:t>Zelig</w:t>
      </w:r>
      <w:r w:rsidRPr="00C46631" w:rsidR="00574E65">
        <w:rPr>
          <w:rFonts w:ascii="Century Schoolbook" w:hAnsi="Century Schoolbook"/>
          <w:sz w:val="26"/>
          <w:szCs w:val="26"/>
        </w:rPr>
        <w:t>)</w:t>
      </w:r>
      <w:r w:rsidRPr="0012257F">
        <w:rPr>
          <w:rFonts w:ascii="Century Schoolbook" w:hAnsi="Century Schoolbook"/>
          <w:sz w:val="26"/>
          <w:szCs w:val="26"/>
        </w:rPr>
        <w:t xml:space="preserve">; </w:t>
      </w:r>
      <w:r w:rsidRPr="0012257F">
        <w:rPr>
          <w:rFonts w:ascii="Century Schoolbook" w:hAnsi="Century Schoolbook"/>
          <w:i/>
          <w:iCs/>
          <w:sz w:val="26"/>
          <w:szCs w:val="26"/>
        </w:rPr>
        <w:t xml:space="preserve">MacDonald v. California </w:t>
      </w:r>
      <w:r w:rsidRPr="0012257F">
        <w:rPr>
          <w:rFonts w:ascii="Century Schoolbook" w:hAnsi="Century Schoolbook"/>
          <w:sz w:val="26"/>
          <w:szCs w:val="26"/>
        </w:rPr>
        <w:t xml:space="preserve">(1991) 230 Cal.App.3d 319, 334; </w:t>
      </w:r>
      <w:r w:rsidRPr="0012257F">
        <w:rPr>
          <w:rFonts w:ascii="Century Schoolbook" w:hAnsi="Century Schoolbook"/>
          <w:i/>
          <w:iCs/>
          <w:sz w:val="26"/>
          <w:szCs w:val="26"/>
        </w:rPr>
        <w:t>Melton v. Boustred</w:t>
      </w:r>
      <w:r w:rsidRPr="0012257F">
        <w:rPr>
          <w:rFonts w:ascii="Century Schoolbook" w:hAnsi="Century Schoolbook"/>
          <w:sz w:val="26"/>
          <w:szCs w:val="26"/>
        </w:rPr>
        <w:t xml:space="preserve"> (2010) 183 Cal.App.4th 521, 533.)</w:t>
      </w:r>
    </w:p>
    <w:p w:rsidR="002F47B1" w:rsidP="00D42E17" w14:paraId="622EBFF0" w14:textId="455D4119">
      <w:pPr>
        <w:pStyle w:val="FootnoteText"/>
        <w:ind w:firstLine="720"/>
      </w:pPr>
      <w:r>
        <w:rPr>
          <w:rFonts w:ascii="Century Schoolbook" w:hAnsi="Century Schoolbook"/>
          <w:sz w:val="26"/>
          <w:szCs w:val="26"/>
        </w:rPr>
        <w:t xml:space="preserve">Plaintiff has also abandoned his prior (and somewhat related) theory that the Regional Center created a peril by failing to warn him of J.C.’s violent propensities.  This theory is also foreclosed as a matter of law in any event because the undisputed facts establish that Hargis Home </w:t>
      </w:r>
      <w:r>
        <w:rPr>
          <w:rFonts w:ascii="Century Schoolbook" w:hAnsi="Century Schoolbook"/>
          <w:i/>
          <w:iCs/>
          <w:sz w:val="26"/>
          <w:szCs w:val="26"/>
        </w:rPr>
        <w:t xml:space="preserve">was </w:t>
      </w:r>
      <w:r>
        <w:rPr>
          <w:rFonts w:ascii="Century Schoolbook" w:hAnsi="Century Schoolbook"/>
          <w:sz w:val="26"/>
          <w:szCs w:val="26"/>
        </w:rPr>
        <w:t xml:space="preserve">fully informed of J.C.’s violent propensities.  Thus, </w:t>
      </w:r>
      <w:r w:rsidRPr="005C4E40">
        <w:rPr>
          <w:rFonts w:ascii="Century Schoolbook" w:hAnsi="Century Schoolbook"/>
          <w:sz w:val="26"/>
          <w:szCs w:val="26"/>
        </w:rPr>
        <w:t xml:space="preserve">plaintiff’s citation to </w:t>
      </w:r>
      <w:r w:rsidRPr="005C4E40">
        <w:rPr>
          <w:rFonts w:ascii="Century Schoolbook" w:hAnsi="Century Schoolbook"/>
          <w:i/>
          <w:iCs/>
          <w:sz w:val="26"/>
          <w:szCs w:val="26"/>
        </w:rPr>
        <w:t>Johnson v. State of California</w:t>
      </w:r>
      <w:r w:rsidRPr="005C4E40">
        <w:rPr>
          <w:rFonts w:ascii="Century Schoolbook" w:hAnsi="Century Schoolbook"/>
          <w:sz w:val="26"/>
          <w:szCs w:val="26"/>
        </w:rPr>
        <w:t xml:space="preserve"> (1968) 69 Cal.2d 782—a case dealing with failure to warn—is inapt.</w:t>
      </w:r>
    </w:p>
  </w:footnote>
  <w:footnote w:id="6">
    <w:p w:rsidR="00F11EC3" w:rsidRPr="00696C8B" w:rsidP="00C46631" w14:paraId="5D4FF87C" w14:textId="043CF953">
      <w:pPr>
        <w:pStyle w:val="FootnoteText"/>
        <w:rPr>
          <w:rFonts w:ascii="Century Schoolbook" w:hAnsi="Century Schoolbook"/>
          <w:sz w:val="26"/>
          <w:szCs w:val="26"/>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tab/>
      </w:r>
      <w:r w:rsidRPr="00696C8B">
        <w:rPr>
          <w:rFonts w:ascii="Century Schoolbook" w:hAnsi="Century Schoolbook"/>
          <w:sz w:val="26"/>
          <w:szCs w:val="26"/>
        </w:rPr>
        <w:t xml:space="preserve">Although a statute can sometimes explicitly create a duty of care (e.g., </w:t>
      </w:r>
      <w:r w:rsidRPr="00696C8B">
        <w:rPr>
          <w:rFonts w:ascii="Century Schoolbook" w:hAnsi="Century Schoolbook"/>
          <w:i/>
          <w:iCs/>
          <w:sz w:val="26"/>
          <w:szCs w:val="26"/>
        </w:rPr>
        <w:t>Vesely v. Sager</w:t>
      </w:r>
      <w:r w:rsidRPr="00696C8B">
        <w:rPr>
          <w:rFonts w:ascii="Century Schoolbook" w:hAnsi="Century Schoolbook"/>
          <w:sz w:val="26"/>
          <w:szCs w:val="26"/>
        </w:rPr>
        <w:t xml:space="preserve"> (1971) 5 Cal.3d 153, 164, </w:t>
      </w:r>
      <w:r w:rsidR="006A2EA2">
        <w:rPr>
          <w:rFonts w:ascii="Century Schoolbook" w:hAnsi="Century Schoolbook"/>
          <w:sz w:val="26"/>
          <w:szCs w:val="26"/>
        </w:rPr>
        <w:t>superseded by statute</w:t>
      </w:r>
      <w:r w:rsidRPr="00696C8B">
        <w:rPr>
          <w:rFonts w:ascii="Century Schoolbook" w:hAnsi="Century Schoolbook"/>
          <w:sz w:val="26"/>
          <w:szCs w:val="26"/>
        </w:rPr>
        <w:t xml:space="preserve"> on other grounds as stated in </w:t>
      </w:r>
      <w:r w:rsidRPr="00696C8B">
        <w:rPr>
          <w:rFonts w:ascii="Century Schoolbook" w:hAnsi="Century Schoolbook"/>
          <w:i/>
          <w:iCs/>
          <w:sz w:val="26"/>
          <w:szCs w:val="26"/>
        </w:rPr>
        <w:t>Ennabe v. Manosa</w:t>
      </w:r>
      <w:r w:rsidRPr="00696C8B">
        <w:rPr>
          <w:rFonts w:ascii="Century Schoolbook" w:hAnsi="Century Schoolbook"/>
          <w:sz w:val="26"/>
          <w:szCs w:val="26"/>
        </w:rPr>
        <w:t xml:space="preserve"> (2014) 58 Cal.4th 697, 707; </w:t>
      </w:r>
      <w:r w:rsidRPr="00696C8B">
        <w:rPr>
          <w:rFonts w:ascii="Century Schoolbook" w:hAnsi="Century Schoolbook"/>
          <w:i/>
          <w:iCs/>
          <w:sz w:val="26"/>
          <w:szCs w:val="26"/>
        </w:rPr>
        <w:t>J’Aire Corp. v. Gregory</w:t>
      </w:r>
      <w:r w:rsidRPr="00696C8B">
        <w:rPr>
          <w:rFonts w:ascii="Century Schoolbook" w:hAnsi="Century Schoolbook"/>
          <w:sz w:val="26"/>
          <w:szCs w:val="26"/>
        </w:rPr>
        <w:t xml:space="preserve"> (1979) 24 Cal.3d 799, 803), where it does not, courts may still examine the “public policy embodied in [the] legislative</w:t>
      </w:r>
      <w:r w:rsidR="000B504E">
        <w:rPr>
          <w:rFonts w:ascii="Century Schoolbook" w:hAnsi="Century Schoolbook"/>
          <w:sz w:val="26"/>
          <w:szCs w:val="26"/>
        </w:rPr>
        <w:t>ly</w:t>
      </w:r>
      <w:r w:rsidRPr="00696C8B">
        <w:rPr>
          <w:rFonts w:ascii="Century Schoolbook" w:hAnsi="Century Schoolbook"/>
          <w:sz w:val="26"/>
          <w:szCs w:val="26"/>
        </w:rPr>
        <w:t xml:space="preserve"> enacted statute” when undertaking its analysis of public policy factors under </w:t>
      </w:r>
      <w:r w:rsidRPr="00696C8B">
        <w:rPr>
          <w:rFonts w:ascii="Century Schoolbook" w:hAnsi="Century Schoolbook"/>
          <w:i/>
          <w:iCs/>
          <w:sz w:val="26"/>
          <w:szCs w:val="26"/>
        </w:rPr>
        <w:t>Rowland</w:t>
      </w:r>
      <w:r w:rsidRPr="00696C8B">
        <w:rPr>
          <w:rFonts w:ascii="Century Schoolbook" w:hAnsi="Century Schoolbook"/>
          <w:sz w:val="26"/>
          <w:szCs w:val="26"/>
        </w:rPr>
        <w:t xml:space="preserve"> (</w:t>
      </w:r>
      <w:r w:rsidRPr="00696C8B">
        <w:rPr>
          <w:rFonts w:ascii="Century Schoolbook" w:hAnsi="Century Schoolbook"/>
          <w:i/>
          <w:iCs/>
          <w:sz w:val="26"/>
          <w:szCs w:val="26"/>
        </w:rPr>
        <w:t>Issakhani</w:t>
      </w:r>
      <w:r w:rsidRPr="00696C8B">
        <w:rPr>
          <w:rFonts w:ascii="Century Schoolbook" w:hAnsi="Century Schoolbook"/>
          <w:sz w:val="26"/>
          <w:szCs w:val="26"/>
        </w:rPr>
        <w:t xml:space="preserve">, </w:t>
      </w:r>
      <w:r w:rsidRPr="000B504E" w:rsidR="000B504E">
        <w:rPr>
          <w:rFonts w:ascii="Century Schoolbook" w:hAnsi="Century Schoolbook"/>
          <w:i/>
          <w:iCs/>
          <w:sz w:val="26"/>
          <w:szCs w:val="26"/>
        </w:rPr>
        <w:t>supra</w:t>
      </w:r>
      <w:r w:rsidR="000B504E">
        <w:rPr>
          <w:rFonts w:ascii="Century Schoolbook" w:hAnsi="Century Schoolbook"/>
          <w:sz w:val="26"/>
          <w:szCs w:val="26"/>
        </w:rPr>
        <w:t>, 63 Cal.</w:t>
      </w:r>
      <w:r w:rsidR="00BA6A0C">
        <w:rPr>
          <w:rFonts w:ascii="Century Schoolbook" w:hAnsi="Century Schoolbook"/>
          <w:sz w:val="26"/>
          <w:szCs w:val="26"/>
        </w:rPr>
        <w:t>A</w:t>
      </w:r>
      <w:r w:rsidR="000B504E">
        <w:rPr>
          <w:rFonts w:ascii="Century Schoolbook" w:hAnsi="Century Schoolbook"/>
          <w:sz w:val="26"/>
          <w:szCs w:val="26"/>
        </w:rPr>
        <w:t xml:space="preserve">pp.5th </w:t>
      </w:r>
      <w:r w:rsidRPr="000B504E">
        <w:rPr>
          <w:rFonts w:ascii="Century Schoolbook" w:hAnsi="Century Schoolbook"/>
          <w:sz w:val="26"/>
          <w:szCs w:val="26"/>
        </w:rPr>
        <w:t>at</w:t>
      </w:r>
      <w:r w:rsidRPr="00696C8B">
        <w:rPr>
          <w:rFonts w:ascii="Century Schoolbook" w:hAnsi="Century Schoolbook"/>
          <w:sz w:val="26"/>
          <w:szCs w:val="26"/>
        </w:rPr>
        <w:t xml:space="preserve"> p. 929; </w:t>
      </w:r>
      <w:r w:rsidRPr="00696C8B">
        <w:rPr>
          <w:rFonts w:ascii="Century Schoolbook" w:hAnsi="Century Schoolbook"/>
          <w:i/>
          <w:iCs/>
          <w:sz w:val="26"/>
          <w:szCs w:val="26"/>
        </w:rPr>
        <w:t>Elsner v. Uveges</w:t>
      </w:r>
      <w:r w:rsidRPr="00696C8B">
        <w:rPr>
          <w:rFonts w:ascii="Century Schoolbook" w:hAnsi="Century Schoolbook"/>
          <w:sz w:val="26"/>
          <w:szCs w:val="26"/>
        </w:rPr>
        <w:t xml:space="preserve"> (2004) 34 Cal.4th 915, 927, fn. 8)</w:t>
      </w:r>
      <w:r w:rsidR="000B504E">
        <w:rPr>
          <w:rFonts w:ascii="Century Schoolbook" w:hAnsi="Century Schoolbook"/>
          <w:sz w:val="26"/>
          <w:szCs w:val="26"/>
        </w:rPr>
        <w:t>.</w:t>
      </w:r>
    </w:p>
  </w:footnote>
  <w:footnote w:id="7">
    <w:p w:rsidR="00221734" w:rsidRPr="00D42E17" w14:paraId="2D7CD991" w14:textId="2B4C672D">
      <w:pPr>
        <w:pStyle w:val="FootnoteText"/>
        <w:rPr>
          <w:rFonts w:ascii="Century Schoolbook" w:hAnsi="Century Schoolbook"/>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rsidRPr="00D42E17">
        <w:rPr>
          <w:rFonts w:ascii="Century Schoolbook" w:hAnsi="Century Schoolbook"/>
        </w:rPr>
        <w:tab/>
      </w:r>
      <w:r w:rsidRPr="00D42E17">
        <w:rPr>
          <w:rFonts w:ascii="Century Schoolbook" w:hAnsi="Century Schoolbook"/>
          <w:sz w:val="26"/>
          <w:szCs w:val="26"/>
        </w:rPr>
        <w:t xml:space="preserve">Although, as explained above, a defendant may also be liable for its nonfeasance when it has a special relationship </w:t>
      </w:r>
      <w:r w:rsidRPr="00D42E17">
        <w:rPr>
          <w:rFonts w:ascii="Century Schoolbook" w:hAnsi="Century Schoolbook"/>
          <w:i/>
          <w:iCs/>
          <w:sz w:val="26"/>
          <w:szCs w:val="26"/>
        </w:rPr>
        <w:t>with the plaintiff</w:t>
      </w:r>
      <w:r w:rsidRPr="00D42E17">
        <w:rPr>
          <w:rFonts w:ascii="Century Schoolbook" w:hAnsi="Century Schoolbook"/>
          <w:sz w:val="26"/>
          <w:szCs w:val="26"/>
        </w:rPr>
        <w:t xml:space="preserve">, plaintiff here does not argue that the Regional Center has a special relationship </w:t>
      </w:r>
      <w:r w:rsidRPr="00D42E17">
        <w:rPr>
          <w:rFonts w:ascii="Century Schoolbook" w:hAnsi="Century Schoolbook"/>
          <w:i/>
          <w:iCs/>
          <w:sz w:val="26"/>
          <w:szCs w:val="26"/>
        </w:rPr>
        <w:t>with him</w:t>
      </w:r>
      <w:r w:rsidRPr="00D42E17">
        <w:rPr>
          <w:rFonts w:ascii="Century Schoolbook" w:hAnsi="Century Schoolbook"/>
          <w:sz w:val="26"/>
          <w:szCs w:val="26"/>
        </w:rPr>
        <w:t xml:space="preserve">. </w:t>
      </w:r>
      <w:r w:rsidRPr="00D42E17">
        <w:rPr>
          <w:rFonts w:ascii="Century Schoolbook" w:hAnsi="Century Schoolbook"/>
        </w:rPr>
        <w:t xml:space="preserve"> </w:t>
      </w:r>
    </w:p>
  </w:footnote>
  <w:footnote w:id="8">
    <w:p w:rsidR="00C46631" w:rsidRPr="000029F2" w:rsidP="00C46631" w14:paraId="012267D7" w14:textId="0C0BB675">
      <w:pPr>
        <w:pStyle w:val="FootnoteText"/>
        <w:rPr>
          <w:rFonts w:ascii="Century Schoolbook" w:hAnsi="Century Schoolbook"/>
          <w:sz w:val="26"/>
          <w:szCs w:val="26"/>
        </w:rPr>
      </w:pPr>
      <w:r w:rsidRPr="00D42E17">
        <w:rPr>
          <w:rStyle w:val="FootnoteReference"/>
          <w:rFonts w:ascii="Century Schoolbook" w:hAnsi="Century Schoolbook"/>
          <w:b/>
          <w:bCs/>
          <w:sz w:val="20"/>
          <w:vertAlign w:val="baseline"/>
        </w:rPr>
        <w:footnoteRef/>
      </w:r>
      <w:r w:rsidRPr="00D42E17">
        <w:rPr>
          <w:rFonts w:ascii="Century Schoolbook" w:hAnsi="Century Schoolbook"/>
          <w:b/>
          <w:bCs/>
        </w:rPr>
        <w:t xml:space="preserve"> </w:t>
      </w:r>
      <w:r>
        <w:tab/>
      </w:r>
      <w:r w:rsidRPr="000029F2">
        <w:rPr>
          <w:rFonts w:ascii="Century Schoolbook" w:hAnsi="Century Schoolbook"/>
          <w:sz w:val="26"/>
          <w:szCs w:val="26"/>
        </w:rPr>
        <w:t xml:space="preserve">The undisputed facts also establish that the Regional Center complied with this standard of care: </w:t>
      </w:r>
      <w:r w:rsidR="006F69B6">
        <w:rPr>
          <w:rFonts w:ascii="Century Schoolbook" w:hAnsi="Century Schoolbook"/>
          <w:sz w:val="26"/>
          <w:szCs w:val="26"/>
        </w:rPr>
        <w:t xml:space="preserve"> </w:t>
      </w:r>
      <w:r w:rsidRPr="000029F2">
        <w:rPr>
          <w:rFonts w:ascii="Century Schoolbook" w:hAnsi="Century Schoolbook"/>
          <w:sz w:val="26"/>
          <w:szCs w:val="26"/>
        </w:rPr>
        <w:t xml:space="preserve">Although it did not move J.C. within 30 days of receiving notice, doing so </w:t>
      </w:r>
      <w:r w:rsidR="00D1618B">
        <w:rPr>
          <w:rFonts w:ascii="Century Schoolbook" w:hAnsi="Century Schoolbook"/>
          <w:sz w:val="26"/>
          <w:szCs w:val="26"/>
        </w:rPr>
        <w:t>unilaterally</w:t>
      </w:r>
      <w:r w:rsidR="00536507">
        <w:rPr>
          <w:rFonts w:ascii="Century Schoolbook" w:hAnsi="Century Schoolbook"/>
          <w:sz w:val="26"/>
          <w:szCs w:val="26"/>
        </w:rPr>
        <w:t xml:space="preserve"> </w:t>
      </w:r>
      <w:r w:rsidRPr="000029F2">
        <w:rPr>
          <w:rFonts w:ascii="Century Schoolbook" w:hAnsi="Century Schoolbook"/>
          <w:sz w:val="26"/>
          <w:szCs w:val="26"/>
        </w:rPr>
        <w:t>was—as explained above—beyond its power.  However, the Regional Center immediately conducted a statewide search for a new facility, asked five facilities to accept J.C., and provided additional support personnel for J.C. during the pendency of its 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343BDF"/>
    <w:multiLevelType w:val="hybridMultilevel"/>
    <w:tmpl w:val="9DA653EC"/>
    <w:lvl w:ilvl="0">
      <w:start w:val="1"/>
      <w:numFmt w:val="bullet"/>
      <w:lvlText w:val="-"/>
      <w:lvlJc w:val="left"/>
      <w:pPr>
        <w:ind w:left="720" w:hanging="360"/>
      </w:pPr>
      <w:rPr>
        <w:rFonts w:ascii="Century Schoolbook" w:hAnsi="Century Schoolbook"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B141DE"/>
    <w:multiLevelType w:val="hybridMultilevel"/>
    <w:tmpl w:val="0AF48530"/>
    <w:lvl w:ilvl="0">
      <w:start w:val="1290"/>
      <w:numFmt w:val="bullet"/>
      <w:lvlText w:val="-"/>
      <w:lvlJc w:val="left"/>
      <w:pPr>
        <w:ind w:left="720" w:hanging="360"/>
      </w:pPr>
      <w:rPr>
        <w:rFonts w:ascii="Century Schoolbook" w:hAnsi="Century Schoolbook"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4A77FD"/>
    <w:multiLevelType w:val="hybridMultilevel"/>
    <w:tmpl w:val="A692BC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55E5DEE"/>
    <w:multiLevelType w:val="hybridMultilevel"/>
    <w:tmpl w:val="CA940AB6"/>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9"/>
    <w:rsid w:val="000004C8"/>
    <w:rsid w:val="00000826"/>
    <w:rsid w:val="00000A0B"/>
    <w:rsid w:val="00002255"/>
    <w:rsid w:val="00002532"/>
    <w:rsid w:val="0000291C"/>
    <w:rsid w:val="000029DE"/>
    <w:rsid w:val="000029F2"/>
    <w:rsid w:val="00002A55"/>
    <w:rsid w:val="00002D66"/>
    <w:rsid w:val="00002DEC"/>
    <w:rsid w:val="0000375F"/>
    <w:rsid w:val="00003B6D"/>
    <w:rsid w:val="00004B3E"/>
    <w:rsid w:val="00004B7A"/>
    <w:rsid w:val="00004CFC"/>
    <w:rsid w:val="00004CFE"/>
    <w:rsid w:val="00005340"/>
    <w:rsid w:val="0000592D"/>
    <w:rsid w:val="00005E71"/>
    <w:rsid w:val="00005FBE"/>
    <w:rsid w:val="00006833"/>
    <w:rsid w:val="00006A32"/>
    <w:rsid w:val="00006EE3"/>
    <w:rsid w:val="000074A0"/>
    <w:rsid w:val="000078C0"/>
    <w:rsid w:val="00007D92"/>
    <w:rsid w:val="0001002C"/>
    <w:rsid w:val="000103E0"/>
    <w:rsid w:val="0001088C"/>
    <w:rsid w:val="00010921"/>
    <w:rsid w:val="00010CC4"/>
    <w:rsid w:val="00010E09"/>
    <w:rsid w:val="00011098"/>
    <w:rsid w:val="00011184"/>
    <w:rsid w:val="00011229"/>
    <w:rsid w:val="000116BD"/>
    <w:rsid w:val="00012405"/>
    <w:rsid w:val="00012446"/>
    <w:rsid w:val="000125D1"/>
    <w:rsid w:val="0001262B"/>
    <w:rsid w:val="00012B51"/>
    <w:rsid w:val="00013953"/>
    <w:rsid w:val="00015D6F"/>
    <w:rsid w:val="00015F54"/>
    <w:rsid w:val="0001622B"/>
    <w:rsid w:val="00016392"/>
    <w:rsid w:val="00016E3A"/>
    <w:rsid w:val="00016E4B"/>
    <w:rsid w:val="00017625"/>
    <w:rsid w:val="0001766D"/>
    <w:rsid w:val="0001795B"/>
    <w:rsid w:val="00017CFD"/>
    <w:rsid w:val="0002016D"/>
    <w:rsid w:val="000217D2"/>
    <w:rsid w:val="00021A89"/>
    <w:rsid w:val="00021C01"/>
    <w:rsid w:val="000223F8"/>
    <w:rsid w:val="000227D1"/>
    <w:rsid w:val="00022952"/>
    <w:rsid w:val="00022A18"/>
    <w:rsid w:val="00022B79"/>
    <w:rsid w:val="000233C4"/>
    <w:rsid w:val="00023512"/>
    <w:rsid w:val="00023A85"/>
    <w:rsid w:val="00023D41"/>
    <w:rsid w:val="000243B7"/>
    <w:rsid w:val="000245A9"/>
    <w:rsid w:val="000245B3"/>
    <w:rsid w:val="000247C4"/>
    <w:rsid w:val="0002481B"/>
    <w:rsid w:val="00024B6A"/>
    <w:rsid w:val="00024C52"/>
    <w:rsid w:val="000250FD"/>
    <w:rsid w:val="000251A3"/>
    <w:rsid w:val="000252C8"/>
    <w:rsid w:val="0002540C"/>
    <w:rsid w:val="00025C58"/>
    <w:rsid w:val="000265D6"/>
    <w:rsid w:val="00026D41"/>
    <w:rsid w:val="000276DD"/>
    <w:rsid w:val="0002793C"/>
    <w:rsid w:val="00027EFB"/>
    <w:rsid w:val="00030271"/>
    <w:rsid w:val="000303B7"/>
    <w:rsid w:val="00030707"/>
    <w:rsid w:val="00030A2F"/>
    <w:rsid w:val="00030A82"/>
    <w:rsid w:val="00030C5B"/>
    <w:rsid w:val="000315DA"/>
    <w:rsid w:val="00031C35"/>
    <w:rsid w:val="00031C3E"/>
    <w:rsid w:val="00031E7E"/>
    <w:rsid w:val="00032104"/>
    <w:rsid w:val="00032530"/>
    <w:rsid w:val="000329E2"/>
    <w:rsid w:val="00032A48"/>
    <w:rsid w:val="00032A9C"/>
    <w:rsid w:val="00032B0B"/>
    <w:rsid w:val="00033206"/>
    <w:rsid w:val="000333E0"/>
    <w:rsid w:val="00033549"/>
    <w:rsid w:val="000335D4"/>
    <w:rsid w:val="000335E0"/>
    <w:rsid w:val="00034001"/>
    <w:rsid w:val="00034D2E"/>
    <w:rsid w:val="000351B8"/>
    <w:rsid w:val="000353AD"/>
    <w:rsid w:val="0003556A"/>
    <w:rsid w:val="0003686E"/>
    <w:rsid w:val="00036DA5"/>
    <w:rsid w:val="000370C6"/>
    <w:rsid w:val="0003777C"/>
    <w:rsid w:val="00040022"/>
    <w:rsid w:val="00040063"/>
    <w:rsid w:val="00040407"/>
    <w:rsid w:val="00040C36"/>
    <w:rsid w:val="0004129E"/>
    <w:rsid w:val="00042603"/>
    <w:rsid w:val="00042816"/>
    <w:rsid w:val="00042B8B"/>
    <w:rsid w:val="000431ED"/>
    <w:rsid w:val="00043243"/>
    <w:rsid w:val="000433DF"/>
    <w:rsid w:val="000438C4"/>
    <w:rsid w:val="00043917"/>
    <w:rsid w:val="00044A45"/>
    <w:rsid w:val="00044AF8"/>
    <w:rsid w:val="00044E2E"/>
    <w:rsid w:val="000455F2"/>
    <w:rsid w:val="00046072"/>
    <w:rsid w:val="000462E8"/>
    <w:rsid w:val="000470AB"/>
    <w:rsid w:val="00047585"/>
    <w:rsid w:val="00047715"/>
    <w:rsid w:val="0005007D"/>
    <w:rsid w:val="00050911"/>
    <w:rsid w:val="00050B05"/>
    <w:rsid w:val="00050B54"/>
    <w:rsid w:val="00050CFD"/>
    <w:rsid w:val="000515D1"/>
    <w:rsid w:val="00051965"/>
    <w:rsid w:val="00052128"/>
    <w:rsid w:val="00052330"/>
    <w:rsid w:val="000528A5"/>
    <w:rsid w:val="000528B0"/>
    <w:rsid w:val="00052CA3"/>
    <w:rsid w:val="00052CF9"/>
    <w:rsid w:val="00052FF2"/>
    <w:rsid w:val="00053C6F"/>
    <w:rsid w:val="00053E94"/>
    <w:rsid w:val="00054008"/>
    <w:rsid w:val="0005411D"/>
    <w:rsid w:val="0005463A"/>
    <w:rsid w:val="00054F12"/>
    <w:rsid w:val="000554B2"/>
    <w:rsid w:val="000554EB"/>
    <w:rsid w:val="0005605C"/>
    <w:rsid w:val="000561B8"/>
    <w:rsid w:val="00056EC6"/>
    <w:rsid w:val="00057224"/>
    <w:rsid w:val="000572E9"/>
    <w:rsid w:val="0005758D"/>
    <w:rsid w:val="000577AA"/>
    <w:rsid w:val="000579B7"/>
    <w:rsid w:val="00057A33"/>
    <w:rsid w:val="0006089D"/>
    <w:rsid w:val="00060B44"/>
    <w:rsid w:val="00060B6C"/>
    <w:rsid w:val="00061010"/>
    <w:rsid w:val="00062301"/>
    <w:rsid w:val="0006294A"/>
    <w:rsid w:val="00062F1D"/>
    <w:rsid w:val="00062F75"/>
    <w:rsid w:val="00063053"/>
    <w:rsid w:val="00063137"/>
    <w:rsid w:val="0006317E"/>
    <w:rsid w:val="00063296"/>
    <w:rsid w:val="00063B56"/>
    <w:rsid w:val="00063CAD"/>
    <w:rsid w:val="00063DE3"/>
    <w:rsid w:val="00064BB2"/>
    <w:rsid w:val="00064EE3"/>
    <w:rsid w:val="000656E4"/>
    <w:rsid w:val="000658C4"/>
    <w:rsid w:val="00065AAE"/>
    <w:rsid w:val="00065C9D"/>
    <w:rsid w:val="00065E1B"/>
    <w:rsid w:val="0006601F"/>
    <w:rsid w:val="000661E6"/>
    <w:rsid w:val="0006629D"/>
    <w:rsid w:val="000663D0"/>
    <w:rsid w:val="00066786"/>
    <w:rsid w:val="000674AB"/>
    <w:rsid w:val="00067772"/>
    <w:rsid w:val="000708A0"/>
    <w:rsid w:val="000709C8"/>
    <w:rsid w:val="0007115F"/>
    <w:rsid w:val="00071B5C"/>
    <w:rsid w:val="00071C19"/>
    <w:rsid w:val="00072972"/>
    <w:rsid w:val="00072B5D"/>
    <w:rsid w:val="00072E0A"/>
    <w:rsid w:val="00072F07"/>
    <w:rsid w:val="00073D2F"/>
    <w:rsid w:val="00073FB2"/>
    <w:rsid w:val="00074712"/>
    <w:rsid w:val="0007510C"/>
    <w:rsid w:val="0007571A"/>
    <w:rsid w:val="000759E0"/>
    <w:rsid w:val="00075DD8"/>
    <w:rsid w:val="00076610"/>
    <w:rsid w:val="0007781C"/>
    <w:rsid w:val="00077EEE"/>
    <w:rsid w:val="000800B5"/>
    <w:rsid w:val="0008036C"/>
    <w:rsid w:val="000803DA"/>
    <w:rsid w:val="000806BF"/>
    <w:rsid w:val="00080C2F"/>
    <w:rsid w:val="0008102D"/>
    <w:rsid w:val="0008112B"/>
    <w:rsid w:val="00081538"/>
    <w:rsid w:val="000816D4"/>
    <w:rsid w:val="000816F3"/>
    <w:rsid w:val="00081DC3"/>
    <w:rsid w:val="000821EE"/>
    <w:rsid w:val="0008236C"/>
    <w:rsid w:val="00082389"/>
    <w:rsid w:val="00082534"/>
    <w:rsid w:val="000826FD"/>
    <w:rsid w:val="00082BAC"/>
    <w:rsid w:val="00082D58"/>
    <w:rsid w:val="00082D8F"/>
    <w:rsid w:val="000831DD"/>
    <w:rsid w:val="0008332B"/>
    <w:rsid w:val="0008362C"/>
    <w:rsid w:val="00083648"/>
    <w:rsid w:val="00083887"/>
    <w:rsid w:val="000838B7"/>
    <w:rsid w:val="00083B12"/>
    <w:rsid w:val="00084146"/>
    <w:rsid w:val="000848B2"/>
    <w:rsid w:val="00084F56"/>
    <w:rsid w:val="000858B2"/>
    <w:rsid w:val="000858BC"/>
    <w:rsid w:val="000859C6"/>
    <w:rsid w:val="00085E64"/>
    <w:rsid w:val="00086003"/>
    <w:rsid w:val="00086411"/>
    <w:rsid w:val="0008684D"/>
    <w:rsid w:val="00086895"/>
    <w:rsid w:val="00086DD7"/>
    <w:rsid w:val="000875D0"/>
    <w:rsid w:val="00087930"/>
    <w:rsid w:val="00087B54"/>
    <w:rsid w:val="00087DB7"/>
    <w:rsid w:val="00090E25"/>
    <w:rsid w:val="0009105B"/>
    <w:rsid w:val="00091166"/>
    <w:rsid w:val="0009151E"/>
    <w:rsid w:val="000917B1"/>
    <w:rsid w:val="00091C3C"/>
    <w:rsid w:val="00092275"/>
    <w:rsid w:val="00092551"/>
    <w:rsid w:val="0009271D"/>
    <w:rsid w:val="000934ED"/>
    <w:rsid w:val="0009365F"/>
    <w:rsid w:val="00093AE8"/>
    <w:rsid w:val="00093C9A"/>
    <w:rsid w:val="00093EF0"/>
    <w:rsid w:val="0009413C"/>
    <w:rsid w:val="00094415"/>
    <w:rsid w:val="00094771"/>
    <w:rsid w:val="00094847"/>
    <w:rsid w:val="00094867"/>
    <w:rsid w:val="000949F8"/>
    <w:rsid w:val="00094D7F"/>
    <w:rsid w:val="00094E04"/>
    <w:rsid w:val="00094E49"/>
    <w:rsid w:val="0009512E"/>
    <w:rsid w:val="00095334"/>
    <w:rsid w:val="00095660"/>
    <w:rsid w:val="00095E9B"/>
    <w:rsid w:val="00096574"/>
    <w:rsid w:val="000967D4"/>
    <w:rsid w:val="00096E64"/>
    <w:rsid w:val="000973D9"/>
    <w:rsid w:val="000978C7"/>
    <w:rsid w:val="00097B9E"/>
    <w:rsid w:val="000A0011"/>
    <w:rsid w:val="000A02FC"/>
    <w:rsid w:val="000A0436"/>
    <w:rsid w:val="000A192D"/>
    <w:rsid w:val="000A1E3A"/>
    <w:rsid w:val="000A1E7C"/>
    <w:rsid w:val="000A2571"/>
    <w:rsid w:val="000A2EEA"/>
    <w:rsid w:val="000A31BF"/>
    <w:rsid w:val="000A3347"/>
    <w:rsid w:val="000A387A"/>
    <w:rsid w:val="000A3EB2"/>
    <w:rsid w:val="000A4539"/>
    <w:rsid w:val="000A49D3"/>
    <w:rsid w:val="000A4A85"/>
    <w:rsid w:val="000A52C5"/>
    <w:rsid w:val="000A569F"/>
    <w:rsid w:val="000A63CF"/>
    <w:rsid w:val="000A70F2"/>
    <w:rsid w:val="000A7244"/>
    <w:rsid w:val="000A7BA9"/>
    <w:rsid w:val="000B02B0"/>
    <w:rsid w:val="000B0341"/>
    <w:rsid w:val="000B03E7"/>
    <w:rsid w:val="000B08D0"/>
    <w:rsid w:val="000B0C98"/>
    <w:rsid w:val="000B0C9C"/>
    <w:rsid w:val="000B0E5C"/>
    <w:rsid w:val="000B1027"/>
    <w:rsid w:val="000B18B8"/>
    <w:rsid w:val="000B18D8"/>
    <w:rsid w:val="000B1AFF"/>
    <w:rsid w:val="000B2255"/>
    <w:rsid w:val="000B25B4"/>
    <w:rsid w:val="000B2AA7"/>
    <w:rsid w:val="000B3108"/>
    <w:rsid w:val="000B38C0"/>
    <w:rsid w:val="000B3DF4"/>
    <w:rsid w:val="000B406A"/>
    <w:rsid w:val="000B4286"/>
    <w:rsid w:val="000B42E9"/>
    <w:rsid w:val="000B45D4"/>
    <w:rsid w:val="000B49DD"/>
    <w:rsid w:val="000B4CAC"/>
    <w:rsid w:val="000B4F36"/>
    <w:rsid w:val="000B504E"/>
    <w:rsid w:val="000B51BD"/>
    <w:rsid w:val="000B549A"/>
    <w:rsid w:val="000B5565"/>
    <w:rsid w:val="000B5E5E"/>
    <w:rsid w:val="000B62D8"/>
    <w:rsid w:val="000B6A94"/>
    <w:rsid w:val="000B6AE6"/>
    <w:rsid w:val="000B6C30"/>
    <w:rsid w:val="000B6F63"/>
    <w:rsid w:val="000B6F95"/>
    <w:rsid w:val="000B7149"/>
    <w:rsid w:val="000B788E"/>
    <w:rsid w:val="000B7A7D"/>
    <w:rsid w:val="000C091B"/>
    <w:rsid w:val="000C098B"/>
    <w:rsid w:val="000C0AFB"/>
    <w:rsid w:val="000C0FFC"/>
    <w:rsid w:val="000C1785"/>
    <w:rsid w:val="000C17FF"/>
    <w:rsid w:val="000C20A3"/>
    <w:rsid w:val="000C25E7"/>
    <w:rsid w:val="000C2E0D"/>
    <w:rsid w:val="000C33EC"/>
    <w:rsid w:val="000C3727"/>
    <w:rsid w:val="000C3777"/>
    <w:rsid w:val="000C377F"/>
    <w:rsid w:val="000C3EA2"/>
    <w:rsid w:val="000C4351"/>
    <w:rsid w:val="000C46B8"/>
    <w:rsid w:val="000C4BE6"/>
    <w:rsid w:val="000C4C40"/>
    <w:rsid w:val="000C58E9"/>
    <w:rsid w:val="000C595F"/>
    <w:rsid w:val="000C65C6"/>
    <w:rsid w:val="000C6799"/>
    <w:rsid w:val="000C67EF"/>
    <w:rsid w:val="000C703A"/>
    <w:rsid w:val="000C7174"/>
    <w:rsid w:val="000C7A35"/>
    <w:rsid w:val="000C7F75"/>
    <w:rsid w:val="000D0AB9"/>
    <w:rsid w:val="000D1012"/>
    <w:rsid w:val="000D1369"/>
    <w:rsid w:val="000D173F"/>
    <w:rsid w:val="000D18C1"/>
    <w:rsid w:val="000D18E0"/>
    <w:rsid w:val="000D25F4"/>
    <w:rsid w:val="000D27CD"/>
    <w:rsid w:val="000D2931"/>
    <w:rsid w:val="000D2BB6"/>
    <w:rsid w:val="000D3077"/>
    <w:rsid w:val="000D34D7"/>
    <w:rsid w:val="000D38EC"/>
    <w:rsid w:val="000D3B5E"/>
    <w:rsid w:val="000D3D19"/>
    <w:rsid w:val="000D41E5"/>
    <w:rsid w:val="000D4872"/>
    <w:rsid w:val="000D558F"/>
    <w:rsid w:val="000D5E80"/>
    <w:rsid w:val="000D66E2"/>
    <w:rsid w:val="000D6819"/>
    <w:rsid w:val="000D699F"/>
    <w:rsid w:val="000D7110"/>
    <w:rsid w:val="000D7884"/>
    <w:rsid w:val="000D7FE6"/>
    <w:rsid w:val="000E003B"/>
    <w:rsid w:val="000E03E6"/>
    <w:rsid w:val="000E0660"/>
    <w:rsid w:val="000E0764"/>
    <w:rsid w:val="000E087C"/>
    <w:rsid w:val="000E0E48"/>
    <w:rsid w:val="000E0FA5"/>
    <w:rsid w:val="000E12E7"/>
    <w:rsid w:val="000E151E"/>
    <w:rsid w:val="000E1D1D"/>
    <w:rsid w:val="000E2C13"/>
    <w:rsid w:val="000E3A42"/>
    <w:rsid w:val="000E3B21"/>
    <w:rsid w:val="000E3C79"/>
    <w:rsid w:val="000E41D7"/>
    <w:rsid w:val="000E41F5"/>
    <w:rsid w:val="000E434F"/>
    <w:rsid w:val="000E556B"/>
    <w:rsid w:val="000E5DBE"/>
    <w:rsid w:val="000E6680"/>
    <w:rsid w:val="000E6789"/>
    <w:rsid w:val="000E691F"/>
    <w:rsid w:val="000E6B70"/>
    <w:rsid w:val="000E6F92"/>
    <w:rsid w:val="000E72EB"/>
    <w:rsid w:val="000E753E"/>
    <w:rsid w:val="000E75C3"/>
    <w:rsid w:val="000E79A2"/>
    <w:rsid w:val="000E7F83"/>
    <w:rsid w:val="000F0AB6"/>
    <w:rsid w:val="000F0BC0"/>
    <w:rsid w:val="000F1168"/>
    <w:rsid w:val="000F27E1"/>
    <w:rsid w:val="000F2839"/>
    <w:rsid w:val="000F2AFF"/>
    <w:rsid w:val="000F2C9A"/>
    <w:rsid w:val="000F2E63"/>
    <w:rsid w:val="000F3D86"/>
    <w:rsid w:val="000F3DDF"/>
    <w:rsid w:val="000F3DFF"/>
    <w:rsid w:val="000F4655"/>
    <w:rsid w:val="000F4A1F"/>
    <w:rsid w:val="000F4CEA"/>
    <w:rsid w:val="000F4EF4"/>
    <w:rsid w:val="000F58DE"/>
    <w:rsid w:val="000F6103"/>
    <w:rsid w:val="000F61D1"/>
    <w:rsid w:val="000F6509"/>
    <w:rsid w:val="000F6F1F"/>
    <w:rsid w:val="000F74CE"/>
    <w:rsid w:val="000F7859"/>
    <w:rsid w:val="000F7C3D"/>
    <w:rsid w:val="000F7E22"/>
    <w:rsid w:val="0010027F"/>
    <w:rsid w:val="0010045C"/>
    <w:rsid w:val="001010E4"/>
    <w:rsid w:val="00101FBC"/>
    <w:rsid w:val="001021D5"/>
    <w:rsid w:val="0010237E"/>
    <w:rsid w:val="0010247C"/>
    <w:rsid w:val="00102817"/>
    <w:rsid w:val="00102989"/>
    <w:rsid w:val="00102B28"/>
    <w:rsid w:val="00103399"/>
    <w:rsid w:val="00103407"/>
    <w:rsid w:val="00103C8D"/>
    <w:rsid w:val="00103DCD"/>
    <w:rsid w:val="00103DF2"/>
    <w:rsid w:val="00103E46"/>
    <w:rsid w:val="00104AAF"/>
    <w:rsid w:val="00104CAD"/>
    <w:rsid w:val="00104FCE"/>
    <w:rsid w:val="00104FE8"/>
    <w:rsid w:val="0010575B"/>
    <w:rsid w:val="001059B9"/>
    <w:rsid w:val="00105EE4"/>
    <w:rsid w:val="00106239"/>
    <w:rsid w:val="00106B6A"/>
    <w:rsid w:val="00106DA4"/>
    <w:rsid w:val="001074AC"/>
    <w:rsid w:val="0010765D"/>
    <w:rsid w:val="001079A8"/>
    <w:rsid w:val="00107E87"/>
    <w:rsid w:val="0011047C"/>
    <w:rsid w:val="00110833"/>
    <w:rsid w:val="00110933"/>
    <w:rsid w:val="0011137A"/>
    <w:rsid w:val="001114EE"/>
    <w:rsid w:val="00111ADE"/>
    <w:rsid w:val="00111C8A"/>
    <w:rsid w:val="00112399"/>
    <w:rsid w:val="001128D2"/>
    <w:rsid w:val="001128E5"/>
    <w:rsid w:val="00113092"/>
    <w:rsid w:val="00113404"/>
    <w:rsid w:val="001138C9"/>
    <w:rsid w:val="00113F1E"/>
    <w:rsid w:val="001144A0"/>
    <w:rsid w:val="00114BB2"/>
    <w:rsid w:val="0011579A"/>
    <w:rsid w:val="00115A8D"/>
    <w:rsid w:val="00115D24"/>
    <w:rsid w:val="001163F5"/>
    <w:rsid w:val="0011728A"/>
    <w:rsid w:val="00117997"/>
    <w:rsid w:val="00117F0D"/>
    <w:rsid w:val="00120105"/>
    <w:rsid w:val="00120245"/>
    <w:rsid w:val="0012051E"/>
    <w:rsid w:val="0012070B"/>
    <w:rsid w:val="00120831"/>
    <w:rsid w:val="001208E1"/>
    <w:rsid w:val="00120D02"/>
    <w:rsid w:val="00120EFB"/>
    <w:rsid w:val="001210CD"/>
    <w:rsid w:val="0012158C"/>
    <w:rsid w:val="00121D80"/>
    <w:rsid w:val="0012257F"/>
    <w:rsid w:val="00122647"/>
    <w:rsid w:val="001228C8"/>
    <w:rsid w:val="00122973"/>
    <w:rsid w:val="00122B98"/>
    <w:rsid w:val="00122DF1"/>
    <w:rsid w:val="00123267"/>
    <w:rsid w:val="0012341A"/>
    <w:rsid w:val="00124354"/>
    <w:rsid w:val="0012493A"/>
    <w:rsid w:val="00125429"/>
    <w:rsid w:val="001257A8"/>
    <w:rsid w:val="00126193"/>
    <w:rsid w:val="00127540"/>
    <w:rsid w:val="00127C28"/>
    <w:rsid w:val="00127F1F"/>
    <w:rsid w:val="0013040A"/>
    <w:rsid w:val="0013051D"/>
    <w:rsid w:val="001308C6"/>
    <w:rsid w:val="00130A4E"/>
    <w:rsid w:val="00130B00"/>
    <w:rsid w:val="00130C8F"/>
    <w:rsid w:val="0013168D"/>
    <w:rsid w:val="001325EC"/>
    <w:rsid w:val="00132ACF"/>
    <w:rsid w:val="00132D98"/>
    <w:rsid w:val="00132FA1"/>
    <w:rsid w:val="00133456"/>
    <w:rsid w:val="00133731"/>
    <w:rsid w:val="001339FF"/>
    <w:rsid w:val="00134850"/>
    <w:rsid w:val="0013523C"/>
    <w:rsid w:val="00135989"/>
    <w:rsid w:val="00136BC0"/>
    <w:rsid w:val="00136BEF"/>
    <w:rsid w:val="00137246"/>
    <w:rsid w:val="00137352"/>
    <w:rsid w:val="00137436"/>
    <w:rsid w:val="001376E6"/>
    <w:rsid w:val="001378B6"/>
    <w:rsid w:val="0014023B"/>
    <w:rsid w:val="00140425"/>
    <w:rsid w:val="00140C45"/>
    <w:rsid w:val="00140DF7"/>
    <w:rsid w:val="00140E72"/>
    <w:rsid w:val="00140F58"/>
    <w:rsid w:val="00140FB8"/>
    <w:rsid w:val="00142003"/>
    <w:rsid w:val="00142006"/>
    <w:rsid w:val="001420F6"/>
    <w:rsid w:val="001426A2"/>
    <w:rsid w:val="001426D6"/>
    <w:rsid w:val="00142705"/>
    <w:rsid w:val="00143170"/>
    <w:rsid w:val="001440D7"/>
    <w:rsid w:val="00144324"/>
    <w:rsid w:val="001445E9"/>
    <w:rsid w:val="00144C2B"/>
    <w:rsid w:val="001457E1"/>
    <w:rsid w:val="0014599A"/>
    <w:rsid w:val="001459D5"/>
    <w:rsid w:val="0014628D"/>
    <w:rsid w:val="001469A2"/>
    <w:rsid w:val="00146AF5"/>
    <w:rsid w:val="00146FE3"/>
    <w:rsid w:val="001473AB"/>
    <w:rsid w:val="001479C7"/>
    <w:rsid w:val="00147C47"/>
    <w:rsid w:val="001502E6"/>
    <w:rsid w:val="001503D7"/>
    <w:rsid w:val="0015082A"/>
    <w:rsid w:val="00150910"/>
    <w:rsid w:val="00150C5D"/>
    <w:rsid w:val="00151221"/>
    <w:rsid w:val="001516B7"/>
    <w:rsid w:val="001519CB"/>
    <w:rsid w:val="00151AC5"/>
    <w:rsid w:val="001522D2"/>
    <w:rsid w:val="001523DB"/>
    <w:rsid w:val="001528F1"/>
    <w:rsid w:val="00152CA2"/>
    <w:rsid w:val="00153028"/>
    <w:rsid w:val="00153167"/>
    <w:rsid w:val="001534D2"/>
    <w:rsid w:val="00153672"/>
    <w:rsid w:val="00154BB1"/>
    <w:rsid w:val="00155422"/>
    <w:rsid w:val="001558EC"/>
    <w:rsid w:val="001559BB"/>
    <w:rsid w:val="00156246"/>
    <w:rsid w:val="001566F6"/>
    <w:rsid w:val="00156AC8"/>
    <w:rsid w:val="001575D2"/>
    <w:rsid w:val="0015762A"/>
    <w:rsid w:val="00157665"/>
    <w:rsid w:val="00157666"/>
    <w:rsid w:val="00157AA8"/>
    <w:rsid w:val="00157EC3"/>
    <w:rsid w:val="0016009A"/>
    <w:rsid w:val="0016068C"/>
    <w:rsid w:val="0016071E"/>
    <w:rsid w:val="00160820"/>
    <w:rsid w:val="001623DB"/>
    <w:rsid w:val="00163305"/>
    <w:rsid w:val="0016378E"/>
    <w:rsid w:val="001638A1"/>
    <w:rsid w:val="00163AF4"/>
    <w:rsid w:val="00163E64"/>
    <w:rsid w:val="00164009"/>
    <w:rsid w:val="001649FE"/>
    <w:rsid w:val="00164A65"/>
    <w:rsid w:val="00164DAB"/>
    <w:rsid w:val="00164E93"/>
    <w:rsid w:val="00164F86"/>
    <w:rsid w:val="0016561E"/>
    <w:rsid w:val="00166A08"/>
    <w:rsid w:val="00166B44"/>
    <w:rsid w:val="00166BF2"/>
    <w:rsid w:val="00167049"/>
    <w:rsid w:val="0016725E"/>
    <w:rsid w:val="00167342"/>
    <w:rsid w:val="00167836"/>
    <w:rsid w:val="00167CC7"/>
    <w:rsid w:val="00170C1A"/>
    <w:rsid w:val="00170D37"/>
    <w:rsid w:val="0017114B"/>
    <w:rsid w:val="001713D5"/>
    <w:rsid w:val="00171621"/>
    <w:rsid w:val="001725F6"/>
    <w:rsid w:val="001729C5"/>
    <w:rsid w:val="00172C79"/>
    <w:rsid w:val="00172CDD"/>
    <w:rsid w:val="00172D01"/>
    <w:rsid w:val="00173F79"/>
    <w:rsid w:val="00174373"/>
    <w:rsid w:val="0017450E"/>
    <w:rsid w:val="00174D38"/>
    <w:rsid w:val="001756E3"/>
    <w:rsid w:val="00175A84"/>
    <w:rsid w:val="0017634A"/>
    <w:rsid w:val="00176432"/>
    <w:rsid w:val="00176660"/>
    <w:rsid w:val="001768F9"/>
    <w:rsid w:val="00177207"/>
    <w:rsid w:val="0017781D"/>
    <w:rsid w:val="00180C3B"/>
    <w:rsid w:val="0018225C"/>
    <w:rsid w:val="0018234E"/>
    <w:rsid w:val="0018255C"/>
    <w:rsid w:val="001825BE"/>
    <w:rsid w:val="00182B8F"/>
    <w:rsid w:val="00182DCE"/>
    <w:rsid w:val="001833E6"/>
    <w:rsid w:val="001834F1"/>
    <w:rsid w:val="0018351F"/>
    <w:rsid w:val="00183F6C"/>
    <w:rsid w:val="00184542"/>
    <w:rsid w:val="00184FD9"/>
    <w:rsid w:val="00184FEE"/>
    <w:rsid w:val="0018501E"/>
    <w:rsid w:val="0018524E"/>
    <w:rsid w:val="001858EB"/>
    <w:rsid w:val="00185FBE"/>
    <w:rsid w:val="00186347"/>
    <w:rsid w:val="00186756"/>
    <w:rsid w:val="00186791"/>
    <w:rsid w:val="00186C4C"/>
    <w:rsid w:val="0018749E"/>
    <w:rsid w:val="0018779C"/>
    <w:rsid w:val="00187897"/>
    <w:rsid w:val="00187ABD"/>
    <w:rsid w:val="00190C4D"/>
    <w:rsid w:val="00190CE3"/>
    <w:rsid w:val="001911C8"/>
    <w:rsid w:val="00191C61"/>
    <w:rsid w:val="001920A6"/>
    <w:rsid w:val="001922D9"/>
    <w:rsid w:val="00192364"/>
    <w:rsid w:val="001924CA"/>
    <w:rsid w:val="00192954"/>
    <w:rsid w:val="00193518"/>
    <w:rsid w:val="00193585"/>
    <w:rsid w:val="00193B36"/>
    <w:rsid w:val="00194450"/>
    <w:rsid w:val="0019468A"/>
    <w:rsid w:val="00194833"/>
    <w:rsid w:val="00194C98"/>
    <w:rsid w:val="00194D6D"/>
    <w:rsid w:val="00194DA2"/>
    <w:rsid w:val="001952DC"/>
    <w:rsid w:val="001952F0"/>
    <w:rsid w:val="00195308"/>
    <w:rsid w:val="0019555A"/>
    <w:rsid w:val="001959B5"/>
    <w:rsid w:val="00195CBF"/>
    <w:rsid w:val="00195D9B"/>
    <w:rsid w:val="00195FCC"/>
    <w:rsid w:val="00195FEF"/>
    <w:rsid w:val="001964B8"/>
    <w:rsid w:val="00197320"/>
    <w:rsid w:val="0019736B"/>
    <w:rsid w:val="001973AA"/>
    <w:rsid w:val="00197793"/>
    <w:rsid w:val="001A0A7B"/>
    <w:rsid w:val="001A0CD8"/>
    <w:rsid w:val="001A0E79"/>
    <w:rsid w:val="001A1853"/>
    <w:rsid w:val="001A239E"/>
    <w:rsid w:val="001A3111"/>
    <w:rsid w:val="001A37C6"/>
    <w:rsid w:val="001A3A10"/>
    <w:rsid w:val="001A4143"/>
    <w:rsid w:val="001A41B1"/>
    <w:rsid w:val="001A4339"/>
    <w:rsid w:val="001A4921"/>
    <w:rsid w:val="001A4974"/>
    <w:rsid w:val="001A5DCC"/>
    <w:rsid w:val="001A6302"/>
    <w:rsid w:val="001A698B"/>
    <w:rsid w:val="001A6A7B"/>
    <w:rsid w:val="001A6B44"/>
    <w:rsid w:val="001A6D41"/>
    <w:rsid w:val="001A768E"/>
    <w:rsid w:val="001A769D"/>
    <w:rsid w:val="001A7B96"/>
    <w:rsid w:val="001A7C88"/>
    <w:rsid w:val="001B056F"/>
    <w:rsid w:val="001B0627"/>
    <w:rsid w:val="001B0838"/>
    <w:rsid w:val="001B0E22"/>
    <w:rsid w:val="001B0FF8"/>
    <w:rsid w:val="001B175C"/>
    <w:rsid w:val="001B1807"/>
    <w:rsid w:val="001B19C9"/>
    <w:rsid w:val="001B1D78"/>
    <w:rsid w:val="001B27AE"/>
    <w:rsid w:val="001B2803"/>
    <w:rsid w:val="001B3617"/>
    <w:rsid w:val="001B37BF"/>
    <w:rsid w:val="001B3BD9"/>
    <w:rsid w:val="001B3ED5"/>
    <w:rsid w:val="001B41E3"/>
    <w:rsid w:val="001B42B4"/>
    <w:rsid w:val="001B4405"/>
    <w:rsid w:val="001B48C8"/>
    <w:rsid w:val="001B4A8A"/>
    <w:rsid w:val="001B5020"/>
    <w:rsid w:val="001B50E3"/>
    <w:rsid w:val="001B5748"/>
    <w:rsid w:val="001B5992"/>
    <w:rsid w:val="001B5C0A"/>
    <w:rsid w:val="001B637D"/>
    <w:rsid w:val="001B63C8"/>
    <w:rsid w:val="001B6739"/>
    <w:rsid w:val="001B6C54"/>
    <w:rsid w:val="001B6D9A"/>
    <w:rsid w:val="001B6E76"/>
    <w:rsid w:val="001B71EA"/>
    <w:rsid w:val="001B7543"/>
    <w:rsid w:val="001B7B09"/>
    <w:rsid w:val="001C073E"/>
    <w:rsid w:val="001C0DAE"/>
    <w:rsid w:val="001C122E"/>
    <w:rsid w:val="001C186A"/>
    <w:rsid w:val="001C254B"/>
    <w:rsid w:val="001C2A27"/>
    <w:rsid w:val="001C2A9C"/>
    <w:rsid w:val="001C3462"/>
    <w:rsid w:val="001C3619"/>
    <w:rsid w:val="001C3691"/>
    <w:rsid w:val="001C37CF"/>
    <w:rsid w:val="001C3ABB"/>
    <w:rsid w:val="001C43AA"/>
    <w:rsid w:val="001C58E6"/>
    <w:rsid w:val="001C5BAF"/>
    <w:rsid w:val="001C5C19"/>
    <w:rsid w:val="001C6459"/>
    <w:rsid w:val="001C6706"/>
    <w:rsid w:val="001C6F2A"/>
    <w:rsid w:val="001C72A2"/>
    <w:rsid w:val="001D03EE"/>
    <w:rsid w:val="001D0551"/>
    <w:rsid w:val="001D1442"/>
    <w:rsid w:val="001D17D9"/>
    <w:rsid w:val="001D234F"/>
    <w:rsid w:val="001D2713"/>
    <w:rsid w:val="001D29E7"/>
    <w:rsid w:val="001D2A13"/>
    <w:rsid w:val="001D377F"/>
    <w:rsid w:val="001D38CB"/>
    <w:rsid w:val="001D424A"/>
    <w:rsid w:val="001D43EB"/>
    <w:rsid w:val="001D5A16"/>
    <w:rsid w:val="001D5F5D"/>
    <w:rsid w:val="001D6113"/>
    <w:rsid w:val="001D63A2"/>
    <w:rsid w:val="001D66B9"/>
    <w:rsid w:val="001D69C9"/>
    <w:rsid w:val="001D6C6C"/>
    <w:rsid w:val="001D7538"/>
    <w:rsid w:val="001E051F"/>
    <w:rsid w:val="001E0571"/>
    <w:rsid w:val="001E0A0E"/>
    <w:rsid w:val="001E0E50"/>
    <w:rsid w:val="001E0F1A"/>
    <w:rsid w:val="001E1953"/>
    <w:rsid w:val="001E1E72"/>
    <w:rsid w:val="001E3276"/>
    <w:rsid w:val="001E37E4"/>
    <w:rsid w:val="001E3C2F"/>
    <w:rsid w:val="001E3EEA"/>
    <w:rsid w:val="001E4369"/>
    <w:rsid w:val="001E489F"/>
    <w:rsid w:val="001E4A6D"/>
    <w:rsid w:val="001E4DFC"/>
    <w:rsid w:val="001E4E4B"/>
    <w:rsid w:val="001E4F80"/>
    <w:rsid w:val="001E57DB"/>
    <w:rsid w:val="001E59EB"/>
    <w:rsid w:val="001E5A81"/>
    <w:rsid w:val="001E5AC1"/>
    <w:rsid w:val="001E7336"/>
    <w:rsid w:val="001E7DA8"/>
    <w:rsid w:val="001F04B0"/>
    <w:rsid w:val="001F04C7"/>
    <w:rsid w:val="001F0ACF"/>
    <w:rsid w:val="001F0B32"/>
    <w:rsid w:val="001F0C7F"/>
    <w:rsid w:val="001F1064"/>
    <w:rsid w:val="001F12C3"/>
    <w:rsid w:val="001F1BF0"/>
    <w:rsid w:val="001F1C06"/>
    <w:rsid w:val="001F1EF7"/>
    <w:rsid w:val="001F1F07"/>
    <w:rsid w:val="001F2273"/>
    <w:rsid w:val="001F22EC"/>
    <w:rsid w:val="001F2355"/>
    <w:rsid w:val="001F2643"/>
    <w:rsid w:val="001F26D9"/>
    <w:rsid w:val="001F2834"/>
    <w:rsid w:val="001F3064"/>
    <w:rsid w:val="001F30ED"/>
    <w:rsid w:val="001F31A0"/>
    <w:rsid w:val="001F38D6"/>
    <w:rsid w:val="001F3CFB"/>
    <w:rsid w:val="001F3FC1"/>
    <w:rsid w:val="001F457C"/>
    <w:rsid w:val="001F4CC8"/>
    <w:rsid w:val="001F4CF1"/>
    <w:rsid w:val="001F4D8D"/>
    <w:rsid w:val="001F50A0"/>
    <w:rsid w:val="001F560A"/>
    <w:rsid w:val="001F5696"/>
    <w:rsid w:val="001F637B"/>
    <w:rsid w:val="001F63AE"/>
    <w:rsid w:val="001F660C"/>
    <w:rsid w:val="001F7581"/>
    <w:rsid w:val="001F7FD2"/>
    <w:rsid w:val="0020011D"/>
    <w:rsid w:val="0020016B"/>
    <w:rsid w:val="002007AF"/>
    <w:rsid w:val="00200A98"/>
    <w:rsid w:val="00200B83"/>
    <w:rsid w:val="00201116"/>
    <w:rsid w:val="0020165F"/>
    <w:rsid w:val="0020224C"/>
    <w:rsid w:val="002023D1"/>
    <w:rsid w:val="00202F16"/>
    <w:rsid w:val="0020347E"/>
    <w:rsid w:val="00203556"/>
    <w:rsid w:val="0020364B"/>
    <w:rsid w:val="00203739"/>
    <w:rsid w:val="00203B15"/>
    <w:rsid w:val="002043C9"/>
    <w:rsid w:val="002045E8"/>
    <w:rsid w:val="00204BA5"/>
    <w:rsid w:val="002054F1"/>
    <w:rsid w:val="0020550A"/>
    <w:rsid w:val="002057EB"/>
    <w:rsid w:val="0020594B"/>
    <w:rsid w:val="00205F09"/>
    <w:rsid w:val="0020630C"/>
    <w:rsid w:val="00206757"/>
    <w:rsid w:val="00206A58"/>
    <w:rsid w:val="00206A9A"/>
    <w:rsid w:val="00206C64"/>
    <w:rsid w:val="00207BAA"/>
    <w:rsid w:val="00207CF1"/>
    <w:rsid w:val="00207DC4"/>
    <w:rsid w:val="00207F90"/>
    <w:rsid w:val="0021074F"/>
    <w:rsid w:val="0021075A"/>
    <w:rsid w:val="00211B3F"/>
    <w:rsid w:val="00211E61"/>
    <w:rsid w:val="00212108"/>
    <w:rsid w:val="002128CF"/>
    <w:rsid w:val="00212F5D"/>
    <w:rsid w:val="0021365D"/>
    <w:rsid w:val="002138FA"/>
    <w:rsid w:val="00213AF8"/>
    <w:rsid w:val="00213C42"/>
    <w:rsid w:val="00213DC1"/>
    <w:rsid w:val="00214051"/>
    <w:rsid w:val="0021410B"/>
    <w:rsid w:val="002144A9"/>
    <w:rsid w:val="00214831"/>
    <w:rsid w:val="00214FCC"/>
    <w:rsid w:val="002150A7"/>
    <w:rsid w:val="00215A7B"/>
    <w:rsid w:val="00215BE7"/>
    <w:rsid w:val="00215D66"/>
    <w:rsid w:val="00215FE1"/>
    <w:rsid w:val="002167B5"/>
    <w:rsid w:val="00216894"/>
    <w:rsid w:val="00216E18"/>
    <w:rsid w:val="00216EAC"/>
    <w:rsid w:val="002175EF"/>
    <w:rsid w:val="002177F3"/>
    <w:rsid w:val="00217A9A"/>
    <w:rsid w:val="00217BF9"/>
    <w:rsid w:val="002205B4"/>
    <w:rsid w:val="002207EC"/>
    <w:rsid w:val="002208CF"/>
    <w:rsid w:val="00220E27"/>
    <w:rsid w:val="002213AA"/>
    <w:rsid w:val="00221734"/>
    <w:rsid w:val="00221931"/>
    <w:rsid w:val="00221BCF"/>
    <w:rsid w:val="002222D9"/>
    <w:rsid w:val="002225B7"/>
    <w:rsid w:val="002231B6"/>
    <w:rsid w:val="00223C88"/>
    <w:rsid w:val="0022408F"/>
    <w:rsid w:val="00224269"/>
    <w:rsid w:val="002245C2"/>
    <w:rsid w:val="002246C4"/>
    <w:rsid w:val="00224741"/>
    <w:rsid w:val="00224873"/>
    <w:rsid w:val="00224C17"/>
    <w:rsid w:val="002254F2"/>
    <w:rsid w:val="00226123"/>
    <w:rsid w:val="00226457"/>
    <w:rsid w:val="00226A03"/>
    <w:rsid w:val="00226D6F"/>
    <w:rsid w:val="00226EF6"/>
    <w:rsid w:val="00226F31"/>
    <w:rsid w:val="002272DA"/>
    <w:rsid w:val="002275A6"/>
    <w:rsid w:val="0022775F"/>
    <w:rsid w:val="00227B2E"/>
    <w:rsid w:val="002300AF"/>
    <w:rsid w:val="0023044B"/>
    <w:rsid w:val="00230466"/>
    <w:rsid w:val="00230645"/>
    <w:rsid w:val="002310C8"/>
    <w:rsid w:val="002317D7"/>
    <w:rsid w:val="00231B31"/>
    <w:rsid w:val="00231EC7"/>
    <w:rsid w:val="002327B6"/>
    <w:rsid w:val="0023298E"/>
    <w:rsid w:val="00232AF1"/>
    <w:rsid w:val="00232CF6"/>
    <w:rsid w:val="00232EC2"/>
    <w:rsid w:val="00232FD1"/>
    <w:rsid w:val="002337D1"/>
    <w:rsid w:val="00233995"/>
    <w:rsid w:val="00234353"/>
    <w:rsid w:val="002348F6"/>
    <w:rsid w:val="00234F40"/>
    <w:rsid w:val="00235516"/>
    <w:rsid w:val="002356E9"/>
    <w:rsid w:val="00235E36"/>
    <w:rsid w:val="00235E50"/>
    <w:rsid w:val="002361E7"/>
    <w:rsid w:val="0023686E"/>
    <w:rsid w:val="00236B43"/>
    <w:rsid w:val="00236B98"/>
    <w:rsid w:val="00236BEA"/>
    <w:rsid w:val="0023702C"/>
    <w:rsid w:val="00237075"/>
    <w:rsid w:val="002374FD"/>
    <w:rsid w:val="00240DDA"/>
    <w:rsid w:val="0024100A"/>
    <w:rsid w:val="00241884"/>
    <w:rsid w:val="002418B1"/>
    <w:rsid w:val="002422C1"/>
    <w:rsid w:val="00242332"/>
    <w:rsid w:val="002424E3"/>
    <w:rsid w:val="0024254D"/>
    <w:rsid w:val="002425D0"/>
    <w:rsid w:val="00243912"/>
    <w:rsid w:val="00244276"/>
    <w:rsid w:val="00244478"/>
    <w:rsid w:val="00244801"/>
    <w:rsid w:val="00244BEF"/>
    <w:rsid w:val="002451F4"/>
    <w:rsid w:val="00245508"/>
    <w:rsid w:val="002457BD"/>
    <w:rsid w:val="0024586B"/>
    <w:rsid w:val="0024603B"/>
    <w:rsid w:val="002463A7"/>
    <w:rsid w:val="00246D6D"/>
    <w:rsid w:val="00247574"/>
    <w:rsid w:val="0024774A"/>
    <w:rsid w:val="00247B40"/>
    <w:rsid w:val="00247C13"/>
    <w:rsid w:val="00247DB1"/>
    <w:rsid w:val="00250734"/>
    <w:rsid w:val="00250755"/>
    <w:rsid w:val="00250C4E"/>
    <w:rsid w:val="00250EFE"/>
    <w:rsid w:val="002513AC"/>
    <w:rsid w:val="00251F9B"/>
    <w:rsid w:val="0025256A"/>
    <w:rsid w:val="00253D73"/>
    <w:rsid w:val="002541C8"/>
    <w:rsid w:val="002546B9"/>
    <w:rsid w:val="00254D49"/>
    <w:rsid w:val="002556FD"/>
    <w:rsid w:val="00255B5D"/>
    <w:rsid w:val="00255E0D"/>
    <w:rsid w:val="002564DC"/>
    <w:rsid w:val="00256605"/>
    <w:rsid w:val="00256B73"/>
    <w:rsid w:val="00256D57"/>
    <w:rsid w:val="00257C8C"/>
    <w:rsid w:val="002603F6"/>
    <w:rsid w:val="0026075C"/>
    <w:rsid w:val="002609DD"/>
    <w:rsid w:val="002611AE"/>
    <w:rsid w:val="00261401"/>
    <w:rsid w:val="002615F8"/>
    <w:rsid w:val="0026194D"/>
    <w:rsid w:val="00262503"/>
    <w:rsid w:val="00262D03"/>
    <w:rsid w:val="00263065"/>
    <w:rsid w:val="002640FC"/>
    <w:rsid w:val="0026416B"/>
    <w:rsid w:val="00264266"/>
    <w:rsid w:val="002642F0"/>
    <w:rsid w:val="00264824"/>
    <w:rsid w:val="002652B7"/>
    <w:rsid w:val="00265822"/>
    <w:rsid w:val="00265CCD"/>
    <w:rsid w:val="00265FD6"/>
    <w:rsid w:val="00266050"/>
    <w:rsid w:val="00266850"/>
    <w:rsid w:val="002702C9"/>
    <w:rsid w:val="002702F2"/>
    <w:rsid w:val="002703DF"/>
    <w:rsid w:val="002705AC"/>
    <w:rsid w:val="00270CF9"/>
    <w:rsid w:val="00271475"/>
    <w:rsid w:val="00271BA5"/>
    <w:rsid w:val="00271D4E"/>
    <w:rsid w:val="00272100"/>
    <w:rsid w:val="00272635"/>
    <w:rsid w:val="0027276D"/>
    <w:rsid w:val="00272E64"/>
    <w:rsid w:val="00273208"/>
    <w:rsid w:val="0027350A"/>
    <w:rsid w:val="002735B3"/>
    <w:rsid w:val="00273D67"/>
    <w:rsid w:val="002745D4"/>
    <w:rsid w:val="002749A7"/>
    <w:rsid w:val="00274E6F"/>
    <w:rsid w:val="00275661"/>
    <w:rsid w:val="00275A12"/>
    <w:rsid w:val="00276201"/>
    <w:rsid w:val="0027635A"/>
    <w:rsid w:val="0027655F"/>
    <w:rsid w:val="00276A0C"/>
    <w:rsid w:val="002771E0"/>
    <w:rsid w:val="00277E92"/>
    <w:rsid w:val="00277F46"/>
    <w:rsid w:val="0028084F"/>
    <w:rsid w:val="00280A0D"/>
    <w:rsid w:val="0028135C"/>
    <w:rsid w:val="002815D8"/>
    <w:rsid w:val="002816E8"/>
    <w:rsid w:val="00281747"/>
    <w:rsid w:val="00281CEB"/>
    <w:rsid w:val="002829ED"/>
    <w:rsid w:val="00283AF0"/>
    <w:rsid w:val="00284253"/>
    <w:rsid w:val="002846A2"/>
    <w:rsid w:val="00284CEF"/>
    <w:rsid w:val="002852E0"/>
    <w:rsid w:val="002853DF"/>
    <w:rsid w:val="002855E9"/>
    <w:rsid w:val="00285BC8"/>
    <w:rsid w:val="00286249"/>
    <w:rsid w:val="00286BBF"/>
    <w:rsid w:val="00286F14"/>
    <w:rsid w:val="0028724E"/>
    <w:rsid w:val="002877ED"/>
    <w:rsid w:val="00290381"/>
    <w:rsid w:val="002905EB"/>
    <w:rsid w:val="00291006"/>
    <w:rsid w:val="002920B1"/>
    <w:rsid w:val="00292C69"/>
    <w:rsid w:val="00292FE6"/>
    <w:rsid w:val="002933A8"/>
    <w:rsid w:val="00293A1C"/>
    <w:rsid w:val="00294293"/>
    <w:rsid w:val="00294579"/>
    <w:rsid w:val="00294BC3"/>
    <w:rsid w:val="00294F99"/>
    <w:rsid w:val="002952A7"/>
    <w:rsid w:val="00295A0E"/>
    <w:rsid w:val="00296172"/>
    <w:rsid w:val="002961FA"/>
    <w:rsid w:val="0029629A"/>
    <w:rsid w:val="002963A9"/>
    <w:rsid w:val="00296898"/>
    <w:rsid w:val="00297078"/>
    <w:rsid w:val="00297332"/>
    <w:rsid w:val="00297586"/>
    <w:rsid w:val="002976F9"/>
    <w:rsid w:val="00297E53"/>
    <w:rsid w:val="002A0570"/>
    <w:rsid w:val="002A066F"/>
    <w:rsid w:val="002A071C"/>
    <w:rsid w:val="002A093D"/>
    <w:rsid w:val="002A0C93"/>
    <w:rsid w:val="002A1166"/>
    <w:rsid w:val="002A119A"/>
    <w:rsid w:val="002A184F"/>
    <w:rsid w:val="002A1968"/>
    <w:rsid w:val="002A2089"/>
    <w:rsid w:val="002A28DE"/>
    <w:rsid w:val="002A2FBD"/>
    <w:rsid w:val="002A3266"/>
    <w:rsid w:val="002A33C9"/>
    <w:rsid w:val="002A3415"/>
    <w:rsid w:val="002A39B3"/>
    <w:rsid w:val="002A3BEF"/>
    <w:rsid w:val="002A3CFA"/>
    <w:rsid w:val="002A3E50"/>
    <w:rsid w:val="002A3F92"/>
    <w:rsid w:val="002A4BE5"/>
    <w:rsid w:val="002A5321"/>
    <w:rsid w:val="002A576A"/>
    <w:rsid w:val="002A5D6B"/>
    <w:rsid w:val="002A66A5"/>
    <w:rsid w:val="002A6761"/>
    <w:rsid w:val="002A712C"/>
    <w:rsid w:val="002A7DBE"/>
    <w:rsid w:val="002A7E62"/>
    <w:rsid w:val="002A7F87"/>
    <w:rsid w:val="002B014B"/>
    <w:rsid w:val="002B0532"/>
    <w:rsid w:val="002B071C"/>
    <w:rsid w:val="002B198F"/>
    <w:rsid w:val="002B2210"/>
    <w:rsid w:val="002B36C9"/>
    <w:rsid w:val="002B4827"/>
    <w:rsid w:val="002B484A"/>
    <w:rsid w:val="002B53BD"/>
    <w:rsid w:val="002B5FEA"/>
    <w:rsid w:val="002B6058"/>
    <w:rsid w:val="002B6233"/>
    <w:rsid w:val="002B6664"/>
    <w:rsid w:val="002B6ECE"/>
    <w:rsid w:val="002B71F7"/>
    <w:rsid w:val="002B7229"/>
    <w:rsid w:val="002B74C8"/>
    <w:rsid w:val="002B7758"/>
    <w:rsid w:val="002B7E73"/>
    <w:rsid w:val="002C0BE5"/>
    <w:rsid w:val="002C0C66"/>
    <w:rsid w:val="002C0C8A"/>
    <w:rsid w:val="002C0DCA"/>
    <w:rsid w:val="002C1705"/>
    <w:rsid w:val="002C1C8F"/>
    <w:rsid w:val="002C1D25"/>
    <w:rsid w:val="002C1D92"/>
    <w:rsid w:val="002C226C"/>
    <w:rsid w:val="002C2780"/>
    <w:rsid w:val="002C3004"/>
    <w:rsid w:val="002C3E81"/>
    <w:rsid w:val="002C4A41"/>
    <w:rsid w:val="002C4BBC"/>
    <w:rsid w:val="002C4FBE"/>
    <w:rsid w:val="002C512B"/>
    <w:rsid w:val="002C598B"/>
    <w:rsid w:val="002C59F7"/>
    <w:rsid w:val="002C607A"/>
    <w:rsid w:val="002C6282"/>
    <w:rsid w:val="002C6BA2"/>
    <w:rsid w:val="002C6D2B"/>
    <w:rsid w:val="002C718F"/>
    <w:rsid w:val="002C742A"/>
    <w:rsid w:val="002C7AAB"/>
    <w:rsid w:val="002C7CAD"/>
    <w:rsid w:val="002C7D3E"/>
    <w:rsid w:val="002C7E02"/>
    <w:rsid w:val="002D03A2"/>
    <w:rsid w:val="002D0A48"/>
    <w:rsid w:val="002D0B39"/>
    <w:rsid w:val="002D169E"/>
    <w:rsid w:val="002D1975"/>
    <w:rsid w:val="002D23E4"/>
    <w:rsid w:val="002D25B4"/>
    <w:rsid w:val="002D2EA1"/>
    <w:rsid w:val="002D2F30"/>
    <w:rsid w:val="002D35A3"/>
    <w:rsid w:val="002D450F"/>
    <w:rsid w:val="002D4B4F"/>
    <w:rsid w:val="002D4D10"/>
    <w:rsid w:val="002D4D22"/>
    <w:rsid w:val="002D5180"/>
    <w:rsid w:val="002D5602"/>
    <w:rsid w:val="002D58F7"/>
    <w:rsid w:val="002D5A1E"/>
    <w:rsid w:val="002D5DF2"/>
    <w:rsid w:val="002D657A"/>
    <w:rsid w:val="002D6E78"/>
    <w:rsid w:val="002D7068"/>
    <w:rsid w:val="002D7C84"/>
    <w:rsid w:val="002E0B90"/>
    <w:rsid w:val="002E0C81"/>
    <w:rsid w:val="002E0D02"/>
    <w:rsid w:val="002E0DE9"/>
    <w:rsid w:val="002E191A"/>
    <w:rsid w:val="002E1ABA"/>
    <w:rsid w:val="002E1AC4"/>
    <w:rsid w:val="002E1BED"/>
    <w:rsid w:val="002E1D23"/>
    <w:rsid w:val="002E23AF"/>
    <w:rsid w:val="002E2408"/>
    <w:rsid w:val="002E2426"/>
    <w:rsid w:val="002E2A6B"/>
    <w:rsid w:val="002E3411"/>
    <w:rsid w:val="002E3726"/>
    <w:rsid w:val="002E4181"/>
    <w:rsid w:val="002E449A"/>
    <w:rsid w:val="002E56D8"/>
    <w:rsid w:val="002E58FD"/>
    <w:rsid w:val="002E5EB9"/>
    <w:rsid w:val="002E61D4"/>
    <w:rsid w:val="002E67FB"/>
    <w:rsid w:val="002E6893"/>
    <w:rsid w:val="002E6958"/>
    <w:rsid w:val="002E6F3F"/>
    <w:rsid w:val="002E73A9"/>
    <w:rsid w:val="002E73DD"/>
    <w:rsid w:val="002E7508"/>
    <w:rsid w:val="002E76AF"/>
    <w:rsid w:val="002E77AE"/>
    <w:rsid w:val="002E7D79"/>
    <w:rsid w:val="002E7F73"/>
    <w:rsid w:val="002F010B"/>
    <w:rsid w:val="002F0A71"/>
    <w:rsid w:val="002F121C"/>
    <w:rsid w:val="002F1A8A"/>
    <w:rsid w:val="002F1BE2"/>
    <w:rsid w:val="002F2423"/>
    <w:rsid w:val="002F327E"/>
    <w:rsid w:val="002F47B1"/>
    <w:rsid w:val="002F4DE4"/>
    <w:rsid w:val="002F531A"/>
    <w:rsid w:val="002F5748"/>
    <w:rsid w:val="002F5E65"/>
    <w:rsid w:val="002F5F66"/>
    <w:rsid w:val="002F6BFF"/>
    <w:rsid w:val="002F7130"/>
    <w:rsid w:val="002F7297"/>
    <w:rsid w:val="002F748B"/>
    <w:rsid w:val="002F7610"/>
    <w:rsid w:val="002F77F3"/>
    <w:rsid w:val="002F7C0C"/>
    <w:rsid w:val="003001EA"/>
    <w:rsid w:val="003002B7"/>
    <w:rsid w:val="00300340"/>
    <w:rsid w:val="0030038D"/>
    <w:rsid w:val="003005FB"/>
    <w:rsid w:val="0030104D"/>
    <w:rsid w:val="003017C3"/>
    <w:rsid w:val="00301983"/>
    <w:rsid w:val="00301EDD"/>
    <w:rsid w:val="00301F48"/>
    <w:rsid w:val="00302312"/>
    <w:rsid w:val="00302415"/>
    <w:rsid w:val="003028DD"/>
    <w:rsid w:val="00302CCC"/>
    <w:rsid w:val="00302F42"/>
    <w:rsid w:val="003035F1"/>
    <w:rsid w:val="00303874"/>
    <w:rsid w:val="00303DE1"/>
    <w:rsid w:val="00304111"/>
    <w:rsid w:val="0030452E"/>
    <w:rsid w:val="00304678"/>
    <w:rsid w:val="00304A2E"/>
    <w:rsid w:val="00304AD7"/>
    <w:rsid w:val="00304EA9"/>
    <w:rsid w:val="00305409"/>
    <w:rsid w:val="00305A0C"/>
    <w:rsid w:val="00305E1A"/>
    <w:rsid w:val="00305E5B"/>
    <w:rsid w:val="00305F85"/>
    <w:rsid w:val="0030640A"/>
    <w:rsid w:val="00307AE2"/>
    <w:rsid w:val="003106D0"/>
    <w:rsid w:val="00310B9F"/>
    <w:rsid w:val="00311409"/>
    <w:rsid w:val="00311735"/>
    <w:rsid w:val="00311C86"/>
    <w:rsid w:val="00311DFC"/>
    <w:rsid w:val="0031352A"/>
    <w:rsid w:val="00313734"/>
    <w:rsid w:val="003139FC"/>
    <w:rsid w:val="0031427E"/>
    <w:rsid w:val="00314EC8"/>
    <w:rsid w:val="00314F76"/>
    <w:rsid w:val="00316125"/>
    <w:rsid w:val="00316C08"/>
    <w:rsid w:val="00316EC6"/>
    <w:rsid w:val="00317292"/>
    <w:rsid w:val="0031730B"/>
    <w:rsid w:val="00320430"/>
    <w:rsid w:val="003207B9"/>
    <w:rsid w:val="00320B8A"/>
    <w:rsid w:val="00321100"/>
    <w:rsid w:val="00321D35"/>
    <w:rsid w:val="00321D8F"/>
    <w:rsid w:val="00321E8E"/>
    <w:rsid w:val="00322011"/>
    <w:rsid w:val="003220CA"/>
    <w:rsid w:val="00322302"/>
    <w:rsid w:val="00322988"/>
    <w:rsid w:val="00322BF0"/>
    <w:rsid w:val="00322DB2"/>
    <w:rsid w:val="003230B0"/>
    <w:rsid w:val="00323278"/>
    <w:rsid w:val="0032333E"/>
    <w:rsid w:val="003235AA"/>
    <w:rsid w:val="003238B4"/>
    <w:rsid w:val="00323BCB"/>
    <w:rsid w:val="00323DCA"/>
    <w:rsid w:val="003243C3"/>
    <w:rsid w:val="00324982"/>
    <w:rsid w:val="00324AA6"/>
    <w:rsid w:val="00324BB6"/>
    <w:rsid w:val="00324BE5"/>
    <w:rsid w:val="00325CF3"/>
    <w:rsid w:val="003265E1"/>
    <w:rsid w:val="00326F4D"/>
    <w:rsid w:val="00327067"/>
    <w:rsid w:val="00327A69"/>
    <w:rsid w:val="00327FBE"/>
    <w:rsid w:val="003300E5"/>
    <w:rsid w:val="003309CD"/>
    <w:rsid w:val="003309DA"/>
    <w:rsid w:val="00330CAC"/>
    <w:rsid w:val="00330F9A"/>
    <w:rsid w:val="003315F8"/>
    <w:rsid w:val="00331788"/>
    <w:rsid w:val="00331C50"/>
    <w:rsid w:val="00331EEE"/>
    <w:rsid w:val="003322F1"/>
    <w:rsid w:val="00332B55"/>
    <w:rsid w:val="0033361F"/>
    <w:rsid w:val="0033386D"/>
    <w:rsid w:val="00333BC9"/>
    <w:rsid w:val="003344B4"/>
    <w:rsid w:val="00335165"/>
    <w:rsid w:val="003352B2"/>
    <w:rsid w:val="00335395"/>
    <w:rsid w:val="00335480"/>
    <w:rsid w:val="00335539"/>
    <w:rsid w:val="00335CFF"/>
    <w:rsid w:val="0033638E"/>
    <w:rsid w:val="00336A0E"/>
    <w:rsid w:val="00336F31"/>
    <w:rsid w:val="00336F41"/>
    <w:rsid w:val="003371F6"/>
    <w:rsid w:val="003375D7"/>
    <w:rsid w:val="00340394"/>
    <w:rsid w:val="00340614"/>
    <w:rsid w:val="003411A8"/>
    <w:rsid w:val="003412DB"/>
    <w:rsid w:val="0034140F"/>
    <w:rsid w:val="00341992"/>
    <w:rsid w:val="00341A99"/>
    <w:rsid w:val="003427AD"/>
    <w:rsid w:val="00342DAB"/>
    <w:rsid w:val="0034355B"/>
    <w:rsid w:val="00343625"/>
    <w:rsid w:val="00343AB2"/>
    <w:rsid w:val="00343C84"/>
    <w:rsid w:val="00343FFE"/>
    <w:rsid w:val="00344F81"/>
    <w:rsid w:val="003454D1"/>
    <w:rsid w:val="003455D8"/>
    <w:rsid w:val="003456E8"/>
    <w:rsid w:val="00345922"/>
    <w:rsid w:val="00345B5D"/>
    <w:rsid w:val="00345CA0"/>
    <w:rsid w:val="00345E7B"/>
    <w:rsid w:val="003460F3"/>
    <w:rsid w:val="00346298"/>
    <w:rsid w:val="0034647B"/>
    <w:rsid w:val="0034676C"/>
    <w:rsid w:val="00346829"/>
    <w:rsid w:val="00346EDB"/>
    <w:rsid w:val="003470DF"/>
    <w:rsid w:val="00347352"/>
    <w:rsid w:val="00347406"/>
    <w:rsid w:val="00347554"/>
    <w:rsid w:val="00347A0F"/>
    <w:rsid w:val="00347B30"/>
    <w:rsid w:val="003500E5"/>
    <w:rsid w:val="003501DB"/>
    <w:rsid w:val="003502DF"/>
    <w:rsid w:val="00350842"/>
    <w:rsid w:val="00350E06"/>
    <w:rsid w:val="00350F80"/>
    <w:rsid w:val="0035104E"/>
    <w:rsid w:val="003516BC"/>
    <w:rsid w:val="00351A65"/>
    <w:rsid w:val="003522AC"/>
    <w:rsid w:val="0035255E"/>
    <w:rsid w:val="00352A7A"/>
    <w:rsid w:val="003533F1"/>
    <w:rsid w:val="003544B8"/>
    <w:rsid w:val="003548A6"/>
    <w:rsid w:val="003549D2"/>
    <w:rsid w:val="00355500"/>
    <w:rsid w:val="00355E14"/>
    <w:rsid w:val="003561BB"/>
    <w:rsid w:val="003563F7"/>
    <w:rsid w:val="003563FD"/>
    <w:rsid w:val="003567EF"/>
    <w:rsid w:val="00356988"/>
    <w:rsid w:val="00356B70"/>
    <w:rsid w:val="00356DD9"/>
    <w:rsid w:val="00356DEA"/>
    <w:rsid w:val="0035724A"/>
    <w:rsid w:val="003574C1"/>
    <w:rsid w:val="003575E8"/>
    <w:rsid w:val="00357734"/>
    <w:rsid w:val="00360084"/>
    <w:rsid w:val="0036016B"/>
    <w:rsid w:val="00360E12"/>
    <w:rsid w:val="00360F01"/>
    <w:rsid w:val="00361023"/>
    <w:rsid w:val="00361245"/>
    <w:rsid w:val="0036182B"/>
    <w:rsid w:val="00361A96"/>
    <w:rsid w:val="00361B55"/>
    <w:rsid w:val="00361D7A"/>
    <w:rsid w:val="00361DAA"/>
    <w:rsid w:val="0036201C"/>
    <w:rsid w:val="00362040"/>
    <w:rsid w:val="003620BF"/>
    <w:rsid w:val="00364285"/>
    <w:rsid w:val="003643E8"/>
    <w:rsid w:val="00364824"/>
    <w:rsid w:val="00364DA5"/>
    <w:rsid w:val="00364E2E"/>
    <w:rsid w:val="00364F8E"/>
    <w:rsid w:val="00365991"/>
    <w:rsid w:val="00365A2A"/>
    <w:rsid w:val="00365ABC"/>
    <w:rsid w:val="00365F9C"/>
    <w:rsid w:val="00366E00"/>
    <w:rsid w:val="003675FD"/>
    <w:rsid w:val="00367986"/>
    <w:rsid w:val="003703EF"/>
    <w:rsid w:val="0037077C"/>
    <w:rsid w:val="00370877"/>
    <w:rsid w:val="00370902"/>
    <w:rsid w:val="00370B08"/>
    <w:rsid w:val="00370DD5"/>
    <w:rsid w:val="00370F44"/>
    <w:rsid w:val="003710FF"/>
    <w:rsid w:val="00371A67"/>
    <w:rsid w:val="00371F59"/>
    <w:rsid w:val="00372D49"/>
    <w:rsid w:val="00372E2E"/>
    <w:rsid w:val="0037383A"/>
    <w:rsid w:val="00373A4C"/>
    <w:rsid w:val="00373AF1"/>
    <w:rsid w:val="00373C23"/>
    <w:rsid w:val="003740D2"/>
    <w:rsid w:val="00374636"/>
    <w:rsid w:val="003749CF"/>
    <w:rsid w:val="00374DD3"/>
    <w:rsid w:val="00374F64"/>
    <w:rsid w:val="00374FA0"/>
    <w:rsid w:val="0037501E"/>
    <w:rsid w:val="00375BD6"/>
    <w:rsid w:val="00375F62"/>
    <w:rsid w:val="0037611D"/>
    <w:rsid w:val="003764F8"/>
    <w:rsid w:val="003772BF"/>
    <w:rsid w:val="003803B1"/>
    <w:rsid w:val="0038049D"/>
    <w:rsid w:val="00380536"/>
    <w:rsid w:val="0038073C"/>
    <w:rsid w:val="00380D28"/>
    <w:rsid w:val="003812A1"/>
    <w:rsid w:val="0038181C"/>
    <w:rsid w:val="003819FD"/>
    <w:rsid w:val="00381B42"/>
    <w:rsid w:val="00382DB8"/>
    <w:rsid w:val="003835B4"/>
    <w:rsid w:val="00383A9B"/>
    <w:rsid w:val="0038410A"/>
    <w:rsid w:val="00384547"/>
    <w:rsid w:val="003845C9"/>
    <w:rsid w:val="00385BDB"/>
    <w:rsid w:val="00385CE4"/>
    <w:rsid w:val="00385F26"/>
    <w:rsid w:val="003860D9"/>
    <w:rsid w:val="003861F1"/>
    <w:rsid w:val="00386D26"/>
    <w:rsid w:val="00386F10"/>
    <w:rsid w:val="003871BA"/>
    <w:rsid w:val="0038740D"/>
    <w:rsid w:val="003874D2"/>
    <w:rsid w:val="003878B2"/>
    <w:rsid w:val="003878E5"/>
    <w:rsid w:val="00387B2C"/>
    <w:rsid w:val="00387D40"/>
    <w:rsid w:val="00387E72"/>
    <w:rsid w:val="00387F7E"/>
    <w:rsid w:val="00387FC4"/>
    <w:rsid w:val="00390433"/>
    <w:rsid w:val="0039051F"/>
    <w:rsid w:val="00391240"/>
    <w:rsid w:val="003914B6"/>
    <w:rsid w:val="00391BD0"/>
    <w:rsid w:val="00391DBF"/>
    <w:rsid w:val="0039221C"/>
    <w:rsid w:val="00392234"/>
    <w:rsid w:val="003922D8"/>
    <w:rsid w:val="00392913"/>
    <w:rsid w:val="00392B73"/>
    <w:rsid w:val="0039303E"/>
    <w:rsid w:val="00393483"/>
    <w:rsid w:val="00393A30"/>
    <w:rsid w:val="00393A99"/>
    <w:rsid w:val="00393C5F"/>
    <w:rsid w:val="00393D78"/>
    <w:rsid w:val="003940C3"/>
    <w:rsid w:val="003946CD"/>
    <w:rsid w:val="00394851"/>
    <w:rsid w:val="00394ACC"/>
    <w:rsid w:val="00395152"/>
    <w:rsid w:val="00395956"/>
    <w:rsid w:val="00396A5B"/>
    <w:rsid w:val="003972CC"/>
    <w:rsid w:val="003972F5"/>
    <w:rsid w:val="0039779B"/>
    <w:rsid w:val="00397906"/>
    <w:rsid w:val="00397D2A"/>
    <w:rsid w:val="00397D79"/>
    <w:rsid w:val="00397EA6"/>
    <w:rsid w:val="003A00CD"/>
    <w:rsid w:val="003A0706"/>
    <w:rsid w:val="003A0A7C"/>
    <w:rsid w:val="003A0DF2"/>
    <w:rsid w:val="003A0ED9"/>
    <w:rsid w:val="003A164C"/>
    <w:rsid w:val="003A1D4C"/>
    <w:rsid w:val="003A27D8"/>
    <w:rsid w:val="003A31A4"/>
    <w:rsid w:val="003A33B6"/>
    <w:rsid w:val="003A3EEF"/>
    <w:rsid w:val="003A42E5"/>
    <w:rsid w:val="003A44BC"/>
    <w:rsid w:val="003A47CA"/>
    <w:rsid w:val="003A4C0F"/>
    <w:rsid w:val="003A5057"/>
    <w:rsid w:val="003A540F"/>
    <w:rsid w:val="003A54F0"/>
    <w:rsid w:val="003A5B66"/>
    <w:rsid w:val="003A5EA1"/>
    <w:rsid w:val="003A6D08"/>
    <w:rsid w:val="003A6F6E"/>
    <w:rsid w:val="003A75F1"/>
    <w:rsid w:val="003A76CE"/>
    <w:rsid w:val="003A7E37"/>
    <w:rsid w:val="003B0034"/>
    <w:rsid w:val="003B0047"/>
    <w:rsid w:val="003B0136"/>
    <w:rsid w:val="003B0284"/>
    <w:rsid w:val="003B039B"/>
    <w:rsid w:val="003B048F"/>
    <w:rsid w:val="003B07D7"/>
    <w:rsid w:val="003B0BCA"/>
    <w:rsid w:val="003B0EE1"/>
    <w:rsid w:val="003B0F70"/>
    <w:rsid w:val="003B16E3"/>
    <w:rsid w:val="003B198D"/>
    <w:rsid w:val="003B1C0D"/>
    <w:rsid w:val="003B1F06"/>
    <w:rsid w:val="003B2050"/>
    <w:rsid w:val="003B22EA"/>
    <w:rsid w:val="003B2795"/>
    <w:rsid w:val="003B2841"/>
    <w:rsid w:val="003B28ED"/>
    <w:rsid w:val="003B2E36"/>
    <w:rsid w:val="003B3576"/>
    <w:rsid w:val="003B3BCB"/>
    <w:rsid w:val="003B4455"/>
    <w:rsid w:val="003B44AE"/>
    <w:rsid w:val="003B49CB"/>
    <w:rsid w:val="003B4A51"/>
    <w:rsid w:val="003B50B6"/>
    <w:rsid w:val="003B553C"/>
    <w:rsid w:val="003B5674"/>
    <w:rsid w:val="003B591E"/>
    <w:rsid w:val="003B5A93"/>
    <w:rsid w:val="003B6481"/>
    <w:rsid w:val="003B6E52"/>
    <w:rsid w:val="003B7045"/>
    <w:rsid w:val="003B759C"/>
    <w:rsid w:val="003B7745"/>
    <w:rsid w:val="003B7E26"/>
    <w:rsid w:val="003C01B8"/>
    <w:rsid w:val="003C0234"/>
    <w:rsid w:val="003C049E"/>
    <w:rsid w:val="003C13CF"/>
    <w:rsid w:val="003C1424"/>
    <w:rsid w:val="003C1568"/>
    <w:rsid w:val="003C1970"/>
    <w:rsid w:val="003C1B6B"/>
    <w:rsid w:val="003C2132"/>
    <w:rsid w:val="003C2182"/>
    <w:rsid w:val="003C23ED"/>
    <w:rsid w:val="003C2778"/>
    <w:rsid w:val="003C2847"/>
    <w:rsid w:val="003C2878"/>
    <w:rsid w:val="003C2E27"/>
    <w:rsid w:val="003C33A8"/>
    <w:rsid w:val="003C33F3"/>
    <w:rsid w:val="003C3D1D"/>
    <w:rsid w:val="003C46CA"/>
    <w:rsid w:val="003C5134"/>
    <w:rsid w:val="003C5173"/>
    <w:rsid w:val="003C56EB"/>
    <w:rsid w:val="003C58C0"/>
    <w:rsid w:val="003C5A27"/>
    <w:rsid w:val="003C5EBC"/>
    <w:rsid w:val="003C5F04"/>
    <w:rsid w:val="003C6054"/>
    <w:rsid w:val="003C636C"/>
    <w:rsid w:val="003C6621"/>
    <w:rsid w:val="003C67F0"/>
    <w:rsid w:val="003C6919"/>
    <w:rsid w:val="003C6990"/>
    <w:rsid w:val="003C6EAD"/>
    <w:rsid w:val="003C730D"/>
    <w:rsid w:val="003C7518"/>
    <w:rsid w:val="003C7645"/>
    <w:rsid w:val="003C7C8C"/>
    <w:rsid w:val="003C7FE3"/>
    <w:rsid w:val="003D029C"/>
    <w:rsid w:val="003D0868"/>
    <w:rsid w:val="003D0D1D"/>
    <w:rsid w:val="003D0E4E"/>
    <w:rsid w:val="003D12A7"/>
    <w:rsid w:val="003D155B"/>
    <w:rsid w:val="003D1885"/>
    <w:rsid w:val="003D1A54"/>
    <w:rsid w:val="003D215C"/>
    <w:rsid w:val="003D2329"/>
    <w:rsid w:val="003D24DE"/>
    <w:rsid w:val="003D24E5"/>
    <w:rsid w:val="003D2577"/>
    <w:rsid w:val="003D2714"/>
    <w:rsid w:val="003D2C94"/>
    <w:rsid w:val="003D3012"/>
    <w:rsid w:val="003D303F"/>
    <w:rsid w:val="003D34BA"/>
    <w:rsid w:val="003D3669"/>
    <w:rsid w:val="003D3BB7"/>
    <w:rsid w:val="003D403D"/>
    <w:rsid w:val="003D46D7"/>
    <w:rsid w:val="003D4824"/>
    <w:rsid w:val="003D48D8"/>
    <w:rsid w:val="003D4C15"/>
    <w:rsid w:val="003D53F9"/>
    <w:rsid w:val="003D544D"/>
    <w:rsid w:val="003D5769"/>
    <w:rsid w:val="003D62B6"/>
    <w:rsid w:val="003D67A9"/>
    <w:rsid w:val="003D69A9"/>
    <w:rsid w:val="003D7003"/>
    <w:rsid w:val="003D71B0"/>
    <w:rsid w:val="003D7569"/>
    <w:rsid w:val="003D76ED"/>
    <w:rsid w:val="003D7717"/>
    <w:rsid w:val="003E0189"/>
    <w:rsid w:val="003E079B"/>
    <w:rsid w:val="003E0BEF"/>
    <w:rsid w:val="003E1C9A"/>
    <w:rsid w:val="003E2295"/>
    <w:rsid w:val="003E2584"/>
    <w:rsid w:val="003E26DD"/>
    <w:rsid w:val="003E2F84"/>
    <w:rsid w:val="003E32B2"/>
    <w:rsid w:val="003E39F6"/>
    <w:rsid w:val="003E3F2D"/>
    <w:rsid w:val="003E41F5"/>
    <w:rsid w:val="003E4374"/>
    <w:rsid w:val="003E4415"/>
    <w:rsid w:val="003E46C3"/>
    <w:rsid w:val="003E4C6F"/>
    <w:rsid w:val="003E5121"/>
    <w:rsid w:val="003E5353"/>
    <w:rsid w:val="003E598E"/>
    <w:rsid w:val="003E5F2D"/>
    <w:rsid w:val="003E6656"/>
    <w:rsid w:val="003E6714"/>
    <w:rsid w:val="003E6DE5"/>
    <w:rsid w:val="003E74D6"/>
    <w:rsid w:val="003E75AC"/>
    <w:rsid w:val="003E76EF"/>
    <w:rsid w:val="003E7727"/>
    <w:rsid w:val="003E7EAC"/>
    <w:rsid w:val="003F029E"/>
    <w:rsid w:val="003F03E7"/>
    <w:rsid w:val="003F0A5B"/>
    <w:rsid w:val="003F0B10"/>
    <w:rsid w:val="003F1474"/>
    <w:rsid w:val="003F17CC"/>
    <w:rsid w:val="003F18E2"/>
    <w:rsid w:val="003F1AC1"/>
    <w:rsid w:val="003F1BDF"/>
    <w:rsid w:val="003F1D80"/>
    <w:rsid w:val="003F202B"/>
    <w:rsid w:val="003F22AD"/>
    <w:rsid w:val="003F2C93"/>
    <w:rsid w:val="003F2F25"/>
    <w:rsid w:val="003F3242"/>
    <w:rsid w:val="003F3305"/>
    <w:rsid w:val="003F3BB5"/>
    <w:rsid w:val="003F420E"/>
    <w:rsid w:val="003F47D6"/>
    <w:rsid w:val="003F4874"/>
    <w:rsid w:val="003F4B5E"/>
    <w:rsid w:val="003F4B9C"/>
    <w:rsid w:val="003F4C6B"/>
    <w:rsid w:val="003F4D10"/>
    <w:rsid w:val="003F4F31"/>
    <w:rsid w:val="003F522A"/>
    <w:rsid w:val="003F56A1"/>
    <w:rsid w:val="003F583A"/>
    <w:rsid w:val="003F58CF"/>
    <w:rsid w:val="003F5E18"/>
    <w:rsid w:val="003F5FB7"/>
    <w:rsid w:val="003F617A"/>
    <w:rsid w:val="003F6475"/>
    <w:rsid w:val="003F683E"/>
    <w:rsid w:val="003F6FC2"/>
    <w:rsid w:val="003F7192"/>
    <w:rsid w:val="003F745B"/>
    <w:rsid w:val="003F7CB3"/>
    <w:rsid w:val="003F7F86"/>
    <w:rsid w:val="003F7FA7"/>
    <w:rsid w:val="0040022F"/>
    <w:rsid w:val="004004D9"/>
    <w:rsid w:val="00400D9D"/>
    <w:rsid w:val="00400F9E"/>
    <w:rsid w:val="00401296"/>
    <w:rsid w:val="004013BA"/>
    <w:rsid w:val="004013E6"/>
    <w:rsid w:val="00401C6E"/>
    <w:rsid w:val="00402264"/>
    <w:rsid w:val="004026BE"/>
    <w:rsid w:val="00402FEC"/>
    <w:rsid w:val="00403302"/>
    <w:rsid w:val="004034CD"/>
    <w:rsid w:val="00403B6D"/>
    <w:rsid w:val="00403C02"/>
    <w:rsid w:val="0040446A"/>
    <w:rsid w:val="004045DC"/>
    <w:rsid w:val="00404B1D"/>
    <w:rsid w:val="00404D57"/>
    <w:rsid w:val="00404D8C"/>
    <w:rsid w:val="0040503B"/>
    <w:rsid w:val="004054BA"/>
    <w:rsid w:val="004054FF"/>
    <w:rsid w:val="0040559D"/>
    <w:rsid w:val="0040560F"/>
    <w:rsid w:val="00406183"/>
    <w:rsid w:val="004064E8"/>
    <w:rsid w:val="00406534"/>
    <w:rsid w:val="0040678B"/>
    <w:rsid w:val="00407381"/>
    <w:rsid w:val="004079B2"/>
    <w:rsid w:val="00407A7D"/>
    <w:rsid w:val="00407D92"/>
    <w:rsid w:val="00407EB0"/>
    <w:rsid w:val="00407FC7"/>
    <w:rsid w:val="004102FB"/>
    <w:rsid w:val="004103E4"/>
    <w:rsid w:val="00410E0C"/>
    <w:rsid w:val="00410F62"/>
    <w:rsid w:val="00411168"/>
    <w:rsid w:val="00412570"/>
    <w:rsid w:val="004125C6"/>
    <w:rsid w:val="0041273A"/>
    <w:rsid w:val="00412EDA"/>
    <w:rsid w:val="004138AE"/>
    <w:rsid w:val="0041464C"/>
    <w:rsid w:val="00414AC4"/>
    <w:rsid w:val="00414C8D"/>
    <w:rsid w:val="00414CF3"/>
    <w:rsid w:val="00414EDF"/>
    <w:rsid w:val="00414FEF"/>
    <w:rsid w:val="00415435"/>
    <w:rsid w:val="00415528"/>
    <w:rsid w:val="0041566C"/>
    <w:rsid w:val="004156E4"/>
    <w:rsid w:val="00415D54"/>
    <w:rsid w:val="0041619F"/>
    <w:rsid w:val="0041640B"/>
    <w:rsid w:val="0041660D"/>
    <w:rsid w:val="00416F1A"/>
    <w:rsid w:val="004174E1"/>
    <w:rsid w:val="004176C4"/>
    <w:rsid w:val="00417934"/>
    <w:rsid w:val="00421D4D"/>
    <w:rsid w:val="00421ED2"/>
    <w:rsid w:val="00421F71"/>
    <w:rsid w:val="0042210D"/>
    <w:rsid w:val="00422AC8"/>
    <w:rsid w:val="004232CD"/>
    <w:rsid w:val="004235C1"/>
    <w:rsid w:val="0042362B"/>
    <w:rsid w:val="00423735"/>
    <w:rsid w:val="00423D00"/>
    <w:rsid w:val="00423D95"/>
    <w:rsid w:val="004240D4"/>
    <w:rsid w:val="00424176"/>
    <w:rsid w:val="004241B9"/>
    <w:rsid w:val="0042429F"/>
    <w:rsid w:val="004252E8"/>
    <w:rsid w:val="0042592C"/>
    <w:rsid w:val="00425BF6"/>
    <w:rsid w:val="00425DAD"/>
    <w:rsid w:val="004264F3"/>
    <w:rsid w:val="0042673B"/>
    <w:rsid w:val="00426A9B"/>
    <w:rsid w:val="00426C82"/>
    <w:rsid w:val="004273AD"/>
    <w:rsid w:val="00427730"/>
    <w:rsid w:val="00427D14"/>
    <w:rsid w:val="00427D1C"/>
    <w:rsid w:val="00427FED"/>
    <w:rsid w:val="00430496"/>
    <w:rsid w:val="0043088B"/>
    <w:rsid w:val="00430F25"/>
    <w:rsid w:val="0043118D"/>
    <w:rsid w:val="0043151C"/>
    <w:rsid w:val="00431611"/>
    <w:rsid w:val="004319D2"/>
    <w:rsid w:val="00431E95"/>
    <w:rsid w:val="00432109"/>
    <w:rsid w:val="0043251D"/>
    <w:rsid w:val="00432A30"/>
    <w:rsid w:val="00432B88"/>
    <w:rsid w:val="00432E3E"/>
    <w:rsid w:val="004333AC"/>
    <w:rsid w:val="00433A7E"/>
    <w:rsid w:val="00433B25"/>
    <w:rsid w:val="00433EA7"/>
    <w:rsid w:val="00434004"/>
    <w:rsid w:val="00434214"/>
    <w:rsid w:val="004344E3"/>
    <w:rsid w:val="00434930"/>
    <w:rsid w:val="00434C4E"/>
    <w:rsid w:val="004350A6"/>
    <w:rsid w:val="00435419"/>
    <w:rsid w:val="004354CC"/>
    <w:rsid w:val="004354DF"/>
    <w:rsid w:val="00435BBA"/>
    <w:rsid w:val="00435FB8"/>
    <w:rsid w:val="0043613F"/>
    <w:rsid w:val="004362C3"/>
    <w:rsid w:val="0043643B"/>
    <w:rsid w:val="00436960"/>
    <w:rsid w:val="00436C55"/>
    <w:rsid w:val="00436D82"/>
    <w:rsid w:val="004375B0"/>
    <w:rsid w:val="004379BC"/>
    <w:rsid w:val="004401FD"/>
    <w:rsid w:val="004404FF"/>
    <w:rsid w:val="004407AC"/>
    <w:rsid w:val="00440E22"/>
    <w:rsid w:val="00441539"/>
    <w:rsid w:val="00441DEF"/>
    <w:rsid w:val="0044218C"/>
    <w:rsid w:val="00442A58"/>
    <w:rsid w:val="00442A85"/>
    <w:rsid w:val="00442AE9"/>
    <w:rsid w:val="00442EF6"/>
    <w:rsid w:val="00443032"/>
    <w:rsid w:val="004430D1"/>
    <w:rsid w:val="004434B4"/>
    <w:rsid w:val="004447DC"/>
    <w:rsid w:val="00444825"/>
    <w:rsid w:val="00444B92"/>
    <w:rsid w:val="00444F21"/>
    <w:rsid w:val="00445289"/>
    <w:rsid w:val="00445A12"/>
    <w:rsid w:val="00445DE7"/>
    <w:rsid w:val="00445E02"/>
    <w:rsid w:val="00446248"/>
    <w:rsid w:val="00446953"/>
    <w:rsid w:val="00446B0F"/>
    <w:rsid w:val="00446CF1"/>
    <w:rsid w:val="00446D19"/>
    <w:rsid w:val="0044714F"/>
    <w:rsid w:val="004471B7"/>
    <w:rsid w:val="0044720D"/>
    <w:rsid w:val="00447872"/>
    <w:rsid w:val="00447F9D"/>
    <w:rsid w:val="00450C38"/>
    <w:rsid w:val="00450C79"/>
    <w:rsid w:val="00450D91"/>
    <w:rsid w:val="00451474"/>
    <w:rsid w:val="0045152F"/>
    <w:rsid w:val="00451548"/>
    <w:rsid w:val="00451A94"/>
    <w:rsid w:val="00452266"/>
    <w:rsid w:val="00452AB5"/>
    <w:rsid w:val="00452BDB"/>
    <w:rsid w:val="00453353"/>
    <w:rsid w:val="00453402"/>
    <w:rsid w:val="004536F9"/>
    <w:rsid w:val="00453892"/>
    <w:rsid w:val="00453B5C"/>
    <w:rsid w:val="00453E7D"/>
    <w:rsid w:val="00454805"/>
    <w:rsid w:val="00454E0F"/>
    <w:rsid w:val="00455962"/>
    <w:rsid w:val="00455ADA"/>
    <w:rsid w:val="004563A3"/>
    <w:rsid w:val="00456912"/>
    <w:rsid w:val="00456F77"/>
    <w:rsid w:val="00456FB7"/>
    <w:rsid w:val="00457069"/>
    <w:rsid w:val="00457304"/>
    <w:rsid w:val="004573E3"/>
    <w:rsid w:val="004574C4"/>
    <w:rsid w:val="004574E9"/>
    <w:rsid w:val="004578E3"/>
    <w:rsid w:val="00457BC9"/>
    <w:rsid w:val="004602B6"/>
    <w:rsid w:val="0046091B"/>
    <w:rsid w:val="004613C2"/>
    <w:rsid w:val="00461538"/>
    <w:rsid w:val="004615B7"/>
    <w:rsid w:val="0046191E"/>
    <w:rsid w:val="00461F72"/>
    <w:rsid w:val="004621F1"/>
    <w:rsid w:val="0046220B"/>
    <w:rsid w:val="004625AE"/>
    <w:rsid w:val="004625C9"/>
    <w:rsid w:val="00463952"/>
    <w:rsid w:val="004639C4"/>
    <w:rsid w:val="004645C7"/>
    <w:rsid w:val="00464916"/>
    <w:rsid w:val="004649FD"/>
    <w:rsid w:val="00464FD0"/>
    <w:rsid w:val="00465040"/>
    <w:rsid w:val="00465948"/>
    <w:rsid w:val="00465AF8"/>
    <w:rsid w:val="00465D7C"/>
    <w:rsid w:val="00466515"/>
    <w:rsid w:val="004665CA"/>
    <w:rsid w:val="00466779"/>
    <w:rsid w:val="00467277"/>
    <w:rsid w:val="004676BC"/>
    <w:rsid w:val="0046783A"/>
    <w:rsid w:val="004705B3"/>
    <w:rsid w:val="00470A88"/>
    <w:rsid w:val="00470FFC"/>
    <w:rsid w:val="00471BF2"/>
    <w:rsid w:val="00471C4E"/>
    <w:rsid w:val="00472017"/>
    <w:rsid w:val="004720CC"/>
    <w:rsid w:val="00472547"/>
    <w:rsid w:val="004726D0"/>
    <w:rsid w:val="00472824"/>
    <w:rsid w:val="00472827"/>
    <w:rsid w:val="00472EEC"/>
    <w:rsid w:val="00473098"/>
    <w:rsid w:val="00473A24"/>
    <w:rsid w:val="00473DC1"/>
    <w:rsid w:val="00473EFF"/>
    <w:rsid w:val="004743C2"/>
    <w:rsid w:val="004749A4"/>
    <w:rsid w:val="00474BA4"/>
    <w:rsid w:val="00474CAB"/>
    <w:rsid w:val="00475031"/>
    <w:rsid w:val="00475188"/>
    <w:rsid w:val="004754AF"/>
    <w:rsid w:val="0047575F"/>
    <w:rsid w:val="004769AA"/>
    <w:rsid w:val="00476B8B"/>
    <w:rsid w:val="004772F1"/>
    <w:rsid w:val="00477957"/>
    <w:rsid w:val="00477A03"/>
    <w:rsid w:val="00477BF6"/>
    <w:rsid w:val="00477DD1"/>
    <w:rsid w:val="00480179"/>
    <w:rsid w:val="00480C49"/>
    <w:rsid w:val="004818FF"/>
    <w:rsid w:val="00481EC8"/>
    <w:rsid w:val="00481F87"/>
    <w:rsid w:val="0048203B"/>
    <w:rsid w:val="00482141"/>
    <w:rsid w:val="00482149"/>
    <w:rsid w:val="004821E5"/>
    <w:rsid w:val="004822F4"/>
    <w:rsid w:val="00482379"/>
    <w:rsid w:val="004825B7"/>
    <w:rsid w:val="00482C82"/>
    <w:rsid w:val="00482E32"/>
    <w:rsid w:val="00482E4B"/>
    <w:rsid w:val="00483272"/>
    <w:rsid w:val="00483A0E"/>
    <w:rsid w:val="00483AFB"/>
    <w:rsid w:val="00483EB4"/>
    <w:rsid w:val="004844BF"/>
    <w:rsid w:val="0048475C"/>
    <w:rsid w:val="00484815"/>
    <w:rsid w:val="00484875"/>
    <w:rsid w:val="00484BD5"/>
    <w:rsid w:val="00484F44"/>
    <w:rsid w:val="004851A9"/>
    <w:rsid w:val="004855A8"/>
    <w:rsid w:val="00486135"/>
    <w:rsid w:val="004865EA"/>
    <w:rsid w:val="004867D3"/>
    <w:rsid w:val="00486CEE"/>
    <w:rsid w:val="00487157"/>
    <w:rsid w:val="00487810"/>
    <w:rsid w:val="00487831"/>
    <w:rsid w:val="004879AF"/>
    <w:rsid w:val="00487FEB"/>
    <w:rsid w:val="004900C9"/>
    <w:rsid w:val="004903F5"/>
    <w:rsid w:val="00490645"/>
    <w:rsid w:val="00490720"/>
    <w:rsid w:val="00490DB4"/>
    <w:rsid w:val="00491C45"/>
    <w:rsid w:val="00491D0A"/>
    <w:rsid w:val="00492D0C"/>
    <w:rsid w:val="00492E8E"/>
    <w:rsid w:val="00492EA2"/>
    <w:rsid w:val="00493795"/>
    <w:rsid w:val="00493CC7"/>
    <w:rsid w:val="00493DE1"/>
    <w:rsid w:val="00493F1C"/>
    <w:rsid w:val="0049414F"/>
    <w:rsid w:val="00495073"/>
    <w:rsid w:val="004953C4"/>
    <w:rsid w:val="00495E49"/>
    <w:rsid w:val="0049603A"/>
    <w:rsid w:val="004960F3"/>
    <w:rsid w:val="00496152"/>
    <w:rsid w:val="0049623E"/>
    <w:rsid w:val="00496436"/>
    <w:rsid w:val="00496701"/>
    <w:rsid w:val="00496DB4"/>
    <w:rsid w:val="0049701A"/>
    <w:rsid w:val="004975D5"/>
    <w:rsid w:val="004975EB"/>
    <w:rsid w:val="00497625"/>
    <w:rsid w:val="00497739"/>
    <w:rsid w:val="00497872"/>
    <w:rsid w:val="00497F79"/>
    <w:rsid w:val="00497FF4"/>
    <w:rsid w:val="004A0180"/>
    <w:rsid w:val="004A0572"/>
    <w:rsid w:val="004A05A2"/>
    <w:rsid w:val="004A08C2"/>
    <w:rsid w:val="004A0ABA"/>
    <w:rsid w:val="004A1C81"/>
    <w:rsid w:val="004A1E03"/>
    <w:rsid w:val="004A20B3"/>
    <w:rsid w:val="004A2D9B"/>
    <w:rsid w:val="004A3CD0"/>
    <w:rsid w:val="004A3D21"/>
    <w:rsid w:val="004A414C"/>
    <w:rsid w:val="004A4559"/>
    <w:rsid w:val="004A4D14"/>
    <w:rsid w:val="004A4D1B"/>
    <w:rsid w:val="004A504F"/>
    <w:rsid w:val="004A5099"/>
    <w:rsid w:val="004A5239"/>
    <w:rsid w:val="004A52EB"/>
    <w:rsid w:val="004A5A0F"/>
    <w:rsid w:val="004A5B05"/>
    <w:rsid w:val="004A5CF9"/>
    <w:rsid w:val="004A616E"/>
    <w:rsid w:val="004A6213"/>
    <w:rsid w:val="004A66F3"/>
    <w:rsid w:val="004A68A6"/>
    <w:rsid w:val="004A73FE"/>
    <w:rsid w:val="004A74D6"/>
    <w:rsid w:val="004A76FC"/>
    <w:rsid w:val="004A77F6"/>
    <w:rsid w:val="004A7A4D"/>
    <w:rsid w:val="004A7D51"/>
    <w:rsid w:val="004B0893"/>
    <w:rsid w:val="004B13E0"/>
    <w:rsid w:val="004B1667"/>
    <w:rsid w:val="004B1814"/>
    <w:rsid w:val="004B21F2"/>
    <w:rsid w:val="004B2DED"/>
    <w:rsid w:val="004B356A"/>
    <w:rsid w:val="004B378D"/>
    <w:rsid w:val="004B399B"/>
    <w:rsid w:val="004B3E22"/>
    <w:rsid w:val="004B4059"/>
    <w:rsid w:val="004B4315"/>
    <w:rsid w:val="004B48C4"/>
    <w:rsid w:val="004B4B1E"/>
    <w:rsid w:val="004B51A7"/>
    <w:rsid w:val="004B51FB"/>
    <w:rsid w:val="004B57A2"/>
    <w:rsid w:val="004B61B1"/>
    <w:rsid w:val="004B6297"/>
    <w:rsid w:val="004B6458"/>
    <w:rsid w:val="004B65B4"/>
    <w:rsid w:val="004B667C"/>
    <w:rsid w:val="004B68DF"/>
    <w:rsid w:val="004B6958"/>
    <w:rsid w:val="004B6A0D"/>
    <w:rsid w:val="004B6B7E"/>
    <w:rsid w:val="004B6D9D"/>
    <w:rsid w:val="004B7370"/>
    <w:rsid w:val="004B749F"/>
    <w:rsid w:val="004B7EA8"/>
    <w:rsid w:val="004C019E"/>
    <w:rsid w:val="004C0728"/>
    <w:rsid w:val="004C0C34"/>
    <w:rsid w:val="004C11EF"/>
    <w:rsid w:val="004C14AA"/>
    <w:rsid w:val="004C1580"/>
    <w:rsid w:val="004C1A3B"/>
    <w:rsid w:val="004C222A"/>
    <w:rsid w:val="004C2434"/>
    <w:rsid w:val="004C2499"/>
    <w:rsid w:val="004C25D9"/>
    <w:rsid w:val="004C2F84"/>
    <w:rsid w:val="004C3167"/>
    <w:rsid w:val="004C3351"/>
    <w:rsid w:val="004C350F"/>
    <w:rsid w:val="004C3591"/>
    <w:rsid w:val="004C3C4E"/>
    <w:rsid w:val="004C3E3D"/>
    <w:rsid w:val="004C4370"/>
    <w:rsid w:val="004C4434"/>
    <w:rsid w:val="004C4B62"/>
    <w:rsid w:val="004C4C60"/>
    <w:rsid w:val="004C4E1E"/>
    <w:rsid w:val="004C4FBF"/>
    <w:rsid w:val="004C54DD"/>
    <w:rsid w:val="004C5E43"/>
    <w:rsid w:val="004C69A7"/>
    <w:rsid w:val="004C709D"/>
    <w:rsid w:val="004C715E"/>
    <w:rsid w:val="004C7784"/>
    <w:rsid w:val="004C7A02"/>
    <w:rsid w:val="004D099F"/>
    <w:rsid w:val="004D15BD"/>
    <w:rsid w:val="004D21A8"/>
    <w:rsid w:val="004D2374"/>
    <w:rsid w:val="004D237C"/>
    <w:rsid w:val="004D281E"/>
    <w:rsid w:val="004D2B32"/>
    <w:rsid w:val="004D2BAE"/>
    <w:rsid w:val="004D2C92"/>
    <w:rsid w:val="004D355B"/>
    <w:rsid w:val="004D3B56"/>
    <w:rsid w:val="004D3F0B"/>
    <w:rsid w:val="004D47CA"/>
    <w:rsid w:val="004D49AD"/>
    <w:rsid w:val="004D4BE1"/>
    <w:rsid w:val="004D5536"/>
    <w:rsid w:val="004D5569"/>
    <w:rsid w:val="004D55B5"/>
    <w:rsid w:val="004D562C"/>
    <w:rsid w:val="004D5D94"/>
    <w:rsid w:val="004D5FD0"/>
    <w:rsid w:val="004D68BE"/>
    <w:rsid w:val="004D69C2"/>
    <w:rsid w:val="004D70A8"/>
    <w:rsid w:val="004D7265"/>
    <w:rsid w:val="004D7895"/>
    <w:rsid w:val="004D7B0A"/>
    <w:rsid w:val="004D7B30"/>
    <w:rsid w:val="004E0A8F"/>
    <w:rsid w:val="004E0C80"/>
    <w:rsid w:val="004E0D23"/>
    <w:rsid w:val="004E0DE5"/>
    <w:rsid w:val="004E0E16"/>
    <w:rsid w:val="004E1144"/>
    <w:rsid w:val="004E125A"/>
    <w:rsid w:val="004E14A6"/>
    <w:rsid w:val="004E14F3"/>
    <w:rsid w:val="004E16AE"/>
    <w:rsid w:val="004E1A5E"/>
    <w:rsid w:val="004E204E"/>
    <w:rsid w:val="004E21D4"/>
    <w:rsid w:val="004E2486"/>
    <w:rsid w:val="004E2A54"/>
    <w:rsid w:val="004E3044"/>
    <w:rsid w:val="004E30FD"/>
    <w:rsid w:val="004E3885"/>
    <w:rsid w:val="004E38B6"/>
    <w:rsid w:val="004E43A8"/>
    <w:rsid w:val="004E4786"/>
    <w:rsid w:val="004E4813"/>
    <w:rsid w:val="004E48C7"/>
    <w:rsid w:val="004E4B9A"/>
    <w:rsid w:val="004E4E87"/>
    <w:rsid w:val="004E5273"/>
    <w:rsid w:val="004E52EB"/>
    <w:rsid w:val="004E5638"/>
    <w:rsid w:val="004E56E7"/>
    <w:rsid w:val="004E681A"/>
    <w:rsid w:val="004F10AC"/>
    <w:rsid w:val="004F1E1C"/>
    <w:rsid w:val="004F258E"/>
    <w:rsid w:val="004F25F1"/>
    <w:rsid w:val="004F2CE3"/>
    <w:rsid w:val="004F3663"/>
    <w:rsid w:val="004F38D7"/>
    <w:rsid w:val="004F3CF1"/>
    <w:rsid w:val="004F444F"/>
    <w:rsid w:val="004F466C"/>
    <w:rsid w:val="004F4BEF"/>
    <w:rsid w:val="004F4BF1"/>
    <w:rsid w:val="004F4E8D"/>
    <w:rsid w:val="004F5487"/>
    <w:rsid w:val="004F5F1A"/>
    <w:rsid w:val="004F61A3"/>
    <w:rsid w:val="004F6BCF"/>
    <w:rsid w:val="004F6D94"/>
    <w:rsid w:val="004F76E1"/>
    <w:rsid w:val="004F78FF"/>
    <w:rsid w:val="004F7D16"/>
    <w:rsid w:val="004F7D9B"/>
    <w:rsid w:val="005004EF"/>
    <w:rsid w:val="00500A35"/>
    <w:rsid w:val="00500B49"/>
    <w:rsid w:val="005015DC"/>
    <w:rsid w:val="00501B48"/>
    <w:rsid w:val="00501BBE"/>
    <w:rsid w:val="00501C27"/>
    <w:rsid w:val="00502145"/>
    <w:rsid w:val="005024A0"/>
    <w:rsid w:val="00502735"/>
    <w:rsid w:val="005028F1"/>
    <w:rsid w:val="00502B42"/>
    <w:rsid w:val="0050321E"/>
    <w:rsid w:val="0050357C"/>
    <w:rsid w:val="0050358B"/>
    <w:rsid w:val="0050384A"/>
    <w:rsid w:val="00503D47"/>
    <w:rsid w:val="005049AA"/>
    <w:rsid w:val="00504B66"/>
    <w:rsid w:val="00504D09"/>
    <w:rsid w:val="00505023"/>
    <w:rsid w:val="00506096"/>
    <w:rsid w:val="005062A6"/>
    <w:rsid w:val="005063B0"/>
    <w:rsid w:val="00506712"/>
    <w:rsid w:val="00506760"/>
    <w:rsid w:val="0050685D"/>
    <w:rsid w:val="00506A7D"/>
    <w:rsid w:val="00506D77"/>
    <w:rsid w:val="00506E6C"/>
    <w:rsid w:val="00506F5E"/>
    <w:rsid w:val="0051022A"/>
    <w:rsid w:val="005103DD"/>
    <w:rsid w:val="00510798"/>
    <w:rsid w:val="005108D3"/>
    <w:rsid w:val="00510B12"/>
    <w:rsid w:val="00510EB5"/>
    <w:rsid w:val="00510FE4"/>
    <w:rsid w:val="00511765"/>
    <w:rsid w:val="005118BF"/>
    <w:rsid w:val="00511EB0"/>
    <w:rsid w:val="00512BC3"/>
    <w:rsid w:val="00512C44"/>
    <w:rsid w:val="00512CFA"/>
    <w:rsid w:val="00513430"/>
    <w:rsid w:val="00513503"/>
    <w:rsid w:val="0051362E"/>
    <w:rsid w:val="00513939"/>
    <w:rsid w:val="00514374"/>
    <w:rsid w:val="00514433"/>
    <w:rsid w:val="00514571"/>
    <w:rsid w:val="00514966"/>
    <w:rsid w:val="00514999"/>
    <w:rsid w:val="00514AD4"/>
    <w:rsid w:val="005153BD"/>
    <w:rsid w:val="0051597B"/>
    <w:rsid w:val="00515A9A"/>
    <w:rsid w:val="00515AD2"/>
    <w:rsid w:val="00515B5C"/>
    <w:rsid w:val="00515BF7"/>
    <w:rsid w:val="00516493"/>
    <w:rsid w:val="00516722"/>
    <w:rsid w:val="00517358"/>
    <w:rsid w:val="0051757A"/>
    <w:rsid w:val="00517598"/>
    <w:rsid w:val="0051770D"/>
    <w:rsid w:val="00517806"/>
    <w:rsid w:val="00517CE2"/>
    <w:rsid w:val="005202D1"/>
    <w:rsid w:val="00520762"/>
    <w:rsid w:val="00521186"/>
    <w:rsid w:val="005211E0"/>
    <w:rsid w:val="00521EC6"/>
    <w:rsid w:val="00522317"/>
    <w:rsid w:val="00522C47"/>
    <w:rsid w:val="0052378D"/>
    <w:rsid w:val="00524193"/>
    <w:rsid w:val="00524792"/>
    <w:rsid w:val="00525136"/>
    <w:rsid w:val="005255E9"/>
    <w:rsid w:val="00525CC0"/>
    <w:rsid w:val="00525EAA"/>
    <w:rsid w:val="005267BC"/>
    <w:rsid w:val="00526FB6"/>
    <w:rsid w:val="00527D2B"/>
    <w:rsid w:val="00527EDF"/>
    <w:rsid w:val="0053011B"/>
    <w:rsid w:val="00530889"/>
    <w:rsid w:val="005309AC"/>
    <w:rsid w:val="00530B25"/>
    <w:rsid w:val="00531845"/>
    <w:rsid w:val="00531901"/>
    <w:rsid w:val="00531A98"/>
    <w:rsid w:val="00531C3E"/>
    <w:rsid w:val="005322E8"/>
    <w:rsid w:val="00532624"/>
    <w:rsid w:val="00532943"/>
    <w:rsid w:val="005331E5"/>
    <w:rsid w:val="00533CBB"/>
    <w:rsid w:val="00533D56"/>
    <w:rsid w:val="00533EC1"/>
    <w:rsid w:val="00534432"/>
    <w:rsid w:val="005347AF"/>
    <w:rsid w:val="005350C0"/>
    <w:rsid w:val="00535174"/>
    <w:rsid w:val="005357A9"/>
    <w:rsid w:val="00535D01"/>
    <w:rsid w:val="00535F84"/>
    <w:rsid w:val="0053611C"/>
    <w:rsid w:val="00536308"/>
    <w:rsid w:val="0053648F"/>
    <w:rsid w:val="00536507"/>
    <w:rsid w:val="00536773"/>
    <w:rsid w:val="0053694B"/>
    <w:rsid w:val="005369E7"/>
    <w:rsid w:val="00536C18"/>
    <w:rsid w:val="00536D5E"/>
    <w:rsid w:val="00537077"/>
    <w:rsid w:val="00537C8F"/>
    <w:rsid w:val="00540AFE"/>
    <w:rsid w:val="005412BE"/>
    <w:rsid w:val="0054134F"/>
    <w:rsid w:val="005419C7"/>
    <w:rsid w:val="005427DE"/>
    <w:rsid w:val="00542C67"/>
    <w:rsid w:val="005431B3"/>
    <w:rsid w:val="0054358C"/>
    <w:rsid w:val="00543762"/>
    <w:rsid w:val="0054388B"/>
    <w:rsid w:val="00543A0A"/>
    <w:rsid w:val="00544107"/>
    <w:rsid w:val="0054445B"/>
    <w:rsid w:val="0054447E"/>
    <w:rsid w:val="005450B1"/>
    <w:rsid w:val="005451AC"/>
    <w:rsid w:val="005457FA"/>
    <w:rsid w:val="005463A1"/>
    <w:rsid w:val="005467C8"/>
    <w:rsid w:val="00546BF4"/>
    <w:rsid w:val="00546D17"/>
    <w:rsid w:val="00546EEC"/>
    <w:rsid w:val="00547231"/>
    <w:rsid w:val="0054741E"/>
    <w:rsid w:val="00547D49"/>
    <w:rsid w:val="005501CB"/>
    <w:rsid w:val="0055028B"/>
    <w:rsid w:val="005504D5"/>
    <w:rsid w:val="005507A1"/>
    <w:rsid w:val="0055095E"/>
    <w:rsid w:val="00550A43"/>
    <w:rsid w:val="00550AB3"/>
    <w:rsid w:val="0055104C"/>
    <w:rsid w:val="005512B9"/>
    <w:rsid w:val="005513CA"/>
    <w:rsid w:val="005517B2"/>
    <w:rsid w:val="005517E1"/>
    <w:rsid w:val="00551E97"/>
    <w:rsid w:val="00551F25"/>
    <w:rsid w:val="00552A95"/>
    <w:rsid w:val="00552D43"/>
    <w:rsid w:val="00553C92"/>
    <w:rsid w:val="00553CA3"/>
    <w:rsid w:val="00553CB1"/>
    <w:rsid w:val="00554725"/>
    <w:rsid w:val="005552F2"/>
    <w:rsid w:val="0055556F"/>
    <w:rsid w:val="00555970"/>
    <w:rsid w:val="00555D9D"/>
    <w:rsid w:val="00556075"/>
    <w:rsid w:val="00556146"/>
    <w:rsid w:val="005567D9"/>
    <w:rsid w:val="00556DD0"/>
    <w:rsid w:val="00557251"/>
    <w:rsid w:val="0055766F"/>
    <w:rsid w:val="00557A81"/>
    <w:rsid w:val="00557DB4"/>
    <w:rsid w:val="00557DC7"/>
    <w:rsid w:val="00560332"/>
    <w:rsid w:val="00560564"/>
    <w:rsid w:val="005608CF"/>
    <w:rsid w:val="00560BF8"/>
    <w:rsid w:val="00561245"/>
    <w:rsid w:val="00561542"/>
    <w:rsid w:val="00561AAE"/>
    <w:rsid w:val="0056207B"/>
    <w:rsid w:val="005623A7"/>
    <w:rsid w:val="005623A9"/>
    <w:rsid w:val="005626FF"/>
    <w:rsid w:val="00562AE3"/>
    <w:rsid w:val="00562CBA"/>
    <w:rsid w:val="00562FF7"/>
    <w:rsid w:val="00563649"/>
    <w:rsid w:val="00563B5D"/>
    <w:rsid w:val="00563DC4"/>
    <w:rsid w:val="0056427D"/>
    <w:rsid w:val="005642EE"/>
    <w:rsid w:val="005647AB"/>
    <w:rsid w:val="00564B66"/>
    <w:rsid w:val="005651FB"/>
    <w:rsid w:val="005656E2"/>
    <w:rsid w:val="00565C6C"/>
    <w:rsid w:val="00565F62"/>
    <w:rsid w:val="00566102"/>
    <w:rsid w:val="005662FA"/>
    <w:rsid w:val="005667A2"/>
    <w:rsid w:val="005668F5"/>
    <w:rsid w:val="005669E8"/>
    <w:rsid w:val="00566F02"/>
    <w:rsid w:val="0056774A"/>
    <w:rsid w:val="00567AE7"/>
    <w:rsid w:val="00567AFB"/>
    <w:rsid w:val="00567F60"/>
    <w:rsid w:val="00570586"/>
    <w:rsid w:val="00570886"/>
    <w:rsid w:val="00570B52"/>
    <w:rsid w:val="00570C17"/>
    <w:rsid w:val="00570C5A"/>
    <w:rsid w:val="00570CF0"/>
    <w:rsid w:val="00570D6A"/>
    <w:rsid w:val="00571023"/>
    <w:rsid w:val="005711AE"/>
    <w:rsid w:val="00571464"/>
    <w:rsid w:val="00571B81"/>
    <w:rsid w:val="00571E7B"/>
    <w:rsid w:val="00572078"/>
    <w:rsid w:val="00572534"/>
    <w:rsid w:val="005726CB"/>
    <w:rsid w:val="00572BED"/>
    <w:rsid w:val="005731BE"/>
    <w:rsid w:val="005738B4"/>
    <w:rsid w:val="00573A8D"/>
    <w:rsid w:val="00573D00"/>
    <w:rsid w:val="00574073"/>
    <w:rsid w:val="0057437E"/>
    <w:rsid w:val="00574597"/>
    <w:rsid w:val="00574720"/>
    <w:rsid w:val="0057482E"/>
    <w:rsid w:val="00574E65"/>
    <w:rsid w:val="00574F12"/>
    <w:rsid w:val="005755DA"/>
    <w:rsid w:val="0057585D"/>
    <w:rsid w:val="00575FF3"/>
    <w:rsid w:val="0057659E"/>
    <w:rsid w:val="00576F87"/>
    <w:rsid w:val="00577113"/>
    <w:rsid w:val="0057745C"/>
    <w:rsid w:val="00577698"/>
    <w:rsid w:val="0057792F"/>
    <w:rsid w:val="00577E09"/>
    <w:rsid w:val="00577FA8"/>
    <w:rsid w:val="005800D9"/>
    <w:rsid w:val="00580E1B"/>
    <w:rsid w:val="00581132"/>
    <w:rsid w:val="005814BA"/>
    <w:rsid w:val="005818DE"/>
    <w:rsid w:val="00581A74"/>
    <w:rsid w:val="00581C2D"/>
    <w:rsid w:val="0058205B"/>
    <w:rsid w:val="005820EF"/>
    <w:rsid w:val="00582302"/>
    <w:rsid w:val="0058284F"/>
    <w:rsid w:val="005835C3"/>
    <w:rsid w:val="005835F7"/>
    <w:rsid w:val="00583FDC"/>
    <w:rsid w:val="0058412E"/>
    <w:rsid w:val="005844D2"/>
    <w:rsid w:val="005845D1"/>
    <w:rsid w:val="0058493E"/>
    <w:rsid w:val="00584A2B"/>
    <w:rsid w:val="00584C6B"/>
    <w:rsid w:val="00584EEC"/>
    <w:rsid w:val="00585069"/>
    <w:rsid w:val="005850F9"/>
    <w:rsid w:val="00585301"/>
    <w:rsid w:val="005857A6"/>
    <w:rsid w:val="00585C5B"/>
    <w:rsid w:val="00585DBE"/>
    <w:rsid w:val="00585E4C"/>
    <w:rsid w:val="005861CC"/>
    <w:rsid w:val="005862FD"/>
    <w:rsid w:val="0058672B"/>
    <w:rsid w:val="00586D86"/>
    <w:rsid w:val="00586F21"/>
    <w:rsid w:val="005871F5"/>
    <w:rsid w:val="005878CA"/>
    <w:rsid w:val="005879EE"/>
    <w:rsid w:val="00590800"/>
    <w:rsid w:val="00590864"/>
    <w:rsid w:val="00590B9C"/>
    <w:rsid w:val="00591021"/>
    <w:rsid w:val="00591141"/>
    <w:rsid w:val="00591148"/>
    <w:rsid w:val="0059121D"/>
    <w:rsid w:val="0059122B"/>
    <w:rsid w:val="00591989"/>
    <w:rsid w:val="00591F79"/>
    <w:rsid w:val="00592278"/>
    <w:rsid w:val="005924B2"/>
    <w:rsid w:val="005926BD"/>
    <w:rsid w:val="005932A8"/>
    <w:rsid w:val="00593740"/>
    <w:rsid w:val="00593B27"/>
    <w:rsid w:val="00594987"/>
    <w:rsid w:val="00594B1B"/>
    <w:rsid w:val="00594EA4"/>
    <w:rsid w:val="00594FEC"/>
    <w:rsid w:val="005955DA"/>
    <w:rsid w:val="00595893"/>
    <w:rsid w:val="00595CB2"/>
    <w:rsid w:val="00595D7D"/>
    <w:rsid w:val="00596096"/>
    <w:rsid w:val="00596DB0"/>
    <w:rsid w:val="00596DE8"/>
    <w:rsid w:val="00596E65"/>
    <w:rsid w:val="00597157"/>
    <w:rsid w:val="00597637"/>
    <w:rsid w:val="005A0059"/>
    <w:rsid w:val="005A0062"/>
    <w:rsid w:val="005A075A"/>
    <w:rsid w:val="005A0F88"/>
    <w:rsid w:val="005A10CE"/>
    <w:rsid w:val="005A1704"/>
    <w:rsid w:val="005A18F5"/>
    <w:rsid w:val="005A1961"/>
    <w:rsid w:val="005A3FBC"/>
    <w:rsid w:val="005A4805"/>
    <w:rsid w:val="005A5137"/>
    <w:rsid w:val="005A52E4"/>
    <w:rsid w:val="005A56B2"/>
    <w:rsid w:val="005A5B09"/>
    <w:rsid w:val="005A5B3F"/>
    <w:rsid w:val="005A612A"/>
    <w:rsid w:val="005A63D8"/>
    <w:rsid w:val="005A65C5"/>
    <w:rsid w:val="005A755E"/>
    <w:rsid w:val="005A76AF"/>
    <w:rsid w:val="005A7C9D"/>
    <w:rsid w:val="005B0787"/>
    <w:rsid w:val="005B0799"/>
    <w:rsid w:val="005B0F9A"/>
    <w:rsid w:val="005B10D1"/>
    <w:rsid w:val="005B193D"/>
    <w:rsid w:val="005B1A4F"/>
    <w:rsid w:val="005B1C0B"/>
    <w:rsid w:val="005B2E48"/>
    <w:rsid w:val="005B2EEE"/>
    <w:rsid w:val="005B336B"/>
    <w:rsid w:val="005B357D"/>
    <w:rsid w:val="005B370F"/>
    <w:rsid w:val="005B38DE"/>
    <w:rsid w:val="005B3B96"/>
    <w:rsid w:val="005B3DEC"/>
    <w:rsid w:val="005B4124"/>
    <w:rsid w:val="005B4485"/>
    <w:rsid w:val="005B450E"/>
    <w:rsid w:val="005B45E0"/>
    <w:rsid w:val="005B4BB1"/>
    <w:rsid w:val="005B4F71"/>
    <w:rsid w:val="005B5115"/>
    <w:rsid w:val="005B51EC"/>
    <w:rsid w:val="005B57EF"/>
    <w:rsid w:val="005B5B9A"/>
    <w:rsid w:val="005B5C83"/>
    <w:rsid w:val="005B5DA5"/>
    <w:rsid w:val="005B61F4"/>
    <w:rsid w:val="005B6E5C"/>
    <w:rsid w:val="005B74EE"/>
    <w:rsid w:val="005B795A"/>
    <w:rsid w:val="005B7E2D"/>
    <w:rsid w:val="005C07D0"/>
    <w:rsid w:val="005C081F"/>
    <w:rsid w:val="005C08B4"/>
    <w:rsid w:val="005C098C"/>
    <w:rsid w:val="005C0FB3"/>
    <w:rsid w:val="005C10D5"/>
    <w:rsid w:val="005C12CD"/>
    <w:rsid w:val="005C1886"/>
    <w:rsid w:val="005C19E9"/>
    <w:rsid w:val="005C1DE1"/>
    <w:rsid w:val="005C2179"/>
    <w:rsid w:val="005C2374"/>
    <w:rsid w:val="005C2820"/>
    <w:rsid w:val="005C2BFA"/>
    <w:rsid w:val="005C3EBA"/>
    <w:rsid w:val="005C4E40"/>
    <w:rsid w:val="005C528E"/>
    <w:rsid w:val="005C529D"/>
    <w:rsid w:val="005C550B"/>
    <w:rsid w:val="005C5A7C"/>
    <w:rsid w:val="005C5AE6"/>
    <w:rsid w:val="005C5D27"/>
    <w:rsid w:val="005C6454"/>
    <w:rsid w:val="005C65B5"/>
    <w:rsid w:val="005C6A18"/>
    <w:rsid w:val="005C6F2D"/>
    <w:rsid w:val="005C7610"/>
    <w:rsid w:val="005C770E"/>
    <w:rsid w:val="005C7AC1"/>
    <w:rsid w:val="005C7C91"/>
    <w:rsid w:val="005C7F00"/>
    <w:rsid w:val="005D0157"/>
    <w:rsid w:val="005D01FA"/>
    <w:rsid w:val="005D20C1"/>
    <w:rsid w:val="005D26F5"/>
    <w:rsid w:val="005D3309"/>
    <w:rsid w:val="005D355F"/>
    <w:rsid w:val="005D3804"/>
    <w:rsid w:val="005D3D91"/>
    <w:rsid w:val="005D451C"/>
    <w:rsid w:val="005D4E0D"/>
    <w:rsid w:val="005D51F5"/>
    <w:rsid w:val="005D67D5"/>
    <w:rsid w:val="005D6B91"/>
    <w:rsid w:val="005D6D8D"/>
    <w:rsid w:val="005D7247"/>
    <w:rsid w:val="005D7368"/>
    <w:rsid w:val="005D7401"/>
    <w:rsid w:val="005E000D"/>
    <w:rsid w:val="005E0591"/>
    <w:rsid w:val="005E099A"/>
    <w:rsid w:val="005E16A8"/>
    <w:rsid w:val="005E1791"/>
    <w:rsid w:val="005E1BE7"/>
    <w:rsid w:val="005E21B5"/>
    <w:rsid w:val="005E2B0A"/>
    <w:rsid w:val="005E2CC0"/>
    <w:rsid w:val="005E3035"/>
    <w:rsid w:val="005E3122"/>
    <w:rsid w:val="005E3A59"/>
    <w:rsid w:val="005E3DC6"/>
    <w:rsid w:val="005E4552"/>
    <w:rsid w:val="005E493E"/>
    <w:rsid w:val="005E5311"/>
    <w:rsid w:val="005E5DC9"/>
    <w:rsid w:val="005E621B"/>
    <w:rsid w:val="005E64A1"/>
    <w:rsid w:val="005E6589"/>
    <w:rsid w:val="005E769F"/>
    <w:rsid w:val="005E770E"/>
    <w:rsid w:val="005E7B13"/>
    <w:rsid w:val="005E7F3F"/>
    <w:rsid w:val="005F037B"/>
    <w:rsid w:val="005F04EE"/>
    <w:rsid w:val="005F17AF"/>
    <w:rsid w:val="005F188E"/>
    <w:rsid w:val="005F1A36"/>
    <w:rsid w:val="005F267C"/>
    <w:rsid w:val="005F29B7"/>
    <w:rsid w:val="005F2B25"/>
    <w:rsid w:val="005F2B50"/>
    <w:rsid w:val="005F328A"/>
    <w:rsid w:val="005F4507"/>
    <w:rsid w:val="005F47F5"/>
    <w:rsid w:val="005F5001"/>
    <w:rsid w:val="005F569C"/>
    <w:rsid w:val="005F574C"/>
    <w:rsid w:val="005F5EE4"/>
    <w:rsid w:val="005F6191"/>
    <w:rsid w:val="005F61D4"/>
    <w:rsid w:val="005F6289"/>
    <w:rsid w:val="005F692A"/>
    <w:rsid w:val="005F7302"/>
    <w:rsid w:val="005F7576"/>
    <w:rsid w:val="005F7630"/>
    <w:rsid w:val="005F7771"/>
    <w:rsid w:val="005F7C57"/>
    <w:rsid w:val="005F7E12"/>
    <w:rsid w:val="006005E7"/>
    <w:rsid w:val="00600987"/>
    <w:rsid w:val="00600A4A"/>
    <w:rsid w:val="00600DC8"/>
    <w:rsid w:val="00601630"/>
    <w:rsid w:val="00602063"/>
    <w:rsid w:val="0060233D"/>
    <w:rsid w:val="006028C8"/>
    <w:rsid w:val="006028DF"/>
    <w:rsid w:val="00602E83"/>
    <w:rsid w:val="006031BB"/>
    <w:rsid w:val="00603687"/>
    <w:rsid w:val="006038CC"/>
    <w:rsid w:val="0060416D"/>
    <w:rsid w:val="00604332"/>
    <w:rsid w:val="006048A1"/>
    <w:rsid w:val="006049A7"/>
    <w:rsid w:val="00604EE1"/>
    <w:rsid w:val="0060513A"/>
    <w:rsid w:val="006056D4"/>
    <w:rsid w:val="00605CBF"/>
    <w:rsid w:val="00605D69"/>
    <w:rsid w:val="00605E6B"/>
    <w:rsid w:val="00606105"/>
    <w:rsid w:val="006066BD"/>
    <w:rsid w:val="006067D5"/>
    <w:rsid w:val="006073B3"/>
    <w:rsid w:val="006074B6"/>
    <w:rsid w:val="006109B2"/>
    <w:rsid w:val="00610A12"/>
    <w:rsid w:val="00610DD6"/>
    <w:rsid w:val="00611286"/>
    <w:rsid w:val="006112E5"/>
    <w:rsid w:val="0061182E"/>
    <w:rsid w:val="0061187F"/>
    <w:rsid w:val="00611AFC"/>
    <w:rsid w:val="00612318"/>
    <w:rsid w:val="006126BC"/>
    <w:rsid w:val="00612A9E"/>
    <w:rsid w:val="00612DAB"/>
    <w:rsid w:val="006130A0"/>
    <w:rsid w:val="006130D9"/>
    <w:rsid w:val="006131D7"/>
    <w:rsid w:val="00613829"/>
    <w:rsid w:val="00613AF9"/>
    <w:rsid w:val="00613F76"/>
    <w:rsid w:val="006142E8"/>
    <w:rsid w:val="00614E4B"/>
    <w:rsid w:val="00614F30"/>
    <w:rsid w:val="0061518F"/>
    <w:rsid w:val="0061557F"/>
    <w:rsid w:val="00615632"/>
    <w:rsid w:val="00615681"/>
    <w:rsid w:val="006158C7"/>
    <w:rsid w:val="00615941"/>
    <w:rsid w:val="00615EBB"/>
    <w:rsid w:val="006162E4"/>
    <w:rsid w:val="00616544"/>
    <w:rsid w:val="0061679E"/>
    <w:rsid w:val="00617427"/>
    <w:rsid w:val="0061756E"/>
    <w:rsid w:val="006175F5"/>
    <w:rsid w:val="006179C8"/>
    <w:rsid w:val="00617DAA"/>
    <w:rsid w:val="00620146"/>
    <w:rsid w:val="00620698"/>
    <w:rsid w:val="00620C1D"/>
    <w:rsid w:val="00620E7C"/>
    <w:rsid w:val="00621580"/>
    <w:rsid w:val="006217CA"/>
    <w:rsid w:val="00621E47"/>
    <w:rsid w:val="00622275"/>
    <w:rsid w:val="006226A5"/>
    <w:rsid w:val="0062372B"/>
    <w:rsid w:val="006237CA"/>
    <w:rsid w:val="006239DE"/>
    <w:rsid w:val="00623FE1"/>
    <w:rsid w:val="0062427A"/>
    <w:rsid w:val="0062484B"/>
    <w:rsid w:val="00624F00"/>
    <w:rsid w:val="00625268"/>
    <w:rsid w:val="00625662"/>
    <w:rsid w:val="00625850"/>
    <w:rsid w:val="00625D0E"/>
    <w:rsid w:val="00626038"/>
    <w:rsid w:val="0062626C"/>
    <w:rsid w:val="006264BC"/>
    <w:rsid w:val="00626543"/>
    <w:rsid w:val="00626821"/>
    <w:rsid w:val="00626A8D"/>
    <w:rsid w:val="00626B40"/>
    <w:rsid w:val="00626E3F"/>
    <w:rsid w:val="006270B9"/>
    <w:rsid w:val="006272D1"/>
    <w:rsid w:val="00630040"/>
    <w:rsid w:val="0063058F"/>
    <w:rsid w:val="006305FD"/>
    <w:rsid w:val="00630B10"/>
    <w:rsid w:val="00630BE0"/>
    <w:rsid w:val="0063121A"/>
    <w:rsid w:val="0063124E"/>
    <w:rsid w:val="0063131E"/>
    <w:rsid w:val="00631CE1"/>
    <w:rsid w:val="00631E1B"/>
    <w:rsid w:val="0063208D"/>
    <w:rsid w:val="00632379"/>
    <w:rsid w:val="006341AB"/>
    <w:rsid w:val="00634ED4"/>
    <w:rsid w:val="0063539A"/>
    <w:rsid w:val="0063542C"/>
    <w:rsid w:val="006355C5"/>
    <w:rsid w:val="006356FC"/>
    <w:rsid w:val="0063616B"/>
    <w:rsid w:val="00636CF6"/>
    <w:rsid w:val="00636D31"/>
    <w:rsid w:val="0064023F"/>
    <w:rsid w:val="00640663"/>
    <w:rsid w:val="00641E0F"/>
    <w:rsid w:val="00642435"/>
    <w:rsid w:val="00642B13"/>
    <w:rsid w:val="00642E14"/>
    <w:rsid w:val="00643458"/>
    <w:rsid w:val="00643E03"/>
    <w:rsid w:val="00643FB4"/>
    <w:rsid w:val="00644112"/>
    <w:rsid w:val="0064415A"/>
    <w:rsid w:val="0064492F"/>
    <w:rsid w:val="00645172"/>
    <w:rsid w:val="00645F77"/>
    <w:rsid w:val="00646008"/>
    <w:rsid w:val="0064610A"/>
    <w:rsid w:val="0065078F"/>
    <w:rsid w:val="006507AC"/>
    <w:rsid w:val="0065091C"/>
    <w:rsid w:val="00650A22"/>
    <w:rsid w:val="0065102D"/>
    <w:rsid w:val="006511D6"/>
    <w:rsid w:val="00651476"/>
    <w:rsid w:val="00651501"/>
    <w:rsid w:val="006515E0"/>
    <w:rsid w:val="00651677"/>
    <w:rsid w:val="00652018"/>
    <w:rsid w:val="006521F5"/>
    <w:rsid w:val="00653119"/>
    <w:rsid w:val="00653279"/>
    <w:rsid w:val="0065357F"/>
    <w:rsid w:val="006536B5"/>
    <w:rsid w:val="00653CA4"/>
    <w:rsid w:val="00654AFB"/>
    <w:rsid w:val="00654D51"/>
    <w:rsid w:val="00654F11"/>
    <w:rsid w:val="00655A83"/>
    <w:rsid w:val="00656115"/>
    <w:rsid w:val="0065611B"/>
    <w:rsid w:val="0065682D"/>
    <w:rsid w:val="00656DF5"/>
    <w:rsid w:val="00656F7E"/>
    <w:rsid w:val="006601AD"/>
    <w:rsid w:val="006601E1"/>
    <w:rsid w:val="00660645"/>
    <w:rsid w:val="006612FA"/>
    <w:rsid w:val="00661438"/>
    <w:rsid w:val="00661469"/>
    <w:rsid w:val="00662B51"/>
    <w:rsid w:val="00662CBC"/>
    <w:rsid w:val="00662D90"/>
    <w:rsid w:val="00662E6C"/>
    <w:rsid w:val="006630F4"/>
    <w:rsid w:val="00663429"/>
    <w:rsid w:val="006634AA"/>
    <w:rsid w:val="00663AF2"/>
    <w:rsid w:val="00663C21"/>
    <w:rsid w:val="00664132"/>
    <w:rsid w:val="0066504E"/>
    <w:rsid w:val="00665991"/>
    <w:rsid w:val="006659C6"/>
    <w:rsid w:val="00665D6F"/>
    <w:rsid w:val="00665D74"/>
    <w:rsid w:val="006661B0"/>
    <w:rsid w:val="006663D0"/>
    <w:rsid w:val="00666BD2"/>
    <w:rsid w:val="00666E7A"/>
    <w:rsid w:val="00667719"/>
    <w:rsid w:val="00667747"/>
    <w:rsid w:val="00667B69"/>
    <w:rsid w:val="00667F48"/>
    <w:rsid w:val="0067067E"/>
    <w:rsid w:val="006709BF"/>
    <w:rsid w:val="00670A01"/>
    <w:rsid w:val="00670AFB"/>
    <w:rsid w:val="00670B78"/>
    <w:rsid w:val="0067103B"/>
    <w:rsid w:val="006715F6"/>
    <w:rsid w:val="0067195E"/>
    <w:rsid w:val="00671C62"/>
    <w:rsid w:val="00672354"/>
    <w:rsid w:val="006729A0"/>
    <w:rsid w:val="00673D5A"/>
    <w:rsid w:val="00674753"/>
    <w:rsid w:val="00675125"/>
    <w:rsid w:val="0067581A"/>
    <w:rsid w:val="006758F2"/>
    <w:rsid w:val="00675AAC"/>
    <w:rsid w:val="006764EA"/>
    <w:rsid w:val="00676B7D"/>
    <w:rsid w:val="00677172"/>
    <w:rsid w:val="00680E04"/>
    <w:rsid w:val="0068117B"/>
    <w:rsid w:val="00681865"/>
    <w:rsid w:val="0068196E"/>
    <w:rsid w:val="00681E22"/>
    <w:rsid w:val="0068210A"/>
    <w:rsid w:val="00682577"/>
    <w:rsid w:val="00682745"/>
    <w:rsid w:val="00682E07"/>
    <w:rsid w:val="0068325B"/>
    <w:rsid w:val="00683344"/>
    <w:rsid w:val="00683CC7"/>
    <w:rsid w:val="006840DD"/>
    <w:rsid w:val="006845D1"/>
    <w:rsid w:val="00684B5A"/>
    <w:rsid w:val="00684D87"/>
    <w:rsid w:val="0068525B"/>
    <w:rsid w:val="00685575"/>
    <w:rsid w:val="00685742"/>
    <w:rsid w:val="0068593A"/>
    <w:rsid w:val="00685A1C"/>
    <w:rsid w:val="00685F97"/>
    <w:rsid w:val="006861D2"/>
    <w:rsid w:val="00686687"/>
    <w:rsid w:val="00686E03"/>
    <w:rsid w:val="00687321"/>
    <w:rsid w:val="00687FBE"/>
    <w:rsid w:val="006900B2"/>
    <w:rsid w:val="006902DC"/>
    <w:rsid w:val="006903B8"/>
    <w:rsid w:val="0069068B"/>
    <w:rsid w:val="00690702"/>
    <w:rsid w:val="00690721"/>
    <w:rsid w:val="00690A94"/>
    <w:rsid w:val="00691443"/>
    <w:rsid w:val="00691837"/>
    <w:rsid w:val="00691914"/>
    <w:rsid w:val="00691AD6"/>
    <w:rsid w:val="006920AF"/>
    <w:rsid w:val="006927B0"/>
    <w:rsid w:val="00692833"/>
    <w:rsid w:val="006929CB"/>
    <w:rsid w:val="00692C19"/>
    <w:rsid w:val="00693289"/>
    <w:rsid w:val="006933F0"/>
    <w:rsid w:val="00693869"/>
    <w:rsid w:val="00693929"/>
    <w:rsid w:val="00693CA2"/>
    <w:rsid w:val="006942CB"/>
    <w:rsid w:val="006944A1"/>
    <w:rsid w:val="006944B1"/>
    <w:rsid w:val="006944C5"/>
    <w:rsid w:val="00694810"/>
    <w:rsid w:val="00694986"/>
    <w:rsid w:val="00694AF6"/>
    <w:rsid w:val="00694D3E"/>
    <w:rsid w:val="00694E1D"/>
    <w:rsid w:val="00695074"/>
    <w:rsid w:val="006956E9"/>
    <w:rsid w:val="00695709"/>
    <w:rsid w:val="0069599E"/>
    <w:rsid w:val="00695E25"/>
    <w:rsid w:val="00695ECF"/>
    <w:rsid w:val="00696C8B"/>
    <w:rsid w:val="00697137"/>
    <w:rsid w:val="0069723C"/>
    <w:rsid w:val="00697358"/>
    <w:rsid w:val="006977EC"/>
    <w:rsid w:val="006978B6"/>
    <w:rsid w:val="006979F7"/>
    <w:rsid w:val="00697AFB"/>
    <w:rsid w:val="006A013E"/>
    <w:rsid w:val="006A0155"/>
    <w:rsid w:val="006A02D2"/>
    <w:rsid w:val="006A086D"/>
    <w:rsid w:val="006A0D57"/>
    <w:rsid w:val="006A0E19"/>
    <w:rsid w:val="006A0EA1"/>
    <w:rsid w:val="006A1CBF"/>
    <w:rsid w:val="006A1CE7"/>
    <w:rsid w:val="006A250C"/>
    <w:rsid w:val="006A273E"/>
    <w:rsid w:val="006A2AB2"/>
    <w:rsid w:val="006A2C50"/>
    <w:rsid w:val="006A2EA2"/>
    <w:rsid w:val="006A325C"/>
    <w:rsid w:val="006A381B"/>
    <w:rsid w:val="006A4067"/>
    <w:rsid w:val="006A40F2"/>
    <w:rsid w:val="006A4267"/>
    <w:rsid w:val="006A44EC"/>
    <w:rsid w:val="006A4549"/>
    <w:rsid w:val="006A494D"/>
    <w:rsid w:val="006A4CFD"/>
    <w:rsid w:val="006A5C13"/>
    <w:rsid w:val="006A5D0E"/>
    <w:rsid w:val="006A5DCD"/>
    <w:rsid w:val="006A6190"/>
    <w:rsid w:val="006A6220"/>
    <w:rsid w:val="006A68A8"/>
    <w:rsid w:val="006A6A44"/>
    <w:rsid w:val="006A6D84"/>
    <w:rsid w:val="006A6E85"/>
    <w:rsid w:val="006A6F2F"/>
    <w:rsid w:val="006A77ED"/>
    <w:rsid w:val="006A7C7C"/>
    <w:rsid w:val="006B05C3"/>
    <w:rsid w:val="006B066F"/>
    <w:rsid w:val="006B0785"/>
    <w:rsid w:val="006B098F"/>
    <w:rsid w:val="006B0FE4"/>
    <w:rsid w:val="006B0FFF"/>
    <w:rsid w:val="006B106E"/>
    <w:rsid w:val="006B1274"/>
    <w:rsid w:val="006B19EB"/>
    <w:rsid w:val="006B1E11"/>
    <w:rsid w:val="006B1E1D"/>
    <w:rsid w:val="006B2702"/>
    <w:rsid w:val="006B2C6B"/>
    <w:rsid w:val="006B30F4"/>
    <w:rsid w:val="006B3124"/>
    <w:rsid w:val="006B3595"/>
    <w:rsid w:val="006B4047"/>
    <w:rsid w:val="006B4260"/>
    <w:rsid w:val="006B42F0"/>
    <w:rsid w:val="006B4529"/>
    <w:rsid w:val="006B4B72"/>
    <w:rsid w:val="006B5BAA"/>
    <w:rsid w:val="006B5DC5"/>
    <w:rsid w:val="006B6564"/>
    <w:rsid w:val="006B65DC"/>
    <w:rsid w:val="006B69F4"/>
    <w:rsid w:val="006B6FAD"/>
    <w:rsid w:val="006B7234"/>
    <w:rsid w:val="006C07E9"/>
    <w:rsid w:val="006C092C"/>
    <w:rsid w:val="006C0930"/>
    <w:rsid w:val="006C0B6B"/>
    <w:rsid w:val="006C0B94"/>
    <w:rsid w:val="006C12D4"/>
    <w:rsid w:val="006C1BD1"/>
    <w:rsid w:val="006C20D8"/>
    <w:rsid w:val="006C2303"/>
    <w:rsid w:val="006C234F"/>
    <w:rsid w:val="006C237D"/>
    <w:rsid w:val="006C28DB"/>
    <w:rsid w:val="006C3059"/>
    <w:rsid w:val="006C3196"/>
    <w:rsid w:val="006C3B92"/>
    <w:rsid w:val="006C3F83"/>
    <w:rsid w:val="006C432A"/>
    <w:rsid w:val="006C543E"/>
    <w:rsid w:val="006C55D0"/>
    <w:rsid w:val="006C59A7"/>
    <w:rsid w:val="006C5FF5"/>
    <w:rsid w:val="006C627D"/>
    <w:rsid w:val="006C63A9"/>
    <w:rsid w:val="006C6427"/>
    <w:rsid w:val="006C6D91"/>
    <w:rsid w:val="006C6ECB"/>
    <w:rsid w:val="006C6FA6"/>
    <w:rsid w:val="006C72EE"/>
    <w:rsid w:val="006C7699"/>
    <w:rsid w:val="006D01DE"/>
    <w:rsid w:val="006D07A4"/>
    <w:rsid w:val="006D085D"/>
    <w:rsid w:val="006D0D3E"/>
    <w:rsid w:val="006D10EE"/>
    <w:rsid w:val="006D211C"/>
    <w:rsid w:val="006D2214"/>
    <w:rsid w:val="006D2561"/>
    <w:rsid w:val="006D257E"/>
    <w:rsid w:val="006D2AAE"/>
    <w:rsid w:val="006D3704"/>
    <w:rsid w:val="006D3AAC"/>
    <w:rsid w:val="006D3F68"/>
    <w:rsid w:val="006D4088"/>
    <w:rsid w:val="006D40ED"/>
    <w:rsid w:val="006D40F6"/>
    <w:rsid w:val="006D45E2"/>
    <w:rsid w:val="006D4B38"/>
    <w:rsid w:val="006D4BD5"/>
    <w:rsid w:val="006D5005"/>
    <w:rsid w:val="006D5571"/>
    <w:rsid w:val="006D5B4E"/>
    <w:rsid w:val="006D5D53"/>
    <w:rsid w:val="006D611C"/>
    <w:rsid w:val="006D6F41"/>
    <w:rsid w:val="006D74C4"/>
    <w:rsid w:val="006D75BA"/>
    <w:rsid w:val="006D7693"/>
    <w:rsid w:val="006D7CC6"/>
    <w:rsid w:val="006D7F8A"/>
    <w:rsid w:val="006E0567"/>
    <w:rsid w:val="006E0DC9"/>
    <w:rsid w:val="006E1383"/>
    <w:rsid w:val="006E270A"/>
    <w:rsid w:val="006E2BEC"/>
    <w:rsid w:val="006E2FD5"/>
    <w:rsid w:val="006E335D"/>
    <w:rsid w:val="006E3473"/>
    <w:rsid w:val="006E3AD7"/>
    <w:rsid w:val="006E46C4"/>
    <w:rsid w:val="006E4AD1"/>
    <w:rsid w:val="006E4D83"/>
    <w:rsid w:val="006E4FC5"/>
    <w:rsid w:val="006E4FDB"/>
    <w:rsid w:val="006E528B"/>
    <w:rsid w:val="006E5B98"/>
    <w:rsid w:val="006E5EFB"/>
    <w:rsid w:val="006E6462"/>
    <w:rsid w:val="006E65AC"/>
    <w:rsid w:val="006E6616"/>
    <w:rsid w:val="006E74DD"/>
    <w:rsid w:val="006E762C"/>
    <w:rsid w:val="006E77DA"/>
    <w:rsid w:val="006E7A87"/>
    <w:rsid w:val="006E7FB3"/>
    <w:rsid w:val="006F0084"/>
    <w:rsid w:val="006F0798"/>
    <w:rsid w:val="006F07C5"/>
    <w:rsid w:val="006F0EEF"/>
    <w:rsid w:val="006F1260"/>
    <w:rsid w:val="006F1695"/>
    <w:rsid w:val="006F16C8"/>
    <w:rsid w:val="006F1C7A"/>
    <w:rsid w:val="006F1C89"/>
    <w:rsid w:val="006F1D25"/>
    <w:rsid w:val="006F2C6E"/>
    <w:rsid w:val="006F327F"/>
    <w:rsid w:val="006F38B3"/>
    <w:rsid w:val="006F3AC9"/>
    <w:rsid w:val="006F3D29"/>
    <w:rsid w:val="006F4258"/>
    <w:rsid w:val="006F4A00"/>
    <w:rsid w:val="006F5113"/>
    <w:rsid w:val="006F5189"/>
    <w:rsid w:val="006F55BB"/>
    <w:rsid w:val="006F5E95"/>
    <w:rsid w:val="006F606C"/>
    <w:rsid w:val="006F666E"/>
    <w:rsid w:val="006F69B6"/>
    <w:rsid w:val="006F716F"/>
    <w:rsid w:val="006F7898"/>
    <w:rsid w:val="006F79A7"/>
    <w:rsid w:val="00700294"/>
    <w:rsid w:val="00701272"/>
    <w:rsid w:val="00701F69"/>
    <w:rsid w:val="0070201A"/>
    <w:rsid w:val="0070204B"/>
    <w:rsid w:val="00702185"/>
    <w:rsid w:val="00702869"/>
    <w:rsid w:val="00702883"/>
    <w:rsid w:val="00703239"/>
    <w:rsid w:val="007034A3"/>
    <w:rsid w:val="00703D04"/>
    <w:rsid w:val="007049C6"/>
    <w:rsid w:val="0070504F"/>
    <w:rsid w:val="007054B7"/>
    <w:rsid w:val="00705BF6"/>
    <w:rsid w:val="00705F43"/>
    <w:rsid w:val="00705FD1"/>
    <w:rsid w:val="00706DFD"/>
    <w:rsid w:val="00707736"/>
    <w:rsid w:val="0071023E"/>
    <w:rsid w:val="00710A44"/>
    <w:rsid w:val="00710D2E"/>
    <w:rsid w:val="00710F0A"/>
    <w:rsid w:val="007114D0"/>
    <w:rsid w:val="00711537"/>
    <w:rsid w:val="007124B7"/>
    <w:rsid w:val="00712C77"/>
    <w:rsid w:val="00713026"/>
    <w:rsid w:val="00713315"/>
    <w:rsid w:val="0071334B"/>
    <w:rsid w:val="007133F2"/>
    <w:rsid w:val="00713CC0"/>
    <w:rsid w:val="007145DE"/>
    <w:rsid w:val="007147A6"/>
    <w:rsid w:val="00714A47"/>
    <w:rsid w:val="0071513C"/>
    <w:rsid w:val="007151F1"/>
    <w:rsid w:val="00715499"/>
    <w:rsid w:val="007157B5"/>
    <w:rsid w:val="007157F0"/>
    <w:rsid w:val="00715C7D"/>
    <w:rsid w:val="00715E81"/>
    <w:rsid w:val="007160DE"/>
    <w:rsid w:val="007166B7"/>
    <w:rsid w:val="007169AB"/>
    <w:rsid w:val="00717455"/>
    <w:rsid w:val="00717D67"/>
    <w:rsid w:val="00717F80"/>
    <w:rsid w:val="0072042C"/>
    <w:rsid w:val="00720645"/>
    <w:rsid w:val="00720CEF"/>
    <w:rsid w:val="00720E77"/>
    <w:rsid w:val="00721E8F"/>
    <w:rsid w:val="00721E93"/>
    <w:rsid w:val="00721F95"/>
    <w:rsid w:val="00721FB2"/>
    <w:rsid w:val="00722171"/>
    <w:rsid w:val="0072236C"/>
    <w:rsid w:val="00722C78"/>
    <w:rsid w:val="00722DB2"/>
    <w:rsid w:val="00723076"/>
    <w:rsid w:val="00723A4C"/>
    <w:rsid w:val="00723BB1"/>
    <w:rsid w:val="00723C97"/>
    <w:rsid w:val="00723F1A"/>
    <w:rsid w:val="0072461D"/>
    <w:rsid w:val="00724863"/>
    <w:rsid w:val="007253B8"/>
    <w:rsid w:val="007259FA"/>
    <w:rsid w:val="00725A06"/>
    <w:rsid w:val="00725ACA"/>
    <w:rsid w:val="00726014"/>
    <w:rsid w:val="00726194"/>
    <w:rsid w:val="007261A5"/>
    <w:rsid w:val="0072653F"/>
    <w:rsid w:val="007268C5"/>
    <w:rsid w:val="007268E8"/>
    <w:rsid w:val="00726956"/>
    <w:rsid w:val="00726AC8"/>
    <w:rsid w:val="00726ACD"/>
    <w:rsid w:val="00726D45"/>
    <w:rsid w:val="00726E5F"/>
    <w:rsid w:val="00727E69"/>
    <w:rsid w:val="007314B2"/>
    <w:rsid w:val="00731A8E"/>
    <w:rsid w:val="00731B0C"/>
    <w:rsid w:val="0073217F"/>
    <w:rsid w:val="0073280F"/>
    <w:rsid w:val="007335D1"/>
    <w:rsid w:val="0073370D"/>
    <w:rsid w:val="007337B1"/>
    <w:rsid w:val="007337EA"/>
    <w:rsid w:val="00733EC8"/>
    <w:rsid w:val="00733FD4"/>
    <w:rsid w:val="00734164"/>
    <w:rsid w:val="007344CC"/>
    <w:rsid w:val="0073459C"/>
    <w:rsid w:val="007350A7"/>
    <w:rsid w:val="00735FD1"/>
    <w:rsid w:val="007363D6"/>
    <w:rsid w:val="0073659B"/>
    <w:rsid w:val="007366F5"/>
    <w:rsid w:val="00736882"/>
    <w:rsid w:val="007376CF"/>
    <w:rsid w:val="00737939"/>
    <w:rsid w:val="00740026"/>
    <w:rsid w:val="0074019B"/>
    <w:rsid w:val="00740657"/>
    <w:rsid w:val="00740AC0"/>
    <w:rsid w:val="00740BF3"/>
    <w:rsid w:val="00741386"/>
    <w:rsid w:val="00741B25"/>
    <w:rsid w:val="007423D7"/>
    <w:rsid w:val="00742829"/>
    <w:rsid w:val="007429D6"/>
    <w:rsid w:val="00742F8A"/>
    <w:rsid w:val="00742FEE"/>
    <w:rsid w:val="0074321B"/>
    <w:rsid w:val="0074411D"/>
    <w:rsid w:val="0074428D"/>
    <w:rsid w:val="00744475"/>
    <w:rsid w:val="007446F9"/>
    <w:rsid w:val="007447A8"/>
    <w:rsid w:val="007448B9"/>
    <w:rsid w:val="00744A1A"/>
    <w:rsid w:val="00744B29"/>
    <w:rsid w:val="00744F4C"/>
    <w:rsid w:val="007451CA"/>
    <w:rsid w:val="0074537B"/>
    <w:rsid w:val="00745435"/>
    <w:rsid w:val="00745630"/>
    <w:rsid w:val="0074599E"/>
    <w:rsid w:val="00745FA3"/>
    <w:rsid w:val="007460BC"/>
    <w:rsid w:val="007461BA"/>
    <w:rsid w:val="007465E1"/>
    <w:rsid w:val="0074667C"/>
    <w:rsid w:val="00746F56"/>
    <w:rsid w:val="00747554"/>
    <w:rsid w:val="007479CB"/>
    <w:rsid w:val="00750605"/>
    <w:rsid w:val="00750796"/>
    <w:rsid w:val="00750EBE"/>
    <w:rsid w:val="007517EC"/>
    <w:rsid w:val="0075217D"/>
    <w:rsid w:val="00752A11"/>
    <w:rsid w:val="00752AB3"/>
    <w:rsid w:val="00752C6A"/>
    <w:rsid w:val="00752D2B"/>
    <w:rsid w:val="00752E04"/>
    <w:rsid w:val="007531DB"/>
    <w:rsid w:val="0075365E"/>
    <w:rsid w:val="007539C1"/>
    <w:rsid w:val="007545F1"/>
    <w:rsid w:val="007547DA"/>
    <w:rsid w:val="00755088"/>
    <w:rsid w:val="007550D9"/>
    <w:rsid w:val="00755EDA"/>
    <w:rsid w:val="00755EFE"/>
    <w:rsid w:val="0075605C"/>
    <w:rsid w:val="0075622F"/>
    <w:rsid w:val="007562A1"/>
    <w:rsid w:val="0075634A"/>
    <w:rsid w:val="00756564"/>
    <w:rsid w:val="00756BC1"/>
    <w:rsid w:val="00756E45"/>
    <w:rsid w:val="00757206"/>
    <w:rsid w:val="00757574"/>
    <w:rsid w:val="007579AD"/>
    <w:rsid w:val="007579DE"/>
    <w:rsid w:val="00757ED9"/>
    <w:rsid w:val="0076097B"/>
    <w:rsid w:val="00760A4D"/>
    <w:rsid w:val="00760AF0"/>
    <w:rsid w:val="00761748"/>
    <w:rsid w:val="007629E1"/>
    <w:rsid w:val="00763236"/>
    <w:rsid w:val="0076330B"/>
    <w:rsid w:val="00763341"/>
    <w:rsid w:val="007642C5"/>
    <w:rsid w:val="00764594"/>
    <w:rsid w:val="00764719"/>
    <w:rsid w:val="00764930"/>
    <w:rsid w:val="00764DF4"/>
    <w:rsid w:val="00764E8B"/>
    <w:rsid w:val="00764FC1"/>
    <w:rsid w:val="00765FAD"/>
    <w:rsid w:val="00766319"/>
    <w:rsid w:val="007663D1"/>
    <w:rsid w:val="00766873"/>
    <w:rsid w:val="00766910"/>
    <w:rsid w:val="007672A9"/>
    <w:rsid w:val="007673A3"/>
    <w:rsid w:val="007676B7"/>
    <w:rsid w:val="00767762"/>
    <w:rsid w:val="00767C49"/>
    <w:rsid w:val="00770DF9"/>
    <w:rsid w:val="00770E21"/>
    <w:rsid w:val="00771594"/>
    <w:rsid w:val="00771727"/>
    <w:rsid w:val="007717B3"/>
    <w:rsid w:val="007726AF"/>
    <w:rsid w:val="00773323"/>
    <w:rsid w:val="007735A6"/>
    <w:rsid w:val="00773895"/>
    <w:rsid w:val="00773D89"/>
    <w:rsid w:val="00773E4B"/>
    <w:rsid w:val="00774331"/>
    <w:rsid w:val="00774553"/>
    <w:rsid w:val="00774977"/>
    <w:rsid w:val="00774EE4"/>
    <w:rsid w:val="00775193"/>
    <w:rsid w:val="00775850"/>
    <w:rsid w:val="00775B18"/>
    <w:rsid w:val="00775E64"/>
    <w:rsid w:val="0077677B"/>
    <w:rsid w:val="00776A0C"/>
    <w:rsid w:val="00777292"/>
    <w:rsid w:val="0077766D"/>
    <w:rsid w:val="007779DE"/>
    <w:rsid w:val="00777AF3"/>
    <w:rsid w:val="00777CFC"/>
    <w:rsid w:val="007802EB"/>
    <w:rsid w:val="00780561"/>
    <w:rsid w:val="00780B7B"/>
    <w:rsid w:val="00781094"/>
    <w:rsid w:val="007810EF"/>
    <w:rsid w:val="007810F7"/>
    <w:rsid w:val="0078137B"/>
    <w:rsid w:val="00781814"/>
    <w:rsid w:val="00782473"/>
    <w:rsid w:val="0078274F"/>
    <w:rsid w:val="00782D78"/>
    <w:rsid w:val="00783999"/>
    <w:rsid w:val="00783F58"/>
    <w:rsid w:val="00784500"/>
    <w:rsid w:val="00784643"/>
    <w:rsid w:val="00784849"/>
    <w:rsid w:val="00784AB9"/>
    <w:rsid w:val="00784CB3"/>
    <w:rsid w:val="00784DC6"/>
    <w:rsid w:val="00785020"/>
    <w:rsid w:val="00785281"/>
    <w:rsid w:val="007855BF"/>
    <w:rsid w:val="007855EB"/>
    <w:rsid w:val="007857F7"/>
    <w:rsid w:val="00785C84"/>
    <w:rsid w:val="007862E5"/>
    <w:rsid w:val="0078703A"/>
    <w:rsid w:val="007873C5"/>
    <w:rsid w:val="007875AE"/>
    <w:rsid w:val="00787602"/>
    <w:rsid w:val="00787B65"/>
    <w:rsid w:val="007906E5"/>
    <w:rsid w:val="0079151C"/>
    <w:rsid w:val="00791A01"/>
    <w:rsid w:val="0079200E"/>
    <w:rsid w:val="00792036"/>
    <w:rsid w:val="00793209"/>
    <w:rsid w:val="0079364A"/>
    <w:rsid w:val="007947D0"/>
    <w:rsid w:val="007950B0"/>
    <w:rsid w:val="00795164"/>
    <w:rsid w:val="0079583E"/>
    <w:rsid w:val="00795C52"/>
    <w:rsid w:val="007973C4"/>
    <w:rsid w:val="00797903"/>
    <w:rsid w:val="00797AF6"/>
    <w:rsid w:val="007A0094"/>
    <w:rsid w:val="007A0FD1"/>
    <w:rsid w:val="007A12D0"/>
    <w:rsid w:val="007A134C"/>
    <w:rsid w:val="007A1D69"/>
    <w:rsid w:val="007A2874"/>
    <w:rsid w:val="007A32A4"/>
    <w:rsid w:val="007A3444"/>
    <w:rsid w:val="007A371B"/>
    <w:rsid w:val="007A37E6"/>
    <w:rsid w:val="007A38BE"/>
    <w:rsid w:val="007A4CDD"/>
    <w:rsid w:val="007A545E"/>
    <w:rsid w:val="007A5968"/>
    <w:rsid w:val="007A5AC7"/>
    <w:rsid w:val="007A5B4B"/>
    <w:rsid w:val="007A5BFF"/>
    <w:rsid w:val="007A5C95"/>
    <w:rsid w:val="007A6999"/>
    <w:rsid w:val="007A6A33"/>
    <w:rsid w:val="007A6F1D"/>
    <w:rsid w:val="007A71F2"/>
    <w:rsid w:val="007A720D"/>
    <w:rsid w:val="007A767D"/>
    <w:rsid w:val="007A78E5"/>
    <w:rsid w:val="007A7C18"/>
    <w:rsid w:val="007A7C81"/>
    <w:rsid w:val="007A7EE0"/>
    <w:rsid w:val="007B0549"/>
    <w:rsid w:val="007B0F69"/>
    <w:rsid w:val="007B10B4"/>
    <w:rsid w:val="007B14B4"/>
    <w:rsid w:val="007B1D13"/>
    <w:rsid w:val="007B1F4B"/>
    <w:rsid w:val="007B20C0"/>
    <w:rsid w:val="007B26A0"/>
    <w:rsid w:val="007B29A9"/>
    <w:rsid w:val="007B2A20"/>
    <w:rsid w:val="007B321A"/>
    <w:rsid w:val="007B352C"/>
    <w:rsid w:val="007B3538"/>
    <w:rsid w:val="007B35CD"/>
    <w:rsid w:val="007B3ACA"/>
    <w:rsid w:val="007B46A4"/>
    <w:rsid w:val="007B4B33"/>
    <w:rsid w:val="007B4CBD"/>
    <w:rsid w:val="007B4F89"/>
    <w:rsid w:val="007B4FE0"/>
    <w:rsid w:val="007B5AC2"/>
    <w:rsid w:val="007B5FFF"/>
    <w:rsid w:val="007B6465"/>
    <w:rsid w:val="007B69F1"/>
    <w:rsid w:val="007B6E26"/>
    <w:rsid w:val="007B6FE8"/>
    <w:rsid w:val="007B720F"/>
    <w:rsid w:val="007B7ECD"/>
    <w:rsid w:val="007B7F15"/>
    <w:rsid w:val="007C0012"/>
    <w:rsid w:val="007C01A0"/>
    <w:rsid w:val="007C01D1"/>
    <w:rsid w:val="007C025C"/>
    <w:rsid w:val="007C0A06"/>
    <w:rsid w:val="007C0E6A"/>
    <w:rsid w:val="007C122D"/>
    <w:rsid w:val="007C1368"/>
    <w:rsid w:val="007C1935"/>
    <w:rsid w:val="007C1B71"/>
    <w:rsid w:val="007C1D41"/>
    <w:rsid w:val="007C21F4"/>
    <w:rsid w:val="007C2782"/>
    <w:rsid w:val="007C2E39"/>
    <w:rsid w:val="007C2F98"/>
    <w:rsid w:val="007C2FF1"/>
    <w:rsid w:val="007C34C3"/>
    <w:rsid w:val="007C36EB"/>
    <w:rsid w:val="007C3853"/>
    <w:rsid w:val="007C4036"/>
    <w:rsid w:val="007C4A9F"/>
    <w:rsid w:val="007C4B1E"/>
    <w:rsid w:val="007C4CC3"/>
    <w:rsid w:val="007C5408"/>
    <w:rsid w:val="007C5BAC"/>
    <w:rsid w:val="007C6972"/>
    <w:rsid w:val="007C6A87"/>
    <w:rsid w:val="007C6FDF"/>
    <w:rsid w:val="007C700D"/>
    <w:rsid w:val="007C7112"/>
    <w:rsid w:val="007C7231"/>
    <w:rsid w:val="007C73D6"/>
    <w:rsid w:val="007C795D"/>
    <w:rsid w:val="007C7F1E"/>
    <w:rsid w:val="007D044F"/>
    <w:rsid w:val="007D0C70"/>
    <w:rsid w:val="007D13DB"/>
    <w:rsid w:val="007D1D87"/>
    <w:rsid w:val="007D1DE2"/>
    <w:rsid w:val="007D1FCA"/>
    <w:rsid w:val="007D1FF8"/>
    <w:rsid w:val="007D33ED"/>
    <w:rsid w:val="007D3B8E"/>
    <w:rsid w:val="007D3D8D"/>
    <w:rsid w:val="007D47B3"/>
    <w:rsid w:val="007D4850"/>
    <w:rsid w:val="007D4AB3"/>
    <w:rsid w:val="007D4AF1"/>
    <w:rsid w:val="007D4C57"/>
    <w:rsid w:val="007D4FEC"/>
    <w:rsid w:val="007D5CA8"/>
    <w:rsid w:val="007D5CD9"/>
    <w:rsid w:val="007D5E54"/>
    <w:rsid w:val="007D6B32"/>
    <w:rsid w:val="007D72E1"/>
    <w:rsid w:val="007D744A"/>
    <w:rsid w:val="007D7D95"/>
    <w:rsid w:val="007E0000"/>
    <w:rsid w:val="007E0025"/>
    <w:rsid w:val="007E086C"/>
    <w:rsid w:val="007E0A23"/>
    <w:rsid w:val="007E0AA1"/>
    <w:rsid w:val="007E0BFC"/>
    <w:rsid w:val="007E0CB6"/>
    <w:rsid w:val="007E0DAD"/>
    <w:rsid w:val="007E0F0B"/>
    <w:rsid w:val="007E0FF3"/>
    <w:rsid w:val="007E1595"/>
    <w:rsid w:val="007E1723"/>
    <w:rsid w:val="007E1742"/>
    <w:rsid w:val="007E176B"/>
    <w:rsid w:val="007E1EC8"/>
    <w:rsid w:val="007E20EB"/>
    <w:rsid w:val="007E237B"/>
    <w:rsid w:val="007E260D"/>
    <w:rsid w:val="007E2B7D"/>
    <w:rsid w:val="007E2B82"/>
    <w:rsid w:val="007E2E41"/>
    <w:rsid w:val="007E3048"/>
    <w:rsid w:val="007E335B"/>
    <w:rsid w:val="007E3832"/>
    <w:rsid w:val="007E3A57"/>
    <w:rsid w:val="007E3DBC"/>
    <w:rsid w:val="007E3FA7"/>
    <w:rsid w:val="007E3FE3"/>
    <w:rsid w:val="007E49D1"/>
    <w:rsid w:val="007E4CEB"/>
    <w:rsid w:val="007E5FED"/>
    <w:rsid w:val="007E6278"/>
    <w:rsid w:val="007E708A"/>
    <w:rsid w:val="007E70C0"/>
    <w:rsid w:val="007E71FE"/>
    <w:rsid w:val="007E72FB"/>
    <w:rsid w:val="007E79F5"/>
    <w:rsid w:val="007E7C44"/>
    <w:rsid w:val="007F0A44"/>
    <w:rsid w:val="007F0CF7"/>
    <w:rsid w:val="007F0D98"/>
    <w:rsid w:val="007F0E99"/>
    <w:rsid w:val="007F1554"/>
    <w:rsid w:val="007F199E"/>
    <w:rsid w:val="007F1C02"/>
    <w:rsid w:val="007F1C1F"/>
    <w:rsid w:val="007F1C4E"/>
    <w:rsid w:val="007F1F03"/>
    <w:rsid w:val="007F2381"/>
    <w:rsid w:val="007F2AE0"/>
    <w:rsid w:val="007F2B49"/>
    <w:rsid w:val="007F34D8"/>
    <w:rsid w:val="007F3B71"/>
    <w:rsid w:val="007F5237"/>
    <w:rsid w:val="007F56F1"/>
    <w:rsid w:val="007F627E"/>
    <w:rsid w:val="007F6816"/>
    <w:rsid w:val="007F6862"/>
    <w:rsid w:val="007F6888"/>
    <w:rsid w:val="007F6990"/>
    <w:rsid w:val="007F69C5"/>
    <w:rsid w:val="007F6C86"/>
    <w:rsid w:val="007F6F80"/>
    <w:rsid w:val="007F749C"/>
    <w:rsid w:val="007F7773"/>
    <w:rsid w:val="007F7880"/>
    <w:rsid w:val="007F7898"/>
    <w:rsid w:val="007F7C82"/>
    <w:rsid w:val="007F7D4D"/>
    <w:rsid w:val="00800694"/>
    <w:rsid w:val="0080069B"/>
    <w:rsid w:val="008008A3"/>
    <w:rsid w:val="00800926"/>
    <w:rsid w:val="00800F65"/>
    <w:rsid w:val="00801056"/>
    <w:rsid w:val="008014D9"/>
    <w:rsid w:val="00801D65"/>
    <w:rsid w:val="008022BA"/>
    <w:rsid w:val="00803008"/>
    <w:rsid w:val="00803286"/>
    <w:rsid w:val="00803795"/>
    <w:rsid w:val="00804AAA"/>
    <w:rsid w:val="008050B8"/>
    <w:rsid w:val="008053A2"/>
    <w:rsid w:val="008059C8"/>
    <w:rsid w:val="00805C0C"/>
    <w:rsid w:val="00806629"/>
    <w:rsid w:val="00806816"/>
    <w:rsid w:val="00807027"/>
    <w:rsid w:val="008071AD"/>
    <w:rsid w:val="00807287"/>
    <w:rsid w:val="00807378"/>
    <w:rsid w:val="00807534"/>
    <w:rsid w:val="00807543"/>
    <w:rsid w:val="008105EF"/>
    <w:rsid w:val="00810734"/>
    <w:rsid w:val="00810747"/>
    <w:rsid w:val="00810DCE"/>
    <w:rsid w:val="008120E2"/>
    <w:rsid w:val="00812A1D"/>
    <w:rsid w:val="00812B61"/>
    <w:rsid w:val="00813462"/>
    <w:rsid w:val="00813ABA"/>
    <w:rsid w:val="00813C4E"/>
    <w:rsid w:val="0081434E"/>
    <w:rsid w:val="00814990"/>
    <w:rsid w:val="00814A59"/>
    <w:rsid w:val="00814B6F"/>
    <w:rsid w:val="00815081"/>
    <w:rsid w:val="0081551B"/>
    <w:rsid w:val="008161B9"/>
    <w:rsid w:val="00816681"/>
    <w:rsid w:val="00817568"/>
    <w:rsid w:val="00817DD4"/>
    <w:rsid w:val="008201C0"/>
    <w:rsid w:val="0082030A"/>
    <w:rsid w:val="00820331"/>
    <w:rsid w:val="008205CA"/>
    <w:rsid w:val="0082086E"/>
    <w:rsid w:val="008209B8"/>
    <w:rsid w:val="00820B6E"/>
    <w:rsid w:val="00820D29"/>
    <w:rsid w:val="00820DA1"/>
    <w:rsid w:val="00820F78"/>
    <w:rsid w:val="00820FBC"/>
    <w:rsid w:val="00821D0E"/>
    <w:rsid w:val="00821F72"/>
    <w:rsid w:val="008220CF"/>
    <w:rsid w:val="00822D29"/>
    <w:rsid w:val="0082349E"/>
    <w:rsid w:val="0082358D"/>
    <w:rsid w:val="00823606"/>
    <w:rsid w:val="008239BA"/>
    <w:rsid w:val="00823C3E"/>
    <w:rsid w:val="0082438A"/>
    <w:rsid w:val="008245AE"/>
    <w:rsid w:val="008246E9"/>
    <w:rsid w:val="00824C7C"/>
    <w:rsid w:val="00824E65"/>
    <w:rsid w:val="00825341"/>
    <w:rsid w:val="0082552A"/>
    <w:rsid w:val="00825604"/>
    <w:rsid w:val="0082596E"/>
    <w:rsid w:val="00825B71"/>
    <w:rsid w:val="00825BFB"/>
    <w:rsid w:val="00825F5B"/>
    <w:rsid w:val="008263E9"/>
    <w:rsid w:val="008272C3"/>
    <w:rsid w:val="008274D5"/>
    <w:rsid w:val="00827640"/>
    <w:rsid w:val="00827A9E"/>
    <w:rsid w:val="00830779"/>
    <w:rsid w:val="0083190E"/>
    <w:rsid w:val="00831AA6"/>
    <w:rsid w:val="0083254F"/>
    <w:rsid w:val="008326E7"/>
    <w:rsid w:val="008329CF"/>
    <w:rsid w:val="0083320A"/>
    <w:rsid w:val="0083338B"/>
    <w:rsid w:val="0083352A"/>
    <w:rsid w:val="00833683"/>
    <w:rsid w:val="00833A4C"/>
    <w:rsid w:val="00833AD6"/>
    <w:rsid w:val="00834063"/>
    <w:rsid w:val="008345B8"/>
    <w:rsid w:val="00834A6E"/>
    <w:rsid w:val="00834B34"/>
    <w:rsid w:val="008353EB"/>
    <w:rsid w:val="00835826"/>
    <w:rsid w:val="0083611E"/>
    <w:rsid w:val="00836893"/>
    <w:rsid w:val="00836945"/>
    <w:rsid w:val="00836ABB"/>
    <w:rsid w:val="00837291"/>
    <w:rsid w:val="00837525"/>
    <w:rsid w:val="00837528"/>
    <w:rsid w:val="00837FBC"/>
    <w:rsid w:val="00840138"/>
    <w:rsid w:val="008404A5"/>
    <w:rsid w:val="00840600"/>
    <w:rsid w:val="00840E75"/>
    <w:rsid w:val="0084124F"/>
    <w:rsid w:val="0084193D"/>
    <w:rsid w:val="00842938"/>
    <w:rsid w:val="00842AC8"/>
    <w:rsid w:val="0084370F"/>
    <w:rsid w:val="00843939"/>
    <w:rsid w:val="00843C20"/>
    <w:rsid w:val="00843E25"/>
    <w:rsid w:val="00844123"/>
    <w:rsid w:val="00844693"/>
    <w:rsid w:val="00844C8D"/>
    <w:rsid w:val="00844EAD"/>
    <w:rsid w:val="00845518"/>
    <w:rsid w:val="0084564F"/>
    <w:rsid w:val="0084590B"/>
    <w:rsid w:val="00845C81"/>
    <w:rsid w:val="00845EBC"/>
    <w:rsid w:val="008468D0"/>
    <w:rsid w:val="00846CAD"/>
    <w:rsid w:val="008475A1"/>
    <w:rsid w:val="00847A00"/>
    <w:rsid w:val="00851133"/>
    <w:rsid w:val="008514E0"/>
    <w:rsid w:val="00851553"/>
    <w:rsid w:val="00851AB7"/>
    <w:rsid w:val="00851FB0"/>
    <w:rsid w:val="008520A1"/>
    <w:rsid w:val="00853018"/>
    <w:rsid w:val="00854E41"/>
    <w:rsid w:val="00855673"/>
    <w:rsid w:val="00855A3F"/>
    <w:rsid w:val="00855CA1"/>
    <w:rsid w:val="008564A7"/>
    <w:rsid w:val="00857109"/>
    <w:rsid w:val="008571D6"/>
    <w:rsid w:val="00857690"/>
    <w:rsid w:val="00857791"/>
    <w:rsid w:val="00857830"/>
    <w:rsid w:val="00857A7A"/>
    <w:rsid w:val="00857ED9"/>
    <w:rsid w:val="0086014D"/>
    <w:rsid w:val="0086035C"/>
    <w:rsid w:val="00860496"/>
    <w:rsid w:val="00860577"/>
    <w:rsid w:val="00860A27"/>
    <w:rsid w:val="008610BD"/>
    <w:rsid w:val="00861174"/>
    <w:rsid w:val="00861260"/>
    <w:rsid w:val="00861346"/>
    <w:rsid w:val="00861595"/>
    <w:rsid w:val="008628C2"/>
    <w:rsid w:val="00862E88"/>
    <w:rsid w:val="008631CF"/>
    <w:rsid w:val="0086329F"/>
    <w:rsid w:val="008633DB"/>
    <w:rsid w:val="0086386A"/>
    <w:rsid w:val="00863BF6"/>
    <w:rsid w:val="00863C0B"/>
    <w:rsid w:val="0086455C"/>
    <w:rsid w:val="00864B1F"/>
    <w:rsid w:val="00864B88"/>
    <w:rsid w:val="00864B97"/>
    <w:rsid w:val="00864F52"/>
    <w:rsid w:val="00865155"/>
    <w:rsid w:val="0086539F"/>
    <w:rsid w:val="00865766"/>
    <w:rsid w:val="00865B38"/>
    <w:rsid w:val="00865E36"/>
    <w:rsid w:val="00866437"/>
    <w:rsid w:val="008669DD"/>
    <w:rsid w:val="00866DA2"/>
    <w:rsid w:val="00866F40"/>
    <w:rsid w:val="00867081"/>
    <w:rsid w:val="00867482"/>
    <w:rsid w:val="0086750F"/>
    <w:rsid w:val="00867553"/>
    <w:rsid w:val="008679C6"/>
    <w:rsid w:val="00867A1C"/>
    <w:rsid w:val="00867C9C"/>
    <w:rsid w:val="00867D99"/>
    <w:rsid w:val="0087044E"/>
    <w:rsid w:val="00870901"/>
    <w:rsid w:val="00870E41"/>
    <w:rsid w:val="00870F76"/>
    <w:rsid w:val="0087132F"/>
    <w:rsid w:val="00871EA5"/>
    <w:rsid w:val="008721A8"/>
    <w:rsid w:val="00872764"/>
    <w:rsid w:val="0087286F"/>
    <w:rsid w:val="00873BE1"/>
    <w:rsid w:val="00873DE4"/>
    <w:rsid w:val="008741CD"/>
    <w:rsid w:val="008743F9"/>
    <w:rsid w:val="00874412"/>
    <w:rsid w:val="0087461D"/>
    <w:rsid w:val="0087486D"/>
    <w:rsid w:val="00874B2D"/>
    <w:rsid w:val="00874DE8"/>
    <w:rsid w:val="00874FF2"/>
    <w:rsid w:val="00875208"/>
    <w:rsid w:val="00875488"/>
    <w:rsid w:val="008756AA"/>
    <w:rsid w:val="00875CDD"/>
    <w:rsid w:val="00875D0B"/>
    <w:rsid w:val="008763B6"/>
    <w:rsid w:val="008770D0"/>
    <w:rsid w:val="00877275"/>
    <w:rsid w:val="008773B6"/>
    <w:rsid w:val="00877987"/>
    <w:rsid w:val="00877DB2"/>
    <w:rsid w:val="00877FA9"/>
    <w:rsid w:val="00880021"/>
    <w:rsid w:val="008802E2"/>
    <w:rsid w:val="0088091D"/>
    <w:rsid w:val="00880BCA"/>
    <w:rsid w:val="00880D0F"/>
    <w:rsid w:val="00880F23"/>
    <w:rsid w:val="008813ED"/>
    <w:rsid w:val="00881865"/>
    <w:rsid w:val="008818EA"/>
    <w:rsid w:val="008819D2"/>
    <w:rsid w:val="00881CD2"/>
    <w:rsid w:val="0088203C"/>
    <w:rsid w:val="0088234E"/>
    <w:rsid w:val="00882511"/>
    <w:rsid w:val="008829E6"/>
    <w:rsid w:val="00882B01"/>
    <w:rsid w:val="00882D22"/>
    <w:rsid w:val="00884147"/>
    <w:rsid w:val="00884332"/>
    <w:rsid w:val="0088453D"/>
    <w:rsid w:val="00884B92"/>
    <w:rsid w:val="00884BFB"/>
    <w:rsid w:val="008850FE"/>
    <w:rsid w:val="00885126"/>
    <w:rsid w:val="00886067"/>
    <w:rsid w:val="00886EC6"/>
    <w:rsid w:val="00887418"/>
    <w:rsid w:val="00887FF2"/>
    <w:rsid w:val="008900F4"/>
    <w:rsid w:val="008902B4"/>
    <w:rsid w:val="0089031A"/>
    <w:rsid w:val="00890498"/>
    <w:rsid w:val="00890FB6"/>
    <w:rsid w:val="008910B1"/>
    <w:rsid w:val="008921F3"/>
    <w:rsid w:val="0089235E"/>
    <w:rsid w:val="00892496"/>
    <w:rsid w:val="008926A9"/>
    <w:rsid w:val="00892A62"/>
    <w:rsid w:val="00892AC4"/>
    <w:rsid w:val="0089303E"/>
    <w:rsid w:val="0089337A"/>
    <w:rsid w:val="00893BBC"/>
    <w:rsid w:val="00893F8A"/>
    <w:rsid w:val="00894232"/>
    <w:rsid w:val="008946E9"/>
    <w:rsid w:val="00894AD6"/>
    <w:rsid w:val="00894CEE"/>
    <w:rsid w:val="00894D0D"/>
    <w:rsid w:val="00895016"/>
    <w:rsid w:val="0089506C"/>
    <w:rsid w:val="008950CC"/>
    <w:rsid w:val="008951B0"/>
    <w:rsid w:val="00895FB7"/>
    <w:rsid w:val="00895FE7"/>
    <w:rsid w:val="00896CEA"/>
    <w:rsid w:val="00896D55"/>
    <w:rsid w:val="00897530"/>
    <w:rsid w:val="0089765D"/>
    <w:rsid w:val="008A01A4"/>
    <w:rsid w:val="008A0329"/>
    <w:rsid w:val="008A06B6"/>
    <w:rsid w:val="008A0D9B"/>
    <w:rsid w:val="008A0F7A"/>
    <w:rsid w:val="008A0F7F"/>
    <w:rsid w:val="008A0FF6"/>
    <w:rsid w:val="008A0FFA"/>
    <w:rsid w:val="008A1350"/>
    <w:rsid w:val="008A13DA"/>
    <w:rsid w:val="008A1593"/>
    <w:rsid w:val="008A1637"/>
    <w:rsid w:val="008A17C9"/>
    <w:rsid w:val="008A1FA5"/>
    <w:rsid w:val="008A2087"/>
    <w:rsid w:val="008A254B"/>
    <w:rsid w:val="008A2560"/>
    <w:rsid w:val="008A2831"/>
    <w:rsid w:val="008A32AF"/>
    <w:rsid w:val="008A364D"/>
    <w:rsid w:val="008A3684"/>
    <w:rsid w:val="008A3DFD"/>
    <w:rsid w:val="008A4644"/>
    <w:rsid w:val="008A49CB"/>
    <w:rsid w:val="008A549E"/>
    <w:rsid w:val="008A54BD"/>
    <w:rsid w:val="008A5587"/>
    <w:rsid w:val="008A561D"/>
    <w:rsid w:val="008A5B68"/>
    <w:rsid w:val="008A5CC5"/>
    <w:rsid w:val="008A5F35"/>
    <w:rsid w:val="008A6178"/>
    <w:rsid w:val="008A6228"/>
    <w:rsid w:val="008A68BB"/>
    <w:rsid w:val="008A6D1D"/>
    <w:rsid w:val="008A75FA"/>
    <w:rsid w:val="008A7726"/>
    <w:rsid w:val="008A7D34"/>
    <w:rsid w:val="008A7F62"/>
    <w:rsid w:val="008B09BC"/>
    <w:rsid w:val="008B0ECB"/>
    <w:rsid w:val="008B0F72"/>
    <w:rsid w:val="008B1192"/>
    <w:rsid w:val="008B154A"/>
    <w:rsid w:val="008B167A"/>
    <w:rsid w:val="008B1867"/>
    <w:rsid w:val="008B19A1"/>
    <w:rsid w:val="008B21CD"/>
    <w:rsid w:val="008B21F9"/>
    <w:rsid w:val="008B34C8"/>
    <w:rsid w:val="008B397F"/>
    <w:rsid w:val="008B3AD6"/>
    <w:rsid w:val="008B3CA9"/>
    <w:rsid w:val="008B3E5B"/>
    <w:rsid w:val="008B41C5"/>
    <w:rsid w:val="008B43F9"/>
    <w:rsid w:val="008B43FA"/>
    <w:rsid w:val="008B4F42"/>
    <w:rsid w:val="008B52BF"/>
    <w:rsid w:val="008B567E"/>
    <w:rsid w:val="008B57C5"/>
    <w:rsid w:val="008B67F3"/>
    <w:rsid w:val="008B68D2"/>
    <w:rsid w:val="008B6BFE"/>
    <w:rsid w:val="008B730A"/>
    <w:rsid w:val="008B731A"/>
    <w:rsid w:val="008B7D0E"/>
    <w:rsid w:val="008B7D19"/>
    <w:rsid w:val="008B7D78"/>
    <w:rsid w:val="008B7E08"/>
    <w:rsid w:val="008C00C1"/>
    <w:rsid w:val="008C0354"/>
    <w:rsid w:val="008C04D8"/>
    <w:rsid w:val="008C0708"/>
    <w:rsid w:val="008C0A3E"/>
    <w:rsid w:val="008C12F3"/>
    <w:rsid w:val="008C1738"/>
    <w:rsid w:val="008C2355"/>
    <w:rsid w:val="008C2432"/>
    <w:rsid w:val="008C3386"/>
    <w:rsid w:val="008C33D4"/>
    <w:rsid w:val="008C35B1"/>
    <w:rsid w:val="008C3721"/>
    <w:rsid w:val="008C3B38"/>
    <w:rsid w:val="008C446C"/>
    <w:rsid w:val="008C45B4"/>
    <w:rsid w:val="008C46CA"/>
    <w:rsid w:val="008C46ED"/>
    <w:rsid w:val="008C476D"/>
    <w:rsid w:val="008C47A6"/>
    <w:rsid w:val="008C49C1"/>
    <w:rsid w:val="008C4FCB"/>
    <w:rsid w:val="008C5DBD"/>
    <w:rsid w:val="008C692F"/>
    <w:rsid w:val="008C6D13"/>
    <w:rsid w:val="008C6D55"/>
    <w:rsid w:val="008C7488"/>
    <w:rsid w:val="008C7575"/>
    <w:rsid w:val="008C7A0B"/>
    <w:rsid w:val="008D0261"/>
    <w:rsid w:val="008D0ADC"/>
    <w:rsid w:val="008D0C75"/>
    <w:rsid w:val="008D0D69"/>
    <w:rsid w:val="008D0E38"/>
    <w:rsid w:val="008D0EFD"/>
    <w:rsid w:val="008D1112"/>
    <w:rsid w:val="008D16CF"/>
    <w:rsid w:val="008D1832"/>
    <w:rsid w:val="008D1A38"/>
    <w:rsid w:val="008D1FC8"/>
    <w:rsid w:val="008D208E"/>
    <w:rsid w:val="008D24E0"/>
    <w:rsid w:val="008D2595"/>
    <w:rsid w:val="008D2747"/>
    <w:rsid w:val="008D2758"/>
    <w:rsid w:val="008D294F"/>
    <w:rsid w:val="008D2FCD"/>
    <w:rsid w:val="008D3036"/>
    <w:rsid w:val="008D30F1"/>
    <w:rsid w:val="008D39CF"/>
    <w:rsid w:val="008D3D5C"/>
    <w:rsid w:val="008D4583"/>
    <w:rsid w:val="008D45DA"/>
    <w:rsid w:val="008D48C1"/>
    <w:rsid w:val="008D4B16"/>
    <w:rsid w:val="008D4D3E"/>
    <w:rsid w:val="008D4FE9"/>
    <w:rsid w:val="008D53FC"/>
    <w:rsid w:val="008D5992"/>
    <w:rsid w:val="008D5BA6"/>
    <w:rsid w:val="008D6556"/>
    <w:rsid w:val="008D6D23"/>
    <w:rsid w:val="008D6D47"/>
    <w:rsid w:val="008D708B"/>
    <w:rsid w:val="008D742D"/>
    <w:rsid w:val="008D7EA1"/>
    <w:rsid w:val="008E00E0"/>
    <w:rsid w:val="008E0F2C"/>
    <w:rsid w:val="008E10F0"/>
    <w:rsid w:val="008E14FF"/>
    <w:rsid w:val="008E159F"/>
    <w:rsid w:val="008E17B2"/>
    <w:rsid w:val="008E1B21"/>
    <w:rsid w:val="008E1D26"/>
    <w:rsid w:val="008E2911"/>
    <w:rsid w:val="008E2C10"/>
    <w:rsid w:val="008E2D6B"/>
    <w:rsid w:val="008E2DFA"/>
    <w:rsid w:val="008E31BF"/>
    <w:rsid w:val="008E32C6"/>
    <w:rsid w:val="008E36A2"/>
    <w:rsid w:val="008E4E21"/>
    <w:rsid w:val="008E676E"/>
    <w:rsid w:val="008E67AB"/>
    <w:rsid w:val="008E6E10"/>
    <w:rsid w:val="008E7698"/>
    <w:rsid w:val="008E77EF"/>
    <w:rsid w:val="008E79F3"/>
    <w:rsid w:val="008E7A0E"/>
    <w:rsid w:val="008F045D"/>
    <w:rsid w:val="008F09D2"/>
    <w:rsid w:val="008F0E04"/>
    <w:rsid w:val="008F1323"/>
    <w:rsid w:val="008F1942"/>
    <w:rsid w:val="008F1B99"/>
    <w:rsid w:val="008F1DD8"/>
    <w:rsid w:val="008F1F18"/>
    <w:rsid w:val="008F227A"/>
    <w:rsid w:val="008F2448"/>
    <w:rsid w:val="008F26A8"/>
    <w:rsid w:val="008F2700"/>
    <w:rsid w:val="008F27C0"/>
    <w:rsid w:val="008F2924"/>
    <w:rsid w:val="008F2981"/>
    <w:rsid w:val="008F2E69"/>
    <w:rsid w:val="008F2F46"/>
    <w:rsid w:val="008F3250"/>
    <w:rsid w:val="008F354C"/>
    <w:rsid w:val="008F38F5"/>
    <w:rsid w:val="008F3BE2"/>
    <w:rsid w:val="008F4023"/>
    <w:rsid w:val="008F4426"/>
    <w:rsid w:val="008F46D6"/>
    <w:rsid w:val="008F4AAF"/>
    <w:rsid w:val="008F4E93"/>
    <w:rsid w:val="008F4EC5"/>
    <w:rsid w:val="008F50DB"/>
    <w:rsid w:val="008F557C"/>
    <w:rsid w:val="008F5597"/>
    <w:rsid w:val="008F5617"/>
    <w:rsid w:val="008F6C24"/>
    <w:rsid w:val="008F6D00"/>
    <w:rsid w:val="008F6FD3"/>
    <w:rsid w:val="008F71A4"/>
    <w:rsid w:val="008F730B"/>
    <w:rsid w:val="008F7485"/>
    <w:rsid w:val="008F7498"/>
    <w:rsid w:val="009003EE"/>
    <w:rsid w:val="0090074E"/>
    <w:rsid w:val="009007D1"/>
    <w:rsid w:val="00900DE4"/>
    <w:rsid w:val="009012E1"/>
    <w:rsid w:val="009013C8"/>
    <w:rsid w:val="00901D1F"/>
    <w:rsid w:val="00902070"/>
    <w:rsid w:val="00902896"/>
    <w:rsid w:val="00902988"/>
    <w:rsid w:val="00902AF2"/>
    <w:rsid w:val="00902BA3"/>
    <w:rsid w:val="00902C26"/>
    <w:rsid w:val="00902DCD"/>
    <w:rsid w:val="00903724"/>
    <w:rsid w:val="00903D9F"/>
    <w:rsid w:val="00903FCD"/>
    <w:rsid w:val="009040CB"/>
    <w:rsid w:val="0090426D"/>
    <w:rsid w:val="00904651"/>
    <w:rsid w:val="0090465C"/>
    <w:rsid w:val="00904E09"/>
    <w:rsid w:val="00905025"/>
    <w:rsid w:val="00905527"/>
    <w:rsid w:val="0090567D"/>
    <w:rsid w:val="00905773"/>
    <w:rsid w:val="00905877"/>
    <w:rsid w:val="009062BD"/>
    <w:rsid w:val="00906E00"/>
    <w:rsid w:val="00906E9A"/>
    <w:rsid w:val="00907868"/>
    <w:rsid w:val="009107B6"/>
    <w:rsid w:val="00910BA8"/>
    <w:rsid w:val="00910C08"/>
    <w:rsid w:val="00911530"/>
    <w:rsid w:val="009116C4"/>
    <w:rsid w:val="00911ABF"/>
    <w:rsid w:val="00911DCE"/>
    <w:rsid w:val="00911E70"/>
    <w:rsid w:val="009125B0"/>
    <w:rsid w:val="009125EF"/>
    <w:rsid w:val="00912A9C"/>
    <w:rsid w:val="00912C62"/>
    <w:rsid w:val="00912D6A"/>
    <w:rsid w:val="00913246"/>
    <w:rsid w:val="00913546"/>
    <w:rsid w:val="009140A5"/>
    <w:rsid w:val="009140F5"/>
    <w:rsid w:val="00914315"/>
    <w:rsid w:val="0091495E"/>
    <w:rsid w:val="00914971"/>
    <w:rsid w:val="00914A98"/>
    <w:rsid w:val="00914E9A"/>
    <w:rsid w:val="00914EEC"/>
    <w:rsid w:val="00915BB6"/>
    <w:rsid w:val="00915CDF"/>
    <w:rsid w:val="00915E23"/>
    <w:rsid w:val="00916952"/>
    <w:rsid w:val="00917121"/>
    <w:rsid w:val="00917682"/>
    <w:rsid w:val="00917925"/>
    <w:rsid w:val="00917A2A"/>
    <w:rsid w:val="00917BCD"/>
    <w:rsid w:val="00917BEE"/>
    <w:rsid w:val="00920FE7"/>
    <w:rsid w:val="009210B3"/>
    <w:rsid w:val="009210F3"/>
    <w:rsid w:val="00921504"/>
    <w:rsid w:val="00921514"/>
    <w:rsid w:val="00921D36"/>
    <w:rsid w:val="00921D3A"/>
    <w:rsid w:val="00922796"/>
    <w:rsid w:val="009228EF"/>
    <w:rsid w:val="00922D74"/>
    <w:rsid w:val="00922D96"/>
    <w:rsid w:val="009234F2"/>
    <w:rsid w:val="00923761"/>
    <w:rsid w:val="00923C94"/>
    <w:rsid w:val="0092413A"/>
    <w:rsid w:val="0092434B"/>
    <w:rsid w:val="00925262"/>
    <w:rsid w:val="009258E8"/>
    <w:rsid w:val="0092682F"/>
    <w:rsid w:val="009268F5"/>
    <w:rsid w:val="009270A5"/>
    <w:rsid w:val="0092740F"/>
    <w:rsid w:val="0092771A"/>
    <w:rsid w:val="00927C24"/>
    <w:rsid w:val="009305AF"/>
    <w:rsid w:val="009310F5"/>
    <w:rsid w:val="0093131E"/>
    <w:rsid w:val="009318AE"/>
    <w:rsid w:val="00932141"/>
    <w:rsid w:val="0093217F"/>
    <w:rsid w:val="00932C52"/>
    <w:rsid w:val="00932D31"/>
    <w:rsid w:val="00933052"/>
    <w:rsid w:val="00933066"/>
    <w:rsid w:val="009331CB"/>
    <w:rsid w:val="009331FC"/>
    <w:rsid w:val="00933745"/>
    <w:rsid w:val="00933989"/>
    <w:rsid w:val="00933E00"/>
    <w:rsid w:val="00934060"/>
    <w:rsid w:val="00934F4C"/>
    <w:rsid w:val="00934FBD"/>
    <w:rsid w:val="00935924"/>
    <w:rsid w:val="00935B51"/>
    <w:rsid w:val="00935CB2"/>
    <w:rsid w:val="00935FE5"/>
    <w:rsid w:val="00935FFC"/>
    <w:rsid w:val="009362F5"/>
    <w:rsid w:val="00936BB4"/>
    <w:rsid w:val="00936F51"/>
    <w:rsid w:val="009379FA"/>
    <w:rsid w:val="0094012C"/>
    <w:rsid w:val="0094026B"/>
    <w:rsid w:val="0094051A"/>
    <w:rsid w:val="00940BF2"/>
    <w:rsid w:val="0094113A"/>
    <w:rsid w:val="009417B8"/>
    <w:rsid w:val="00941C0F"/>
    <w:rsid w:val="009428B7"/>
    <w:rsid w:val="00942AE8"/>
    <w:rsid w:val="00942BE4"/>
    <w:rsid w:val="00942D2A"/>
    <w:rsid w:val="00942E57"/>
    <w:rsid w:val="009430B3"/>
    <w:rsid w:val="00943B05"/>
    <w:rsid w:val="00943C73"/>
    <w:rsid w:val="00943D88"/>
    <w:rsid w:val="00944671"/>
    <w:rsid w:val="009447D7"/>
    <w:rsid w:val="00944D45"/>
    <w:rsid w:val="00944E3C"/>
    <w:rsid w:val="0094504B"/>
    <w:rsid w:val="00945253"/>
    <w:rsid w:val="00945780"/>
    <w:rsid w:val="00945A71"/>
    <w:rsid w:val="00945B26"/>
    <w:rsid w:val="009461AE"/>
    <w:rsid w:val="00946C4A"/>
    <w:rsid w:val="00946CDD"/>
    <w:rsid w:val="00946CE7"/>
    <w:rsid w:val="009477B2"/>
    <w:rsid w:val="00947E95"/>
    <w:rsid w:val="00950009"/>
    <w:rsid w:val="0095037C"/>
    <w:rsid w:val="00950D21"/>
    <w:rsid w:val="00951245"/>
    <w:rsid w:val="00951F5E"/>
    <w:rsid w:val="0095201B"/>
    <w:rsid w:val="0095229D"/>
    <w:rsid w:val="00952992"/>
    <w:rsid w:val="00953001"/>
    <w:rsid w:val="00953223"/>
    <w:rsid w:val="00953557"/>
    <w:rsid w:val="0095454C"/>
    <w:rsid w:val="00954644"/>
    <w:rsid w:val="0095474C"/>
    <w:rsid w:val="009554E0"/>
    <w:rsid w:val="00955564"/>
    <w:rsid w:val="00955D47"/>
    <w:rsid w:val="00955E12"/>
    <w:rsid w:val="00955E3D"/>
    <w:rsid w:val="00956215"/>
    <w:rsid w:val="00956B3D"/>
    <w:rsid w:val="009570B2"/>
    <w:rsid w:val="00957407"/>
    <w:rsid w:val="00957AA6"/>
    <w:rsid w:val="0096029B"/>
    <w:rsid w:val="00960664"/>
    <w:rsid w:val="00960B1A"/>
    <w:rsid w:val="00960C4D"/>
    <w:rsid w:val="00961C5E"/>
    <w:rsid w:val="009623CC"/>
    <w:rsid w:val="00962613"/>
    <w:rsid w:val="00962C75"/>
    <w:rsid w:val="00962CE3"/>
    <w:rsid w:val="00962DB5"/>
    <w:rsid w:val="00963259"/>
    <w:rsid w:val="00963366"/>
    <w:rsid w:val="009633D2"/>
    <w:rsid w:val="009636ED"/>
    <w:rsid w:val="00963A41"/>
    <w:rsid w:val="009648F5"/>
    <w:rsid w:val="00964AA4"/>
    <w:rsid w:val="00964BAF"/>
    <w:rsid w:val="00964F4E"/>
    <w:rsid w:val="009651B6"/>
    <w:rsid w:val="00965A90"/>
    <w:rsid w:val="00965CAB"/>
    <w:rsid w:val="00966214"/>
    <w:rsid w:val="00966338"/>
    <w:rsid w:val="0096718F"/>
    <w:rsid w:val="00967B1D"/>
    <w:rsid w:val="00967C14"/>
    <w:rsid w:val="00967C26"/>
    <w:rsid w:val="0097044B"/>
    <w:rsid w:val="00971325"/>
    <w:rsid w:val="009714A2"/>
    <w:rsid w:val="00971C27"/>
    <w:rsid w:val="00972747"/>
    <w:rsid w:val="00972951"/>
    <w:rsid w:val="00972B01"/>
    <w:rsid w:val="00972BA9"/>
    <w:rsid w:val="00972D28"/>
    <w:rsid w:val="00972D8D"/>
    <w:rsid w:val="00972FCD"/>
    <w:rsid w:val="00973982"/>
    <w:rsid w:val="009742FC"/>
    <w:rsid w:val="00974E45"/>
    <w:rsid w:val="00974F8B"/>
    <w:rsid w:val="00975398"/>
    <w:rsid w:val="0097570C"/>
    <w:rsid w:val="009757EC"/>
    <w:rsid w:val="00975E74"/>
    <w:rsid w:val="00975FA9"/>
    <w:rsid w:val="00976D44"/>
    <w:rsid w:val="00977300"/>
    <w:rsid w:val="00977C17"/>
    <w:rsid w:val="00977C45"/>
    <w:rsid w:val="0098025E"/>
    <w:rsid w:val="00980DFE"/>
    <w:rsid w:val="00980E14"/>
    <w:rsid w:val="00981C00"/>
    <w:rsid w:val="00982FC2"/>
    <w:rsid w:val="0098337B"/>
    <w:rsid w:val="00983383"/>
    <w:rsid w:val="009833A7"/>
    <w:rsid w:val="009839E3"/>
    <w:rsid w:val="00984745"/>
    <w:rsid w:val="00984B0D"/>
    <w:rsid w:val="00984CC6"/>
    <w:rsid w:val="00984F4D"/>
    <w:rsid w:val="00985DD5"/>
    <w:rsid w:val="00985E8C"/>
    <w:rsid w:val="009862EE"/>
    <w:rsid w:val="0098680F"/>
    <w:rsid w:val="00986854"/>
    <w:rsid w:val="009868B0"/>
    <w:rsid w:val="00986A18"/>
    <w:rsid w:val="00987A77"/>
    <w:rsid w:val="00990661"/>
    <w:rsid w:val="00990937"/>
    <w:rsid w:val="00990941"/>
    <w:rsid w:val="00990AF7"/>
    <w:rsid w:val="00990C13"/>
    <w:rsid w:val="0099106B"/>
    <w:rsid w:val="00991C2B"/>
    <w:rsid w:val="00991D2F"/>
    <w:rsid w:val="009925C4"/>
    <w:rsid w:val="009927DA"/>
    <w:rsid w:val="0099285D"/>
    <w:rsid w:val="00992FE8"/>
    <w:rsid w:val="0099315F"/>
    <w:rsid w:val="009939A0"/>
    <w:rsid w:val="00993A3A"/>
    <w:rsid w:val="00993B2F"/>
    <w:rsid w:val="00993C25"/>
    <w:rsid w:val="00994042"/>
    <w:rsid w:val="00994620"/>
    <w:rsid w:val="00994A72"/>
    <w:rsid w:val="00994A75"/>
    <w:rsid w:val="00995340"/>
    <w:rsid w:val="0099617E"/>
    <w:rsid w:val="0099650D"/>
    <w:rsid w:val="00996E47"/>
    <w:rsid w:val="0099777E"/>
    <w:rsid w:val="009977E5"/>
    <w:rsid w:val="00997DF5"/>
    <w:rsid w:val="009A091B"/>
    <w:rsid w:val="009A0BC1"/>
    <w:rsid w:val="009A14BB"/>
    <w:rsid w:val="009A1D4B"/>
    <w:rsid w:val="009A2B0E"/>
    <w:rsid w:val="009A3673"/>
    <w:rsid w:val="009A3B12"/>
    <w:rsid w:val="009A3C9D"/>
    <w:rsid w:val="009A4488"/>
    <w:rsid w:val="009A48B2"/>
    <w:rsid w:val="009A5030"/>
    <w:rsid w:val="009A61D8"/>
    <w:rsid w:val="009A699D"/>
    <w:rsid w:val="009A6AB0"/>
    <w:rsid w:val="009A7218"/>
    <w:rsid w:val="009A73B4"/>
    <w:rsid w:val="009A7CBE"/>
    <w:rsid w:val="009A7EEC"/>
    <w:rsid w:val="009B07D5"/>
    <w:rsid w:val="009B1643"/>
    <w:rsid w:val="009B1892"/>
    <w:rsid w:val="009B1941"/>
    <w:rsid w:val="009B2211"/>
    <w:rsid w:val="009B25F7"/>
    <w:rsid w:val="009B2680"/>
    <w:rsid w:val="009B2734"/>
    <w:rsid w:val="009B29BD"/>
    <w:rsid w:val="009B2BAC"/>
    <w:rsid w:val="009B2C70"/>
    <w:rsid w:val="009B2D6B"/>
    <w:rsid w:val="009B2DA5"/>
    <w:rsid w:val="009B37B1"/>
    <w:rsid w:val="009B399E"/>
    <w:rsid w:val="009B3CE1"/>
    <w:rsid w:val="009B3D49"/>
    <w:rsid w:val="009B5A0D"/>
    <w:rsid w:val="009B6147"/>
    <w:rsid w:val="009B6238"/>
    <w:rsid w:val="009B6285"/>
    <w:rsid w:val="009B67D7"/>
    <w:rsid w:val="009B6F53"/>
    <w:rsid w:val="009B6FBE"/>
    <w:rsid w:val="009C00F2"/>
    <w:rsid w:val="009C02C2"/>
    <w:rsid w:val="009C038E"/>
    <w:rsid w:val="009C0AD6"/>
    <w:rsid w:val="009C160A"/>
    <w:rsid w:val="009C1B30"/>
    <w:rsid w:val="009C1E18"/>
    <w:rsid w:val="009C1E50"/>
    <w:rsid w:val="009C1FE5"/>
    <w:rsid w:val="009C206B"/>
    <w:rsid w:val="009C2D2F"/>
    <w:rsid w:val="009C3331"/>
    <w:rsid w:val="009C3742"/>
    <w:rsid w:val="009C3A70"/>
    <w:rsid w:val="009C3AB3"/>
    <w:rsid w:val="009C3CCB"/>
    <w:rsid w:val="009C3CEE"/>
    <w:rsid w:val="009C3D0E"/>
    <w:rsid w:val="009C41EA"/>
    <w:rsid w:val="009C4A5B"/>
    <w:rsid w:val="009C52DE"/>
    <w:rsid w:val="009C69E7"/>
    <w:rsid w:val="009C6AD7"/>
    <w:rsid w:val="009C6F37"/>
    <w:rsid w:val="009C736F"/>
    <w:rsid w:val="009C7820"/>
    <w:rsid w:val="009D0017"/>
    <w:rsid w:val="009D043B"/>
    <w:rsid w:val="009D0541"/>
    <w:rsid w:val="009D0729"/>
    <w:rsid w:val="009D0C63"/>
    <w:rsid w:val="009D1211"/>
    <w:rsid w:val="009D13B8"/>
    <w:rsid w:val="009D1566"/>
    <w:rsid w:val="009D15EA"/>
    <w:rsid w:val="009D1679"/>
    <w:rsid w:val="009D19A4"/>
    <w:rsid w:val="009D1C85"/>
    <w:rsid w:val="009D1D31"/>
    <w:rsid w:val="009D24C1"/>
    <w:rsid w:val="009D2620"/>
    <w:rsid w:val="009D2823"/>
    <w:rsid w:val="009D28B1"/>
    <w:rsid w:val="009D294B"/>
    <w:rsid w:val="009D2E7B"/>
    <w:rsid w:val="009D2F19"/>
    <w:rsid w:val="009D31EA"/>
    <w:rsid w:val="009D4092"/>
    <w:rsid w:val="009D484C"/>
    <w:rsid w:val="009D498F"/>
    <w:rsid w:val="009D4A5B"/>
    <w:rsid w:val="009D4BE2"/>
    <w:rsid w:val="009D5384"/>
    <w:rsid w:val="009D570A"/>
    <w:rsid w:val="009D5747"/>
    <w:rsid w:val="009D5AA8"/>
    <w:rsid w:val="009D63A6"/>
    <w:rsid w:val="009D66B4"/>
    <w:rsid w:val="009D6840"/>
    <w:rsid w:val="009D6B80"/>
    <w:rsid w:val="009D6F77"/>
    <w:rsid w:val="009D7465"/>
    <w:rsid w:val="009D7492"/>
    <w:rsid w:val="009E007D"/>
    <w:rsid w:val="009E031A"/>
    <w:rsid w:val="009E0672"/>
    <w:rsid w:val="009E0AD3"/>
    <w:rsid w:val="009E0E78"/>
    <w:rsid w:val="009E1B89"/>
    <w:rsid w:val="009E220F"/>
    <w:rsid w:val="009E22A0"/>
    <w:rsid w:val="009E293A"/>
    <w:rsid w:val="009E3557"/>
    <w:rsid w:val="009E3A4C"/>
    <w:rsid w:val="009E3D24"/>
    <w:rsid w:val="009E40F3"/>
    <w:rsid w:val="009E43C7"/>
    <w:rsid w:val="009E45D6"/>
    <w:rsid w:val="009E46B8"/>
    <w:rsid w:val="009E4CD5"/>
    <w:rsid w:val="009E5AB5"/>
    <w:rsid w:val="009E5AD1"/>
    <w:rsid w:val="009E63A6"/>
    <w:rsid w:val="009E647C"/>
    <w:rsid w:val="009E6BFF"/>
    <w:rsid w:val="009E6EB9"/>
    <w:rsid w:val="009E7844"/>
    <w:rsid w:val="009E7F4B"/>
    <w:rsid w:val="009F022F"/>
    <w:rsid w:val="009F0630"/>
    <w:rsid w:val="009F0C51"/>
    <w:rsid w:val="009F1305"/>
    <w:rsid w:val="009F159D"/>
    <w:rsid w:val="009F16AC"/>
    <w:rsid w:val="009F1CCB"/>
    <w:rsid w:val="009F243B"/>
    <w:rsid w:val="009F259E"/>
    <w:rsid w:val="009F2A1F"/>
    <w:rsid w:val="009F31EE"/>
    <w:rsid w:val="009F3210"/>
    <w:rsid w:val="009F3478"/>
    <w:rsid w:val="009F38FD"/>
    <w:rsid w:val="009F421C"/>
    <w:rsid w:val="009F4491"/>
    <w:rsid w:val="009F4BB0"/>
    <w:rsid w:val="009F528B"/>
    <w:rsid w:val="009F5647"/>
    <w:rsid w:val="009F59BD"/>
    <w:rsid w:val="009F5EB5"/>
    <w:rsid w:val="009F5FFC"/>
    <w:rsid w:val="009F62F9"/>
    <w:rsid w:val="009F6510"/>
    <w:rsid w:val="009F655A"/>
    <w:rsid w:val="009F6EF4"/>
    <w:rsid w:val="009F7C88"/>
    <w:rsid w:val="009F7F73"/>
    <w:rsid w:val="00A0016D"/>
    <w:rsid w:val="00A0018F"/>
    <w:rsid w:val="00A00D19"/>
    <w:rsid w:val="00A00FE8"/>
    <w:rsid w:val="00A011A3"/>
    <w:rsid w:val="00A012FF"/>
    <w:rsid w:val="00A0151A"/>
    <w:rsid w:val="00A01A6E"/>
    <w:rsid w:val="00A01A6F"/>
    <w:rsid w:val="00A01B4D"/>
    <w:rsid w:val="00A01DC7"/>
    <w:rsid w:val="00A01E04"/>
    <w:rsid w:val="00A0208C"/>
    <w:rsid w:val="00A020CC"/>
    <w:rsid w:val="00A028B0"/>
    <w:rsid w:val="00A02ABC"/>
    <w:rsid w:val="00A032C4"/>
    <w:rsid w:val="00A034BD"/>
    <w:rsid w:val="00A03EDD"/>
    <w:rsid w:val="00A043AA"/>
    <w:rsid w:val="00A046E8"/>
    <w:rsid w:val="00A0536E"/>
    <w:rsid w:val="00A069B1"/>
    <w:rsid w:val="00A06A34"/>
    <w:rsid w:val="00A06DD6"/>
    <w:rsid w:val="00A07019"/>
    <w:rsid w:val="00A07228"/>
    <w:rsid w:val="00A0728C"/>
    <w:rsid w:val="00A07483"/>
    <w:rsid w:val="00A07600"/>
    <w:rsid w:val="00A0782D"/>
    <w:rsid w:val="00A0798A"/>
    <w:rsid w:val="00A07E46"/>
    <w:rsid w:val="00A1022F"/>
    <w:rsid w:val="00A104AC"/>
    <w:rsid w:val="00A10A3A"/>
    <w:rsid w:val="00A10AF4"/>
    <w:rsid w:val="00A11195"/>
    <w:rsid w:val="00A11663"/>
    <w:rsid w:val="00A117D0"/>
    <w:rsid w:val="00A11DAC"/>
    <w:rsid w:val="00A12914"/>
    <w:rsid w:val="00A12D18"/>
    <w:rsid w:val="00A12E7D"/>
    <w:rsid w:val="00A13FFA"/>
    <w:rsid w:val="00A144B6"/>
    <w:rsid w:val="00A14DF5"/>
    <w:rsid w:val="00A15734"/>
    <w:rsid w:val="00A15DA9"/>
    <w:rsid w:val="00A1623E"/>
    <w:rsid w:val="00A1641E"/>
    <w:rsid w:val="00A165D9"/>
    <w:rsid w:val="00A167AA"/>
    <w:rsid w:val="00A16814"/>
    <w:rsid w:val="00A16CCF"/>
    <w:rsid w:val="00A16DBD"/>
    <w:rsid w:val="00A16DD0"/>
    <w:rsid w:val="00A171C8"/>
    <w:rsid w:val="00A171C9"/>
    <w:rsid w:val="00A17318"/>
    <w:rsid w:val="00A1759F"/>
    <w:rsid w:val="00A17630"/>
    <w:rsid w:val="00A1764C"/>
    <w:rsid w:val="00A179AF"/>
    <w:rsid w:val="00A17C27"/>
    <w:rsid w:val="00A20062"/>
    <w:rsid w:val="00A20288"/>
    <w:rsid w:val="00A202D4"/>
    <w:rsid w:val="00A20696"/>
    <w:rsid w:val="00A20B8C"/>
    <w:rsid w:val="00A214B7"/>
    <w:rsid w:val="00A21AF7"/>
    <w:rsid w:val="00A22431"/>
    <w:rsid w:val="00A22646"/>
    <w:rsid w:val="00A22A63"/>
    <w:rsid w:val="00A22C96"/>
    <w:rsid w:val="00A23095"/>
    <w:rsid w:val="00A23582"/>
    <w:rsid w:val="00A2393B"/>
    <w:rsid w:val="00A23CDF"/>
    <w:rsid w:val="00A2412D"/>
    <w:rsid w:val="00A2458D"/>
    <w:rsid w:val="00A247B4"/>
    <w:rsid w:val="00A247E5"/>
    <w:rsid w:val="00A24DA7"/>
    <w:rsid w:val="00A24FE2"/>
    <w:rsid w:val="00A251BA"/>
    <w:rsid w:val="00A25530"/>
    <w:rsid w:val="00A26178"/>
    <w:rsid w:val="00A2639F"/>
    <w:rsid w:val="00A264E2"/>
    <w:rsid w:val="00A265A1"/>
    <w:rsid w:val="00A26B5B"/>
    <w:rsid w:val="00A26D30"/>
    <w:rsid w:val="00A271F0"/>
    <w:rsid w:val="00A2732F"/>
    <w:rsid w:val="00A278A7"/>
    <w:rsid w:val="00A27EAD"/>
    <w:rsid w:val="00A27F8F"/>
    <w:rsid w:val="00A304E5"/>
    <w:rsid w:val="00A30635"/>
    <w:rsid w:val="00A306E0"/>
    <w:rsid w:val="00A30894"/>
    <w:rsid w:val="00A308EA"/>
    <w:rsid w:val="00A30C74"/>
    <w:rsid w:val="00A30D1B"/>
    <w:rsid w:val="00A30F56"/>
    <w:rsid w:val="00A31141"/>
    <w:rsid w:val="00A311C8"/>
    <w:rsid w:val="00A32E2D"/>
    <w:rsid w:val="00A32EC5"/>
    <w:rsid w:val="00A33479"/>
    <w:rsid w:val="00A334C1"/>
    <w:rsid w:val="00A33601"/>
    <w:rsid w:val="00A33D9F"/>
    <w:rsid w:val="00A33DCA"/>
    <w:rsid w:val="00A34565"/>
    <w:rsid w:val="00A34D47"/>
    <w:rsid w:val="00A34F1C"/>
    <w:rsid w:val="00A3590C"/>
    <w:rsid w:val="00A35EC3"/>
    <w:rsid w:val="00A36993"/>
    <w:rsid w:val="00A36C94"/>
    <w:rsid w:val="00A36E7C"/>
    <w:rsid w:val="00A37F76"/>
    <w:rsid w:val="00A406F6"/>
    <w:rsid w:val="00A40B3C"/>
    <w:rsid w:val="00A41AF0"/>
    <w:rsid w:val="00A41ECC"/>
    <w:rsid w:val="00A42486"/>
    <w:rsid w:val="00A42FB6"/>
    <w:rsid w:val="00A43475"/>
    <w:rsid w:val="00A43BBF"/>
    <w:rsid w:val="00A43BFF"/>
    <w:rsid w:val="00A43E0F"/>
    <w:rsid w:val="00A445E1"/>
    <w:rsid w:val="00A454B9"/>
    <w:rsid w:val="00A458F6"/>
    <w:rsid w:val="00A45A41"/>
    <w:rsid w:val="00A45AEE"/>
    <w:rsid w:val="00A461C3"/>
    <w:rsid w:val="00A4620B"/>
    <w:rsid w:val="00A46335"/>
    <w:rsid w:val="00A46358"/>
    <w:rsid w:val="00A46C65"/>
    <w:rsid w:val="00A473E4"/>
    <w:rsid w:val="00A475B6"/>
    <w:rsid w:val="00A478A7"/>
    <w:rsid w:val="00A47C7D"/>
    <w:rsid w:val="00A47F06"/>
    <w:rsid w:val="00A5058A"/>
    <w:rsid w:val="00A50CD8"/>
    <w:rsid w:val="00A50EA4"/>
    <w:rsid w:val="00A511FA"/>
    <w:rsid w:val="00A515C6"/>
    <w:rsid w:val="00A51E3E"/>
    <w:rsid w:val="00A5210D"/>
    <w:rsid w:val="00A52CEF"/>
    <w:rsid w:val="00A52F15"/>
    <w:rsid w:val="00A53026"/>
    <w:rsid w:val="00A53330"/>
    <w:rsid w:val="00A539E4"/>
    <w:rsid w:val="00A53A4D"/>
    <w:rsid w:val="00A53D30"/>
    <w:rsid w:val="00A54034"/>
    <w:rsid w:val="00A5413C"/>
    <w:rsid w:val="00A54BB6"/>
    <w:rsid w:val="00A553BF"/>
    <w:rsid w:val="00A565BA"/>
    <w:rsid w:val="00A56BAD"/>
    <w:rsid w:val="00A57269"/>
    <w:rsid w:val="00A576B8"/>
    <w:rsid w:val="00A5778E"/>
    <w:rsid w:val="00A57DFE"/>
    <w:rsid w:val="00A607D7"/>
    <w:rsid w:val="00A6096B"/>
    <w:rsid w:val="00A61155"/>
    <w:rsid w:val="00A61206"/>
    <w:rsid w:val="00A61967"/>
    <w:rsid w:val="00A622E7"/>
    <w:rsid w:val="00A623F7"/>
    <w:rsid w:val="00A62496"/>
    <w:rsid w:val="00A62A08"/>
    <w:rsid w:val="00A62A4B"/>
    <w:rsid w:val="00A62B83"/>
    <w:rsid w:val="00A62E0A"/>
    <w:rsid w:val="00A6378D"/>
    <w:rsid w:val="00A639A4"/>
    <w:rsid w:val="00A64237"/>
    <w:rsid w:val="00A6467D"/>
    <w:rsid w:val="00A6473E"/>
    <w:rsid w:val="00A648E7"/>
    <w:rsid w:val="00A64B27"/>
    <w:rsid w:val="00A6539B"/>
    <w:rsid w:val="00A66AEE"/>
    <w:rsid w:val="00A66E1F"/>
    <w:rsid w:val="00A66F57"/>
    <w:rsid w:val="00A679CE"/>
    <w:rsid w:val="00A67AA3"/>
    <w:rsid w:val="00A67D16"/>
    <w:rsid w:val="00A67E07"/>
    <w:rsid w:val="00A70606"/>
    <w:rsid w:val="00A70C94"/>
    <w:rsid w:val="00A719CC"/>
    <w:rsid w:val="00A72276"/>
    <w:rsid w:val="00A72969"/>
    <w:rsid w:val="00A72DBD"/>
    <w:rsid w:val="00A73571"/>
    <w:rsid w:val="00A73793"/>
    <w:rsid w:val="00A7434A"/>
    <w:rsid w:val="00A7514E"/>
    <w:rsid w:val="00A751A8"/>
    <w:rsid w:val="00A75421"/>
    <w:rsid w:val="00A75543"/>
    <w:rsid w:val="00A75D1B"/>
    <w:rsid w:val="00A75F03"/>
    <w:rsid w:val="00A75F2C"/>
    <w:rsid w:val="00A760FF"/>
    <w:rsid w:val="00A76798"/>
    <w:rsid w:val="00A77D6B"/>
    <w:rsid w:val="00A77E80"/>
    <w:rsid w:val="00A77FF2"/>
    <w:rsid w:val="00A8002F"/>
    <w:rsid w:val="00A803AF"/>
    <w:rsid w:val="00A80ABA"/>
    <w:rsid w:val="00A80D21"/>
    <w:rsid w:val="00A80EC6"/>
    <w:rsid w:val="00A811B1"/>
    <w:rsid w:val="00A8127E"/>
    <w:rsid w:val="00A81BD7"/>
    <w:rsid w:val="00A81D40"/>
    <w:rsid w:val="00A82828"/>
    <w:rsid w:val="00A829CC"/>
    <w:rsid w:val="00A82A0B"/>
    <w:rsid w:val="00A82EA6"/>
    <w:rsid w:val="00A82F8D"/>
    <w:rsid w:val="00A832DB"/>
    <w:rsid w:val="00A833F5"/>
    <w:rsid w:val="00A839AE"/>
    <w:rsid w:val="00A83A78"/>
    <w:rsid w:val="00A83D4D"/>
    <w:rsid w:val="00A83FBC"/>
    <w:rsid w:val="00A8458F"/>
    <w:rsid w:val="00A84AFE"/>
    <w:rsid w:val="00A84D76"/>
    <w:rsid w:val="00A854E1"/>
    <w:rsid w:val="00A85C95"/>
    <w:rsid w:val="00A864AD"/>
    <w:rsid w:val="00A86B32"/>
    <w:rsid w:val="00A872E1"/>
    <w:rsid w:val="00A87A92"/>
    <w:rsid w:val="00A87F00"/>
    <w:rsid w:val="00A87F45"/>
    <w:rsid w:val="00A90410"/>
    <w:rsid w:val="00A905B3"/>
    <w:rsid w:val="00A90642"/>
    <w:rsid w:val="00A90D7F"/>
    <w:rsid w:val="00A90DBB"/>
    <w:rsid w:val="00A91563"/>
    <w:rsid w:val="00A91689"/>
    <w:rsid w:val="00A916FC"/>
    <w:rsid w:val="00A91A3E"/>
    <w:rsid w:val="00A91E2D"/>
    <w:rsid w:val="00A920D8"/>
    <w:rsid w:val="00A925B0"/>
    <w:rsid w:val="00A929EB"/>
    <w:rsid w:val="00A9377B"/>
    <w:rsid w:val="00A93822"/>
    <w:rsid w:val="00A93834"/>
    <w:rsid w:val="00A93E58"/>
    <w:rsid w:val="00A947B5"/>
    <w:rsid w:val="00A94911"/>
    <w:rsid w:val="00A957A7"/>
    <w:rsid w:val="00A95CFD"/>
    <w:rsid w:val="00A96104"/>
    <w:rsid w:val="00A96482"/>
    <w:rsid w:val="00A9670C"/>
    <w:rsid w:val="00A96F20"/>
    <w:rsid w:val="00A975F2"/>
    <w:rsid w:val="00A9788A"/>
    <w:rsid w:val="00A97AAA"/>
    <w:rsid w:val="00A97DAC"/>
    <w:rsid w:val="00A97E21"/>
    <w:rsid w:val="00A97EB6"/>
    <w:rsid w:val="00AA026B"/>
    <w:rsid w:val="00AA0971"/>
    <w:rsid w:val="00AA1DE5"/>
    <w:rsid w:val="00AA259D"/>
    <w:rsid w:val="00AA2A79"/>
    <w:rsid w:val="00AA2D71"/>
    <w:rsid w:val="00AA3E34"/>
    <w:rsid w:val="00AA3F3D"/>
    <w:rsid w:val="00AA41B4"/>
    <w:rsid w:val="00AA422D"/>
    <w:rsid w:val="00AA435D"/>
    <w:rsid w:val="00AA4599"/>
    <w:rsid w:val="00AA46A9"/>
    <w:rsid w:val="00AA4E91"/>
    <w:rsid w:val="00AA5206"/>
    <w:rsid w:val="00AA5A70"/>
    <w:rsid w:val="00AA5E8B"/>
    <w:rsid w:val="00AA5FE7"/>
    <w:rsid w:val="00AA6073"/>
    <w:rsid w:val="00AA6539"/>
    <w:rsid w:val="00AA65D7"/>
    <w:rsid w:val="00AA69BA"/>
    <w:rsid w:val="00AA6CFA"/>
    <w:rsid w:val="00AA6E04"/>
    <w:rsid w:val="00AA6EF7"/>
    <w:rsid w:val="00AA73B4"/>
    <w:rsid w:val="00AB030A"/>
    <w:rsid w:val="00AB0691"/>
    <w:rsid w:val="00AB0927"/>
    <w:rsid w:val="00AB09B1"/>
    <w:rsid w:val="00AB0EDD"/>
    <w:rsid w:val="00AB1095"/>
    <w:rsid w:val="00AB144B"/>
    <w:rsid w:val="00AB14C7"/>
    <w:rsid w:val="00AB15F9"/>
    <w:rsid w:val="00AB1E8D"/>
    <w:rsid w:val="00AB2BC1"/>
    <w:rsid w:val="00AB32F7"/>
    <w:rsid w:val="00AB3359"/>
    <w:rsid w:val="00AB360D"/>
    <w:rsid w:val="00AB3A97"/>
    <w:rsid w:val="00AB4825"/>
    <w:rsid w:val="00AB48BC"/>
    <w:rsid w:val="00AB50D2"/>
    <w:rsid w:val="00AB58B9"/>
    <w:rsid w:val="00AB58FD"/>
    <w:rsid w:val="00AB5F73"/>
    <w:rsid w:val="00AB5F9B"/>
    <w:rsid w:val="00AB60B5"/>
    <w:rsid w:val="00AB619F"/>
    <w:rsid w:val="00AB66DB"/>
    <w:rsid w:val="00AB74EC"/>
    <w:rsid w:val="00AB770E"/>
    <w:rsid w:val="00AB7A1C"/>
    <w:rsid w:val="00AC07BC"/>
    <w:rsid w:val="00AC0AE8"/>
    <w:rsid w:val="00AC0D20"/>
    <w:rsid w:val="00AC0EC2"/>
    <w:rsid w:val="00AC14EC"/>
    <w:rsid w:val="00AC1A51"/>
    <w:rsid w:val="00AC213C"/>
    <w:rsid w:val="00AC27DB"/>
    <w:rsid w:val="00AC34FC"/>
    <w:rsid w:val="00AC3959"/>
    <w:rsid w:val="00AC3980"/>
    <w:rsid w:val="00AC4830"/>
    <w:rsid w:val="00AC4BCC"/>
    <w:rsid w:val="00AC5095"/>
    <w:rsid w:val="00AC58DD"/>
    <w:rsid w:val="00AC5AAC"/>
    <w:rsid w:val="00AC5BB4"/>
    <w:rsid w:val="00AC6D62"/>
    <w:rsid w:val="00AD0668"/>
    <w:rsid w:val="00AD08A4"/>
    <w:rsid w:val="00AD0F5B"/>
    <w:rsid w:val="00AD101C"/>
    <w:rsid w:val="00AD157C"/>
    <w:rsid w:val="00AD15AA"/>
    <w:rsid w:val="00AD1613"/>
    <w:rsid w:val="00AD16F9"/>
    <w:rsid w:val="00AD1706"/>
    <w:rsid w:val="00AD175F"/>
    <w:rsid w:val="00AD2181"/>
    <w:rsid w:val="00AD27DE"/>
    <w:rsid w:val="00AD3007"/>
    <w:rsid w:val="00AD341B"/>
    <w:rsid w:val="00AD3951"/>
    <w:rsid w:val="00AD3FF3"/>
    <w:rsid w:val="00AD42DD"/>
    <w:rsid w:val="00AD4440"/>
    <w:rsid w:val="00AD4830"/>
    <w:rsid w:val="00AD48D5"/>
    <w:rsid w:val="00AD4ACB"/>
    <w:rsid w:val="00AD531F"/>
    <w:rsid w:val="00AD63C9"/>
    <w:rsid w:val="00AD6685"/>
    <w:rsid w:val="00AD70A6"/>
    <w:rsid w:val="00AD719E"/>
    <w:rsid w:val="00AD71C3"/>
    <w:rsid w:val="00AD735A"/>
    <w:rsid w:val="00AD7573"/>
    <w:rsid w:val="00AD78F9"/>
    <w:rsid w:val="00AD79A9"/>
    <w:rsid w:val="00AE07C2"/>
    <w:rsid w:val="00AE08A6"/>
    <w:rsid w:val="00AE08B9"/>
    <w:rsid w:val="00AE14D5"/>
    <w:rsid w:val="00AE1953"/>
    <w:rsid w:val="00AE2126"/>
    <w:rsid w:val="00AE218F"/>
    <w:rsid w:val="00AE25D2"/>
    <w:rsid w:val="00AE260D"/>
    <w:rsid w:val="00AE280A"/>
    <w:rsid w:val="00AE286F"/>
    <w:rsid w:val="00AE2A42"/>
    <w:rsid w:val="00AE2A5B"/>
    <w:rsid w:val="00AE2F7D"/>
    <w:rsid w:val="00AE2FE2"/>
    <w:rsid w:val="00AE315C"/>
    <w:rsid w:val="00AE32BA"/>
    <w:rsid w:val="00AE3456"/>
    <w:rsid w:val="00AE3694"/>
    <w:rsid w:val="00AE38EE"/>
    <w:rsid w:val="00AE3FA2"/>
    <w:rsid w:val="00AE4630"/>
    <w:rsid w:val="00AE4890"/>
    <w:rsid w:val="00AE48FF"/>
    <w:rsid w:val="00AE4E11"/>
    <w:rsid w:val="00AE5491"/>
    <w:rsid w:val="00AE595A"/>
    <w:rsid w:val="00AE59B3"/>
    <w:rsid w:val="00AE5F35"/>
    <w:rsid w:val="00AE5F7C"/>
    <w:rsid w:val="00AE631C"/>
    <w:rsid w:val="00AE6414"/>
    <w:rsid w:val="00AE64E8"/>
    <w:rsid w:val="00AE65F2"/>
    <w:rsid w:val="00AE66A7"/>
    <w:rsid w:val="00AE67CB"/>
    <w:rsid w:val="00AE7111"/>
    <w:rsid w:val="00AE7F8C"/>
    <w:rsid w:val="00AE7FD0"/>
    <w:rsid w:val="00AF03D0"/>
    <w:rsid w:val="00AF0934"/>
    <w:rsid w:val="00AF0B99"/>
    <w:rsid w:val="00AF0C37"/>
    <w:rsid w:val="00AF0F28"/>
    <w:rsid w:val="00AF1211"/>
    <w:rsid w:val="00AF158A"/>
    <w:rsid w:val="00AF1758"/>
    <w:rsid w:val="00AF19F7"/>
    <w:rsid w:val="00AF2A4E"/>
    <w:rsid w:val="00AF2F32"/>
    <w:rsid w:val="00AF316D"/>
    <w:rsid w:val="00AF3308"/>
    <w:rsid w:val="00AF36A6"/>
    <w:rsid w:val="00AF391A"/>
    <w:rsid w:val="00AF42B4"/>
    <w:rsid w:val="00AF445D"/>
    <w:rsid w:val="00AF4C91"/>
    <w:rsid w:val="00AF55C6"/>
    <w:rsid w:val="00AF55D9"/>
    <w:rsid w:val="00AF562D"/>
    <w:rsid w:val="00AF686A"/>
    <w:rsid w:val="00AF73D2"/>
    <w:rsid w:val="00AF7C23"/>
    <w:rsid w:val="00B000A2"/>
    <w:rsid w:val="00B00195"/>
    <w:rsid w:val="00B004EE"/>
    <w:rsid w:val="00B00657"/>
    <w:rsid w:val="00B0148C"/>
    <w:rsid w:val="00B03539"/>
    <w:rsid w:val="00B035D9"/>
    <w:rsid w:val="00B036EE"/>
    <w:rsid w:val="00B043F7"/>
    <w:rsid w:val="00B04CA5"/>
    <w:rsid w:val="00B04F5F"/>
    <w:rsid w:val="00B053B9"/>
    <w:rsid w:val="00B054F5"/>
    <w:rsid w:val="00B05688"/>
    <w:rsid w:val="00B05CFE"/>
    <w:rsid w:val="00B06058"/>
    <w:rsid w:val="00B061CD"/>
    <w:rsid w:val="00B06230"/>
    <w:rsid w:val="00B069A5"/>
    <w:rsid w:val="00B06CAE"/>
    <w:rsid w:val="00B06E56"/>
    <w:rsid w:val="00B07167"/>
    <w:rsid w:val="00B073CC"/>
    <w:rsid w:val="00B073E9"/>
    <w:rsid w:val="00B075FA"/>
    <w:rsid w:val="00B076DE"/>
    <w:rsid w:val="00B107D5"/>
    <w:rsid w:val="00B10B02"/>
    <w:rsid w:val="00B10C6A"/>
    <w:rsid w:val="00B10D1A"/>
    <w:rsid w:val="00B10F7C"/>
    <w:rsid w:val="00B10FAD"/>
    <w:rsid w:val="00B11150"/>
    <w:rsid w:val="00B111BB"/>
    <w:rsid w:val="00B1142D"/>
    <w:rsid w:val="00B1193E"/>
    <w:rsid w:val="00B12195"/>
    <w:rsid w:val="00B1224B"/>
    <w:rsid w:val="00B1239F"/>
    <w:rsid w:val="00B12813"/>
    <w:rsid w:val="00B12BE8"/>
    <w:rsid w:val="00B13107"/>
    <w:rsid w:val="00B1347D"/>
    <w:rsid w:val="00B13AE0"/>
    <w:rsid w:val="00B13D5D"/>
    <w:rsid w:val="00B1485B"/>
    <w:rsid w:val="00B149BE"/>
    <w:rsid w:val="00B14CC5"/>
    <w:rsid w:val="00B14D6D"/>
    <w:rsid w:val="00B15656"/>
    <w:rsid w:val="00B156EE"/>
    <w:rsid w:val="00B1595E"/>
    <w:rsid w:val="00B159BC"/>
    <w:rsid w:val="00B15C44"/>
    <w:rsid w:val="00B163DD"/>
    <w:rsid w:val="00B1676F"/>
    <w:rsid w:val="00B16AD1"/>
    <w:rsid w:val="00B17130"/>
    <w:rsid w:val="00B17967"/>
    <w:rsid w:val="00B17A6D"/>
    <w:rsid w:val="00B2029D"/>
    <w:rsid w:val="00B202BB"/>
    <w:rsid w:val="00B20FCC"/>
    <w:rsid w:val="00B20FD3"/>
    <w:rsid w:val="00B219D2"/>
    <w:rsid w:val="00B21D48"/>
    <w:rsid w:val="00B21E54"/>
    <w:rsid w:val="00B2217E"/>
    <w:rsid w:val="00B224CD"/>
    <w:rsid w:val="00B230C2"/>
    <w:rsid w:val="00B2313D"/>
    <w:rsid w:val="00B23297"/>
    <w:rsid w:val="00B23684"/>
    <w:rsid w:val="00B23C53"/>
    <w:rsid w:val="00B240A7"/>
    <w:rsid w:val="00B24893"/>
    <w:rsid w:val="00B2489B"/>
    <w:rsid w:val="00B24B59"/>
    <w:rsid w:val="00B24D4E"/>
    <w:rsid w:val="00B25055"/>
    <w:rsid w:val="00B252C9"/>
    <w:rsid w:val="00B25444"/>
    <w:rsid w:val="00B255BC"/>
    <w:rsid w:val="00B257A3"/>
    <w:rsid w:val="00B259B6"/>
    <w:rsid w:val="00B25B09"/>
    <w:rsid w:val="00B25BBD"/>
    <w:rsid w:val="00B25BDA"/>
    <w:rsid w:val="00B25E72"/>
    <w:rsid w:val="00B26535"/>
    <w:rsid w:val="00B26665"/>
    <w:rsid w:val="00B26CE2"/>
    <w:rsid w:val="00B26CF7"/>
    <w:rsid w:val="00B276CF"/>
    <w:rsid w:val="00B276EB"/>
    <w:rsid w:val="00B27A4D"/>
    <w:rsid w:val="00B27C8C"/>
    <w:rsid w:val="00B27FB3"/>
    <w:rsid w:val="00B3168B"/>
    <w:rsid w:val="00B31748"/>
    <w:rsid w:val="00B31A31"/>
    <w:rsid w:val="00B31D31"/>
    <w:rsid w:val="00B32323"/>
    <w:rsid w:val="00B32436"/>
    <w:rsid w:val="00B32B39"/>
    <w:rsid w:val="00B32F3F"/>
    <w:rsid w:val="00B33245"/>
    <w:rsid w:val="00B33768"/>
    <w:rsid w:val="00B33CA5"/>
    <w:rsid w:val="00B34269"/>
    <w:rsid w:val="00B355FC"/>
    <w:rsid w:val="00B35C18"/>
    <w:rsid w:val="00B35C1B"/>
    <w:rsid w:val="00B36008"/>
    <w:rsid w:val="00B360DE"/>
    <w:rsid w:val="00B361D8"/>
    <w:rsid w:val="00B36829"/>
    <w:rsid w:val="00B369CF"/>
    <w:rsid w:val="00B37A23"/>
    <w:rsid w:val="00B37C1F"/>
    <w:rsid w:val="00B37DF2"/>
    <w:rsid w:val="00B37F4F"/>
    <w:rsid w:val="00B403FA"/>
    <w:rsid w:val="00B40545"/>
    <w:rsid w:val="00B414BD"/>
    <w:rsid w:val="00B414C0"/>
    <w:rsid w:val="00B4181D"/>
    <w:rsid w:val="00B418E7"/>
    <w:rsid w:val="00B41C01"/>
    <w:rsid w:val="00B41F30"/>
    <w:rsid w:val="00B4256A"/>
    <w:rsid w:val="00B42BE1"/>
    <w:rsid w:val="00B42C9B"/>
    <w:rsid w:val="00B43090"/>
    <w:rsid w:val="00B4323C"/>
    <w:rsid w:val="00B432F5"/>
    <w:rsid w:val="00B434F6"/>
    <w:rsid w:val="00B43801"/>
    <w:rsid w:val="00B4405D"/>
    <w:rsid w:val="00B44500"/>
    <w:rsid w:val="00B448E3"/>
    <w:rsid w:val="00B449A9"/>
    <w:rsid w:val="00B44C78"/>
    <w:rsid w:val="00B44FF7"/>
    <w:rsid w:val="00B45326"/>
    <w:rsid w:val="00B45401"/>
    <w:rsid w:val="00B45805"/>
    <w:rsid w:val="00B4646D"/>
    <w:rsid w:val="00B464E8"/>
    <w:rsid w:val="00B46508"/>
    <w:rsid w:val="00B465E2"/>
    <w:rsid w:val="00B471BC"/>
    <w:rsid w:val="00B47661"/>
    <w:rsid w:val="00B47C91"/>
    <w:rsid w:val="00B47EE3"/>
    <w:rsid w:val="00B50069"/>
    <w:rsid w:val="00B50F2F"/>
    <w:rsid w:val="00B50FF2"/>
    <w:rsid w:val="00B52572"/>
    <w:rsid w:val="00B527C0"/>
    <w:rsid w:val="00B52854"/>
    <w:rsid w:val="00B5289A"/>
    <w:rsid w:val="00B528DC"/>
    <w:rsid w:val="00B52DB7"/>
    <w:rsid w:val="00B531CB"/>
    <w:rsid w:val="00B531F3"/>
    <w:rsid w:val="00B53968"/>
    <w:rsid w:val="00B53B0F"/>
    <w:rsid w:val="00B541A6"/>
    <w:rsid w:val="00B542FB"/>
    <w:rsid w:val="00B55052"/>
    <w:rsid w:val="00B555DD"/>
    <w:rsid w:val="00B55A56"/>
    <w:rsid w:val="00B55C87"/>
    <w:rsid w:val="00B55D63"/>
    <w:rsid w:val="00B56852"/>
    <w:rsid w:val="00B56C29"/>
    <w:rsid w:val="00B56C97"/>
    <w:rsid w:val="00B600FB"/>
    <w:rsid w:val="00B60550"/>
    <w:rsid w:val="00B606B9"/>
    <w:rsid w:val="00B60CF2"/>
    <w:rsid w:val="00B61024"/>
    <w:rsid w:val="00B6142C"/>
    <w:rsid w:val="00B61729"/>
    <w:rsid w:val="00B61BE8"/>
    <w:rsid w:val="00B6323C"/>
    <w:rsid w:val="00B63808"/>
    <w:rsid w:val="00B63B85"/>
    <w:rsid w:val="00B63BBD"/>
    <w:rsid w:val="00B63D2E"/>
    <w:rsid w:val="00B63D4F"/>
    <w:rsid w:val="00B644F9"/>
    <w:rsid w:val="00B64E5B"/>
    <w:rsid w:val="00B65595"/>
    <w:rsid w:val="00B65841"/>
    <w:rsid w:val="00B65855"/>
    <w:rsid w:val="00B65F3E"/>
    <w:rsid w:val="00B660A2"/>
    <w:rsid w:val="00B66183"/>
    <w:rsid w:val="00B661F4"/>
    <w:rsid w:val="00B669D9"/>
    <w:rsid w:val="00B66AE7"/>
    <w:rsid w:val="00B6757B"/>
    <w:rsid w:val="00B67D40"/>
    <w:rsid w:val="00B702ED"/>
    <w:rsid w:val="00B70A26"/>
    <w:rsid w:val="00B71490"/>
    <w:rsid w:val="00B71790"/>
    <w:rsid w:val="00B71FC1"/>
    <w:rsid w:val="00B721B9"/>
    <w:rsid w:val="00B727CD"/>
    <w:rsid w:val="00B72B87"/>
    <w:rsid w:val="00B73387"/>
    <w:rsid w:val="00B73432"/>
    <w:rsid w:val="00B73916"/>
    <w:rsid w:val="00B73A49"/>
    <w:rsid w:val="00B74014"/>
    <w:rsid w:val="00B74461"/>
    <w:rsid w:val="00B74DFA"/>
    <w:rsid w:val="00B74F3F"/>
    <w:rsid w:val="00B753F6"/>
    <w:rsid w:val="00B755CF"/>
    <w:rsid w:val="00B75913"/>
    <w:rsid w:val="00B75A2C"/>
    <w:rsid w:val="00B75C39"/>
    <w:rsid w:val="00B75EF0"/>
    <w:rsid w:val="00B7638F"/>
    <w:rsid w:val="00B763EC"/>
    <w:rsid w:val="00B765AA"/>
    <w:rsid w:val="00B76DAC"/>
    <w:rsid w:val="00B77103"/>
    <w:rsid w:val="00B77188"/>
    <w:rsid w:val="00B77813"/>
    <w:rsid w:val="00B7785E"/>
    <w:rsid w:val="00B779F2"/>
    <w:rsid w:val="00B80756"/>
    <w:rsid w:val="00B80963"/>
    <w:rsid w:val="00B80A46"/>
    <w:rsid w:val="00B80AED"/>
    <w:rsid w:val="00B80D2C"/>
    <w:rsid w:val="00B810F9"/>
    <w:rsid w:val="00B811E2"/>
    <w:rsid w:val="00B8120D"/>
    <w:rsid w:val="00B81C54"/>
    <w:rsid w:val="00B81FBB"/>
    <w:rsid w:val="00B8204F"/>
    <w:rsid w:val="00B82402"/>
    <w:rsid w:val="00B82B2B"/>
    <w:rsid w:val="00B834AE"/>
    <w:rsid w:val="00B835B7"/>
    <w:rsid w:val="00B83850"/>
    <w:rsid w:val="00B84123"/>
    <w:rsid w:val="00B8419C"/>
    <w:rsid w:val="00B842B0"/>
    <w:rsid w:val="00B843FC"/>
    <w:rsid w:val="00B84507"/>
    <w:rsid w:val="00B84B07"/>
    <w:rsid w:val="00B84CE4"/>
    <w:rsid w:val="00B84EB2"/>
    <w:rsid w:val="00B852A1"/>
    <w:rsid w:val="00B852E9"/>
    <w:rsid w:val="00B85DC6"/>
    <w:rsid w:val="00B85F7F"/>
    <w:rsid w:val="00B86C83"/>
    <w:rsid w:val="00B90344"/>
    <w:rsid w:val="00B903F3"/>
    <w:rsid w:val="00B904D5"/>
    <w:rsid w:val="00B9051D"/>
    <w:rsid w:val="00B90B89"/>
    <w:rsid w:val="00B91161"/>
    <w:rsid w:val="00B91372"/>
    <w:rsid w:val="00B91507"/>
    <w:rsid w:val="00B9168E"/>
    <w:rsid w:val="00B91FF8"/>
    <w:rsid w:val="00B928B5"/>
    <w:rsid w:val="00B93231"/>
    <w:rsid w:val="00B933A2"/>
    <w:rsid w:val="00B93577"/>
    <w:rsid w:val="00B936B5"/>
    <w:rsid w:val="00B9406A"/>
    <w:rsid w:val="00B94614"/>
    <w:rsid w:val="00B948AE"/>
    <w:rsid w:val="00B94BA9"/>
    <w:rsid w:val="00B94CAA"/>
    <w:rsid w:val="00B94EB6"/>
    <w:rsid w:val="00B95374"/>
    <w:rsid w:val="00B957BE"/>
    <w:rsid w:val="00B95DF7"/>
    <w:rsid w:val="00B96199"/>
    <w:rsid w:val="00B96AA0"/>
    <w:rsid w:val="00B96EE9"/>
    <w:rsid w:val="00B97F62"/>
    <w:rsid w:val="00BA02F2"/>
    <w:rsid w:val="00BA1031"/>
    <w:rsid w:val="00BA164A"/>
    <w:rsid w:val="00BA18C6"/>
    <w:rsid w:val="00BA18FB"/>
    <w:rsid w:val="00BA1F00"/>
    <w:rsid w:val="00BA2235"/>
    <w:rsid w:val="00BA257E"/>
    <w:rsid w:val="00BA26FF"/>
    <w:rsid w:val="00BA28CB"/>
    <w:rsid w:val="00BA3043"/>
    <w:rsid w:val="00BA30B9"/>
    <w:rsid w:val="00BA31C1"/>
    <w:rsid w:val="00BA39F5"/>
    <w:rsid w:val="00BA3F6D"/>
    <w:rsid w:val="00BA4058"/>
    <w:rsid w:val="00BA4E3E"/>
    <w:rsid w:val="00BA4E4D"/>
    <w:rsid w:val="00BA540A"/>
    <w:rsid w:val="00BA55A3"/>
    <w:rsid w:val="00BA5853"/>
    <w:rsid w:val="00BA5925"/>
    <w:rsid w:val="00BA5CC7"/>
    <w:rsid w:val="00BA6081"/>
    <w:rsid w:val="00BA617E"/>
    <w:rsid w:val="00BA6812"/>
    <w:rsid w:val="00BA6A0C"/>
    <w:rsid w:val="00BA6C32"/>
    <w:rsid w:val="00BA6CBB"/>
    <w:rsid w:val="00BA6F53"/>
    <w:rsid w:val="00BA74FD"/>
    <w:rsid w:val="00BB08A5"/>
    <w:rsid w:val="00BB0EF5"/>
    <w:rsid w:val="00BB10B4"/>
    <w:rsid w:val="00BB11AB"/>
    <w:rsid w:val="00BB171E"/>
    <w:rsid w:val="00BB19D7"/>
    <w:rsid w:val="00BB2005"/>
    <w:rsid w:val="00BB20BA"/>
    <w:rsid w:val="00BB2215"/>
    <w:rsid w:val="00BB2AB0"/>
    <w:rsid w:val="00BB30C0"/>
    <w:rsid w:val="00BB3293"/>
    <w:rsid w:val="00BB333B"/>
    <w:rsid w:val="00BB38AA"/>
    <w:rsid w:val="00BB40BF"/>
    <w:rsid w:val="00BB4228"/>
    <w:rsid w:val="00BB5253"/>
    <w:rsid w:val="00BB57B7"/>
    <w:rsid w:val="00BB59CF"/>
    <w:rsid w:val="00BB5ECA"/>
    <w:rsid w:val="00BB6640"/>
    <w:rsid w:val="00BB6746"/>
    <w:rsid w:val="00BB67D3"/>
    <w:rsid w:val="00BB69FB"/>
    <w:rsid w:val="00BB6BDC"/>
    <w:rsid w:val="00BB77E6"/>
    <w:rsid w:val="00BB79ED"/>
    <w:rsid w:val="00BB7A0E"/>
    <w:rsid w:val="00BC047A"/>
    <w:rsid w:val="00BC0687"/>
    <w:rsid w:val="00BC0D41"/>
    <w:rsid w:val="00BC0D97"/>
    <w:rsid w:val="00BC0FE2"/>
    <w:rsid w:val="00BC0FFA"/>
    <w:rsid w:val="00BC11C2"/>
    <w:rsid w:val="00BC11FC"/>
    <w:rsid w:val="00BC1339"/>
    <w:rsid w:val="00BC1AD7"/>
    <w:rsid w:val="00BC20E4"/>
    <w:rsid w:val="00BC2136"/>
    <w:rsid w:val="00BC2526"/>
    <w:rsid w:val="00BC2C87"/>
    <w:rsid w:val="00BC30AF"/>
    <w:rsid w:val="00BC36CF"/>
    <w:rsid w:val="00BC420B"/>
    <w:rsid w:val="00BC47D5"/>
    <w:rsid w:val="00BC4D3D"/>
    <w:rsid w:val="00BC4E80"/>
    <w:rsid w:val="00BC4FAF"/>
    <w:rsid w:val="00BC5318"/>
    <w:rsid w:val="00BC55EB"/>
    <w:rsid w:val="00BC6174"/>
    <w:rsid w:val="00BC6585"/>
    <w:rsid w:val="00BC65FF"/>
    <w:rsid w:val="00BC70E3"/>
    <w:rsid w:val="00BC730C"/>
    <w:rsid w:val="00BC78B1"/>
    <w:rsid w:val="00BD0404"/>
    <w:rsid w:val="00BD06D1"/>
    <w:rsid w:val="00BD0D2E"/>
    <w:rsid w:val="00BD0D79"/>
    <w:rsid w:val="00BD11E9"/>
    <w:rsid w:val="00BD1544"/>
    <w:rsid w:val="00BD1A61"/>
    <w:rsid w:val="00BD1EC6"/>
    <w:rsid w:val="00BD1F33"/>
    <w:rsid w:val="00BD2103"/>
    <w:rsid w:val="00BD231F"/>
    <w:rsid w:val="00BD26D4"/>
    <w:rsid w:val="00BD2A87"/>
    <w:rsid w:val="00BD37EC"/>
    <w:rsid w:val="00BD3938"/>
    <w:rsid w:val="00BD41BE"/>
    <w:rsid w:val="00BD450F"/>
    <w:rsid w:val="00BD5341"/>
    <w:rsid w:val="00BD5456"/>
    <w:rsid w:val="00BD571B"/>
    <w:rsid w:val="00BD58F2"/>
    <w:rsid w:val="00BD5BE1"/>
    <w:rsid w:val="00BD5BF6"/>
    <w:rsid w:val="00BD608B"/>
    <w:rsid w:val="00BD6139"/>
    <w:rsid w:val="00BD6216"/>
    <w:rsid w:val="00BD636E"/>
    <w:rsid w:val="00BD660A"/>
    <w:rsid w:val="00BD6E5D"/>
    <w:rsid w:val="00BD6EF6"/>
    <w:rsid w:val="00BD7094"/>
    <w:rsid w:val="00BD71AD"/>
    <w:rsid w:val="00BD78DE"/>
    <w:rsid w:val="00BD7C71"/>
    <w:rsid w:val="00BD7DCC"/>
    <w:rsid w:val="00BD7FD6"/>
    <w:rsid w:val="00BE0E3E"/>
    <w:rsid w:val="00BE106C"/>
    <w:rsid w:val="00BE179F"/>
    <w:rsid w:val="00BE2452"/>
    <w:rsid w:val="00BE2BF3"/>
    <w:rsid w:val="00BE2C55"/>
    <w:rsid w:val="00BE2EBD"/>
    <w:rsid w:val="00BE32EE"/>
    <w:rsid w:val="00BE360C"/>
    <w:rsid w:val="00BE3E21"/>
    <w:rsid w:val="00BE544F"/>
    <w:rsid w:val="00BE5D1B"/>
    <w:rsid w:val="00BE655F"/>
    <w:rsid w:val="00BE6C0E"/>
    <w:rsid w:val="00BE6E8B"/>
    <w:rsid w:val="00BE6E95"/>
    <w:rsid w:val="00BE6EC9"/>
    <w:rsid w:val="00BE71D4"/>
    <w:rsid w:val="00BE7684"/>
    <w:rsid w:val="00BE77A9"/>
    <w:rsid w:val="00BF053C"/>
    <w:rsid w:val="00BF076E"/>
    <w:rsid w:val="00BF0905"/>
    <w:rsid w:val="00BF0942"/>
    <w:rsid w:val="00BF0962"/>
    <w:rsid w:val="00BF0AA8"/>
    <w:rsid w:val="00BF13A1"/>
    <w:rsid w:val="00BF13C8"/>
    <w:rsid w:val="00BF2089"/>
    <w:rsid w:val="00BF2103"/>
    <w:rsid w:val="00BF2599"/>
    <w:rsid w:val="00BF31F9"/>
    <w:rsid w:val="00BF3BCC"/>
    <w:rsid w:val="00BF45CA"/>
    <w:rsid w:val="00BF4B0F"/>
    <w:rsid w:val="00BF4E12"/>
    <w:rsid w:val="00BF4F66"/>
    <w:rsid w:val="00BF52E9"/>
    <w:rsid w:val="00BF57E7"/>
    <w:rsid w:val="00BF591D"/>
    <w:rsid w:val="00BF5D27"/>
    <w:rsid w:val="00BF5D93"/>
    <w:rsid w:val="00BF5F87"/>
    <w:rsid w:val="00BF66F3"/>
    <w:rsid w:val="00BF66F5"/>
    <w:rsid w:val="00BF6B07"/>
    <w:rsid w:val="00BF738F"/>
    <w:rsid w:val="00BF7767"/>
    <w:rsid w:val="00BF7B41"/>
    <w:rsid w:val="00BF7B8F"/>
    <w:rsid w:val="00C0007E"/>
    <w:rsid w:val="00C002E6"/>
    <w:rsid w:val="00C005AC"/>
    <w:rsid w:val="00C006B6"/>
    <w:rsid w:val="00C007C0"/>
    <w:rsid w:val="00C00AC7"/>
    <w:rsid w:val="00C0115E"/>
    <w:rsid w:val="00C011CC"/>
    <w:rsid w:val="00C01531"/>
    <w:rsid w:val="00C0169C"/>
    <w:rsid w:val="00C019BB"/>
    <w:rsid w:val="00C01BA7"/>
    <w:rsid w:val="00C0208D"/>
    <w:rsid w:val="00C0213D"/>
    <w:rsid w:val="00C02620"/>
    <w:rsid w:val="00C0301A"/>
    <w:rsid w:val="00C0367C"/>
    <w:rsid w:val="00C03C75"/>
    <w:rsid w:val="00C03D22"/>
    <w:rsid w:val="00C03D87"/>
    <w:rsid w:val="00C03F28"/>
    <w:rsid w:val="00C04514"/>
    <w:rsid w:val="00C04BED"/>
    <w:rsid w:val="00C04DFF"/>
    <w:rsid w:val="00C04F4B"/>
    <w:rsid w:val="00C053F7"/>
    <w:rsid w:val="00C0565D"/>
    <w:rsid w:val="00C05E83"/>
    <w:rsid w:val="00C06395"/>
    <w:rsid w:val="00C06A05"/>
    <w:rsid w:val="00C06A62"/>
    <w:rsid w:val="00C07371"/>
    <w:rsid w:val="00C07823"/>
    <w:rsid w:val="00C07869"/>
    <w:rsid w:val="00C079EA"/>
    <w:rsid w:val="00C07AAA"/>
    <w:rsid w:val="00C10320"/>
    <w:rsid w:val="00C107DE"/>
    <w:rsid w:val="00C108EB"/>
    <w:rsid w:val="00C10CD1"/>
    <w:rsid w:val="00C10DD8"/>
    <w:rsid w:val="00C111BA"/>
    <w:rsid w:val="00C113F1"/>
    <w:rsid w:val="00C11599"/>
    <w:rsid w:val="00C11D05"/>
    <w:rsid w:val="00C11D68"/>
    <w:rsid w:val="00C1265F"/>
    <w:rsid w:val="00C13DE4"/>
    <w:rsid w:val="00C14494"/>
    <w:rsid w:val="00C14D9B"/>
    <w:rsid w:val="00C14E45"/>
    <w:rsid w:val="00C150FB"/>
    <w:rsid w:val="00C15B39"/>
    <w:rsid w:val="00C15FEF"/>
    <w:rsid w:val="00C16799"/>
    <w:rsid w:val="00C1690C"/>
    <w:rsid w:val="00C16F03"/>
    <w:rsid w:val="00C16F2F"/>
    <w:rsid w:val="00C173C0"/>
    <w:rsid w:val="00C17A5F"/>
    <w:rsid w:val="00C17ADB"/>
    <w:rsid w:val="00C20069"/>
    <w:rsid w:val="00C201AB"/>
    <w:rsid w:val="00C20217"/>
    <w:rsid w:val="00C20C00"/>
    <w:rsid w:val="00C2101E"/>
    <w:rsid w:val="00C2106A"/>
    <w:rsid w:val="00C210D0"/>
    <w:rsid w:val="00C212A7"/>
    <w:rsid w:val="00C217FF"/>
    <w:rsid w:val="00C21AE9"/>
    <w:rsid w:val="00C21D88"/>
    <w:rsid w:val="00C22196"/>
    <w:rsid w:val="00C22262"/>
    <w:rsid w:val="00C2236E"/>
    <w:rsid w:val="00C22478"/>
    <w:rsid w:val="00C226CC"/>
    <w:rsid w:val="00C22A12"/>
    <w:rsid w:val="00C22B67"/>
    <w:rsid w:val="00C22F2A"/>
    <w:rsid w:val="00C23151"/>
    <w:rsid w:val="00C23192"/>
    <w:rsid w:val="00C23300"/>
    <w:rsid w:val="00C2359A"/>
    <w:rsid w:val="00C23CD6"/>
    <w:rsid w:val="00C23CFD"/>
    <w:rsid w:val="00C2429B"/>
    <w:rsid w:val="00C24A4C"/>
    <w:rsid w:val="00C24C3D"/>
    <w:rsid w:val="00C24D5A"/>
    <w:rsid w:val="00C24E44"/>
    <w:rsid w:val="00C251CB"/>
    <w:rsid w:val="00C25207"/>
    <w:rsid w:val="00C253D6"/>
    <w:rsid w:val="00C257EF"/>
    <w:rsid w:val="00C26644"/>
    <w:rsid w:val="00C26821"/>
    <w:rsid w:val="00C26F2B"/>
    <w:rsid w:val="00C2704F"/>
    <w:rsid w:val="00C276A9"/>
    <w:rsid w:val="00C277BA"/>
    <w:rsid w:val="00C27C56"/>
    <w:rsid w:val="00C30164"/>
    <w:rsid w:val="00C309E0"/>
    <w:rsid w:val="00C316ED"/>
    <w:rsid w:val="00C31836"/>
    <w:rsid w:val="00C31F00"/>
    <w:rsid w:val="00C32BB5"/>
    <w:rsid w:val="00C32CF8"/>
    <w:rsid w:val="00C330FF"/>
    <w:rsid w:val="00C331AC"/>
    <w:rsid w:val="00C331FD"/>
    <w:rsid w:val="00C33989"/>
    <w:rsid w:val="00C33FE7"/>
    <w:rsid w:val="00C341A0"/>
    <w:rsid w:val="00C34616"/>
    <w:rsid w:val="00C3461F"/>
    <w:rsid w:val="00C34FB1"/>
    <w:rsid w:val="00C34FD9"/>
    <w:rsid w:val="00C3559C"/>
    <w:rsid w:val="00C35A37"/>
    <w:rsid w:val="00C36018"/>
    <w:rsid w:val="00C3603A"/>
    <w:rsid w:val="00C36668"/>
    <w:rsid w:val="00C366B8"/>
    <w:rsid w:val="00C36AA8"/>
    <w:rsid w:val="00C370F6"/>
    <w:rsid w:val="00C373BA"/>
    <w:rsid w:val="00C37487"/>
    <w:rsid w:val="00C376EB"/>
    <w:rsid w:val="00C37AF8"/>
    <w:rsid w:val="00C37E28"/>
    <w:rsid w:val="00C37E64"/>
    <w:rsid w:val="00C400F2"/>
    <w:rsid w:val="00C4082D"/>
    <w:rsid w:val="00C40A0B"/>
    <w:rsid w:val="00C40A79"/>
    <w:rsid w:val="00C40BEB"/>
    <w:rsid w:val="00C40DCB"/>
    <w:rsid w:val="00C41261"/>
    <w:rsid w:val="00C414AF"/>
    <w:rsid w:val="00C41DCC"/>
    <w:rsid w:val="00C424C3"/>
    <w:rsid w:val="00C429AA"/>
    <w:rsid w:val="00C43008"/>
    <w:rsid w:val="00C4302C"/>
    <w:rsid w:val="00C43479"/>
    <w:rsid w:val="00C43D5F"/>
    <w:rsid w:val="00C43DC2"/>
    <w:rsid w:val="00C4457A"/>
    <w:rsid w:val="00C44DA0"/>
    <w:rsid w:val="00C45397"/>
    <w:rsid w:val="00C45AA0"/>
    <w:rsid w:val="00C46631"/>
    <w:rsid w:val="00C473C1"/>
    <w:rsid w:val="00C478A1"/>
    <w:rsid w:val="00C47E06"/>
    <w:rsid w:val="00C47E1D"/>
    <w:rsid w:val="00C47F3F"/>
    <w:rsid w:val="00C5000E"/>
    <w:rsid w:val="00C5009E"/>
    <w:rsid w:val="00C50331"/>
    <w:rsid w:val="00C50CCE"/>
    <w:rsid w:val="00C51D6C"/>
    <w:rsid w:val="00C51E6B"/>
    <w:rsid w:val="00C5220D"/>
    <w:rsid w:val="00C522A0"/>
    <w:rsid w:val="00C52512"/>
    <w:rsid w:val="00C5262E"/>
    <w:rsid w:val="00C52A84"/>
    <w:rsid w:val="00C52F05"/>
    <w:rsid w:val="00C53199"/>
    <w:rsid w:val="00C531C8"/>
    <w:rsid w:val="00C534FD"/>
    <w:rsid w:val="00C53FB7"/>
    <w:rsid w:val="00C54C9C"/>
    <w:rsid w:val="00C54D4E"/>
    <w:rsid w:val="00C551B2"/>
    <w:rsid w:val="00C55791"/>
    <w:rsid w:val="00C557E9"/>
    <w:rsid w:val="00C55FF9"/>
    <w:rsid w:val="00C562CB"/>
    <w:rsid w:val="00C5657E"/>
    <w:rsid w:val="00C5692D"/>
    <w:rsid w:val="00C57508"/>
    <w:rsid w:val="00C57D4D"/>
    <w:rsid w:val="00C57DC1"/>
    <w:rsid w:val="00C600BF"/>
    <w:rsid w:val="00C60B4F"/>
    <w:rsid w:val="00C61285"/>
    <w:rsid w:val="00C614C5"/>
    <w:rsid w:val="00C61816"/>
    <w:rsid w:val="00C61E0E"/>
    <w:rsid w:val="00C61FBE"/>
    <w:rsid w:val="00C62040"/>
    <w:rsid w:val="00C625C2"/>
    <w:rsid w:val="00C62779"/>
    <w:rsid w:val="00C63A9B"/>
    <w:rsid w:val="00C63F5C"/>
    <w:rsid w:val="00C6403F"/>
    <w:rsid w:val="00C6486E"/>
    <w:rsid w:val="00C648B9"/>
    <w:rsid w:val="00C6543A"/>
    <w:rsid w:val="00C65527"/>
    <w:rsid w:val="00C657DA"/>
    <w:rsid w:val="00C65966"/>
    <w:rsid w:val="00C65C3A"/>
    <w:rsid w:val="00C65FD5"/>
    <w:rsid w:val="00C6607A"/>
    <w:rsid w:val="00C66792"/>
    <w:rsid w:val="00C668EC"/>
    <w:rsid w:val="00C66AF2"/>
    <w:rsid w:val="00C66D44"/>
    <w:rsid w:val="00C67B75"/>
    <w:rsid w:val="00C67E6E"/>
    <w:rsid w:val="00C7011F"/>
    <w:rsid w:val="00C701FC"/>
    <w:rsid w:val="00C7054D"/>
    <w:rsid w:val="00C706FA"/>
    <w:rsid w:val="00C70FD7"/>
    <w:rsid w:val="00C71352"/>
    <w:rsid w:val="00C71451"/>
    <w:rsid w:val="00C71F2B"/>
    <w:rsid w:val="00C71F92"/>
    <w:rsid w:val="00C72CA4"/>
    <w:rsid w:val="00C73426"/>
    <w:rsid w:val="00C735C1"/>
    <w:rsid w:val="00C73EE0"/>
    <w:rsid w:val="00C73F83"/>
    <w:rsid w:val="00C74198"/>
    <w:rsid w:val="00C74841"/>
    <w:rsid w:val="00C74C64"/>
    <w:rsid w:val="00C753DE"/>
    <w:rsid w:val="00C754AD"/>
    <w:rsid w:val="00C75A9E"/>
    <w:rsid w:val="00C75B7F"/>
    <w:rsid w:val="00C7606B"/>
    <w:rsid w:val="00C76626"/>
    <w:rsid w:val="00C766B7"/>
    <w:rsid w:val="00C76743"/>
    <w:rsid w:val="00C7689F"/>
    <w:rsid w:val="00C76DFB"/>
    <w:rsid w:val="00C771D6"/>
    <w:rsid w:val="00C772D1"/>
    <w:rsid w:val="00C77380"/>
    <w:rsid w:val="00C775A9"/>
    <w:rsid w:val="00C77B2F"/>
    <w:rsid w:val="00C77FF2"/>
    <w:rsid w:val="00C80002"/>
    <w:rsid w:val="00C80034"/>
    <w:rsid w:val="00C81378"/>
    <w:rsid w:val="00C81498"/>
    <w:rsid w:val="00C81596"/>
    <w:rsid w:val="00C81F43"/>
    <w:rsid w:val="00C8228E"/>
    <w:rsid w:val="00C83489"/>
    <w:rsid w:val="00C8361E"/>
    <w:rsid w:val="00C8378A"/>
    <w:rsid w:val="00C84437"/>
    <w:rsid w:val="00C84D6F"/>
    <w:rsid w:val="00C8585E"/>
    <w:rsid w:val="00C85ACA"/>
    <w:rsid w:val="00C85B19"/>
    <w:rsid w:val="00C86265"/>
    <w:rsid w:val="00C869B1"/>
    <w:rsid w:val="00C873A8"/>
    <w:rsid w:val="00C879C0"/>
    <w:rsid w:val="00C87BB0"/>
    <w:rsid w:val="00C9004C"/>
    <w:rsid w:val="00C904C5"/>
    <w:rsid w:val="00C9156B"/>
    <w:rsid w:val="00C91E1E"/>
    <w:rsid w:val="00C9267A"/>
    <w:rsid w:val="00C92DAB"/>
    <w:rsid w:val="00C93133"/>
    <w:rsid w:val="00C9375A"/>
    <w:rsid w:val="00C937B7"/>
    <w:rsid w:val="00C939E1"/>
    <w:rsid w:val="00C93C3C"/>
    <w:rsid w:val="00C93C69"/>
    <w:rsid w:val="00C946B7"/>
    <w:rsid w:val="00C946FF"/>
    <w:rsid w:val="00C94EB5"/>
    <w:rsid w:val="00C95082"/>
    <w:rsid w:val="00C95397"/>
    <w:rsid w:val="00C95668"/>
    <w:rsid w:val="00C95780"/>
    <w:rsid w:val="00C959D1"/>
    <w:rsid w:val="00C95E48"/>
    <w:rsid w:val="00C964E2"/>
    <w:rsid w:val="00C9676F"/>
    <w:rsid w:val="00C969A6"/>
    <w:rsid w:val="00C969F1"/>
    <w:rsid w:val="00C96A5A"/>
    <w:rsid w:val="00C96B88"/>
    <w:rsid w:val="00C96CDE"/>
    <w:rsid w:val="00C96EC1"/>
    <w:rsid w:val="00C97045"/>
    <w:rsid w:val="00C971A7"/>
    <w:rsid w:val="00C976E9"/>
    <w:rsid w:val="00C97A6A"/>
    <w:rsid w:val="00C97EE3"/>
    <w:rsid w:val="00CA0851"/>
    <w:rsid w:val="00CA23C9"/>
    <w:rsid w:val="00CA2581"/>
    <w:rsid w:val="00CA2CAA"/>
    <w:rsid w:val="00CA3052"/>
    <w:rsid w:val="00CA3275"/>
    <w:rsid w:val="00CA331A"/>
    <w:rsid w:val="00CA3361"/>
    <w:rsid w:val="00CA33CC"/>
    <w:rsid w:val="00CA368D"/>
    <w:rsid w:val="00CA3853"/>
    <w:rsid w:val="00CA42E9"/>
    <w:rsid w:val="00CA4688"/>
    <w:rsid w:val="00CA547C"/>
    <w:rsid w:val="00CA5E16"/>
    <w:rsid w:val="00CA620F"/>
    <w:rsid w:val="00CA69EC"/>
    <w:rsid w:val="00CA7320"/>
    <w:rsid w:val="00CB00BB"/>
    <w:rsid w:val="00CB01BF"/>
    <w:rsid w:val="00CB0822"/>
    <w:rsid w:val="00CB0CAE"/>
    <w:rsid w:val="00CB0DEA"/>
    <w:rsid w:val="00CB13B3"/>
    <w:rsid w:val="00CB20AA"/>
    <w:rsid w:val="00CB2DBB"/>
    <w:rsid w:val="00CB35E0"/>
    <w:rsid w:val="00CB4A1C"/>
    <w:rsid w:val="00CB4FAD"/>
    <w:rsid w:val="00CB5033"/>
    <w:rsid w:val="00CB5190"/>
    <w:rsid w:val="00CB5752"/>
    <w:rsid w:val="00CB6710"/>
    <w:rsid w:val="00CB74A4"/>
    <w:rsid w:val="00CB76EB"/>
    <w:rsid w:val="00CB77C9"/>
    <w:rsid w:val="00CB7EB4"/>
    <w:rsid w:val="00CB7FA1"/>
    <w:rsid w:val="00CC0344"/>
    <w:rsid w:val="00CC0A63"/>
    <w:rsid w:val="00CC0BEB"/>
    <w:rsid w:val="00CC11BB"/>
    <w:rsid w:val="00CC1382"/>
    <w:rsid w:val="00CC2279"/>
    <w:rsid w:val="00CC29F7"/>
    <w:rsid w:val="00CC318A"/>
    <w:rsid w:val="00CC3348"/>
    <w:rsid w:val="00CC342B"/>
    <w:rsid w:val="00CC350B"/>
    <w:rsid w:val="00CC36F0"/>
    <w:rsid w:val="00CC39C8"/>
    <w:rsid w:val="00CC3AA3"/>
    <w:rsid w:val="00CC3C17"/>
    <w:rsid w:val="00CC3D55"/>
    <w:rsid w:val="00CC44EF"/>
    <w:rsid w:val="00CC4AD7"/>
    <w:rsid w:val="00CC4FB4"/>
    <w:rsid w:val="00CC513E"/>
    <w:rsid w:val="00CC57D9"/>
    <w:rsid w:val="00CC5F67"/>
    <w:rsid w:val="00CC60B2"/>
    <w:rsid w:val="00CC65C4"/>
    <w:rsid w:val="00CC68A0"/>
    <w:rsid w:val="00CC797D"/>
    <w:rsid w:val="00CC7F8F"/>
    <w:rsid w:val="00CD0014"/>
    <w:rsid w:val="00CD044A"/>
    <w:rsid w:val="00CD0552"/>
    <w:rsid w:val="00CD085B"/>
    <w:rsid w:val="00CD0888"/>
    <w:rsid w:val="00CD08D5"/>
    <w:rsid w:val="00CD0A6A"/>
    <w:rsid w:val="00CD149C"/>
    <w:rsid w:val="00CD1900"/>
    <w:rsid w:val="00CD1B81"/>
    <w:rsid w:val="00CD1D7E"/>
    <w:rsid w:val="00CD2302"/>
    <w:rsid w:val="00CD27A7"/>
    <w:rsid w:val="00CD28C0"/>
    <w:rsid w:val="00CD3779"/>
    <w:rsid w:val="00CD39EC"/>
    <w:rsid w:val="00CD47BB"/>
    <w:rsid w:val="00CD49F0"/>
    <w:rsid w:val="00CD523B"/>
    <w:rsid w:val="00CD570F"/>
    <w:rsid w:val="00CD63A9"/>
    <w:rsid w:val="00CD6468"/>
    <w:rsid w:val="00CD650A"/>
    <w:rsid w:val="00CD66C7"/>
    <w:rsid w:val="00CD6E9C"/>
    <w:rsid w:val="00CD7577"/>
    <w:rsid w:val="00CD78BE"/>
    <w:rsid w:val="00CD7AAE"/>
    <w:rsid w:val="00CD7EE6"/>
    <w:rsid w:val="00CE06CA"/>
    <w:rsid w:val="00CE0DAD"/>
    <w:rsid w:val="00CE124F"/>
    <w:rsid w:val="00CE13F5"/>
    <w:rsid w:val="00CE17DF"/>
    <w:rsid w:val="00CE18D0"/>
    <w:rsid w:val="00CE21D3"/>
    <w:rsid w:val="00CE2464"/>
    <w:rsid w:val="00CE2811"/>
    <w:rsid w:val="00CE2926"/>
    <w:rsid w:val="00CE2FB4"/>
    <w:rsid w:val="00CE339D"/>
    <w:rsid w:val="00CE3702"/>
    <w:rsid w:val="00CE39D0"/>
    <w:rsid w:val="00CE4322"/>
    <w:rsid w:val="00CE4650"/>
    <w:rsid w:val="00CE47D0"/>
    <w:rsid w:val="00CE48C4"/>
    <w:rsid w:val="00CE4A6B"/>
    <w:rsid w:val="00CE5AF0"/>
    <w:rsid w:val="00CE5B36"/>
    <w:rsid w:val="00CE6166"/>
    <w:rsid w:val="00CE6349"/>
    <w:rsid w:val="00CE6862"/>
    <w:rsid w:val="00CE6EEE"/>
    <w:rsid w:val="00CE7D5E"/>
    <w:rsid w:val="00CF0095"/>
    <w:rsid w:val="00CF01F8"/>
    <w:rsid w:val="00CF0304"/>
    <w:rsid w:val="00CF093F"/>
    <w:rsid w:val="00CF0DF5"/>
    <w:rsid w:val="00CF1164"/>
    <w:rsid w:val="00CF1526"/>
    <w:rsid w:val="00CF16B2"/>
    <w:rsid w:val="00CF1999"/>
    <w:rsid w:val="00CF21E9"/>
    <w:rsid w:val="00CF229D"/>
    <w:rsid w:val="00CF23EC"/>
    <w:rsid w:val="00CF2861"/>
    <w:rsid w:val="00CF291C"/>
    <w:rsid w:val="00CF2E09"/>
    <w:rsid w:val="00CF30A7"/>
    <w:rsid w:val="00CF333F"/>
    <w:rsid w:val="00CF3735"/>
    <w:rsid w:val="00CF3C43"/>
    <w:rsid w:val="00CF3C55"/>
    <w:rsid w:val="00CF42D6"/>
    <w:rsid w:val="00CF496A"/>
    <w:rsid w:val="00CF4CFC"/>
    <w:rsid w:val="00CF5DFF"/>
    <w:rsid w:val="00CF5E7C"/>
    <w:rsid w:val="00CF60C0"/>
    <w:rsid w:val="00CF6178"/>
    <w:rsid w:val="00CF6A28"/>
    <w:rsid w:val="00CF6B7D"/>
    <w:rsid w:val="00CF6C79"/>
    <w:rsid w:val="00CF71A6"/>
    <w:rsid w:val="00CF7265"/>
    <w:rsid w:val="00CF7790"/>
    <w:rsid w:val="00D007E7"/>
    <w:rsid w:val="00D00F6A"/>
    <w:rsid w:val="00D01377"/>
    <w:rsid w:val="00D0182B"/>
    <w:rsid w:val="00D01B62"/>
    <w:rsid w:val="00D01DF0"/>
    <w:rsid w:val="00D021EB"/>
    <w:rsid w:val="00D0234B"/>
    <w:rsid w:val="00D023AF"/>
    <w:rsid w:val="00D03401"/>
    <w:rsid w:val="00D035ED"/>
    <w:rsid w:val="00D0414F"/>
    <w:rsid w:val="00D0421C"/>
    <w:rsid w:val="00D04A41"/>
    <w:rsid w:val="00D052D4"/>
    <w:rsid w:val="00D0579C"/>
    <w:rsid w:val="00D061CA"/>
    <w:rsid w:val="00D06502"/>
    <w:rsid w:val="00D066E5"/>
    <w:rsid w:val="00D06AC5"/>
    <w:rsid w:val="00D06BA2"/>
    <w:rsid w:val="00D0752C"/>
    <w:rsid w:val="00D07734"/>
    <w:rsid w:val="00D07791"/>
    <w:rsid w:val="00D077D3"/>
    <w:rsid w:val="00D079FE"/>
    <w:rsid w:val="00D07C28"/>
    <w:rsid w:val="00D07D84"/>
    <w:rsid w:val="00D10829"/>
    <w:rsid w:val="00D10F5A"/>
    <w:rsid w:val="00D115A1"/>
    <w:rsid w:val="00D120A2"/>
    <w:rsid w:val="00D12629"/>
    <w:rsid w:val="00D128FE"/>
    <w:rsid w:val="00D12AD4"/>
    <w:rsid w:val="00D12CCB"/>
    <w:rsid w:val="00D13426"/>
    <w:rsid w:val="00D1343A"/>
    <w:rsid w:val="00D13EA7"/>
    <w:rsid w:val="00D146F4"/>
    <w:rsid w:val="00D147FA"/>
    <w:rsid w:val="00D14FBA"/>
    <w:rsid w:val="00D150C6"/>
    <w:rsid w:val="00D15194"/>
    <w:rsid w:val="00D15215"/>
    <w:rsid w:val="00D152B6"/>
    <w:rsid w:val="00D1588B"/>
    <w:rsid w:val="00D1618B"/>
    <w:rsid w:val="00D1660B"/>
    <w:rsid w:val="00D17274"/>
    <w:rsid w:val="00D205D8"/>
    <w:rsid w:val="00D210A3"/>
    <w:rsid w:val="00D21833"/>
    <w:rsid w:val="00D21B12"/>
    <w:rsid w:val="00D21B30"/>
    <w:rsid w:val="00D21C39"/>
    <w:rsid w:val="00D21DE8"/>
    <w:rsid w:val="00D227A2"/>
    <w:rsid w:val="00D22C03"/>
    <w:rsid w:val="00D23310"/>
    <w:rsid w:val="00D23AF2"/>
    <w:rsid w:val="00D241E5"/>
    <w:rsid w:val="00D24C4E"/>
    <w:rsid w:val="00D25BDE"/>
    <w:rsid w:val="00D25FF8"/>
    <w:rsid w:val="00D26410"/>
    <w:rsid w:val="00D269AA"/>
    <w:rsid w:val="00D26B30"/>
    <w:rsid w:val="00D26D58"/>
    <w:rsid w:val="00D2762E"/>
    <w:rsid w:val="00D27788"/>
    <w:rsid w:val="00D2792F"/>
    <w:rsid w:val="00D27961"/>
    <w:rsid w:val="00D27A39"/>
    <w:rsid w:val="00D27DB5"/>
    <w:rsid w:val="00D3029F"/>
    <w:rsid w:val="00D3113B"/>
    <w:rsid w:val="00D31224"/>
    <w:rsid w:val="00D319FB"/>
    <w:rsid w:val="00D31D95"/>
    <w:rsid w:val="00D3217D"/>
    <w:rsid w:val="00D329B4"/>
    <w:rsid w:val="00D32A9B"/>
    <w:rsid w:val="00D32AFC"/>
    <w:rsid w:val="00D32C29"/>
    <w:rsid w:val="00D32D42"/>
    <w:rsid w:val="00D33900"/>
    <w:rsid w:val="00D33CB2"/>
    <w:rsid w:val="00D34083"/>
    <w:rsid w:val="00D34112"/>
    <w:rsid w:val="00D34598"/>
    <w:rsid w:val="00D347AC"/>
    <w:rsid w:val="00D35051"/>
    <w:rsid w:val="00D351F9"/>
    <w:rsid w:val="00D3531D"/>
    <w:rsid w:val="00D35576"/>
    <w:rsid w:val="00D3583C"/>
    <w:rsid w:val="00D358B4"/>
    <w:rsid w:val="00D36510"/>
    <w:rsid w:val="00D3652F"/>
    <w:rsid w:val="00D36751"/>
    <w:rsid w:val="00D36756"/>
    <w:rsid w:val="00D370B4"/>
    <w:rsid w:val="00D3714F"/>
    <w:rsid w:val="00D37284"/>
    <w:rsid w:val="00D3743B"/>
    <w:rsid w:val="00D3749B"/>
    <w:rsid w:val="00D37C09"/>
    <w:rsid w:val="00D40094"/>
    <w:rsid w:val="00D400F5"/>
    <w:rsid w:val="00D401B0"/>
    <w:rsid w:val="00D40246"/>
    <w:rsid w:val="00D40DAB"/>
    <w:rsid w:val="00D40E15"/>
    <w:rsid w:val="00D41361"/>
    <w:rsid w:val="00D415B2"/>
    <w:rsid w:val="00D41BBA"/>
    <w:rsid w:val="00D42049"/>
    <w:rsid w:val="00D422A1"/>
    <w:rsid w:val="00D42366"/>
    <w:rsid w:val="00D42DFE"/>
    <w:rsid w:val="00D42E17"/>
    <w:rsid w:val="00D42F04"/>
    <w:rsid w:val="00D42F9A"/>
    <w:rsid w:val="00D43177"/>
    <w:rsid w:val="00D4364C"/>
    <w:rsid w:val="00D440A7"/>
    <w:rsid w:val="00D44248"/>
    <w:rsid w:val="00D44669"/>
    <w:rsid w:val="00D4471E"/>
    <w:rsid w:val="00D452ED"/>
    <w:rsid w:val="00D455DB"/>
    <w:rsid w:val="00D46222"/>
    <w:rsid w:val="00D4747B"/>
    <w:rsid w:val="00D4774A"/>
    <w:rsid w:val="00D478C2"/>
    <w:rsid w:val="00D47C39"/>
    <w:rsid w:val="00D47D02"/>
    <w:rsid w:val="00D47D8D"/>
    <w:rsid w:val="00D47FA9"/>
    <w:rsid w:val="00D501CA"/>
    <w:rsid w:val="00D50340"/>
    <w:rsid w:val="00D507FD"/>
    <w:rsid w:val="00D5081E"/>
    <w:rsid w:val="00D511EF"/>
    <w:rsid w:val="00D512DA"/>
    <w:rsid w:val="00D51905"/>
    <w:rsid w:val="00D51FD3"/>
    <w:rsid w:val="00D52124"/>
    <w:rsid w:val="00D5221D"/>
    <w:rsid w:val="00D5225E"/>
    <w:rsid w:val="00D52727"/>
    <w:rsid w:val="00D52872"/>
    <w:rsid w:val="00D52A45"/>
    <w:rsid w:val="00D52CFD"/>
    <w:rsid w:val="00D52D34"/>
    <w:rsid w:val="00D52E1C"/>
    <w:rsid w:val="00D532A6"/>
    <w:rsid w:val="00D5392B"/>
    <w:rsid w:val="00D53A73"/>
    <w:rsid w:val="00D53F3B"/>
    <w:rsid w:val="00D53F5D"/>
    <w:rsid w:val="00D54220"/>
    <w:rsid w:val="00D54888"/>
    <w:rsid w:val="00D54904"/>
    <w:rsid w:val="00D55197"/>
    <w:rsid w:val="00D55445"/>
    <w:rsid w:val="00D557B7"/>
    <w:rsid w:val="00D5588C"/>
    <w:rsid w:val="00D5599D"/>
    <w:rsid w:val="00D55FFD"/>
    <w:rsid w:val="00D56DFC"/>
    <w:rsid w:val="00D56F26"/>
    <w:rsid w:val="00D57183"/>
    <w:rsid w:val="00D573DF"/>
    <w:rsid w:val="00D575D7"/>
    <w:rsid w:val="00D57D7A"/>
    <w:rsid w:val="00D57FD5"/>
    <w:rsid w:val="00D60259"/>
    <w:rsid w:val="00D60327"/>
    <w:rsid w:val="00D6097A"/>
    <w:rsid w:val="00D61334"/>
    <w:rsid w:val="00D615BA"/>
    <w:rsid w:val="00D61785"/>
    <w:rsid w:val="00D62BC2"/>
    <w:rsid w:val="00D62BE3"/>
    <w:rsid w:val="00D6324B"/>
    <w:rsid w:val="00D63346"/>
    <w:rsid w:val="00D63470"/>
    <w:rsid w:val="00D63C9C"/>
    <w:rsid w:val="00D63CBE"/>
    <w:rsid w:val="00D640A9"/>
    <w:rsid w:val="00D6412A"/>
    <w:rsid w:val="00D64FCC"/>
    <w:rsid w:val="00D65290"/>
    <w:rsid w:val="00D65516"/>
    <w:rsid w:val="00D657DA"/>
    <w:rsid w:val="00D65C93"/>
    <w:rsid w:val="00D65EEE"/>
    <w:rsid w:val="00D65F25"/>
    <w:rsid w:val="00D65FC0"/>
    <w:rsid w:val="00D66186"/>
    <w:rsid w:val="00D6652F"/>
    <w:rsid w:val="00D66DC5"/>
    <w:rsid w:val="00D66DE0"/>
    <w:rsid w:val="00D66EF8"/>
    <w:rsid w:val="00D67128"/>
    <w:rsid w:val="00D67337"/>
    <w:rsid w:val="00D674C4"/>
    <w:rsid w:val="00D6772F"/>
    <w:rsid w:val="00D67EE6"/>
    <w:rsid w:val="00D70044"/>
    <w:rsid w:val="00D7251C"/>
    <w:rsid w:val="00D72523"/>
    <w:rsid w:val="00D7266D"/>
    <w:rsid w:val="00D72E49"/>
    <w:rsid w:val="00D72F02"/>
    <w:rsid w:val="00D72FF9"/>
    <w:rsid w:val="00D73765"/>
    <w:rsid w:val="00D739DB"/>
    <w:rsid w:val="00D73A7E"/>
    <w:rsid w:val="00D73A9F"/>
    <w:rsid w:val="00D74033"/>
    <w:rsid w:val="00D7490B"/>
    <w:rsid w:val="00D74CD1"/>
    <w:rsid w:val="00D754F8"/>
    <w:rsid w:val="00D75E1F"/>
    <w:rsid w:val="00D75E9D"/>
    <w:rsid w:val="00D75EB3"/>
    <w:rsid w:val="00D75F53"/>
    <w:rsid w:val="00D7614D"/>
    <w:rsid w:val="00D76247"/>
    <w:rsid w:val="00D76760"/>
    <w:rsid w:val="00D76A55"/>
    <w:rsid w:val="00D77F48"/>
    <w:rsid w:val="00D8043B"/>
    <w:rsid w:val="00D804E1"/>
    <w:rsid w:val="00D80B46"/>
    <w:rsid w:val="00D81349"/>
    <w:rsid w:val="00D81367"/>
    <w:rsid w:val="00D81AAC"/>
    <w:rsid w:val="00D827E0"/>
    <w:rsid w:val="00D82A7D"/>
    <w:rsid w:val="00D83504"/>
    <w:rsid w:val="00D83763"/>
    <w:rsid w:val="00D8453C"/>
    <w:rsid w:val="00D852B4"/>
    <w:rsid w:val="00D8549D"/>
    <w:rsid w:val="00D858E3"/>
    <w:rsid w:val="00D85E92"/>
    <w:rsid w:val="00D86C32"/>
    <w:rsid w:val="00D874C4"/>
    <w:rsid w:val="00D877F3"/>
    <w:rsid w:val="00D87DF6"/>
    <w:rsid w:val="00D90737"/>
    <w:rsid w:val="00D90BEF"/>
    <w:rsid w:val="00D91002"/>
    <w:rsid w:val="00D91FA5"/>
    <w:rsid w:val="00D92943"/>
    <w:rsid w:val="00D92A8A"/>
    <w:rsid w:val="00D92AB8"/>
    <w:rsid w:val="00D933A4"/>
    <w:rsid w:val="00D93D25"/>
    <w:rsid w:val="00D94188"/>
    <w:rsid w:val="00D94846"/>
    <w:rsid w:val="00D94EF4"/>
    <w:rsid w:val="00D95004"/>
    <w:rsid w:val="00D95370"/>
    <w:rsid w:val="00D95D20"/>
    <w:rsid w:val="00D9658D"/>
    <w:rsid w:val="00D96E25"/>
    <w:rsid w:val="00D96FEA"/>
    <w:rsid w:val="00D97911"/>
    <w:rsid w:val="00D97A11"/>
    <w:rsid w:val="00D97E6C"/>
    <w:rsid w:val="00DA0168"/>
    <w:rsid w:val="00DA040F"/>
    <w:rsid w:val="00DA0797"/>
    <w:rsid w:val="00DA0B2A"/>
    <w:rsid w:val="00DA0C12"/>
    <w:rsid w:val="00DA10B7"/>
    <w:rsid w:val="00DA1CA8"/>
    <w:rsid w:val="00DA2213"/>
    <w:rsid w:val="00DA28DB"/>
    <w:rsid w:val="00DA29A1"/>
    <w:rsid w:val="00DA2E82"/>
    <w:rsid w:val="00DA35F8"/>
    <w:rsid w:val="00DA3D72"/>
    <w:rsid w:val="00DA447B"/>
    <w:rsid w:val="00DA46E8"/>
    <w:rsid w:val="00DA5C42"/>
    <w:rsid w:val="00DA61F9"/>
    <w:rsid w:val="00DA66CF"/>
    <w:rsid w:val="00DA76A5"/>
    <w:rsid w:val="00DA7C98"/>
    <w:rsid w:val="00DA7FFD"/>
    <w:rsid w:val="00DB040F"/>
    <w:rsid w:val="00DB134A"/>
    <w:rsid w:val="00DB18E8"/>
    <w:rsid w:val="00DB1A45"/>
    <w:rsid w:val="00DB1EC3"/>
    <w:rsid w:val="00DB22BF"/>
    <w:rsid w:val="00DB2302"/>
    <w:rsid w:val="00DB2544"/>
    <w:rsid w:val="00DB2984"/>
    <w:rsid w:val="00DB3015"/>
    <w:rsid w:val="00DB39D6"/>
    <w:rsid w:val="00DB41BC"/>
    <w:rsid w:val="00DB43A4"/>
    <w:rsid w:val="00DB4439"/>
    <w:rsid w:val="00DB48CD"/>
    <w:rsid w:val="00DB50C8"/>
    <w:rsid w:val="00DB5275"/>
    <w:rsid w:val="00DB5477"/>
    <w:rsid w:val="00DB553A"/>
    <w:rsid w:val="00DB578F"/>
    <w:rsid w:val="00DB5810"/>
    <w:rsid w:val="00DB5C84"/>
    <w:rsid w:val="00DB5FAA"/>
    <w:rsid w:val="00DB6B15"/>
    <w:rsid w:val="00DB6BD2"/>
    <w:rsid w:val="00DB6D8B"/>
    <w:rsid w:val="00DB7B77"/>
    <w:rsid w:val="00DB7C00"/>
    <w:rsid w:val="00DB7D6C"/>
    <w:rsid w:val="00DC008C"/>
    <w:rsid w:val="00DC06AA"/>
    <w:rsid w:val="00DC07A9"/>
    <w:rsid w:val="00DC115C"/>
    <w:rsid w:val="00DC135B"/>
    <w:rsid w:val="00DC1EE8"/>
    <w:rsid w:val="00DC236F"/>
    <w:rsid w:val="00DC32B2"/>
    <w:rsid w:val="00DC340D"/>
    <w:rsid w:val="00DC35E4"/>
    <w:rsid w:val="00DC36EA"/>
    <w:rsid w:val="00DC3764"/>
    <w:rsid w:val="00DC384B"/>
    <w:rsid w:val="00DC3FFA"/>
    <w:rsid w:val="00DC40D0"/>
    <w:rsid w:val="00DC430F"/>
    <w:rsid w:val="00DC450A"/>
    <w:rsid w:val="00DC45BC"/>
    <w:rsid w:val="00DC4C14"/>
    <w:rsid w:val="00DC50A2"/>
    <w:rsid w:val="00DC55AC"/>
    <w:rsid w:val="00DC61C4"/>
    <w:rsid w:val="00DC6BDA"/>
    <w:rsid w:val="00DC6E30"/>
    <w:rsid w:val="00DC7C3C"/>
    <w:rsid w:val="00DD0218"/>
    <w:rsid w:val="00DD06FB"/>
    <w:rsid w:val="00DD1237"/>
    <w:rsid w:val="00DD14E5"/>
    <w:rsid w:val="00DD163B"/>
    <w:rsid w:val="00DD1AC4"/>
    <w:rsid w:val="00DD2DE3"/>
    <w:rsid w:val="00DD2FCB"/>
    <w:rsid w:val="00DD44FB"/>
    <w:rsid w:val="00DD4544"/>
    <w:rsid w:val="00DD4999"/>
    <w:rsid w:val="00DD631F"/>
    <w:rsid w:val="00DD6E59"/>
    <w:rsid w:val="00DD723A"/>
    <w:rsid w:val="00DD74B9"/>
    <w:rsid w:val="00DD7912"/>
    <w:rsid w:val="00DE01FD"/>
    <w:rsid w:val="00DE069E"/>
    <w:rsid w:val="00DE0705"/>
    <w:rsid w:val="00DE0EE1"/>
    <w:rsid w:val="00DE1B2B"/>
    <w:rsid w:val="00DE1C15"/>
    <w:rsid w:val="00DE20FB"/>
    <w:rsid w:val="00DE2136"/>
    <w:rsid w:val="00DE24B1"/>
    <w:rsid w:val="00DE2C94"/>
    <w:rsid w:val="00DE2F69"/>
    <w:rsid w:val="00DE358B"/>
    <w:rsid w:val="00DE37B0"/>
    <w:rsid w:val="00DE4385"/>
    <w:rsid w:val="00DE46A4"/>
    <w:rsid w:val="00DE4AA1"/>
    <w:rsid w:val="00DE4CA8"/>
    <w:rsid w:val="00DE4D6E"/>
    <w:rsid w:val="00DE54FC"/>
    <w:rsid w:val="00DE5C81"/>
    <w:rsid w:val="00DE5E86"/>
    <w:rsid w:val="00DE616C"/>
    <w:rsid w:val="00DE6478"/>
    <w:rsid w:val="00DE6BE0"/>
    <w:rsid w:val="00DF09E8"/>
    <w:rsid w:val="00DF0AEF"/>
    <w:rsid w:val="00DF0B44"/>
    <w:rsid w:val="00DF198E"/>
    <w:rsid w:val="00DF19F5"/>
    <w:rsid w:val="00DF2184"/>
    <w:rsid w:val="00DF21CB"/>
    <w:rsid w:val="00DF24E0"/>
    <w:rsid w:val="00DF24EB"/>
    <w:rsid w:val="00DF2538"/>
    <w:rsid w:val="00DF2B07"/>
    <w:rsid w:val="00DF2EDE"/>
    <w:rsid w:val="00DF31AD"/>
    <w:rsid w:val="00DF3906"/>
    <w:rsid w:val="00DF3B92"/>
    <w:rsid w:val="00DF3BD8"/>
    <w:rsid w:val="00DF3C72"/>
    <w:rsid w:val="00DF3ED5"/>
    <w:rsid w:val="00DF40E5"/>
    <w:rsid w:val="00DF453D"/>
    <w:rsid w:val="00DF47B0"/>
    <w:rsid w:val="00DF4A25"/>
    <w:rsid w:val="00DF4BAA"/>
    <w:rsid w:val="00DF503D"/>
    <w:rsid w:val="00DF508E"/>
    <w:rsid w:val="00DF5979"/>
    <w:rsid w:val="00DF5A01"/>
    <w:rsid w:val="00DF5E6C"/>
    <w:rsid w:val="00DF6FC0"/>
    <w:rsid w:val="00DF706A"/>
    <w:rsid w:val="00DF779A"/>
    <w:rsid w:val="00DF7986"/>
    <w:rsid w:val="00DF7CE3"/>
    <w:rsid w:val="00E005BD"/>
    <w:rsid w:val="00E00672"/>
    <w:rsid w:val="00E0077D"/>
    <w:rsid w:val="00E0081D"/>
    <w:rsid w:val="00E008BF"/>
    <w:rsid w:val="00E01937"/>
    <w:rsid w:val="00E01A14"/>
    <w:rsid w:val="00E02050"/>
    <w:rsid w:val="00E025AA"/>
    <w:rsid w:val="00E0275E"/>
    <w:rsid w:val="00E02CC8"/>
    <w:rsid w:val="00E02DA2"/>
    <w:rsid w:val="00E02FC5"/>
    <w:rsid w:val="00E03E19"/>
    <w:rsid w:val="00E03F7F"/>
    <w:rsid w:val="00E042BC"/>
    <w:rsid w:val="00E04A7C"/>
    <w:rsid w:val="00E04B1F"/>
    <w:rsid w:val="00E04BFD"/>
    <w:rsid w:val="00E05F33"/>
    <w:rsid w:val="00E064B4"/>
    <w:rsid w:val="00E064CE"/>
    <w:rsid w:val="00E06E12"/>
    <w:rsid w:val="00E073A4"/>
    <w:rsid w:val="00E0777C"/>
    <w:rsid w:val="00E10391"/>
    <w:rsid w:val="00E10543"/>
    <w:rsid w:val="00E10D1B"/>
    <w:rsid w:val="00E11646"/>
    <w:rsid w:val="00E119B2"/>
    <w:rsid w:val="00E11BFA"/>
    <w:rsid w:val="00E121C8"/>
    <w:rsid w:val="00E12301"/>
    <w:rsid w:val="00E127D3"/>
    <w:rsid w:val="00E1294D"/>
    <w:rsid w:val="00E12F56"/>
    <w:rsid w:val="00E134F2"/>
    <w:rsid w:val="00E1355D"/>
    <w:rsid w:val="00E1397C"/>
    <w:rsid w:val="00E1424C"/>
    <w:rsid w:val="00E14DE3"/>
    <w:rsid w:val="00E14E1A"/>
    <w:rsid w:val="00E15362"/>
    <w:rsid w:val="00E15B03"/>
    <w:rsid w:val="00E15DA5"/>
    <w:rsid w:val="00E15E45"/>
    <w:rsid w:val="00E15E59"/>
    <w:rsid w:val="00E16117"/>
    <w:rsid w:val="00E16B3F"/>
    <w:rsid w:val="00E16B87"/>
    <w:rsid w:val="00E173A3"/>
    <w:rsid w:val="00E17A2B"/>
    <w:rsid w:val="00E20179"/>
    <w:rsid w:val="00E201D2"/>
    <w:rsid w:val="00E20801"/>
    <w:rsid w:val="00E20803"/>
    <w:rsid w:val="00E20A40"/>
    <w:rsid w:val="00E217D4"/>
    <w:rsid w:val="00E21D4B"/>
    <w:rsid w:val="00E21EA2"/>
    <w:rsid w:val="00E220D7"/>
    <w:rsid w:val="00E22543"/>
    <w:rsid w:val="00E22B25"/>
    <w:rsid w:val="00E22C90"/>
    <w:rsid w:val="00E23BAB"/>
    <w:rsid w:val="00E24045"/>
    <w:rsid w:val="00E244D3"/>
    <w:rsid w:val="00E24A00"/>
    <w:rsid w:val="00E24A6B"/>
    <w:rsid w:val="00E24CBC"/>
    <w:rsid w:val="00E250C0"/>
    <w:rsid w:val="00E2531C"/>
    <w:rsid w:val="00E2578D"/>
    <w:rsid w:val="00E25DFE"/>
    <w:rsid w:val="00E26B2E"/>
    <w:rsid w:val="00E27304"/>
    <w:rsid w:val="00E27BBD"/>
    <w:rsid w:val="00E27D42"/>
    <w:rsid w:val="00E27FB0"/>
    <w:rsid w:val="00E30BA5"/>
    <w:rsid w:val="00E3115B"/>
    <w:rsid w:val="00E311FC"/>
    <w:rsid w:val="00E3218E"/>
    <w:rsid w:val="00E3236E"/>
    <w:rsid w:val="00E3262A"/>
    <w:rsid w:val="00E32BF7"/>
    <w:rsid w:val="00E32EB6"/>
    <w:rsid w:val="00E33223"/>
    <w:rsid w:val="00E33785"/>
    <w:rsid w:val="00E33C95"/>
    <w:rsid w:val="00E33F32"/>
    <w:rsid w:val="00E3415F"/>
    <w:rsid w:val="00E34214"/>
    <w:rsid w:val="00E342B1"/>
    <w:rsid w:val="00E3474B"/>
    <w:rsid w:val="00E34C3B"/>
    <w:rsid w:val="00E368C8"/>
    <w:rsid w:val="00E36D82"/>
    <w:rsid w:val="00E36E81"/>
    <w:rsid w:val="00E371DD"/>
    <w:rsid w:val="00E3769B"/>
    <w:rsid w:val="00E37AF6"/>
    <w:rsid w:val="00E402BB"/>
    <w:rsid w:val="00E405E6"/>
    <w:rsid w:val="00E406D3"/>
    <w:rsid w:val="00E40C5C"/>
    <w:rsid w:val="00E40DC4"/>
    <w:rsid w:val="00E4150C"/>
    <w:rsid w:val="00E4167E"/>
    <w:rsid w:val="00E4183D"/>
    <w:rsid w:val="00E41CC9"/>
    <w:rsid w:val="00E41DC9"/>
    <w:rsid w:val="00E420DE"/>
    <w:rsid w:val="00E426A4"/>
    <w:rsid w:val="00E4300D"/>
    <w:rsid w:val="00E431E2"/>
    <w:rsid w:val="00E435D0"/>
    <w:rsid w:val="00E4377E"/>
    <w:rsid w:val="00E43E4C"/>
    <w:rsid w:val="00E4439A"/>
    <w:rsid w:val="00E44D81"/>
    <w:rsid w:val="00E44E7A"/>
    <w:rsid w:val="00E45041"/>
    <w:rsid w:val="00E4514D"/>
    <w:rsid w:val="00E4517E"/>
    <w:rsid w:val="00E452BD"/>
    <w:rsid w:val="00E4531F"/>
    <w:rsid w:val="00E45A32"/>
    <w:rsid w:val="00E45AA4"/>
    <w:rsid w:val="00E4617F"/>
    <w:rsid w:val="00E46A6C"/>
    <w:rsid w:val="00E46A79"/>
    <w:rsid w:val="00E46D03"/>
    <w:rsid w:val="00E47891"/>
    <w:rsid w:val="00E501A8"/>
    <w:rsid w:val="00E50525"/>
    <w:rsid w:val="00E50679"/>
    <w:rsid w:val="00E50C66"/>
    <w:rsid w:val="00E514A7"/>
    <w:rsid w:val="00E51BCA"/>
    <w:rsid w:val="00E52333"/>
    <w:rsid w:val="00E54018"/>
    <w:rsid w:val="00E5434A"/>
    <w:rsid w:val="00E549F7"/>
    <w:rsid w:val="00E54CD4"/>
    <w:rsid w:val="00E5562A"/>
    <w:rsid w:val="00E557D9"/>
    <w:rsid w:val="00E55867"/>
    <w:rsid w:val="00E563F2"/>
    <w:rsid w:val="00E56644"/>
    <w:rsid w:val="00E5695A"/>
    <w:rsid w:val="00E56F70"/>
    <w:rsid w:val="00E57132"/>
    <w:rsid w:val="00E57A65"/>
    <w:rsid w:val="00E57A6B"/>
    <w:rsid w:val="00E57BB6"/>
    <w:rsid w:val="00E57BE4"/>
    <w:rsid w:val="00E57D7E"/>
    <w:rsid w:val="00E6020B"/>
    <w:rsid w:val="00E60258"/>
    <w:rsid w:val="00E61458"/>
    <w:rsid w:val="00E624E3"/>
    <w:rsid w:val="00E6255D"/>
    <w:rsid w:val="00E625AE"/>
    <w:rsid w:val="00E62BB1"/>
    <w:rsid w:val="00E640C9"/>
    <w:rsid w:val="00E640F7"/>
    <w:rsid w:val="00E6458A"/>
    <w:rsid w:val="00E64615"/>
    <w:rsid w:val="00E64E8B"/>
    <w:rsid w:val="00E65A47"/>
    <w:rsid w:val="00E66023"/>
    <w:rsid w:val="00E666A1"/>
    <w:rsid w:val="00E666D7"/>
    <w:rsid w:val="00E6695A"/>
    <w:rsid w:val="00E66B1B"/>
    <w:rsid w:val="00E66EE6"/>
    <w:rsid w:val="00E670B1"/>
    <w:rsid w:val="00E6724E"/>
    <w:rsid w:val="00E674F2"/>
    <w:rsid w:val="00E67A64"/>
    <w:rsid w:val="00E7097D"/>
    <w:rsid w:val="00E71455"/>
    <w:rsid w:val="00E718E3"/>
    <w:rsid w:val="00E720B0"/>
    <w:rsid w:val="00E7274A"/>
    <w:rsid w:val="00E734F0"/>
    <w:rsid w:val="00E7356A"/>
    <w:rsid w:val="00E73DBB"/>
    <w:rsid w:val="00E73F4B"/>
    <w:rsid w:val="00E74410"/>
    <w:rsid w:val="00E744F7"/>
    <w:rsid w:val="00E74689"/>
    <w:rsid w:val="00E74B83"/>
    <w:rsid w:val="00E7530B"/>
    <w:rsid w:val="00E753C6"/>
    <w:rsid w:val="00E75678"/>
    <w:rsid w:val="00E7589D"/>
    <w:rsid w:val="00E75C05"/>
    <w:rsid w:val="00E7636E"/>
    <w:rsid w:val="00E768E5"/>
    <w:rsid w:val="00E76949"/>
    <w:rsid w:val="00E76969"/>
    <w:rsid w:val="00E76DB1"/>
    <w:rsid w:val="00E80484"/>
    <w:rsid w:val="00E80A7D"/>
    <w:rsid w:val="00E812F4"/>
    <w:rsid w:val="00E81429"/>
    <w:rsid w:val="00E81982"/>
    <w:rsid w:val="00E81BB5"/>
    <w:rsid w:val="00E821DE"/>
    <w:rsid w:val="00E824F9"/>
    <w:rsid w:val="00E8275F"/>
    <w:rsid w:val="00E8353E"/>
    <w:rsid w:val="00E83557"/>
    <w:rsid w:val="00E83599"/>
    <w:rsid w:val="00E83B33"/>
    <w:rsid w:val="00E83E58"/>
    <w:rsid w:val="00E84210"/>
    <w:rsid w:val="00E84C2D"/>
    <w:rsid w:val="00E851BA"/>
    <w:rsid w:val="00E8548E"/>
    <w:rsid w:val="00E85791"/>
    <w:rsid w:val="00E86010"/>
    <w:rsid w:val="00E862A6"/>
    <w:rsid w:val="00E862B4"/>
    <w:rsid w:val="00E86809"/>
    <w:rsid w:val="00E86EC5"/>
    <w:rsid w:val="00E86EF6"/>
    <w:rsid w:val="00E87082"/>
    <w:rsid w:val="00E8733F"/>
    <w:rsid w:val="00E87392"/>
    <w:rsid w:val="00E87525"/>
    <w:rsid w:val="00E87755"/>
    <w:rsid w:val="00E87BCB"/>
    <w:rsid w:val="00E87CA7"/>
    <w:rsid w:val="00E87CBB"/>
    <w:rsid w:val="00E90019"/>
    <w:rsid w:val="00E90740"/>
    <w:rsid w:val="00E90B09"/>
    <w:rsid w:val="00E91210"/>
    <w:rsid w:val="00E91370"/>
    <w:rsid w:val="00E915B9"/>
    <w:rsid w:val="00E91641"/>
    <w:rsid w:val="00E91717"/>
    <w:rsid w:val="00E917AF"/>
    <w:rsid w:val="00E91AE9"/>
    <w:rsid w:val="00E91F69"/>
    <w:rsid w:val="00E92A13"/>
    <w:rsid w:val="00E92B8E"/>
    <w:rsid w:val="00E92C64"/>
    <w:rsid w:val="00E93AC9"/>
    <w:rsid w:val="00E93C3E"/>
    <w:rsid w:val="00E93CFF"/>
    <w:rsid w:val="00E94B43"/>
    <w:rsid w:val="00E94C42"/>
    <w:rsid w:val="00E951B7"/>
    <w:rsid w:val="00E952D9"/>
    <w:rsid w:val="00E9545A"/>
    <w:rsid w:val="00E9549C"/>
    <w:rsid w:val="00E9576A"/>
    <w:rsid w:val="00E958E8"/>
    <w:rsid w:val="00E9612F"/>
    <w:rsid w:val="00E96A5E"/>
    <w:rsid w:val="00E973DB"/>
    <w:rsid w:val="00E97D7E"/>
    <w:rsid w:val="00EA03B8"/>
    <w:rsid w:val="00EA05CE"/>
    <w:rsid w:val="00EA0BD7"/>
    <w:rsid w:val="00EA0F8A"/>
    <w:rsid w:val="00EA1CE1"/>
    <w:rsid w:val="00EA21F1"/>
    <w:rsid w:val="00EA2412"/>
    <w:rsid w:val="00EA289B"/>
    <w:rsid w:val="00EA29D0"/>
    <w:rsid w:val="00EA2BD4"/>
    <w:rsid w:val="00EA40B9"/>
    <w:rsid w:val="00EA44C0"/>
    <w:rsid w:val="00EA4B39"/>
    <w:rsid w:val="00EA4B7F"/>
    <w:rsid w:val="00EA542F"/>
    <w:rsid w:val="00EA5435"/>
    <w:rsid w:val="00EA551F"/>
    <w:rsid w:val="00EA5983"/>
    <w:rsid w:val="00EA5A38"/>
    <w:rsid w:val="00EA5A78"/>
    <w:rsid w:val="00EA5CE1"/>
    <w:rsid w:val="00EA60C0"/>
    <w:rsid w:val="00EA64EA"/>
    <w:rsid w:val="00EA6931"/>
    <w:rsid w:val="00EA6B10"/>
    <w:rsid w:val="00EA6B14"/>
    <w:rsid w:val="00EA6B51"/>
    <w:rsid w:val="00EA7593"/>
    <w:rsid w:val="00EA75D6"/>
    <w:rsid w:val="00EA7862"/>
    <w:rsid w:val="00EA7D86"/>
    <w:rsid w:val="00EA7D8E"/>
    <w:rsid w:val="00EA7E25"/>
    <w:rsid w:val="00EB01AA"/>
    <w:rsid w:val="00EB0578"/>
    <w:rsid w:val="00EB0D83"/>
    <w:rsid w:val="00EB0E34"/>
    <w:rsid w:val="00EB0F74"/>
    <w:rsid w:val="00EB1A3B"/>
    <w:rsid w:val="00EB1A8C"/>
    <w:rsid w:val="00EB1D9D"/>
    <w:rsid w:val="00EB2043"/>
    <w:rsid w:val="00EB20E0"/>
    <w:rsid w:val="00EB264C"/>
    <w:rsid w:val="00EB265F"/>
    <w:rsid w:val="00EB275A"/>
    <w:rsid w:val="00EB2D3F"/>
    <w:rsid w:val="00EB3354"/>
    <w:rsid w:val="00EB3391"/>
    <w:rsid w:val="00EB3ACC"/>
    <w:rsid w:val="00EB3C29"/>
    <w:rsid w:val="00EB3C7F"/>
    <w:rsid w:val="00EB444A"/>
    <w:rsid w:val="00EB53A2"/>
    <w:rsid w:val="00EB5F28"/>
    <w:rsid w:val="00EB6757"/>
    <w:rsid w:val="00EB681E"/>
    <w:rsid w:val="00EB6E4C"/>
    <w:rsid w:val="00EB7026"/>
    <w:rsid w:val="00EB70A0"/>
    <w:rsid w:val="00EB71E6"/>
    <w:rsid w:val="00EB748E"/>
    <w:rsid w:val="00EB7905"/>
    <w:rsid w:val="00EB79A8"/>
    <w:rsid w:val="00EB7C2E"/>
    <w:rsid w:val="00EC070B"/>
    <w:rsid w:val="00EC093B"/>
    <w:rsid w:val="00EC1A3A"/>
    <w:rsid w:val="00EC1C2B"/>
    <w:rsid w:val="00EC290E"/>
    <w:rsid w:val="00EC317B"/>
    <w:rsid w:val="00EC34BC"/>
    <w:rsid w:val="00EC3A9B"/>
    <w:rsid w:val="00EC3BD7"/>
    <w:rsid w:val="00EC3D44"/>
    <w:rsid w:val="00EC4E00"/>
    <w:rsid w:val="00EC4E36"/>
    <w:rsid w:val="00EC505D"/>
    <w:rsid w:val="00EC5530"/>
    <w:rsid w:val="00EC567E"/>
    <w:rsid w:val="00EC59F9"/>
    <w:rsid w:val="00EC647A"/>
    <w:rsid w:val="00EC654B"/>
    <w:rsid w:val="00EC6688"/>
    <w:rsid w:val="00EC675F"/>
    <w:rsid w:val="00EC6AAF"/>
    <w:rsid w:val="00EC6ABC"/>
    <w:rsid w:val="00EC6B24"/>
    <w:rsid w:val="00EC7037"/>
    <w:rsid w:val="00EC73FB"/>
    <w:rsid w:val="00EC7DC2"/>
    <w:rsid w:val="00ED0319"/>
    <w:rsid w:val="00ED052D"/>
    <w:rsid w:val="00ED06AF"/>
    <w:rsid w:val="00ED06FC"/>
    <w:rsid w:val="00ED09CE"/>
    <w:rsid w:val="00ED0BBB"/>
    <w:rsid w:val="00ED0C5D"/>
    <w:rsid w:val="00ED0DA7"/>
    <w:rsid w:val="00ED11B4"/>
    <w:rsid w:val="00ED1632"/>
    <w:rsid w:val="00ED21CA"/>
    <w:rsid w:val="00ED2477"/>
    <w:rsid w:val="00ED2CA3"/>
    <w:rsid w:val="00ED2EA6"/>
    <w:rsid w:val="00ED2F22"/>
    <w:rsid w:val="00ED3446"/>
    <w:rsid w:val="00ED34C9"/>
    <w:rsid w:val="00ED374F"/>
    <w:rsid w:val="00ED3C00"/>
    <w:rsid w:val="00ED554A"/>
    <w:rsid w:val="00ED593A"/>
    <w:rsid w:val="00ED5D8C"/>
    <w:rsid w:val="00ED6121"/>
    <w:rsid w:val="00ED657D"/>
    <w:rsid w:val="00ED68BF"/>
    <w:rsid w:val="00ED7228"/>
    <w:rsid w:val="00ED72DB"/>
    <w:rsid w:val="00ED7306"/>
    <w:rsid w:val="00ED73C4"/>
    <w:rsid w:val="00ED780F"/>
    <w:rsid w:val="00ED7C55"/>
    <w:rsid w:val="00ED7C99"/>
    <w:rsid w:val="00ED7D11"/>
    <w:rsid w:val="00EE033A"/>
    <w:rsid w:val="00EE0666"/>
    <w:rsid w:val="00EE0683"/>
    <w:rsid w:val="00EE0FAE"/>
    <w:rsid w:val="00EE1146"/>
    <w:rsid w:val="00EE15B8"/>
    <w:rsid w:val="00EE1728"/>
    <w:rsid w:val="00EE1C4E"/>
    <w:rsid w:val="00EE2265"/>
    <w:rsid w:val="00EE22AF"/>
    <w:rsid w:val="00EE27EC"/>
    <w:rsid w:val="00EE2973"/>
    <w:rsid w:val="00EE2A5C"/>
    <w:rsid w:val="00EE2F76"/>
    <w:rsid w:val="00EE3654"/>
    <w:rsid w:val="00EE3CAF"/>
    <w:rsid w:val="00EE3E5E"/>
    <w:rsid w:val="00EE3EAC"/>
    <w:rsid w:val="00EE406C"/>
    <w:rsid w:val="00EE4419"/>
    <w:rsid w:val="00EE44CC"/>
    <w:rsid w:val="00EE4713"/>
    <w:rsid w:val="00EE4DB1"/>
    <w:rsid w:val="00EE584C"/>
    <w:rsid w:val="00EE5D0C"/>
    <w:rsid w:val="00EE6388"/>
    <w:rsid w:val="00EE64D7"/>
    <w:rsid w:val="00EE65F4"/>
    <w:rsid w:val="00EE6A3B"/>
    <w:rsid w:val="00EE79B8"/>
    <w:rsid w:val="00EE7C62"/>
    <w:rsid w:val="00EE7D51"/>
    <w:rsid w:val="00EF004C"/>
    <w:rsid w:val="00EF00C9"/>
    <w:rsid w:val="00EF03FF"/>
    <w:rsid w:val="00EF126E"/>
    <w:rsid w:val="00EF1425"/>
    <w:rsid w:val="00EF1D32"/>
    <w:rsid w:val="00EF1E50"/>
    <w:rsid w:val="00EF2C43"/>
    <w:rsid w:val="00EF2DA7"/>
    <w:rsid w:val="00EF2FAD"/>
    <w:rsid w:val="00EF327B"/>
    <w:rsid w:val="00EF442E"/>
    <w:rsid w:val="00EF4575"/>
    <w:rsid w:val="00EF458F"/>
    <w:rsid w:val="00EF4AFB"/>
    <w:rsid w:val="00EF4B9D"/>
    <w:rsid w:val="00EF4E75"/>
    <w:rsid w:val="00EF509A"/>
    <w:rsid w:val="00EF515E"/>
    <w:rsid w:val="00EF6285"/>
    <w:rsid w:val="00EF6B01"/>
    <w:rsid w:val="00EF6C09"/>
    <w:rsid w:val="00EF6E9D"/>
    <w:rsid w:val="00EF72FC"/>
    <w:rsid w:val="00EF757D"/>
    <w:rsid w:val="00EF7644"/>
    <w:rsid w:val="00EF7725"/>
    <w:rsid w:val="00EF772A"/>
    <w:rsid w:val="00EF7796"/>
    <w:rsid w:val="00F004F6"/>
    <w:rsid w:val="00F00981"/>
    <w:rsid w:val="00F00B84"/>
    <w:rsid w:val="00F010E1"/>
    <w:rsid w:val="00F0168C"/>
    <w:rsid w:val="00F027FB"/>
    <w:rsid w:val="00F02A36"/>
    <w:rsid w:val="00F0345A"/>
    <w:rsid w:val="00F03D4F"/>
    <w:rsid w:val="00F0437A"/>
    <w:rsid w:val="00F04554"/>
    <w:rsid w:val="00F046C6"/>
    <w:rsid w:val="00F04C52"/>
    <w:rsid w:val="00F050A7"/>
    <w:rsid w:val="00F058C0"/>
    <w:rsid w:val="00F05E64"/>
    <w:rsid w:val="00F05F62"/>
    <w:rsid w:val="00F06376"/>
    <w:rsid w:val="00F0645D"/>
    <w:rsid w:val="00F0654A"/>
    <w:rsid w:val="00F06964"/>
    <w:rsid w:val="00F07350"/>
    <w:rsid w:val="00F07427"/>
    <w:rsid w:val="00F0752A"/>
    <w:rsid w:val="00F077F6"/>
    <w:rsid w:val="00F0793A"/>
    <w:rsid w:val="00F1004E"/>
    <w:rsid w:val="00F106A7"/>
    <w:rsid w:val="00F109DC"/>
    <w:rsid w:val="00F11446"/>
    <w:rsid w:val="00F11BAD"/>
    <w:rsid w:val="00F11EA3"/>
    <w:rsid w:val="00F11EC3"/>
    <w:rsid w:val="00F11F76"/>
    <w:rsid w:val="00F1243A"/>
    <w:rsid w:val="00F124B9"/>
    <w:rsid w:val="00F1266B"/>
    <w:rsid w:val="00F12FF9"/>
    <w:rsid w:val="00F13313"/>
    <w:rsid w:val="00F141BF"/>
    <w:rsid w:val="00F14579"/>
    <w:rsid w:val="00F14888"/>
    <w:rsid w:val="00F14E55"/>
    <w:rsid w:val="00F15022"/>
    <w:rsid w:val="00F152AA"/>
    <w:rsid w:val="00F1548B"/>
    <w:rsid w:val="00F154A2"/>
    <w:rsid w:val="00F155F4"/>
    <w:rsid w:val="00F15BA2"/>
    <w:rsid w:val="00F15C91"/>
    <w:rsid w:val="00F16021"/>
    <w:rsid w:val="00F1620D"/>
    <w:rsid w:val="00F163A3"/>
    <w:rsid w:val="00F163CC"/>
    <w:rsid w:val="00F168BC"/>
    <w:rsid w:val="00F16D05"/>
    <w:rsid w:val="00F16EA1"/>
    <w:rsid w:val="00F17214"/>
    <w:rsid w:val="00F17332"/>
    <w:rsid w:val="00F174AC"/>
    <w:rsid w:val="00F179A3"/>
    <w:rsid w:val="00F17B2C"/>
    <w:rsid w:val="00F2002A"/>
    <w:rsid w:val="00F20AA8"/>
    <w:rsid w:val="00F21FFB"/>
    <w:rsid w:val="00F222C5"/>
    <w:rsid w:val="00F22865"/>
    <w:rsid w:val="00F2286E"/>
    <w:rsid w:val="00F23432"/>
    <w:rsid w:val="00F23747"/>
    <w:rsid w:val="00F23913"/>
    <w:rsid w:val="00F23B2C"/>
    <w:rsid w:val="00F2487A"/>
    <w:rsid w:val="00F24ABC"/>
    <w:rsid w:val="00F24D29"/>
    <w:rsid w:val="00F2534B"/>
    <w:rsid w:val="00F256C1"/>
    <w:rsid w:val="00F256F6"/>
    <w:rsid w:val="00F260CF"/>
    <w:rsid w:val="00F262A0"/>
    <w:rsid w:val="00F266FC"/>
    <w:rsid w:val="00F26A13"/>
    <w:rsid w:val="00F26C2B"/>
    <w:rsid w:val="00F26EB2"/>
    <w:rsid w:val="00F27731"/>
    <w:rsid w:val="00F27AFD"/>
    <w:rsid w:val="00F27C8A"/>
    <w:rsid w:val="00F304A5"/>
    <w:rsid w:val="00F30774"/>
    <w:rsid w:val="00F30B2C"/>
    <w:rsid w:val="00F315BC"/>
    <w:rsid w:val="00F316DD"/>
    <w:rsid w:val="00F3187E"/>
    <w:rsid w:val="00F32115"/>
    <w:rsid w:val="00F32436"/>
    <w:rsid w:val="00F32976"/>
    <w:rsid w:val="00F32C74"/>
    <w:rsid w:val="00F33866"/>
    <w:rsid w:val="00F33AB3"/>
    <w:rsid w:val="00F34A61"/>
    <w:rsid w:val="00F35226"/>
    <w:rsid w:val="00F354D0"/>
    <w:rsid w:val="00F35740"/>
    <w:rsid w:val="00F35C21"/>
    <w:rsid w:val="00F35DA4"/>
    <w:rsid w:val="00F35DA6"/>
    <w:rsid w:val="00F35E60"/>
    <w:rsid w:val="00F362E2"/>
    <w:rsid w:val="00F3635C"/>
    <w:rsid w:val="00F364F6"/>
    <w:rsid w:val="00F367D4"/>
    <w:rsid w:val="00F36822"/>
    <w:rsid w:val="00F36CDE"/>
    <w:rsid w:val="00F3785F"/>
    <w:rsid w:val="00F4027C"/>
    <w:rsid w:val="00F41403"/>
    <w:rsid w:val="00F417E1"/>
    <w:rsid w:val="00F419C7"/>
    <w:rsid w:val="00F41A25"/>
    <w:rsid w:val="00F41CD8"/>
    <w:rsid w:val="00F41F84"/>
    <w:rsid w:val="00F420E5"/>
    <w:rsid w:val="00F427D4"/>
    <w:rsid w:val="00F42913"/>
    <w:rsid w:val="00F4303C"/>
    <w:rsid w:val="00F437BC"/>
    <w:rsid w:val="00F43836"/>
    <w:rsid w:val="00F43957"/>
    <w:rsid w:val="00F43B57"/>
    <w:rsid w:val="00F44424"/>
    <w:rsid w:val="00F44AD9"/>
    <w:rsid w:val="00F44B9D"/>
    <w:rsid w:val="00F44F71"/>
    <w:rsid w:val="00F459C3"/>
    <w:rsid w:val="00F45C14"/>
    <w:rsid w:val="00F45C20"/>
    <w:rsid w:val="00F45C8C"/>
    <w:rsid w:val="00F46104"/>
    <w:rsid w:val="00F46924"/>
    <w:rsid w:val="00F46DE5"/>
    <w:rsid w:val="00F46ECC"/>
    <w:rsid w:val="00F46F29"/>
    <w:rsid w:val="00F4713C"/>
    <w:rsid w:val="00F50752"/>
    <w:rsid w:val="00F5082F"/>
    <w:rsid w:val="00F50837"/>
    <w:rsid w:val="00F50DB4"/>
    <w:rsid w:val="00F519EF"/>
    <w:rsid w:val="00F51DDA"/>
    <w:rsid w:val="00F51F42"/>
    <w:rsid w:val="00F52048"/>
    <w:rsid w:val="00F5230D"/>
    <w:rsid w:val="00F52AAA"/>
    <w:rsid w:val="00F52D5E"/>
    <w:rsid w:val="00F532AC"/>
    <w:rsid w:val="00F53377"/>
    <w:rsid w:val="00F537D7"/>
    <w:rsid w:val="00F53A4F"/>
    <w:rsid w:val="00F53CC4"/>
    <w:rsid w:val="00F53CE6"/>
    <w:rsid w:val="00F5416A"/>
    <w:rsid w:val="00F547A1"/>
    <w:rsid w:val="00F5492F"/>
    <w:rsid w:val="00F55141"/>
    <w:rsid w:val="00F55D6E"/>
    <w:rsid w:val="00F55FEF"/>
    <w:rsid w:val="00F560FD"/>
    <w:rsid w:val="00F5644C"/>
    <w:rsid w:val="00F5651E"/>
    <w:rsid w:val="00F56728"/>
    <w:rsid w:val="00F569FE"/>
    <w:rsid w:val="00F56B66"/>
    <w:rsid w:val="00F56C65"/>
    <w:rsid w:val="00F56E56"/>
    <w:rsid w:val="00F56F6F"/>
    <w:rsid w:val="00F57924"/>
    <w:rsid w:val="00F6001B"/>
    <w:rsid w:val="00F6074B"/>
    <w:rsid w:val="00F609F1"/>
    <w:rsid w:val="00F609F6"/>
    <w:rsid w:val="00F60D7F"/>
    <w:rsid w:val="00F61D1F"/>
    <w:rsid w:val="00F6243F"/>
    <w:rsid w:val="00F626AC"/>
    <w:rsid w:val="00F629DA"/>
    <w:rsid w:val="00F62A15"/>
    <w:rsid w:val="00F637E0"/>
    <w:rsid w:val="00F63972"/>
    <w:rsid w:val="00F63E54"/>
    <w:rsid w:val="00F64029"/>
    <w:rsid w:val="00F6402F"/>
    <w:rsid w:val="00F65377"/>
    <w:rsid w:val="00F654C8"/>
    <w:rsid w:val="00F65BED"/>
    <w:rsid w:val="00F65CFD"/>
    <w:rsid w:val="00F66388"/>
    <w:rsid w:val="00F665A2"/>
    <w:rsid w:val="00F66A0C"/>
    <w:rsid w:val="00F66D31"/>
    <w:rsid w:val="00F67721"/>
    <w:rsid w:val="00F67CA2"/>
    <w:rsid w:val="00F706E9"/>
    <w:rsid w:val="00F70CCE"/>
    <w:rsid w:val="00F71025"/>
    <w:rsid w:val="00F719ED"/>
    <w:rsid w:val="00F724D9"/>
    <w:rsid w:val="00F72F6E"/>
    <w:rsid w:val="00F733A4"/>
    <w:rsid w:val="00F73934"/>
    <w:rsid w:val="00F73EB6"/>
    <w:rsid w:val="00F74139"/>
    <w:rsid w:val="00F74D8D"/>
    <w:rsid w:val="00F75192"/>
    <w:rsid w:val="00F757CA"/>
    <w:rsid w:val="00F75879"/>
    <w:rsid w:val="00F75C70"/>
    <w:rsid w:val="00F760B8"/>
    <w:rsid w:val="00F76342"/>
    <w:rsid w:val="00F7645F"/>
    <w:rsid w:val="00F767DB"/>
    <w:rsid w:val="00F7691D"/>
    <w:rsid w:val="00F770BF"/>
    <w:rsid w:val="00F77291"/>
    <w:rsid w:val="00F779B6"/>
    <w:rsid w:val="00F77F0E"/>
    <w:rsid w:val="00F802F6"/>
    <w:rsid w:val="00F8035F"/>
    <w:rsid w:val="00F804E7"/>
    <w:rsid w:val="00F8144D"/>
    <w:rsid w:val="00F814F1"/>
    <w:rsid w:val="00F81A36"/>
    <w:rsid w:val="00F81C52"/>
    <w:rsid w:val="00F82041"/>
    <w:rsid w:val="00F82249"/>
    <w:rsid w:val="00F828BF"/>
    <w:rsid w:val="00F82B11"/>
    <w:rsid w:val="00F832EB"/>
    <w:rsid w:val="00F8369D"/>
    <w:rsid w:val="00F83B17"/>
    <w:rsid w:val="00F842B7"/>
    <w:rsid w:val="00F8468B"/>
    <w:rsid w:val="00F84F1E"/>
    <w:rsid w:val="00F858C3"/>
    <w:rsid w:val="00F86242"/>
    <w:rsid w:val="00F862AF"/>
    <w:rsid w:val="00F867B4"/>
    <w:rsid w:val="00F86B49"/>
    <w:rsid w:val="00F8714C"/>
    <w:rsid w:val="00F8730D"/>
    <w:rsid w:val="00F87433"/>
    <w:rsid w:val="00F87636"/>
    <w:rsid w:val="00F90183"/>
    <w:rsid w:val="00F904A8"/>
    <w:rsid w:val="00F90627"/>
    <w:rsid w:val="00F9086E"/>
    <w:rsid w:val="00F90ACA"/>
    <w:rsid w:val="00F914BC"/>
    <w:rsid w:val="00F91BEB"/>
    <w:rsid w:val="00F91C4B"/>
    <w:rsid w:val="00F925FD"/>
    <w:rsid w:val="00F926B1"/>
    <w:rsid w:val="00F928F1"/>
    <w:rsid w:val="00F92B56"/>
    <w:rsid w:val="00F92BC9"/>
    <w:rsid w:val="00F92C97"/>
    <w:rsid w:val="00F92ECF"/>
    <w:rsid w:val="00F94078"/>
    <w:rsid w:val="00F94817"/>
    <w:rsid w:val="00F94D3B"/>
    <w:rsid w:val="00F9559D"/>
    <w:rsid w:val="00F95654"/>
    <w:rsid w:val="00F96BC4"/>
    <w:rsid w:val="00F96C56"/>
    <w:rsid w:val="00F96E56"/>
    <w:rsid w:val="00F97935"/>
    <w:rsid w:val="00F97BE9"/>
    <w:rsid w:val="00F97C80"/>
    <w:rsid w:val="00FA02B9"/>
    <w:rsid w:val="00FA09CF"/>
    <w:rsid w:val="00FA1288"/>
    <w:rsid w:val="00FA13FA"/>
    <w:rsid w:val="00FA1D86"/>
    <w:rsid w:val="00FA2001"/>
    <w:rsid w:val="00FA2540"/>
    <w:rsid w:val="00FA2BDF"/>
    <w:rsid w:val="00FA35D9"/>
    <w:rsid w:val="00FA3AD2"/>
    <w:rsid w:val="00FA4476"/>
    <w:rsid w:val="00FA4609"/>
    <w:rsid w:val="00FA4953"/>
    <w:rsid w:val="00FA4B86"/>
    <w:rsid w:val="00FA5663"/>
    <w:rsid w:val="00FA5BBA"/>
    <w:rsid w:val="00FA62E6"/>
    <w:rsid w:val="00FA6305"/>
    <w:rsid w:val="00FA6386"/>
    <w:rsid w:val="00FA6464"/>
    <w:rsid w:val="00FA6517"/>
    <w:rsid w:val="00FA6733"/>
    <w:rsid w:val="00FA67D6"/>
    <w:rsid w:val="00FA6D76"/>
    <w:rsid w:val="00FA6DF3"/>
    <w:rsid w:val="00FA7324"/>
    <w:rsid w:val="00FB132F"/>
    <w:rsid w:val="00FB181C"/>
    <w:rsid w:val="00FB1E30"/>
    <w:rsid w:val="00FB2424"/>
    <w:rsid w:val="00FB3044"/>
    <w:rsid w:val="00FB3BF8"/>
    <w:rsid w:val="00FB3CF5"/>
    <w:rsid w:val="00FB3ECC"/>
    <w:rsid w:val="00FB41ED"/>
    <w:rsid w:val="00FB4566"/>
    <w:rsid w:val="00FB5062"/>
    <w:rsid w:val="00FB50E6"/>
    <w:rsid w:val="00FB51F4"/>
    <w:rsid w:val="00FB586F"/>
    <w:rsid w:val="00FB5CA7"/>
    <w:rsid w:val="00FB60A3"/>
    <w:rsid w:val="00FB634B"/>
    <w:rsid w:val="00FB6B54"/>
    <w:rsid w:val="00FB6C89"/>
    <w:rsid w:val="00FB6EAA"/>
    <w:rsid w:val="00FB76D8"/>
    <w:rsid w:val="00FB7E45"/>
    <w:rsid w:val="00FB7F59"/>
    <w:rsid w:val="00FB7FDF"/>
    <w:rsid w:val="00FC0191"/>
    <w:rsid w:val="00FC06FB"/>
    <w:rsid w:val="00FC0837"/>
    <w:rsid w:val="00FC09EF"/>
    <w:rsid w:val="00FC0DA7"/>
    <w:rsid w:val="00FC0F4F"/>
    <w:rsid w:val="00FC10D2"/>
    <w:rsid w:val="00FC11A6"/>
    <w:rsid w:val="00FC2684"/>
    <w:rsid w:val="00FC2AA7"/>
    <w:rsid w:val="00FC3107"/>
    <w:rsid w:val="00FC378C"/>
    <w:rsid w:val="00FC3DE0"/>
    <w:rsid w:val="00FC3F15"/>
    <w:rsid w:val="00FC46D6"/>
    <w:rsid w:val="00FC4713"/>
    <w:rsid w:val="00FC4A18"/>
    <w:rsid w:val="00FC4A2B"/>
    <w:rsid w:val="00FC4E81"/>
    <w:rsid w:val="00FC4F78"/>
    <w:rsid w:val="00FC546B"/>
    <w:rsid w:val="00FC59F9"/>
    <w:rsid w:val="00FC5B51"/>
    <w:rsid w:val="00FC5E4F"/>
    <w:rsid w:val="00FC61BD"/>
    <w:rsid w:val="00FC6364"/>
    <w:rsid w:val="00FC678E"/>
    <w:rsid w:val="00FC6BC6"/>
    <w:rsid w:val="00FC6EE1"/>
    <w:rsid w:val="00FC7383"/>
    <w:rsid w:val="00FC78C7"/>
    <w:rsid w:val="00FC7AE7"/>
    <w:rsid w:val="00FD0119"/>
    <w:rsid w:val="00FD01B6"/>
    <w:rsid w:val="00FD01CA"/>
    <w:rsid w:val="00FD071F"/>
    <w:rsid w:val="00FD0B87"/>
    <w:rsid w:val="00FD1635"/>
    <w:rsid w:val="00FD1705"/>
    <w:rsid w:val="00FD17B8"/>
    <w:rsid w:val="00FD1B2A"/>
    <w:rsid w:val="00FD1B7C"/>
    <w:rsid w:val="00FD1BFC"/>
    <w:rsid w:val="00FD1EC0"/>
    <w:rsid w:val="00FD26B6"/>
    <w:rsid w:val="00FD27CC"/>
    <w:rsid w:val="00FD2DC7"/>
    <w:rsid w:val="00FD3055"/>
    <w:rsid w:val="00FD3294"/>
    <w:rsid w:val="00FD3398"/>
    <w:rsid w:val="00FD3495"/>
    <w:rsid w:val="00FD3950"/>
    <w:rsid w:val="00FD3BA9"/>
    <w:rsid w:val="00FD4588"/>
    <w:rsid w:val="00FD4AA6"/>
    <w:rsid w:val="00FD4B1B"/>
    <w:rsid w:val="00FD4F11"/>
    <w:rsid w:val="00FD5107"/>
    <w:rsid w:val="00FD5167"/>
    <w:rsid w:val="00FD581E"/>
    <w:rsid w:val="00FD5962"/>
    <w:rsid w:val="00FD5B55"/>
    <w:rsid w:val="00FD5CEC"/>
    <w:rsid w:val="00FD6237"/>
    <w:rsid w:val="00FD6321"/>
    <w:rsid w:val="00FD67C6"/>
    <w:rsid w:val="00FD69BD"/>
    <w:rsid w:val="00FD7034"/>
    <w:rsid w:val="00FD7059"/>
    <w:rsid w:val="00FD7063"/>
    <w:rsid w:val="00FD774D"/>
    <w:rsid w:val="00FD7EE5"/>
    <w:rsid w:val="00FD7F3E"/>
    <w:rsid w:val="00FE05DB"/>
    <w:rsid w:val="00FE0ACA"/>
    <w:rsid w:val="00FE0C2B"/>
    <w:rsid w:val="00FE1143"/>
    <w:rsid w:val="00FE19CE"/>
    <w:rsid w:val="00FE1D9C"/>
    <w:rsid w:val="00FE226A"/>
    <w:rsid w:val="00FE2D31"/>
    <w:rsid w:val="00FE2D33"/>
    <w:rsid w:val="00FE3A77"/>
    <w:rsid w:val="00FE4005"/>
    <w:rsid w:val="00FE4125"/>
    <w:rsid w:val="00FE4AFF"/>
    <w:rsid w:val="00FE4E79"/>
    <w:rsid w:val="00FE50E8"/>
    <w:rsid w:val="00FE5169"/>
    <w:rsid w:val="00FE5336"/>
    <w:rsid w:val="00FE59A2"/>
    <w:rsid w:val="00FE5BD5"/>
    <w:rsid w:val="00FE5D59"/>
    <w:rsid w:val="00FE6315"/>
    <w:rsid w:val="00FE644A"/>
    <w:rsid w:val="00FE7315"/>
    <w:rsid w:val="00FE7EBD"/>
    <w:rsid w:val="00FF08EF"/>
    <w:rsid w:val="00FF0A74"/>
    <w:rsid w:val="00FF0CA3"/>
    <w:rsid w:val="00FF17EC"/>
    <w:rsid w:val="00FF2563"/>
    <w:rsid w:val="00FF2619"/>
    <w:rsid w:val="00FF2789"/>
    <w:rsid w:val="00FF3283"/>
    <w:rsid w:val="00FF39F7"/>
    <w:rsid w:val="00FF3E97"/>
    <w:rsid w:val="00FF3F69"/>
    <w:rsid w:val="00FF4286"/>
    <w:rsid w:val="00FF47C1"/>
    <w:rsid w:val="00FF5255"/>
    <w:rsid w:val="00FF593D"/>
    <w:rsid w:val="00FF5E97"/>
    <w:rsid w:val="00FF5EF3"/>
    <w:rsid w:val="00FF6273"/>
    <w:rsid w:val="00FF6848"/>
    <w:rsid w:val="00FF6AE3"/>
    <w:rsid w:val="00FF6C6D"/>
    <w:rsid w:val="00FF6EF7"/>
    <w:rsid w:val="00FF75DA"/>
    <w:rsid w:val="00FF7D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6F"/>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078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C4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5C42"/>
    <w:rPr>
      <w:sz w:val="20"/>
      <w:szCs w:val="20"/>
    </w:rPr>
  </w:style>
  <w:style w:type="character" w:styleId="FootnoteReference">
    <w:name w:val="footnote reference"/>
    <w:basedOn w:val="DefaultParagraphFont"/>
    <w:uiPriority w:val="99"/>
    <w:semiHidden/>
    <w:unhideWhenUsed/>
    <w:rsid w:val="00DA5C42"/>
    <w:rPr>
      <w:sz w:val="26"/>
      <w:vertAlign w:val="superscript"/>
    </w:rPr>
  </w:style>
  <w:style w:type="paragraph" w:styleId="Revision">
    <w:name w:val="Revision"/>
    <w:hidden/>
    <w:uiPriority w:val="99"/>
    <w:semiHidden/>
    <w:rsid w:val="00783999"/>
    <w:pPr>
      <w:spacing w:after="0" w:line="240" w:lineRule="auto"/>
    </w:pPr>
  </w:style>
  <w:style w:type="paragraph" w:styleId="Header">
    <w:name w:val="header"/>
    <w:basedOn w:val="Normal"/>
    <w:link w:val="Head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B32"/>
  </w:style>
  <w:style w:type="paragraph" w:styleId="Footer">
    <w:name w:val="footer"/>
    <w:basedOn w:val="Normal"/>
    <w:link w:val="Foot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B32"/>
  </w:style>
  <w:style w:type="character" w:styleId="CommentReference">
    <w:name w:val="annotation reference"/>
    <w:basedOn w:val="DefaultParagraphFont"/>
    <w:uiPriority w:val="99"/>
    <w:semiHidden/>
    <w:unhideWhenUsed/>
    <w:rsid w:val="009D484C"/>
    <w:rPr>
      <w:sz w:val="16"/>
      <w:szCs w:val="16"/>
    </w:rPr>
  </w:style>
  <w:style w:type="paragraph" w:styleId="CommentText">
    <w:name w:val="annotation text"/>
    <w:basedOn w:val="Normal"/>
    <w:link w:val="CommentTextChar"/>
    <w:uiPriority w:val="99"/>
    <w:unhideWhenUsed/>
    <w:rsid w:val="009D48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484C"/>
    <w:rPr>
      <w:sz w:val="20"/>
      <w:szCs w:val="20"/>
    </w:rPr>
  </w:style>
  <w:style w:type="paragraph" w:styleId="CommentSubject">
    <w:name w:val="annotation subject"/>
    <w:basedOn w:val="CommentText"/>
    <w:next w:val="CommentText"/>
    <w:link w:val="CommentSubjectChar"/>
    <w:uiPriority w:val="99"/>
    <w:semiHidden/>
    <w:unhideWhenUsed/>
    <w:rsid w:val="009D484C"/>
    <w:rPr>
      <w:b/>
      <w:bCs/>
    </w:rPr>
  </w:style>
  <w:style w:type="character" w:customStyle="1" w:styleId="CommentSubjectChar">
    <w:name w:val="Comment Subject Char"/>
    <w:basedOn w:val="CommentTextChar"/>
    <w:link w:val="CommentSubject"/>
    <w:uiPriority w:val="99"/>
    <w:semiHidden/>
    <w:rsid w:val="009D484C"/>
    <w:rPr>
      <w:b/>
      <w:bCs/>
      <w:sz w:val="20"/>
      <w:szCs w:val="20"/>
    </w:rPr>
  </w:style>
  <w:style w:type="character" w:styleId="PlaceholderText">
    <w:name w:val="Placeholder Text"/>
    <w:basedOn w:val="DefaultParagraphFont"/>
    <w:uiPriority w:val="99"/>
    <w:semiHidden/>
    <w:rsid w:val="00427FED"/>
    <w:rPr>
      <w:color w:val="808080"/>
    </w:rPr>
  </w:style>
  <w:style w:type="paragraph" w:styleId="ListParagraph">
    <w:name w:val="List Paragraph"/>
    <w:basedOn w:val="Normal"/>
    <w:uiPriority w:val="34"/>
    <w:qFormat/>
    <w:rsid w:val="00C173C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173C0"/>
    <w:rPr>
      <w:color w:val="0000FF"/>
      <w:u w:val="single"/>
    </w:rPr>
  </w:style>
  <w:style w:type="character" w:styleId="Emphasis">
    <w:name w:val="Emphasis"/>
    <w:basedOn w:val="DefaultParagraphFont"/>
    <w:uiPriority w:val="20"/>
    <w:qFormat/>
    <w:rsid w:val="00C173C0"/>
    <w:rPr>
      <w:i/>
      <w:iCs/>
    </w:rPr>
  </w:style>
  <w:style w:type="paragraph" w:styleId="BalloonText">
    <w:name w:val="Balloon Text"/>
    <w:basedOn w:val="Normal"/>
    <w:link w:val="BalloonTextChar"/>
    <w:uiPriority w:val="99"/>
    <w:semiHidden/>
    <w:unhideWhenUsed/>
    <w:rsid w:val="0031352A"/>
    <w:rPr>
      <w:rFonts w:eastAsiaTheme="minorHAnsi"/>
      <w:sz w:val="18"/>
      <w:szCs w:val="18"/>
    </w:rPr>
  </w:style>
  <w:style w:type="character" w:customStyle="1" w:styleId="BalloonTextChar">
    <w:name w:val="Balloon Text Char"/>
    <w:basedOn w:val="DefaultParagraphFont"/>
    <w:link w:val="BalloonText"/>
    <w:uiPriority w:val="99"/>
    <w:semiHidden/>
    <w:rsid w:val="0031352A"/>
    <w:rPr>
      <w:rFonts w:ascii="Times New Roman" w:hAnsi="Times New Roman" w:cs="Times New Roman"/>
      <w:sz w:val="18"/>
      <w:szCs w:val="18"/>
    </w:rPr>
  </w:style>
  <w:style w:type="character" w:customStyle="1" w:styleId="Heading6Char">
    <w:name w:val="Heading 6 Char"/>
    <w:basedOn w:val="DefaultParagraphFont"/>
    <w:link w:val="Heading6"/>
    <w:uiPriority w:val="9"/>
    <w:rsid w:val="00C0786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07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1760-C70F-4B04-8C3B-65062BD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7193</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2024-02-22T21:46:30Z</dcterms:created>
  <dcterms:modified xsi:type="dcterms:W3CDTF">2024-02-22T21:46:30Z</dcterms:modified>
</cp:coreProperties>
</file>