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F6D6C" w:rsidRPr="00F72CC6" w:rsidP="000F308F" w14:paraId="09865F10" w14:textId="5EFCBF01">
      <w:pPr>
        <w:spacing w:line="240" w:lineRule="auto"/>
        <w:rPr>
          <w:sz w:val="20"/>
          <w:szCs w:val="20"/>
        </w:rPr>
      </w:pPr>
      <w:r w:rsidRPr="00F72CC6">
        <w:rPr>
          <w:sz w:val="20"/>
          <w:szCs w:val="20"/>
        </w:rPr>
        <w:t>Filed 12/28/23</w:t>
      </w:r>
    </w:p>
    <w:p w:rsidR="004B46A5" w:rsidP="000F308F" w14:paraId="64C8F939" w14:textId="0D0DDA4C">
      <w:pPr>
        <w:spacing w:line="240" w:lineRule="auto"/>
        <w:jc w:val="center"/>
        <w:rPr>
          <w:b/>
        </w:rPr>
      </w:pPr>
      <w:r>
        <w:rPr>
          <w:b/>
        </w:rPr>
        <w:t>CERTIFIED FOR PUBLICATION</w:t>
      </w:r>
    </w:p>
    <w:p w:rsidR="00F72CC6" w:rsidP="000F308F" w14:paraId="27C64084" w14:textId="77777777">
      <w:pPr>
        <w:spacing w:line="240" w:lineRule="auto"/>
        <w:jc w:val="center"/>
        <w:rPr>
          <w:rFonts w:ascii="Arial" w:hAnsi="Arial" w:cs="Arial"/>
          <w:b/>
          <w:sz w:val="16"/>
        </w:rPr>
      </w:pPr>
    </w:p>
    <w:p w:rsidR="00F72CC6" w:rsidP="000F308F" w14:paraId="2078D81C" w14:textId="77777777">
      <w:pPr>
        <w:spacing w:line="240" w:lineRule="auto"/>
        <w:jc w:val="center"/>
        <w:rPr>
          <w:rFonts w:ascii="Arial" w:hAnsi="Arial" w:cs="Arial"/>
          <w:b/>
          <w:sz w:val="16"/>
        </w:rPr>
      </w:pPr>
    </w:p>
    <w:p w:rsidR="00F72CC6" w:rsidP="000F308F" w14:paraId="51F3ABB7" w14:textId="77777777">
      <w:pPr>
        <w:spacing w:line="240" w:lineRule="auto"/>
        <w:jc w:val="center"/>
        <w:rPr>
          <w:rFonts w:ascii="Arial" w:hAnsi="Arial" w:cs="Arial"/>
          <w:b/>
          <w:sz w:val="16"/>
        </w:rPr>
      </w:pPr>
    </w:p>
    <w:p w:rsidR="00F72CC6" w:rsidP="000F308F" w14:paraId="477AB7C5" w14:textId="77777777">
      <w:pPr>
        <w:spacing w:line="240" w:lineRule="auto"/>
        <w:jc w:val="center"/>
        <w:rPr>
          <w:rFonts w:ascii="Arial" w:hAnsi="Arial" w:cs="Arial"/>
          <w:b/>
          <w:sz w:val="16"/>
        </w:rPr>
      </w:pPr>
    </w:p>
    <w:p w:rsidR="00F72CC6" w:rsidP="000F308F" w14:paraId="03EA66A6" w14:textId="77777777">
      <w:pPr>
        <w:spacing w:line="240" w:lineRule="auto"/>
        <w:jc w:val="center"/>
        <w:rPr>
          <w:rFonts w:ascii="Arial" w:hAnsi="Arial" w:cs="Arial"/>
          <w:b/>
          <w:sz w:val="16"/>
        </w:rPr>
      </w:pPr>
    </w:p>
    <w:p w:rsidR="00F72CC6" w:rsidP="000F308F" w14:paraId="45AACAF3" w14:textId="77777777">
      <w:pPr>
        <w:spacing w:line="240" w:lineRule="auto"/>
        <w:jc w:val="center"/>
        <w:rPr>
          <w:rFonts w:ascii="Arial" w:hAnsi="Arial" w:cs="Arial"/>
          <w:b/>
          <w:sz w:val="16"/>
        </w:rPr>
      </w:pPr>
    </w:p>
    <w:p w:rsidR="00F72CC6" w:rsidP="000F308F" w14:paraId="4C43DED4" w14:textId="77777777">
      <w:pPr>
        <w:spacing w:line="240" w:lineRule="auto"/>
        <w:jc w:val="center"/>
        <w:rPr>
          <w:rFonts w:ascii="Arial" w:hAnsi="Arial" w:cs="Arial"/>
          <w:b/>
          <w:sz w:val="16"/>
        </w:rPr>
      </w:pPr>
    </w:p>
    <w:p w:rsidR="000F308F" w:rsidP="000F308F" w14:paraId="50D06C8A" w14:textId="4438A5F7">
      <w:pPr>
        <w:spacing w:line="240" w:lineRule="auto"/>
        <w:jc w:val="center"/>
      </w:pPr>
      <w:r>
        <w:t>IN THE COURT OF APPEAL OF THE STATE OF CALIFORNIA</w:t>
      </w:r>
    </w:p>
    <w:p w:rsidR="000F308F" w:rsidP="000F308F" w14:paraId="6DDBB96F" w14:textId="77777777">
      <w:pPr>
        <w:spacing w:line="240" w:lineRule="auto"/>
        <w:jc w:val="center"/>
      </w:pPr>
    </w:p>
    <w:p w:rsidR="000F308F" w:rsidP="000F308F" w14:paraId="564A3E6B" w14:textId="7949791E">
      <w:pPr>
        <w:spacing w:line="240" w:lineRule="auto"/>
        <w:jc w:val="center"/>
      </w:pPr>
      <w:r>
        <w:t>SECOND APPELLATE DISTRICT</w:t>
      </w:r>
    </w:p>
    <w:p w:rsidR="000F308F" w:rsidP="000F308F" w14:paraId="46CCB7E7" w14:textId="77777777">
      <w:pPr>
        <w:spacing w:line="240" w:lineRule="auto"/>
        <w:jc w:val="center"/>
      </w:pPr>
    </w:p>
    <w:p w:rsidR="000F308F" w:rsidP="000F308F" w14:paraId="4A02ACFC" w14:textId="63B31A35">
      <w:pPr>
        <w:spacing w:line="240" w:lineRule="auto"/>
        <w:jc w:val="center"/>
      </w:pPr>
      <w:r>
        <w:t>DIVISION FOUR</w:t>
      </w:r>
    </w:p>
    <w:p w:rsidR="000F308F" w:rsidP="000F308F" w14:paraId="74151F66" w14:textId="77777777">
      <w:pPr>
        <w:spacing w:line="240" w:lineRule="auto"/>
        <w:jc w:val="center"/>
      </w:pPr>
    </w:p>
    <w:p w:rsidR="000F308F" w:rsidP="000F308F" w14:paraId="038C1EA9" w14:textId="77777777">
      <w:pPr>
        <w:spacing w:line="240" w:lineRule="auto"/>
        <w:jc w:val="center"/>
      </w:pPr>
    </w:p>
    <w:tbl>
      <w:tblPr>
        <w:tblW w:w="9576" w:type="dxa"/>
        <w:tblLayout w:type="fixed"/>
        <w:tblLook w:val="0000"/>
      </w:tblPr>
      <w:tblGrid>
        <w:gridCol w:w="4878"/>
        <w:gridCol w:w="4698"/>
      </w:tblGrid>
      <w:tr w14:paraId="6C800E14" w14:textId="77777777" w:rsidTr="000F308F">
        <w:tblPrEx>
          <w:tblW w:w="9576" w:type="dxa"/>
          <w:tblLayout w:type="fixed"/>
          <w:tblLook w:val="0000"/>
        </w:tblPrEx>
        <w:tc>
          <w:tcPr>
            <w:tcW w:w="4878" w:type="dxa"/>
            <w:tcBorders>
              <w:bottom w:val="single" w:sz="4" w:space="0" w:color="auto"/>
              <w:right w:val="single" w:sz="4" w:space="0" w:color="auto"/>
            </w:tcBorders>
            <w:shd w:val="clear" w:color="auto" w:fill="auto"/>
          </w:tcPr>
          <w:p w:rsidR="00F72CC6" w:rsidP="00F72CC6" w14:paraId="40BE0D0D" w14:textId="77777777">
            <w:pPr>
              <w:spacing w:line="240" w:lineRule="auto"/>
              <w:rPr>
                <w:szCs w:val="26"/>
              </w:rPr>
            </w:pPr>
            <w:r>
              <w:rPr>
                <w:szCs w:val="26"/>
              </w:rPr>
              <w:t xml:space="preserve">ERIC HAMILTON </w:t>
            </w:r>
            <w:r>
              <w:rPr>
                <w:szCs w:val="26"/>
              </w:rPr>
              <w:t>et al.,</w:t>
            </w:r>
          </w:p>
          <w:p w:rsidR="00B36C22" w:rsidP="00F72CC6" w14:paraId="4D833641" w14:textId="5607924C">
            <w:pPr>
              <w:spacing w:line="240" w:lineRule="auto"/>
              <w:rPr>
                <w:szCs w:val="26"/>
              </w:rPr>
            </w:pPr>
          </w:p>
          <w:p w:rsidR="00B36C22" w:rsidP="00DA52F4" w14:paraId="3DC536E0" w14:textId="77777777">
            <w:pPr>
              <w:spacing w:line="240" w:lineRule="auto"/>
              <w:rPr>
                <w:szCs w:val="26"/>
              </w:rPr>
            </w:pPr>
          </w:p>
          <w:p w:rsidR="00B36C22" w:rsidRPr="00E43DD4" w:rsidP="00DA52F4" w14:paraId="51D7125B" w14:textId="77777777">
            <w:pPr>
              <w:spacing w:line="240" w:lineRule="auto"/>
              <w:rPr>
                <w:szCs w:val="26"/>
              </w:rPr>
            </w:pPr>
            <w:r w:rsidRPr="00E43DD4">
              <w:rPr>
                <w:szCs w:val="26"/>
              </w:rPr>
              <w:tab/>
              <w:t>Plaintiff</w:t>
            </w:r>
            <w:r>
              <w:rPr>
                <w:szCs w:val="26"/>
              </w:rPr>
              <w:t>s</w:t>
            </w:r>
            <w:r w:rsidRPr="00E43DD4">
              <w:rPr>
                <w:szCs w:val="26"/>
              </w:rPr>
              <w:t xml:space="preserve"> and </w:t>
            </w:r>
            <w:r>
              <w:rPr>
                <w:szCs w:val="26"/>
              </w:rPr>
              <w:t>Appellants</w:t>
            </w:r>
            <w:r w:rsidRPr="00E43DD4">
              <w:rPr>
                <w:szCs w:val="26"/>
              </w:rPr>
              <w:t>,</w:t>
            </w:r>
          </w:p>
          <w:p w:rsidR="00B36C22" w:rsidRPr="00E43DD4" w:rsidP="00DA52F4" w14:paraId="42E804E0" w14:textId="77777777">
            <w:pPr>
              <w:spacing w:line="240" w:lineRule="auto"/>
              <w:rPr>
                <w:szCs w:val="26"/>
              </w:rPr>
            </w:pPr>
          </w:p>
          <w:p w:rsidR="00B36C22" w:rsidP="00DA52F4" w14:paraId="5A0FDAB8" w14:textId="77777777">
            <w:pPr>
              <w:spacing w:line="240" w:lineRule="auto"/>
              <w:rPr>
                <w:szCs w:val="26"/>
              </w:rPr>
            </w:pPr>
            <w:r w:rsidRPr="00E43DD4">
              <w:rPr>
                <w:szCs w:val="26"/>
              </w:rPr>
              <w:tab/>
              <w:t>v.</w:t>
            </w:r>
          </w:p>
          <w:p w:rsidR="000F308F" w:rsidRPr="00E43DD4" w:rsidP="0034734D" w14:paraId="7C1534EE" w14:textId="199CBF6E">
            <w:pPr>
              <w:tabs>
                <w:tab w:val="left" w:pos="2820"/>
              </w:tabs>
              <w:spacing w:line="240" w:lineRule="auto"/>
              <w:rPr>
                <w:szCs w:val="26"/>
              </w:rPr>
            </w:pPr>
            <w:r>
              <w:rPr>
                <w:szCs w:val="26"/>
              </w:rPr>
              <w:tab/>
            </w:r>
          </w:p>
          <w:p w:rsidR="00B36C22" w:rsidRPr="00E43DD4" w:rsidP="00DA52F4" w14:paraId="2D469A6A" w14:textId="68B45A3D">
            <w:pPr>
              <w:spacing w:line="240" w:lineRule="auto"/>
              <w:rPr>
                <w:szCs w:val="26"/>
              </w:rPr>
            </w:pPr>
            <w:r>
              <w:rPr>
                <w:szCs w:val="26"/>
              </w:rPr>
              <w:t>LADONNA GREEN</w:t>
            </w:r>
            <w:r w:rsidRPr="00E43DD4">
              <w:rPr>
                <w:szCs w:val="26"/>
              </w:rPr>
              <w:t>,</w:t>
            </w:r>
          </w:p>
          <w:p w:rsidR="00B36C22" w:rsidRPr="00E43DD4" w:rsidP="00DA52F4" w14:paraId="089E989F" w14:textId="77777777">
            <w:pPr>
              <w:spacing w:line="240" w:lineRule="auto"/>
              <w:rPr>
                <w:szCs w:val="26"/>
              </w:rPr>
            </w:pPr>
          </w:p>
          <w:p w:rsidR="00B36C22" w:rsidRPr="00E43DD4" w:rsidP="00DA52F4" w14:paraId="4751C382" w14:textId="77777777">
            <w:pPr>
              <w:spacing w:line="240" w:lineRule="auto"/>
              <w:rPr>
                <w:szCs w:val="26"/>
              </w:rPr>
            </w:pPr>
            <w:r w:rsidRPr="00E43DD4">
              <w:rPr>
                <w:szCs w:val="26"/>
              </w:rPr>
              <w:tab/>
              <w:t xml:space="preserve">Defendant and </w:t>
            </w:r>
            <w:r>
              <w:rPr>
                <w:szCs w:val="26"/>
              </w:rPr>
              <w:t>Respondent</w:t>
            </w:r>
            <w:r w:rsidRPr="00E43DD4">
              <w:rPr>
                <w:szCs w:val="26"/>
              </w:rPr>
              <w:t>.</w:t>
            </w:r>
          </w:p>
          <w:p w:rsidR="00B36C22" w:rsidRPr="00E43DD4" w:rsidP="00DA52F4" w14:paraId="26C63176" w14:textId="77777777">
            <w:pPr>
              <w:spacing w:line="240" w:lineRule="auto"/>
              <w:rPr>
                <w:szCs w:val="26"/>
              </w:rPr>
            </w:pPr>
          </w:p>
        </w:tc>
        <w:tc>
          <w:tcPr>
            <w:tcW w:w="4698" w:type="dxa"/>
            <w:tcBorders>
              <w:left w:val="single" w:sz="4" w:space="0" w:color="auto"/>
            </w:tcBorders>
            <w:shd w:val="clear" w:color="auto" w:fill="auto"/>
          </w:tcPr>
          <w:p w:rsidR="00B36C22" w:rsidRPr="00E43DD4" w:rsidP="00DA52F4" w14:paraId="1C64508A" w14:textId="77777777">
            <w:pPr>
              <w:spacing w:line="240" w:lineRule="auto"/>
              <w:rPr>
                <w:szCs w:val="26"/>
              </w:rPr>
            </w:pPr>
            <w:r w:rsidRPr="00E43DD4">
              <w:rPr>
                <w:szCs w:val="26"/>
              </w:rPr>
              <w:t xml:space="preserve">      B</w:t>
            </w:r>
            <w:r>
              <w:rPr>
                <w:szCs w:val="26"/>
              </w:rPr>
              <w:t>323621</w:t>
            </w:r>
          </w:p>
          <w:p w:rsidR="00B36C22" w:rsidRPr="00E43DD4" w:rsidP="00DA52F4" w14:paraId="4F727B59" w14:textId="77777777">
            <w:pPr>
              <w:spacing w:line="240" w:lineRule="auto"/>
              <w:rPr>
                <w:szCs w:val="26"/>
              </w:rPr>
            </w:pPr>
          </w:p>
          <w:p w:rsidR="00B36C22" w:rsidRPr="00E43DD4" w:rsidP="00DA52F4" w14:paraId="75F2EE87" w14:textId="77777777">
            <w:pPr>
              <w:spacing w:line="240" w:lineRule="auto"/>
              <w:rPr>
                <w:szCs w:val="26"/>
              </w:rPr>
            </w:pPr>
            <w:r w:rsidRPr="00E43DD4">
              <w:rPr>
                <w:szCs w:val="26"/>
              </w:rPr>
              <w:t xml:space="preserve">      (Los Angeles County</w:t>
            </w:r>
          </w:p>
          <w:p w:rsidR="00B36C22" w:rsidRPr="00E43DD4" w:rsidP="00DA52F4" w14:paraId="03B5B226" w14:textId="77777777">
            <w:pPr>
              <w:rPr>
                <w:szCs w:val="26"/>
              </w:rPr>
            </w:pPr>
            <w:r w:rsidRPr="00E43DD4">
              <w:rPr>
                <w:szCs w:val="26"/>
              </w:rPr>
              <w:t xml:space="preserve">   </w:t>
            </w:r>
            <w:r>
              <w:rPr>
                <w:szCs w:val="26"/>
              </w:rPr>
              <w:t xml:space="preserve"> </w:t>
            </w:r>
            <w:r w:rsidRPr="00E43DD4">
              <w:rPr>
                <w:szCs w:val="26"/>
              </w:rPr>
              <w:t xml:space="preserve">   Super. Ct. No. </w:t>
            </w:r>
            <w:r>
              <w:rPr>
                <w:szCs w:val="26"/>
              </w:rPr>
              <w:t>21STCV28166</w:t>
            </w:r>
            <w:r w:rsidRPr="00E43DD4">
              <w:rPr>
                <w:szCs w:val="26"/>
              </w:rPr>
              <w:t>)</w:t>
            </w:r>
          </w:p>
        </w:tc>
      </w:tr>
    </w:tbl>
    <w:p w:rsidR="00B36C22" w:rsidRPr="00E43DD4" w:rsidP="00B36C22" w14:paraId="07A910E7" w14:textId="77777777">
      <w:pPr>
        <w:spacing w:line="240" w:lineRule="auto"/>
        <w:rPr>
          <w:szCs w:val="26"/>
        </w:rPr>
      </w:pPr>
    </w:p>
    <w:p w:rsidR="00B36C22" w:rsidRPr="00E43DD4" w:rsidP="00B36C22" w14:paraId="7BFA164D" w14:textId="77777777">
      <w:pPr>
        <w:spacing w:line="240" w:lineRule="auto"/>
        <w:rPr>
          <w:szCs w:val="26"/>
        </w:rPr>
      </w:pPr>
    </w:p>
    <w:p w:rsidR="00B36C22" w:rsidP="00B36C22" w14:paraId="44368481" w14:textId="6A09A037">
      <w:pPr>
        <w:spacing w:line="360" w:lineRule="auto"/>
        <w:rPr>
          <w:szCs w:val="26"/>
        </w:rPr>
      </w:pPr>
      <w:r w:rsidRPr="00E43DD4">
        <w:rPr>
          <w:szCs w:val="26"/>
        </w:rPr>
        <w:tab/>
        <w:t xml:space="preserve">APPEAL from a judgment of the Superior Court of Los Angeles County, </w:t>
      </w:r>
      <w:r>
        <w:rPr>
          <w:szCs w:val="26"/>
        </w:rPr>
        <w:t>Gus T. May</w:t>
      </w:r>
      <w:r w:rsidRPr="00E43DD4">
        <w:rPr>
          <w:szCs w:val="26"/>
        </w:rPr>
        <w:t xml:space="preserve">, </w:t>
      </w:r>
      <w:r>
        <w:rPr>
          <w:szCs w:val="26"/>
        </w:rPr>
        <w:t>Judge</w:t>
      </w:r>
      <w:r w:rsidRPr="00E43DD4">
        <w:rPr>
          <w:szCs w:val="26"/>
        </w:rPr>
        <w:t>.  Affirmed.</w:t>
      </w:r>
    </w:p>
    <w:p w:rsidR="00B36C22" w:rsidP="00B36C22" w14:paraId="7A861E81" w14:textId="77777777">
      <w:pPr>
        <w:spacing w:line="360" w:lineRule="auto"/>
        <w:rPr>
          <w:szCs w:val="26"/>
        </w:rPr>
      </w:pPr>
      <w:r>
        <w:rPr>
          <w:szCs w:val="26"/>
        </w:rPr>
        <w:tab/>
        <w:t>Law Offices of L’Tanya M. Butler and L’Tanya M. Butler for Plaintiffs and Appellants.</w:t>
      </w:r>
    </w:p>
    <w:p w:rsidR="00B36C22" w:rsidP="00B36C22" w14:paraId="064D2C4F" w14:textId="77777777">
      <w:pPr>
        <w:spacing w:line="360" w:lineRule="auto"/>
        <w:rPr>
          <w:szCs w:val="26"/>
        </w:rPr>
      </w:pPr>
      <w:r w:rsidRPr="00E43DD4">
        <w:rPr>
          <w:szCs w:val="26"/>
        </w:rPr>
        <w:tab/>
      </w:r>
      <w:r>
        <w:rPr>
          <w:szCs w:val="26"/>
        </w:rPr>
        <w:t>No appearance for Defendant and Respondent.</w:t>
      </w:r>
    </w:p>
    <w:p w:rsidR="00583FA3" w:rsidP="00B36C22" w14:paraId="33994A93" w14:textId="77777777">
      <w:pPr>
        <w:spacing w:line="360" w:lineRule="auto"/>
        <w:rPr>
          <w:szCs w:val="26"/>
        </w:rPr>
      </w:pPr>
    </w:p>
    <w:p w:rsidR="00583FA3" w:rsidP="00B36C22" w14:paraId="08A39905" w14:textId="77777777">
      <w:pPr>
        <w:spacing w:line="360" w:lineRule="auto"/>
        <w:rPr>
          <w:szCs w:val="26"/>
        </w:rPr>
      </w:pPr>
    </w:p>
    <w:p w:rsidR="00583FA3" w:rsidP="00B36C22" w14:paraId="246F62B0" w14:textId="77777777">
      <w:pPr>
        <w:spacing w:line="360" w:lineRule="auto"/>
        <w:rPr>
          <w:szCs w:val="26"/>
        </w:rPr>
      </w:pPr>
    </w:p>
    <w:p w:rsidR="00C120FA" w:rsidP="00583FA3" w14:paraId="7DF5CC69" w14:textId="6EF01668">
      <w:pPr>
        <w:keepNext/>
        <w:spacing w:line="360" w:lineRule="auto"/>
        <w:jc w:val="center"/>
        <w:rPr>
          <w:b/>
          <w:bCs/>
        </w:rPr>
      </w:pPr>
      <w:r>
        <w:rPr>
          <w:b/>
          <w:bCs/>
        </w:rPr>
        <w:t>INTRODUCTION</w:t>
      </w:r>
    </w:p>
    <w:p w:rsidR="000F6D6C" w:rsidP="000F6D6C" w14:paraId="65BA3AAD" w14:textId="5A3B1FD4">
      <w:pPr>
        <w:spacing w:line="360" w:lineRule="auto"/>
        <w:rPr>
          <w:rFonts w:ascii="Calibri" w:hAnsi="Calibri"/>
          <w:sz w:val="22"/>
        </w:rPr>
      </w:pPr>
      <w:bookmarkStart w:id="0" w:name="_Hlk151123665"/>
      <w:r>
        <w:tab/>
      </w:r>
      <w:r w:rsidRPr="006760A6">
        <w:t>Would-be beneficiaries of a trust failed to bring a challenge within Probate Code section 16061.8’s 120-day statute of limitations.  Here we decide they may not later bring a civil complaint alleging forgery of a purported trust amendment.</w:t>
      </w:r>
    </w:p>
    <w:p w:rsidR="00C120FA" w:rsidP="007E521B" w14:paraId="59AFD6FF" w14:textId="70961901">
      <w:pPr>
        <w:spacing w:line="360" w:lineRule="auto"/>
        <w:ind w:firstLine="720"/>
      </w:pPr>
      <w:r>
        <w:t>Plaintif</w:t>
      </w:r>
      <w:r w:rsidR="002F7E36">
        <w:t xml:space="preserve">fs </w:t>
      </w:r>
      <w:r w:rsidR="003D731F">
        <w:t xml:space="preserve">filed a lawsuit challenging </w:t>
      </w:r>
      <w:r w:rsidR="0050274B">
        <w:t xml:space="preserve">the validity of a trust amendment that removed </w:t>
      </w:r>
      <w:r w:rsidR="00D45F9A">
        <w:t xml:space="preserve">them </w:t>
      </w:r>
      <w:r>
        <w:t xml:space="preserve">as beneficiaries of their late grandmother’s trust.  </w:t>
      </w:r>
      <w:r w:rsidR="0050274B">
        <w:t>Plaintiffs alleged</w:t>
      </w:r>
      <w:r w:rsidR="00DA533F">
        <w:t xml:space="preserve"> defendant,</w:t>
      </w:r>
      <w:r w:rsidR="0050274B">
        <w:t xml:space="preserve"> </w:t>
      </w:r>
      <w:r w:rsidR="002F7E36">
        <w:t>their</w:t>
      </w:r>
      <w:r w:rsidR="00DA533F">
        <w:t xml:space="preserve"> aunt,</w:t>
      </w:r>
      <w:r w:rsidR="002F7E36">
        <w:t xml:space="preserve"> </w:t>
      </w:r>
      <w:r w:rsidR="00535291">
        <w:t>forged the</w:t>
      </w:r>
      <w:r w:rsidR="0050274B">
        <w:t xml:space="preserve"> </w:t>
      </w:r>
      <w:r w:rsidR="00D45F9A">
        <w:t xml:space="preserve">trust </w:t>
      </w:r>
      <w:r w:rsidR="0050274B">
        <w:t xml:space="preserve">amendment to </w:t>
      </w:r>
      <w:r w:rsidR="003D731F">
        <w:t xml:space="preserve">eliminate </w:t>
      </w:r>
      <w:r>
        <w:t>their</w:t>
      </w:r>
      <w:r w:rsidR="003D731F">
        <w:t xml:space="preserve"> </w:t>
      </w:r>
      <w:r w:rsidR="00D45F9A">
        <w:t>interest in the trust</w:t>
      </w:r>
      <w:r w:rsidR="0050274B">
        <w:t xml:space="preserve">.  </w:t>
      </w:r>
      <w:r>
        <w:t>Defendant</w:t>
      </w:r>
      <w:r w:rsidR="008A130B">
        <w:t xml:space="preserve"> </w:t>
      </w:r>
      <w:r>
        <w:t xml:space="preserve">filed a demurrer to plaintiffs’ complaint on the ground that </w:t>
      </w:r>
      <w:r w:rsidR="0027773B">
        <w:t xml:space="preserve">all of </w:t>
      </w:r>
      <w:r w:rsidR="00EE4791">
        <w:t>plaintiffs’ causes of action</w:t>
      </w:r>
      <w:r>
        <w:t xml:space="preserve"> were time-</w:t>
      </w:r>
      <w:r w:rsidRPr="003E4B8A">
        <w:t xml:space="preserve">barred </w:t>
      </w:r>
      <w:r w:rsidRPr="003E4B8A" w:rsidR="003E4B8A">
        <w:t>(</w:t>
      </w:r>
      <w:r w:rsidRPr="003E4B8A" w:rsidR="00CA023E">
        <w:t>Prob</w:t>
      </w:r>
      <w:r w:rsidRPr="003E4B8A" w:rsidR="003E4B8A">
        <w:t xml:space="preserve">. </w:t>
      </w:r>
      <w:r w:rsidRPr="003E4B8A" w:rsidR="00CA023E">
        <w:t>Code</w:t>
      </w:r>
      <w:r w:rsidRPr="003E4B8A" w:rsidR="003E4B8A">
        <w:t>,</w:t>
      </w:r>
      <w:r w:rsidRPr="003E4B8A" w:rsidR="00CA023E">
        <w:t xml:space="preserve"> </w:t>
      </w:r>
      <w:r w:rsidRPr="003E4B8A" w:rsidR="003E4B8A">
        <w:rPr>
          <w:szCs w:val="26"/>
          <w:shd w:val="clear" w:color="auto" w:fill="FFFFFF"/>
        </w:rPr>
        <w:t>§</w:t>
      </w:r>
      <w:r w:rsidR="00583FA3">
        <w:rPr>
          <w:szCs w:val="26"/>
          <w:shd w:val="clear" w:color="auto" w:fill="FFFFFF"/>
        </w:rPr>
        <w:t> </w:t>
      </w:r>
      <w:r w:rsidRPr="003E4B8A" w:rsidR="0000497C">
        <w:t>16061.8.</w:t>
      </w:r>
      <w:r w:rsidRPr="003E4B8A" w:rsidR="003E4B8A">
        <w:t>)</w:t>
      </w:r>
      <w:r w:rsidRPr="003E4B8A" w:rsidR="0000497C">
        <w:t xml:space="preserve">  The trial court agreed and sustained the demurrer without leave to amend.  </w:t>
      </w:r>
      <w:r w:rsidRPr="003E4B8A" w:rsidR="002A374C">
        <w:t>We</w:t>
      </w:r>
      <w:r w:rsidRPr="003E4B8A" w:rsidR="007E521B">
        <w:t xml:space="preserve"> affirm.</w:t>
      </w:r>
      <w:r w:rsidR="007E521B">
        <w:t xml:space="preserve"> </w:t>
      </w:r>
    </w:p>
    <w:bookmarkEnd w:id="0"/>
    <w:p w:rsidR="00C120FA" w:rsidP="00B36C22" w14:paraId="49D7E268" w14:textId="77777777">
      <w:pPr>
        <w:spacing w:line="360" w:lineRule="auto"/>
        <w:ind w:firstLine="720"/>
      </w:pPr>
    </w:p>
    <w:p w:rsidR="00B36C22" w:rsidP="00B36C22" w14:paraId="2C05E949" w14:textId="77777777">
      <w:pPr>
        <w:spacing w:line="360" w:lineRule="auto"/>
        <w:jc w:val="center"/>
        <w:rPr>
          <w:b/>
          <w:bCs/>
        </w:rPr>
      </w:pPr>
      <w:r>
        <w:rPr>
          <w:b/>
          <w:bCs/>
        </w:rPr>
        <w:t>FACTUAL AND PROCEDURAL BACKGROUND</w:t>
      </w:r>
    </w:p>
    <w:p w:rsidR="00142820" w:rsidRPr="008A130B" w:rsidP="00B36C22" w14:paraId="3FC54252" w14:textId="3EC5D535">
      <w:pPr>
        <w:spacing w:line="360" w:lineRule="auto"/>
        <w:rPr>
          <w:szCs w:val="26"/>
        </w:rPr>
      </w:pPr>
      <w:r>
        <w:rPr>
          <w:b/>
          <w:bCs/>
        </w:rPr>
        <w:tab/>
      </w:r>
      <w:r w:rsidR="002F7E36">
        <w:rPr>
          <w:szCs w:val="26"/>
        </w:rPr>
        <w:t>O</w:t>
      </w:r>
      <w:r w:rsidRPr="008A130B">
        <w:rPr>
          <w:szCs w:val="26"/>
        </w:rPr>
        <w:t xml:space="preserve">ur summary of facts is limited to those pled in the complaint, the attached exhibits, and </w:t>
      </w:r>
      <w:r w:rsidRPr="008A130B">
        <w:rPr>
          <w:rStyle w:val="contentpasted0"/>
          <w:rFonts w:eastAsia="Times New Roman"/>
          <w:szCs w:val="26"/>
          <w:shd w:val="clear" w:color="auto" w:fill="FFFFFF"/>
        </w:rPr>
        <w:t>matters that have been judicially noticed</w:t>
      </w:r>
      <w:r w:rsidR="002F7E36">
        <w:rPr>
          <w:rStyle w:val="contentpasted0"/>
          <w:rFonts w:eastAsia="Times New Roman"/>
          <w:szCs w:val="26"/>
          <w:shd w:val="clear" w:color="auto" w:fill="FFFFFF"/>
        </w:rPr>
        <w:t>.</w:t>
      </w:r>
      <w:r>
        <w:rPr>
          <w:rStyle w:val="contentpasted0"/>
          <w:rFonts w:eastAsia="Times New Roman"/>
          <w:szCs w:val="26"/>
          <w:shd w:val="clear" w:color="auto" w:fill="FFFFFF"/>
        </w:rPr>
        <w:t xml:space="preserve"> </w:t>
      </w:r>
      <w:r w:rsidRPr="008A130B">
        <w:rPr>
          <w:rStyle w:val="contentpasted0"/>
          <w:rFonts w:eastAsia="Times New Roman"/>
          <w:szCs w:val="26"/>
          <w:shd w:val="clear" w:color="auto" w:fill="FFFFFF"/>
        </w:rPr>
        <w:t xml:space="preserve"> </w:t>
      </w:r>
      <w:r w:rsidRPr="008A130B">
        <w:rPr>
          <w:szCs w:val="26"/>
        </w:rPr>
        <w:t>(</w:t>
      </w:r>
      <w:r w:rsidRPr="008A130B">
        <w:rPr>
          <w:i/>
          <w:iCs/>
          <w:szCs w:val="26"/>
        </w:rPr>
        <w:t>Barnett v. Fireman’s Fund Ins. Co.</w:t>
      </w:r>
      <w:r w:rsidRPr="008A130B">
        <w:rPr>
          <w:szCs w:val="26"/>
        </w:rPr>
        <w:t xml:space="preserve"> (2001) 90 Cal.App.4th 500, 504–505; </w:t>
      </w:r>
      <w:r w:rsidRPr="008A130B">
        <w:rPr>
          <w:i/>
          <w:iCs/>
          <w:szCs w:val="26"/>
        </w:rPr>
        <w:t>Evans v. City of Berkeley</w:t>
      </w:r>
      <w:r w:rsidRPr="008A130B">
        <w:rPr>
          <w:szCs w:val="26"/>
        </w:rPr>
        <w:t xml:space="preserve"> (2006) 38 Cal.4th 1, 6.)  </w:t>
      </w:r>
    </w:p>
    <w:p w:rsidR="00DA533F" w:rsidRPr="00202E23" w:rsidP="00B36C22" w14:paraId="1244B949" w14:textId="70DAAB03">
      <w:pPr>
        <w:spacing w:line="360" w:lineRule="auto"/>
      </w:pPr>
    </w:p>
    <w:p w:rsidR="00DA533F" w:rsidRPr="00202E23" w:rsidP="00B36C22" w14:paraId="225F1B66" w14:textId="372ABE38">
      <w:pPr>
        <w:pStyle w:val="ListParagraph"/>
        <w:numPr>
          <w:ilvl w:val="0"/>
          <w:numId w:val="2"/>
        </w:numPr>
        <w:spacing w:line="360" w:lineRule="auto"/>
      </w:pPr>
      <w:r>
        <w:t xml:space="preserve"> </w:t>
      </w:r>
      <w:r>
        <w:rPr>
          <w:i/>
          <w:iCs/>
        </w:rPr>
        <w:t xml:space="preserve">The </w:t>
      </w:r>
      <w:r w:rsidR="00C67291">
        <w:rPr>
          <w:i/>
          <w:iCs/>
        </w:rPr>
        <w:t>Parties</w:t>
      </w:r>
    </w:p>
    <w:p w:rsidR="00BC59B5" w:rsidP="00B36C22" w14:paraId="01B7F9A3" w14:textId="7673F300">
      <w:pPr>
        <w:spacing w:line="360" w:lineRule="auto"/>
        <w:ind w:firstLine="720"/>
      </w:pPr>
      <w:r>
        <w:t xml:space="preserve">Lena Grace Hamilton (Lena) </w:t>
      </w:r>
      <w:r w:rsidR="00182ECC">
        <w:t>was the settlor of the Lena Grace Hamilton Trust, dated March 11, 1991 (trust)</w:t>
      </w:r>
      <w:r w:rsidR="00583FA3">
        <w:t xml:space="preserve">.  </w:t>
      </w:r>
      <w:r w:rsidR="00182ECC">
        <w:t xml:space="preserve">Lena </w:t>
      </w:r>
      <w:r>
        <w:t>had two children</w:t>
      </w:r>
      <w:r w:rsidR="00150D91">
        <w:t>,</w:t>
      </w:r>
      <w:r>
        <w:t xml:space="preserve"> defendant LaDonna Green (LaDonna) and Eric Duane Hamilton (Eric Sr.)</w:t>
      </w:r>
      <w:r w:rsidR="00583FA3">
        <w:t xml:space="preserve">.  </w:t>
      </w:r>
      <w:r>
        <w:t>Eric Sr. also had two children</w:t>
      </w:r>
      <w:r w:rsidR="00150D91">
        <w:t>,</w:t>
      </w:r>
      <w:r>
        <w:t xml:space="preserve"> plaintiffs Dominic Hamilton (Dominic) and Eric Hamilton (Eric Jr.)</w:t>
      </w:r>
      <w:r w:rsidR="00150D91">
        <w:t>.</w:t>
      </w:r>
      <w:r>
        <w:t xml:space="preserve"> </w:t>
      </w:r>
    </w:p>
    <w:p w:rsidR="00DA533F" w:rsidRPr="00DA533F" w:rsidP="00B36C22" w14:paraId="4052DB6B" w14:textId="49BFED1E">
      <w:pPr>
        <w:spacing w:line="360" w:lineRule="auto"/>
      </w:pPr>
    </w:p>
    <w:p w:rsidR="00605684" w:rsidP="003E4B8A" w14:paraId="7FA44422" w14:textId="2CDCD8B6">
      <w:pPr>
        <w:pStyle w:val="ListParagraph"/>
        <w:keepNext/>
        <w:numPr>
          <w:ilvl w:val="0"/>
          <w:numId w:val="2"/>
        </w:numPr>
        <w:spacing w:line="360" w:lineRule="auto"/>
      </w:pPr>
      <w:r>
        <w:rPr>
          <w:i/>
          <w:iCs/>
        </w:rPr>
        <w:t xml:space="preserve">The Original Trust and </w:t>
      </w:r>
      <w:r w:rsidR="006144B4">
        <w:rPr>
          <w:i/>
          <w:iCs/>
        </w:rPr>
        <w:t>t</w:t>
      </w:r>
      <w:r w:rsidR="00D45F9A">
        <w:rPr>
          <w:i/>
          <w:iCs/>
        </w:rPr>
        <w:t xml:space="preserve">he </w:t>
      </w:r>
      <w:r>
        <w:rPr>
          <w:i/>
          <w:iCs/>
        </w:rPr>
        <w:t>Amendment</w:t>
      </w:r>
    </w:p>
    <w:p w:rsidR="00A65A79" w:rsidP="00B36C22" w14:paraId="63A1ECDE" w14:textId="01DB0F29">
      <w:pPr>
        <w:spacing w:line="360" w:lineRule="auto"/>
        <w:ind w:firstLine="720"/>
      </w:pPr>
      <w:r>
        <w:t xml:space="preserve">The trust named </w:t>
      </w:r>
      <w:r w:rsidR="00C67291">
        <w:t>LaDonna</w:t>
      </w:r>
      <w:r>
        <w:t xml:space="preserve"> as the “initial trustee.” </w:t>
      </w:r>
      <w:r w:rsidR="003E4B8A">
        <w:t xml:space="preserve"> </w:t>
      </w:r>
      <w:r>
        <w:t xml:space="preserve">The trust provided that upon Lena’s death, the trust estate would be distributed to </w:t>
      </w:r>
      <w:r w:rsidR="00C67291">
        <w:t>LaDonna</w:t>
      </w:r>
      <w:r>
        <w:t xml:space="preserve"> and </w:t>
      </w:r>
      <w:r w:rsidR="00BA4902">
        <w:t>Eric</w:t>
      </w:r>
      <w:r w:rsidR="00BD27F3">
        <w:t xml:space="preserve"> Sr</w:t>
      </w:r>
      <w:r w:rsidR="00583FA3">
        <w:t xml:space="preserve">.  </w:t>
      </w:r>
      <w:r>
        <w:t xml:space="preserve">The trust </w:t>
      </w:r>
      <w:r w:rsidR="00F108E6">
        <w:t xml:space="preserve">also </w:t>
      </w:r>
      <w:r>
        <w:t>stated</w:t>
      </w:r>
      <w:r w:rsidR="008B1D65">
        <w:t xml:space="preserve"> that at the time of </w:t>
      </w:r>
      <w:r w:rsidR="00F108E6">
        <w:t xml:space="preserve">Lena’s </w:t>
      </w:r>
      <w:r w:rsidR="008B1D65">
        <w:t>death</w:t>
      </w:r>
      <w:r>
        <w:t xml:space="preserve"> </w:t>
      </w:r>
      <w:r w:rsidR="004A0206">
        <w:t xml:space="preserve">if </w:t>
      </w:r>
      <w:r>
        <w:t xml:space="preserve">either </w:t>
      </w:r>
      <w:r w:rsidR="00C67291">
        <w:t>LaDonna</w:t>
      </w:r>
      <w:r>
        <w:t xml:space="preserve"> or Eric</w:t>
      </w:r>
      <w:r w:rsidR="00BD27F3">
        <w:t xml:space="preserve"> Sr.</w:t>
      </w:r>
      <w:r>
        <w:t xml:space="preserve"> was</w:t>
      </w:r>
      <w:r w:rsidR="000E305F">
        <w:t xml:space="preserve"> “not living, or </w:t>
      </w:r>
      <w:r w:rsidR="008965E9">
        <w:t>[was]</w:t>
      </w:r>
      <w:r w:rsidR="000E305F">
        <w:t xml:space="preserve"> later deceased, distribution shall be made to that person’s descendants, if then living.” </w:t>
      </w:r>
      <w:r w:rsidR="003E4B8A">
        <w:t xml:space="preserve"> </w:t>
      </w:r>
      <w:r w:rsidR="000E305F">
        <w:t>A handwritten amendment</w:t>
      </w:r>
      <w:r w:rsidR="008965E9">
        <w:t xml:space="preserve"> (trust amendment)</w:t>
      </w:r>
      <w:r w:rsidR="000E305F">
        <w:t xml:space="preserve"> changed that term to read, “if one beneficiary is alive all [Lena’s] properties shall go to the survivor.” </w:t>
      </w:r>
      <w:r w:rsidR="003E4B8A">
        <w:t xml:space="preserve"> </w:t>
      </w:r>
      <w:r w:rsidR="000E305F">
        <w:t>The trust amendment was dated September 26, 2002</w:t>
      </w:r>
      <w:r w:rsidR="00424B0E">
        <w:t xml:space="preserve"> and </w:t>
      </w:r>
      <w:r w:rsidR="008B1D65">
        <w:t>bore</w:t>
      </w:r>
      <w:r w:rsidR="00424B0E">
        <w:t xml:space="preserve"> Lena</w:t>
      </w:r>
      <w:r w:rsidR="00F108E6">
        <w:t>’s</w:t>
      </w:r>
      <w:r w:rsidR="00424B0E">
        <w:t xml:space="preserve"> </w:t>
      </w:r>
      <w:r w:rsidR="00443816">
        <w:t>purported signature</w:t>
      </w:r>
      <w:r w:rsidR="000F308F">
        <w:t xml:space="preserve">.  </w:t>
      </w:r>
    </w:p>
    <w:p w:rsidR="00C120FA" w:rsidP="00B36C22" w14:paraId="348CE9FF" w14:textId="4FA656EB">
      <w:pPr>
        <w:spacing w:line="360" w:lineRule="auto"/>
        <w:ind w:firstLine="720"/>
      </w:pPr>
      <w:r>
        <w:t xml:space="preserve">Eric </w:t>
      </w:r>
      <w:r w:rsidR="00182ECC">
        <w:t xml:space="preserve">Sr. </w:t>
      </w:r>
      <w:r>
        <w:t>died in 2004</w:t>
      </w:r>
      <w:r w:rsidR="00804DF7">
        <w:t>, predeceasing Lena</w:t>
      </w:r>
      <w:r w:rsidR="00583FA3">
        <w:t xml:space="preserve">.  </w:t>
      </w:r>
      <w:r>
        <w:t>Lena died in 2019</w:t>
      </w:r>
      <w:r w:rsidR="00583FA3">
        <w:t xml:space="preserve">.  </w:t>
      </w:r>
      <w:r>
        <w:t xml:space="preserve">After Lena’s death, </w:t>
      </w:r>
      <w:r w:rsidR="00C67291">
        <w:t>LaDonna</w:t>
      </w:r>
      <w:r w:rsidR="00427F96">
        <w:t xml:space="preserve"> </w:t>
      </w:r>
      <w:r w:rsidR="0095647D">
        <w:t xml:space="preserve">informed </w:t>
      </w:r>
      <w:r w:rsidR="00C67291">
        <w:t>Dominic and Eric Jr.</w:t>
      </w:r>
      <w:r>
        <w:t xml:space="preserve"> that she was the sole beneficiary of the trust </w:t>
      </w:r>
      <w:r w:rsidR="00443816">
        <w:t>as</w:t>
      </w:r>
      <w:r>
        <w:t xml:space="preserve"> </w:t>
      </w:r>
      <w:r w:rsidR="004B0640">
        <w:t xml:space="preserve">Eric </w:t>
      </w:r>
      <w:r w:rsidR="00182ECC">
        <w:t xml:space="preserve">Sr. </w:t>
      </w:r>
      <w:r w:rsidR="004B0640">
        <w:t>had predeceased Lena</w:t>
      </w:r>
      <w:r w:rsidR="00583FA3">
        <w:t xml:space="preserve">.  </w:t>
      </w:r>
      <w:r w:rsidR="00C67291">
        <w:t>LaDonna</w:t>
      </w:r>
      <w:r w:rsidR="0052455B">
        <w:t xml:space="preserve"> </w:t>
      </w:r>
      <w:r w:rsidR="000D0929">
        <w:t xml:space="preserve">provided </w:t>
      </w:r>
      <w:r w:rsidR="00C67291">
        <w:t>Dominic and Eric Jr.</w:t>
      </w:r>
      <w:r w:rsidR="000D0929">
        <w:t xml:space="preserve"> with </w:t>
      </w:r>
      <w:r w:rsidR="006516E0">
        <w:t>excerpts of the trust to substantiate her argument that she was the sole beneficiary</w:t>
      </w:r>
      <w:r w:rsidR="00583FA3">
        <w:t xml:space="preserve">.  </w:t>
      </w:r>
      <w:r w:rsidR="00C67291">
        <w:t>Dominic and Eric Jr.</w:t>
      </w:r>
      <w:r w:rsidR="006516E0">
        <w:t xml:space="preserve"> </w:t>
      </w:r>
      <w:r>
        <w:t xml:space="preserve">asked </w:t>
      </w:r>
      <w:r w:rsidR="00C67291">
        <w:t>LaDonna</w:t>
      </w:r>
      <w:r>
        <w:t xml:space="preserve"> for a</w:t>
      </w:r>
      <w:r w:rsidR="000D0929">
        <w:t xml:space="preserve"> </w:t>
      </w:r>
      <w:r>
        <w:t>copy of the trust instrument</w:t>
      </w:r>
      <w:r w:rsidR="002F7969">
        <w:t>.</w:t>
      </w:r>
      <w:r>
        <w:t xml:space="preserve"> </w:t>
      </w:r>
      <w:r w:rsidR="000F6D6C">
        <w:t xml:space="preserve"> </w:t>
      </w:r>
      <w:r w:rsidR="00C67291">
        <w:t>LaDonna</w:t>
      </w:r>
      <w:r>
        <w:t xml:space="preserve"> refused</w:t>
      </w:r>
      <w:r w:rsidR="002F7969">
        <w:t xml:space="preserve"> the request</w:t>
      </w:r>
      <w:r>
        <w:t xml:space="preserve">.  </w:t>
      </w:r>
    </w:p>
    <w:p w:rsidR="008A1371" w:rsidP="00B36C22" w14:paraId="178760B3" w14:textId="77777777">
      <w:pPr>
        <w:spacing w:line="360" w:lineRule="auto"/>
      </w:pPr>
    </w:p>
    <w:p w:rsidR="008A1371" w:rsidP="00B36C22" w14:paraId="32B07065" w14:textId="18F4A062">
      <w:pPr>
        <w:pStyle w:val="ListParagraph"/>
        <w:numPr>
          <w:ilvl w:val="0"/>
          <w:numId w:val="2"/>
        </w:numPr>
        <w:spacing w:line="360" w:lineRule="auto"/>
      </w:pPr>
      <w:r>
        <w:rPr>
          <w:i/>
          <w:iCs/>
        </w:rPr>
        <w:t>The Probate Proceedings</w:t>
      </w:r>
    </w:p>
    <w:p w:rsidR="00C120FA" w:rsidRPr="00870F06" w:rsidP="00B36C22" w14:paraId="1CF99E53" w14:textId="1F8A57E5">
      <w:pPr>
        <w:spacing w:line="360" w:lineRule="auto"/>
      </w:pPr>
      <w:r>
        <w:tab/>
        <w:t xml:space="preserve">On January 13, 2020, </w:t>
      </w:r>
      <w:r w:rsidR="00C67291">
        <w:t>Dominic and Eric Jr.</w:t>
      </w:r>
      <w:r>
        <w:t xml:space="preserve"> filed a </w:t>
      </w:r>
      <w:r w:rsidR="00574ABB">
        <w:t xml:space="preserve">probate petition seeking </w:t>
      </w:r>
      <w:r w:rsidR="00C67291">
        <w:t>LaDonna</w:t>
      </w:r>
      <w:r w:rsidR="00574ABB">
        <w:t xml:space="preserve">’s removal as trustee, </w:t>
      </w:r>
      <w:r w:rsidR="000A65C2">
        <w:t xml:space="preserve">based in part on her failure to provide </w:t>
      </w:r>
      <w:r w:rsidR="00C67291">
        <w:t>Dominic and Eric Jr.</w:t>
      </w:r>
      <w:r w:rsidR="00287884">
        <w:t xml:space="preserve"> with </w:t>
      </w:r>
      <w:r w:rsidR="000A65C2">
        <w:t xml:space="preserve">a </w:t>
      </w:r>
      <w:r w:rsidR="00287884">
        <w:t xml:space="preserve">complete </w:t>
      </w:r>
      <w:r w:rsidR="000A65C2">
        <w:t xml:space="preserve">copy of the </w:t>
      </w:r>
      <w:r w:rsidR="00287884">
        <w:t>trust instrument</w:t>
      </w:r>
      <w:r w:rsidR="00583FA3">
        <w:t xml:space="preserve">.  </w:t>
      </w:r>
      <w:r w:rsidR="00C67291">
        <w:t>Dominic and Eric Jr.</w:t>
      </w:r>
      <w:r w:rsidRPr="00870F06" w:rsidR="000A65C2">
        <w:t xml:space="preserve"> requested a court order requiring </w:t>
      </w:r>
      <w:r w:rsidR="00C67291">
        <w:t>LaDonna</w:t>
      </w:r>
      <w:r w:rsidRPr="00870F06" w:rsidR="000A65C2">
        <w:t xml:space="preserve"> to </w:t>
      </w:r>
      <w:r w:rsidR="008965E9">
        <w:t>submit</w:t>
      </w:r>
      <w:r w:rsidRPr="00870F06" w:rsidR="00674DDB">
        <w:t xml:space="preserve"> </w:t>
      </w:r>
      <w:r w:rsidRPr="00870F06" w:rsidR="000A65C2">
        <w:t xml:space="preserve">the original trust </w:t>
      </w:r>
      <w:r w:rsidRPr="00870F06" w:rsidR="00FB15B0">
        <w:t>instrument</w:t>
      </w:r>
      <w:r w:rsidRPr="00870F06" w:rsidR="000A65C2">
        <w:t xml:space="preserve"> along with any amendments</w:t>
      </w:r>
      <w:r w:rsidR="000F308F">
        <w:t xml:space="preserve">.  </w:t>
      </w:r>
    </w:p>
    <w:p w:rsidR="00C120FA" w:rsidRPr="00870F06" w:rsidP="00B36C22" w14:paraId="2F3BA2F5" w14:textId="1BF2FA40">
      <w:pPr>
        <w:spacing w:line="360" w:lineRule="auto"/>
        <w:ind w:firstLine="720"/>
      </w:pPr>
      <w:r w:rsidRPr="00870F06">
        <w:t xml:space="preserve">On April 17, 2020, </w:t>
      </w:r>
      <w:r w:rsidR="00C67291">
        <w:t>LaDonna</w:t>
      </w:r>
      <w:r w:rsidRPr="00870F06">
        <w:t xml:space="preserve"> served </w:t>
      </w:r>
      <w:r w:rsidR="00C67291">
        <w:t>Dominic and Eric Jr.</w:t>
      </w:r>
      <w:r w:rsidRPr="00870F06" w:rsidR="000A65C2">
        <w:t xml:space="preserve"> with </w:t>
      </w:r>
      <w:r w:rsidRPr="00870F06">
        <w:t xml:space="preserve">a </w:t>
      </w:r>
      <w:r w:rsidRPr="00870F06" w:rsidR="00FB15B0">
        <w:t>“notification by trustee”</w:t>
      </w:r>
      <w:r w:rsidRPr="00870F06" w:rsidR="00793763">
        <w:t xml:space="preserve"> (notification)</w:t>
      </w:r>
      <w:r w:rsidRPr="00870F06" w:rsidR="000A65C2">
        <w:t xml:space="preserve">, pursuant </w:t>
      </w:r>
      <w:r w:rsidR="003E4B8A">
        <w:t xml:space="preserve">to Probate Code </w:t>
      </w:r>
      <w:r w:rsidRPr="003E4B8A" w:rsidR="004E0931">
        <w:t>section</w:t>
      </w:r>
      <w:r w:rsidRPr="003E4B8A" w:rsidR="000A65C2">
        <w:t xml:space="preserve"> 16061.7</w:t>
      </w:r>
      <w:r w:rsidRPr="003E4B8A" w:rsidR="00804DF7">
        <w:t>.</w:t>
      </w:r>
      <w:r>
        <w:rPr>
          <w:rStyle w:val="FootnoteReference"/>
          <w:b/>
          <w:bCs/>
        </w:rPr>
        <w:footnoteReference w:id="2"/>
      </w:r>
      <w:r w:rsidRPr="00870F06">
        <w:t xml:space="preserve"> </w:t>
      </w:r>
      <w:r w:rsidR="003E4B8A">
        <w:t xml:space="preserve"> </w:t>
      </w:r>
      <w:r w:rsidR="004A0206">
        <w:t>As required by statute, t</w:t>
      </w:r>
      <w:r w:rsidRPr="00870F06" w:rsidR="00FB15B0">
        <w:t xml:space="preserve">he notification informed </w:t>
      </w:r>
      <w:r w:rsidR="00C67291">
        <w:t>Dominic and Eric Jr.</w:t>
      </w:r>
      <w:r w:rsidRPr="00870F06" w:rsidR="00FB15B0">
        <w:t xml:space="preserve"> in bold, capitalized letters, “you may not bring an action to contest the trust more than 120 days from the date the notification by trustee was served upon you.”</w:t>
      </w:r>
      <w:r w:rsidRPr="00870F06" w:rsidR="00FA685D">
        <w:t xml:space="preserve"> </w:t>
      </w:r>
      <w:r w:rsidR="003E4B8A">
        <w:t xml:space="preserve"> </w:t>
      </w:r>
      <w:r w:rsidR="00C67291">
        <w:t>LaDonna</w:t>
      </w:r>
      <w:r w:rsidR="00E82D80">
        <w:t xml:space="preserve"> also attached a </w:t>
      </w:r>
      <w:r w:rsidRPr="00870F06" w:rsidR="00FA685D">
        <w:t>copy of the trust and the trust</w:t>
      </w:r>
      <w:r w:rsidR="00E82D80">
        <w:t xml:space="preserve"> amendment</w:t>
      </w:r>
      <w:r w:rsidRPr="00870F06" w:rsidR="00FA685D">
        <w:t xml:space="preserve">.  </w:t>
      </w:r>
    </w:p>
    <w:p w:rsidR="00C120FA" w:rsidRPr="00870F06" w:rsidP="00B36C22" w14:paraId="4D464854" w14:textId="79724E4B">
      <w:pPr>
        <w:spacing w:line="360" w:lineRule="auto"/>
        <w:ind w:firstLine="720"/>
      </w:pPr>
      <w:r w:rsidRPr="00870F06">
        <w:t xml:space="preserve">On March 10, 2021, </w:t>
      </w:r>
      <w:r w:rsidR="00C67291">
        <w:t>Dominic and Eric Jr.</w:t>
      </w:r>
      <w:r w:rsidR="00443816">
        <w:t xml:space="preserve"> sought</w:t>
      </w:r>
      <w:r w:rsidRPr="00870F06">
        <w:t xml:space="preserve"> leave to file a first amended probate petition</w:t>
      </w:r>
      <w:r w:rsidR="00583FA3">
        <w:t xml:space="preserve">.  </w:t>
      </w:r>
      <w:r w:rsidR="00C67291">
        <w:t>Dominic and Eric Jr.</w:t>
      </w:r>
      <w:r w:rsidRPr="00870F06" w:rsidR="00692B82">
        <w:t xml:space="preserve"> moved to amend their petition to </w:t>
      </w:r>
      <w:r w:rsidRPr="00870F06" w:rsidR="003A35A2">
        <w:t>challenge the validity of the trust amendment</w:t>
      </w:r>
      <w:r w:rsidRPr="00870F06" w:rsidR="00692B82">
        <w:t xml:space="preserve">, </w:t>
      </w:r>
      <w:r w:rsidR="004B7DB1">
        <w:t>asserting it was a forgery</w:t>
      </w:r>
      <w:r w:rsidR="00583FA3">
        <w:t xml:space="preserve">.  </w:t>
      </w:r>
      <w:r w:rsidR="00C67291">
        <w:t>Dominic and Eric Jr.</w:t>
      </w:r>
      <w:r w:rsidRPr="00870F06" w:rsidR="00692B82">
        <w:t xml:space="preserve"> also </w:t>
      </w:r>
      <w:r w:rsidR="004B7DB1">
        <w:t>sought</w:t>
      </w:r>
      <w:r w:rsidRPr="00870F06" w:rsidR="00692B82">
        <w:t xml:space="preserve"> to allege </w:t>
      </w:r>
      <w:r w:rsidR="00F15EA2">
        <w:t>the</w:t>
      </w:r>
      <w:r w:rsidRPr="00870F06" w:rsidR="00F15EA2">
        <w:t xml:space="preserve"> </w:t>
      </w:r>
      <w:r w:rsidRPr="00870F06" w:rsidR="00692B82">
        <w:t>invalid trust</w:t>
      </w:r>
      <w:r w:rsidRPr="00870F06" w:rsidR="00A77BA0">
        <w:t xml:space="preserve"> amendment could not eliminate their interests in the trust</w:t>
      </w:r>
      <w:r w:rsidR="00583FA3">
        <w:t xml:space="preserve">.  </w:t>
      </w:r>
      <w:r w:rsidR="00870F06">
        <w:t>The</w:t>
      </w:r>
      <w:r w:rsidRPr="00870F06" w:rsidR="007D717D">
        <w:t xml:space="preserve"> court denied the motion</w:t>
      </w:r>
      <w:r w:rsidR="000F308F">
        <w:t xml:space="preserve">.  </w:t>
      </w:r>
    </w:p>
    <w:p w:rsidR="00202E23" w:rsidP="00B36C22" w14:paraId="161B3859" w14:textId="77777777">
      <w:pPr>
        <w:spacing w:line="360" w:lineRule="auto"/>
        <w:ind w:firstLine="720"/>
      </w:pPr>
    </w:p>
    <w:p w:rsidR="008A1371" w:rsidP="00B36C22" w14:paraId="2CEC41B0" w14:textId="2BCC51F7">
      <w:pPr>
        <w:pStyle w:val="ListParagraph"/>
        <w:numPr>
          <w:ilvl w:val="0"/>
          <w:numId w:val="2"/>
        </w:numPr>
        <w:spacing w:line="360" w:lineRule="auto"/>
      </w:pPr>
      <w:r>
        <w:rPr>
          <w:i/>
          <w:iCs/>
        </w:rPr>
        <w:t>The Civil Complaint</w:t>
      </w:r>
      <w:r w:rsidR="00870F06">
        <w:rPr>
          <w:i/>
          <w:iCs/>
        </w:rPr>
        <w:t xml:space="preserve"> </w:t>
      </w:r>
      <w:r w:rsidR="00E82D80">
        <w:rPr>
          <w:i/>
          <w:iCs/>
        </w:rPr>
        <w:t>and</w:t>
      </w:r>
      <w:r w:rsidR="00870F06">
        <w:rPr>
          <w:i/>
          <w:iCs/>
        </w:rPr>
        <w:t xml:space="preserve"> Demurrer Proceedings</w:t>
      </w:r>
    </w:p>
    <w:p w:rsidR="00BE7F5E" w:rsidP="00B36C22" w14:paraId="4F781081" w14:textId="7AF3A43F">
      <w:pPr>
        <w:spacing w:line="360" w:lineRule="auto"/>
        <w:ind w:firstLine="720"/>
      </w:pPr>
      <w:r>
        <w:t xml:space="preserve">On </w:t>
      </w:r>
      <w:r w:rsidR="00695092">
        <w:t>July 29</w:t>
      </w:r>
      <w:r>
        <w:t xml:space="preserve">, 2021, </w:t>
      </w:r>
      <w:r w:rsidR="00C67291">
        <w:t>Dominic and Eric Jr.</w:t>
      </w:r>
      <w:r w:rsidR="00C120FA">
        <w:t xml:space="preserve"> filed </w:t>
      </w:r>
      <w:r>
        <w:t xml:space="preserve">a </w:t>
      </w:r>
      <w:r w:rsidR="00695092">
        <w:t xml:space="preserve">civil complaint against </w:t>
      </w:r>
      <w:r w:rsidR="00C67291">
        <w:t>LaDonna</w:t>
      </w:r>
      <w:r w:rsidR="00583FA3">
        <w:t xml:space="preserve">.  </w:t>
      </w:r>
      <w:r w:rsidR="00C120FA">
        <w:t>The complaint alleged causes of action for (1)</w:t>
      </w:r>
      <w:r w:rsidR="000F308F">
        <w:t xml:space="preserve"> </w:t>
      </w:r>
      <w:r w:rsidR="00C120FA">
        <w:t>interference with inheritance rights; (2) interference with prospective economic advantage; (3)</w:t>
      </w:r>
      <w:r w:rsidR="000F308F">
        <w:t> </w:t>
      </w:r>
      <w:r w:rsidR="00C120FA">
        <w:t>interference with contract; (4) conversion; (5) quiet title; (6) breach of fiduciary duty;</w:t>
      </w:r>
      <w:r>
        <w:t xml:space="preserve"> and</w:t>
      </w:r>
      <w:r w:rsidR="00C120FA">
        <w:t xml:space="preserve"> (7) an accounting</w:t>
      </w:r>
      <w:r w:rsidR="000F308F">
        <w:t xml:space="preserve">.  </w:t>
      </w:r>
    </w:p>
    <w:p w:rsidR="00C120FA" w:rsidP="00B36C22" w14:paraId="1C519848" w14:textId="53772D82">
      <w:pPr>
        <w:spacing w:line="360" w:lineRule="auto"/>
        <w:ind w:firstLine="720"/>
      </w:pPr>
      <w:r>
        <w:t xml:space="preserve">The complaint </w:t>
      </w:r>
      <w:r w:rsidR="00BE7F5E">
        <w:t xml:space="preserve">alleged the pre-amendment trust terms entitled </w:t>
      </w:r>
      <w:r w:rsidR="00C67291">
        <w:t>Dominic and Eric Jr.</w:t>
      </w:r>
      <w:r w:rsidR="00BE7F5E">
        <w:t xml:space="preserve"> to succeed to their father’s </w:t>
      </w:r>
      <w:r w:rsidR="00F16AFB">
        <w:t xml:space="preserve">trust </w:t>
      </w:r>
      <w:r w:rsidR="00BE7F5E">
        <w:t>interest</w:t>
      </w:r>
      <w:r w:rsidR="00583FA3">
        <w:t xml:space="preserve">.  </w:t>
      </w:r>
      <w:r w:rsidR="00C67291">
        <w:t>Dominic and Eric Jr.</w:t>
      </w:r>
      <w:r w:rsidR="002511D0">
        <w:t xml:space="preserve"> </w:t>
      </w:r>
      <w:r w:rsidR="00BE7F5E">
        <w:t xml:space="preserve">suspected the </w:t>
      </w:r>
      <w:r w:rsidR="002511D0">
        <w:t xml:space="preserve">trust </w:t>
      </w:r>
      <w:r w:rsidR="00BE7F5E">
        <w:t>amendment was inauthentic and learned from “handwriting analysis” that the amendment was a forgery</w:t>
      </w:r>
      <w:r w:rsidR="00583FA3">
        <w:t xml:space="preserve">.  </w:t>
      </w:r>
      <w:r w:rsidR="00C67291">
        <w:t>Dominic and Eric Jr.</w:t>
      </w:r>
      <w:r w:rsidR="00BE7F5E">
        <w:t xml:space="preserve"> alleged </w:t>
      </w:r>
      <w:r w:rsidR="00C67291">
        <w:t>LaDonna</w:t>
      </w:r>
      <w:r w:rsidR="00BE7F5E">
        <w:t xml:space="preserve"> “created the false document for the purpose of stealing their inheritance.” </w:t>
      </w:r>
      <w:r w:rsidR="0075248D">
        <w:t xml:space="preserve"> </w:t>
      </w:r>
      <w:r w:rsidR="00C67291">
        <w:t>Dominic and Eric Jr.</w:t>
      </w:r>
      <w:r w:rsidR="002F7969">
        <w:t xml:space="preserve"> </w:t>
      </w:r>
      <w:r w:rsidR="00BC4542">
        <w:t xml:space="preserve">incorporated the above general </w:t>
      </w:r>
      <w:r w:rsidR="00BE7F5E">
        <w:t>allegations into each cause of action in the complaint</w:t>
      </w:r>
      <w:r w:rsidR="00583FA3">
        <w:t xml:space="preserve">.  </w:t>
      </w:r>
      <w:r>
        <w:t xml:space="preserve">Each cause of action </w:t>
      </w:r>
      <w:r w:rsidR="00BE7F5E">
        <w:t xml:space="preserve">also specifically alleged the invalidity of the trust amendment as the basis for </w:t>
      </w:r>
      <w:r w:rsidR="002511D0">
        <w:t>relief</w:t>
      </w:r>
      <w:r w:rsidR="000F308F">
        <w:t xml:space="preserve">.  </w:t>
      </w:r>
    </w:p>
    <w:p w:rsidR="00C120FA" w:rsidP="00B36C22" w14:paraId="014BCCDD" w14:textId="1E19C047">
      <w:pPr>
        <w:spacing w:line="360" w:lineRule="auto"/>
        <w:ind w:firstLine="720"/>
      </w:pPr>
      <w:r>
        <w:t xml:space="preserve">On November 29, 2021, </w:t>
      </w:r>
      <w:r w:rsidR="00C67291">
        <w:t>LaDonna</w:t>
      </w:r>
      <w:r>
        <w:t xml:space="preserve"> filed a demurrer </w:t>
      </w:r>
      <w:r w:rsidR="008C7CA9">
        <w:t xml:space="preserve">to </w:t>
      </w:r>
      <w:r w:rsidR="00C67291">
        <w:t>Dominic and Eric Jr.</w:t>
      </w:r>
      <w:r w:rsidR="008C7CA9">
        <w:t>’</w:t>
      </w:r>
      <w:r w:rsidR="00C67291">
        <w:t>s</w:t>
      </w:r>
      <w:r w:rsidR="008C7CA9">
        <w:t xml:space="preserve"> complaint on the ground that each cause of action</w:t>
      </w:r>
      <w:r>
        <w:t xml:space="preserve"> </w:t>
      </w:r>
      <w:r w:rsidR="008C7CA9">
        <w:t xml:space="preserve">was </w:t>
      </w:r>
      <w:r>
        <w:t>time-b</w:t>
      </w:r>
      <w:r w:rsidR="00870F06">
        <w:t>arred</w:t>
      </w:r>
      <w:r w:rsidR="00583FA3">
        <w:t xml:space="preserve">.  </w:t>
      </w:r>
      <w:r w:rsidR="00C67291">
        <w:t>LaDonna</w:t>
      </w:r>
      <w:r w:rsidR="00657D48">
        <w:t xml:space="preserve"> contended the complaint was “an action to contest the trust” within the meaning of section 16061.8 and that the section’s 120-day statute of limitations therefore applied</w:t>
      </w:r>
      <w:r w:rsidR="00583FA3">
        <w:t xml:space="preserve">.  </w:t>
      </w:r>
      <w:r w:rsidR="00657D48">
        <w:t xml:space="preserve">According to </w:t>
      </w:r>
      <w:r w:rsidR="00C67291">
        <w:t>LaDonna</w:t>
      </w:r>
      <w:r w:rsidR="00657D48">
        <w:t xml:space="preserve">, </w:t>
      </w:r>
      <w:r>
        <w:t>the complaint ha</w:t>
      </w:r>
      <w:r w:rsidR="001E2F93">
        <w:t>d</w:t>
      </w:r>
      <w:r>
        <w:t xml:space="preserve"> the “practical effect” of </w:t>
      </w:r>
      <w:r w:rsidR="00C35BC1">
        <w:t xml:space="preserve">being </w:t>
      </w:r>
      <w:r w:rsidR="00FC4FF8">
        <w:t>“</w:t>
      </w:r>
      <w:r w:rsidR="00C35BC1">
        <w:t>an action to contest the trust</w:t>
      </w:r>
      <w:r w:rsidR="00FC4FF8">
        <w:t>”</w:t>
      </w:r>
      <w:r w:rsidR="00C35BC1">
        <w:t xml:space="preserve"> because</w:t>
      </w:r>
      <w:r>
        <w:t xml:space="preserve"> (</w:t>
      </w:r>
      <w:r w:rsidR="00C35BC1">
        <w:t>1</w:t>
      </w:r>
      <w:r>
        <w:t>) the complaint place</w:t>
      </w:r>
      <w:r w:rsidR="008A130B">
        <w:t>d</w:t>
      </w:r>
      <w:r>
        <w:t xml:space="preserve"> the validity of the trust amendment at issue and (</w:t>
      </w:r>
      <w:r w:rsidR="00C35BC1">
        <w:t>2</w:t>
      </w:r>
      <w:r>
        <w:t xml:space="preserve">) it </w:t>
      </w:r>
      <w:r w:rsidR="008A130B">
        <w:t>was</w:t>
      </w:r>
      <w:r>
        <w:t xml:space="preserve"> impossible for </w:t>
      </w:r>
      <w:r w:rsidR="00C67291">
        <w:t>Dominic and Eric Jr.</w:t>
      </w:r>
      <w:r>
        <w:t xml:space="preserve"> to recover on their claims unless the court </w:t>
      </w:r>
      <w:r w:rsidR="008A130B">
        <w:t>determined</w:t>
      </w:r>
      <w:r>
        <w:t xml:space="preserve"> that the trust amendment </w:t>
      </w:r>
      <w:r w:rsidR="008A130B">
        <w:t>was invalid.</w:t>
      </w:r>
      <w:r>
        <w:rPr>
          <w:rStyle w:val="FootnoteReference"/>
          <w:b/>
          <w:bCs/>
        </w:rPr>
        <w:footnoteReference w:id="3"/>
      </w:r>
      <w:r>
        <w:t xml:space="preserve"> </w:t>
      </w:r>
      <w:r w:rsidR="0075248D">
        <w:t xml:space="preserve"> </w:t>
      </w:r>
      <w:r w:rsidR="00C67291">
        <w:t>Dominic and Eric Jr.</w:t>
      </w:r>
      <w:r w:rsidR="00657D48">
        <w:t xml:space="preserve"> opposed, arguing </w:t>
      </w:r>
      <w:r w:rsidR="005A1375">
        <w:t>the complaint did not meet the definition of a “contest” and therefore section 16061.8’s statute of limitations did not apply</w:t>
      </w:r>
      <w:r w:rsidR="00583FA3">
        <w:t xml:space="preserve">.  </w:t>
      </w:r>
    </w:p>
    <w:p w:rsidR="00C120FA" w:rsidP="00B36C22" w14:paraId="53FEF16E" w14:textId="1BBF52AB">
      <w:pPr>
        <w:spacing w:line="360" w:lineRule="auto"/>
        <w:ind w:firstLine="720"/>
      </w:pPr>
      <w:r>
        <w:t>The court sustained the demurrer without leave to amend</w:t>
      </w:r>
      <w:r w:rsidR="00583FA3">
        <w:t xml:space="preserve">.  </w:t>
      </w:r>
      <w:r w:rsidR="00D81C87">
        <w:t>The court found</w:t>
      </w:r>
      <w:r w:rsidR="00D4409A">
        <w:t xml:space="preserve"> </w:t>
      </w:r>
      <w:r w:rsidR="00D81C87">
        <w:t xml:space="preserve">the 120-day limitations period applied, precluding </w:t>
      </w:r>
      <w:r w:rsidR="00D4409A">
        <w:t xml:space="preserve">each cause of action </w:t>
      </w:r>
      <w:r w:rsidR="00D81C87">
        <w:t>as a matter of law</w:t>
      </w:r>
      <w:r w:rsidR="00583FA3">
        <w:t xml:space="preserve">.  </w:t>
      </w:r>
      <w:r w:rsidR="00070B27">
        <w:t>T</w:t>
      </w:r>
      <w:r w:rsidR="00496A44">
        <w:t>he court reasoned</w:t>
      </w:r>
      <w:r>
        <w:t xml:space="preserve"> “[a]lthough this is a civil action and there are different causes of action than was filed in the probate matter</w:t>
      </w:r>
      <w:r w:rsidR="00B36C22">
        <w:t xml:space="preserve"> . . . </w:t>
      </w:r>
      <w:r>
        <w:t>they still constitute a[n] ‘action to contest the trust’ since all of the allegations are really centered on the invalidity of the trust amendment due to forgery.”</w:t>
      </w:r>
      <w:r w:rsidRPr="0075248D" w:rsidR="0075248D">
        <w:t xml:space="preserve"> </w:t>
      </w:r>
      <w:r w:rsidR="0075248D">
        <w:t xml:space="preserve"> </w:t>
      </w:r>
    </w:p>
    <w:p w:rsidR="00D81C87" w:rsidP="00B36C22" w14:paraId="4510D9A1" w14:textId="3D78777A">
      <w:pPr>
        <w:spacing w:line="360" w:lineRule="auto"/>
        <w:ind w:firstLine="720"/>
      </w:pPr>
      <w:r>
        <w:t>Dominic and Eric Jr. timely appealed.</w:t>
      </w:r>
    </w:p>
    <w:p w:rsidR="006C3633" w:rsidP="000F308F" w14:paraId="2EE68513" w14:textId="77777777">
      <w:pPr>
        <w:spacing w:line="360" w:lineRule="auto"/>
      </w:pPr>
    </w:p>
    <w:p w:rsidR="00C120FA" w:rsidRPr="00383A79" w:rsidP="00B36C22" w14:paraId="62F45EA1" w14:textId="77777777">
      <w:pPr>
        <w:spacing w:line="360" w:lineRule="auto"/>
        <w:jc w:val="center"/>
        <w:rPr>
          <w:b/>
          <w:bCs/>
        </w:rPr>
      </w:pPr>
      <w:r>
        <w:rPr>
          <w:b/>
          <w:bCs/>
        </w:rPr>
        <w:t>DISCUSSION</w:t>
      </w:r>
    </w:p>
    <w:p w:rsidR="00C120FA" w:rsidRPr="005A4ACD" w:rsidP="00B36C22" w14:paraId="2F77C8B1" w14:textId="7FB39B8B">
      <w:pPr>
        <w:pStyle w:val="ListParagraph"/>
        <w:numPr>
          <w:ilvl w:val="0"/>
          <w:numId w:val="1"/>
        </w:numPr>
        <w:spacing w:line="360" w:lineRule="auto"/>
        <w:contextualSpacing w:val="0"/>
        <w:rPr>
          <w:i/>
          <w:iCs/>
        </w:rPr>
      </w:pPr>
      <w:r>
        <w:rPr>
          <w:i/>
          <w:iCs/>
        </w:rPr>
        <w:t xml:space="preserve">Appealability </w:t>
      </w:r>
    </w:p>
    <w:p w:rsidR="00C120FA" w:rsidRPr="00DA533F" w:rsidP="00B36C22" w14:paraId="215AEAC5" w14:textId="636D56D9">
      <w:pPr>
        <w:spacing w:line="360" w:lineRule="auto"/>
        <w:ind w:firstLine="720"/>
        <w:rPr>
          <w:szCs w:val="26"/>
        </w:rPr>
      </w:pPr>
      <w:r w:rsidRPr="00DA533F">
        <w:rPr>
          <w:szCs w:val="26"/>
        </w:rPr>
        <w:t xml:space="preserve">As a threshold matter, </w:t>
      </w:r>
      <w:r w:rsidR="00C67291">
        <w:rPr>
          <w:szCs w:val="26"/>
        </w:rPr>
        <w:t>Dominic and Eric Jr.</w:t>
      </w:r>
      <w:r w:rsidRPr="00DA533F">
        <w:rPr>
          <w:szCs w:val="26"/>
        </w:rPr>
        <w:t xml:space="preserve"> appeal from an order sustaining </w:t>
      </w:r>
      <w:r w:rsidR="00C67291">
        <w:rPr>
          <w:szCs w:val="26"/>
        </w:rPr>
        <w:t>LaDonna</w:t>
      </w:r>
      <w:r w:rsidRPr="00DA533F">
        <w:rPr>
          <w:szCs w:val="26"/>
        </w:rPr>
        <w:t>’s demurrer without leave to amend</w:t>
      </w:r>
      <w:r w:rsidR="00583FA3">
        <w:rPr>
          <w:szCs w:val="26"/>
        </w:rPr>
        <w:t xml:space="preserve">.  </w:t>
      </w:r>
      <w:r w:rsidRPr="00DA533F">
        <w:rPr>
          <w:szCs w:val="26"/>
        </w:rPr>
        <w:t>The general rule is that “[a]n order sustaining a demurrer without leave to amend is not appealable, and an appeal is proper only after entry of a dismissal on such an order.</w:t>
      </w:r>
      <w:r w:rsidR="00B36C22">
        <w:rPr>
          <w:szCs w:val="26"/>
        </w:rPr>
        <w:t xml:space="preserve"> </w:t>
      </w:r>
      <w:r w:rsidRPr="00DA533F">
        <w:rPr>
          <w:szCs w:val="26"/>
        </w:rPr>
        <w:t xml:space="preserve"> [Citations.]”</w:t>
      </w:r>
      <w:r w:rsidRPr="00DA533F">
        <w:rPr>
          <w:szCs w:val="26"/>
          <w:shd w:val="clear" w:color="auto" w:fill="FFFFFF"/>
        </w:rPr>
        <w:t xml:space="preserve">  (</w:t>
      </w:r>
      <w:r w:rsidRPr="00DA533F">
        <w:rPr>
          <w:i/>
          <w:iCs/>
          <w:szCs w:val="26"/>
        </w:rPr>
        <w:t xml:space="preserve">Sisemore v. Master Financial, Inc. </w:t>
      </w:r>
      <w:r w:rsidRPr="00DA533F">
        <w:rPr>
          <w:szCs w:val="26"/>
        </w:rPr>
        <w:t xml:space="preserve">(2007) 151 Cal.App.4th 1386, 1396.) </w:t>
      </w:r>
      <w:r w:rsidRPr="00DA533F" w:rsidR="000C4BE1">
        <w:rPr>
          <w:szCs w:val="26"/>
        </w:rPr>
        <w:t xml:space="preserve"> </w:t>
      </w:r>
      <w:r w:rsidRPr="00DA533F">
        <w:rPr>
          <w:szCs w:val="26"/>
          <w:shd w:val="clear" w:color="auto" w:fill="FFFFFF"/>
        </w:rPr>
        <w:t>However, “when the trial court has sustained a demurrer [without leave to amend] to all of the complaint</w:t>
      </w:r>
      <w:r w:rsidRPr="00DA533F" w:rsidR="00657D48">
        <w:rPr>
          <w:szCs w:val="26"/>
          <w:shd w:val="clear" w:color="auto" w:fill="FFFFFF"/>
        </w:rPr>
        <w:t>’</w:t>
      </w:r>
      <w:r w:rsidRPr="00DA533F">
        <w:rPr>
          <w:szCs w:val="26"/>
          <w:shd w:val="clear" w:color="auto" w:fill="FFFFFF"/>
        </w:rPr>
        <w:t>s causes of action, appellate courts may deem the order to incorporate a judgment of dismissal, since all that is left to make the order appealable is the formality of the entry of a dismissal order or judgment.</w:t>
      </w:r>
      <w:r w:rsidR="00B36C22">
        <w:rPr>
          <w:szCs w:val="26"/>
          <w:shd w:val="clear" w:color="auto" w:fill="FFFFFF"/>
        </w:rPr>
        <w:t xml:space="preserve"> </w:t>
      </w:r>
      <w:r w:rsidRPr="00DA533F">
        <w:rPr>
          <w:szCs w:val="26"/>
          <w:shd w:val="clear" w:color="auto" w:fill="FFFFFF"/>
        </w:rPr>
        <w:t xml:space="preserve"> [Citations.]</w:t>
      </w:r>
      <w:r w:rsidRPr="00DA533F">
        <w:rPr>
          <w:szCs w:val="26"/>
        </w:rPr>
        <w:t>”  (</w:t>
      </w:r>
      <w:r w:rsidRPr="00DA533F">
        <w:rPr>
          <w:i/>
          <w:iCs/>
          <w:szCs w:val="26"/>
        </w:rPr>
        <w:t>Ibid</w:t>
      </w:r>
      <w:r w:rsidR="00B36C22">
        <w:rPr>
          <w:i/>
          <w:iCs/>
          <w:szCs w:val="26"/>
        </w:rPr>
        <w:t>.</w:t>
      </w:r>
      <w:r w:rsidRPr="00DA533F">
        <w:rPr>
          <w:szCs w:val="26"/>
        </w:rPr>
        <w:t xml:space="preserve">; see also </w:t>
      </w:r>
      <w:r w:rsidRPr="00DA533F">
        <w:rPr>
          <w:i/>
          <w:iCs/>
          <w:szCs w:val="26"/>
        </w:rPr>
        <w:t xml:space="preserve">Bullock v. City of Antioch </w:t>
      </w:r>
      <w:r w:rsidRPr="00DA533F">
        <w:rPr>
          <w:szCs w:val="26"/>
        </w:rPr>
        <w:t>(2022) 78 Cal.App.5th 407, 411, fn. 1 [same].)</w:t>
      </w:r>
    </w:p>
    <w:p w:rsidR="00C120FA" w:rsidRPr="00DA533F" w:rsidP="00B36C22" w14:paraId="37ED5172" w14:textId="03AFA01F">
      <w:pPr>
        <w:spacing w:line="360" w:lineRule="auto"/>
        <w:ind w:firstLine="720"/>
        <w:rPr>
          <w:szCs w:val="26"/>
        </w:rPr>
      </w:pPr>
      <w:r w:rsidRPr="00DA533F">
        <w:rPr>
          <w:szCs w:val="26"/>
        </w:rPr>
        <w:t>We</w:t>
      </w:r>
      <w:r w:rsidRPr="00DA533F" w:rsidR="00EE4E37">
        <w:rPr>
          <w:szCs w:val="26"/>
        </w:rPr>
        <w:t xml:space="preserve"> deem the trial court’s order to incorporate a judgment of dismissal and wil</w:t>
      </w:r>
      <w:r w:rsidRPr="00DA533F" w:rsidR="002014AD">
        <w:rPr>
          <w:szCs w:val="26"/>
        </w:rPr>
        <w:t>l</w:t>
      </w:r>
      <w:r w:rsidRPr="00DA533F" w:rsidR="00BB09FC">
        <w:rPr>
          <w:szCs w:val="26"/>
        </w:rPr>
        <w:t xml:space="preserve"> </w:t>
      </w:r>
      <w:r w:rsidRPr="00DA533F" w:rsidR="00874692">
        <w:rPr>
          <w:szCs w:val="26"/>
        </w:rPr>
        <w:t>review the order</w:t>
      </w:r>
      <w:r w:rsidRPr="00DA533F" w:rsidR="00BB09FC">
        <w:rPr>
          <w:szCs w:val="26"/>
        </w:rPr>
        <w:t>.</w:t>
      </w:r>
      <w:r w:rsidRPr="00DA533F">
        <w:rPr>
          <w:szCs w:val="26"/>
        </w:rPr>
        <w:t xml:space="preserve"> </w:t>
      </w:r>
    </w:p>
    <w:p w:rsidR="00C120FA" w:rsidRPr="00DA533F" w:rsidP="00B36C22" w14:paraId="265A6000" w14:textId="77777777">
      <w:pPr>
        <w:spacing w:line="360" w:lineRule="auto"/>
        <w:rPr>
          <w:szCs w:val="26"/>
        </w:rPr>
      </w:pPr>
    </w:p>
    <w:p w:rsidR="00C120FA" w:rsidRPr="00DA533F" w:rsidP="00B36C22" w14:paraId="7421B4D1" w14:textId="77777777">
      <w:pPr>
        <w:pStyle w:val="ListParagraph"/>
        <w:numPr>
          <w:ilvl w:val="0"/>
          <w:numId w:val="1"/>
        </w:numPr>
        <w:spacing w:line="360" w:lineRule="auto"/>
        <w:contextualSpacing w:val="0"/>
        <w:rPr>
          <w:i/>
          <w:iCs/>
        </w:rPr>
      </w:pPr>
      <w:r w:rsidRPr="00DA533F">
        <w:rPr>
          <w:i/>
          <w:iCs/>
        </w:rPr>
        <w:t>Standards of Review and Governing Principles</w:t>
      </w:r>
    </w:p>
    <w:p w:rsidR="00C120FA" w:rsidRPr="00476627" w:rsidP="00B36C22" w14:paraId="4C22A771" w14:textId="685D61D9">
      <w:pPr>
        <w:spacing w:line="360" w:lineRule="auto"/>
        <w:ind w:firstLine="720"/>
      </w:pPr>
      <w:r w:rsidRPr="001717F5">
        <w:t>A demurrer tests the legal sufficiency of the challenged pleading.  (</w:t>
      </w:r>
      <w:r w:rsidRPr="001717F5">
        <w:rPr>
          <w:i/>
          <w:iCs/>
        </w:rPr>
        <w:t xml:space="preserve">Milligan v. Golden Gate Bridge Highway &amp; Transportation Dist. </w:t>
      </w:r>
      <w:r w:rsidRPr="001717F5">
        <w:t xml:space="preserve">(2004) 120 Cal.App.4th 1, 5.)  </w:t>
      </w:r>
      <w:r w:rsidR="001717F5">
        <w:t>“</w:t>
      </w:r>
      <w:r w:rsidR="00B36C22">
        <w:t>‘</w:t>
      </w:r>
      <w:r w:rsidR="001717F5">
        <w:t xml:space="preserve">[F]or </w:t>
      </w:r>
      <w:r w:rsidRPr="001717F5" w:rsidR="001717F5">
        <w:t xml:space="preserve">a demurrer based on the statute of limitations to be sustained, the untimeliness of the lawsuit must clearly and affirmatively appear on the face of the complaint and matters judicially noticed. </w:t>
      </w:r>
      <w:r w:rsidR="00B36C22">
        <w:t xml:space="preserve"> </w:t>
      </w:r>
      <w:r w:rsidRPr="001717F5" w:rsidR="001717F5">
        <w:t>[Citation.]</w:t>
      </w:r>
      <w:r w:rsidR="00B36C22">
        <w:t>’</w:t>
      </w:r>
      <w:r w:rsidRPr="001717F5" w:rsidR="001717F5">
        <w:t xml:space="preserve">” </w:t>
      </w:r>
      <w:r w:rsidR="00B36C22">
        <w:t xml:space="preserve"> </w:t>
      </w:r>
      <w:r w:rsidRPr="001717F5" w:rsidR="001717F5">
        <w:t>(</w:t>
      </w:r>
      <w:r w:rsidR="001717F5">
        <w:rPr>
          <w:i/>
          <w:iCs/>
        </w:rPr>
        <w:t>Austin v. Medicis</w:t>
      </w:r>
      <w:r w:rsidR="001717F5">
        <w:t xml:space="preserve"> (2018) 21 Cal.App.5th 577, 585.</w:t>
      </w:r>
      <w:r w:rsidRPr="001717F5" w:rsidR="001717F5">
        <w:t>)</w:t>
      </w:r>
      <w:r w:rsidR="001717F5">
        <w:t xml:space="preserve">  </w:t>
      </w:r>
      <w:r w:rsidRPr="001717F5" w:rsidR="001717F5">
        <w:t>When a demurrer is sustained, we determine whether the complaint states facts sufficient to constitute a cause of action on any theory.  (</w:t>
      </w:r>
      <w:r w:rsidRPr="001717F5" w:rsidR="001717F5">
        <w:rPr>
          <w:i/>
          <w:iCs/>
        </w:rPr>
        <w:t xml:space="preserve">Blank v. Kirwan </w:t>
      </w:r>
      <w:r w:rsidRPr="001717F5" w:rsidR="001717F5">
        <w:t>(1985)</w:t>
      </w:r>
      <w:r w:rsidRPr="001717F5" w:rsidR="001717F5">
        <w:rPr>
          <w:i/>
          <w:iCs/>
        </w:rPr>
        <w:t xml:space="preserve"> </w:t>
      </w:r>
      <w:r w:rsidRPr="001717F5" w:rsidR="001717F5">
        <w:t>39 Cal.3d 311, 318</w:t>
      </w:r>
      <w:r w:rsidR="00E71255">
        <w:t xml:space="preserve"> (</w:t>
      </w:r>
      <w:r w:rsidR="00E71255">
        <w:rPr>
          <w:i/>
          <w:iCs/>
        </w:rPr>
        <w:t>Blank</w:t>
      </w:r>
      <w:r w:rsidR="00E71255">
        <w:t>)</w:t>
      </w:r>
      <w:r w:rsidRPr="001717F5" w:rsidR="001717F5">
        <w:t xml:space="preserve">.)  </w:t>
      </w:r>
      <w:r w:rsidRPr="001717F5">
        <w:t>We review de novo a trial court’s ruling on a demurrer.  (</w:t>
      </w:r>
      <w:r w:rsidRPr="001717F5">
        <w:rPr>
          <w:i/>
          <w:iCs/>
        </w:rPr>
        <w:t>Allen v. City of Sacramento</w:t>
      </w:r>
      <w:r w:rsidRPr="001717F5">
        <w:t xml:space="preserve"> (2015) 234 Cal.App.4th 41, 51.)</w:t>
      </w:r>
      <w:r w:rsidRPr="00476627">
        <w:t xml:space="preserve"> </w:t>
      </w:r>
    </w:p>
    <w:p w:rsidR="00C120FA" w:rsidP="00B36C22" w14:paraId="687E7B15" w14:textId="13BA76E5">
      <w:pPr>
        <w:spacing w:line="360" w:lineRule="auto"/>
        <w:ind w:firstLine="720"/>
      </w:pPr>
      <w:r>
        <w:t>When</w:t>
      </w:r>
      <w:r w:rsidRPr="006D026D">
        <w:t xml:space="preserve"> </w:t>
      </w:r>
      <w:r>
        <w:t>a</w:t>
      </w:r>
      <w:r w:rsidRPr="006D026D">
        <w:t xml:space="preserve"> trial court sustain</w:t>
      </w:r>
      <w:r>
        <w:t>s</w:t>
      </w:r>
      <w:r w:rsidRPr="006D026D">
        <w:t xml:space="preserve"> </w:t>
      </w:r>
      <w:r>
        <w:t>a</w:t>
      </w:r>
      <w:r w:rsidRPr="006D026D">
        <w:t xml:space="preserve"> demurrer without leave to amend, </w:t>
      </w:r>
      <w:r>
        <w:t>“</w:t>
      </w:r>
      <w:r w:rsidRPr="006D026D">
        <w:t xml:space="preserve">we decide whether there is a reasonable possibility </w:t>
      </w:r>
      <w:r>
        <w:t xml:space="preserve">that </w:t>
      </w:r>
      <w:r w:rsidRPr="006D026D">
        <w:t xml:space="preserve">the </w:t>
      </w:r>
      <w:r>
        <w:t xml:space="preserve">defect can be cured by </w:t>
      </w:r>
      <w:r w:rsidRPr="006D026D">
        <w:t>amendment.</w:t>
      </w:r>
      <w:r>
        <w:t>”  (</w:t>
      </w:r>
      <w:r w:rsidRPr="00E819B4">
        <w:rPr>
          <w:i/>
          <w:iCs/>
        </w:rPr>
        <w:t xml:space="preserve">Blank, supra, </w:t>
      </w:r>
      <w:r>
        <w:t xml:space="preserve">39 Cal.3d at p. 318.)  </w:t>
      </w:r>
      <w:r w:rsidRPr="006D026D">
        <w:t xml:space="preserve">If we find an amendment could cure the defect, we conclude the trial court abused its discretion and we reverse; if not, no abuse of discretion has occurred. </w:t>
      </w:r>
      <w:r>
        <w:t xml:space="preserve"> (</w:t>
      </w:r>
      <w:r w:rsidRPr="00E819B4">
        <w:rPr>
          <w:i/>
          <w:iCs/>
        </w:rPr>
        <w:t>Ibid.</w:t>
      </w:r>
      <w:r>
        <w:t xml:space="preserve">) </w:t>
      </w:r>
      <w:r w:rsidRPr="006D026D">
        <w:t xml:space="preserve"> </w:t>
      </w:r>
      <w:r>
        <w:t>T</w:t>
      </w:r>
      <w:r w:rsidRPr="006D026D">
        <w:t>he plaintiff has the burden of proving that an amendment would cure the defect.</w:t>
      </w:r>
      <w:r>
        <w:t xml:space="preserve">  (</w:t>
      </w:r>
      <w:r w:rsidRPr="00E819B4">
        <w:rPr>
          <w:i/>
          <w:iCs/>
        </w:rPr>
        <w:t>Ibid.</w:t>
      </w:r>
      <w:r>
        <w:t xml:space="preserve">; see </w:t>
      </w:r>
      <w:r w:rsidRPr="00E819B4">
        <w:rPr>
          <w:i/>
          <w:iCs/>
        </w:rPr>
        <w:t>Schifando v. City of Los Angeles</w:t>
      </w:r>
      <w:r w:rsidRPr="006D026D">
        <w:t xml:space="preserve"> (2003) 31 Cal.4th 1074, 1081.)</w:t>
      </w:r>
      <w:r>
        <w:t xml:space="preserve"> </w:t>
      </w:r>
    </w:p>
    <w:p w:rsidR="00C120FA" w:rsidP="00B36C22" w14:paraId="5744B715" w14:textId="77777777">
      <w:pPr>
        <w:spacing w:line="360" w:lineRule="auto"/>
      </w:pPr>
    </w:p>
    <w:p w:rsidR="00C120FA" w:rsidP="00B36C22" w14:paraId="02309466" w14:textId="794D2993">
      <w:pPr>
        <w:pStyle w:val="ListParagraph"/>
        <w:numPr>
          <w:ilvl w:val="0"/>
          <w:numId w:val="1"/>
        </w:numPr>
        <w:spacing w:line="360" w:lineRule="auto"/>
        <w:rPr>
          <w:i/>
          <w:iCs/>
        </w:rPr>
      </w:pPr>
      <w:r>
        <w:rPr>
          <w:i/>
          <w:iCs/>
        </w:rPr>
        <w:t>Action to Contest the Trust</w:t>
      </w:r>
    </w:p>
    <w:p w:rsidR="00F116F3" w:rsidP="00B36C22" w14:paraId="1E80DDE8" w14:textId="621E0B34">
      <w:pPr>
        <w:spacing w:line="360" w:lineRule="auto"/>
        <w:ind w:firstLine="360"/>
      </w:pPr>
      <w:r>
        <w:t>Dominic and Eric Jr.</w:t>
      </w:r>
      <w:r w:rsidRPr="00544521" w:rsidR="00874692">
        <w:t xml:space="preserve"> contend the trial court erred in sustaining the demurrer to the complaint without leave to amend.</w:t>
      </w:r>
      <w:r>
        <w:rPr>
          <w:rStyle w:val="FootnoteReference"/>
          <w:b/>
          <w:bCs/>
        </w:rPr>
        <w:footnoteReference w:id="4"/>
      </w:r>
      <w:r w:rsidR="00544521">
        <w:t xml:space="preserve">  </w:t>
      </w:r>
      <w:r w:rsidR="000960CC">
        <w:t xml:space="preserve">They argue </w:t>
      </w:r>
      <w:r w:rsidR="00546DE1">
        <w:t xml:space="preserve">the statute of limitations in section 16061.8 </w:t>
      </w:r>
      <w:r w:rsidRPr="00544521" w:rsidR="00C120FA">
        <w:t>is inapplicable to their lawsuit</w:t>
      </w:r>
      <w:r w:rsidR="000960CC">
        <w:t xml:space="preserve"> because the </w:t>
      </w:r>
      <w:r w:rsidR="00905837">
        <w:t xml:space="preserve">civil </w:t>
      </w:r>
      <w:r w:rsidR="000960CC">
        <w:t>complaint</w:t>
      </w:r>
      <w:r w:rsidRPr="00544521" w:rsidR="00C120FA">
        <w:t xml:space="preserve"> </w:t>
      </w:r>
      <w:r w:rsidR="000960CC">
        <w:t xml:space="preserve">is not </w:t>
      </w:r>
      <w:r w:rsidR="00546DE1">
        <w:t>“</w:t>
      </w:r>
      <w:r w:rsidR="000960CC">
        <w:t>a</w:t>
      </w:r>
      <w:r w:rsidR="00863C26">
        <w:t>n action to conte</w:t>
      </w:r>
      <w:r w:rsidR="00905837">
        <w:t>s</w:t>
      </w:r>
      <w:r w:rsidR="00863C26">
        <w:t>t the trust</w:t>
      </w:r>
      <w:r w:rsidR="00546DE1">
        <w:t>.”</w:t>
      </w:r>
      <w:r w:rsidR="00863C26">
        <w:t xml:space="preserve"> </w:t>
      </w:r>
      <w:r w:rsidRPr="00544521" w:rsidR="0059028F">
        <w:t xml:space="preserve"> </w:t>
      </w:r>
      <w:r w:rsidR="00583FA3">
        <w:t>F</w:t>
      </w:r>
      <w:r w:rsidRPr="00544521" w:rsidR="00C909BB">
        <w:t>or the reasons discussed below, w</w:t>
      </w:r>
      <w:r w:rsidRPr="00544521" w:rsidR="00C120FA">
        <w:t>e disagree</w:t>
      </w:r>
      <w:r w:rsidRPr="00544521">
        <w:t>.</w:t>
      </w:r>
    </w:p>
    <w:p w:rsidR="00E71255" w:rsidRPr="00EA5D0C" w:rsidP="00B36C22" w14:paraId="4157D585" w14:textId="5959192E">
      <w:pPr>
        <w:spacing w:line="360" w:lineRule="auto"/>
        <w:ind w:firstLine="720"/>
      </w:pPr>
      <w:r w:rsidRPr="0075248D">
        <w:t>W</w:t>
      </w:r>
      <w:r w:rsidRPr="0075248D" w:rsidR="00462B5E">
        <w:t>hen</w:t>
      </w:r>
      <w:r w:rsidR="00462B5E">
        <w:t xml:space="preserve"> </w:t>
      </w:r>
      <w:r w:rsidR="00C239FE">
        <w:t>a trust becomes irrevocable</w:t>
      </w:r>
      <w:r w:rsidR="008B2902">
        <w:t>, s</w:t>
      </w:r>
      <w:r>
        <w:t xml:space="preserve">ection 16061.7 requires a trustee to serve a written notification on </w:t>
      </w:r>
      <w:r w:rsidR="00C239FE">
        <w:t>all beneficiaries</w:t>
      </w:r>
      <w:r w:rsidR="00806B25">
        <w:t xml:space="preserve"> and heirs of the settlor</w:t>
      </w:r>
      <w:r w:rsidR="000F308F">
        <w:t xml:space="preserve">.  </w:t>
      </w:r>
      <w:r>
        <w:t>A revocable trust may become irrevocable upon the death of the settlor.  (</w:t>
      </w:r>
      <w:r w:rsidRPr="00F116F3">
        <w:rPr>
          <w:i/>
          <w:iCs/>
        </w:rPr>
        <w:t>Id.</w:t>
      </w:r>
      <w:r>
        <w:t xml:space="preserve"> at subd. (a)(1).)  </w:t>
      </w:r>
      <w:r w:rsidRPr="00EA5D0C">
        <w:t>The notification must contain the following language: “</w:t>
      </w:r>
      <w:r w:rsidRPr="00EA5D0C" w:rsidR="00B36C22">
        <w:t>‘</w:t>
      </w:r>
      <w:r w:rsidRPr="00EA5D0C">
        <w:t>[y]ou may not bring an action to contest the trust more than 120 days from the date this notification by the trustee is served upon you.</w:t>
      </w:r>
      <w:r w:rsidRPr="00EA5D0C" w:rsidR="00B36C22">
        <w:t>’</w:t>
      </w:r>
      <w:r w:rsidRPr="00EA5D0C">
        <w:t>”  (</w:t>
      </w:r>
      <w:r w:rsidRPr="00EA5D0C">
        <w:rPr>
          <w:i/>
          <w:iCs/>
        </w:rPr>
        <w:t xml:space="preserve">Id. </w:t>
      </w:r>
      <w:r w:rsidRPr="00EA5D0C">
        <w:t xml:space="preserve">at subd. (h).)  The 120-day statute of limitations </w:t>
      </w:r>
      <w:r w:rsidRPr="00EA5D0C" w:rsidR="00863C26">
        <w:t xml:space="preserve">to “bring an action to contest the trust” </w:t>
      </w:r>
      <w:r w:rsidRPr="00EA5D0C">
        <w:t>is codified in section 16061.8.</w:t>
      </w:r>
      <w:r w:rsidRPr="00EA5D0C" w:rsidR="00135922">
        <w:t xml:space="preserve">  </w:t>
      </w:r>
      <w:r w:rsidRPr="00EA5D0C" w:rsidR="00E02F29">
        <w:t>Section 82 defines “trust” as “</w:t>
      </w:r>
      <w:r w:rsidRPr="00EA5D0C" w:rsidR="007F03C1">
        <w:t>[</w:t>
      </w:r>
      <w:r w:rsidRPr="00EA5D0C" w:rsidR="00E02F29">
        <w:t>a</w:t>
      </w:r>
      <w:r w:rsidRPr="00EA5D0C" w:rsidR="007F03C1">
        <w:t>]</w:t>
      </w:r>
      <w:r w:rsidRPr="00EA5D0C" w:rsidR="00E02F29">
        <w:t>n express trust, private or charitable, with additions thereto, wherever and however created.”</w:t>
      </w:r>
      <w:r>
        <w:rPr>
          <w:rStyle w:val="FootnoteReference"/>
          <w:b/>
          <w:bCs/>
        </w:rPr>
        <w:footnoteReference w:id="5"/>
      </w:r>
    </w:p>
    <w:p w:rsidR="00696543" w:rsidP="00B36C22" w14:paraId="257FC0B6" w14:textId="5301CCBF">
      <w:pPr>
        <w:spacing w:line="360" w:lineRule="auto"/>
        <w:ind w:firstLine="720"/>
      </w:pPr>
      <w:bookmarkStart w:id="1" w:name="_Hlk152149654"/>
      <w:r w:rsidRPr="00EA5D0C">
        <w:t xml:space="preserve">Actions that challenge the validity of a trust are actions that “contest the trust” </w:t>
      </w:r>
      <w:r w:rsidRPr="00EA5D0C" w:rsidR="00544521">
        <w:t>under section</w:t>
      </w:r>
      <w:r w:rsidRPr="00EA5D0C">
        <w:t xml:space="preserve"> 16061.8.  (</w:t>
      </w:r>
      <w:r w:rsidRPr="00EA5D0C" w:rsidR="0059028F">
        <w:t xml:space="preserve">See </w:t>
      </w:r>
      <w:r w:rsidRPr="00EA5D0C" w:rsidR="0059028F">
        <w:rPr>
          <w:i/>
          <w:iCs/>
        </w:rPr>
        <w:t xml:space="preserve">Estate of Stoker </w:t>
      </w:r>
      <w:r w:rsidRPr="00EA5D0C" w:rsidR="0059028F">
        <w:t xml:space="preserve">(2011) 193 </w:t>
      </w:r>
      <w:r w:rsidRPr="006760A6" w:rsidR="0059028F">
        <w:t>Cal.App.4th 236, 240</w:t>
      </w:r>
      <w:r w:rsidRPr="006760A6" w:rsidR="00B36C22">
        <w:t>–</w:t>
      </w:r>
      <w:r w:rsidRPr="006760A6" w:rsidR="0059028F">
        <w:t>241 (</w:t>
      </w:r>
      <w:r w:rsidRPr="006760A6" w:rsidR="0059028F">
        <w:rPr>
          <w:i/>
          <w:iCs/>
        </w:rPr>
        <w:t>Stoker</w:t>
      </w:r>
      <w:r w:rsidRPr="006760A6" w:rsidR="006D399F">
        <w:t>)</w:t>
      </w:r>
      <w:r w:rsidRPr="006760A6" w:rsidR="0059028F">
        <w:t>.)</w:t>
      </w:r>
      <w:r w:rsidRPr="006760A6">
        <w:t xml:space="preserve"> </w:t>
      </w:r>
      <w:r w:rsidRPr="006760A6" w:rsidR="0059028F">
        <w:t xml:space="preserve"> </w:t>
      </w:r>
      <w:r w:rsidRPr="006760A6" w:rsidR="001C4458">
        <w:t>We are</w:t>
      </w:r>
      <w:r w:rsidRPr="006760A6">
        <w:t xml:space="preserve"> “not bound by </w:t>
      </w:r>
      <w:r w:rsidRPr="006760A6" w:rsidR="00B36C22">
        <w:t>its</w:t>
      </w:r>
      <w:r w:rsidRPr="006760A6">
        <w:t xml:space="preserve"> label” in deciding whether </w:t>
      </w:r>
      <w:r w:rsidRPr="006760A6" w:rsidR="00581C3A">
        <w:t>an</w:t>
      </w:r>
      <w:r w:rsidRPr="006760A6">
        <w:t xml:space="preserve"> action </w:t>
      </w:r>
      <w:r w:rsidRPr="006760A6" w:rsidR="005A4ACD">
        <w:t>is a trust contest.  (</w:t>
      </w:r>
      <w:r w:rsidRPr="006760A6" w:rsidR="005A4ACD">
        <w:rPr>
          <w:i/>
          <w:iCs/>
        </w:rPr>
        <w:t>Stoker, supra</w:t>
      </w:r>
      <w:r w:rsidRPr="006760A6" w:rsidR="005A4ACD">
        <w:t>, 193 Cal.App.4th</w:t>
      </w:r>
      <w:r w:rsidR="005A4ACD">
        <w:t xml:space="preserve"> </w:t>
      </w:r>
      <w:r w:rsidR="00923276">
        <w:t xml:space="preserve">at p. 241.)  </w:t>
      </w:r>
      <w:r w:rsidRPr="005A4ACD">
        <w:t>Rather</w:t>
      </w:r>
      <w:r>
        <w:t xml:space="preserve">, </w:t>
      </w:r>
      <w:r w:rsidR="001C4458">
        <w:t>we</w:t>
      </w:r>
      <w:r>
        <w:t xml:space="preserve"> “look to the substance of that [action] and its ‘practical effect.’</w:t>
      </w:r>
      <w:r w:rsidR="00F16AFB">
        <w:t>”</w:t>
      </w:r>
      <w:r w:rsidR="00B36C22">
        <w:t xml:space="preserve"> </w:t>
      </w:r>
      <w:r>
        <w:t xml:space="preserve"> (</w:t>
      </w:r>
      <w:r w:rsidR="00050DEC">
        <w:rPr>
          <w:i/>
          <w:iCs/>
        </w:rPr>
        <w:t>Ibid</w:t>
      </w:r>
      <w:r w:rsidR="00B36C22">
        <w:rPr>
          <w:i/>
          <w:iCs/>
        </w:rPr>
        <w:t>.</w:t>
      </w:r>
      <w:r w:rsidRPr="00B25C92" w:rsidR="001C4458">
        <w:t>;</w:t>
      </w:r>
      <w:r w:rsidR="001C4458">
        <w:rPr>
          <w:i/>
          <w:iCs/>
        </w:rPr>
        <w:t xml:space="preserve"> </w:t>
      </w:r>
      <w:r w:rsidR="001C4458">
        <w:t xml:space="preserve">see also </w:t>
      </w:r>
      <w:r w:rsidR="001C4458">
        <w:rPr>
          <w:i/>
          <w:iCs/>
        </w:rPr>
        <w:t xml:space="preserve">Saunders v. Cariss </w:t>
      </w:r>
      <w:r w:rsidR="001C4458">
        <w:t>(1990) 224 Cal.App.3d 905, 908.</w:t>
      </w:r>
      <w:r w:rsidR="00F16AFB">
        <w:t xml:space="preserve">)  </w:t>
      </w:r>
    </w:p>
    <w:p w:rsidR="00456E96" w:rsidRPr="007C5F19" w:rsidP="00B36C22" w14:paraId="7CDCDD77" w14:textId="4C621822">
      <w:pPr>
        <w:spacing w:line="360" w:lineRule="auto"/>
        <w:ind w:firstLine="720"/>
        <w:rPr>
          <w:b/>
          <w:bCs/>
        </w:rPr>
      </w:pPr>
      <w:bookmarkStart w:id="2" w:name="_Hlk152147836"/>
      <w:r>
        <w:rPr>
          <w:i/>
          <w:iCs/>
        </w:rPr>
        <w:t xml:space="preserve">Stoker </w:t>
      </w:r>
      <w:r>
        <w:t>is instructive</w:t>
      </w:r>
      <w:r w:rsidR="002F7969">
        <w:t xml:space="preserve"> here</w:t>
      </w:r>
      <w:r>
        <w:t xml:space="preserve">.  In </w:t>
      </w:r>
      <w:r>
        <w:rPr>
          <w:i/>
          <w:iCs/>
        </w:rPr>
        <w:t>Stoker</w:t>
      </w:r>
      <w:r>
        <w:t>, the court concluded a petition to probate a will was an “action to contest the trust” under section 16061.8, despite the petition’s label.</w:t>
      </w:r>
      <w:r w:rsidR="00B36C22">
        <w:t xml:space="preserve"> </w:t>
      </w:r>
      <w:r>
        <w:t xml:space="preserve"> (</w:t>
      </w:r>
      <w:r>
        <w:rPr>
          <w:i/>
          <w:iCs/>
        </w:rPr>
        <w:t xml:space="preserve">Stoker, supra, </w:t>
      </w:r>
      <w:r>
        <w:t>193 Cal.App.4th at p. 241.)</w:t>
      </w:r>
      <w:r w:rsidR="00B36C22">
        <w:t xml:space="preserve"> </w:t>
      </w:r>
      <w:r>
        <w:t xml:space="preserve"> There, the trustee of the decedent’s 1997 trust (trustee) filed a petition to probate the decedent’s 1997 will.</w:t>
      </w:r>
      <w:r w:rsidR="00B36C22">
        <w:t xml:space="preserve"> </w:t>
      </w:r>
      <w:r>
        <w:t xml:space="preserve"> (</w:t>
      </w:r>
      <w:r>
        <w:rPr>
          <w:i/>
          <w:iCs/>
        </w:rPr>
        <w:t xml:space="preserve">Id. </w:t>
      </w:r>
      <w:r>
        <w:t>at p. 239.)</w:t>
      </w:r>
      <w:r w:rsidR="00B36C22">
        <w:t xml:space="preserve"> </w:t>
      </w:r>
      <w:r>
        <w:t xml:space="preserve"> Under the 1997 will, the trustee was entitled to the residue of the estate when the decedent died.</w:t>
      </w:r>
      <w:r w:rsidR="00B36C22">
        <w:t xml:space="preserve"> </w:t>
      </w:r>
      <w:r>
        <w:t xml:space="preserve"> (</w:t>
      </w:r>
      <w:r>
        <w:rPr>
          <w:i/>
          <w:iCs/>
        </w:rPr>
        <w:t>Ibid</w:t>
      </w:r>
      <w:r>
        <w:t>.)</w:t>
      </w:r>
      <w:r w:rsidR="00B36C22">
        <w:t xml:space="preserve"> </w:t>
      </w:r>
      <w:r>
        <w:t xml:space="preserve"> The decedent’s children filed a </w:t>
      </w:r>
      <w:r w:rsidR="008A1454">
        <w:t xml:space="preserve">subsequent </w:t>
      </w:r>
      <w:r>
        <w:t>petition to probate a will that the decedent purportedly signed in 2005.</w:t>
      </w:r>
      <w:r w:rsidR="00B36C22">
        <w:t xml:space="preserve"> </w:t>
      </w:r>
      <w:r>
        <w:t xml:space="preserve"> </w:t>
      </w:r>
      <w:r w:rsidR="00F573E9">
        <w:t>(</w:t>
      </w:r>
      <w:r w:rsidRPr="00F573E9" w:rsidR="00F573E9">
        <w:rPr>
          <w:i/>
          <w:iCs/>
        </w:rPr>
        <w:t>Ibid</w:t>
      </w:r>
      <w:r w:rsidR="00F573E9">
        <w:t xml:space="preserve">.) </w:t>
      </w:r>
      <w:r w:rsidR="00C41F24">
        <w:t xml:space="preserve"> </w:t>
      </w:r>
      <w:r w:rsidRPr="00F573E9">
        <w:t>Within</w:t>
      </w:r>
      <w:r>
        <w:t xml:space="preserve"> the 2005 will, the decedent revoked the 1997 trust, eliminating the trustee’s interest in the estate.</w:t>
      </w:r>
      <w:r w:rsidR="00B36C22">
        <w:t xml:space="preserve">  </w:t>
      </w:r>
      <w:r>
        <w:t>(</w:t>
      </w:r>
      <w:r w:rsidR="00C41F24">
        <w:rPr>
          <w:i/>
          <w:iCs/>
        </w:rPr>
        <w:t>Id.</w:t>
      </w:r>
      <w:r w:rsidR="00C41F24">
        <w:t xml:space="preserve"> at</w:t>
      </w:r>
      <w:r>
        <w:t xml:space="preserve"> pp. 239</w:t>
      </w:r>
      <w:r w:rsidR="00B36C22">
        <w:t>–</w:t>
      </w:r>
      <w:r>
        <w:t>240.)</w:t>
      </w:r>
      <w:r w:rsidR="00B36C22">
        <w:t xml:space="preserve"> </w:t>
      </w:r>
      <w:r>
        <w:t xml:space="preserve"> The trustee argued the petition to probate the 2005 will was not “an action to contest the trust” under section 16061.8.</w:t>
      </w:r>
      <w:r w:rsidR="00B36C22">
        <w:t xml:space="preserve"> </w:t>
      </w:r>
      <w:r>
        <w:t xml:space="preserve"> </w:t>
      </w:r>
      <w:r w:rsidR="00761E37">
        <w:t xml:space="preserve">(See </w:t>
      </w:r>
      <w:r w:rsidR="00761E37">
        <w:rPr>
          <w:i/>
          <w:iCs/>
        </w:rPr>
        <w:t>id.</w:t>
      </w:r>
      <w:r w:rsidR="00761E37">
        <w:t xml:space="preserve"> at p. 240.) </w:t>
      </w:r>
      <w:r w:rsidR="007C5F19">
        <w:t xml:space="preserve"> </w:t>
      </w:r>
      <w:r>
        <w:t xml:space="preserve">The </w:t>
      </w:r>
      <w:r>
        <w:rPr>
          <w:i/>
          <w:iCs/>
        </w:rPr>
        <w:t xml:space="preserve">Stoker </w:t>
      </w:r>
      <w:r>
        <w:t>court disagreed.</w:t>
      </w:r>
      <w:r w:rsidR="00B36C22">
        <w:t xml:space="preserve"> </w:t>
      </w:r>
      <w:r>
        <w:rPr>
          <w:i/>
          <w:iCs/>
        </w:rPr>
        <w:t xml:space="preserve"> </w:t>
      </w:r>
      <w:r w:rsidR="007C5F19">
        <w:t>(</w:t>
      </w:r>
      <w:r w:rsidR="007C5F19">
        <w:rPr>
          <w:i/>
          <w:iCs/>
        </w:rPr>
        <w:t xml:space="preserve">Id. </w:t>
      </w:r>
      <w:r w:rsidR="007C5F19">
        <w:t>at pp. 240</w:t>
      </w:r>
      <w:r w:rsidR="00F77739">
        <w:t>–</w:t>
      </w:r>
      <w:r w:rsidR="007C5F19">
        <w:t xml:space="preserve">241.) </w:t>
      </w:r>
      <w:r w:rsidR="00B36C22">
        <w:t xml:space="preserve"> </w:t>
      </w:r>
      <w:r>
        <w:t xml:space="preserve">Because the 2005 will and the 1997 trust were inconsistent, the </w:t>
      </w:r>
      <w:r>
        <w:rPr>
          <w:i/>
          <w:iCs/>
        </w:rPr>
        <w:t xml:space="preserve">Stoker </w:t>
      </w:r>
      <w:r>
        <w:t xml:space="preserve">court reasoned that “the trial court would </w:t>
      </w:r>
      <w:r w:rsidR="00F77739">
        <w:t>have</w:t>
      </w:r>
      <w:r>
        <w:t xml:space="preserve"> to consider the validity of [the] decedent’s revocation of the trust” to decide the petition.</w:t>
      </w:r>
      <w:r w:rsidR="00B36C22">
        <w:t xml:space="preserve"> </w:t>
      </w:r>
      <w:r>
        <w:t xml:space="preserve"> </w:t>
      </w:r>
      <w:r w:rsidR="007C5F19">
        <w:t>(</w:t>
      </w:r>
      <w:r w:rsidR="007C5F19">
        <w:rPr>
          <w:i/>
          <w:iCs/>
        </w:rPr>
        <w:t xml:space="preserve">Id. </w:t>
      </w:r>
      <w:r w:rsidR="007C5F19">
        <w:t xml:space="preserve">at p. 241.) </w:t>
      </w:r>
      <w:r w:rsidR="00B36C22">
        <w:t xml:space="preserve"> </w:t>
      </w:r>
      <w:r>
        <w:t xml:space="preserve">On that basis, the court concluded “[t]he petition to probate the 2005 will is, ‘in practical effect,’ an action challenging the </w:t>
      </w:r>
      <w:r w:rsidR="00F77739">
        <w:t xml:space="preserve">validity of the </w:t>
      </w:r>
      <w:r>
        <w:t>trust” under section 16061.8.</w:t>
      </w:r>
      <w:r w:rsidR="00B36C22">
        <w:t xml:space="preserve"> </w:t>
      </w:r>
      <w:r>
        <w:t xml:space="preserve"> </w:t>
      </w:r>
      <w:r w:rsidR="007C5F19">
        <w:t>(</w:t>
      </w:r>
      <w:r w:rsidR="007C5F19">
        <w:rPr>
          <w:i/>
          <w:iCs/>
        </w:rPr>
        <w:t>Ibid.</w:t>
      </w:r>
      <w:r w:rsidR="007C5F19">
        <w:t>)</w:t>
      </w:r>
    </w:p>
    <w:p w:rsidR="00456E96" w:rsidP="00B36C22" w14:paraId="402911C5" w14:textId="2FA0530F">
      <w:pPr>
        <w:spacing w:line="360" w:lineRule="auto"/>
        <w:ind w:firstLine="720"/>
        <w:rPr>
          <w:shd w:val="clear" w:color="auto" w:fill="FFFFFF"/>
        </w:rPr>
      </w:pPr>
      <w:r w:rsidRPr="00A35CF4">
        <w:rPr>
          <w:color w:val="000000"/>
          <w:shd w:val="clear" w:color="auto" w:fill="FFFFFF"/>
        </w:rPr>
        <w:t>Likewise</w:t>
      </w:r>
      <w:r w:rsidRPr="00A35CF4" w:rsidR="007C5F19">
        <w:rPr>
          <w:color w:val="000000"/>
          <w:shd w:val="clear" w:color="auto" w:fill="FFFFFF"/>
        </w:rPr>
        <w:t>,</w:t>
      </w:r>
      <w:r w:rsidRPr="00A35CF4">
        <w:rPr>
          <w:color w:val="000000"/>
          <w:shd w:val="clear" w:color="auto" w:fill="FFFFFF"/>
        </w:rPr>
        <w:t xml:space="preserve"> here,</w:t>
      </w:r>
      <w:r w:rsidRPr="00A35CF4" w:rsidR="00B36C22">
        <w:rPr>
          <w:color w:val="000000"/>
          <w:shd w:val="clear" w:color="auto" w:fill="FFFFFF"/>
        </w:rPr>
        <w:t xml:space="preserve"> </w:t>
      </w:r>
      <w:r w:rsidRPr="00A35CF4">
        <w:rPr>
          <w:color w:val="000000"/>
          <w:shd w:val="clear" w:color="auto" w:fill="FFFFFF"/>
        </w:rPr>
        <w:t xml:space="preserve">the practical effect of </w:t>
      </w:r>
      <w:r w:rsidRPr="00A35CF4" w:rsidR="00C67291">
        <w:rPr>
          <w:color w:val="000000"/>
          <w:shd w:val="clear" w:color="auto" w:fill="FFFFFF"/>
        </w:rPr>
        <w:t>Dominic and Eric Jr.</w:t>
      </w:r>
      <w:r w:rsidRPr="00A35CF4">
        <w:rPr>
          <w:color w:val="000000"/>
          <w:shd w:val="clear" w:color="auto" w:fill="FFFFFF"/>
        </w:rPr>
        <w:t>’</w:t>
      </w:r>
      <w:r w:rsidRPr="00A35CF4" w:rsidR="00C67291">
        <w:rPr>
          <w:color w:val="000000"/>
          <w:shd w:val="clear" w:color="auto" w:fill="FFFFFF"/>
        </w:rPr>
        <w:t>s</w:t>
      </w:r>
      <w:r w:rsidRPr="00A35CF4">
        <w:rPr>
          <w:color w:val="000000"/>
          <w:shd w:val="clear" w:color="auto" w:fill="FFFFFF"/>
        </w:rPr>
        <w:t xml:space="preserve"> complain</w:t>
      </w:r>
      <w:r w:rsidRPr="00A35CF4" w:rsidR="00905837">
        <w:rPr>
          <w:color w:val="000000"/>
          <w:shd w:val="clear" w:color="auto" w:fill="FFFFFF"/>
        </w:rPr>
        <w:t>t</w:t>
      </w:r>
      <w:r w:rsidRPr="00A35CF4">
        <w:rPr>
          <w:color w:val="000000"/>
          <w:shd w:val="clear" w:color="auto" w:fill="FFFFFF"/>
        </w:rPr>
        <w:t xml:space="preserve"> was to challenge the validity of the trust amendment to establish the pre-amendment trust should govern.</w:t>
      </w:r>
      <w:r w:rsidRPr="00A35CF4" w:rsidR="00B36C22">
        <w:rPr>
          <w:color w:val="000000"/>
          <w:shd w:val="clear" w:color="auto" w:fill="FFFFFF"/>
        </w:rPr>
        <w:t xml:space="preserve"> </w:t>
      </w:r>
      <w:r w:rsidRPr="00A35CF4">
        <w:rPr>
          <w:color w:val="000000"/>
          <w:shd w:val="clear" w:color="auto" w:fill="FFFFFF"/>
        </w:rPr>
        <w:t xml:space="preserve"> Each cause of action in the complaint, like the petition in </w:t>
      </w:r>
      <w:r w:rsidRPr="00A35CF4">
        <w:rPr>
          <w:i/>
          <w:iCs/>
          <w:color w:val="000000"/>
          <w:shd w:val="clear" w:color="auto" w:fill="FFFFFF"/>
        </w:rPr>
        <w:t>Stoker</w:t>
      </w:r>
      <w:r w:rsidRPr="00A35CF4">
        <w:rPr>
          <w:color w:val="000000"/>
          <w:shd w:val="clear" w:color="auto" w:fill="FFFFFF"/>
        </w:rPr>
        <w:t>, would require the trial court to determine the validity of the trust amendment.</w:t>
      </w:r>
      <w:r w:rsidRPr="00A35CF4" w:rsidR="00B36C22">
        <w:rPr>
          <w:color w:val="000000"/>
          <w:shd w:val="clear" w:color="auto" w:fill="FFFFFF"/>
        </w:rPr>
        <w:t xml:space="preserve"> </w:t>
      </w:r>
      <w:r w:rsidRPr="00A35CF4">
        <w:rPr>
          <w:color w:val="000000"/>
          <w:shd w:val="clear" w:color="auto" w:fill="FFFFFF"/>
        </w:rPr>
        <w:t xml:space="preserve"> </w:t>
      </w:r>
      <w:r w:rsidRPr="00A35CF4" w:rsidR="000C5238">
        <w:rPr>
          <w:color w:val="000000"/>
          <w:shd w:val="clear" w:color="auto" w:fill="FFFFFF"/>
        </w:rPr>
        <w:t xml:space="preserve">Although the prayer for relief does not expressly ask the court to invalidate the trust amendment, </w:t>
      </w:r>
      <w:r w:rsidRPr="00A35CF4">
        <w:rPr>
          <w:color w:val="000000"/>
          <w:shd w:val="clear" w:color="auto" w:fill="FFFFFF"/>
        </w:rPr>
        <w:t xml:space="preserve">without a finding that the trust amendment was invalid, </w:t>
      </w:r>
      <w:r w:rsidRPr="00A35CF4" w:rsidR="00C67291">
        <w:rPr>
          <w:color w:val="000000"/>
          <w:shd w:val="clear" w:color="auto" w:fill="FFFFFF"/>
        </w:rPr>
        <w:t>Dominic and Eric Jr.</w:t>
      </w:r>
      <w:r w:rsidRPr="00A35CF4">
        <w:rPr>
          <w:color w:val="000000"/>
          <w:shd w:val="clear" w:color="auto" w:fill="FFFFFF"/>
        </w:rPr>
        <w:t xml:space="preserve"> had no interest in the trust, and </w:t>
      </w:r>
      <w:r w:rsidRPr="00A35CF4" w:rsidR="002F7969">
        <w:rPr>
          <w:color w:val="000000"/>
          <w:shd w:val="clear" w:color="auto" w:fill="FFFFFF"/>
        </w:rPr>
        <w:t>were not</w:t>
      </w:r>
      <w:r w:rsidRPr="00A35CF4">
        <w:rPr>
          <w:color w:val="000000"/>
          <w:shd w:val="clear" w:color="auto" w:fill="FFFFFF"/>
        </w:rPr>
        <w:t xml:space="preserve"> entitled to the relief they sought.</w:t>
      </w:r>
      <w:r w:rsidRPr="00A35CF4" w:rsidR="00B36C22">
        <w:rPr>
          <w:color w:val="000000"/>
          <w:shd w:val="clear" w:color="auto" w:fill="FFFFFF"/>
        </w:rPr>
        <w:t xml:space="preserve"> </w:t>
      </w:r>
      <w:r w:rsidRPr="00A35CF4">
        <w:rPr>
          <w:color w:val="000000"/>
          <w:shd w:val="clear" w:color="auto" w:fill="FFFFFF"/>
        </w:rPr>
        <w:t xml:space="preserve"> We therefore</w:t>
      </w:r>
      <w:r>
        <w:rPr>
          <w:color w:val="000000"/>
          <w:shd w:val="clear" w:color="auto" w:fill="FFFFFF"/>
        </w:rPr>
        <w:t xml:space="preserve"> conclude </w:t>
      </w:r>
      <w:r w:rsidR="00C67291">
        <w:rPr>
          <w:color w:val="000000"/>
          <w:shd w:val="clear" w:color="auto" w:fill="FFFFFF"/>
        </w:rPr>
        <w:t>Dominic and Eric Jr.</w:t>
      </w:r>
      <w:r>
        <w:rPr>
          <w:color w:val="000000"/>
          <w:shd w:val="clear" w:color="auto" w:fill="FFFFFF"/>
        </w:rPr>
        <w:t>’</w:t>
      </w:r>
      <w:r w:rsidR="00C67291">
        <w:rPr>
          <w:color w:val="000000"/>
          <w:shd w:val="clear" w:color="auto" w:fill="FFFFFF"/>
        </w:rPr>
        <w:t>s</w:t>
      </w:r>
      <w:r>
        <w:rPr>
          <w:color w:val="000000"/>
          <w:shd w:val="clear" w:color="auto" w:fill="FFFFFF"/>
        </w:rPr>
        <w:t xml:space="preserve"> complaint was an </w:t>
      </w:r>
      <w:r w:rsidR="00F77739">
        <w:rPr>
          <w:color w:val="000000"/>
          <w:shd w:val="clear" w:color="auto" w:fill="FFFFFF"/>
        </w:rPr>
        <w:t>“</w:t>
      </w:r>
      <w:r>
        <w:rPr>
          <w:color w:val="000000"/>
          <w:shd w:val="clear" w:color="auto" w:fill="FFFFFF"/>
        </w:rPr>
        <w:t xml:space="preserve">action to contest the trust” pursuant to section 16061.8. </w:t>
      </w:r>
      <w:r w:rsidR="00B36C22">
        <w:rPr>
          <w:color w:val="000000"/>
          <w:shd w:val="clear" w:color="auto" w:fill="FFFFFF"/>
        </w:rPr>
        <w:t xml:space="preserve"> </w:t>
      </w:r>
      <w:r>
        <w:rPr>
          <w:color w:val="000000"/>
          <w:shd w:val="clear" w:color="auto" w:fill="FFFFFF"/>
        </w:rPr>
        <w:t xml:space="preserve">(See </w:t>
      </w:r>
      <w:r>
        <w:rPr>
          <w:i/>
          <w:iCs/>
        </w:rPr>
        <w:t xml:space="preserve">Carter v. Prime Healthcare Paradise Valley LLC </w:t>
      </w:r>
      <w:r>
        <w:t>(2011) 198 Cal.App.4th 396, 412 [</w:t>
      </w:r>
      <w:r>
        <w:rPr>
          <w:color w:val="000000"/>
          <w:shd w:val="clear" w:color="auto" w:fill="FFFFFF"/>
        </w:rPr>
        <w:t>to determine which statute of limitations governs a given cause of action</w:t>
      </w:r>
      <w:r w:rsidR="00B36C22">
        <w:rPr>
          <w:color w:val="000000"/>
          <w:shd w:val="clear" w:color="auto" w:fill="FFFFFF"/>
        </w:rPr>
        <w:t xml:space="preserve"> “</w:t>
      </w:r>
      <w:r>
        <w:rPr>
          <w:color w:val="000000"/>
          <w:shd w:val="clear" w:color="auto" w:fill="FFFFFF"/>
        </w:rPr>
        <w:t>[t]he nature of the cause of action and the primary right involved, not the form or label of the cause of action or the relief demanded, determine which statute of limitations applies”]</w:t>
      </w:r>
      <w:r w:rsidR="00B36C22">
        <w:rPr>
          <w:color w:val="000000"/>
          <w:shd w:val="clear" w:color="auto" w:fill="FFFFFF"/>
        </w:rPr>
        <w:t>.</w:t>
      </w:r>
      <w:r>
        <w:rPr>
          <w:color w:val="000000"/>
          <w:shd w:val="clear" w:color="auto" w:fill="FFFFFF"/>
        </w:rPr>
        <w:t xml:space="preserve">) </w:t>
      </w:r>
    </w:p>
    <w:bookmarkEnd w:id="1"/>
    <w:bookmarkEnd w:id="2"/>
    <w:p w:rsidR="0029477B" w:rsidRPr="00A35CF4" w:rsidP="00B36C22" w14:paraId="33BDA4A4" w14:textId="6349C7CA">
      <w:pPr>
        <w:spacing w:line="360" w:lineRule="auto"/>
        <w:ind w:firstLine="720"/>
        <w:rPr>
          <w:szCs w:val="26"/>
          <w:shd w:val="clear" w:color="auto" w:fill="FFFFFF"/>
        </w:rPr>
      </w:pPr>
      <w:r>
        <w:rPr>
          <w:szCs w:val="26"/>
          <w:shd w:val="clear" w:color="auto" w:fill="FFFFFF"/>
        </w:rPr>
        <w:t xml:space="preserve">Because </w:t>
      </w:r>
      <w:r w:rsidR="00D317B9">
        <w:rPr>
          <w:szCs w:val="26"/>
          <w:shd w:val="clear" w:color="auto" w:fill="FFFFFF"/>
        </w:rPr>
        <w:t xml:space="preserve">the </w:t>
      </w:r>
      <w:r>
        <w:rPr>
          <w:szCs w:val="26"/>
          <w:shd w:val="clear" w:color="auto" w:fill="FFFFFF"/>
        </w:rPr>
        <w:t>lawsuit</w:t>
      </w:r>
      <w:r w:rsidR="00D317B9">
        <w:rPr>
          <w:szCs w:val="26"/>
          <w:shd w:val="clear" w:color="auto" w:fill="FFFFFF"/>
        </w:rPr>
        <w:t xml:space="preserve"> was</w:t>
      </w:r>
      <w:r>
        <w:rPr>
          <w:szCs w:val="26"/>
          <w:shd w:val="clear" w:color="auto" w:fill="FFFFFF"/>
        </w:rPr>
        <w:t xml:space="preserve"> </w:t>
      </w:r>
      <w:r w:rsidR="00D317B9">
        <w:rPr>
          <w:szCs w:val="26"/>
          <w:shd w:val="clear" w:color="auto" w:fill="FFFFFF"/>
        </w:rPr>
        <w:t xml:space="preserve">filed </w:t>
      </w:r>
      <w:r>
        <w:rPr>
          <w:szCs w:val="26"/>
          <w:shd w:val="clear" w:color="auto" w:fill="FFFFFF"/>
        </w:rPr>
        <w:t xml:space="preserve">more than a year after </w:t>
      </w:r>
      <w:r w:rsidR="00C67291">
        <w:rPr>
          <w:szCs w:val="26"/>
          <w:shd w:val="clear" w:color="auto" w:fill="FFFFFF"/>
        </w:rPr>
        <w:t>LaDonna</w:t>
      </w:r>
      <w:r>
        <w:rPr>
          <w:szCs w:val="26"/>
          <w:shd w:val="clear" w:color="auto" w:fill="FFFFFF"/>
        </w:rPr>
        <w:t xml:space="preserve"> served </w:t>
      </w:r>
      <w:r w:rsidR="00C67291">
        <w:rPr>
          <w:szCs w:val="26"/>
          <w:shd w:val="clear" w:color="auto" w:fill="FFFFFF"/>
        </w:rPr>
        <w:t>Dominic and Eric Jr.</w:t>
      </w:r>
      <w:r w:rsidR="00F16AFB">
        <w:rPr>
          <w:szCs w:val="26"/>
          <w:shd w:val="clear" w:color="auto" w:fill="FFFFFF"/>
        </w:rPr>
        <w:t xml:space="preserve"> </w:t>
      </w:r>
      <w:r w:rsidR="009C766E">
        <w:rPr>
          <w:szCs w:val="26"/>
          <w:shd w:val="clear" w:color="auto" w:fill="FFFFFF"/>
        </w:rPr>
        <w:t xml:space="preserve">with </w:t>
      </w:r>
      <w:r>
        <w:rPr>
          <w:szCs w:val="26"/>
          <w:shd w:val="clear" w:color="auto" w:fill="FFFFFF"/>
        </w:rPr>
        <w:t>the notification, we conclude the complaint is time-</w:t>
      </w:r>
      <w:r w:rsidRPr="00A35CF4">
        <w:rPr>
          <w:szCs w:val="26"/>
          <w:shd w:val="clear" w:color="auto" w:fill="FFFFFF"/>
        </w:rPr>
        <w:t>barred under section 16061.8.</w:t>
      </w:r>
      <w:r>
        <w:rPr>
          <w:rStyle w:val="FootnoteReference"/>
          <w:b/>
          <w:bCs/>
          <w:color w:val="3D3D3D"/>
          <w:szCs w:val="26"/>
          <w:shd w:val="clear" w:color="auto" w:fill="FFFFFF"/>
        </w:rPr>
        <w:footnoteReference w:id="6"/>
      </w:r>
      <w:r w:rsidRPr="00A35CF4" w:rsidR="0059028F">
        <w:rPr>
          <w:szCs w:val="26"/>
          <w:shd w:val="clear" w:color="auto" w:fill="FFFFFF"/>
        </w:rPr>
        <w:t xml:space="preserve"> </w:t>
      </w:r>
      <w:r w:rsidRPr="00A35CF4" w:rsidR="00B36C22">
        <w:rPr>
          <w:szCs w:val="26"/>
          <w:shd w:val="clear" w:color="auto" w:fill="FFFFFF"/>
        </w:rPr>
        <w:t xml:space="preserve"> </w:t>
      </w:r>
      <w:r w:rsidRPr="00A35CF4">
        <w:rPr>
          <w:szCs w:val="26"/>
          <w:shd w:val="clear" w:color="auto" w:fill="FFFFFF"/>
        </w:rPr>
        <w:t xml:space="preserve">The trial court, therefore, properly sustained </w:t>
      </w:r>
      <w:r w:rsidRPr="00A35CF4" w:rsidR="00C67291">
        <w:rPr>
          <w:szCs w:val="26"/>
          <w:shd w:val="clear" w:color="auto" w:fill="FFFFFF"/>
        </w:rPr>
        <w:t>LaDonna</w:t>
      </w:r>
      <w:r w:rsidRPr="00A35CF4">
        <w:rPr>
          <w:szCs w:val="26"/>
          <w:shd w:val="clear" w:color="auto" w:fill="FFFFFF"/>
        </w:rPr>
        <w:t>’s demurrer</w:t>
      </w:r>
      <w:r w:rsidRPr="00A35CF4" w:rsidR="00D317B9">
        <w:rPr>
          <w:szCs w:val="26"/>
          <w:shd w:val="clear" w:color="auto" w:fill="FFFFFF"/>
        </w:rPr>
        <w:t xml:space="preserve"> without leave to amend</w:t>
      </w:r>
      <w:r w:rsidRPr="00A35CF4">
        <w:rPr>
          <w:color w:val="3D3D3D"/>
          <w:szCs w:val="26"/>
          <w:shd w:val="clear" w:color="auto" w:fill="FFFFFF"/>
        </w:rPr>
        <w:t xml:space="preserve">.  </w:t>
      </w:r>
    </w:p>
    <w:p w:rsidR="008B551A" w:rsidRPr="00A35CF4" w:rsidP="008B551A" w14:paraId="0566028C" w14:textId="7873A70D">
      <w:pPr>
        <w:spacing w:line="360" w:lineRule="auto"/>
        <w:ind w:firstLine="720"/>
        <w:rPr>
          <w:szCs w:val="26"/>
          <w:shd w:val="clear" w:color="auto" w:fill="FFFFFF"/>
        </w:rPr>
      </w:pPr>
      <w:bookmarkStart w:id="3" w:name="_Hlk151388504"/>
      <w:bookmarkStart w:id="4" w:name="_Hlk151544364"/>
      <w:r w:rsidRPr="00A35CF4">
        <w:rPr>
          <w:szCs w:val="26"/>
          <w:shd w:val="clear" w:color="auto" w:fill="FFFFFF"/>
        </w:rPr>
        <w:t>Dominic and Eric Jr. rely on inapposite authority to support the contention that the complaint is not an “action to contest the trust” under section 16061.8</w:t>
      </w:r>
      <w:bookmarkEnd w:id="3"/>
      <w:r w:rsidRPr="00A35CF4" w:rsidR="000F308F">
        <w:rPr>
          <w:szCs w:val="26"/>
          <w:shd w:val="clear" w:color="auto" w:fill="FFFFFF"/>
        </w:rPr>
        <w:t xml:space="preserve">.  </w:t>
      </w:r>
      <w:r w:rsidRPr="00A35CF4" w:rsidR="002A46BF">
        <w:rPr>
          <w:szCs w:val="26"/>
          <w:shd w:val="clear" w:color="auto" w:fill="FFFFFF"/>
        </w:rPr>
        <w:t>They</w:t>
      </w:r>
      <w:r w:rsidRPr="00A35CF4">
        <w:rPr>
          <w:szCs w:val="26"/>
          <w:shd w:val="clear" w:color="auto" w:fill="FFFFFF"/>
        </w:rPr>
        <w:t xml:space="preserve"> cite the definition of “direct contest” from an inapplicable section of the probate code (§ 21310, subd. (b))</w:t>
      </w:r>
      <w:r w:rsidR="00583FA3">
        <w:rPr>
          <w:szCs w:val="26"/>
          <w:shd w:val="clear" w:color="auto" w:fill="FFFFFF"/>
        </w:rPr>
        <w:t>.</w:t>
      </w:r>
      <w:r w:rsidRPr="00A35CF4">
        <w:rPr>
          <w:szCs w:val="26"/>
          <w:shd w:val="clear" w:color="auto" w:fill="FFFFFF"/>
        </w:rPr>
        <w:t xml:space="preserve">  Dominic and Eric Jr. argue their complaint is not a “direct contest” as defined in section 21310, and therefore</w:t>
      </w:r>
      <w:r w:rsidRPr="006760A6" w:rsidR="007369CE">
        <w:rPr>
          <w:szCs w:val="26"/>
          <w:shd w:val="clear" w:color="auto" w:fill="FFFFFF"/>
        </w:rPr>
        <w:t>,</w:t>
      </w:r>
      <w:r w:rsidRPr="00A35CF4">
        <w:rPr>
          <w:szCs w:val="26"/>
          <w:shd w:val="clear" w:color="auto" w:fill="FFFFFF"/>
        </w:rPr>
        <w:t xml:space="preserve"> it is also not an “action to contest the trust” under 16061.8. </w:t>
      </w:r>
      <w:bookmarkStart w:id="5" w:name="_Hlk152156579"/>
      <w:r w:rsidRPr="00A35CF4">
        <w:rPr>
          <w:szCs w:val="26"/>
          <w:shd w:val="clear" w:color="auto" w:fill="FFFFFF"/>
        </w:rPr>
        <w:t xml:space="preserve"> We are not persuaded.  Section 21310, subdivision (b) defines a “direct contest” as “a contest that alleges the invalidity of a protected instrument or one or more of its terms.”  Section 21310, subdivision (e) defines a “protected instrument” as “(1) [t]he instrument that contains the no contest clause” or “(2) [a]n instrument that is in existence on the date that the instrument containing the no contest clause is executed and is expressly identified in the no contest clause . . . as being governed by the no contest clause.”  Section 21310, subdivision (c) defines a no contest clause as “a provision in an otherwise valid instrument that, if enforced, would penalize a beneficiary for filing a pleading in any court.”  (§</w:t>
      </w:r>
      <w:r w:rsidRPr="00A35CF4" w:rsidR="000F308F">
        <w:rPr>
          <w:szCs w:val="26"/>
          <w:shd w:val="clear" w:color="auto" w:fill="FFFFFF"/>
        </w:rPr>
        <w:t> </w:t>
      </w:r>
      <w:r w:rsidRPr="00A35CF4">
        <w:rPr>
          <w:szCs w:val="26"/>
          <w:shd w:val="clear" w:color="auto" w:fill="FFFFFF"/>
        </w:rPr>
        <w:t xml:space="preserve">21310, subd. (c).)  The enforceability of a </w:t>
      </w:r>
      <w:r w:rsidRPr="00A35CF4" w:rsidR="0022222E">
        <w:rPr>
          <w:szCs w:val="26"/>
          <w:shd w:val="clear" w:color="auto" w:fill="FFFFFF"/>
        </w:rPr>
        <w:t xml:space="preserve">no contest </w:t>
      </w:r>
      <w:r w:rsidRPr="00A35CF4">
        <w:rPr>
          <w:szCs w:val="26"/>
          <w:shd w:val="clear" w:color="auto" w:fill="FFFFFF"/>
        </w:rPr>
        <w:t xml:space="preserve">clause is not an issue in Dominic and Eric Jr.’s complaint.  Therefore, section 21310’s “direct contest” definition has no bearing on whether section 16061.8 applies.  </w:t>
      </w:r>
      <w:bookmarkEnd w:id="5"/>
    </w:p>
    <w:p w:rsidR="00ED388A" w:rsidRPr="00A35CF4" w:rsidP="00B36C22" w14:paraId="706DA904" w14:textId="2F67050C">
      <w:pPr>
        <w:spacing w:line="360" w:lineRule="auto"/>
        <w:ind w:firstLine="720"/>
      </w:pPr>
      <w:r w:rsidRPr="00A35CF4">
        <w:rPr>
          <w:szCs w:val="26"/>
          <w:shd w:val="clear" w:color="auto" w:fill="FFFFFF"/>
        </w:rPr>
        <w:t>Dominic and Eric Jr.</w:t>
      </w:r>
      <w:r w:rsidRPr="00A35CF4" w:rsidR="00D5013A">
        <w:rPr>
          <w:szCs w:val="26"/>
          <w:shd w:val="clear" w:color="auto" w:fill="FFFFFF"/>
        </w:rPr>
        <w:t>’</w:t>
      </w:r>
      <w:r w:rsidRPr="00A35CF4">
        <w:rPr>
          <w:szCs w:val="26"/>
          <w:shd w:val="clear" w:color="auto" w:fill="FFFFFF"/>
        </w:rPr>
        <w:t>s</w:t>
      </w:r>
      <w:r w:rsidRPr="00A35CF4" w:rsidR="00D5013A">
        <w:rPr>
          <w:szCs w:val="26"/>
          <w:shd w:val="clear" w:color="auto" w:fill="FFFFFF"/>
        </w:rPr>
        <w:t xml:space="preserve"> reliance on </w:t>
      </w:r>
      <w:r w:rsidRPr="00A35CF4" w:rsidR="001774AB">
        <w:rPr>
          <w:i/>
          <w:iCs/>
          <w:szCs w:val="26"/>
          <w:shd w:val="clear" w:color="auto" w:fill="FFFFFF"/>
        </w:rPr>
        <w:t xml:space="preserve">Estate of Lewy </w:t>
      </w:r>
      <w:r w:rsidRPr="00A35CF4" w:rsidR="001774AB">
        <w:rPr>
          <w:szCs w:val="26"/>
          <w:shd w:val="clear" w:color="auto" w:fill="FFFFFF"/>
        </w:rPr>
        <w:t>(1974) 39 Cal.App.3d 729</w:t>
      </w:r>
      <w:r w:rsidRPr="00A35CF4" w:rsidR="00D5013A">
        <w:rPr>
          <w:szCs w:val="26"/>
          <w:shd w:val="clear" w:color="auto" w:fill="FFFFFF"/>
        </w:rPr>
        <w:t xml:space="preserve"> is similarly misplaced</w:t>
      </w:r>
      <w:r w:rsidR="00583FA3">
        <w:rPr>
          <w:szCs w:val="26"/>
          <w:shd w:val="clear" w:color="auto" w:fill="FFFFFF"/>
        </w:rPr>
        <w:t xml:space="preserve">.  </w:t>
      </w:r>
      <w:r w:rsidRPr="00A35CF4" w:rsidR="00D5013A">
        <w:rPr>
          <w:szCs w:val="26"/>
          <w:shd w:val="clear" w:color="auto" w:fill="FFFFFF"/>
        </w:rPr>
        <w:t xml:space="preserve">That case involved the interpretation of a </w:t>
      </w:r>
      <w:r w:rsidRPr="00A35CF4" w:rsidR="00DF79B3">
        <w:rPr>
          <w:szCs w:val="26"/>
          <w:shd w:val="clear" w:color="auto" w:fill="FFFFFF"/>
        </w:rPr>
        <w:t xml:space="preserve">will’s </w:t>
      </w:r>
      <w:r w:rsidRPr="00A35CF4" w:rsidR="00EE0611">
        <w:rPr>
          <w:szCs w:val="26"/>
          <w:shd w:val="clear" w:color="auto" w:fill="FFFFFF"/>
        </w:rPr>
        <w:t>no contest</w:t>
      </w:r>
      <w:r w:rsidRPr="00A35CF4" w:rsidR="00D5013A">
        <w:rPr>
          <w:szCs w:val="26"/>
          <w:shd w:val="clear" w:color="auto" w:fill="FFFFFF"/>
        </w:rPr>
        <w:t xml:space="preserve"> clause</w:t>
      </w:r>
      <w:r w:rsidRPr="00A35CF4">
        <w:rPr>
          <w:szCs w:val="26"/>
          <w:shd w:val="clear" w:color="auto" w:fill="FFFFFF"/>
        </w:rPr>
        <w:t xml:space="preserve"> </w:t>
      </w:r>
      <w:r w:rsidRPr="00A35CF4" w:rsidR="00DF79B3">
        <w:rPr>
          <w:szCs w:val="26"/>
          <w:shd w:val="clear" w:color="auto" w:fill="FFFFFF"/>
        </w:rPr>
        <w:t>and the</w:t>
      </w:r>
      <w:r w:rsidRPr="00A35CF4">
        <w:rPr>
          <w:szCs w:val="26"/>
          <w:shd w:val="clear" w:color="auto" w:fill="FFFFFF"/>
        </w:rPr>
        <w:t xml:space="preserve"> statutory scheme and case </w:t>
      </w:r>
      <w:r w:rsidRPr="00A35CF4" w:rsidR="00DF79B3">
        <w:rPr>
          <w:szCs w:val="26"/>
          <w:shd w:val="clear" w:color="auto" w:fill="FFFFFF"/>
        </w:rPr>
        <w:t xml:space="preserve">law governing </w:t>
      </w:r>
      <w:r w:rsidRPr="00A35CF4" w:rsidR="00EE0611">
        <w:rPr>
          <w:szCs w:val="26"/>
          <w:shd w:val="clear" w:color="auto" w:fill="FFFFFF"/>
        </w:rPr>
        <w:t>no contest</w:t>
      </w:r>
      <w:r w:rsidRPr="00A35CF4" w:rsidR="00DF79B3">
        <w:rPr>
          <w:szCs w:val="26"/>
          <w:shd w:val="clear" w:color="auto" w:fill="FFFFFF"/>
        </w:rPr>
        <w:t xml:space="preserve"> clauses</w:t>
      </w:r>
      <w:r w:rsidRPr="00A35CF4" w:rsidR="001774AB">
        <w:rPr>
          <w:szCs w:val="26"/>
          <w:shd w:val="clear" w:color="auto" w:fill="FFFFFF"/>
        </w:rPr>
        <w:t xml:space="preserve">.  </w:t>
      </w:r>
      <w:r w:rsidRPr="00A35CF4" w:rsidR="00DF79B3">
        <w:rPr>
          <w:szCs w:val="26"/>
          <w:shd w:val="clear" w:color="auto" w:fill="FFFFFF"/>
        </w:rPr>
        <w:t>(</w:t>
      </w:r>
      <w:r w:rsidRPr="00A35CF4" w:rsidR="00B36C22">
        <w:rPr>
          <w:i/>
          <w:iCs/>
          <w:szCs w:val="26"/>
          <w:shd w:val="clear" w:color="auto" w:fill="FFFFFF"/>
        </w:rPr>
        <w:t>Id</w:t>
      </w:r>
      <w:r w:rsidRPr="00A35CF4" w:rsidR="00B36C22">
        <w:rPr>
          <w:szCs w:val="26"/>
          <w:shd w:val="clear" w:color="auto" w:fill="FFFFFF"/>
        </w:rPr>
        <w:t>.</w:t>
      </w:r>
      <w:r w:rsidRPr="00A35CF4" w:rsidR="00DF79B3">
        <w:rPr>
          <w:szCs w:val="26"/>
          <w:shd w:val="clear" w:color="auto" w:fill="FFFFFF"/>
        </w:rPr>
        <w:t xml:space="preserve"> at pp. 733</w:t>
      </w:r>
      <w:r w:rsidRPr="00A35CF4" w:rsidR="00B36C22">
        <w:rPr>
          <w:szCs w:val="26"/>
          <w:shd w:val="clear" w:color="auto" w:fill="FFFFFF"/>
        </w:rPr>
        <w:t>–</w:t>
      </w:r>
      <w:r w:rsidRPr="00A35CF4" w:rsidR="00DF79B3">
        <w:rPr>
          <w:szCs w:val="26"/>
          <w:shd w:val="clear" w:color="auto" w:fill="FFFFFF"/>
        </w:rPr>
        <w:t xml:space="preserve">735.)  </w:t>
      </w:r>
      <w:r w:rsidRPr="00A35CF4" w:rsidR="00914792">
        <w:rPr>
          <w:szCs w:val="26"/>
          <w:shd w:val="clear" w:color="auto" w:fill="FFFFFF"/>
        </w:rPr>
        <w:t xml:space="preserve">We further note </w:t>
      </w:r>
      <w:r w:rsidRPr="00A35CF4" w:rsidR="00914792">
        <w:rPr>
          <w:i/>
          <w:iCs/>
          <w:szCs w:val="26"/>
          <w:shd w:val="clear" w:color="auto" w:fill="FFFFFF"/>
        </w:rPr>
        <w:t>Estate of Lewy</w:t>
      </w:r>
      <w:r w:rsidRPr="00A35CF4" w:rsidR="00914792">
        <w:rPr>
          <w:szCs w:val="26"/>
          <w:shd w:val="clear" w:color="auto" w:fill="FFFFFF"/>
        </w:rPr>
        <w:t xml:space="preserve"> predated the enactment of section 16061.8 by over two decades.  (</w:t>
      </w:r>
      <w:r w:rsidRPr="00A35CF4" w:rsidR="00914792">
        <w:t>Stats. 1997, ch. 724, §</w:t>
      </w:r>
      <w:r w:rsidRPr="00A35CF4" w:rsidR="000F308F">
        <w:t> </w:t>
      </w:r>
      <w:r w:rsidRPr="00A35CF4" w:rsidR="00914792">
        <w:t>24.)</w:t>
      </w:r>
      <w:r w:rsidRPr="00A35CF4" w:rsidR="00B36C22">
        <w:t xml:space="preserve"> </w:t>
      </w:r>
      <w:r w:rsidRPr="00A35CF4" w:rsidR="00914792">
        <w:t xml:space="preserve"> </w:t>
      </w:r>
      <w:r w:rsidRPr="00A35CF4">
        <w:rPr>
          <w:szCs w:val="26"/>
          <w:shd w:val="clear" w:color="auto" w:fill="FFFFFF"/>
        </w:rPr>
        <w:t xml:space="preserve">Because the decision does not address section 16061.8, it does not guide our analysis. </w:t>
      </w:r>
    </w:p>
    <w:p w:rsidR="00914792" w:rsidRPr="00A35CF4" w:rsidP="00B36C22" w14:paraId="79E355D5" w14:textId="77777777">
      <w:pPr>
        <w:spacing w:line="360" w:lineRule="auto"/>
        <w:ind w:firstLine="720"/>
        <w:rPr>
          <w:szCs w:val="26"/>
          <w:shd w:val="clear" w:color="auto" w:fill="FFFFFF"/>
        </w:rPr>
      </w:pPr>
    </w:p>
    <w:bookmarkEnd w:id="4"/>
    <w:p w:rsidR="00057EB8" w:rsidRPr="00A35CF4" w:rsidP="00B36C22" w14:paraId="7A485DDC" w14:textId="77777777">
      <w:pPr>
        <w:pStyle w:val="ListParagraph"/>
        <w:keepNext/>
        <w:numPr>
          <w:ilvl w:val="0"/>
          <w:numId w:val="1"/>
        </w:numPr>
        <w:spacing w:line="360" w:lineRule="auto"/>
        <w:contextualSpacing w:val="0"/>
        <w:rPr>
          <w:i/>
          <w:iCs/>
        </w:rPr>
      </w:pPr>
      <w:r w:rsidRPr="00A35CF4">
        <w:rPr>
          <w:i/>
          <w:iCs/>
        </w:rPr>
        <w:t>Leave to Amend</w:t>
      </w:r>
    </w:p>
    <w:p w:rsidR="003C3FA4" w:rsidRPr="00A35CF4" w:rsidP="00B36C22" w14:paraId="6A5A07FF" w14:textId="0F1DDAC5">
      <w:pPr>
        <w:spacing w:line="360" w:lineRule="auto"/>
        <w:ind w:firstLine="720"/>
      </w:pPr>
      <w:r w:rsidRPr="00A35CF4">
        <w:t>Dominic and Eric Jr.</w:t>
      </w:r>
      <w:r w:rsidRPr="00A35CF4" w:rsidR="002F1E7C">
        <w:t xml:space="preserve"> </w:t>
      </w:r>
      <w:r w:rsidRPr="00A35CF4" w:rsidR="00F843AE">
        <w:t>have failed to demonstrate</w:t>
      </w:r>
      <w:r w:rsidRPr="00A35CF4" w:rsidR="00F16AFB">
        <w:t xml:space="preserve"> </w:t>
      </w:r>
      <w:r w:rsidRPr="00A35CF4" w:rsidR="002F1E7C">
        <w:t>that an</w:t>
      </w:r>
      <w:r w:rsidRPr="00A35CF4" w:rsidR="00EF66A3">
        <w:t>y</w:t>
      </w:r>
      <w:r w:rsidRPr="00A35CF4" w:rsidR="00546DE1">
        <w:t xml:space="preserve"> </w:t>
      </w:r>
      <w:r w:rsidRPr="00A35CF4" w:rsidR="002F1E7C">
        <w:t>amendment could cure the defects alleged in the complaint.  Therefore, we conclude the trial court did not abuse its discretion in sustaining the demurrer without leave to amend.  (</w:t>
      </w:r>
      <w:r w:rsidRPr="00A35CF4" w:rsidR="002F1E7C">
        <w:rPr>
          <w:i/>
          <w:iCs/>
        </w:rPr>
        <w:t>Rakestraw v. California Physicians’ Service</w:t>
      </w:r>
      <w:r w:rsidRPr="00A35CF4" w:rsidR="002F1E7C">
        <w:t xml:space="preserve"> (2000) 81 Cal.App.4th 39, 43</w:t>
      </w:r>
      <w:r w:rsidRPr="00A35CF4" w:rsidR="00C81CE2">
        <w:t>–</w:t>
      </w:r>
      <w:r w:rsidRPr="00A35CF4" w:rsidR="002F1E7C">
        <w:t xml:space="preserve">44; </w:t>
      </w:r>
      <w:r w:rsidRPr="00A35CF4" w:rsidR="002F1E7C">
        <w:rPr>
          <w:i/>
          <w:iCs/>
        </w:rPr>
        <w:t>Blank, supra</w:t>
      </w:r>
      <w:r w:rsidRPr="00A35CF4" w:rsidR="002F1E7C">
        <w:t xml:space="preserve">, 39 Cal.3d at p. 318.)  </w:t>
      </w:r>
    </w:p>
    <w:p w:rsidR="002F1E7C" w:rsidP="000F308F" w14:paraId="541E7B60" w14:textId="209A4801">
      <w:pPr>
        <w:spacing w:after="160" w:line="259" w:lineRule="auto"/>
        <w:jc w:val="center"/>
      </w:pPr>
      <w:r>
        <w:t>//</w:t>
      </w:r>
    </w:p>
    <w:p w:rsidR="00583FA3" w:rsidP="000F308F" w14:paraId="43D8DCA7" w14:textId="1077D9D9">
      <w:pPr>
        <w:spacing w:after="160" w:line="259" w:lineRule="auto"/>
        <w:jc w:val="center"/>
      </w:pPr>
      <w:r>
        <w:t>//</w:t>
      </w:r>
    </w:p>
    <w:p w:rsidR="00583FA3" w:rsidP="000F308F" w14:paraId="1B99BFFA" w14:textId="028E9114">
      <w:pPr>
        <w:spacing w:after="160" w:line="259" w:lineRule="auto"/>
        <w:jc w:val="center"/>
      </w:pPr>
      <w:r>
        <w:t>//</w:t>
      </w:r>
    </w:p>
    <w:p w:rsidR="00C120FA" w:rsidP="007F03C1" w14:paraId="2F0420A3" w14:textId="77777777">
      <w:pPr>
        <w:keepNext/>
        <w:spacing w:line="360" w:lineRule="auto"/>
        <w:jc w:val="center"/>
        <w:rPr>
          <w:b/>
          <w:bCs/>
        </w:rPr>
      </w:pPr>
      <w:r w:rsidRPr="00A35CF4">
        <w:rPr>
          <w:b/>
          <w:bCs/>
        </w:rPr>
        <w:t>DISPOSITION</w:t>
      </w:r>
    </w:p>
    <w:p w:rsidR="00756F47" w:rsidP="00B36C22" w14:paraId="43E675DC" w14:textId="313EDB12">
      <w:pPr>
        <w:spacing w:line="360" w:lineRule="auto"/>
        <w:ind w:firstLine="720"/>
      </w:pPr>
      <w:r>
        <w:t>Treating the order sustaining the demurrer as a judgment of dismissal, we affirm.</w:t>
      </w:r>
      <w:r w:rsidR="00C120FA">
        <w:t xml:space="preserve"> </w:t>
      </w:r>
      <w:r>
        <w:t xml:space="preserve"> </w:t>
      </w:r>
      <w:r w:rsidRPr="00AD2749" w:rsidR="00C120FA">
        <w:t>As no respondent’s brief was filed, no costs are awarded on appeal to either party.  (Cal. Rules of Court, rule 8.278(a)(5).)</w:t>
      </w:r>
      <w:r w:rsidR="00EB2795">
        <w:t xml:space="preserve">  </w:t>
      </w:r>
    </w:p>
    <w:p w:rsidR="006E1395" w:rsidP="000F308F" w14:paraId="61CAE225" w14:textId="77777777">
      <w:pPr>
        <w:spacing w:line="360" w:lineRule="auto"/>
        <w:rPr>
          <w:b/>
          <w:bCs/>
          <w:caps/>
        </w:rPr>
      </w:pPr>
      <w:r w:rsidRPr="003538D1">
        <w:rPr>
          <w:b/>
          <w:bCs/>
          <w:caps/>
        </w:rPr>
        <w:tab/>
      </w:r>
      <w:r>
        <w:rPr>
          <w:b/>
          <w:bCs/>
          <w:caps/>
        </w:rPr>
        <w:t>CERTIFIED for PUBLICATION</w:t>
      </w:r>
    </w:p>
    <w:p w:rsidR="000F308F" w:rsidRPr="003538D1" w:rsidP="000F308F" w14:paraId="62F62597" w14:textId="77777777">
      <w:pPr>
        <w:spacing w:line="240" w:lineRule="auto"/>
      </w:pPr>
    </w:p>
    <w:p w:rsidR="000F308F" w:rsidRPr="003538D1" w:rsidP="000F308F" w14:paraId="180D0745" w14:textId="77777777">
      <w:pPr>
        <w:spacing w:line="240" w:lineRule="auto"/>
      </w:pPr>
    </w:p>
    <w:p w:rsidR="000F308F" w:rsidRPr="003538D1" w:rsidP="000F308F" w14:paraId="46DCADBE" w14:textId="77777777">
      <w:pPr>
        <w:spacing w:line="240" w:lineRule="auto"/>
      </w:pPr>
    </w:p>
    <w:p w:rsidR="000F308F" w:rsidRPr="003538D1" w:rsidP="000F308F" w14:paraId="1B023D66" w14:textId="77777777">
      <w:pPr>
        <w:spacing w:line="240" w:lineRule="auto"/>
      </w:pPr>
      <w:r w:rsidRPr="003538D1">
        <w:tab/>
      </w:r>
      <w:r w:rsidRPr="003538D1">
        <w:tab/>
      </w:r>
      <w:r w:rsidRPr="003538D1">
        <w:tab/>
      </w:r>
      <w:r w:rsidRPr="003538D1">
        <w:tab/>
      </w:r>
      <w:r w:rsidRPr="003538D1">
        <w:tab/>
      </w:r>
      <w:r w:rsidRPr="003538D1">
        <w:tab/>
      </w:r>
      <w:r w:rsidRPr="003538D1">
        <w:tab/>
      </w:r>
      <w:r>
        <w:t>ZUKIN</w:t>
      </w:r>
      <w:r w:rsidRPr="003538D1">
        <w:t>, J.</w:t>
      </w:r>
    </w:p>
    <w:p w:rsidR="000F308F" w:rsidRPr="003538D1" w:rsidP="000F308F" w14:paraId="3FFA30B2" w14:textId="77777777">
      <w:pPr>
        <w:spacing w:line="240" w:lineRule="auto"/>
      </w:pPr>
    </w:p>
    <w:p w:rsidR="000F308F" w:rsidRPr="00B6624B" w:rsidP="000F308F" w14:paraId="7C2AF0CE" w14:textId="77777777">
      <w:pPr>
        <w:spacing w:line="240" w:lineRule="auto"/>
        <w:rPr>
          <w:caps/>
        </w:rPr>
      </w:pPr>
      <w:r w:rsidRPr="00B6624B">
        <w:rPr>
          <w:caps/>
        </w:rPr>
        <w:tab/>
        <w:t>We concur:</w:t>
      </w:r>
    </w:p>
    <w:p w:rsidR="000F308F" w:rsidRPr="003538D1" w:rsidP="000F308F" w14:paraId="16650E5E" w14:textId="77777777">
      <w:pPr>
        <w:spacing w:line="240" w:lineRule="auto"/>
      </w:pPr>
    </w:p>
    <w:p w:rsidR="000F308F" w:rsidP="000F308F" w14:paraId="3DE4E59E" w14:textId="77777777">
      <w:pPr>
        <w:spacing w:line="240" w:lineRule="auto"/>
      </w:pPr>
    </w:p>
    <w:p w:rsidR="000F308F" w:rsidRPr="003538D1" w:rsidP="000F308F" w14:paraId="1149C474" w14:textId="77777777">
      <w:pPr>
        <w:spacing w:line="240" w:lineRule="auto"/>
      </w:pPr>
    </w:p>
    <w:p w:rsidR="000F308F" w:rsidP="000F308F" w14:paraId="560258C0" w14:textId="77777777">
      <w:pPr>
        <w:spacing w:line="240" w:lineRule="auto"/>
      </w:pPr>
      <w:r w:rsidRPr="003538D1">
        <w:tab/>
        <w:t>C</w:t>
      </w:r>
      <w:r>
        <w:t>URREY</w:t>
      </w:r>
      <w:r w:rsidRPr="003538D1">
        <w:t>, P. J.</w:t>
      </w:r>
    </w:p>
    <w:p w:rsidR="000F308F" w:rsidP="000F308F" w14:paraId="3313A9F3" w14:textId="77777777">
      <w:pPr>
        <w:spacing w:line="240" w:lineRule="auto"/>
      </w:pPr>
    </w:p>
    <w:p w:rsidR="000F308F" w:rsidP="000F308F" w14:paraId="146B8DD8" w14:textId="77777777">
      <w:pPr>
        <w:spacing w:line="240" w:lineRule="auto"/>
      </w:pPr>
    </w:p>
    <w:p w:rsidR="000F308F" w:rsidP="000F308F" w14:paraId="7D2D64A4" w14:textId="77777777">
      <w:pPr>
        <w:spacing w:line="240" w:lineRule="auto"/>
      </w:pPr>
    </w:p>
    <w:p w:rsidR="000F308F" w:rsidRPr="00486475" w:rsidP="000F308F" w14:paraId="517AEB3A" w14:textId="77777777">
      <w:pPr>
        <w:spacing w:line="240" w:lineRule="auto"/>
      </w:pPr>
      <w:r>
        <w:tab/>
        <w:t>COLLINS</w:t>
      </w:r>
      <w:r w:rsidRPr="003538D1">
        <w:t>, J.</w:t>
      </w:r>
    </w:p>
    <w:sectPr w:rsidSect="000F308F">
      <w:footerReference w:type="even"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41F" w:rsidP="00122BD8" w14:paraId="61EA5AA9"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A84928">
      <w:rPr>
        <w:rStyle w:val="PageNumber"/>
      </w:rPr>
      <w:fldChar w:fldCharType="separate"/>
    </w:r>
    <w:r>
      <w:rPr>
        <w:rStyle w:val="PageNumber"/>
      </w:rPr>
      <w:fldChar w:fldCharType="end"/>
    </w:r>
  </w:p>
  <w:p w:rsidR="0039241F" w14:paraId="1D2EE2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41F" w:rsidP="00122BD8" w14:paraId="76A4EAD8" w14:textId="4377E7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9241F" w14:paraId="04AA59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53FA" w:rsidP="0039241F" w14:paraId="5530D707" w14:textId="77777777">
      <w:pPr>
        <w:spacing w:line="240" w:lineRule="auto"/>
      </w:pPr>
      <w:r>
        <w:separator/>
      </w:r>
    </w:p>
  </w:footnote>
  <w:footnote w:type="continuationSeparator" w:id="1">
    <w:p w:rsidR="00FD53FA" w:rsidP="0039241F" w14:paraId="5C038B64" w14:textId="77777777">
      <w:pPr>
        <w:spacing w:line="240" w:lineRule="auto"/>
      </w:pPr>
      <w:r>
        <w:continuationSeparator/>
      </w:r>
    </w:p>
  </w:footnote>
  <w:footnote w:id="2">
    <w:p w:rsidR="004E0931" w14:paraId="7F7E1A41" w14:textId="60EE095E">
      <w:pPr>
        <w:pStyle w:val="FootnoteText"/>
      </w:pPr>
      <w:r w:rsidRPr="00B36C22">
        <w:rPr>
          <w:rStyle w:val="FootnoteReference"/>
          <w:b/>
          <w:bCs/>
        </w:rPr>
        <w:footnoteRef/>
      </w:r>
      <w:r>
        <w:rPr>
          <w:sz w:val="26"/>
          <w:szCs w:val="26"/>
        </w:rPr>
        <w:t xml:space="preserve"> </w:t>
      </w:r>
      <w:r>
        <w:rPr>
          <w:sz w:val="26"/>
          <w:szCs w:val="26"/>
        </w:rPr>
        <w:tab/>
      </w:r>
      <w:r w:rsidRPr="004E0931">
        <w:rPr>
          <w:sz w:val="26"/>
          <w:szCs w:val="26"/>
        </w:rPr>
        <w:t>All unspecified statutory references are to the Probate Code.</w:t>
      </w:r>
    </w:p>
  </w:footnote>
  <w:footnote w:id="3">
    <w:p w:rsidR="005A1375" w:rsidRPr="00F511A1" w:rsidP="005A1375" w14:paraId="50609827" w14:textId="1B264DA7">
      <w:pPr>
        <w:pStyle w:val="FootnoteText"/>
        <w:rPr>
          <w:sz w:val="26"/>
          <w:szCs w:val="26"/>
        </w:rPr>
      </w:pPr>
      <w:r w:rsidRPr="00B36C22">
        <w:rPr>
          <w:rStyle w:val="FootnoteReference"/>
          <w:b/>
          <w:bCs/>
          <w:szCs w:val="26"/>
        </w:rPr>
        <w:footnoteRef/>
      </w:r>
      <w:r w:rsidRPr="00F511A1">
        <w:rPr>
          <w:sz w:val="26"/>
          <w:szCs w:val="26"/>
        </w:rPr>
        <w:t xml:space="preserve"> </w:t>
      </w:r>
      <w:r w:rsidRPr="00F511A1">
        <w:rPr>
          <w:sz w:val="26"/>
          <w:szCs w:val="26"/>
        </w:rPr>
        <w:tab/>
      </w:r>
      <w:r w:rsidR="00C67291">
        <w:rPr>
          <w:sz w:val="26"/>
          <w:szCs w:val="26"/>
        </w:rPr>
        <w:t>LaDonna</w:t>
      </w:r>
      <w:r w:rsidRPr="00C06FEA">
        <w:rPr>
          <w:sz w:val="26"/>
          <w:szCs w:val="26"/>
        </w:rPr>
        <w:t xml:space="preserve"> supported her demurrer with a request for judicial notice of, among other documents, the April 17, 2020 notification and proof of service, filed in the probate proceedings</w:t>
      </w:r>
      <w:r w:rsidR="00583FA3">
        <w:rPr>
          <w:sz w:val="26"/>
          <w:szCs w:val="26"/>
        </w:rPr>
        <w:t xml:space="preserve">.  </w:t>
      </w:r>
      <w:r w:rsidRPr="00C06FEA">
        <w:rPr>
          <w:sz w:val="26"/>
          <w:szCs w:val="26"/>
        </w:rPr>
        <w:t xml:space="preserve">It does not appear from the record that the court expressly granted </w:t>
      </w:r>
      <w:r w:rsidR="00C67291">
        <w:rPr>
          <w:sz w:val="26"/>
          <w:szCs w:val="26"/>
        </w:rPr>
        <w:t>LaDonna</w:t>
      </w:r>
      <w:r w:rsidRPr="00C06FEA">
        <w:rPr>
          <w:sz w:val="26"/>
          <w:szCs w:val="26"/>
        </w:rPr>
        <w:t>’s request for judicial notice.  However, the court’s reference at the demurrer hearing to the notification and prior probate proceedings imply</w:t>
      </w:r>
      <w:r w:rsidRPr="00F511A1">
        <w:rPr>
          <w:sz w:val="26"/>
          <w:szCs w:val="26"/>
        </w:rPr>
        <w:t xml:space="preserve"> the request was granted.  (See </w:t>
      </w:r>
      <w:r w:rsidRPr="00F511A1">
        <w:rPr>
          <w:i/>
          <w:iCs/>
          <w:sz w:val="26"/>
          <w:szCs w:val="26"/>
        </w:rPr>
        <w:t>Aghaian v. Minassian</w:t>
      </w:r>
      <w:r w:rsidRPr="00F511A1">
        <w:rPr>
          <w:sz w:val="26"/>
          <w:szCs w:val="26"/>
        </w:rPr>
        <w:t xml:space="preserve"> (2020) 59 Cal.App.5th 447, 454</w:t>
      </w:r>
      <w:r>
        <w:rPr>
          <w:sz w:val="26"/>
          <w:szCs w:val="26"/>
        </w:rPr>
        <w:t>,</w:t>
      </w:r>
      <w:r w:rsidRPr="00F511A1">
        <w:rPr>
          <w:sz w:val="26"/>
          <w:szCs w:val="26"/>
        </w:rPr>
        <w:t xml:space="preserve"> fn. 6.)</w:t>
      </w:r>
    </w:p>
  </w:footnote>
  <w:footnote w:id="4">
    <w:p w:rsidR="00874692" w:rsidP="00874692" w14:paraId="5F1B506C" w14:textId="20E6AFAE">
      <w:pPr>
        <w:pStyle w:val="FootnoteText"/>
        <w:rPr>
          <w:sz w:val="26"/>
          <w:szCs w:val="26"/>
        </w:rPr>
      </w:pPr>
      <w:r w:rsidRPr="001A21D0">
        <w:rPr>
          <w:rStyle w:val="FootnoteReference"/>
          <w:b/>
          <w:bCs/>
        </w:rPr>
        <w:footnoteRef/>
      </w:r>
      <w:r>
        <w:t xml:space="preserve"> </w:t>
      </w:r>
      <w:r>
        <w:tab/>
      </w:r>
      <w:r w:rsidRPr="008B551A" w:rsidR="00C67291">
        <w:rPr>
          <w:sz w:val="26"/>
          <w:szCs w:val="26"/>
        </w:rPr>
        <w:t>LaDonna</w:t>
      </w:r>
      <w:r w:rsidRPr="008B551A">
        <w:rPr>
          <w:sz w:val="26"/>
          <w:szCs w:val="26"/>
        </w:rPr>
        <w:t xml:space="preserve"> did not file a respondent’s brief.</w:t>
      </w:r>
    </w:p>
    <w:p w:rsidR="007F03C1" w:rsidRPr="008B551A" w:rsidP="00874692" w14:paraId="37FB9D1E" w14:textId="77777777">
      <w:pPr>
        <w:pStyle w:val="FootnoteText"/>
      </w:pPr>
    </w:p>
  </w:footnote>
  <w:footnote w:id="5">
    <w:p w:rsidR="00E02F29" w:rsidRPr="00E02F29" w:rsidP="00E02F29" w14:paraId="36468706" w14:textId="78BCFF94">
      <w:pPr>
        <w:pStyle w:val="FootnoteText"/>
        <w:rPr>
          <w:sz w:val="26"/>
          <w:szCs w:val="26"/>
        </w:rPr>
      </w:pPr>
      <w:r w:rsidRPr="002C39CA">
        <w:rPr>
          <w:rStyle w:val="FootnoteReference"/>
          <w:b/>
          <w:bCs/>
        </w:rPr>
        <w:footnoteRef/>
      </w:r>
      <w:r w:rsidRPr="002C39CA">
        <w:t xml:space="preserve"> </w:t>
      </w:r>
      <w:r w:rsidRPr="002C39CA">
        <w:tab/>
      </w:r>
      <w:r w:rsidRPr="002C39CA" w:rsidR="008B551A">
        <w:rPr>
          <w:sz w:val="26"/>
          <w:szCs w:val="26"/>
        </w:rPr>
        <w:t>“Un</w:t>
      </w:r>
      <w:r w:rsidRPr="002C39CA">
        <w:rPr>
          <w:sz w:val="26"/>
          <w:szCs w:val="26"/>
        </w:rPr>
        <w:t xml:space="preserve">less the provision or context otherwise requires, the definitions in </w:t>
      </w:r>
      <w:r w:rsidRPr="002C39CA" w:rsidR="008B551A">
        <w:rPr>
          <w:sz w:val="26"/>
          <w:szCs w:val="26"/>
        </w:rPr>
        <w:t>[section 82]</w:t>
      </w:r>
      <w:r w:rsidRPr="002C39CA">
        <w:rPr>
          <w:sz w:val="26"/>
          <w:szCs w:val="26"/>
        </w:rPr>
        <w:t xml:space="preserve"> govern the construction of this code.”  </w:t>
      </w:r>
      <w:r w:rsidRPr="002C39CA" w:rsidR="000C5238">
        <w:rPr>
          <w:sz w:val="26"/>
          <w:szCs w:val="26"/>
        </w:rPr>
        <w:t>(</w:t>
      </w:r>
      <w:r w:rsidRPr="002C39CA" w:rsidR="008B551A">
        <w:rPr>
          <w:sz w:val="26"/>
          <w:szCs w:val="26"/>
        </w:rPr>
        <w:t>See §</w:t>
      </w:r>
      <w:r w:rsidRPr="002C39CA" w:rsidR="000F308F">
        <w:rPr>
          <w:sz w:val="26"/>
          <w:szCs w:val="26"/>
        </w:rPr>
        <w:t> </w:t>
      </w:r>
      <w:r w:rsidRPr="002C39CA" w:rsidR="008B551A">
        <w:rPr>
          <w:sz w:val="26"/>
          <w:szCs w:val="26"/>
        </w:rPr>
        <w:t xml:space="preserve">20; </w:t>
      </w:r>
      <w:r w:rsidRPr="002C39CA" w:rsidR="008B551A">
        <w:rPr>
          <w:i/>
          <w:iCs/>
          <w:sz w:val="26"/>
          <w:szCs w:val="26"/>
        </w:rPr>
        <w:t xml:space="preserve">id. </w:t>
      </w:r>
      <w:r w:rsidRPr="002C39CA" w:rsidR="008B551A">
        <w:rPr>
          <w:sz w:val="26"/>
          <w:szCs w:val="26"/>
        </w:rPr>
        <w:t>at §</w:t>
      </w:r>
      <w:r w:rsidRPr="002C39CA" w:rsidR="000F308F">
        <w:rPr>
          <w:sz w:val="26"/>
          <w:szCs w:val="26"/>
        </w:rPr>
        <w:t> </w:t>
      </w:r>
      <w:r w:rsidRPr="002C39CA" w:rsidR="008B551A">
        <w:rPr>
          <w:sz w:val="26"/>
          <w:szCs w:val="26"/>
        </w:rPr>
        <w:t>82</w:t>
      </w:r>
      <w:r w:rsidRPr="002C39CA" w:rsidR="000C5238">
        <w:rPr>
          <w:sz w:val="26"/>
          <w:szCs w:val="26"/>
        </w:rPr>
        <w:t xml:space="preserve">.)  </w:t>
      </w:r>
      <w:r w:rsidRPr="002C39CA" w:rsidR="006A3BAB">
        <w:rPr>
          <w:sz w:val="26"/>
          <w:szCs w:val="26"/>
        </w:rPr>
        <w:t>Neither section 16061.7 nor</w:t>
      </w:r>
      <w:r w:rsidRPr="002C39CA">
        <w:rPr>
          <w:sz w:val="26"/>
          <w:szCs w:val="26"/>
        </w:rPr>
        <w:t xml:space="preserve"> 16061.8 </w:t>
      </w:r>
      <w:r w:rsidRPr="002C39CA" w:rsidR="006A3BAB">
        <w:rPr>
          <w:sz w:val="26"/>
          <w:szCs w:val="26"/>
        </w:rPr>
        <w:t>contain a different definition of trust.</w:t>
      </w:r>
      <w:r w:rsidR="006A3BAB">
        <w:rPr>
          <w:sz w:val="26"/>
          <w:szCs w:val="26"/>
        </w:rPr>
        <w:t xml:space="preserve">  </w:t>
      </w:r>
    </w:p>
  </w:footnote>
  <w:footnote w:id="6">
    <w:p w:rsidR="0059028F" w:rsidRPr="00DF79B3" w:rsidP="0059028F" w14:paraId="662F3C8C" w14:textId="2A013F7A">
      <w:pPr>
        <w:spacing w:line="240" w:lineRule="auto"/>
        <w:rPr>
          <w:color w:val="3D3D3D"/>
          <w:szCs w:val="26"/>
          <w:shd w:val="clear" w:color="auto" w:fill="FFFFFF"/>
        </w:rPr>
      </w:pPr>
      <w:r w:rsidRPr="001B4E36">
        <w:rPr>
          <w:rStyle w:val="FootnoteReference"/>
          <w:b/>
          <w:bCs/>
        </w:rPr>
        <w:footnoteRef/>
      </w:r>
      <w:r w:rsidRPr="0059028F">
        <w:t xml:space="preserve"> </w:t>
      </w:r>
      <w:r w:rsidRPr="0059028F">
        <w:tab/>
      </w:r>
      <w:r w:rsidRPr="0059028F">
        <w:rPr>
          <w:szCs w:val="26"/>
          <w:shd w:val="clear" w:color="auto" w:fill="FFFFFF"/>
        </w:rPr>
        <w:t xml:space="preserve">We note </w:t>
      </w:r>
      <w:r w:rsidR="00BD27F3">
        <w:rPr>
          <w:szCs w:val="26"/>
          <w:shd w:val="clear" w:color="auto" w:fill="FFFFFF"/>
        </w:rPr>
        <w:t>Dominic and Eric Jr.</w:t>
      </w:r>
      <w:r w:rsidRPr="0059028F">
        <w:rPr>
          <w:szCs w:val="26"/>
          <w:shd w:val="clear" w:color="auto" w:fill="FFFFFF"/>
        </w:rPr>
        <w:t xml:space="preserve"> do not dispute that they filed the complaint more than 120 days after service of the notification.  </w:t>
      </w:r>
      <w:r w:rsidR="00FD6AAD">
        <w:rPr>
          <w:szCs w:val="26"/>
          <w:shd w:val="clear" w:color="auto" w:fill="FFFFFF"/>
        </w:rPr>
        <w:t>(§</w:t>
      </w:r>
      <w:r w:rsidR="000F308F">
        <w:rPr>
          <w:szCs w:val="26"/>
          <w:shd w:val="clear" w:color="auto" w:fill="FFFFFF"/>
        </w:rPr>
        <w:t> </w:t>
      </w:r>
      <w:r w:rsidR="00FD6AAD">
        <w:rPr>
          <w:szCs w:val="26"/>
          <w:shd w:val="clear" w:color="auto" w:fill="FFFFFF"/>
        </w:rPr>
        <w:t xml:space="preserve">16061.7.)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FB0179"/>
    <w:multiLevelType w:val="hybridMultilevel"/>
    <w:tmpl w:val="A79209AA"/>
    <w:lvl w:ilvl="0">
      <w:start w:val="1"/>
      <w:numFmt w:val="upperLetter"/>
      <w:lvlText w:val="%1."/>
      <w:lvlJc w:val="lef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45F21C8"/>
    <w:multiLevelType w:val="hybridMultilevel"/>
    <w:tmpl w:val="D8F4919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1F"/>
    <w:rsid w:val="00002793"/>
    <w:rsid w:val="000031DF"/>
    <w:rsid w:val="00003258"/>
    <w:rsid w:val="00003B6E"/>
    <w:rsid w:val="0000497C"/>
    <w:rsid w:val="00007D0C"/>
    <w:rsid w:val="00017B71"/>
    <w:rsid w:val="00024AA5"/>
    <w:rsid w:val="000257F7"/>
    <w:rsid w:val="00026099"/>
    <w:rsid w:val="00027C2B"/>
    <w:rsid w:val="00034111"/>
    <w:rsid w:val="00050DEC"/>
    <w:rsid w:val="00055A5E"/>
    <w:rsid w:val="00057EB8"/>
    <w:rsid w:val="00067E40"/>
    <w:rsid w:val="00070B27"/>
    <w:rsid w:val="00084970"/>
    <w:rsid w:val="00090430"/>
    <w:rsid w:val="000920EF"/>
    <w:rsid w:val="000960CC"/>
    <w:rsid w:val="000A20DB"/>
    <w:rsid w:val="000A65C2"/>
    <w:rsid w:val="000A6D06"/>
    <w:rsid w:val="000C0C27"/>
    <w:rsid w:val="000C0F8B"/>
    <w:rsid w:val="000C4BE1"/>
    <w:rsid w:val="000C5238"/>
    <w:rsid w:val="000D0227"/>
    <w:rsid w:val="000D0929"/>
    <w:rsid w:val="000E002A"/>
    <w:rsid w:val="000E01C6"/>
    <w:rsid w:val="000E305F"/>
    <w:rsid w:val="000E523C"/>
    <w:rsid w:val="000F308F"/>
    <w:rsid w:val="000F5188"/>
    <w:rsid w:val="000F6D6C"/>
    <w:rsid w:val="00114646"/>
    <w:rsid w:val="0011496C"/>
    <w:rsid w:val="00114B5F"/>
    <w:rsid w:val="00120CB1"/>
    <w:rsid w:val="00122BD8"/>
    <w:rsid w:val="00135922"/>
    <w:rsid w:val="00137EB0"/>
    <w:rsid w:val="001416C5"/>
    <w:rsid w:val="00142820"/>
    <w:rsid w:val="00142E5E"/>
    <w:rsid w:val="00143D50"/>
    <w:rsid w:val="00146CF1"/>
    <w:rsid w:val="00150D91"/>
    <w:rsid w:val="00154D8E"/>
    <w:rsid w:val="001717F5"/>
    <w:rsid w:val="001774AB"/>
    <w:rsid w:val="00181979"/>
    <w:rsid w:val="00182ECC"/>
    <w:rsid w:val="00183E31"/>
    <w:rsid w:val="00186D53"/>
    <w:rsid w:val="001A14C2"/>
    <w:rsid w:val="001B4E36"/>
    <w:rsid w:val="001B7B2B"/>
    <w:rsid w:val="001C1657"/>
    <w:rsid w:val="001C214A"/>
    <w:rsid w:val="001C4458"/>
    <w:rsid w:val="001D18D7"/>
    <w:rsid w:val="001D432A"/>
    <w:rsid w:val="001E2F93"/>
    <w:rsid w:val="001F277B"/>
    <w:rsid w:val="002014AD"/>
    <w:rsid w:val="00202E23"/>
    <w:rsid w:val="0022222E"/>
    <w:rsid w:val="002511D0"/>
    <w:rsid w:val="00252068"/>
    <w:rsid w:val="00260FA9"/>
    <w:rsid w:val="002658FF"/>
    <w:rsid w:val="0026758C"/>
    <w:rsid w:val="0027773B"/>
    <w:rsid w:val="00282E1D"/>
    <w:rsid w:val="00286E72"/>
    <w:rsid w:val="00287884"/>
    <w:rsid w:val="0029477B"/>
    <w:rsid w:val="00295B72"/>
    <w:rsid w:val="002A3423"/>
    <w:rsid w:val="002A374C"/>
    <w:rsid w:val="002A3AE8"/>
    <w:rsid w:val="002A3DC3"/>
    <w:rsid w:val="002A46BF"/>
    <w:rsid w:val="002B0947"/>
    <w:rsid w:val="002C39CA"/>
    <w:rsid w:val="002C64EF"/>
    <w:rsid w:val="002D2389"/>
    <w:rsid w:val="002D74C7"/>
    <w:rsid w:val="002F1E7C"/>
    <w:rsid w:val="002F7969"/>
    <w:rsid w:val="002F7E36"/>
    <w:rsid w:val="00301FCC"/>
    <w:rsid w:val="00302E43"/>
    <w:rsid w:val="00327236"/>
    <w:rsid w:val="0033191E"/>
    <w:rsid w:val="0034734D"/>
    <w:rsid w:val="00347B7B"/>
    <w:rsid w:val="003534CD"/>
    <w:rsid w:val="00353819"/>
    <w:rsid w:val="003538D1"/>
    <w:rsid w:val="00355CD8"/>
    <w:rsid w:val="00383A79"/>
    <w:rsid w:val="00385531"/>
    <w:rsid w:val="0038572B"/>
    <w:rsid w:val="00390856"/>
    <w:rsid w:val="0039241F"/>
    <w:rsid w:val="00395771"/>
    <w:rsid w:val="00396526"/>
    <w:rsid w:val="003A01C0"/>
    <w:rsid w:val="003A35A2"/>
    <w:rsid w:val="003A5C3D"/>
    <w:rsid w:val="003B389C"/>
    <w:rsid w:val="003C3AC0"/>
    <w:rsid w:val="003C3FA4"/>
    <w:rsid w:val="003C697F"/>
    <w:rsid w:val="003D0D3F"/>
    <w:rsid w:val="003D4636"/>
    <w:rsid w:val="003D731F"/>
    <w:rsid w:val="003E0C14"/>
    <w:rsid w:val="003E4B8A"/>
    <w:rsid w:val="003F7077"/>
    <w:rsid w:val="00405A7D"/>
    <w:rsid w:val="00407082"/>
    <w:rsid w:val="0041232B"/>
    <w:rsid w:val="00416859"/>
    <w:rsid w:val="004249CF"/>
    <w:rsid w:val="00424B0E"/>
    <w:rsid w:val="00427F96"/>
    <w:rsid w:val="004417E3"/>
    <w:rsid w:val="00441B8C"/>
    <w:rsid w:val="00443816"/>
    <w:rsid w:val="00451285"/>
    <w:rsid w:val="00452CAD"/>
    <w:rsid w:val="00456E96"/>
    <w:rsid w:val="00462B5E"/>
    <w:rsid w:val="00465840"/>
    <w:rsid w:val="00473BA1"/>
    <w:rsid w:val="00474BCD"/>
    <w:rsid w:val="00476627"/>
    <w:rsid w:val="00486475"/>
    <w:rsid w:val="00491BB9"/>
    <w:rsid w:val="004930C0"/>
    <w:rsid w:val="004936D9"/>
    <w:rsid w:val="00496A44"/>
    <w:rsid w:val="004A0206"/>
    <w:rsid w:val="004B0640"/>
    <w:rsid w:val="004B227B"/>
    <w:rsid w:val="004B46A5"/>
    <w:rsid w:val="004B7DB1"/>
    <w:rsid w:val="004D1AD8"/>
    <w:rsid w:val="004D24AB"/>
    <w:rsid w:val="004D48AC"/>
    <w:rsid w:val="004E0931"/>
    <w:rsid w:val="004E1945"/>
    <w:rsid w:val="004E52EE"/>
    <w:rsid w:val="004F5BD5"/>
    <w:rsid w:val="004F6CD0"/>
    <w:rsid w:val="0050274B"/>
    <w:rsid w:val="00503A02"/>
    <w:rsid w:val="005059E4"/>
    <w:rsid w:val="00507190"/>
    <w:rsid w:val="00512EF8"/>
    <w:rsid w:val="00516239"/>
    <w:rsid w:val="0052455B"/>
    <w:rsid w:val="00535291"/>
    <w:rsid w:val="005416E4"/>
    <w:rsid w:val="00541F83"/>
    <w:rsid w:val="00544521"/>
    <w:rsid w:val="00546DE1"/>
    <w:rsid w:val="00561E62"/>
    <w:rsid w:val="005631BF"/>
    <w:rsid w:val="00572E3C"/>
    <w:rsid w:val="005740C3"/>
    <w:rsid w:val="00574ABB"/>
    <w:rsid w:val="00581C3A"/>
    <w:rsid w:val="00583FA3"/>
    <w:rsid w:val="00584131"/>
    <w:rsid w:val="00584FD6"/>
    <w:rsid w:val="00585FBD"/>
    <w:rsid w:val="0059028F"/>
    <w:rsid w:val="005912BB"/>
    <w:rsid w:val="005A1375"/>
    <w:rsid w:val="005A4ACD"/>
    <w:rsid w:val="005A6B7E"/>
    <w:rsid w:val="005B5951"/>
    <w:rsid w:val="005C64D3"/>
    <w:rsid w:val="005D270D"/>
    <w:rsid w:val="005D330B"/>
    <w:rsid w:val="005F4047"/>
    <w:rsid w:val="00605684"/>
    <w:rsid w:val="00605D79"/>
    <w:rsid w:val="006144B4"/>
    <w:rsid w:val="00615669"/>
    <w:rsid w:val="006233BC"/>
    <w:rsid w:val="00624B55"/>
    <w:rsid w:val="00642E55"/>
    <w:rsid w:val="00651350"/>
    <w:rsid w:val="006516E0"/>
    <w:rsid w:val="00657D48"/>
    <w:rsid w:val="00660533"/>
    <w:rsid w:val="00674DDB"/>
    <w:rsid w:val="006760A6"/>
    <w:rsid w:val="00680B17"/>
    <w:rsid w:val="00692B82"/>
    <w:rsid w:val="00695092"/>
    <w:rsid w:val="00696543"/>
    <w:rsid w:val="006968C3"/>
    <w:rsid w:val="006A3BAB"/>
    <w:rsid w:val="006B236C"/>
    <w:rsid w:val="006B611F"/>
    <w:rsid w:val="006B7358"/>
    <w:rsid w:val="006C3633"/>
    <w:rsid w:val="006C4F1A"/>
    <w:rsid w:val="006D026D"/>
    <w:rsid w:val="006D0BF2"/>
    <w:rsid w:val="006D399F"/>
    <w:rsid w:val="006E1395"/>
    <w:rsid w:val="006E1D82"/>
    <w:rsid w:val="006F099A"/>
    <w:rsid w:val="006F69F7"/>
    <w:rsid w:val="00707237"/>
    <w:rsid w:val="007212DD"/>
    <w:rsid w:val="00725CEC"/>
    <w:rsid w:val="00730610"/>
    <w:rsid w:val="0073378A"/>
    <w:rsid w:val="007369CE"/>
    <w:rsid w:val="00744BBE"/>
    <w:rsid w:val="0075248D"/>
    <w:rsid w:val="007545D7"/>
    <w:rsid w:val="00756F47"/>
    <w:rsid w:val="00761E37"/>
    <w:rsid w:val="00761E7E"/>
    <w:rsid w:val="0076260F"/>
    <w:rsid w:val="0078181E"/>
    <w:rsid w:val="00793763"/>
    <w:rsid w:val="00794BD6"/>
    <w:rsid w:val="007A2060"/>
    <w:rsid w:val="007B0B66"/>
    <w:rsid w:val="007B733E"/>
    <w:rsid w:val="007C1194"/>
    <w:rsid w:val="007C39F0"/>
    <w:rsid w:val="007C5F19"/>
    <w:rsid w:val="007D3C9D"/>
    <w:rsid w:val="007D423B"/>
    <w:rsid w:val="007D717D"/>
    <w:rsid w:val="007E3F3E"/>
    <w:rsid w:val="007E521B"/>
    <w:rsid w:val="007E7006"/>
    <w:rsid w:val="007F03C1"/>
    <w:rsid w:val="007F3AEE"/>
    <w:rsid w:val="00804DF7"/>
    <w:rsid w:val="00806B25"/>
    <w:rsid w:val="00813B91"/>
    <w:rsid w:val="00820157"/>
    <w:rsid w:val="00844F1D"/>
    <w:rsid w:val="00846D70"/>
    <w:rsid w:val="008579CC"/>
    <w:rsid w:val="00863C26"/>
    <w:rsid w:val="00870F06"/>
    <w:rsid w:val="00871269"/>
    <w:rsid w:val="00874692"/>
    <w:rsid w:val="0088311A"/>
    <w:rsid w:val="008965E9"/>
    <w:rsid w:val="008A130B"/>
    <w:rsid w:val="008A1371"/>
    <w:rsid w:val="008A1454"/>
    <w:rsid w:val="008A34E8"/>
    <w:rsid w:val="008A7FF1"/>
    <w:rsid w:val="008B1D65"/>
    <w:rsid w:val="008B2902"/>
    <w:rsid w:val="008B2BA1"/>
    <w:rsid w:val="008B551A"/>
    <w:rsid w:val="008B5F62"/>
    <w:rsid w:val="008C0C90"/>
    <w:rsid w:val="008C303C"/>
    <w:rsid w:val="008C4185"/>
    <w:rsid w:val="008C7CA9"/>
    <w:rsid w:val="008D32FF"/>
    <w:rsid w:val="008D6D4A"/>
    <w:rsid w:val="008E193E"/>
    <w:rsid w:val="008E49E3"/>
    <w:rsid w:val="008F1179"/>
    <w:rsid w:val="00905837"/>
    <w:rsid w:val="00907955"/>
    <w:rsid w:val="00910588"/>
    <w:rsid w:val="00914792"/>
    <w:rsid w:val="00923276"/>
    <w:rsid w:val="009260C7"/>
    <w:rsid w:val="0095072B"/>
    <w:rsid w:val="00954804"/>
    <w:rsid w:val="0095647D"/>
    <w:rsid w:val="009601B2"/>
    <w:rsid w:val="00962FD1"/>
    <w:rsid w:val="00971B33"/>
    <w:rsid w:val="00972AAD"/>
    <w:rsid w:val="00981B32"/>
    <w:rsid w:val="00993288"/>
    <w:rsid w:val="009A0F84"/>
    <w:rsid w:val="009A448E"/>
    <w:rsid w:val="009A6006"/>
    <w:rsid w:val="009A64D6"/>
    <w:rsid w:val="009C4513"/>
    <w:rsid w:val="009C766E"/>
    <w:rsid w:val="009D7566"/>
    <w:rsid w:val="009E1BB0"/>
    <w:rsid w:val="009F1250"/>
    <w:rsid w:val="009F318F"/>
    <w:rsid w:val="009F558A"/>
    <w:rsid w:val="00A03A41"/>
    <w:rsid w:val="00A052F4"/>
    <w:rsid w:val="00A114D3"/>
    <w:rsid w:val="00A12D4E"/>
    <w:rsid w:val="00A174D0"/>
    <w:rsid w:val="00A22801"/>
    <w:rsid w:val="00A35CF4"/>
    <w:rsid w:val="00A405D3"/>
    <w:rsid w:val="00A55475"/>
    <w:rsid w:val="00A5549D"/>
    <w:rsid w:val="00A6148B"/>
    <w:rsid w:val="00A65A79"/>
    <w:rsid w:val="00A730E5"/>
    <w:rsid w:val="00A77BA0"/>
    <w:rsid w:val="00A77F79"/>
    <w:rsid w:val="00A80C22"/>
    <w:rsid w:val="00A84251"/>
    <w:rsid w:val="00A84928"/>
    <w:rsid w:val="00AA4493"/>
    <w:rsid w:val="00AD12F2"/>
    <w:rsid w:val="00AD2749"/>
    <w:rsid w:val="00AD5653"/>
    <w:rsid w:val="00AD6057"/>
    <w:rsid w:val="00AD7567"/>
    <w:rsid w:val="00AE1C2E"/>
    <w:rsid w:val="00B00002"/>
    <w:rsid w:val="00B138F9"/>
    <w:rsid w:val="00B25C92"/>
    <w:rsid w:val="00B31BAA"/>
    <w:rsid w:val="00B32499"/>
    <w:rsid w:val="00B35C5E"/>
    <w:rsid w:val="00B36C22"/>
    <w:rsid w:val="00B37BBD"/>
    <w:rsid w:val="00B5103C"/>
    <w:rsid w:val="00B53233"/>
    <w:rsid w:val="00B5578C"/>
    <w:rsid w:val="00B57B3D"/>
    <w:rsid w:val="00B63693"/>
    <w:rsid w:val="00B6624B"/>
    <w:rsid w:val="00B71260"/>
    <w:rsid w:val="00B751DD"/>
    <w:rsid w:val="00B8115E"/>
    <w:rsid w:val="00B840CB"/>
    <w:rsid w:val="00B85DF5"/>
    <w:rsid w:val="00B94DC0"/>
    <w:rsid w:val="00BA1252"/>
    <w:rsid w:val="00BA4902"/>
    <w:rsid w:val="00BB05D4"/>
    <w:rsid w:val="00BB09FC"/>
    <w:rsid w:val="00BC4542"/>
    <w:rsid w:val="00BC59B5"/>
    <w:rsid w:val="00BD27F3"/>
    <w:rsid w:val="00BD600F"/>
    <w:rsid w:val="00BE7F5E"/>
    <w:rsid w:val="00BF1FB9"/>
    <w:rsid w:val="00BF3DFC"/>
    <w:rsid w:val="00BF563F"/>
    <w:rsid w:val="00BF6508"/>
    <w:rsid w:val="00C00BD6"/>
    <w:rsid w:val="00C048AA"/>
    <w:rsid w:val="00C06FEA"/>
    <w:rsid w:val="00C10925"/>
    <w:rsid w:val="00C120FA"/>
    <w:rsid w:val="00C14996"/>
    <w:rsid w:val="00C20F24"/>
    <w:rsid w:val="00C239FE"/>
    <w:rsid w:val="00C275FF"/>
    <w:rsid w:val="00C35BC1"/>
    <w:rsid w:val="00C36C0E"/>
    <w:rsid w:val="00C415A5"/>
    <w:rsid w:val="00C41F24"/>
    <w:rsid w:val="00C42DBC"/>
    <w:rsid w:val="00C5151A"/>
    <w:rsid w:val="00C66839"/>
    <w:rsid w:val="00C67291"/>
    <w:rsid w:val="00C7639D"/>
    <w:rsid w:val="00C80D1E"/>
    <w:rsid w:val="00C812A2"/>
    <w:rsid w:val="00C81CE2"/>
    <w:rsid w:val="00C909BB"/>
    <w:rsid w:val="00C92209"/>
    <w:rsid w:val="00CA023E"/>
    <w:rsid w:val="00CA19EB"/>
    <w:rsid w:val="00CA64AD"/>
    <w:rsid w:val="00CB3A51"/>
    <w:rsid w:val="00CC2C60"/>
    <w:rsid w:val="00CC7AA9"/>
    <w:rsid w:val="00CE0E55"/>
    <w:rsid w:val="00CF1D67"/>
    <w:rsid w:val="00D03F8D"/>
    <w:rsid w:val="00D317B9"/>
    <w:rsid w:val="00D37789"/>
    <w:rsid w:val="00D4409A"/>
    <w:rsid w:val="00D45F9A"/>
    <w:rsid w:val="00D5013A"/>
    <w:rsid w:val="00D50549"/>
    <w:rsid w:val="00D564B7"/>
    <w:rsid w:val="00D63E22"/>
    <w:rsid w:val="00D81C87"/>
    <w:rsid w:val="00D82731"/>
    <w:rsid w:val="00D844E3"/>
    <w:rsid w:val="00D91695"/>
    <w:rsid w:val="00DA52F4"/>
    <w:rsid w:val="00DA533F"/>
    <w:rsid w:val="00DC46B5"/>
    <w:rsid w:val="00DC54AE"/>
    <w:rsid w:val="00DC79FB"/>
    <w:rsid w:val="00DD2AF0"/>
    <w:rsid w:val="00DD2EC4"/>
    <w:rsid w:val="00DD4F42"/>
    <w:rsid w:val="00DD67AA"/>
    <w:rsid w:val="00DF79B3"/>
    <w:rsid w:val="00E02F29"/>
    <w:rsid w:val="00E03ECB"/>
    <w:rsid w:val="00E04CDB"/>
    <w:rsid w:val="00E13045"/>
    <w:rsid w:val="00E17D64"/>
    <w:rsid w:val="00E36F61"/>
    <w:rsid w:val="00E43DD4"/>
    <w:rsid w:val="00E45A67"/>
    <w:rsid w:val="00E46876"/>
    <w:rsid w:val="00E51437"/>
    <w:rsid w:val="00E51BFD"/>
    <w:rsid w:val="00E54BBD"/>
    <w:rsid w:val="00E62D4B"/>
    <w:rsid w:val="00E6603E"/>
    <w:rsid w:val="00E71255"/>
    <w:rsid w:val="00E71B5D"/>
    <w:rsid w:val="00E800FC"/>
    <w:rsid w:val="00E819B4"/>
    <w:rsid w:val="00E82D80"/>
    <w:rsid w:val="00E85800"/>
    <w:rsid w:val="00E94A53"/>
    <w:rsid w:val="00EA5D0C"/>
    <w:rsid w:val="00EB2795"/>
    <w:rsid w:val="00EB6166"/>
    <w:rsid w:val="00EC2F58"/>
    <w:rsid w:val="00EC6C34"/>
    <w:rsid w:val="00ED37B9"/>
    <w:rsid w:val="00ED388A"/>
    <w:rsid w:val="00EE0611"/>
    <w:rsid w:val="00EE4419"/>
    <w:rsid w:val="00EE4791"/>
    <w:rsid w:val="00EE4E37"/>
    <w:rsid w:val="00EF4AC4"/>
    <w:rsid w:val="00EF66A3"/>
    <w:rsid w:val="00EF6B86"/>
    <w:rsid w:val="00F009E7"/>
    <w:rsid w:val="00F07DAA"/>
    <w:rsid w:val="00F108E6"/>
    <w:rsid w:val="00F116F3"/>
    <w:rsid w:val="00F15EA2"/>
    <w:rsid w:val="00F16AFB"/>
    <w:rsid w:val="00F17D95"/>
    <w:rsid w:val="00F21E68"/>
    <w:rsid w:val="00F2615B"/>
    <w:rsid w:val="00F339A0"/>
    <w:rsid w:val="00F34B83"/>
    <w:rsid w:val="00F35E8B"/>
    <w:rsid w:val="00F40AA5"/>
    <w:rsid w:val="00F43113"/>
    <w:rsid w:val="00F44110"/>
    <w:rsid w:val="00F511A1"/>
    <w:rsid w:val="00F56045"/>
    <w:rsid w:val="00F573E9"/>
    <w:rsid w:val="00F5766D"/>
    <w:rsid w:val="00F60160"/>
    <w:rsid w:val="00F606A8"/>
    <w:rsid w:val="00F72CC6"/>
    <w:rsid w:val="00F73564"/>
    <w:rsid w:val="00F73BAE"/>
    <w:rsid w:val="00F77739"/>
    <w:rsid w:val="00F8391F"/>
    <w:rsid w:val="00F843AE"/>
    <w:rsid w:val="00F972D4"/>
    <w:rsid w:val="00FA5E3E"/>
    <w:rsid w:val="00FA685D"/>
    <w:rsid w:val="00FA751A"/>
    <w:rsid w:val="00FB15B0"/>
    <w:rsid w:val="00FB568C"/>
    <w:rsid w:val="00FB666C"/>
    <w:rsid w:val="00FB67C2"/>
    <w:rsid w:val="00FC4FF8"/>
    <w:rsid w:val="00FD53FA"/>
    <w:rsid w:val="00FD6AAD"/>
    <w:rsid w:val="00FD7C95"/>
    <w:rsid w:val="00FE3364"/>
    <w:rsid w:val="00FE7F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41F"/>
    <w:pPr>
      <w:tabs>
        <w:tab w:val="center" w:pos="4680"/>
        <w:tab w:val="right" w:pos="9360"/>
      </w:tabs>
      <w:spacing w:line="240" w:lineRule="auto"/>
    </w:pPr>
  </w:style>
  <w:style w:type="character" w:customStyle="1" w:styleId="HeaderChar">
    <w:name w:val="Header Char"/>
    <w:basedOn w:val="DefaultParagraphFont"/>
    <w:link w:val="Header"/>
    <w:uiPriority w:val="99"/>
    <w:rsid w:val="0039241F"/>
    <w:rPr>
      <w:rFonts w:ascii="Century Schoolbook" w:hAnsi="Century Schoolbook"/>
      <w:sz w:val="26"/>
    </w:rPr>
  </w:style>
  <w:style w:type="paragraph" w:styleId="Footer">
    <w:name w:val="footer"/>
    <w:basedOn w:val="Normal"/>
    <w:link w:val="FooterChar"/>
    <w:uiPriority w:val="99"/>
    <w:unhideWhenUsed/>
    <w:rsid w:val="0039241F"/>
    <w:pPr>
      <w:tabs>
        <w:tab w:val="center" w:pos="4680"/>
        <w:tab w:val="right" w:pos="9360"/>
      </w:tabs>
      <w:spacing w:line="240" w:lineRule="auto"/>
    </w:pPr>
  </w:style>
  <w:style w:type="character" w:customStyle="1" w:styleId="FooterChar">
    <w:name w:val="Footer Char"/>
    <w:basedOn w:val="DefaultParagraphFont"/>
    <w:link w:val="Footer"/>
    <w:uiPriority w:val="99"/>
    <w:rsid w:val="0039241F"/>
    <w:rPr>
      <w:rFonts w:ascii="Century Schoolbook" w:hAnsi="Century Schoolbook"/>
      <w:sz w:val="26"/>
    </w:rPr>
  </w:style>
  <w:style w:type="character" w:styleId="PageNumber">
    <w:name w:val="page number"/>
    <w:basedOn w:val="DefaultParagraphFont"/>
    <w:uiPriority w:val="99"/>
    <w:semiHidden/>
    <w:unhideWhenUsed/>
    <w:rsid w:val="0039241F"/>
  </w:style>
  <w:style w:type="paragraph" w:styleId="ListParagraph">
    <w:name w:val="List Paragraph"/>
    <w:basedOn w:val="Normal"/>
    <w:uiPriority w:val="34"/>
    <w:qFormat/>
    <w:rsid w:val="00383A79"/>
    <w:pPr>
      <w:ind w:left="720"/>
      <w:contextualSpacing/>
    </w:pPr>
  </w:style>
  <w:style w:type="paragraph" w:styleId="FootnoteText">
    <w:name w:val="footnote text"/>
    <w:basedOn w:val="Normal"/>
    <w:link w:val="FootnoteTextChar"/>
    <w:uiPriority w:val="99"/>
    <w:semiHidden/>
    <w:unhideWhenUsed/>
    <w:rsid w:val="00383A79"/>
    <w:pPr>
      <w:spacing w:line="240" w:lineRule="auto"/>
    </w:pPr>
    <w:rPr>
      <w:sz w:val="20"/>
      <w:szCs w:val="20"/>
    </w:rPr>
  </w:style>
  <w:style w:type="character" w:customStyle="1" w:styleId="FootnoteTextChar">
    <w:name w:val="Footnote Text Char"/>
    <w:basedOn w:val="DefaultParagraphFont"/>
    <w:link w:val="FootnoteText"/>
    <w:uiPriority w:val="99"/>
    <w:semiHidden/>
    <w:rsid w:val="00383A79"/>
    <w:rPr>
      <w:rFonts w:ascii="Century Schoolbook" w:hAnsi="Century Schoolbook"/>
      <w:sz w:val="20"/>
      <w:szCs w:val="20"/>
    </w:rPr>
  </w:style>
  <w:style w:type="character" w:styleId="FootnoteReference">
    <w:name w:val="footnote reference"/>
    <w:basedOn w:val="DefaultParagraphFont"/>
    <w:uiPriority w:val="99"/>
    <w:semiHidden/>
    <w:unhideWhenUsed/>
    <w:rsid w:val="00383A79"/>
    <w:rPr>
      <w:sz w:val="26"/>
      <w:vertAlign w:val="superscript"/>
    </w:rPr>
  </w:style>
  <w:style w:type="character" w:styleId="Hyperlink">
    <w:name w:val="Hyperlink"/>
    <w:basedOn w:val="DefaultParagraphFont"/>
    <w:uiPriority w:val="99"/>
    <w:semiHidden/>
    <w:unhideWhenUsed/>
    <w:rsid w:val="004930C0"/>
    <w:rPr>
      <w:color w:val="0000FF"/>
      <w:u w:val="single"/>
    </w:rPr>
  </w:style>
  <w:style w:type="character" w:styleId="Emphasis">
    <w:name w:val="Emphasis"/>
    <w:basedOn w:val="DefaultParagraphFont"/>
    <w:uiPriority w:val="20"/>
    <w:qFormat/>
    <w:rsid w:val="004930C0"/>
    <w:rPr>
      <w:i/>
      <w:iCs/>
    </w:rPr>
  </w:style>
  <w:style w:type="character" w:customStyle="1" w:styleId="coinlinekeyciteflag">
    <w:name w:val="co_inlinekeyciteflag"/>
    <w:basedOn w:val="DefaultParagraphFont"/>
    <w:rsid w:val="004930C0"/>
  </w:style>
  <w:style w:type="character" w:customStyle="1" w:styleId="contentpasted0">
    <w:name w:val="contentpasted0"/>
    <w:basedOn w:val="DefaultParagraphFont"/>
    <w:rsid w:val="00451285"/>
  </w:style>
  <w:style w:type="character" w:customStyle="1" w:styleId="ssit">
    <w:name w:val="ss_it"/>
    <w:basedOn w:val="DefaultParagraphFont"/>
    <w:rsid w:val="00451285"/>
  </w:style>
  <w:style w:type="character" w:styleId="FollowedHyperlink">
    <w:name w:val="FollowedHyperlink"/>
    <w:basedOn w:val="DefaultParagraphFont"/>
    <w:uiPriority w:val="99"/>
    <w:semiHidden/>
    <w:unhideWhenUsed/>
    <w:rsid w:val="001A14C2"/>
    <w:rPr>
      <w:color w:val="954F72" w:themeColor="followedHyperlink"/>
      <w:u w:val="single"/>
    </w:rPr>
  </w:style>
  <w:style w:type="character" w:customStyle="1" w:styleId="cosearchterm">
    <w:name w:val="co_searchterm"/>
    <w:basedOn w:val="DefaultParagraphFont"/>
    <w:rsid w:val="004D1AD8"/>
  </w:style>
  <w:style w:type="character" w:styleId="CommentReference">
    <w:name w:val="annotation reference"/>
    <w:basedOn w:val="DefaultParagraphFont"/>
    <w:uiPriority w:val="99"/>
    <w:semiHidden/>
    <w:unhideWhenUsed/>
    <w:rsid w:val="00692B82"/>
    <w:rPr>
      <w:sz w:val="16"/>
      <w:szCs w:val="16"/>
    </w:rPr>
  </w:style>
  <w:style w:type="paragraph" w:styleId="CommentText">
    <w:name w:val="annotation text"/>
    <w:basedOn w:val="Normal"/>
    <w:link w:val="CommentTextChar"/>
    <w:uiPriority w:val="99"/>
    <w:unhideWhenUsed/>
    <w:rsid w:val="00692B82"/>
    <w:pPr>
      <w:spacing w:line="240" w:lineRule="auto"/>
    </w:pPr>
    <w:rPr>
      <w:sz w:val="20"/>
      <w:szCs w:val="20"/>
    </w:rPr>
  </w:style>
  <w:style w:type="character" w:customStyle="1" w:styleId="CommentTextChar">
    <w:name w:val="Comment Text Char"/>
    <w:basedOn w:val="DefaultParagraphFont"/>
    <w:link w:val="CommentText"/>
    <w:uiPriority w:val="99"/>
    <w:rsid w:val="00692B82"/>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692B82"/>
    <w:rPr>
      <w:b/>
      <w:bCs/>
    </w:rPr>
  </w:style>
  <w:style w:type="character" w:customStyle="1" w:styleId="CommentSubjectChar">
    <w:name w:val="Comment Subject Char"/>
    <w:basedOn w:val="CommentTextChar"/>
    <w:link w:val="CommentSubject"/>
    <w:uiPriority w:val="99"/>
    <w:semiHidden/>
    <w:rsid w:val="00692B82"/>
    <w:rPr>
      <w:rFonts w:ascii="Century Schoolbook" w:hAnsi="Century Schoolbook"/>
      <w:b/>
      <w:bCs/>
      <w:sz w:val="20"/>
      <w:szCs w:val="20"/>
    </w:rPr>
  </w:style>
  <w:style w:type="paragraph" w:styleId="Revision">
    <w:name w:val="Revision"/>
    <w:hidden/>
    <w:uiPriority w:val="99"/>
    <w:semiHidden/>
    <w:rsid w:val="0095647D"/>
    <w:pPr>
      <w:spacing w:after="0" w:line="240" w:lineRule="auto"/>
    </w:pPr>
    <w:rPr>
      <w:rFonts w:ascii="Century Schoolbook" w:hAnsi="Century Schoolbook"/>
      <w:sz w:val="26"/>
    </w:rPr>
  </w:style>
  <w:style w:type="paragraph" w:customStyle="1" w:styleId="paragraph">
    <w:name w:val="paragraph"/>
    <w:basedOn w:val="Normal"/>
    <w:rsid w:val="00007D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te">
    <w:name w:val="note"/>
    <w:basedOn w:val="Normal"/>
    <w:rsid w:val="00007D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1E1F-5E62-408F-8F8B-CFD3E3E1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2023-12-28T20:15:10Z</dcterms:created>
  <dcterms:modified xsi:type="dcterms:W3CDTF">2023-12-28T20:15:10Z</dcterms:modified>
</cp:coreProperties>
</file>