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0FB8" w14:textId="1D349A78" w:rsidR="001D5BC6" w:rsidRPr="005240A7" w:rsidRDefault="008938BE" w:rsidP="005240A7">
      <w:pPr>
        <w:spacing w:line="240" w:lineRule="auto"/>
        <w:rPr>
          <w:bCs/>
          <w:sz w:val="20"/>
          <w:szCs w:val="20"/>
        </w:rPr>
      </w:pPr>
      <w:r>
        <w:rPr>
          <w:bCs/>
          <w:sz w:val="20"/>
          <w:szCs w:val="20"/>
        </w:rPr>
        <w:t>Filed 3/</w:t>
      </w:r>
      <w:r w:rsidR="00944CD8">
        <w:rPr>
          <w:bCs/>
          <w:sz w:val="20"/>
          <w:szCs w:val="20"/>
        </w:rPr>
        <w:t>6</w:t>
      </w:r>
      <w:r>
        <w:rPr>
          <w:bCs/>
          <w:sz w:val="20"/>
          <w:szCs w:val="20"/>
        </w:rPr>
        <w:t>/24</w:t>
      </w:r>
    </w:p>
    <w:p w14:paraId="65CB9DFF" w14:textId="3BAA2910" w:rsidR="00DE0332" w:rsidRDefault="00A34693" w:rsidP="00DE0332">
      <w:pPr>
        <w:spacing w:line="240" w:lineRule="auto"/>
        <w:jc w:val="center"/>
        <w:rPr>
          <w:b/>
        </w:rPr>
      </w:pPr>
      <w:r>
        <w:rPr>
          <w:b/>
        </w:rPr>
        <w:t>CERTIFIED FOR PUBLICATION</w:t>
      </w:r>
    </w:p>
    <w:p w14:paraId="4F792769" w14:textId="77777777" w:rsidR="00DE0332" w:rsidRDefault="00DE0332" w:rsidP="00DE0332">
      <w:pPr>
        <w:spacing w:line="240" w:lineRule="auto"/>
        <w:jc w:val="center"/>
        <w:rPr>
          <w:b/>
        </w:rPr>
      </w:pPr>
    </w:p>
    <w:p w14:paraId="1C7250C6" w14:textId="77777777" w:rsidR="00DE0332" w:rsidRDefault="00DE0332" w:rsidP="00DE0332">
      <w:pPr>
        <w:spacing w:line="240" w:lineRule="auto"/>
        <w:jc w:val="center"/>
      </w:pPr>
      <w:r>
        <w:t>IN THE COURT OF APPEAL OF THE STATE OF CALIFORNIA</w:t>
      </w:r>
    </w:p>
    <w:p w14:paraId="68918BCD" w14:textId="77777777" w:rsidR="00DE0332" w:rsidRDefault="00DE0332" w:rsidP="00DE0332">
      <w:pPr>
        <w:spacing w:line="240" w:lineRule="auto"/>
        <w:jc w:val="center"/>
      </w:pPr>
    </w:p>
    <w:p w14:paraId="32AD2971" w14:textId="77777777" w:rsidR="00DE0332" w:rsidRDefault="00DE0332" w:rsidP="00DE0332">
      <w:pPr>
        <w:spacing w:line="240" w:lineRule="auto"/>
        <w:jc w:val="center"/>
      </w:pPr>
      <w:r>
        <w:t>SECOND APPELLATE DISTRICT</w:t>
      </w:r>
    </w:p>
    <w:p w14:paraId="381B9218" w14:textId="77777777" w:rsidR="00DE0332" w:rsidRDefault="00DE0332" w:rsidP="00DE0332">
      <w:pPr>
        <w:spacing w:line="240" w:lineRule="auto"/>
        <w:jc w:val="center"/>
      </w:pPr>
    </w:p>
    <w:p w14:paraId="14C0657C" w14:textId="77777777" w:rsidR="00DE0332" w:rsidRDefault="00DE0332" w:rsidP="00DE0332">
      <w:pPr>
        <w:spacing w:line="240" w:lineRule="auto"/>
        <w:jc w:val="center"/>
      </w:pPr>
      <w:r>
        <w:t xml:space="preserve">DIVISION </w:t>
      </w:r>
      <w:r w:rsidR="00E456DA">
        <w:t>EIGHT</w:t>
      </w:r>
    </w:p>
    <w:p w14:paraId="3401F374" w14:textId="77777777" w:rsidR="00DE0332" w:rsidRDefault="00DE0332" w:rsidP="00DE0332">
      <w:pPr>
        <w:spacing w:line="240" w:lineRule="auto"/>
        <w:jc w:val="center"/>
      </w:pPr>
    </w:p>
    <w:p w14:paraId="49E585D4" w14:textId="77777777" w:rsidR="00DE0332" w:rsidRDefault="00DE0332" w:rsidP="00DE0332">
      <w:pPr>
        <w:spacing w:line="240" w:lineRule="auto"/>
        <w:jc w:val="center"/>
      </w:pPr>
    </w:p>
    <w:tbl>
      <w:tblPr>
        <w:tblW w:w="0" w:type="auto"/>
        <w:tblLayout w:type="fixed"/>
        <w:tblLook w:val="0000" w:firstRow="0" w:lastRow="0" w:firstColumn="0" w:lastColumn="0" w:noHBand="0" w:noVBand="0"/>
      </w:tblPr>
      <w:tblGrid>
        <w:gridCol w:w="4230"/>
        <w:gridCol w:w="3906"/>
      </w:tblGrid>
      <w:tr w:rsidR="00DE0332" w:rsidRPr="00CB0F0A" w14:paraId="2C1636CB" w14:textId="77777777" w:rsidTr="00C1120E">
        <w:tc>
          <w:tcPr>
            <w:tcW w:w="4230" w:type="dxa"/>
            <w:tcBorders>
              <w:bottom w:val="single" w:sz="4" w:space="0" w:color="auto"/>
              <w:right w:val="single" w:sz="4" w:space="0" w:color="auto"/>
            </w:tcBorders>
            <w:shd w:val="clear" w:color="auto" w:fill="auto"/>
          </w:tcPr>
          <w:p w14:paraId="054BE3F2" w14:textId="77777777" w:rsidR="00DE0332" w:rsidRPr="00CB0F0A" w:rsidRDefault="00E456DA" w:rsidP="00DE0332">
            <w:pPr>
              <w:spacing w:line="240" w:lineRule="auto"/>
            </w:pPr>
            <w:r>
              <w:t>VFLA EVENTCO, LLC</w:t>
            </w:r>
            <w:r w:rsidR="00DE0332" w:rsidRPr="00CB0F0A">
              <w:t>,</w:t>
            </w:r>
          </w:p>
          <w:p w14:paraId="4B746ACB" w14:textId="77777777" w:rsidR="00DE0332" w:rsidRPr="00CB0F0A" w:rsidRDefault="00DE0332" w:rsidP="00DE0332">
            <w:pPr>
              <w:spacing w:line="240" w:lineRule="auto"/>
            </w:pPr>
          </w:p>
          <w:p w14:paraId="4C31CA35" w14:textId="367959ED" w:rsidR="00DE0332" w:rsidRPr="00CB0F0A" w:rsidRDefault="00C1120E" w:rsidP="00DE0332">
            <w:pPr>
              <w:spacing w:line="240" w:lineRule="auto"/>
            </w:pPr>
            <w:r>
              <w:t xml:space="preserve">     </w:t>
            </w:r>
            <w:r w:rsidR="00E30890">
              <w:t xml:space="preserve">Plaintiff and </w:t>
            </w:r>
            <w:r w:rsidR="00B56A26">
              <w:t>Appella</w:t>
            </w:r>
            <w:r w:rsidR="00E30890">
              <w:t>nt</w:t>
            </w:r>
            <w:r w:rsidR="00DE0332" w:rsidRPr="00CB0F0A">
              <w:t>,</w:t>
            </w:r>
          </w:p>
          <w:p w14:paraId="2D2732A4" w14:textId="77777777" w:rsidR="00DE0332" w:rsidRPr="00CB0F0A" w:rsidRDefault="00DE0332" w:rsidP="00DE0332">
            <w:pPr>
              <w:spacing w:line="240" w:lineRule="auto"/>
            </w:pPr>
          </w:p>
          <w:p w14:paraId="53CE79D2" w14:textId="77777777" w:rsidR="00DE0332" w:rsidRPr="00CB0F0A" w:rsidRDefault="00DE0332" w:rsidP="00DE0332">
            <w:pPr>
              <w:spacing w:line="240" w:lineRule="auto"/>
            </w:pPr>
            <w:r w:rsidRPr="00CB0F0A">
              <w:tab/>
              <w:t>v.</w:t>
            </w:r>
          </w:p>
          <w:p w14:paraId="332448A1" w14:textId="77777777" w:rsidR="00DE0332" w:rsidRPr="00CB0F0A" w:rsidRDefault="00DE0332" w:rsidP="00DE0332">
            <w:pPr>
              <w:spacing w:line="240" w:lineRule="auto"/>
            </w:pPr>
          </w:p>
          <w:p w14:paraId="12030C14" w14:textId="06CAD74F" w:rsidR="00DE0332" w:rsidRPr="00CB0F0A" w:rsidRDefault="00E456DA" w:rsidP="00DE0332">
            <w:pPr>
              <w:spacing w:line="240" w:lineRule="auto"/>
            </w:pPr>
            <w:r>
              <w:t>WILLIAM MORRIS ENDEAVOR ENTERTAINMENT</w:t>
            </w:r>
            <w:r w:rsidR="00C1120E">
              <w:t>, LLC,</w:t>
            </w:r>
            <w:r w:rsidR="00E30890">
              <w:t xml:space="preserve"> et al.</w:t>
            </w:r>
            <w:r w:rsidR="00DE0332">
              <w:t>,</w:t>
            </w:r>
          </w:p>
          <w:p w14:paraId="19F3089A" w14:textId="77777777" w:rsidR="00DE0332" w:rsidRPr="00CB0F0A" w:rsidRDefault="00DE0332" w:rsidP="00DE0332">
            <w:pPr>
              <w:spacing w:line="240" w:lineRule="auto"/>
            </w:pPr>
          </w:p>
          <w:p w14:paraId="1B9DAB4D" w14:textId="5CDDA648" w:rsidR="00DE0332" w:rsidRPr="00CB0F0A" w:rsidRDefault="00C1120E" w:rsidP="00C1120E">
            <w:pPr>
              <w:spacing w:line="240" w:lineRule="auto"/>
            </w:pPr>
            <w:r>
              <w:t xml:space="preserve">     </w:t>
            </w:r>
            <w:r w:rsidR="0078181C">
              <w:t>Defendant</w:t>
            </w:r>
            <w:r w:rsidR="00E30890">
              <w:t>s</w:t>
            </w:r>
            <w:r w:rsidR="00DE0332" w:rsidRPr="00CB0F0A">
              <w:t xml:space="preserve"> and</w:t>
            </w:r>
            <w:r w:rsidR="00E30890">
              <w:t xml:space="preserve"> </w:t>
            </w:r>
            <w:r w:rsidR="00B56A26">
              <w:t>Responde</w:t>
            </w:r>
            <w:r w:rsidR="00E30890">
              <w:t>nts</w:t>
            </w:r>
            <w:r w:rsidR="00DE0332" w:rsidRPr="00CB0F0A">
              <w:t>.</w:t>
            </w:r>
          </w:p>
          <w:p w14:paraId="0AC17B06" w14:textId="77777777" w:rsidR="00DE0332" w:rsidRPr="00CB0F0A" w:rsidRDefault="00DE0332" w:rsidP="00DE0332">
            <w:pPr>
              <w:spacing w:line="240" w:lineRule="auto"/>
            </w:pPr>
          </w:p>
        </w:tc>
        <w:tc>
          <w:tcPr>
            <w:tcW w:w="3906" w:type="dxa"/>
            <w:tcBorders>
              <w:left w:val="single" w:sz="4" w:space="0" w:color="auto"/>
            </w:tcBorders>
            <w:shd w:val="clear" w:color="auto" w:fill="auto"/>
          </w:tcPr>
          <w:p w14:paraId="3B9944AF" w14:textId="20E5807B" w:rsidR="00DE0332" w:rsidRPr="00CB0F0A" w:rsidRDefault="00DE0332" w:rsidP="00DE0332">
            <w:pPr>
              <w:spacing w:line="240" w:lineRule="auto"/>
            </w:pPr>
            <w:r w:rsidRPr="00CB0F0A">
              <w:t>B</w:t>
            </w:r>
            <w:r w:rsidR="00E456DA">
              <w:t>323977</w:t>
            </w:r>
          </w:p>
          <w:p w14:paraId="01ECCD90" w14:textId="77777777" w:rsidR="00DE0332" w:rsidRPr="00CB0F0A" w:rsidRDefault="00DE0332" w:rsidP="00DE0332">
            <w:pPr>
              <w:spacing w:line="240" w:lineRule="auto"/>
            </w:pPr>
          </w:p>
          <w:p w14:paraId="7496B492" w14:textId="42FA38BD" w:rsidR="00DE0332" w:rsidRPr="00CB0F0A" w:rsidRDefault="00DE0332" w:rsidP="00DE0332">
            <w:pPr>
              <w:spacing w:line="240" w:lineRule="auto"/>
            </w:pPr>
            <w:r w:rsidRPr="00CB0F0A">
              <w:t>(Los Angeles County</w:t>
            </w:r>
          </w:p>
          <w:p w14:paraId="549A4C23" w14:textId="776D7844" w:rsidR="00DE0332" w:rsidRPr="00CB0F0A" w:rsidRDefault="00DE0332" w:rsidP="00DE0332">
            <w:pPr>
              <w:spacing w:line="240" w:lineRule="auto"/>
            </w:pPr>
            <w:r w:rsidRPr="00CB0F0A">
              <w:t xml:space="preserve">Super. Ct. </w:t>
            </w:r>
            <w:r w:rsidR="00C1120E">
              <w:t>N</w:t>
            </w:r>
            <w:r w:rsidRPr="00CB0F0A">
              <w:t xml:space="preserve">o. </w:t>
            </w:r>
            <w:r w:rsidR="00E456DA">
              <w:t>20SM</w:t>
            </w:r>
            <w:r w:rsidRPr="00CB0F0A">
              <w:t>C</w:t>
            </w:r>
            <w:r w:rsidR="00E456DA">
              <w:t>V</w:t>
            </w:r>
            <w:r w:rsidR="00E30890">
              <w:t>0</w:t>
            </w:r>
            <w:r w:rsidR="00E456DA">
              <w:t>0933</w:t>
            </w:r>
            <w:r w:rsidRPr="00CB0F0A">
              <w:t>)</w:t>
            </w:r>
          </w:p>
          <w:p w14:paraId="3E67B84D" w14:textId="77777777" w:rsidR="00DE0332" w:rsidRPr="00CB0F0A" w:rsidRDefault="00DE0332" w:rsidP="00DE0332">
            <w:pPr>
              <w:spacing w:line="240" w:lineRule="auto"/>
            </w:pPr>
          </w:p>
        </w:tc>
      </w:tr>
    </w:tbl>
    <w:p w14:paraId="6B40D4E6" w14:textId="77777777" w:rsidR="00DE0332" w:rsidRDefault="00DE0332" w:rsidP="00DE0332">
      <w:pPr>
        <w:spacing w:line="360" w:lineRule="auto"/>
      </w:pPr>
    </w:p>
    <w:p w14:paraId="31345C83" w14:textId="4829EB64" w:rsidR="00DE0332" w:rsidRDefault="00DE0332" w:rsidP="00DE0332">
      <w:pPr>
        <w:rPr>
          <w:szCs w:val="26"/>
        </w:rPr>
      </w:pPr>
      <w:r>
        <w:rPr>
          <w:szCs w:val="26"/>
        </w:rPr>
        <w:tab/>
      </w:r>
      <w:r w:rsidRPr="006F14CE">
        <w:rPr>
          <w:szCs w:val="26"/>
        </w:rPr>
        <w:t>APPEAL from</w:t>
      </w:r>
      <w:r w:rsidR="00AC5613">
        <w:rPr>
          <w:szCs w:val="26"/>
        </w:rPr>
        <w:t xml:space="preserve"> a</w:t>
      </w:r>
      <w:r w:rsidRPr="006F14CE">
        <w:rPr>
          <w:szCs w:val="26"/>
        </w:rPr>
        <w:t xml:space="preserve"> </w:t>
      </w:r>
      <w:r w:rsidR="007605C3">
        <w:rPr>
          <w:szCs w:val="26"/>
        </w:rPr>
        <w:t>judgment</w:t>
      </w:r>
      <w:r>
        <w:rPr>
          <w:szCs w:val="26"/>
        </w:rPr>
        <w:t xml:space="preserve"> </w:t>
      </w:r>
      <w:r w:rsidRPr="006F14CE">
        <w:rPr>
          <w:szCs w:val="26"/>
        </w:rPr>
        <w:t xml:space="preserve">of the Superior Court of </w:t>
      </w:r>
      <w:r>
        <w:rPr>
          <w:szCs w:val="26"/>
        </w:rPr>
        <w:t>L</w:t>
      </w:r>
      <w:r w:rsidRPr="006F14CE">
        <w:rPr>
          <w:szCs w:val="26"/>
        </w:rPr>
        <w:t>os</w:t>
      </w:r>
      <w:r w:rsidR="00F57458">
        <w:rPr>
          <w:szCs w:val="26"/>
        </w:rPr>
        <w:t> </w:t>
      </w:r>
      <w:r w:rsidRPr="006F14CE">
        <w:rPr>
          <w:szCs w:val="26"/>
        </w:rPr>
        <w:t>Angeles County</w:t>
      </w:r>
      <w:r w:rsidR="00F57458">
        <w:rPr>
          <w:szCs w:val="26"/>
        </w:rPr>
        <w:t xml:space="preserve">. </w:t>
      </w:r>
      <w:r>
        <w:rPr>
          <w:szCs w:val="26"/>
        </w:rPr>
        <w:t xml:space="preserve"> </w:t>
      </w:r>
      <w:r w:rsidR="00E456DA">
        <w:rPr>
          <w:szCs w:val="26"/>
        </w:rPr>
        <w:t>Mark H. Epstein</w:t>
      </w:r>
      <w:r>
        <w:rPr>
          <w:szCs w:val="26"/>
        </w:rPr>
        <w:t xml:space="preserve">, Judge.  </w:t>
      </w:r>
      <w:r w:rsidR="00D5731F" w:rsidRPr="00AC39D5">
        <w:rPr>
          <w:szCs w:val="26"/>
        </w:rPr>
        <w:t>Affirmed.</w:t>
      </w:r>
    </w:p>
    <w:p w14:paraId="40CDE93A" w14:textId="77777777" w:rsidR="00DE0332" w:rsidRDefault="00DE0332" w:rsidP="00DE0332">
      <w:r>
        <w:rPr>
          <w:szCs w:val="26"/>
        </w:rPr>
        <w:tab/>
      </w:r>
      <w:r w:rsidR="00E456DA">
        <w:rPr>
          <w:szCs w:val="26"/>
        </w:rPr>
        <w:t xml:space="preserve">Carlton Fields, Harvey W. Geller, and Steven B. Weisburd </w:t>
      </w:r>
      <w:r w:rsidRPr="4B156465">
        <w:t xml:space="preserve">for </w:t>
      </w:r>
      <w:r w:rsidR="00E456DA">
        <w:t>Plaintiff</w:t>
      </w:r>
      <w:r w:rsidR="00E30890" w:rsidRPr="4B156465">
        <w:t xml:space="preserve"> </w:t>
      </w:r>
      <w:r w:rsidRPr="4B156465">
        <w:t>and Appellant</w:t>
      </w:r>
      <w:r>
        <w:rPr>
          <w:szCs w:val="26"/>
        </w:rPr>
        <w:t>.</w:t>
      </w:r>
    </w:p>
    <w:p w14:paraId="71C33F63" w14:textId="77777777" w:rsidR="00B56A26" w:rsidRDefault="00DE0332" w:rsidP="00DE0332">
      <w:pPr>
        <w:rPr>
          <w:szCs w:val="26"/>
        </w:rPr>
      </w:pPr>
      <w:r>
        <w:rPr>
          <w:szCs w:val="26"/>
        </w:rPr>
        <w:tab/>
      </w:r>
      <w:r w:rsidR="00B56A26">
        <w:rPr>
          <w:szCs w:val="26"/>
        </w:rPr>
        <w:t>Wilson Sonsini Goodrich &amp; Rosati, Susan K. Leader, Conor D. Tucker, and Stephanie V. Balitzer for Defendant and Respondent William Morris Endeavor Entertainment, LLC.</w:t>
      </w:r>
    </w:p>
    <w:p w14:paraId="36793588" w14:textId="11908ECE" w:rsidR="00DE0332" w:rsidRDefault="00E456DA" w:rsidP="00B56A26">
      <w:pPr>
        <w:ind w:firstLine="720"/>
        <w:rPr>
          <w:szCs w:val="26"/>
        </w:rPr>
      </w:pPr>
      <w:r>
        <w:rPr>
          <w:szCs w:val="26"/>
        </w:rPr>
        <w:t>Shapiro Arato Bach, Cynthia S. Arato, Julian S. Brod, and Avery D. Medjuck</w:t>
      </w:r>
      <w:r w:rsidR="00E30890">
        <w:rPr>
          <w:szCs w:val="26"/>
        </w:rPr>
        <w:t xml:space="preserve"> for </w:t>
      </w:r>
      <w:r>
        <w:rPr>
          <w:szCs w:val="26"/>
        </w:rPr>
        <w:t>Defendant</w:t>
      </w:r>
      <w:r w:rsidR="00DE0332">
        <w:rPr>
          <w:szCs w:val="26"/>
        </w:rPr>
        <w:t xml:space="preserve"> and Respondent</w:t>
      </w:r>
      <w:r>
        <w:rPr>
          <w:szCs w:val="26"/>
        </w:rPr>
        <w:t xml:space="preserve"> Big Grrrl Big Touring, Inc.</w:t>
      </w:r>
    </w:p>
    <w:p w14:paraId="6307659D" w14:textId="58A12FD5" w:rsidR="00FF029B" w:rsidRDefault="00FF029B" w:rsidP="00DE0332">
      <w:pPr>
        <w:rPr>
          <w:szCs w:val="26"/>
        </w:rPr>
      </w:pPr>
      <w:r>
        <w:rPr>
          <w:szCs w:val="26"/>
        </w:rPr>
        <w:lastRenderedPageBreak/>
        <w:tab/>
        <w:t>Law Offices of Max J. Sprecher</w:t>
      </w:r>
      <w:r w:rsidR="00F57458">
        <w:rPr>
          <w:szCs w:val="26"/>
        </w:rPr>
        <w:t>,</w:t>
      </w:r>
      <w:r>
        <w:rPr>
          <w:szCs w:val="26"/>
        </w:rPr>
        <w:t xml:space="preserve"> Max J. Sprecher; Meloni &amp; McCaffrey, and Robert S. Meloni for Defendants and Respondents Starry US Touring Inc. and Kali Uchis Touring, Inc.</w:t>
      </w:r>
    </w:p>
    <w:p w14:paraId="2DD2359E" w14:textId="2C946667" w:rsidR="008151B7" w:rsidRDefault="00F57458" w:rsidP="00A12FED">
      <w:pPr>
        <w:spacing w:after="240"/>
        <w:jc w:val="center"/>
        <w:rPr>
          <w:szCs w:val="26"/>
        </w:rPr>
      </w:pPr>
      <w:r>
        <w:rPr>
          <w:szCs w:val="26"/>
        </w:rPr>
        <w:t>___________________________________</w:t>
      </w:r>
    </w:p>
    <w:p w14:paraId="7341EBAA" w14:textId="69FAAA60" w:rsidR="004C3404" w:rsidRDefault="000633FB" w:rsidP="00BC0E21">
      <w:pPr>
        <w:ind w:firstLine="720"/>
      </w:pPr>
      <w:r>
        <w:t>Plaintiff and appellant VFLA Eventco, LLC (VFLA) sued defendants and respondents Starry US Touring, Inc. (Starry US), Kali Uchis Touring, Inc. (Kali Uchis Touring), Big Grrrl Big</w:t>
      </w:r>
      <w:r w:rsidR="00F57458">
        <w:t xml:space="preserve"> </w:t>
      </w:r>
      <w:r>
        <w:t>Touring, Inc. (Big Grrrl), and William Morris Endeavor Entertainment</w:t>
      </w:r>
      <w:r w:rsidR="00ED7E5C">
        <w:t>,</w:t>
      </w:r>
      <w:r>
        <w:t xml:space="preserve"> LLC (WME) for various causes of action related to $6 million in deposits paid to secure the performances of Ellie Goulding, Kali Uchis, and Lizzo </w:t>
      </w:r>
      <w:r w:rsidR="00374961">
        <w:t>at VFLA’s</w:t>
      </w:r>
      <w:r>
        <w:t xml:space="preserve"> music festival </w:t>
      </w:r>
      <w:r w:rsidR="00374961">
        <w:t xml:space="preserve">scheduled </w:t>
      </w:r>
      <w:r>
        <w:t>for June 2020.</w:t>
      </w:r>
      <w:r w:rsidR="00190FD6">
        <w:rPr>
          <w:rStyle w:val="FootnoteReference"/>
        </w:rPr>
        <w:footnoteReference w:id="1"/>
      </w:r>
      <w:r>
        <w:t xml:space="preserve">  </w:t>
      </w:r>
    </w:p>
    <w:p w14:paraId="7D092D04" w14:textId="24EC1E48" w:rsidR="004C3404" w:rsidRDefault="002F43CB" w:rsidP="004C3404">
      <w:pPr>
        <w:widowControl w:val="0"/>
        <w:ind w:firstLine="720"/>
      </w:pPr>
      <w:r>
        <w:t>A</w:t>
      </w:r>
      <w:r w:rsidR="004C3404">
        <w:t xml:space="preserve">s a result of the COVID-19 pandemic and in compliance with the government restrictions meant to mitigate the pandemic, </w:t>
      </w:r>
      <w:r w:rsidR="00BA2F9D">
        <w:t xml:space="preserve">VFLA cancelled </w:t>
      </w:r>
      <w:r>
        <w:t xml:space="preserve">the festival </w:t>
      </w:r>
      <w:r w:rsidR="004C3404">
        <w:t>and</w:t>
      </w:r>
      <w:r w:rsidR="000633FB">
        <w:t xml:space="preserve"> demanded the return of the deposits </w:t>
      </w:r>
      <w:r>
        <w:t xml:space="preserve">from WME, who </w:t>
      </w:r>
      <w:r w:rsidR="004C3404">
        <w:t xml:space="preserve">negotiated the performance contracts and </w:t>
      </w:r>
      <w:r w:rsidR="00BA2F9D">
        <w:t xml:space="preserve">held the deposits </w:t>
      </w:r>
      <w:r>
        <w:t xml:space="preserve">as the </w:t>
      </w:r>
      <w:r w:rsidR="00290273">
        <w:t>artist</w:t>
      </w:r>
      <w:r>
        <w:t xml:space="preserve">s’ agent.  </w:t>
      </w:r>
      <w:r w:rsidR="000633FB">
        <w:t xml:space="preserve">VFLA </w:t>
      </w:r>
      <w:r w:rsidR="00922A00">
        <w:t>claimed its right to</w:t>
      </w:r>
      <w:r w:rsidR="00BA2F9D">
        <w:t xml:space="preserve"> the deposits </w:t>
      </w:r>
      <w:r w:rsidR="000633FB">
        <w:t xml:space="preserve">under </w:t>
      </w:r>
      <w:r w:rsidR="004C3404">
        <w:t>the</w:t>
      </w:r>
      <w:r w:rsidR="000F0692">
        <w:t xml:space="preserve"> force majeure provision in the</w:t>
      </w:r>
      <w:r w:rsidR="00116D7A">
        <w:t xml:space="preserve"> </w:t>
      </w:r>
      <w:r w:rsidR="00BA2F9D">
        <w:t xml:space="preserve">parties’ </w:t>
      </w:r>
      <w:r w:rsidR="00116D7A">
        <w:t>performance contracts</w:t>
      </w:r>
      <w:r w:rsidR="00BA2F9D">
        <w:t xml:space="preserve">, </w:t>
      </w:r>
      <w:r w:rsidR="003A0266">
        <w:t xml:space="preserve">which </w:t>
      </w:r>
      <w:r w:rsidR="000F0692">
        <w:t>determin</w:t>
      </w:r>
      <w:r w:rsidR="003A0266">
        <w:t>ed</w:t>
      </w:r>
      <w:r w:rsidR="00BA2F9D">
        <w:t xml:space="preserve"> </w:t>
      </w:r>
      <w:r w:rsidR="004C3404">
        <w:t>the parties’</w:t>
      </w:r>
      <w:r w:rsidR="00411864">
        <w:t xml:space="preserve"> </w:t>
      </w:r>
      <w:r w:rsidR="00C712B2">
        <w:t>rights</w:t>
      </w:r>
      <w:r w:rsidR="00411864">
        <w:t xml:space="preserve"> to the </w:t>
      </w:r>
      <w:r w:rsidR="000F0692">
        <w:t>deposits</w:t>
      </w:r>
      <w:r w:rsidR="00411864">
        <w:t xml:space="preserve"> in the event of </w:t>
      </w:r>
      <w:r w:rsidR="00872B19">
        <w:t>a force majeure cancellation</w:t>
      </w:r>
      <w:r w:rsidR="00411864">
        <w:t xml:space="preserve">.  </w:t>
      </w:r>
      <w:r w:rsidR="000633FB">
        <w:t xml:space="preserve">The </w:t>
      </w:r>
      <w:r w:rsidR="003A0266">
        <w:t>artists</w:t>
      </w:r>
      <w:r w:rsidR="000633FB">
        <w:t xml:space="preserve"> refused </w:t>
      </w:r>
      <w:r w:rsidR="008B2383">
        <w:t xml:space="preserve">VFLA’s demand, </w:t>
      </w:r>
      <w:r w:rsidR="00411864">
        <w:t xml:space="preserve">claiming VFLA bore the risk of </w:t>
      </w:r>
      <w:r w:rsidR="0002538F">
        <w:t xml:space="preserve">a </w:t>
      </w:r>
      <w:r w:rsidR="00411864">
        <w:t xml:space="preserve">cancellation due </w:t>
      </w:r>
      <w:r w:rsidR="00872B19">
        <w:t>to</w:t>
      </w:r>
      <w:r w:rsidR="00411864">
        <w:t xml:space="preserve"> the pandemic.  </w:t>
      </w:r>
    </w:p>
    <w:p w14:paraId="1D539F91" w14:textId="61FB0CC3" w:rsidR="00290273" w:rsidRDefault="00411864" w:rsidP="00F82A49">
      <w:pPr>
        <w:widowControl w:val="0"/>
        <w:ind w:firstLine="720"/>
      </w:pPr>
      <w:r>
        <w:t>VFLA sued</w:t>
      </w:r>
      <w:r w:rsidR="00C712B2">
        <w:t xml:space="preserve"> the artists</w:t>
      </w:r>
      <w:r>
        <w:t xml:space="preserve"> for breach of contract and breach of the implied covenant of good faith and fair dealing.  VFLA also sued WME for conversion, money had and received,</w:t>
      </w:r>
      <w:r w:rsidR="00DD22FD">
        <w:t xml:space="preserve"> unfair business </w:t>
      </w:r>
      <w:r w:rsidR="00DD22FD">
        <w:lastRenderedPageBreak/>
        <w:t>practices,</w:t>
      </w:r>
      <w:r>
        <w:t xml:space="preserve"> and declaratory relief.  </w:t>
      </w:r>
      <w:r w:rsidR="000633FB">
        <w:t xml:space="preserve">The trial court granted summary judgment in favor of the </w:t>
      </w:r>
      <w:r w:rsidR="00872B19">
        <w:t>artists</w:t>
      </w:r>
      <w:r w:rsidR="000633FB">
        <w:t xml:space="preserve"> and WME, finding VFLA</w:t>
      </w:r>
      <w:r w:rsidR="00116D7A">
        <w:t xml:space="preserve"> </w:t>
      </w:r>
      <w:r w:rsidR="000633FB">
        <w:t xml:space="preserve">bore the risk of </w:t>
      </w:r>
      <w:r w:rsidR="00116D7A">
        <w:t>the festival’s cancellation,</w:t>
      </w:r>
      <w:r w:rsidR="000633FB">
        <w:t xml:space="preserve"> and that WME could not be held liable </w:t>
      </w:r>
      <w:r w:rsidR="00290273">
        <w:t>as an agent for the actions of its principals</w:t>
      </w:r>
      <w:r w:rsidR="000633FB">
        <w:t xml:space="preserve">.  </w:t>
      </w:r>
    </w:p>
    <w:p w14:paraId="797F7133" w14:textId="52C3833F" w:rsidR="00DE0332" w:rsidRDefault="000633FB" w:rsidP="000F3192">
      <w:pPr>
        <w:ind w:firstLine="720"/>
      </w:pPr>
      <w:r>
        <w:t xml:space="preserve">For the reasons stated below, we </w:t>
      </w:r>
      <w:r w:rsidR="004C3404">
        <w:t xml:space="preserve">hold the trial court properly granted </w:t>
      </w:r>
      <w:r w:rsidR="00290273">
        <w:t xml:space="preserve">summary judgment </w:t>
      </w:r>
      <w:r w:rsidR="004C3404">
        <w:t>in favor of the artists and WME</w:t>
      </w:r>
      <w:r w:rsidR="00872B19">
        <w:t>.  The</w:t>
      </w:r>
      <w:r w:rsidR="00035BB7">
        <w:t> </w:t>
      </w:r>
      <w:r w:rsidR="00872B19">
        <w:t xml:space="preserve">force majeure provision is not reasonably susceptible to VFLA’s interpretation, and, in any event, the parol evidence favors the artists.  </w:t>
      </w:r>
      <w:r w:rsidR="004C3404">
        <w:t>Further, w</w:t>
      </w:r>
      <w:r w:rsidR="00C712B2">
        <w:t>e also hold</w:t>
      </w:r>
      <w:r w:rsidR="00290273">
        <w:t xml:space="preserve"> t</w:t>
      </w:r>
      <w:r w:rsidR="00872B19">
        <w:t xml:space="preserve">he artists’ interpretation </w:t>
      </w:r>
      <w:r w:rsidR="00C712B2">
        <w:t xml:space="preserve">does not work </w:t>
      </w:r>
      <w:r w:rsidR="00872B19">
        <w:t xml:space="preserve">an invalid forfeiture or make the </w:t>
      </w:r>
      <w:r w:rsidR="00C712B2">
        <w:t xml:space="preserve">performance </w:t>
      </w:r>
      <w:r w:rsidR="00872B19">
        <w:t>contract</w:t>
      </w:r>
      <w:r w:rsidR="00C712B2">
        <w:t>s</w:t>
      </w:r>
      <w:r w:rsidR="00872B19">
        <w:t xml:space="preserve"> unlawful.  </w:t>
      </w:r>
      <w:r w:rsidR="00290273">
        <w:t xml:space="preserve">Since VFLA conceded </w:t>
      </w:r>
      <w:r w:rsidR="004C3404">
        <w:t xml:space="preserve">that, </w:t>
      </w:r>
      <w:r w:rsidR="00290273">
        <w:t xml:space="preserve">if the artists prevailed, WME should prevail as well, we affirm </w:t>
      </w:r>
      <w:r w:rsidR="00872B19">
        <w:t>the judgment in its entirety.</w:t>
      </w:r>
    </w:p>
    <w:p w14:paraId="2926A7D7" w14:textId="77777777" w:rsidR="002E3C3B" w:rsidRPr="00B47944" w:rsidRDefault="002E3C3B" w:rsidP="000F3192">
      <w:pPr>
        <w:spacing w:before="120"/>
        <w:jc w:val="center"/>
        <w:rPr>
          <w:b/>
        </w:rPr>
      </w:pPr>
      <w:r w:rsidRPr="00B47944">
        <w:rPr>
          <w:b/>
        </w:rPr>
        <w:t>BACKGROUND</w:t>
      </w:r>
    </w:p>
    <w:p w14:paraId="6D9FC711" w14:textId="4F9A64C7" w:rsidR="00E24C73" w:rsidRDefault="000B4987" w:rsidP="00F13C95">
      <w:pPr>
        <w:spacing w:before="120"/>
        <w:rPr>
          <w:b/>
          <w:bCs/>
        </w:rPr>
      </w:pPr>
      <w:r w:rsidRPr="000B4987">
        <w:rPr>
          <w:b/>
          <w:bCs/>
        </w:rPr>
        <w:t>I.</w:t>
      </w:r>
      <w:r w:rsidRPr="000B4987">
        <w:rPr>
          <w:b/>
          <w:bCs/>
        </w:rPr>
        <w:tab/>
        <w:t xml:space="preserve">Virgin Fest </w:t>
      </w:r>
      <w:r w:rsidR="00E24C73">
        <w:rPr>
          <w:b/>
          <w:bCs/>
        </w:rPr>
        <w:t xml:space="preserve">and </w:t>
      </w:r>
      <w:r w:rsidR="00922A00">
        <w:rPr>
          <w:b/>
          <w:bCs/>
        </w:rPr>
        <w:t xml:space="preserve">the </w:t>
      </w:r>
      <w:r w:rsidRPr="000B4987">
        <w:rPr>
          <w:b/>
          <w:bCs/>
        </w:rPr>
        <w:t xml:space="preserve">performance contracts </w:t>
      </w:r>
    </w:p>
    <w:p w14:paraId="4B01B5C0" w14:textId="71AD4CAA" w:rsidR="000633FB" w:rsidRPr="000B4987" w:rsidRDefault="00BB0694" w:rsidP="00E24C73">
      <w:pPr>
        <w:rPr>
          <w:b/>
          <w:bCs/>
        </w:rPr>
      </w:pPr>
      <w:r w:rsidRPr="000B4987">
        <w:rPr>
          <w:b/>
          <w:bCs/>
        </w:rPr>
        <w:tab/>
      </w:r>
      <w:r w:rsidR="000633FB">
        <w:t>In December 2019, VFLA publicly announced Virgin Fest Los</w:t>
      </w:r>
      <w:r w:rsidR="00542B2E">
        <w:t> </w:t>
      </w:r>
      <w:r w:rsidR="000633FB">
        <w:t>Angeles (Virgin Fest), a two-day music festival, scheduled for June 2020 in Los Angeles.</w:t>
      </w:r>
      <w:r w:rsidR="000633FB">
        <w:rPr>
          <w:rStyle w:val="FootnoteReference"/>
        </w:rPr>
        <w:footnoteReference w:id="2"/>
      </w:r>
      <w:r w:rsidR="000633FB">
        <w:t xml:space="preserve">  In February and March 2020, VFLA entered into performance contracts with Starry US, Kali Uchis Touring, and Big Grrrl to secure the performances of </w:t>
      </w:r>
      <w:r w:rsidR="00290273">
        <w:t xml:space="preserve">Ellie </w:t>
      </w:r>
      <w:r w:rsidR="000633FB">
        <w:t xml:space="preserve">Goulding, Kali Uchis, and Lizzo respectively.  </w:t>
      </w:r>
    </w:p>
    <w:p w14:paraId="3529B9B5" w14:textId="43C5C875" w:rsidR="000B4987" w:rsidRDefault="003A0266" w:rsidP="000633FB">
      <w:pPr>
        <w:ind w:firstLine="720"/>
      </w:pPr>
      <w:r>
        <w:t>As</w:t>
      </w:r>
      <w:r w:rsidR="00C663F1">
        <w:t xml:space="preserve"> the </w:t>
      </w:r>
      <w:r>
        <w:t>artist</w:t>
      </w:r>
      <w:r w:rsidR="00C663F1">
        <w:t xml:space="preserve">s’ agent, </w:t>
      </w:r>
      <w:r w:rsidR="000633FB">
        <w:t xml:space="preserve">WME negotiated the </w:t>
      </w:r>
      <w:r w:rsidR="00C663F1">
        <w:t>performance contracts</w:t>
      </w:r>
      <w:r w:rsidR="000633FB">
        <w:t xml:space="preserve"> with VFLA</w:t>
      </w:r>
      <w:r w:rsidR="000B4987">
        <w:t>.</w:t>
      </w:r>
      <w:r w:rsidR="000633FB">
        <w:t xml:space="preserve">  </w:t>
      </w:r>
      <w:r w:rsidR="000B4987" w:rsidRPr="000B4987">
        <w:t xml:space="preserve">The performance contracts contained a “Role of Agent” provision, providing:  “[WME] acts only as agent for Producer and assumes no liability hereunder and in furtherance thereof and for the benefit of [WME], it is agreed that neither Purchaser nor Producer/Artist will name or join [WME] . . . </w:t>
      </w:r>
      <w:r w:rsidR="00243331">
        <w:t xml:space="preserve">as </w:t>
      </w:r>
      <w:r w:rsidR="000B4987" w:rsidRPr="000B4987">
        <w:t xml:space="preserve">a </w:t>
      </w:r>
      <w:r w:rsidR="000B4987" w:rsidRPr="000B4987">
        <w:lastRenderedPageBreak/>
        <w:t>party in any civil action or suit anywhere in the world</w:t>
      </w:r>
      <w:r w:rsidR="00243331">
        <w:t>,</w:t>
      </w:r>
      <w:r w:rsidR="000B4987" w:rsidRPr="000B4987">
        <w:t xml:space="preserve"> arising out of, in connection with, or related to any acts of commission or omission pursuant to or in connection with this Agreement by either Purchaser or Producer/Artist.</w:t>
      </w:r>
      <w:r w:rsidR="00D465E5">
        <w:t>”</w:t>
      </w:r>
      <w:r w:rsidR="00313671">
        <w:rPr>
          <w:rStyle w:val="FootnoteReference"/>
        </w:rPr>
        <w:footnoteReference w:id="3"/>
      </w:r>
      <w:r w:rsidR="00542B2E">
        <w:t xml:space="preserve">  </w:t>
      </w:r>
    </w:p>
    <w:p w14:paraId="1BA66E01" w14:textId="756A73CB" w:rsidR="000633FB" w:rsidRDefault="000633FB" w:rsidP="000633FB">
      <w:pPr>
        <w:ind w:firstLine="720"/>
      </w:pPr>
      <w:r>
        <w:t xml:space="preserve">Each </w:t>
      </w:r>
      <w:r w:rsidR="00C663F1">
        <w:t xml:space="preserve">performance contract </w:t>
      </w:r>
      <w:r w:rsidR="000B4987">
        <w:t xml:space="preserve">also </w:t>
      </w:r>
      <w:r w:rsidR="00C663F1">
        <w:t>i</w:t>
      </w:r>
      <w:r>
        <w:t>ncluded an identical addendum titled the “Virgin Fest Los Angeles</w:t>
      </w:r>
      <w:r w:rsidR="00542B2E">
        <w:t>—</w:t>
      </w:r>
      <w:r>
        <w:t xml:space="preserve">Festival Rider” (the Virgin Fest riders).  The Virgin Fest riders contained a force majeure provision, </w:t>
      </w:r>
      <w:r w:rsidR="00290273">
        <w:t>providing</w:t>
      </w:r>
      <w:r>
        <w:t>:  “A ‘Force Majeure Event’ means any act beyond the reasonable control of Producer, Artist, or Purchaser which makes any performance by Artist impossible, infeasible, or unsafe (including, but not limited to, acts of God, terrorism, failure or delay of transportation, death, illness, or injury of Artist or Artist’s immediate family (e.g.</w:t>
      </w:r>
      <w:r w:rsidR="00D02091">
        <w:t>,</w:t>
      </w:r>
      <w:r>
        <w:t xml:space="preserve"> spouses, siblings, children, parents), and civil disorder).  In the event of cancelation due to Force Majeure then all parties will be fully excused and there shall be no claim for damages, and subject to the terms set forth herein, Producer shall return any deposit amount(s) (i.e., any amount paid to Producer pursuant to the Performance Contract prior to payment of the Balance) previously received (unless otherwise agreed).  However, if the Artist is otherwise ready, willing, and able to perform Purchaser will pay Producer the full Guarantee unless such cancellation is the result of Artist’s death, illness, or injury, or that of its immediate family, in which case Producer shall return such </w:t>
      </w:r>
      <w:r>
        <w:lastRenderedPageBreak/>
        <w:t xml:space="preserve">applicable pro-rata portion of the Guarantee previously received unless otherwise agreed.”  </w:t>
      </w:r>
    </w:p>
    <w:p w14:paraId="5A4F8B44" w14:textId="51885184" w:rsidR="00115780" w:rsidRDefault="000633FB" w:rsidP="000633FB">
      <w:pPr>
        <w:ind w:firstLine="720"/>
      </w:pPr>
      <w:r>
        <w:t xml:space="preserve">WME’s representative, Steve Gaches, and VFLA’s representative, Tim Epstein, negotiated the Virgin Fest riders.  </w:t>
      </w:r>
      <w:r w:rsidR="003A0266">
        <w:t>Gaches and Epstein</w:t>
      </w:r>
      <w:r>
        <w:t xml:space="preserve"> had negotiated</w:t>
      </w:r>
      <w:r w:rsidR="003A0266">
        <w:t xml:space="preserve"> festival</w:t>
      </w:r>
      <w:r>
        <w:t xml:space="preserve"> riders</w:t>
      </w:r>
      <w:r w:rsidR="003A0266">
        <w:t xml:space="preserve"> in the past</w:t>
      </w:r>
      <w:r>
        <w:t xml:space="preserve">, </w:t>
      </w:r>
      <w:r w:rsidR="004D154A">
        <w:t>including</w:t>
      </w:r>
      <w:r>
        <w:t xml:space="preserve"> a</w:t>
      </w:r>
      <w:r w:rsidR="003A0266">
        <w:t xml:space="preserve"> recent festival</w:t>
      </w:r>
      <w:r>
        <w:t xml:space="preserve"> rider for </w:t>
      </w:r>
      <w:r w:rsidR="00C712B2">
        <w:t>the Baja Beach festival in Mexico</w:t>
      </w:r>
      <w:r>
        <w:t xml:space="preserve"> (</w:t>
      </w:r>
      <w:r w:rsidR="00C712B2">
        <w:t xml:space="preserve">the </w:t>
      </w:r>
      <w:r>
        <w:t>Baja Beach rider)</w:t>
      </w:r>
      <w:r w:rsidR="00C712B2">
        <w:t xml:space="preserve">.  Gaches and Epstein used the Baja Beach rider </w:t>
      </w:r>
      <w:r w:rsidR="00115780">
        <w:t>as a starting point for the Virgin Fest rider</w:t>
      </w:r>
      <w:r>
        <w:t xml:space="preserve">.  </w:t>
      </w:r>
    </w:p>
    <w:p w14:paraId="5AD6DB60" w14:textId="3D7C05BD" w:rsidR="000633FB" w:rsidRDefault="000633FB" w:rsidP="000633FB">
      <w:pPr>
        <w:ind w:firstLine="720"/>
      </w:pPr>
      <w:r>
        <w:t xml:space="preserve">The original draft of the </w:t>
      </w:r>
      <w:r w:rsidR="00290273">
        <w:t xml:space="preserve">Baja Beach rider’s </w:t>
      </w:r>
      <w:r>
        <w:t xml:space="preserve">force majeure provision </w:t>
      </w:r>
      <w:r w:rsidR="00290273">
        <w:t xml:space="preserve">read: </w:t>
      </w:r>
      <w:r>
        <w:t xml:space="preserve"> “A ‘Force Majeure Event’ means any act beyond the reasonable control of Producer, Artist, or Purchaser which makes any performance by Artist impossible, infeasible, or unsafe (including, but not limited to, acts of God, terrorism, failure or delay of transportation, death, illness, or injury of Artist or Artist’s immediate family and civil disorder</w:t>
      </w:r>
      <w:r w:rsidR="002116B4" w:rsidRPr="009A60BD">
        <w:t>[)]</w:t>
      </w:r>
      <w:r>
        <w:t xml:space="preserve">.  In the event of cancellation due to Force Majeure then all parties will be fully excused and there shall be no claims for damages.  </w:t>
      </w:r>
      <w:r w:rsidR="00A652D2">
        <w:t>However,</w:t>
      </w:r>
      <w:r>
        <w:t xml:space="preserve"> if the Artist has commenced performance prior to such cancellation, Purchaser will pay Producer the full Guarantee.”</w:t>
      </w:r>
      <w:r w:rsidR="00FC62E1">
        <w:t xml:space="preserve">  </w:t>
      </w:r>
    </w:p>
    <w:p w14:paraId="5AB42AD8" w14:textId="0B392F78" w:rsidR="000633FB" w:rsidRDefault="000633FB" w:rsidP="000633FB">
      <w:pPr>
        <w:ind w:firstLine="720"/>
      </w:pPr>
      <w:r>
        <w:t>Gaches invited Epstein to make edits</w:t>
      </w:r>
      <w:r w:rsidR="003269BC">
        <w:t xml:space="preserve"> to the draft</w:t>
      </w:r>
      <w:r w:rsidR="00290273">
        <w:t xml:space="preserve"> Baja Beach rider</w:t>
      </w:r>
      <w:r>
        <w:t xml:space="preserve">.  Epstein sent back a redline version of the draft, </w:t>
      </w:r>
      <w:r w:rsidR="00C712B2">
        <w:t xml:space="preserve">which </w:t>
      </w:r>
      <w:r w:rsidR="003269BC">
        <w:t>contain</w:t>
      </w:r>
      <w:r w:rsidR="00C712B2">
        <w:t>ed</w:t>
      </w:r>
      <w:r>
        <w:t xml:space="preserve"> the following italicized changes to the force majeure provision.  “In the event of cancel</w:t>
      </w:r>
      <w:r w:rsidR="00374961">
        <w:t>[l]</w:t>
      </w:r>
      <w:r>
        <w:t xml:space="preserve">ation due to Force Majeure </w:t>
      </w:r>
      <w:r w:rsidR="00DB6703">
        <w:t>then</w:t>
      </w:r>
      <w:r>
        <w:t xml:space="preserve"> all parties will be fully excused and there shall be no claim for damages, </w:t>
      </w:r>
      <w:r>
        <w:rPr>
          <w:i/>
          <w:iCs/>
        </w:rPr>
        <w:t xml:space="preserve">and subject to the terms set forth herein, Producer shall return any deposit amount(s) </w:t>
      </w:r>
      <w:r w:rsidRPr="00FC62E1">
        <w:t>(</w:t>
      </w:r>
      <w:r>
        <w:rPr>
          <w:i/>
          <w:iCs/>
        </w:rPr>
        <w:t>i.e., any amount paid to Producer pursuant to the Performance Agreement prior to payment of the Balance</w:t>
      </w:r>
      <w:r w:rsidRPr="00FC62E1">
        <w:t>)</w:t>
      </w:r>
      <w:r>
        <w:rPr>
          <w:i/>
          <w:iCs/>
        </w:rPr>
        <w:t xml:space="preserve"> previously received </w:t>
      </w:r>
      <w:r w:rsidRPr="00FC62E1">
        <w:t>(</w:t>
      </w:r>
      <w:r>
        <w:rPr>
          <w:i/>
          <w:iCs/>
        </w:rPr>
        <w:t>unless otherwise agreed</w:t>
      </w:r>
      <w:r w:rsidRPr="000F3192">
        <w:t>).</w:t>
      </w:r>
      <w:r>
        <w:t xml:space="preserve">  However if the Artist has commenced performance </w:t>
      </w:r>
      <w:r w:rsidRPr="00FC62E1">
        <w:t>(</w:t>
      </w:r>
      <w:r>
        <w:rPr>
          <w:i/>
          <w:iCs/>
        </w:rPr>
        <w:t>i.e., performance at the venue</w:t>
      </w:r>
      <w:r w:rsidRPr="00FC62E1">
        <w:t>)</w:t>
      </w:r>
      <w:r>
        <w:rPr>
          <w:i/>
          <w:iCs/>
        </w:rPr>
        <w:t xml:space="preserve"> </w:t>
      </w:r>
      <w:r>
        <w:t xml:space="preserve">prior to such cancellation, Purchaser will pay Producer the </w:t>
      </w:r>
      <w:r>
        <w:lastRenderedPageBreak/>
        <w:t xml:space="preserve">full Guarantee </w:t>
      </w:r>
      <w:r>
        <w:rPr>
          <w:i/>
          <w:iCs/>
        </w:rPr>
        <w:t>unless such cancellation is the result of Artist’s death, illness, or injury, or that of its immediate family, in which case Producer shall return such applicable pro-rata portion of the Guarantee previously received unless otherwise agreed.</w:t>
      </w:r>
      <w:r>
        <w:t>”  Gaches accepted these changes, but proposed replacing the provision that the artist</w:t>
      </w:r>
      <w:r w:rsidR="003269BC">
        <w:t>s</w:t>
      </w:r>
      <w:r>
        <w:t xml:space="preserve"> would get paid in full only if </w:t>
      </w:r>
      <w:r w:rsidR="003269BC">
        <w:t>they</w:t>
      </w:r>
      <w:r>
        <w:t xml:space="preserve"> had “commenced performance” before the </w:t>
      </w:r>
      <w:r w:rsidR="003269BC">
        <w:t xml:space="preserve">force majeure </w:t>
      </w:r>
      <w:r>
        <w:t>cancellation with a clause allowing the artist</w:t>
      </w:r>
      <w:r w:rsidR="003269BC">
        <w:t>s</w:t>
      </w:r>
      <w:r>
        <w:t xml:space="preserve"> to keep the deposit </w:t>
      </w:r>
      <w:r w:rsidR="003269BC">
        <w:t xml:space="preserve">if they were </w:t>
      </w:r>
      <w:r>
        <w:t>“</w:t>
      </w:r>
      <w:r w:rsidRPr="004C3404">
        <w:rPr>
          <w:i/>
          <w:iCs/>
        </w:rPr>
        <w:t>otherwise ready, willing and able to perform</w:t>
      </w:r>
      <w:r>
        <w:t xml:space="preserve">.”  Gaches </w:t>
      </w:r>
      <w:r w:rsidR="003269BC">
        <w:t>told Epstein the revision</w:t>
      </w:r>
      <w:r>
        <w:t xml:space="preserve"> was </w:t>
      </w:r>
      <w:r w:rsidR="00632CC6">
        <w:t xml:space="preserve">“the best we can do for this one,” indicating WME </w:t>
      </w:r>
      <w:r w:rsidR="00B466A5">
        <w:t>had</w:t>
      </w:r>
      <w:r w:rsidR="00ED793A">
        <w:t xml:space="preserve"> a</w:t>
      </w:r>
      <w:r w:rsidR="00B466A5">
        <w:t xml:space="preserve"> </w:t>
      </w:r>
      <w:r w:rsidR="00ED793A">
        <w:t>“</w:t>
      </w:r>
      <w:r w:rsidR="00B466A5">
        <w:t>new directive</w:t>
      </w:r>
      <w:r w:rsidR="00ED793A">
        <w:t>”</w:t>
      </w:r>
      <w:r w:rsidR="00B466A5">
        <w:t xml:space="preserve"> with respect to international travel shows</w:t>
      </w:r>
      <w:r w:rsidR="00632CC6">
        <w:t xml:space="preserve">.  </w:t>
      </w:r>
      <w:r w:rsidR="00B466A5">
        <w:t xml:space="preserve">Epstein agreed </w:t>
      </w:r>
      <w:r w:rsidR="003269BC">
        <w:t>to Gaches’s revision.</w:t>
      </w:r>
      <w:r w:rsidR="00B466A5">
        <w:t xml:space="preserve">  </w:t>
      </w:r>
      <w:r w:rsidR="003269BC">
        <w:t xml:space="preserve">Gaches and Epstein </w:t>
      </w:r>
      <w:r w:rsidR="004C3404">
        <w:t>then</w:t>
      </w:r>
      <w:r w:rsidR="0035770F">
        <w:t xml:space="preserve"> used </w:t>
      </w:r>
      <w:r w:rsidR="004C3404">
        <w:t xml:space="preserve">the Baja Beach rider’s </w:t>
      </w:r>
      <w:r w:rsidR="0035770F">
        <w:t xml:space="preserve">force majeure provision </w:t>
      </w:r>
      <w:r w:rsidR="004C3404">
        <w:t>for</w:t>
      </w:r>
      <w:r w:rsidR="0035770F">
        <w:t xml:space="preserve"> the </w:t>
      </w:r>
      <w:r w:rsidR="003269BC">
        <w:t>Virgin Fest rider</w:t>
      </w:r>
      <w:r w:rsidR="005B45B4">
        <w:t>s</w:t>
      </w:r>
      <w:r>
        <w:t xml:space="preserve">.  </w:t>
      </w:r>
    </w:p>
    <w:p w14:paraId="44D78FD9" w14:textId="257AFCA4" w:rsidR="003269BC" w:rsidRDefault="00D20D20" w:rsidP="00D519C2">
      <w:pPr>
        <w:ind w:firstLine="720"/>
      </w:pPr>
      <w:bookmarkStart w:id="0" w:name="_Hlk153374421"/>
      <w:r>
        <w:t>Under the terms of the performance contracts</w:t>
      </w:r>
      <w:r w:rsidR="005D7CB5">
        <w:t xml:space="preserve">, </w:t>
      </w:r>
      <w:r w:rsidR="0001510F">
        <w:t>VFLA transfer</w:t>
      </w:r>
      <w:r w:rsidR="005D7CB5">
        <w:t>red</w:t>
      </w:r>
      <w:r w:rsidR="0001510F">
        <w:t xml:space="preserve"> </w:t>
      </w:r>
      <w:r w:rsidR="00115780">
        <w:t>to WME’s trust account the sums of $400,000 for Kali Uchis, $600,000 for Goulding, and $5 million for Lizzo.</w:t>
      </w:r>
      <w:r w:rsidR="00952BBF">
        <w:t xml:space="preserve"> </w:t>
      </w:r>
      <w:r w:rsidR="00115780">
        <w:t xml:space="preserve"> </w:t>
      </w:r>
      <w:r w:rsidR="005D7CB5">
        <w:t>The performance contracts provided the deposits were nonrefundable unless otherwise agreed.  The deposits were consideration for the artists’ performance at Virgin Fest, as well as for exclusivity and advertising rights</w:t>
      </w:r>
      <w:r w:rsidR="00115780">
        <w:t>.</w:t>
      </w:r>
      <w:r w:rsidR="00952BBF">
        <w:t xml:space="preserve"> </w:t>
      </w:r>
      <w:r w:rsidR="00115780">
        <w:t xml:space="preserve"> The</w:t>
      </w:r>
      <w:r w:rsidR="005D7CB5">
        <w:t xml:space="preserve"> exclusivity rights prohibited the artists from publicly performing or announcing any public performance within a certain geographic area and within a certain period with respect to</w:t>
      </w:r>
      <w:r w:rsidR="00206817">
        <w:t xml:space="preserve"> </w:t>
      </w:r>
      <w:r w:rsidR="005D7CB5">
        <w:t>Virgin Fest</w:t>
      </w:r>
      <w:r w:rsidR="00115780">
        <w:t>.</w:t>
      </w:r>
      <w:r w:rsidR="00952BBF">
        <w:t xml:space="preserve"> </w:t>
      </w:r>
      <w:r w:rsidR="00115780">
        <w:t xml:space="preserve"> </w:t>
      </w:r>
      <w:r>
        <w:t>Each</w:t>
      </w:r>
      <w:r w:rsidR="00115780">
        <w:t xml:space="preserve"> artist also granted VFLA the right to use </w:t>
      </w:r>
      <w:r>
        <w:t>her</w:t>
      </w:r>
      <w:r w:rsidR="00115780">
        <w:t xml:space="preserve"> image, name, and likeness for Virgin Fest’s marketing and advertising materials.  </w:t>
      </w:r>
    </w:p>
    <w:p w14:paraId="49C336A9" w14:textId="36629FEE" w:rsidR="00E24C73" w:rsidRPr="00E24C73" w:rsidRDefault="00E24C73" w:rsidP="00952BBF">
      <w:pPr>
        <w:keepNext/>
        <w:spacing w:before="120"/>
        <w:ind w:left="720" w:hanging="720"/>
        <w:rPr>
          <w:b/>
          <w:bCs/>
        </w:rPr>
      </w:pPr>
      <w:r w:rsidRPr="00E24C73">
        <w:rPr>
          <w:b/>
          <w:bCs/>
        </w:rPr>
        <w:t>II.</w:t>
      </w:r>
      <w:r w:rsidRPr="00E24C73">
        <w:rPr>
          <w:b/>
          <w:bCs/>
        </w:rPr>
        <w:tab/>
        <w:t>Virgin Fest</w:t>
      </w:r>
      <w:r>
        <w:rPr>
          <w:b/>
          <w:bCs/>
        </w:rPr>
        <w:t>’s</w:t>
      </w:r>
      <w:r w:rsidRPr="00E24C73">
        <w:rPr>
          <w:b/>
          <w:bCs/>
        </w:rPr>
        <w:t xml:space="preserve"> cancellation and VFLA’s demand for the deposits</w:t>
      </w:r>
    </w:p>
    <w:bookmarkEnd w:id="0"/>
    <w:p w14:paraId="0DC8EC89" w14:textId="5D0A7441" w:rsidR="000633FB" w:rsidRDefault="000633FB" w:rsidP="000633FB">
      <w:r>
        <w:tab/>
        <w:t xml:space="preserve">In March 2020, the State of California and the County and the City of Los Angeles </w:t>
      </w:r>
      <w:r w:rsidR="00340C33">
        <w:t>issued a series of orders</w:t>
      </w:r>
      <w:r>
        <w:t xml:space="preserve"> to limit the spread </w:t>
      </w:r>
      <w:r>
        <w:lastRenderedPageBreak/>
        <w:t>of COVID-19, including the City of Los Angeles</w:t>
      </w:r>
      <w:r w:rsidR="00425518">
        <w:t xml:space="preserve">’s </w:t>
      </w:r>
      <w:r>
        <w:t xml:space="preserve">various “Safer at Home” orders.  </w:t>
      </w:r>
      <w:r w:rsidR="00340C33">
        <w:t xml:space="preserve">The </w:t>
      </w:r>
      <w:r w:rsidR="00206817">
        <w:t xml:space="preserve">orders prohibited “all indoor and outdoor public and private gatherings and events.” </w:t>
      </w:r>
      <w:r w:rsidR="00340C33">
        <w:t xml:space="preserve"> </w:t>
      </w:r>
      <w:r>
        <w:t xml:space="preserve">On May 8, 2020, the City of Los Angeles informed VFLA that it would be extending an existing Safer at Home order “to a future date to be determined” and that Virgin Fest </w:t>
      </w:r>
      <w:r w:rsidR="00ED77A3">
        <w:t>would “</w:t>
      </w:r>
      <w:r>
        <w:t>not be allowed as originally planned</w:t>
      </w:r>
      <w:r w:rsidR="00206817">
        <w:t>”</w:t>
      </w:r>
      <w:r>
        <w:t xml:space="preserve"> </w:t>
      </w:r>
      <w:r w:rsidR="00206817">
        <w:t>for June 2020</w:t>
      </w:r>
      <w:r>
        <w:t xml:space="preserve">.  The next day, VFLA </w:t>
      </w:r>
      <w:r w:rsidR="00340C33">
        <w:t>publicly announced</w:t>
      </w:r>
      <w:r>
        <w:t xml:space="preserve"> that “</w:t>
      </w:r>
      <w:r w:rsidR="008D2971">
        <w:t>[</w:t>
      </w:r>
      <w:r>
        <w:t>a</w:t>
      </w:r>
      <w:r w:rsidR="008D2971">
        <w:t>]</w:t>
      </w:r>
      <w:r>
        <w:t xml:space="preserve">s a result of the governmental restrictions and mandates resulting from the </w:t>
      </w:r>
      <w:r w:rsidR="008D2971">
        <w:t>[</w:t>
      </w:r>
      <w:r>
        <w:t>COVID-19</w:t>
      </w:r>
      <w:r w:rsidR="008D2971">
        <w:t>]</w:t>
      </w:r>
      <w:r>
        <w:t xml:space="preserve"> pandemic, </w:t>
      </w:r>
      <w:r w:rsidR="008D2971">
        <w:t>[</w:t>
      </w:r>
      <w:r>
        <w:t>Virgin Fest</w:t>
      </w:r>
      <w:r w:rsidR="008D2971">
        <w:t>]</w:t>
      </w:r>
      <w:r>
        <w:t xml:space="preserve"> in Los Angeles is prevented from proceeding as scheduled next month.”  </w:t>
      </w:r>
    </w:p>
    <w:p w14:paraId="7026EC3A" w14:textId="0B20214C" w:rsidR="000633FB" w:rsidRDefault="00206817" w:rsidP="000633FB">
      <w:pPr>
        <w:ind w:firstLine="720"/>
      </w:pPr>
      <w:r>
        <w:t>Thereafter</w:t>
      </w:r>
      <w:r w:rsidR="000633FB">
        <w:t xml:space="preserve">, VFLA </w:t>
      </w:r>
      <w:r w:rsidR="007919E6">
        <w:t>demanded</w:t>
      </w:r>
      <w:r w:rsidR="00340C33">
        <w:t xml:space="preserve"> the </w:t>
      </w:r>
      <w:r w:rsidR="008639A3">
        <w:t xml:space="preserve">return of </w:t>
      </w:r>
      <w:r w:rsidR="00340C33">
        <w:t>deposits</w:t>
      </w:r>
      <w:r w:rsidR="007919E6">
        <w:t xml:space="preserve"> from</w:t>
      </w:r>
      <w:r w:rsidR="000633FB">
        <w:t xml:space="preserve"> WME</w:t>
      </w:r>
      <w:r w:rsidR="00E7739E">
        <w:t>,</w:t>
      </w:r>
      <w:r w:rsidR="00A55234">
        <w:t xml:space="preserve"> </w:t>
      </w:r>
      <w:r w:rsidR="00E7739E">
        <w:t>taking</w:t>
      </w:r>
      <w:r w:rsidR="00340C33">
        <w:t xml:space="preserve"> the position that the </w:t>
      </w:r>
      <w:r w:rsidR="004078D0">
        <w:t>government</w:t>
      </w:r>
      <w:r w:rsidR="00D20D20">
        <w:t xml:space="preserve">’s </w:t>
      </w:r>
      <w:r w:rsidR="004078D0">
        <w:t>orders and underlying COVID-19 pandemic conditions qualified as a force majeure event</w:t>
      </w:r>
      <w:r w:rsidR="00BE14C1">
        <w:t>, making</w:t>
      </w:r>
      <w:r w:rsidR="004078D0">
        <w:t xml:space="preserve"> the artists’ performances impossible, and that, accordingly, the deposits should be returned</w:t>
      </w:r>
      <w:r w:rsidR="00E7739E">
        <w:t>.</w:t>
      </w:r>
      <w:r w:rsidR="000633FB">
        <w:t xml:space="preserve">  </w:t>
      </w:r>
      <w:r w:rsidR="00A55234">
        <w:t>VFLA also</w:t>
      </w:r>
      <w:r w:rsidR="00955708">
        <w:t xml:space="preserve"> informed </w:t>
      </w:r>
      <w:r w:rsidR="00A55234">
        <w:t>all performers</w:t>
      </w:r>
      <w:r w:rsidR="005D41C5">
        <w:t>,</w:t>
      </w:r>
      <w:r w:rsidR="00A55234">
        <w:t xml:space="preserve"> who were represented by WME and who were contracted to perform at Virgin Fest</w:t>
      </w:r>
      <w:r w:rsidR="005D41C5">
        <w:t>,</w:t>
      </w:r>
      <w:r w:rsidR="00955708">
        <w:t xml:space="preserve"> that it would </w:t>
      </w:r>
      <w:r w:rsidR="00D519C2">
        <w:t>take legal action</w:t>
      </w:r>
      <w:r w:rsidR="00955708">
        <w:t xml:space="preserve"> if the</w:t>
      </w:r>
      <w:r w:rsidR="00D519C2">
        <w:t xml:space="preserve"> deposits were not returned</w:t>
      </w:r>
      <w:r w:rsidR="00955708">
        <w:t xml:space="preserve">. </w:t>
      </w:r>
      <w:r w:rsidR="00A55234">
        <w:t xml:space="preserve"> </w:t>
      </w:r>
      <w:r w:rsidR="00955708">
        <w:t xml:space="preserve">Each </w:t>
      </w:r>
      <w:r w:rsidR="00E7739E">
        <w:t xml:space="preserve">WME </w:t>
      </w:r>
      <w:r w:rsidR="00955708">
        <w:t>client</w:t>
      </w:r>
      <w:r w:rsidR="00E7739E">
        <w:t xml:space="preserve"> </w:t>
      </w:r>
      <w:r w:rsidR="005D41C5">
        <w:t>returned</w:t>
      </w:r>
      <w:r w:rsidR="00955708">
        <w:t xml:space="preserve"> the deposits to VFLA except for </w:t>
      </w:r>
      <w:r w:rsidR="00E7739E">
        <w:t>Ellie Goulding, Kali Uchis, and Lizzo</w:t>
      </w:r>
      <w:r w:rsidR="00955708">
        <w:t xml:space="preserve">, who </w:t>
      </w:r>
      <w:r w:rsidR="005D41C5">
        <w:t xml:space="preserve">disputed VFLA’s interpretation of the </w:t>
      </w:r>
      <w:r w:rsidR="00955708">
        <w:t>force majeure provision</w:t>
      </w:r>
      <w:r w:rsidR="00E7739E">
        <w:t>.</w:t>
      </w:r>
      <w:r w:rsidR="00955708">
        <w:t xml:space="preserve">  </w:t>
      </w:r>
    </w:p>
    <w:p w14:paraId="5105BEF5" w14:textId="051675C2" w:rsidR="00E24C73" w:rsidRPr="00E24C73" w:rsidRDefault="00E24C73" w:rsidP="000F3192">
      <w:pPr>
        <w:spacing w:before="120"/>
        <w:rPr>
          <w:b/>
          <w:bCs/>
        </w:rPr>
      </w:pPr>
      <w:r w:rsidRPr="00E24C73">
        <w:rPr>
          <w:b/>
          <w:bCs/>
        </w:rPr>
        <w:t>III.</w:t>
      </w:r>
      <w:r w:rsidRPr="00E24C73">
        <w:rPr>
          <w:b/>
          <w:bCs/>
        </w:rPr>
        <w:tab/>
        <w:t>Procedural history</w:t>
      </w:r>
    </w:p>
    <w:p w14:paraId="20417092" w14:textId="4702D635" w:rsidR="000633FB" w:rsidRDefault="000633FB" w:rsidP="000633FB">
      <w:pPr>
        <w:ind w:firstLine="720"/>
      </w:pPr>
      <w:r>
        <w:t xml:space="preserve">In response, VFLA sued the </w:t>
      </w:r>
      <w:r w:rsidR="005870E3">
        <w:t>artists</w:t>
      </w:r>
      <w:r>
        <w:t xml:space="preserve"> for breach of contract and breach of the implied covenant of good faith and fair dealing.  VFLA also sued WME for conversion, money had and received, violating Business and Professions Code section 17200, and declaratory relief.  </w:t>
      </w:r>
    </w:p>
    <w:p w14:paraId="0988627D" w14:textId="67C664DF" w:rsidR="000633FB" w:rsidRDefault="005D41C5" w:rsidP="000633FB">
      <w:pPr>
        <w:ind w:firstLine="720"/>
      </w:pPr>
      <w:r>
        <w:t>After extensive discovery, t</w:t>
      </w:r>
      <w:r w:rsidR="000633FB">
        <w:t xml:space="preserve">he </w:t>
      </w:r>
      <w:r w:rsidR="005870E3">
        <w:t>artists</w:t>
      </w:r>
      <w:r w:rsidR="000633FB">
        <w:t xml:space="preserve"> and WME moved for summary judgment.  VFLA </w:t>
      </w:r>
      <w:r w:rsidR="00DD22FD">
        <w:t xml:space="preserve">also </w:t>
      </w:r>
      <w:r w:rsidR="000633FB">
        <w:t>moved for summary adjudication o</w:t>
      </w:r>
      <w:r w:rsidR="005870E3">
        <w:t>n</w:t>
      </w:r>
      <w:r w:rsidR="000633FB">
        <w:t xml:space="preserve"> its breach of contract cause of action against the </w:t>
      </w:r>
      <w:r w:rsidR="005870E3">
        <w:t>artist</w:t>
      </w:r>
      <w:r w:rsidR="000633FB">
        <w:t xml:space="preserve">s.  The </w:t>
      </w:r>
      <w:r w:rsidR="005870E3">
        <w:lastRenderedPageBreak/>
        <w:t>artist</w:t>
      </w:r>
      <w:r w:rsidR="000633FB">
        <w:t xml:space="preserve">s argued </w:t>
      </w:r>
      <w:r w:rsidR="005870E3">
        <w:t xml:space="preserve">the proper inquiry </w:t>
      </w:r>
      <w:r>
        <w:t xml:space="preserve">under the force majeure provision </w:t>
      </w:r>
      <w:r w:rsidR="00D519C2">
        <w:t>in determining</w:t>
      </w:r>
      <w:r w:rsidR="005870E3">
        <w:t xml:space="preserve"> whether they were entitled to keep the deposits was </w:t>
      </w:r>
      <w:r w:rsidR="000633FB">
        <w:t>whether the</w:t>
      </w:r>
      <w:r w:rsidR="002D0B4C">
        <w:t xml:space="preserve">y </w:t>
      </w:r>
      <w:r w:rsidR="000633FB">
        <w:t xml:space="preserve">were ready, willing, and able to perform but for the force majeure event.  </w:t>
      </w:r>
      <w:r w:rsidR="00DD22FD">
        <w:t>T</w:t>
      </w:r>
      <w:r w:rsidR="000633FB">
        <w:t>he</w:t>
      </w:r>
      <w:r w:rsidR="005870E3">
        <w:t>y claimed</w:t>
      </w:r>
      <w:r w:rsidR="00882F82">
        <w:t>, among other things,</w:t>
      </w:r>
      <w:r w:rsidR="000633FB">
        <w:t xml:space="preserve"> the term “otherwise” meant “apart from” and was not susceptible to any other interpretation in light of the </w:t>
      </w:r>
      <w:r w:rsidR="005870E3">
        <w:t xml:space="preserve">force majeure provision’s </w:t>
      </w:r>
      <w:r w:rsidR="000633FB">
        <w:t>“death</w:t>
      </w:r>
      <w:r w:rsidR="00DD22FD">
        <w:t xml:space="preserve">, illness, or </w:t>
      </w:r>
      <w:r w:rsidR="000633FB">
        <w:t xml:space="preserve">injury” exception.  </w:t>
      </w:r>
    </w:p>
    <w:p w14:paraId="503719E5" w14:textId="5436C6A1" w:rsidR="000633FB" w:rsidRDefault="000633FB" w:rsidP="000633FB">
      <w:pPr>
        <w:ind w:firstLine="720"/>
      </w:pPr>
      <w:r>
        <w:t xml:space="preserve">VFLA </w:t>
      </w:r>
      <w:r w:rsidR="00882F82">
        <w:t>claimed</w:t>
      </w:r>
      <w:r>
        <w:t xml:space="preserve"> the force majeure provision’s “otherwise ready, willing, and able” </w:t>
      </w:r>
      <w:r w:rsidR="00882F82">
        <w:t>condition</w:t>
      </w:r>
      <w:r>
        <w:t xml:space="preserve"> meant the artist</w:t>
      </w:r>
      <w:r w:rsidR="00A22C43">
        <w:t>s</w:t>
      </w:r>
      <w:r>
        <w:t xml:space="preserve"> w</w:t>
      </w:r>
      <w:r w:rsidR="00A22C43">
        <w:t>ere</w:t>
      </w:r>
      <w:r>
        <w:t xml:space="preserve"> ready, willing, and able </w:t>
      </w:r>
      <w:r w:rsidR="00EC3E54">
        <w:t xml:space="preserve">to perform </w:t>
      </w:r>
      <w:r w:rsidR="00DD22FD">
        <w:t>“</w:t>
      </w:r>
      <w:r>
        <w:t>in spite of</w:t>
      </w:r>
      <w:r w:rsidR="00DD22FD">
        <w:t>”</w:t>
      </w:r>
      <w:r>
        <w:t xml:space="preserve"> the force majeure event.  Therefore, because the</w:t>
      </w:r>
      <w:r w:rsidR="00DD22FD">
        <w:t xml:space="preserve"> </w:t>
      </w:r>
      <w:r w:rsidR="00882F82">
        <w:t xml:space="preserve">government orders and underlying </w:t>
      </w:r>
      <w:r w:rsidR="00DD22FD">
        <w:t>COVID-19 pandemic prevented the</w:t>
      </w:r>
      <w:r>
        <w:t xml:space="preserve"> artists</w:t>
      </w:r>
      <w:r w:rsidR="00DD22FD">
        <w:t>’ performances, the artists</w:t>
      </w:r>
      <w:r>
        <w:t xml:space="preserve"> could not </w:t>
      </w:r>
      <w:r w:rsidR="00882F82">
        <w:t>satisfy</w:t>
      </w:r>
      <w:r>
        <w:t xml:space="preserve"> the condition they were </w:t>
      </w:r>
      <w:r w:rsidR="00DD22FD">
        <w:t>“</w:t>
      </w:r>
      <w:r>
        <w:t xml:space="preserve">ready, willing, and able to perform.”  </w:t>
      </w:r>
      <w:bookmarkStart w:id="1" w:name="_Hlk153376738"/>
      <w:r w:rsidR="00DD22FD">
        <w:t xml:space="preserve">VFLA also </w:t>
      </w:r>
      <w:r w:rsidR="00882F82">
        <w:t>claimed</w:t>
      </w:r>
      <w:r w:rsidR="00DD22FD">
        <w:t xml:space="preserve"> the </w:t>
      </w:r>
      <w:r w:rsidR="00882F82">
        <w:t>artists</w:t>
      </w:r>
      <w:r w:rsidR="00DD22FD">
        <w:t xml:space="preserve">’ </w:t>
      </w:r>
      <w:r w:rsidR="00882F82">
        <w:t xml:space="preserve">“but for” </w:t>
      </w:r>
      <w:r w:rsidR="00DD22FD">
        <w:t xml:space="preserve">interpretation resulted in an unlawful forfeiture and </w:t>
      </w:r>
      <w:r w:rsidR="005D41C5">
        <w:t>made the performance contracts unlawful.</w:t>
      </w:r>
      <w:r w:rsidR="00DD22FD">
        <w:t xml:space="preserve">  </w:t>
      </w:r>
    </w:p>
    <w:bookmarkEnd w:id="1"/>
    <w:p w14:paraId="6CE940C7" w14:textId="66A9530D" w:rsidR="000633FB" w:rsidRDefault="00DD22FD" w:rsidP="000633FB">
      <w:pPr>
        <w:ind w:firstLine="720"/>
      </w:pPr>
      <w:r>
        <w:t>WME filed its own motion for summary judgment, arguing,</w:t>
      </w:r>
      <w:r w:rsidR="000633FB">
        <w:t xml:space="preserve"> among other things, it was not liable as the </w:t>
      </w:r>
      <w:r w:rsidR="000945AD">
        <w:t>artist</w:t>
      </w:r>
      <w:r w:rsidR="000633FB">
        <w:t xml:space="preserve">s’ agent for what was essentially a contract dispute between VFLA and the </w:t>
      </w:r>
      <w:r w:rsidR="000945AD">
        <w:t>artist</w:t>
      </w:r>
      <w:r w:rsidR="000633FB">
        <w:t xml:space="preserve">s.  </w:t>
      </w:r>
      <w:r w:rsidR="000945AD">
        <w:t>WME</w:t>
      </w:r>
      <w:r>
        <w:t xml:space="preserve"> further argued </w:t>
      </w:r>
      <w:r w:rsidR="000945AD">
        <w:t>it could not be held liable for its principals’ decisions to not return the deposits because WME’s conduct was not independently wrongful or tortious.</w:t>
      </w:r>
      <w:r w:rsidR="000633FB">
        <w:t xml:space="preserve">  </w:t>
      </w:r>
    </w:p>
    <w:p w14:paraId="4B670349" w14:textId="7249C5E0" w:rsidR="00D8540F" w:rsidRDefault="000633FB" w:rsidP="000633FB">
      <w:pPr>
        <w:ind w:firstLine="720"/>
      </w:pPr>
      <w:r>
        <w:t xml:space="preserve">The trial court granted </w:t>
      </w:r>
      <w:r w:rsidR="009D0D5A">
        <w:t>the artists’ and WME’s motions for summary judgment and denied VFLA’s motion for summary adjudication.</w:t>
      </w:r>
      <w:r>
        <w:t xml:space="preserve">  It </w:t>
      </w:r>
      <w:r w:rsidR="009D0D5A">
        <w:t>hel</w:t>
      </w:r>
      <w:r>
        <w:t>d</w:t>
      </w:r>
      <w:r w:rsidR="009D0D5A">
        <w:t xml:space="preserve"> the artist</w:t>
      </w:r>
      <w:r>
        <w:t xml:space="preserve">s’ interpretation did not result in an invalid forfeiture, nor did </w:t>
      </w:r>
      <w:r w:rsidR="00EC3E54">
        <w:t>it make the agreements unlawful</w:t>
      </w:r>
      <w:r>
        <w:t xml:space="preserve">.  In interpreting the force majeure provision, </w:t>
      </w:r>
      <w:r w:rsidR="004665EB">
        <w:t xml:space="preserve">the trial court </w:t>
      </w:r>
      <w:r w:rsidR="009D0D5A">
        <w:t xml:space="preserve">found the language </w:t>
      </w:r>
      <w:r w:rsidR="004665EB">
        <w:t xml:space="preserve">was susceptible to either VFLA’s or the artists’ interpretation, </w:t>
      </w:r>
      <w:r w:rsidR="009D0D5A">
        <w:t>and turned to</w:t>
      </w:r>
      <w:r w:rsidR="00EC3E54">
        <w:t xml:space="preserve"> </w:t>
      </w:r>
      <w:r w:rsidR="00C45AD2">
        <w:t>parol</w:t>
      </w:r>
      <w:r w:rsidR="009D0D5A">
        <w:t xml:space="preserve"> evidence.  T</w:t>
      </w:r>
      <w:r>
        <w:t>he trial court explained</w:t>
      </w:r>
      <w:r w:rsidR="003466E4">
        <w:t xml:space="preserve"> and the parties agreed</w:t>
      </w:r>
      <w:r w:rsidR="00EC3E54">
        <w:t xml:space="preserve">, since the parol evidence was </w:t>
      </w:r>
      <w:r w:rsidR="00EC3E54">
        <w:lastRenderedPageBreak/>
        <w:t xml:space="preserve">undisputed and the parties had waived their right to a jury, </w:t>
      </w:r>
      <w:r w:rsidR="002D0B4C">
        <w:t xml:space="preserve">the trial court </w:t>
      </w:r>
      <w:r>
        <w:t xml:space="preserve">could </w:t>
      </w:r>
      <w:r w:rsidR="00EC3E54">
        <w:t xml:space="preserve">choose from conflicting inferences and </w:t>
      </w:r>
      <w:r>
        <w:t xml:space="preserve">interpret the </w:t>
      </w:r>
      <w:r w:rsidR="009D0D5A">
        <w:t>performance contracts</w:t>
      </w:r>
      <w:r>
        <w:t xml:space="preserve"> as a matter of </w:t>
      </w:r>
      <w:r w:rsidR="00EC3E54">
        <w:t>law</w:t>
      </w:r>
      <w:r>
        <w:t xml:space="preserve">.  </w:t>
      </w:r>
    </w:p>
    <w:p w14:paraId="49F5DE10" w14:textId="0CEF296E" w:rsidR="000633FB" w:rsidRDefault="00EC3E54" w:rsidP="000633FB">
      <w:pPr>
        <w:ind w:firstLine="720"/>
      </w:pPr>
      <w:r>
        <w:t>The</w:t>
      </w:r>
      <w:r w:rsidR="00F72DE3">
        <w:t xml:space="preserve"> trial court </w:t>
      </w:r>
      <w:r w:rsidR="003F38A8">
        <w:t>found</w:t>
      </w:r>
      <w:r w:rsidR="00F72DE3">
        <w:t xml:space="preserve"> the original draft of the force majeure provision favored the </w:t>
      </w:r>
      <w:r w:rsidR="009160D2">
        <w:t>festival organizer</w:t>
      </w:r>
      <w:r w:rsidR="00F72DE3">
        <w:t xml:space="preserve">, </w:t>
      </w:r>
      <w:r w:rsidR="009160D2">
        <w:t>but was</w:t>
      </w:r>
      <w:r w:rsidR="00C45AD2">
        <w:t xml:space="preserve"> </w:t>
      </w:r>
      <w:r>
        <w:t>r</w:t>
      </w:r>
      <w:r w:rsidR="00F72DE3">
        <w:t>evised</w:t>
      </w:r>
      <w:r w:rsidR="009160D2">
        <w:t xml:space="preserve"> </w:t>
      </w:r>
      <w:r w:rsidR="00F72DE3">
        <w:t xml:space="preserve">to </w:t>
      </w:r>
      <w:r>
        <w:t>become</w:t>
      </w:r>
      <w:r w:rsidR="00F72DE3">
        <w:t xml:space="preserve"> more artist-friendly</w:t>
      </w:r>
      <w:r w:rsidR="009160D2">
        <w:t xml:space="preserve">, noting the artists could only keep the deposit under the original force majeure provision if they “commenced performance” </w:t>
      </w:r>
      <w:r>
        <w:t>while</w:t>
      </w:r>
      <w:r w:rsidR="009160D2">
        <w:t xml:space="preserve"> </w:t>
      </w:r>
      <w:r>
        <w:t xml:space="preserve">under the revised version, they could </w:t>
      </w:r>
      <w:r w:rsidR="009160D2">
        <w:t xml:space="preserve">keep the deposit if they </w:t>
      </w:r>
      <w:r>
        <w:t>established</w:t>
      </w:r>
      <w:r w:rsidR="009160D2">
        <w:t xml:space="preserve"> they were “otherwise ready, willing, and able to perform.”</w:t>
      </w:r>
      <w:r w:rsidR="00F72DE3">
        <w:t xml:space="preserve">  The trial court considered </w:t>
      </w:r>
      <w:r w:rsidR="00D519C2">
        <w:t>other</w:t>
      </w:r>
      <w:r w:rsidR="00F72DE3">
        <w:t xml:space="preserve"> parol evidence, but </w:t>
      </w:r>
      <w:r w:rsidR="00D519C2">
        <w:t xml:space="preserve">found it unpersuasive </w:t>
      </w:r>
      <w:r w:rsidR="00A425BC">
        <w:t xml:space="preserve">as it could support inferences </w:t>
      </w:r>
      <w:r w:rsidR="003466E4">
        <w:t>in favor of either side’s interpretation</w:t>
      </w:r>
      <w:r w:rsidR="00F72DE3">
        <w:t xml:space="preserve">.  </w:t>
      </w:r>
    </w:p>
    <w:p w14:paraId="7854DDC8" w14:textId="687F4249" w:rsidR="000633FB" w:rsidRDefault="00EC3E54" w:rsidP="000633FB">
      <w:pPr>
        <w:ind w:firstLine="720"/>
      </w:pPr>
      <w:r>
        <w:t xml:space="preserve">The trial court also decided WME’s motion on the merits even though </w:t>
      </w:r>
      <w:r w:rsidR="00934D74">
        <w:t xml:space="preserve">VFLA conceded </w:t>
      </w:r>
      <w:r w:rsidR="00A425BC">
        <w:t xml:space="preserve">WME should prevail </w:t>
      </w:r>
      <w:r>
        <w:t>i</w:t>
      </w:r>
      <w:r w:rsidR="00934D74">
        <w:t>f the artists prevailed</w:t>
      </w:r>
      <w:r w:rsidR="00A425BC">
        <w:t xml:space="preserve"> on their motion</w:t>
      </w:r>
      <w:r w:rsidR="00934D74">
        <w:t>.</w:t>
      </w:r>
      <w:r w:rsidR="000633FB">
        <w:t xml:space="preserve">  Although WME raised numerous arguments, the trial court found one determinative—WME could not be held liable</w:t>
      </w:r>
      <w:r w:rsidR="00D63AD6">
        <w:t xml:space="preserve"> as an agent</w:t>
      </w:r>
      <w:r w:rsidR="000633FB">
        <w:t xml:space="preserve"> for the actions of its principals</w:t>
      </w:r>
      <w:r w:rsidR="004665EB">
        <w:t xml:space="preserve"> under the </w:t>
      </w:r>
      <w:r>
        <w:t xml:space="preserve">performance contracts’ </w:t>
      </w:r>
      <w:r w:rsidR="004665EB">
        <w:t>role of agent provision</w:t>
      </w:r>
      <w:r>
        <w:t xml:space="preserve">.  Further, </w:t>
      </w:r>
      <w:r w:rsidR="004665EB">
        <w:t>WME had not engaged in any independently wrongful or tortious conduct</w:t>
      </w:r>
      <w:r w:rsidR="000633FB">
        <w:t>.</w:t>
      </w:r>
      <w:r w:rsidR="00F159D2">
        <w:t xml:space="preserve">  </w:t>
      </w:r>
    </w:p>
    <w:p w14:paraId="6ACD36EB" w14:textId="77777777" w:rsidR="000633FB" w:rsidRDefault="000633FB" w:rsidP="000633FB">
      <w:pPr>
        <w:ind w:firstLine="720"/>
      </w:pPr>
      <w:r>
        <w:t>VFLA appealed.</w:t>
      </w:r>
    </w:p>
    <w:p w14:paraId="5DC0B98C" w14:textId="77777777" w:rsidR="002E3C3B" w:rsidRPr="00B47944" w:rsidRDefault="002E3C3B" w:rsidP="000F3192">
      <w:pPr>
        <w:spacing w:before="240"/>
        <w:jc w:val="center"/>
        <w:rPr>
          <w:b/>
        </w:rPr>
      </w:pPr>
      <w:r w:rsidRPr="00B47944">
        <w:rPr>
          <w:b/>
        </w:rPr>
        <w:t>DISCUSSION</w:t>
      </w:r>
    </w:p>
    <w:p w14:paraId="459B2A84" w14:textId="77777777" w:rsidR="0032118E" w:rsidRPr="00577B21" w:rsidRDefault="0032118E" w:rsidP="000F3192">
      <w:pPr>
        <w:keepNext/>
        <w:keepLines/>
        <w:spacing w:before="120"/>
        <w:rPr>
          <w:b/>
          <w:bCs/>
        </w:rPr>
      </w:pPr>
      <w:r w:rsidRPr="00577B21">
        <w:rPr>
          <w:b/>
          <w:bCs/>
        </w:rPr>
        <w:t>I.</w:t>
      </w:r>
      <w:r w:rsidRPr="00577B21">
        <w:rPr>
          <w:b/>
          <w:bCs/>
        </w:rPr>
        <w:tab/>
      </w:r>
      <w:r w:rsidR="00644C7C" w:rsidRPr="00577B21">
        <w:rPr>
          <w:b/>
          <w:bCs/>
        </w:rPr>
        <w:t>Standard of review</w:t>
      </w:r>
    </w:p>
    <w:p w14:paraId="6CBAF10D" w14:textId="38D5A9CB" w:rsidR="00644C7C" w:rsidRDefault="0032118E" w:rsidP="00644C7C">
      <w:pPr>
        <w:widowControl w:val="0"/>
      </w:pPr>
      <w:r>
        <w:tab/>
      </w:r>
      <w:r w:rsidR="00644C7C">
        <w:t xml:space="preserve">Summary judgment is proper “if all the papers submitted show that there is no triable issue as to any material fact and that the moving party is entitled to a judgment as a matter of law.” </w:t>
      </w:r>
      <w:r w:rsidR="00A02F5E">
        <w:t xml:space="preserve"> </w:t>
      </w:r>
      <w:r w:rsidR="00644C7C">
        <w:t xml:space="preserve">(Code Civ. Proc., § 437c, subd. (c).) </w:t>
      </w:r>
      <w:r w:rsidR="00A02F5E">
        <w:t xml:space="preserve"> </w:t>
      </w:r>
      <w:r w:rsidR="00644C7C">
        <w:t xml:space="preserve">A </w:t>
      </w:r>
      <w:r w:rsidR="00A02F5E">
        <w:t>party</w:t>
      </w:r>
      <w:r w:rsidR="00644C7C">
        <w:t xml:space="preserve"> seeking summary judgment “bears the burden of persuasion that there is no triable issue of material fact and that he is entitled to judgment as a matter of law.” </w:t>
      </w:r>
      <w:r w:rsidR="00A02F5E">
        <w:t xml:space="preserve"> </w:t>
      </w:r>
      <w:r w:rsidR="00644C7C">
        <w:t>(</w:t>
      </w:r>
      <w:r w:rsidR="00644C7C" w:rsidRPr="00A02F5E">
        <w:rPr>
          <w:i/>
          <w:iCs/>
        </w:rPr>
        <w:t>Aguilar v. Atlantic Richfield Co.</w:t>
      </w:r>
      <w:r w:rsidR="00644C7C">
        <w:t xml:space="preserve"> (2001) 25 Cal.4th </w:t>
      </w:r>
      <w:r w:rsidR="00644C7C">
        <w:lastRenderedPageBreak/>
        <w:t xml:space="preserve">826, 850.) </w:t>
      </w:r>
      <w:r w:rsidR="00A02F5E">
        <w:t xml:space="preserve"> </w:t>
      </w:r>
      <w:r w:rsidR="00644C7C">
        <w:t xml:space="preserve">A defendant meets this burden by showing that plaintiff “has not established, and cannot reasonably expect to establish” an essential element of his claim. </w:t>
      </w:r>
      <w:r w:rsidR="00A02F5E">
        <w:t xml:space="preserve"> </w:t>
      </w:r>
      <w:r w:rsidR="00644C7C">
        <w:t>(</w:t>
      </w:r>
      <w:r w:rsidR="00644C7C" w:rsidRPr="00A02F5E">
        <w:rPr>
          <w:i/>
          <w:iCs/>
        </w:rPr>
        <w:t>Saelzler v. Advanced Group 400</w:t>
      </w:r>
      <w:r w:rsidR="00644C7C">
        <w:t xml:space="preserve"> (2001) 25 Cal.4th 763, 768.)</w:t>
      </w:r>
      <w:r w:rsidR="00F159D2">
        <w:t xml:space="preserve">  </w:t>
      </w:r>
    </w:p>
    <w:p w14:paraId="5ABE7D87" w14:textId="7457683A" w:rsidR="00340162" w:rsidRDefault="00644C7C" w:rsidP="00A02F5E">
      <w:pPr>
        <w:widowControl w:val="0"/>
        <w:ind w:firstLine="720"/>
      </w:pPr>
      <w:r>
        <w:t xml:space="preserve">We review a grant of summary judgment de novo, which means we “decide independently whether the facts not subject to triable dispute warrant judgment for the moving party as a matter of law.” </w:t>
      </w:r>
      <w:r w:rsidR="00A02F5E">
        <w:t xml:space="preserve"> </w:t>
      </w:r>
      <w:r>
        <w:t>(</w:t>
      </w:r>
      <w:r w:rsidRPr="00A02F5E">
        <w:rPr>
          <w:i/>
          <w:iCs/>
        </w:rPr>
        <w:t>Intel Corp. v. Hamidi</w:t>
      </w:r>
      <w:r>
        <w:t xml:space="preserve"> (2003) 30 Cal.4th 1342, 1348.)</w:t>
      </w:r>
      <w:r w:rsidR="00A02F5E">
        <w:t xml:space="preserve"> </w:t>
      </w:r>
      <w:r>
        <w:t xml:space="preserve"> In</w:t>
      </w:r>
      <w:r w:rsidR="00AB3295">
        <w:t> </w:t>
      </w:r>
      <w:r>
        <w:t xml:space="preserve">deciding whether a material issue of fact exists for trial, we “consider all of the evidence set forth in the papers, except the evidence to which objections have been made and sustained by the court, and all inferences reasonably deducible from the evidence.” </w:t>
      </w:r>
      <w:r w:rsidR="00676346">
        <w:t xml:space="preserve"> </w:t>
      </w:r>
      <w:r>
        <w:t>(Code Civ. Proc., § 437c, subd. (c).)</w:t>
      </w:r>
    </w:p>
    <w:p w14:paraId="331EABBA" w14:textId="5F43EE3F" w:rsidR="00FC6CFF" w:rsidRDefault="004B52F4" w:rsidP="000F3192">
      <w:pPr>
        <w:spacing w:before="120"/>
        <w:ind w:left="720" w:hanging="720"/>
        <w:rPr>
          <w:b/>
          <w:bCs/>
        </w:rPr>
      </w:pPr>
      <w:r>
        <w:rPr>
          <w:b/>
          <w:bCs/>
        </w:rPr>
        <w:t>II.</w:t>
      </w:r>
      <w:r>
        <w:rPr>
          <w:b/>
          <w:bCs/>
        </w:rPr>
        <w:tab/>
      </w:r>
      <w:r w:rsidR="00C13EDC">
        <w:rPr>
          <w:b/>
          <w:bCs/>
        </w:rPr>
        <w:t xml:space="preserve">The </w:t>
      </w:r>
      <w:r w:rsidR="00620FA7">
        <w:rPr>
          <w:b/>
          <w:bCs/>
        </w:rPr>
        <w:t>artist</w:t>
      </w:r>
      <w:r w:rsidR="00C13EDC">
        <w:rPr>
          <w:b/>
          <w:bCs/>
        </w:rPr>
        <w:t>s’</w:t>
      </w:r>
      <w:r w:rsidR="00620FA7">
        <w:rPr>
          <w:b/>
          <w:bCs/>
        </w:rPr>
        <w:t xml:space="preserve"> “but for” interpretation </w:t>
      </w:r>
      <w:r w:rsidR="00D20D20">
        <w:rPr>
          <w:b/>
          <w:bCs/>
        </w:rPr>
        <w:t xml:space="preserve">of the force majeure provision </w:t>
      </w:r>
      <w:r w:rsidR="00620FA7">
        <w:rPr>
          <w:b/>
          <w:bCs/>
        </w:rPr>
        <w:t xml:space="preserve">is the only </w:t>
      </w:r>
      <w:r w:rsidR="00D20D20">
        <w:rPr>
          <w:b/>
          <w:bCs/>
        </w:rPr>
        <w:t>reading</w:t>
      </w:r>
      <w:r w:rsidR="00620FA7">
        <w:rPr>
          <w:b/>
          <w:bCs/>
        </w:rPr>
        <w:t xml:space="preserve"> that avoids surplusage</w:t>
      </w:r>
      <w:r w:rsidR="001F6D01">
        <w:rPr>
          <w:b/>
          <w:bCs/>
        </w:rPr>
        <w:t xml:space="preserve"> and gives meaning to every clause </w:t>
      </w:r>
    </w:p>
    <w:p w14:paraId="5C52D81F" w14:textId="51451E86" w:rsidR="008823EC" w:rsidRDefault="008823EC" w:rsidP="008C42D7">
      <w:pPr>
        <w:widowControl w:val="0"/>
        <w:ind w:firstLine="720"/>
      </w:pPr>
      <w:r>
        <w:t xml:space="preserve">When interpreting a contract, we try </w:t>
      </w:r>
      <w:r w:rsidR="002C7F52">
        <w:t>“</w:t>
      </w:r>
      <w:r>
        <w:t xml:space="preserve">to give effect </w:t>
      </w:r>
      <w:r w:rsidR="002053EA">
        <w:t xml:space="preserve">to the </w:t>
      </w:r>
      <w:r>
        <w:t xml:space="preserve">mutual intention of the parties as it existed at the time of contracting, so far as </w:t>
      </w:r>
      <w:r w:rsidR="005A127B">
        <w:t>the same</w:t>
      </w:r>
      <w:r>
        <w:t xml:space="preserve"> is ascertainable and lawful.”  (Civ.</w:t>
      </w:r>
      <w:r w:rsidR="00AB105D">
        <w:t> </w:t>
      </w:r>
      <w:r>
        <w:t>Code, §</w:t>
      </w:r>
      <w:r w:rsidR="002C7F52">
        <w:t> </w:t>
      </w:r>
      <w:r>
        <w:t xml:space="preserve">1636.)  If the </w:t>
      </w:r>
      <w:r w:rsidR="009C5A9C">
        <w:t xml:space="preserve">contract </w:t>
      </w:r>
      <w:r>
        <w:t xml:space="preserve">language “is clear and explicit, and does not involve an absurdity,” the language governs the interpretation.  (Civ. Code, § 1638.)  </w:t>
      </w:r>
      <w:r w:rsidR="009C5A9C">
        <w:t>And</w:t>
      </w:r>
      <w:r>
        <w:t>, if possible</w:t>
      </w:r>
      <w:r w:rsidR="009C5A9C">
        <w:t>,</w:t>
      </w:r>
      <w:r>
        <w:t xml:space="preserve"> “[w]hen a contract is reduced to writing, the intention of the parties is to be ascertained from the writing alone.</w:t>
      </w:r>
      <w:r w:rsidR="00D20D20">
        <w:t>”</w:t>
      </w:r>
      <w:r>
        <w:t xml:space="preserve">  (Civ. Code, § 1639.)  </w:t>
      </w:r>
      <w:r w:rsidR="008B0004">
        <w:t xml:space="preserve">We interpret the contract as a whole “so as to give effect to every part, if reasonably practicable, each clause helping to interpret the other.”  (Civ. Code, § 1641.)  </w:t>
      </w:r>
      <w:r w:rsidR="002053EA">
        <w:t>We</w:t>
      </w:r>
      <w:r w:rsidR="00AB3295">
        <w:t xml:space="preserve"> </w:t>
      </w:r>
      <w:r w:rsidR="002053EA">
        <w:t>will avoid an interpretation “that leaves part of a contract as surplusage.”  (</w:t>
      </w:r>
      <w:r w:rsidR="002053EA" w:rsidRPr="008C42D7">
        <w:rPr>
          <w:i/>
          <w:iCs/>
        </w:rPr>
        <w:t>Rice v. Downs</w:t>
      </w:r>
      <w:r w:rsidR="002053EA">
        <w:t xml:space="preserve"> (2016) 248 Cal.App.4th 175, 186.)  </w:t>
      </w:r>
      <w:r w:rsidR="008B0004">
        <w:t>We</w:t>
      </w:r>
      <w:r w:rsidR="00AB3295">
        <w:t xml:space="preserve"> </w:t>
      </w:r>
      <w:r w:rsidR="00A30871">
        <w:t xml:space="preserve">also </w:t>
      </w:r>
      <w:r w:rsidR="008B0004">
        <w:t xml:space="preserve">interpret </w:t>
      </w:r>
      <w:r w:rsidR="00A30871">
        <w:t>a</w:t>
      </w:r>
      <w:r w:rsidR="008B0004">
        <w:t xml:space="preserve"> contract to “make it lawful, operative, definite, reasonable, and capable of being carried </w:t>
      </w:r>
      <w:r w:rsidR="008B0004">
        <w:lastRenderedPageBreak/>
        <w:t xml:space="preserve">into effect, if it can be done without violating the intention of the parties.”  (Civ. Code, § 1643.)  We </w:t>
      </w:r>
      <w:r w:rsidR="00A30871">
        <w:t>will also avoid interpretations that render the contract</w:t>
      </w:r>
      <w:r>
        <w:t xml:space="preserve"> </w:t>
      </w:r>
      <w:r w:rsidR="00A30871">
        <w:t>“</w:t>
      </w:r>
      <w:r>
        <w:t>unusual, extraordinary, harsh, unjust or inequitable [citations], or which would result in an absurdity.”  (</w:t>
      </w:r>
      <w:r w:rsidRPr="008823EC">
        <w:rPr>
          <w:i/>
          <w:iCs/>
        </w:rPr>
        <w:t>Harris v. Klure</w:t>
      </w:r>
      <w:r>
        <w:t xml:space="preserve"> (1962) 205</w:t>
      </w:r>
      <w:r w:rsidR="002C7F52">
        <w:t> </w:t>
      </w:r>
      <w:r>
        <w:t>Cal.App.2d 574, 578.)</w:t>
      </w:r>
      <w:r w:rsidR="008C42D7">
        <w:t xml:space="preserve">  </w:t>
      </w:r>
    </w:p>
    <w:p w14:paraId="64561136" w14:textId="3429CE1B" w:rsidR="001F6D01" w:rsidRDefault="001F6D01" w:rsidP="001F6D01">
      <w:pPr>
        <w:widowControl w:val="0"/>
        <w:ind w:firstLine="720"/>
      </w:pPr>
      <w:r>
        <w:t>Here, the force majeure provision is three sentences.  The</w:t>
      </w:r>
      <w:r w:rsidR="003B6BC5">
        <w:t xml:space="preserve"> </w:t>
      </w:r>
      <w:r>
        <w:t xml:space="preserve">first sentence defines a force majeure event as “any act beyond the reasonable control of Producer, Artist, or Purchaser which makes any performance by Artist impossible, infeasible, or unsafe.”  The </w:t>
      </w:r>
      <w:r w:rsidR="009C5A9C">
        <w:t xml:space="preserve">first </w:t>
      </w:r>
      <w:r>
        <w:t xml:space="preserve">sentence </w:t>
      </w:r>
      <w:r w:rsidR="009C5A9C">
        <w:t xml:space="preserve">then provides </w:t>
      </w:r>
      <w:r>
        <w:t>examples</w:t>
      </w:r>
      <w:r w:rsidR="009C5A9C">
        <w:t xml:space="preserve"> of a force majeure</w:t>
      </w:r>
      <w:r>
        <w:t xml:space="preserve">, including, “acts of God, terrorism, failure or delay of transportation, death, illness, or injury of Artist or Artist’s immediate family, . . . and civil disorder.”  Here, the parties do not dispute that the COVID-19 pandemic and government orders </w:t>
      </w:r>
      <w:r w:rsidR="00A425BC">
        <w:t>meet</w:t>
      </w:r>
      <w:r w:rsidR="005D41C5">
        <w:t xml:space="preserve"> the definition of a </w:t>
      </w:r>
      <w:r>
        <w:t xml:space="preserve">force majeure.  </w:t>
      </w:r>
    </w:p>
    <w:p w14:paraId="54DF28DF" w14:textId="05BBD34C" w:rsidR="001F6D01" w:rsidRDefault="001F6D01" w:rsidP="003B6BC5">
      <w:pPr>
        <w:ind w:firstLine="720"/>
      </w:pPr>
      <w:r>
        <w:t xml:space="preserve">The second sentence states the </w:t>
      </w:r>
      <w:r w:rsidR="005D41C5">
        <w:t>artists shall</w:t>
      </w:r>
      <w:r>
        <w:t xml:space="preserve"> return the deposit</w:t>
      </w:r>
      <w:r w:rsidR="005D41C5">
        <w:t>s</w:t>
      </w:r>
      <w:r>
        <w:t xml:space="preserve"> to VFLA in the event of a force majeure cancellation, </w:t>
      </w:r>
      <w:r w:rsidR="00D2766E">
        <w:t xml:space="preserve">providing: </w:t>
      </w:r>
      <w:r>
        <w:t xml:space="preserve"> “</w:t>
      </w:r>
      <w:r w:rsidR="00D2766E">
        <w:t xml:space="preserve">In the event of cancel[l]ation due to Force Majeure then </w:t>
      </w:r>
      <w:r>
        <w:t xml:space="preserve">all parties will be fully excused and there shall be no claim for damages, and subject to the terms set forth herein, Producer shall return any deposit amount(s) </w:t>
      </w:r>
      <w:r w:rsidR="00BB2A7F">
        <w:t>(</w:t>
      </w:r>
      <w:r>
        <w:t>i.e., any amount paid to Producer pursuant to the Performance Contract . . .</w:t>
      </w:r>
      <w:r w:rsidR="00BB2A7F">
        <w:t>)</w:t>
      </w:r>
      <w:r>
        <w:t xml:space="preserve"> previously received . . . unless otherwise agreed.”  Like the first sentence, the parties do not dispute the meaning of the second sentence, that is, VFLA is entitled to the deposits in the event of a force majeure cancellation unless </w:t>
      </w:r>
      <w:r w:rsidR="00DC2582">
        <w:t xml:space="preserve">another term of </w:t>
      </w:r>
      <w:r w:rsidR="00222886">
        <w:t>the performance contract applies</w:t>
      </w:r>
      <w:r>
        <w:t xml:space="preserve">. </w:t>
      </w:r>
    </w:p>
    <w:p w14:paraId="102FCE34" w14:textId="28B580EA" w:rsidR="001F6D01" w:rsidRDefault="001F6D01" w:rsidP="001F6D01">
      <w:pPr>
        <w:widowControl w:val="0"/>
        <w:ind w:firstLine="720"/>
      </w:pPr>
      <w:r>
        <w:t>The third sentence, which is at the heart of th</w:t>
      </w:r>
      <w:r w:rsidR="008D7164">
        <w:t>e parties’</w:t>
      </w:r>
      <w:r>
        <w:t xml:space="preserve"> dispute, reads:  “However, if the Artist is otherwise ready, willing, and able to perform</w:t>
      </w:r>
      <w:r w:rsidR="009C5A9C">
        <w:t>[,]</w:t>
      </w:r>
      <w:r>
        <w:t xml:space="preserve"> Purchaser will pay Producer the full Guarantee unless such cancellation is the result of Artist’s death, </w:t>
      </w:r>
      <w:r>
        <w:lastRenderedPageBreak/>
        <w:t xml:space="preserve">illness, or injury, or that of </w:t>
      </w:r>
      <w:r w:rsidR="00D0107B">
        <w:t>its</w:t>
      </w:r>
      <w:r>
        <w:t xml:space="preserve"> immediate family, in which case Producer shall return such applicable pro-rata portion of the Guarantee previously received unless otherwise agreed.”  </w:t>
      </w:r>
      <w:r w:rsidR="008D7164">
        <w:t>T</w:t>
      </w:r>
      <w:r>
        <w:t>he first part of the third sentence</w:t>
      </w:r>
      <w:r w:rsidR="008D7164">
        <w:t xml:space="preserve"> thus</w:t>
      </w:r>
      <w:r>
        <w:t xml:space="preserve"> creates an exception to when </w:t>
      </w:r>
      <w:r w:rsidR="008D7164">
        <w:t xml:space="preserve">the artist must return the deposit to </w:t>
      </w:r>
      <w:r>
        <w:t>VFLA in the event of a force majeure</w:t>
      </w:r>
      <w:r w:rsidR="008D7164">
        <w:t xml:space="preserve">, that is, when the artist can </w:t>
      </w:r>
      <w:r w:rsidR="00487D4D">
        <w:t>show</w:t>
      </w:r>
      <w:r w:rsidR="008D7164">
        <w:t xml:space="preserve"> </w:t>
      </w:r>
      <w:r w:rsidR="00487D4D">
        <w:t>he or she</w:t>
      </w:r>
      <w:r w:rsidR="008D7164">
        <w:t xml:space="preserve"> </w:t>
      </w:r>
      <w:r w:rsidR="00487D4D">
        <w:t>was</w:t>
      </w:r>
      <w:r w:rsidR="008D7164">
        <w:t xml:space="preserve"> “otherwise ready, willing, and able to perform</w:t>
      </w:r>
      <w:r>
        <w:t>.</w:t>
      </w:r>
      <w:r w:rsidR="008D7164">
        <w:t>”</w:t>
      </w:r>
      <w:r>
        <w:t xml:space="preserve">  The second part of the third sentence creates an exception to that exception, </w:t>
      </w:r>
      <w:r w:rsidR="008D7164">
        <w:t>providing</w:t>
      </w:r>
      <w:r>
        <w:t xml:space="preserve"> that the</w:t>
      </w:r>
      <w:r w:rsidR="008D7164">
        <w:t xml:space="preserve"> artist must return the</w:t>
      </w:r>
      <w:r>
        <w:t xml:space="preserve"> deposit to VFLA </w:t>
      </w:r>
      <w:r w:rsidR="008D7164">
        <w:t xml:space="preserve">when </w:t>
      </w:r>
      <w:r>
        <w:t>the force majeure</w:t>
      </w:r>
      <w:r w:rsidR="008D7164">
        <w:t xml:space="preserve"> cancellation is a result of the</w:t>
      </w:r>
      <w:r w:rsidR="00487D4D">
        <w:t xml:space="preserve"> artist</w:t>
      </w:r>
      <w:r w:rsidR="00915957">
        <w:t>’s</w:t>
      </w:r>
      <w:r w:rsidR="008D7164">
        <w:t xml:space="preserve"> “death, illness, or injury, or that of </w:t>
      </w:r>
      <w:r w:rsidR="00D0107B">
        <w:t>its</w:t>
      </w:r>
      <w:r w:rsidR="008D7164">
        <w:t xml:space="preserve"> immediate family.”</w:t>
      </w:r>
      <w:r>
        <w:t xml:space="preserve">  </w:t>
      </w:r>
    </w:p>
    <w:p w14:paraId="06BA4CCF" w14:textId="3320CC82" w:rsidR="00207350" w:rsidRDefault="00381EBC" w:rsidP="00C3330C">
      <w:pPr>
        <w:widowControl w:val="0"/>
        <w:ind w:firstLine="720"/>
      </w:pPr>
      <w:r>
        <w:t xml:space="preserve">The parties’ disagreement over the force majeure provision and the determination of which party </w:t>
      </w:r>
      <w:r w:rsidR="00E0277B">
        <w:t>keeps</w:t>
      </w:r>
      <w:r>
        <w:t xml:space="preserve"> the deposit in the event of a force majeure cancellation can be summarized as follows.  </w:t>
      </w:r>
    </w:p>
    <w:p w14:paraId="7D52C72C" w14:textId="03D889B3" w:rsidR="00207350" w:rsidRDefault="00D2766E" w:rsidP="00C3330C">
      <w:pPr>
        <w:widowControl w:val="0"/>
        <w:ind w:firstLine="720"/>
      </w:pPr>
      <w:r>
        <w:t>T</w:t>
      </w:r>
      <w:r w:rsidR="00381EBC">
        <w:t xml:space="preserve">he artists claim their right to the deposits is conditioned on them demonstrating they were “ready, willing, and able to perform” </w:t>
      </w:r>
      <w:r w:rsidR="00381EBC" w:rsidRPr="00487D4D">
        <w:rPr>
          <w:i/>
          <w:iCs/>
        </w:rPr>
        <w:t>but for</w:t>
      </w:r>
      <w:r w:rsidR="00381EBC">
        <w:t xml:space="preserve"> the occurrence of the force majeure</w:t>
      </w:r>
      <w:r w:rsidR="00487D4D">
        <w:t xml:space="preserve"> event</w:t>
      </w:r>
      <w:r w:rsidR="00381EBC">
        <w:t xml:space="preserve">.  </w:t>
      </w:r>
      <w:r w:rsidR="00A425BC">
        <w:t xml:space="preserve">According to the artists, the word “otherwise” modifies the adjectives “ready, willing, and able,” and </w:t>
      </w:r>
      <w:r w:rsidR="008810F8">
        <w:t xml:space="preserve">when “otherwise” modifies an adjective it means “in </w:t>
      </w:r>
      <w:r w:rsidR="002302D6">
        <w:t>all ways</w:t>
      </w:r>
      <w:r w:rsidR="008810F8">
        <w:t xml:space="preserve"> except the one mentioned.” </w:t>
      </w:r>
      <w:r w:rsidR="00A425BC">
        <w:t xml:space="preserve"> </w:t>
      </w:r>
      <w:r w:rsidR="00381EBC">
        <w:t xml:space="preserve">In other words, the controlling question is, had the force majeure event </w:t>
      </w:r>
      <w:r>
        <w:t>not occurred</w:t>
      </w:r>
      <w:r w:rsidR="00381EBC">
        <w:t xml:space="preserve">, would the artists have been ready, willing, and able to perform.  </w:t>
      </w:r>
    </w:p>
    <w:p w14:paraId="1EDCA587" w14:textId="1FA26498" w:rsidR="00381EBC" w:rsidRDefault="00381EBC" w:rsidP="00F13C95">
      <w:pPr>
        <w:ind w:firstLine="720"/>
      </w:pPr>
      <w:r>
        <w:t xml:space="preserve">On the other </w:t>
      </w:r>
      <w:r w:rsidR="000C6A34">
        <w:t>hand</w:t>
      </w:r>
      <w:r>
        <w:t xml:space="preserve">, VFLA claims the artists’ right to retain the deposits is conditioned on a showing that the artists were “otherwise ready, willing, and able to perform” </w:t>
      </w:r>
      <w:r w:rsidRPr="00487D4D">
        <w:rPr>
          <w:i/>
          <w:iCs/>
        </w:rPr>
        <w:t>in spite of</w:t>
      </w:r>
      <w:r>
        <w:t xml:space="preserve"> the occurrence of the force majeure.  </w:t>
      </w:r>
      <w:r w:rsidR="00D2766E">
        <w:t>In other words</w:t>
      </w:r>
      <w:r w:rsidR="00C3330C">
        <w:t>, VFLA asserts the use of the word “however” at the beginning of the third sentence</w:t>
      </w:r>
      <w:r w:rsidR="00C3330C" w:rsidRPr="00C85FB7">
        <w:t xml:space="preserve"> </w:t>
      </w:r>
      <w:r w:rsidR="00C3330C">
        <w:t xml:space="preserve">connects the “ready, willing, and able” condition to the force majeure event in the prior two sentences, meaning the artists must </w:t>
      </w:r>
      <w:r w:rsidR="00C3330C">
        <w:lastRenderedPageBreak/>
        <w:t xml:space="preserve">show they are “otherwise ready, willing, and able to perform” notwithstanding </w:t>
      </w:r>
      <w:r w:rsidR="008810F8">
        <w:t xml:space="preserve">or regardless of </w:t>
      </w:r>
      <w:r w:rsidR="00C3330C">
        <w:t xml:space="preserve">the force majeure.  </w:t>
      </w:r>
    </w:p>
    <w:p w14:paraId="7BEEDEF4" w14:textId="026C45BB" w:rsidR="00CE0FC0" w:rsidRDefault="00207350" w:rsidP="000C7832">
      <w:pPr>
        <w:ind w:firstLine="720"/>
      </w:pPr>
      <w:r>
        <w:t>We hold the artists</w:t>
      </w:r>
      <w:r w:rsidR="00D0107B">
        <w:t xml:space="preserve"> have the better</w:t>
      </w:r>
      <w:r>
        <w:t xml:space="preserve"> interpretation.</w:t>
      </w:r>
      <w:r w:rsidR="00CE0FC0" w:rsidRPr="00CE0FC0">
        <w:t xml:space="preserve"> </w:t>
      </w:r>
      <w:r w:rsidR="00CE0FC0">
        <w:t xml:space="preserve"> The artists’ interpretation is the only reading of the force majeure provision that gives effect to all three sentences, including the exception to the exception, i.e., a cancellation that is the result of a</w:t>
      </w:r>
      <w:r w:rsidR="00777F14">
        <w:t> </w:t>
      </w:r>
      <w:r w:rsidR="00CE0FC0">
        <w:t>force majeure that is the artist’s death, illness, or injury, or that of</w:t>
      </w:r>
      <w:r w:rsidR="00777F14">
        <w:t> </w:t>
      </w:r>
      <w:r w:rsidR="00CE0FC0">
        <w:t xml:space="preserve">the artist’s immediate family.  Further we hold the artists’ interpretation is the only interpretation that makes the force majeure provision capable of being carried into effect while remaining true to the parties’ intent to allow the artists to retain the deposits at least in some circumstances in the event of a force majeure cancellation.  </w:t>
      </w:r>
    </w:p>
    <w:p w14:paraId="44933AB6" w14:textId="189FC4F8" w:rsidR="00A53F94" w:rsidRDefault="00381EBC" w:rsidP="00381EBC">
      <w:pPr>
        <w:widowControl w:val="0"/>
        <w:ind w:firstLine="720"/>
      </w:pPr>
      <w:r>
        <w:t xml:space="preserve">While VFLA’s </w:t>
      </w:r>
      <w:r w:rsidR="008810F8">
        <w:t>reading</w:t>
      </w:r>
      <w:r>
        <w:t xml:space="preserve"> </w:t>
      </w:r>
      <w:r w:rsidR="00C3330C">
        <w:t xml:space="preserve">appears </w:t>
      </w:r>
      <w:r>
        <w:t>reasonable</w:t>
      </w:r>
      <w:r w:rsidR="005D41C5" w:rsidRPr="005D41C5">
        <w:t xml:space="preserve"> </w:t>
      </w:r>
      <w:r w:rsidR="005D41C5">
        <w:t>at first glance</w:t>
      </w:r>
      <w:r>
        <w:t xml:space="preserve">, it suffers from </w:t>
      </w:r>
      <w:r w:rsidR="005B0514">
        <w:t>two fundamental</w:t>
      </w:r>
      <w:r>
        <w:t xml:space="preserve"> problem</w:t>
      </w:r>
      <w:r w:rsidR="005B0514">
        <w:t>s</w:t>
      </w:r>
      <w:r>
        <w:t xml:space="preserve">.  It </w:t>
      </w:r>
      <w:r w:rsidR="00D0107B">
        <w:t xml:space="preserve">makes the force majeure provision indefinite and incapable of being carried into effect (Civ. Code, </w:t>
      </w:r>
      <w:r w:rsidR="00D0107B" w:rsidRPr="00207350">
        <w:t>§</w:t>
      </w:r>
      <w:r w:rsidR="00D0107B">
        <w:t xml:space="preserve"> 1643) and </w:t>
      </w:r>
      <w:r>
        <w:t>deprives the third sentence of any meaning</w:t>
      </w:r>
      <w:r w:rsidR="00D0107B">
        <w:t xml:space="preserve"> thus </w:t>
      </w:r>
      <w:r w:rsidR="00C3330C">
        <w:t xml:space="preserve">rendering </w:t>
      </w:r>
      <w:r>
        <w:t xml:space="preserve">it surplusage </w:t>
      </w:r>
      <w:r w:rsidR="00301FF4">
        <w:t>(</w:t>
      </w:r>
      <w:r w:rsidR="00301FF4" w:rsidRPr="008C42D7">
        <w:rPr>
          <w:i/>
          <w:iCs/>
        </w:rPr>
        <w:t>Rice v. Downs</w:t>
      </w:r>
      <w:r w:rsidR="00301FF4">
        <w:t xml:space="preserve">, </w:t>
      </w:r>
      <w:r w:rsidR="00301FF4">
        <w:rPr>
          <w:i/>
          <w:iCs/>
        </w:rPr>
        <w:t>supra</w:t>
      </w:r>
      <w:r w:rsidR="00301FF4">
        <w:t>, 248</w:t>
      </w:r>
      <w:r w:rsidR="002C7F52">
        <w:t> </w:t>
      </w:r>
      <w:r w:rsidR="00301FF4">
        <w:t>Cal.App.4th at p.</w:t>
      </w:r>
      <w:r w:rsidR="0016285A">
        <w:t> </w:t>
      </w:r>
      <w:r w:rsidR="00301FF4">
        <w:t>186)</w:t>
      </w:r>
      <w:r w:rsidR="00207350">
        <w:t>.</w:t>
      </w:r>
      <w:r w:rsidR="00301FF4">
        <w:t xml:space="preserve">  </w:t>
      </w:r>
      <w:r w:rsidR="00C3330C">
        <w:t>U</w:t>
      </w:r>
      <w:r>
        <w:t xml:space="preserve">nder VFLA’s interpretation, </w:t>
      </w:r>
      <w:r w:rsidR="00915957">
        <w:t>we are</w:t>
      </w:r>
      <w:r>
        <w:t xml:space="preserve"> un</w:t>
      </w:r>
      <w:r w:rsidR="00915957">
        <w:t>sure</w:t>
      </w:r>
      <w:r w:rsidR="00846146">
        <w:t xml:space="preserve">, and VFLA has not explained, </w:t>
      </w:r>
      <w:r>
        <w:t xml:space="preserve">how the artists could ever </w:t>
      </w:r>
      <w:r w:rsidR="00915957">
        <w:t xml:space="preserve">establish their right to the deposits by </w:t>
      </w:r>
      <w:r>
        <w:t>show</w:t>
      </w:r>
      <w:r w:rsidR="00915957">
        <w:t>ing</w:t>
      </w:r>
      <w:r>
        <w:t xml:space="preserve"> they were “ready, willing, and able to perform” </w:t>
      </w:r>
      <w:r w:rsidR="00915957">
        <w:t>in spite of</w:t>
      </w:r>
      <w:r>
        <w:t xml:space="preserve"> a force majeure </w:t>
      </w:r>
      <w:r w:rsidR="00915957">
        <w:t>event when</w:t>
      </w:r>
      <w:r>
        <w:t xml:space="preserve"> a force majeure event</w:t>
      </w:r>
      <w:r w:rsidR="00915957">
        <w:t xml:space="preserve"> is defined as</w:t>
      </w:r>
      <w:r>
        <w:t xml:space="preserve"> any act </w:t>
      </w:r>
      <w:r w:rsidR="00A53F94">
        <w:t>making</w:t>
      </w:r>
      <w:r>
        <w:t xml:space="preserve"> the artists’ performance “impossible, infeasible, </w:t>
      </w:r>
      <w:r w:rsidR="000C6A34">
        <w:t>or</w:t>
      </w:r>
      <w:r>
        <w:t xml:space="preserve"> unsafe.”</w:t>
      </w:r>
      <w:bookmarkStart w:id="2" w:name="_Hlk154748272"/>
      <w:r>
        <w:t xml:space="preserve">  </w:t>
      </w:r>
      <w:bookmarkEnd w:id="2"/>
      <w:r w:rsidR="009C5A9C">
        <w:t xml:space="preserve">This begs the question, </w:t>
      </w:r>
      <w:r w:rsidR="00A53F94">
        <w:t>in the event of a force majeure that results in cancellation of the festival</w:t>
      </w:r>
      <w:r w:rsidR="009C5A9C">
        <w:t xml:space="preserve"> or the</w:t>
      </w:r>
      <w:r w:rsidR="00D2766E">
        <w:t xml:space="preserve"> individual</w:t>
      </w:r>
      <w:r w:rsidR="009C5A9C">
        <w:t xml:space="preserve"> artists’ performances, how could the</w:t>
      </w:r>
      <w:r w:rsidR="00846146">
        <w:t xml:space="preserve"> artists</w:t>
      </w:r>
      <w:r w:rsidR="009C5A9C">
        <w:t xml:space="preserve"> ever show they were able to perform</w:t>
      </w:r>
      <w:r w:rsidR="00193853">
        <w:t xml:space="preserve"> notwithstanding the</w:t>
      </w:r>
      <w:r w:rsidR="00D2766E">
        <w:t xml:space="preserve"> occurrence of an event that made their performances impossible, infeasible, or unsafe</w:t>
      </w:r>
      <w:r w:rsidR="00301FF4">
        <w:t>?</w:t>
      </w:r>
      <w:r w:rsidR="00193853">
        <w:t xml:space="preserve">  </w:t>
      </w:r>
    </w:p>
    <w:p w14:paraId="0EE4B525" w14:textId="4F458922" w:rsidR="00774244" w:rsidRDefault="00503099" w:rsidP="00777F14">
      <w:pPr>
        <w:ind w:firstLine="720"/>
      </w:pPr>
      <w:r>
        <w:lastRenderedPageBreak/>
        <w:t>None</w:t>
      </w:r>
      <w:r w:rsidR="00381EBC">
        <w:t xml:space="preserve"> of VFLA’s </w:t>
      </w:r>
      <w:r w:rsidR="00D2766E">
        <w:t xml:space="preserve">arguments or </w:t>
      </w:r>
      <w:r w:rsidR="00381EBC">
        <w:t>hypothetical</w:t>
      </w:r>
      <w:r>
        <w:t>s</w:t>
      </w:r>
      <w:r w:rsidR="00381EBC">
        <w:t xml:space="preserve"> </w:t>
      </w:r>
      <w:r w:rsidR="00301FF4">
        <w:t>answer this question</w:t>
      </w:r>
      <w:r w:rsidR="00381EBC">
        <w:t xml:space="preserve">.  </w:t>
      </w:r>
      <w:r>
        <w:t xml:space="preserve">Nor has </w:t>
      </w:r>
      <w:r w:rsidR="00B545B0">
        <w:t xml:space="preserve">VFLA identified </w:t>
      </w:r>
      <w:r>
        <w:t xml:space="preserve">any </w:t>
      </w:r>
      <w:r w:rsidR="00D2766E">
        <w:t>scenarios</w:t>
      </w:r>
      <w:r w:rsidR="00B545B0">
        <w:t xml:space="preserve"> where the artists would definitively </w:t>
      </w:r>
      <w:r w:rsidR="00A74CE3">
        <w:t xml:space="preserve">have the right to retain </w:t>
      </w:r>
      <w:r w:rsidR="00207350">
        <w:t xml:space="preserve">the </w:t>
      </w:r>
      <w:r w:rsidR="00B545B0">
        <w:t>deposit</w:t>
      </w:r>
      <w:r w:rsidR="00A74CE3">
        <w:t>s</w:t>
      </w:r>
      <w:r w:rsidR="00B545B0">
        <w:t xml:space="preserve"> </w:t>
      </w:r>
      <w:r w:rsidR="00381EBC">
        <w:t xml:space="preserve">in the event of a force majeure cancellation.  </w:t>
      </w:r>
      <w:r w:rsidR="00915957">
        <w:t xml:space="preserve">For example, </w:t>
      </w:r>
      <w:r>
        <w:t>VFLA claims the artists “</w:t>
      </w:r>
      <w:r w:rsidRPr="00802016">
        <w:rPr>
          <w:i/>
          <w:iCs/>
        </w:rPr>
        <w:t xml:space="preserve">might </w:t>
      </w:r>
      <w:r>
        <w:t xml:space="preserve">still be able to establish they were ‘ready, willing, and able’ to perform” </w:t>
      </w:r>
      <w:r w:rsidR="00BF1D42">
        <w:t>in the face of</w:t>
      </w:r>
      <w:r>
        <w:t xml:space="preserve"> </w:t>
      </w:r>
      <w:r w:rsidR="00381EBC">
        <w:t>force majeure events such as “terrorism,” a “failure or delay of transportation</w:t>
      </w:r>
      <w:r>
        <w:t>,</w:t>
      </w:r>
      <w:r w:rsidR="00381EBC">
        <w:t xml:space="preserve">” </w:t>
      </w:r>
      <w:r w:rsidR="00E16A73">
        <w:t xml:space="preserve">or </w:t>
      </w:r>
      <w:r w:rsidR="00381EBC">
        <w:t>“civil disorder”</w:t>
      </w:r>
      <w:r w:rsidR="00E16A73">
        <w:t xml:space="preserve"> </w:t>
      </w:r>
      <w:r w:rsidR="009C5A9C">
        <w:t>which</w:t>
      </w:r>
      <w:r w:rsidR="00E16A73">
        <w:t xml:space="preserve"> “</w:t>
      </w:r>
      <w:r w:rsidR="00E16A73">
        <w:rPr>
          <w:i/>
          <w:iCs/>
        </w:rPr>
        <w:t xml:space="preserve">might </w:t>
      </w:r>
      <w:r w:rsidR="00E16A73">
        <w:t>result in the cancellation of Virgin Fest.”</w:t>
      </w:r>
      <w:r w:rsidR="00BF1D42">
        <w:t xml:space="preserve"> </w:t>
      </w:r>
      <w:r w:rsidR="00846146">
        <w:t xml:space="preserve"> </w:t>
      </w:r>
      <w:r w:rsidR="00915957">
        <w:t xml:space="preserve">Each of </w:t>
      </w:r>
      <w:r w:rsidR="008810F8">
        <w:t>these</w:t>
      </w:r>
      <w:r w:rsidR="00915957">
        <w:t xml:space="preserve"> examples hypothesize</w:t>
      </w:r>
      <w:r w:rsidR="008810F8">
        <w:t>s</w:t>
      </w:r>
      <w:r w:rsidR="00915957">
        <w:t xml:space="preserve"> a force majeure event smaller in scope than the COVID-19 pandemic</w:t>
      </w:r>
      <w:r w:rsidR="00846146">
        <w:t xml:space="preserve">, </w:t>
      </w:r>
      <w:r w:rsidR="008810F8">
        <w:t>impact</w:t>
      </w:r>
      <w:r w:rsidR="00414EB2">
        <w:t>ing</w:t>
      </w:r>
      <w:r w:rsidR="008810F8">
        <w:t xml:space="preserve"> </w:t>
      </w:r>
      <w:r w:rsidR="00846146">
        <w:t>Virgin Fest only</w:t>
      </w:r>
      <w:r w:rsidR="008810F8">
        <w:t xml:space="preserve"> </w:t>
      </w:r>
      <w:r w:rsidR="00846146">
        <w:t>indirectly</w:t>
      </w:r>
      <w:r w:rsidR="00915957">
        <w:t xml:space="preserve">.  </w:t>
      </w:r>
      <w:r w:rsidR="00846146">
        <w:t>T</w:t>
      </w:r>
      <w:r w:rsidR="00915957">
        <w:t>he problem with these examples</w:t>
      </w:r>
      <w:r w:rsidR="00846146">
        <w:t>, however,</w:t>
      </w:r>
      <w:r w:rsidR="00915957">
        <w:t xml:space="preserve"> is</w:t>
      </w:r>
      <w:r w:rsidR="00BF1D42">
        <w:t xml:space="preserve"> either VFLA decides not to cancel Virgin Fest</w:t>
      </w:r>
      <w:r w:rsidR="00E16A73">
        <w:t xml:space="preserve"> because the venue or area where Virgin Fest was set to take place is </w:t>
      </w:r>
      <w:r w:rsidR="00915957">
        <w:t>not impacted</w:t>
      </w:r>
      <w:r w:rsidR="00BF1D42">
        <w:t xml:space="preserve">, in which case the force majeure provision does not </w:t>
      </w:r>
      <w:r w:rsidR="00317B87">
        <w:t>apply</w:t>
      </w:r>
      <w:r w:rsidR="00BF1D42">
        <w:t xml:space="preserve">, or, </w:t>
      </w:r>
      <w:r w:rsidR="00E16A73">
        <w:t xml:space="preserve">if Virgin Fest </w:t>
      </w:r>
      <w:r w:rsidR="00022885">
        <w:t xml:space="preserve">or the </w:t>
      </w:r>
      <w:r w:rsidR="005F5ADB">
        <w:t>artists’</w:t>
      </w:r>
      <w:r w:rsidR="00915957">
        <w:t xml:space="preserve"> </w:t>
      </w:r>
      <w:r w:rsidR="00022885">
        <w:t>performance</w:t>
      </w:r>
      <w:r w:rsidR="00915957">
        <w:t>s</w:t>
      </w:r>
      <w:r w:rsidR="00022885">
        <w:t xml:space="preserve"> </w:t>
      </w:r>
      <w:r w:rsidR="00915957">
        <w:t>are</w:t>
      </w:r>
      <w:r w:rsidR="00E16A73">
        <w:t xml:space="preserve"> cancelled,</w:t>
      </w:r>
      <w:r w:rsidR="00BF1D42">
        <w:t xml:space="preserve"> VFLA never explains how the artists could show they were otherwise able to perform notwithstanding </w:t>
      </w:r>
      <w:r w:rsidR="00E16A73">
        <w:t>a</w:t>
      </w:r>
      <w:r w:rsidR="00BF1D42">
        <w:t xml:space="preserve"> force majeure</w:t>
      </w:r>
      <w:r w:rsidR="00915957">
        <w:t xml:space="preserve"> event</w:t>
      </w:r>
      <w:r w:rsidR="00BF1D42">
        <w:t xml:space="preserve"> </w:t>
      </w:r>
      <w:r w:rsidR="00022885">
        <w:t xml:space="preserve">that </w:t>
      </w:r>
      <w:r w:rsidR="00BF1D42">
        <w:t xml:space="preserve">rendered </w:t>
      </w:r>
      <w:r w:rsidR="00E16A73">
        <w:t>the artists’ performance</w:t>
      </w:r>
      <w:r w:rsidR="00116DE2">
        <w:t>s</w:t>
      </w:r>
      <w:r w:rsidR="00E16A73">
        <w:t xml:space="preserve"> or the festival itself </w:t>
      </w:r>
      <w:r w:rsidR="00BF1D42">
        <w:t xml:space="preserve">infeasible or unsafe. </w:t>
      </w:r>
      <w:r w:rsidR="008A61B9">
        <w:t xml:space="preserve"> </w:t>
      </w:r>
    </w:p>
    <w:p w14:paraId="5CA3F93E" w14:textId="7DCE166E" w:rsidR="00B9700B" w:rsidRDefault="00B9700B" w:rsidP="00B9700B">
      <w:pPr>
        <w:widowControl w:val="0"/>
        <w:ind w:firstLine="720"/>
      </w:pPr>
      <w:r>
        <w:t>VFLA asserts what distinguishes its hypotheticals from what occurred here is that the COVID-19 related orders had the unique effect of rendering the artists’ performances “ ‘illegal’ ” and “ ‘unlawful’ ” at the times and places set forth in the performance contracts.  According to VFLA, when the force majeure event makes the underlying performance illegal, the artists can never be “ready, willing, and able to perform.”  However, the definition of a force majeure event does not distinguish between something that makes the performances illegal versus something that makes the performances impossible, unsafe, or infeasible.  We</w:t>
      </w:r>
      <w:r w:rsidR="00CC121C">
        <w:t xml:space="preserve"> </w:t>
      </w:r>
      <w:r>
        <w:t xml:space="preserve">find VFLA’s distinction is without a difference and leads us back to the same fundamental problem with VFLA’s reading—if a force majeure </w:t>
      </w:r>
      <w:r>
        <w:lastRenderedPageBreak/>
        <w:t xml:space="preserve">event makes the artists’ performances “impossible, </w:t>
      </w:r>
      <w:r w:rsidR="00937E80">
        <w:t>infeasible</w:t>
      </w:r>
      <w:r>
        <w:t xml:space="preserve">, or unsafe,” the artist can never show how they are otherwise able to perform in the face of a force majeure.  </w:t>
      </w:r>
    </w:p>
    <w:p w14:paraId="4422B334" w14:textId="64EA893E" w:rsidR="00381EBC" w:rsidRDefault="006711F2" w:rsidP="00CC121C">
      <w:pPr>
        <w:ind w:firstLine="720"/>
      </w:pPr>
      <w:r>
        <w:t>As such</w:t>
      </w:r>
      <w:r w:rsidR="00774244">
        <w:t xml:space="preserve">, </w:t>
      </w:r>
      <w:r w:rsidR="00335CF8">
        <w:t xml:space="preserve">VFLA’s interpretation of the force majeure provision is neither definite nor capable of being carried into effect without violating the intention of the parties, which was to allow the artists to keep the deposits </w:t>
      </w:r>
      <w:r w:rsidR="00774244">
        <w:t xml:space="preserve">in </w:t>
      </w:r>
      <w:r w:rsidR="00335CF8">
        <w:t xml:space="preserve">at least some circumstances.  (See Civ. Code, § 1643.)  </w:t>
      </w:r>
    </w:p>
    <w:p w14:paraId="3FA448BA" w14:textId="71469703" w:rsidR="004A3B7C" w:rsidRDefault="00381EBC" w:rsidP="0083453B">
      <w:pPr>
        <w:ind w:firstLine="720"/>
      </w:pPr>
      <w:r>
        <w:t xml:space="preserve">The problem with VFLA’s “in spite of” interpretation becomes clearer when we consider a force majeure event that is the artists’ death, illness, or injury.  </w:t>
      </w:r>
      <w:r w:rsidR="004A3B7C">
        <w:t>VFLA’s reading is untenable considering the artists could never be “otherwise ready, willing, and able to perform” in spite of a force majeure event that was their own death, illness, or injury</w:t>
      </w:r>
      <w:r w:rsidR="00F3335A">
        <w:t xml:space="preserve">, which </w:t>
      </w:r>
      <w:r w:rsidR="00EF3828">
        <w:t>are</w:t>
      </w:r>
      <w:r w:rsidR="00F3335A">
        <w:t xml:space="preserve"> expressly defined as force majeure</w:t>
      </w:r>
      <w:r w:rsidR="003F38A8">
        <w:t>s</w:t>
      </w:r>
      <w:r w:rsidR="00F3335A">
        <w:t xml:space="preserve"> in the provision’s first sentence</w:t>
      </w:r>
      <w:r w:rsidR="004A3B7C">
        <w:t xml:space="preserve">.  </w:t>
      </w:r>
      <w:r w:rsidR="001F2804">
        <w:t>But</w:t>
      </w:r>
      <w:r w:rsidR="00F3335A">
        <w:t xml:space="preserve">, putting that logical fallacy </w:t>
      </w:r>
      <w:r w:rsidR="00EF3828">
        <w:t>a</w:t>
      </w:r>
      <w:r w:rsidR="00F3335A">
        <w:t>side</w:t>
      </w:r>
      <w:r w:rsidR="004A3B7C">
        <w:t xml:space="preserve">, VFLA’s right to the </w:t>
      </w:r>
      <w:r w:rsidR="002B2192">
        <w:t xml:space="preserve">return of </w:t>
      </w:r>
      <w:r w:rsidR="004A3B7C">
        <w:t xml:space="preserve">deposit in the event of a </w:t>
      </w:r>
      <w:r w:rsidR="00587D3E">
        <w:t xml:space="preserve">cancellation </w:t>
      </w:r>
      <w:r w:rsidR="00EF3828">
        <w:t>due</w:t>
      </w:r>
      <w:r w:rsidR="00F83F35">
        <w:t xml:space="preserve"> </w:t>
      </w:r>
      <w:r w:rsidR="00EF3828">
        <w:t>to</w:t>
      </w:r>
      <w:r w:rsidR="00587D3E">
        <w:t xml:space="preserve"> </w:t>
      </w:r>
      <w:r w:rsidR="004A3B7C">
        <w:t>the artists’ or artists’ immediate family members’ death, illness, or injury is already provided for in the first two sentences</w:t>
      </w:r>
      <w:r w:rsidR="00F3335A">
        <w:t xml:space="preserve"> of the provision</w:t>
      </w:r>
      <w:r w:rsidR="004A3B7C">
        <w:t xml:space="preserve">.  </w:t>
      </w:r>
      <w:r w:rsidR="00F3335A">
        <w:t>Thus, u</w:t>
      </w:r>
      <w:r w:rsidR="004A3B7C">
        <w:t xml:space="preserve">nder VFLA’s reading, the second part of the third sentence, i.e., the exception to the exception, adds nothing to the meaning of the force majeure provision despite </w:t>
      </w:r>
      <w:r w:rsidR="001F2804">
        <w:t>Epstein and Gaches</w:t>
      </w:r>
      <w:r w:rsidR="004A3B7C">
        <w:t xml:space="preserve"> specifically negotiating that term.  </w:t>
      </w:r>
      <w:r w:rsidR="002C1C6C">
        <w:t xml:space="preserve">Accordingly, </w:t>
      </w:r>
      <w:r w:rsidR="00774244">
        <w:t xml:space="preserve">VFLA’s interpretation makes </w:t>
      </w:r>
      <w:r w:rsidR="001F2804">
        <w:t>the</w:t>
      </w:r>
      <w:r w:rsidR="00774244">
        <w:t xml:space="preserve"> third sentence of the force majeure provision surplusage.  (</w:t>
      </w:r>
      <w:r w:rsidR="00774244" w:rsidRPr="008C42D7">
        <w:rPr>
          <w:i/>
          <w:iCs/>
        </w:rPr>
        <w:t>Rice v. Downs</w:t>
      </w:r>
      <w:r w:rsidR="00774244">
        <w:t xml:space="preserve">, </w:t>
      </w:r>
      <w:r w:rsidR="00774244">
        <w:rPr>
          <w:i/>
          <w:iCs/>
        </w:rPr>
        <w:t>supra</w:t>
      </w:r>
      <w:r w:rsidR="00774244">
        <w:t>, 248 Cal.App.4th at p.</w:t>
      </w:r>
      <w:r w:rsidR="001A1959">
        <w:t> </w:t>
      </w:r>
      <w:r w:rsidR="00774244">
        <w:t xml:space="preserve">186.)  </w:t>
      </w:r>
    </w:p>
    <w:p w14:paraId="7802F21D" w14:textId="1620125F" w:rsidR="0098615E" w:rsidRDefault="0098615E" w:rsidP="0098615E">
      <w:pPr>
        <w:widowControl w:val="0"/>
        <w:ind w:firstLine="720"/>
      </w:pPr>
      <w:r>
        <w:t>VFLA also raises its own surplusage argument, contending if the parties intended to create a “but for” test, they would have done so in one sentence</w:t>
      </w:r>
      <w:r w:rsidR="00F83F35">
        <w:t xml:space="preserve"> </w:t>
      </w:r>
      <w:r w:rsidR="0098464B">
        <w:t>reading</w:t>
      </w:r>
      <w:r w:rsidR="00F83F35">
        <w:t xml:space="preserve">:  </w:t>
      </w:r>
      <w:r>
        <w:t xml:space="preserve">“VFLA bears all risk of a force majeure cancellation except one based on the Artist’s death, illness, or injury, or that of its immediate family.”  </w:t>
      </w:r>
      <w:r w:rsidR="001C6324">
        <w:t>This</w:t>
      </w:r>
      <w:r>
        <w:t xml:space="preserve"> is not a surplusage </w:t>
      </w:r>
      <w:r>
        <w:lastRenderedPageBreak/>
        <w:t xml:space="preserve">argument, </w:t>
      </w:r>
      <w:r w:rsidR="00BA46C2">
        <w:t xml:space="preserve">but </w:t>
      </w:r>
      <w:r>
        <w:t xml:space="preserve">a claim </w:t>
      </w:r>
      <w:r w:rsidR="00BA46C2">
        <w:t>the parties could have drafted</w:t>
      </w:r>
      <w:r>
        <w:t xml:space="preserve"> the force majeure provision more clearly and concisely. </w:t>
      </w:r>
      <w:r w:rsidR="00D2766E">
        <w:t xml:space="preserve"> </w:t>
      </w:r>
      <w:r w:rsidR="002C1C6C">
        <w:t xml:space="preserve">While that is undoubtedly true, </w:t>
      </w:r>
      <w:r w:rsidR="001C6324">
        <w:t xml:space="preserve">the issue is not which party could have drafted </w:t>
      </w:r>
      <w:r w:rsidR="00CB061C">
        <w:t>a shorter more comprehensible</w:t>
      </w:r>
      <w:r w:rsidR="001C6324">
        <w:t xml:space="preserve"> force majeure provision.  </w:t>
      </w:r>
      <w:r w:rsidR="00BA46C2">
        <w:t>Indeed,</w:t>
      </w:r>
      <w:r w:rsidR="00E20EDE">
        <w:t xml:space="preserve"> VFLA’s interpretation</w:t>
      </w:r>
      <w:r w:rsidR="001C6324">
        <w:t xml:space="preserve"> could also have been one sentence that read:</w:t>
      </w:r>
      <w:r w:rsidR="00E20EDE">
        <w:t xml:space="preserve"> </w:t>
      </w:r>
      <w:r w:rsidR="005660C3">
        <w:t xml:space="preserve"> </w:t>
      </w:r>
      <w:r w:rsidR="00E20EDE">
        <w:t>“</w:t>
      </w:r>
      <w:r w:rsidR="008639A3">
        <w:t>[</w:t>
      </w:r>
      <w:r w:rsidR="00E20EDE">
        <w:t>I</w:t>
      </w:r>
      <w:r w:rsidR="008639A3">
        <w:t>]</w:t>
      </w:r>
      <w:r w:rsidR="00E20EDE">
        <w:t>n the event of</w:t>
      </w:r>
      <w:r w:rsidR="008639A3">
        <w:t xml:space="preserve"> cancellation due to</w:t>
      </w:r>
      <w:r w:rsidR="00E20EDE">
        <w:t xml:space="preserve"> force majeure, </w:t>
      </w:r>
      <w:r w:rsidR="008639A3">
        <w:t>producer shall not be paid and shall return any</w:t>
      </w:r>
      <w:r w:rsidR="00E20EDE">
        <w:t xml:space="preserve"> deposit</w:t>
      </w:r>
      <w:r w:rsidR="008639A3">
        <w:t xml:space="preserve"> amounts</w:t>
      </w:r>
      <w:r w:rsidR="00E20EDE">
        <w:t xml:space="preserve"> unless the artist is ready, willing, and able to perform in </w:t>
      </w:r>
      <w:r w:rsidR="00EC30C1">
        <w:t>the face</w:t>
      </w:r>
      <w:r w:rsidR="00E20EDE">
        <w:t xml:space="preserve"> of </w:t>
      </w:r>
      <w:r w:rsidR="001C6324">
        <w:t>the</w:t>
      </w:r>
      <w:r w:rsidR="00E20EDE">
        <w:t xml:space="preserve"> force majeure</w:t>
      </w:r>
      <w:r w:rsidR="00EC30C1">
        <w:t xml:space="preserve"> event</w:t>
      </w:r>
      <w:r w:rsidR="00E20EDE">
        <w:t xml:space="preserve">.”  </w:t>
      </w:r>
      <w:r w:rsidR="001C6324">
        <w:t>T</w:t>
      </w:r>
      <w:r w:rsidR="00E20EDE">
        <w:t xml:space="preserve">he issue is </w:t>
      </w:r>
      <w:r w:rsidR="001C6324">
        <w:t xml:space="preserve">which party’s </w:t>
      </w:r>
      <w:r w:rsidR="00E20EDE">
        <w:t>interpretation gives effect to each part of the force majeure provision and the contract as a whole</w:t>
      </w:r>
      <w:r w:rsidR="001C6324">
        <w:t xml:space="preserve">, </w:t>
      </w:r>
      <w:r w:rsidR="00911A21">
        <w:t xml:space="preserve">which </w:t>
      </w:r>
      <w:r w:rsidR="001C6324">
        <w:t xml:space="preserve">VFLA’s interpretation </w:t>
      </w:r>
      <w:r w:rsidR="00911A21">
        <w:t>cannot do</w:t>
      </w:r>
      <w:r w:rsidR="00E20EDE">
        <w:t xml:space="preserve">.  (Civ. Code, § 1641; </w:t>
      </w:r>
      <w:r w:rsidR="00E20EDE" w:rsidRPr="008C42D7">
        <w:rPr>
          <w:i/>
          <w:iCs/>
        </w:rPr>
        <w:t>Rice v. Downs</w:t>
      </w:r>
      <w:r w:rsidR="00E20EDE">
        <w:t xml:space="preserve">, </w:t>
      </w:r>
      <w:r w:rsidR="00E20EDE">
        <w:rPr>
          <w:i/>
          <w:iCs/>
        </w:rPr>
        <w:t>supra</w:t>
      </w:r>
      <w:r w:rsidR="00E20EDE">
        <w:t xml:space="preserve">, 248 Cal.App.4th at p. 186.)  </w:t>
      </w:r>
    </w:p>
    <w:p w14:paraId="2EFDF8BC" w14:textId="469D25F5" w:rsidR="00381EBC" w:rsidRDefault="00CB061C" w:rsidP="000F3192">
      <w:pPr>
        <w:ind w:firstLine="720"/>
      </w:pPr>
      <w:r>
        <w:t>Accordingly</w:t>
      </w:r>
      <w:r w:rsidR="005E3A76">
        <w:t xml:space="preserve">, we </w:t>
      </w:r>
      <w:r>
        <w:t xml:space="preserve">hold </w:t>
      </w:r>
      <w:r w:rsidR="005E3A76">
        <w:t xml:space="preserve">the artists’ “but for” </w:t>
      </w:r>
      <w:r w:rsidR="00911A21">
        <w:t xml:space="preserve">interpretation </w:t>
      </w:r>
      <w:r>
        <w:t xml:space="preserve">of the force majeure provision </w:t>
      </w:r>
      <w:r w:rsidR="00911A21">
        <w:t>is the only correct reading</w:t>
      </w:r>
      <w:r>
        <w:t xml:space="preserve"> that gives meaning to each part of the provision and </w:t>
      </w:r>
      <w:r w:rsidR="00A02788">
        <w:t>makes</w:t>
      </w:r>
      <w:r w:rsidR="00911A21">
        <w:t xml:space="preserve"> it definite and capable of being carried into effect </w:t>
      </w:r>
      <w:r>
        <w:t>while reflecting</w:t>
      </w:r>
      <w:r w:rsidR="00911A21">
        <w:t xml:space="preserve"> the intention of the parties</w:t>
      </w:r>
      <w:r w:rsidR="005E3A76">
        <w:t>.</w:t>
      </w:r>
    </w:p>
    <w:p w14:paraId="41ACA088" w14:textId="177DA0C3" w:rsidR="00DE0C10" w:rsidRPr="004A3B7C" w:rsidRDefault="004A3B7C" w:rsidP="000F3192">
      <w:pPr>
        <w:widowControl w:val="0"/>
        <w:spacing w:before="120"/>
        <w:ind w:left="720" w:hanging="720"/>
        <w:rPr>
          <w:b/>
          <w:bCs/>
        </w:rPr>
      </w:pPr>
      <w:r w:rsidRPr="004A3B7C">
        <w:rPr>
          <w:b/>
          <w:bCs/>
        </w:rPr>
        <w:t>I</w:t>
      </w:r>
      <w:r w:rsidR="00251E1F">
        <w:rPr>
          <w:b/>
          <w:bCs/>
        </w:rPr>
        <w:t>II</w:t>
      </w:r>
      <w:r w:rsidRPr="004A3B7C">
        <w:rPr>
          <w:b/>
          <w:bCs/>
        </w:rPr>
        <w:t>.</w:t>
      </w:r>
      <w:r w:rsidRPr="004A3B7C">
        <w:rPr>
          <w:b/>
          <w:bCs/>
        </w:rPr>
        <w:tab/>
        <w:t xml:space="preserve">The parol evidence </w:t>
      </w:r>
      <w:r w:rsidR="00FB0E34">
        <w:rPr>
          <w:b/>
          <w:bCs/>
        </w:rPr>
        <w:t>favors</w:t>
      </w:r>
      <w:r w:rsidRPr="004A3B7C">
        <w:rPr>
          <w:b/>
          <w:bCs/>
        </w:rPr>
        <w:t xml:space="preserve"> the artists’ “but for” interpretation</w:t>
      </w:r>
    </w:p>
    <w:p w14:paraId="75448808" w14:textId="27B816D4" w:rsidR="0052196E" w:rsidRDefault="0052196E" w:rsidP="0052196E">
      <w:pPr>
        <w:widowControl w:val="0"/>
        <w:ind w:firstLine="720"/>
      </w:pPr>
      <w:r>
        <w:t xml:space="preserve">Even assuming the force majeure provision is </w:t>
      </w:r>
      <w:r w:rsidR="00111705">
        <w:t xml:space="preserve">reasonably </w:t>
      </w:r>
      <w:r>
        <w:t xml:space="preserve">susceptible to VFLA’s interpretation, that is, the word “otherwise” </w:t>
      </w:r>
      <w:r w:rsidR="00C27845">
        <w:t xml:space="preserve">only modifies the condition that the artists are “ready, willing, and able to perform,” and </w:t>
      </w:r>
      <w:r w:rsidR="0098615E">
        <w:t xml:space="preserve">the </w:t>
      </w:r>
      <w:r w:rsidR="00C27845">
        <w:t>word “however” relates back to the force majeure</w:t>
      </w:r>
      <w:r w:rsidR="0098615E">
        <w:t xml:space="preserve">, providing the artists must show they are “ready, willing, and able” notwithstanding the force majeure, </w:t>
      </w:r>
      <w:r>
        <w:t>we would still affirm the trial court’s grant of summary judgment as the parol evidence</w:t>
      </w:r>
      <w:r w:rsidR="00B97A03">
        <w:t xml:space="preserve">, to the extent it favors either side, tends to </w:t>
      </w:r>
      <w:r w:rsidR="0098615E">
        <w:t>favor</w:t>
      </w:r>
      <w:r w:rsidR="00B97A03">
        <w:t xml:space="preserve"> </w:t>
      </w:r>
      <w:r>
        <w:t xml:space="preserve">the </w:t>
      </w:r>
      <w:r w:rsidR="0098615E">
        <w:t>artist</w:t>
      </w:r>
      <w:r>
        <w:t>s’ interpretation.</w:t>
      </w:r>
    </w:p>
    <w:p w14:paraId="2099A005" w14:textId="5B98E7C8" w:rsidR="0052196E" w:rsidRDefault="0052196E" w:rsidP="007857DA">
      <w:pPr>
        <w:widowControl w:val="0"/>
        <w:ind w:firstLine="720"/>
      </w:pPr>
      <w:r>
        <w:t xml:space="preserve">When the language in a contract is reasonably susceptible to either parties’ interpretation, the court may look to </w:t>
      </w:r>
      <w:r w:rsidR="00111705">
        <w:t xml:space="preserve">parol </w:t>
      </w:r>
      <w:r>
        <w:t xml:space="preserve">evidence, </w:t>
      </w:r>
      <w:r>
        <w:lastRenderedPageBreak/>
        <w:t xml:space="preserve">including the surrounding circumstances </w:t>
      </w:r>
      <w:r w:rsidR="00111705">
        <w:t>of the negotiations</w:t>
      </w:r>
      <w:r>
        <w:t xml:space="preserve">; the </w:t>
      </w:r>
      <w:r w:rsidR="00111705">
        <w:t xml:space="preserve">contract’s </w:t>
      </w:r>
      <w:r>
        <w:t>object, nature</w:t>
      </w:r>
      <w:r w:rsidR="00111705">
        <w:t>,</w:t>
      </w:r>
      <w:r>
        <w:t xml:space="preserve"> and subject matter; and</w:t>
      </w:r>
      <w:r w:rsidR="00111705">
        <w:t xml:space="preserve"> the parties’</w:t>
      </w:r>
      <w:r>
        <w:t xml:space="preserve"> subsequent conduct.  (</w:t>
      </w:r>
      <w:r w:rsidRPr="00AA61C0">
        <w:rPr>
          <w:i/>
          <w:iCs/>
        </w:rPr>
        <w:t>Cedars-Sinai Medical Center v. Shewry</w:t>
      </w:r>
      <w:r>
        <w:t xml:space="preserve"> (2006) 137 Cal.App.4th 964, 979–980.)  </w:t>
      </w:r>
    </w:p>
    <w:p w14:paraId="5A739E3A" w14:textId="1400C418" w:rsidR="00D21EFD" w:rsidRPr="00D21EFD" w:rsidRDefault="00D21EFD" w:rsidP="00CC121C">
      <w:pPr>
        <w:keepNext/>
        <w:spacing w:before="120"/>
        <w:ind w:left="1440" w:hanging="720"/>
        <w:rPr>
          <w:b/>
          <w:bCs/>
        </w:rPr>
      </w:pPr>
      <w:r w:rsidRPr="00D21EFD">
        <w:rPr>
          <w:b/>
          <w:bCs/>
        </w:rPr>
        <w:t>A.</w:t>
      </w:r>
      <w:r w:rsidRPr="00D21EFD">
        <w:rPr>
          <w:b/>
          <w:bCs/>
        </w:rPr>
        <w:tab/>
      </w:r>
      <w:r w:rsidR="005F5ADB">
        <w:rPr>
          <w:b/>
          <w:bCs/>
        </w:rPr>
        <w:t>VFLA has not identified material conflicts in the parol evidence</w:t>
      </w:r>
    </w:p>
    <w:p w14:paraId="09D88575" w14:textId="3CA0AA50" w:rsidR="00544D42" w:rsidRDefault="00B11A5A" w:rsidP="0052196E">
      <w:pPr>
        <w:widowControl w:val="0"/>
        <w:ind w:firstLine="720"/>
      </w:pPr>
      <w:r>
        <w:t>In looking at the parol evidence</w:t>
      </w:r>
      <w:r w:rsidR="0052196E">
        <w:t xml:space="preserve">, </w:t>
      </w:r>
      <w:r w:rsidR="00E508EB">
        <w:t xml:space="preserve">we must address </w:t>
      </w:r>
      <w:r>
        <w:t xml:space="preserve">a threshold issue identified by </w:t>
      </w:r>
      <w:r w:rsidR="00E508EB">
        <w:t>VFLA</w:t>
      </w:r>
      <w:r>
        <w:t>, which is whether</w:t>
      </w:r>
      <w:r w:rsidR="00E508EB">
        <w:t xml:space="preserve"> </w:t>
      </w:r>
      <w:r w:rsidR="00111705">
        <w:t>the trial court resolved conflicts in the parol evidence that should have been res</w:t>
      </w:r>
      <w:r>
        <w:t>erved</w:t>
      </w:r>
      <w:r w:rsidR="00111705">
        <w:t xml:space="preserve"> </w:t>
      </w:r>
      <w:r>
        <w:t>for</w:t>
      </w:r>
      <w:r w:rsidR="00111705">
        <w:t xml:space="preserve"> trial.</w:t>
      </w:r>
      <w:r w:rsidR="00544D42">
        <w:rPr>
          <w:rStyle w:val="FootnoteReference"/>
        </w:rPr>
        <w:footnoteReference w:id="4"/>
      </w:r>
      <w:r w:rsidR="00544D42">
        <w:t xml:space="preserve"> </w:t>
      </w:r>
      <w:r w:rsidR="0052196E">
        <w:t xml:space="preserve"> </w:t>
      </w:r>
    </w:p>
    <w:p w14:paraId="3DDB7C74" w14:textId="452B308E" w:rsidR="0052196E" w:rsidRDefault="007857DA" w:rsidP="00E742BC">
      <w:pPr>
        <w:ind w:firstLine="720"/>
      </w:pPr>
      <w:r>
        <w:t xml:space="preserve">In evaluating the extrinsic evidence, the court engages in a three-step </w:t>
      </w:r>
      <w:r w:rsidR="0051000A">
        <w:t>process</w:t>
      </w:r>
      <w:r>
        <w:t>.  (</w:t>
      </w:r>
      <w:r w:rsidRPr="001D1083">
        <w:rPr>
          <w:i/>
          <w:iCs/>
        </w:rPr>
        <w:t>Wolf v. Walt Disney Pictures &amp; Television</w:t>
      </w:r>
      <w:r>
        <w:t xml:space="preserve"> (2008) 162 Cal.App.4th 1107, 1126–1127 (</w:t>
      </w:r>
      <w:r>
        <w:rPr>
          <w:i/>
          <w:iCs/>
        </w:rPr>
        <w:t>Wolf</w:t>
      </w:r>
      <w:r w:rsidRPr="001B769C">
        <w:t>)</w:t>
      </w:r>
      <w:r>
        <w:t xml:space="preserve">.)  “First, it provisionally receives any proffered extrinsic evidence that is relevant to prove a meaning to which the language of the instrument is reasonably susceptible.  [Citations.]  If, in light of the extrinsic evidence, the language is reasonably susceptible to the interpretation urged, the extrinsic evidence is then admitted to aid the court in its role in interpreting the contract.  [Citations.]  When there is no material conflict in the extrinsic evidence, the trial court </w:t>
      </w:r>
      <w:r>
        <w:lastRenderedPageBreak/>
        <w:t>interprets the contract as a matter of law.  [Citations.]  This is true even when conflicting inferences may be drawn from the undisputed extrinsic evidence [citations] or that extrinsic evidence renders the contract terms susceptible to more than one reasonable interpretation.”  (</w:t>
      </w:r>
      <w:r>
        <w:rPr>
          <w:i/>
          <w:iCs/>
        </w:rPr>
        <w:t>Ibid</w:t>
      </w:r>
      <w:r>
        <w:t xml:space="preserve">.)  </w:t>
      </w:r>
    </w:p>
    <w:p w14:paraId="75354D10" w14:textId="4964AC2C" w:rsidR="00D21EFD" w:rsidRDefault="00E83F50" w:rsidP="00D21EFD">
      <w:pPr>
        <w:ind w:firstLine="720"/>
      </w:pPr>
      <w:r>
        <w:t xml:space="preserve">VFLA </w:t>
      </w:r>
      <w:r w:rsidR="00BA46C2">
        <w:t>cites</w:t>
      </w:r>
      <w:r>
        <w:t xml:space="preserve"> several examples in the record </w:t>
      </w:r>
      <w:r w:rsidR="00BA46C2">
        <w:t>where it claims</w:t>
      </w:r>
      <w:r>
        <w:t xml:space="preserve"> the trial court erroneously </w:t>
      </w:r>
      <w:r w:rsidR="005F5ADB">
        <w:t>resolved conflict</w:t>
      </w:r>
      <w:r>
        <w:t>s in the</w:t>
      </w:r>
      <w:r w:rsidR="005F5ADB">
        <w:t xml:space="preserve"> parol evidence.</w:t>
      </w:r>
      <w:r w:rsidR="00D21EFD">
        <w:t xml:space="preserve">  VFLA’s </w:t>
      </w:r>
      <w:r w:rsidR="00BA46C2">
        <w:t>citations</w:t>
      </w:r>
      <w:r w:rsidR="001252C5">
        <w:t xml:space="preserve"> </w:t>
      </w:r>
      <w:r w:rsidR="00D21EFD">
        <w:t>do not support its c</w:t>
      </w:r>
      <w:r w:rsidR="001252C5">
        <w:t>laim</w:t>
      </w:r>
      <w:r w:rsidR="007857DA">
        <w:t xml:space="preserve"> of error</w:t>
      </w:r>
      <w:r w:rsidR="00D21EFD">
        <w:t>.</w:t>
      </w:r>
      <w:r w:rsidR="00A13527">
        <w:t xml:space="preserve"> </w:t>
      </w:r>
    </w:p>
    <w:p w14:paraId="18DA4637" w14:textId="2EFF89A3" w:rsidR="00D21EFD" w:rsidRDefault="00D21EFD" w:rsidP="00D21EFD">
      <w:pPr>
        <w:ind w:firstLine="720"/>
      </w:pPr>
      <w:r>
        <w:t xml:space="preserve">VFLA </w:t>
      </w:r>
      <w:r w:rsidR="00E83F50">
        <w:t xml:space="preserve">first </w:t>
      </w:r>
      <w:r>
        <w:t xml:space="preserve">cites to the declarations of Epstein and Jason Felts, VFLA’s </w:t>
      </w:r>
      <w:r w:rsidR="001A1959">
        <w:t>chief executive officer</w:t>
      </w:r>
      <w:r>
        <w:t xml:space="preserve">, </w:t>
      </w:r>
      <w:r w:rsidR="00126785">
        <w:t>which</w:t>
      </w:r>
      <w:r>
        <w:t xml:space="preserve"> </w:t>
      </w:r>
      <w:r w:rsidR="00E83F50">
        <w:t xml:space="preserve">according to </w:t>
      </w:r>
      <w:r w:rsidR="005F5ADB">
        <w:t>VFLA</w:t>
      </w:r>
      <w:r w:rsidR="00E83F50">
        <w:t>, the trial court ignored even though they</w:t>
      </w:r>
      <w:r w:rsidR="005F5ADB">
        <w:t xml:space="preserve"> </w:t>
      </w:r>
      <w:r>
        <w:t>gave accounts of “what was said and not said” between VFLA and WME during negotiations.</w:t>
      </w:r>
      <w:r w:rsidR="00193DC4">
        <w:t xml:space="preserve"> </w:t>
      </w:r>
      <w:r>
        <w:t xml:space="preserve"> Specifically, Epstein stated he never discussed the meaning of the phrase “otherwise ready, willing, and able” with Gaches or anyone else at WME</w:t>
      </w:r>
      <w:r w:rsidR="00872B1E">
        <w:t xml:space="preserve">, </w:t>
      </w:r>
      <w:r w:rsidR="00126785">
        <w:t xml:space="preserve">and he never agreed to and was </w:t>
      </w:r>
      <w:r w:rsidR="00872B1E">
        <w:t>unaware</w:t>
      </w:r>
      <w:r>
        <w:t xml:space="preserve"> </w:t>
      </w:r>
      <w:r w:rsidR="00126785">
        <w:t>of the artists’ interpretation that</w:t>
      </w:r>
      <w:r>
        <w:t xml:space="preserve"> “otherwise ready, willing, and able” </w:t>
      </w:r>
      <w:r w:rsidR="00126785">
        <w:t>meant</w:t>
      </w:r>
      <w:r>
        <w:t xml:space="preserve"> ready, willing, and able but for the occurrence of the force majeure</w:t>
      </w:r>
      <w:r w:rsidR="00126785">
        <w:t>.</w:t>
      </w:r>
      <w:r>
        <w:t xml:space="preserve">  </w:t>
      </w:r>
      <w:r w:rsidR="0093607E">
        <w:t>Similarly</w:t>
      </w:r>
      <w:r>
        <w:t xml:space="preserve">, Felts </w:t>
      </w:r>
      <w:r w:rsidR="0093607E">
        <w:t>stated</w:t>
      </w:r>
      <w:r>
        <w:t xml:space="preserve"> he never agreed VFLA would bear the risk of cancellation due to a force majeure.  </w:t>
      </w:r>
    </w:p>
    <w:p w14:paraId="74603134" w14:textId="362DEEB9" w:rsidR="00D21EFD" w:rsidRDefault="004F2ED5" w:rsidP="00D21EFD">
      <w:pPr>
        <w:ind w:firstLine="720"/>
      </w:pPr>
      <w:r>
        <w:t>The</w:t>
      </w:r>
      <w:r w:rsidR="00126785">
        <w:t xml:space="preserve"> record </w:t>
      </w:r>
      <w:r w:rsidR="0093607E">
        <w:t>shows</w:t>
      </w:r>
      <w:r w:rsidR="00126785">
        <w:t xml:space="preserve"> the trial court </w:t>
      </w:r>
      <w:r w:rsidR="0093607E">
        <w:t xml:space="preserve">reviewed </w:t>
      </w:r>
      <w:r w:rsidR="00126785">
        <w:t>the</w:t>
      </w:r>
      <w:r w:rsidR="0093607E">
        <w:t xml:space="preserve"> Epstein and Felts</w:t>
      </w:r>
      <w:r w:rsidR="00126785">
        <w:t xml:space="preserve"> </w:t>
      </w:r>
      <w:r w:rsidR="00BA46C2">
        <w:t>declarations</w:t>
      </w:r>
      <w:r w:rsidR="00333D7A">
        <w:t>,</w:t>
      </w:r>
      <w:r w:rsidR="00BA46C2">
        <w:t xml:space="preserve"> but</w:t>
      </w:r>
      <w:r w:rsidR="00126785">
        <w:t xml:space="preserve"> excluded them</w:t>
      </w:r>
      <w:r w:rsidR="0093607E">
        <w:t xml:space="preserve"> to the extent they were </w:t>
      </w:r>
      <w:r w:rsidR="00126785">
        <w:t xml:space="preserve">the declarants’ undisclosed understanding of the </w:t>
      </w:r>
      <w:r w:rsidR="0093607E">
        <w:t>parties</w:t>
      </w:r>
      <w:r w:rsidR="00E83F50">
        <w:t>’</w:t>
      </w:r>
      <w:r w:rsidR="0093607E">
        <w:t xml:space="preserve"> agreements</w:t>
      </w:r>
      <w:r w:rsidR="00AE15B0">
        <w:t>,</w:t>
      </w:r>
      <w:r w:rsidR="0093607E">
        <w:t xml:space="preserve"> stripped of any supporting evidence that th</w:t>
      </w:r>
      <w:r w:rsidR="00E83F50">
        <w:t xml:space="preserve">ose </w:t>
      </w:r>
      <w:r w:rsidR="0093607E">
        <w:t>understandings were disclosed during negotiations.</w:t>
      </w:r>
      <w:r w:rsidR="002914A4">
        <w:t xml:space="preserve"> </w:t>
      </w:r>
      <w:r w:rsidR="00E83F50">
        <w:t xml:space="preserve"> </w:t>
      </w:r>
      <w:r w:rsidR="002914A4">
        <w:t>Th</w:t>
      </w:r>
      <w:r w:rsidR="00E83F50">
        <w:t>e trial court’s exclusion of this evidence</w:t>
      </w:r>
      <w:r w:rsidR="002914A4">
        <w:t xml:space="preserve"> was not error.  </w:t>
      </w:r>
      <w:r w:rsidR="00D21EFD">
        <w:t>“California recognizes the objective theory of contracts [citation], under which ‘[i]t is the objective intent, as evidenced by the words of the contract, rather than the subjective intent of one of the parties, that controls interpretation’ [citation].  The parties’ undisclosed intent or understanding is irrelevant to contract interpretation.”  (</w:t>
      </w:r>
      <w:r w:rsidR="00D21EFD" w:rsidRPr="0012554E">
        <w:rPr>
          <w:i/>
          <w:iCs/>
        </w:rPr>
        <w:t xml:space="preserve">Founding Members of the Newport Beach </w:t>
      </w:r>
      <w:r w:rsidR="00D21EFD" w:rsidRPr="0012554E">
        <w:rPr>
          <w:i/>
          <w:iCs/>
        </w:rPr>
        <w:lastRenderedPageBreak/>
        <w:t>Country Club v. Newport Beach Country Club, Inc.</w:t>
      </w:r>
      <w:r w:rsidR="00D21EFD">
        <w:t xml:space="preserve"> (2003) 109</w:t>
      </w:r>
      <w:r w:rsidR="00252618">
        <w:t> </w:t>
      </w:r>
      <w:r w:rsidR="00D21EFD">
        <w:t>Cal.App.4th 944, 956</w:t>
      </w:r>
      <w:r w:rsidR="00604563">
        <w:t xml:space="preserve"> (</w:t>
      </w:r>
      <w:r w:rsidR="00604563">
        <w:rPr>
          <w:i/>
          <w:iCs/>
        </w:rPr>
        <w:t>Newport Beach Country Club</w:t>
      </w:r>
      <w:r w:rsidR="00604563">
        <w:t>)</w:t>
      </w:r>
      <w:r w:rsidR="00D21EFD">
        <w:t xml:space="preserve">.)  </w:t>
      </w:r>
      <w:r w:rsidR="00E83F50">
        <w:t xml:space="preserve">As the trial court properly excluded </w:t>
      </w:r>
      <w:r w:rsidR="00D21EFD">
        <w:t>Epstein’s and Felts’s undisclosed understanding</w:t>
      </w:r>
      <w:r w:rsidR="002914A4">
        <w:t>s</w:t>
      </w:r>
      <w:r w:rsidR="00BA46C2">
        <w:t xml:space="preserve"> of the force majeure provision</w:t>
      </w:r>
      <w:r w:rsidR="00E83F50">
        <w:t>, they</w:t>
      </w:r>
      <w:r w:rsidR="00D21EFD">
        <w:t xml:space="preserve"> </w:t>
      </w:r>
      <w:r w:rsidR="00E83F50">
        <w:t>are insufficient to</w:t>
      </w:r>
      <w:r w:rsidR="002914A4">
        <w:t xml:space="preserve"> </w:t>
      </w:r>
      <w:r w:rsidR="00E83F50">
        <w:t>raise a</w:t>
      </w:r>
      <w:r w:rsidR="002914A4">
        <w:t xml:space="preserve"> </w:t>
      </w:r>
      <w:r w:rsidR="0093607E">
        <w:t xml:space="preserve">conflict in the parol evidence </w:t>
      </w:r>
      <w:r w:rsidR="00E83F50">
        <w:t xml:space="preserve">or a </w:t>
      </w:r>
      <w:r w:rsidR="002914A4">
        <w:t xml:space="preserve">triable issue of </w:t>
      </w:r>
      <w:r w:rsidR="0093607E">
        <w:t>fact</w:t>
      </w:r>
      <w:r w:rsidR="00D21EFD">
        <w:t xml:space="preserve">.  (See </w:t>
      </w:r>
      <w:r w:rsidR="00D21EFD" w:rsidRPr="002473DA">
        <w:rPr>
          <w:i/>
          <w:iCs/>
        </w:rPr>
        <w:t>id</w:t>
      </w:r>
      <w:r w:rsidR="00D21EFD">
        <w:t>. at p. 960.)</w:t>
      </w:r>
      <w:r w:rsidR="00A13527">
        <w:t xml:space="preserve"> </w:t>
      </w:r>
    </w:p>
    <w:p w14:paraId="15679E80" w14:textId="3F69F1FF" w:rsidR="0093607E" w:rsidRDefault="00D21EFD" w:rsidP="002914A4">
      <w:pPr>
        <w:ind w:firstLine="720"/>
      </w:pPr>
      <w:r>
        <w:t xml:space="preserve">VFLA responds by directing us to the </w:t>
      </w:r>
      <w:r w:rsidR="002914A4">
        <w:t>artist</w:t>
      </w:r>
      <w:r>
        <w:t xml:space="preserve">s’ </w:t>
      </w:r>
      <w:r w:rsidR="0093607E">
        <w:t>argument</w:t>
      </w:r>
      <w:r>
        <w:t xml:space="preserve"> that</w:t>
      </w:r>
      <w:r w:rsidR="002914A4">
        <w:t>, if we agree with VFLA</w:t>
      </w:r>
      <w:r w:rsidR="0051000A">
        <w:t xml:space="preserve"> on appeal</w:t>
      </w:r>
      <w:r w:rsidR="0093607E">
        <w:t xml:space="preserve"> and reverse </w:t>
      </w:r>
      <w:r w:rsidR="00E83F50">
        <w:t xml:space="preserve">the trial court’s grant of </w:t>
      </w:r>
      <w:r w:rsidR="0093607E">
        <w:t>summary judgment</w:t>
      </w:r>
      <w:r w:rsidR="002914A4">
        <w:t>,</w:t>
      </w:r>
      <w:r w:rsidRPr="0024639C">
        <w:t xml:space="preserve"> </w:t>
      </w:r>
      <w:r>
        <w:t xml:space="preserve">we must remand </w:t>
      </w:r>
      <w:r w:rsidR="002914A4">
        <w:t>the matter for</w:t>
      </w:r>
      <w:r>
        <w:t xml:space="preserve"> a bench trial because </w:t>
      </w:r>
      <w:r w:rsidR="002914A4">
        <w:t xml:space="preserve">the artists successfully defeated </w:t>
      </w:r>
      <w:r>
        <w:t xml:space="preserve">VFLA’s motion for summary adjudication </w:t>
      </w:r>
      <w:r w:rsidR="002914A4">
        <w:t>with</w:t>
      </w:r>
      <w:r>
        <w:t xml:space="preserve"> a material disputed fact.  VFLA </w:t>
      </w:r>
      <w:r w:rsidR="002914A4">
        <w:t>reasons,</w:t>
      </w:r>
      <w:r>
        <w:t xml:space="preserve"> because the </w:t>
      </w:r>
      <w:r w:rsidR="002914A4">
        <w:t>artist</w:t>
      </w:r>
      <w:r>
        <w:t xml:space="preserve">s’ motion is “the mirror image of VFLA’s motion and both motions are based on the same evidence, the same triable issue of fact that the </w:t>
      </w:r>
      <w:r w:rsidR="002914A4">
        <w:t>[a]rtists</w:t>
      </w:r>
      <w:r>
        <w:t xml:space="preserve"> claim prevents summary judgment for VFLA must also preclude summary judgment for the </w:t>
      </w:r>
      <w:r w:rsidR="002914A4">
        <w:t>[a]rtists</w:t>
      </w:r>
      <w:r>
        <w:t xml:space="preserve">.”  </w:t>
      </w:r>
      <w:r w:rsidR="002914A4">
        <w:t xml:space="preserve">Specifically, the artists </w:t>
      </w:r>
      <w:r>
        <w:t>rely on Gaches’s testimony that</w:t>
      </w:r>
      <w:r w:rsidR="002914A4">
        <w:t xml:space="preserve"> </w:t>
      </w:r>
      <w:r>
        <w:t>he told Epstein</w:t>
      </w:r>
      <w:r w:rsidR="002914A4">
        <w:t>,</w:t>
      </w:r>
      <w:r>
        <w:t xml:space="preserve"> and Epstein agreed, </w:t>
      </w:r>
      <w:r w:rsidR="002914A4">
        <w:t>the artists</w:t>
      </w:r>
      <w:r>
        <w:t xml:space="preserve"> must be paid in the event of a force majeure cancellation with only narrow exceptions.  Meanwhile, </w:t>
      </w:r>
      <w:r w:rsidR="0093607E">
        <w:t>as</w:t>
      </w:r>
      <w:r w:rsidR="00E83F50">
        <w:t xml:space="preserve"> describ</w:t>
      </w:r>
      <w:r w:rsidR="0093607E">
        <w:t xml:space="preserve">ed above, </w:t>
      </w:r>
      <w:r>
        <w:t xml:space="preserve">Epstein denies </w:t>
      </w:r>
      <w:r w:rsidR="00E83F50">
        <w:t>Gaches ever disclosed this understanding</w:t>
      </w:r>
      <w:r>
        <w:t xml:space="preserve">.  </w:t>
      </w:r>
    </w:p>
    <w:p w14:paraId="51230E62" w14:textId="5E75ACE9" w:rsidR="00E83F50" w:rsidRDefault="00D21EFD" w:rsidP="00E83F50">
      <w:pPr>
        <w:ind w:firstLine="720"/>
      </w:pPr>
      <w:r>
        <w:t xml:space="preserve">While </w:t>
      </w:r>
      <w:r w:rsidR="00BA46C2">
        <w:t xml:space="preserve">we agree with VFLA that </w:t>
      </w:r>
      <w:r>
        <w:t>this</w:t>
      </w:r>
      <w:r w:rsidR="002914A4">
        <w:t xml:space="preserve"> testimony </w:t>
      </w:r>
      <w:r w:rsidR="00BA46C2">
        <w:t xml:space="preserve">is conflicting and </w:t>
      </w:r>
      <w:r w:rsidR="0093607E">
        <w:t>related to the parties’ negotiations</w:t>
      </w:r>
      <w:r w:rsidR="002914A4">
        <w:t xml:space="preserve">, it </w:t>
      </w:r>
      <w:r w:rsidR="00D334A5">
        <w:t>is not grounds for reversal</w:t>
      </w:r>
      <w:r w:rsidR="00B11A5A">
        <w:t>.</w:t>
      </w:r>
      <w:r w:rsidR="0093607E">
        <w:t xml:space="preserve"> </w:t>
      </w:r>
      <w:r w:rsidR="00DD095C">
        <w:t xml:space="preserve"> </w:t>
      </w:r>
    </w:p>
    <w:p w14:paraId="111D0819" w14:textId="6FEB9D53" w:rsidR="009274A2" w:rsidRDefault="00BA46C2" w:rsidP="00E83F50">
      <w:pPr>
        <w:ind w:firstLine="720"/>
      </w:pPr>
      <w:r>
        <w:t>As an initial matter</w:t>
      </w:r>
      <w:r w:rsidR="0093607E">
        <w:t xml:space="preserve">, </w:t>
      </w:r>
      <w:r>
        <w:t xml:space="preserve">we note </w:t>
      </w:r>
      <w:r w:rsidR="00D21EFD">
        <w:t xml:space="preserve">VFLA never raised this issue in the trial court.  In its opposition to the </w:t>
      </w:r>
      <w:r w:rsidR="009274A2">
        <w:t>artist</w:t>
      </w:r>
      <w:r w:rsidR="00D21EFD">
        <w:t xml:space="preserve">s’ motion for summary judgment, VFLA did not point to </w:t>
      </w:r>
      <w:r w:rsidR="009274A2">
        <w:t>any disputes in material fact</w:t>
      </w:r>
      <w:r w:rsidR="00D21EFD">
        <w:t xml:space="preserve">.  “ ‘Though this court is bound to determine whether defendants met their threshold summary judgment burden independently from the moving and opposing papers, we are not obliged to consider arguments or theories, including assertions as to deficiencies in </w:t>
      </w:r>
      <w:r w:rsidR="00D21EFD">
        <w:lastRenderedPageBreak/>
        <w:t>defendants’ evidence, that were not advanced by plaintiffs in the trial court.’  [Citation.]  ‘Ordinarily the failure to preserve a point below constitutes a [forfeiture] of the point.</w:t>
      </w:r>
      <w:r w:rsidR="00116DE2">
        <w:t>’ ”</w:t>
      </w:r>
      <w:r w:rsidR="00D21EFD">
        <w:t xml:space="preserve">  (</w:t>
      </w:r>
      <w:r w:rsidR="00D21EFD" w:rsidRPr="00C32831">
        <w:rPr>
          <w:i/>
          <w:iCs/>
        </w:rPr>
        <w:t>Meridian Financial Services, Inc. v. Phan</w:t>
      </w:r>
      <w:r w:rsidR="00D21EFD">
        <w:t xml:space="preserve"> (2021) 67 Cal.App.5th 657, 698.)  Because VFLA </w:t>
      </w:r>
      <w:r w:rsidR="009274A2">
        <w:t xml:space="preserve">never directed the trial court to this apparent disparity in Epstein’s and Gaches’s accounts, </w:t>
      </w:r>
      <w:r w:rsidR="007037BC">
        <w:t xml:space="preserve">its </w:t>
      </w:r>
      <w:r w:rsidR="009274A2">
        <w:t xml:space="preserve">contention </w:t>
      </w:r>
      <w:r w:rsidR="007037BC">
        <w:t xml:space="preserve">on appeal </w:t>
      </w:r>
      <w:r w:rsidR="009274A2">
        <w:t xml:space="preserve">that </w:t>
      </w:r>
      <w:r w:rsidR="00BD2C01">
        <w:t xml:space="preserve">this </w:t>
      </w:r>
      <w:r w:rsidR="007037BC">
        <w:t>conflict</w:t>
      </w:r>
      <w:r w:rsidR="009274A2">
        <w:t xml:space="preserve"> created a </w:t>
      </w:r>
      <w:r w:rsidR="00E86E95">
        <w:t xml:space="preserve">triable </w:t>
      </w:r>
      <w:r w:rsidR="009274A2">
        <w:t xml:space="preserve">issue of material fact is forfeited.  (See </w:t>
      </w:r>
      <w:r w:rsidR="009274A2" w:rsidRPr="009274A2">
        <w:rPr>
          <w:i/>
          <w:iCs/>
        </w:rPr>
        <w:t>ibid</w:t>
      </w:r>
      <w:r w:rsidR="009274A2">
        <w:t>.)</w:t>
      </w:r>
    </w:p>
    <w:p w14:paraId="48F9DBA2" w14:textId="1A338740" w:rsidR="007014C9" w:rsidRDefault="00D21EFD" w:rsidP="000D7FB5">
      <w:pPr>
        <w:ind w:firstLine="720"/>
      </w:pPr>
      <w:r>
        <w:t xml:space="preserve">However, even if </w:t>
      </w:r>
      <w:r w:rsidR="007037BC">
        <w:t>VFLA had preserved this argument</w:t>
      </w:r>
      <w:r w:rsidR="009274A2">
        <w:t xml:space="preserve">, </w:t>
      </w:r>
      <w:r w:rsidR="007037BC">
        <w:t>we would not</w:t>
      </w:r>
      <w:r w:rsidR="009274A2">
        <w:t xml:space="preserve"> remand for a bench trial.</w:t>
      </w:r>
      <w:r>
        <w:t xml:space="preserve">  </w:t>
      </w:r>
      <w:r w:rsidR="009274A2">
        <w:t xml:space="preserve">This is because, </w:t>
      </w:r>
      <w:r w:rsidR="005F1037">
        <w:t xml:space="preserve">even if we drew </w:t>
      </w:r>
      <w:r w:rsidR="000D7FB5">
        <w:t xml:space="preserve">an inference in favor of VFLA and </w:t>
      </w:r>
      <w:r w:rsidR="009274A2">
        <w:t>a</w:t>
      </w:r>
      <w:r>
        <w:t>ssum</w:t>
      </w:r>
      <w:r w:rsidR="005F1037">
        <w:t>ed</w:t>
      </w:r>
      <w:r>
        <w:t xml:space="preserve"> the truth of Epstein’s version of events, i.e., that Gaches never disclosed his understanding of the force majeure provision </w:t>
      </w:r>
      <w:r w:rsidR="009274A2">
        <w:t xml:space="preserve">and Epstein never agreed to the artists’ interpretation, the </w:t>
      </w:r>
      <w:r w:rsidR="005F1037">
        <w:t xml:space="preserve">purported conflict </w:t>
      </w:r>
      <w:r w:rsidR="009274A2">
        <w:t>is immaterial</w:t>
      </w:r>
      <w:r w:rsidR="005F1037">
        <w:t xml:space="preserve"> to VFLA’s </w:t>
      </w:r>
      <w:r w:rsidR="00501A8C">
        <w:t>argument</w:t>
      </w:r>
      <w:r w:rsidR="009274A2">
        <w:t>.</w:t>
      </w:r>
      <w:r>
        <w:t xml:space="preserve">  </w:t>
      </w:r>
      <w:r w:rsidR="000D7FB5">
        <w:t xml:space="preserve">(See </w:t>
      </w:r>
      <w:r w:rsidR="00524508">
        <w:rPr>
          <w:i/>
          <w:iCs/>
        </w:rPr>
        <w:t xml:space="preserve">Villalobos v. City of Santa Maria </w:t>
      </w:r>
      <w:r w:rsidR="00524508">
        <w:t>(2022) 85 Cal.App.5th 383, 390</w:t>
      </w:r>
      <w:r w:rsidR="000D7FB5">
        <w:t xml:space="preserve">.)  </w:t>
      </w:r>
      <w:r w:rsidR="00535F99">
        <w:t>Even if</w:t>
      </w:r>
      <w:r w:rsidR="009274A2">
        <w:t xml:space="preserve"> </w:t>
      </w:r>
      <w:r w:rsidR="007014C9">
        <w:t>Gaches</w:t>
      </w:r>
      <w:r>
        <w:t xml:space="preserve"> </w:t>
      </w:r>
      <w:r w:rsidR="00535F99">
        <w:t>never</w:t>
      </w:r>
      <w:r w:rsidR="00716CE8">
        <w:t xml:space="preserve"> </w:t>
      </w:r>
      <w:r>
        <w:t>disclosed</w:t>
      </w:r>
      <w:r w:rsidR="00535F99">
        <w:t xml:space="preserve"> his</w:t>
      </w:r>
      <w:r>
        <w:t xml:space="preserve"> understanding of </w:t>
      </w:r>
      <w:r w:rsidR="00B11A5A">
        <w:t>the agreement</w:t>
      </w:r>
      <w:r w:rsidR="00535F99">
        <w:t>, this fact</w:t>
      </w:r>
      <w:r>
        <w:t xml:space="preserve"> is immaterial to </w:t>
      </w:r>
      <w:r w:rsidR="009274A2">
        <w:t>the court’s i</w:t>
      </w:r>
      <w:r>
        <w:t xml:space="preserve">nterpretation.  </w:t>
      </w:r>
      <w:r w:rsidR="000D7FB5">
        <w:t>(</w:t>
      </w:r>
      <w:r w:rsidR="000D7FB5" w:rsidRPr="0012554E">
        <w:rPr>
          <w:i/>
          <w:iCs/>
        </w:rPr>
        <w:t>Newport Beach Country Club</w:t>
      </w:r>
      <w:r w:rsidR="000D7FB5">
        <w:t xml:space="preserve">, </w:t>
      </w:r>
      <w:r w:rsidR="000D7FB5">
        <w:rPr>
          <w:i/>
          <w:iCs/>
        </w:rPr>
        <w:t>supra</w:t>
      </w:r>
      <w:r w:rsidR="000D7FB5">
        <w:t xml:space="preserve">, 109 Cal.App.4th at p. 960.)  </w:t>
      </w:r>
      <w:r w:rsidR="007014C9">
        <w:t xml:space="preserve">Conversely, </w:t>
      </w:r>
      <w:r w:rsidR="000D7FB5">
        <w:t>when considering the artists’ opposition to VFLA’s motion for summary adjudication, we would have to draw an inference in the</w:t>
      </w:r>
      <w:r w:rsidR="00E86E95">
        <w:t xml:space="preserve"> artists’</w:t>
      </w:r>
      <w:r w:rsidR="000D7FB5">
        <w:t xml:space="preserve"> favor as the nonmoving party.  (See </w:t>
      </w:r>
      <w:r w:rsidR="000D7FB5" w:rsidRPr="000D7FB5">
        <w:rPr>
          <w:i/>
          <w:iCs/>
        </w:rPr>
        <w:t>Miller v. Department of Corrections</w:t>
      </w:r>
      <w:r w:rsidR="00524508">
        <w:t xml:space="preserve"> (2005) 36 Cal.4th 446,</w:t>
      </w:r>
      <w:r w:rsidR="00723B8B">
        <w:t> </w:t>
      </w:r>
      <w:r w:rsidR="000D7FB5">
        <w:t xml:space="preserve">470.)  </w:t>
      </w:r>
      <w:r w:rsidR="005F1037">
        <w:t>And</w:t>
      </w:r>
      <w:r w:rsidR="000D7FB5">
        <w:t xml:space="preserve"> </w:t>
      </w:r>
      <w:r w:rsidR="00E86E95">
        <w:t>by drawing</w:t>
      </w:r>
      <w:r w:rsidR="00F1396E">
        <w:t xml:space="preserve"> an inference that</w:t>
      </w:r>
      <w:r w:rsidR="000D7FB5">
        <w:t xml:space="preserve"> Gaches informed Epstein of his understanding the artists had to be paid in the event of a force majeure, </w:t>
      </w:r>
      <w:r w:rsidR="00E86E95">
        <w:t>we would have to find</w:t>
      </w:r>
      <w:r w:rsidR="007014C9">
        <w:t xml:space="preserve"> the artists </w:t>
      </w:r>
      <w:r w:rsidR="00E86E95">
        <w:t>carried</w:t>
      </w:r>
      <w:r w:rsidR="007014C9">
        <w:t xml:space="preserve"> their burden </w:t>
      </w:r>
      <w:r w:rsidR="00F1396E">
        <w:t xml:space="preserve">in opposing </w:t>
      </w:r>
      <w:r w:rsidR="00A46D87">
        <w:t>VFLA’s motion</w:t>
      </w:r>
      <w:r w:rsidR="00F1396E">
        <w:t>.</w:t>
      </w:r>
      <w:r w:rsidR="007014C9">
        <w:t xml:space="preserve">  (</w:t>
      </w:r>
      <w:r w:rsidR="007014C9" w:rsidRPr="007014C9">
        <w:rPr>
          <w:i/>
          <w:iCs/>
        </w:rPr>
        <w:t>Aguilar v. Atlantic Richfield Co.</w:t>
      </w:r>
      <w:r w:rsidR="007014C9">
        <w:t xml:space="preserve">, </w:t>
      </w:r>
      <w:r w:rsidR="007014C9">
        <w:rPr>
          <w:i/>
          <w:iCs/>
        </w:rPr>
        <w:t>supra</w:t>
      </w:r>
      <w:r w:rsidR="007014C9">
        <w:t xml:space="preserve">, 25 Cal.4th at p. 846.)  Thus, </w:t>
      </w:r>
      <w:r w:rsidR="00F1396E">
        <w:t>contrary to VFLA’s suggestion, th</w:t>
      </w:r>
      <w:r w:rsidR="00F876D9">
        <w:t xml:space="preserve">is </w:t>
      </w:r>
      <w:r w:rsidR="00E86E95">
        <w:t xml:space="preserve">apparent </w:t>
      </w:r>
      <w:r w:rsidR="00F876D9">
        <w:t>conflict</w:t>
      </w:r>
      <w:r w:rsidR="00E86E95">
        <w:t xml:space="preserve"> in Gaches’s and Epstein’s testimony</w:t>
      </w:r>
      <w:r w:rsidR="00F876D9">
        <w:t xml:space="preserve"> is not a two-way street </w:t>
      </w:r>
      <w:r w:rsidR="00E86E95">
        <w:t xml:space="preserve">resulting in </w:t>
      </w:r>
      <w:r w:rsidR="00F876D9">
        <w:t>a triable issue of fact in VFLA’s favor.</w:t>
      </w:r>
      <w:r w:rsidR="007014C9">
        <w:t xml:space="preserve"> </w:t>
      </w:r>
    </w:p>
    <w:p w14:paraId="5DDF8666" w14:textId="60A5B025" w:rsidR="00D21EFD" w:rsidRDefault="00F876D9" w:rsidP="00D21EFD">
      <w:pPr>
        <w:ind w:firstLine="720"/>
      </w:pPr>
      <w:r>
        <w:lastRenderedPageBreak/>
        <w:t>VFLA’s remaining examples of purported conflicts in the parol evidence are not persuasive</w:t>
      </w:r>
      <w:r w:rsidR="007014C9">
        <w:t xml:space="preserve">.  </w:t>
      </w:r>
      <w:r>
        <w:t xml:space="preserve">Our review of the evidence shows the </w:t>
      </w:r>
      <w:r w:rsidR="00B11A5A">
        <w:t xml:space="preserve">evidence was undisputed and therefore the </w:t>
      </w:r>
      <w:r>
        <w:t xml:space="preserve">trial court </w:t>
      </w:r>
      <w:r w:rsidR="00A46D87">
        <w:t>could choose</w:t>
      </w:r>
      <w:r>
        <w:t xml:space="preserve"> between conflicting inferences</w:t>
      </w:r>
      <w:r w:rsidR="00A46D87">
        <w:t xml:space="preserve"> </w:t>
      </w:r>
      <w:r w:rsidR="00E2382B">
        <w:t>and</w:t>
      </w:r>
      <w:r w:rsidR="00A46D87">
        <w:t xml:space="preserve"> interpret the contract as a matter of law</w:t>
      </w:r>
      <w:r>
        <w:t xml:space="preserve">. </w:t>
      </w:r>
      <w:r w:rsidRPr="00F876D9">
        <w:t xml:space="preserve"> </w:t>
      </w:r>
      <w:r>
        <w:t>(</w:t>
      </w:r>
      <w:r w:rsidRPr="001D1083">
        <w:rPr>
          <w:i/>
          <w:iCs/>
        </w:rPr>
        <w:t>Wolf</w:t>
      </w:r>
      <w:r>
        <w:t xml:space="preserve">, </w:t>
      </w:r>
      <w:r>
        <w:rPr>
          <w:i/>
          <w:iCs/>
        </w:rPr>
        <w:t>supra</w:t>
      </w:r>
      <w:r>
        <w:t>,</w:t>
      </w:r>
      <w:r w:rsidRPr="001D1083">
        <w:rPr>
          <w:i/>
          <w:iCs/>
        </w:rPr>
        <w:t xml:space="preserve"> </w:t>
      </w:r>
      <w:r>
        <w:t>162 Cal.App.4th at pp.</w:t>
      </w:r>
      <w:r w:rsidR="00723B8B">
        <w:t> </w:t>
      </w:r>
      <w:r>
        <w:t>1126–1127.)</w:t>
      </w:r>
      <w:r w:rsidR="0051000A">
        <w:t xml:space="preserve">  </w:t>
      </w:r>
    </w:p>
    <w:p w14:paraId="218165EC" w14:textId="7D1F363A" w:rsidR="0008441C" w:rsidRDefault="00F876D9" w:rsidP="0051000A">
      <w:pPr>
        <w:ind w:firstLine="720"/>
      </w:pPr>
      <w:r>
        <w:t xml:space="preserve">For example, </w:t>
      </w:r>
      <w:r w:rsidR="0051000A">
        <w:t>VFLA cites to</w:t>
      </w:r>
      <w:r>
        <w:t xml:space="preserve"> evidence that</w:t>
      </w:r>
      <w:r w:rsidR="0051000A">
        <w:t xml:space="preserve"> Kali Uchis </w:t>
      </w:r>
      <w:r>
        <w:t>chose</w:t>
      </w:r>
      <w:r w:rsidR="0051000A">
        <w:t xml:space="preserve"> to return a deposit to another festival organizer even though the agreement for that festival contained the same force majeure language as the Virgin Fest rider.  </w:t>
      </w:r>
      <w:r w:rsidR="0008441C">
        <w:t xml:space="preserve">This </w:t>
      </w:r>
      <w:r>
        <w:t>evidence</w:t>
      </w:r>
      <w:r w:rsidR="0008441C">
        <w:t>, however, was undisputed and considered by the trial court, who found it did not necessarily require an inference in favor of either side</w:t>
      </w:r>
      <w:r w:rsidR="00E86E95">
        <w:t xml:space="preserve"> given the additional reasons Kali Uchis returned th</w:t>
      </w:r>
      <w:r w:rsidR="00B11A5A">
        <w:t>at</w:t>
      </w:r>
      <w:r w:rsidR="00E86E95">
        <w:t xml:space="preserve"> deposit</w:t>
      </w:r>
      <w:r w:rsidR="007843D4">
        <w:t xml:space="preserve">, making </w:t>
      </w:r>
      <w:r w:rsidR="00B11A5A">
        <w:t>those circumstances materially different than the facts here</w:t>
      </w:r>
      <w:r w:rsidR="003278EE">
        <w:t>.</w:t>
      </w:r>
      <w:r w:rsidR="0008441C">
        <w:t xml:space="preserve">  </w:t>
      </w:r>
    </w:p>
    <w:p w14:paraId="38300940" w14:textId="515E4EC1" w:rsidR="0008441C" w:rsidRDefault="0008441C" w:rsidP="0051000A">
      <w:pPr>
        <w:ind w:firstLine="720"/>
      </w:pPr>
      <w:r>
        <w:t xml:space="preserve">VFLA also </w:t>
      </w:r>
      <w:r w:rsidR="00F876D9">
        <w:t>claims</w:t>
      </w:r>
      <w:r>
        <w:t xml:space="preserve"> there was conflicting </w:t>
      </w:r>
      <w:r w:rsidR="0015459C">
        <w:t xml:space="preserve">parol </w:t>
      </w:r>
      <w:r>
        <w:t xml:space="preserve">evidence regarding </w:t>
      </w:r>
      <w:r w:rsidR="007843D4">
        <w:t xml:space="preserve">an </w:t>
      </w:r>
      <w:r>
        <w:t>e</w:t>
      </w:r>
      <w:r w:rsidR="009B60A6">
        <w:t>-</w:t>
      </w:r>
      <w:r>
        <w:t>mail from</w:t>
      </w:r>
      <w:r w:rsidR="00F876D9">
        <w:t xml:space="preserve"> </w:t>
      </w:r>
      <w:r w:rsidR="00E14F3F">
        <w:t xml:space="preserve">Ellie </w:t>
      </w:r>
      <w:r>
        <w:t>Goulding’s agent, stating</w:t>
      </w:r>
      <w:r w:rsidR="00E14F3F">
        <w:t xml:space="preserve">: </w:t>
      </w:r>
      <w:r>
        <w:t xml:space="preserve"> “With [the City of Los Angeles] extending </w:t>
      </w:r>
      <w:r w:rsidR="005240A7">
        <w:t xml:space="preserve">[the] </w:t>
      </w:r>
      <w:r>
        <w:t xml:space="preserve">stay at home order through July, Virgin Fest has been forced to cancel due to [force majeure]. </w:t>
      </w:r>
      <w:r w:rsidR="00A460F3">
        <w:t xml:space="preserve"> </w:t>
      </w:r>
      <w:r>
        <w:t xml:space="preserve">With no current plans to reschedule, we need to proceed with the process of returning the deposit currently held by WME.”  </w:t>
      </w:r>
      <w:r w:rsidR="00A460F3">
        <w:t xml:space="preserve">Like VFLA’s Kali Uchis example, this </w:t>
      </w:r>
      <w:r w:rsidR="0044382F">
        <w:t xml:space="preserve">parol </w:t>
      </w:r>
      <w:r w:rsidR="00A460F3">
        <w:t>evidence was undisputed</w:t>
      </w:r>
      <w:r w:rsidR="0044382F">
        <w:t>.</w:t>
      </w:r>
      <w:r w:rsidR="00A74C2D">
        <w:t xml:space="preserve">  </w:t>
      </w:r>
    </w:p>
    <w:p w14:paraId="7970BB74" w14:textId="51D72DF3" w:rsidR="0008441C" w:rsidRDefault="0051000A" w:rsidP="0051000A">
      <w:pPr>
        <w:ind w:firstLine="720"/>
      </w:pPr>
      <w:r>
        <w:t>VFLA also points to an e</w:t>
      </w:r>
      <w:r w:rsidR="00CA25BE">
        <w:t>-</w:t>
      </w:r>
      <w:r>
        <w:t xml:space="preserve">mail exchange between Lizzo’s agent and Felts, regarding Lizzo’s intent to publicly perform in light of the COVID-19 pandemic.  In the exchange, Felts asked </w:t>
      </w:r>
      <w:r w:rsidR="00A460F3">
        <w:t>the</w:t>
      </w:r>
      <w:r>
        <w:t xml:space="preserve"> agent about Lizzo’s </w:t>
      </w:r>
      <w:r w:rsidR="00A460F3">
        <w:t xml:space="preserve">public </w:t>
      </w:r>
      <w:r>
        <w:t xml:space="preserve">statement </w:t>
      </w:r>
      <w:r w:rsidR="00A460F3">
        <w:t>that</w:t>
      </w:r>
      <w:r>
        <w:t xml:space="preserve"> “it’s time to stop performing due to [COVID-19].”  The agent</w:t>
      </w:r>
      <w:r w:rsidR="00A460F3">
        <w:t xml:space="preserve"> responded that</w:t>
      </w:r>
      <w:r>
        <w:t xml:space="preserve"> Lizzo intended to move forward with her confirmed engagements, and she was “ready, willing, and able to play . . . as soon as the [government] says we can.”  Again, </w:t>
      </w:r>
      <w:r w:rsidR="00A460F3">
        <w:t>this evidence was undisputed</w:t>
      </w:r>
      <w:r w:rsidR="0044382F">
        <w:t>.</w:t>
      </w:r>
    </w:p>
    <w:p w14:paraId="3E82B6DE" w14:textId="4D508F9C" w:rsidR="00DF0C18" w:rsidRDefault="00DF0C18" w:rsidP="0051000A">
      <w:pPr>
        <w:ind w:firstLine="720"/>
      </w:pPr>
      <w:r w:rsidRPr="00F658B6">
        <w:lastRenderedPageBreak/>
        <w:t>We are also not persuaded by VFLA’s argument that summary judgment should be reversed because the trial court “ignored” evidence submitted by VFLA.  While the trial court’s order does not refer to every piece of evidence submitted by VFLA, any purported error is harmless where, as here, our independent review establishes the validity of the judgment.  (</w:t>
      </w:r>
      <w:r w:rsidRPr="00F658B6">
        <w:rPr>
          <w:i/>
          <w:iCs/>
        </w:rPr>
        <w:t xml:space="preserve">Goldrich v. Natural Y Surgical Specialties, Inc. </w:t>
      </w:r>
      <w:r w:rsidRPr="00F658B6">
        <w:t>(1994) 25 Cal.App.4th 772, 782.)</w:t>
      </w:r>
    </w:p>
    <w:p w14:paraId="6266A48C" w14:textId="00A86886" w:rsidR="0051000A" w:rsidRDefault="0051000A" w:rsidP="00E14F3F">
      <w:pPr>
        <w:ind w:firstLine="720"/>
      </w:pPr>
      <w:r>
        <w:t xml:space="preserve">In sum, </w:t>
      </w:r>
      <w:r w:rsidR="00407D36">
        <w:t>VFLA has not identified any material conflicts in the parol evidence</w:t>
      </w:r>
      <w:r w:rsidR="007843D4">
        <w:t>.</w:t>
      </w:r>
      <w:r w:rsidR="00A460F3">
        <w:t xml:space="preserve">  </w:t>
      </w:r>
      <w:r w:rsidR="00407D36">
        <w:t xml:space="preserve">Therefore, </w:t>
      </w:r>
      <w:r w:rsidR="00A460F3">
        <w:t>the trial court</w:t>
      </w:r>
      <w:r w:rsidR="0015459C">
        <w:t xml:space="preserve"> </w:t>
      </w:r>
      <w:r w:rsidR="007843D4">
        <w:t xml:space="preserve">was authorized to choose between conflicting inferences and interpret </w:t>
      </w:r>
      <w:r w:rsidR="00B11A5A">
        <w:t>the contract as a matter of law</w:t>
      </w:r>
      <w:r w:rsidR="0015459C">
        <w:t>.</w:t>
      </w:r>
      <w:r w:rsidR="00F658B6">
        <w:t xml:space="preserve"> </w:t>
      </w:r>
      <w:r w:rsidR="0015459C">
        <w:t xml:space="preserve"> </w:t>
      </w:r>
      <w:r w:rsidR="00B11A5A">
        <w:t>(</w:t>
      </w:r>
      <w:r w:rsidR="00E14F3F">
        <w:t xml:space="preserve">See </w:t>
      </w:r>
      <w:r w:rsidR="00E14F3F" w:rsidRPr="00E14F3F">
        <w:rPr>
          <w:i/>
          <w:iCs/>
        </w:rPr>
        <w:t>Habitat Trust for Wildlife, Inc. v. City of Rancho Cucamonga</w:t>
      </w:r>
      <w:r w:rsidR="00E14F3F">
        <w:t xml:space="preserve"> (2009) 175 Cal.App.4th 1306, 1341</w:t>
      </w:r>
      <w:r w:rsidR="00723B8B">
        <w:t>–</w:t>
      </w:r>
      <w:r w:rsidR="00E14F3F">
        <w:t>1342.)</w:t>
      </w:r>
    </w:p>
    <w:p w14:paraId="3CA4A4C8" w14:textId="6CD0AEF4" w:rsidR="0051000A" w:rsidRPr="00FB0E34" w:rsidRDefault="00FB0E34" w:rsidP="005240A7">
      <w:pPr>
        <w:spacing w:before="120"/>
        <w:ind w:left="1440" w:hanging="720"/>
        <w:rPr>
          <w:b/>
          <w:bCs/>
        </w:rPr>
      </w:pPr>
      <w:r w:rsidRPr="00FB0E34">
        <w:rPr>
          <w:b/>
          <w:bCs/>
        </w:rPr>
        <w:t>B.</w:t>
      </w:r>
      <w:r w:rsidRPr="00FB0E34">
        <w:rPr>
          <w:b/>
          <w:bCs/>
        </w:rPr>
        <w:tab/>
        <w:t>The parol evidence supports the artists’ interpretation</w:t>
      </w:r>
    </w:p>
    <w:p w14:paraId="45AAA07C" w14:textId="278C056D" w:rsidR="0052196E" w:rsidRDefault="000E2006" w:rsidP="0052196E">
      <w:pPr>
        <w:widowControl w:val="0"/>
        <w:ind w:firstLine="720"/>
      </w:pPr>
      <w:r>
        <w:t xml:space="preserve">Having found the parol evidence was undisputed, </w:t>
      </w:r>
      <w:r w:rsidR="00784CF0">
        <w:t xml:space="preserve">we </w:t>
      </w:r>
      <w:r>
        <w:t>also conclude, to the extent the evidence</w:t>
      </w:r>
      <w:r w:rsidR="00416615">
        <w:t xml:space="preserve"> supported </w:t>
      </w:r>
      <w:r w:rsidR="001376FC">
        <w:t>either</w:t>
      </w:r>
      <w:r w:rsidR="00416615">
        <w:t xml:space="preserve"> side’s interpretation</w:t>
      </w:r>
      <w:r>
        <w:t>, it tended to favor the artists</w:t>
      </w:r>
      <w:r w:rsidR="00416615">
        <w:t>’ reading</w:t>
      </w:r>
      <w:r w:rsidR="00777EA9">
        <w:t xml:space="preserve">.  </w:t>
      </w:r>
    </w:p>
    <w:p w14:paraId="6FBD01AA" w14:textId="0C84B4CF" w:rsidR="00494893" w:rsidRDefault="000E2006" w:rsidP="00776D7E">
      <w:pPr>
        <w:widowControl w:val="0"/>
        <w:ind w:firstLine="720"/>
      </w:pPr>
      <w:r>
        <w:t>Most notably</w:t>
      </w:r>
      <w:r w:rsidR="00E14F3F">
        <w:t>, w</w:t>
      </w:r>
      <w:r w:rsidR="00784CF0">
        <w:t xml:space="preserve">e find </w:t>
      </w:r>
      <w:r w:rsidR="00494893">
        <w:t xml:space="preserve">Gaches’s revision </w:t>
      </w:r>
      <w:r w:rsidR="00784CF0">
        <w:t>of</w:t>
      </w:r>
      <w:r w:rsidR="00494893">
        <w:t xml:space="preserve"> the force majeure provision during the parties’ negotiations particularly persuasive</w:t>
      </w:r>
      <w:r>
        <w:t xml:space="preserve"> to the artists’ position</w:t>
      </w:r>
      <w:r w:rsidR="00494893">
        <w:t xml:space="preserve">.  </w:t>
      </w:r>
      <w:r w:rsidR="004E31B4">
        <w:t>Gaches</w:t>
      </w:r>
      <w:r w:rsidR="00E14F3F">
        <w:t xml:space="preserve"> revis</w:t>
      </w:r>
      <w:r w:rsidR="0015459C">
        <w:t>ed</w:t>
      </w:r>
      <w:r w:rsidR="00E14F3F">
        <w:t xml:space="preserve"> </w:t>
      </w:r>
      <w:r w:rsidR="0056345A">
        <w:t>the</w:t>
      </w:r>
      <w:r w:rsidR="00494893">
        <w:t xml:space="preserve"> condition that the artists </w:t>
      </w:r>
      <w:r>
        <w:t>had</w:t>
      </w:r>
      <w:r w:rsidR="00494893">
        <w:t xml:space="preserve"> to be paid in the event of a force majeure</w:t>
      </w:r>
      <w:r w:rsidR="00CF2F12">
        <w:t xml:space="preserve"> cancellation</w:t>
      </w:r>
      <w:r w:rsidR="00494893">
        <w:t xml:space="preserve"> only if the</w:t>
      </w:r>
      <w:r>
        <w:t>y</w:t>
      </w:r>
      <w:r w:rsidR="00494893">
        <w:t xml:space="preserve"> “commenced performance” to </w:t>
      </w:r>
      <w:r w:rsidR="000633C0">
        <w:t>the condition that the</w:t>
      </w:r>
      <w:r>
        <w:t>y</w:t>
      </w:r>
      <w:r w:rsidR="000633C0">
        <w:t xml:space="preserve"> need</w:t>
      </w:r>
      <w:r>
        <w:t>ed</w:t>
      </w:r>
      <w:r w:rsidR="000633C0">
        <w:t xml:space="preserve"> </w:t>
      </w:r>
      <w:r>
        <w:t>to be</w:t>
      </w:r>
      <w:r w:rsidR="00494893">
        <w:t xml:space="preserve"> “otherwise ready, willing, and able to perform</w:t>
      </w:r>
      <w:r w:rsidR="0015459C">
        <w:t>.</w:t>
      </w:r>
      <w:r w:rsidR="00494893">
        <w:t>”</w:t>
      </w:r>
      <w:r w:rsidR="0015459C">
        <w:t xml:space="preserve">  </w:t>
      </w:r>
      <w:r w:rsidR="00F136A3">
        <w:t xml:space="preserve">Gaches explained the revision was “the best we can do for this one,” based on a “new directive” from the head of WME’s music department in light of the fact that Baja Fest was an international, i.e., higher risk </w:t>
      </w:r>
      <w:r w:rsidR="00F136A3">
        <w:lastRenderedPageBreak/>
        <w:t>festival.</w:t>
      </w:r>
      <w:r w:rsidR="00F136A3">
        <w:rPr>
          <w:rStyle w:val="FootnoteReference"/>
        </w:rPr>
        <w:footnoteReference w:id="5"/>
      </w:r>
      <w:r w:rsidR="00F136A3">
        <w:t xml:space="preserve">  Although the extent of this change is </w:t>
      </w:r>
      <w:r w:rsidR="001376FC">
        <w:t>contest</w:t>
      </w:r>
      <w:r w:rsidR="00F136A3">
        <w:t xml:space="preserve">ed, it </w:t>
      </w:r>
      <w:r w:rsidR="001376FC">
        <w:t xml:space="preserve">certainly </w:t>
      </w:r>
      <w:r>
        <w:t xml:space="preserve">shifted </w:t>
      </w:r>
      <w:r w:rsidR="00F136A3">
        <w:t xml:space="preserve">some </w:t>
      </w:r>
      <w:r>
        <w:t>risk</w:t>
      </w:r>
      <w:r w:rsidR="00F136A3">
        <w:t xml:space="preserve"> </w:t>
      </w:r>
      <w:r>
        <w:t xml:space="preserve">from the artists </w:t>
      </w:r>
      <w:r w:rsidR="0015459C">
        <w:t>to</w:t>
      </w:r>
      <w:r>
        <w:t xml:space="preserve"> the festival organizer.</w:t>
      </w:r>
      <w:r w:rsidR="00494893">
        <w:t xml:space="preserve">  </w:t>
      </w:r>
      <w:r w:rsidR="00026B49">
        <w:t>To</w:t>
      </w:r>
      <w:r w:rsidR="00F136A3">
        <w:t xml:space="preserve"> accept VFLA’s interpretation, we would have to conclude </w:t>
      </w:r>
      <w:r w:rsidR="007629A1">
        <w:t>Gaches’s revision made it less likely, indeed, potentially impossible, for the artists to demonstrate they were “otherwise ready, willing, and able to perform” in the face of a force majeure</w:t>
      </w:r>
      <w:r w:rsidR="00026B49">
        <w:t>, which was clearly not the intention of the parties</w:t>
      </w:r>
      <w:r w:rsidR="007629A1">
        <w:t xml:space="preserve">.  </w:t>
      </w:r>
      <w:r w:rsidR="00026B49">
        <w:t>Thus, t</w:t>
      </w:r>
      <w:r w:rsidR="001376FC">
        <w:t>he issues with VFLA’s interpretation of the force majeure provision notwithstanding, there</w:t>
      </w:r>
      <w:r w:rsidR="00026B49">
        <w:t xml:space="preserve"> is simply</w:t>
      </w:r>
      <w:r w:rsidR="001376FC">
        <w:t xml:space="preserve"> no inference</w:t>
      </w:r>
      <w:r w:rsidR="00026B49">
        <w:t>s</w:t>
      </w:r>
      <w:r w:rsidR="001376FC">
        <w:t xml:space="preserve"> </w:t>
      </w:r>
      <w:r w:rsidR="00026B49">
        <w:t xml:space="preserve">to be drawn </w:t>
      </w:r>
      <w:r w:rsidR="001376FC">
        <w:t>in VFLA’s favor on this evidence.</w:t>
      </w:r>
      <w:r w:rsidR="00494893">
        <w:t xml:space="preserve">  </w:t>
      </w:r>
    </w:p>
    <w:p w14:paraId="1A860A79" w14:textId="72677EEB" w:rsidR="00056D2D" w:rsidRDefault="00A02CF8" w:rsidP="00BA424C">
      <w:pPr>
        <w:ind w:firstLine="720"/>
      </w:pPr>
      <w:r>
        <w:t>With respect to the remaining parol evidence</w:t>
      </w:r>
      <w:r w:rsidR="00F136A3">
        <w:t xml:space="preserve"> identified by VFLA</w:t>
      </w:r>
      <w:r>
        <w:t xml:space="preserve">, </w:t>
      </w:r>
      <w:r w:rsidR="007629A1">
        <w:t>we agree with the trial court’s assessment that it is not particularly persuasive to either side’s position.</w:t>
      </w:r>
      <w:r w:rsidR="00144EF7">
        <w:t xml:space="preserve">  </w:t>
      </w:r>
    </w:p>
    <w:p w14:paraId="3F30E016" w14:textId="725ECF1C" w:rsidR="00026B49" w:rsidRDefault="007629A1" w:rsidP="00106919">
      <w:pPr>
        <w:ind w:firstLine="720"/>
      </w:pPr>
      <w:r>
        <w:t xml:space="preserve">For example, </w:t>
      </w:r>
      <w:r w:rsidR="003278EE">
        <w:t xml:space="preserve">VFLA </w:t>
      </w:r>
      <w:r>
        <w:t>argues the</w:t>
      </w:r>
      <w:r w:rsidR="00106919">
        <w:t xml:space="preserve"> </w:t>
      </w:r>
      <w:r>
        <w:t xml:space="preserve">parol </w:t>
      </w:r>
      <w:r w:rsidR="00106919">
        <w:t xml:space="preserve">evidence </w:t>
      </w:r>
      <w:r>
        <w:t>shows that</w:t>
      </w:r>
      <w:r w:rsidR="00106919">
        <w:t xml:space="preserve"> “prior to the instant litigation, WME and the [a]rtists interpreted the [f]orce [m]ajeure [p]rovision the same way as VFLA; namely, without a ‘but for</w:t>
      </w:r>
      <w:r w:rsidR="009A3420">
        <w:t>’</w:t>
      </w:r>
      <w:r w:rsidR="00106919">
        <w:t xml:space="preserve"> exception.”  </w:t>
      </w:r>
      <w:r>
        <w:t>VFLA directs us to the parol</w:t>
      </w:r>
      <w:r w:rsidR="003278EE">
        <w:t xml:space="preserve"> </w:t>
      </w:r>
      <w:r w:rsidR="00106919">
        <w:t>evidence</w:t>
      </w:r>
      <w:r w:rsidR="003278EE">
        <w:t xml:space="preserve"> </w:t>
      </w:r>
      <w:r>
        <w:t xml:space="preserve">that </w:t>
      </w:r>
      <w:r w:rsidR="003278EE">
        <w:t>other WME</w:t>
      </w:r>
      <w:r>
        <w:t xml:space="preserve"> clients chose</w:t>
      </w:r>
      <w:r w:rsidR="003278EE">
        <w:t xml:space="preserve"> to return the deposits to VFLA</w:t>
      </w:r>
      <w:r>
        <w:t>.  VFLA also</w:t>
      </w:r>
      <w:r w:rsidR="008A75AE">
        <w:t xml:space="preserve"> again</w:t>
      </w:r>
      <w:r>
        <w:t xml:space="preserve"> cites to K</w:t>
      </w:r>
      <w:r w:rsidR="003278EE">
        <w:t xml:space="preserve">ali Uchis’s decision to return </w:t>
      </w:r>
      <w:r>
        <w:t>the</w:t>
      </w:r>
      <w:r w:rsidR="003278EE">
        <w:t xml:space="preserve"> deposit to </w:t>
      </w:r>
      <w:r>
        <w:t xml:space="preserve">the </w:t>
      </w:r>
      <w:r w:rsidR="003278EE">
        <w:t xml:space="preserve">other festival organizer </w:t>
      </w:r>
      <w:r>
        <w:t>even though that performance contract</w:t>
      </w:r>
      <w:r w:rsidR="003278EE">
        <w:t xml:space="preserve"> contained the same force majeure provision at issue here.  </w:t>
      </w:r>
    </w:p>
    <w:p w14:paraId="1325FC2F" w14:textId="057339D8" w:rsidR="003278EE" w:rsidRDefault="00026B49" w:rsidP="00106919">
      <w:pPr>
        <w:ind w:firstLine="720"/>
      </w:pPr>
      <w:r>
        <w:t>The record shows</w:t>
      </w:r>
      <w:r w:rsidR="008A75AE">
        <w:t xml:space="preserve"> </w:t>
      </w:r>
      <w:r w:rsidR="003278EE">
        <w:t>VFLA</w:t>
      </w:r>
      <w:r w:rsidR="008A75AE">
        <w:t xml:space="preserve"> has taken this</w:t>
      </w:r>
      <w:r w:rsidR="002214AF">
        <w:t xml:space="preserve"> evidence out of its broader context.</w:t>
      </w:r>
      <w:r w:rsidR="003278EE">
        <w:t xml:space="preserve">  For example, </w:t>
      </w:r>
      <w:r w:rsidR="002214AF">
        <w:t xml:space="preserve">it was undisputed that the deposits paid to the other performers </w:t>
      </w:r>
      <w:r w:rsidR="008A75AE">
        <w:t>were</w:t>
      </w:r>
      <w:r w:rsidR="003278EE">
        <w:t xml:space="preserve"> far less than </w:t>
      </w:r>
      <w:r w:rsidR="00106919">
        <w:t xml:space="preserve">what </w:t>
      </w:r>
      <w:r w:rsidR="002214AF">
        <w:t>was</w:t>
      </w:r>
      <w:r w:rsidR="00106919">
        <w:t xml:space="preserve"> paid to</w:t>
      </w:r>
      <w:r w:rsidR="003278EE">
        <w:t xml:space="preserve"> Ellie Goulding, Kali Uchis, and Lizzo</w:t>
      </w:r>
      <w:r w:rsidR="00106919">
        <w:t xml:space="preserve">.  </w:t>
      </w:r>
      <w:r w:rsidR="002214AF">
        <w:t xml:space="preserve">Thus, while </w:t>
      </w:r>
      <w:r w:rsidR="008A75AE">
        <w:t xml:space="preserve">it </w:t>
      </w:r>
      <w:r w:rsidR="002214AF">
        <w:t xml:space="preserve">is possible to interpret </w:t>
      </w:r>
      <w:r w:rsidR="008A75AE">
        <w:t>the performers’ decisions to return the deposits</w:t>
      </w:r>
      <w:r w:rsidR="002214AF">
        <w:t xml:space="preserve"> as </w:t>
      </w:r>
      <w:r w:rsidR="002214AF">
        <w:lastRenderedPageBreak/>
        <w:t xml:space="preserve">supporting </w:t>
      </w:r>
      <w:r w:rsidR="008A75AE">
        <w:t>an</w:t>
      </w:r>
      <w:r w:rsidR="002214AF">
        <w:t xml:space="preserve"> inference that WME and </w:t>
      </w:r>
      <w:r w:rsidR="008A75AE">
        <w:t>its performers</w:t>
      </w:r>
      <w:r w:rsidR="002214AF">
        <w:t xml:space="preserve"> initially agreed with VFLA’s interpretation of the force majeure provision, it</w:t>
      </w:r>
      <w:r w:rsidR="00777F14">
        <w:t> </w:t>
      </w:r>
      <w:r w:rsidR="002214AF">
        <w:t xml:space="preserve">is also equally reasonable to assume </w:t>
      </w:r>
      <w:r w:rsidR="003278EE">
        <w:t>the</w:t>
      </w:r>
      <w:r w:rsidR="00106919">
        <w:t>se</w:t>
      </w:r>
      <w:r w:rsidR="003278EE">
        <w:t xml:space="preserve"> other performers returned the deposits to avoid </w:t>
      </w:r>
      <w:r w:rsidR="002214AF">
        <w:t xml:space="preserve">a </w:t>
      </w:r>
      <w:r w:rsidR="003278EE">
        <w:t xml:space="preserve">costly litigation after VFLA threatened </w:t>
      </w:r>
      <w:r w:rsidR="00106919">
        <w:t>legal action</w:t>
      </w:r>
      <w:r w:rsidR="003278EE">
        <w:t xml:space="preserve">.  </w:t>
      </w:r>
      <w:r w:rsidR="008A75AE">
        <w:t xml:space="preserve">Moreover, it was </w:t>
      </w:r>
      <w:r w:rsidR="002214AF">
        <w:t xml:space="preserve">undisputed WME advised its clients that they </w:t>
      </w:r>
      <w:r w:rsidR="00106919">
        <w:t>had the option of returning</w:t>
      </w:r>
      <w:r w:rsidR="002214AF">
        <w:t xml:space="preserve"> the deposits to avoid a public dispute that would result in litigation</w:t>
      </w:r>
      <w:r w:rsidR="008A75AE">
        <w:t>.</w:t>
      </w:r>
      <w:r w:rsidR="00106919">
        <w:t xml:space="preserve">  As for</w:t>
      </w:r>
      <w:r w:rsidR="003278EE">
        <w:t xml:space="preserve"> Kali Uchis</w:t>
      </w:r>
      <w:r w:rsidR="00106919">
        <w:t xml:space="preserve">’s decision to return the deposit to the other festival </w:t>
      </w:r>
      <w:r w:rsidR="002214AF">
        <w:t>organizer</w:t>
      </w:r>
      <w:r w:rsidR="003278EE">
        <w:t xml:space="preserve">, the record shows </w:t>
      </w:r>
      <w:r w:rsidR="002214AF">
        <w:t xml:space="preserve">Kali Uchis’s return of the deposit was contingent on </w:t>
      </w:r>
      <w:r w:rsidR="003278EE">
        <w:t xml:space="preserve">the other festival organizer </w:t>
      </w:r>
      <w:r w:rsidR="002214AF">
        <w:t xml:space="preserve">working with </w:t>
      </w:r>
      <w:r>
        <w:t>her</w:t>
      </w:r>
      <w:r w:rsidR="002214AF">
        <w:t xml:space="preserve"> in good faith to reschedule </w:t>
      </w:r>
      <w:r>
        <w:t>the</w:t>
      </w:r>
      <w:r w:rsidR="002214AF">
        <w:t xml:space="preserve"> performance.  Given this additional context, these performers’ decisions to return the deposits under</w:t>
      </w:r>
      <w:r w:rsidR="008A75AE">
        <w:t xml:space="preserve"> materially</w:t>
      </w:r>
      <w:r w:rsidR="002214AF">
        <w:t xml:space="preserve"> different circumstances are not particularly helpful to VFLA’s position.</w:t>
      </w:r>
      <w:r w:rsidR="003278EE">
        <w:t xml:space="preserve">  </w:t>
      </w:r>
    </w:p>
    <w:p w14:paraId="6E396115" w14:textId="1B1B7E98" w:rsidR="00056D2D" w:rsidRDefault="00056D2D" w:rsidP="00F136A3">
      <w:pPr>
        <w:ind w:firstLine="720"/>
      </w:pPr>
      <w:r>
        <w:t>VFLA also relies on an e</w:t>
      </w:r>
      <w:r w:rsidR="00481422">
        <w:t>-</w:t>
      </w:r>
      <w:r>
        <w:t>mail exchange between</w:t>
      </w:r>
      <w:r w:rsidR="005622BB">
        <w:t xml:space="preserve"> Ellie</w:t>
      </w:r>
      <w:r>
        <w:t xml:space="preserve"> Goulding’s representative and her agent in which they discuss returning the deposit in light of the </w:t>
      </w:r>
      <w:r w:rsidR="00FE16A1">
        <w:t xml:space="preserve">COVD-19 </w:t>
      </w:r>
      <w:r>
        <w:t>pandemic.  VFLA argues this is strong evidence in support of its interpretation.  However,</w:t>
      </w:r>
      <w:r w:rsidR="00865ABF">
        <w:t xml:space="preserve"> in doing so, VFLA ignores other evidence from the artists that </w:t>
      </w:r>
      <w:r>
        <w:t>th</w:t>
      </w:r>
      <w:r w:rsidR="008A75AE">
        <w:t>e</w:t>
      </w:r>
      <w:r>
        <w:t xml:space="preserve"> </w:t>
      </w:r>
      <w:r w:rsidR="00FE16A1">
        <w:t>agent</w:t>
      </w:r>
      <w:r>
        <w:t xml:space="preserve"> had limited knowledge of the force majeure provision</w:t>
      </w:r>
      <w:r w:rsidR="00FE16A1">
        <w:t>,</w:t>
      </w:r>
      <w:r>
        <w:t xml:space="preserve"> and </w:t>
      </w:r>
      <w:r w:rsidR="00FE16A1">
        <w:t>then</w:t>
      </w:r>
      <w:r>
        <w:t xml:space="preserve"> in subsequent e</w:t>
      </w:r>
      <w:r w:rsidR="004613EE">
        <w:t>-</w:t>
      </w:r>
      <w:r>
        <w:t xml:space="preserve">mails he advised </w:t>
      </w:r>
      <w:r w:rsidR="00FE16A1">
        <w:t>the representative that Ellie Goulding</w:t>
      </w:r>
      <w:r w:rsidR="005622BB">
        <w:t xml:space="preserve"> could retain the deposit</w:t>
      </w:r>
      <w:r w:rsidR="00391539">
        <w:t>,</w:t>
      </w:r>
      <w:r w:rsidR="005622BB">
        <w:t xml:space="preserve"> and that </w:t>
      </w:r>
      <w:r>
        <w:t xml:space="preserve">other </w:t>
      </w:r>
      <w:r w:rsidR="00865ABF">
        <w:t>WME clients</w:t>
      </w:r>
      <w:r w:rsidR="00FE16A1">
        <w:t xml:space="preserve"> would be doing so under </w:t>
      </w:r>
      <w:r>
        <w:t xml:space="preserve">the </w:t>
      </w:r>
      <w:r w:rsidR="005622BB">
        <w:t xml:space="preserve">disputed terms of the </w:t>
      </w:r>
      <w:r w:rsidR="005867A3">
        <w:t>force majeure provision</w:t>
      </w:r>
      <w:r>
        <w:t>.</w:t>
      </w:r>
      <w:r w:rsidR="005867A3">
        <w:t xml:space="preserve">  </w:t>
      </w:r>
    </w:p>
    <w:p w14:paraId="06500215" w14:textId="1D4E73AA" w:rsidR="00F951A8" w:rsidRDefault="00056D2D" w:rsidP="00176C32">
      <w:pPr>
        <w:ind w:firstLine="720"/>
      </w:pPr>
      <w:r>
        <w:t xml:space="preserve">VFLA </w:t>
      </w:r>
      <w:r w:rsidR="00865ABF">
        <w:t xml:space="preserve">also </w:t>
      </w:r>
      <w:r w:rsidR="00176C32">
        <w:t>cites</w:t>
      </w:r>
      <w:r>
        <w:t xml:space="preserve"> </w:t>
      </w:r>
      <w:r w:rsidR="00865ABF">
        <w:t>to Lizzo’s</w:t>
      </w:r>
      <w:r>
        <w:t xml:space="preserve"> statement that she would be “ready, willing, and able” to perform as soon as the government said she could.  </w:t>
      </w:r>
      <w:r w:rsidR="00865ABF">
        <w:t>Again, we do no</w:t>
      </w:r>
      <w:r w:rsidR="00734699">
        <w:t>t</w:t>
      </w:r>
      <w:r w:rsidR="00865ABF">
        <w:t xml:space="preserve"> find this evidence </w:t>
      </w:r>
      <w:r w:rsidR="008A75AE">
        <w:t>particularly</w:t>
      </w:r>
      <w:r w:rsidR="00865ABF">
        <w:t xml:space="preserve"> persuasive to either side’s reading.  Indeed, </w:t>
      </w:r>
      <w:r w:rsidR="005867A3">
        <w:t xml:space="preserve">the statement </w:t>
      </w:r>
      <w:r w:rsidR="00865ABF">
        <w:t>is</w:t>
      </w:r>
      <w:r w:rsidR="005867A3">
        <w:t xml:space="preserve"> consistent with the artists’ </w:t>
      </w:r>
      <w:r w:rsidR="00865ABF">
        <w:t>“but for” interpretation</w:t>
      </w:r>
      <w:r w:rsidR="005867A3">
        <w:t xml:space="preserve">—that COVID-19 and the government shutdowns were the only thing </w:t>
      </w:r>
      <w:r w:rsidR="00865ABF">
        <w:t xml:space="preserve">impeding </w:t>
      </w:r>
      <w:r w:rsidR="005867A3">
        <w:lastRenderedPageBreak/>
        <w:t>Lizzo</w:t>
      </w:r>
      <w:r w:rsidR="00865ABF">
        <w:t>’s performance</w:t>
      </w:r>
      <w:bookmarkStart w:id="3" w:name="_Hlk154759416"/>
      <w:r w:rsidR="008A75AE">
        <w:t xml:space="preserve"> but that she was otherwise ready, willing, and able to perform</w:t>
      </w:r>
      <w:r w:rsidR="005867A3">
        <w:t>.</w:t>
      </w:r>
      <w:r w:rsidR="00045977">
        <w:t xml:space="preserve">  </w:t>
      </w:r>
    </w:p>
    <w:p w14:paraId="61C5B645" w14:textId="3F077824" w:rsidR="00386F8A" w:rsidRDefault="001D7B96" w:rsidP="00176C32">
      <w:pPr>
        <w:ind w:firstLine="720"/>
      </w:pPr>
      <w:r>
        <w:t xml:space="preserve">VFLA </w:t>
      </w:r>
      <w:r w:rsidR="00DB2786">
        <w:t xml:space="preserve">also </w:t>
      </w:r>
      <w:r w:rsidR="00865ABF">
        <w:t>cites</w:t>
      </w:r>
      <w:r>
        <w:t xml:space="preserve"> evidence that WME negotiated other contracts containing force majeure provision</w:t>
      </w:r>
      <w:r w:rsidR="00865ABF">
        <w:t>s, which contained</w:t>
      </w:r>
      <w:r>
        <w:t xml:space="preserve"> the “but for” language </w:t>
      </w:r>
      <w:r w:rsidR="00CE5976">
        <w:t>that the artists urge us to adopt here.</w:t>
      </w:r>
      <w:r>
        <w:t xml:space="preserve">  However, there was no evidence that </w:t>
      </w:r>
      <w:r w:rsidR="00865ABF">
        <w:t>either Gaches or Epstein</w:t>
      </w:r>
      <w:r>
        <w:t xml:space="preserve"> had access to </w:t>
      </w:r>
      <w:r w:rsidR="008A75AE">
        <w:t xml:space="preserve">or compared </w:t>
      </w:r>
      <w:r>
        <w:t xml:space="preserve">these </w:t>
      </w:r>
      <w:r w:rsidR="00865ABF">
        <w:t xml:space="preserve">other contracts </w:t>
      </w:r>
      <w:r>
        <w:t xml:space="preserve">with the Baja Fest or Virgin Fest riders.  </w:t>
      </w:r>
      <w:r w:rsidR="008A75AE">
        <w:t xml:space="preserve">Further, </w:t>
      </w:r>
      <w:r>
        <w:t xml:space="preserve">Gaches </w:t>
      </w:r>
      <w:r w:rsidR="008A75AE">
        <w:t xml:space="preserve">explained he </w:t>
      </w:r>
      <w:r w:rsidR="00865ABF">
        <w:t>used</w:t>
      </w:r>
      <w:r>
        <w:t xml:space="preserve"> the term “otherwise” as a plain language synonym for “but for.”  </w:t>
      </w:r>
      <w:r w:rsidR="008A75AE">
        <w:t>Thus, wit</w:t>
      </w:r>
      <w:r w:rsidR="00865ABF">
        <w:t>hout some connection between the other contracts us</w:t>
      </w:r>
      <w:r w:rsidR="008A75AE">
        <w:t>ing</w:t>
      </w:r>
      <w:r w:rsidR="00865ABF">
        <w:t xml:space="preserve"> the “but for” language </w:t>
      </w:r>
      <w:r w:rsidR="007107E9">
        <w:t>and the agreements here</w:t>
      </w:r>
      <w:r w:rsidR="00391539">
        <w:t>, such evidence</w:t>
      </w:r>
      <w:r w:rsidR="007107E9">
        <w:t xml:space="preserve"> is</w:t>
      </w:r>
      <w:r w:rsidR="008A75AE">
        <w:t xml:space="preserve"> of little value.</w:t>
      </w:r>
      <w:r>
        <w:t xml:space="preserve"> </w:t>
      </w:r>
    </w:p>
    <w:p w14:paraId="6559A69D" w14:textId="4F24E21A" w:rsidR="001D7B96" w:rsidRDefault="00DB2786" w:rsidP="00176C32">
      <w:pPr>
        <w:ind w:firstLine="720"/>
      </w:pPr>
      <w:r>
        <w:t>Accordingly, t</w:t>
      </w:r>
      <w:r w:rsidR="00865ABF">
        <w:t>he parol evidence</w:t>
      </w:r>
      <w:r w:rsidR="004B58F7">
        <w:t xml:space="preserve"> </w:t>
      </w:r>
      <w:r w:rsidR="00865ABF">
        <w:t xml:space="preserve">VFLA asserts supports its interpretation </w:t>
      </w:r>
      <w:r w:rsidR="004B58F7">
        <w:t>of the force majeure provision</w:t>
      </w:r>
      <w:r w:rsidR="00CE5976">
        <w:t xml:space="preserve"> is more or less equally supportive of the artists’ reading</w:t>
      </w:r>
      <w:r w:rsidR="00182EDE">
        <w:t xml:space="preserve">.  </w:t>
      </w:r>
      <w:r w:rsidR="00CE5976">
        <w:t>However</w:t>
      </w:r>
      <w:r w:rsidR="00182EDE">
        <w:t xml:space="preserve">, the only parol evidence that unambiguously supports either side’s position is </w:t>
      </w:r>
      <w:r w:rsidR="004B58F7">
        <w:t xml:space="preserve">Gaches’s revision </w:t>
      </w:r>
      <w:r w:rsidR="00182EDE">
        <w:t>making</w:t>
      </w:r>
      <w:r w:rsidR="004B58F7">
        <w:t xml:space="preserve"> the force majeure provision more artist-friendly </w:t>
      </w:r>
      <w:r w:rsidR="00182EDE">
        <w:t>and, to at least some extent, shifting</w:t>
      </w:r>
      <w:r w:rsidR="004B58F7">
        <w:t xml:space="preserve"> the risk of a </w:t>
      </w:r>
      <w:r w:rsidR="00182EDE">
        <w:t xml:space="preserve">force majeure </w:t>
      </w:r>
      <w:r w:rsidR="004B58F7">
        <w:t xml:space="preserve">cancellation </w:t>
      </w:r>
      <w:r w:rsidR="00182EDE">
        <w:t xml:space="preserve">from the artist to </w:t>
      </w:r>
      <w:r w:rsidR="004B58F7">
        <w:t xml:space="preserve">the festival organizer.  </w:t>
      </w:r>
      <w:r w:rsidR="00707DCD">
        <w:t>When combined</w:t>
      </w:r>
      <w:r w:rsidR="004B58F7">
        <w:t xml:space="preserve"> with the actual language of the force majeure provision, </w:t>
      </w:r>
      <w:r w:rsidR="00707DCD">
        <w:t xml:space="preserve">Gaches’s revision tips </w:t>
      </w:r>
      <w:r w:rsidR="004B58F7">
        <w:t xml:space="preserve">the parol evidence </w:t>
      </w:r>
      <w:r w:rsidR="00707DCD">
        <w:t>in favor of the</w:t>
      </w:r>
      <w:r w:rsidR="004B58F7">
        <w:t xml:space="preserve"> artists</w:t>
      </w:r>
      <w:r w:rsidR="00CE5976">
        <w:t>.</w:t>
      </w:r>
    </w:p>
    <w:bookmarkEnd w:id="3"/>
    <w:p w14:paraId="2020D170" w14:textId="498D0798" w:rsidR="00DD77EB" w:rsidRDefault="00251E1F" w:rsidP="005240A7">
      <w:pPr>
        <w:spacing w:before="120"/>
        <w:ind w:left="720" w:hanging="720"/>
        <w:rPr>
          <w:b/>
          <w:bCs/>
        </w:rPr>
      </w:pPr>
      <w:r>
        <w:rPr>
          <w:b/>
          <w:bCs/>
        </w:rPr>
        <w:t>I</w:t>
      </w:r>
      <w:r w:rsidR="00DD77EB">
        <w:rPr>
          <w:b/>
          <w:bCs/>
        </w:rPr>
        <w:t>V.</w:t>
      </w:r>
      <w:r w:rsidR="00DD77EB">
        <w:rPr>
          <w:b/>
          <w:bCs/>
        </w:rPr>
        <w:tab/>
        <w:t>The artists’ factual showing was sufficient</w:t>
      </w:r>
    </w:p>
    <w:p w14:paraId="260F8770" w14:textId="2F6D4974" w:rsidR="00DD77EB" w:rsidRDefault="00DD77EB" w:rsidP="00DD77EB">
      <w:pPr>
        <w:ind w:firstLine="720"/>
      </w:pPr>
      <w:r>
        <w:t xml:space="preserve">VFLA argues that, even if we accept the </w:t>
      </w:r>
      <w:r w:rsidR="00076086">
        <w:t>artist</w:t>
      </w:r>
      <w:r>
        <w:t xml:space="preserve">s’ interpretation of the force majeure provision, we should still vacate the trial court’s grant of summary judgment because the </w:t>
      </w:r>
      <w:r w:rsidR="00076086">
        <w:t>artist</w:t>
      </w:r>
      <w:r>
        <w:t xml:space="preserve">s failed to make a sufficient factual showing that </w:t>
      </w:r>
      <w:r w:rsidR="00076086">
        <w:t>they</w:t>
      </w:r>
      <w:r>
        <w:t xml:space="preserve"> were ready, willing, and able to perform but for the force majeure event.  This argument is without merit.  </w:t>
      </w:r>
    </w:p>
    <w:p w14:paraId="3CCB8DAF" w14:textId="0C6EEEE6" w:rsidR="00DD77EB" w:rsidRDefault="00DD77EB" w:rsidP="00DD77EB">
      <w:r>
        <w:tab/>
      </w:r>
      <w:r w:rsidR="00707DCD">
        <w:t xml:space="preserve">First, </w:t>
      </w:r>
      <w:r>
        <w:t>VFLA never argued</w:t>
      </w:r>
      <w:r w:rsidR="00707DCD">
        <w:t xml:space="preserve"> this</w:t>
      </w:r>
      <w:r>
        <w:t xml:space="preserve"> below.  Throughout its briefing, VFLA consistently argued the artists could not show they were “ready, willing, and able” because the COVID-19 pandemic </w:t>
      </w:r>
      <w:r>
        <w:lastRenderedPageBreak/>
        <w:t>and resulting government orders prevented the</w:t>
      </w:r>
      <w:r w:rsidR="001D7B96">
        <w:t>m from doing so</w:t>
      </w:r>
      <w:r w:rsidR="00076086">
        <w:t xml:space="preserve"> as a</w:t>
      </w:r>
      <w:r w:rsidR="00777F14">
        <w:t> </w:t>
      </w:r>
      <w:r w:rsidR="00076086">
        <w:t>matter of law</w:t>
      </w:r>
      <w:r>
        <w:t xml:space="preserve">.  </w:t>
      </w:r>
      <w:r w:rsidR="001D7B96">
        <w:t>In other words</w:t>
      </w:r>
      <w:r>
        <w:t>, VFLA argued its interpretation of the force majeure was the correct one and, under that interpretation, the artists could never show they were otherwise ready, willing and able to perform</w:t>
      </w:r>
      <w:r w:rsidR="00076086">
        <w:t xml:space="preserve"> under the circumstances</w:t>
      </w:r>
      <w:r>
        <w:t xml:space="preserve">.  </w:t>
      </w:r>
      <w:r w:rsidR="00707DCD">
        <w:t>Accordingly, we find VFLA’s argument forfeited</w:t>
      </w:r>
      <w:r>
        <w:t>.  (</w:t>
      </w:r>
      <w:r w:rsidR="00076086" w:rsidRPr="00C32831">
        <w:rPr>
          <w:i/>
          <w:iCs/>
        </w:rPr>
        <w:t>Meridian Financial Services, Inc. v. Phan</w:t>
      </w:r>
      <w:r w:rsidR="00076086">
        <w:t xml:space="preserve">, </w:t>
      </w:r>
      <w:r w:rsidR="00076086" w:rsidRPr="00076086">
        <w:rPr>
          <w:i/>
          <w:iCs/>
        </w:rPr>
        <w:t>supra</w:t>
      </w:r>
      <w:r w:rsidR="00076086">
        <w:t>, 67 Cal.App.5th at p. 698</w:t>
      </w:r>
      <w:r>
        <w:t xml:space="preserve">.)  </w:t>
      </w:r>
    </w:p>
    <w:p w14:paraId="68073CAD" w14:textId="385959F0" w:rsidR="00DD77EB" w:rsidRDefault="00DD77EB" w:rsidP="00DD77EB">
      <w:r>
        <w:tab/>
      </w:r>
      <w:r w:rsidR="00CE5976">
        <w:t xml:space="preserve">However, even if </w:t>
      </w:r>
      <w:r w:rsidR="00DB2786">
        <w:t>VFLA preserved this</w:t>
      </w:r>
      <w:r w:rsidR="00CE5976">
        <w:t xml:space="preserve"> argument, it is not grounds to remand the matter for a bench trial</w:t>
      </w:r>
      <w:r w:rsidR="00707DCD">
        <w:t xml:space="preserve"> because </w:t>
      </w:r>
      <w:r w:rsidR="00CE5976">
        <w:t>VFLA</w:t>
      </w:r>
      <w:r w:rsidR="00707DCD">
        <w:t xml:space="preserve"> </w:t>
      </w:r>
      <w:r>
        <w:t>never alleged this</w:t>
      </w:r>
      <w:r w:rsidR="001D7B96">
        <w:t xml:space="preserve"> alternative</w:t>
      </w:r>
      <w:r>
        <w:t xml:space="preserve"> theory in its </w:t>
      </w:r>
      <w:r w:rsidR="00CE5976">
        <w:t>pleadings</w:t>
      </w:r>
      <w:r>
        <w:t>.</w:t>
      </w:r>
      <w:r w:rsidR="00BE487E">
        <w:t xml:space="preserve">  </w:t>
      </w:r>
    </w:p>
    <w:p w14:paraId="78AFAB56" w14:textId="7553EB8F" w:rsidR="00DD77EB" w:rsidRDefault="00DD77EB" w:rsidP="00DD77EB">
      <w:pPr>
        <w:ind w:firstLine="720"/>
      </w:pPr>
      <w:r>
        <w:t xml:space="preserve">“The pleadings play a key role in a summary judgment motion. </w:t>
      </w:r>
      <w:r w:rsidR="001D7B96">
        <w:t xml:space="preserve"> </w:t>
      </w:r>
      <w:r>
        <w:t>‘ “The function of the pleadings in a motion for summary judgment is to delimit the scope of the issues</w:t>
      </w:r>
      <w:r w:rsidR="00471D75">
        <w:t xml:space="preserve"> . . . </w:t>
      </w:r>
      <w:r>
        <w:t>” ’ and to frame ‘the outer measure of materiality in a summary judgment proceeding.’  [Citation.]  As our Supreme Court has explained it:  ‘The materiality of a disputed fact is measured by the pleadings [citations], which “set the boundaries of the issues to be resolved at summary judgment.”</w:t>
      </w:r>
      <w:r w:rsidR="0076411F">
        <w:t xml:space="preserve"> </w:t>
      </w:r>
      <w:r>
        <w:t xml:space="preserve"> [Citations.]’</w:t>
      </w:r>
      <w:r w:rsidR="0076411F">
        <w:t xml:space="preserve"> </w:t>
      </w:r>
      <w:r>
        <w:t xml:space="preserve"> [Citation.]  Accordingly, the burden of a defendant moving for summary judgment only requires that he or she negate plaintiff’s theories of liability as </w:t>
      </w:r>
      <w:r w:rsidRPr="005240A7">
        <w:rPr>
          <w:i/>
          <w:iCs/>
        </w:rPr>
        <w:t>alleged in the complaint</w:t>
      </w:r>
      <w:r>
        <w:t>; that is, a moving party need not refute liability on some theoretical possibility not included in the pleadings.”  (</w:t>
      </w:r>
      <w:r w:rsidRPr="008D51F2">
        <w:rPr>
          <w:i/>
          <w:iCs/>
        </w:rPr>
        <w:t>Hutton v. Fidelity National Title Co.</w:t>
      </w:r>
      <w:r>
        <w:t xml:space="preserve"> (2013) 213 Cal.App.4th 486, 493.)</w:t>
      </w:r>
    </w:p>
    <w:p w14:paraId="6A4F10DF" w14:textId="5B01938F" w:rsidR="00DD77EB" w:rsidRPr="00F91F5D" w:rsidRDefault="00DD77EB" w:rsidP="00DD77EB">
      <w:r>
        <w:tab/>
        <w:t xml:space="preserve">Like its briefing in </w:t>
      </w:r>
      <w:r w:rsidR="001D7B96">
        <w:t xml:space="preserve">the </w:t>
      </w:r>
      <w:r>
        <w:t xml:space="preserve">underlying cross-motions, VFLA’s operative complaint </w:t>
      </w:r>
      <w:r w:rsidR="001D7B96">
        <w:t xml:space="preserve">only claims </w:t>
      </w:r>
      <w:r>
        <w:t xml:space="preserve">the artists could not satisfy the condition that they were ready, willing, and able to perform </w:t>
      </w:r>
      <w:r w:rsidR="00CE5976">
        <w:t>in the face of the COVID-19 pandemic</w:t>
      </w:r>
      <w:r>
        <w:t xml:space="preserve">.  Indeed, VFLA demanded the deposits based on its </w:t>
      </w:r>
      <w:r w:rsidR="00CE5976">
        <w:t xml:space="preserve">unilateral </w:t>
      </w:r>
      <w:r>
        <w:t xml:space="preserve">interpretation of the force majeure provision and never inquired whether the artists were otherwise ready, willing, and able to perform.  </w:t>
      </w:r>
      <w:r w:rsidR="00001D72">
        <w:t>Then, n</w:t>
      </w:r>
      <w:r>
        <w:t xml:space="preserve">either VFLA’s operative </w:t>
      </w:r>
      <w:r>
        <w:lastRenderedPageBreak/>
        <w:t xml:space="preserve">pleading nor its subsequent briefing asserted that the artists were </w:t>
      </w:r>
      <w:r w:rsidR="00707DCD">
        <w:t>not</w:t>
      </w:r>
      <w:r>
        <w:t xml:space="preserve"> ready, willing, and able to perform due to some other </w:t>
      </w:r>
      <w:r w:rsidR="00707DCD">
        <w:t xml:space="preserve">impediment </w:t>
      </w:r>
      <w:r>
        <w:t xml:space="preserve">unrelated to </w:t>
      </w:r>
      <w:r w:rsidR="00707DCD">
        <w:t xml:space="preserve">the </w:t>
      </w:r>
      <w:r>
        <w:t xml:space="preserve">COVID-19 </w:t>
      </w:r>
      <w:r w:rsidR="00707DCD">
        <w:t>pandemic</w:t>
      </w:r>
      <w:r>
        <w:t xml:space="preserve">.  </w:t>
      </w:r>
      <w:r w:rsidR="00EC5700">
        <w:t>Thus</w:t>
      </w:r>
      <w:r>
        <w:t xml:space="preserve">, whether the artists made such a factual showing under </w:t>
      </w:r>
      <w:r w:rsidR="00CE5976">
        <w:t>their own</w:t>
      </w:r>
      <w:r>
        <w:t xml:space="preserve"> interpretation of the force majeure provision is irrelevant.</w:t>
      </w:r>
      <w:r w:rsidR="00EC5700">
        <w:rPr>
          <w:rStyle w:val="FootnoteReference"/>
        </w:rPr>
        <w:footnoteReference w:id="6"/>
      </w:r>
      <w:r>
        <w:t xml:space="preserve">  </w:t>
      </w:r>
      <w:r w:rsidR="002B4BBB">
        <w:t>(</w:t>
      </w:r>
      <w:r w:rsidR="002B4BBB" w:rsidRPr="008D51F2">
        <w:rPr>
          <w:i/>
          <w:iCs/>
        </w:rPr>
        <w:t>Hutton v. Fidelity National Title Co.</w:t>
      </w:r>
      <w:r w:rsidR="002B4BBB">
        <w:t xml:space="preserve">, </w:t>
      </w:r>
      <w:r w:rsidR="002B4BBB" w:rsidRPr="002B4BBB">
        <w:rPr>
          <w:i/>
          <w:iCs/>
        </w:rPr>
        <w:t>supra</w:t>
      </w:r>
      <w:r w:rsidR="002B4BBB">
        <w:t>, 213 Cal.App.4th at p. 493.)</w:t>
      </w:r>
      <w:r>
        <w:t xml:space="preserve"> </w:t>
      </w:r>
    </w:p>
    <w:p w14:paraId="466C9C78" w14:textId="72967591" w:rsidR="00FC6CFF" w:rsidRDefault="00C14F30" w:rsidP="005240A7">
      <w:pPr>
        <w:spacing w:before="120"/>
        <w:ind w:left="720" w:hanging="720"/>
        <w:rPr>
          <w:b/>
          <w:bCs/>
        </w:rPr>
      </w:pPr>
      <w:r>
        <w:rPr>
          <w:b/>
          <w:bCs/>
        </w:rPr>
        <w:t>V</w:t>
      </w:r>
      <w:r w:rsidR="00FC6CFF">
        <w:rPr>
          <w:b/>
          <w:bCs/>
        </w:rPr>
        <w:t>.</w:t>
      </w:r>
      <w:r w:rsidR="00FC6CFF">
        <w:rPr>
          <w:b/>
          <w:bCs/>
        </w:rPr>
        <w:tab/>
        <w:t xml:space="preserve">The </w:t>
      </w:r>
      <w:r w:rsidR="00001D72">
        <w:rPr>
          <w:b/>
          <w:bCs/>
        </w:rPr>
        <w:t>artist</w:t>
      </w:r>
      <w:r w:rsidR="00FC6CFF">
        <w:rPr>
          <w:b/>
          <w:bCs/>
        </w:rPr>
        <w:t xml:space="preserve">s’ interpretation </w:t>
      </w:r>
      <w:r>
        <w:rPr>
          <w:b/>
          <w:bCs/>
        </w:rPr>
        <w:t>does not result in a forfeiture or penalty</w:t>
      </w:r>
    </w:p>
    <w:p w14:paraId="4FBB9450" w14:textId="22BA6B8A" w:rsidR="00FC6CFF" w:rsidRDefault="00FC6CFF" w:rsidP="00FC6CFF">
      <w:pPr>
        <w:ind w:firstLine="720"/>
      </w:pPr>
      <w:r>
        <w:t xml:space="preserve">VFLA </w:t>
      </w:r>
      <w:r w:rsidR="00707DCD">
        <w:t xml:space="preserve">also </w:t>
      </w:r>
      <w:r w:rsidR="00B0548C">
        <w:t>argues we</w:t>
      </w:r>
      <w:r w:rsidR="00707DCD">
        <w:t xml:space="preserve"> </w:t>
      </w:r>
      <w:r w:rsidR="00A5102F">
        <w:t xml:space="preserve">must adopt its interpretation of the force majeure provision because </w:t>
      </w:r>
      <w:r w:rsidR="00707DCD">
        <w:t>the artists’</w:t>
      </w:r>
      <w:r w:rsidR="00B0548C">
        <w:t xml:space="preserve"> interpretation would </w:t>
      </w:r>
      <w:r w:rsidR="002B4BBB">
        <w:t xml:space="preserve">work </w:t>
      </w:r>
      <w:r w:rsidR="00B0548C">
        <w:t>an</w:t>
      </w:r>
      <w:r w:rsidR="00C14F30">
        <w:t xml:space="preserve"> invalid forfeiture or penalty.</w:t>
      </w:r>
      <w:r>
        <w:t xml:space="preserve">  </w:t>
      </w:r>
      <w:r w:rsidR="00820B6E">
        <w:t>We disagree.</w:t>
      </w:r>
    </w:p>
    <w:p w14:paraId="6A35B067" w14:textId="22748CD7" w:rsidR="00FC6CFF" w:rsidRDefault="00FC6CFF" w:rsidP="00FC6CFF">
      <w:pPr>
        <w:ind w:firstLine="720"/>
      </w:pPr>
      <w:r>
        <w:t>“ ‘A forfeiture is “[t]he divestiture of property without compensation” or “[t]he loss of a right, privilege, or property because of a crime, breach of obligation, or neglect of duty.” ’ ”  (</w:t>
      </w:r>
      <w:r w:rsidRPr="00943669">
        <w:rPr>
          <w:i/>
          <w:iCs/>
        </w:rPr>
        <w:t>Brandenburg v. Eureka Redevelopment Agency</w:t>
      </w:r>
      <w:r>
        <w:t xml:space="preserve"> (2007) 152 Cal.App.4th 1350, 1364.)  “ ‘Forfeitures are not favored by the courts, and, if an agreement can be reasonably interpreted so as to avoid a forfeiture, it is the duty of the court to avoid it.  The burden is upon the party claiming a forfeiture to show that such was the unmistakable intention of the instrument.  [Citations.]  </w:t>
      </w:r>
      <w:r w:rsidR="00D7173A">
        <w:t>“</w:t>
      </w:r>
      <w:r>
        <w:t>A contract is not to be construed to provide a forfeiture unless no other interpretation is reasonably possible.</w:t>
      </w:r>
      <w:r w:rsidR="00D7173A">
        <w:t>” </w:t>
      </w:r>
      <w:r>
        <w:t>’ ”  (</w:t>
      </w:r>
      <w:r w:rsidRPr="00F73EF0">
        <w:rPr>
          <w:i/>
          <w:iCs/>
        </w:rPr>
        <w:t>Universal Sales Corp. v. California Press Mfg. Co.</w:t>
      </w:r>
      <w:r>
        <w:t xml:space="preserve"> (1942) 20 Cal.2d 751, 771.)  </w:t>
      </w:r>
    </w:p>
    <w:p w14:paraId="55F4D6F4" w14:textId="481414C4" w:rsidR="001711D9" w:rsidRDefault="00B0548C" w:rsidP="00EC5700">
      <w:pPr>
        <w:ind w:firstLine="720"/>
      </w:pPr>
      <w:r>
        <w:t xml:space="preserve">The </w:t>
      </w:r>
      <w:r w:rsidR="002B4BBB">
        <w:t>artist</w:t>
      </w:r>
      <w:r>
        <w:t xml:space="preserve">s’ interpretation does not </w:t>
      </w:r>
      <w:r w:rsidR="00EC5700">
        <w:t>work a</w:t>
      </w:r>
      <w:r>
        <w:t xml:space="preserve"> forfeiture here.  </w:t>
      </w:r>
      <w:r w:rsidR="00EC5700">
        <w:t>In</w:t>
      </w:r>
      <w:r w:rsidR="0050304F">
        <w:t> </w:t>
      </w:r>
      <w:r w:rsidR="00EC5700">
        <w:t xml:space="preserve">at least one respect, VFLA’s argument is missing a hallmark of </w:t>
      </w:r>
      <w:r w:rsidR="00EC5700">
        <w:lastRenderedPageBreak/>
        <w:t xml:space="preserve">forfeiture, which is a breach by the forfeiting party, i.e., VFLA.  (See </w:t>
      </w:r>
      <w:r w:rsidR="00EC5700" w:rsidRPr="00560789">
        <w:rPr>
          <w:i/>
          <w:iCs/>
        </w:rPr>
        <w:t>Nelson v. Schoettgen</w:t>
      </w:r>
      <w:r w:rsidR="00EC5700">
        <w:t xml:space="preserve"> (1934) 1 Cal.App.2d 418, 423; </w:t>
      </w:r>
      <w:r w:rsidR="00EC5700" w:rsidRPr="00560789">
        <w:rPr>
          <w:i/>
          <w:iCs/>
        </w:rPr>
        <w:t>Smith v. Baker</w:t>
      </w:r>
      <w:r w:rsidR="00EC5700">
        <w:t xml:space="preserve"> (1950) 95 Cal.App.2d 877, 884.) </w:t>
      </w:r>
      <w:r w:rsidR="00A5102F">
        <w:t xml:space="preserve"> Here,</w:t>
      </w:r>
      <w:r w:rsidR="00707DCD">
        <w:t xml:space="preserve"> </w:t>
      </w:r>
      <w:r w:rsidR="00EC5700">
        <w:t>VFLA merely disagrees with the artists’ interpretation of the force majeure provision</w:t>
      </w:r>
      <w:r w:rsidR="00A5102F">
        <w:t xml:space="preserve"> and how it allocated risk between the parties.  And, while VFLA and the artists disagree as to when they </w:t>
      </w:r>
      <w:r w:rsidR="0085499E">
        <w:t>were to bear the risk of a force majeure cancellation</w:t>
      </w:r>
      <w:r w:rsidR="00A5102F">
        <w:t xml:space="preserve">, it was the “unmistakable intent” of the parties that the risk of a force majeure cancellation should be reflected in the determination of who was ultimately entitled to the deposits.  (See </w:t>
      </w:r>
      <w:r w:rsidR="00A5102F" w:rsidRPr="00F73EF0">
        <w:rPr>
          <w:i/>
          <w:iCs/>
        </w:rPr>
        <w:t>Universal Sales Corp. v. California Press Mfg. Co.</w:t>
      </w:r>
      <w:r w:rsidR="00A5102F">
        <w:t>,</w:t>
      </w:r>
      <w:r w:rsidR="00A5102F">
        <w:rPr>
          <w:i/>
          <w:iCs/>
        </w:rPr>
        <w:t xml:space="preserve"> supra</w:t>
      </w:r>
      <w:r w:rsidR="00A5102F">
        <w:t>, 20 Cal.2d at p. 771.)</w:t>
      </w:r>
      <w:r w:rsidR="00EC5700">
        <w:t xml:space="preserve">  </w:t>
      </w:r>
      <w:r w:rsidR="00707DCD">
        <w:t>Because there has been no breach</w:t>
      </w:r>
      <w:r w:rsidR="00A5102F">
        <w:t xml:space="preserve"> and the parties clearly intended to </w:t>
      </w:r>
      <w:r w:rsidR="00D903B7">
        <w:t>allocate risk with respect to a force majeure cancellation</w:t>
      </w:r>
      <w:r w:rsidR="00707DCD">
        <w:t xml:space="preserve">, VFLA’s forfeiture argument </w:t>
      </w:r>
      <w:r w:rsidR="000577EA">
        <w:t xml:space="preserve">is </w:t>
      </w:r>
      <w:r w:rsidR="00707DCD">
        <w:t>unconvincing.</w:t>
      </w:r>
      <w:r w:rsidR="007344B4">
        <w:t xml:space="preserve"> </w:t>
      </w:r>
    </w:p>
    <w:p w14:paraId="4A053ED5" w14:textId="2744E016" w:rsidR="00D414D5" w:rsidRDefault="00D903B7" w:rsidP="001711D9">
      <w:pPr>
        <w:ind w:firstLine="720"/>
      </w:pPr>
      <w:r>
        <w:t>Moreover</w:t>
      </w:r>
      <w:r w:rsidR="001711D9">
        <w:t xml:space="preserve">, while </w:t>
      </w:r>
      <w:r w:rsidR="00707DCD">
        <w:t xml:space="preserve">we acknowledge </w:t>
      </w:r>
      <w:r>
        <w:t xml:space="preserve">a </w:t>
      </w:r>
      <w:r w:rsidR="001711D9">
        <w:t xml:space="preserve">breach is not a necessary element of </w:t>
      </w:r>
      <w:r>
        <w:t xml:space="preserve">a </w:t>
      </w:r>
      <w:r w:rsidR="001711D9">
        <w:t xml:space="preserve">forfeiture, </w:t>
      </w:r>
      <w:r w:rsidR="00707DCD">
        <w:t xml:space="preserve">we note </w:t>
      </w:r>
      <w:r w:rsidR="00D414D5">
        <w:t>the circumstances here</w:t>
      </w:r>
      <w:r w:rsidR="001711D9">
        <w:t xml:space="preserve"> also lack </w:t>
      </w:r>
      <w:r w:rsidR="00D414D5">
        <w:t>a second</w:t>
      </w:r>
      <w:r w:rsidR="001711D9">
        <w:t xml:space="preserve"> indicator of </w:t>
      </w:r>
      <w:r>
        <w:t>a</w:t>
      </w:r>
      <w:r w:rsidR="00D414D5">
        <w:t xml:space="preserve"> </w:t>
      </w:r>
      <w:r w:rsidR="001711D9">
        <w:t>forfeiture</w:t>
      </w:r>
      <w:r w:rsidR="00D414D5">
        <w:t xml:space="preserve"> or penalty</w:t>
      </w:r>
      <w:r>
        <w:t>, which is a</w:t>
      </w:r>
      <w:r w:rsidR="00D414D5">
        <w:t>n</w:t>
      </w:r>
      <w:r w:rsidR="001711D9">
        <w:t xml:space="preserve"> </w:t>
      </w:r>
      <w:r w:rsidR="00EC5700">
        <w:t xml:space="preserve">unfair divestiture of property </w:t>
      </w:r>
      <w:r>
        <w:t xml:space="preserve">that </w:t>
      </w:r>
      <w:r w:rsidR="00D414D5">
        <w:t>bear</w:t>
      </w:r>
      <w:r>
        <w:t>s</w:t>
      </w:r>
      <w:r w:rsidR="00EC5700">
        <w:t xml:space="preserve"> no relationship to the actual damages anticipated by the parties </w:t>
      </w:r>
      <w:r w:rsidR="001711D9">
        <w:t>when they negotiated the contracts</w:t>
      </w:r>
      <w:r w:rsidR="00EC5700">
        <w:t>.  (</w:t>
      </w:r>
      <w:r w:rsidR="00F77E8B" w:rsidRPr="00625A02">
        <w:rPr>
          <w:i/>
          <w:iCs/>
        </w:rPr>
        <w:t>Grand Prospect Partners, L.P. v. Ross Dress for Less, Inc.</w:t>
      </w:r>
      <w:r w:rsidR="00F77E8B">
        <w:t xml:space="preserve"> (2015) 232 Cal.App.4th 1332, 1337–1338</w:t>
      </w:r>
      <w:r w:rsidR="00EC5700">
        <w:t xml:space="preserve">.)  </w:t>
      </w:r>
      <w:r>
        <w:t xml:space="preserve">For example, although not constituting a breach, a failure to satisfy a condition may constitute a forfeiture when </w:t>
      </w:r>
      <w:r w:rsidR="001711D9">
        <w:t xml:space="preserve">the value of the property forfeited bears no reasonable relationship to the range of anticipated harm when </w:t>
      </w:r>
      <w:r>
        <w:t>that</w:t>
      </w:r>
      <w:r w:rsidR="001711D9">
        <w:t xml:space="preserve"> condition is not satisfied.  (</w:t>
      </w:r>
      <w:r w:rsidR="00F77E8B">
        <w:rPr>
          <w:i/>
          <w:iCs/>
        </w:rPr>
        <w:t>Ibid</w:t>
      </w:r>
      <w:r w:rsidR="001711D9">
        <w:t xml:space="preserve">.)  </w:t>
      </w:r>
      <w:r w:rsidR="00D378C2">
        <w:t>W</w:t>
      </w:r>
      <w:r w:rsidR="00EC5700">
        <w:t>e must</w:t>
      </w:r>
      <w:r>
        <w:t xml:space="preserve"> prioritize the substance of the parties’ agreement over its </w:t>
      </w:r>
      <w:r w:rsidR="0085499E">
        <w:t>form</w:t>
      </w:r>
      <w:r w:rsidR="009C3660">
        <w:t>,</w:t>
      </w:r>
      <w:r w:rsidR="0085499E">
        <w:t xml:space="preserve"> and</w:t>
      </w:r>
      <w:r>
        <w:t xml:space="preserve"> compare</w:t>
      </w:r>
      <w:r w:rsidR="00EC5700">
        <w:t xml:space="preserve"> the value of the </w:t>
      </w:r>
      <w:r>
        <w:t xml:space="preserve">forfeited </w:t>
      </w:r>
      <w:r w:rsidR="00EC5700">
        <w:t xml:space="preserve">property </w:t>
      </w:r>
      <w:r w:rsidR="00D414D5">
        <w:t>with</w:t>
      </w:r>
      <w:r w:rsidR="00EC5700">
        <w:t xml:space="preserve"> the range of harm anticipated by the parties at the time of contracting.  (</w:t>
      </w:r>
      <w:r w:rsidR="001711D9">
        <w:rPr>
          <w:i/>
          <w:iCs/>
        </w:rPr>
        <w:t>Ibid</w:t>
      </w:r>
      <w:r w:rsidR="00EC5700">
        <w:t xml:space="preserve">.)  </w:t>
      </w:r>
    </w:p>
    <w:p w14:paraId="59091FAB" w14:textId="19BEE6FF" w:rsidR="005B2356" w:rsidRDefault="00D903B7" w:rsidP="00D903B7">
      <w:pPr>
        <w:ind w:firstLine="720"/>
      </w:pPr>
      <w:r>
        <w:t>Here, when we compare the value of the property forfeited, i.e., the deposits, with t</w:t>
      </w:r>
      <w:r w:rsidR="001711D9">
        <w:t>he range of harm anticipated by the parties at the time of contracting</w:t>
      </w:r>
      <w:r>
        <w:t xml:space="preserve">, for example, </w:t>
      </w:r>
      <w:r w:rsidR="001711D9">
        <w:t xml:space="preserve">the </w:t>
      </w:r>
      <w:r w:rsidR="001B7A8C">
        <w:t xml:space="preserve">artists’ </w:t>
      </w:r>
      <w:r w:rsidR="001711D9">
        <w:t xml:space="preserve">lost opportunity </w:t>
      </w:r>
      <w:r w:rsidR="001711D9">
        <w:lastRenderedPageBreak/>
        <w:t>to publicly perform in the Los Angeles area around the time of Virgin Fest</w:t>
      </w:r>
      <w:r w:rsidR="00D414D5">
        <w:t xml:space="preserve">, the </w:t>
      </w:r>
      <w:r>
        <w:t xml:space="preserve">two amounts </w:t>
      </w:r>
      <w:r w:rsidR="001711D9">
        <w:t xml:space="preserve">bear a reasonable relationship </w:t>
      </w:r>
      <w:r w:rsidR="000577EA">
        <w:t>to</w:t>
      </w:r>
      <w:r w:rsidR="00D414D5">
        <w:t xml:space="preserve"> each</w:t>
      </w:r>
      <w:r w:rsidR="001711D9">
        <w:t xml:space="preserve"> other.  </w:t>
      </w:r>
      <w:r>
        <w:t>The amount of the deposits,</w:t>
      </w:r>
      <w:r w:rsidR="00996013">
        <w:t xml:space="preserve"> which represented the artists’ fee for their Virgin Fest performances,</w:t>
      </w:r>
      <w:r>
        <w:t xml:space="preserve"> is what these artists could command from </w:t>
      </w:r>
      <w:r w:rsidR="00996013">
        <w:t xml:space="preserve">VFLA </w:t>
      </w:r>
      <w:r w:rsidR="000C4F93">
        <w:t>because</w:t>
      </w:r>
      <w:r w:rsidR="00996013">
        <w:t xml:space="preserve"> they also gave up their right to put on competing public performances </w:t>
      </w:r>
      <w:r>
        <w:t>in and around Los Angeles</w:t>
      </w:r>
      <w:r w:rsidR="00996013">
        <w:t xml:space="preserve"> in the summer of 2020</w:t>
      </w:r>
      <w:r>
        <w:t xml:space="preserve">.  Thus, the amount of the deposits bore a reasonable relationship to the anticipated range of harm caused by Virgin Fest’s cancellation.  (See </w:t>
      </w:r>
      <w:r w:rsidRPr="00625A02">
        <w:rPr>
          <w:i/>
          <w:iCs/>
        </w:rPr>
        <w:t>Grand Prospect Partners, L.P. v. Ross Dress for Less, Inc.</w:t>
      </w:r>
      <w:r>
        <w:t xml:space="preserve">, </w:t>
      </w:r>
      <w:r>
        <w:rPr>
          <w:i/>
          <w:iCs/>
        </w:rPr>
        <w:t>supra</w:t>
      </w:r>
      <w:r>
        <w:t>, 232 Cal.App.4th at pp. 1337–1338</w:t>
      </w:r>
      <w:r w:rsidRPr="00A569F0">
        <w:t>.</w:t>
      </w:r>
      <w:r>
        <w:t xml:space="preserve">)  </w:t>
      </w:r>
    </w:p>
    <w:p w14:paraId="17661FB7" w14:textId="741C2DC4" w:rsidR="001711D9" w:rsidRDefault="00D903B7" w:rsidP="00D903B7">
      <w:pPr>
        <w:ind w:firstLine="720"/>
      </w:pPr>
      <w:r>
        <w:t>VFLA</w:t>
      </w:r>
      <w:r w:rsidR="00305A03">
        <w:t xml:space="preserve"> </w:t>
      </w:r>
      <w:r>
        <w:t xml:space="preserve">claims that it </w:t>
      </w:r>
      <w:r w:rsidR="00996013">
        <w:t>received</w:t>
      </w:r>
      <w:r>
        <w:t xml:space="preserve"> nothing for the deposits</w:t>
      </w:r>
      <w:r w:rsidR="00305A03">
        <w:t>.  However, this claim</w:t>
      </w:r>
      <w:r>
        <w:t xml:space="preserve"> </w:t>
      </w:r>
      <w:r w:rsidR="00305A03">
        <w:t>is</w:t>
      </w:r>
      <w:r w:rsidR="005B2356">
        <w:t xml:space="preserve"> </w:t>
      </w:r>
      <w:r>
        <w:t xml:space="preserve">belied by the record, which </w:t>
      </w:r>
      <w:r w:rsidR="001B7A8C">
        <w:t>demonstrate</w:t>
      </w:r>
      <w:r>
        <w:t>s</w:t>
      </w:r>
      <w:r w:rsidR="001711D9">
        <w:t xml:space="preserve"> VFLA bargain</w:t>
      </w:r>
      <w:r w:rsidR="005B2356">
        <w:t>ed</w:t>
      </w:r>
      <w:r w:rsidR="001711D9">
        <w:t xml:space="preserve"> for more than the artists’ performances at Virgin Fest.  Rather, </w:t>
      </w:r>
      <w:r w:rsidR="00D414D5">
        <w:t xml:space="preserve">the performance contracts </w:t>
      </w:r>
      <w:r>
        <w:t xml:space="preserve">also </w:t>
      </w:r>
      <w:r w:rsidR="00D414D5">
        <w:t>granted VFLA</w:t>
      </w:r>
      <w:r w:rsidR="001711D9">
        <w:t xml:space="preserve"> </w:t>
      </w:r>
      <w:r>
        <w:t>valuable exclusivity rights that prohibited the artists from</w:t>
      </w:r>
      <w:r w:rsidR="001711D9">
        <w:t xml:space="preserve"> publicly </w:t>
      </w:r>
      <w:r>
        <w:t xml:space="preserve">performing or even publicly </w:t>
      </w:r>
      <w:r w:rsidR="001711D9">
        <w:t>announc</w:t>
      </w:r>
      <w:r>
        <w:t>ing</w:t>
      </w:r>
      <w:r w:rsidR="001711D9">
        <w:t xml:space="preserve"> any </w:t>
      </w:r>
      <w:r>
        <w:t xml:space="preserve">other </w:t>
      </w:r>
      <w:r w:rsidR="001711D9">
        <w:t>competing performances within a certain time and within a certain geographical area</w:t>
      </w:r>
      <w:r w:rsidR="00D414D5">
        <w:t xml:space="preserve"> of Virgin Fest</w:t>
      </w:r>
      <w:r w:rsidR="001711D9">
        <w:t xml:space="preserve">.  </w:t>
      </w:r>
    </w:p>
    <w:p w14:paraId="5C7CDF96" w14:textId="354FA300" w:rsidR="009D0E7B" w:rsidRDefault="00BE0197" w:rsidP="00D378C2">
      <w:pPr>
        <w:ind w:firstLine="720"/>
      </w:pPr>
      <w:r>
        <w:t>We are also not persuaded by VFLA’s argument that the condition that the artists be</w:t>
      </w:r>
      <w:r w:rsidR="00C14F30">
        <w:t xml:space="preserve"> “otherwise ready, willing, and able” must be </w:t>
      </w:r>
      <w:r>
        <w:t xml:space="preserve">strictly </w:t>
      </w:r>
      <w:r w:rsidR="00C14F30">
        <w:t xml:space="preserve">interpreted against the </w:t>
      </w:r>
      <w:r w:rsidR="001B7A8C">
        <w:t>artist</w:t>
      </w:r>
      <w:r w:rsidR="00C14F30">
        <w:t>s</w:t>
      </w:r>
      <w:r w:rsidR="00150E14">
        <w:t xml:space="preserve"> under Civil Code section 1442</w:t>
      </w:r>
      <w:r w:rsidR="00D378C2">
        <w:t>, which</w:t>
      </w:r>
      <w:r>
        <w:t xml:space="preserve"> p</w:t>
      </w:r>
      <w:r w:rsidR="00C14F30">
        <w:t>rovides:  “</w:t>
      </w:r>
      <w:r w:rsidR="00C14F30" w:rsidRPr="008966FE">
        <w:t>A condition involving a forfeiture must be strictly interpreted against the party for whose benefit it is created.</w:t>
      </w:r>
      <w:r w:rsidR="00C14F30">
        <w:t xml:space="preserve">”  </w:t>
      </w:r>
    </w:p>
    <w:p w14:paraId="027F6C70" w14:textId="1C0DE7A8" w:rsidR="00D414D5" w:rsidRDefault="00BE0197" w:rsidP="00176C32">
      <w:pPr>
        <w:ind w:firstLine="720"/>
      </w:pPr>
      <w:r>
        <w:t xml:space="preserve">As we have concluded above, </w:t>
      </w:r>
      <w:r w:rsidR="001B7A8C">
        <w:t>the artists’</w:t>
      </w:r>
      <w:r>
        <w:t xml:space="preserve"> interpretation of the force majeure provision does not work a forfeiture, therefore, Civil Code section 1442 does not apply.  </w:t>
      </w:r>
    </w:p>
    <w:p w14:paraId="1ADFD8E1" w14:textId="6D5D255E" w:rsidR="00875BD5" w:rsidRDefault="00BE0197" w:rsidP="00176C32">
      <w:pPr>
        <w:ind w:firstLine="720"/>
      </w:pPr>
      <w:r>
        <w:t xml:space="preserve">However, </w:t>
      </w:r>
      <w:r w:rsidR="00257DB3">
        <w:t xml:space="preserve">even </w:t>
      </w:r>
      <w:r w:rsidR="00D414D5">
        <w:t xml:space="preserve">assuming </w:t>
      </w:r>
      <w:r w:rsidR="00257DB3">
        <w:t>Civil Code section 1442 applies</w:t>
      </w:r>
      <w:r>
        <w:t xml:space="preserve">, </w:t>
      </w:r>
      <w:r w:rsidR="00257DB3">
        <w:t xml:space="preserve">it </w:t>
      </w:r>
      <w:r w:rsidR="00875BD5">
        <w:t xml:space="preserve">does not support VFLA’s </w:t>
      </w:r>
      <w:r w:rsidR="00257DB3">
        <w:t>argument</w:t>
      </w:r>
      <w:r w:rsidR="00875BD5">
        <w:t xml:space="preserve">.  </w:t>
      </w:r>
      <w:r w:rsidR="001B7A8C">
        <w:t xml:space="preserve">This is because the condition was created for VFLA’s benefit, not the artists.  It is the artists </w:t>
      </w:r>
      <w:r w:rsidR="004C54C0">
        <w:t>who</w:t>
      </w:r>
      <w:r w:rsidR="001B7A8C">
        <w:t xml:space="preserve"> </w:t>
      </w:r>
      <w:r w:rsidR="001B7A8C">
        <w:lastRenderedPageBreak/>
        <w:t xml:space="preserve">must satisfy the condition they are “otherwise ready, willing, and able to perform” so as not to receive a windfall if they cancelled their performance for reasons independent of the force majeure.  </w:t>
      </w:r>
      <w:r w:rsidR="00150E14">
        <w:t>Thus</w:t>
      </w:r>
      <w:r w:rsidR="001B7A8C">
        <w:t>,</w:t>
      </w:r>
      <w:r w:rsidR="00875BD5">
        <w:t xml:space="preserve"> Civil Code section 1442</w:t>
      </w:r>
      <w:r w:rsidR="00150E14">
        <w:t xml:space="preserve"> </w:t>
      </w:r>
      <w:r w:rsidR="004C54C0">
        <w:t xml:space="preserve">requires us </w:t>
      </w:r>
      <w:r w:rsidR="00257DB3">
        <w:t>to construe the condition that the artists be “otherwise ready, willing, and able to perform” against VFLA because it is the artists who must satisfy that condition.</w:t>
      </w:r>
      <w:r w:rsidR="00875BD5">
        <w:t xml:space="preserve">  </w:t>
      </w:r>
      <w:r w:rsidR="00875BD5" w:rsidRPr="008D55D1">
        <w:t xml:space="preserve">(See </w:t>
      </w:r>
      <w:r w:rsidR="00875BD5" w:rsidRPr="008D55D1">
        <w:rPr>
          <w:i/>
          <w:iCs/>
        </w:rPr>
        <w:t>Conolley v. Power</w:t>
      </w:r>
      <w:r w:rsidR="00875BD5" w:rsidRPr="008D55D1">
        <w:t xml:space="preserve"> (1924) 70 Cal.App. 70,</w:t>
      </w:r>
      <w:r w:rsidR="008D55D1" w:rsidRPr="008D55D1">
        <w:t xml:space="preserve"> 75</w:t>
      </w:r>
      <w:r w:rsidR="0040605E">
        <w:t>–</w:t>
      </w:r>
      <w:r w:rsidR="008D55D1" w:rsidRPr="008D55D1">
        <w:t xml:space="preserve">76.) </w:t>
      </w:r>
      <w:r w:rsidR="00875BD5" w:rsidRPr="008D55D1">
        <w:t xml:space="preserve"> </w:t>
      </w:r>
      <w:r w:rsidR="0059423A">
        <w:t>To</w:t>
      </w:r>
      <w:r w:rsidR="002037C1">
        <w:t> </w:t>
      </w:r>
      <w:r w:rsidR="0059423A">
        <w:t xml:space="preserve">hold otherwise would allow a party to use Civil Code section 1442 </w:t>
      </w:r>
      <w:r w:rsidR="00C87E4E">
        <w:t>to obscure a contractual condition</w:t>
      </w:r>
      <w:r w:rsidR="00412771">
        <w:t xml:space="preserve">, </w:t>
      </w:r>
      <w:r w:rsidR="0059423A">
        <w:t xml:space="preserve">making it more difficult for the other </w:t>
      </w:r>
      <w:r w:rsidR="00412771">
        <w:t>party</w:t>
      </w:r>
      <w:r w:rsidR="00543D65">
        <w:t>,</w:t>
      </w:r>
      <w:r w:rsidR="00412771">
        <w:t xml:space="preserve"> who must</w:t>
      </w:r>
      <w:r w:rsidR="0059423A">
        <w:t xml:space="preserve"> satisfy the contractual condition, from </w:t>
      </w:r>
      <w:r w:rsidR="00412771">
        <w:t>having a clear understanding of how that condition can be satisfied.</w:t>
      </w:r>
      <w:r w:rsidR="0059423A">
        <w:t xml:space="preserve"> </w:t>
      </w:r>
    </w:p>
    <w:p w14:paraId="6C2E6728" w14:textId="789E20E7" w:rsidR="004D380E" w:rsidRDefault="003D12C0" w:rsidP="00656D00">
      <w:pPr>
        <w:spacing w:before="120"/>
        <w:ind w:left="720" w:hanging="720"/>
      </w:pPr>
      <w:r>
        <w:rPr>
          <w:b/>
          <w:bCs/>
        </w:rPr>
        <w:t>V</w:t>
      </w:r>
      <w:r w:rsidR="00DD77EB">
        <w:rPr>
          <w:b/>
          <w:bCs/>
        </w:rPr>
        <w:t>I</w:t>
      </w:r>
      <w:r w:rsidR="004D380E">
        <w:rPr>
          <w:b/>
          <w:bCs/>
        </w:rPr>
        <w:t>.</w:t>
      </w:r>
      <w:r w:rsidR="004D380E">
        <w:rPr>
          <w:b/>
          <w:bCs/>
        </w:rPr>
        <w:tab/>
        <w:t xml:space="preserve">The </w:t>
      </w:r>
      <w:r w:rsidR="001B7A8C">
        <w:rPr>
          <w:b/>
          <w:bCs/>
        </w:rPr>
        <w:t>artist</w:t>
      </w:r>
      <w:r w:rsidR="004D380E">
        <w:rPr>
          <w:b/>
          <w:bCs/>
        </w:rPr>
        <w:t xml:space="preserve">s’ interpretation </w:t>
      </w:r>
      <w:r w:rsidR="0082351E">
        <w:rPr>
          <w:b/>
          <w:bCs/>
        </w:rPr>
        <w:t>does not make the performance contracts unlawful</w:t>
      </w:r>
    </w:p>
    <w:p w14:paraId="4B38561A" w14:textId="7A6E6E44" w:rsidR="004D380E" w:rsidRDefault="004D380E" w:rsidP="003D12C0">
      <w:pPr>
        <w:ind w:firstLine="720"/>
      </w:pPr>
      <w:r>
        <w:t>VFLA</w:t>
      </w:r>
      <w:r w:rsidR="00654CDD">
        <w:t xml:space="preserve"> </w:t>
      </w:r>
      <w:r>
        <w:t xml:space="preserve">argues the </w:t>
      </w:r>
      <w:r w:rsidR="001B7A8C">
        <w:t>artist</w:t>
      </w:r>
      <w:r>
        <w:t xml:space="preserve">s’ interpretation of the force majeure provision is </w:t>
      </w:r>
      <w:r w:rsidR="00150E14">
        <w:t xml:space="preserve">also </w:t>
      </w:r>
      <w:r>
        <w:t xml:space="preserve">untenable because it </w:t>
      </w:r>
      <w:r w:rsidR="0082351E">
        <w:t>require</w:t>
      </w:r>
      <w:r w:rsidR="00654CDD">
        <w:t>s</w:t>
      </w:r>
      <w:r w:rsidR="0082351E">
        <w:t xml:space="preserve"> this court to endorse an illegal act or enforce a contract with an unlawful object, specifically, allowing the artists to say they were “ready, willing, and able” to perform despite the COVID-19-related restrictions </w:t>
      </w:r>
      <w:r w:rsidR="00654CDD">
        <w:t xml:space="preserve">prohibiting their </w:t>
      </w:r>
      <w:r w:rsidR="0082351E">
        <w:t>performances.</w:t>
      </w:r>
      <w:r>
        <w:t xml:space="preserve">  </w:t>
      </w:r>
      <w:r w:rsidR="00654CDD">
        <w:t>Again, we</w:t>
      </w:r>
      <w:r>
        <w:t xml:space="preserve"> </w:t>
      </w:r>
      <w:r w:rsidR="0082351E">
        <w:t>are not persuaded</w:t>
      </w:r>
      <w:r>
        <w:t xml:space="preserve">.  </w:t>
      </w:r>
    </w:p>
    <w:p w14:paraId="3E65DE00" w14:textId="3521F5C4" w:rsidR="0052420D" w:rsidRDefault="003D12C0" w:rsidP="0052420D">
      <w:r>
        <w:tab/>
        <w:t>Every contract must have</w:t>
      </w:r>
      <w:r w:rsidR="002A02BB">
        <w:t xml:space="preserve"> </w:t>
      </w:r>
      <w:r w:rsidR="0082351E">
        <w:t>a lawful object.</w:t>
      </w:r>
      <w:r w:rsidR="004D380E">
        <w:t xml:space="preserve">  (Civ. Code, § 1550.)</w:t>
      </w:r>
      <w:r>
        <w:t xml:space="preserve">  “</w:t>
      </w:r>
      <w:r w:rsidR="004D380E">
        <w:t>The object of a contract is the thing which it is agreed, on the part of the party receiving the consideration, to do or not to do.”  (Civ. Code, § 1595.)</w:t>
      </w:r>
      <w:r w:rsidR="002A02BB">
        <w:t xml:space="preserve">  </w:t>
      </w:r>
      <w:r>
        <w:t>“</w:t>
      </w:r>
      <w:r w:rsidR="004D380E">
        <w:t xml:space="preserve">Where a contract has but a single object, and such object is unlawful, whether in whole or in part, or wholly impossible of performance, or so vaguely expressed as to be wholly unascertainable, the entire contract is void.”  (Civ. Code, § 1598.)  </w:t>
      </w:r>
      <w:r w:rsidR="0052420D">
        <w:t>“Where an agreement is capable of being interpreted in two ways,</w:t>
      </w:r>
      <w:r w:rsidR="00722EE9">
        <w:t>”</w:t>
      </w:r>
      <w:r w:rsidR="0052420D">
        <w:t xml:space="preserve"> we should construe it in order to make the agreement lawful</w:t>
      </w:r>
      <w:r w:rsidR="00AE6F5B">
        <w:t xml:space="preserve"> </w:t>
      </w:r>
      <w:r w:rsidR="0052420D">
        <w:t>and capable of being carried into effect</w:t>
      </w:r>
      <w:r w:rsidR="00AE6F5B">
        <w:t>.</w:t>
      </w:r>
      <w:r w:rsidR="0052420D">
        <w:t xml:space="preserve">  (</w:t>
      </w:r>
      <w:r w:rsidR="0052420D" w:rsidRPr="0052420D">
        <w:rPr>
          <w:i/>
          <w:iCs/>
        </w:rPr>
        <w:t>Segal v. Silberstein</w:t>
      </w:r>
      <w:r w:rsidR="0052420D">
        <w:t xml:space="preserve"> (2007) 156</w:t>
      </w:r>
      <w:r w:rsidR="00722EE9">
        <w:t> </w:t>
      </w:r>
      <w:r w:rsidR="0052420D">
        <w:t xml:space="preserve">Cal.App.4th 627, 633.)  </w:t>
      </w:r>
      <w:r w:rsidR="00AE6F5B">
        <w:t xml:space="preserve">In determining whether the subject of a </w:t>
      </w:r>
      <w:r w:rsidR="00AE6F5B">
        <w:lastRenderedPageBreak/>
        <w:t>given contract is lawful, we rely on the state of the law as it existed at the time of contracting.</w:t>
      </w:r>
      <w:r w:rsidR="0052420D">
        <w:t xml:space="preserve">  (</w:t>
      </w:r>
      <w:r w:rsidR="0052420D" w:rsidRPr="0052420D">
        <w:rPr>
          <w:i/>
          <w:iCs/>
        </w:rPr>
        <w:t>Moran v. Harris</w:t>
      </w:r>
      <w:r w:rsidR="0052420D">
        <w:t xml:space="preserve"> (1982) 131 Cal.App.3d 913, 918.)  </w:t>
      </w:r>
    </w:p>
    <w:p w14:paraId="65028109" w14:textId="6D3966B1" w:rsidR="003D12C0" w:rsidRDefault="0052420D" w:rsidP="0052420D">
      <w:r>
        <w:tab/>
      </w:r>
      <w:r w:rsidR="0082351E">
        <w:t>VFLA argues the performance contracts had a single object—the artists’ performances at Virgin Fest—which became unlawful as a result of the government’s COVID-19 orders</w:t>
      </w:r>
      <w:r w:rsidR="004C54C0">
        <w:t xml:space="preserve">. </w:t>
      </w:r>
      <w:r w:rsidR="00103506">
        <w:t xml:space="preserve"> </w:t>
      </w:r>
      <w:r w:rsidR="004C54C0">
        <w:t>T</w:t>
      </w:r>
      <w:r w:rsidR="00103506">
        <w:t xml:space="preserve">herefore, </w:t>
      </w:r>
      <w:r w:rsidR="004C54C0">
        <w:t xml:space="preserve">according to the VFLA, </w:t>
      </w:r>
      <w:r w:rsidR="00103506">
        <w:t xml:space="preserve">the contracts are void, or, alternatively, we must reject the </w:t>
      </w:r>
      <w:r w:rsidR="002A02BB">
        <w:t>artist</w:t>
      </w:r>
      <w:r w:rsidR="00103506">
        <w:t xml:space="preserve">s’ interpretation because it would allow the artists to </w:t>
      </w:r>
      <w:r w:rsidR="00F77E8B">
        <w:t xml:space="preserve">assert </w:t>
      </w:r>
      <w:r w:rsidR="00103506">
        <w:t>they were “ready” and “able” to perform an illegal act.  Neither argument has merit.</w:t>
      </w:r>
    </w:p>
    <w:p w14:paraId="68E22AEF" w14:textId="0B3F4FD0" w:rsidR="00654CDD" w:rsidRDefault="0052420D" w:rsidP="00AA6E14">
      <w:r>
        <w:tab/>
      </w:r>
      <w:r w:rsidR="00C6034A">
        <w:t>First, as discussed above, we disagree with VFLA’s characterization that the</w:t>
      </w:r>
      <w:r w:rsidR="00654CDD">
        <w:t xml:space="preserve"> artists’ performance at Virgin Fest was the performance contracts</w:t>
      </w:r>
      <w:r w:rsidR="001B6A00">
        <w:t>’</w:t>
      </w:r>
      <w:r w:rsidR="00654CDD">
        <w:t xml:space="preserve"> only object</w:t>
      </w:r>
      <w:r w:rsidR="00767B9E">
        <w:t>,</w:t>
      </w:r>
      <w:r w:rsidR="00654CDD">
        <w:t xml:space="preserve"> as VFLA also bargained for valuable exclusivity rights</w:t>
      </w:r>
      <w:r w:rsidR="00184F20">
        <w:t>, which the artists granted</w:t>
      </w:r>
      <w:r w:rsidR="00E1251A">
        <w:t xml:space="preserve">.  </w:t>
      </w:r>
    </w:p>
    <w:p w14:paraId="7DB7320F" w14:textId="3F73CABD" w:rsidR="00654CDD" w:rsidRDefault="00C6034A" w:rsidP="00654CDD">
      <w:pPr>
        <w:ind w:firstLine="720"/>
      </w:pPr>
      <w:r>
        <w:t xml:space="preserve">Second, </w:t>
      </w:r>
      <w:r w:rsidR="00F54431">
        <w:t xml:space="preserve">nothing in the force majeure provision requires the artists to </w:t>
      </w:r>
      <w:r w:rsidR="00654CDD">
        <w:t xml:space="preserve">actually </w:t>
      </w:r>
      <w:r w:rsidR="00F54431">
        <w:t xml:space="preserve">perform </w:t>
      </w:r>
      <w:r w:rsidR="003B5266">
        <w:t>and violate</w:t>
      </w:r>
      <w:r w:rsidR="00F54431">
        <w:t xml:space="preserve"> COVID-19 restrictions</w:t>
      </w:r>
      <w:r w:rsidR="00654CDD">
        <w:t>, thus, t</w:t>
      </w:r>
      <w:r w:rsidR="00F54431">
        <w:t xml:space="preserve">he artists are not asking us to help them carry out an illegal object.  </w:t>
      </w:r>
      <w:r w:rsidR="00654CDD">
        <w:t>By adopting the artists’ interpretation, we are not endorsing or requiring the artists to perform an illegal act</w:t>
      </w:r>
      <w:r w:rsidR="00F54431">
        <w:t>.  Rather,</w:t>
      </w:r>
      <w:r w:rsidR="00654CDD">
        <w:t xml:space="preserve"> our interpretation of the force majeure provision</w:t>
      </w:r>
      <w:r w:rsidR="00F54431">
        <w:t xml:space="preserve"> merely requires us to de</w:t>
      </w:r>
      <w:r w:rsidR="00654CDD">
        <w:t>cide</w:t>
      </w:r>
      <w:r w:rsidR="00F54431">
        <w:t xml:space="preserve"> who </w:t>
      </w:r>
      <w:r w:rsidR="00654CDD">
        <w:t>is entitled to the deposits in the event of a force majeure cancellation</w:t>
      </w:r>
      <w:r w:rsidR="00F54431">
        <w:t xml:space="preserve">.  </w:t>
      </w:r>
    </w:p>
    <w:p w14:paraId="75FC45EE" w14:textId="3B70707F" w:rsidR="003D12C0" w:rsidRDefault="00F54431" w:rsidP="00654CDD">
      <w:pPr>
        <w:ind w:firstLine="720"/>
      </w:pPr>
      <w:r>
        <w:t xml:space="preserve">Third, </w:t>
      </w:r>
      <w:r w:rsidR="00C6034A">
        <w:t xml:space="preserve">the record is clear that the performance contracts did not have an unlawful object at the time of contracting.  It was only after the government issued its COVID-19 restrictions that the artists’ </w:t>
      </w:r>
      <w:r w:rsidR="00460AB8">
        <w:t>performances</w:t>
      </w:r>
      <w:r w:rsidR="00C6034A">
        <w:t xml:space="preserve"> at Virgin Fest became unlawful.  </w:t>
      </w:r>
      <w:r w:rsidR="00654CDD">
        <w:t>“[I]</w:t>
      </w:r>
      <w:r w:rsidR="00C6034A">
        <w:t>f the contract was valid when made, no subsequent act of the legislature can render it invalid.”  (</w:t>
      </w:r>
      <w:r w:rsidR="00C6034A" w:rsidRPr="00F54431">
        <w:rPr>
          <w:i/>
          <w:iCs/>
        </w:rPr>
        <w:t>Stephens v. Southern Pac. Co.</w:t>
      </w:r>
      <w:r w:rsidR="00C6034A">
        <w:t xml:space="preserve"> (1895) 109</w:t>
      </w:r>
      <w:r w:rsidR="00B05424">
        <w:t> </w:t>
      </w:r>
      <w:r w:rsidR="00C6034A">
        <w:t xml:space="preserve">Cal. 86, 95.)  </w:t>
      </w:r>
    </w:p>
    <w:p w14:paraId="113BA422" w14:textId="08B2D13A" w:rsidR="00E66BC2" w:rsidRDefault="00EA2C9C" w:rsidP="00EA2C9C">
      <w:pPr>
        <w:ind w:firstLine="720"/>
      </w:pPr>
      <w:r>
        <w:lastRenderedPageBreak/>
        <w:t xml:space="preserve">VFLA </w:t>
      </w:r>
      <w:r w:rsidR="00654CDD">
        <w:t>asserts</w:t>
      </w:r>
      <w:r>
        <w:t xml:space="preserve"> that </w:t>
      </w:r>
      <w:r w:rsidR="00176FC2" w:rsidRPr="00176FC2">
        <w:rPr>
          <w:i/>
          <w:iCs/>
        </w:rPr>
        <w:t xml:space="preserve">Indus. Devl. &amp; Land Co. v. </w:t>
      </w:r>
      <w:r w:rsidRPr="00E66BC2">
        <w:rPr>
          <w:i/>
          <w:iCs/>
        </w:rPr>
        <w:t xml:space="preserve">Goldschmidt </w:t>
      </w:r>
      <w:r w:rsidR="00176FC2">
        <w:t>(1922) 56 Cal.App. 507 (</w:t>
      </w:r>
      <w:r w:rsidR="00176FC2" w:rsidRPr="00176FC2">
        <w:rPr>
          <w:i/>
          <w:iCs/>
        </w:rPr>
        <w:t>Goldschmidt</w:t>
      </w:r>
      <w:r w:rsidR="00176FC2">
        <w:t xml:space="preserve">) </w:t>
      </w:r>
      <w:r w:rsidR="0016706A">
        <w:t xml:space="preserve">forecloses the </w:t>
      </w:r>
      <w:r w:rsidR="002A02BB">
        <w:t>artist</w:t>
      </w:r>
      <w:r w:rsidR="0016706A">
        <w:t xml:space="preserve">s’ </w:t>
      </w:r>
      <w:r w:rsidR="00654CDD">
        <w:t>position that</w:t>
      </w:r>
      <w:r w:rsidR="0016706A">
        <w:t xml:space="preserve"> </w:t>
      </w:r>
      <w:r w:rsidR="002A02BB">
        <w:t>they</w:t>
      </w:r>
      <w:r w:rsidR="0016706A">
        <w:t xml:space="preserve"> </w:t>
      </w:r>
      <w:r>
        <w:t>were “ready, willing, and able to perform” at Virgin Fest</w:t>
      </w:r>
      <w:r w:rsidR="00176FC2">
        <w:t xml:space="preserve"> after the government orders prohibited their performances</w:t>
      </w:r>
      <w:r w:rsidR="0016706A">
        <w:t>.</w:t>
      </w:r>
      <w:r w:rsidR="00E66BC2">
        <w:t xml:space="preserve">  </w:t>
      </w:r>
      <w:r w:rsidR="000D0795">
        <w:t xml:space="preserve">We find </w:t>
      </w:r>
      <w:r w:rsidR="000D0795" w:rsidRPr="00460AB8">
        <w:rPr>
          <w:i/>
          <w:iCs/>
        </w:rPr>
        <w:t xml:space="preserve">Goldschmidt </w:t>
      </w:r>
      <w:r w:rsidR="00176FC2">
        <w:t>distinguishable</w:t>
      </w:r>
      <w:r w:rsidR="000D0795">
        <w:t>.</w:t>
      </w:r>
    </w:p>
    <w:p w14:paraId="3814618D" w14:textId="4908050D" w:rsidR="000D0795" w:rsidRPr="009E4088" w:rsidRDefault="000D0795" w:rsidP="009E4088">
      <w:r>
        <w:tab/>
        <w:t xml:space="preserve">In </w:t>
      </w:r>
      <w:r w:rsidRPr="00460AB8">
        <w:rPr>
          <w:i/>
          <w:iCs/>
        </w:rPr>
        <w:t>Goldschmidt</w:t>
      </w:r>
      <w:r>
        <w:t xml:space="preserve">, a landlord sued his </w:t>
      </w:r>
      <w:r w:rsidR="00176FC2">
        <w:t xml:space="preserve">commercial </w:t>
      </w:r>
      <w:r>
        <w:t>tenants</w:t>
      </w:r>
      <w:r w:rsidR="00176FC2">
        <w:t xml:space="preserve"> who stopped paying rent after prohibition made</w:t>
      </w:r>
      <w:r w:rsidR="00654CDD">
        <w:t xml:space="preserve"> illegal</w:t>
      </w:r>
      <w:r w:rsidR="00176FC2">
        <w:t xml:space="preserve"> their winery and liquor business operat</w:t>
      </w:r>
      <w:r w:rsidR="00654CDD">
        <w:t>ion</w:t>
      </w:r>
      <w:r w:rsidR="00176FC2">
        <w:t xml:space="preserve"> on the property.  (</w:t>
      </w:r>
      <w:r w:rsidR="00176FC2" w:rsidRPr="00176FC2">
        <w:rPr>
          <w:i/>
          <w:iCs/>
        </w:rPr>
        <w:t>Id</w:t>
      </w:r>
      <w:r w:rsidR="00176FC2" w:rsidRPr="00F30459">
        <w:t>.</w:t>
      </w:r>
      <w:r w:rsidR="00176FC2">
        <w:t xml:space="preserve"> </w:t>
      </w:r>
      <w:r>
        <w:t>at pp. 134</w:t>
      </w:r>
      <w:r w:rsidR="00B05424">
        <w:t>–</w:t>
      </w:r>
      <w:r>
        <w:t xml:space="preserve">135.)  </w:t>
      </w:r>
      <w:r w:rsidR="00654CDD">
        <w:t xml:space="preserve">The </w:t>
      </w:r>
      <w:r w:rsidR="00654CDD" w:rsidRPr="00460AB8">
        <w:rPr>
          <w:i/>
          <w:iCs/>
        </w:rPr>
        <w:t>Goldschmidt</w:t>
      </w:r>
      <w:r w:rsidR="00654CDD">
        <w:t xml:space="preserve"> court held that the tenants were excused from performance, i.e., paying rent for the remainder of the lease term, </w:t>
      </w:r>
      <w:r w:rsidR="00654CDD" w:rsidRPr="000D0795">
        <w:t xml:space="preserve">when prohibition </w:t>
      </w:r>
      <w:r w:rsidR="00654CDD">
        <w:t>came into effect</w:t>
      </w:r>
      <w:r w:rsidR="00654CDD" w:rsidRPr="000D0795">
        <w:t xml:space="preserve"> and made </w:t>
      </w:r>
      <w:r w:rsidR="004C54C0">
        <w:t>operati</w:t>
      </w:r>
      <w:r w:rsidR="00654CDD" w:rsidRPr="000D0795">
        <w:t xml:space="preserve">ng </w:t>
      </w:r>
      <w:r w:rsidR="00654CDD">
        <w:t>their</w:t>
      </w:r>
      <w:r w:rsidR="00654CDD" w:rsidRPr="000D0795">
        <w:t xml:space="preserve"> business unlawful</w:t>
      </w:r>
      <w:r w:rsidR="00654CDD">
        <w:t>.  (</w:t>
      </w:r>
      <w:r w:rsidR="00654CDD" w:rsidRPr="00176FC2">
        <w:rPr>
          <w:i/>
          <w:iCs/>
        </w:rPr>
        <w:t>Id</w:t>
      </w:r>
      <w:r w:rsidR="00654CDD">
        <w:t>. at pp. 508</w:t>
      </w:r>
      <w:r w:rsidR="002A0EEE">
        <w:t>–</w:t>
      </w:r>
      <w:r w:rsidR="00654CDD">
        <w:t xml:space="preserve">509.)  A critical factor in </w:t>
      </w:r>
      <w:r w:rsidR="00654CDD">
        <w:rPr>
          <w:i/>
          <w:iCs/>
        </w:rPr>
        <w:t xml:space="preserve">Goldschmidt </w:t>
      </w:r>
      <w:r w:rsidR="00654CDD">
        <w:t>was the lease’s restrict</w:t>
      </w:r>
      <w:r w:rsidR="00BD7753">
        <w:t>ive terms,</w:t>
      </w:r>
      <w:r w:rsidR="00654CDD">
        <w:t xml:space="preserve"> which provided </w:t>
      </w:r>
      <w:r w:rsidR="00BD7753">
        <w:t xml:space="preserve">the property could not be used for any other purpose </w:t>
      </w:r>
      <w:r w:rsidR="00654CDD">
        <w:t xml:space="preserve">other than </w:t>
      </w:r>
      <w:r w:rsidR="00176FC2">
        <w:t>a winery and liquor business</w:t>
      </w:r>
      <w:r>
        <w:t>.  (</w:t>
      </w:r>
      <w:r>
        <w:rPr>
          <w:i/>
          <w:iCs/>
        </w:rPr>
        <w:t>Id</w:t>
      </w:r>
      <w:r w:rsidRPr="00F30459">
        <w:t>.</w:t>
      </w:r>
      <w:r>
        <w:rPr>
          <w:i/>
          <w:iCs/>
        </w:rPr>
        <w:t xml:space="preserve"> </w:t>
      </w:r>
      <w:r>
        <w:t xml:space="preserve">at p. 135.)  </w:t>
      </w:r>
      <w:r w:rsidR="009E4088">
        <w:t>“The restrictive clauses make it appear definitely enough that the lessees were bound to use the premises for the purpose of conducting a winery or wholesale or retail liquor business, or for all of such purposes, and that such uses could not be varied at their option.”  (</w:t>
      </w:r>
      <w:r w:rsidR="009E4088">
        <w:rPr>
          <w:i/>
          <w:iCs/>
        </w:rPr>
        <w:t>Id</w:t>
      </w:r>
      <w:r w:rsidR="009E4088" w:rsidRPr="00F30459">
        <w:t>.</w:t>
      </w:r>
      <w:r w:rsidR="009E4088">
        <w:rPr>
          <w:i/>
          <w:iCs/>
        </w:rPr>
        <w:t xml:space="preserve"> </w:t>
      </w:r>
      <w:r w:rsidR="009E4088">
        <w:t xml:space="preserve">at p. 511.)  Because the lease’s terms were restrictive, </w:t>
      </w:r>
      <w:r w:rsidR="00654CDD">
        <w:t xml:space="preserve">the </w:t>
      </w:r>
      <w:r w:rsidR="00654CDD">
        <w:rPr>
          <w:i/>
          <w:iCs/>
        </w:rPr>
        <w:t xml:space="preserve">Goldschmidt </w:t>
      </w:r>
      <w:r w:rsidR="00654CDD">
        <w:t xml:space="preserve">court </w:t>
      </w:r>
      <w:r w:rsidR="009E4088">
        <w:t xml:space="preserve">concluded the lease became inoperative upon the </w:t>
      </w:r>
      <w:r w:rsidR="004C54C0">
        <w:t xml:space="preserve">enactment of </w:t>
      </w:r>
      <w:r w:rsidR="009E4088">
        <w:t>prohibition.  (</w:t>
      </w:r>
      <w:r w:rsidR="009E4088">
        <w:rPr>
          <w:i/>
          <w:iCs/>
        </w:rPr>
        <w:t>Id</w:t>
      </w:r>
      <w:r w:rsidR="009E4088" w:rsidRPr="00F30459">
        <w:t>.</w:t>
      </w:r>
      <w:r w:rsidR="009E4088">
        <w:rPr>
          <w:i/>
          <w:iCs/>
        </w:rPr>
        <w:t xml:space="preserve"> </w:t>
      </w:r>
      <w:r w:rsidR="009E4088">
        <w:t>at pp. 510</w:t>
      </w:r>
      <w:r w:rsidR="00586B8A">
        <w:t>–</w:t>
      </w:r>
      <w:r w:rsidR="009E4088">
        <w:t>511.)</w:t>
      </w:r>
      <w:r w:rsidR="00F30459">
        <w:t xml:space="preserve">  </w:t>
      </w:r>
    </w:p>
    <w:p w14:paraId="00EF36B8" w14:textId="74F3FCC0" w:rsidR="002A32EA" w:rsidRDefault="009E4088" w:rsidP="002A32EA">
      <w:pPr>
        <w:ind w:firstLine="720"/>
      </w:pPr>
      <w:r>
        <w:t>U</w:t>
      </w:r>
      <w:r w:rsidR="00176FC2">
        <w:t>n</w:t>
      </w:r>
      <w:r w:rsidR="00460AB8">
        <w:t xml:space="preserve">like the </w:t>
      </w:r>
      <w:r>
        <w:t xml:space="preserve">restrictive </w:t>
      </w:r>
      <w:r w:rsidR="00176FC2">
        <w:t xml:space="preserve">lease in </w:t>
      </w:r>
      <w:r w:rsidR="00176FC2" w:rsidRPr="00176FC2">
        <w:rPr>
          <w:i/>
          <w:iCs/>
        </w:rPr>
        <w:t>Goldschmidt</w:t>
      </w:r>
      <w:r w:rsidR="00460AB8">
        <w:t xml:space="preserve">, </w:t>
      </w:r>
      <w:r w:rsidR="00176FC2">
        <w:t>the performance contracts</w:t>
      </w:r>
      <w:r>
        <w:t xml:space="preserve"> here</w:t>
      </w:r>
      <w:r w:rsidR="00176FC2">
        <w:t xml:space="preserve"> anticipated the</w:t>
      </w:r>
      <w:r w:rsidR="002A32EA">
        <w:t xml:space="preserve"> possibility of a</w:t>
      </w:r>
      <w:r w:rsidR="00460AB8">
        <w:t xml:space="preserve"> force majeure cancellation</w:t>
      </w:r>
      <w:r w:rsidR="00127CDB">
        <w:t>,</w:t>
      </w:r>
      <w:r w:rsidR="00460AB8">
        <w:t xml:space="preserve"> and allocated the financial risk between the parties accordingly.  </w:t>
      </w:r>
      <w:r w:rsidR="00865A81">
        <w:t>It is not illegal for p</w:t>
      </w:r>
      <w:r w:rsidR="00176FC2">
        <w:t xml:space="preserve">arties to negotiate what happens </w:t>
      </w:r>
      <w:r w:rsidR="003B5266">
        <w:t>when</w:t>
      </w:r>
      <w:r w:rsidR="00865A81">
        <w:t xml:space="preserve"> a condition under a contract becomes impossible</w:t>
      </w:r>
      <w:r w:rsidR="00176FC2">
        <w:t>.  (</w:t>
      </w:r>
      <w:r w:rsidR="00176FC2" w:rsidRPr="00176FC2">
        <w:rPr>
          <w:i/>
          <w:iCs/>
        </w:rPr>
        <w:t>Mathes v. Long Beach</w:t>
      </w:r>
      <w:r w:rsidR="00176FC2">
        <w:t xml:space="preserve"> (1953) 121 Cal.App.2d 473, 477.)</w:t>
      </w:r>
      <w:r w:rsidR="00FF147D">
        <w:t xml:space="preserve"> </w:t>
      </w:r>
    </w:p>
    <w:p w14:paraId="08346188" w14:textId="20886EE5" w:rsidR="00CB3C84" w:rsidRDefault="0016706A" w:rsidP="003B70B5">
      <w:pPr>
        <w:ind w:firstLine="720"/>
      </w:pPr>
      <w:r>
        <w:t xml:space="preserve">VFLA </w:t>
      </w:r>
      <w:r w:rsidR="00FF147D">
        <w:t>also argues</w:t>
      </w:r>
      <w:r w:rsidR="004C54C0">
        <w:t xml:space="preserve"> the “ready, willing, and able” condition is void </w:t>
      </w:r>
      <w:r w:rsidR="00FF147D">
        <w:t xml:space="preserve">under </w:t>
      </w:r>
      <w:r w:rsidR="00EA2C9C">
        <w:t xml:space="preserve">Civil Code </w:t>
      </w:r>
      <w:r>
        <w:t xml:space="preserve">section </w:t>
      </w:r>
      <w:r w:rsidR="00EA2C9C">
        <w:t xml:space="preserve">1441, which provides that “[a] </w:t>
      </w:r>
      <w:r w:rsidR="00EA2C9C">
        <w:lastRenderedPageBreak/>
        <w:t>condition in a contract, the fulfillment of which is</w:t>
      </w:r>
      <w:r w:rsidR="0073036C">
        <w:t xml:space="preserve"> . . . </w:t>
      </w:r>
      <w:r w:rsidR="00EA2C9C">
        <w:t>unlawful,” is “void</w:t>
      </w:r>
      <w:r w:rsidR="004C54C0">
        <w:t>.</w:t>
      </w:r>
      <w:r w:rsidR="00EA2C9C">
        <w:t>”</w:t>
      </w:r>
      <w:r w:rsidR="004C54C0">
        <w:t xml:space="preserve">  We disagree</w:t>
      </w:r>
      <w:r w:rsidR="00FF147D">
        <w:t>.  As discussed above, the relevant inquiry is whether the artists were “otherwise ready, willing, and able” absent the force majeure</w:t>
      </w:r>
      <w:r w:rsidR="00173E03">
        <w:t>, not whether they could perform in violation of the COVID-19 restrictions</w:t>
      </w:r>
      <w:r w:rsidR="00FF147D">
        <w:t xml:space="preserve">.  </w:t>
      </w:r>
      <w:r w:rsidR="00173E03">
        <w:t>As such</w:t>
      </w:r>
      <w:r w:rsidR="00195007">
        <w:t xml:space="preserve">, nothing in the performance contract requires the artists to satisfy an unlawful condition.  </w:t>
      </w:r>
    </w:p>
    <w:p w14:paraId="5C8E407F" w14:textId="4775F453" w:rsidR="000E17D6" w:rsidRPr="000E17D6" w:rsidRDefault="00CB3C84" w:rsidP="00F13C95">
      <w:pPr>
        <w:keepNext/>
        <w:keepLines/>
        <w:spacing w:before="120"/>
        <w:ind w:left="720" w:hanging="720"/>
        <w:rPr>
          <w:b/>
          <w:bCs/>
        </w:rPr>
      </w:pPr>
      <w:r>
        <w:rPr>
          <w:b/>
          <w:bCs/>
        </w:rPr>
        <w:t>VII</w:t>
      </w:r>
      <w:r w:rsidR="00344ED4" w:rsidRPr="00344ED4">
        <w:rPr>
          <w:b/>
          <w:bCs/>
        </w:rPr>
        <w:t>.</w:t>
      </w:r>
      <w:r w:rsidR="00344ED4" w:rsidRPr="00344ED4">
        <w:rPr>
          <w:b/>
          <w:bCs/>
        </w:rPr>
        <w:tab/>
        <w:t xml:space="preserve">Because VFLA’s contract claim fails, its breach of the </w:t>
      </w:r>
      <w:r w:rsidR="0037791A">
        <w:rPr>
          <w:b/>
          <w:bCs/>
        </w:rPr>
        <w:t xml:space="preserve">implied </w:t>
      </w:r>
      <w:r w:rsidR="00344ED4" w:rsidRPr="00344ED4">
        <w:rPr>
          <w:b/>
          <w:bCs/>
        </w:rPr>
        <w:t xml:space="preserve">covenant of good faith and fair dealing </w:t>
      </w:r>
      <w:r w:rsidR="0075534C">
        <w:rPr>
          <w:b/>
          <w:bCs/>
        </w:rPr>
        <w:t xml:space="preserve">claim </w:t>
      </w:r>
      <w:r w:rsidR="00344ED4" w:rsidRPr="00344ED4">
        <w:rPr>
          <w:b/>
          <w:bCs/>
        </w:rPr>
        <w:t>fails as well</w:t>
      </w:r>
    </w:p>
    <w:p w14:paraId="584D3AC7" w14:textId="7A0144F0" w:rsidR="000E17D6" w:rsidRDefault="00D17AA2" w:rsidP="003B70B5">
      <w:pPr>
        <w:keepNext/>
        <w:keepLines/>
        <w:ind w:firstLine="720"/>
      </w:pPr>
      <w:r>
        <w:t xml:space="preserve">Given our finding that the </w:t>
      </w:r>
      <w:r w:rsidR="00247809">
        <w:t>artist</w:t>
      </w:r>
      <w:r>
        <w:t xml:space="preserve">s’ interpretation of the force majeure provision is the correct one, we conclude the </w:t>
      </w:r>
      <w:r w:rsidR="00247809">
        <w:t>artist</w:t>
      </w:r>
      <w:r>
        <w:t xml:space="preserve">s </w:t>
      </w:r>
      <w:r w:rsidR="002F127C">
        <w:t xml:space="preserve">also prevail on </w:t>
      </w:r>
      <w:r>
        <w:t xml:space="preserve">VFLA’s cause of action </w:t>
      </w:r>
      <w:r w:rsidR="000E17D6">
        <w:t>for breach of the implied covenant of good faith and fair dealing</w:t>
      </w:r>
      <w:r>
        <w:t>.</w:t>
      </w:r>
      <w:r w:rsidR="000E17D6">
        <w:t xml:space="preserve"> </w:t>
      </w:r>
    </w:p>
    <w:p w14:paraId="595164E5" w14:textId="20989145" w:rsidR="00205D4A" w:rsidRDefault="000E17D6" w:rsidP="00205D4A">
      <w:pPr>
        <w:ind w:firstLine="720"/>
      </w:pPr>
      <w:bookmarkStart w:id="4" w:name="_Hlk154506735"/>
      <w:r>
        <w:t>“ ‘ “Every contract imposes upon each party a duty of good faith and fair dealing in its performance and its enforcement.” ’ ”  (</w:t>
      </w:r>
      <w:r w:rsidRPr="0071395B">
        <w:rPr>
          <w:i/>
          <w:iCs/>
        </w:rPr>
        <w:t xml:space="preserve">Carma Developers </w:t>
      </w:r>
      <w:r w:rsidRPr="00360365">
        <w:t>(</w:t>
      </w:r>
      <w:r w:rsidRPr="0071395B">
        <w:rPr>
          <w:i/>
          <w:iCs/>
        </w:rPr>
        <w:t>Cal</w:t>
      </w:r>
      <w:r w:rsidRPr="00360365">
        <w:t>.)</w:t>
      </w:r>
      <w:r w:rsidRPr="0071395B">
        <w:rPr>
          <w:i/>
          <w:iCs/>
        </w:rPr>
        <w:t>, Inc. v. Marathon Development California, Inc.</w:t>
      </w:r>
      <w:r>
        <w:t xml:space="preserve"> (1992) 2 Cal.4th 342, 371.)  </w:t>
      </w:r>
      <w:r w:rsidR="00D17AA2">
        <w:t>A party need not show a specific breach of the contract to prove a claim for breach of the implied covenant of good faith and fair dealing.</w:t>
      </w:r>
      <w:r>
        <w:t xml:space="preserve">  (</w:t>
      </w:r>
      <w:r>
        <w:rPr>
          <w:i/>
          <w:iCs/>
        </w:rPr>
        <w:t>Ibid</w:t>
      </w:r>
      <w:r>
        <w:t>.)  “Were it otherwise, the covenant would have no practical meaning, for any breach thereof would necessarily involve breach of some other term of the contract.</w:t>
      </w:r>
      <w:r w:rsidR="00D17AA2">
        <w:t>”</w:t>
      </w:r>
      <w:r>
        <w:t xml:space="preserve">  (</w:t>
      </w:r>
      <w:r w:rsidR="002F72C9">
        <w:rPr>
          <w:i/>
          <w:iCs/>
        </w:rPr>
        <w:t>Id</w:t>
      </w:r>
      <w:r>
        <w:t>.</w:t>
      </w:r>
      <w:r w:rsidR="002F72C9">
        <w:t xml:space="preserve"> at p. 373.</w:t>
      </w:r>
      <w:r>
        <w:t xml:space="preserve">)  </w:t>
      </w:r>
      <w:bookmarkEnd w:id="4"/>
      <w:r w:rsidR="00D17AA2">
        <w:t xml:space="preserve">Nonetheless, </w:t>
      </w:r>
      <w:r>
        <w:t>“</w:t>
      </w:r>
      <w:r w:rsidR="00D17AA2">
        <w:t>t</w:t>
      </w:r>
      <w:r>
        <w:t>he scope of conduct prohibited by the covenant of good faith is circumscribed by the purposes and express terms of the contract.”  (</w:t>
      </w:r>
      <w:r w:rsidR="002F72C9">
        <w:rPr>
          <w:i/>
          <w:iCs/>
        </w:rPr>
        <w:t>Ibid</w:t>
      </w:r>
      <w:r>
        <w:t>.)  “</w:t>
      </w:r>
      <w:r w:rsidR="00D17AA2">
        <w:t>[T]</w:t>
      </w:r>
      <w:r>
        <w:t>he implied covenant of good faith is read into contracts ‘in order to protect the express covenants or promises of the contract, not to protect some general public policy interest not directly tied to the contract</w:t>
      </w:r>
      <w:r w:rsidR="00D17AA2">
        <w:t>’</w:t>
      </w:r>
      <w:r>
        <w:t>s purpose.’ ”  (</w:t>
      </w:r>
      <w:r>
        <w:rPr>
          <w:i/>
          <w:iCs/>
        </w:rPr>
        <w:t>Ibid</w:t>
      </w:r>
      <w:r w:rsidRPr="00F15361">
        <w:t>.</w:t>
      </w:r>
      <w:r>
        <w:t>)  The implied covenant will not “be read to prohibit a party from doing that which is expressly permitted by an agreement.”  (</w:t>
      </w:r>
      <w:r>
        <w:rPr>
          <w:i/>
          <w:iCs/>
        </w:rPr>
        <w:t>Id</w:t>
      </w:r>
      <w:r w:rsidRPr="004B3BE0">
        <w:t>.</w:t>
      </w:r>
      <w:r>
        <w:rPr>
          <w:i/>
          <w:iCs/>
        </w:rPr>
        <w:t xml:space="preserve"> </w:t>
      </w:r>
      <w:r>
        <w:t xml:space="preserve">at p. 374.)  </w:t>
      </w:r>
      <w:r w:rsidR="00D17AA2">
        <w:t xml:space="preserve">Thus, </w:t>
      </w:r>
      <w:r>
        <w:t xml:space="preserve">“ ‘the parties may, by express </w:t>
      </w:r>
      <w:r>
        <w:lastRenderedPageBreak/>
        <w:t>provisions of the contract, grant the right to engage in the very acts and conduct which would otherwise have been forbidden by an implied covenant of good faith and fair dealing.’ ”  (</w:t>
      </w:r>
      <w:r>
        <w:rPr>
          <w:i/>
          <w:iCs/>
        </w:rPr>
        <w:t>Ibid</w:t>
      </w:r>
      <w:r w:rsidRPr="004B3BE0">
        <w:t>.</w:t>
      </w:r>
      <w:r>
        <w:t xml:space="preserve">)  </w:t>
      </w:r>
      <w:r w:rsidR="00D17AA2">
        <w:t xml:space="preserve">In other words, no covenant of good faith and fair dealing can be implied which forbids </w:t>
      </w:r>
      <w:r>
        <w:t xml:space="preserve">acts and conduct </w:t>
      </w:r>
      <w:r w:rsidR="00D17AA2">
        <w:t xml:space="preserve">expressly </w:t>
      </w:r>
      <w:r>
        <w:t xml:space="preserve">authorized by the contract. </w:t>
      </w:r>
      <w:r w:rsidR="00D17AA2">
        <w:t xml:space="preserve"> (</w:t>
      </w:r>
      <w:r w:rsidR="00D17AA2" w:rsidRPr="00D17AA2">
        <w:rPr>
          <w:i/>
          <w:iCs/>
        </w:rPr>
        <w:t>Ibid</w:t>
      </w:r>
      <w:r w:rsidR="00D17AA2">
        <w:t xml:space="preserve">.)  </w:t>
      </w:r>
    </w:p>
    <w:p w14:paraId="6D0AB5F8" w14:textId="136ABB00" w:rsidR="000E17D6" w:rsidRDefault="00205D4A" w:rsidP="00205D4A">
      <w:pPr>
        <w:ind w:firstLine="720"/>
      </w:pPr>
      <w:bookmarkStart w:id="5" w:name="_Hlk155277340"/>
      <w:r>
        <w:t>The</w:t>
      </w:r>
      <w:r w:rsidR="000E17D6">
        <w:t xml:space="preserve"> plaintiff “must show that the conduct of the defendant, whether or not it also constitutes a breach of a consensual contract term, demonstrates a failure or refusal to discharge contractual responsibilities, prompted not by an honest mistake, bad judgment or negligence but rather by a conscious and deliberate act, which unfairly frustrates the agreed common purposes and disappoints the reasonable expectations of the other party thereby depriving that party of the benefits of the agreement.</w:t>
      </w:r>
      <w:bookmarkEnd w:id="5"/>
      <w:r w:rsidR="000E17D6">
        <w:t>”  (</w:t>
      </w:r>
      <w:r w:rsidR="000E17D6" w:rsidRPr="009D7DB6">
        <w:rPr>
          <w:i/>
          <w:iCs/>
        </w:rPr>
        <w:t>Careau &amp; Co. v. Security Pacific Business Credit, Inc.</w:t>
      </w:r>
      <w:r w:rsidR="000E17D6">
        <w:t xml:space="preserve"> (1990) 222 Cal.App.3d 1371, 1395.)  </w:t>
      </w:r>
    </w:p>
    <w:p w14:paraId="4EF3E899" w14:textId="419914A4" w:rsidR="000E17D6" w:rsidRDefault="00205D4A" w:rsidP="000E17D6">
      <w:pPr>
        <w:ind w:firstLine="720"/>
      </w:pPr>
      <w:bookmarkStart w:id="6" w:name="_Hlk154507795"/>
      <w:r>
        <w:t xml:space="preserve">Here, </w:t>
      </w:r>
      <w:r w:rsidR="000E17D6">
        <w:t xml:space="preserve">VFLA </w:t>
      </w:r>
      <w:r>
        <w:t>points to various</w:t>
      </w:r>
      <w:r w:rsidR="000E17D6">
        <w:t xml:space="preserve"> instances of bad faith conduct by </w:t>
      </w:r>
      <w:r w:rsidR="00537DB0">
        <w:t>the</w:t>
      </w:r>
      <w:r w:rsidR="000E17D6">
        <w:t xml:space="preserve"> artists.  These include a statement from a WME representative that it was treating Virgin Fest as a “money grab,” Lizzo</w:t>
      </w:r>
      <w:r>
        <w:t>’s endorsement of an op</w:t>
      </w:r>
      <w:r w:rsidR="000E17D6">
        <w:t xml:space="preserve">en letter </w:t>
      </w:r>
      <w:r>
        <w:t>calling</w:t>
      </w:r>
      <w:r w:rsidR="000E17D6">
        <w:t xml:space="preserve"> for the music industry to </w:t>
      </w:r>
      <w:r>
        <w:t>pause in order to curb the spread of COVID-19</w:t>
      </w:r>
      <w:r w:rsidR="000E17D6">
        <w:t>, WME’s statement to Felts that</w:t>
      </w:r>
      <w:r>
        <w:t xml:space="preserve"> the performance contracts were “pay or play” agreements negotiated “</w:t>
      </w:r>
      <w:r w:rsidR="000E17D6">
        <w:t>under the strictest terms</w:t>
      </w:r>
      <w:r>
        <w:t>” because Virgin Fest</w:t>
      </w:r>
      <w:r w:rsidR="00EB0BA3">
        <w:t>’s</w:t>
      </w:r>
      <w:r>
        <w:t xml:space="preserve"> potential success was doubtful,</w:t>
      </w:r>
      <w:r w:rsidR="000E17D6">
        <w:t xml:space="preserve"> Kali Uchis’s </w:t>
      </w:r>
      <w:r>
        <w:t xml:space="preserve">decision to </w:t>
      </w:r>
      <w:r w:rsidR="000E17D6">
        <w:t xml:space="preserve">return </w:t>
      </w:r>
      <w:r w:rsidR="00247809">
        <w:t>the</w:t>
      </w:r>
      <w:r w:rsidR="000E17D6">
        <w:t xml:space="preserve"> deposit </w:t>
      </w:r>
      <w:r w:rsidR="00247809">
        <w:t xml:space="preserve">to the other </w:t>
      </w:r>
      <w:r w:rsidR="000E17D6">
        <w:t>festival organizer, and a</w:t>
      </w:r>
      <w:r>
        <w:t xml:space="preserve"> statement from</w:t>
      </w:r>
      <w:r w:rsidR="000E17D6">
        <w:t xml:space="preserve"> </w:t>
      </w:r>
      <w:r w:rsidR="003E35B7">
        <w:t xml:space="preserve">Ellie </w:t>
      </w:r>
      <w:r w:rsidR="000E17D6">
        <w:t xml:space="preserve">Goulding’s management </w:t>
      </w:r>
      <w:r>
        <w:t>expressing doubt she</w:t>
      </w:r>
      <w:r w:rsidR="000E17D6">
        <w:t xml:space="preserve"> “would be able to pull </w:t>
      </w:r>
      <w:r>
        <w:t>[her]</w:t>
      </w:r>
      <w:r w:rsidR="000E17D6">
        <w:t xml:space="preserve"> show together in time for [Virgin Fest].”  </w:t>
      </w:r>
    </w:p>
    <w:bookmarkEnd w:id="6"/>
    <w:p w14:paraId="7E2F1902" w14:textId="1D93CEF8" w:rsidR="000E17D6" w:rsidRDefault="00205D4A" w:rsidP="00205D4A">
      <w:pPr>
        <w:ind w:firstLine="720"/>
      </w:pPr>
      <w:r>
        <w:t xml:space="preserve">None of these examples, if proven, are sufficient to show </w:t>
      </w:r>
      <w:r w:rsidR="000E17D6">
        <w:t xml:space="preserve">the </w:t>
      </w:r>
      <w:r w:rsidR="00C7597D">
        <w:t>artist</w:t>
      </w:r>
      <w:r w:rsidR="000E17D6">
        <w:t>s breached the implied covenant of good faith and fair dealing</w:t>
      </w:r>
      <w:r>
        <w:t xml:space="preserve">.  </w:t>
      </w:r>
      <w:r w:rsidR="003D3628">
        <w:t xml:space="preserve">They do not demonstrate the artists’ failure or refusal to discharge </w:t>
      </w:r>
      <w:r w:rsidR="003D3628">
        <w:lastRenderedPageBreak/>
        <w:t>contractual responsibilities which frustrated the reasonable expectations of VFLA under the performance contracts.  (</w:t>
      </w:r>
      <w:r w:rsidR="003D3628" w:rsidRPr="009D7DB6">
        <w:rPr>
          <w:i/>
          <w:iCs/>
        </w:rPr>
        <w:t>Careau &amp; Co. v. Security Pacific Business Credit, Inc.</w:t>
      </w:r>
      <w:r w:rsidR="003D3628">
        <w:t>,</w:t>
      </w:r>
      <w:r w:rsidR="003D3628">
        <w:rPr>
          <w:i/>
          <w:iCs/>
        </w:rPr>
        <w:t xml:space="preserve"> supra</w:t>
      </w:r>
      <w:r w:rsidR="003D3628">
        <w:t xml:space="preserve">, 222 Cal.App.3d at p. 1395.)  Instead, what occurred here is both sides took a hardline </w:t>
      </w:r>
      <w:r w:rsidR="00DC6539">
        <w:t xml:space="preserve">but good faith </w:t>
      </w:r>
      <w:r w:rsidR="003D3628">
        <w:t xml:space="preserve">position with respect to the force majeure provision, </w:t>
      </w:r>
      <w:r w:rsidR="003E35B7">
        <w:t xml:space="preserve">which they were entitled to do.  Moreover, </w:t>
      </w:r>
      <w:r w:rsidR="003D3628">
        <w:t>it was the COVID-19 pandemic, not</w:t>
      </w:r>
      <w:r w:rsidR="00DC6539">
        <w:t xml:space="preserve"> any actions by</w:t>
      </w:r>
      <w:r w:rsidR="003D3628">
        <w:t xml:space="preserve"> the artists, that </w:t>
      </w:r>
      <w:r w:rsidR="003E35B7">
        <w:t>interfer</w:t>
      </w:r>
      <w:r w:rsidR="003D3628">
        <w:t>ed</w:t>
      </w:r>
      <w:r w:rsidR="003E35B7">
        <w:t xml:space="preserve"> with</w:t>
      </w:r>
      <w:r w:rsidR="003D3628">
        <w:t xml:space="preserve"> VFLA’s expectations under the performance contracts.  As far as Lizzo’s call for the music industry to shut down </w:t>
      </w:r>
      <w:r w:rsidR="003E35B7">
        <w:t>during</w:t>
      </w:r>
      <w:r w:rsidR="003D3628">
        <w:t xml:space="preserve"> the pandemic</w:t>
      </w:r>
      <w:r w:rsidR="00DC6539">
        <w:t xml:space="preserve"> and Ellie Goulding’s management’s statement that she may not be able to pull together her performance in time</w:t>
      </w:r>
      <w:r w:rsidR="003D3628">
        <w:t xml:space="preserve">, </w:t>
      </w:r>
      <w:r w:rsidR="00DC6539">
        <w:t>those</w:t>
      </w:r>
      <w:r w:rsidR="003E35B7">
        <w:t xml:space="preserve"> statement</w:t>
      </w:r>
      <w:r w:rsidR="00DC6539">
        <w:t>s</w:t>
      </w:r>
      <w:r w:rsidR="003D3628">
        <w:t xml:space="preserve"> had no bearing on Virgin Fest’s cancellation</w:t>
      </w:r>
      <w:r w:rsidR="003E35B7">
        <w:t>, which is what ultimately caused the harm to VFLA</w:t>
      </w:r>
      <w:r w:rsidR="001B6144">
        <w:t xml:space="preserve">.  </w:t>
      </w:r>
      <w:r w:rsidR="000E17D6">
        <w:t xml:space="preserve">(See </w:t>
      </w:r>
      <w:r w:rsidR="000E17D6" w:rsidRPr="007E6B8F">
        <w:rPr>
          <w:i/>
          <w:iCs/>
        </w:rPr>
        <w:t>Floystrup v. City of Berkeley Rent Stabilization Bd.</w:t>
      </w:r>
      <w:r w:rsidR="000E17D6">
        <w:t xml:space="preserve"> (1990) 219 Cal.App.3d 1309, 1318.)  </w:t>
      </w:r>
    </w:p>
    <w:p w14:paraId="2089D3F0" w14:textId="0D225BE2" w:rsidR="009E4088" w:rsidRPr="00684A49" w:rsidRDefault="009E4088" w:rsidP="00F13C95">
      <w:pPr>
        <w:spacing w:before="120"/>
        <w:rPr>
          <w:b/>
          <w:bCs/>
        </w:rPr>
      </w:pPr>
      <w:r w:rsidRPr="00684A49">
        <w:rPr>
          <w:b/>
          <w:bCs/>
        </w:rPr>
        <w:t>VIII.</w:t>
      </w:r>
      <w:r w:rsidRPr="00684A49">
        <w:rPr>
          <w:b/>
          <w:bCs/>
        </w:rPr>
        <w:tab/>
        <w:t>WME’s motion for summary judgment</w:t>
      </w:r>
    </w:p>
    <w:p w14:paraId="772F1A43" w14:textId="39A45A05" w:rsidR="009E4088" w:rsidRDefault="009E4088" w:rsidP="001B6144">
      <w:pPr>
        <w:ind w:firstLine="720"/>
      </w:pPr>
      <w:r>
        <w:t xml:space="preserve">Because VFLA </w:t>
      </w:r>
      <w:r w:rsidR="00593AC6">
        <w:t>conceded</w:t>
      </w:r>
      <w:r>
        <w:t xml:space="preserve"> if the</w:t>
      </w:r>
      <w:r w:rsidR="00593AC6">
        <w:t xml:space="preserve"> artists prevailed, WME should prevail as well, </w:t>
      </w:r>
      <w:r w:rsidR="001B6144">
        <w:t xml:space="preserve">we </w:t>
      </w:r>
      <w:r w:rsidR="00593AC6">
        <w:t xml:space="preserve">also </w:t>
      </w:r>
      <w:r w:rsidR="001B6144">
        <w:t>affirm the trial court’s grant of summary judgment in favor of WME.</w:t>
      </w:r>
      <w:r w:rsidR="001A3118">
        <w:t xml:space="preserve">  </w:t>
      </w:r>
    </w:p>
    <w:p w14:paraId="72DA5A55" w14:textId="77777777" w:rsidR="00777F14" w:rsidRDefault="00777F14" w:rsidP="00777F14"/>
    <w:p w14:paraId="33AC9AA9" w14:textId="77777777" w:rsidR="00DE0332" w:rsidRPr="005B0D49" w:rsidRDefault="00DE0332" w:rsidP="00777F14">
      <w:pPr>
        <w:keepNext/>
        <w:keepLines/>
        <w:spacing w:before="120" w:after="120"/>
        <w:jc w:val="center"/>
        <w:rPr>
          <w:b/>
          <w:szCs w:val="26"/>
        </w:rPr>
      </w:pPr>
      <w:r w:rsidRPr="005B0D49">
        <w:rPr>
          <w:b/>
          <w:szCs w:val="26"/>
        </w:rPr>
        <w:lastRenderedPageBreak/>
        <w:t>DISPOSITION</w:t>
      </w:r>
    </w:p>
    <w:p w14:paraId="04D120E7" w14:textId="5D72C590" w:rsidR="00DE0332" w:rsidRPr="00826838" w:rsidRDefault="007C1FF7" w:rsidP="00777F14">
      <w:pPr>
        <w:keepNext/>
        <w:keepLines/>
      </w:pPr>
      <w:r>
        <w:rPr>
          <w:szCs w:val="26"/>
        </w:rPr>
        <w:tab/>
        <w:t xml:space="preserve">The </w:t>
      </w:r>
      <w:r w:rsidR="007605C3">
        <w:rPr>
          <w:szCs w:val="26"/>
        </w:rPr>
        <w:t xml:space="preserve">judgment is </w:t>
      </w:r>
      <w:r w:rsidR="00AC39D5">
        <w:rPr>
          <w:szCs w:val="26"/>
        </w:rPr>
        <w:t>affirm</w:t>
      </w:r>
      <w:r w:rsidR="007605C3">
        <w:rPr>
          <w:szCs w:val="26"/>
        </w:rPr>
        <w:t>ed</w:t>
      </w:r>
      <w:r>
        <w:rPr>
          <w:szCs w:val="26"/>
        </w:rPr>
        <w:t xml:space="preserve">.  </w:t>
      </w:r>
      <w:r w:rsidR="00AC39D5">
        <w:rPr>
          <w:szCs w:val="26"/>
        </w:rPr>
        <w:t>Respondents are</w:t>
      </w:r>
      <w:r>
        <w:rPr>
          <w:szCs w:val="26"/>
        </w:rPr>
        <w:t xml:space="preserve"> </w:t>
      </w:r>
      <w:r w:rsidR="00DE0332">
        <w:rPr>
          <w:szCs w:val="26"/>
        </w:rPr>
        <w:t>awarded</w:t>
      </w:r>
      <w:r w:rsidR="00FE7B22">
        <w:rPr>
          <w:szCs w:val="26"/>
        </w:rPr>
        <w:t xml:space="preserve"> </w:t>
      </w:r>
      <w:r w:rsidR="00AC39D5">
        <w:rPr>
          <w:szCs w:val="26"/>
        </w:rPr>
        <w:t>their</w:t>
      </w:r>
      <w:r w:rsidR="00DE0332">
        <w:rPr>
          <w:szCs w:val="26"/>
        </w:rPr>
        <w:t xml:space="preserve"> costs on appeal.</w:t>
      </w:r>
    </w:p>
    <w:p w14:paraId="0B951EDA" w14:textId="77777777" w:rsidR="00B74476" w:rsidRDefault="00B74476" w:rsidP="00777F14">
      <w:pPr>
        <w:keepNext/>
        <w:keepLines/>
        <w:rPr>
          <w:szCs w:val="26"/>
        </w:rPr>
      </w:pPr>
    </w:p>
    <w:p w14:paraId="2310D1DC" w14:textId="77777777" w:rsidR="00777F14" w:rsidRDefault="00777F14" w:rsidP="00777F14">
      <w:pPr>
        <w:keepNext/>
        <w:keepLines/>
        <w:rPr>
          <w:szCs w:val="26"/>
        </w:rPr>
      </w:pPr>
    </w:p>
    <w:p w14:paraId="72CD571A" w14:textId="77777777" w:rsidR="00DE0332" w:rsidRPr="005B0D49" w:rsidRDefault="00DE0332" w:rsidP="00777F14">
      <w:pPr>
        <w:keepNext/>
        <w:keepLines/>
        <w:rPr>
          <w:szCs w:val="26"/>
        </w:rPr>
      </w:pPr>
      <w:r w:rsidRPr="005B0D49">
        <w:rPr>
          <w:szCs w:val="26"/>
        </w:rPr>
        <w:tab/>
      </w:r>
      <w:r w:rsidRPr="005B0D49">
        <w:rPr>
          <w:szCs w:val="26"/>
        </w:rPr>
        <w:tab/>
      </w:r>
      <w:r w:rsidRPr="005B0D49">
        <w:rPr>
          <w:szCs w:val="26"/>
        </w:rPr>
        <w:tab/>
      </w:r>
      <w:r w:rsidRPr="005B0D49">
        <w:rPr>
          <w:szCs w:val="26"/>
        </w:rPr>
        <w:tab/>
      </w:r>
      <w:r w:rsidRPr="005B0D49">
        <w:rPr>
          <w:szCs w:val="26"/>
        </w:rPr>
        <w:tab/>
      </w:r>
      <w:r w:rsidRPr="005B0D49">
        <w:rPr>
          <w:szCs w:val="26"/>
        </w:rPr>
        <w:tab/>
      </w:r>
      <w:r w:rsidR="007605C3">
        <w:rPr>
          <w:szCs w:val="26"/>
        </w:rPr>
        <w:t>VIRAMONTES</w:t>
      </w:r>
      <w:r w:rsidRPr="005B0D49">
        <w:rPr>
          <w:szCs w:val="26"/>
        </w:rPr>
        <w:t>, J.</w:t>
      </w:r>
    </w:p>
    <w:p w14:paraId="6DC4F1C7" w14:textId="77777777" w:rsidR="00EB0BA3" w:rsidRDefault="00EB0BA3" w:rsidP="00777F14">
      <w:pPr>
        <w:keepNext/>
        <w:keepLines/>
        <w:rPr>
          <w:szCs w:val="26"/>
        </w:rPr>
      </w:pPr>
    </w:p>
    <w:p w14:paraId="14B03507" w14:textId="793791F3" w:rsidR="00DE0332" w:rsidRPr="005B0D49" w:rsidRDefault="00EB0BA3" w:rsidP="00777F14">
      <w:pPr>
        <w:keepNext/>
        <w:keepLines/>
        <w:ind w:firstLine="720"/>
        <w:rPr>
          <w:szCs w:val="26"/>
        </w:rPr>
      </w:pPr>
      <w:r>
        <w:rPr>
          <w:szCs w:val="26"/>
        </w:rPr>
        <w:t>WE CONCUR</w:t>
      </w:r>
      <w:r w:rsidR="00DE0332" w:rsidRPr="005B0D49">
        <w:rPr>
          <w:szCs w:val="26"/>
        </w:rPr>
        <w:t>:</w:t>
      </w:r>
    </w:p>
    <w:p w14:paraId="46EF04D7" w14:textId="77777777" w:rsidR="007743AC" w:rsidRDefault="007743AC" w:rsidP="00777F14">
      <w:pPr>
        <w:keepNext/>
        <w:keepLines/>
        <w:rPr>
          <w:szCs w:val="26"/>
        </w:rPr>
      </w:pPr>
    </w:p>
    <w:p w14:paraId="45B6EFF0" w14:textId="77777777" w:rsidR="00777F14" w:rsidRDefault="00777F14" w:rsidP="00777F14">
      <w:pPr>
        <w:keepNext/>
        <w:keepLines/>
        <w:rPr>
          <w:szCs w:val="26"/>
        </w:rPr>
      </w:pPr>
    </w:p>
    <w:p w14:paraId="5A9987E4" w14:textId="77777777" w:rsidR="00B74476" w:rsidRDefault="00B74476" w:rsidP="00777F14">
      <w:pPr>
        <w:keepNext/>
        <w:keepLines/>
        <w:rPr>
          <w:szCs w:val="26"/>
        </w:rPr>
      </w:pPr>
    </w:p>
    <w:p w14:paraId="4EFF2339" w14:textId="7AD65A53" w:rsidR="00A22CBD" w:rsidRDefault="00DE0332" w:rsidP="00777F14">
      <w:pPr>
        <w:keepNext/>
        <w:keepLines/>
        <w:rPr>
          <w:szCs w:val="26"/>
        </w:rPr>
      </w:pPr>
      <w:r w:rsidRPr="005B0D49">
        <w:rPr>
          <w:szCs w:val="26"/>
        </w:rPr>
        <w:tab/>
      </w:r>
      <w:r w:rsidRPr="005B0D49">
        <w:rPr>
          <w:szCs w:val="26"/>
        </w:rPr>
        <w:tab/>
      </w:r>
      <w:r w:rsidR="00EB0BA3">
        <w:rPr>
          <w:szCs w:val="26"/>
        </w:rPr>
        <w:tab/>
      </w:r>
      <w:r w:rsidR="007605C3">
        <w:rPr>
          <w:szCs w:val="26"/>
        </w:rPr>
        <w:t>STRATTON</w:t>
      </w:r>
      <w:r w:rsidRPr="00BE5183">
        <w:rPr>
          <w:szCs w:val="26"/>
        </w:rPr>
        <w:t>, P. J.</w:t>
      </w:r>
    </w:p>
    <w:p w14:paraId="2CF7230A" w14:textId="77777777" w:rsidR="00A22CBD" w:rsidRDefault="00A22CBD" w:rsidP="00777F14">
      <w:pPr>
        <w:keepNext/>
        <w:keepLines/>
        <w:rPr>
          <w:szCs w:val="26"/>
        </w:rPr>
      </w:pPr>
    </w:p>
    <w:p w14:paraId="569115F7" w14:textId="77777777" w:rsidR="00777F14" w:rsidRDefault="00777F14" w:rsidP="00777F14">
      <w:pPr>
        <w:keepNext/>
        <w:keepLines/>
        <w:rPr>
          <w:szCs w:val="26"/>
        </w:rPr>
      </w:pPr>
    </w:p>
    <w:p w14:paraId="20080E9A" w14:textId="77777777" w:rsidR="00A22CBD" w:rsidRDefault="00A22CBD" w:rsidP="00777F14">
      <w:pPr>
        <w:keepNext/>
        <w:keepLines/>
        <w:rPr>
          <w:szCs w:val="26"/>
        </w:rPr>
      </w:pPr>
    </w:p>
    <w:p w14:paraId="7024E6DC" w14:textId="68CACB25" w:rsidR="004D55BC" w:rsidRDefault="00DE0332" w:rsidP="00777F14">
      <w:pPr>
        <w:keepNext/>
        <w:keepLines/>
        <w:rPr>
          <w:szCs w:val="26"/>
        </w:rPr>
      </w:pPr>
      <w:r>
        <w:rPr>
          <w:szCs w:val="26"/>
        </w:rPr>
        <w:tab/>
      </w:r>
      <w:r>
        <w:rPr>
          <w:szCs w:val="26"/>
        </w:rPr>
        <w:tab/>
      </w:r>
      <w:r w:rsidR="00EB0BA3">
        <w:rPr>
          <w:szCs w:val="26"/>
        </w:rPr>
        <w:tab/>
      </w:r>
      <w:r w:rsidR="007605C3">
        <w:rPr>
          <w:szCs w:val="26"/>
        </w:rPr>
        <w:t>WILEY</w:t>
      </w:r>
      <w:r>
        <w:rPr>
          <w:szCs w:val="26"/>
        </w:rPr>
        <w:t>, J.</w:t>
      </w:r>
      <w:r w:rsidR="004D55BC">
        <w:rPr>
          <w:szCs w:val="26"/>
        </w:rPr>
        <w:t xml:space="preserve"> </w:t>
      </w:r>
    </w:p>
    <w:sectPr w:rsidR="004D55BC" w:rsidSect="009050A3">
      <w:headerReference w:type="even" r:id="rId7"/>
      <w:headerReference w:type="default" r:id="rId8"/>
      <w:footerReference w:type="even" r:id="rId9"/>
      <w:footerReference w:type="default" r:id="rId10"/>
      <w:headerReference w:type="first" r:id="rId11"/>
      <w:footerReference w:type="first" r:id="rId12"/>
      <w:pgSz w:w="12240" w:h="15840"/>
      <w:pgMar w:top="2160" w:right="2016" w:bottom="2160" w:left="201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BB51" w14:textId="77777777" w:rsidR="00A2183E" w:rsidRDefault="00A2183E" w:rsidP="00DE0332">
      <w:pPr>
        <w:spacing w:line="240" w:lineRule="auto"/>
      </w:pPr>
      <w:r>
        <w:separator/>
      </w:r>
    </w:p>
  </w:endnote>
  <w:endnote w:type="continuationSeparator" w:id="0">
    <w:p w14:paraId="32732E3A" w14:textId="77777777" w:rsidR="00A2183E" w:rsidRDefault="00A2183E" w:rsidP="00DE0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6EE8" w14:textId="77777777" w:rsidR="00642C06" w:rsidRDefault="00642C06" w:rsidP="001B2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C9DEF" w14:textId="77777777" w:rsidR="00642C06" w:rsidRDefault="0064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EBE4" w14:textId="77777777" w:rsidR="00642C06" w:rsidRDefault="00642C06" w:rsidP="001B2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296">
      <w:rPr>
        <w:rStyle w:val="PageNumber"/>
        <w:noProof/>
      </w:rPr>
      <w:t>3</w:t>
    </w:r>
    <w:r>
      <w:rPr>
        <w:rStyle w:val="PageNumber"/>
      </w:rPr>
      <w:fldChar w:fldCharType="end"/>
    </w:r>
  </w:p>
  <w:p w14:paraId="0F3E62C5" w14:textId="77777777" w:rsidR="00642C06" w:rsidRDefault="00642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356F" w14:textId="77777777" w:rsidR="00ED225B" w:rsidRDefault="00ED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93BF" w14:textId="77777777" w:rsidR="00A2183E" w:rsidRDefault="00A2183E" w:rsidP="00DE0332">
      <w:pPr>
        <w:spacing w:line="240" w:lineRule="auto"/>
      </w:pPr>
      <w:r>
        <w:continuationSeparator/>
      </w:r>
    </w:p>
  </w:footnote>
  <w:footnote w:type="continuationSeparator" w:id="0">
    <w:p w14:paraId="0E6CC3A7" w14:textId="77777777" w:rsidR="00A2183E" w:rsidRDefault="00A2183E" w:rsidP="00DE0332">
      <w:pPr>
        <w:spacing w:line="240" w:lineRule="auto"/>
      </w:pPr>
      <w:r>
        <w:continuationSeparator/>
      </w:r>
    </w:p>
  </w:footnote>
  <w:footnote w:id="1">
    <w:p w14:paraId="7E52D4D4" w14:textId="3B68FE4A" w:rsidR="00190FD6" w:rsidRDefault="00190FD6" w:rsidP="00210421">
      <w:pPr>
        <w:pStyle w:val="FootnoteText"/>
        <w:ind w:firstLine="0"/>
      </w:pPr>
      <w:r>
        <w:rPr>
          <w:rStyle w:val="FootnoteReference"/>
        </w:rPr>
        <w:footnoteRef/>
      </w:r>
      <w:r>
        <w:t xml:space="preserve"> </w:t>
      </w:r>
      <w:r>
        <w:tab/>
      </w:r>
      <w:r>
        <w:rPr>
          <w:sz w:val="26"/>
          <w:szCs w:val="26"/>
        </w:rPr>
        <w:t>We refer to the producers Starry US, Kali Uchis Touring, Big Grrrl, and their respective performers collectively as “the artists” unless otherwise necessary.</w:t>
      </w:r>
    </w:p>
  </w:footnote>
  <w:footnote w:id="2">
    <w:p w14:paraId="7B39F0CA" w14:textId="61F3C7C7" w:rsidR="000633FB" w:rsidRPr="00256F3A" w:rsidRDefault="000633FB" w:rsidP="005240A7">
      <w:pPr>
        <w:pStyle w:val="FootnoteText"/>
        <w:spacing w:line="240" w:lineRule="auto"/>
        <w:ind w:firstLine="0"/>
        <w:rPr>
          <w:sz w:val="26"/>
          <w:szCs w:val="26"/>
        </w:rPr>
      </w:pPr>
      <w:r>
        <w:rPr>
          <w:rStyle w:val="FootnoteReference"/>
        </w:rPr>
        <w:footnoteRef/>
      </w:r>
      <w:r>
        <w:t xml:space="preserve"> </w:t>
      </w:r>
      <w:r w:rsidR="00DA3931">
        <w:tab/>
      </w:r>
      <w:r w:rsidRPr="00256F3A">
        <w:rPr>
          <w:sz w:val="26"/>
          <w:szCs w:val="26"/>
        </w:rPr>
        <w:t xml:space="preserve">The </w:t>
      </w:r>
      <w:r>
        <w:rPr>
          <w:sz w:val="26"/>
          <w:szCs w:val="26"/>
        </w:rPr>
        <w:t>facts are taken from VFLA’s opposing separate statements to Big Grrrl’s, Kali Uchis Touring’s, Starry US’s, and WME’s motions for summary judgment.</w:t>
      </w:r>
    </w:p>
  </w:footnote>
  <w:footnote w:id="3">
    <w:p w14:paraId="699D6631" w14:textId="068DC73A" w:rsidR="00313671" w:rsidRPr="00440095" w:rsidRDefault="00313671" w:rsidP="00440095">
      <w:r>
        <w:rPr>
          <w:rStyle w:val="FootnoteReference"/>
        </w:rPr>
        <w:footnoteRef/>
      </w:r>
      <w:r>
        <w:t xml:space="preserve"> </w:t>
      </w:r>
      <w:r>
        <w:tab/>
        <w:t>“Purchaser” refers to VFLA.  “Producer” refers to either Starry US, Kali Uchis Touring, or</w:t>
      </w:r>
      <w:r w:rsidRPr="00290273">
        <w:t xml:space="preserve"> </w:t>
      </w:r>
      <w:r>
        <w:t>Big Grrrl, and “Artist” refers to either</w:t>
      </w:r>
      <w:r w:rsidRPr="00290273">
        <w:t xml:space="preserve"> </w:t>
      </w:r>
      <w:r>
        <w:t xml:space="preserve">Ellie Goulding, Kali Uchis, or Lizzo.  “Guarantee” does not mean “non-refundable,” rather, it is a term of art meaning the deposits are a flat amount and not tied to a percentage of the ticket sales.  </w:t>
      </w:r>
    </w:p>
  </w:footnote>
  <w:footnote w:id="4">
    <w:p w14:paraId="7F112308" w14:textId="663B1787" w:rsidR="00544D42" w:rsidRPr="005E3A76" w:rsidRDefault="00544D42" w:rsidP="005240A7">
      <w:r>
        <w:rPr>
          <w:rStyle w:val="FootnoteReference"/>
        </w:rPr>
        <w:footnoteRef/>
      </w:r>
      <w:r>
        <w:t xml:space="preserve"> </w:t>
      </w:r>
      <w:r w:rsidR="001A1959">
        <w:tab/>
      </w:r>
      <w:r w:rsidR="00111705">
        <w:t>In its summary judgment order, t</w:t>
      </w:r>
      <w:r>
        <w:t xml:space="preserve">he trial court noted it had extensive discussion </w:t>
      </w:r>
      <w:r w:rsidR="00111705">
        <w:t xml:space="preserve">with the parties during oral argument </w:t>
      </w:r>
      <w:r>
        <w:t>concerning its authority</w:t>
      </w:r>
      <w:r w:rsidR="00111705">
        <w:t xml:space="preserve"> to decide between conflicting inferences</w:t>
      </w:r>
      <w:r>
        <w:t xml:space="preserve">, stating “[t]he bottom line is that because contract interpretation is for the [c]ourt (and doubly so here where the parties have waived a jury), the [c]ourt can choose from conflicting inferences even on summary judgment.  However, if the inference to be used </w:t>
      </w:r>
      <w:r w:rsidR="007857DA">
        <w:t>depends</w:t>
      </w:r>
      <w:r>
        <w:t xml:space="preserve"> on the resolution of factual disputes concerning the parol evidence, then resolution must await trial.”  </w:t>
      </w:r>
    </w:p>
  </w:footnote>
  <w:footnote w:id="5">
    <w:p w14:paraId="599CE879" w14:textId="5E08853B" w:rsidR="00F136A3" w:rsidRPr="00777F14" w:rsidRDefault="00F136A3" w:rsidP="00777F14">
      <w:r>
        <w:rPr>
          <w:rStyle w:val="FootnoteReference"/>
        </w:rPr>
        <w:footnoteRef/>
      </w:r>
      <w:r>
        <w:t xml:space="preserve"> </w:t>
      </w:r>
      <w:r w:rsidR="00723B8B">
        <w:tab/>
      </w:r>
      <w:r>
        <w:t xml:space="preserve">Although the term “higher risk” was not contained in the draft comments, Epstein testified that it was communicated to him that international </w:t>
      </w:r>
      <w:r w:rsidR="007F16F6">
        <w:t xml:space="preserve">also implied </w:t>
      </w:r>
      <w:r>
        <w:t xml:space="preserve">higher risk in this context.  </w:t>
      </w:r>
    </w:p>
  </w:footnote>
  <w:footnote w:id="6">
    <w:p w14:paraId="65D3B59C" w14:textId="53E0EC8F" w:rsidR="00EC5700" w:rsidRPr="005E3A76" w:rsidRDefault="00EC5700" w:rsidP="005240A7">
      <w:r>
        <w:rPr>
          <w:rStyle w:val="FootnoteReference"/>
        </w:rPr>
        <w:footnoteRef/>
      </w:r>
      <w:r>
        <w:t xml:space="preserve"> </w:t>
      </w:r>
      <w:r w:rsidR="0050304F">
        <w:tab/>
      </w:r>
      <w:r w:rsidRPr="00EC5700">
        <w:t xml:space="preserve">Because we find that VFLA forfeited this argument and the issue is otherwise irrelevant based on the pleadings, we do not address VFLA’s evidentiary objections </w:t>
      </w:r>
      <w:r w:rsidR="00707DCD">
        <w:t xml:space="preserve">to </w:t>
      </w:r>
      <w:r w:rsidRPr="00EC5700">
        <w:t>Lizzo</w:t>
      </w:r>
      <w:r w:rsidR="00707DCD">
        <w:t xml:space="preserve">’s testimony </w:t>
      </w:r>
      <w:r w:rsidRPr="00EC5700">
        <w:t xml:space="preserve">under Code of Civil Procedure section 2025.260, subdivision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329E" w14:textId="77777777" w:rsidR="00ED225B" w:rsidRDefault="00ED2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92AA" w14:textId="77777777" w:rsidR="00ED225B" w:rsidRDefault="00ED2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834B" w14:textId="77777777" w:rsidR="00ED225B" w:rsidRDefault="00ED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269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456515"/>
    <w:multiLevelType w:val="hybridMultilevel"/>
    <w:tmpl w:val="2738F74A"/>
    <w:lvl w:ilvl="0" w:tplc="63BA6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B0F97"/>
    <w:multiLevelType w:val="hybridMultilevel"/>
    <w:tmpl w:val="2FC068AA"/>
    <w:lvl w:ilvl="0" w:tplc="51DCF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351FA"/>
    <w:multiLevelType w:val="hybridMultilevel"/>
    <w:tmpl w:val="434C3C3E"/>
    <w:lvl w:ilvl="0" w:tplc="7E80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2596C"/>
    <w:multiLevelType w:val="hybridMultilevel"/>
    <w:tmpl w:val="6E38E70C"/>
    <w:lvl w:ilvl="0" w:tplc="8C3C53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13BB2"/>
    <w:multiLevelType w:val="hybridMultilevel"/>
    <w:tmpl w:val="75CEC4C4"/>
    <w:lvl w:ilvl="0" w:tplc="20A81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851C3E"/>
    <w:multiLevelType w:val="hybridMultilevel"/>
    <w:tmpl w:val="1B1C4F78"/>
    <w:lvl w:ilvl="0" w:tplc="25F0E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348574">
    <w:abstractNumId w:val="0"/>
  </w:num>
  <w:num w:numId="2" w16cid:durableId="841627017">
    <w:abstractNumId w:val="2"/>
  </w:num>
  <w:num w:numId="3" w16cid:durableId="134570570">
    <w:abstractNumId w:val="1"/>
  </w:num>
  <w:num w:numId="4" w16cid:durableId="1257251265">
    <w:abstractNumId w:val="5"/>
  </w:num>
  <w:num w:numId="5" w16cid:durableId="1085348223">
    <w:abstractNumId w:val="4"/>
  </w:num>
  <w:num w:numId="6" w16cid:durableId="551158323">
    <w:abstractNumId w:val="6"/>
  </w:num>
  <w:num w:numId="7" w16cid:durableId="248390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32"/>
    <w:rsid w:val="00000A0B"/>
    <w:rsid w:val="00001D72"/>
    <w:rsid w:val="00003432"/>
    <w:rsid w:val="00004704"/>
    <w:rsid w:val="00010F28"/>
    <w:rsid w:val="000147C6"/>
    <w:rsid w:val="0001510F"/>
    <w:rsid w:val="0001651A"/>
    <w:rsid w:val="00017571"/>
    <w:rsid w:val="00021296"/>
    <w:rsid w:val="00022885"/>
    <w:rsid w:val="0002538F"/>
    <w:rsid w:val="00026B49"/>
    <w:rsid w:val="000319E2"/>
    <w:rsid w:val="000338FE"/>
    <w:rsid w:val="00035BB7"/>
    <w:rsid w:val="00040AC9"/>
    <w:rsid w:val="000439DD"/>
    <w:rsid w:val="00045977"/>
    <w:rsid w:val="0004667E"/>
    <w:rsid w:val="000515B3"/>
    <w:rsid w:val="00056371"/>
    <w:rsid w:val="00056D2D"/>
    <w:rsid w:val="0005735D"/>
    <w:rsid w:val="000577EA"/>
    <w:rsid w:val="00061B91"/>
    <w:rsid w:val="00062675"/>
    <w:rsid w:val="000633C0"/>
    <w:rsid w:val="000633FB"/>
    <w:rsid w:val="00066B33"/>
    <w:rsid w:val="0007280D"/>
    <w:rsid w:val="00075217"/>
    <w:rsid w:val="00076086"/>
    <w:rsid w:val="00081142"/>
    <w:rsid w:val="0008152C"/>
    <w:rsid w:val="00081EFD"/>
    <w:rsid w:val="00083831"/>
    <w:rsid w:val="0008441C"/>
    <w:rsid w:val="00086DD5"/>
    <w:rsid w:val="0009003D"/>
    <w:rsid w:val="000908F0"/>
    <w:rsid w:val="0009322C"/>
    <w:rsid w:val="000945AD"/>
    <w:rsid w:val="000973A5"/>
    <w:rsid w:val="000976CB"/>
    <w:rsid w:val="000A19D4"/>
    <w:rsid w:val="000B1919"/>
    <w:rsid w:val="000B4987"/>
    <w:rsid w:val="000B696C"/>
    <w:rsid w:val="000B780A"/>
    <w:rsid w:val="000C1581"/>
    <w:rsid w:val="000C3C18"/>
    <w:rsid w:val="000C3F21"/>
    <w:rsid w:val="000C46E2"/>
    <w:rsid w:val="000C4810"/>
    <w:rsid w:val="000C4F93"/>
    <w:rsid w:val="000C560E"/>
    <w:rsid w:val="000C6A34"/>
    <w:rsid w:val="000C70BB"/>
    <w:rsid w:val="000C7832"/>
    <w:rsid w:val="000D0795"/>
    <w:rsid w:val="000D1313"/>
    <w:rsid w:val="000D6F3D"/>
    <w:rsid w:val="000D7187"/>
    <w:rsid w:val="000D7FB5"/>
    <w:rsid w:val="000E1339"/>
    <w:rsid w:val="000E17D6"/>
    <w:rsid w:val="000E2006"/>
    <w:rsid w:val="000E5E38"/>
    <w:rsid w:val="000E6A72"/>
    <w:rsid w:val="000E79C7"/>
    <w:rsid w:val="000F0692"/>
    <w:rsid w:val="000F2AF7"/>
    <w:rsid w:val="000F3192"/>
    <w:rsid w:val="000F3AC1"/>
    <w:rsid w:val="000F5A0D"/>
    <w:rsid w:val="00103506"/>
    <w:rsid w:val="00105838"/>
    <w:rsid w:val="00105E3A"/>
    <w:rsid w:val="00106919"/>
    <w:rsid w:val="001071F3"/>
    <w:rsid w:val="00110049"/>
    <w:rsid w:val="001115D4"/>
    <w:rsid w:val="00111705"/>
    <w:rsid w:val="00113377"/>
    <w:rsid w:val="0011491E"/>
    <w:rsid w:val="00115433"/>
    <w:rsid w:val="00115780"/>
    <w:rsid w:val="001159D2"/>
    <w:rsid w:val="00116D7A"/>
    <w:rsid w:val="00116DE2"/>
    <w:rsid w:val="00117CB8"/>
    <w:rsid w:val="001217C8"/>
    <w:rsid w:val="001252C5"/>
    <w:rsid w:val="0012554E"/>
    <w:rsid w:val="001263FF"/>
    <w:rsid w:val="0012644A"/>
    <w:rsid w:val="00126785"/>
    <w:rsid w:val="00127CDB"/>
    <w:rsid w:val="00131BD5"/>
    <w:rsid w:val="00132F19"/>
    <w:rsid w:val="001331AA"/>
    <w:rsid w:val="0013653C"/>
    <w:rsid w:val="001374F1"/>
    <w:rsid w:val="0013750F"/>
    <w:rsid w:val="001376FC"/>
    <w:rsid w:val="00141209"/>
    <w:rsid w:val="00141A58"/>
    <w:rsid w:val="00143625"/>
    <w:rsid w:val="001436A2"/>
    <w:rsid w:val="00144EF7"/>
    <w:rsid w:val="00150E14"/>
    <w:rsid w:val="0015459C"/>
    <w:rsid w:val="00155ECF"/>
    <w:rsid w:val="001562B0"/>
    <w:rsid w:val="00157EB9"/>
    <w:rsid w:val="001602AF"/>
    <w:rsid w:val="0016285A"/>
    <w:rsid w:val="00164201"/>
    <w:rsid w:val="0016706A"/>
    <w:rsid w:val="001672E1"/>
    <w:rsid w:val="001678B1"/>
    <w:rsid w:val="00170B21"/>
    <w:rsid w:val="001711D9"/>
    <w:rsid w:val="0017390B"/>
    <w:rsid w:val="00173E03"/>
    <w:rsid w:val="00175DEE"/>
    <w:rsid w:val="0017697B"/>
    <w:rsid w:val="00176C32"/>
    <w:rsid w:val="00176FC2"/>
    <w:rsid w:val="00180538"/>
    <w:rsid w:val="00181579"/>
    <w:rsid w:val="00182EDE"/>
    <w:rsid w:val="001834D7"/>
    <w:rsid w:val="00184F20"/>
    <w:rsid w:val="00190AB6"/>
    <w:rsid w:val="00190FD6"/>
    <w:rsid w:val="001918FB"/>
    <w:rsid w:val="00193586"/>
    <w:rsid w:val="00193776"/>
    <w:rsid w:val="00193853"/>
    <w:rsid w:val="00193DC4"/>
    <w:rsid w:val="00195007"/>
    <w:rsid w:val="0019558D"/>
    <w:rsid w:val="00196F20"/>
    <w:rsid w:val="00197A18"/>
    <w:rsid w:val="001A1959"/>
    <w:rsid w:val="001A3118"/>
    <w:rsid w:val="001A4B4B"/>
    <w:rsid w:val="001A4D1A"/>
    <w:rsid w:val="001B057F"/>
    <w:rsid w:val="001B221B"/>
    <w:rsid w:val="001B2AB9"/>
    <w:rsid w:val="001B5A12"/>
    <w:rsid w:val="001B6144"/>
    <w:rsid w:val="001B6A00"/>
    <w:rsid w:val="001B769C"/>
    <w:rsid w:val="001B7A8C"/>
    <w:rsid w:val="001C0B8C"/>
    <w:rsid w:val="001C126F"/>
    <w:rsid w:val="001C38F0"/>
    <w:rsid w:val="001C39B5"/>
    <w:rsid w:val="001C40F3"/>
    <w:rsid w:val="001C6324"/>
    <w:rsid w:val="001D0593"/>
    <w:rsid w:val="001D1083"/>
    <w:rsid w:val="001D2BFB"/>
    <w:rsid w:val="001D3D0C"/>
    <w:rsid w:val="001D4AB8"/>
    <w:rsid w:val="001D5BC6"/>
    <w:rsid w:val="001D6D36"/>
    <w:rsid w:val="001D7B96"/>
    <w:rsid w:val="001E0FCD"/>
    <w:rsid w:val="001E4D48"/>
    <w:rsid w:val="001F133F"/>
    <w:rsid w:val="001F2804"/>
    <w:rsid w:val="001F3C1D"/>
    <w:rsid w:val="001F400D"/>
    <w:rsid w:val="001F6D01"/>
    <w:rsid w:val="001F703D"/>
    <w:rsid w:val="001F7231"/>
    <w:rsid w:val="002009BD"/>
    <w:rsid w:val="0020300C"/>
    <w:rsid w:val="002037C1"/>
    <w:rsid w:val="002053EA"/>
    <w:rsid w:val="00205D4A"/>
    <w:rsid w:val="00206817"/>
    <w:rsid w:val="00206D7F"/>
    <w:rsid w:val="00207350"/>
    <w:rsid w:val="00210421"/>
    <w:rsid w:val="002109CE"/>
    <w:rsid w:val="002116B4"/>
    <w:rsid w:val="0021182B"/>
    <w:rsid w:val="002140B1"/>
    <w:rsid w:val="002214AF"/>
    <w:rsid w:val="00221EB8"/>
    <w:rsid w:val="00222886"/>
    <w:rsid w:val="00222EC9"/>
    <w:rsid w:val="00224A70"/>
    <w:rsid w:val="002302D6"/>
    <w:rsid w:val="00232749"/>
    <w:rsid w:val="0023315E"/>
    <w:rsid w:val="0023550F"/>
    <w:rsid w:val="00235FE3"/>
    <w:rsid w:val="0023641E"/>
    <w:rsid w:val="00241C22"/>
    <w:rsid w:val="00242116"/>
    <w:rsid w:val="0024230A"/>
    <w:rsid w:val="00243331"/>
    <w:rsid w:val="00246278"/>
    <w:rsid w:val="0024639C"/>
    <w:rsid w:val="002473DA"/>
    <w:rsid w:val="00247809"/>
    <w:rsid w:val="00251E1F"/>
    <w:rsid w:val="00251E9B"/>
    <w:rsid w:val="00252618"/>
    <w:rsid w:val="002553E7"/>
    <w:rsid w:val="00255E8C"/>
    <w:rsid w:val="0025616E"/>
    <w:rsid w:val="00256F3A"/>
    <w:rsid w:val="00257DB3"/>
    <w:rsid w:val="00264576"/>
    <w:rsid w:val="00266327"/>
    <w:rsid w:val="00270B5A"/>
    <w:rsid w:val="002710CD"/>
    <w:rsid w:val="00271FD7"/>
    <w:rsid w:val="00274775"/>
    <w:rsid w:val="00276F35"/>
    <w:rsid w:val="0028325D"/>
    <w:rsid w:val="00284039"/>
    <w:rsid w:val="00290273"/>
    <w:rsid w:val="002914A4"/>
    <w:rsid w:val="00293D7F"/>
    <w:rsid w:val="00296585"/>
    <w:rsid w:val="00297831"/>
    <w:rsid w:val="002A02BB"/>
    <w:rsid w:val="002A0EEE"/>
    <w:rsid w:val="002A32EA"/>
    <w:rsid w:val="002A570B"/>
    <w:rsid w:val="002A572B"/>
    <w:rsid w:val="002B0AFD"/>
    <w:rsid w:val="002B11B8"/>
    <w:rsid w:val="002B1EB0"/>
    <w:rsid w:val="002B2192"/>
    <w:rsid w:val="002B364A"/>
    <w:rsid w:val="002B4BBB"/>
    <w:rsid w:val="002C12B6"/>
    <w:rsid w:val="002C1C6C"/>
    <w:rsid w:val="002C6A12"/>
    <w:rsid w:val="002C7757"/>
    <w:rsid w:val="002C7F52"/>
    <w:rsid w:val="002D0B4C"/>
    <w:rsid w:val="002D1431"/>
    <w:rsid w:val="002D3EF9"/>
    <w:rsid w:val="002D4182"/>
    <w:rsid w:val="002D74E2"/>
    <w:rsid w:val="002D7E4B"/>
    <w:rsid w:val="002E394C"/>
    <w:rsid w:val="002E3C3B"/>
    <w:rsid w:val="002E5AFF"/>
    <w:rsid w:val="002E7B25"/>
    <w:rsid w:val="002F127C"/>
    <w:rsid w:val="002F388F"/>
    <w:rsid w:val="002F3A0D"/>
    <w:rsid w:val="002F43BF"/>
    <w:rsid w:val="002F43CB"/>
    <w:rsid w:val="002F72C9"/>
    <w:rsid w:val="002F7F00"/>
    <w:rsid w:val="00301FF4"/>
    <w:rsid w:val="00303E74"/>
    <w:rsid w:val="00304479"/>
    <w:rsid w:val="00305A03"/>
    <w:rsid w:val="00307ED5"/>
    <w:rsid w:val="003101C7"/>
    <w:rsid w:val="00313671"/>
    <w:rsid w:val="0031432F"/>
    <w:rsid w:val="00317B87"/>
    <w:rsid w:val="00317CA8"/>
    <w:rsid w:val="0032118E"/>
    <w:rsid w:val="003262D7"/>
    <w:rsid w:val="003269BC"/>
    <w:rsid w:val="003278EE"/>
    <w:rsid w:val="00327FBE"/>
    <w:rsid w:val="00330992"/>
    <w:rsid w:val="00331FA3"/>
    <w:rsid w:val="00333A57"/>
    <w:rsid w:val="00333D7A"/>
    <w:rsid w:val="00334C82"/>
    <w:rsid w:val="00335CF8"/>
    <w:rsid w:val="00336660"/>
    <w:rsid w:val="00337DE1"/>
    <w:rsid w:val="00340124"/>
    <w:rsid w:val="00340162"/>
    <w:rsid w:val="0034042E"/>
    <w:rsid w:val="00340C33"/>
    <w:rsid w:val="00343100"/>
    <w:rsid w:val="00344ED4"/>
    <w:rsid w:val="003466E4"/>
    <w:rsid w:val="00352447"/>
    <w:rsid w:val="00354751"/>
    <w:rsid w:val="00354AE0"/>
    <w:rsid w:val="00354EF8"/>
    <w:rsid w:val="00355D3D"/>
    <w:rsid w:val="0035770F"/>
    <w:rsid w:val="00360365"/>
    <w:rsid w:val="003614EF"/>
    <w:rsid w:val="00362AAD"/>
    <w:rsid w:val="00363C8B"/>
    <w:rsid w:val="00364CFF"/>
    <w:rsid w:val="00365700"/>
    <w:rsid w:val="00365EFF"/>
    <w:rsid w:val="00367E9B"/>
    <w:rsid w:val="00371D19"/>
    <w:rsid w:val="00371FF0"/>
    <w:rsid w:val="003723D1"/>
    <w:rsid w:val="00374961"/>
    <w:rsid w:val="00376599"/>
    <w:rsid w:val="0037776D"/>
    <w:rsid w:val="0037791A"/>
    <w:rsid w:val="003805BA"/>
    <w:rsid w:val="00381EBC"/>
    <w:rsid w:val="003834FF"/>
    <w:rsid w:val="00384B2E"/>
    <w:rsid w:val="00384E14"/>
    <w:rsid w:val="00386F8A"/>
    <w:rsid w:val="00391539"/>
    <w:rsid w:val="003918BA"/>
    <w:rsid w:val="003927E3"/>
    <w:rsid w:val="00393079"/>
    <w:rsid w:val="003A0266"/>
    <w:rsid w:val="003A5D28"/>
    <w:rsid w:val="003A710B"/>
    <w:rsid w:val="003B496A"/>
    <w:rsid w:val="003B5266"/>
    <w:rsid w:val="003B6BC5"/>
    <w:rsid w:val="003B70B5"/>
    <w:rsid w:val="003C02EB"/>
    <w:rsid w:val="003C16C0"/>
    <w:rsid w:val="003D0D0A"/>
    <w:rsid w:val="003D12C0"/>
    <w:rsid w:val="003D2368"/>
    <w:rsid w:val="003D3628"/>
    <w:rsid w:val="003D4085"/>
    <w:rsid w:val="003D5D80"/>
    <w:rsid w:val="003D7427"/>
    <w:rsid w:val="003E03CB"/>
    <w:rsid w:val="003E2E7C"/>
    <w:rsid w:val="003E35B7"/>
    <w:rsid w:val="003E54F0"/>
    <w:rsid w:val="003E6803"/>
    <w:rsid w:val="003F1A41"/>
    <w:rsid w:val="003F38A8"/>
    <w:rsid w:val="003F42A4"/>
    <w:rsid w:val="00400515"/>
    <w:rsid w:val="0040605E"/>
    <w:rsid w:val="00406DDA"/>
    <w:rsid w:val="004078D0"/>
    <w:rsid w:val="00407D36"/>
    <w:rsid w:val="00410C37"/>
    <w:rsid w:val="00411864"/>
    <w:rsid w:val="00412771"/>
    <w:rsid w:val="00412925"/>
    <w:rsid w:val="00412B29"/>
    <w:rsid w:val="00414EB2"/>
    <w:rsid w:val="00416615"/>
    <w:rsid w:val="00424A43"/>
    <w:rsid w:val="00425518"/>
    <w:rsid w:val="00427CF7"/>
    <w:rsid w:val="00430D3E"/>
    <w:rsid w:val="00436B1B"/>
    <w:rsid w:val="00440095"/>
    <w:rsid w:val="00442E33"/>
    <w:rsid w:val="00443376"/>
    <w:rsid w:val="0044382F"/>
    <w:rsid w:val="00446784"/>
    <w:rsid w:val="0044763C"/>
    <w:rsid w:val="00451535"/>
    <w:rsid w:val="00452FD4"/>
    <w:rsid w:val="004552BA"/>
    <w:rsid w:val="004571C6"/>
    <w:rsid w:val="004579B6"/>
    <w:rsid w:val="00460AB8"/>
    <w:rsid w:val="004613EE"/>
    <w:rsid w:val="00462322"/>
    <w:rsid w:val="004665EB"/>
    <w:rsid w:val="004678C9"/>
    <w:rsid w:val="00471D75"/>
    <w:rsid w:val="00473B24"/>
    <w:rsid w:val="004747F3"/>
    <w:rsid w:val="0047659D"/>
    <w:rsid w:val="00477171"/>
    <w:rsid w:val="004800CA"/>
    <w:rsid w:val="00481422"/>
    <w:rsid w:val="00481952"/>
    <w:rsid w:val="004837B7"/>
    <w:rsid w:val="00483A36"/>
    <w:rsid w:val="00486A57"/>
    <w:rsid w:val="00487D4D"/>
    <w:rsid w:val="00494893"/>
    <w:rsid w:val="004A13A9"/>
    <w:rsid w:val="004A3B7C"/>
    <w:rsid w:val="004B3BE0"/>
    <w:rsid w:val="004B5096"/>
    <w:rsid w:val="004B52F4"/>
    <w:rsid w:val="004B53FC"/>
    <w:rsid w:val="004B58F7"/>
    <w:rsid w:val="004B686E"/>
    <w:rsid w:val="004C0E5C"/>
    <w:rsid w:val="004C1514"/>
    <w:rsid w:val="004C1856"/>
    <w:rsid w:val="004C2FA7"/>
    <w:rsid w:val="004C3404"/>
    <w:rsid w:val="004C54C0"/>
    <w:rsid w:val="004C5CCF"/>
    <w:rsid w:val="004C646A"/>
    <w:rsid w:val="004C7FA8"/>
    <w:rsid w:val="004D154A"/>
    <w:rsid w:val="004D2904"/>
    <w:rsid w:val="004D380E"/>
    <w:rsid w:val="004D55BC"/>
    <w:rsid w:val="004E04F5"/>
    <w:rsid w:val="004E056C"/>
    <w:rsid w:val="004E31B4"/>
    <w:rsid w:val="004E3D2F"/>
    <w:rsid w:val="004E59A0"/>
    <w:rsid w:val="004E7D56"/>
    <w:rsid w:val="004F2ED5"/>
    <w:rsid w:val="004F398E"/>
    <w:rsid w:val="004F50E0"/>
    <w:rsid w:val="004F5ACC"/>
    <w:rsid w:val="0050000B"/>
    <w:rsid w:val="00500879"/>
    <w:rsid w:val="00501A8C"/>
    <w:rsid w:val="00501E3C"/>
    <w:rsid w:val="0050304F"/>
    <w:rsid w:val="00503099"/>
    <w:rsid w:val="00507DB0"/>
    <w:rsid w:val="0051000A"/>
    <w:rsid w:val="00511AAD"/>
    <w:rsid w:val="0051506C"/>
    <w:rsid w:val="00515F48"/>
    <w:rsid w:val="0051689B"/>
    <w:rsid w:val="00520EAE"/>
    <w:rsid w:val="0052196E"/>
    <w:rsid w:val="005240A7"/>
    <w:rsid w:val="0052420D"/>
    <w:rsid w:val="00524508"/>
    <w:rsid w:val="00524913"/>
    <w:rsid w:val="00525BEC"/>
    <w:rsid w:val="00527C7B"/>
    <w:rsid w:val="005311EE"/>
    <w:rsid w:val="00533F83"/>
    <w:rsid w:val="00535F99"/>
    <w:rsid w:val="00536A21"/>
    <w:rsid w:val="00536EDA"/>
    <w:rsid w:val="00537346"/>
    <w:rsid w:val="00537DB0"/>
    <w:rsid w:val="00537F90"/>
    <w:rsid w:val="005404FB"/>
    <w:rsid w:val="00541806"/>
    <w:rsid w:val="005428E2"/>
    <w:rsid w:val="00542B2E"/>
    <w:rsid w:val="00542DBA"/>
    <w:rsid w:val="00542FEB"/>
    <w:rsid w:val="00543D65"/>
    <w:rsid w:val="00544943"/>
    <w:rsid w:val="00544BE8"/>
    <w:rsid w:val="00544D42"/>
    <w:rsid w:val="005475B6"/>
    <w:rsid w:val="00553C55"/>
    <w:rsid w:val="005622BB"/>
    <w:rsid w:val="00562CC8"/>
    <w:rsid w:val="0056345A"/>
    <w:rsid w:val="005660C3"/>
    <w:rsid w:val="005663FE"/>
    <w:rsid w:val="005665E4"/>
    <w:rsid w:val="005672F3"/>
    <w:rsid w:val="00567BE0"/>
    <w:rsid w:val="0057770D"/>
    <w:rsid w:val="00577B21"/>
    <w:rsid w:val="00582D8A"/>
    <w:rsid w:val="00585930"/>
    <w:rsid w:val="005867A3"/>
    <w:rsid w:val="00586B8A"/>
    <w:rsid w:val="00586DE0"/>
    <w:rsid w:val="00586EC3"/>
    <w:rsid w:val="005870E3"/>
    <w:rsid w:val="00587C80"/>
    <w:rsid w:val="00587D3E"/>
    <w:rsid w:val="005925CD"/>
    <w:rsid w:val="005927A7"/>
    <w:rsid w:val="005932CB"/>
    <w:rsid w:val="00593759"/>
    <w:rsid w:val="00593AC6"/>
    <w:rsid w:val="0059423A"/>
    <w:rsid w:val="00597A5B"/>
    <w:rsid w:val="005A0BF4"/>
    <w:rsid w:val="005A127B"/>
    <w:rsid w:val="005A1E59"/>
    <w:rsid w:val="005A4893"/>
    <w:rsid w:val="005A4C86"/>
    <w:rsid w:val="005B0514"/>
    <w:rsid w:val="005B2356"/>
    <w:rsid w:val="005B2691"/>
    <w:rsid w:val="005B333D"/>
    <w:rsid w:val="005B40DC"/>
    <w:rsid w:val="005B45B4"/>
    <w:rsid w:val="005B79A0"/>
    <w:rsid w:val="005C2939"/>
    <w:rsid w:val="005C31D9"/>
    <w:rsid w:val="005C36F4"/>
    <w:rsid w:val="005C5044"/>
    <w:rsid w:val="005C763B"/>
    <w:rsid w:val="005D2B0B"/>
    <w:rsid w:val="005D38D6"/>
    <w:rsid w:val="005D41C5"/>
    <w:rsid w:val="005D6F05"/>
    <w:rsid w:val="005D7CB5"/>
    <w:rsid w:val="005E0F68"/>
    <w:rsid w:val="005E3A76"/>
    <w:rsid w:val="005F1037"/>
    <w:rsid w:val="005F5ADB"/>
    <w:rsid w:val="005F75B9"/>
    <w:rsid w:val="00601CFE"/>
    <w:rsid w:val="00604563"/>
    <w:rsid w:val="006077F5"/>
    <w:rsid w:val="0061161B"/>
    <w:rsid w:val="00611F51"/>
    <w:rsid w:val="00613581"/>
    <w:rsid w:val="00615E6F"/>
    <w:rsid w:val="00616016"/>
    <w:rsid w:val="00620FA7"/>
    <w:rsid w:val="006212ED"/>
    <w:rsid w:val="00625E79"/>
    <w:rsid w:val="0062614A"/>
    <w:rsid w:val="006320A0"/>
    <w:rsid w:val="00632CC6"/>
    <w:rsid w:val="00636B00"/>
    <w:rsid w:val="00642C06"/>
    <w:rsid w:val="00642E35"/>
    <w:rsid w:val="00643471"/>
    <w:rsid w:val="0064347B"/>
    <w:rsid w:val="00644C7C"/>
    <w:rsid w:val="00646349"/>
    <w:rsid w:val="00646802"/>
    <w:rsid w:val="0064759A"/>
    <w:rsid w:val="006507CA"/>
    <w:rsid w:val="00653D1B"/>
    <w:rsid w:val="00654CDD"/>
    <w:rsid w:val="006559F2"/>
    <w:rsid w:val="00656D00"/>
    <w:rsid w:val="00657503"/>
    <w:rsid w:val="006711F2"/>
    <w:rsid w:val="0067261D"/>
    <w:rsid w:val="00672E3E"/>
    <w:rsid w:val="00675CB3"/>
    <w:rsid w:val="00675DA3"/>
    <w:rsid w:val="00676346"/>
    <w:rsid w:val="00676D76"/>
    <w:rsid w:val="00677FE6"/>
    <w:rsid w:val="00682671"/>
    <w:rsid w:val="00684A49"/>
    <w:rsid w:val="00685E59"/>
    <w:rsid w:val="00690FFF"/>
    <w:rsid w:val="00695AA7"/>
    <w:rsid w:val="006A1454"/>
    <w:rsid w:val="006A1DB7"/>
    <w:rsid w:val="006A464E"/>
    <w:rsid w:val="006B6DFC"/>
    <w:rsid w:val="006C001D"/>
    <w:rsid w:val="006C07AB"/>
    <w:rsid w:val="006C0E9B"/>
    <w:rsid w:val="006C29EF"/>
    <w:rsid w:val="006C3A5C"/>
    <w:rsid w:val="006D1C95"/>
    <w:rsid w:val="006E35D7"/>
    <w:rsid w:val="006E496E"/>
    <w:rsid w:val="006E595B"/>
    <w:rsid w:val="006E5963"/>
    <w:rsid w:val="006E5AD1"/>
    <w:rsid w:val="006F02B6"/>
    <w:rsid w:val="006F049E"/>
    <w:rsid w:val="006F5421"/>
    <w:rsid w:val="006F5561"/>
    <w:rsid w:val="006F62F8"/>
    <w:rsid w:val="007014C9"/>
    <w:rsid w:val="007037BC"/>
    <w:rsid w:val="00707DCD"/>
    <w:rsid w:val="0071027C"/>
    <w:rsid w:val="007107E9"/>
    <w:rsid w:val="00710CD6"/>
    <w:rsid w:val="007110D9"/>
    <w:rsid w:val="007163FB"/>
    <w:rsid w:val="00716CE8"/>
    <w:rsid w:val="0071770E"/>
    <w:rsid w:val="00722EE9"/>
    <w:rsid w:val="00722FBA"/>
    <w:rsid w:val="00723B8B"/>
    <w:rsid w:val="0072563D"/>
    <w:rsid w:val="00725C8D"/>
    <w:rsid w:val="00726A70"/>
    <w:rsid w:val="0073003A"/>
    <w:rsid w:val="0073036C"/>
    <w:rsid w:val="00730C71"/>
    <w:rsid w:val="007316F2"/>
    <w:rsid w:val="00731905"/>
    <w:rsid w:val="007344B4"/>
    <w:rsid w:val="00734699"/>
    <w:rsid w:val="00740C9C"/>
    <w:rsid w:val="00741A05"/>
    <w:rsid w:val="00743A1B"/>
    <w:rsid w:val="007458BA"/>
    <w:rsid w:val="00745B24"/>
    <w:rsid w:val="007468BD"/>
    <w:rsid w:val="0075080E"/>
    <w:rsid w:val="0075193A"/>
    <w:rsid w:val="007522A9"/>
    <w:rsid w:val="00752D7D"/>
    <w:rsid w:val="00753E90"/>
    <w:rsid w:val="007545A6"/>
    <w:rsid w:val="0075534C"/>
    <w:rsid w:val="00756DA2"/>
    <w:rsid w:val="00757640"/>
    <w:rsid w:val="00757E98"/>
    <w:rsid w:val="007605C3"/>
    <w:rsid w:val="007609FC"/>
    <w:rsid w:val="007629A1"/>
    <w:rsid w:val="00762D5C"/>
    <w:rsid w:val="0076411F"/>
    <w:rsid w:val="00767B9E"/>
    <w:rsid w:val="00767E9E"/>
    <w:rsid w:val="007722B1"/>
    <w:rsid w:val="00774244"/>
    <w:rsid w:val="007743AC"/>
    <w:rsid w:val="00776D7E"/>
    <w:rsid w:val="00777EA9"/>
    <w:rsid w:val="00777F14"/>
    <w:rsid w:val="0078181C"/>
    <w:rsid w:val="00783815"/>
    <w:rsid w:val="00783C34"/>
    <w:rsid w:val="007843D4"/>
    <w:rsid w:val="00784CF0"/>
    <w:rsid w:val="00784D33"/>
    <w:rsid w:val="007857DA"/>
    <w:rsid w:val="00785914"/>
    <w:rsid w:val="007906FC"/>
    <w:rsid w:val="0079094E"/>
    <w:rsid w:val="007919E6"/>
    <w:rsid w:val="0079227C"/>
    <w:rsid w:val="00794BB3"/>
    <w:rsid w:val="00795DEB"/>
    <w:rsid w:val="007A0428"/>
    <w:rsid w:val="007A0EB8"/>
    <w:rsid w:val="007A35E1"/>
    <w:rsid w:val="007A4E8B"/>
    <w:rsid w:val="007A58D4"/>
    <w:rsid w:val="007A6C81"/>
    <w:rsid w:val="007A7F25"/>
    <w:rsid w:val="007B329D"/>
    <w:rsid w:val="007B35B2"/>
    <w:rsid w:val="007C0016"/>
    <w:rsid w:val="007C1DE1"/>
    <w:rsid w:val="007C1FF7"/>
    <w:rsid w:val="007C27D7"/>
    <w:rsid w:val="007C3119"/>
    <w:rsid w:val="007C341B"/>
    <w:rsid w:val="007C41AF"/>
    <w:rsid w:val="007C53E7"/>
    <w:rsid w:val="007C7FFD"/>
    <w:rsid w:val="007D2662"/>
    <w:rsid w:val="007D49AE"/>
    <w:rsid w:val="007D77CE"/>
    <w:rsid w:val="007D7B1A"/>
    <w:rsid w:val="007E4045"/>
    <w:rsid w:val="007E660C"/>
    <w:rsid w:val="007F0B25"/>
    <w:rsid w:val="007F16F6"/>
    <w:rsid w:val="007F2A63"/>
    <w:rsid w:val="007F3F9F"/>
    <w:rsid w:val="007F532E"/>
    <w:rsid w:val="007F796A"/>
    <w:rsid w:val="00802016"/>
    <w:rsid w:val="00802969"/>
    <w:rsid w:val="00803C65"/>
    <w:rsid w:val="00804329"/>
    <w:rsid w:val="00804E0B"/>
    <w:rsid w:val="008050DD"/>
    <w:rsid w:val="00805F53"/>
    <w:rsid w:val="0081048D"/>
    <w:rsid w:val="008148CC"/>
    <w:rsid w:val="008151B7"/>
    <w:rsid w:val="00817BFC"/>
    <w:rsid w:val="00820B6E"/>
    <w:rsid w:val="00822C04"/>
    <w:rsid w:val="0082351E"/>
    <w:rsid w:val="00823951"/>
    <w:rsid w:val="00823ACB"/>
    <w:rsid w:val="00827AED"/>
    <w:rsid w:val="00831A20"/>
    <w:rsid w:val="0083453B"/>
    <w:rsid w:val="00834D07"/>
    <w:rsid w:val="00840020"/>
    <w:rsid w:val="00841BB0"/>
    <w:rsid w:val="00842EE9"/>
    <w:rsid w:val="00843133"/>
    <w:rsid w:val="008433D6"/>
    <w:rsid w:val="00846146"/>
    <w:rsid w:val="00847CDC"/>
    <w:rsid w:val="0085081C"/>
    <w:rsid w:val="00851372"/>
    <w:rsid w:val="0085499E"/>
    <w:rsid w:val="008553DD"/>
    <w:rsid w:val="00856B54"/>
    <w:rsid w:val="00856EC1"/>
    <w:rsid w:val="00860067"/>
    <w:rsid w:val="008639A3"/>
    <w:rsid w:val="00865A81"/>
    <w:rsid w:val="00865ABF"/>
    <w:rsid w:val="00866191"/>
    <w:rsid w:val="00871C73"/>
    <w:rsid w:val="008726A1"/>
    <w:rsid w:val="00872B19"/>
    <w:rsid w:val="00872B1E"/>
    <w:rsid w:val="00875121"/>
    <w:rsid w:val="00875BD5"/>
    <w:rsid w:val="00875F3E"/>
    <w:rsid w:val="008810F8"/>
    <w:rsid w:val="00881FDC"/>
    <w:rsid w:val="008823EC"/>
    <w:rsid w:val="00882F82"/>
    <w:rsid w:val="008846E6"/>
    <w:rsid w:val="00884ACF"/>
    <w:rsid w:val="008877F5"/>
    <w:rsid w:val="008938BE"/>
    <w:rsid w:val="008A61B9"/>
    <w:rsid w:val="008A75AE"/>
    <w:rsid w:val="008B0004"/>
    <w:rsid w:val="008B2383"/>
    <w:rsid w:val="008B2B1C"/>
    <w:rsid w:val="008B4D19"/>
    <w:rsid w:val="008B57BF"/>
    <w:rsid w:val="008B77C1"/>
    <w:rsid w:val="008BC8AB"/>
    <w:rsid w:val="008C1153"/>
    <w:rsid w:val="008C17EA"/>
    <w:rsid w:val="008C2857"/>
    <w:rsid w:val="008C42D7"/>
    <w:rsid w:val="008C4D48"/>
    <w:rsid w:val="008C600A"/>
    <w:rsid w:val="008D1B00"/>
    <w:rsid w:val="008D2971"/>
    <w:rsid w:val="008D2FCB"/>
    <w:rsid w:val="008D51F2"/>
    <w:rsid w:val="008D55D1"/>
    <w:rsid w:val="008D7164"/>
    <w:rsid w:val="008E0249"/>
    <w:rsid w:val="008E08F9"/>
    <w:rsid w:val="008E6128"/>
    <w:rsid w:val="008E7BC8"/>
    <w:rsid w:val="008F28B5"/>
    <w:rsid w:val="00900510"/>
    <w:rsid w:val="00903359"/>
    <w:rsid w:val="009050A3"/>
    <w:rsid w:val="00905EAF"/>
    <w:rsid w:val="00906196"/>
    <w:rsid w:val="009063E8"/>
    <w:rsid w:val="00911A1C"/>
    <w:rsid w:val="00911A21"/>
    <w:rsid w:val="00912A9D"/>
    <w:rsid w:val="0091322F"/>
    <w:rsid w:val="009149F2"/>
    <w:rsid w:val="00914E1A"/>
    <w:rsid w:val="00915957"/>
    <w:rsid w:val="009160D2"/>
    <w:rsid w:val="0091670F"/>
    <w:rsid w:val="00916E9C"/>
    <w:rsid w:val="0092056A"/>
    <w:rsid w:val="00921AC9"/>
    <w:rsid w:val="00922A00"/>
    <w:rsid w:val="00927021"/>
    <w:rsid w:val="009274A2"/>
    <w:rsid w:val="0092762E"/>
    <w:rsid w:val="00927DF1"/>
    <w:rsid w:val="00930728"/>
    <w:rsid w:val="00933ECB"/>
    <w:rsid w:val="00934D74"/>
    <w:rsid w:val="00936003"/>
    <w:rsid w:val="0093607E"/>
    <w:rsid w:val="00937E80"/>
    <w:rsid w:val="009415C5"/>
    <w:rsid w:val="00944CD8"/>
    <w:rsid w:val="00945709"/>
    <w:rsid w:val="00946710"/>
    <w:rsid w:val="0094799C"/>
    <w:rsid w:val="00950838"/>
    <w:rsid w:val="00952BBF"/>
    <w:rsid w:val="00953CF3"/>
    <w:rsid w:val="009553D6"/>
    <w:rsid w:val="00955708"/>
    <w:rsid w:val="00957B27"/>
    <w:rsid w:val="009616CC"/>
    <w:rsid w:val="0097491F"/>
    <w:rsid w:val="0097543E"/>
    <w:rsid w:val="00977E88"/>
    <w:rsid w:val="00983B76"/>
    <w:rsid w:val="00983C4B"/>
    <w:rsid w:val="0098464B"/>
    <w:rsid w:val="009846E7"/>
    <w:rsid w:val="00984E0E"/>
    <w:rsid w:val="0098615E"/>
    <w:rsid w:val="00995264"/>
    <w:rsid w:val="00995C57"/>
    <w:rsid w:val="00996013"/>
    <w:rsid w:val="009970BE"/>
    <w:rsid w:val="00997C61"/>
    <w:rsid w:val="00997EA9"/>
    <w:rsid w:val="009A3420"/>
    <w:rsid w:val="009A4720"/>
    <w:rsid w:val="009A60BD"/>
    <w:rsid w:val="009A75BE"/>
    <w:rsid w:val="009A7F58"/>
    <w:rsid w:val="009B023A"/>
    <w:rsid w:val="009B1F9F"/>
    <w:rsid w:val="009B246D"/>
    <w:rsid w:val="009B460A"/>
    <w:rsid w:val="009B60A6"/>
    <w:rsid w:val="009B7E67"/>
    <w:rsid w:val="009C0F0C"/>
    <w:rsid w:val="009C3660"/>
    <w:rsid w:val="009C3EB0"/>
    <w:rsid w:val="009C44F5"/>
    <w:rsid w:val="009C4CDE"/>
    <w:rsid w:val="009C4FE5"/>
    <w:rsid w:val="009C5A9C"/>
    <w:rsid w:val="009D0D5A"/>
    <w:rsid w:val="009D0E7B"/>
    <w:rsid w:val="009D392C"/>
    <w:rsid w:val="009D55CB"/>
    <w:rsid w:val="009D6D33"/>
    <w:rsid w:val="009D7EF1"/>
    <w:rsid w:val="009E1472"/>
    <w:rsid w:val="009E38E8"/>
    <w:rsid w:val="009E4088"/>
    <w:rsid w:val="009F2C29"/>
    <w:rsid w:val="009F3D30"/>
    <w:rsid w:val="009F42CE"/>
    <w:rsid w:val="009F6AF0"/>
    <w:rsid w:val="009F6BA0"/>
    <w:rsid w:val="009F6C8C"/>
    <w:rsid w:val="00A023B0"/>
    <w:rsid w:val="00A02788"/>
    <w:rsid w:val="00A02CF8"/>
    <w:rsid w:val="00A02F5E"/>
    <w:rsid w:val="00A04316"/>
    <w:rsid w:val="00A06553"/>
    <w:rsid w:val="00A078D5"/>
    <w:rsid w:val="00A12D12"/>
    <w:rsid w:val="00A12FED"/>
    <w:rsid w:val="00A13527"/>
    <w:rsid w:val="00A138FD"/>
    <w:rsid w:val="00A13FBE"/>
    <w:rsid w:val="00A15373"/>
    <w:rsid w:val="00A16B8F"/>
    <w:rsid w:val="00A17F1D"/>
    <w:rsid w:val="00A2183E"/>
    <w:rsid w:val="00A22C43"/>
    <w:rsid w:val="00A22CBD"/>
    <w:rsid w:val="00A23067"/>
    <w:rsid w:val="00A30871"/>
    <w:rsid w:val="00A30FBF"/>
    <w:rsid w:val="00A325FA"/>
    <w:rsid w:val="00A34693"/>
    <w:rsid w:val="00A37585"/>
    <w:rsid w:val="00A425BC"/>
    <w:rsid w:val="00A4331B"/>
    <w:rsid w:val="00A43547"/>
    <w:rsid w:val="00A44473"/>
    <w:rsid w:val="00A449F2"/>
    <w:rsid w:val="00A460F3"/>
    <w:rsid w:val="00A46D87"/>
    <w:rsid w:val="00A50214"/>
    <w:rsid w:val="00A5102F"/>
    <w:rsid w:val="00A51068"/>
    <w:rsid w:val="00A5120F"/>
    <w:rsid w:val="00A51FD3"/>
    <w:rsid w:val="00A52E63"/>
    <w:rsid w:val="00A53F94"/>
    <w:rsid w:val="00A55234"/>
    <w:rsid w:val="00A569F0"/>
    <w:rsid w:val="00A62CDC"/>
    <w:rsid w:val="00A630DA"/>
    <w:rsid w:val="00A652D2"/>
    <w:rsid w:val="00A66085"/>
    <w:rsid w:val="00A66486"/>
    <w:rsid w:val="00A70F40"/>
    <w:rsid w:val="00A71702"/>
    <w:rsid w:val="00A73FF6"/>
    <w:rsid w:val="00A74C2D"/>
    <w:rsid w:val="00A74CE3"/>
    <w:rsid w:val="00A76445"/>
    <w:rsid w:val="00A7710B"/>
    <w:rsid w:val="00A82C8D"/>
    <w:rsid w:val="00A82E31"/>
    <w:rsid w:val="00A83977"/>
    <w:rsid w:val="00A84ADC"/>
    <w:rsid w:val="00A85F0A"/>
    <w:rsid w:val="00A87EA4"/>
    <w:rsid w:val="00A92CA4"/>
    <w:rsid w:val="00A950B3"/>
    <w:rsid w:val="00A97343"/>
    <w:rsid w:val="00AA2CB9"/>
    <w:rsid w:val="00AA3370"/>
    <w:rsid w:val="00AA49EA"/>
    <w:rsid w:val="00AA61C0"/>
    <w:rsid w:val="00AA6E14"/>
    <w:rsid w:val="00AA751B"/>
    <w:rsid w:val="00AB105D"/>
    <w:rsid w:val="00AB3295"/>
    <w:rsid w:val="00AB3D93"/>
    <w:rsid w:val="00AB564D"/>
    <w:rsid w:val="00AC2003"/>
    <w:rsid w:val="00AC2988"/>
    <w:rsid w:val="00AC39D5"/>
    <w:rsid w:val="00AC3AD6"/>
    <w:rsid w:val="00AC52DA"/>
    <w:rsid w:val="00AC5613"/>
    <w:rsid w:val="00AC6753"/>
    <w:rsid w:val="00AD1B45"/>
    <w:rsid w:val="00AD2270"/>
    <w:rsid w:val="00AD4C82"/>
    <w:rsid w:val="00AD58E7"/>
    <w:rsid w:val="00AE0390"/>
    <w:rsid w:val="00AE15B0"/>
    <w:rsid w:val="00AE23B5"/>
    <w:rsid w:val="00AE455C"/>
    <w:rsid w:val="00AE6F5B"/>
    <w:rsid w:val="00AF73AF"/>
    <w:rsid w:val="00AF74C1"/>
    <w:rsid w:val="00AF7A9E"/>
    <w:rsid w:val="00B0210F"/>
    <w:rsid w:val="00B02110"/>
    <w:rsid w:val="00B025B3"/>
    <w:rsid w:val="00B04542"/>
    <w:rsid w:val="00B05424"/>
    <w:rsid w:val="00B0548C"/>
    <w:rsid w:val="00B0748A"/>
    <w:rsid w:val="00B1190C"/>
    <w:rsid w:val="00B11A5A"/>
    <w:rsid w:val="00B11FE4"/>
    <w:rsid w:val="00B158C8"/>
    <w:rsid w:val="00B1761D"/>
    <w:rsid w:val="00B2047C"/>
    <w:rsid w:val="00B20ADA"/>
    <w:rsid w:val="00B305F0"/>
    <w:rsid w:val="00B308DE"/>
    <w:rsid w:val="00B32624"/>
    <w:rsid w:val="00B35252"/>
    <w:rsid w:val="00B37E1D"/>
    <w:rsid w:val="00B41319"/>
    <w:rsid w:val="00B44D01"/>
    <w:rsid w:val="00B466A5"/>
    <w:rsid w:val="00B47077"/>
    <w:rsid w:val="00B47739"/>
    <w:rsid w:val="00B47944"/>
    <w:rsid w:val="00B50FA8"/>
    <w:rsid w:val="00B545B0"/>
    <w:rsid w:val="00B5491E"/>
    <w:rsid w:val="00B56A26"/>
    <w:rsid w:val="00B56FC7"/>
    <w:rsid w:val="00B57365"/>
    <w:rsid w:val="00B57C88"/>
    <w:rsid w:val="00B61D48"/>
    <w:rsid w:val="00B6441C"/>
    <w:rsid w:val="00B65AED"/>
    <w:rsid w:val="00B662CC"/>
    <w:rsid w:val="00B67B44"/>
    <w:rsid w:val="00B73FF8"/>
    <w:rsid w:val="00B7440C"/>
    <w:rsid w:val="00B74476"/>
    <w:rsid w:val="00B747A7"/>
    <w:rsid w:val="00B76213"/>
    <w:rsid w:val="00B76E25"/>
    <w:rsid w:val="00B823DE"/>
    <w:rsid w:val="00B824DE"/>
    <w:rsid w:val="00B8259B"/>
    <w:rsid w:val="00B847E1"/>
    <w:rsid w:val="00B923EF"/>
    <w:rsid w:val="00B9443C"/>
    <w:rsid w:val="00B95035"/>
    <w:rsid w:val="00B96CC7"/>
    <w:rsid w:val="00B9700B"/>
    <w:rsid w:val="00B97A03"/>
    <w:rsid w:val="00BA2D12"/>
    <w:rsid w:val="00BA2F9D"/>
    <w:rsid w:val="00BA424C"/>
    <w:rsid w:val="00BA46C2"/>
    <w:rsid w:val="00BA55A7"/>
    <w:rsid w:val="00BB0694"/>
    <w:rsid w:val="00BB1240"/>
    <w:rsid w:val="00BB2A7F"/>
    <w:rsid w:val="00BC0E21"/>
    <w:rsid w:val="00BC146F"/>
    <w:rsid w:val="00BC20B2"/>
    <w:rsid w:val="00BC4294"/>
    <w:rsid w:val="00BC58EC"/>
    <w:rsid w:val="00BC63F5"/>
    <w:rsid w:val="00BD2C01"/>
    <w:rsid w:val="00BD43A1"/>
    <w:rsid w:val="00BD70EE"/>
    <w:rsid w:val="00BD7753"/>
    <w:rsid w:val="00BE0197"/>
    <w:rsid w:val="00BE14C1"/>
    <w:rsid w:val="00BE487E"/>
    <w:rsid w:val="00BE56FA"/>
    <w:rsid w:val="00BE5BAA"/>
    <w:rsid w:val="00BE7CE9"/>
    <w:rsid w:val="00BF0A00"/>
    <w:rsid w:val="00BF1D42"/>
    <w:rsid w:val="00BF3101"/>
    <w:rsid w:val="00C03C82"/>
    <w:rsid w:val="00C04C24"/>
    <w:rsid w:val="00C1120E"/>
    <w:rsid w:val="00C12FD6"/>
    <w:rsid w:val="00C134A2"/>
    <w:rsid w:val="00C13EDC"/>
    <w:rsid w:val="00C14711"/>
    <w:rsid w:val="00C14F30"/>
    <w:rsid w:val="00C15DE2"/>
    <w:rsid w:val="00C165F9"/>
    <w:rsid w:val="00C23C66"/>
    <w:rsid w:val="00C24668"/>
    <w:rsid w:val="00C248DA"/>
    <w:rsid w:val="00C27845"/>
    <w:rsid w:val="00C304A4"/>
    <w:rsid w:val="00C30865"/>
    <w:rsid w:val="00C32831"/>
    <w:rsid w:val="00C3330C"/>
    <w:rsid w:val="00C34C00"/>
    <w:rsid w:val="00C350AF"/>
    <w:rsid w:val="00C43D08"/>
    <w:rsid w:val="00C44D05"/>
    <w:rsid w:val="00C45AD2"/>
    <w:rsid w:val="00C541E6"/>
    <w:rsid w:val="00C54633"/>
    <w:rsid w:val="00C56A80"/>
    <w:rsid w:val="00C570EF"/>
    <w:rsid w:val="00C601A1"/>
    <w:rsid w:val="00C6034A"/>
    <w:rsid w:val="00C64DF0"/>
    <w:rsid w:val="00C663F1"/>
    <w:rsid w:val="00C712B2"/>
    <w:rsid w:val="00C739A2"/>
    <w:rsid w:val="00C73D03"/>
    <w:rsid w:val="00C755C4"/>
    <w:rsid w:val="00C7597D"/>
    <w:rsid w:val="00C76F65"/>
    <w:rsid w:val="00C772BD"/>
    <w:rsid w:val="00C80A4D"/>
    <w:rsid w:val="00C80B5F"/>
    <w:rsid w:val="00C8193E"/>
    <w:rsid w:val="00C85FB7"/>
    <w:rsid w:val="00C8678D"/>
    <w:rsid w:val="00C8749F"/>
    <w:rsid w:val="00C87B75"/>
    <w:rsid w:val="00C87E4E"/>
    <w:rsid w:val="00C908DA"/>
    <w:rsid w:val="00C91ADE"/>
    <w:rsid w:val="00C9256C"/>
    <w:rsid w:val="00C92FCC"/>
    <w:rsid w:val="00C9547F"/>
    <w:rsid w:val="00C9710B"/>
    <w:rsid w:val="00CA25BE"/>
    <w:rsid w:val="00CA4611"/>
    <w:rsid w:val="00CA70A0"/>
    <w:rsid w:val="00CB061C"/>
    <w:rsid w:val="00CB0F0A"/>
    <w:rsid w:val="00CB3B38"/>
    <w:rsid w:val="00CB3C84"/>
    <w:rsid w:val="00CB7908"/>
    <w:rsid w:val="00CC121C"/>
    <w:rsid w:val="00CC4238"/>
    <w:rsid w:val="00CD1594"/>
    <w:rsid w:val="00CD3956"/>
    <w:rsid w:val="00CD3D63"/>
    <w:rsid w:val="00CD6E5C"/>
    <w:rsid w:val="00CE0FC0"/>
    <w:rsid w:val="00CE1547"/>
    <w:rsid w:val="00CE1EF3"/>
    <w:rsid w:val="00CE402F"/>
    <w:rsid w:val="00CE4CD2"/>
    <w:rsid w:val="00CE5144"/>
    <w:rsid w:val="00CE5499"/>
    <w:rsid w:val="00CE5976"/>
    <w:rsid w:val="00CF15A0"/>
    <w:rsid w:val="00CF2F12"/>
    <w:rsid w:val="00CF3944"/>
    <w:rsid w:val="00CF5F9C"/>
    <w:rsid w:val="00CF6AC4"/>
    <w:rsid w:val="00CF7D15"/>
    <w:rsid w:val="00D0107B"/>
    <w:rsid w:val="00D011A0"/>
    <w:rsid w:val="00D02091"/>
    <w:rsid w:val="00D04D94"/>
    <w:rsid w:val="00D05AED"/>
    <w:rsid w:val="00D12BC5"/>
    <w:rsid w:val="00D13F11"/>
    <w:rsid w:val="00D145E1"/>
    <w:rsid w:val="00D15EC1"/>
    <w:rsid w:val="00D15F0D"/>
    <w:rsid w:val="00D17AA2"/>
    <w:rsid w:val="00D20D20"/>
    <w:rsid w:val="00D21EFD"/>
    <w:rsid w:val="00D22A5F"/>
    <w:rsid w:val="00D2766E"/>
    <w:rsid w:val="00D2783A"/>
    <w:rsid w:val="00D333C0"/>
    <w:rsid w:val="00D334A5"/>
    <w:rsid w:val="00D378C2"/>
    <w:rsid w:val="00D414D5"/>
    <w:rsid w:val="00D41BED"/>
    <w:rsid w:val="00D42217"/>
    <w:rsid w:val="00D42E02"/>
    <w:rsid w:val="00D43487"/>
    <w:rsid w:val="00D44375"/>
    <w:rsid w:val="00D44C50"/>
    <w:rsid w:val="00D45B8D"/>
    <w:rsid w:val="00D465E5"/>
    <w:rsid w:val="00D47BD9"/>
    <w:rsid w:val="00D47D84"/>
    <w:rsid w:val="00D50A82"/>
    <w:rsid w:val="00D5155F"/>
    <w:rsid w:val="00D51821"/>
    <w:rsid w:val="00D519C2"/>
    <w:rsid w:val="00D51A8E"/>
    <w:rsid w:val="00D56229"/>
    <w:rsid w:val="00D5731F"/>
    <w:rsid w:val="00D5765B"/>
    <w:rsid w:val="00D60CAB"/>
    <w:rsid w:val="00D63AD6"/>
    <w:rsid w:val="00D64FFA"/>
    <w:rsid w:val="00D67120"/>
    <w:rsid w:val="00D7025E"/>
    <w:rsid w:val="00D70A52"/>
    <w:rsid w:val="00D713F0"/>
    <w:rsid w:val="00D7173A"/>
    <w:rsid w:val="00D71C12"/>
    <w:rsid w:val="00D73719"/>
    <w:rsid w:val="00D749CA"/>
    <w:rsid w:val="00D76144"/>
    <w:rsid w:val="00D8540F"/>
    <w:rsid w:val="00D85E44"/>
    <w:rsid w:val="00D903B7"/>
    <w:rsid w:val="00D90A9E"/>
    <w:rsid w:val="00D913E0"/>
    <w:rsid w:val="00D9159B"/>
    <w:rsid w:val="00D916B1"/>
    <w:rsid w:val="00D93AFF"/>
    <w:rsid w:val="00D9622F"/>
    <w:rsid w:val="00D9709D"/>
    <w:rsid w:val="00DA0119"/>
    <w:rsid w:val="00DA3931"/>
    <w:rsid w:val="00DA6CFD"/>
    <w:rsid w:val="00DB06EA"/>
    <w:rsid w:val="00DB244D"/>
    <w:rsid w:val="00DB2786"/>
    <w:rsid w:val="00DB32FD"/>
    <w:rsid w:val="00DB6703"/>
    <w:rsid w:val="00DB7C92"/>
    <w:rsid w:val="00DC2582"/>
    <w:rsid w:val="00DC3539"/>
    <w:rsid w:val="00DC3C5F"/>
    <w:rsid w:val="00DC4009"/>
    <w:rsid w:val="00DC45D7"/>
    <w:rsid w:val="00DC4DC7"/>
    <w:rsid w:val="00DC6539"/>
    <w:rsid w:val="00DC75BF"/>
    <w:rsid w:val="00DD095C"/>
    <w:rsid w:val="00DD22FD"/>
    <w:rsid w:val="00DD42E5"/>
    <w:rsid w:val="00DD6D05"/>
    <w:rsid w:val="00DD77EB"/>
    <w:rsid w:val="00DE0332"/>
    <w:rsid w:val="00DE0C10"/>
    <w:rsid w:val="00DE41CA"/>
    <w:rsid w:val="00DE4589"/>
    <w:rsid w:val="00DE52A7"/>
    <w:rsid w:val="00DE638D"/>
    <w:rsid w:val="00DE6C91"/>
    <w:rsid w:val="00DF0C18"/>
    <w:rsid w:val="00DF1F59"/>
    <w:rsid w:val="00DF62FC"/>
    <w:rsid w:val="00E0277B"/>
    <w:rsid w:val="00E02DF3"/>
    <w:rsid w:val="00E03A23"/>
    <w:rsid w:val="00E041B3"/>
    <w:rsid w:val="00E04BB3"/>
    <w:rsid w:val="00E072A2"/>
    <w:rsid w:val="00E1251A"/>
    <w:rsid w:val="00E13356"/>
    <w:rsid w:val="00E14F3F"/>
    <w:rsid w:val="00E15E9B"/>
    <w:rsid w:val="00E16A73"/>
    <w:rsid w:val="00E20EDE"/>
    <w:rsid w:val="00E21FC5"/>
    <w:rsid w:val="00E224E4"/>
    <w:rsid w:val="00E2382B"/>
    <w:rsid w:val="00E24C73"/>
    <w:rsid w:val="00E276A5"/>
    <w:rsid w:val="00E30890"/>
    <w:rsid w:val="00E32843"/>
    <w:rsid w:val="00E32C95"/>
    <w:rsid w:val="00E32F58"/>
    <w:rsid w:val="00E34A19"/>
    <w:rsid w:val="00E3790A"/>
    <w:rsid w:val="00E37DC3"/>
    <w:rsid w:val="00E405D6"/>
    <w:rsid w:val="00E410F5"/>
    <w:rsid w:val="00E41629"/>
    <w:rsid w:val="00E42B84"/>
    <w:rsid w:val="00E456DA"/>
    <w:rsid w:val="00E4777B"/>
    <w:rsid w:val="00E508EB"/>
    <w:rsid w:val="00E561DC"/>
    <w:rsid w:val="00E57EE9"/>
    <w:rsid w:val="00E65201"/>
    <w:rsid w:val="00E655C8"/>
    <w:rsid w:val="00E65944"/>
    <w:rsid w:val="00E66BC2"/>
    <w:rsid w:val="00E670A5"/>
    <w:rsid w:val="00E711FC"/>
    <w:rsid w:val="00E71767"/>
    <w:rsid w:val="00E742BC"/>
    <w:rsid w:val="00E75463"/>
    <w:rsid w:val="00E7739E"/>
    <w:rsid w:val="00E823E4"/>
    <w:rsid w:val="00E83D6F"/>
    <w:rsid w:val="00E83F50"/>
    <w:rsid w:val="00E85B9D"/>
    <w:rsid w:val="00E86E95"/>
    <w:rsid w:val="00E912D6"/>
    <w:rsid w:val="00E92FCC"/>
    <w:rsid w:val="00E9353F"/>
    <w:rsid w:val="00E9379A"/>
    <w:rsid w:val="00E93D5B"/>
    <w:rsid w:val="00E96292"/>
    <w:rsid w:val="00E97002"/>
    <w:rsid w:val="00EA21D4"/>
    <w:rsid w:val="00EA2C9C"/>
    <w:rsid w:val="00EA6F74"/>
    <w:rsid w:val="00EB005A"/>
    <w:rsid w:val="00EB0BA3"/>
    <w:rsid w:val="00EB15F8"/>
    <w:rsid w:val="00EC08CC"/>
    <w:rsid w:val="00EC30C1"/>
    <w:rsid w:val="00EC3E54"/>
    <w:rsid w:val="00EC5700"/>
    <w:rsid w:val="00ED1935"/>
    <w:rsid w:val="00ED225B"/>
    <w:rsid w:val="00ED4EEC"/>
    <w:rsid w:val="00ED53A3"/>
    <w:rsid w:val="00ED77A3"/>
    <w:rsid w:val="00ED793A"/>
    <w:rsid w:val="00ED7E5C"/>
    <w:rsid w:val="00EE02E9"/>
    <w:rsid w:val="00EE2FFE"/>
    <w:rsid w:val="00EE354A"/>
    <w:rsid w:val="00EF0F31"/>
    <w:rsid w:val="00EF1340"/>
    <w:rsid w:val="00EF3828"/>
    <w:rsid w:val="00EF66BA"/>
    <w:rsid w:val="00EF754A"/>
    <w:rsid w:val="00F03765"/>
    <w:rsid w:val="00F03EED"/>
    <w:rsid w:val="00F05191"/>
    <w:rsid w:val="00F058A3"/>
    <w:rsid w:val="00F05B77"/>
    <w:rsid w:val="00F05F9A"/>
    <w:rsid w:val="00F136A3"/>
    <w:rsid w:val="00F1396E"/>
    <w:rsid w:val="00F13C95"/>
    <w:rsid w:val="00F15361"/>
    <w:rsid w:val="00F159D2"/>
    <w:rsid w:val="00F165DE"/>
    <w:rsid w:val="00F17901"/>
    <w:rsid w:val="00F17E5B"/>
    <w:rsid w:val="00F17ECF"/>
    <w:rsid w:val="00F22100"/>
    <w:rsid w:val="00F250FB"/>
    <w:rsid w:val="00F27C58"/>
    <w:rsid w:val="00F30459"/>
    <w:rsid w:val="00F33090"/>
    <w:rsid w:val="00F3335A"/>
    <w:rsid w:val="00F35798"/>
    <w:rsid w:val="00F40028"/>
    <w:rsid w:val="00F40290"/>
    <w:rsid w:val="00F41EF0"/>
    <w:rsid w:val="00F41FA8"/>
    <w:rsid w:val="00F4210A"/>
    <w:rsid w:val="00F44284"/>
    <w:rsid w:val="00F50B7F"/>
    <w:rsid w:val="00F52C3C"/>
    <w:rsid w:val="00F54431"/>
    <w:rsid w:val="00F56507"/>
    <w:rsid w:val="00F56738"/>
    <w:rsid w:val="00F57458"/>
    <w:rsid w:val="00F57DFD"/>
    <w:rsid w:val="00F60BE5"/>
    <w:rsid w:val="00F658B6"/>
    <w:rsid w:val="00F65DB7"/>
    <w:rsid w:val="00F669AC"/>
    <w:rsid w:val="00F67654"/>
    <w:rsid w:val="00F71B7E"/>
    <w:rsid w:val="00F72DE3"/>
    <w:rsid w:val="00F72F1A"/>
    <w:rsid w:val="00F77E8B"/>
    <w:rsid w:val="00F8141E"/>
    <w:rsid w:val="00F81748"/>
    <w:rsid w:val="00F82A49"/>
    <w:rsid w:val="00F83F35"/>
    <w:rsid w:val="00F876D9"/>
    <w:rsid w:val="00F90596"/>
    <w:rsid w:val="00F91F5D"/>
    <w:rsid w:val="00F926BA"/>
    <w:rsid w:val="00F93E6C"/>
    <w:rsid w:val="00F951A8"/>
    <w:rsid w:val="00F9664D"/>
    <w:rsid w:val="00F97906"/>
    <w:rsid w:val="00FA449E"/>
    <w:rsid w:val="00FB0E34"/>
    <w:rsid w:val="00FB3673"/>
    <w:rsid w:val="00FB5610"/>
    <w:rsid w:val="00FC2A0F"/>
    <w:rsid w:val="00FC2B72"/>
    <w:rsid w:val="00FC2CA4"/>
    <w:rsid w:val="00FC2D3D"/>
    <w:rsid w:val="00FC4411"/>
    <w:rsid w:val="00FC62E1"/>
    <w:rsid w:val="00FC6CFF"/>
    <w:rsid w:val="00FC7CFB"/>
    <w:rsid w:val="00FD04C0"/>
    <w:rsid w:val="00FD2C61"/>
    <w:rsid w:val="00FD36EC"/>
    <w:rsid w:val="00FD3BE7"/>
    <w:rsid w:val="00FD57E5"/>
    <w:rsid w:val="00FE066A"/>
    <w:rsid w:val="00FE16A1"/>
    <w:rsid w:val="00FE271C"/>
    <w:rsid w:val="00FE2A28"/>
    <w:rsid w:val="00FE3946"/>
    <w:rsid w:val="00FE3C7D"/>
    <w:rsid w:val="00FE3EC4"/>
    <w:rsid w:val="00FE768A"/>
    <w:rsid w:val="00FE7B22"/>
    <w:rsid w:val="00FE7F68"/>
    <w:rsid w:val="00FF029B"/>
    <w:rsid w:val="00FF147D"/>
    <w:rsid w:val="00FF39FC"/>
    <w:rsid w:val="00FF49BF"/>
    <w:rsid w:val="00FF760E"/>
    <w:rsid w:val="0329713A"/>
    <w:rsid w:val="06AAE2E1"/>
    <w:rsid w:val="0AA68363"/>
    <w:rsid w:val="0E70914A"/>
    <w:rsid w:val="0FA5DD4E"/>
    <w:rsid w:val="12AD726B"/>
    <w:rsid w:val="12DF7E89"/>
    <w:rsid w:val="1FC4286C"/>
    <w:rsid w:val="20B6B757"/>
    <w:rsid w:val="2299E735"/>
    <w:rsid w:val="26F90FC5"/>
    <w:rsid w:val="3CD07517"/>
    <w:rsid w:val="3DE3A4EF"/>
    <w:rsid w:val="422C4591"/>
    <w:rsid w:val="472682F0"/>
    <w:rsid w:val="4B156465"/>
    <w:rsid w:val="549F5869"/>
    <w:rsid w:val="5D957343"/>
    <w:rsid w:val="660B751C"/>
    <w:rsid w:val="699A76A9"/>
    <w:rsid w:val="6C432D42"/>
    <w:rsid w:val="6DEACDE3"/>
    <w:rsid w:val="77CEDD0F"/>
    <w:rsid w:val="7A27D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74"/>
    <w:pPr>
      <w:spacing w:line="288" w:lineRule="auto"/>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332"/>
    <w:pPr>
      <w:tabs>
        <w:tab w:val="center" w:pos="4680"/>
        <w:tab w:val="right" w:pos="9360"/>
      </w:tabs>
      <w:spacing w:line="240" w:lineRule="auto"/>
    </w:pPr>
  </w:style>
  <w:style w:type="character" w:customStyle="1" w:styleId="HeaderChar">
    <w:name w:val="Header Char"/>
    <w:link w:val="Header"/>
    <w:uiPriority w:val="99"/>
    <w:rsid w:val="00DE0332"/>
    <w:rPr>
      <w:sz w:val="26"/>
    </w:rPr>
  </w:style>
  <w:style w:type="paragraph" w:styleId="Footer">
    <w:name w:val="footer"/>
    <w:basedOn w:val="Normal"/>
    <w:link w:val="FooterChar"/>
    <w:uiPriority w:val="99"/>
    <w:unhideWhenUsed/>
    <w:rsid w:val="00DE0332"/>
    <w:pPr>
      <w:tabs>
        <w:tab w:val="center" w:pos="4680"/>
        <w:tab w:val="right" w:pos="9360"/>
      </w:tabs>
      <w:spacing w:line="240" w:lineRule="auto"/>
    </w:pPr>
  </w:style>
  <w:style w:type="character" w:customStyle="1" w:styleId="FooterChar">
    <w:name w:val="Footer Char"/>
    <w:link w:val="Footer"/>
    <w:uiPriority w:val="99"/>
    <w:rsid w:val="00DE0332"/>
    <w:rPr>
      <w:sz w:val="26"/>
    </w:rPr>
  </w:style>
  <w:style w:type="character" w:styleId="PageNumber">
    <w:name w:val="page number"/>
    <w:basedOn w:val="DefaultParagraphFont"/>
    <w:uiPriority w:val="99"/>
    <w:semiHidden/>
    <w:unhideWhenUsed/>
    <w:rsid w:val="00DE0332"/>
  </w:style>
  <w:style w:type="paragraph" w:styleId="ListBullet">
    <w:name w:val="List Bullet"/>
    <w:basedOn w:val="Normal"/>
    <w:uiPriority w:val="99"/>
    <w:unhideWhenUsed/>
    <w:rsid w:val="00DE0332"/>
    <w:pPr>
      <w:numPr>
        <w:numId w:val="1"/>
      </w:numPr>
      <w:spacing w:line="360" w:lineRule="auto"/>
      <w:contextualSpacing/>
    </w:pPr>
    <w:rPr>
      <w:rFonts w:ascii="Times New Roman" w:hAnsi="Times New Roman"/>
      <w:szCs w:val="22"/>
    </w:rPr>
  </w:style>
  <w:style w:type="paragraph" w:styleId="FootnoteText">
    <w:name w:val="footnote text"/>
    <w:basedOn w:val="Normal"/>
    <w:link w:val="FootnoteTextChar"/>
    <w:unhideWhenUsed/>
    <w:qFormat/>
    <w:rsid w:val="00EA6F74"/>
    <w:pPr>
      <w:spacing w:after="120"/>
      <w:ind w:firstLine="720"/>
    </w:pPr>
    <w:rPr>
      <w:sz w:val="20"/>
      <w:szCs w:val="20"/>
    </w:rPr>
  </w:style>
  <w:style w:type="character" w:customStyle="1" w:styleId="FootnoteTextChar">
    <w:name w:val="Footnote Text Char"/>
    <w:basedOn w:val="DefaultParagraphFont"/>
    <w:link w:val="FootnoteText"/>
    <w:rsid w:val="00EA6F74"/>
  </w:style>
  <w:style w:type="character" w:styleId="FootnoteReference">
    <w:name w:val="footnote reference"/>
    <w:uiPriority w:val="99"/>
    <w:unhideWhenUsed/>
    <w:qFormat/>
    <w:rsid w:val="003F42A4"/>
    <w:rPr>
      <w:rFonts w:ascii="Century Schoolbook" w:hAnsi="Century Schoolbook"/>
      <w:b/>
      <w:spacing w:val="0"/>
      <w:w w:val="100"/>
      <w:position w:val="8"/>
      <w:sz w:val="20"/>
      <w:vertAlign w:val="baseline"/>
    </w:rPr>
  </w:style>
  <w:style w:type="character" w:styleId="CommentReference">
    <w:name w:val="annotation reference"/>
    <w:uiPriority w:val="99"/>
    <w:semiHidden/>
    <w:unhideWhenUsed/>
    <w:rsid w:val="00D13F11"/>
    <w:rPr>
      <w:sz w:val="16"/>
      <w:szCs w:val="16"/>
    </w:rPr>
  </w:style>
  <w:style w:type="paragraph" w:styleId="CommentText">
    <w:name w:val="annotation text"/>
    <w:basedOn w:val="Normal"/>
    <w:link w:val="CommentTextChar"/>
    <w:uiPriority w:val="99"/>
    <w:unhideWhenUsed/>
    <w:rsid w:val="00D13F11"/>
    <w:rPr>
      <w:sz w:val="20"/>
      <w:szCs w:val="20"/>
    </w:rPr>
  </w:style>
  <w:style w:type="character" w:customStyle="1" w:styleId="CommentTextChar">
    <w:name w:val="Comment Text Char"/>
    <w:basedOn w:val="DefaultParagraphFont"/>
    <w:link w:val="CommentText"/>
    <w:uiPriority w:val="99"/>
    <w:rsid w:val="00D13F11"/>
  </w:style>
  <w:style w:type="paragraph" w:styleId="CommentSubject">
    <w:name w:val="annotation subject"/>
    <w:basedOn w:val="CommentText"/>
    <w:next w:val="CommentText"/>
    <w:link w:val="CommentSubjectChar"/>
    <w:uiPriority w:val="99"/>
    <w:semiHidden/>
    <w:unhideWhenUsed/>
    <w:rsid w:val="00D13F11"/>
    <w:rPr>
      <w:b/>
      <w:bCs/>
    </w:rPr>
  </w:style>
  <w:style w:type="character" w:customStyle="1" w:styleId="CommentSubjectChar">
    <w:name w:val="Comment Subject Char"/>
    <w:link w:val="CommentSubject"/>
    <w:uiPriority w:val="99"/>
    <w:semiHidden/>
    <w:rsid w:val="00D13F11"/>
    <w:rPr>
      <w:b/>
      <w:bCs/>
    </w:rPr>
  </w:style>
  <w:style w:type="paragraph" w:styleId="BalloonText">
    <w:name w:val="Balloon Text"/>
    <w:basedOn w:val="Normal"/>
    <w:link w:val="BalloonTextChar"/>
    <w:uiPriority w:val="99"/>
    <w:semiHidden/>
    <w:unhideWhenUsed/>
    <w:rsid w:val="00D13F1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13F11"/>
    <w:rPr>
      <w:rFonts w:ascii="Segoe UI" w:hAnsi="Segoe UI" w:cs="Segoe UI"/>
      <w:sz w:val="18"/>
      <w:szCs w:val="18"/>
    </w:rPr>
  </w:style>
  <w:style w:type="paragraph" w:styleId="ListParagraph">
    <w:name w:val="List Paragraph"/>
    <w:basedOn w:val="Normal"/>
    <w:uiPriority w:val="34"/>
    <w:qFormat/>
    <w:rsid w:val="002D1431"/>
    <w:pPr>
      <w:ind w:left="720"/>
      <w:contextualSpacing/>
    </w:pPr>
  </w:style>
  <w:style w:type="paragraph" w:styleId="Revision">
    <w:name w:val="Revision"/>
    <w:hidden/>
    <w:uiPriority w:val="99"/>
    <w:semiHidden/>
    <w:rsid w:val="00C134A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780">
      <w:bodyDiv w:val="1"/>
      <w:marLeft w:val="0"/>
      <w:marRight w:val="0"/>
      <w:marTop w:val="0"/>
      <w:marBottom w:val="0"/>
      <w:divBdr>
        <w:top w:val="none" w:sz="0" w:space="0" w:color="auto"/>
        <w:left w:val="none" w:sz="0" w:space="0" w:color="auto"/>
        <w:bottom w:val="none" w:sz="0" w:space="0" w:color="auto"/>
        <w:right w:val="none" w:sz="0" w:space="0" w:color="auto"/>
      </w:divBdr>
      <w:divsChild>
        <w:div w:id="614143164">
          <w:marLeft w:val="0"/>
          <w:marRight w:val="0"/>
          <w:marTop w:val="0"/>
          <w:marBottom w:val="0"/>
          <w:divBdr>
            <w:top w:val="none" w:sz="0" w:space="0" w:color="3D3D3D"/>
            <w:left w:val="none" w:sz="0" w:space="0" w:color="3D3D3D"/>
            <w:bottom w:val="none" w:sz="0" w:space="0" w:color="3D3D3D"/>
            <w:right w:val="none" w:sz="0" w:space="0" w:color="3D3D3D"/>
          </w:divBdr>
          <w:divsChild>
            <w:div w:id="8155362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79921379">
      <w:bodyDiv w:val="1"/>
      <w:marLeft w:val="0"/>
      <w:marRight w:val="0"/>
      <w:marTop w:val="0"/>
      <w:marBottom w:val="0"/>
      <w:divBdr>
        <w:top w:val="none" w:sz="0" w:space="0" w:color="auto"/>
        <w:left w:val="none" w:sz="0" w:space="0" w:color="auto"/>
        <w:bottom w:val="none" w:sz="0" w:space="0" w:color="auto"/>
        <w:right w:val="none" w:sz="0" w:space="0" w:color="auto"/>
      </w:divBdr>
      <w:divsChild>
        <w:div w:id="148637750">
          <w:marLeft w:val="0"/>
          <w:marRight w:val="0"/>
          <w:marTop w:val="0"/>
          <w:marBottom w:val="0"/>
          <w:divBdr>
            <w:top w:val="none" w:sz="0" w:space="0" w:color="3D3D3D"/>
            <w:left w:val="none" w:sz="0" w:space="0" w:color="3D3D3D"/>
            <w:bottom w:val="none" w:sz="0" w:space="0" w:color="3D3D3D"/>
            <w:right w:val="none" w:sz="0" w:space="0" w:color="3D3D3D"/>
          </w:divBdr>
          <w:divsChild>
            <w:div w:id="1622861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92637692">
      <w:bodyDiv w:val="1"/>
      <w:marLeft w:val="0"/>
      <w:marRight w:val="0"/>
      <w:marTop w:val="0"/>
      <w:marBottom w:val="0"/>
      <w:divBdr>
        <w:top w:val="none" w:sz="0" w:space="0" w:color="auto"/>
        <w:left w:val="none" w:sz="0" w:space="0" w:color="auto"/>
        <w:bottom w:val="none" w:sz="0" w:space="0" w:color="auto"/>
        <w:right w:val="none" w:sz="0" w:space="0" w:color="auto"/>
      </w:divBdr>
      <w:divsChild>
        <w:div w:id="1721516994">
          <w:marLeft w:val="0"/>
          <w:marRight w:val="0"/>
          <w:marTop w:val="0"/>
          <w:marBottom w:val="0"/>
          <w:divBdr>
            <w:top w:val="none" w:sz="0" w:space="0" w:color="3D3D3D"/>
            <w:left w:val="none" w:sz="0" w:space="0" w:color="3D3D3D"/>
            <w:bottom w:val="none" w:sz="0" w:space="0" w:color="3D3D3D"/>
            <w:right w:val="none" w:sz="0" w:space="0" w:color="3D3D3D"/>
          </w:divBdr>
          <w:divsChild>
            <w:div w:id="17806848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5520745">
      <w:bodyDiv w:val="1"/>
      <w:marLeft w:val="0"/>
      <w:marRight w:val="0"/>
      <w:marTop w:val="0"/>
      <w:marBottom w:val="0"/>
      <w:divBdr>
        <w:top w:val="none" w:sz="0" w:space="0" w:color="auto"/>
        <w:left w:val="none" w:sz="0" w:space="0" w:color="auto"/>
        <w:bottom w:val="none" w:sz="0" w:space="0" w:color="auto"/>
        <w:right w:val="none" w:sz="0" w:space="0" w:color="auto"/>
      </w:divBdr>
      <w:divsChild>
        <w:div w:id="1343510018">
          <w:marLeft w:val="0"/>
          <w:marRight w:val="0"/>
          <w:marTop w:val="0"/>
          <w:marBottom w:val="0"/>
          <w:divBdr>
            <w:top w:val="none" w:sz="0" w:space="0" w:color="3D3D3D"/>
            <w:left w:val="none" w:sz="0" w:space="0" w:color="3D3D3D"/>
            <w:bottom w:val="none" w:sz="0" w:space="0" w:color="3D3D3D"/>
            <w:right w:val="none" w:sz="0" w:space="0" w:color="3D3D3D"/>
          </w:divBdr>
        </w:div>
      </w:divsChild>
    </w:div>
    <w:div w:id="789014007">
      <w:bodyDiv w:val="1"/>
      <w:marLeft w:val="0"/>
      <w:marRight w:val="0"/>
      <w:marTop w:val="0"/>
      <w:marBottom w:val="0"/>
      <w:divBdr>
        <w:top w:val="none" w:sz="0" w:space="0" w:color="auto"/>
        <w:left w:val="none" w:sz="0" w:space="0" w:color="auto"/>
        <w:bottom w:val="none" w:sz="0" w:space="0" w:color="auto"/>
        <w:right w:val="none" w:sz="0" w:space="0" w:color="auto"/>
      </w:divBdr>
      <w:divsChild>
        <w:div w:id="1712609611">
          <w:marLeft w:val="0"/>
          <w:marRight w:val="0"/>
          <w:marTop w:val="0"/>
          <w:marBottom w:val="0"/>
          <w:divBdr>
            <w:top w:val="none" w:sz="0" w:space="0" w:color="3D3D3D"/>
            <w:left w:val="none" w:sz="0" w:space="0" w:color="3D3D3D"/>
            <w:bottom w:val="none" w:sz="0" w:space="0" w:color="3D3D3D"/>
            <w:right w:val="none" w:sz="0" w:space="0" w:color="3D3D3D"/>
          </w:divBdr>
          <w:divsChild>
            <w:div w:id="18001453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17452198">
      <w:bodyDiv w:val="1"/>
      <w:marLeft w:val="0"/>
      <w:marRight w:val="0"/>
      <w:marTop w:val="0"/>
      <w:marBottom w:val="0"/>
      <w:divBdr>
        <w:top w:val="none" w:sz="0" w:space="0" w:color="auto"/>
        <w:left w:val="none" w:sz="0" w:space="0" w:color="auto"/>
        <w:bottom w:val="none" w:sz="0" w:space="0" w:color="auto"/>
        <w:right w:val="none" w:sz="0" w:space="0" w:color="auto"/>
      </w:divBdr>
      <w:divsChild>
        <w:div w:id="647367902">
          <w:marLeft w:val="0"/>
          <w:marRight w:val="0"/>
          <w:marTop w:val="0"/>
          <w:marBottom w:val="0"/>
          <w:divBdr>
            <w:top w:val="none" w:sz="0" w:space="0" w:color="3D3D3D"/>
            <w:left w:val="none" w:sz="0" w:space="0" w:color="3D3D3D"/>
            <w:bottom w:val="none" w:sz="0" w:space="0" w:color="3D3D3D"/>
            <w:right w:val="none" w:sz="0" w:space="0" w:color="3D3D3D"/>
          </w:divBdr>
          <w:divsChild>
            <w:div w:id="14990774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39855093">
      <w:bodyDiv w:val="1"/>
      <w:marLeft w:val="0"/>
      <w:marRight w:val="0"/>
      <w:marTop w:val="0"/>
      <w:marBottom w:val="0"/>
      <w:divBdr>
        <w:top w:val="none" w:sz="0" w:space="0" w:color="auto"/>
        <w:left w:val="none" w:sz="0" w:space="0" w:color="auto"/>
        <w:bottom w:val="none" w:sz="0" w:space="0" w:color="auto"/>
        <w:right w:val="none" w:sz="0" w:space="0" w:color="auto"/>
      </w:divBdr>
      <w:divsChild>
        <w:div w:id="666834390">
          <w:marLeft w:val="0"/>
          <w:marRight w:val="0"/>
          <w:marTop w:val="0"/>
          <w:marBottom w:val="0"/>
          <w:divBdr>
            <w:top w:val="none" w:sz="0" w:space="0" w:color="3D3D3D"/>
            <w:left w:val="none" w:sz="0" w:space="0" w:color="3D3D3D"/>
            <w:bottom w:val="none" w:sz="0" w:space="0" w:color="3D3D3D"/>
            <w:right w:val="none" w:sz="0" w:space="0" w:color="3D3D3D"/>
          </w:divBdr>
          <w:divsChild>
            <w:div w:id="12305810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36194810">
      <w:bodyDiv w:val="1"/>
      <w:marLeft w:val="0"/>
      <w:marRight w:val="0"/>
      <w:marTop w:val="0"/>
      <w:marBottom w:val="0"/>
      <w:divBdr>
        <w:top w:val="none" w:sz="0" w:space="0" w:color="auto"/>
        <w:left w:val="none" w:sz="0" w:space="0" w:color="auto"/>
        <w:bottom w:val="none" w:sz="0" w:space="0" w:color="auto"/>
        <w:right w:val="none" w:sz="0" w:space="0" w:color="auto"/>
      </w:divBdr>
      <w:divsChild>
        <w:div w:id="1883208247">
          <w:marLeft w:val="0"/>
          <w:marRight w:val="0"/>
          <w:marTop w:val="0"/>
          <w:marBottom w:val="0"/>
          <w:divBdr>
            <w:top w:val="none" w:sz="0" w:space="0" w:color="3D3D3D"/>
            <w:left w:val="none" w:sz="0" w:space="0" w:color="3D3D3D"/>
            <w:bottom w:val="none" w:sz="0" w:space="0" w:color="3D3D3D"/>
            <w:right w:val="none" w:sz="0" w:space="0" w:color="3D3D3D"/>
          </w:divBdr>
          <w:divsChild>
            <w:div w:id="1811630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02979306">
      <w:bodyDiv w:val="1"/>
      <w:marLeft w:val="0"/>
      <w:marRight w:val="0"/>
      <w:marTop w:val="0"/>
      <w:marBottom w:val="0"/>
      <w:divBdr>
        <w:top w:val="none" w:sz="0" w:space="0" w:color="auto"/>
        <w:left w:val="none" w:sz="0" w:space="0" w:color="auto"/>
        <w:bottom w:val="none" w:sz="0" w:space="0" w:color="auto"/>
        <w:right w:val="none" w:sz="0" w:space="0" w:color="auto"/>
      </w:divBdr>
      <w:divsChild>
        <w:div w:id="430273422">
          <w:marLeft w:val="0"/>
          <w:marRight w:val="0"/>
          <w:marTop w:val="0"/>
          <w:marBottom w:val="0"/>
          <w:divBdr>
            <w:top w:val="none" w:sz="0" w:space="0" w:color="3D3D3D"/>
            <w:left w:val="none" w:sz="0" w:space="0" w:color="3D3D3D"/>
            <w:bottom w:val="none" w:sz="0" w:space="0" w:color="3D3D3D"/>
            <w:right w:val="none" w:sz="0" w:space="0" w:color="3D3D3D"/>
          </w:divBdr>
        </w:div>
      </w:divsChild>
    </w:div>
    <w:div w:id="1223175264">
      <w:bodyDiv w:val="1"/>
      <w:marLeft w:val="0"/>
      <w:marRight w:val="0"/>
      <w:marTop w:val="0"/>
      <w:marBottom w:val="0"/>
      <w:divBdr>
        <w:top w:val="none" w:sz="0" w:space="0" w:color="auto"/>
        <w:left w:val="none" w:sz="0" w:space="0" w:color="auto"/>
        <w:bottom w:val="none" w:sz="0" w:space="0" w:color="auto"/>
        <w:right w:val="none" w:sz="0" w:space="0" w:color="auto"/>
      </w:divBdr>
      <w:divsChild>
        <w:div w:id="1196886198">
          <w:marLeft w:val="0"/>
          <w:marRight w:val="0"/>
          <w:marTop w:val="0"/>
          <w:marBottom w:val="0"/>
          <w:divBdr>
            <w:top w:val="none" w:sz="0" w:space="0" w:color="3D3D3D"/>
            <w:left w:val="none" w:sz="0" w:space="0" w:color="3D3D3D"/>
            <w:bottom w:val="none" w:sz="0" w:space="0" w:color="3D3D3D"/>
            <w:right w:val="none" w:sz="0" w:space="0" w:color="3D3D3D"/>
          </w:divBdr>
          <w:divsChild>
            <w:div w:id="8276721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19876250">
      <w:bodyDiv w:val="1"/>
      <w:marLeft w:val="0"/>
      <w:marRight w:val="0"/>
      <w:marTop w:val="0"/>
      <w:marBottom w:val="0"/>
      <w:divBdr>
        <w:top w:val="none" w:sz="0" w:space="0" w:color="auto"/>
        <w:left w:val="none" w:sz="0" w:space="0" w:color="auto"/>
        <w:bottom w:val="none" w:sz="0" w:space="0" w:color="auto"/>
        <w:right w:val="none" w:sz="0" w:space="0" w:color="auto"/>
      </w:divBdr>
      <w:divsChild>
        <w:div w:id="636572457">
          <w:marLeft w:val="0"/>
          <w:marRight w:val="0"/>
          <w:marTop w:val="0"/>
          <w:marBottom w:val="0"/>
          <w:divBdr>
            <w:top w:val="none" w:sz="0" w:space="0" w:color="3D3D3D"/>
            <w:left w:val="none" w:sz="0" w:space="0" w:color="3D3D3D"/>
            <w:bottom w:val="none" w:sz="0" w:space="0" w:color="3D3D3D"/>
            <w:right w:val="none" w:sz="0" w:space="0" w:color="3D3D3D"/>
          </w:divBdr>
        </w:div>
      </w:divsChild>
    </w:div>
    <w:div w:id="165768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78330">
          <w:marLeft w:val="0"/>
          <w:marRight w:val="0"/>
          <w:marTop w:val="0"/>
          <w:marBottom w:val="0"/>
          <w:divBdr>
            <w:top w:val="none" w:sz="0" w:space="0" w:color="3D3D3D"/>
            <w:left w:val="none" w:sz="0" w:space="0" w:color="3D3D3D"/>
            <w:bottom w:val="none" w:sz="0" w:space="0" w:color="3D3D3D"/>
            <w:right w:val="none" w:sz="0" w:space="0" w:color="3D3D3D"/>
          </w:divBdr>
          <w:divsChild>
            <w:div w:id="368838252">
              <w:marLeft w:val="0"/>
              <w:marRight w:val="0"/>
              <w:marTop w:val="214"/>
              <w:marBottom w:val="0"/>
              <w:divBdr>
                <w:top w:val="none" w:sz="0" w:space="0" w:color="3D3D3D"/>
                <w:left w:val="none" w:sz="0" w:space="0" w:color="3D3D3D"/>
                <w:bottom w:val="none" w:sz="0" w:space="0" w:color="3D3D3D"/>
                <w:right w:val="none" w:sz="0" w:space="0" w:color="3D3D3D"/>
              </w:divBdr>
              <w:divsChild>
                <w:div w:id="1097797507">
                  <w:marLeft w:val="0"/>
                  <w:marRight w:val="0"/>
                  <w:marTop w:val="0"/>
                  <w:marBottom w:val="0"/>
                  <w:divBdr>
                    <w:top w:val="none" w:sz="0" w:space="0" w:color="3D3D3D"/>
                    <w:left w:val="none" w:sz="0" w:space="0" w:color="3D3D3D"/>
                    <w:bottom w:val="none" w:sz="0" w:space="0" w:color="3D3D3D"/>
                    <w:right w:val="none" w:sz="0" w:space="0" w:color="3D3D3D"/>
                  </w:divBdr>
                </w:div>
              </w:divsChild>
            </w:div>
            <w:div w:id="1333413668">
              <w:marLeft w:val="0"/>
              <w:marRight w:val="0"/>
              <w:marTop w:val="0"/>
              <w:marBottom w:val="0"/>
              <w:divBdr>
                <w:top w:val="none" w:sz="0" w:space="0" w:color="3D3D3D"/>
                <w:left w:val="none" w:sz="0" w:space="0" w:color="3D3D3D"/>
                <w:bottom w:val="none" w:sz="0" w:space="0" w:color="3D3D3D"/>
                <w:right w:val="none" w:sz="0" w:space="0" w:color="3D3D3D"/>
              </w:divBdr>
              <w:divsChild>
                <w:div w:id="2130585681">
                  <w:marLeft w:val="0"/>
                  <w:marRight w:val="0"/>
                  <w:marTop w:val="0"/>
                  <w:marBottom w:val="0"/>
                  <w:divBdr>
                    <w:top w:val="none" w:sz="0" w:space="0" w:color="3D3D3D"/>
                    <w:left w:val="none" w:sz="0" w:space="0" w:color="3D3D3D"/>
                    <w:bottom w:val="none" w:sz="0" w:space="0" w:color="3D3D3D"/>
                    <w:right w:val="none" w:sz="0" w:space="0" w:color="3D3D3D"/>
                  </w:divBdr>
                </w:div>
              </w:divsChild>
            </w:div>
            <w:div w:id="1949194209">
              <w:marLeft w:val="0"/>
              <w:marRight w:val="0"/>
              <w:marTop w:val="0"/>
              <w:marBottom w:val="0"/>
              <w:divBdr>
                <w:top w:val="none" w:sz="0" w:space="0" w:color="3D3D3D"/>
                <w:left w:val="none" w:sz="0" w:space="0" w:color="3D3D3D"/>
                <w:bottom w:val="none" w:sz="0" w:space="0" w:color="3D3D3D"/>
                <w:right w:val="none" w:sz="0" w:space="0" w:color="3D3D3D"/>
              </w:divBdr>
            </w:div>
            <w:div w:id="2102021464">
              <w:marLeft w:val="0"/>
              <w:marRight w:val="0"/>
              <w:marTop w:val="214"/>
              <w:marBottom w:val="0"/>
              <w:divBdr>
                <w:top w:val="none" w:sz="0" w:space="0" w:color="3D3D3D"/>
                <w:left w:val="none" w:sz="0" w:space="0" w:color="3D3D3D"/>
                <w:bottom w:val="none" w:sz="0" w:space="0" w:color="3D3D3D"/>
                <w:right w:val="none" w:sz="0" w:space="0" w:color="3D3D3D"/>
              </w:divBdr>
              <w:divsChild>
                <w:div w:id="140549318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734426161">
      <w:bodyDiv w:val="1"/>
      <w:marLeft w:val="0"/>
      <w:marRight w:val="0"/>
      <w:marTop w:val="0"/>
      <w:marBottom w:val="0"/>
      <w:divBdr>
        <w:top w:val="none" w:sz="0" w:space="0" w:color="auto"/>
        <w:left w:val="none" w:sz="0" w:space="0" w:color="auto"/>
        <w:bottom w:val="none" w:sz="0" w:space="0" w:color="auto"/>
        <w:right w:val="none" w:sz="0" w:space="0" w:color="auto"/>
      </w:divBdr>
      <w:divsChild>
        <w:div w:id="402022813">
          <w:marLeft w:val="0"/>
          <w:marRight w:val="0"/>
          <w:marTop w:val="0"/>
          <w:marBottom w:val="0"/>
          <w:divBdr>
            <w:top w:val="none" w:sz="0" w:space="0" w:color="3D3D3D"/>
            <w:left w:val="none" w:sz="0" w:space="0" w:color="3D3D3D"/>
            <w:bottom w:val="none" w:sz="0" w:space="0" w:color="3D3D3D"/>
            <w:right w:val="none" w:sz="0" w:space="0" w:color="3D3D3D"/>
          </w:divBdr>
          <w:divsChild>
            <w:div w:id="13141450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9636</Words>
  <Characters>50783</Characters>
  <Application>Microsoft Office Word</Application>
  <DocSecurity>0</DocSecurity>
  <Lines>1036</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2024-03-06T23:05:00Z</cp:lastPrinted>
  <dcterms:created xsi:type="dcterms:W3CDTF">2024-03-06T23:08:00Z</dcterms:created>
  <dcterms:modified xsi:type="dcterms:W3CDTF">2024-03-06T23:27:00Z</dcterms:modified>
  <cp:category/>
</cp:coreProperties>
</file>