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214BBA" w:rsidRPr="00EE1EC0" w:rsidP="00FC7715" w14:paraId="7FAB1910" w14:textId="30CDF151">
      <w:pPr>
        <w:spacing w:line="240" w:lineRule="auto"/>
        <w:rPr>
          <w:sz w:val="20"/>
          <w:szCs w:val="20"/>
        </w:rPr>
      </w:pPr>
      <w:r w:rsidRPr="00EE1EC0">
        <w:rPr>
          <w:sz w:val="20"/>
          <w:szCs w:val="20"/>
        </w:rPr>
        <w:t>Filed 1</w:t>
      </w:r>
      <w:r w:rsidR="00EE1EC0">
        <w:rPr>
          <w:sz w:val="20"/>
          <w:szCs w:val="20"/>
        </w:rPr>
        <w:t>/</w:t>
      </w:r>
      <w:r w:rsidRPr="00EE1EC0">
        <w:rPr>
          <w:sz w:val="20"/>
          <w:szCs w:val="20"/>
        </w:rPr>
        <w:t>4</w:t>
      </w:r>
      <w:r w:rsidR="00EE1EC0">
        <w:rPr>
          <w:sz w:val="20"/>
          <w:szCs w:val="20"/>
        </w:rPr>
        <w:t>/</w:t>
      </w:r>
      <w:r w:rsidRPr="00EE1EC0">
        <w:rPr>
          <w:sz w:val="20"/>
          <w:szCs w:val="20"/>
        </w:rPr>
        <w:t>24</w:t>
      </w:r>
      <w:r w:rsidR="00D44361">
        <w:rPr>
          <w:sz w:val="20"/>
          <w:szCs w:val="20"/>
        </w:rPr>
        <w:t xml:space="preserve">; </w:t>
      </w:r>
      <w:r w:rsidRPr="00B520DF" w:rsidR="00B520DF">
        <w:rPr>
          <w:sz w:val="20"/>
          <w:szCs w:val="20"/>
        </w:rPr>
        <w:t>Certified for Publication 1/</w:t>
      </w:r>
      <w:r w:rsidR="00B520DF">
        <w:rPr>
          <w:sz w:val="20"/>
          <w:szCs w:val="20"/>
        </w:rPr>
        <w:t>18</w:t>
      </w:r>
      <w:r w:rsidRPr="00B520DF" w:rsidR="00B520DF">
        <w:rPr>
          <w:sz w:val="20"/>
          <w:szCs w:val="20"/>
        </w:rPr>
        <w:t>/</w:t>
      </w:r>
      <w:r w:rsidR="00B520DF">
        <w:rPr>
          <w:sz w:val="20"/>
          <w:szCs w:val="20"/>
        </w:rPr>
        <w:t>24</w:t>
      </w:r>
      <w:r w:rsidRPr="00B520DF" w:rsidR="00B520DF">
        <w:rPr>
          <w:sz w:val="20"/>
          <w:szCs w:val="20"/>
        </w:rPr>
        <w:t xml:space="preserve"> (order attached</w:t>
      </w:r>
      <w:r w:rsidR="00B520DF">
        <w:rPr>
          <w:sz w:val="20"/>
          <w:szCs w:val="20"/>
        </w:rPr>
        <w:t>)</w:t>
      </w:r>
    </w:p>
    <w:p w:rsidR="00214BBA" w:rsidP="00214BBA" w14:paraId="6DA3A510" w14:textId="1A7BF159">
      <w:pPr>
        <w:spacing w:line="240" w:lineRule="auto"/>
        <w:jc w:val="center"/>
        <w:rPr>
          <w:b/>
          <w:szCs w:val="26"/>
        </w:rPr>
      </w:pPr>
    </w:p>
    <w:p w:rsidR="00D44361" w:rsidP="00214BBA" w14:paraId="1FE6934A" w14:textId="77777777">
      <w:pPr>
        <w:spacing w:line="240" w:lineRule="auto"/>
        <w:jc w:val="center"/>
        <w:rPr>
          <w:b/>
          <w:szCs w:val="26"/>
        </w:rPr>
      </w:pPr>
    </w:p>
    <w:p w:rsidR="00214BBA" w:rsidP="00214BBA" w14:paraId="3573DBB0" w14:textId="6BAD3AF2">
      <w:pPr>
        <w:spacing w:line="240" w:lineRule="auto"/>
        <w:jc w:val="center"/>
        <w:rPr>
          <w:rFonts w:ascii="Arial" w:hAnsi="Arial" w:cs="Arial"/>
          <w:b/>
          <w:sz w:val="16"/>
          <w:szCs w:val="26"/>
        </w:rPr>
      </w:pPr>
    </w:p>
    <w:p w:rsidR="00D44361" w:rsidP="00214BBA" w14:paraId="6FBB578A" w14:textId="011A2C44">
      <w:pPr>
        <w:spacing w:line="240" w:lineRule="auto"/>
        <w:jc w:val="center"/>
        <w:rPr>
          <w:rFonts w:ascii="Arial" w:hAnsi="Arial" w:cs="Arial"/>
          <w:b/>
          <w:sz w:val="16"/>
          <w:szCs w:val="26"/>
        </w:rPr>
      </w:pPr>
    </w:p>
    <w:p w:rsidR="00D44361" w:rsidP="00214BBA" w14:paraId="6420EC2A" w14:textId="77777777">
      <w:pPr>
        <w:spacing w:line="240" w:lineRule="auto"/>
        <w:jc w:val="center"/>
        <w:rPr>
          <w:szCs w:val="26"/>
        </w:rPr>
      </w:pPr>
    </w:p>
    <w:p w:rsidR="00214BBA" w:rsidP="00214BBA" w14:paraId="38BFBDEA" w14:textId="77777777">
      <w:pPr>
        <w:spacing w:line="240" w:lineRule="auto"/>
        <w:jc w:val="center"/>
        <w:rPr>
          <w:szCs w:val="26"/>
        </w:rPr>
      </w:pPr>
      <w:r>
        <w:rPr>
          <w:szCs w:val="26"/>
        </w:rPr>
        <w:t>IN THE COURT OF APPEAL OF THE STATE OF CALIFORNIA</w:t>
      </w:r>
    </w:p>
    <w:p w:rsidR="00214BBA" w:rsidP="00214BBA" w14:paraId="2EE57EB8" w14:textId="77777777">
      <w:pPr>
        <w:spacing w:line="240" w:lineRule="auto"/>
        <w:jc w:val="center"/>
        <w:rPr>
          <w:szCs w:val="26"/>
        </w:rPr>
      </w:pPr>
    </w:p>
    <w:p w:rsidR="00214BBA" w:rsidP="00214BBA" w14:paraId="353B21FA" w14:textId="77777777">
      <w:pPr>
        <w:spacing w:line="240" w:lineRule="auto"/>
        <w:jc w:val="center"/>
        <w:rPr>
          <w:szCs w:val="26"/>
        </w:rPr>
      </w:pPr>
      <w:r>
        <w:rPr>
          <w:szCs w:val="26"/>
        </w:rPr>
        <w:t>SECOND APPELLATE DISTRICT</w:t>
      </w:r>
    </w:p>
    <w:p w:rsidR="00214BBA" w:rsidP="00214BBA" w14:paraId="38933216" w14:textId="77777777">
      <w:pPr>
        <w:spacing w:line="240" w:lineRule="auto"/>
        <w:jc w:val="center"/>
        <w:rPr>
          <w:szCs w:val="26"/>
        </w:rPr>
      </w:pPr>
    </w:p>
    <w:p w:rsidR="00214BBA" w:rsidP="00214BBA" w14:paraId="01F54DAA" w14:textId="77777777">
      <w:pPr>
        <w:spacing w:line="240" w:lineRule="auto"/>
        <w:jc w:val="center"/>
        <w:rPr>
          <w:szCs w:val="26"/>
        </w:rPr>
      </w:pPr>
      <w:r>
        <w:rPr>
          <w:szCs w:val="26"/>
        </w:rPr>
        <w:t>DIVISION SIX</w:t>
      </w:r>
    </w:p>
    <w:p w:rsidR="00214BBA" w:rsidP="00214BBA" w14:paraId="3AB113CD" w14:textId="77777777">
      <w:pPr>
        <w:spacing w:line="240" w:lineRule="auto"/>
        <w:jc w:val="center"/>
        <w:rPr>
          <w:szCs w:val="26"/>
        </w:rPr>
      </w:pPr>
    </w:p>
    <w:p w:rsidR="00214BBA" w:rsidP="00214BBA" w14:paraId="36517D49" w14:textId="77777777">
      <w:pPr>
        <w:spacing w:line="240" w:lineRule="auto"/>
        <w:ind w:firstLine="720"/>
        <w:jc w:val="center"/>
        <w:rPr>
          <w:szCs w:val="26"/>
        </w:rPr>
      </w:pPr>
    </w:p>
    <w:tbl>
      <w:tblPr>
        <w:tblW w:w="0" w:type="auto"/>
        <w:tblLayout w:type="fixed"/>
        <w:tblLook w:val="0000"/>
      </w:tblPr>
      <w:tblGrid>
        <w:gridCol w:w="3960"/>
        <w:gridCol w:w="3960"/>
      </w:tblGrid>
      <w:tr w14:paraId="2605873E" w14:textId="77777777" w:rsidTr="00214BBA">
        <w:tblPrEx>
          <w:tblW w:w="0" w:type="auto"/>
          <w:tblLayout w:type="fixed"/>
          <w:tblLook w:val="0000"/>
        </w:tblPrEx>
        <w:tc>
          <w:tcPr>
            <w:tcW w:w="3960" w:type="dxa"/>
            <w:tcBorders>
              <w:bottom w:val="single" w:sz="4" w:space="0" w:color="auto"/>
              <w:right w:val="single" w:sz="4" w:space="0" w:color="auto"/>
            </w:tcBorders>
            <w:shd w:val="clear" w:color="auto" w:fill="auto"/>
          </w:tcPr>
          <w:p w:rsidR="00214BBA" w:rsidP="00214BBA" w14:paraId="6F4033E1" w14:textId="77777777">
            <w:pPr>
              <w:spacing w:line="240" w:lineRule="auto"/>
              <w:rPr>
                <w:szCs w:val="26"/>
              </w:rPr>
            </w:pPr>
            <w:r>
              <w:rPr>
                <w:szCs w:val="26"/>
              </w:rPr>
              <w:t>VENTURA COUNTY EMPLOYEES’ RETIREMENT ASSOCIATION,</w:t>
            </w:r>
          </w:p>
          <w:p w:rsidR="00214BBA" w:rsidP="00214BBA" w14:paraId="0D134131" w14:textId="77777777">
            <w:pPr>
              <w:spacing w:line="240" w:lineRule="auto"/>
              <w:rPr>
                <w:szCs w:val="26"/>
              </w:rPr>
            </w:pPr>
          </w:p>
          <w:p w:rsidR="00214BBA" w:rsidP="00214BBA" w14:paraId="36B8B16B" w14:textId="77777777">
            <w:pPr>
              <w:spacing w:line="240" w:lineRule="auto"/>
              <w:rPr>
                <w:szCs w:val="26"/>
              </w:rPr>
            </w:pPr>
            <w:r>
              <w:rPr>
                <w:szCs w:val="26"/>
              </w:rPr>
              <w:t xml:space="preserve">    Plaintiff</w:t>
            </w:r>
            <w:r w:rsidR="0067718F">
              <w:rPr>
                <w:szCs w:val="26"/>
              </w:rPr>
              <w:t xml:space="preserve"> </w:t>
            </w:r>
            <w:r>
              <w:rPr>
                <w:szCs w:val="26"/>
              </w:rPr>
              <w:t>and Respondent,</w:t>
            </w:r>
          </w:p>
          <w:p w:rsidR="00214BBA" w:rsidP="00214BBA" w14:paraId="667B2DAF" w14:textId="77777777">
            <w:pPr>
              <w:spacing w:line="240" w:lineRule="auto"/>
              <w:rPr>
                <w:szCs w:val="26"/>
              </w:rPr>
            </w:pPr>
          </w:p>
          <w:p w:rsidR="00214BBA" w:rsidP="00214BBA" w14:paraId="1E948E48" w14:textId="77777777">
            <w:pPr>
              <w:spacing w:line="240" w:lineRule="auto"/>
              <w:rPr>
                <w:szCs w:val="26"/>
              </w:rPr>
            </w:pPr>
            <w:r>
              <w:rPr>
                <w:szCs w:val="26"/>
              </w:rPr>
              <w:t>v.</w:t>
            </w:r>
          </w:p>
          <w:p w:rsidR="00214BBA" w:rsidP="00214BBA" w14:paraId="442335B9" w14:textId="77777777">
            <w:pPr>
              <w:spacing w:line="240" w:lineRule="auto"/>
              <w:rPr>
                <w:szCs w:val="26"/>
              </w:rPr>
            </w:pPr>
          </w:p>
          <w:p w:rsidR="00214BBA" w:rsidP="00214BBA" w14:paraId="15D0E4AF" w14:textId="4FC0C185">
            <w:pPr>
              <w:spacing w:line="240" w:lineRule="auto"/>
              <w:rPr>
                <w:szCs w:val="26"/>
              </w:rPr>
            </w:pPr>
            <w:r>
              <w:rPr>
                <w:szCs w:val="26"/>
              </w:rPr>
              <w:t>CRIMINAL JUSTICE ATTORNEYS ASSOCIATION OF VENTURA COUNTY et al.,</w:t>
            </w:r>
          </w:p>
          <w:p w:rsidR="00214BBA" w:rsidP="00214BBA" w14:paraId="09E1C553" w14:textId="77777777">
            <w:pPr>
              <w:spacing w:line="240" w:lineRule="auto"/>
              <w:rPr>
                <w:szCs w:val="26"/>
              </w:rPr>
            </w:pPr>
          </w:p>
          <w:p w:rsidR="009969CB" w:rsidP="00214BBA" w14:paraId="355BBA06" w14:textId="77777777">
            <w:pPr>
              <w:spacing w:line="240" w:lineRule="auto"/>
              <w:rPr>
                <w:szCs w:val="26"/>
              </w:rPr>
            </w:pPr>
            <w:r>
              <w:rPr>
                <w:szCs w:val="26"/>
              </w:rPr>
              <w:t xml:space="preserve">    Defendants and Appellants</w:t>
            </w:r>
            <w:r w:rsidR="005F592E">
              <w:rPr>
                <w:szCs w:val="26"/>
              </w:rPr>
              <w:t>.</w:t>
            </w:r>
          </w:p>
          <w:p w:rsidR="00214BBA" w:rsidP="00214BBA" w14:paraId="1AFC4CDA" w14:textId="77777777">
            <w:pPr>
              <w:spacing w:line="240" w:lineRule="auto"/>
              <w:rPr>
                <w:szCs w:val="26"/>
              </w:rPr>
            </w:pPr>
          </w:p>
        </w:tc>
        <w:tc>
          <w:tcPr>
            <w:tcW w:w="3960" w:type="dxa"/>
            <w:tcBorders>
              <w:left w:val="single" w:sz="4" w:space="0" w:color="auto"/>
            </w:tcBorders>
            <w:shd w:val="clear" w:color="auto" w:fill="auto"/>
          </w:tcPr>
          <w:p w:rsidR="00214BBA" w:rsidP="00214BBA" w14:paraId="5C1D0469" w14:textId="77777777">
            <w:pPr>
              <w:spacing w:line="240" w:lineRule="auto"/>
              <w:jc w:val="center"/>
              <w:rPr>
                <w:szCs w:val="26"/>
              </w:rPr>
            </w:pPr>
            <w:r>
              <w:rPr>
                <w:szCs w:val="26"/>
              </w:rPr>
              <w:t>2d Civil No. B325277</w:t>
            </w:r>
          </w:p>
          <w:p w:rsidR="00214BBA" w:rsidP="00214BBA" w14:paraId="603F1958" w14:textId="77777777">
            <w:pPr>
              <w:spacing w:line="240" w:lineRule="auto"/>
              <w:jc w:val="center"/>
              <w:rPr>
                <w:szCs w:val="26"/>
              </w:rPr>
            </w:pPr>
            <w:r>
              <w:rPr>
                <w:szCs w:val="26"/>
              </w:rPr>
              <w:t>(Super. Ct. No. VENCI00546574)</w:t>
            </w:r>
          </w:p>
          <w:p w:rsidR="00214BBA" w:rsidP="00214BBA" w14:paraId="6FBC1FB4" w14:textId="77777777">
            <w:pPr>
              <w:spacing w:line="240" w:lineRule="auto"/>
              <w:jc w:val="center"/>
              <w:rPr>
                <w:szCs w:val="26"/>
              </w:rPr>
            </w:pPr>
            <w:r>
              <w:rPr>
                <w:szCs w:val="26"/>
              </w:rPr>
              <w:t>(Santa Barbara County)</w:t>
            </w:r>
          </w:p>
          <w:p w:rsidR="00214BBA" w:rsidP="00214BBA" w14:paraId="1F193B52" w14:textId="6BA90524">
            <w:pPr>
              <w:spacing w:line="240" w:lineRule="auto"/>
              <w:jc w:val="center"/>
              <w:rPr>
                <w:szCs w:val="26"/>
              </w:rPr>
            </w:pPr>
          </w:p>
        </w:tc>
      </w:tr>
    </w:tbl>
    <w:p w:rsidR="00214BBA" w:rsidP="00214BBA" w14:paraId="3D220FD1" w14:textId="77777777">
      <w:pPr>
        <w:spacing w:line="240" w:lineRule="auto"/>
        <w:ind w:firstLine="720"/>
        <w:rPr>
          <w:szCs w:val="26"/>
        </w:rPr>
      </w:pPr>
    </w:p>
    <w:p w:rsidR="00DE5E18" w:rsidP="00A122FC" w14:paraId="5EC5AAE7" w14:textId="6DA3EED8">
      <w:pPr>
        <w:ind w:firstLine="720"/>
        <w:rPr>
          <w:szCs w:val="26"/>
        </w:rPr>
      </w:pPr>
      <w:r>
        <w:rPr>
          <w:szCs w:val="26"/>
        </w:rPr>
        <w:t xml:space="preserve">After our Supreme Court’s decision in </w:t>
      </w:r>
      <w:r>
        <w:rPr>
          <w:i/>
          <w:iCs/>
          <w:szCs w:val="26"/>
        </w:rPr>
        <w:t>Alameda County Deputy Sheriff’s Assn</w:t>
      </w:r>
      <w:r w:rsidR="00492E62">
        <w:rPr>
          <w:i/>
          <w:iCs/>
          <w:szCs w:val="26"/>
        </w:rPr>
        <w:t>.</w:t>
      </w:r>
      <w:r>
        <w:rPr>
          <w:i/>
          <w:iCs/>
          <w:szCs w:val="26"/>
        </w:rPr>
        <w:t xml:space="preserve"> v. Alameda County Employees’ Retirement Assn</w:t>
      </w:r>
      <w:r w:rsidR="00492E62">
        <w:rPr>
          <w:i/>
          <w:iCs/>
          <w:szCs w:val="26"/>
        </w:rPr>
        <w:t>.</w:t>
      </w:r>
      <w:r>
        <w:rPr>
          <w:i/>
          <w:iCs/>
          <w:szCs w:val="26"/>
        </w:rPr>
        <w:t xml:space="preserve"> </w:t>
      </w:r>
      <w:r>
        <w:rPr>
          <w:szCs w:val="26"/>
        </w:rPr>
        <w:t>(2020) 9 Cal.5th 1032 (</w:t>
      </w:r>
      <w:r w:rsidRPr="00CF6AF6">
        <w:rPr>
          <w:i/>
          <w:iCs/>
          <w:szCs w:val="26"/>
        </w:rPr>
        <w:t>Alameda</w:t>
      </w:r>
      <w:r>
        <w:rPr>
          <w:szCs w:val="26"/>
        </w:rPr>
        <w:t>),</w:t>
      </w:r>
      <w:r w:rsidRPr="0017781A">
        <w:rPr>
          <w:szCs w:val="26"/>
        </w:rPr>
        <w:t xml:space="preserve"> </w:t>
      </w:r>
      <w:r w:rsidR="001B5E99">
        <w:rPr>
          <w:szCs w:val="26"/>
        </w:rPr>
        <w:t xml:space="preserve">the </w:t>
      </w:r>
      <w:r w:rsidRPr="00CF6AF6">
        <w:rPr>
          <w:szCs w:val="26"/>
        </w:rPr>
        <w:t>Ventura</w:t>
      </w:r>
      <w:r>
        <w:rPr>
          <w:szCs w:val="26"/>
        </w:rPr>
        <w:t xml:space="preserve"> County Employees’ Retirement Association (VCERA) </w:t>
      </w:r>
      <w:r w:rsidR="002927A0">
        <w:rPr>
          <w:szCs w:val="26"/>
        </w:rPr>
        <w:t>adopted</w:t>
      </w:r>
      <w:r w:rsidR="00C401F6">
        <w:rPr>
          <w:szCs w:val="26"/>
        </w:rPr>
        <w:t xml:space="preserve"> </w:t>
      </w:r>
      <w:r w:rsidR="009A329D">
        <w:rPr>
          <w:szCs w:val="26"/>
        </w:rPr>
        <w:t xml:space="preserve">a </w:t>
      </w:r>
      <w:r w:rsidR="00C401F6">
        <w:rPr>
          <w:szCs w:val="26"/>
        </w:rPr>
        <w:t>resolution</w:t>
      </w:r>
      <w:r w:rsidR="009A329D">
        <w:rPr>
          <w:szCs w:val="26"/>
        </w:rPr>
        <w:t xml:space="preserve"> (the Resolution)</w:t>
      </w:r>
      <w:r w:rsidR="001B5E99">
        <w:rPr>
          <w:szCs w:val="26"/>
        </w:rPr>
        <w:t xml:space="preserve"> </w:t>
      </w:r>
      <w:bookmarkStart w:id="0" w:name="_Hlk147126552"/>
      <w:r w:rsidR="001B5E99">
        <w:rPr>
          <w:szCs w:val="26"/>
        </w:rPr>
        <w:t>exclud</w:t>
      </w:r>
      <w:r w:rsidR="00985DAF">
        <w:rPr>
          <w:szCs w:val="26"/>
        </w:rPr>
        <w:t>ing</w:t>
      </w:r>
      <w:r w:rsidR="001641C7">
        <w:rPr>
          <w:szCs w:val="26"/>
        </w:rPr>
        <w:t xml:space="preserve"> </w:t>
      </w:r>
      <w:r w:rsidR="00D12880">
        <w:rPr>
          <w:szCs w:val="26"/>
        </w:rPr>
        <w:t xml:space="preserve">compensation for </w:t>
      </w:r>
      <w:r w:rsidRPr="00760B75" w:rsidR="00760B75">
        <w:rPr>
          <w:szCs w:val="26"/>
        </w:rPr>
        <w:t xml:space="preserve">accrued, but unused, hours of annual leave </w:t>
      </w:r>
      <w:r w:rsidR="001B5E99">
        <w:rPr>
          <w:szCs w:val="26"/>
        </w:rPr>
        <w:t xml:space="preserve">exceeding employees’ </w:t>
      </w:r>
      <w:r w:rsidR="00D134CD">
        <w:rPr>
          <w:lang w:eastAsia="x-none"/>
        </w:rPr>
        <w:t xml:space="preserve">calendar year allowance </w:t>
      </w:r>
      <w:r w:rsidR="001641C7">
        <w:rPr>
          <w:lang w:eastAsia="x-none"/>
        </w:rPr>
        <w:t>(“</w:t>
      </w:r>
      <w:r w:rsidR="00D134CD">
        <w:rPr>
          <w:lang w:eastAsia="x-none"/>
        </w:rPr>
        <w:t>leave</w:t>
      </w:r>
      <w:r w:rsidR="000C4020">
        <w:rPr>
          <w:lang w:eastAsia="x-none"/>
        </w:rPr>
        <w:t xml:space="preserve"> cashouts</w:t>
      </w:r>
      <w:r w:rsidR="001641C7">
        <w:rPr>
          <w:lang w:eastAsia="x-none"/>
        </w:rPr>
        <w:t>”)</w:t>
      </w:r>
      <w:r w:rsidR="001641C7">
        <w:rPr>
          <w:szCs w:val="26"/>
        </w:rPr>
        <w:t xml:space="preserve"> </w:t>
      </w:r>
      <w:r w:rsidRPr="001641C7" w:rsidR="001641C7">
        <w:rPr>
          <w:lang w:eastAsia="x-none"/>
        </w:rPr>
        <w:t>for purposes of calculating the</w:t>
      </w:r>
      <w:r w:rsidR="001641C7">
        <w:rPr>
          <w:lang w:eastAsia="x-none"/>
        </w:rPr>
        <w:t xml:space="preserve">ir </w:t>
      </w:r>
      <w:r w:rsidRPr="001641C7" w:rsidR="001641C7">
        <w:rPr>
          <w:lang w:eastAsia="x-none"/>
        </w:rPr>
        <w:t>retirement benefits</w:t>
      </w:r>
      <w:r w:rsidR="00D12880">
        <w:rPr>
          <w:lang w:eastAsia="x-none"/>
        </w:rPr>
        <w:t xml:space="preserve">. </w:t>
      </w:r>
      <w:bookmarkEnd w:id="0"/>
      <w:r w:rsidR="00DB7FF0">
        <w:rPr>
          <w:b/>
          <w:bCs/>
          <w:lang w:eastAsia="x-none"/>
        </w:rPr>
        <w:t xml:space="preserve"> </w:t>
      </w:r>
      <w:r w:rsidR="002A1D76">
        <w:rPr>
          <w:szCs w:val="26"/>
        </w:rPr>
        <w:t>VCERA subsequently</w:t>
      </w:r>
      <w:r w:rsidR="007A5C26">
        <w:rPr>
          <w:szCs w:val="26"/>
        </w:rPr>
        <w:t xml:space="preserve"> filed a lawsuit </w:t>
      </w:r>
      <w:r w:rsidR="00596D03">
        <w:rPr>
          <w:szCs w:val="26"/>
        </w:rPr>
        <w:t>seeking</w:t>
      </w:r>
      <w:r w:rsidR="008D308E">
        <w:rPr>
          <w:szCs w:val="26"/>
        </w:rPr>
        <w:t xml:space="preserve"> a judicial declaration that it</w:t>
      </w:r>
      <w:r w:rsidR="001B5E99">
        <w:rPr>
          <w:szCs w:val="26"/>
        </w:rPr>
        <w:t>s</w:t>
      </w:r>
      <w:r w:rsidR="008D308E">
        <w:rPr>
          <w:szCs w:val="26"/>
        </w:rPr>
        <w:t xml:space="preserve"> </w:t>
      </w:r>
      <w:r w:rsidR="0054615E">
        <w:rPr>
          <w:szCs w:val="26"/>
        </w:rPr>
        <w:t>Resolution</w:t>
      </w:r>
      <w:r w:rsidR="001B5E99">
        <w:rPr>
          <w:szCs w:val="26"/>
        </w:rPr>
        <w:t xml:space="preserve"> was legal</w:t>
      </w:r>
      <w:r w:rsidR="0054615E">
        <w:rPr>
          <w:szCs w:val="26"/>
        </w:rPr>
        <w:t>.</w:t>
      </w:r>
      <w:r w:rsidR="007A5C26">
        <w:rPr>
          <w:szCs w:val="26"/>
        </w:rPr>
        <w:t xml:space="preserve"> </w:t>
      </w:r>
      <w:r w:rsidR="009C3623">
        <w:rPr>
          <w:lang w:eastAsia="x-none"/>
        </w:rPr>
        <w:t xml:space="preserve"> </w:t>
      </w:r>
      <w:r w:rsidR="007A4F6C">
        <w:rPr>
          <w:lang w:eastAsia="x-none"/>
        </w:rPr>
        <w:t xml:space="preserve">The </w:t>
      </w:r>
      <w:r w:rsidR="00E53A05">
        <w:rPr>
          <w:lang w:eastAsia="x-none"/>
        </w:rPr>
        <w:t xml:space="preserve">trial </w:t>
      </w:r>
      <w:r w:rsidR="00E8271A">
        <w:rPr>
          <w:lang w:eastAsia="x-none"/>
        </w:rPr>
        <w:t xml:space="preserve">court ruled in favor of VCERA. </w:t>
      </w:r>
      <w:r w:rsidR="00D12616">
        <w:rPr>
          <w:szCs w:val="26"/>
        </w:rPr>
        <w:t xml:space="preserve"> </w:t>
      </w:r>
      <w:r w:rsidR="001B5E99">
        <w:rPr>
          <w:szCs w:val="26"/>
        </w:rPr>
        <w:t xml:space="preserve">The </w:t>
      </w:r>
      <w:r w:rsidR="00F056A4">
        <w:rPr>
          <w:szCs w:val="26"/>
        </w:rPr>
        <w:t>Criminal Justice Attorneys Association of Ventura and Ventura County Professional Peace Officers’ Association (</w:t>
      </w:r>
      <w:r w:rsidR="00A37D21">
        <w:rPr>
          <w:szCs w:val="26"/>
        </w:rPr>
        <w:t xml:space="preserve">collectively, Appellants) appeal the </w:t>
      </w:r>
      <w:r w:rsidR="00561207">
        <w:rPr>
          <w:szCs w:val="26"/>
        </w:rPr>
        <w:t>judgment</w:t>
      </w:r>
      <w:r w:rsidR="00063260">
        <w:rPr>
          <w:szCs w:val="26"/>
        </w:rPr>
        <w:t>.</w:t>
      </w:r>
      <w:r>
        <w:rPr>
          <w:rStyle w:val="FootnoteReference"/>
          <w:position w:val="8"/>
          <w:sz w:val="20"/>
          <w:szCs w:val="20"/>
          <w:vertAlign w:val="baseline"/>
        </w:rPr>
        <w:footnoteReference w:id="2"/>
      </w:r>
      <w:r w:rsidR="00063260">
        <w:rPr>
          <w:szCs w:val="26"/>
        </w:rPr>
        <w:t xml:space="preserve">  </w:t>
      </w:r>
      <w:r>
        <w:rPr>
          <w:szCs w:val="26"/>
        </w:rPr>
        <w:t xml:space="preserve">We affirm. </w:t>
      </w:r>
    </w:p>
    <w:p w:rsidR="00DE5E18" w:rsidP="00A122FC" w14:paraId="35E93647" w14:textId="77777777">
      <w:pPr>
        <w:pStyle w:val="Heading1"/>
        <w:spacing w:before="0" w:after="0"/>
        <w:rPr>
          <w:b w:val="0"/>
          <w:szCs w:val="26"/>
        </w:rPr>
      </w:pPr>
      <w:r>
        <w:rPr>
          <w:b w:val="0"/>
          <w:szCs w:val="26"/>
        </w:rPr>
        <w:t>fact</w:t>
      </w:r>
      <w:r>
        <w:rPr>
          <w:b w:val="0"/>
          <w:szCs w:val="26"/>
          <w:lang w:val="en-US"/>
        </w:rPr>
        <w:t>ual</w:t>
      </w:r>
      <w:r>
        <w:rPr>
          <w:b w:val="0"/>
          <w:szCs w:val="26"/>
        </w:rPr>
        <w:t xml:space="preserve"> and procedural history</w:t>
      </w:r>
    </w:p>
    <w:p w:rsidR="00361866" w:rsidP="00A122FC" w14:paraId="4ED4127D" w14:textId="669B5F73">
      <w:pPr>
        <w:rPr>
          <w:lang w:eastAsia="x-none"/>
        </w:rPr>
      </w:pPr>
      <w:r>
        <w:rPr>
          <w:lang w:val="x-none" w:eastAsia="x-none"/>
        </w:rPr>
        <w:tab/>
      </w:r>
      <w:r w:rsidR="00562599">
        <w:rPr>
          <w:szCs w:val="26"/>
        </w:rPr>
        <w:t xml:space="preserve">VCERA </w:t>
      </w:r>
      <w:r w:rsidR="00B61BD5">
        <w:rPr>
          <w:szCs w:val="26"/>
        </w:rPr>
        <w:t xml:space="preserve">is a public retirement system </w:t>
      </w:r>
      <w:r w:rsidR="00246ABA">
        <w:rPr>
          <w:szCs w:val="26"/>
        </w:rPr>
        <w:t>es</w:t>
      </w:r>
      <w:r w:rsidR="005753BF">
        <w:rPr>
          <w:szCs w:val="26"/>
        </w:rPr>
        <w:t>tablished</w:t>
      </w:r>
      <w:r w:rsidR="00DA79C3">
        <w:rPr>
          <w:szCs w:val="26"/>
        </w:rPr>
        <w:t xml:space="preserve"> by </w:t>
      </w:r>
      <w:r w:rsidR="001D238C">
        <w:rPr>
          <w:szCs w:val="26"/>
        </w:rPr>
        <w:t xml:space="preserve">Ventura </w:t>
      </w:r>
      <w:r w:rsidR="00A14179">
        <w:rPr>
          <w:szCs w:val="26"/>
        </w:rPr>
        <w:t>County</w:t>
      </w:r>
      <w:r w:rsidR="001D238C">
        <w:rPr>
          <w:szCs w:val="26"/>
        </w:rPr>
        <w:t xml:space="preserve"> </w:t>
      </w:r>
      <w:r w:rsidR="00A14179">
        <w:rPr>
          <w:szCs w:val="26"/>
        </w:rPr>
        <w:t>to pr</w:t>
      </w:r>
      <w:r w:rsidR="004F7DD0">
        <w:rPr>
          <w:szCs w:val="26"/>
        </w:rPr>
        <w:t xml:space="preserve">ovide retirement benefits to </w:t>
      </w:r>
      <w:r w:rsidR="00A170D3">
        <w:rPr>
          <w:szCs w:val="26"/>
        </w:rPr>
        <w:t>employees of the county and other local public entities, including Appellants</w:t>
      </w:r>
      <w:r w:rsidR="00C86098">
        <w:rPr>
          <w:szCs w:val="26"/>
        </w:rPr>
        <w:t>.</w:t>
      </w:r>
      <w:r w:rsidR="00C352E9">
        <w:rPr>
          <w:szCs w:val="26"/>
        </w:rPr>
        <w:t xml:space="preserve">  </w:t>
      </w:r>
      <w:r w:rsidR="002A436A">
        <w:rPr>
          <w:lang w:eastAsia="x-none"/>
        </w:rPr>
        <w:t>It</w:t>
      </w:r>
      <w:r w:rsidR="000C1A99">
        <w:rPr>
          <w:lang w:eastAsia="x-none"/>
        </w:rPr>
        <w:t xml:space="preserve"> is governed by </w:t>
      </w:r>
      <w:r w:rsidR="00FF0EB0">
        <w:rPr>
          <w:lang w:eastAsia="x-none"/>
        </w:rPr>
        <w:t xml:space="preserve">the County </w:t>
      </w:r>
      <w:r w:rsidR="00A16E76">
        <w:rPr>
          <w:lang w:eastAsia="x-none"/>
        </w:rPr>
        <w:t>Employees Retirement Law of 1937 (</w:t>
      </w:r>
      <w:r w:rsidR="00FC08FF">
        <w:rPr>
          <w:lang w:eastAsia="x-none"/>
        </w:rPr>
        <w:t>CERL</w:t>
      </w:r>
      <w:r w:rsidR="00A16E76">
        <w:rPr>
          <w:lang w:eastAsia="x-none"/>
        </w:rPr>
        <w:t>)</w:t>
      </w:r>
      <w:r w:rsidR="0002799D">
        <w:rPr>
          <w:lang w:eastAsia="x-none"/>
        </w:rPr>
        <w:t xml:space="preserve"> (Gov. Code,</w:t>
      </w:r>
      <w:r>
        <w:rPr>
          <w:rStyle w:val="FootnoteReference"/>
          <w:position w:val="8"/>
          <w:sz w:val="20"/>
          <w:szCs w:val="20"/>
          <w:vertAlign w:val="baseline"/>
        </w:rPr>
        <w:footnoteReference w:id="3"/>
      </w:r>
      <w:r w:rsidR="0002799D">
        <w:rPr>
          <w:lang w:eastAsia="x-none"/>
        </w:rPr>
        <w:t xml:space="preserve"> § 31450 et seq</w:t>
      </w:r>
      <w:r w:rsidR="00862C71">
        <w:rPr>
          <w:lang w:eastAsia="x-none"/>
        </w:rPr>
        <w:t>.)</w:t>
      </w:r>
      <w:r w:rsidR="001F730C">
        <w:rPr>
          <w:lang w:eastAsia="x-none"/>
        </w:rPr>
        <w:t>,</w:t>
      </w:r>
      <w:r w:rsidR="002F37BC">
        <w:rPr>
          <w:lang w:eastAsia="x-none"/>
        </w:rPr>
        <w:t xml:space="preserve"> </w:t>
      </w:r>
      <w:r w:rsidR="0029158C">
        <w:rPr>
          <w:lang w:eastAsia="x-none"/>
        </w:rPr>
        <w:t xml:space="preserve">the California Public Employees’ Pension Reform Act of 2013 (PEPRA) (§ </w:t>
      </w:r>
      <w:r w:rsidR="00334F47">
        <w:rPr>
          <w:lang w:eastAsia="x-none"/>
        </w:rPr>
        <w:t>7522 et seq.)</w:t>
      </w:r>
      <w:r w:rsidR="001F730C">
        <w:rPr>
          <w:lang w:eastAsia="x-none"/>
        </w:rPr>
        <w:t xml:space="preserve">, and </w:t>
      </w:r>
      <w:r w:rsidR="000B0F26">
        <w:rPr>
          <w:lang w:eastAsia="x-none"/>
        </w:rPr>
        <w:t>article XVI, section 17 of the California Constitution</w:t>
      </w:r>
      <w:r w:rsidR="00FC08FF">
        <w:rPr>
          <w:lang w:eastAsia="x-none"/>
        </w:rPr>
        <w:t xml:space="preserve">. </w:t>
      </w:r>
      <w:r w:rsidR="00D7241B">
        <w:rPr>
          <w:lang w:eastAsia="x-none"/>
        </w:rPr>
        <w:t xml:space="preserve"> </w:t>
      </w:r>
      <w:r w:rsidR="00025A29">
        <w:rPr>
          <w:lang w:eastAsia="x-none"/>
        </w:rPr>
        <w:t>VCERA is administered by a board of retirement (the Board)</w:t>
      </w:r>
      <w:r w:rsidR="0053188C">
        <w:rPr>
          <w:lang w:eastAsia="x-none"/>
        </w:rPr>
        <w:t xml:space="preserve"> charged</w:t>
      </w:r>
      <w:r w:rsidR="007F6396">
        <w:rPr>
          <w:lang w:eastAsia="x-none"/>
        </w:rPr>
        <w:t xml:space="preserve"> with </w:t>
      </w:r>
      <w:r w:rsidR="0010123C">
        <w:rPr>
          <w:lang w:eastAsia="x-none"/>
        </w:rPr>
        <w:t>implementing CERL’s provisions</w:t>
      </w:r>
      <w:r w:rsidR="00025A29">
        <w:rPr>
          <w:lang w:eastAsia="x-none"/>
        </w:rPr>
        <w:t>.</w:t>
      </w:r>
      <w:r w:rsidR="00E113E1">
        <w:rPr>
          <w:lang w:eastAsia="x-none"/>
        </w:rPr>
        <w:t xml:space="preserve"> </w:t>
      </w:r>
      <w:r w:rsidR="00ED66B6">
        <w:rPr>
          <w:lang w:eastAsia="x-none"/>
        </w:rPr>
        <w:t xml:space="preserve"> </w:t>
      </w:r>
      <w:r w:rsidR="0070764A">
        <w:rPr>
          <w:lang w:eastAsia="x-none"/>
        </w:rPr>
        <w:t>(</w:t>
      </w:r>
      <w:r w:rsidR="0070764A">
        <w:rPr>
          <w:i/>
          <w:iCs/>
          <w:lang w:eastAsia="x-none"/>
        </w:rPr>
        <w:t>Alameda</w:t>
      </w:r>
      <w:r w:rsidR="00446B8B">
        <w:rPr>
          <w:lang w:eastAsia="x-none"/>
        </w:rPr>
        <w:t xml:space="preserve">, </w:t>
      </w:r>
      <w:r w:rsidR="00446B8B">
        <w:rPr>
          <w:i/>
          <w:iCs/>
          <w:lang w:eastAsia="x-none"/>
        </w:rPr>
        <w:t>supra</w:t>
      </w:r>
      <w:r w:rsidR="00446B8B">
        <w:rPr>
          <w:lang w:eastAsia="x-none"/>
        </w:rPr>
        <w:t>, 9 Cal.5th at p. 10</w:t>
      </w:r>
      <w:r w:rsidR="00600005">
        <w:rPr>
          <w:lang w:eastAsia="x-none"/>
        </w:rPr>
        <w:t>52</w:t>
      </w:r>
      <w:r w:rsidR="00446B8B">
        <w:rPr>
          <w:lang w:eastAsia="x-none"/>
        </w:rPr>
        <w:t xml:space="preserve">.) </w:t>
      </w:r>
      <w:r w:rsidR="00F43C8C">
        <w:rPr>
          <w:lang w:eastAsia="x-none"/>
        </w:rPr>
        <w:t xml:space="preserve"> </w:t>
      </w:r>
    </w:p>
    <w:p w:rsidR="001A34D1" w:rsidRPr="00446B8B" w:rsidP="00A122FC" w14:paraId="0D146269" w14:textId="5B363D9E">
      <w:pPr>
        <w:pStyle w:val="Heading2"/>
        <w:spacing w:before="0" w:line="288" w:lineRule="auto"/>
        <w:jc w:val="center"/>
      </w:pPr>
      <w:r>
        <w:t xml:space="preserve">Retirement calculations under </w:t>
      </w:r>
      <w:r w:rsidR="00FF757F">
        <w:t>CERL and PEPRA</w:t>
      </w:r>
    </w:p>
    <w:p w:rsidR="00383D37" w:rsidP="00A122FC" w14:paraId="62101D06" w14:textId="5A29B0FD">
      <w:pPr>
        <w:ind w:firstLine="720"/>
        <w:rPr>
          <w:lang w:eastAsia="x-none"/>
        </w:rPr>
      </w:pPr>
      <w:r w:rsidRPr="0006444B">
        <w:rPr>
          <w:lang w:eastAsia="x-none"/>
        </w:rPr>
        <w:t>CERL</w:t>
      </w:r>
      <w:r>
        <w:rPr>
          <w:lang w:eastAsia="x-none"/>
        </w:rPr>
        <w:t xml:space="preserve"> </w:t>
      </w:r>
      <w:r w:rsidR="008D0F82">
        <w:rPr>
          <w:lang w:eastAsia="x-none"/>
        </w:rPr>
        <w:t>governs the calculation of</w:t>
      </w:r>
      <w:r w:rsidR="00475A9F">
        <w:rPr>
          <w:lang w:eastAsia="x-none"/>
        </w:rPr>
        <w:t xml:space="preserve"> </w:t>
      </w:r>
      <w:r w:rsidR="00F71EB6">
        <w:rPr>
          <w:lang w:eastAsia="x-none"/>
        </w:rPr>
        <w:t>VCERA members</w:t>
      </w:r>
      <w:r w:rsidR="00B56D47">
        <w:rPr>
          <w:lang w:eastAsia="x-none"/>
        </w:rPr>
        <w:t>’</w:t>
      </w:r>
      <w:r w:rsidR="00B01857">
        <w:rPr>
          <w:lang w:eastAsia="x-none"/>
        </w:rPr>
        <w:t xml:space="preserve"> </w:t>
      </w:r>
      <w:r w:rsidR="006B5F73">
        <w:rPr>
          <w:lang w:eastAsia="x-none"/>
        </w:rPr>
        <w:t xml:space="preserve">retirement </w:t>
      </w:r>
      <w:r w:rsidR="004C6B77">
        <w:rPr>
          <w:lang w:eastAsia="x-none"/>
        </w:rPr>
        <w:t xml:space="preserve">allowances </w:t>
      </w:r>
      <w:r w:rsidR="00467858">
        <w:rPr>
          <w:lang w:eastAsia="x-none"/>
        </w:rPr>
        <w:t xml:space="preserve">based on </w:t>
      </w:r>
      <w:r w:rsidR="00114B96">
        <w:rPr>
          <w:lang w:eastAsia="x-none"/>
        </w:rPr>
        <w:t>a</w:t>
      </w:r>
      <w:r w:rsidR="00B01857">
        <w:rPr>
          <w:lang w:eastAsia="x-none"/>
        </w:rPr>
        <w:t xml:space="preserve"> statutory formula</w:t>
      </w:r>
      <w:r w:rsidR="006B5F73">
        <w:rPr>
          <w:lang w:eastAsia="x-none"/>
        </w:rPr>
        <w:t xml:space="preserve"> compris</w:t>
      </w:r>
      <w:r w:rsidR="001B5E99">
        <w:rPr>
          <w:lang w:eastAsia="x-none"/>
        </w:rPr>
        <w:t xml:space="preserve">ed </w:t>
      </w:r>
      <w:r w:rsidR="006B5F73">
        <w:rPr>
          <w:lang w:eastAsia="x-none"/>
        </w:rPr>
        <w:t>of an</w:t>
      </w:r>
      <w:r w:rsidR="00B01857">
        <w:rPr>
          <w:lang w:eastAsia="x-none"/>
        </w:rPr>
        <w:t xml:space="preserve"> </w:t>
      </w:r>
      <w:r w:rsidR="00114B96">
        <w:rPr>
          <w:lang w:eastAsia="x-none"/>
        </w:rPr>
        <w:t>employee</w:t>
      </w:r>
      <w:r w:rsidR="00B01857">
        <w:rPr>
          <w:lang w:eastAsia="x-none"/>
        </w:rPr>
        <w:t>’</w:t>
      </w:r>
      <w:r w:rsidR="00114B96">
        <w:rPr>
          <w:lang w:eastAsia="x-none"/>
        </w:rPr>
        <w:t xml:space="preserve">s (1) age at retirement, (2) years of service, and (3) </w:t>
      </w:r>
      <w:r w:rsidR="00114B96">
        <w:rPr>
          <w:lang w:eastAsia="x-none"/>
        </w:rPr>
        <w:t xml:space="preserve">final compensation.  </w:t>
      </w:r>
      <w:r w:rsidR="008B7804">
        <w:rPr>
          <w:lang w:eastAsia="x-none"/>
        </w:rPr>
        <w:t>(</w:t>
      </w:r>
      <w:r w:rsidR="009E60BB">
        <w:rPr>
          <w:lang w:eastAsia="x-none"/>
        </w:rPr>
        <w:t>§§ 31676.01-31676.19</w:t>
      </w:r>
      <w:r w:rsidR="00BB1EC2">
        <w:rPr>
          <w:lang w:eastAsia="x-none"/>
        </w:rPr>
        <w:t>.</w:t>
      </w:r>
      <w:r w:rsidR="008B7804">
        <w:rPr>
          <w:lang w:eastAsia="x-none"/>
        </w:rPr>
        <w:t xml:space="preserve">) </w:t>
      </w:r>
      <w:r w:rsidRPr="004E176B" w:rsidR="008B7804">
        <w:rPr>
          <w:lang w:eastAsia="x-none"/>
        </w:rPr>
        <w:t xml:space="preserve"> </w:t>
      </w:r>
      <w:r w:rsidR="001D238C">
        <w:rPr>
          <w:lang w:eastAsia="x-none"/>
        </w:rPr>
        <w:t>Only f</w:t>
      </w:r>
      <w:r>
        <w:rPr>
          <w:lang w:eastAsia="x-none"/>
        </w:rPr>
        <w:t xml:space="preserve">inal compensation is </w:t>
      </w:r>
      <w:r w:rsidR="001D238C">
        <w:rPr>
          <w:lang w:eastAsia="x-none"/>
        </w:rPr>
        <w:t>relevant to</w:t>
      </w:r>
      <w:r>
        <w:rPr>
          <w:lang w:eastAsia="x-none"/>
        </w:rPr>
        <w:t xml:space="preserve"> this </w:t>
      </w:r>
      <w:r w:rsidR="001B5E99">
        <w:rPr>
          <w:lang w:eastAsia="x-none"/>
        </w:rPr>
        <w:t>dispute</w:t>
      </w:r>
      <w:r>
        <w:rPr>
          <w:lang w:eastAsia="x-none"/>
        </w:rPr>
        <w:t xml:space="preserve">.  </w:t>
      </w:r>
    </w:p>
    <w:p w:rsidR="00B13EDF" w:rsidP="00A122FC" w14:paraId="1F3668F1" w14:textId="2B72F9FF">
      <w:pPr>
        <w:ind w:firstLine="720"/>
        <w:rPr>
          <w:lang w:eastAsia="x-none"/>
        </w:rPr>
      </w:pPr>
      <w:r>
        <w:rPr>
          <w:lang w:eastAsia="x-none"/>
        </w:rPr>
        <w:t xml:space="preserve">For </w:t>
      </w:r>
      <w:r w:rsidR="00797F2D">
        <w:rPr>
          <w:lang w:eastAsia="x-none"/>
        </w:rPr>
        <w:t>“legacy” members</w:t>
      </w:r>
      <w:r w:rsidR="00FC65BA">
        <w:rPr>
          <w:lang w:eastAsia="x-none"/>
        </w:rPr>
        <w:t xml:space="preserve"> </w:t>
      </w:r>
      <w:r w:rsidR="00B56D8F">
        <w:rPr>
          <w:lang w:eastAsia="x-none"/>
        </w:rPr>
        <w:t>(</w:t>
      </w:r>
      <w:r w:rsidR="008C29CF">
        <w:rPr>
          <w:lang w:eastAsia="x-none"/>
        </w:rPr>
        <w:t xml:space="preserve">employed by the county </w:t>
      </w:r>
      <w:r w:rsidR="00201B90">
        <w:rPr>
          <w:lang w:eastAsia="x-none"/>
        </w:rPr>
        <w:t>or a</w:t>
      </w:r>
      <w:r w:rsidR="00C1126A">
        <w:rPr>
          <w:lang w:eastAsia="x-none"/>
        </w:rPr>
        <w:t xml:space="preserve">nother public retirement system </w:t>
      </w:r>
      <w:r w:rsidR="003D3423">
        <w:rPr>
          <w:lang w:eastAsia="x-none"/>
        </w:rPr>
        <w:t>prior to PEPRA</w:t>
      </w:r>
      <w:r w:rsidR="001B5E99">
        <w:rPr>
          <w:lang w:eastAsia="x-none"/>
        </w:rPr>
        <w:t>’s effective</w:t>
      </w:r>
      <w:r w:rsidR="00891C9D">
        <w:rPr>
          <w:lang w:eastAsia="x-none"/>
        </w:rPr>
        <w:t xml:space="preserve"> January 1, 2013</w:t>
      </w:r>
      <w:r w:rsidR="00A122FC">
        <w:rPr>
          <w:lang w:eastAsia="x-none"/>
        </w:rPr>
        <w:t>,</w:t>
      </w:r>
      <w:r w:rsidR="001B5E99">
        <w:rPr>
          <w:lang w:eastAsia="x-none"/>
        </w:rPr>
        <w:t xml:space="preserve"> date</w:t>
      </w:r>
      <w:r w:rsidR="00B56D8F">
        <w:rPr>
          <w:lang w:eastAsia="x-none"/>
        </w:rPr>
        <w:t>)</w:t>
      </w:r>
      <w:r>
        <w:rPr>
          <w:rStyle w:val="FootnoteReference"/>
          <w:position w:val="8"/>
          <w:sz w:val="20"/>
          <w:szCs w:val="20"/>
          <w:vertAlign w:val="baseline"/>
        </w:rPr>
        <w:footnoteReference w:id="4"/>
      </w:r>
      <w:r w:rsidR="00B56D8F">
        <w:rPr>
          <w:lang w:eastAsia="x-none"/>
        </w:rPr>
        <w:t>, f</w:t>
      </w:r>
      <w:r w:rsidR="007B20B7">
        <w:rPr>
          <w:lang w:eastAsia="x-none"/>
        </w:rPr>
        <w:t xml:space="preserve">inal compensation </w:t>
      </w:r>
      <w:r w:rsidR="001D7FD1">
        <w:rPr>
          <w:lang w:eastAsia="x-none"/>
        </w:rPr>
        <w:t>is calculated based on an employee</w:t>
      </w:r>
      <w:r w:rsidR="004C5C93">
        <w:rPr>
          <w:lang w:eastAsia="x-none"/>
        </w:rPr>
        <w:t>’</w:t>
      </w:r>
      <w:r w:rsidR="001D7FD1">
        <w:rPr>
          <w:lang w:eastAsia="x-none"/>
        </w:rPr>
        <w:t xml:space="preserve">s </w:t>
      </w:r>
      <w:r w:rsidR="00AF40C5">
        <w:rPr>
          <w:lang w:eastAsia="x-none"/>
        </w:rPr>
        <w:t>“</w:t>
      </w:r>
      <w:r w:rsidR="001D7FD1">
        <w:rPr>
          <w:lang w:eastAsia="x-none"/>
        </w:rPr>
        <w:t>compensation</w:t>
      </w:r>
      <w:r w:rsidR="00AF40C5">
        <w:rPr>
          <w:lang w:eastAsia="x-none"/>
        </w:rPr>
        <w:t xml:space="preserve"> earnable”</w:t>
      </w:r>
      <w:r w:rsidRPr="00235A31" w:rsidR="00235A31">
        <w:rPr>
          <w:lang w:eastAsia="x-none"/>
        </w:rPr>
        <w:t xml:space="preserve"> </w:t>
      </w:r>
      <w:r w:rsidR="00235A31">
        <w:rPr>
          <w:lang w:eastAsia="x-none"/>
        </w:rPr>
        <w:t>during a representative period of their employment.</w:t>
      </w:r>
      <w:r w:rsidR="00446EA9">
        <w:rPr>
          <w:lang w:eastAsia="x-none"/>
        </w:rPr>
        <w:t xml:space="preserve">  (§§ 31462, 31462.1</w:t>
      </w:r>
      <w:r w:rsidR="00D134CD">
        <w:rPr>
          <w:lang w:eastAsia="x-none"/>
        </w:rPr>
        <w:t>.</w:t>
      </w:r>
      <w:r w:rsidR="00446EA9">
        <w:rPr>
          <w:lang w:eastAsia="x-none"/>
        </w:rPr>
        <w:t>)</w:t>
      </w:r>
      <w:r w:rsidR="001125A7">
        <w:rPr>
          <w:lang w:eastAsia="x-none"/>
        </w:rPr>
        <w:t xml:space="preserve"> </w:t>
      </w:r>
      <w:r w:rsidR="00E270DF">
        <w:rPr>
          <w:lang w:eastAsia="x-none"/>
        </w:rPr>
        <w:t xml:space="preserve"> </w:t>
      </w:r>
      <w:r w:rsidR="00C10B19">
        <w:rPr>
          <w:lang w:eastAsia="x-none"/>
        </w:rPr>
        <w:t>The</w:t>
      </w:r>
      <w:r w:rsidRPr="00681441" w:rsidR="00C10B19">
        <w:rPr>
          <w:szCs w:val="26"/>
        </w:rPr>
        <w:t xml:space="preserve"> representative period of </w:t>
      </w:r>
      <w:r w:rsidR="00E270DF">
        <w:rPr>
          <w:szCs w:val="26"/>
        </w:rPr>
        <w:t>employment</w:t>
      </w:r>
      <w:r w:rsidRPr="00681441" w:rsidR="00C10B19">
        <w:rPr>
          <w:szCs w:val="26"/>
        </w:rPr>
        <w:t xml:space="preserve"> is either a </w:t>
      </w:r>
      <w:r w:rsidR="008D16C6">
        <w:rPr>
          <w:szCs w:val="26"/>
        </w:rPr>
        <w:t>12-</w:t>
      </w:r>
      <w:r w:rsidR="007F07E0">
        <w:rPr>
          <w:szCs w:val="26"/>
        </w:rPr>
        <w:t xml:space="preserve"> </w:t>
      </w:r>
      <w:r w:rsidRPr="00681441" w:rsidR="00C10B19">
        <w:rPr>
          <w:szCs w:val="26"/>
        </w:rPr>
        <w:t xml:space="preserve">or </w:t>
      </w:r>
      <w:r w:rsidR="008D16C6">
        <w:rPr>
          <w:szCs w:val="26"/>
        </w:rPr>
        <w:t>36-month</w:t>
      </w:r>
      <w:r w:rsidRPr="00681441" w:rsidR="00C10B19">
        <w:rPr>
          <w:szCs w:val="26"/>
        </w:rPr>
        <w:t xml:space="preserve"> </w:t>
      </w:r>
      <w:r w:rsidR="00760B75">
        <w:rPr>
          <w:szCs w:val="26"/>
        </w:rPr>
        <w:t>“</w:t>
      </w:r>
      <w:r w:rsidRPr="00681441" w:rsidR="00C10B19">
        <w:rPr>
          <w:szCs w:val="26"/>
        </w:rPr>
        <w:t xml:space="preserve">final average compensation” period.  Legacy members with a </w:t>
      </w:r>
      <w:bookmarkStart w:id="1" w:name="_Hlk146790995"/>
      <w:r w:rsidR="00FF3F77">
        <w:rPr>
          <w:szCs w:val="26"/>
        </w:rPr>
        <w:t>12</w:t>
      </w:r>
      <w:r w:rsidR="007F07E0">
        <w:rPr>
          <w:szCs w:val="26"/>
        </w:rPr>
        <w:noBreakHyphen/>
      </w:r>
      <w:r w:rsidR="00FF3F77">
        <w:rPr>
          <w:szCs w:val="26"/>
        </w:rPr>
        <w:t>month</w:t>
      </w:r>
      <w:r w:rsidRPr="00681441" w:rsidR="00C10B19">
        <w:rPr>
          <w:szCs w:val="26"/>
        </w:rPr>
        <w:t xml:space="preserve"> final average compensation period </w:t>
      </w:r>
      <w:bookmarkEnd w:id="1"/>
      <w:r w:rsidRPr="00681441" w:rsidR="00C10B19">
        <w:rPr>
          <w:szCs w:val="26"/>
        </w:rPr>
        <w:t xml:space="preserve">are </w:t>
      </w:r>
      <w:r w:rsidR="00DB24A5">
        <w:rPr>
          <w:szCs w:val="26"/>
        </w:rPr>
        <w:t>T</w:t>
      </w:r>
      <w:r w:rsidRPr="00681441" w:rsidR="00C10B19">
        <w:rPr>
          <w:szCs w:val="26"/>
        </w:rPr>
        <w:t xml:space="preserve">ier 1 members </w:t>
      </w:r>
      <w:r w:rsidR="00C10B19">
        <w:rPr>
          <w:szCs w:val="26"/>
        </w:rPr>
        <w:t xml:space="preserve">(§ </w:t>
      </w:r>
      <w:r w:rsidRPr="00681441" w:rsidR="00C10B19">
        <w:rPr>
          <w:szCs w:val="26"/>
        </w:rPr>
        <w:t>31462.1, subd</w:t>
      </w:r>
      <w:r w:rsidR="00C10B19">
        <w:rPr>
          <w:szCs w:val="26"/>
        </w:rPr>
        <w:t>.</w:t>
      </w:r>
      <w:r w:rsidRPr="00681441" w:rsidR="00C10B19">
        <w:rPr>
          <w:szCs w:val="26"/>
        </w:rPr>
        <w:t xml:space="preserve"> (a)</w:t>
      </w:r>
      <w:r w:rsidR="00C10B19">
        <w:rPr>
          <w:szCs w:val="26"/>
        </w:rPr>
        <w:t>)</w:t>
      </w:r>
      <w:r w:rsidRPr="00681441" w:rsidR="00C10B19">
        <w:rPr>
          <w:szCs w:val="26"/>
        </w:rPr>
        <w:t xml:space="preserve">.  Legacy members with a </w:t>
      </w:r>
      <w:r w:rsidR="00FF3F77">
        <w:rPr>
          <w:szCs w:val="26"/>
        </w:rPr>
        <w:t>36</w:t>
      </w:r>
      <w:r w:rsidR="00492E62">
        <w:rPr>
          <w:szCs w:val="26"/>
        </w:rPr>
        <w:noBreakHyphen/>
      </w:r>
      <w:r w:rsidR="00FF3F77">
        <w:rPr>
          <w:szCs w:val="26"/>
        </w:rPr>
        <w:t>month</w:t>
      </w:r>
      <w:r w:rsidRPr="00681441" w:rsidR="00C10B19">
        <w:rPr>
          <w:szCs w:val="26"/>
        </w:rPr>
        <w:t xml:space="preserve"> final average compensation period are Tier 2 members </w:t>
      </w:r>
      <w:r w:rsidR="00C10B19">
        <w:rPr>
          <w:szCs w:val="26"/>
        </w:rPr>
        <w:t>(§</w:t>
      </w:r>
      <w:r w:rsidR="00492E62">
        <w:rPr>
          <w:szCs w:val="26"/>
        </w:rPr>
        <w:t> </w:t>
      </w:r>
      <w:r w:rsidRPr="00681441" w:rsidR="00C10B19">
        <w:rPr>
          <w:szCs w:val="26"/>
        </w:rPr>
        <w:t>31462, subd</w:t>
      </w:r>
      <w:r w:rsidR="00C10B19">
        <w:rPr>
          <w:szCs w:val="26"/>
        </w:rPr>
        <w:t>.</w:t>
      </w:r>
      <w:r w:rsidRPr="00681441" w:rsidR="00C10B19">
        <w:rPr>
          <w:szCs w:val="26"/>
        </w:rPr>
        <w:t xml:space="preserve"> (a)</w:t>
      </w:r>
      <w:r w:rsidR="00C10B19">
        <w:rPr>
          <w:szCs w:val="26"/>
        </w:rPr>
        <w:t>)</w:t>
      </w:r>
      <w:r w:rsidRPr="00681441" w:rsidR="00C10B19">
        <w:rPr>
          <w:szCs w:val="26"/>
        </w:rPr>
        <w:t xml:space="preserve">. </w:t>
      </w:r>
      <w:r w:rsidR="00C10B19">
        <w:rPr>
          <w:szCs w:val="26"/>
        </w:rPr>
        <w:t xml:space="preserve"> </w:t>
      </w:r>
    </w:p>
    <w:p w:rsidR="002E77F3" w:rsidRPr="00CC38B3" w:rsidP="00A122FC" w14:paraId="0043C83A" w14:textId="227899BF">
      <w:pPr>
        <w:ind w:firstLine="720"/>
        <w:rPr>
          <w:lang w:eastAsia="x-none"/>
        </w:rPr>
      </w:pPr>
      <w:r>
        <w:rPr>
          <w:lang w:eastAsia="x-none"/>
        </w:rPr>
        <w:t xml:space="preserve">Section 31461 defines </w:t>
      </w:r>
      <w:r w:rsidR="00FA6724">
        <w:rPr>
          <w:lang w:eastAsia="x-none"/>
        </w:rPr>
        <w:t>“</w:t>
      </w:r>
      <w:r>
        <w:rPr>
          <w:lang w:eastAsia="x-none"/>
        </w:rPr>
        <w:t>c</w:t>
      </w:r>
      <w:r w:rsidR="004C6086">
        <w:rPr>
          <w:lang w:eastAsia="x-none"/>
        </w:rPr>
        <w:t>ompensation earnable</w:t>
      </w:r>
      <w:r w:rsidR="00FA6724">
        <w:rPr>
          <w:lang w:eastAsia="x-none"/>
        </w:rPr>
        <w:t xml:space="preserve">” </w:t>
      </w:r>
      <w:r w:rsidR="00FA137D">
        <w:rPr>
          <w:lang w:eastAsia="x-none"/>
        </w:rPr>
        <w:t>as</w:t>
      </w:r>
      <w:r w:rsidR="008567A3">
        <w:rPr>
          <w:lang w:eastAsia="x-none"/>
        </w:rPr>
        <w:t xml:space="preserve"> “the average compensation as determined by the </w:t>
      </w:r>
      <w:r w:rsidR="006C0B26">
        <w:rPr>
          <w:lang w:eastAsia="x-none"/>
        </w:rPr>
        <w:t>board, for the period under consideration upon the basis of the average number of days ordin</w:t>
      </w:r>
      <w:r w:rsidR="00033CA1">
        <w:rPr>
          <w:lang w:eastAsia="x-none"/>
        </w:rPr>
        <w:t xml:space="preserve">arily worked by persons in the same grade or class of positions during the period, </w:t>
      </w:r>
      <w:r w:rsidR="00251AFF">
        <w:rPr>
          <w:lang w:eastAsia="x-none"/>
        </w:rPr>
        <w:t xml:space="preserve">and at the same rate of pay.” </w:t>
      </w:r>
      <w:r w:rsidR="006B4E68">
        <w:rPr>
          <w:lang w:eastAsia="x-none"/>
        </w:rPr>
        <w:t xml:space="preserve"> </w:t>
      </w:r>
      <w:r w:rsidR="00102371">
        <w:rPr>
          <w:lang w:eastAsia="x-none"/>
        </w:rPr>
        <w:t>(</w:t>
      </w:r>
      <w:r w:rsidR="00FA137D">
        <w:rPr>
          <w:lang w:eastAsia="x-none"/>
        </w:rPr>
        <w:t>§</w:t>
      </w:r>
      <w:r w:rsidR="00492E62">
        <w:rPr>
          <w:lang w:eastAsia="x-none"/>
        </w:rPr>
        <w:t> </w:t>
      </w:r>
      <w:r w:rsidR="00FA137D">
        <w:rPr>
          <w:lang w:eastAsia="x-none"/>
        </w:rPr>
        <w:t>31461</w:t>
      </w:r>
      <w:r w:rsidR="00761A7D">
        <w:rPr>
          <w:lang w:eastAsia="x-none"/>
        </w:rPr>
        <w:t>, subd</w:t>
      </w:r>
      <w:r w:rsidR="00FA137D">
        <w:rPr>
          <w:lang w:eastAsia="x-none"/>
        </w:rPr>
        <w:t>.</w:t>
      </w:r>
      <w:r w:rsidR="00A170C2">
        <w:rPr>
          <w:lang w:eastAsia="x-none"/>
        </w:rPr>
        <w:t xml:space="preserve"> (a)</w:t>
      </w:r>
      <w:r w:rsidR="00AC6FFB">
        <w:rPr>
          <w:lang w:eastAsia="x-none"/>
        </w:rPr>
        <w:t>.</w:t>
      </w:r>
      <w:r w:rsidR="00FA137D">
        <w:rPr>
          <w:lang w:eastAsia="x-none"/>
        </w:rPr>
        <w:t>)</w:t>
      </w:r>
      <w:r w:rsidR="00896142">
        <w:rPr>
          <w:lang w:eastAsia="x-none"/>
        </w:rPr>
        <w:t xml:space="preserve">  </w:t>
      </w:r>
      <w:r w:rsidR="008C5AF9">
        <w:rPr>
          <w:lang w:eastAsia="x-none"/>
        </w:rPr>
        <w:t xml:space="preserve">In other words, it is </w:t>
      </w:r>
      <w:r w:rsidR="00CC5638">
        <w:rPr>
          <w:lang w:eastAsia="x-none"/>
        </w:rPr>
        <w:t>the “</w:t>
      </w:r>
      <w:r w:rsidR="00CC38B3">
        <w:rPr>
          <w:lang w:eastAsia="x-none"/>
        </w:rPr>
        <w:t xml:space="preserve"> ‘</w:t>
      </w:r>
      <w:r w:rsidR="00CC5638">
        <w:rPr>
          <w:lang w:eastAsia="x-none"/>
        </w:rPr>
        <w:t>average monthly pay . . . received by the retiring employee for the average number of days worked in a month by the other empl</w:t>
      </w:r>
      <w:r w:rsidR="00C664D9">
        <w:rPr>
          <w:lang w:eastAsia="x-none"/>
        </w:rPr>
        <w:t>oyees in the same job classification at the same base pay level.</w:t>
      </w:r>
      <w:r w:rsidR="00CC38B3">
        <w:rPr>
          <w:lang w:eastAsia="x-none"/>
        </w:rPr>
        <w:t xml:space="preserve">’ ” </w:t>
      </w:r>
      <w:r w:rsidR="00163553">
        <w:rPr>
          <w:lang w:eastAsia="x-none"/>
        </w:rPr>
        <w:t xml:space="preserve"> </w:t>
      </w:r>
      <w:r w:rsidR="00CC38B3">
        <w:rPr>
          <w:lang w:eastAsia="x-none"/>
        </w:rPr>
        <w:t>(</w:t>
      </w:r>
      <w:r w:rsidR="00CC38B3">
        <w:rPr>
          <w:i/>
          <w:iCs/>
          <w:lang w:eastAsia="x-none"/>
        </w:rPr>
        <w:t>Alameda</w:t>
      </w:r>
      <w:r w:rsidR="00CC38B3">
        <w:rPr>
          <w:lang w:eastAsia="x-none"/>
        </w:rPr>
        <w:t xml:space="preserve">, </w:t>
      </w:r>
      <w:r w:rsidR="00CC38B3">
        <w:rPr>
          <w:i/>
          <w:iCs/>
          <w:lang w:eastAsia="x-none"/>
        </w:rPr>
        <w:t>supra</w:t>
      </w:r>
      <w:r w:rsidR="00CC38B3">
        <w:rPr>
          <w:lang w:eastAsia="x-none"/>
        </w:rPr>
        <w:t>, 9 Cal.5th</w:t>
      </w:r>
      <w:r w:rsidR="000222BB">
        <w:rPr>
          <w:lang w:eastAsia="x-none"/>
        </w:rPr>
        <w:t xml:space="preserve"> at p. 1058.) </w:t>
      </w:r>
    </w:p>
    <w:p w:rsidR="006B2470" w:rsidRPr="006B2470" w:rsidP="00A122FC" w14:paraId="43650714" w14:textId="1502646C">
      <w:pPr>
        <w:ind w:firstLine="720"/>
        <w:rPr>
          <w:lang w:eastAsia="x-none"/>
        </w:rPr>
      </w:pPr>
      <w:r>
        <w:rPr>
          <w:lang w:eastAsia="x-none"/>
        </w:rPr>
        <w:t>When PEPRA became effective in January 2013, it revised laws governing pension plans and amended provisions of CERL.  (</w:t>
      </w:r>
      <w:r w:rsidRPr="0006444B">
        <w:rPr>
          <w:i/>
          <w:iCs/>
          <w:lang w:eastAsia="x-none"/>
        </w:rPr>
        <w:t>Alameda</w:t>
      </w:r>
      <w:r>
        <w:rPr>
          <w:lang w:eastAsia="x-none"/>
        </w:rPr>
        <w:t xml:space="preserve">, </w:t>
      </w:r>
      <w:r>
        <w:rPr>
          <w:i/>
          <w:iCs/>
          <w:lang w:eastAsia="x-none"/>
        </w:rPr>
        <w:t>supra</w:t>
      </w:r>
      <w:r>
        <w:rPr>
          <w:lang w:eastAsia="x-none"/>
        </w:rPr>
        <w:t>, 9 Cal.5th at pp.</w:t>
      </w:r>
      <w:r w:rsidR="00492E62">
        <w:rPr>
          <w:lang w:eastAsia="x-none"/>
        </w:rPr>
        <w:t xml:space="preserve"> </w:t>
      </w:r>
      <w:r>
        <w:rPr>
          <w:lang w:eastAsia="x-none"/>
        </w:rPr>
        <w:t xml:space="preserve">1051-1052.)  </w:t>
      </w:r>
      <w:r w:rsidR="00BE270F">
        <w:rPr>
          <w:lang w:eastAsia="x-none"/>
        </w:rPr>
        <w:t xml:space="preserve">As relevant here, </w:t>
      </w:r>
      <w:r w:rsidR="006B4E68">
        <w:rPr>
          <w:lang w:eastAsia="x-none"/>
        </w:rPr>
        <w:t xml:space="preserve">PEPRA amended </w:t>
      </w:r>
      <w:r w:rsidR="0031375E">
        <w:rPr>
          <w:lang w:eastAsia="x-none"/>
        </w:rPr>
        <w:t>section 31461</w:t>
      </w:r>
      <w:r w:rsidR="006B4E68">
        <w:rPr>
          <w:lang w:eastAsia="x-none"/>
        </w:rPr>
        <w:t xml:space="preserve"> by adding su</w:t>
      </w:r>
      <w:r w:rsidR="009271FC">
        <w:rPr>
          <w:lang w:eastAsia="x-none"/>
        </w:rPr>
        <w:t>bdivision (b), which excludes certain items from compensation earnable</w:t>
      </w:r>
      <w:r w:rsidR="003F051D">
        <w:rPr>
          <w:lang w:eastAsia="x-none"/>
        </w:rPr>
        <w:t xml:space="preserve"> (hereafter referred to as “PEPRA exclusions”)</w:t>
      </w:r>
      <w:r w:rsidR="009271FC">
        <w:rPr>
          <w:lang w:eastAsia="x-none"/>
        </w:rPr>
        <w:t xml:space="preserve">.  </w:t>
      </w:r>
      <w:r w:rsidR="008E6580">
        <w:rPr>
          <w:lang w:eastAsia="x-none"/>
        </w:rPr>
        <w:t xml:space="preserve">(Assem. Bill No. 340 (2011-2012 Reg. Sess.); </w:t>
      </w:r>
      <w:r w:rsidR="007D2370">
        <w:rPr>
          <w:lang w:eastAsia="x-none"/>
        </w:rPr>
        <w:t>Stats. 2012, c</w:t>
      </w:r>
      <w:r w:rsidR="008E6580">
        <w:rPr>
          <w:lang w:eastAsia="x-none"/>
        </w:rPr>
        <w:t>h</w:t>
      </w:r>
      <w:r w:rsidR="007D2370">
        <w:rPr>
          <w:lang w:eastAsia="x-none"/>
        </w:rPr>
        <w:t>. 29</w:t>
      </w:r>
      <w:r w:rsidR="008E6580">
        <w:rPr>
          <w:lang w:eastAsia="x-none"/>
        </w:rPr>
        <w:t>6</w:t>
      </w:r>
      <w:r w:rsidR="007D2370">
        <w:rPr>
          <w:lang w:eastAsia="x-none"/>
        </w:rPr>
        <w:t>, § 2</w:t>
      </w:r>
      <w:r w:rsidR="008E6580">
        <w:rPr>
          <w:lang w:eastAsia="x-none"/>
        </w:rPr>
        <w:t>8</w:t>
      </w:r>
      <w:r w:rsidR="007D2370">
        <w:rPr>
          <w:lang w:eastAsia="x-none"/>
        </w:rPr>
        <w:t>.)</w:t>
      </w:r>
      <w:r w:rsidR="0031375E">
        <w:rPr>
          <w:lang w:eastAsia="x-none"/>
        </w:rPr>
        <w:t xml:space="preserve">  </w:t>
      </w:r>
      <w:r w:rsidR="00D620AF">
        <w:rPr>
          <w:lang w:eastAsia="x-none"/>
        </w:rPr>
        <w:t>PEPRA</w:t>
      </w:r>
      <w:r w:rsidR="00D66512">
        <w:rPr>
          <w:lang w:eastAsia="x-none"/>
        </w:rPr>
        <w:t xml:space="preserve"> now excludes </w:t>
      </w:r>
      <w:r w:rsidR="00FA6724">
        <w:rPr>
          <w:lang w:eastAsia="x-none"/>
        </w:rPr>
        <w:t>from compensation earnable</w:t>
      </w:r>
      <w:r w:rsidR="00D909EC">
        <w:rPr>
          <w:lang w:eastAsia="x-none"/>
        </w:rPr>
        <w:t>:</w:t>
      </w:r>
      <w:r w:rsidR="00E560DB">
        <w:rPr>
          <w:lang w:eastAsia="x-none"/>
        </w:rPr>
        <w:t xml:space="preserve"> “(2) Payments for unused </w:t>
      </w:r>
      <w:r w:rsidR="00F21D9F">
        <w:rPr>
          <w:lang w:eastAsia="x-none"/>
        </w:rPr>
        <w:t xml:space="preserve">vacation, annual leave, personal leave, sick leave, or compensatory time off, however denominated, whether paid in a lump sum or otherwise, in an amount that exceeds that which may be earned and payable in each 12-month period during </w:t>
      </w:r>
      <w:r w:rsidR="00213E2D">
        <w:rPr>
          <w:lang w:eastAsia="x-none"/>
        </w:rPr>
        <w:t xml:space="preserve">the final average salary period, regardless of when reported or paid”; and “(4) Payments made at termination </w:t>
      </w:r>
      <w:r w:rsidR="005D690D">
        <w:rPr>
          <w:lang w:eastAsia="x-none"/>
        </w:rPr>
        <w:t>of employment, except those payments that do not exceed what is earned and payable in each 12-month period during the final average salary period, regardless of when reported or paid.”  (§ 31461, subd. (b)(2)</w:t>
      </w:r>
      <w:r w:rsidR="00C352E9">
        <w:rPr>
          <w:lang w:eastAsia="x-none"/>
        </w:rPr>
        <w:t xml:space="preserve"> &amp; </w:t>
      </w:r>
      <w:r w:rsidR="005D690D">
        <w:rPr>
          <w:lang w:eastAsia="x-none"/>
        </w:rPr>
        <w:t xml:space="preserve">(4).)  </w:t>
      </w:r>
    </w:p>
    <w:p w:rsidR="00DA59ED" w:rsidP="00A122FC" w14:paraId="15CD51FA" w14:textId="022E6671">
      <w:pPr>
        <w:pStyle w:val="Heading2"/>
        <w:spacing w:before="0" w:line="288" w:lineRule="auto"/>
        <w:jc w:val="center"/>
      </w:pPr>
      <w:r>
        <w:t xml:space="preserve">Leave </w:t>
      </w:r>
      <w:r w:rsidR="004A6792">
        <w:t>c</w:t>
      </w:r>
      <w:r>
        <w:t>ashouts</w:t>
      </w:r>
    </w:p>
    <w:p w:rsidR="00021313" w:rsidP="00A122FC" w14:paraId="00CE9F2B" w14:textId="008C4F75">
      <w:pPr>
        <w:ind w:firstLine="720"/>
        <w:rPr>
          <w:b/>
          <w:bCs/>
          <w:lang w:eastAsia="x-none"/>
        </w:rPr>
      </w:pPr>
      <w:r>
        <w:rPr>
          <w:lang w:eastAsia="x-none"/>
        </w:rPr>
        <w:t xml:space="preserve">A VCERA </w:t>
      </w:r>
      <w:r w:rsidR="003932B8">
        <w:rPr>
          <w:lang w:eastAsia="x-none"/>
        </w:rPr>
        <w:t xml:space="preserve">member </w:t>
      </w:r>
      <w:r>
        <w:rPr>
          <w:lang w:eastAsia="x-none"/>
        </w:rPr>
        <w:t xml:space="preserve">may </w:t>
      </w:r>
      <w:r w:rsidR="005A595E">
        <w:rPr>
          <w:lang w:eastAsia="x-none"/>
        </w:rPr>
        <w:t xml:space="preserve">receive </w:t>
      </w:r>
      <w:r w:rsidR="005A1124">
        <w:rPr>
          <w:lang w:eastAsia="x-none"/>
        </w:rPr>
        <w:t xml:space="preserve">compensation </w:t>
      </w:r>
      <w:r w:rsidR="00060104">
        <w:rPr>
          <w:lang w:eastAsia="x-none"/>
        </w:rPr>
        <w:t xml:space="preserve">for </w:t>
      </w:r>
      <w:r w:rsidR="006D15AD">
        <w:rPr>
          <w:lang w:eastAsia="x-none"/>
        </w:rPr>
        <w:t xml:space="preserve">leave </w:t>
      </w:r>
      <w:r w:rsidR="00EC7661">
        <w:rPr>
          <w:lang w:eastAsia="x-none"/>
        </w:rPr>
        <w:t>cashouts</w:t>
      </w:r>
      <w:r w:rsidR="00C352E9">
        <w:rPr>
          <w:lang w:eastAsia="x-none"/>
        </w:rPr>
        <w:t>—</w:t>
      </w:r>
      <w:r w:rsidR="005A595E">
        <w:rPr>
          <w:lang w:eastAsia="x-none"/>
        </w:rPr>
        <w:t>accrued</w:t>
      </w:r>
      <w:r w:rsidR="007F1344">
        <w:rPr>
          <w:lang w:eastAsia="x-none"/>
        </w:rPr>
        <w:t>,</w:t>
      </w:r>
      <w:r w:rsidR="005A595E">
        <w:rPr>
          <w:lang w:eastAsia="x-none"/>
        </w:rPr>
        <w:t xml:space="preserve"> but </w:t>
      </w:r>
      <w:r w:rsidR="00060104">
        <w:rPr>
          <w:lang w:eastAsia="x-none"/>
        </w:rPr>
        <w:t>unused</w:t>
      </w:r>
      <w:r w:rsidR="007F1344">
        <w:rPr>
          <w:lang w:eastAsia="x-none"/>
        </w:rPr>
        <w:t>,</w:t>
      </w:r>
      <w:r w:rsidR="00060104">
        <w:rPr>
          <w:lang w:eastAsia="x-none"/>
        </w:rPr>
        <w:t xml:space="preserve"> hours of</w:t>
      </w:r>
      <w:r w:rsidR="004F45A8">
        <w:rPr>
          <w:lang w:eastAsia="x-none"/>
        </w:rPr>
        <w:t xml:space="preserve"> annual leave. </w:t>
      </w:r>
      <w:r w:rsidRPr="00844639" w:rsidR="00844639">
        <w:rPr>
          <w:lang w:eastAsia="x-none"/>
        </w:rPr>
        <w:t xml:space="preserve"> </w:t>
      </w:r>
      <w:r w:rsidR="00621658">
        <w:rPr>
          <w:lang w:eastAsia="x-none"/>
        </w:rPr>
        <w:t xml:space="preserve">A </w:t>
      </w:r>
      <w:r w:rsidR="00955993">
        <w:rPr>
          <w:lang w:eastAsia="x-none"/>
        </w:rPr>
        <w:t>member</w:t>
      </w:r>
      <w:r w:rsidR="00453B80">
        <w:rPr>
          <w:lang w:eastAsia="x-none"/>
        </w:rPr>
        <w:t>’s terms of employ</w:t>
      </w:r>
      <w:r w:rsidR="00955993">
        <w:rPr>
          <w:lang w:eastAsia="x-none"/>
        </w:rPr>
        <w:t>ment</w:t>
      </w:r>
      <w:r w:rsidR="008A144A">
        <w:rPr>
          <w:lang w:eastAsia="x-none"/>
        </w:rPr>
        <w:t xml:space="preserve"> </w:t>
      </w:r>
      <w:r w:rsidR="00891AFF">
        <w:rPr>
          <w:lang w:eastAsia="x-none"/>
        </w:rPr>
        <w:t>(e.g.</w:t>
      </w:r>
      <w:r w:rsidR="008E6580">
        <w:rPr>
          <w:lang w:eastAsia="x-none"/>
        </w:rPr>
        <w:t>,</w:t>
      </w:r>
      <w:r w:rsidR="00891AFF">
        <w:rPr>
          <w:lang w:eastAsia="x-none"/>
        </w:rPr>
        <w:t xml:space="preserve"> </w:t>
      </w:r>
      <w:r w:rsidR="001D238C">
        <w:rPr>
          <w:lang w:eastAsia="x-none"/>
        </w:rPr>
        <w:t xml:space="preserve">a </w:t>
      </w:r>
      <w:r w:rsidR="00891AFF">
        <w:rPr>
          <w:lang w:eastAsia="x-none"/>
        </w:rPr>
        <w:t>Memorandum of Agreement</w:t>
      </w:r>
      <w:r w:rsidR="001D238C">
        <w:rPr>
          <w:lang w:eastAsia="x-none"/>
        </w:rPr>
        <w:t xml:space="preserve"> or the County Management Resolution</w:t>
      </w:r>
      <w:r w:rsidR="00891AFF">
        <w:rPr>
          <w:lang w:eastAsia="x-none"/>
        </w:rPr>
        <w:t xml:space="preserve">) </w:t>
      </w:r>
      <w:r w:rsidR="008A144A">
        <w:rPr>
          <w:lang w:eastAsia="x-none"/>
        </w:rPr>
        <w:t xml:space="preserve">limit the number of hours </w:t>
      </w:r>
      <w:r w:rsidR="00993714">
        <w:rPr>
          <w:lang w:eastAsia="x-none"/>
        </w:rPr>
        <w:t>a member may cash</w:t>
      </w:r>
      <w:r w:rsidR="00490C05">
        <w:rPr>
          <w:lang w:eastAsia="x-none"/>
        </w:rPr>
        <w:t xml:space="preserve"> </w:t>
      </w:r>
      <w:r w:rsidR="00993714">
        <w:rPr>
          <w:lang w:eastAsia="x-none"/>
        </w:rPr>
        <w:t xml:space="preserve">out in a calendar year. </w:t>
      </w:r>
      <w:r w:rsidR="00A97ED8">
        <w:rPr>
          <w:lang w:eastAsia="x-none"/>
        </w:rPr>
        <w:t xml:space="preserve"> The calendar year’s allowance for leave cashouts var</w:t>
      </w:r>
      <w:r w:rsidR="00DB24A5">
        <w:rPr>
          <w:lang w:eastAsia="x-none"/>
        </w:rPr>
        <w:t>ies</w:t>
      </w:r>
      <w:r w:rsidR="00A97ED8">
        <w:rPr>
          <w:lang w:eastAsia="x-none"/>
        </w:rPr>
        <w:t xml:space="preserve"> dependi</w:t>
      </w:r>
      <w:r w:rsidR="00D20A13">
        <w:rPr>
          <w:lang w:eastAsia="x-none"/>
        </w:rPr>
        <w:t xml:space="preserve">ng </w:t>
      </w:r>
      <w:r w:rsidR="00003042">
        <w:rPr>
          <w:lang w:eastAsia="x-none"/>
        </w:rPr>
        <w:t>on the</w:t>
      </w:r>
      <w:r w:rsidR="00832005">
        <w:rPr>
          <w:lang w:eastAsia="x-none"/>
        </w:rPr>
        <w:t xml:space="preserve"> </w:t>
      </w:r>
      <w:r w:rsidR="006610E1">
        <w:rPr>
          <w:lang w:eastAsia="x-none"/>
        </w:rPr>
        <w:t>employer</w:t>
      </w:r>
      <w:r w:rsidR="006140CE">
        <w:rPr>
          <w:lang w:eastAsia="x-none"/>
        </w:rPr>
        <w:t xml:space="preserve"> and </w:t>
      </w:r>
      <w:r w:rsidR="00D20A13">
        <w:rPr>
          <w:lang w:eastAsia="x-none"/>
        </w:rPr>
        <w:t xml:space="preserve">the employee’s seniority, </w:t>
      </w:r>
      <w:r w:rsidR="00832005">
        <w:rPr>
          <w:lang w:eastAsia="x-none"/>
        </w:rPr>
        <w:t xml:space="preserve">date of hire, </w:t>
      </w:r>
      <w:r w:rsidR="00003042">
        <w:rPr>
          <w:lang w:eastAsia="x-none"/>
        </w:rPr>
        <w:t>bargaining un</w:t>
      </w:r>
      <w:r w:rsidR="00F35C75">
        <w:rPr>
          <w:lang w:eastAsia="x-none"/>
        </w:rPr>
        <w:t xml:space="preserve">it, </w:t>
      </w:r>
      <w:r w:rsidR="00C60554">
        <w:rPr>
          <w:lang w:eastAsia="x-none"/>
        </w:rPr>
        <w:t xml:space="preserve">and title. </w:t>
      </w:r>
    </w:p>
    <w:p w:rsidR="007924A9" w:rsidP="00A122FC" w14:paraId="6EB2900B" w14:textId="1398D5CF">
      <w:pPr>
        <w:ind w:firstLine="720"/>
        <w:rPr>
          <w:szCs w:val="26"/>
        </w:rPr>
      </w:pPr>
      <w:r>
        <w:rPr>
          <w:lang w:eastAsia="x-none"/>
        </w:rPr>
        <w:t>VCERA members may designate a 12</w:t>
      </w:r>
      <w:r w:rsidR="00DB24A5">
        <w:rPr>
          <w:lang w:eastAsia="x-none"/>
        </w:rPr>
        <w:noBreakHyphen/>
      </w:r>
      <w:r>
        <w:rPr>
          <w:lang w:eastAsia="x-none"/>
        </w:rPr>
        <w:t xml:space="preserve"> or 36</w:t>
      </w:r>
      <w:r w:rsidR="00DB24A5">
        <w:rPr>
          <w:lang w:eastAsia="x-none"/>
        </w:rPr>
        <w:noBreakHyphen/>
      </w:r>
      <w:r>
        <w:rPr>
          <w:lang w:eastAsia="x-none"/>
        </w:rPr>
        <w:t>month final average compensation period that does not align with calendar years</w:t>
      </w:r>
      <w:r w:rsidR="004703DF">
        <w:rPr>
          <w:lang w:eastAsia="x-none"/>
        </w:rPr>
        <w:t xml:space="preserve">. </w:t>
      </w:r>
      <w:r>
        <w:rPr>
          <w:lang w:eastAsia="x-none"/>
        </w:rPr>
        <w:t xml:space="preserve"> </w:t>
      </w:r>
      <w:r w:rsidR="004703DF">
        <w:rPr>
          <w:lang w:eastAsia="x-none"/>
        </w:rPr>
        <w:t xml:space="preserve">Thus, </w:t>
      </w:r>
      <w:r>
        <w:rPr>
          <w:lang w:eastAsia="x-none"/>
        </w:rPr>
        <w:t xml:space="preserve">the designated period may straddle two or four calendar years.  For example, a Tier 1 member </w:t>
      </w:r>
      <w:r w:rsidR="00760B75">
        <w:rPr>
          <w:lang w:eastAsia="x-none"/>
        </w:rPr>
        <w:t xml:space="preserve">(those employees with a </w:t>
      </w:r>
      <w:r w:rsidRPr="00760B75" w:rsidR="00760B75">
        <w:rPr>
          <w:lang w:eastAsia="x-none"/>
        </w:rPr>
        <w:t>12-month final average compensation period</w:t>
      </w:r>
      <w:r w:rsidR="00760B75">
        <w:rPr>
          <w:lang w:eastAsia="x-none"/>
        </w:rPr>
        <w:t>)</w:t>
      </w:r>
      <w:r w:rsidRPr="00760B75" w:rsidR="00760B75">
        <w:rPr>
          <w:lang w:eastAsia="x-none"/>
        </w:rPr>
        <w:t xml:space="preserve"> </w:t>
      </w:r>
      <w:r>
        <w:rPr>
          <w:lang w:eastAsia="x-none"/>
        </w:rPr>
        <w:t xml:space="preserve">may designate July 1 of </w:t>
      </w:r>
      <w:r w:rsidR="008E6580">
        <w:rPr>
          <w:lang w:eastAsia="x-none"/>
        </w:rPr>
        <w:t>y</w:t>
      </w:r>
      <w:r>
        <w:rPr>
          <w:lang w:eastAsia="x-none"/>
        </w:rPr>
        <w:t xml:space="preserve">ear 1 to June 30 of </w:t>
      </w:r>
      <w:r w:rsidR="008E6580">
        <w:rPr>
          <w:lang w:eastAsia="x-none"/>
        </w:rPr>
        <w:t>y</w:t>
      </w:r>
      <w:r>
        <w:rPr>
          <w:lang w:eastAsia="x-none"/>
        </w:rPr>
        <w:t xml:space="preserve">ear 2, or a Tier 2 member </w:t>
      </w:r>
      <w:r w:rsidR="00760B75">
        <w:rPr>
          <w:lang w:eastAsia="x-none"/>
        </w:rPr>
        <w:t>(those employees with a 36</w:t>
      </w:r>
      <w:r w:rsidRPr="00760B75" w:rsidR="00760B75">
        <w:rPr>
          <w:lang w:eastAsia="x-none"/>
        </w:rPr>
        <w:t>-month final average compensation period</w:t>
      </w:r>
      <w:r w:rsidR="00760B75">
        <w:rPr>
          <w:lang w:eastAsia="x-none"/>
        </w:rPr>
        <w:t>)</w:t>
      </w:r>
      <w:r w:rsidRPr="00760B75" w:rsidR="00760B75">
        <w:rPr>
          <w:lang w:eastAsia="x-none"/>
        </w:rPr>
        <w:t xml:space="preserve"> </w:t>
      </w:r>
      <w:r>
        <w:rPr>
          <w:lang w:eastAsia="x-none"/>
        </w:rPr>
        <w:t xml:space="preserve">may designate July 1 of </w:t>
      </w:r>
      <w:r w:rsidR="008E6580">
        <w:rPr>
          <w:lang w:eastAsia="x-none"/>
        </w:rPr>
        <w:t>y</w:t>
      </w:r>
      <w:r>
        <w:rPr>
          <w:lang w:eastAsia="x-none"/>
        </w:rPr>
        <w:t xml:space="preserve">ear 1 to June 30 of </w:t>
      </w:r>
      <w:r w:rsidR="008E6580">
        <w:rPr>
          <w:lang w:eastAsia="x-none"/>
        </w:rPr>
        <w:t>y</w:t>
      </w:r>
      <w:r>
        <w:rPr>
          <w:lang w:eastAsia="x-none"/>
        </w:rPr>
        <w:t xml:space="preserve">ear 4. </w:t>
      </w:r>
      <w:r>
        <w:rPr>
          <w:szCs w:val="26"/>
        </w:rPr>
        <w:t xml:space="preserve"> </w:t>
      </w:r>
    </w:p>
    <w:p w:rsidR="00F443FD" w:rsidP="00A122FC" w14:paraId="7A0C1A82" w14:textId="78B48AF2">
      <w:pPr>
        <w:ind w:firstLine="720"/>
        <w:rPr>
          <w:szCs w:val="26"/>
        </w:rPr>
      </w:pPr>
      <w:r>
        <w:rPr>
          <w:lang w:eastAsia="x-none"/>
        </w:rPr>
        <w:t xml:space="preserve">For </w:t>
      </w:r>
      <w:r w:rsidR="008E6580">
        <w:rPr>
          <w:lang w:eastAsia="x-none"/>
        </w:rPr>
        <w:t>l</w:t>
      </w:r>
      <w:r>
        <w:rPr>
          <w:lang w:eastAsia="x-none"/>
        </w:rPr>
        <w:t>egacy members, a member’s compensation earnable includes compensation for leave cashouts</w:t>
      </w:r>
      <w:r w:rsidRPr="006B7B4C">
        <w:rPr>
          <w:lang w:eastAsia="x-none"/>
        </w:rPr>
        <w:t xml:space="preserve"> </w:t>
      </w:r>
      <w:r>
        <w:rPr>
          <w:lang w:eastAsia="x-none"/>
        </w:rPr>
        <w:t xml:space="preserve">during the </w:t>
      </w:r>
      <w:r w:rsidRPr="004175E2" w:rsidR="004175E2">
        <w:rPr>
          <w:lang w:eastAsia="x-none"/>
        </w:rPr>
        <w:t>12</w:t>
      </w:r>
      <w:r w:rsidRPr="004175E2" w:rsidR="004175E2">
        <w:rPr>
          <w:lang w:eastAsia="x-none"/>
        </w:rPr>
        <w:noBreakHyphen/>
        <w:t xml:space="preserve"> or 36</w:t>
      </w:r>
      <w:r w:rsidRPr="004175E2" w:rsidR="004175E2">
        <w:rPr>
          <w:lang w:eastAsia="x-none"/>
        </w:rPr>
        <w:noBreakHyphen/>
        <w:t xml:space="preserve">month </w:t>
      </w:r>
      <w:r>
        <w:rPr>
          <w:lang w:eastAsia="x-none"/>
        </w:rPr>
        <w:t xml:space="preserve">final average compensation period. </w:t>
      </w:r>
      <w:r>
        <w:t xml:space="preserve"> B</w:t>
      </w:r>
      <w:r>
        <w:rPr>
          <w:lang w:eastAsia="x-none"/>
        </w:rPr>
        <w:t xml:space="preserve">efore </w:t>
      </w:r>
      <w:r>
        <w:rPr>
          <w:i/>
          <w:iCs/>
          <w:lang w:eastAsia="x-none"/>
        </w:rPr>
        <w:t>Alameda</w:t>
      </w:r>
      <w:r>
        <w:rPr>
          <w:lang w:eastAsia="x-none"/>
        </w:rPr>
        <w:t xml:space="preserve">, a member’s compensation earnable could include leave cashouts exceeding </w:t>
      </w:r>
      <w:r w:rsidR="000C6109">
        <w:rPr>
          <w:lang w:eastAsia="x-none"/>
        </w:rPr>
        <w:t>the</w:t>
      </w:r>
      <w:r>
        <w:rPr>
          <w:lang w:eastAsia="x-none"/>
        </w:rPr>
        <w:t xml:space="preserve"> member</w:t>
      </w:r>
      <w:r w:rsidR="000C6109">
        <w:rPr>
          <w:lang w:eastAsia="x-none"/>
        </w:rPr>
        <w:t>’</w:t>
      </w:r>
      <w:r>
        <w:rPr>
          <w:lang w:eastAsia="x-none"/>
        </w:rPr>
        <w:t xml:space="preserve">s calendar year allowance for leave cashouts.  </w:t>
      </w:r>
      <w:r>
        <w:t xml:space="preserve">To </w:t>
      </w:r>
      <w:r w:rsidR="002530F5">
        <w:t xml:space="preserve">illustrate, </w:t>
      </w:r>
      <w:r w:rsidR="00484808">
        <w:rPr>
          <w:szCs w:val="26"/>
        </w:rPr>
        <w:t>if</w:t>
      </w:r>
      <w:r w:rsidR="001A6B35">
        <w:rPr>
          <w:szCs w:val="26"/>
        </w:rPr>
        <w:t xml:space="preserve"> </w:t>
      </w:r>
      <w:r w:rsidR="00511B24">
        <w:rPr>
          <w:szCs w:val="26"/>
        </w:rPr>
        <w:t xml:space="preserve">a </w:t>
      </w:r>
      <w:r w:rsidR="001A6B35">
        <w:rPr>
          <w:szCs w:val="26"/>
        </w:rPr>
        <w:t>member designate</w:t>
      </w:r>
      <w:r w:rsidR="00484808">
        <w:rPr>
          <w:szCs w:val="26"/>
        </w:rPr>
        <w:t>d</w:t>
      </w:r>
      <w:r w:rsidR="001A6B35">
        <w:rPr>
          <w:szCs w:val="26"/>
        </w:rPr>
        <w:t xml:space="preserve"> a final average compensation period that align</w:t>
      </w:r>
      <w:r w:rsidR="00CB0D4D">
        <w:rPr>
          <w:szCs w:val="26"/>
        </w:rPr>
        <w:t>ed</w:t>
      </w:r>
      <w:r w:rsidR="001A6B35">
        <w:rPr>
          <w:szCs w:val="26"/>
        </w:rPr>
        <w:t xml:space="preserve"> with </w:t>
      </w:r>
      <w:r w:rsidR="00453006">
        <w:rPr>
          <w:szCs w:val="26"/>
        </w:rPr>
        <w:t xml:space="preserve">the </w:t>
      </w:r>
      <w:r w:rsidR="006350F1">
        <w:rPr>
          <w:szCs w:val="26"/>
        </w:rPr>
        <w:t>ca</w:t>
      </w:r>
      <w:r w:rsidR="001A6B35">
        <w:rPr>
          <w:szCs w:val="26"/>
        </w:rPr>
        <w:t>lendar year</w:t>
      </w:r>
      <w:r w:rsidR="00DD17F6">
        <w:rPr>
          <w:szCs w:val="26"/>
        </w:rPr>
        <w:t>(s)</w:t>
      </w:r>
      <w:r w:rsidR="001A6B35">
        <w:rPr>
          <w:szCs w:val="26"/>
        </w:rPr>
        <w:t xml:space="preserve">, </w:t>
      </w:r>
      <w:r w:rsidR="00511B24">
        <w:rPr>
          <w:szCs w:val="26"/>
        </w:rPr>
        <w:t>that member c</w:t>
      </w:r>
      <w:r w:rsidR="00CB0D4D">
        <w:rPr>
          <w:szCs w:val="26"/>
        </w:rPr>
        <w:t xml:space="preserve">ould not </w:t>
      </w:r>
      <w:r w:rsidR="00511B24">
        <w:rPr>
          <w:szCs w:val="26"/>
        </w:rPr>
        <w:t>cash</w:t>
      </w:r>
      <w:r w:rsidR="00D318CF">
        <w:rPr>
          <w:szCs w:val="26"/>
        </w:rPr>
        <w:t xml:space="preserve"> </w:t>
      </w:r>
      <w:r w:rsidR="00511B24">
        <w:rPr>
          <w:szCs w:val="26"/>
        </w:rPr>
        <w:t xml:space="preserve">out more </w:t>
      </w:r>
      <w:r w:rsidR="003B493C">
        <w:rPr>
          <w:szCs w:val="26"/>
        </w:rPr>
        <w:t xml:space="preserve">than their calendar year allowance for leave cashouts. </w:t>
      </w:r>
      <w:r w:rsidR="00DD17F6">
        <w:rPr>
          <w:b/>
          <w:bCs/>
          <w:szCs w:val="26"/>
        </w:rPr>
        <w:t xml:space="preserve"> </w:t>
      </w:r>
      <w:r w:rsidR="00484808">
        <w:rPr>
          <w:szCs w:val="26"/>
        </w:rPr>
        <w:t>But</w:t>
      </w:r>
      <w:r w:rsidR="00DD17F6">
        <w:rPr>
          <w:szCs w:val="26"/>
        </w:rPr>
        <w:t>, if a member designate</w:t>
      </w:r>
      <w:r w:rsidR="00CB0D4D">
        <w:rPr>
          <w:szCs w:val="26"/>
        </w:rPr>
        <w:t>d</w:t>
      </w:r>
      <w:r w:rsidR="00DD17F6">
        <w:rPr>
          <w:szCs w:val="26"/>
        </w:rPr>
        <w:t xml:space="preserve"> a </w:t>
      </w:r>
      <w:r w:rsidR="002D3890">
        <w:rPr>
          <w:szCs w:val="26"/>
        </w:rPr>
        <w:t>final average compensation period that straddle</w:t>
      </w:r>
      <w:r w:rsidR="0092440D">
        <w:rPr>
          <w:szCs w:val="26"/>
        </w:rPr>
        <w:t>d</w:t>
      </w:r>
      <w:r w:rsidR="002D3890">
        <w:rPr>
          <w:szCs w:val="26"/>
        </w:rPr>
        <w:t xml:space="preserve"> </w:t>
      </w:r>
      <w:r w:rsidR="00F1787D">
        <w:rPr>
          <w:szCs w:val="26"/>
        </w:rPr>
        <w:t>multiple years (</w:t>
      </w:r>
      <w:r w:rsidR="00A47EAB">
        <w:rPr>
          <w:szCs w:val="26"/>
        </w:rPr>
        <w:t xml:space="preserve">two years for Tier 1 members or four years for Tier 2 </w:t>
      </w:r>
      <w:r w:rsidR="00E35D83">
        <w:rPr>
          <w:szCs w:val="26"/>
        </w:rPr>
        <w:t>members</w:t>
      </w:r>
      <w:r w:rsidR="00F1787D">
        <w:rPr>
          <w:szCs w:val="26"/>
        </w:rPr>
        <w:t>)</w:t>
      </w:r>
      <w:r w:rsidR="002D3890">
        <w:rPr>
          <w:szCs w:val="26"/>
        </w:rPr>
        <w:t xml:space="preserve">, that member </w:t>
      </w:r>
      <w:r w:rsidR="0092440D">
        <w:rPr>
          <w:szCs w:val="26"/>
        </w:rPr>
        <w:t>could</w:t>
      </w:r>
      <w:r w:rsidR="002D3890">
        <w:rPr>
          <w:szCs w:val="26"/>
        </w:rPr>
        <w:t xml:space="preserve"> cash</w:t>
      </w:r>
      <w:r w:rsidR="00D318CF">
        <w:rPr>
          <w:szCs w:val="26"/>
        </w:rPr>
        <w:t xml:space="preserve"> </w:t>
      </w:r>
      <w:r w:rsidR="002D3890">
        <w:rPr>
          <w:szCs w:val="26"/>
        </w:rPr>
        <w:t xml:space="preserve">out leave </w:t>
      </w:r>
      <w:r w:rsidR="00041A93">
        <w:rPr>
          <w:szCs w:val="26"/>
        </w:rPr>
        <w:t>exceeding</w:t>
      </w:r>
      <w:r w:rsidR="002D3890">
        <w:rPr>
          <w:szCs w:val="26"/>
        </w:rPr>
        <w:t xml:space="preserve"> </w:t>
      </w:r>
      <w:r w:rsidR="00183858">
        <w:rPr>
          <w:szCs w:val="26"/>
        </w:rPr>
        <w:t>their calendar year allowance</w:t>
      </w:r>
      <w:r w:rsidR="002F61FC">
        <w:rPr>
          <w:szCs w:val="26"/>
        </w:rPr>
        <w:t xml:space="preserve"> within the designated period. </w:t>
      </w:r>
      <w:r w:rsidR="0063301C">
        <w:rPr>
          <w:szCs w:val="26"/>
        </w:rPr>
        <w:t xml:space="preserve"> For </w:t>
      </w:r>
      <w:r w:rsidR="009133C0">
        <w:rPr>
          <w:szCs w:val="26"/>
        </w:rPr>
        <w:t>instance</w:t>
      </w:r>
      <w:r w:rsidR="0063301C">
        <w:rPr>
          <w:szCs w:val="26"/>
        </w:rPr>
        <w:t xml:space="preserve">, if </w:t>
      </w:r>
      <w:r w:rsidR="001E23CC">
        <w:rPr>
          <w:szCs w:val="26"/>
        </w:rPr>
        <w:t xml:space="preserve">the calendar year’s </w:t>
      </w:r>
      <w:r w:rsidR="00AD3A9D">
        <w:rPr>
          <w:szCs w:val="26"/>
        </w:rPr>
        <w:t xml:space="preserve">allowance for leave cashouts was 200 hours, </w:t>
      </w:r>
      <w:r w:rsidR="0063301C">
        <w:rPr>
          <w:szCs w:val="26"/>
        </w:rPr>
        <w:t xml:space="preserve">a Tier 1 member </w:t>
      </w:r>
      <w:r w:rsidR="008E7808">
        <w:rPr>
          <w:szCs w:val="26"/>
        </w:rPr>
        <w:t>c</w:t>
      </w:r>
      <w:r w:rsidR="00AD3A9D">
        <w:rPr>
          <w:szCs w:val="26"/>
        </w:rPr>
        <w:t>ould cash</w:t>
      </w:r>
      <w:r w:rsidR="00D318CF">
        <w:rPr>
          <w:szCs w:val="26"/>
        </w:rPr>
        <w:t xml:space="preserve"> </w:t>
      </w:r>
      <w:r w:rsidR="008E7808">
        <w:rPr>
          <w:szCs w:val="26"/>
        </w:rPr>
        <w:t>out 200 hours</w:t>
      </w:r>
      <w:r w:rsidR="002C1B40">
        <w:rPr>
          <w:szCs w:val="26"/>
        </w:rPr>
        <w:t xml:space="preserve"> </w:t>
      </w:r>
      <w:r w:rsidR="003E4EC4">
        <w:rPr>
          <w:szCs w:val="26"/>
        </w:rPr>
        <w:t xml:space="preserve">in </w:t>
      </w:r>
      <w:r w:rsidR="008E6580">
        <w:rPr>
          <w:szCs w:val="26"/>
        </w:rPr>
        <w:t>y</w:t>
      </w:r>
      <w:r w:rsidR="003E4EC4">
        <w:rPr>
          <w:szCs w:val="26"/>
        </w:rPr>
        <w:t>ear 1</w:t>
      </w:r>
      <w:r w:rsidR="00AD3A9D">
        <w:rPr>
          <w:szCs w:val="26"/>
        </w:rPr>
        <w:t xml:space="preserve"> and </w:t>
      </w:r>
      <w:r w:rsidR="003E4EC4">
        <w:rPr>
          <w:szCs w:val="26"/>
        </w:rPr>
        <w:t xml:space="preserve">an additional 200 hours for </w:t>
      </w:r>
      <w:r w:rsidR="008E6580">
        <w:rPr>
          <w:szCs w:val="26"/>
        </w:rPr>
        <w:t>y</w:t>
      </w:r>
      <w:r w:rsidR="00570945">
        <w:rPr>
          <w:szCs w:val="26"/>
        </w:rPr>
        <w:t xml:space="preserve">ear 2 for a total of 400 hours of leave </w:t>
      </w:r>
      <w:r w:rsidR="00D01DC6">
        <w:rPr>
          <w:szCs w:val="26"/>
        </w:rPr>
        <w:t>redeemed</w:t>
      </w:r>
      <w:r w:rsidR="000C4194">
        <w:rPr>
          <w:szCs w:val="26"/>
        </w:rPr>
        <w:t xml:space="preserve"> during their final average compensation period. </w:t>
      </w:r>
      <w:r w:rsidR="00377511">
        <w:rPr>
          <w:szCs w:val="26"/>
        </w:rPr>
        <w:t xml:space="preserve"> </w:t>
      </w:r>
    </w:p>
    <w:p w:rsidR="0008752E" w:rsidRPr="006B72AC" w:rsidP="00A122FC" w14:paraId="5E5A80E0" w14:textId="421D849E">
      <w:pPr>
        <w:pStyle w:val="Heading2"/>
        <w:spacing w:before="0" w:line="288" w:lineRule="auto"/>
        <w:jc w:val="center"/>
      </w:pPr>
      <w:r>
        <w:rPr>
          <w:iCs/>
        </w:rPr>
        <w:t xml:space="preserve">Alameda </w:t>
      </w:r>
      <w:r w:rsidR="004A6792">
        <w:t>d</w:t>
      </w:r>
      <w:r>
        <w:t>ecision</w:t>
      </w:r>
      <w:r w:rsidR="00C16A5B">
        <w:t xml:space="preserve"> and the Resolution</w:t>
      </w:r>
    </w:p>
    <w:p w:rsidR="00F365AD" w:rsidRPr="004E176B" w:rsidP="00A122FC" w14:paraId="468BC5B8" w14:textId="5C7E7B8C">
      <w:pPr>
        <w:ind w:firstLine="720"/>
        <w:rPr>
          <w:lang w:eastAsia="x-none"/>
        </w:rPr>
      </w:pPr>
      <w:r>
        <w:rPr>
          <w:lang w:eastAsia="x-none"/>
        </w:rPr>
        <w:t xml:space="preserve">In </w:t>
      </w:r>
      <w:r w:rsidR="00ED2DE7">
        <w:rPr>
          <w:lang w:eastAsia="x-none"/>
        </w:rPr>
        <w:t>July</w:t>
      </w:r>
      <w:r>
        <w:rPr>
          <w:lang w:eastAsia="x-none"/>
        </w:rPr>
        <w:t xml:space="preserve"> 2020</w:t>
      </w:r>
      <w:r w:rsidR="00ED2DE7">
        <w:rPr>
          <w:lang w:eastAsia="x-none"/>
        </w:rPr>
        <w:t>,</w:t>
      </w:r>
      <w:r>
        <w:rPr>
          <w:lang w:eastAsia="x-none"/>
        </w:rPr>
        <w:t xml:space="preserve"> our Supreme Court </w:t>
      </w:r>
      <w:r w:rsidR="00652C65">
        <w:rPr>
          <w:lang w:eastAsia="x-none"/>
        </w:rPr>
        <w:t xml:space="preserve">decided </w:t>
      </w:r>
      <w:r>
        <w:rPr>
          <w:i/>
          <w:iCs/>
          <w:lang w:eastAsia="x-none"/>
        </w:rPr>
        <w:t>Alameda</w:t>
      </w:r>
      <w:r w:rsidR="001D1F65">
        <w:rPr>
          <w:lang w:eastAsia="x-none"/>
        </w:rPr>
        <w:t xml:space="preserve">, </w:t>
      </w:r>
      <w:r w:rsidR="001D1F65">
        <w:rPr>
          <w:i/>
          <w:iCs/>
          <w:lang w:eastAsia="x-none"/>
        </w:rPr>
        <w:t>supra</w:t>
      </w:r>
      <w:r w:rsidR="001D1F65">
        <w:rPr>
          <w:lang w:eastAsia="x-none"/>
        </w:rPr>
        <w:t xml:space="preserve">, </w:t>
      </w:r>
      <w:r w:rsidR="006F6163">
        <w:rPr>
          <w:lang w:eastAsia="x-none"/>
        </w:rPr>
        <w:t xml:space="preserve">9 Cal.5th </w:t>
      </w:r>
      <w:r w:rsidR="00652C65">
        <w:rPr>
          <w:lang w:eastAsia="x-none"/>
        </w:rPr>
        <w:t>1032</w:t>
      </w:r>
      <w:r w:rsidR="00367C39">
        <w:rPr>
          <w:lang w:eastAsia="x-none"/>
        </w:rPr>
        <w:t xml:space="preserve">.  </w:t>
      </w:r>
      <w:r w:rsidR="00AF3531">
        <w:rPr>
          <w:lang w:eastAsia="x-none"/>
        </w:rPr>
        <w:t xml:space="preserve">In </w:t>
      </w:r>
      <w:r w:rsidR="00AF3531">
        <w:rPr>
          <w:i/>
          <w:iCs/>
          <w:lang w:eastAsia="x-none"/>
        </w:rPr>
        <w:t>Alameda</w:t>
      </w:r>
      <w:r w:rsidR="00AF3531">
        <w:rPr>
          <w:lang w:eastAsia="x-none"/>
        </w:rPr>
        <w:t xml:space="preserve">, </w:t>
      </w:r>
      <w:r w:rsidR="00B4766F">
        <w:rPr>
          <w:lang w:eastAsia="x-none"/>
        </w:rPr>
        <w:t>the</w:t>
      </w:r>
      <w:r w:rsidR="00695A4A">
        <w:rPr>
          <w:lang w:eastAsia="x-none"/>
        </w:rPr>
        <w:t xml:space="preserve"> plaintiffs</w:t>
      </w:r>
      <w:r w:rsidR="00CE5B20">
        <w:rPr>
          <w:lang w:eastAsia="x-none"/>
        </w:rPr>
        <w:t xml:space="preserve"> (labor unions and other labor groups)</w:t>
      </w:r>
      <w:r w:rsidR="00695A4A">
        <w:rPr>
          <w:lang w:eastAsia="x-none"/>
        </w:rPr>
        <w:t xml:space="preserve"> </w:t>
      </w:r>
      <w:r w:rsidR="00735EB2">
        <w:rPr>
          <w:lang w:eastAsia="x-none"/>
        </w:rPr>
        <w:t xml:space="preserve">challenged </w:t>
      </w:r>
      <w:r w:rsidR="00D0225C">
        <w:rPr>
          <w:lang w:eastAsia="x-none"/>
        </w:rPr>
        <w:t xml:space="preserve">the amendments to CERL </w:t>
      </w:r>
      <w:r w:rsidR="00735EB2">
        <w:rPr>
          <w:lang w:eastAsia="x-none"/>
        </w:rPr>
        <w:t>(</w:t>
      </w:r>
      <w:r w:rsidR="007331CE">
        <w:rPr>
          <w:lang w:eastAsia="x-none"/>
        </w:rPr>
        <w:t xml:space="preserve">i.e., the PEPRA exclusions under </w:t>
      </w:r>
      <w:r w:rsidR="00735EB2">
        <w:rPr>
          <w:lang w:eastAsia="x-none"/>
        </w:rPr>
        <w:t xml:space="preserve">§ 31461, subd. (b)) </w:t>
      </w:r>
      <w:r w:rsidR="0019579D">
        <w:rPr>
          <w:lang w:eastAsia="x-none"/>
        </w:rPr>
        <w:t>on the ground th</w:t>
      </w:r>
      <w:r w:rsidR="00D2760F">
        <w:rPr>
          <w:lang w:eastAsia="x-none"/>
        </w:rPr>
        <w:t>at</w:t>
      </w:r>
      <w:r w:rsidR="00B4766F">
        <w:rPr>
          <w:lang w:eastAsia="x-none"/>
        </w:rPr>
        <w:t xml:space="preserve"> </w:t>
      </w:r>
      <w:r w:rsidR="00166B94">
        <w:rPr>
          <w:lang w:eastAsia="x-none"/>
        </w:rPr>
        <w:t xml:space="preserve">the plaintiffs </w:t>
      </w:r>
      <w:r w:rsidR="00D0225C">
        <w:rPr>
          <w:lang w:eastAsia="x-none"/>
        </w:rPr>
        <w:t>possessed</w:t>
      </w:r>
      <w:r w:rsidR="00D2760F">
        <w:rPr>
          <w:lang w:eastAsia="x-none"/>
        </w:rPr>
        <w:t xml:space="preserve"> </w:t>
      </w:r>
      <w:r w:rsidR="00D0225C">
        <w:rPr>
          <w:lang w:eastAsia="x-none"/>
        </w:rPr>
        <w:t xml:space="preserve">(1) </w:t>
      </w:r>
      <w:r w:rsidR="00D2760F">
        <w:rPr>
          <w:lang w:eastAsia="x-none"/>
        </w:rPr>
        <w:t xml:space="preserve">contractual </w:t>
      </w:r>
      <w:r w:rsidR="00B940F3">
        <w:rPr>
          <w:lang w:eastAsia="x-none"/>
        </w:rPr>
        <w:t xml:space="preserve">or equitable </w:t>
      </w:r>
      <w:r w:rsidR="00D2760F">
        <w:rPr>
          <w:lang w:eastAsia="x-none"/>
        </w:rPr>
        <w:t>right</w:t>
      </w:r>
      <w:r w:rsidR="00B4766F">
        <w:rPr>
          <w:lang w:eastAsia="x-none"/>
        </w:rPr>
        <w:t>s</w:t>
      </w:r>
      <w:r w:rsidR="00D2760F">
        <w:rPr>
          <w:lang w:eastAsia="x-none"/>
        </w:rPr>
        <w:t xml:space="preserve"> to receive pension benefits</w:t>
      </w:r>
      <w:r w:rsidR="00D0225C">
        <w:rPr>
          <w:lang w:eastAsia="x-none"/>
        </w:rPr>
        <w:t xml:space="preserve"> </w:t>
      </w:r>
      <w:r w:rsidR="00B940F3">
        <w:rPr>
          <w:lang w:eastAsia="x-none"/>
        </w:rPr>
        <w:t xml:space="preserve">and (2) </w:t>
      </w:r>
      <w:r w:rsidR="00142E37">
        <w:rPr>
          <w:lang w:eastAsia="x-none"/>
        </w:rPr>
        <w:t xml:space="preserve">a constitutional right to </w:t>
      </w:r>
      <w:r w:rsidR="0051375F">
        <w:rPr>
          <w:lang w:eastAsia="x-none"/>
        </w:rPr>
        <w:t>receive pension benefits according to the law as it existed prior to</w:t>
      </w:r>
      <w:r w:rsidR="00B940F3">
        <w:rPr>
          <w:lang w:eastAsia="x-none"/>
        </w:rPr>
        <w:t xml:space="preserve"> PEPRA</w:t>
      </w:r>
      <w:r w:rsidR="00142E37">
        <w:rPr>
          <w:lang w:eastAsia="x-none"/>
        </w:rPr>
        <w:t xml:space="preserve">. </w:t>
      </w:r>
      <w:r w:rsidRPr="004E176B" w:rsidR="00AF3531">
        <w:rPr>
          <w:lang w:eastAsia="x-none"/>
        </w:rPr>
        <w:t xml:space="preserve"> </w:t>
      </w:r>
      <w:r w:rsidR="00D32B41">
        <w:rPr>
          <w:lang w:eastAsia="x-none"/>
        </w:rPr>
        <w:t>(</w:t>
      </w:r>
      <w:r w:rsidR="00D32B41">
        <w:rPr>
          <w:i/>
          <w:iCs/>
          <w:lang w:eastAsia="x-none"/>
        </w:rPr>
        <w:t>Alameda</w:t>
      </w:r>
      <w:r w:rsidR="00D32B41">
        <w:rPr>
          <w:lang w:eastAsia="x-none"/>
        </w:rPr>
        <w:t xml:space="preserve">, </w:t>
      </w:r>
      <w:r w:rsidR="00DB24A5">
        <w:rPr>
          <w:i/>
          <w:iCs/>
          <w:lang w:eastAsia="x-none"/>
        </w:rPr>
        <w:t>supra</w:t>
      </w:r>
      <w:r w:rsidR="00DB24A5">
        <w:rPr>
          <w:lang w:eastAsia="x-none"/>
        </w:rPr>
        <w:t xml:space="preserve">, 9 Cal.5th </w:t>
      </w:r>
      <w:r w:rsidR="00D32B41">
        <w:rPr>
          <w:lang w:eastAsia="x-none"/>
        </w:rPr>
        <w:t xml:space="preserve">at pp. 1052-1053.) </w:t>
      </w:r>
      <w:r w:rsidRPr="004E176B" w:rsidR="00D32B41">
        <w:rPr>
          <w:lang w:eastAsia="x-none"/>
        </w:rPr>
        <w:t xml:space="preserve"> </w:t>
      </w:r>
      <w:r w:rsidR="00AC2107">
        <w:rPr>
          <w:lang w:eastAsia="x-none"/>
        </w:rPr>
        <w:t>T</w:t>
      </w:r>
      <w:r w:rsidR="00AB00EA">
        <w:rPr>
          <w:lang w:eastAsia="x-none"/>
        </w:rPr>
        <w:t xml:space="preserve">he court </w:t>
      </w:r>
      <w:r w:rsidR="00FE4712">
        <w:rPr>
          <w:lang w:eastAsia="x-none"/>
        </w:rPr>
        <w:t xml:space="preserve">upheld the PEPRA exclusions, concluding </w:t>
      </w:r>
      <w:r w:rsidR="009B2F87">
        <w:rPr>
          <w:lang w:eastAsia="x-none"/>
        </w:rPr>
        <w:t>they</w:t>
      </w:r>
      <w:r w:rsidR="0049595B">
        <w:rPr>
          <w:lang w:eastAsia="x-none"/>
        </w:rPr>
        <w:t xml:space="preserve"> </w:t>
      </w:r>
      <w:r w:rsidR="00386EF9">
        <w:rPr>
          <w:lang w:eastAsia="x-none"/>
        </w:rPr>
        <w:t>did not violate contractual</w:t>
      </w:r>
      <w:r w:rsidR="00481EAF">
        <w:rPr>
          <w:lang w:eastAsia="x-none"/>
        </w:rPr>
        <w:t>,</w:t>
      </w:r>
      <w:r w:rsidR="00386EF9">
        <w:rPr>
          <w:lang w:eastAsia="x-none"/>
        </w:rPr>
        <w:t xml:space="preserve"> equitable</w:t>
      </w:r>
      <w:r w:rsidR="00481EAF">
        <w:rPr>
          <w:lang w:eastAsia="x-none"/>
        </w:rPr>
        <w:t>, or constitutional</w:t>
      </w:r>
      <w:r w:rsidR="00386EF9">
        <w:rPr>
          <w:lang w:eastAsia="x-none"/>
        </w:rPr>
        <w:t xml:space="preserve"> rights</w:t>
      </w:r>
      <w:r w:rsidR="0049595B">
        <w:rPr>
          <w:lang w:eastAsia="x-none"/>
        </w:rPr>
        <w:t>.</w:t>
      </w:r>
      <w:r w:rsidR="00FA76C6">
        <w:rPr>
          <w:lang w:eastAsia="x-none"/>
        </w:rPr>
        <w:t xml:space="preserve"> </w:t>
      </w:r>
      <w:r w:rsidR="009B514B">
        <w:rPr>
          <w:lang w:eastAsia="x-none"/>
        </w:rPr>
        <w:t xml:space="preserve"> </w:t>
      </w:r>
      <w:r w:rsidR="00EF4B9E">
        <w:rPr>
          <w:lang w:eastAsia="x-none"/>
        </w:rPr>
        <w:t>(</w:t>
      </w:r>
      <w:r w:rsidR="00EB4409">
        <w:rPr>
          <w:i/>
          <w:iCs/>
          <w:lang w:eastAsia="x-none"/>
        </w:rPr>
        <w:t xml:space="preserve">Id. </w:t>
      </w:r>
      <w:r w:rsidR="00EF4B9E">
        <w:rPr>
          <w:lang w:eastAsia="x-none"/>
        </w:rPr>
        <w:t xml:space="preserve">at p. </w:t>
      </w:r>
      <w:r>
        <w:rPr>
          <w:lang w:eastAsia="x-none"/>
        </w:rPr>
        <w:t>10</w:t>
      </w:r>
      <w:r w:rsidR="00E506E4">
        <w:rPr>
          <w:lang w:eastAsia="x-none"/>
        </w:rPr>
        <w:t>54</w:t>
      </w:r>
      <w:r>
        <w:rPr>
          <w:lang w:eastAsia="x-none"/>
        </w:rPr>
        <w:t>.</w:t>
      </w:r>
      <w:r w:rsidR="008D544F">
        <w:rPr>
          <w:lang w:eastAsia="x-none"/>
        </w:rPr>
        <w:t>)</w:t>
      </w:r>
      <w:r w:rsidRPr="004E176B" w:rsidR="00EF4B9E">
        <w:rPr>
          <w:lang w:eastAsia="x-none"/>
        </w:rPr>
        <w:t xml:space="preserve"> </w:t>
      </w:r>
      <w:r w:rsidRPr="004E176B">
        <w:rPr>
          <w:lang w:eastAsia="x-none"/>
        </w:rPr>
        <w:t xml:space="preserve"> </w:t>
      </w:r>
    </w:p>
    <w:p w:rsidR="008B36D6" w:rsidP="00A122FC" w14:paraId="7B2D0612" w14:textId="41435316">
      <w:pPr>
        <w:ind w:firstLine="720"/>
        <w:rPr>
          <w:lang w:eastAsia="x-none"/>
        </w:rPr>
      </w:pPr>
      <w:r>
        <w:rPr>
          <w:lang w:eastAsia="x-none"/>
        </w:rPr>
        <w:t xml:space="preserve">Thereafter, </w:t>
      </w:r>
      <w:r w:rsidR="00C16A5B">
        <w:rPr>
          <w:lang w:eastAsia="x-none"/>
        </w:rPr>
        <w:t>in October</w:t>
      </w:r>
      <w:r w:rsidR="007508AB">
        <w:rPr>
          <w:lang w:eastAsia="x-none"/>
        </w:rPr>
        <w:t xml:space="preserve"> 2020,</w:t>
      </w:r>
      <w:r w:rsidR="00C16A5B">
        <w:rPr>
          <w:lang w:eastAsia="x-none"/>
        </w:rPr>
        <w:t xml:space="preserve"> </w:t>
      </w:r>
      <w:r w:rsidR="00367AF2">
        <w:rPr>
          <w:lang w:eastAsia="x-none"/>
        </w:rPr>
        <w:t xml:space="preserve">the Board </w:t>
      </w:r>
      <w:r w:rsidR="00F35598">
        <w:rPr>
          <w:lang w:eastAsia="x-none"/>
        </w:rPr>
        <w:t xml:space="preserve">adopted </w:t>
      </w:r>
      <w:r w:rsidR="00D12880">
        <w:rPr>
          <w:lang w:eastAsia="x-none"/>
        </w:rPr>
        <w:t>the</w:t>
      </w:r>
      <w:r w:rsidR="00F35598">
        <w:rPr>
          <w:lang w:eastAsia="x-none"/>
        </w:rPr>
        <w:t xml:space="preserve"> Resolution</w:t>
      </w:r>
      <w:r w:rsidR="00F365AD">
        <w:rPr>
          <w:lang w:eastAsia="x-none"/>
        </w:rPr>
        <w:t xml:space="preserve"> in </w:t>
      </w:r>
      <w:r w:rsidR="000F11F9">
        <w:rPr>
          <w:lang w:eastAsia="x-none"/>
        </w:rPr>
        <w:t xml:space="preserve">response </w:t>
      </w:r>
      <w:r w:rsidR="00ED4058">
        <w:rPr>
          <w:lang w:eastAsia="x-none"/>
        </w:rPr>
        <w:t xml:space="preserve">to </w:t>
      </w:r>
      <w:r w:rsidR="009B2F87">
        <w:rPr>
          <w:i/>
          <w:iCs/>
          <w:lang w:eastAsia="x-none"/>
        </w:rPr>
        <w:t>Alameda</w:t>
      </w:r>
      <w:r w:rsidR="00F365AD">
        <w:rPr>
          <w:lang w:eastAsia="x-none"/>
        </w:rPr>
        <w:t>.</w:t>
      </w:r>
      <w:r w:rsidR="00003066">
        <w:rPr>
          <w:lang w:eastAsia="x-none"/>
        </w:rPr>
        <w:t xml:space="preserve"> </w:t>
      </w:r>
      <w:r w:rsidR="00ED4058">
        <w:rPr>
          <w:lang w:eastAsia="x-none"/>
        </w:rPr>
        <w:t xml:space="preserve"> </w:t>
      </w:r>
      <w:r w:rsidR="00A63A37">
        <w:rPr>
          <w:lang w:eastAsia="x-none"/>
        </w:rPr>
        <w:t xml:space="preserve">The Resolution </w:t>
      </w:r>
      <w:r w:rsidR="0038401D">
        <w:rPr>
          <w:lang w:eastAsia="x-none"/>
        </w:rPr>
        <w:t xml:space="preserve">stated that </w:t>
      </w:r>
      <w:r w:rsidR="00B70D88">
        <w:rPr>
          <w:i/>
          <w:iCs/>
          <w:lang w:eastAsia="x-none"/>
        </w:rPr>
        <w:t xml:space="preserve">Alameda </w:t>
      </w:r>
      <w:r w:rsidR="0005059E">
        <w:rPr>
          <w:lang w:eastAsia="x-none"/>
        </w:rPr>
        <w:t xml:space="preserve">“determine[d] that CERL retirement boards may not include items in retirement allowance calculations, either compensation earnable under </w:t>
      </w:r>
      <w:r w:rsidR="0043015E">
        <w:rPr>
          <w:lang w:eastAsia="x-none"/>
        </w:rPr>
        <w:t>section 31461</w:t>
      </w:r>
      <w:r w:rsidR="00E65431">
        <w:rPr>
          <w:lang w:eastAsia="x-none"/>
        </w:rPr>
        <w:t xml:space="preserve">, as amended, or pensionable compensation under </w:t>
      </w:r>
      <w:r w:rsidR="008E6580">
        <w:rPr>
          <w:lang w:eastAsia="x-none"/>
        </w:rPr>
        <w:t xml:space="preserve">section </w:t>
      </w:r>
      <w:r w:rsidR="00E65431">
        <w:rPr>
          <w:lang w:eastAsia="x-none"/>
        </w:rPr>
        <w:t>7522.34,</w:t>
      </w:r>
      <w:r w:rsidR="0043015E">
        <w:rPr>
          <w:lang w:eastAsia="x-none"/>
        </w:rPr>
        <w:t xml:space="preserve"> that the applicable statutes require them to exclude</w:t>
      </w:r>
      <w:r w:rsidR="0002414F">
        <w:rPr>
          <w:lang w:eastAsia="x-none"/>
        </w:rPr>
        <w:t>.</w:t>
      </w:r>
      <w:r w:rsidR="008E6580">
        <w:rPr>
          <w:lang w:eastAsia="x-none"/>
        </w:rPr>
        <w:t xml:space="preserve"> </w:t>
      </w:r>
      <w:r w:rsidR="001546D1">
        <w:rPr>
          <w:lang w:eastAsia="x-none"/>
        </w:rPr>
        <w:t xml:space="preserve"> </w:t>
      </w:r>
      <w:r w:rsidR="0002414F">
        <w:rPr>
          <w:lang w:eastAsia="x-none"/>
        </w:rPr>
        <w:t>[</w:t>
      </w:r>
      <w:r w:rsidR="00221840">
        <w:rPr>
          <w:rFonts w:ascii="Trebuchet MS" w:hAnsi="Trebuchet MS"/>
          <w:lang w:eastAsia="x-none"/>
        </w:rPr>
        <w:t>¶</w:t>
      </w:r>
      <w:r w:rsidR="00221840">
        <w:rPr>
          <w:lang w:eastAsia="x-none"/>
        </w:rPr>
        <w:t xml:space="preserve">] . . . </w:t>
      </w:r>
      <w:r w:rsidR="008E6580">
        <w:rPr>
          <w:lang w:eastAsia="x-none"/>
        </w:rPr>
        <w:t>[</w:t>
      </w:r>
      <w:r w:rsidR="008E6580">
        <w:rPr>
          <w:rFonts w:ascii="Trebuchet MS" w:hAnsi="Trebuchet MS"/>
          <w:lang w:eastAsia="x-none"/>
        </w:rPr>
        <w:t>¶</w:t>
      </w:r>
      <w:r w:rsidR="008E6580">
        <w:rPr>
          <w:lang w:eastAsia="x-none"/>
        </w:rPr>
        <w:t xml:space="preserve">] </w:t>
      </w:r>
      <w:r w:rsidR="001546D1">
        <w:rPr>
          <w:lang w:eastAsia="x-none"/>
        </w:rPr>
        <w:t xml:space="preserve"> </w:t>
      </w:r>
      <w:r w:rsidR="00B4763B">
        <w:rPr>
          <w:lang w:eastAsia="x-none"/>
        </w:rPr>
        <w:t>T</w:t>
      </w:r>
      <w:r w:rsidR="00AE5E8F">
        <w:rPr>
          <w:lang w:eastAsia="x-none"/>
        </w:rPr>
        <w:t xml:space="preserve">he Board hereby determines </w:t>
      </w:r>
      <w:r w:rsidR="006A2EBE">
        <w:rPr>
          <w:lang w:eastAsia="x-none"/>
        </w:rPr>
        <w:t xml:space="preserve">that the </w:t>
      </w:r>
      <w:r w:rsidR="001958CC">
        <w:rPr>
          <w:i/>
          <w:iCs/>
          <w:lang w:eastAsia="x-none"/>
        </w:rPr>
        <w:t xml:space="preserve">Alameda </w:t>
      </w:r>
      <w:r w:rsidR="001958CC">
        <w:rPr>
          <w:lang w:eastAsia="x-none"/>
        </w:rPr>
        <w:t xml:space="preserve">Decision and </w:t>
      </w:r>
      <w:r w:rsidR="00872FAA">
        <w:rPr>
          <w:lang w:eastAsia="x-none"/>
        </w:rPr>
        <w:t xml:space="preserve">other applicable law require it to change its determinations of certain </w:t>
      </w:r>
      <w:r w:rsidR="0078384D">
        <w:rPr>
          <w:lang w:eastAsia="x-none"/>
        </w:rPr>
        <w:t xml:space="preserve">pay codes for . . . compensation earnable.” </w:t>
      </w:r>
      <w:r w:rsidR="00FB735D">
        <w:rPr>
          <w:lang w:eastAsia="x-none"/>
        </w:rPr>
        <w:t xml:space="preserve"> </w:t>
      </w:r>
    </w:p>
    <w:p w:rsidR="00F5168A" w:rsidRPr="0079781D" w:rsidP="00A122FC" w14:paraId="094EE5C4" w14:textId="7F8E8092">
      <w:pPr>
        <w:ind w:firstLine="720"/>
        <w:rPr>
          <w:lang w:eastAsia="x-none"/>
        </w:rPr>
      </w:pPr>
      <w:r>
        <w:rPr>
          <w:lang w:eastAsia="x-none"/>
        </w:rPr>
        <w:t xml:space="preserve">Following adoption of the Resolution, </w:t>
      </w:r>
      <w:r w:rsidR="00A233CE">
        <w:rPr>
          <w:lang w:eastAsia="x-none"/>
        </w:rPr>
        <w:t>VCERA</w:t>
      </w:r>
      <w:r w:rsidR="00A63A37">
        <w:rPr>
          <w:lang w:eastAsia="x-none"/>
        </w:rPr>
        <w:t xml:space="preserve"> </w:t>
      </w:r>
      <w:r w:rsidR="00003066">
        <w:rPr>
          <w:lang w:eastAsia="x-none"/>
        </w:rPr>
        <w:t xml:space="preserve">excluded </w:t>
      </w:r>
      <w:r w:rsidR="00A65F22">
        <w:rPr>
          <w:lang w:eastAsia="x-none"/>
        </w:rPr>
        <w:t xml:space="preserve">from compensation earnable </w:t>
      </w:r>
      <w:r w:rsidR="00CB6BFA">
        <w:rPr>
          <w:lang w:eastAsia="x-none"/>
        </w:rPr>
        <w:t>payment</w:t>
      </w:r>
      <w:r w:rsidR="002906A9">
        <w:rPr>
          <w:lang w:eastAsia="x-none"/>
        </w:rPr>
        <w:t>s</w:t>
      </w:r>
      <w:r w:rsidR="00E376A7">
        <w:rPr>
          <w:lang w:eastAsia="x-none"/>
        </w:rPr>
        <w:t xml:space="preserve"> for </w:t>
      </w:r>
      <w:r w:rsidR="00A65F22">
        <w:rPr>
          <w:lang w:eastAsia="x-none"/>
        </w:rPr>
        <w:t xml:space="preserve">leave cashouts </w:t>
      </w:r>
      <w:r w:rsidR="00A068D1">
        <w:rPr>
          <w:lang w:eastAsia="x-none"/>
        </w:rPr>
        <w:t>that exceed</w:t>
      </w:r>
      <w:r w:rsidR="002906A9">
        <w:rPr>
          <w:lang w:eastAsia="x-none"/>
        </w:rPr>
        <w:t>ed</w:t>
      </w:r>
      <w:r w:rsidR="00A65F22">
        <w:rPr>
          <w:lang w:eastAsia="x-none"/>
        </w:rPr>
        <w:t xml:space="preserve"> a </w:t>
      </w:r>
      <w:r w:rsidR="00CB41A8">
        <w:rPr>
          <w:lang w:eastAsia="x-none"/>
        </w:rPr>
        <w:t xml:space="preserve">VCERA </w:t>
      </w:r>
      <w:r w:rsidR="00A65F22">
        <w:rPr>
          <w:lang w:eastAsia="x-none"/>
        </w:rPr>
        <w:t>member’s calendar year allowance for leave cashouts</w:t>
      </w:r>
      <w:r w:rsidR="00D45B1C">
        <w:rPr>
          <w:lang w:eastAsia="x-none"/>
        </w:rPr>
        <w:t xml:space="preserve">. </w:t>
      </w:r>
      <w:r w:rsidR="00D35CCA">
        <w:rPr>
          <w:lang w:eastAsia="x-none"/>
        </w:rPr>
        <w:t xml:space="preserve"> </w:t>
      </w:r>
      <w:r w:rsidR="00832298">
        <w:rPr>
          <w:lang w:eastAsia="x-none"/>
        </w:rPr>
        <w:t>T</w:t>
      </w:r>
      <w:r w:rsidR="00D35CCA">
        <w:rPr>
          <w:lang w:eastAsia="x-none"/>
        </w:rPr>
        <w:t xml:space="preserve">his exclusion </w:t>
      </w:r>
      <w:r w:rsidR="00832298">
        <w:rPr>
          <w:lang w:eastAsia="x-none"/>
        </w:rPr>
        <w:t xml:space="preserve">applied </w:t>
      </w:r>
      <w:r w:rsidR="00D35CCA">
        <w:rPr>
          <w:lang w:eastAsia="x-none"/>
        </w:rPr>
        <w:t>to all retirement bene</w:t>
      </w:r>
      <w:r w:rsidR="003F4650">
        <w:rPr>
          <w:lang w:eastAsia="x-none"/>
        </w:rPr>
        <w:t>fit payments made on or after August 31, 2020</w:t>
      </w:r>
      <w:r w:rsidR="001546D1">
        <w:rPr>
          <w:lang w:eastAsia="x-none"/>
        </w:rPr>
        <w:t>,</w:t>
      </w:r>
      <w:r w:rsidR="00BA7387">
        <w:rPr>
          <w:lang w:eastAsia="x-none"/>
        </w:rPr>
        <w:t xml:space="preserve"> (</w:t>
      </w:r>
      <w:r w:rsidR="002906A9">
        <w:rPr>
          <w:lang w:eastAsia="x-none"/>
        </w:rPr>
        <w:t xml:space="preserve">the </w:t>
      </w:r>
      <w:r w:rsidR="00345970">
        <w:rPr>
          <w:lang w:eastAsia="x-none"/>
        </w:rPr>
        <w:t xml:space="preserve">date of the </w:t>
      </w:r>
      <w:r w:rsidR="00BA7387">
        <w:rPr>
          <w:lang w:eastAsia="x-none"/>
        </w:rPr>
        <w:t xml:space="preserve">first issuance of retirement allowances </w:t>
      </w:r>
      <w:r w:rsidR="00345970">
        <w:rPr>
          <w:lang w:eastAsia="x-none"/>
        </w:rPr>
        <w:t xml:space="preserve">after </w:t>
      </w:r>
      <w:r w:rsidR="00345970">
        <w:rPr>
          <w:i/>
          <w:iCs/>
          <w:lang w:eastAsia="x-none"/>
        </w:rPr>
        <w:t>Alameda</w:t>
      </w:r>
      <w:r w:rsidR="00345970">
        <w:rPr>
          <w:lang w:eastAsia="x-none"/>
        </w:rPr>
        <w:t xml:space="preserve"> became final)</w:t>
      </w:r>
      <w:r w:rsidR="003F4650">
        <w:rPr>
          <w:lang w:eastAsia="x-none"/>
        </w:rPr>
        <w:t xml:space="preserve"> </w:t>
      </w:r>
      <w:r w:rsidR="00DB390D">
        <w:rPr>
          <w:lang w:eastAsia="x-none"/>
        </w:rPr>
        <w:t>to all VCERA members who retired on or after January 1, 2013</w:t>
      </w:r>
      <w:r w:rsidR="000C6109">
        <w:rPr>
          <w:lang w:eastAsia="x-none"/>
        </w:rPr>
        <w:t>, PEPRA’s effective date</w:t>
      </w:r>
      <w:r w:rsidR="00DB390D">
        <w:rPr>
          <w:lang w:eastAsia="x-none"/>
        </w:rPr>
        <w:t xml:space="preserve">. </w:t>
      </w:r>
      <w:r w:rsidR="0079781D">
        <w:rPr>
          <w:lang w:eastAsia="x-none"/>
        </w:rPr>
        <w:t xml:space="preserve"> </w:t>
      </w:r>
      <w:r w:rsidRPr="009A56C8" w:rsidR="00E66A02">
        <w:rPr>
          <w:lang w:eastAsia="x-none"/>
        </w:rPr>
        <w:t>Any overpayments made</w:t>
      </w:r>
      <w:r w:rsidRPr="009A56C8" w:rsidR="002906A9">
        <w:rPr>
          <w:lang w:eastAsia="x-none"/>
        </w:rPr>
        <w:t xml:space="preserve"> to employees</w:t>
      </w:r>
      <w:r w:rsidRPr="009A56C8" w:rsidR="00E66A02">
        <w:rPr>
          <w:lang w:eastAsia="x-none"/>
        </w:rPr>
        <w:t xml:space="preserve"> before </w:t>
      </w:r>
      <w:r w:rsidRPr="009A56C8" w:rsidR="0086552A">
        <w:rPr>
          <w:lang w:eastAsia="x-none"/>
        </w:rPr>
        <w:t xml:space="preserve">the issuance of the </w:t>
      </w:r>
      <w:r w:rsidRPr="009A56C8" w:rsidR="0086552A">
        <w:rPr>
          <w:i/>
          <w:iCs/>
          <w:lang w:eastAsia="x-none"/>
        </w:rPr>
        <w:t>Alameda</w:t>
      </w:r>
      <w:r w:rsidRPr="009A56C8" w:rsidR="0086552A">
        <w:rPr>
          <w:lang w:eastAsia="x-none"/>
        </w:rPr>
        <w:t xml:space="preserve"> decision</w:t>
      </w:r>
      <w:r w:rsidRPr="009A56C8" w:rsidR="00E66A02">
        <w:rPr>
          <w:lang w:eastAsia="x-none"/>
        </w:rPr>
        <w:t xml:space="preserve"> </w:t>
      </w:r>
      <w:r w:rsidRPr="009A56C8" w:rsidR="00526AB6">
        <w:rPr>
          <w:lang w:eastAsia="x-none"/>
        </w:rPr>
        <w:t xml:space="preserve">were not recouped. </w:t>
      </w:r>
    </w:p>
    <w:p w:rsidR="00382638" w:rsidRPr="00382638" w:rsidP="00A122FC" w14:paraId="32D1422E" w14:textId="77777777">
      <w:pPr>
        <w:pStyle w:val="Heading2"/>
        <w:spacing w:before="0" w:line="288" w:lineRule="auto"/>
        <w:jc w:val="center"/>
      </w:pPr>
      <w:r>
        <w:t>The</w:t>
      </w:r>
      <w:r w:rsidR="00FE67E0">
        <w:t xml:space="preserve"> lawsuit</w:t>
      </w:r>
    </w:p>
    <w:p w:rsidR="005639A3" w:rsidP="00A122FC" w14:paraId="20E4BE79" w14:textId="18E75FAC">
      <w:pPr>
        <w:tabs>
          <w:tab w:val="left" w:pos="2880"/>
        </w:tabs>
        <w:ind w:firstLine="720"/>
        <w:rPr>
          <w:lang w:eastAsia="x-none"/>
        </w:rPr>
      </w:pPr>
      <w:r>
        <w:rPr>
          <w:lang w:eastAsia="x-none"/>
        </w:rPr>
        <w:t>In its first cause of action</w:t>
      </w:r>
      <w:r w:rsidR="009A56C8">
        <w:rPr>
          <w:lang w:eastAsia="x-none"/>
        </w:rPr>
        <w:t>,</w:t>
      </w:r>
      <w:r>
        <w:rPr>
          <w:lang w:eastAsia="x-none"/>
        </w:rPr>
        <w:t xml:space="preserve"> VCERA filed a lawsuit</w:t>
      </w:r>
      <w:r w:rsidR="009623E3">
        <w:rPr>
          <w:lang w:eastAsia="x-none"/>
        </w:rPr>
        <w:t xml:space="preserve"> seeking</w:t>
      </w:r>
      <w:r>
        <w:rPr>
          <w:lang w:eastAsia="x-none"/>
        </w:rPr>
        <w:t xml:space="preserve"> declaratory relief </w:t>
      </w:r>
      <w:r w:rsidRPr="002906A9">
        <w:rPr>
          <w:lang w:eastAsia="x-none"/>
        </w:rPr>
        <w:t>that it had the “legal authority” to take the actions set forth in the Resolution with respect to the PEPRA exclusions</w:t>
      </w:r>
      <w:r>
        <w:rPr>
          <w:lang w:eastAsia="x-none"/>
        </w:rPr>
        <w:t>.</w:t>
      </w:r>
      <w:r>
        <w:rPr>
          <w:rStyle w:val="FootnoteReference"/>
          <w:position w:val="8"/>
          <w:sz w:val="20"/>
          <w:szCs w:val="20"/>
          <w:vertAlign w:val="baseline"/>
        </w:rPr>
        <w:footnoteReference w:id="5"/>
      </w:r>
      <w:r w:rsidR="009623E3">
        <w:rPr>
          <w:lang w:eastAsia="x-none"/>
        </w:rPr>
        <w:t xml:space="preserve"> </w:t>
      </w:r>
      <w:bookmarkStart w:id="2" w:name="_Hlk146791883"/>
      <w:r w:rsidR="00887246">
        <w:rPr>
          <w:lang w:eastAsia="x-none"/>
        </w:rPr>
        <w:t xml:space="preserve"> </w:t>
      </w:r>
    </w:p>
    <w:bookmarkEnd w:id="2"/>
    <w:p w:rsidR="00A7116E" w:rsidP="00A122FC" w14:paraId="1D1241F8" w14:textId="671D8BD8">
      <w:pPr>
        <w:rPr>
          <w:lang w:eastAsia="x-none"/>
        </w:rPr>
      </w:pPr>
      <w:r>
        <w:rPr>
          <w:lang w:eastAsia="x-none"/>
        </w:rPr>
        <w:tab/>
      </w:r>
      <w:r w:rsidR="009F45D0">
        <w:rPr>
          <w:lang w:eastAsia="x-none"/>
        </w:rPr>
        <w:t xml:space="preserve">Leroy Smith, the former </w:t>
      </w:r>
      <w:r w:rsidR="00EB25D2">
        <w:rPr>
          <w:lang w:eastAsia="x-none"/>
        </w:rPr>
        <w:t>c</w:t>
      </w:r>
      <w:r w:rsidR="009F45D0">
        <w:rPr>
          <w:lang w:eastAsia="x-none"/>
        </w:rPr>
        <w:t xml:space="preserve">ounty </w:t>
      </w:r>
      <w:r w:rsidR="00EB25D2">
        <w:rPr>
          <w:lang w:eastAsia="x-none"/>
        </w:rPr>
        <w:t>c</w:t>
      </w:r>
      <w:r w:rsidR="009F45D0">
        <w:rPr>
          <w:lang w:eastAsia="x-none"/>
        </w:rPr>
        <w:t>ounsel</w:t>
      </w:r>
      <w:r w:rsidR="007B7E65">
        <w:rPr>
          <w:lang w:eastAsia="x-none"/>
        </w:rPr>
        <w:t xml:space="preserve"> of Ventura County</w:t>
      </w:r>
      <w:r w:rsidR="009F45D0">
        <w:rPr>
          <w:lang w:eastAsia="x-none"/>
        </w:rPr>
        <w:t xml:space="preserve">, filed </w:t>
      </w:r>
      <w:r w:rsidR="00741D99">
        <w:rPr>
          <w:lang w:eastAsia="x-none"/>
        </w:rPr>
        <w:t>a cross-complaint against VCERA</w:t>
      </w:r>
      <w:r w:rsidR="007D7D7C">
        <w:rPr>
          <w:lang w:eastAsia="x-none"/>
        </w:rPr>
        <w:t xml:space="preserve"> for declaratory relief. </w:t>
      </w:r>
      <w:r w:rsidR="00065187">
        <w:rPr>
          <w:lang w:eastAsia="x-none"/>
        </w:rPr>
        <w:t xml:space="preserve"> </w:t>
      </w:r>
      <w:r w:rsidR="000714BC">
        <w:rPr>
          <w:lang w:eastAsia="x-none"/>
        </w:rPr>
        <w:t>S</w:t>
      </w:r>
      <w:r w:rsidR="009E3944">
        <w:rPr>
          <w:lang w:eastAsia="x-none"/>
        </w:rPr>
        <w:t>mith accrued 368.1 hou</w:t>
      </w:r>
      <w:r w:rsidR="005021DF">
        <w:rPr>
          <w:lang w:eastAsia="x-none"/>
        </w:rPr>
        <w:t xml:space="preserve">rs of annual leave per year, and his calendar year </w:t>
      </w:r>
      <w:r w:rsidR="000714BC">
        <w:rPr>
          <w:lang w:eastAsia="x-none"/>
        </w:rPr>
        <w:t xml:space="preserve">allowance for leave cashouts was 200 hours.  </w:t>
      </w:r>
      <w:r w:rsidR="0017035D">
        <w:rPr>
          <w:lang w:eastAsia="x-none"/>
        </w:rPr>
        <w:t xml:space="preserve">As a </w:t>
      </w:r>
      <w:r w:rsidR="000714BC">
        <w:rPr>
          <w:lang w:eastAsia="x-none"/>
        </w:rPr>
        <w:t xml:space="preserve">Tier 1 </w:t>
      </w:r>
      <w:r w:rsidR="0017035D">
        <w:rPr>
          <w:lang w:eastAsia="x-none"/>
        </w:rPr>
        <w:t>member</w:t>
      </w:r>
      <w:r w:rsidR="000714BC">
        <w:rPr>
          <w:lang w:eastAsia="x-none"/>
        </w:rPr>
        <w:t xml:space="preserve">, </w:t>
      </w:r>
      <w:r w:rsidR="0017035D">
        <w:rPr>
          <w:lang w:eastAsia="x-none"/>
        </w:rPr>
        <w:t xml:space="preserve">Smith </w:t>
      </w:r>
      <w:r w:rsidR="000714BC">
        <w:rPr>
          <w:lang w:eastAsia="x-none"/>
        </w:rPr>
        <w:t xml:space="preserve">designated October 2019 to October 2020 as his final average compensation period.  </w:t>
      </w:r>
      <w:r w:rsidR="00D77A8B">
        <w:rPr>
          <w:lang w:eastAsia="x-none"/>
        </w:rPr>
        <w:t xml:space="preserve">He cashed out 240 hours of leave: 40 hours in 2019 and 200 hours in 2020.  </w:t>
      </w:r>
      <w:r w:rsidR="001113F7">
        <w:rPr>
          <w:lang w:eastAsia="x-none"/>
        </w:rPr>
        <w:t xml:space="preserve">VCERA </w:t>
      </w:r>
      <w:r w:rsidR="00B81443">
        <w:rPr>
          <w:lang w:eastAsia="x-none"/>
        </w:rPr>
        <w:t xml:space="preserve">only </w:t>
      </w:r>
      <w:r w:rsidR="001113F7">
        <w:rPr>
          <w:lang w:eastAsia="x-none"/>
        </w:rPr>
        <w:t>include</w:t>
      </w:r>
      <w:r w:rsidR="00CF15A9">
        <w:rPr>
          <w:lang w:eastAsia="x-none"/>
        </w:rPr>
        <w:t>d</w:t>
      </w:r>
      <w:r w:rsidR="005970C3">
        <w:rPr>
          <w:lang w:eastAsia="x-none"/>
        </w:rPr>
        <w:t xml:space="preserve"> compensation for the </w:t>
      </w:r>
      <w:r w:rsidR="001113F7">
        <w:rPr>
          <w:lang w:eastAsia="x-none"/>
        </w:rPr>
        <w:t>200 hours</w:t>
      </w:r>
      <w:r w:rsidR="005970C3">
        <w:rPr>
          <w:lang w:eastAsia="x-none"/>
        </w:rPr>
        <w:t xml:space="preserve"> of leave</w:t>
      </w:r>
      <w:r w:rsidR="007F32E2">
        <w:rPr>
          <w:lang w:eastAsia="x-none"/>
        </w:rPr>
        <w:t xml:space="preserve"> </w:t>
      </w:r>
      <w:r w:rsidR="00A07A3C">
        <w:rPr>
          <w:lang w:eastAsia="x-none"/>
        </w:rPr>
        <w:t xml:space="preserve">(his calendar year leave allowance) </w:t>
      </w:r>
      <w:r w:rsidR="007F32E2">
        <w:rPr>
          <w:lang w:eastAsia="x-none"/>
        </w:rPr>
        <w:t xml:space="preserve">in </w:t>
      </w:r>
      <w:r w:rsidR="009A1ACC">
        <w:rPr>
          <w:lang w:eastAsia="x-none"/>
        </w:rPr>
        <w:t xml:space="preserve">determining </w:t>
      </w:r>
      <w:r w:rsidR="007F32E2">
        <w:rPr>
          <w:lang w:eastAsia="x-none"/>
        </w:rPr>
        <w:t xml:space="preserve">Smith’s compensation earnable. </w:t>
      </w:r>
      <w:r w:rsidR="001A78B2">
        <w:rPr>
          <w:lang w:eastAsia="x-none"/>
        </w:rPr>
        <w:t xml:space="preserve"> Smith</w:t>
      </w:r>
      <w:r w:rsidR="00F94DAA">
        <w:rPr>
          <w:lang w:eastAsia="x-none"/>
        </w:rPr>
        <w:t xml:space="preserve">’s cross-complaint alleged a single cause of action for </w:t>
      </w:r>
      <w:r w:rsidR="0017035D">
        <w:rPr>
          <w:lang w:eastAsia="x-none"/>
        </w:rPr>
        <w:t xml:space="preserve">declaratory relief </w:t>
      </w:r>
      <w:r w:rsidR="00F94DAA">
        <w:rPr>
          <w:lang w:eastAsia="x-none"/>
        </w:rPr>
        <w:t xml:space="preserve">that VCERA </w:t>
      </w:r>
      <w:r w:rsidR="002A3EB2">
        <w:rPr>
          <w:lang w:eastAsia="x-none"/>
        </w:rPr>
        <w:t xml:space="preserve">had a legal duty to </w:t>
      </w:r>
      <w:r w:rsidR="00FE4AF3">
        <w:rPr>
          <w:lang w:eastAsia="x-none"/>
        </w:rPr>
        <w:t xml:space="preserve">include </w:t>
      </w:r>
      <w:r w:rsidR="001A64D7">
        <w:rPr>
          <w:lang w:eastAsia="x-none"/>
        </w:rPr>
        <w:t>cash payments for all</w:t>
      </w:r>
      <w:r w:rsidR="00FE4AF3">
        <w:rPr>
          <w:lang w:eastAsia="x-none"/>
        </w:rPr>
        <w:t xml:space="preserve"> 240 hours of leave in his compensation earnable</w:t>
      </w:r>
      <w:r w:rsidR="001F2B4F">
        <w:rPr>
          <w:lang w:eastAsia="x-none"/>
        </w:rPr>
        <w:t xml:space="preserve"> </w:t>
      </w:r>
      <w:r w:rsidR="00B147BD">
        <w:rPr>
          <w:lang w:eastAsia="x-none"/>
        </w:rPr>
        <w:t>for the purposes of calculating his retirement benefits</w:t>
      </w:r>
      <w:r>
        <w:rPr>
          <w:lang w:eastAsia="x-none"/>
        </w:rPr>
        <w:t xml:space="preserve">. </w:t>
      </w:r>
    </w:p>
    <w:p w:rsidR="007D6A21" w:rsidP="00A122FC" w14:paraId="60797972" w14:textId="2EEE7D9C">
      <w:pPr>
        <w:ind w:firstLine="720"/>
        <w:rPr>
          <w:lang w:eastAsia="x-none"/>
        </w:rPr>
      </w:pPr>
      <w:r>
        <w:rPr>
          <w:lang w:eastAsia="x-none"/>
        </w:rPr>
        <w:t xml:space="preserve">The County </w:t>
      </w:r>
      <w:r w:rsidR="00F96C9C">
        <w:rPr>
          <w:lang w:eastAsia="x-none"/>
        </w:rPr>
        <w:t xml:space="preserve">of Ventura (the County) filed a complaint in intervention in Smith’s </w:t>
      </w:r>
      <w:r w:rsidR="00AF1B79">
        <w:rPr>
          <w:lang w:eastAsia="x-none"/>
        </w:rPr>
        <w:t xml:space="preserve">cross-action. </w:t>
      </w:r>
      <w:r w:rsidR="002E7184">
        <w:rPr>
          <w:lang w:eastAsia="x-none"/>
        </w:rPr>
        <w:t xml:space="preserve"> </w:t>
      </w:r>
      <w:r w:rsidR="00AF1B79">
        <w:rPr>
          <w:lang w:eastAsia="x-none"/>
        </w:rPr>
        <w:t xml:space="preserve">The County </w:t>
      </w:r>
      <w:r w:rsidR="007C519C">
        <w:rPr>
          <w:lang w:eastAsia="x-none"/>
        </w:rPr>
        <w:t>alleged one cause of action for</w:t>
      </w:r>
      <w:r w:rsidR="00AF1B79">
        <w:rPr>
          <w:lang w:eastAsia="x-none"/>
        </w:rPr>
        <w:t xml:space="preserve"> declaratory relief</w:t>
      </w:r>
      <w:r w:rsidR="007C519C">
        <w:rPr>
          <w:lang w:eastAsia="x-none"/>
        </w:rPr>
        <w:t xml:space="preserve">, seeking a </w:t>
      </w:r>
      <w:r w:rsidR="004778D8">
        <w:rPr>
          <w:lang w:eastAsia="x-none"/>
        </w:rPr>
        <w:t xml:space="preserve">judicial declaration that </w:t>
      </w:r>
      <w:r w:rsidR="00EB788A">
        <w:rPr>
          <w:lang w:eastAsia="x-none"/>
        </w:rPr>
        <w:t xml:space="preserve">“VCERA was not legally required to </w:t>
      </w:r>
      <w:r w:rsidR="0064063E">
        <w:rPr>
          <w:lang w:eastAsia="x-none"/>
        </w:rPr>
        <w:t>take the actions set forth in [the Resolution] . . . as it relate</w:t>
      </w:r>
      <w:r w:rsidR="00B96585">
        <w:rPr>
          <w:lang w:eastAsia="x-none"/>
        </w:rPr>
        <w:t>s</w:t>
      </w:r>
      <w:r w:rsidR="0064063E">
        <w:rPr>
          <w:lang w:eastAsia="x-none"/>
        </w:rPr>
        <w:t xml:space="preserve"> to annual leave cashouts that exceed what can be redeemed in a single calendar year</w:t>
      </w:r>
      <w:r w:rsidR="00A3469E">
        <w:rPr>
          <w:lang w:eastAsia="x-none"/>
        </w:rPr>
        <w:t>.</w:t>
      </w:r>
      <w:r w:rsidR="0064063E">
        <w:rPr>
          <w:lang w:eastAsia="x-none"/>
        </w:rPr>
        <w:t xml:space="preserve">” </w:t>
      </w:r>
      <w:r w:rsidR="00A3469E">
        <w:rPr>
          <w:lang w:eastAsia="x-none"/>
        </w:rPr>
        <w:t xml:space="preserve"> </w:t>
      </w:r>
    </w:p>
    <w:p w:rsidR="00EC1D10" w:rsidP="00A122FC" w14:paraId="2F34E6A7" w14:textId="0E559521">
      <w:pPr>
        <w:rPr>
          <w:lang w:eastAsia="x-none"/>
        </w:rPr>
      </w:pPr>
      <w:r>
        <w:rPr>
          <w:lang w:eastAsia="x-none"/>
        </w:rPr>
        <w:tab/>
        <w:t>The parties stipu</w:t>
      </w:r>
      <w:r w:rsidR="005D5C38">
        <w:rPr>
          <w:lang w:eastAsia="x-none"/>
        </w:rPr>
        <w:t xml:space="preserve">lated to resolving </w:t>
      </w:r>
      <w:r w:rsidR="00A30EA3">
        <w:rPr>
          <w:lang w:eastAsia="x-none"/>
        </w:rPr>
        <w:t xml:space="preserve">two </w:t>
      </w:r>
      <w:r w:rsidR="005D5C38">
        <w:rPr>
          <w:lang w:eastAsia="x-none"/>
        </w:rPr>
        <w:t>issue</w:t>
      </w:r>
      <w:r w:rsidR="00177DE4">
        <w:rPr>
          <w:lang w:eastAsia="x-none"/>
        </w:rPr>
        <w:t>s</w:t>
      </w:r>
      <w:r w:rsidRPr="00BA0E20" w:rsidR="00BA0E20">
        <w:rPr>
          <w:lang w:eastAsia="x-none"/>
        </w:rPr>
        <w:t xml:space="preserve"> </w:t>
      </w:r>
      <w:r w:rsidR="00BA0E20">
        <w:rPr>
          <w:lang w:eastAsia="x-none"/>
        </w:rPr>
        <w:t>by summary adjudication</w:t>
      </w:r>
      <w:r w:rsidR="007A7152">
        <w:rPr>
          <w:lang w:eastAsia="x-none"/>
        </w:rPr>
        <w:t>:</w:t>
      </w:r>
      <w:r w:rsidR="005D5C38">
        <w:rPr>
          <w:lang w:eastAsia="x-none"/>
        </w:rPr>
        <w:t xml:space="preserve"> </w:t>
      </w:r>
      <w:r w:rsidR="00732726">
        <w:rPr>
          <w:lang w:eastAsia="x-none"/>
        </w:rPr>
        <w:t xml:space="preserve">(1) </w:t>
      </w:r>
      <w:r w:rsidR="00EE2056">
        <w:rPr>
          <w:lang w:eastAsia="x-none"/>
        </w:rPr>
        <w:t xml:space="preserve">whether </w:t>
      </w:r>
      <w:r w:rsidR="005D5C38">
        <w:rPr>
          <w:lang w:eastAsia="x-none"/>
        </w:rPr>
        <w:t xml:space="preserve">VCERA </w:t>
      </w:r>
      <w:r w:rsidR="00C851E4">
        <w:rPr>
          <w:lang w:eastAsia="x-none"/>
        </w:rPr>
        <w:t xml:space="preserve">must exclude from compensation earnable annual leave cashouts </w:t>
      </w:r>
      <w:r w:rsidR="00FF0A6C">
        <w:rPr>
          <w:lang w:eastAsia="x-none"/>
        </w:rPr>
        <w:t>exceeding</w:t>
      </w:r>
      <w:r w:rsidR="00C851E4">
        <w:rPr>
          <w:lang w:eastAsia="x-none"/>
        </w:rPr>
        <w:t xml:space="preserve"> the calendar year allowance for leave cashouts</w:t>
      </w:r>
      <w:r w:rsidR="00D959B0">
        <w:rPr>
          <w:lang w:eastAsia="x-none"/>
        </w:rPr>
        <w:t>;</w:t>
      </w:r>
      <w:r w:rsidR="00672710">
        <w:rPr>
          <w:lang w:eastAsia="x-none"/>
        </w:rPr>
        <w:t xml:space="preserve"> and </w:t>
      </w:r>
      <w:r w:rsidR="00EE2056">
        <w:rPr>
          <w:lang w:eastAsia="x-none"/>
        </w:rPr>
        <w:t xml:space="preserve">if so, </w:t>
      </w:r>
      <w:r w:rsidR="00672710">
        <w:rPr>
          <w:lang w:eastAsia="x-none"/>
        </w:rPr>
        <w:t>(2)</w:t>
      </w:r>
      <w:r w:rsidR="00003C1D">
        <w:rPr>
          <w:lang w:eastAsia="x-none"/>
        </w:rPr>
        <w:t xml:space="preserve"> </w:t>
      </w:r>
      <w:r w:rsidR="001A0511">
        <w:rPr>
          <w:lang w:eastAsia="x-none"/>
        </w:rPr>
        <w:t xml:space="preserve">whether </w:t>
      </w:r>
      <w:r w:rsidR="00732726">
        <w:rPr>
          <w:lang w:eastAsia="x-none"/>
        </w:rPr>
        <w:t xml:space="preserve">VCERA must exclude such leave cashouts </w:t>
      </w:r>
      <w:r w:rsidR="00295F60">
        <w:rPr>
          <w:lang w:eastAsia="x-none"/>
        </w:rPr>
        <w:t xml:space="preserve">from the </w:t>
      </w:r>
      <w:r w:rsidR="001A0511">
        <w:rPr>
          <w:lang w:eastAsia="x-none"/>
        </w:rPr>
        <w:t xml:space="preserve">calculation of </w:t>
      </w:r>
      <w:r w:rsidR="00295F60">
        <w:rPr>
          <w:lang w:eastAsia="x-none"/>
        </w:rPr>
        <w:t>retirement</w:t>
      </w:r>
      <w:r w:rsidR="001A0511">
        <w:rPr>
          <w:lang w:eastAsia="x-none"/>
        </w:rPr>
        <w:t xml:space="preserve"> benefit</w:t>
      </w:r>
      <w:r w:rsidR="00CE34D5">
        <w:rPr>
          <w:lang w:eastAsia="x-none"/>
        </w:rPr>
        <w:t xml:space="preserve"> payments to members who retired on or after January 1, 2013</w:t>
      </w:r>
      <w:r w:rsidR="0017035D">
        <w:rPr>
          <w:lang w:eastAsia="x-none"/>
        </w:rPr>
        <w:t>, the effective date of PEPRA’s amendments to CERL</w:t>
      </w:r>
      <w:r w:rsidR="007A371F">
        <w:rPr>
          <w:lang w:eastAsia="x-none"/>
        </w:rPr>
        <w:t xml:space="preserve">.  </w:t>
      </w:r>
    </w:p>
    <w:p w:rsidR="00405E41" w:rsidP="00A122FC" w14:paraId="1B815F26" w14:textId="29B73AB9">
      <w:pPr>
        <w:rPr>
          <w:lang w:eastAsia="x-none"/>
        </w:rPr>
      </w:pPr>
      <w:r>
        <w:rPr>
          <w:lang w:eastAsia="x-none"/>
        </w:rPr>
        <w:tab/>
        <w:t xml:space="preserve">The trial court </w:t>
      </w:r>
      <w:r w:rsidR="005E337F">
        <w:rPr>
          <w:lang w:eastAsia="x-none"/>
        </w:rPr>
        <w:t xml:space="preserve">granted summary adjudication </w:t>
      </w:r>
      <w:r>
        <w:rPr>
          <w:lang w:eastAsia="x-none"/>
        </w:rPr>
        <w:t xml:space="preserve">in favor of </w:t>
      </w:r>
      <w:r w:rsidR="00706A05">
        <w:rPr>
          <w:lang w:eastAsia="x-none"/>
        </w:rPr>
        <w:t xml:space="preserve">VCERA. </w:t>
      </w:r>
      <w:r w:rsidR="00206EA5">
        <w:rPr>
          <w:lang w:eastAsia="x-none"/>
        </w:rPr>
        <w:t xml:space="preserve"> </w:t>
      </w:r>
      <w:r w:rsidR="000C2834">
        <w:rPr>
          <w:lang w:eastAsia="x-none"/>
        </w:rPr>
        <w:t>As to the first issue, the court</w:t>
      </w:r>
      <w:r w:rsidR="00706A05">
        <w:rPr>
          <w:lang w:eastAsia="x-none"/>
        </w:rPr>
        <w:t xml:space="preserve"> found</w:t>
      </w:r>
      <w:r w:rsidR="00E96E7B">
        <w:rPr>
          <w:lang w:eastAsia="x-none"/>
        </w:rPr>
        <w:t xml:space="preserve"> that </w:t>
      </w:r>
      <w:r w:rsidR="006C6650">
        <w:rPr>
          <w:lang w:eastAsia="x-none"/>
        </w:rPr>
        <w:t xml:space="preserve">for members with a 12-month final </w:t>
      </w:r>
      <w:r w:rsidR="008C158E">
        <w:rPr>
          <w:lang w:eastAsia="x-none"/>
        </w:rPr>
        <w:t xml:space="preserve">average </w:t>
      </w:r>
      <w:r w:rsidR="006C6650">
        <w:rPr>
          <w:lang w:eastAsia="x-none"/>
        </w:rPr>
        <w:t>compensation period</w:t>
      </w:r>
      <w:r w:rsidR="007A64AE">
        <w:rPr>
          <w:lang w:eastAsia="x-none"/>
        </w:rPr>
        <w:t xml:space="preserve"> </w:t>
      </w:r>
      <w:r w:rsidR="00B96585">
        <w:rPr>
          <w:lang w:eastAsia="x-none"/>
        </w:rPr>
        <w:t>(</w:t>
      </w:r>
      <w:r w:rsidR="007A64AE">
        <w:rPr>
          <w:lang w:eastAsia="x-none"/>
        </w:rPr>
        <w:t>Tier 1 members</w:t>
      </w:r>
      <w:r w:rsidR="00B96585">
        <w:rPr>
          <w:lang w:eastAsia="x-none"/>
        </w:rPr>
        <w:t>)</w:t>
      </w:r>
      <w:r w:rsidR="006C6650">
        <w:rPr>
          <w:lang w:eastAsia="x-none"/>
        </w:rPr>
        <w:t>, “</w:t>
      </w:r>
      <w:r w:rsidR="00E96E7B">
        <w:rPr>
          <w:lang w:eastAsia="x-none"/>
        </w:rPr>
        <w:t>VCERA</w:t>
      </w:r>
      <w:r w:rsidR="008C158E">
        <w:rPr>
          <w:lang w:eastAsia="x-none"/>
        </w:rPr>
        <w:t xml:space="preserve"> must exclude from the calculation of retirement benefit payments all compensation for leave cashouts that exceed the maximum amount of leave that was earnable and payable to the member in either calendar year that began or ended with the</w:t>
      </w:r>
      <w:r w:rsidR="002C74A2">
        <w:rPr>
          <w:lang w:eastAsia="x-none"/>
        </w:rPr>
        <w:t xml:space="preserve"> member’s 12-month measurement period.” </w:t>
      </w:r>
      <w:r w:rsidR="00E96E7B">
        <w:rPr>
          <w:lang w:eastAsia="x-none"/>
        </w:rPr>
        <w:t xml:space="preserve"> </w:t>
      </w:r>
      <w:r w:rsidR="00D5341A">
        <w:rPr>
          <w:lang w:eastAsia="x-none"/>
        </w:rPr>
        <w:t xml:space="preserve">Similarly, </w:t>
      </w:r>
      <w:r w:rsidR="00652F6E">
        <w:rPr>
          <w:lang w:eastAsia="x-none"/>
        </w:rPr>
        <w:t>for members with a 36-month period</w:t>
      </w:r>
      <w:r w:rsidR="007A64AE">
        <w:rPr>
          <w:lang w:eastAsia="x-none"/>
        </w:rPr>
        <w:t xml:space="preserve"> </w:t>
      </w:r>
      <w:r w:rsidR="00B96585">
        <w:rPr>
          <w:lang w:eastAsia="x-none"/>
        </w:rPr>
        <w:t>(</w:t>
      </w:r>
      <w:r w:rsidR="007A64AE">
        <w:rPr>
          <w:lang w:eastAsia="x-none"/>
        </w:rPr>
        <w:t>Tier 2 members</w:t>
      </w:r>
      <w:r w:rsidR="00B96585">
        <w:rPr>
          <w:lang w:eastAsia="x-none"/>
        </w:rPr>
        <w:t>)</w:t>
      </w:r>
      <w:r w:rsidR="00652F6E">
        <w:rPr>
          <w:lang w:eastAsia="x-none"/>
        </w:rPr>
        <w:t xml:space="preserve">, VCERA must exclude </w:t>
      </w:r>
      <w:r w:rsidR="00AE0068">
        <w:rPr>
          <w:lang w:eastAsia="x-none"/>
        </w:rPr>
        <w:t xml:space="preserve">leave cashouts that exceed the maximum amount of leave </w:t>
      </w:r>
      <w:r w:rsidR="002E46BD">
        <w:rPr>
          <w:lang w:eastAsia="x-none"/>
        </w:rPr>
        <w:t>earnable or payable in “any three-calendar-year</w:t>
      </w:r>
      <w:r w:rsidR="00B96585">
        <w:rPr>
          <w:lang w:eastAsia="x-none"/>
        </w:rPr>
        <w:t xml:space="preserve"> </w:t>
      </w:r>
      <w:r w:rsidR="002E46BD">
        <w:rPr>
          <w:lang w:eastAsia="x-none"/>
        </w:rPr>
        <w:t>period that began or ended within the mem</w:t>
      </w:r>
      <w:r w:rsidR="009B15D7">
        <w:rPr>
          <w:lang w:eastAsia="x-none"/>
        </w:rPr>
        <w:t>ber’s 36</w:t>
      </w:r>
      <w:r w:rsidR="000207B6">
        <w:rPr>
          <w:lang w:eastAsia="x-none"/>
        </w:rPr>
        <w:t>-</w:t>
      </w:r>
      <w:r w:rsidR="009B15D7">
        <w:rPr>
          <w:lang w:eastAsia="x-none"/>
        </w:rPr>
        <w:t xml:space="preserve">month measurement </w:t>
      </w:r>
      <w:r w:rsidR="0091216F">
        <w:rPr>
          <w:lang w:eastAsia="x-none"/>
        </w:rPr>
        <w:t xml:space="preserve">period.”  </w:t>
      </w:r>
    </w:p>
    <w:p w:rsidR="000C2834" w:rsidRPr="004946F2" w:rsidP="00A122FC" w14:paraId="4D2BFD69" w14:textId="75549E3A">
      <w:pPr>
        <w:rPr>
          <w:lang w:eastAsia="x-none"/>
        </w:rPr>
      </w:pPr>
      <w:r>
        <w:rPr>
          <w:lang w:eastAsia="x-none"/>
        </w:rPr>
        <w:tab/>
        <w:t>As to the second issue, the trial court concluded that “VCERA may exclude such leave cashouts from the calculation of retirement benefit payments made on or after August 31, 2020, to VCERA members who retired on or after January 1, 2013</w:t>
      </w:r>
      <w:r w:rsidR="007A64AE">
        <w:rPr>
          <w:lang w:eastAsia="x-none"/>
        </w:rPr>
        <w:t xml:space="preserve">.” </w:t>
      </w:r>
      <w:r w:rsidR="004946F2">
        <w:rPr>
          <w:lang w:eastAsia="x-none"/>
        </w:rPr>
        <w:t xml:space="preserve"> </w:t>
      </w:r>
    </w:p>
    <w:p w:rsidR="00DE5E18" w:rsidP="00A122FC" w14:paraId="2BA57F5C" w14:textId="77777777">
      <w:pPr>
        <w:pStyle w:val="Heading1"/>
        <w:spacing w:before="0" w:after="0"/>
        <w:rPr>
          <w:b w:val="0"/>
          <w:szCs w:val="26"/>
          <w:lang w:val="en-US"/>
        </w:rPr>
      </w:pPr>
      <w:r>
        <w:rPr>
          <w:b w:val="0"/>
          <w:szCs w:val="26"/>
          <w:lang w:val="en-US"/>
        </w:rPr>
        <w:t>discussion</w:t>
      </w:r>
    </w:p>
    <w:p w:rsidR="00DE5E18" w:rsidP="00A122FC" w14:paraId="0713BA93" w14:textId="13DB83EB">
      <w:pPr>
        <w:ind w:firstLine="720"/>
      </w:pPr>
      <w:r>
        <w:t xml:space="preserve">Appellants contend the trial court erred in </w:t>
      </w:r>
      <w:r w:rsidR="00C46B87">
        <w:t xml:space="preserve">interpreting </w:t>
      </w:r>
      <w:r w:rsidR="007B5901">
        <w:t>subdivision (b)(2) of section 31461</w:t>
      </w:r>
      <w:r w:rsidR="00D85004">
        <w:t xml:space="preserve"> as applie</w:t>
      </w:r>
      <w:r w:rsidR="00D64E36">
        <w:t>d</w:t>
      </w:r>
      <w:r w:rsidR="00D85004">
        <w:t xml:space="preserve"> to legacy member</w:t>
      </w:r>
      <w:r w:rsidR="001546D1">
        <w:t>s—</w:t>
      </w:r>
      <w:r w:rsidR="00D64E36">
        <w:t>employees</w:t>
      </w:r>
      <w:r w:rsidRPr="00D64E36" w:rsidR="00D64E36">
        <w:t xml:space="preserve"> who began their employment before PEPRA’s effective date</w:t>
      </w:r>
      <w:r>
        <w:t xml:space="preserve">.  </w:t>
      </w:r>
      <w:r w:rsidR="00CC4E48">
        <w:t xml:space="preserve">They argue </w:t>
      </w:r>
      <w:r w:rsidR="00FF571D">
        <w:t xml:space="preserve">that nothing in the </w:t>
      </w:r>
      <w:r w:rsidR="00F71E02">
        <w:t xml:space="preserve">statute’s </w:t>
      </w:r>
      <w:r w:rsidR="00FF571D">
        <w:t>plain text or legislative history requi</w:t>
      </w:r>
      <w:r w:rsidR="005C0673">
        <w:t>re</w:t>
      </w:r>
      <w:r w:rsidR="00017FEB">
        <w:t>d</w:t>
      </w:r>
      <w:r w:rsidR="005C0673">
        <w:t xml:space="preserve"> </w:t>
      </w:r>
      <w:r w:rsidR="00E755A7">
        <w:t>the Board</w:t>
      </w:r>
      <w:r w:rsidR="005C5448">
        <w:t xml:space="preserve"> to </w:t>
      </w:r>
      <w:r w:rsidRPr="005C5448" w:rsidR="005C5448">
        <w:t xml:space="preserve">exclude leave cashouts exceeding employees’ </w:t>
      </w:r>
      <w:r w:rsidR="00AD4926">
        <w:rPr>
          <w:lang w:eastAsia="x-none"/>
        </w:rPr>
        <w:t>calendar year allowance for leave cashouts</w:t>
      </w:r>
      <w:r w:rsidRPr="005C5448" w:rsidR="00AD4926">
        <w:t xml:space="preserve"> </w:t>
      </w:r>
      <w:r w:rsidRPr="005C5448" w:rsidR="005C5448">
        <w:t>from retirement benefit calculations</w:t>
      </w:r>
      <w:r w:rsidR="005C5448">
        <w:t xml:space="preserve">.  </w:t>
      </w:r>
      <w:r>
        <w:t xml:space="preserve">We </w:t>
      </w:r>
      <w:r w:rsidR="00015158">
        <w:t>conclude the trial court did not err</w:t>
      </w:r>
      <w:r>
        <w:t>.</w:t>
      </w:r>
    </w:p>
    <w:p w:rsidR="00430D80" w:rsidRPr="00717568" w:rsidP="00A122FC" w14:paraId="1AE95E30" w14:textId="654A664B">
      <w:pPr>
        <w:ind w:firstLine="720"/>
      </w:pPr>
      <w:r>
        <w:t xml:space="preserve">The trial court’s interpretation </w:t>
      </w:r>
      <w:r w:rsidR="000B2D20">
        <w:t xml:space="preserve">of a statute </w:t>
      </w:r>
      <w:r>
        <w:t>is a question of law that we review de novo.  (</w:t>
      </w:r>
      <w:r w:rsidR="00522F84">
        <w:rPr>
          <w:i/>
          <w:iCs/>
        </w:rPr>
        <w:t>R</w:t>
      </w:r>
      <w:r w:rsidR="00B96585">
        <w:rPr>
          <w:i/>
          <w:iCs/>
        </w:rPr>
        <w:t> </w:t>
      </w:r>
      <w:r w:rsidR="00522F84">
        <w:rPr>
          <w:i/>
          <w:iCs/>
        </w:rPr>
        <w:t>&amp;</w:t>
      </w:r>
      <w:r w:rsidR="00B96585">
        <w:rPr>
          <w:i/>
          <w:iCs/>
        </w:rPr>
        <w:t> </w:t>
      </w:r>
      <w:r w:rsidR="00522F84">
        <w:rPr>
          <w:i/>
          <w:iCs/>
        </w:rPr>
        <w:t xml:space="preserve">P Capital Resources, Inc. v. </w:t>
      </w:r>
      <w:r w:rsidR="004F7D09">
        <w:rPr>
          <w:i/>
          <w:iCs/>
        </w:rPr>
        <w:t xml:space="preserve">California State Lottery </w:t>
      </w:r>
      <w:r w:rsidR="004F7D09">
        <w:t>(1995) 31 Cal.App.4th 1033, 1036</w:t>
      </w:r>
      <w:r w:rsidR="00F8574A">
        <w:t xml:space="preserve">.)  </w:t>
      </w:r>
      <w:r w:rsidRPr="00292C41" w:rsidR="00292C41">
        <w:rPr>
          <w:rFonts w:eastAsia="Times New Roman"/>
          <w:szCs w:val="26"/>
        </w:rPr>
        <w:t>When interpreting a statut</w:t>
      </w:r>
      <w:r w:rsidR="000B2D20">
        <w:rPr>
          <w:rFonts w:eastAsia="Times New Roman"/>
          <w:szCs w:val="26"/>
        </w:rPr>
        <w:t>e</w:t>
      </w:r>
      <w:r w:rsidRPr="00292C41" w:rsidR="00292C41">
        <w:rPr>
          <w:rFonts w:eastAsia="Times New Roman"/>
          <w:szCs w:val="26"/>
        </w:rPr>
        <w:t xml:space="preserve">, </w:t>
      </w:r>
      <w:r w:rsidR="000B2D20">
        <w:rPr>
          <w:rFonts w:eastAsia="Times New Roman"/>
          <w:szCs w:val="26"/>
        </w:rPr>
        <w:t>“</w:t>
      </w:r>
      <w:r w:rsidRPr="00292C41" w:rsidR="00292C41">
        <w:rPr>
          <w:rFonts w:eastAsia="Times New Roman"/>
          <w:szCs w:val="26"/>
        </w:rPr>
        <w:t>our fundamental task is to ascertain the Legislature</w:t>
      </w:r>
      <w:r w:rsidR="00292C41">
        <w:rPr>
          <w:rFonts w:eastAsia="Times New Roman"/>
          <w:szCs w:val="26"/>
        </w:rPr>
        <w:t>’</w:t>
      </w:r>
      <w:r w:rsidRPr="00292C41" w:rsidR="00292C41">
        <w:rPr>
          <w:rFonts w:eastAsia="Times New Roman"/>
          <w:szCs w:val="26"/>
        </w:rPr>
        <w:t xml:space="preserve">s intent to effectuate the purpose of the statute.  [Citation.]  We </w:t>
      </w:r>
      <w:r w:rsidRPr="00430D80">
        <w:rPr>
          <w:rFonts w:eastAsia="Times New Roman"/>
          <w:szCs w:val="26"/>
        </w:rPr>
        <w:t xml:space="preserve">begin by examining the statutory language, giving terms their plain, ordinary meaning. </w:t>
      </w:r>
      <w:r w:rsidRPr="00292C41">
        <w:rPr>
          <w:rFonts w:eastAsia="Times New Roman"/>
          <w:szCs w:val="26"/>
        </w:rPr>
        <w:t xml:space="preserve"> </w:t>
      </w:r>
      <w:r w:rsidRPr="00430D80">
        <w:rPr>
          <w:rFonts w:eastAsia="Times New Roman"/>
          <w:szCs w:val="26"/>
        </w:rPr>
        <w:t xml:space="preserve">If the language is </w:t>
      </w:r>
      <w:r w:rsidRPr="00430D80">
        <w:rPr>
          <w:rFonts w:eastAsia="Times New Roman"/>
          <w:szCs w:val="26"/>
          <w:bdr w:val="none" w:sz="0" w:space="0" w:color="auto" w:frame="1"/>
          <w:shd w:val="clear" w:color="auto" w:fill="FFFFFF"/>
        </w:rPr>
        <w:t>ambiguous</w:t>
      </w:r>
      <w:r w:rsidRPr="00430D80">
        <w:rPr>
          <w:rFonts w:eastAsia="Times New Roman"/>
          <w:szCs w:val="26"/>
        </w:rPr>
        <w:t>, we may look to extrinsic sources, including legislative history.</w:t>
      </w:r>
      <w:r w:rsidRPr="00292C41">
        <w:rPr>
          <w:rFonts w:eastAsia="Times New Roman"/>
          <w:szCs w:val="26"/>
        </w:rPr>
        <w:t xml:space="preserve"> </w:t>
      </w:r>
      <w:r w:rsidRPr="00430D80">
        <w:rPr>
          <w:rFonts w:eastAsia="Times New Roman"/>
          <w:szCs w:val="26"/>
        </w:rPr>
        <w:t xml:space="preserve"> We select the construction that comports most closely with the intent of the Legislature, with a view of promoting, rather than defeating, the general purpose of the statute, and avoiding an interpretation that would lead to absurd results.</w:t>
      </w:r>
      <w:r w:rsidRPr="00292C41" w:rsidR="00A21648">
        <w:rPr>
          <w:rFonts w:eastAsia="Times New Roman"/>
          <w:szCs w:val="26"/>
        </w:rPr>
        <w:t xml:space="preserve">” </w:t>
      </w:r>
      <w:r w:rsidRPr="00430D80">
        <w:rPr>
          <w:rFonts w:eastAsia="Times New Roman"/>
          <w:szCs w:val="26"/>
        </w:rPr>
        <w:t xml:space="preserve"> (</w:t>
      </w:r>
      <w:r w:rsidRPr="00430D80">
        <w:rPr>
          <w:rFonts w:eastAsia="Times New Roman"/>
          <w:i/>
          <w:iCs/>
          <w:szCs w:val="26"/>
          <w:bdr w:val="none" w:sz="0" w:space="0" w:color="auto" w:frame="1"/>
        </w:rPr>
        <w:t>Fair Education Santa Barbara v. Santa Barbara Unified School Dist.</w:t>
      </w:r>
      <w:r w:rsidRPr="00430D80">
        <w:rPr>
          <w:rFonts w:eastAsia="Times New Roman"/>
          <w:szCs w:val="26"/>
        </w:rPr>
        <w:t xml:space="preserve"> (2021) 72 Cal.App.5th 884, 898</w:t>
      </w:r>
      <w:r w:rsidRPr="00172B24" w:rsidR="00A21648">
        <w:rPr>
          <w:rFonts w:eastAsia="Times New Roman"/>
          <w:szCs w:val="26"/>
        </w:rPr>
        <w:t>.)</w:t>
      </w:r>
    </w:p>
    <w:p w:rsidR="00CD0209" w:rsidP="00A122FC" w14:paraId="05CF278A" w14:textId="5B072F03">
      <w:pPr>
        <w:ind w:firstLine="720"/>
        <w:rPr>
          <w:rFonts w:eastAsia="Times New Roman"/>
          <w:szCs w:val="26"/>
        </w:rPr>
      </w:pPr>
      <w:r>
        <w:rPr>
          <w:rFonts w:eastAsia="Times New Roman"/>
          <w:szCs w:val="26"/>
        </w:rPr>
        <w:t>In</w:t>
      </w:r>
      <w:r w:rsidR="005A4E90">
        <w:rPr>
          <w:rFonts w:eastAsia="Times New Roman"/>
          <w:szCs w:val="26"/>
        </w:rPr>
        <w:t xml:space="preserve"> </w:t>
      </w:r>
      <w:r w:rsidR="003B3D4E">
        <w:rPr>
          <w:rFonts w:eastAsia="Times New Roman"/>
          <w:szCs w:val="26"/>
        </w:rPr>
        <w:t xml:space="preserve">upholding the PEPRA </w:t>
      </w:r>
      <w:r w:rsidR="004F2FE6">
        <w:rPr>
          <w:rFonts w:eastAsia="Times New Roman"/>
          <w:szCs w:val="26"/>
        </w:rPr>
        <w:t>exclusions</w:t>
      </w:r>
      <w:r w:rsidR="0015733D">
        <w:rPr>
          <w:rFonts w:eastAsia="Times New Roman"/>
          <w:szCs w:val="26"/>
        </w:rPr>
        <w:t xml:space="preserve">, </w:t>
      </w:r>
      <w:r w:rsidR="003C268A">
        <w:rPr>
          <w:rFonts w:eastAsia="Times New Roman"/>
          <w:szCs w:val="26"/>
        </w:rPr>
        <w:t xml:space="preserve">including section 31461, subdivision (b)(2), </w:t>
      </w:r>
      <w:r w:rsidR="003049B4">
        <w:rPr>
          <w:rFonts w:eastAsia="Times New Roman"/>
          <w:szCs w:val="26"/>
        </w:rPr>
        <w:t>o</w:t>
      </w:r>
      <w:r w:rsidR="001444F4">
        <w:rPr>
          <w:rFonts w:eastAsia="Times New Roman"/>
          <w:szCs w:val="26"/>
        </w:rPr>
        <w:t>ur Supreme</w:t>
      </w:r>
      <w:r w:rsidR="0015733D">
        <w:rPr>
          <w:rFonts w:eastAsia="Times New Roman"/>
          <w:szCs w:val="26"/>
        </w:rPr>
        <w:t xml:space="preserve"> </w:t>
      </w:r>
      <w:r w:rsidR="001444F4">
        <w:rPr>
          <w:rFonts w:eastAsia="Times New Roman"/>
          <w:szCs w:val="26"/>
        </w:rPr>
        <w:t>C</w:t>
      </w:r>
      <w:r w:rsidR="0015733D">
        <w:rPr>
          <w:rFonts w:eastAsia="Times New Roman"/>
          <w:szCs w:val="26"/>
        </w:rPr>
        <w:t xml:space="preserve">ourt </w:t>
      </w:r>
      <w:r w:rsidR="00B43292">
        <w:rPr>
          <w:rFonts w:eastAsia="Times New Roman"/>
          <w:szCs w:val="26"/>
        </w:rPr>
        <w:t xml:space="preserve">in </w:t>
      </w:r>
      <w:r w:rsidR="00B43292">
        <w:rPr>
          <w:rFonts w:eastAsia="Times New Roman"/>
          <w:i/>
          <w:iCs/>
          <w:szCs w:val="26"/>
        </w:rPr>
        <w:t xml:space="preserve">Alameda </w:t>
      </w:r>
      <w:r w:rsidR="0015733D">
        <w:rPr>
          <w:rFonts w:eastAsia="Times New Roman"/>
          <w:szCs w:val="26"/>
        </w:rPr>
        <w:t>examined the</w:t>
      </w:r>
      <w:r w:rsidR="00500D2C">
        <w:rPr>
          <w:rFonts w:eastAsia="Times New Roman"/>
          <w:szCs w:val="26"/>
        </w:rPr>
        <w:t xml:space="preserve"> legislative intent behind </w:t>
      </w:r>
      <w:r w:rsidR="00FF3525">
        <w:rPr>
          <w:rFonts w:eastAsia="Times New Roman"/>
          <w:szCs w:val="26"/>
        </w:rPr>
        <w:t xml:space="preserve">PEPRA and </w:t>
      </w:r>
      <w:r w:rsidR="003C268A">
        <w:rPr>
          <w:rFonts w:eastAsia="Times New Roman"/>
          <w:szCs w:val="26"/>
        </w:rPr>
        <w:t>its amendments to CERL.</w:t>
      </w:r>
      <w:r w:rsidR="00B51E93">
        <w:rPr>
          <w:rFonts w:eastAsia="Times New Roman"/>
          <w:szCs w:val="26"/>
        </w:rPr>
        <w:t xml:space="preserve">  </w:t>
      </w:r>
      <w:r w:rsidR="00CC1ED1">
        <w:rPr>
          <w:rFonts w:eastAsia="Times New Roman"/>
          <w:szCs w:val="26"/>
        </w:rPr>
        <w:t>(</w:t>
      </w:r>
      <w:r w:rsidR="00CC1ED1">
        <w:rPr>
          <w:rFonts w:eastAsia="Times New Roman"/>
          <w:i/>
          <w:iCs/>
          <w:szCs w:val="26"/>
        </w:rPr>
        <w:t>Alameda</w:t>
      </w:r>
      <w:r w:rsidR="00CC1ED1">
        <w:rPr>
          <w:rFonts w:eastAsia="Times New Roman"/>
          <w:szCs w:val="26"/>
        </w:rPr>
        <w:t xml:space="preserve">, </w:t>
      </w:r>
      <w:r w:rsidR="00CC1ED1">
        <w:rPr>
          <w:rFonts w:eastAsia="Times New Roman"/>
          <w:i/>
          <w:iCs/>
          <w:szCs w:val="26"/>
        </w:rPr>
        <w:t>supra</w:t>
      </w:r>
      <w:r w:rsidR="00CC1ED1">
        <w:rPr>
          <w:rFonts w:eastAsia="Times New Roman"/>
          <w:szCs w:val="26"/>
        </w:rPr>
        <w:t xml:space="preserve">, </w:t>
      </w:r>
      <w:r w:rsidR="0084150E">
        <w:rPr>
          <w:rFonts w:eastAsia="Times New Roman"/>
          <w:szCs w:val="26"/>
        </w:rPr>
        <w:t>9 Cal.5th at pp. 10</w:t>
      </w:r>
      <w:r w:rsidR="00FF3525">
        <w:rPr>
          <w:rFonts w:eastAsia="Times New Roman"/>
          <w:szCs w:val="26"/>
        </w:rPr>
        <w:t>59-1063.</w:t>
      </w:r>
      <w:r w:rsidR="003257C4">
        <w:rPr>
          <w:rFonts w:eastAsia="Times New Roman"/>
          <w:szCs w:val="26"/>
        </w:rPr>
        <w:t>)</w:t>
      </w:r>
      <w:r w:rsidRPr="004E176B" w:rsidR="00CC1ED1">
        <w:rPr>
          <w:rFonts w:eastAsia="Times New Roman"/>
          <w:szCs w:val="26"/>
        </w:rPr>
        <w:t xml:space="preserve"> </w:t>
      </w:r>
      <w:r w:rsidRPr="004E176B" w:rsidR="00FF3525">
        <w:rPr>
          <w:rFonts w:eastAsia="Times New Roman"/>
          <w:szCs w:val="26"/>
        </w:rPr>
        <w:t xml:space="preserve"> </w:t>
      </w:r>
      <w:r w:rsidR="00BF0ECB">
        <w:rPr>
          <w:rFonts w:eastAsia="Times New Roman"/>
          <w:szCs w:val="26"/>
        </w:rPr>
        <w:t xml:space="preserve">The court </w:t>
      </w:r>
      <w:r w:rsidR="00CD58D9">
        <w:rPr>
          <w:rFonts w:eastAsia="Times New Roman"/>
          <w:szCs w:val="26"/>
        </w:rPr>
        <w:t xml:space="preserve">observed that </w:t>
      </w:r>
      <w:r w:rsidR="002C7A16">
        <w:rPr>
          <w:rFonts w:eastAsia="Times New Roman"/>
          <w:szCs w:val="26"/>
        </w:rPr>
        <w:t xml:space="preserve">a bill analysis </w:t>
      </w:r>
      <w:r w:rsidR="004A3F07">
        <w:rPr>
          <w:rFonts w:eastAsia="Times New Roman"/>
          <w:szCs w:val="26"/>
        </w:rPr>
        <w:t xml:space="preserve">of the </w:t>
      </w:r>
      <w:r w:rsidR="007F243D">
        <w:rPr>
          <w:rFonts w:eastAsia="Times New Roman"/>
          <w:szCs w:val="26"/>
        </w:rPr>
        <w:t>“</w:t>
      </w:r>
      <w:r w:rsidR="005A002E">
        <w:rPr>
          <w:rFonts w:eastAsia="Times New Roman"/>
          <w:szCs w:val="26"/>
        </w:rPr>
        <w:t xml:space="preserve">pre-PEPRA version of Assembly Bill 340 </w:t>
      </w:r>
      <w:r w:rsidR="007F243D">
        <w:rPr>
          <w:rFonts w:eastAsia="Times New Roman"/>
          <w:szCs w:val="26"/>
        </w:rPr>
        <w:t>explained that the purpose of these changes was to circumscribe CERL’s ‘very broad and general definition of “compensation earnable”</w:t>
      </w:r>
      <w:r w:rsidR="00C352E9">
        <w:rPr>
          <w:rFonts w:eastAsia="Times New Roman"/>
          <w:szCs w:val="26"/>
        </w:rPr>
        <w:t> </w:t>
      </w:r>
      <w:r w:rsidR="002D28CA">
        <w:rPr>
          <w:rFonts w:eastAsia="Times New Roman"/>
          <w:szCs w:val="26"/>
        </w:rPr>
        <w:t>’ in order to reduce pension ‘</w:t>
      </w:r>
      <w:r w:rsidR="00B96585">
        <w:rPr>
          <w:rFonts w:eastAsia="Times New Roman"/>
          <w:szCs w:val="26"/>
        </w:rPr>
        <w:t> </w:t>
      </w:r>
      <w:r w:rsidR="002D28CA">
        <w:rPr>
          <w:rFonts w:eastAsia="Times New Roman"/>
          <w:szCs w:val="26"/>
        </w:rPr>
        <w:t>“spik[ing],”</w:t>
      </w:r>
      <w:r w:rsidR="00B96585">
        <w:rPr>
          <w:rFonts w:eastAsia="Times New Roman"/>
          <w:szCs w:val="26"/>
        </w:rPr>
        <w:t> </w:t>
      </w:r>
      <w:r w:rsidR="002D28CA">
        <w:rPr>
          <w:rFonts w:eastAsia="Times New Roman"/>
          <w:szCs w:val="26"/>
        </w:rPr>
        <w:t>’ the man</w:t>
      </w:r>
      <w:r w:rsidR="00D72BD4">
        <w:rPr>
          <w:rFonts w:eastAsia="Times New Roman"/>
          <w:szCs w:val="26"/>
        </w:rPr>
        <w:t>ipulation of an em</w:t>
      </w:r>
      <w:r w:rsidR="00286B81">
        <w:rPr>
          <w:rFonts w:eastAsia="Times New Roman"/>
          <w:szCs w:val="26"/>
        </w:rPr>
        <w:t>ployee’s pattern of work and pay to produce inflated compensation earnable during the final compensation period.”</w:t>
      </w:r>
      <w:r w:rsidR="00B43292">
        <w:rPr>
          <w:rFonts w:eastAsia="Times New Roman"/>
          <w:szCs w:val="26"/>
        </w:rPr>
        <w:t xml:space="preserve">  (</w:t>
      </w:r>
      <w:r w:rsidR="00B43292">
        <w:rPr>
          <w:rFonts w:eastAsia="Times New Roman"/>
          <w:i/>
          <w:iCs/>
          <w:szCs w:val="26"/>
        </w:rPr>
        <w:t>Id</w:t>
      </w:r>
      <w:r w:rsidR="000E66D2">
        <w:rPr>
          <w:rFonts w:eastAsia="Times New Roman"/>
          <w:i/>
          <w:iCs/>
          <w:szCs w:val="26"/>
        </w:rPr>
        <w:t xml:space="preserve">. </w:t>
      </w:r>
      <w:r w:rsidR="000E66D2">
        <w:rPr>
          <w:rFonts w:eastAsia="Times New Roman"/>
          <w:szCs w:val="26"/>
        </w:rPr>
        <w:t xml:space="preserve">at p. 1061.)  </w:t>
      </w:r>
      <w:r w:rsidR="00C1497C">
        <w:rPr>
          <w:rFonts w:eastAsia="Times New Roman"/>
          <w:szCs w:val="26"/>
        </w:rPr>
        <w:t>Moreover,</w:t>
      </w:r>
      <w:r w:rsidR="00B5669B">
        <w:rPr>
          <w:rFonts w:eastAsia="Times New Roman"/>
          <w:szCs w:val="26"/>
        </w:rPr>
        <w:t xml:space="preserve"> the court </w:t>
      </w:r>
      <w:r w:rsidR="00740BF5">
        <w:rPr>
          <w:rFonts w:eastAsia="Times New Roman"/>
          <w:szCs w:val="26"/>
        </w:rPr>
        <w:t>noted</w:t>
      </w:r>
      <w:r w:rsidR="001E4B25">
        <w:rPr>
          <w:rFonts w:eastAsia="Times New Roman"/>
          <w:szCs w:val="26"/>
        </w:rPr>
        <w:t xml:space="preserve"> that</w:t>
      </w:r>
      <w:r w:rsidR="00C1497C">
        <w:rPr>
          <w:rFonts w:eastAsia="Times New Roman"/>
          <w:szCs w:val="26"/>
        </w:rPr>
        <w:t xml:space="preserve"> a</w:t>
      </w:r>
      <w:r w:rsidR="00776C66">
        <w:rPr>
          <w:rFonts w:eastAsia="Times New Roman"/>
          <w:szCs w:val="26"/>
        </w:rPr>
        <w:t xml:space="preserve"> review of the PEPRA exclusions “demonstrates that </w:t>
      </w:r>
      <w:r w:rsidR="005C4DD2">
        <w:rPr>
          <w:rFonts w:eastAsia="Times New Roman"/>
          <w:szCs w:val="26"/>
        </w:rPr>
        <w:t xml:space="preserve">the Legislature sought to limit pension spiking by eliminating practices that, while </w:t>
      </w:r>
      <w:r w:rsidR="00301378">
        <w:rPr>
          <w:rFonts w:eastAsia="Times New Roman"/>
          <w:szCs w:val="26"/>
        </w:rPr>
        <w:t>argu</w:t>
      </w:r>
      <w:r w:rsidR="00B7134B">
        <w:rPr>
          <w:rFonts w:eastAsia="Times New Roman"/>
          <w:szCs w:val="26"/>
        </w:rPr>
        <w:t xml:space="preserve">ably permitted under the broad language of the preexisting definition, are inconsistent with the statute’s overall concept of compensation </w:t>
      </w:r>
      <w:r w:rsidR="005B1491">
        <w:rPr>
          <w:rFonts w:eastAsia="Times New Roman"/>
          <w:szCs w:val="26"/>
        </w:rPr>
        <w:t>earnable.”  (</w:t>
      </w:r>
      <w:r w:rsidR="005B1491">
        <w:rPr>
          <w:rFonts w:eastAsia="Times New Roman"/>
          <w:i/>
          <w:iCs/>
          <w:szCs w:val="26"/>
        </w:rPr>
        <w:t>Ibid.</w:t>
      </w:r>
      <w:r w:rsidR="005B1491">
        <w:rPr>
          <w:rFonts w:eastAsia="Times New Roman"/>
          <w:szCs w:val="26"/>
        </w:rPr>
        <w:t>)</w:t>
      </w:r>
      <w:r w:rsidR="001E4B25">
        <w:rPr>
          <w:rFonts w:eastAsia="Times New Roman"/>
          <w:szCs w:val="26"/>
        </w:rPr>
        <w:t xml:space="preserve"> </w:t>
      </w:r>
    </w:p>
    <w:p w:rsidR="006D44C8" w:rsidRPr="003C268A" w:rsidP="00A122FC" w14:paraId="772C9346" w14:textId="5B52610E">
      <w:pPr>
        <w:ind w:firstLine="720"/>
        <w:rPr>
          <w:rFonts w:ascii="Source Sans Pro" w:eastAsia="Times New Roman" w:hAnsi="Source Sans Pro"/>
          <w:color w:val="000000"/>
          <w:sz w:val="24"/>
          <w:szCs w:val="24"/>
        </w:rPr>
      </w:pPr>
      <w:r w:rsidRPr="00523CC1">
        <w:rPr>
          <w:rFonts w:eastAsia="Times New Roman"/>
          <w:szCs w:val="26"/>
        </w:rPr>
        <w:t>In analyzing</w:t>
      </w:r>
      <w:r w:rsidRPr="00523CC1" w:rsidR="00681D86">
        <w:rPr>
          <w:rFonts w:eastAsia="Times New Roman"/>
          <w:szCs w:val="26"/>
        </w:rPr>
        <w:t xml:space="preserve"> subdi</w:t>
      </w:r>
      <w:r w:rsidRPr="00523CC1" w:rsidR="002968FB">
        <w:rPr>
          <w:rFonts w:eastAsia="Times New Roman"/>
          <w:szCs w:val="26"/>
        </w:rPr>
        <w:t>vision (b)(2) and (4)</w:t>
      </w:r>
      <w:r w:rsidRPr="00523CC1">
        <w:rPr>
          <w:rFonts w:eastAsia="Times New Roman"/>
          <w:szCs w:val="26"/>
        </w:rPr>
        <w:t xml:space="preserve"> of section 31461</w:t>
      </w:r>
      <w:r w:rsidRPr="00523CC1" w:rsidR="00AA019D">
        <w:rPr>
          <w:rFonts w:eastAsia="Times New Roman"/>
          <w:szCs w:val="26"/>
        </w:rPr>
        <w:t xml:space="preserve">, </w:t>
      </w:r>
      <w:r w:rsidRPr="00357EF6" w:rsidR="00FE1A1C">
        <w:rPr>
          <w:rFonts w:eastAsia="Times New Roman"/>
          <w:i/>
          <w:iCs/>
          <w:szCs w:val="26"/>
        </w:rPr>
        <w:t>Alameda</w:t>
      </w:r>
      <w:r w:rsidR="00FE1A1C">
        <w:rPr>
          <w:rFonts w:eastAsia="Times New Roman"/>
          <w:szCs w:val="26"/>
        </w:rPr>
        <w:t xml:space="preserve"> </w:t>
      </w:r>
      <w:r w:rsidRPr="00523CC1" w:rsidR="00550F14">
        <w:rPr>
          <w:rFonts w:eastAsia="Times New Roman"/>
          <w:szCs w:val="26"/>
        </w:rPr>
        <w:t xml:space="preserve">observed </w:t>
      </w:r>
      <w:r w:rsidRPr="00523CC1" w:rsidR="00740BF5">
        <w:rPr>
          <w:rFonts w:eastAsia="Times New Roman"/>
          <w:szCs w:val="26"/>
        </w:rPr>
        <w:t xml:space="preserve">that </w:t>
      </w:r>
      <w:r w:rsidRPr="00A30DDF" w:rsidR="008301F5">
        <w:rPr>
          <w:rFonts w:eastAsia="Times New Roman"/>
          <w:szCs w:val="26"/>
        </w:rPr>
        <w:t xml:space="preserve">in counties where an employee is permitted to </w:t>
      </w:r>
      <w:r w:rsidRPr="00A30DDF" w:rsidR="0060061C">
        <w:rPr>
          <w:rFonts w:eastAsia="Times New Roman"/>
          <w:szCs w:val="26"/>
        </w:rPr>
        <w:t>cash</w:t>
      </w:r>
      <w:r w:rsidR="00700945">
        <w:rPr>
          <w:rFonts w:eastAsia="Times New Roman"/>
          <w:szCs w:val="26"/>
        </w:rPr>
        <w:t xml:space="preserve"> </w:t>
      </w:r>
      <w:r w:rsidRPr="00A30DDF" w:rsidR="0060061C">
        <w:rPr>
          <w:rFonts w:eastAsia="Times New Roman"/>
          <w:szCs w:val="26"/>
        </w:rPr>
        <w:t>out leave time, “</w:t>
      </w:r>
      <w:r w:rsidRPr="00A30DDF">
        <w:rPr>
          <w:rFonts w:eastAsia="Times New Roman"/>
          <w:color w:val="000000"/>
          <w:szCs w:val="26"/>
        </w:rPr>
        <w:t xml:space="preserve">compensation for cashed out leave time becomes </w:t>
      </w:r>
      <w:r w:rsidRPr="00A30DDF" w:rsidR="008F7F40">
        <w:rPr>
          <w:rFonts w:eastAsia="Times New Roman"/>
          <w:color w:val="000000"/>
          <w:szCs w:val="26"/>
        </w:rPr>
        <w:t>‘</w:t>
      </w:r>
      <w:r w:rsidRPr="00A30DDF">
        <w:rPr>
          <w:rFonts w:eastAsia="Times New Roman"/>
          <w:color w:val="000000"/>
          <w:szCs w:val="26"/>
        </w:rPr>
        <w:t>compensation</w:t>
      </w:r>
      <w:r w:rsidRPr="00A30DDF" w:rsidR="008F7F40">
        <w:rPr>
          <w:rFonts w:eastAsia="Times New Roman"/>
          <w:color w:val="000000"/>
          <w:szCs w:val="26"/>
        </w:rPr>
        <w:t>’</w:t>
      </w:r>
      <w:r w:rsidRPr="00A30DDF">
        <w:rPr>
          <w:rFonts w:eastAsia="Times New Roman"/>
          <w:color w:val="000000"/>
          <w:szCs w:val="26"/>
        </w:rPr>
        <w:t xml:space="preserve"> for purposes of section 31460 in the year in which the cash value is received, which need not be the year in which the surrendered time was earned. </w:t>
      </w:r>
      <w:r w:rsidRPr="00A30DDF" w:rsidR="008F7F40">
        <w:rPr>
          <w:rFonts w:eastAsia="Times New Roman"/>
          <w:color w:val="000000"/>
          <w:szCs w:val="26"/>
        </w:rPr>
        <w:t xml:space="preserve"> </w:t>
      </w:r>
      <w:r w:rsidRPr="00A30DDF">
        <w:rPr>
          <w:rFonts w:eastAsia="Times New Roman"/>
          <w:color w:val="000000"/>
          <w:szCs w:val="26"/>
        </w:rPr>
        <w:t>This can lead to a distortion of the pension calculation when leave time awarded in a prior year is cashed out during the final compensation period, since this has the effect of adding remuneration for a prior year</w:t>
      </w:r>
      <w:r w:rsidRPr="00A30DDF" w:rsidR="008F7F40">
        <w:rPr>
          <w:rFonts w:eastAsia="Times New Roman"/>
          <w:color w:val="000000"/>
          <w:szCs w:val="26"/>
        </w:rPr>
        <w:t>’</w:t>
      </w:r>
      <w:r w:rsidRPr="00A30DDF">
        <w:rPr>
          <w:rFonts w:eastAsia="Times New Roman"/>
          <w:color w:val="000000"/>
          <w:szCs w:val="26"/>
        </w:rPr>
        <w:t xml:space="preserve">s service to the compensation received for service during the final compensation period. </w:t>
      </w:r>
      <w:r w:rsidRPr="00A30DDF" w:rsidR="0049532F">
        <w:rPr>
          <w:rFonts w:eastAsia="Times New Roman"/>
          <w:color w:val="000000"/>
          <w:szCs w:val="26"/>
        </w:rPr>
        <w:t xml:space="preserve"> </w:t>
      </w:r>
      <w:r w:rsidRPr="00A30DDF">
        <w:rPr>
          <w:rFonts w:eastAsia="Times New Roman"/>
          <w:color w:val="000000"/>
          <w:szCs w:val="26"/>
        </w:rPr>
        <w:t>A similar problem arises with payments made upon termination of employment, excluded by section 31461, subdivision (b)(4), because such payments are generally also compensation for the surrender of accrued leave time.</w:t>
      </w:r>
      <w:r w:rsidRPr="00A30DDF" w:rsidR="0049532F">
        <w:rPr>
          <w:rFonts w:eastAsia="Times New Roman"/>
          <w:color w:val="000000"/>
          <w:szCs w:val="26"/>
        </w:rPr>
        <w:t xml:space="preserve"> </w:t>
      </w:r>
      <w:r w:rsidRPr="00A30DDF">
        <w:rPr>
          <w:rFonts w:eastAsia="Times New Roman"/>
          <w:color w:val="000000"/>
          <w:szCs w:val="26"/>
        </w:rPr>
        <w:t xml:space="preserve"> By limiting the amount of </w:t>
      </w:r>
      <w:r w:rsidRPr="00A30DDF" w:rsidR="0049532F">
        <w:rPr>
          <w:rFonts w:eastAsia="Times New Roman"/>
          <w:color w:val="000000"/>
          <w:szCs w:val="26"/>
        </w:rPr>
        <w:t>‘</w:t>
      </w:r>
      <w:r w:rsidRPr="00A30DDF">
        <w:rPr>
          <w:rFonts w:eastAsia="Times New Roman"/>
          <w:color w:val="000000"/>
          <w:szCs w:val="26"/>
        </w:rPr>
        <w:t>cash out</w:t>
      </w:r>
      <w:r w:rsidRPr="00A30DDF" w:rsidR="0049532F">
        <w:rPr>
          <w:rFonts w:eastAsia="Times New Roman"/>
          <w:color w:val="000000"/>
          <w:szCs w:val="26"/>
        </w:rPr>
        <w:t>’</w:t>
      </w:r>
      <w:r w:rsidRPr="00A30DDF">
        <w:rPr>
          <w:rFonts w:eastAsia="Times New Roman"/>
          <w:color w:val="000000"/>
          <w:szCs w:val="26"/>
        </w:rPr>
        <w:t xml:space="preserve"> and termination pay that can be included in compensation earnable to the value of leave time </w:t>
      </w:r>
      <w:r w:rsidRPr="00A30DDF" w:rsidR="0049532F">
        <w:rPr>
          <w:rFonts w:eastAsia="Times New Roman"/>
          <w:color w:val="000000"/>
          <w:szCs w:val="26"/>
        </w:rPr>
        <w:t>‘</w:t>
      </w:r>
      <w:r w:rsidRPr="00A30DDF">
        <w:rPr>
          <w:rFonts w:eastAsia="Times New Roman"/>
          <w:color w:val="000000"/>
          <w:szCs w:val="26"/>
        </w:rPr>
        <w:t>earned and payable in each 12-month period during the final average salary period</w:t>
      </w:r>
      <w:r w:rsidRPr="00A30DDF" w:rsidR="0049532F">
        <w:rPr>
          <w:rFonts w:eastAsia="Times New Roman"/>
          <w:color w:val="000000"/>
          <w:szCs w:val="26"/>
        </w:rPr>
        <w:t>’</w:t>
      </w:r>
      <w:r w:rsidRPr="00A30DDF">
        <w:rPr>
          <w:rFonts w:eastAsia="Times New Roman"/>
          <w:color w:val="000000"/>
          <w:szCs w:val="26"/>
        </w:rPr>
        <w:t xml:space="preserve"> </w:t>
      </w:r>
      <w:r w:rsidRPr="00A30DDF" w:rsidR="00BB4321">
        <w:rPr>
          <w:rFonts w:eastAsia="Times New Roman"/>
          <w:color w:val="000000"/>
          <w:szCs w:val="26"/>
        </w:rPr>
        <w:t>[citation]</w:t>
      </w:r>
      <w:r w:rsidRPr="00A30DDF">
        <w:rPr>
          <w:rFonts w:eastAsia="Times New Roman"/>
          <w:color w:val="000000"/>
          <w:szCs w:val="26"/>
        </w:rPr>
        <w:t>, the Legislature appears to have intended to prevent retiring employees from, in effect, including remuneration earned during prior years in the final compensation calculation.</w:t>
      </w:r>
      <w:r w:rsidRPr="00A30DDF" w:rsidR="00BB4321">
        <w:rPr>
          <w:rFonts w:eastAsia="Times New Roman"/>
          <w:color w:val="000000"/>
          <w:szCs w:val="26"/>
        </w:rPr>
        <w:t>”  (</w:t>
      </w:r>
      <w:r w:rsidRPr="00A30DDF" w:rsidR="00BB4321">
        <w:rPr>
          <w:rFonts w:eastAsia="Times New Roman"/>
          <w:i/>
          <w:iCs/>
          <w:color w:val="000000"/>
          <w:szCs w:val="26"/>
        </w:rPr>
        <w:t>Alameda</w:t>
      </w:r>
      <w:r w:rsidRPr="00A30DDF" w:rsidR="00BB4321">
        <w:rPr>
          <w:rFonts w:eastAsia="Times New Roman"/>
          <w:color w:val="000000"/>
          <w:szCs w:val="26"/>
        </w:rPr>
        <w:t xml:space="preserve">, </w:t>
      </w:r>
      <w:r w:rsidRPr="00A30DDF" w:rsidR="00BB4321">
        <w:rPr>
          <w:rFonts w:eastAsia="Times New Roman"/>
          <w:i/>
          <w:iCs/>
          <w:color w:val="000000"/>
          <w:szCs w:val="26"/>
        </w:rPr>
        <w:t>supra</w:t>
      </w:r>
      <w:r w:rsidRPr="00A30DDF" w:rsidR="00BB4321">
        <w:rPr>
          <w:rFonts w:eastAsia="Times New Roman"/>
          <w:color w:val="000000"/>
          <w:szCs w:val="26"/>
        </w:rPr>
        <w:t>,</w:t>
      </w:r>
      <w:r w:rsidRPr="004E176B" w:rsidR="00BB4321">
        <w:rPr>
          <w:rFonts w:eastAsia="Times New Roman"/>
          <w:color w:val="000000"/>
          <w:szCs w:val="26"/>
        </w:rPr>
        <w:t xml:space="preserve"> </w:t>
      </w:r>
      <w:r w:rsidRPr="00A30DDF" w:rsidR="00BB4321">
        <w:rPr>
          <w:rFonts w:eastAsia="Times New Roman"/>
          <w:color w:val="000000"/>
          <w:szCs w:val="26"/>
        </w:rPr>
        <w:t>9 Cal.5th at p. 1062</w:t>
      </w:r>
      <w:r w:rsidRPr="00591F10" w:rsidR="00BB4321">
        <w:rPr>
          <w:rFonts w:eastAsia="Times New Roman"/>
          <w:color w:val="000000"/>
          <w:szCs w:val="26"/>
        </w:rPr>
        <w:t>.)</w:t>
      </w:r>
    </w:p>
    <w:p w:rsidR="00CD0209" w:rsidRPr="00CD0209" w:rsidP="00A122FC" w14:paraId="167CEFB4" w14:textId="13F10B87">
      <w:pPr>
        <w:ind w:firstLine="720"/>
        <w:rPr>
          <w:rFonts w:ascii="Source Sans Pro" w:eastAsia="Times New Roman" w:hAnsi="Source Sans Pro"/>
          <w:color w:val="000000"/>
          <w:sz w:val="24"/>
          <w:szCs w:val="24"/>
        </w:rPr>
      </w:pPr>
      <w:r w:rsidRPr="00357EF6">
        <w:rPr>
          <w:rFonts w:eastAsia="Times New Roman"/>
          <w:i/>
          <w:iCs/>
          <w:szCs w:val="26"/>
        </w:rPr>
        <w:t>Alameda</w:t>
      </w:r>
      <w:r>
        <w:rPr>
          <w:rFonts w:eastAsia="Times New Roman"/>
          <w:szCs w:val="26"/>
        </w:rPr>
        <w:t xml:space="preserve"> </w:t>
      </w:r>
      <w:r w:rsidR="003C268A">
        <w:rPr>
          <w:rFonts w:eastAsia="Times New Roman"/>
          <w:szCs w:val="26"/>
        </w:rPr>
        <w:t xml:space="preserve">also noted </w:t>
      </w:r>
      <w:r w:rsidRPr="00E14D0C" w:rsidR="00AA6DDC">
        <w:rPr>
          <w:rFonts w:eastAsia="Times New Roman"/>
          <w:szCs w:val="26"/>
        </w:rPr>
        <w:t>that</w:t>
      </w:r>
      <w:r w:rsidRPr="00B95B18" w:rsidR="00AA6DDC">
        <w:rPr>
          <w:rFonts w:eastAsia="Times New Roman"/>
          <w:szCs w:val="26"/>
        </w:rPr>
        <w:t xml:space="preserve"> </w:t>
      </w:r>
      <w:r w:rsidR="004B4747">
        <w:rPr>
          <w:rFonts w:eastAsia="Times New Roman"/>
          <w:szCs w:val="26"/>
        </w:rPr>
        <w:t>“[</w:t>
      </w:r>
      <w:r w:rsidRPr="00B95B18" w:rsidR="00AA6DDC">
        <w:rPr>
          <w:rFonts w:eastAsia="Times New Roman"/>
          <w:szCs w:val="26"/>
        </w:rPr>
        <w:t>p</w:t>
      </w:r>
      <w:r w:rsidR="004B4747">
        <w:rPr>
          <w:rFonts w:eastAsia="Times New Roman"/>
          <w:szCs w:val="26"/>
        </w:rPr>
        <w:t>]</w:t>
      </w:r>
      <w:r w:rsidRPr="00B95B18" w:rsidR="00AA6DDC">
        <w:rPr>
          <w:rFonts w:eastAsia="Times New Roman"/>
          <w:szCs w:val="26"/>
        </w:rPr>
        <w:t xml:space="preserve">rior to PEPRA’s amendment, </w:t>
      </w:r>
      <w:r w:rsidR="004B4747">
        <w:rPr>
          <w:rFonts w:eastAsia="Times New Roman"/>
          <w:szCs w:val="26"/>
        </w:rPr>
        <w:t xml:space="preserve">even in counties that limited the amount of leave time that could be cashed out in a calendar year, </w:t>
      </w:r>
      <w:r w:rsidRPr="00B95B18">
        <w:rPr>
          <w:rFonts w:eastAsia="Times New Roman"/>
          <w:color w:val="000000"/>
          <w:szCs w:val="26"/>
        </w:rPr>
        <w:t>employees were able to double the amount of cashed out leave time received during a final compensation year by designating a final compensation year that straddles two calendar years</w:t>
      </w:r>
      <w:r w:rsidR="00B96585">
        <w:rPr>
          <w:rFonts w:eastAsia="Times New Roman"/>
          <w:color w:val="000000"/>
          <w:szCs w:val="26"/>
        </w:rPr>
        <w:t> </w:t>
      </w:r>
      <w:r w:rsidRPr="00B95B18">
        <w:rPr>
          <w:rFonts w:eastAsia="Times New Roman"/>
          <w:color w:val="000000"/>
          <w:szCs w:val="26"/>
        </w:rPr>
        <w:t xml:space="preserve">. . . . </w:t>
      </w:r>
      <w:r w:rsidR="00B96585">
        <w:rPr>
          <w:rFonts w:eastAsia="Times New Roman"/>
          <w:color w:val="000000"/>
          <w:szCs w:val="26"/>
        </w:rPr>
        <w:t xml:space="preserve"> </w:t>
      </w:r>
      <w:r w:rsidRPr="00B95B18">
        <w:rPr>
          <w:rFonts w:eastAsia="Times New Roman"/>
          <w:color w:val="000000"/>
          <w:szCs w:val="26"/>
        </w:rPr>
        <w:t xml:space="preserve">By cashing out leave time in the second half of the prior calendar year and the first half of the subsequent calendar year, a retiring employee could double the amount of cashed out leave time received in the final compensation year. </w:t>
      </w:r>
      <w:r w:rsidR="000239A0">
        <w:rPr>
          <w:rFonts w:eastAsia="Times New Roman"/>
          <w:color w:val="000000"/>
          <w:szCs w:val="26"/>
        </w:rPr>
        <w:t xml:space="preserve"> </w:t>
      </w:r>
      <w:r w:rsidRPr="00683BC6">
        <w:rPr>
          <w:rFonts w:eastAsia="Times New Roman"/>
          <w:i/>
          <w:iCs/>
          <w:color w:val="000000"/>
          <w:szCs w:val="26"/>
        </w:rPr>
        <w:t xml:space="preserve">By limiting the inclusion of cashed out leave time to that </w:t>
      </w:r>
      <w:r w:rsidRPr="00683BC6" w:rsidR="000239A0">
        <w:rPr>
          <w:rFonts w:eastAsia="Times New Roman"/>
          <w:i/>
          <w:iCs/>
          <w:color w:val="000000"/>
          <w:szCs w:val="26"/>
        </w:rPr>
        <w:t>‘</w:t>
      </w:r>
      <w:r w:rsidRPr="00683BC6">
        <w:rPr>
          <w:rFonts w:eastAsia="Times New Roman"/>
          <w:i/>
          <w:iCs/>
          <w:color w:val="000000"/>
          <w:szCs w:val="26"/>
        </w:rPr>
        <w:t>earned and payable</w:t>
      </w:r>
      <w:r w:rsidRPr="00683BC6" w:rsidR="000239A0">
        <w:rPr>
          <w:rFonts w:eastAsia="Times New Roman"/>
          <w:i/>
          <w:iCs/>
          <w:color w:val="000000"/>
          <w:szCs w:val="26"/>
        </w:rPr>
        <w:t>’</w:t>
      </w:r>
      <w:r w:rsidRPr="00683BC6">
        <w:rPr>
          <w:rFonts w:eastAsia="Times New Roman"/>
          <w:i/>
          <w:iCs/>
          <w:color w:val="000000"/>
          <w:szCs w:val="26"/>
        </w:rPr>
        <w:t xml:space="preserve"> in a </w:t>
      </w:r>
      <w:r w:rsidRPr="00683BC6" w:rsidR="000239A0">
        <w:rPr>
          <w:rFonts w:eastAsia="Times New Roman"/>
          <w:i/>
          <w:iCs/>
          <w:color w:val="000000"/>
          <w:szCs w:val="26"/>
        </w:rPr>
        <w:t>‘</w:t>
      </w:r>
      <w:r w:rsidRPr="00683BC6">
        <w:rPr>
          <w:rFonts w:eastAsia="Times New Roman"/>
          <w:i/>
          <w:iCs/>
          <w:color w:val="000000"/>
          <w:szCs w:val="26"/>
        </w:rPr>
        <w:t>12-month period,</w:t>
      </w:r>
      <w:r w:rsidRPr="00683BC6" w:rsidR="000239A0">
        <w:rPr>
          <w:rFonts w:eastAsia="Times New Roman"/>
          <w:i/>
          <w:iCs/>
          <w:color w:val="000000"/>
          <w:szCs w:val="26"/>
        </w:rPr>
        <w:t>’</w:t>
      </w:r>
      <w:r w:rsidRPr="00683BC6">
        <w:rPr>
          <w:rFonts w:eastAsia="Times New Roman"/>
          <w:i/>
          <w:iCs/>
          <w:color w:val="000000"/>
          <w:szCs w:val="26"/>
        </w:rPr>
        <w:t xml:space="preserve"> subdivision (b)(2) and (4) prevent this practice</w:t>
      </w:r>
      <w:r w:rsidRPr="00B95B18">
        <w:rPr>
          <w:rFonts w:eastAsia="Times New Roman"/>
          <w:color w:val="000000"/>
          <w:szCs w:val="26"/>
        </w:rPr>
        <w:t>.</w:t>
      </w:r>
      <w:r w:rsidR="00B96585">
        <w:rPr>
          <w:rFonts w:eastAsia="Times New Roman"/>
          <w:color w:val="000000"/>
          <w:szCs w:val="26"/>
        </w:rPr>
        <w:t>”</w:t>
      </w:r>
      <w:r w:rsidR="00683BC6">
        <w:rPr>
          <w:rFonts w:eastAsia="Times New Roman"/>
          <w:color w:val="000000"/>
          <w:szCs w:val="26"/>
        </w:rPr>
        <w:t xml:space="preserve">  (</w:t>
      </w:r>
      <w:r w:rsidR="00683BC6">
        <w:rPr>
          <w:rFonts w:eastAsia="Times New Roman"/>
          <w:i/>
          <w:iCs/>
          <w:color w:val="000000"/>
          <w:szCs w:val="26"/>
        </w:rPr>
        <w:t>Alameda</w:t>
      </w:r>
      <w:r w:rsidR="00683BC6">
        <w:rPr>
          <w:rFonts w:eastAsia="Times New Roman"/>
          <w:color w:val="000000"/>
          <w:szCs w:val="26"/>
        </w:rPr>
        <w:t xml:space="preserve">, </w:t>
      </w:r>
      <w:r w:rsidR="00683BC6">
        <w:rPr>
          <w:rFonts w:eastAsia="Times New Roman"/>
          <w:i/>
          <w:iCs/>
          <w:color w:val="000000"/>
          <w:szCs w:val="26"/>
        </w:rPr>
        <w:t>supra</w:t>
      </w:r>
      <w:r w:rsidR="00683BC6">
        <w:rPr>
          <w:rFonts w:eastAsia="Times New Roman"/>
          <w:color w:val="000000"/>
          <w:szCs w:val="26"/>
        </w:rPr>
        <w:t>, 9 Cal.5th at pp. 1062-1063</w:t>
      </w:r>
      <w:r w:rsidR="00E93ADD">
        <w:rPr>
          <w:rFonts w:eastAsia="Times New Roman"/>
          <w:color w:val="000000"/>
          <w:szCs w:val="26"/>
        </w:rPr>
        <w:t>,</w:t>
      </w:r>
      <w:r w:rsidR="00B96585">
        <w:rPr>
          <w:rFonts w:eastAsia="Times New Roman"/>
          <w:color w:val="000000"/>
          <w:szCs w:val="26"/>
        </w:rPr>
        <w:t xml:space="preserve"> italic</w:t>
      </w:r>
      <w:r w:rsidR="00683BC6">
        <w:rPr>
          <w:rFonts w:eastAsia="Times New Roman"/>
          <w:color w:val="000000"/>
          <w:szCs w:val="26"/>
        </w:rPr>
        <w:t>s added.</w:t>
      </w:r>
      <w:r w:rsidR="00E93ADD">
        <w:rPr>
          <w:rFonts w:eastAsia="Times New Roman"/>
          <w:color w:val="000000"/>
          <w:szCs w:val="26"/>
        </w:rPr>
        <w:t xml:space="preserve">) </w:t>
      </w:r>
    </w:p>
    <w:p w:rsidR="00F674B4" w:rsidP="00A122FC" w14:paraId="52049C90" w14:textId="43D42EE5">
      <w:pPr>
        <w:ind w:firstLine="720"/>
        <w:rPr>
          <w:rFonts w:eastAsia="Times New Roman"/>
          <w:szCs w:val="26"/>
        </w:rPr>
      </w:pPr>
      <w:r>
        <w:rPr>
          <w:rFonts w:eastAsia="Times New Roman"/>
          <w:szCs w:val="26"/>
        </w:rPr>
        <w:t xml:space="preserve">The Supreme Court </w:t>
      </w:r>
      <w:r w:rsidR="00E51996">
        <w:rPr>
          <w:rFonts w:eastAsia="Times New Roman"/>
          <w:szCs w:val="26"/>
        </w:rPr>
        <w:t xml:space="preserve">clarified </w:t>
      </w:r>
      <w:r w:rsidR="002E6CE0">
        <w:rPr>
          <w:rFonts w:eastAsia="Times New Roman"/>
          <w:szCs w:val="26"/>
        </w:rPr>
        <w:t xml:space="preserve">that </w:t>
      </w:r>
      <w:r w:rsidR="00CE3A02">
        <w:rPr>
          <w:rFonts w:eastAsia="Times New Roman"/>
          <w:szCs w:val="26"/>
        </w:rPr>
        <w:t>although there was nothing “</w:t>
      </w:r>
      <w:r w:rsidRPr="0006116D" w:rsidR="00CE3A02">
        <w:rPr>
          <w:rFonts w:eastAsia="Times New Roman"/>
          <w:szCs w:val="26"/>
        </w:rPr>
        <w:t xml:space="preserve">inherently abusive” </w:t>
      </w:r>
      <w:r w:rsidR="00D35DB6">
        <w:rPr>
          <w:rFonts w:eastAsia="Times New Roman"/>
          <w:szCs w:val="26"/>
        </w:rPr>
        <w:t>about</w:t>
      </w:r>
      <w:r w:rsidRPr="0006116D" w:rsidR="00CE3A02">
        <w:rPr>
          <w:rFonts w:eastAsia="Times New Roman"/>
          <w:szCs w:val="26"/>
        </w:rPr>
        <w:t xml:space="preserve"> cashing out unused leave time</w:t>
      </w:r>
      <w:r w:rsidRPr="0006116D" w:rsidR="00A23C9B">
        <w:rPr>
          <w:rFonts w:eastAsia="Times New Roman"/>
          <w:szCs w:val="26"/>
        </w:rPr>
        <w:t xml:space="preserve"> outside the context of </w:t>
      </w:r>
      <w:r w:rsidR="00DC2CD1">
        <w:rPr>
          <w:rFonts w:eastAsia="Times New Roman"/>
          <w:szCs w:val="26"/>
        </w:rPr>
        <w:t xml:space="preserve">pension </w:t>
      </w:r>
      <w:r w:rsidR="009F5424">
        <w:rPr>
          <w:rFonts w:eastAsia="Times New Roman"/>
          <w:szCs w:val="26"/>
        </w:rPr>
        <w:t>benefit calculations</w:t>
      </w:r>
      <w:r w:rsidRPr="0006116D" w:rsidR="00A23C9B">
        <w:rPr>
          <w:rFonts w:eastAsia="Times New Roman"/>
          <w:szCs w:val="26"/>
        </w:rPr>
        <w:t>,</w:t>
      </w:r>
      <w:r w:rsidRPr="0006116D" w:rsidR="002E6CE0">
        <w:rPr>
          <w:rFonts w:eastAsia="Times New Roman"/>
          <w:szCs w:val="26"/>
        </w:rPr>
        <w:t xml:space="preserve"> </w:t>
      </w:r>
      <w:r w:rsidRPr="0006116D" w:rsidR="00B10CBC">
        <w:rPr>
          <w:rFonts w:eastAsia="Times New Roman"/>
          <w:szCs w:val="26"/>
        </w:rPr>
        <w:t xml:space="preserve">“the </w:t>
      </w:r>
      <w:r w:rsidRPr="00F674B4">
        <w:rPr>
          <w:rFonts w:eastAsia="Times New Roman"/>
          <w:szCs w:val="26"/>
        </w:rPr>
        <w:t>pre</w:t>
      </w:r>
      <w:r w:rsidR="00C352E9">
        <w:rPr>
          <w:rFonts w:eastAsia="Times New Roman"/>
          <w:szCs w:val="26"/>
        </w:rPr>
        <w:noBreakHyphen/>
      </w:r>
      <w:r w:rsidRPr="00F674B4">
        <w:rPr>
          <w:rFonts w:eastAsia="Times New Roman"/>
          <w:szCs w:val="26"/>
        </w:rPr>
        <w:t>PEPRA definition of compensation earnable allowed an employee to considerably increase his or her pension benefit by</w:t>
      </w:r>
      <w:r w:rsidR="0006116D">
        <w:rPr>
          <w:rFonts w:eastAsia="Times New Roman"/>
          <w:szCs w:val="26"/>
        </w:rPr>
        <w:t> </w:t>
      </w:r>
      <w:r w:rsidRPr="0006116D" w:rsidR="00B10CBC">
        <w:rPr>
          <w:rFonts w:eastAsia="Times New Roman"/>
          <w:szCs w:val="26"/>
        </w:rPr>
        <w:t>.</w:t>
      </w:r>
      <w:r w:rsidR="0006116D">
        <w:rPr>
          <w:rFonts w:eastAsia="Times New Roman"/>
          <w:szCs w:val="26"/>
        </w:rPr>
        <w:t> </w:t>
      </w:r>
      <w:r w:rsidRPr="0006116D" w:rsidR="00B10CBC">
        <w:rPr>
          <w:rFonts w:eastAsia="Times New Roman"/>
          <w:szCs w:val="26"/>
        </w:rPr>
        <w:t>.</w:t>
      </w:r>
      <w:r w:rsidR="0006116D">
        <w:rPr>
          <w:rFonts w:eastAsia="Times New Roman"/>
          <w:szCs w:val="26"/>
        </w:rPr>
        <w:t> </w:t>
      </w:r>
      <w:r w:rsidRPr="0006116D" w:rsidR="00B10CBC">
        <w:rPr>
          <w:rFonts w:eastAsia="Times New Roman"/>
          <w:szCs w:val="26"/>
        </w:rPr>
        <w:t xml:space="preserve">. </w:t>
      </w:r>
      <w:r w:rsidRPr="00F674B4">
        <w:rPr>
          <w:rFonts w:eastAsia="Times New Roman"/>
          <w:szCs w:val="26"/>
        </w:rPr>
        <w:t xml:space="preserve">accumulating and cashing out a large quantity of unused leave time during the final compensation period. </w:t>
      </w:r>
      <w:r w:rsidR="00506F2F">
        <w:rPr>
          <w:rFonts w:eastAsia="Times New Roman"/>
          <w:szCs w:val="26"/>
        </w:rPr>
        <w:t xml:space="preserve"> </w:t>
      </w:r>
      <w:r w:rsidRPr="00F674B4">
        <w:rPr>
          <w:rFonts w:eastAsia="Times New Roman"/>
          <w:szCs w:val="26"/>
        </w:rPr>
        <w:t>Because such enhancements are arguably inconsistent with the underlying concept of compensation earnable, which is intended to reflect pay for work ordinarily performed during the course of a year, these types of enhancement have been characterized as pension spiking.</w:t>
      </w:r>
      <w:r w:rsidRPr="0006116D" w:rsidR="00D43800">
        <w:rPr>
          <w:rFonts w:eastAsia="Times New Roman"/>
          <w:szCs w:val="26"/>
        </w:rPr>
        <w:t>”  (</w:t>
      </w:r>
      <w:r w:rsidRPr="0006116D" w:rsidR="00D43800">
        <w:rPr>
          <w:rFonts w:eastAsia="Times New Roman"/>
          <w:i/>
          <w:iCs/>
          <w:szCs w:val="26"/>
        </w:rPr>
        <w:t>Alameda</w:t>
      </w:r>
      <w:r w:rsidRPr="0006116D" w:rsidR="00D43800">
        <w:rPr>
          <w:rFonts w:eastAsia="Times New Roman"/>
          <w:szCs w:val="26"/>
        </w:rPr>
        <w:t xml:space="preserve">, </w:t>
      </w:r>
      <w:r w:rsidRPr="0006116D" w:rsidR="00D43800">
        <w:rPr>
          <w:rFonts w:eastAsia="Times New Roman"/>
          <w:i/>
          <w:iCs/>
          <w:szCs w:val="26"/>
        </w:rPr>
        <w:t>supra</w:t>
      </w:r>
      <w:r w:rsidRPr="0006116D" w:rsidR="00D43800">
        <w:rPr>
          <w:rFonts w:eastAsia="Times New Roman"/>
          <w:szCs w:val="26"/>
        </w:rPr>
        <w:t xml:space="preserve">, </w:t>
      </w:r>
      <w:r w:rsidRPr="0006116D" w:rsidR="0006116D">
        <w:rPr>
          <w:rFonts w:eastAsia="Times New Roman"/>
          <w:szCs w:val="26"/>
        </w:rPr>
        <w:t>9 Cal.5th at p. 1063.</w:t>
      </w:r>
      <w:r w:rsidR="003D1BB9">
        <w:rPr>
          <w:rFonts w:eastAsia="Times New Roman"/>
          <w:szCs w:val="26"/>
        </w:rPr>
        <w:t>)</w:t>
      </w:r>
    </w:p>
    <w:p w:rsidR="00857A77" w:rsidP="00A122FC" w14:paraId="5D7AA0B4" w14:textId="42FC848F">
      <w:pPr>
        <w:ind w:firstLine="720"/>
        <w:rPr>
          <w:rFonts w:eastAsia="Times New Roman"/>
          <w:color w:val="000000"/>
          <w:szCs w:val="26"/>
        </w:rPr>
      </w:pPr>
      <w:r>
        <w:rPr>
          <w:rFonts w:eastAsia="Times New Roman"/>
          <w:szCs w:val="26"/>
        </w:rPr>
        <w:t>We follow the Supreme Court’s analysis of</w:t>
      </w:r>
      <w:r w:rsidR="0033241E">
        <w:rPr>
          <w:rFonts w:eastAsia="Times New Roman"/>
          <w:szCs w:val="26"/>
        </w:rPr>
        <w:t xml:space="preserve"> </w:t>
      </w:r>
      <w:r w:rsidR="00B33A01">
        <w:rPr>
          <w:rFonts w:eastAsia="Times New Roman"/>
          <w:szCs w:val="26"/>
        </w:rPr>
        <w:t>subdivision (b)(2) and (4)</w:t>
      </w:r>
      <w:r w:rsidR="00871EBB">
        <w:rPr>
          <w:rFonts w:eastAsia="Times New Roman"/>
          <w:szCs w:val="26"/>
        </w:rPr>
        <w:t xml:space="preserve"> to</w:t>
      </w:r>
      <w:r w:rsidR="00F17D56">
        <w:rPr>
          <w:rFonts w:eastAsia="Times New Roman"/>
          <w:szCs w:val="26"/>
        </w:rPr>
        <w:t xml:space="preserve"> </w:t>
      </w:r>
      <w:r w:rsidR="007064C6">
        <w:rPr>
          <w:rFonts w:eastAsia="Times New Roman"/>
          <w:szCs w:val="26"/>
        </w:rPr>
        <w:t>conclu</w:t>
      </w:r>
      <w:r w:rsidR="00F56FB0">
        <w:rPr>
          <w:rFonts w:eastAsia="Times New Roman"/>
          <w:szCs w:val="26"/>
        </w:rPr>
        <w:t xml:space="preserve">de </w:t>
      </w:r>
      <w:r w:rsidR="005C2AB0">
        <w:rPr>
          <w:rFonts w:eastAsia="Times New Roman"/>
          <w:szCs w:val="26"/>
        </w:rPr>
        <w:t>th</w:t>
      </w:r>
      <w:r w:rsidR="007838AB">
        <w:rPr>
          <w:rFonts w:eastAsia="Times New Roman"/>
          <w:szCs w:val="26"/>
        </w:rPr>
        <w:t xml:space="preserve">at </w:t>
      </w:r>
      <w:r w:rsidR="005C2AB0">
        <w:rPr>
          <w:rFonts w:eastAsia="Times New Roman"/>
          <w:szCs w:val="26"/>
        </w:rPr>
        <w:t>amended section 31461</w:t>
      </w:r>
      <w:r w:rsidR="00A46708">
        <w:rPr>
          <w:rFonts w:eastAsia="Times New Roman"/>
          <w:szCs w:val="26"/>
        </w:rPr>
        <w:t xml:space="preserve"> require</w:t>
      </w:r>
      <w:r w:rsidR="00B30C7C">
        <w:rPr>
          <w:rFonts w:eastAsia="Times New Roman"/>
          <w:szCs w:val="26"/>
        </w:rPr>
        <w:t>s</w:t>
      </w:r>
      <w:r w:rsidR="00A46708">
        <w:rPr>
          <w:rFonts w:eastAsia="Times New Roman"/>
          <w:szCs w:val="26"/>
        </w:rPr>
        <w:t xml:space="preserve"> exclu</w:t>
      </w:r>
      <w:r w:rsidR="00233EF3">
        <w:rPr>
          <w:rFonts w:eastAsia="Times New Roman"/>
          <w:szCs w:val="26"/>
        </w:rPr>
        <w:t>sion</w:t>
      </w:r>
      <w:r w:rsidR="00D83777">
        <w:rPr>
          <w:rFonts w:eastAsia="Times New Roman"/>
          <w:szCs w:val="26"/>
        </w:rPr>
        <w:t xml:space="preserve"> </w:t>
      </w:r>
      <w:r w:rsidR="00233EF3">
        <w:rPr>
          <w:rFonts w:eastAsia="Times New Roman"/>
          <w:szCs w:val="26"/>
        </w:rPr>
        <w:t xml:space="preserve">of compensation for </w:t>
      </w:r>
      <w:r w:rsidR="001A388D">
        <w:rPr>
          <w:rFonts w:eastAsia="Times New Roman"/>
          <w:szCs w:val="26"/>
        </w:rPr>
        <w:t xml:space="preserve">leave cashouts </w:t>
      </w:r>
      <w:r w:rsidR="00A46708">
        <w:rPr>
          <w:rFonts w:eastAsia="Times New Roman"/>
          <w:szCs w:val="26"/>
        </w:rPr>
        <w:t>that exceed</w:t>
      </w:r>
      <w:r w:rsidR="00DF63A6">
        <w:rPr>
          <w:rFonts w:eastAsia="Times New Roman"/>
          <w:szCs w:val="26"/>
        </w:rPr>
        <w:t xml:space="preserve"> </w:t>
      </w:r>
      <w:r w:rsidR="00D83777">
        <w:rPr>
          <w:rFonts w:eastAsia="Times New Roman"/>
          <w:szCs w:val="26"/>
        </w:rPr>
        <w:t xml:space="preserve">the </w:t>
      </w:r>
      <w:r w:rsidR="00617E3D">
        <w:rPr>
          <w:rFonts w:eastAsia="Times New Roman"/>
          <w:szCs w:val="26"/>
        </w:rPr>
        <w:t>one</w:t>
      </w:r>
      <w:r w:rsidR="00CF7049">
        <w:rPr>
          <w:rFonts w:eastAsia="Times New Roman"/>
          <w:szCs w:val="26"/>
        </w:rPr>
        <w:t xml:space="preserve"> </w:t>
      </w:r>
      <w:r w:rsidR="00817F9E">
        <w:rPr>
          <w:rFonts w:eastAsia="Times New Roman"/>
          <w:szCs w:val="26"/>
        </w:rPr>
        <w:t>(</w:t>
      </w:r>
      <w:r w:rsidR="00617E3D">
        <w:rPr>
          <w:rFonts w:eastAsia="Times New Roman"/>
          <w:szCs w:val="26"/>
        </w:rPr>
        <w:t>or three</w:t>
      </w:r>
      <w:r w:rsidR="00817F9E">
        <w:rPr>
          <w:rFonts w:eastAsia="Times New Roman"/>
          <w:szCs w:val="26"/>
        </w:rPr>
        <w:t>)</w:t>
      </w:r>
      <w:r w:rsidR="00617E3D">
        <w:rPr>
          <w:rFonts w:eastAsia="Times New Roman"/>
          <w:szCs w:val="26"/>
        </w:rPr>
        <w:t xml:space="preserve"> calendar year’s</w:t>
      </w:r>
      <w:r w:rsidR="00C20732">
        <w:rPr>
          <w:rFonts w:eastAsia="Times New Roman"/>
          <w:szCs w:val="26"/>
        </w:rPr>
        <w:t xml:space="preserve"> </w:t>
      </w:r>
      <w:r w:rsidR="00D83777">
        <w:rPr>
          <w:rFonts w:eastAsia="Times New Roman"/>
          <w:szCs w:val="26"/>
        </w:rPr>
        <w:t>limits</w:t>
      </w:r>
      <w:r w:rsidR="00A46708">
        <w:rPr>
          <w:rFonts w:eastAsia="Times New Roman"/>
          <w:szCs w:val="26"/>
        </w:rPr>
        <w:t xml:space="preserve"> </w:t>
      </w:r>
      <w:r w:rsidR="00B11844">
        <w:rPr>
          <w:rFonts w:eastAsia="Times New Roman"/>
          <w:szCs w:val="26"/>
        </w:rPr>
        <w:t>for</w:t>
      </w:r>
      <w:r w:rsidR="00A46708">
        <w:rPr>
          <w:rFonts w:eastAsia="Times New Roman"/>
          <w:szCs w:val="26"/>
        </w:rPr>
        <w:t xml:space="preserve"> </w:t>
      </w:r>
      <w:r w:rsidR="007838AB">
        <w:rPr>
          <w:rFonts w:eastAsia="Times New Roman"/>
          <w:szCs w:val="26"/>
        </w:rPr>
        <w:t xml:space="preserve">such </w:t>
      </w:r>
      <w:r w:rsidR="00A46708">
        <w:rPr>
          <w:rFonts w:eastAsia="Times New Roman"/>
          <w:szCs w:val="26"/>
        </w:rPr>
        <w:t>cashouts</w:t>
      </w:r>
      <w:r w:rsidR="00233EF3">
        <w:rPr>
          <w:rFonts w:eastAsia="Times New Roman"/>
          <w:szCs w:val="26"/>
        </w:rPr>
        <w:t xml:space="preserve"> for purposes of calculating </w:t>
      </w:r>
      <w:r w:rsidR="00EE6178">
        <w:rPr>
          <w:rFonts w:eastAsia="Times New Roman"/>
          <w:szCs w:val="26"/>
        </w:rPr>
        <w:t xml:space="preserve">legacy members’ </w:t>
      </w:r>
      <w:r w:rsidR="00233EF3">
        <w:rPr>
          <w:rFonts w:eastAsia="Times New Roman"/>
          <w:szCs w:val="26"/>
        </w:rPr>
        <w:t>retirement benefits</w:t>
      </w:r>
      <w:r w:rsidR="008275CA">
        <w:rPr>
          <w:rFonts w:eastAsia="Times New Roman"/>
          <w:szCs w:val="26"/>
        </w:rPr>
        <w:t>.</w:t>
      </w:r>
      <w:r w:rsidR="00C20732">
        <w:rPr>
          <w:rFonts w:eastAsia="Times New Roman"/>
          <w:szCs w:val="26"/>
        </w:rPr>
        <w:t xml:space="preserve"> </w:t>
      </w:r>
      <w:r w:rsidR="009E4B4E">
        <w:rPr>
          <w:rFonts w:eastAsia="Times New Roman"/>
          <w:szCs w:val="26"/>
        </w:rPr>
        <w:t xml:space="preserve"> </w:t>
      </w:r>
      <w:r w:rsidR="007838AB">
        <w:rPr>
          <w:rFonts w:eastAsia="Times New Roman"/>
          <w:szCs w:val="26"/>
        </w:rPr>
        <w:t>D</w:t>
      </w:r>
      <w:r w:rsidR="00B01F85">
        <w:rPr>
          <w:rFonts w:eastAsia="Times New Roman"/>
          <w:szCs w:val="26"/>
        </w:rPr>
        <w:t>esignating a 12</w:t>
      </w:r>
      <w:r w:rsidR="00B96585">
        <w:rPr>
          <w:rFonts w:eastAsia="Times New Roman"/>
          <w:szCs w:val="26"/>
        </w:rPr>
        <w:noBreakHyphen/>
      </w:r>
      <w:r w:rsidR="008F6F22">
        <w:rPr>
          <w:rFonts w:eastAsia="Times New Roman"/>
          <w:szCs w:val="26"/>
        </w:rPr>
        <w:t xml:space="preserve"> or 36</w:t>
      </w:r>
      <w:r w:rsidR="00B96585">
        <w:rPr>
          <w:rFonts w:eastAsia="Times New Roman"/>
          <w:szCs w:val="26"/>
        </w:rPr>
        <w:noBreakHyphen/>
      </w:r>
      <w:r w:rsidR="00B01F85">
        <w:rPr>
          <w:rFonts w:eastAsia="Times New Roman"/>
          <w:szCs w:val="26"/>
        </w:rPr>
        <w:t xml:space="preserve">month </w:t>
      </w:r>
      <w:r w:rsidR="00CE73E5">
        <w:rPr>
          <w:rFonts w:eastAsia="Times New Roman"/>
          <w:szCs w:val="26"/>
        </w:rPr>
        <w:t xml:space="preserve">final average compensation </w:t>
      </w:r>
      <w:r w:rsidR="00B01F85">
        <w:rPr>
          <w:rFonts w:eastAsia="Times New Roman"/>
          <w:szCs w:val="26"/>
        </w:rPr>
        <w:t xml:space="preserve">period that straddles </w:t>
      </w:r>
      <w:r w:rsidR="00984159">
        <w:rPr>
          <w:rFonts w:eastAsia="Times New Roman"/>
          <w:szCs w:val="26"/>
        </w:rPr>
        <w:t>multiple</w:t>
      </w:r>
      <w:r w:rsidR="005C0135">
        <w:rPr>
          <w:rFonts w:eastAsia="Times New Roman"/>
          <w:szCs w:val="26"/>
        </w:rPr>
        <w:t xml:space="preserve"> </w:t>
      </w:r>
      <w:r w:rsidR="00B01F85">
        <w:rPr>
          <w:rFonts w:eastAsia="Times New Roman"/>
          <w:szCs w:val="26"/>
        </w:rPr>
        <w:t>years</w:t>
      </w:r>
      <w:r w:rsidR="0020269B">
        <w:rPr>
          <w:rFonts w:eastAsia="Times New Roman"/>
          <w:szCs w:val="26"/>
        </w:rPr>
        <w:t xml:space="preserve"> to </w:t>
      </w:r>
      <w:r w:rsidR="00710FE6">
        <w:rPr>
          <w:rFonts w:eastAsia="Times New Roman"/>
          <w:szCs w:val="26"/>
        </w:rPr>
        <w:t xml:space="preserve">receive compensation </w:t>
      </w:r>
      <w:r w:rsidR="0016717C">
        <w:rPr>
          <w:rFonts w:eastAsia="Times New Roman"/>
          <w:szCs w:val="26"/>
        </w:rPr>
        <w:t xml:space="preserve">for leave cashouts </w:t>
      </w:r>
      <w:r w:rsidR="007838AB">
        <w:rPr>
          <w:rFonts w:eastAsia="Times New Roman"/>
          <w:szCs w:val="26"/>
        </w:rPr>
        <w:t>greater than the amount a member could receive in one or three calendar years, respectively, is t</w:t>
      </w:r>
      <w:r w:rsidR="00DF0E16">
        <w:rPr>
          <w:rFonts w:eastAsia="Times New Roman"/>
          <w:szCs w:val="26"/>
        </w:rPr>
        <w:t xml:space="preserve">he type of manipulation </w:t>
      </w:r>
      <w:r w:rsidR="003377AD">
        <w:rPr>
          <w:rFonts w:eastAsia="Times New Roman"/>
          <w:szCs w:val="26"/>
        </w:rPr>
        <w:t xml:space="preserve">that </w:t>
      </w:r>
      <w:r w:rsidR="00D83777">
        <w:rPr>
          <w:rFonts w:eastAsia="Times New Roman"/>
          <w:szCs w:val="26"/>
        </w:rPr>
        <w:t xml:space="preserve">the </w:t>
      </w:r>
      <w:r w:rsidR="00D1101E">
        <w:rPr>
          <w:rFonts w:eastAsia="Times New Roman"/>
          <w:szCs w:val="26"/>
        </w:rPr>
        <w:t>PEPRA exclusions</w:t>
      </w:r>
      <w:r w:rsidR="00D83777">
        <w:rPr>
          <w:rFonts w:eastAsia="Times New Roman"/>
          <w:szCs w:val="26"/>
        </w:rPr>
        <w:t xml:space="preserve"> sought to eradicate</w:t>
      </w:r>
      <w:r w:rsidR="00D1101E">
        <w:rPr>
          <w:rFonts w:eastAsia="Times New Roman"/>
          <w:szCs w:val="26"/>
        </w:rPr>
        <w:t>.</w:t>
      </w:r>
      <w:r w:rsidR="00EE2209">
        <w:rPr>
          <w:rFonts w:eastAsia="Times New Roman"/>
          <w:szCs w:val="26"/>
        </w:rPr>
        <w:t xml:space="preserve">  </w:t>
      </w:r>
      <w:r w:rsidR="00284638">
        <w:rPr>
          <w:rFonts w:eastAsia="Times New Roman"/>
          <w:color w:val="000000"/>
          <w:szCs w:val="26"/>
        </w:rPr>
        <w:t xml:space="preserve">(See </w:t>
      </w:r>
      <w:r w:rsidR="00284638">
        <w:rPr>
          <w:rFonts w:eastAsia="Times New Roman"/>
          <w:i/>
          <w:iCs/>
          <w:color w:val="000000"/>
          <w:szCs w:val="26"/>
        </w:rPr>
        <w:t>Alameda</w:t>
      </w:r>
      <w:r w:rsidR="00284638">
        <w:rPr>
          <w:rFonts w:eastAsia="Times New Roman"/>
          <w:color w:val="000000"/>
          <w:szCs w:val="26"/>
        </w:rPr>
        <w:t xml:space="preserve">, </w:t>
      </w:r>
      <w:r w:rsidR="00284638">
        <w:rPr>
          <w:rFonts w:eastAsia="Times New Roman"/>
          <w:i/>
          <w:iCs/>
          <w:color w:val="000000"/>
          <w:szCs w:val="26"/>
        </w:rPr>
        <w:t>supra</w:t>
      </w:r>
      <w:r w:rsidR="00284638">
        <w:rPr>
          <w:rFonts w:eastAsia="Times New Roman"/>
          <w:color w:val="000000"/>
          <w:szCs w:val="26"/>
        </w:rPr>
        <w:t>, 9 Cal.5th at pp. 1062-1063.)</w:t>
      </w:r>
      <w:r w:rsidR="005B1E95">
        <w:rPr>
          <w:rFonts w:eastAsia="Times New Roman"/>
          <w:color w:val="000000"/>
          <w:szCs w:val="26"/>
        </w:rPr>
        <w:t xml:space="preserve">  </w:t>
      </w:r>
    </w:p>
    <w:p w:rsidR="006B705B" w:rsidRPr="006B705B" w:rsidP="00A122FC" w14:paraId="15F727CB" w14:textId="4A351128">
      <w:pPr>
        <w:ind w:firstLine="720"/>
        <w:rPr>
          <w:rFonts w:eastAsia="Times New Roman"/>
          <w:szCs w:val="26"/>
        </w:rPr>
      </w:pPr>
      <w:r>
        <w:rPr>
          <w:rFonts w:eastAsia="Times New Roman"/>
          <w:color w:val="000000"/>
          <w:szCs w:val="26"/>
        </w:rPr>
        <w:t xml:space="preserve">Appellants argue that our high court’s statements in </w:t>
      </w:r>
      <w:r w:rsidRPr="00C92238">
        <w:rPr>
          <w:rFonts w:eastAsia="Times New Roman"/>
          <w:i/>
          <w:iCs/>
          <w:color w:val="000000"/>
          <w:szCs w:val="26"/>
        </w:rPr>
        <w:t>Alameda</w:t>
      </w:r>
      <w:r>
        <w:rPr>
          <w:rFonts w:eastAsia="Times New Roman"/>
          <w:color w:val="000000"/>
          <w:szCs w:val="26"/>
        </w:rPr>
        <w:t xml:space="preserve"> regarding the legislative intent behind </w:t>
      </w:r>
      <w:r w:rsidR="00506EAE">
        <w:rPr>
          <w:rFonts w:eastAsia="Times New Roman"/>
          <w:color w:val="000000"/>
          <w:szCs w:val="26"/>
        </w:rPr>
        <w:t xml:space="preserve">the </w:t>
      </w:r>
      <w:r>
        <w:rPr>
          <w:rFonts w:eastAsia="Times New Roman"/>
          <w:color w:val="000000"/>
          <w:szCs w:val="26"/>
        </w:rPr>
        <w:t xml:space="preserve">PEPRA </w:t>
      </w:r>
      <w:r w:rsidR="00506EAE">
        <w:rPr>
          <w:rFonts w:eastAsia="Times New Roman"/>
          <w:color w:val="000000"/>
          <w:szCs w:val="26"/>
        </w:rPr>
        <w:t xml:space="preserve">exclusions </w:t>
      </w:r>
      <w:r>
        <w:rPr>
          <w:rFonts w:eastAsia="Times New Roman"/>
          <w:color w:val="000000"/>
          <w:szCs w:val="26"/>
        </w:rPr>
        <w:t>are dicta.  But when t</w:t>
      </w:r>
      <w:r w:rsidRPr="006752C3" w:rsidR="00B70AC1">
        <w:rPr>
          <w:szCs w:val="26"/>
        </w:rPr>
        <w:t xml:space="preserve">he </w:t>
      </w:r>
      <w:r w:rsidR="00B02957">
        <w:rPr>
          <w:szCs w:val="26"/>
        </w:rPr>
        <w:t xml:space="preserve">Supreme Court </w:t>
      </w:r>
      <w:r>
        <w:rPr>
          <w:szCs w:val="26"/>
        </w:rPr>
        <w:t xml:space="preserve">has </w:t>
      </w:r>
      <w:r w:rsidRPr="006752C3" w:rsidR="00B70AC1">
        <w:rPr>
          <w:szCs w:val="26"/>
        </w:rPr>
        <w:t>reached well beyond the holding necessary to its opinion to express its broader view</w:t>
      </w:r>
      <w:r w:rsidR="00B02957">
        <w:rPr>
          <w:szCs w:val="26"/>
        </w:rPr>
        <w:t xml:space="preserve">, as it did in </w:t>
      </w:r>
      <w:r w:rsidRPr="000B7419" w:rsidR="00B02957">
        <w:rPr>
          <w:i/>
          <w:iCs/>
          <w:szCs w:val="26"/>
        </w:rPr>
        <w:t>Alameda</w:t>
      </w:r>
      <w:r w:rsidR="00B02957">
        <w:rPr>
          <w:szCs w:val="26"/>
        </w:rPr>
        <w:t>,</w:t>
      </w:r>
      <w:r w:rsidRPr="00B02957" w:rsidR="00B02957">
        <w:rPr>
          <w:szCs w:val="26"/>
        </w:rPr>
        <w:t xml:space="preserve"> dicta from the </w:t>
      </w:r>
      <w:r w:rsidR="00B02957">
        <w:rPr>
          <w:szCs w:val="26"/>
        </w:rPr>
        <w:t xml:space="preserve">high court </w:t>
      </w:r>
      <w:r w:rsidRPr="00B02957" w:rsidR="00B02957">
        <w:rPr>
          <w:szCs w:val="26"/>
        </w:rPr>
        <w:t>should be followed</w:t>
      </w:r>
      <w:r w:rsidR="00B02957">
        <w:rPr>
          <w:szCs w:val="26"/>
        </w:rPr>
        <w:t xml:space="preserve">. </w:t>
      </w:r>
      <w:r w:rsidR="000B7419">
        <w:rPr>
          <w:szCs w:val="26"/>
        </w:rPr>
        <w:t xml:space="preserve"> </w:t>
      </w:r>
      <w:r w:rsidRPr="006752C3" w:rsidR="00B70AC1">
        <w:rPr>
          <w:szCs w:val="26"/>
        </w:rPr>
        <w:t>(</w:t>
      </w:r>
      <w:r w:rsidRPr="006752C3" w:rsidR="00B70AC1">
        <w:rPr>
          <w:rFonts w:eastAsia="Times New Roman"/>
          <w:i/>
          <w:iCs/>
          <w:szCs w:val="26"/>
          <w:bdr w:val="none" w:sz="0" w:space="0" w:color="auto" w:frame="1"/>
        </w:rPr>
        <w:t>Aviles-Rodriguez v. Los Angeles Community College Dist.</w:t>
      </w:r>
      <w:r w:rsidRPr="006752C3" w:rsidR="00B70AC1">
        <w:rPr>
          <w:rFonts w:eastAsia="Times New Roman"/>
          <w:szCs w:val="26"/>
        </w:rPr>
        <w:t xml:space="preserve"> (2017) 14 Cal.App.5th 981, 990.)</w:t>
      </w:r>
      <w:r w:rsidRPr="005B1E95" w:rsidR="005B1E95">
        <w:rPr>
          <w:rFonts w:eastAsia="Times New Roman"/>
          <w:color w:val="000000"/>
          <w:szCs w:val="26"/>
        </w:rPr>
        <w:t xml:space="preserve"> </w:t>
      </w:r>
      <w:r w:rsidR="00233EF3">
        <w:rPr>
          <w:rFonts w:eastAsia="Times New Roman"/>
          <w:color w:val="000000"/>
          <w:szCs w:val="26"/>
        </w:rPr>
        <w:t xml:space="preserve"> </w:t>
      </w:r>
      <w:r w:rsidRPr="00233EF3" w:rsidR="00233EF3">
        <w:rPr>
          <w:rFonts w:eastAsia="Times New Roman"/>
          <w:color w:val="000000"/>
          <w:szCs w:val="26"/>
        </w:rPr>
        <w:t xml:space="preserve">In our view, the high court’s statements in </w:t>
      </w:r>
      <w:r w:rsidRPr="00233EF3" w:rsidR="00233EF3">
        <w:rPr>
          <w:rFonts w:eastAsia="Times New Roman"/>
          <w:i/>
          <w:iCs/>
          <w:color w:val="000000"/>
          <w:szCs w:val="26"/>
        </w:rPr>
        <w:t>Alameda</w:t>
      </w:r>
      <w:r w:rsidRPr="00233EF3" w:rsidR="00233EF3">
        <w:rPr>
          <w:rFonts w:eastAsia="Times New Roman"/>
          <w:color w:val="000000"/>
          <w:szCs w:val="26"/>
        </w:rPr>
        <w:t xml:space="preserve"> are persuasive.  We thus reject Appellants’ argument that the Supreme Court’s analysis regarding section 31461, subdivision (b)(2) was dicta.  </w:t>
      </w:r>
    </w:p>
    <w:p w:rsidR="004F27DE" w:rsidP="00A122FC" w14:paraId="45BE444D" w14:textId="27BBB52D">
      <w:pPr>
        <w:ind w:firstLine="720"/>
        <w:rPr>
          <w:lang w:eastAsia="x-none"/>
        </w:rPr>
      </w:pPr>
      <w:r>
        <w:rPr>
          <w:rFonts w:eastAsia="Times New Roman"/>
          <w:szCs w:val="26"/>
        </w:rPr>
        <w:t xml:space="preserve">Appellants contend the plain language of section 31461, subdivision (b) </w:t>
      </w:r>
      <w:r w:rsidR="003325A6">
        <w:rPr>
          <w:rFonts w:eastAsia="Times New Roman"/>
          <w:szCs w:val="26"/>
        </w:rPr>
        <w:t>makes no mention of a “calendar</w:t>
      </w:r>
      <w:r w:rsidR="00FB4A16">
        <w:rPr>
          <w:rFonts w:eastAsia="Times New Roman"/>
          <w:szCs w:val="26"/>
        </w:rPr>
        <w:t xml:space="preserve"> year” and thus </w:t>
      </w:r>
      <w:r>
        <w:rPr>
          <w:rFonts w:eastAsia="Times New Roman"/>
          <w:szCs w:val="26"/>
        </w:rPr>
        <w:t xml:space="preserve">does not </w:t>
      </w:r>
      <w:r w:rsidR="00D127E6">
        <w:rPr>
          <w:rFonts w:eastAsia="Times New Roman"/>
          <w:szCs w:val="26"/>
        </w:rPr>
        <w:t>limit</w:t>
      </w:r>
      <w:r>
        <w:rPr>
          <w:rFonts w:eastAsia="Times New Roman"/>
          <w:szCs w:val="26"/>
        </w:rPr>
        <w:t xml:space="preserve"> </w:t>
      </w:r>
      <w:r w:rsidR="00095569">
        <w:rPr>
          <w:rFonts w:eastAsia="Times New Roman"/>
          <w:szCs w:val="26"/>
        </w:rPr>
        <w:t xml:space="preserve">leave cashouts </w:t>
      </w:r>
      <w:r>
        <w:rPr>
          <w:rFonts w:eastAsia="Times New Roman"/>
          <w:szCs w:val="26"/>
        </w:rPr>
        <w:t xml:space="preserve">to </w:t>
      </w:r>
      <w:r w:rsidR="00411DF4">
        <w:rPr>
          <w:rFonts w:eastAsia="Times New Roman"/>
          <w:szCs w:val="26"/>
        </w:rPr>
        <w:t>what is earned and payable in a</w:t>
      </w:r>
      <w:r>
        <w:rPr>
          <w:rFonts w:eastAsia="Times New Roman"/>
          <w:szCs w:val="26"/>
        </w:rPr>
        <w:t xml:space="preserve"> “calendar year</w:t>
      </w:r>
      <w:r w:rsidR="002C4CF5">
        <w:rPr>
          <w:rFonts w:eastAsia="Times New Roman"/>
          <w:szCs w:val="26"/>
        </w:rPr>
        <w:t>.</w:t>
      </w:r>
      <w:r w:rsidR="00411DF4">
        <w:rPr>
          <w:rFonts w:eastAsia="Times New Roman"/>
          <w:szCs w:val="26"/>
        </w:rPr>
        <w:t>”</w:t>
      </w:r>
      <w:r w:rsidR="00260AA0">
        <w:rPr>
          <w:rFonts w:eastAsia="Times New Roman"/>
          <w:szCs w:val="26"/>
        </w:rPr>
        <w:t xml:space="preserve"> </w:t>
      </w:r>
      <w:r>
        <w:rPr>
          <w:rFonts w:eastAsia="Times New Roman"/>
          <w:szCs w:val="26"/>
        </w:rPr>
        <w:t xml:space="preserve"> </w:t>
      </w:r>
      <w:r w:rsidR="00B02957">
        <w:rPr>
          <w:rFonts w:eastAsia="Times New Roman"/>
          <w:szCs w:val="26"/>
        </w:rPr>
        <w:t xml:space="preserve">But </w:t>
      </w:r>
      <w:r w:rsidR="00385341">
        <w:rPr>
          <w:rFonts w:eastAsia="Times New Roman"/>
          <w:szCs w:val="26"/>
        </w:rPr>
        <w:t xml:space="preserve">in our view, </w:t>
      </w:r>
      <w:r w:rsidR="004E65D0">
        <w:rPr>
          <w:rFonts w:eastAsia="Times New Roman"/>
          <w:szCs w:val="26"/>
        </w:rPr>
        <w:t>subdivision (b)(2)’s limitation of leave cashouts</w:t>
      </w:r>
      <w:r w:rsidR="00385341">
        <w:rPr>
          <w:rFonts w:eastAsia="Times New Roman"/>
          <w:szCs w:val="26"/>
        </w:rPr>
        <w:t xml:space="preserve"> “</w:t>
      </w:r>
      <w:r w:rsidR="00935034">
        <w:rPr>
          <w:lang w:eastAsia="x-none"/>
        </w:rPr>
        <w:t>in an amount that exceeds that which may be earned and payable in each 12-month period during the final average salary period</w:t>
      </w:r>
      <w:r w:rsidR="004E65D0">
        <w:rPr>
          <w:lang w:eastAsia="x-none"/>
        </w:rPr>
        <w:t>” is</w:t>
      </w:r>
      <w:r w:rsidR="007F1269">
        <w:rPr>
          <w:lang w:eastAsia="x-none"/>
        </w:rPr>
        <w:t xml:space="preserve"> ambiguous</w:t>
      </w:r>
      <w:r w:rsidR="000C729E">
        <w:rPr>
          <w:lang w:eastAsia="x-none"/>
        </w:rPr>
        <w:t>.</w:t>
      </w:r>
      <w:r w:rsidR="00F627B6">
        <w:rPr>
          <w:lang w:eastAsia="x-none"/>
        </w:rPr>
        <w:t xml:space="preserve">  The final average compensation period may or may not be based on a calendar year.</w:t>
      </w:r>
      <w:r w:rsidR="00C352E9">
        <w:rPr>
          <w:lang w:eastAsia="x-none"/>
        </w:rPr>
        <w:t xml:space="preserve">  </w:t>
      </w:r>
      <w:r w:rsidR="004D1B7A">
        <w:rPr>
          <w:lang w:eastAsia="x-none"/>
        </w:rPr>
        <w:t>This</w:t>
      </w:r>
      <w:r w:rsidR="000C729E">
        <w:rPr>
          <w:lang w:eastAsia="x-none"/>
        </w:rPr>
        <w:t xml:space="preserve"> ambiguity is highlighted </w:t>
      </w:r>
      <w:r w:rsidR="003814ED">
        <w:rPr>
          <w:lang w:eastAsia="x-none"/>
        </w:rPr>
        <w:t>whe</w:t>
      </w:r>
      <w:r w:rsidR="002C48D9">
        <w:rPr>
          <w:lang w:eastAsia="x-none"/>
        </w:rPr>
        <w:t>re</w:t>
      </w:r>
      <w:r w:rsidR="003814ED">
        <w:rPr>
          <w:lang w:eastAsia="x-none"/>
        </w:rPr>
        <w:t>, as here</w:t>
      </w:r>
      <w:r w:rsidR="002748BD">
        <w:rPr>
          <w:lang w:eastAsia="x-none"/>
        </w:rPr>
        <w:t xml:space="preserve">, </w:t>
      </w:r>
      <w:r w:rsidR="008A63C1">
        <w:rPr>
          <w:lang w:eastAsia="x-none"/>
        </w:rPr>
        <w:t xml:space="preserve">an employer </w:t>
      </w:r>
      <w:r w:rsidR="004F5801">
        <w:rPr>
          <w:lang w:eastAsia="x-none"/>
        </w:rPr>
        <w:t xml:space="preserve">places </w:t>
      </w:r>
      <w:r w:rsidR="00752294">
        <w:rPr>
          <w:lang w:eastAsia="x-none"/>
        </w:rPr>
        <w:t xml:space="preserve">calendar </w:t>
      </w:r>
      <w:r w:rsidR="00701322">
        <w:rPr>
          <w:lang w:eastAsia="x-none"/>
        </w:rPr>
        <w:t xml:space="preserve">year </w:t>
      </w:r>
      <w:r w:rsidR="004F5801">
        <w:rPr>
          <w:lang w:eastAsia="x-none"/>
        </w:rPr>
        <w:t>limit</w:t>
      </w:r>
      <w:r w:rsidR="0095647C">
        <w:rPr>
          <w:lang w:eastAsia="x-none"/>
        </w:rPr>
        <w:t>ations</w:t>
      </w:r>
      <w:r w:rsidR="004F5801">
        <w:rPr>
          <w:lang w:eastAsia="x-none"/>
        </w:rPr>
        <w:t xml:space="preserve"> on leave cashouts.  </w:t>
      </w:r>
      <w:r w:rsidR="00177B45">
        <w:rPr>
          <w:rFonts w:eastAsia="Times New Roman"/>
          <w:szCs w:val="26"/>
        </w:rPr>
        <w:t xml:space="preserve">Where there is </w:t>
      </w:r>
      <w:r w:rsidR="00E835BD">
        <w:rPr>
          <w:rFonts w:eastAsia="Times New Roman"/>
          <w:szCs w:val="26"/>
        </w:rPr>
        <w:t>ambiguity</w:t>
      </w:r>
      <w:r w:rsidR="00177B45">
        <w:rPr>
          <w:rFonts w:eastAsia="Times New Roman"/>
          <w:szCs w:val="26"/>
        </w:rPr>
        <w:t>, w</w:t>
      </w:r>
      <w:r w:rsidRPr="00430D80" w:rsidR="00177B45">
        <w:rPr>
          <w:rFonts w:eastAsia="Times New Roman"/>
          <w:szCs w:val="26"/>
        </w:rPr>
        <w:t>e look to extrinsic sources</w:t>
      </w:r>
      <w:r w:rsidR="00D10B80">
        <w:rPr>
          <w:rFonts w:eastAsia="Times New Roman"/>
          <w:szCs w:val="26"/>
        </w:rPr>
        <w:t xml:space="preserve"> such as legislative history.  As the </w:t>
      </w:r>
      <w:r w:rsidR="00D10B80">
        <w:rPr>
          <w:rFonts w:eastAsia="Times New Roman"/>
          <w:i/>
          <w:iCs/>
          <w:szCs w:val="26"/>
        </w:rPr>
        <w:t xml:space="preserve">Alameda </w:t>
      </w:r>
      <w:r w:rsidR="00D10B80">
        <w:rPr>
          <w:rFonts w:eastAsia="Times New Roman"/>
          <w:szCs w:val="26"/>
        </w:rPr>
        <w:t xml:space="preserve">court </w:t>
      </w:r>
      <w:r w:rsidR="007A7591">
        <w:rPr>
          <w:rFonts w:eastAsia="Times New Roman"/>
          <w:szCs w:val="26"/>
        </w:rPr>
        <w:t xml:space="preserve">observed, the legislative history reveals </w:t>
      </w:r>
      <w:r w:rsidR="00F16ABA">
        <w:rPr>
          <w:rFonts w:eastAsia="Times New Roman"/>
          <w:szCs w:val="26"/>
        </w:rPr>
        <w:t>the PEPRA exclusions were intended to</w:t>
      </w:r>
      <w:r w:rsidRPr="00F16ABA" w:rsidR="00F16ABA">
        <w:rPr>
          <w:rFonts w:eastAsia="Times New Roman"/>
          <w:szCs w:val="26"/>
        </w:rPr>
        <w:t xml:space="preserve"> </w:t>
      </w:r>
      <w:r w:rsidR="007E78C8">
        <w:rPr>
          <w:rFonts w:eastAsia="Times New Roman"/>
          <w:szCs w:val="26"/>
        </w:rPr>
        <w:t>eliminate pension spiking</w:t>
      </w:r>
      <w:r w:rsidR="00376283">
        <w:rPr>
          <w:rFonts w:eastAsia="Times New Roman"/>
          <w:szCs w:val="26"/>
        </w:rPr>
        <w:t xml:space="preserve"> by “</w:t>
      </w:r>
      <w:r w:rsidRPr="00376283" w:rsidR="00376283">
        <w:rPr>
          <w:rFonts w:eastAsia="Times New Roman"/>
          <w:szCs w:val="26"/>
        </w:rPr>
        <w:t>excluding income designed to artificially inflate a pension benefit</w:t>
      </w:r>
      <w:r w:rsidR="00376283">
        <w:rPr>
          <w:rFonts w:eastAsia="Times New Roman"/>
          <w:szCs w:val="26"/>
        </w:rPr>
        <w:t>” and “</w:t>
      </w:r>
      <w:r w:rsidRPr="00376283" w:rsidR="00376283">
        <w:rPr>
          <w:rFonts w:eastAsia="Times New Roman"/>
          <w:szCs w:val="26"/>
        </w:rPr>
        <w:t>limiting the inclusion of other types of compensation that were reasonably viewed as inconsistent with CERL</w:t>
      </w:r>
      <w:r w:rsidR="000B7419">
        <w:rPr>
          <w:rFonts w:eastAsia="Times New Roman"/>
          <w:szCs w:val="26"/>
        </w:rPr>
        <w:t>’</w:t>
      </w:r>
      <w:r w:rsidRPr="00376283" w:rsidR="00376283">
        <w:rPr>
          <w:rFonts w:eastAsia="Times New Roman"/>
          <w:szCs w:val="26"/>
        </w:rPr>
        <w:t>s general approach to pensionable compensation</w:t>
      </w:r>
      <w:r w:rsidR="00376283">
        <w:rPr>
          <w:rFonts w:eastAsia="Times New Roman"/>
          <w:szCs w:val="26"/>
        </w:rPr>
        <w:t xml:space="preserve">.” </w:t>
      </w:r>
      <w:r w:rsidR="000B7419">
        <w:rPr>
          <w:rFonts w:eastAsia="Times New Roman"/>
          <w:szCs w:val="26"/>
        </w:rPr>
        <w:t xml:space="preserve"> </w:t>
      </w:r>
      <w:r w:rsidRPr="00376283" w:rsidR="00376283">
        <w:rPr>
          <w:rFonts w:eastAsia="Times New Roman"/>
          <w:szCs w:val="26"/>
        </w:rPr>
        <w:t xml:space="preserve">(See </w:t>
      </w:r>
      <w:r w:rsidRPr="00376283" w:rsidR="00376283">
        <w:rPr>
          <w:rFonts w:eastAsia="Times New Roman"/>
          <w:i/>
          <w:iCs/>
          <w:szCs w:val="26"/>
        </w:rPr>
        <w:t>Alameda</w:t>
      </w:r>
      <w:r w:rsidRPr="00376283" w:rsidR="00376283">
        <w:rPr>
          <w:rFonts w:eastAsia="Times New Roman"/>
          <w:szCs w:val="26"/>
        </w:rPr>
        <w:t xml:space="preserve">, </w:t>
      </w:r>
      <w:r w:rsidRPr="00376283" w:rsidR="00376283">
        <w:rPr>
          <w:rFonts w:eastAsia="Times New Roman"/>
          <w:i/>
          <w:iCs/>
          <w:szCs w:val="26"/>
        </w:rPr>
        <w:t>supra</w:t>
      </w:r>
      <w:r w:rsidRPr="00376283" w:rsidR="00376283">
        <w:rPr>
          <w:rFonts w:eastAsia="Times New Roman"/>
          <w:szCs w:val="26"/>
        </w:rPr>
        <w:t>, 9 Cal.5th at p. 1</w:t>
      </w:r>
      <w:r w:rsidR="00376283">
        <w:rPr>
          <w:rFonts w:eastAsia="Times New Roman"/>
          <w:szCs w:val="26"/>
        </w:rPr>
        <w:t>102</w:t>
      </w:r>
      <w:r w:rsidRPr="00376283" w:rsidR="00376283">
        <w:rPr>
          <w:rFonts w:eastAsia="Times New Roman"/>
          <w:szCs w:val="26"/>
        </w:rPr>
        <w:t>.)</w:t>
      </w:r>
    </w:p>
    <w:p w:rsidR="00E94D9D" w:rsidP="00A122FC" w14:paraId="2F4F2899" w14:textId="0E9B3210">
      <w:pPr>
        <w:ind w:firstLine="720"/>
        <w:rPr>
          <w:rFonts w:eastAsia="Times New Roman"/>
          <w:szCs w:val="26"/>
        </w:rPr>
      </w:pPr>
      <w:r>
        <w:rPr>
          <w:rFonts w:eastAsia="Times New Roman"/>
          <w:szCs w:val="26"/>
        </w:rPr>
        <w:t>W</w:t>
      </w:r>
      <w:r w:rsidR="00784CE1">
        <w:rPr>
          <w:rFonts w:eastAsia="Times New Roman"/>
          <w:szCs w:val="26"/>
        </w:rPr>
        <w:t xml:space="preserve">e must interpret </w:t>
      </w:r>
      <w:r w:rsidRPr="00B431E7" w:rsidR="00B431E7">
        <w:rPr>
          <w:rFonts w:eastAsia="Times New Roman"/>
          <w:szCs w:val="26"/>
        </w:rPr>
        <w:t>section 31461, subdivision (b)</w:t>
      </w:r>
      <w:r w:rsidR="008E271B">
        <w:rPr>
          <w:rFonts w:eastAsia="Times New Roman"/>
          <w:szCs w:val="26"/>
        </w:rPr>
        <w:t xml:space="preserve">, </w:t>
      </w:r>
      <w:r w:rsidR="00E06304">
        <w:rPr>
          <w:rFonts w:eastAsia="Times New Roman"/>
          <w:szCs w:val="26"/>
        </w:rPr>
        <w:t>to effectuate the Legislatur</w:t>
      </w:r>
      <w:r w:rsidR="00773023">
        <w:rPr>
          <w:rFonts w:eastAsia="Times New Roman"/>
          <w:szCs w:val="26"/>
        </w:rPr>
        <w:t>e</w:t>
      </w:r>
      <w:r w:rsidR="00F10A40">
        <w:rPr>
          <w:rFonts w:eastAsia="Times New Roman"/>
          <w:szCs w:val="26"/>
        </w:rPr>
        <w:t>’s intent of eliminating pension spiking</w:t>
      </w:r>
      <w:r w:rsidR="00773023">
        <w:rPr>
          <w:rFonts w:eastAsia="Times New Roman"/>
          <w:szCs w:val="26"/>
        </w:rPr>
        <w:t xml:space="preserve">.  </w:t>
      </w:r>
      <w:r w:rsidR="00570B50">
        <w:rPr>
          <w:rFonts w:eastAsia="Times New Roman"/>
          <w:szCs w:val="26"/>
        </w:rPr>
        <w:t>Thus</w:t>
      </w:r>
      <w:r w:rsidR="001421CD">
        <w:rPr>
          <w:rFonts w:eastAsia="Times New Roman"/>
          <w:szCs w:val="26"/>
        </w:rPr>
        <w:t>, w</w:t>
      </w:r>
      <w:r w:rsidR="00214095">
        <w:rPr>
          <w:rFonts w:eastAsia="Times New Roman"/>
          <w:szCs w:val="26"/>
        </w:rPr>
        <w:t xml:space="preserve">e </w:t>
      </w:r>
      <w:r w:rsidR="00773023">
        <w:rPr>
          <w:rFonts w:eastAsia="Times New Roman"/>
          <w:szCs w:val="26"/>
        </w:rPr>
        <w:t>interpret th</w:t>
      </w:r>
      <w:r w:rsidR="00E72093">
        <w:rPr>
          <w:rFonts w:eastAsia="Times New Roman"/>
          <w:szCs w:val="26"/>
        </w:rPr>
        <w:t>is statute</w:t>
      </w:r>
      <w:r w:rsidR="00773023">
        <w:rPr>
          <w:rFonts w:eastAsia="Times New Roman"/>
          <w:szCs w:val="26"/>
        </w:rPr>
        <w:t xml:space="preserve"> to </w:t>
      </w:r>
      <w:r w:rsidR="00E06304">
        <w:rPr>
          <w:rFonts w:eastAsia="Times New Roman"/>
          <w:szCs w:val="26"/>
        </w:rPr>
        <w:t>comport</w:t>
      </w:r>
      <w:r w:rsidR="00784CE1">
        <w:rPr>
          <w:rFonts w:eastAsia="Times New Roman"/>
          <w:szCs w:val="26"/>
        </w:rPr>
        <w:t xml:space="preserve"> with the</w:t>
      </w:r>
      <w:r w:rsidR="00DF38D2">
        <w:rPr>
          <w:rFonts w:eastAsia="Times New Roman"/>
          <w:szCs w:val="26"/>
        </w:rPr>
        <w:t xml:space="preserve"> “</w:t>
      </w:r>
      <w:r w:rsidRPr="00F674B4" w:rsidR="001A34E8">
        <w:rPr>
          <w:rFonts w:eastAsia="Times New Roman"/>
          <w:szCs w:val="26"/>
        </w:rPr>
        <w:t>underlying concept of compensation earnable, which is intended to reflect pay for work ordinarily performed during the course of a year</w:t>
      </w:r>
      <w:r w:rsidR="00784CE1">
        <w:rPr>
          <w:rFonts w:eastAsia="Times New Roman"/>
          <w:szCs w:val="26"/>
        </w:rPr>
        <w:t>.”</w:t>
      </w:r>
      <w:r w:rsidR="00C9134F">
        <w:rPr>
          <w:rFonts w:eastAsia="Times New Roman"/>
          <w:szCs w:val="26"/>
        </w:rPr>
        <w:t xml:space="preserve"> </w:t>
      </w:r>
      <w:r w:rsidR="00477513">
        <w:rPr>
          <w:rFonts w:eastAsia="Times New Roman"/>
          <w:szCs w:val="26"/>
        </w:rPr>
        <w:t xml:space="preserve"> </w:t>
      </w:r>
      <w:r w:rsidRPr="0006116D" w:rsidR="001A34E8">
        <w:rPr>
          <w:rFonts w:eastAsia="Times New Roman"/>
          <w:szCs w:val="26"/>
        </w:rPr>
        <w:t>(</w:t>
      </w:r>
      <w:r w:rsidRPr="0006116D" w:rsidR="001A34E8">
        <w:rPr>
          <w:rFonts w:eastAsia="Times New Roman"/>
          <w:i/>
          <w:iCs/>
          <w:szCs w:val="26"/>
        </w:rPr>
        <w:t>Alameda</w:t>
      </w:r>
      <w:r w:rsidRPr="0006116D" w:rsidR="001A34E8">
        <w:rPr>
          <w:rFonts w:eastAsia="Times New Roman"/>
          <w:szCs w:val="26"/>
        </w:rPr>
        <w:t xml:space="preserve">, </w:t>
      </w:r>
      <w:r w:rsidRPr="0006116D" w:rsidR="001A34E8">
        <w:rPr>
          <w:rFonts w:eastAsia="Times New Roman"/>
          <w:i/>
          <w:iCs/>
          <w:szCs w:val="26"/>
        </w:rPr>
        <w:t>supra</w:t>
      </w:r>
      <w:r w:rsidRPr="0006116D" w:rsidR="001A34E8">
        <w:rPr>
          <w:rFonts w:eastAsia="Times New Roman"/>
          <w:szCs w:val="26"/>
        </w:rPr>
        <w:t>, 9 Cal.5th at p. 1063.</w:t>
      </w:r>
      <w:r w:rsidR="001A34E8">
        <w:rPr>
          <w:rFonts w:eastAsia="Times New Roman"/>
          <w:szCs w:val="26"/>
        </w:rPr>
        <w:t>)</w:t>
      </w:r>
      <w:r w:rsidR="00784CE1">
        <w:rPr>
          <w:rFonts w:eastAsia="Times New Roman"/>
          <w:szCs w:val="26"/>
        </w:rPr>
        <w:t xml:space="preserve">  </w:t>
      </w:r>
      <w:r w:rsidR="00872CEB">
        <w:rPr>
          <w:rFonts w:eastAsia="Times New Roman"/>
          <w:szCs w:val="26"/>
        </w:rPr>
        <w:t>A member’s</w:t>
      </w:r>
      <w:r w:rsidR="0058146F">
        <w:rPr>
          <w:rFonts w:eastAsia="Times New Roman"/>
          <w:szCs w:val="26"/>
        </w:rPr>
        <w:t xml:space="preserve"> compensation earnable during the</w:t>
      </w:r>
      <w:r w:rsidR="00872CEB">
        <w:rPr>
          <w:rFonts w:eastAsia="Times New Roman"/>
          <w:szCs w:val="26"/>
        </w:rPr>
        <w:t xml:space="preserve"> </w:t>
      </w:r>
      <w:r w:rsidR="00983020">
        <w:rPr>
          <w:rFonts w:eastAsia="Times New Roman"/>
          <w:szCs w:val="26"/>
        </w:rPr>
        <w:t>final compensation period is meant to reflect the</w:t>
      </w:r>
      <w:r w:rsidR="00523CC1">
        <w:rPr>
          <w:rFonts w:eastAsia="Times New Roman"/>
          <w:szCs w:val="26"/>
        </w:rPr>
        <w:t xml:space="preserve"> </w:t>
      </w:r>
      <w:r w:rsidRPr="00523CC1" w:rsidR="00523CC1">
        <w:rPr>
          <w:i/>
          <w:lang w:eastAsia="x-none"/>
        </w:rPr>
        <w:t>average</w:t>
      </w:r>
      <w:r w:rsidR="00523CC1">
        <w:rPr>
          <w:lang w:eastAsia="x-none"/>
        </w:rPr>
        <w:t xml:space="preserve"> pay the retiring employee received.  (</w:t>
      </w:r>
      <w:r w:rsidR="00523CC1">
        <w:rPr>
          <w:i/>
          <w:lang w:eastAsia="x-none"/>
        </w:rPr>
        <w:t xml:space="preserve">Id. </w:t>
      </w:r>
      <w:r w:rsidR="00523CC1">
        <w:rPr>
          <w:lang w:eastAsia="x-none"/>
        </w:rPr>
        <w:t xml:space="preserve">at p. 1058.)  </w:t>
      </w:r>
      <w:r w:rsidR="00523CC1">
        <w:rPr>
          <w:rFonts w:eastAsia="Times New Roman"/>
          <w:szCs w:val="26"/>
        </w:rPr>
        <w:t>And, an</w:t>
      </w:r>
      <w:r w:rsidR="009443EC">
        <w:rPr>
          <w:rFonts w:eastAsia="Times New Roman"/>
          <w:szCs w:val="26"/>
        </w:rPr>
        <w:t xml:space="preserve"> employee’s </w:t>
      </w:r>
      <w:r w:rsidR="00B3645F">
        <w:rPr>
          <w:rFonts w:eastAsia="Times New Roman"/>
          <w:szCs w:val="26"/>
        </w:rPr>
        <w:t xml:space="preserve">average </w:t>
      </w:r>
      <w:r w:rsidR="00523CC1">
        <w:rPr>
          <w:rFonts w:eastAsia="Times New Roman"/>
          <w:szCs w:val="26"/>
        </w:rPr>
        <w:t>pay during th</w:t>
      </w:r>
      <w:r w:rsidR="002806C8">
        <w:rPr>
          <w:rFonts w:eastAsia="Times New Roman"/>
          <w:szCs w:val="26"/>
        </w:rPr>
        <w:t>is</w:t>
      </w:r>
      <w:r w:rsidR="00523CC1">
        <w:rPr>
          <w:rFonts w:eastAsia="Times New Roman"/>
          <w:szCs w:val="26"/>
        </w:rPr>
        <w:t xml:space="preserve"> compensation period includes </w:t>
      </w:r>
      <w:r w:rsidR="00B3645F">
        <w:rPr>
          <w:rFonts w:eastAsia="Times New Roman"/>
          <w:szCs w:val="26"/>
        </w:rPr>
        <w:t xml:space="preserve">payment </w:t>
      </w:r>
      <w:r w:rsidR="00463CE7">
        <w:rPr>
          <w:rFonts w:eastAsia="Times New Roman"/>
          <w:szCs w:val="26"/>
        </w:rPr>
        <w:t xml:space="preserve">for leave cashouts </w:t>
      </w:r>
      <w:r w:rsidRPr="00B2353F" w:rsidR="00523CC1">
        <w:rPr>
          <w:rFonts w:eastAsia="Times New Roman"/>
          <w:i/>
          <w:iCs/>
          <w:szCs w:val="26"/>
        </w:rPr>
        <w:t>that is</w:t>
      </w:r>
      <w:r w:rsidRPr="00B2353F" w:rsidR="0029190C">
        <w:rPr>
          <w:rFonts w:eastAsia="Times New Roman"/>
          <w:i/>
          <w:iCs/>
          <w:szCs w:val="26"/>
        </w:rPr>
        <w:t xml:space="preserve"> subject to annual limitations</w:t>
      </w:r>
      <w:r w:rsidR="00496501">
        <w:rPr>
          <w:rFonts w:eastAsia="Times New Roman"/>
          <w:szCs w:val="26"/>
        </w:rPr>
        <w:t xml:space="preserve">. </w:t>
      </w:r>
      <w:r w:rsidR="00A44698">
        <w:rPr>
          <w:rFonts w:eastAsia="Times New Roman"/>
          <w:szCs w:val="26"/>
        </w:rPr>
        <w:t xml:space="preserve"> </w:t>
      </w:r>
      <w:r w:rsidR="00477513">
        <w:rPr>
          <w:rFonts w:eastAsia="Times New Roman"/>
          <w:szCs w:val="26"/>
        </w:rPr>
        <w:t xml:space="preserve">Allowing members to </w:t>
      </w:r>
      <w:r w:rsidR="00570B50">
        <w:rPr>
          <w:rFonts w:eastAsia="Times New Roman"/>
          <w:szCs w:val="26"/>
        </w:rPr>
        <w:t xml:space="preserve">avoid </w:t>
      </w:r>
      <w:r w:rsidR="00AF20B1">
        <w:rPr>
          <w:rFonts w:eastAsia="Times New Roman"/>
          <w:szCs w:val="26"/>
        </w:rPr>
        <w:t xml:space="preserve">annual </w:t>
      </w:r>
      <w:r w:rsidR="00477513">
        <w:rPr>
          <w:rFonts w:eastAsia="Times New Roman"/>
          <w:szCs w:val="26"/>
        </w:rPr>
        <w:t xml:space="preserve">leave cashout </w:t>
      </w:r>
      <w:r w:rsidR="00870456">
        <w:rPr>
          <w:rFonts w:eastAsia="Times New Roman"/>
          <w:szCs w:val="26"/>
        </w:rPr>
        <w:t xml:space="preserve">limitations by designating a straddled </w:t>
      </w:r>
      <w:r w:rsidR="00570B50">
        <w:rPr>
          <w:rFonts w:eastAsia="Times New Roman"/>
          <w:szCs w:val="26"/>
        </w:rPr>
        <w:t xml:space="preserve">final average compensation </w:t>
      </w:r>
      <w:r>
        <w:rPr>
          <w:rFonts w:eastAsia="Times New Roman"/>
          <w:szCs w:val="26"/>
        </w:rPr>
        <w:t xml:space="preserve">period </w:t>
      </w:r>
      <w:r w:rsidR="00C57E25">
        <w:rPr>
          <w:rFonts w:eastAsia="Times New Roman"/>
          <w:szCs w:val="26"/>
        </w:rPr>
        <w:t>does not comport with the</w:t>
      </w:r>
      <w:r w:rsidR="00787E6A">
        <w:rPr>
          <w:rFonts w:eastAsia="Times New Roman"/>
          <w:szCs w:val="26"/>
        </w:rPr>
        <w:t xml:space="preserve"> concept of compensation earnable and is </w:t>
      </w:r>
      <w:r>
        <w:rPr>
          <w:rFonts w:eastAsia="Times New Roman"/>
          <w:szCs w:val="26"/>
        </w:rPr>
        <w:t xml:space="preserve">inconsistent with </w:t>
      </w:r>
      <w:r w:rsidR="00570B50">
        <w:rPr>
          <w:rFonts w:eastAsia="Times New Roman"/>
          <w:szCs w:val="26"/>
        </w:rPr>
        <w:t xml:space="preserve">the </w:t>
      </w:r>
      <w:r>
        <w:rPr>
          <w:rFonts w:eastAsia="Times New Roman"/>
          <w:szCs w:val="26"/>
        </w:rPr>
        <w:t xml:space="preserve">legislative intent </w:t>
      </w:r>
      <w:r w:rsidR="00570B50">
        <w:rPr>
          <w:rFonts w:eastAsia="Times New Roman"/>
          <w:szCs w:val="26"/>
        </w:rPr>
        <w:t xml:space="preserve">behind the </w:t>
      </w:r>
      <w:r>
        <w:rPr>
          <w:rFonts w:eastAsia="Times New Roman"/>
          <w:szCs w:val="26"/>
        </w:rPr>
        <w:t xml:space="preserve">PEPRA exclusions. </w:t>
      </w:r>
    </w:p>
    <w:p w:rsidR="008560E6" w:rsidRPr="000C283C" w:rsidP="00A122FC" w14:paraId="0AD53B45" w14:textId="044AF84B">
      <w:pPr>
        <w:ind w:firstLine="720"/>
        <w:rPr>
          <w:rFonts w:eastAsia="Times New Roman"/>
          <w:color w:val="000000"/>
          <w:szCs w:val="26"/>
        </w:rPr>
      </w:pPr>
      <w:r w:rsidRPr="003E3DD3">
        <w:rPr>
          <w:rFonts w:eastAsia="Times New Roman"/>
          <w:szCs w:val="26"/>
        </w:rPr>
        <w:t>While we appreciate the impact of the Board’s resolution on members’ retirement allowances,</w:t>
      </w:r>
      <w:r>
        <w:rPr>
          <w:rFonts w:eastAsia="Times New Roman"/>
          <w:szCs w:val="26"/>
        </w:rPr>
        <w:t xml:space="preserve"> w</w:t>
      </w:r>
      <w:r w:rsidRPr="000C283C" w:rsidR="00A97FAA">
        <w:rPr>
          <w:rFonts w:eastAsia="Times New Roman"/>
          <w:szCs w:val="26"/>
        </w:rPr>
        <w:t xml:space="preserve">e </w:t>
      </w:r>
      <w:r>
        <w:rPr>
          <w:rFonts w:eastAsia="Times New Roman"/>
          <w:szCs w:val="26"/>
        </w:rPr>
        <w:t>nonetheless</w:t>
      </w:r>
      <w:r w:rsidRPr="000C283C" w:rsidR="00226DF1">
        <w:rPr>
          <w:rFonts w:eastAsia="Times New Roman"/>
          <w:szCs w:val="26"/>
        </w:rPr>
        <w:t xml:space="preserve"> conclude </w:t>
      </w:r>
      <w:r w:rsidRPr="000C283C" w:rsidR="00D81CB6">
        <w:rPr>
          <w:rFonts w:eastAsia="Times New Roman"/>
          <w:szCs w:val="26"/>
        </w:rPr>
        <w:t xml:space="preserve">the Board was required </w:t>
      </w:r>
      <w:r w:rsidR="00EF6A3F">
        <w:rPr>
          <w:rFonts w:eastAsia="Times New Roman"/>
          <w:szCs w:val="26"/>
        </w:rPr>
        <w:t>to comply with section 31461,</w:t>
      </w:r>
      <w:r w:rsidRPr="000C283C" w:rsidR="00D81CB6">
        <w:rPr>
          <w:rFonts w:eastAsia="Times New Roman"/>
          <w:szCs w:val="26"/>
        </w:rPr>
        <w:t xml:space="preserve"> subdivision (b</w:t>
      </w:r>
      <w:r w:rsidRPr="000C283C" w:rsidR="0086529D">
        <w:rPr>
          <w:rFonts w:eastAsia="Times New Roman"/>
          <w:szCs w:val="26"/>
        </w:rPr>
        <w:t xml:space="preserve">) and </w:t>
      </w:r>
      <w:r w:rsidRPr="000C283C" w:rsidR="0086529D">
        <w:rPr>
          <w:rFonts w:eastAsia="Times New Roman"/>
          <w:i/>
          <w:iCs/>
          <w:szCs w:val="26"/>
        </w:rPr>
        <w:t>Alameda</w:t>
      </w:r>
      <w:r w:rsidRPr="000C283C" w:rsidR="0086529D">
        <w:rPr>
          <w:rFonts w:eastAsia="Times New Roman"/>
          <w:szCs w:val="26"/>
        </w:rPr>
        <w:t xml:space="preserve"> </w:t>
      </w:r>
      <w:r w:rsidR="0041137E">
        <w:rPr>
          <w:rFonts w:eastAsia="Times New Roman"/>
          <w:szCs w:val="26"/>
        </w:rPr>
        <w:t>and</w:t>
      </w:r>
      <w:r w:rsidRPr="000C283C" w:rsidR="0086529D">
        <w:rPr>
          <w:rFonts w:eastAsia="Times New Roman"/>
          <w:szCs w:val="26"/>
        </w:rPr>
        <w:t xml:space="preserve"> exclude </w:t>
      </w:r>
      <w:r w:rsidRPr="000C283C" w:rsidR="00015158">
        <w:rPr>
          <w:rFonts w:eastAsia="Times New Roman"/>
          <w:szCs w:val="26"/>
        </w:rPr>
        <w:t xml:space="preserve">compensation for </w:t>
      </w:r>
      <w:r w:rsidR="00157653">
        <w:rPr>
          <w:rFonts w:eastAsia="Times New Roman"/>
          <w:szCs w:val="26"/>
        </w:rPr>
        <w:t xml:space="preserve">unused </w:t>
      </w:r>
      <w:r w:rsidRPr="000C283C" w:rsidR="00DE74F1">
        <w:rPr>
          <w:rFonts w:eastAsia="Times New Roman"/>
          <w:szCs w:val="26"/>
        </w:rPr>
        <w:t xml:space="preserve">leave </w:t>
      </w:r>
      <w:r w:rsidR="00157653">
        <w:rPr>
          <w:rFonts w:eastAsia="Times New Roman"/>
          <w:szCs w:val="26"/>
        </w:rPr>
        <w:t>exceeding</w:t>
      </w:r>
      <w:r w:rsidRPr="000C283C" w:rsidR="00DE74F1">
        <w:rPr>
          <w:rFonts w:eastAsia="Times New Roman"/>
          <w:szCs w:val="26"/>
        </w:rPr>
        <w:t xml:space="preserve"> the</w:t>
      </w:r>
      <w:r>
        <w:rPr>
          <w:rFonts w:eastAsia="Times New Roman"/>
          <w:szCs w:val="26"/>
        </w:rPr>
        <w:t>ir</w:t>
      </w:r>
      <w:r w:rsidRPr="000C283C" w:rsidR="00DE74F1">
        <w:rPr>
          <w:rFonts w:eastAsia="Times New Roman"/>
          <w:szCs w:val="26"/>
        </w:rPr>
        <w:t xml:space="preserve"> calendar year allowance</w:t>
      </w:r>
      <w:r>
        <w:rPr>
          <w:rFonts w:eastAsia="Times New Roman"/>
          <w:szCs w:val="26"/>
        </w:rPr>
        <w:t>s</w:t>
      </w:r>
      <w:r w:rsidRPr="000C283C" w:rsidR="00DE74F1">
        <w:rPr>
          <w:rFonts w:eastAsia="Times New Roman"/>
          <w:szCs w:val="26"/>
        </w:rPr>
        <w:t xml:space="preserve">. </w:t>
      </w:r>
      <w:r w:rsidRPr="000C283C" w:rsidR="00E261CE">
        <w:rPr>
          <w:rFonts w:eastAsia="Times New Roman"/>
          <w:szCs w:val="26"/>
        </w:rPr>
        <w:t xml:space="preserve"> </w:t>
      </w:r>
      <w:r w:rsidRPr="000C283C" w:rsidR="00F41843">
        <w:rPr>
          <w:rFonts w:eastAsia="Times New Roman"/>
          <w:szCs w:val="26"/>
        </w:rPr>
        <w:t>“The task of a county</w:t>
      </w:r>
      <w:r w:rsidR="00B96585">
        <w:rPr>
          <w:rFonts w:eastAsia="Times New Roman"/>
          <w:szCs w:val="26"/>
        </w:rPr>
        <w:t xml:space="preserve"> retirement</w:t>
      </w:r>
      <w:r w:rsidRPr="000C283C" w:rsidR="00F41843">
        <w:rPr>
          <w:rFonts w:eastAsia="Times New Roman"/>
          <w:szCs w:val="26"/>
        </w:rPr>
        <w:t xml:space="preserve"> </w:t>
      </w:r>
      <w:r w:rsidRPr="008560E6">
        <w:rPr>
          <w:rFonts w:eastAsia="Times New Roman"/>
          <w:color w:val="000000"/>
          <w:szCs w:val="26"/>
        </w:rPr>
        <w:t>board is not to design the count</w:t>
      </w:r>
      <w:r w:rsidRPr="000C283C" w:rsidR="00F41843">
        <w:rPr>
          <w:rFonts w:eastAsia="Times New Roman"/>
          <w:color w:val="000000"/>
          <w:szCs w:val="26"/>
        </w:rPr>
        <w:t>y’</w:t>
      </w:r>
      <w:r w:rsidRPr="008560E6">
        <w:rPr>
          <w:rFonts w:eastAsia="Times New Roman"/>
          <w:color w:val="000000"/>
          <w:szCs w:val="26"/>
        </w:rPr>
        <w:t>s pension plan but to implement the design enacted by the Legislature through CERL.</w:t>
      </w:r>
      <w:r w:rsidRPr="000C283C" w:rsidR="00182984">
        <w:rPr>
          <w:rFonts w:eastAsia="Times New Roman"/>
          <w:color w:val="000000"/>
          <w:szCs w:val="26"/>
        </w:rPr>
        <w:t>”  (</w:t>
      </w:r>
      <w:r w:rsidRPr="000C283C" w:rsidR="00182984">
        <w:rPr>
          <w:rFonts w:eastAsia="Times New Roman"/>
          <w:i/>
          <w:iCs/>
          <w:color w:val="000000"/>
          <w:szCs w:val="26"/>
        </w:rPr>
        <w:t>Alameda</w:t>
      </w:r>
      <w:r w:rsidRPr="000C283C" w:rsidR="00182984">
        <w:rPr>
          <w:rFonts w:eastAsia="Times New Roman"/>
          <w:color w:val="000000"/>
          <w:szCs w:val="26"/>
        </w:rPr>
        <w:t xml:space="preserve">, </w:t>
      </w:r>
      <w:r w:rsidRPr="000C283C" w:rsidR="00182984">
        <w:rPr>
          <w:rFonts w:eastAsia="Times New Roman"/>
          <w:i/>
          <w:iCs/>
          <w:color w:val="000000"/>
          <w:szCs w:val="26"/>
        </w:rPr>
        <w:t>supra</w:t>
      </w:r>
      <w:r w:rsidRPr="000C283C" w:rsidR="00182984">
        <w:rPr>
          <w:rFonts w:eastAsia="Times New Roman"/>
          <w:color w:val="000000"/>
          <w:szCs w:val="26"/>
        </w:rPr>
        <w:t xml:space="preserve">, 9 Cal.5th at pp. 1066-1067.) </w:t>
      </w:r>
      <w:r w:rsidRPr="000C283C" w:rsidR="00ED0EAD">
        <w:rPr>
          <w:rFonts w:eastAsia="Times New Roman"/>
          <w:color w:val="000000"/>
          <w:szCs w:val="26"/>
        </w:rPr>
        <w:t xml:space="preserve"> </w:t>
      </w:r>
      <w:r w:rsidRPr="000C283C" w:rsidR="00E7753C">
        <w:rPr>
          <w:rFonts w:eastAsia="Times New Roman"/>
          <w:color w:val="000000"/>
          <w:szCs w:val="26"/>
        </w:rPr>
        <w:t xml:space="preserve">The Board had no authority </w:t>
      </w:r>
      <w:r w:rsidR="00787E6A">
        <w:rPr>
          <w:rFonts w:eastAsia="Times New Roman"/>
          <w:color w:val="000000"/>
          <w:szCs w:val="26"/>
        </w:rPr>
        <w:t xml:space="preserve">here </w:t>
      </w:r>
      <w:r w:rsidRPr="000C283C" w:rsidR="00E7753C">
        <w:rPr>
          <w:rFonts w:eastAsia="Times New Roman"/>
          <w:color w:val="000000"/>
          <w:szCs w:val="26"/>
        </w:rPr>
        <w:t xml:space="preserve">to </w:t>
      </w:r>
      <w:r w:rsidR="005D2E6E">
        <w:rPr>
          <w:rFonts w:eastAsia="Times New Roman"/>
          <w:color w:val="000000"/>
          <w:szCs w:val="26"/>
        </w:rPr>
        <w:t xml:space="preserve">“adopt or act on an interpretation </w:t>
      </w:r>
      <w:r w:rsidR="00D63366">
        <w:rPr>
          <w:rFonts w:eastAsia="Times New Roman"/>
          <w:color w:val="000000"/>
          <w:szCs w:val="26"/>
        </w:rPr>
        <w:t>[of CERL’s provisions] that is inconsistent with those provisions.</w:t>
      </w:r>
      <w:r w:rsidR="00684E5C">
        <w:rPr>
          <w:rFonts w:eastAsia="Times New Roman"/>
          <w:color w:val="000000"/>
          <w:szCs w:val="26"/>
        </w:rPr>
        <w:t>”</w:t>
      </w:r>
      <w:r w:rsidRPr="000C283C" w:rsidR="000C283C">
        <w:rPr>
          <w:rFonts w:eastAsia="Times New Roman"/>
          <w:color w:val="000000"/>
          <w:szCs w:val="26"/>
        </w:rPr>
        <w:t xml:space="preserve">  (</w:t>
      </w:r>
      <w:r w:rsidRPr="000C283C" w:rsidR="000C283C">
        <w:rPr>
          <w:rFonts w:eastAsia="Times New Roman"/>
          <w:i/>
          <w:iCs/>
          <w:color w:val="000000"/>
          <w:szCs w:val="26"/>
        </w:rPr>
        <w:t>Id</w:t>
      </w:r>
      <w:r w:rsidRPr="000C283C" w:rsidR="000C283C">
        <w:rPr>
          <w:rFonts w:eastAsia="Times New Roman"/>
          <w:color w:val="000000"/>
          <w:szCs w:val="26"/>
        </w:rPr>
        <w:t>. at p. 1067.)</w:t>
      </w:r>
      <w:r>
        <w:rPr>
          <w:rStyle w:val="FootnoteReference"/>
          <w:rFonts w:eastAsia="Times New Roman"/>
          <w:color w:val="000000"/>
          <w:position w:val="8"/>
          <w:sz w:val="20"/>
          <w:szCs w:val="20"/>
          <w:vertAlign w:val="baseline"/>
        </w:rPr>
        <w:footnoteReference w:id="6"/>
      </w:r>
      <w:r w:rsidRPr="000C283C" w:rsidR="000C283C">
        <w:rPr>
          <w:rFonts w:eastAsia="Times New Roman"/>
          <w:color w:val="000000"/>
          <w:szCs w:val="26"/>
        </w:rPr>
        <w:t xml:space="preserve"> </w:t>
      </w:r>
      <w:r w:rsidR="00C352E9">
        <w:rPr>
          <w:rFonts w:eastAsia="Times New Roman"/>
          <w:color w:val="000000"/>
          <w:szCs w:val="26"/>
        </w:rPr>
        <w:br/>
      </w:r>
    </w:p>
    <w:p w:rsidR="00DE5E18" w:rsidP="00A122FC" w14:paraId="4137E22A" w14:textId="555004E5">
      <w:pPr>
        <w:pStyle w:val="Heading1"/>
        <w:spacing w:before="0" w:after="0"/>
        <w:rPr>
          <w:b w:val="0"/>
          <w:szCs w:val="26"/>
          <w:lang w:val="en-US"/>
        </w:rPr>
      </w:pPr>
      <w:r>
        <w:rPr>
          <w:b w:val="0"/>
          <w:szCs w:val="26"/>
        </w:rPr>
        <w:t>Disposition</w:t>
      </w:r>
    </w:p>
    <w:p w:rsidR="00F71FE9" w:rsidP="00A122FC" w14:paraId="17EC4B9D" w14:textId="77777777">
      <w:pPr>
        <w:tabs>
          <w:tab w:val="left" w:pos="1440"/>
          <w:tab w:val="left" w:pos="2880"/>
          <w:tab w:val="left" w:pos="4320"/>
          <w:tab w:val="left" w:pos="5760"/>
          <w:tab w:val="left" w:pos="7200"/>
        </w:tabs>
        <w:ind w:firstLine="720"/>
        <w:rPr>
          <w:szCs w:val="26"/>
        </w:rPr>
      </w:pPr>
      <w:r>
        <w:rPr>
          <w:szCs w:val="26"/>
        </w:rPr>
        <w:t xml:space="preserve">The judgment is affirmed. Respondent shall recover costs on appeal. </w:t>
      </w:r>
    </w:p>
    <w:p w:rsidR="00782625" w:rsidP="0018348C" w14:paraId="097DA03F" w14:textId="7D31B59E">
      <w:pPr>
        <w:tabs>
          <w:tab w:val="left" w:pos="1440"/>
          <w:tab w:val="left" w:pos="2880"/>
          <w:tab w:val="left" w:pos="4320"/>
          <w:tab w:val="left" w:pos="5760"/>
          <w:tab w:val="left" w:pos="7200"/>
        </w:tabs>
        <w:spacing w:line="240" w:lineRule="auto"/>
        <w:rPr>
          <w:szCs w:val="26"/>
          <w:u w:val="single"/>
        </w:rPr>
      </w:pPr>
    </w:p>
    <w:p w:rsidR="00D44361" w:rsidP="0018348C" w14:paraId="7711593E" w14:textId="77777777">
      <w:pPr>
        <w:tabs>
          <w:tab w:val="left" w:pos="1440"/>
          <w:tab w:val="left" w:pos="2880"/>
          <w:tab w:val="left" w:pos="4320"/>
          <w:tab w:val="left" w:pos="5760"/>
          <w:tab w:val="left" w:pos="7200"/>
        </w:tabs>
        <w:spacing w:line="240" w:lineRule="auto"/>
        <w:rPr>
          <w:szCs w:val="26"/>
        </w:rPr>
      </w:pPr>
    </w:p>
    <w:p w:rsidR="00782625" w:rsidP="009D0DB2" w14:paraId="337950F4" w14:textId="77777777">
      <w:pPr>
        <w:tabs>
          <w:tab w:val="left" w:pos="1440"/>
          <w:tab w:val="left" w:pos="2880"/>
          <w:tab w:val="left" w:pos="4320"/>
          <w:tab w:val="left" w:pos="5760"/>
          <w:tab w:val="left" w:pos="7200"/>
        </w:tabs>
        <w:spacing w:line="240" w:lineRule="auto"/>
        <w:rPr>
          <w:szCs w:val="26"/>
        </w:rPr>
      </w:pPr>
    </w:p>
    <w:p w:rsidR="00C352E9" w:rsidP="009D0DB2" w14:paraId="4135C9F5" w14:textId="77777777">
      <w:pPr>
        <w:tabs>
          <w:tab w:val="left" w:pos="1440"/>
          <w:tab w:val="left" w:pos="2880"/>
          <w:tab w:val="left" w:pos="4320"/>
          <w:tab w:val="left" w:pos="5760"/>
          <w:tab w:val="left" w:pos="7200"/>
        </w:tabs>
        <w:spacing w:line="240" w:lineRule="auto"/>
        <w:rPr>
          <w:szCs w:val="26"/>
        </w:rPr>
      </w:pPr>
    </w:p>
    <w:p w:rsidR="00782625" w:rsidP="00D26A95" w14:paraId="50235FBB" w14:textId="77777777">
      <w:pPr>
        <w:tabs>
          <w:tab w:val="left" w:pos="1440"/>
          <w:tab w:val="left" w:pos="2880"/>
          <w:tab w:val="left" w:pos="4320"/>
          <w:tab w:val="left" w:pos="5760"/>
          <w:tab w:val="left" w:pos="7200"/>
        </w:tabs>
        <w:spacing w:line="240" w:lineRule="auto"/>
        <w:rPr>
          <w:szCs w:val="26"/>
        </w:rPr>
      </w:pPr>
    </w:p>
    <w:p w:rsidR="00782625" w:rsidP="00782625" w14:paraId="781C6086" w14:textId="77777777">
      <w:pPr>
        <w:tabs>
          <w:tab w:val="left" w:pos="1440"/>
          <w:tab w:val="left" w:pos="2880"/>
          <w:tab w:val="left" w:pos="4320"/>
          <w:tab w:val="left" w:pos="5760"/>
          <w:tab w:val="left" w:pos="7200"/>
        </w:tabs>
        <w:spacing w:line="240" w:lineRule="auto"/>
        <w:ind w:firstLine="720"/>
        <w:rPr>
          <w:szCs w:val="26"/>
        </w:rPr>
      </w:pPr>
      <w:r>
        <w:rPr>
          <w:szCs w:val="26"/>
        </w:rPr>
        <w:tab/>
      </w:r>
      <w:r>
        <w:rPr>
          <w:szCs w:val="26"/>
        </w:rPr>
        <w:tab/>
      </w:r>
      <w:r>
        <w:rPr>
          <w:szCs w:val="26"/>
        </w:rPr>
        <w:tab/>
        <w:t>BALTODANO, J.</w:t>
      </w:r>
    </w:p>
    <w:p w:rsidR="00782625" w:rsidP="009D0DB2" w14:paraId="73AFDB7A" w14:textId="77777777">
      <w:pPr>
        <w:tabs>
          <w:tab w:val="left" w:pos="1440"/>
          <w:tab w:val="left" w:pos="2880"/>
          <w:tab w:val="left" w:pos="4320"/>
          <w:tab w:val="left" w:pos="5760"/>
          <w:tab w:val="left" w:pos="7200"/>
        </w:tabs>
        <w:spacing w:line="240" w:lineRule="auto"/>
        <w:rPr>
          <w:szCs w:val="26"/>
        </w:rPr>
      </w:pPr>
    </w:p>
    <w:p w:rsidR="0018348C" w:rsidP="009D0DB2" w14:paraId="7C4E2973" w14:textId="77777777">
      <w:pPr>
        <w:tabs>
          <w:tab w:val="left" w:pos="1440"/>
          <w:tab w:val="left" w:pos="2880"/>
          <w:tab w:val="left" w:pos="4320"/>
          <w:tab w:val="left" w:pos="5760"/>
          <w:tab w:val="left" w:pos="7200"/>
        </w:tabs>
        <w:spacing w:line="240" w:lineRule="auto"/>
        <w:rPr>
          <w:szCs w:val="26"/>
        </w:rPr>
      </w:pPr>
    </w:p>
    <w:p w:rsidR="00782625" w:rsidP="0018348C" w14:paraId="3C83DF9E" w14:textId="77777777">
      <w:pPr>
        <w:tabs>
          <w:tab w:val="left" w:pos="1440"/>
          <w:tab w:val="left" w:pos="2880"/>
          <w:tab w:val="left" w:pos="4320"/>
          <w:tab w:val="left" w:pos="5760"/>
          <w:tab w:val="left" w:pos="7200"/>
        </w:tabs>
        <w:spacing w:line="240" w:lineRule="auto"/>
        <w:rPr>
          <w:szCs w:val="26"/>
        </w:rPr>
      </w:pPr>
      <w:r>
        <w:rPr>
          <w:szCs w:val="26"/>
        </w:rPr>
        <w:t>We concur:</w:t>
      </w:r>
    </w:p>
    <w:p w:rsidR="00782625" w:rsidP="00782625" w14:paraId="2A267376" w14:textId="77777777">
      <w:pPr>
        <w:tabs>
          <w:tab w:val="left" w:pos="1440"/>
          <w:tab w:val="left" w:pos="2880"/>
          <w:tab w:val="left" w:pos="4320"/>
          <w:tab w:val="left" w:pos="5760"/>
          <w:tab w:val="left" w:pos="7200"/>
        </w:tabs>
        <w:spacing w:line="240" w:lineRule="auto"/>
        <w:ind w:firstLine="720"/>
        <w:rPr>
          <w:szCs w:val="26"/>
        </w:rPr>
      </w:pPr>
    </w:p>
    <w:p w:rsidR="009D0DB2" w:rsidP="00782625" w14:paraId="20283F26" w14:textId="77777777">
      <w:pPr>
        <w:tabs>
          <w:tab w:val="left" w:pos="1440"/>
          <w:tab w:val="left" w:pos="2880"/>
          <w:tab w:val="left" w:pos="4320"/>
          <w:tab w:val="left" w:pos="5760"/>
          <w:tab w:val="left" w:pos="7200"/>
        </w:tabs>
        <w:spacing w:line="240" w:lineRule="auto"/>
        <w:ind w:firstLine="720"/>
        <w:rPr>
          <w:szCs w:val="26"/>
        </w:rPr>
      </w:pPr>
    </w:p>
    <w:p w:rsidR="0097474A" w:rsidP="00782625" w14:paraId="430B6102" w14:textId="77777777">
      <w:pPr>
        <w:tabs>
          <w:tab w:val="left" w:pos="1440"/>
          <w:tab w:val="left" w:pos="2880"/>
          <w:tab w:val="left" w:pos="4320"/>
          <w:tab w:val="left" w:pos="5760"/>
          <w:tab w:val="left" w:pos="7200"/>
        </w:tabs>
        <w:spacing w:line="240" w:lineRule="auto"/>
        <w:ind w:firstLine="720"/>
        <w:rPr>
          <w:szCs w:val="26"/>
        </w:rPr>
      </w:pPr>
    </w:p>
    <w:p w:rsidR="0018348C" w:rsidP="009D0DB2" w14:paraId="544E690E" w14:textId="77777777">
      <w:pPr>
        <w:tabs>
          <w:tab w:val="left" w:pos="1440"/>
          <w:tab w:val="left" w:pos="2880"/>
          <w:tab w:val="left" w:pos="4320"/>
          <w:tab w:val="left" w:pos="5760"/>
          <w:tab w:val="left" w:pos="7200"/>
        </w:tabs>
        <w:spacing w:line="240" w:lineRule="auto"/>
        <w:rPr>
          <w:szCs w:val="26"/>
        </w:rPr>
      </w:pPr>
      <w:r>
        <w:rPr>
          <w:szCs w:val="26"/>
        </w:rPr>
        <w:tab/>
      </w:r>
      <w:r w:rsidR="00782625">
        <w:rPr>
          <w:szCs w:val="26"/>
        </w:rPr>
        <w:t>GILBERT, P. J.</w:t>
      </w:r>
      <w:r w:rsidR="00D26A95">
        <w:rPr>
          <w:szCs w:val="26"/>
        </w:rPr>
        <w:tab/>
      </w:r>
    </w:p>
    <w:p w:rsidR="0018348C" w:rsidP="009D0DB2" w14:paraId="12DF1970" w14:textId="77777777">
      <w:pPr>
        <w:tabs>
          <w:tab w:val="left" w:pos="1440"/>
          <w:tab w:val="left" w:pos="2880"/>
          <w:tab w:val="left" w:pos="4320"/>
          <w:tab w:val="left" w:pos="5760"/>
          <w:tab w:val="left" w:pos="7200"/>
        </w:tabs>
        <w:spacing w:line="240" w:lineRule="auto"/>
        <w:rPr>
          <w:szCs w:val="26"/>
        </w:rPr>
      </w:pPr>
    </w:p>
    <w:p w:rsidR="0018348C" w:rsidP="009D0DB2" w14:paraId="03E1DDA6" w14:textId="77777777">
      <w:pPr>
        <w:tabs>
          <w:tab w:val="left" w:pos="1440"/>
          <w:tab w:val="left" w:pos="2880"/>
          <w:tab w:val="left" w:pos="4320"/>
          <w:tab w:val="left" w:pos="5760"/>
          <w:tab w:val="left" w:pos="7200"/>
        </w:tabs>
        <w:spacing w:line="240" w:lineRule="auto"/>
        <w:rPr>
          <w:szCs w:val="26"/>
        </w:rPr>
      </w:pPr>
    </w:p>
    <w:p w:rsidR="0018348C" w:rsidP="009D0DB2" w14:paraId="39E3A4AF" w14:textId="77777777">
      <w:pPr>
        <w:tabs>
          <w:tab w:val="left" w:pos="1440"/>
          <w:tab w:val="left" w:pos="2880"/>
          <w:tab w:val="left" w:pos="4320"/>
          <w:tab w:val="left" w:pos="5760"/>
          <w:tab w:val="left" w:pos="7200"/>
        </w:tabs>
        <w:spacing w:line="240" w:lineRule="auto"/>
        <w:rPr>
          <w:szCs w:val="26"/>
        </w:rPr>
      </w:pPr>
    </w:p>
    <w:p w:rsidR="00782625" w:rsidP="009D0DB2" w14:paraId="7DDBB981" w14:textId="6D31A40A">
      <w:pPr>
        <w:tabs>
          <w:tab w:val="left" w:pos="1440"/>
          <w:tab w:val="left" w:pos="2880"/>
          <w:tab w:val="left" w:pos="4320"/>
          <w:tab w:val="left" w:pos="5760"/>
          <w:tab w:val="left" w:pos="7200"/>
        </w:tabs>
        <w:spacing w:line="240" w:lineRule="auto"/>
        <w:rPr>
          <w:szCs w:val="26"/>
        </w:rPr>
        <w:sectPr w:rsidSect="009D0DB2">
          <w:footerReference w:type="default" r:id="rId6"/>
          <w:pgSz w:w="12240" w:h="15840"/>
          <w:pgMar w:top="2160" w:right="2160" w:bottom="2160" w:left="2160" w:header="720" w:footer="720" w:gutter="0"/>
          <w:cols w:space="720"/>
          <w:titlePg/>
          <w:docGrid w:linePitch="360"/>
        </w:sectPr>
      </w:pPr>
      <w:r>
        <w:rPr>
          <w:szCs w:val="26"/>
        </w:rPr>
        <w:tab/>
        <w:t>CODY, J.</w:t>
      </w:r>
    </w:p>
    <w:p w:rsidR="00782625" w:rsidP="00D26A95" w14:paraId="71687C47" w14:textId="77777777">
      <w:pPr>
        <w:tabs>
          <w:tab w:val="left" w:pos="1440"/>
          <w:tab w:val="left" w:pos="2880"/>
          <w:tab w:val="left" w:pos="4320"/>
          <w:tab w:val="left" w:pos="5760"/>
          <w:tab w:val="left" w:pos="7200"/>
        </w:tabs>
        <w:spacing w:line="240" w:lineRule="auto"/>
        <w:jc w:val="center"/>
        <w:rPr>
          <w:szCs w:val="26"/>
        </w:rPr>
      </w:pPr>
      <w:r>
        <w:rPr>
          <w:szCs w:val="26"/>
        </w:rPr>
        <w:t>Colleen K. Sterne, Judge</w:t>
      </w:r>
    </w:p>
    <w:p w:rsidR="00782625" w:rsidP="00D26A95" w14:paraId="507497B8" w14:textId="77777777">
      <w:pPr>
        <w:tabs>
          <w:tab w:val="left" w:pos="1440"/>
          <w:tab w:val="left" w:pos="2880"/>
          <w:tab w:val="left" w:pos="4320"/>
          <w:tab w:val="left" w:pos="5760"/>
          <w:tab w:val="left" w:pos="7200"/>
        </w:tabs>
        <w:spacing w:line="240" w:lineRule="auto"/>
        <w:jc w:val="center"/>
        <w:rPr>
          <w:szCs w:val="26"/>
        </w:rPr>
      </w:pPr>
    </w:p>
    <w:p w:rsidR="00782625" w:rsidP="00D26A95" w14:paraId="23ED4549" w14:textId="77777777">
      <w:pPr>
        <w:tabs>
          <w:tab w:val="left" w:pos="1440"/>
          <w:tab w:val="left" w:pos="2880"/>
          <w:tab w:val="left" w:pos="4320"/>
          <w:tab w:val="left" w:pos="5760"/>
          <w:tab w:val="left" w:pos="7200"/>
        </w:tabs>
        <w:spacing w:line="240" w:lineRule="auto"/>
        <w:jc w:val="center"/>
        <w:rPr>
          <w:szCs w:val="26"/>
        </w:rPr>
      </w:pPr>
      <w:r>
        <w:rPr>
          <w:szCs w:val="26"/>
        </w:rPr>
        <w:t>Superior Court County of Santa Barbara</w:t>
      </w:r>
    </w:p>
    <w:p w:rsidR="00782625" w:rsidP="00D26A95" w14:paraId="6087DA62" w14:textId="77777777">
      <w:pPr>
        <w:tabs>
          <w:tab w:val="left" w:pos="1440"/>
          <w:tab w:val="left" w:pos="2880"/>
          <w:tab w:val="left" w:pos="4320"/>
          <w:tab w:val="left" w:pos="5760"/>
          <w:tab w:val="left" w:pos="7200"/>
        </w:tabs>
        <w:spacing w:line="240" w:lineRule="auto"/>
        <w:jc w:val="center"/>
        <w:rPr>
          <w:szCs w:val="26"/>
        </w:rPr>
      </w:pPr>
    </w:p>
    <w:p w:rsidR="00782625" w:rsidP="00D26A95" w14:paraId="56D1CBC6" w14:textId="77777777">
      <w:pPr>
        <w:tabs>
          <w:tab w:val="left" w:pos="1440"/>
          <w:tab w:val="left" w:pos="2880"/>
          <w:tab w:val="left" w:pos="4320"/>
          <w:tab w:val="left" w:pos="5760"/>
          <w:tab w:val="left" w:pos="7200"/>
        </w:tabs>
        <w:spacing w:line="240" w:lineRule="auto"/>
        <w:jc w:val="center"/>
        <w:rPr>
          <w:szCs w:val="26"/>
        </w:rPr>
      </w:pPr>
      <w:r>
        <w:rPr>
          <w:szCs w:val="26"/>
        </w:rPr>
        <w:t>______________________________</w:t>
      </w:r>
    </w:p>
    <w:p w:rsidR="00782625" w:rsidP="00D26A95" w14:paraId="49835388" w14:textId="77777777">
      <w:pPr>
        <w:tabs>
          <w:tab w:val="left" w:pos="1440"/>
          <w:tab w:val="left" w:pos="2880"/>
          <w:tab w:val="left" w:pos="4320"/>
          <w:tab w:val="left" w:pos="5760"/>
          <w:tab w:val="left" w:pos="7200"/>
        </w:tabs>
        <w:spacing w:line="240" w:lineRule="auto"/>
        <w:jc w:val="center"/>
        <w:rPr>
          <w:szCs w:val="26"/>
        </w:rPr>
      </w:pPr>
    </w:p>
    <w:p w:rsidR="005A1C78" w:rsidP="00D26A95" w14:paraId="4E2851C3" w14:textId="77777777">
      <w:pPr>
        <w:ind w:firstLine="720"/>
      </w:pPr>
      <w:r>
        <w:t>Rains Lucia Stern St. Phalle &amp; Silver</w:t>
      </w:r>
      <w:r w:rsidR="00D26A95">
        <w:t>, J</w:t>
      </w:r>
      <w:r>
        <w:t>acob A. Kalinski and Brian P. Ross for</w:t>
      </w:r>
      <w:r w:rsidR="00D26A95">
        <w:t xml:space="preserve"> Defendant</w:t>
      </w:r>
      <w:r>
        <w:t>s</w:t>
      </w:r>
      <w:r w:rsidR="00D26A95">
        <w:t xml:space="preserve"> and Appellant</w:t>
      </w:r>
      <w:r>
        <w:t>s</w:t>
      </w:r>
      <w:r w:rsidR="00D26A95">
        <w:t>.</w:t>
      </w:r>
    </w:p>
    <w:p w:rsidR="00D26A95" w:rsidP="0097474A" w14:paraId="7BD57902" w14:textId="77777777">
      <w:pPr>
        <w:tabs>
          <w:tab w:val="left" w:pos="2880"/>
          <w:tab w:val="left" w:pos="4320"/>
          <w:tab w:val="left" w:pos="5760"/>
          <w:tab w:val="left" w:pos="7200"/>
        </w:tabs>
        <w:ind w:firstLine="720"/>
      </w:pPr>
      <w:r>
        <w:t>Norman Dowler and Michael G. Walker for Retired Employees’ Association of Ventura County</w:t>
      </w:r>
      <w:r w:rsidR="007708DA">
        <w:t>, Inc.</w:t>
      </w:r>
      <w:r>
        <w:t xml:space="preserve">, Regina Artman, Scott Barash, Lyn Krieger, Mark Lunn, Roberto R. Orellana, Tracey Frances Pirie, Marty Robinson and Chris Stephens as Amici Curiae on behalf of Defendants and Appellants.   </w:t>
      </w:r>
    </w:p>
    <w:p w:rsidR="00D44361" w:rsidP="00D26A95" w14:paraId="041B71A0" w14:textId="73024819">
      <w:pPr>
        <w:ind w:firstLine="720"/>
        <w:sectPr w:rsidSect="00214BBA">
          <w:pgSz w:w="12240" w:h="15840"/>
          <w:pgMar w:top="2160" w:right="2160" w:bottom="2160" w:left="2160" w:header="720" w:footer="720" w:gutter="0"/>
          <w:cols w:space="720"/>
          <w:titlePg/>
          <w:docGrid w:linePitch="360"/>
        </w:sectPr>
      </w:pPr>
      <w:r>
        <w:t>Nossaman, Ashley K. Dunning, Aalia Taufiq and Alexander Westerfield for Plaintiff and Respondent.</w:t>
      </w:r>
    </w:p>
    <w:p w:rsidR="00B520DF" w:rsidRPr="006678A8" w:rsidP="00B520DF" w14:paraId="31628C4A" w14:textId="77777777">
      <w:pPr>
        <w:spacing w:line="240" w:lineRule="auto"/>
        <w:rPr>
          <w:sz w:val="20"/>
          <w:szCs w:val="20"/>
        </w:rPr>
      </w:pPr>
      <w:r w:rsidRPr="006678A8">
        <w:rPr>
          <w:sz w:val="20"/>
          <w:szCs w:val="20"/>
        </w:rPr>
        <w:t>Filed 1/18/24</w:t>
      </w:r>
    </w:p>
    <w:p w:rsidR="00B520DF" w:rsidRPr="004F4AD9" w:rsidP="00B520DF" w14:paraId="2CACD0EB" w14:textId="77777777">
      <w:pPr>
        <w:spacing w:line="240" w:lineRule="auto"/>
        <w:jc w:val="center"/>
      </w:pPr>
      <w:r w:rsidRPr="004F4AD9">
        <w:t>CERTIFIED FOR PUBLICATION</w:t>
      </w:r>
    </w:p>
    <w:p w:rsidR="00B520DF" w:rsidRPr="00DF2A7C" w:rsidP="00B520DF" w14:paraId="7CD79FA2" w14:textId="77777777">
      <w:pPr>
        <w:spacing w:line="240" w:lineRule="auto"/>
        <w:jc w:val="center"/>
        <w:rPr>
          <w:b/>
        </w:rPr>
      </w:pPr>
    </w:p>
    <w:p w:rsidR="00B520DF" w:rsidP="00B520DF" w14:paraId="77140900" w14:textId="77777777">
      <w:pPr>
        <w:tabs>
          <w:tab w:val="left" w:pos="1440"/>
          <w:tab w:val="left" w:pos="2880"/>
          <w:tab w:val="left" w:pos="4320"/>
          <w:tab w:val="left" w:pos="5760"/>
          <w:tab w:val="left" w:pos="7200"/>
        </w:tabs>
        <w:spacing w:line="240" w:lineRule="auto"/>
        <w:jc w:val="center"/>
        <w:rPr>
          <w:szCs w:val="26"/>
        </w:rPr>
      </w:pPr>
      <w:r>
        <w:rPr>
          <w:szCs w:val="26"/>
        </w:rPr>
        <w:t>IN THE COURT OF APPEAL OF THE STATE OF CALIFORNIA</w:t>
      </w:r>
    </w:p>
    <w:p w:rsidR="00B520DF" w:rsidP="00B520DF" w14:paraId="56AA4EA4" w14:textId="77777777">
      <w:pPr>
        <w:tabs>
          <w:tab w:val="left" w:pos="1440"/>
          <w:tab w:val="left" w:pos="2880"/>
          <w:tab w:val="left" w:pos="4320"/>
          <w:tab w:val="left" w:pos="5760"/>
          <w:tab w:val="left" w:pos="7200"/>
        </w:tabs>
        <w:spacing w:line="240" w:lineRule="auto"/>
        <w:jc w:val="center"/>
        <w:rPr>
          <w:szCs w:val="26"/>
        </w:rPr>
      </w:pPr>
    </w:p>
    <w:p w:rsidR="00B520DF" w:rsidP="00B520DF" w14:paraId="5E97DD57" w14:textId="77777777">
      <w:pPr>
        <w:tabs>
          <w:tab w:val="left" w:pos="1440"/>
          <w:tab w:val="left" w:pos="2880"/>
          <w:tab w:val="left" w:pos="4320"/>
          <w:tab w:val="left" w:pos="5760"/>
          <w:tab w:val="left" w:pos="7200"/>
        </w:tabs>
        <w:spacing w:line="240" w:lineRule="auto"/>
        <w:jc w:val="center"/>
        <w:rPr>
          <w:szCs w:val="26"/>
        </w:rPr>
      </w:pPr>
      <w:r>
        <w:rPr>
          <w:szCs w:val="26"/>
        </w:rPr>
        <w:t>SECOND APPELLATE DISTRICT</w:t>
      </w:r>
    </w:p>
    <w:p w:rsidR="00B520DF" w:rsidP="00B520DF" w14:paraId="031344CD" w14:textId="77777777">
      <w:pPr>
        <w:tabs>
          <w:tab w:val="left" w:pos="1440"/>
          <w:tab w:val="left" w:pos="2880"/>
          <w:tab w:val="left" w:pos="4320"/>
          <w:tab w:val="left" w:pos="5760"/>
          <w:tab w:val="left" w:pos="7200"/>
        </w:tabs>
        <w:spacing w:line="240" w:lineRule="auto"/>
        <w:jc w:val="center"/>
        <w:rPr>
          <w:szCs w:val="26"/>
        </w:rPr>
      </w:pPr>
    </w:p>
    <w:p w:rsidR="00B520DF" w:rsidP="00B520DF" w14:paraId="1543190F" w14:textId="77777777">
      <w:pPr>
        <w:tabs>
          <w:tab w:val="left" w:pos="1440"/>
          <w:tab w:val="left" w:pos="2880"/>
          <w:tab w:val="left" w:pos="4320"/>
          <w:tab w:val="left" w:pos="5760"/>
          <w:tab w:val="left" w:pos="7200"/>
        </w:tabs>
        <w:spacing w:line="240" w:lineRule="auto"/>
        <w:jc w:val="center"/>
        <w:rPr>
          <w:szCs w:val="26"/>
        </w:rPr>
      </w:pPr>
      <w:r>
        <w:rPr>
          <w:szCs w:val="26"/>
        </w:rPr>
        <w:t>DIVISION SIX</w:t>
      </w:r>
    </w:p>
    <w:p w:rsidR="00B520DF" w:rsidRPr="00B520DF" w:rsidP="00B520DF" w14:paraId="4A250AD9" w14:textId="77777777">
      <w:pPr>
        <w:tabs>
          <w:tab w:val="left" w:pos="1440"/>
          <w:tab w:val="left" w:pos="2880"/>
          <w:tab w:val="left" w:pos="4320"/>
          <w:tab w:val="left" w:pos="5760"/>
          <w:tab w:val="left" w:pos="7200"/>
        </w:tabs>
        <w:spacing w:line="240" w:lineRule="auto"/>
        <w:jc w:val="center"/>
        <w:rPr>
          <w:sz w:val="16"/>
          <w:szCs w:val="16"/>
        </w:rPr>
      </w:pPr>
    </w:p>
    <w:tbl>
      <w:tblPr>
        <w:tblW w:w="0" w:type="auto"/>
        <w:tblLayout w:type="fixed"/>
        <w:tblLook w:val="0000"/>
      </w:tblPr>
      <w:tblGrid>
        <w:gridCol w:w="3960"/>
        <w:gridCol w:w="3960"/>
      </w:tblGrid>
      <w:tr w14:paraId="3050D3A0" w14:textId="77777777" w:rsidTr="00027BB5">
        <w:tblPrEx>
          <w:tblW w:w="0" w:type="auto"/>
          <w:tblLayout w:type="fixed"/>
          <w:tblLook w:val="0000"/>
        </w:tblPrEx>
        <w:tc>
          <w:tcPr>
            <w:tcW w:w="3960" w:type="dxa"/>
            <w:tcBorders>
              <w:bottom w:val="single" w:sz="4" w:space="0" w:color="auto"/>
              <w:right w:val="single" w:sz="4" w:space="0" w:color="auto"/>
            </w:tcBorders>
            <w:shd w:val="clear" w:color="auto" w:fill="auto"/>
          </w:tcPr>
          <w:p w:rsidR="00B520DF" w:rsidP="00027BB5" w14:paraId="0A1E12BB" w14:textId="77777777">
            <w:pPr>
              <w:spacing w:line="240" w:lineRule="auto"/>
              <w:rPr>
                <w:szCs w:val="26"/>
              </w:rPr>
            </w:pPr>
            <w:r>
              <w:rPr>
                <w:szCs w:val="26"/>
              </w:rPr>
              <w:t>VENTURA COUNTY EMPLOYEES’ RETIREMENT ASSOCIATION,</w:t>
            </w:r>
          </w:p>
          <w:p w:rsidR="00B520DF" w:rsidP="00027BB5" w14:paraId="3EC158FD" w14:textId="77777777">
            <w:pPr>
              <w:spacing w:line="240" w:lineRule="auto"/>
              <w:rPr>
                <w:szCs w:val="26"/>
              </w:rPr>
            </w:pPr>
          </w:p>
          <w:p w:rsidR="00B520DF" w:rsidP="00027BB5" w14:paraId="1A7FBF93" w14:textId="77777777">
            <w:pPr>
              <w:spacing w:line="240" w:lineRule="auto"/>
              <w:rPr>
                <w:szCs w:val="26"/>
              </w:rPr>
            </w:pPr>
            <w:r>
              <w:rPr>
                <w:szCs w:val="26"/>
              </w:rPr>
              <w:t xml:space="preserve">    Plaintiff and Respondent,</w:t>
            </w:r>
          </w:p>
          <w:p w:rsidR="00B520DF" w:rsidP="00027BB5" w14:paraId="31E51FD4" w14:textId="77777777">
            <w:pPr>
              <w:spacing w:line="240" w:lineRule="auto"/>
              <w:rPr>
                <w:szCs w:val="26"/>
              </w:rPr>
            </w:pPr>
          </w:p>
          <w:p w:rsidR="00B520DF" w:rsidP="00027BB5" w14:paraId="3E02CF0C" w14:textId="77777777">
            <w:pPr>
              <w:spacing w:line="240" w:lineRule="auto"/>
              <w:rPr>
                <w:szCs w:val="26"/>
              </w:rPr>
            </w:pPr>
            <w:r>
              <w:rPr>
                <w:szCs w:val="26"/>
              </w:rPr>
              <w:t>v.</w:t>
            </w:r>
          </w:p>
          <w:p w:rsidR="00B520DF" w:rsidP="00027BB5" w14:paraId="0CCDE0B2" w14:textId="77777777">
            <w:pPr>
              <w:spacing w:line="240" w:lineRule="auto"/>
              <w:rPr>
                <w:szCs w:val="26"/>
              </w:rPr>
            </w:pPr>
          </w:p>
          <w:p w:rsidR="00B520DF" w:rsidP="00027BB5" w14:paraId="5131BE44" w14:textId="77777777">
            <w:pPr>
              <w:spacing w:line="240" w:lineRule="auto"/>
              <w:rPr>
                <w:szCs w:val="26"/>
              </w:rPr>
            </w:pPr>
            <w:r>
              <w:rPr>
                <w:szCs w:val="26"/>
              </w:rPr>
              <w:t>CRIMINAL JUSTICE ATTORNEYS ASSOCIATION OF VENTURA COUNTY et al.,</w:t>
            </w:r>
          </w:p>
          <w:p w:rsidR="00B520DF" w:rsidP="00027BB5" w14:paraId="7C5D19FB" w14:textId="77777777">
            <w:pPr>
              <w:spacing w:line="240" w:lineRule="auto"/>
              <w:rPr>
                <w:szCs w:val="26"/>
              </w:rPr>
            </w:pPr>
          </w:p>
          <w:p w:rsidR="00B520DF" w:rsidP="00027BB5" w14:paraId="1ABAA5E0" w14:textId="77777777">
            <w:pPr>
              <w:spacing w:line="240" w:lineRule="auto"/>
              <w:rPr>
                <w:szCs w:val="26"/>
              </w:rPr>
            </w:pPr>
            <w:r>
              <w:rPr>
                <w:szCs w:val="26"/>
              </w:rPr>
              <w:t xml:space="preserve">    Defendants and Appellants.</w:t>
            </w:r>
          </w:p>
          <w:p w:rsidR="00B520DF" w:rsidP="00027BB5" w14:paraId="057A473D" w14:textId="77777777">
            <w:pPr>
              <w:spacing w:line="240" w:lineRule="auto"/>
              <w:rPr>
                <w:szCs w:val="26"/>
              </w:rPr>
            </w:pPr>
          </w:p>
        </w:tc>
        <w:tc>
          <w:tcPr>
            <w:tcW w:w="3960" w:type="dxa"/>
            <w:tcBorders>
              <w:left w:val="single" w:sz="4" w:space="0" w:color="auto"/>
            </w:tcBorders>
            <w:shd w:val="clear" w:color="auto" w:fill="auto"/>
          </w:tcPr>
          <w:p w:rsidR="00B520DF" w:rsidP="00027BB5" w14:paraId="3F0B9FDD" w14:textId="77777777">
            <w:pPr>
              <w:spacing w:line="240" w:lineRule="auto"/>
              <w:jc w:val="center"/>
              <w:rPr>
                <w:szCs w:val="26"/>
              </w:rPr>
            </w:pPr>
            <w:r>
              <w:rPr>
                <w:szCs w:val="26"/>
              </w:rPr>
              <w:t>2d Civil No. B325277</w:t>
            </w:r>
          </w:p>
          <w:p w:rsidR="00B520DF" w:rsidP="00027BB5" w14:paraId="3C00BDAC" w14:textId="77777777">
            <w:pPr>
              <w:spacing w:line="240" w:lineRule="auto"/>
              <w:jc w:val="center"/>
              <w:rPr>
                <w:szCs w:val="26"/>
              </w:rPr>
            </w:pPr>
            <w:r>
              <w:rPr>
                <w:szCs w:val="26"/>
              </w:rPr>
              <w:t>(Super. Ct. No. VENCI00546574)</w:t>
            </w:r>
          </w:p>
          <w:p w:rsidR="00B520DF" w:rsidP="00027BB5" w14:paraId="037947E7" w14:textId="77777777">
            <w:pPr>
              <w:spacing w:line="240" w:lineRule="auto"/>
              <w:jc w:val="center"/>
              <w:rPr>
                <w:szCs w:val="26"/>
              </w:rPr>
            </w:pPr>
            <w:r>
              <w:rPr>
                <w:szCs w:val="26"/>
              </w:rPr>
              <w:t>(Santa Barbara County)</w:t>
            </w:r>
          </w:p>
          <w:p w:rsidR="00B520DF" w:rsidP="00027BB5" w14:paraId="5EC82948" w14:textId="77777777">
            <w:pPr>
              <w:spacing w:line="240" w:lineRule="auto"/>
              <w:jc w:val="center"/>
              <w:rPr>
                <w:szCs w:val="26"/>
              </w:rPr>
            </w:pPr>
          </w:p>
          <w:p w:rsidR="00B520DF" w:rsidP="00027BB5" w14:paraId="3FE48A1F" w14:textId="77777777">
            <w:pPr>
              <w:tabs>
                <w:tab w:val="left" w:pos="1440"/>
                <w:tab w:val="left" w:pos="2880"/>
                <w:tab w:val="left" w:pos="4320"/>
                <w:tab w:val="left" w:pos="5760"/>
                <w:tab w:val="left" w:pos="7200"/>
              </w:tabs>
              <w:spacing w:line="240" w:lineRule="auto"/>
              <w:jc w:val="center"/>
              <w:rPr>
                <w:szCs w:val="26"/>
              </w:rPr>
            </w:pPr>
            <w:r>
              <w:rPr>
                <w:szCs w:val="26"/>
              </w:rPr>
              <w:t>ORDER CERTIFYING OPINION FOR PUBLICATION</w:t>
            </w:r>
          </w:p>
          <w:p w:rsidR="00B520DF" w:rsidP="00027BB5" w14:paraId="3D938E5F" w14:textId="77777777">
            <w:pPr>
              <w:jc w:val="center"/>
            </w:pPr>
            <w:r>
              <w:rPr>
                <w:szCs w:val="26"/>
              </w:rPr>
              <w:t>[NO CHANGE IN JUDGMENT]</w:t>
            </w:r>
          </w:p>
          <w:p w:rsidR="00B520DF" w:rsidP="00027BB5" w14:paraId="60C99472" w14:textId="77777777">
            <w:pPr>
              <w:spacing w:line="240" w:lineRule="auto"/>
              <w:jc w:val="center"/>
              <w:rPr>
                <w:szCs w:val="26"/>
              </w:rPr>
            </w:pPr>
          </w:p>
        </w:tc>
      </w:tr>
    </w:tbl>
    <w:p w:rsidR="00B520DF" w:rsidRPr="00B520DF" w:rsidP="00B520DF" w14:paraId="27D35E6B" w14:textId="77777777">
      <w:pPr>
        <w:spacing w:line="240" w:lineRule="auto"/>
        <w:ind w:firstLine="720"/>
        <w:rPr>
          <w:sz w:val="16"/>
          <w:szCs w:val="16"/>
        </w:rPr>
      </w:pPr>
    </w:p>
    <w:p w:rsidR="00B520DF" w:rsidP="00B520DF" w14:paraId="72D9F8AC" w14:textId="77777777">
      <w:pPr>
        <w:tabs>
          <w:tab w:val="left" w:pos="720"/>
          <w:tab w:val="left" w:pos="1440"/>
          <w:tab w:val="left" w:pos="2880"/>
          <w:tab w:val="left" w:pos="4320"/>
          <w:tab w:val="left" w:pos="5760"/>
          <w:tab w:val="left" w:pos="7200"/>
        </w:tabs>
      </w:pPr>
      <w:r>
        <w:t>THE COURT:</w:t>
      </w:r>
    </w:p>
    <w:p w:rsidR="00B520DF" w:rsidRPr="00400584" w:rsidP="00B520DF" w14:paraId="2F25DB77" w14:textId="77777777">
      <w:pPr>
        <w:autoSpaceDE w:val="0"/>
        <w:autoSpaceDN w:val="0"/>
        <w:adjustRightInd w:val="0"/>
        <w:rPr>
          <w:szCs w:val="26"/>
        </w:rPr>
      </w:pPr>
      <w:r w:rsidRPr="00400584">
        <w:rPr>
          <w:szCs w:val="26"/>
        </w:rPr>
        <w:tab/>
      </w:r>
    </w:p>
    <w:p w:rsidR="00B520DF" w:rsidP="00B520DF" w14:paraId="5A613D2B" w14:textId="77777777">
      <w:pPr>
        <w:tabs>
          <w:tab w:val="left" w:pos="720"/>
          <w:tab w:val="left" w:pos="1440"/>
          <w:tab w:val="left" w:pos="2880"/>
          <w:tab w:val="left" w:pos="4320"/>
          <w:tab w:val="left" w:pos="5760"/>
          <w:tab w:val="left" w:pos="7200"/>
        </w:tabs>
        <w:rPr>
          <w:rFonts w:cs="Arial"/>
          <w:szCs w:val="26"/>
        </w:rPr>
      </w:pPr>
      <w:r>
        <w:rPr>
          <w:rFonts w:cs="Arial"/>
          <w:szCs w:val="26"/>
        </w:rPr>
        <w:tab/>
      </w:r>
      <w:r w:rsidRPr="004A0D88">
        <w:rPr>
          <w:rFonts w:cs="Arial"/>
          <w:szCs w:val="26"/>
        </w:rPr>
        <w:t>The opinion in the above-entitled matter filed on</w:t>
      </w:r>
      <w:r>
        <w:rPr>
          <w:rFonts w:cs="Arial"/>
          <w:szCs w:val="26"/>
        </w:rPr>
        <w:t xml:space="preserve"> January 4, 2024</w:t>
      </w:r>
      <w:r w:rsidRPr="004A0D88">
        <w:rPr>
          <w:rFonts w:cs="Arial"/>
          <w:szCs w:val="26"/>
        </w:rPr>
        <w:t>,</w:t>
      </w:r>
      <w:r>
        <w:rPr>
          <w:rFonts w:cs="Arial"/>
          <w:szCs w:val="26"/>
        </w:rPr>
        <w:t xml:space="preserve"> </w:t>
      </w:r>
      <w:r w:rsidRPr="004A0D88">
        <w:rPr>
          <w:rFonts w:cs="Arial"/>
          <w:szCs w:val="26"/>
        </w:rPr>
        <w:t xml:space="preserve">was not certified for publication in the Official Reports. </w:t>
      </w:r>
      <w:r>
        <w:rPr>
          <w:rFonts w:cs="Arial"/>
          <w:szCs w:val="26"/>
        </w:rPr>
        <w:t xml:space="preserve"> </w:t>
      </w:r>
      <w:r w:rsidRPr="004A0D88">
        <w:rPr>
          <w:rFonts w:cs="Arial"/>
          <w:szCs w:val="26"/>
        </w:rPr>
        <w:t>For good cause, it</w:t>
      </w:r>
      <w:r>
        <w:rPr>
          <w:rFonts w:cs="Arial"/>
          <w:szCs w:val="26"/>
        </w:rPr>
        <w:t xml:space="preserve"> </w:t>
      </w:r>
      <w:r w:rsidRPr="004A0D88">
        <w:rPr>
          <w:rFonts w:cs="Arial"/>
          <w:szCs w:val="26"/>
        </w:rPr>
        <w:t>now appears that the opinion should be published in the Official Reports</w:t>
      </w:r>
      <w:r>
        <w:rPr>
          <w:rFonts w:cs="Arial"/>
          <w:szCs w:val="26"/>
        </w:rPr>
        <w:t xml:space="preserve"> </w:t>
      </w:r>
      <w:r w:rsidRPr="004A0D88">
        <w:rPr>
          <w:rFonts w:cs="Arial"/>
          <w:szCs w:val="26"/>
        </w:rPr>
        <w:t>and it is so ordered.</w:t>
      </w:r>
    </w:p>
    <w:p w:rsidR="00B520DF" w:rsidP="00B520DF" w14:paraId="5F748BC3" w14:textId="797C9462">
      <w:pPr>
        <w:tabs>
          <w:tab w:val="left" w:pos="720"/>
          <w:tab w:val="left" w:pos="1440"/>
          <w:tab w:val="left" w:pos="2880"/>
          <w:tab w:val="left" w:pos="4320"/>
          <w:tab w:val="left" w:pos="5760"/>
          <w:tab w:val="left" w:pos="7200"/>
        </w:tabs>
        <w:rPr>
          <w:rFonts w:cs="Arial"/>
          <w:szCs w:val="26"/>
        </w:rPr>
      </w:pPr>
      <w:r>
        <w:rPr>
          <w:rFonts w:cs="Arial"/>
          <w:szCs w:val="26"/>
        </w:rPr>
        <w:tab/>
        <w:t>There is no change in judgment.</w:t>
      </w:r>
    </w:p>
    <w:p w:rsidR="00B520DF" w:rsidRPr="00382D83" w:rsidP="00B520DF" w14:paraId="3B556B0A" w14:textId="77777777">
      <w:pPr>
        <w:tabs>
          <w:tab w:val="left" w:pos="720"/>
          <w:tab w:val="left" w:pos="1440"/>
          <w:tab w:val="left" w:pos="2880"/>
          <w:tab w:val="left" w:pos="4320"/>
          <w:tab w:val="left" w:pos="5760"/>
          <w:tab w:val="left" w:pos="7200"/>
        </w:tabs>
      </w:pPr>
    </w:p>
    <w:p w:rsidR="00D26A95" w:rsidRPr="00B520DF" w:rsidP="00B520DF" w14:paraId="0210724D" w14:textId="77777777">
      <w:r>
        <w:rPr>
          <w:rFonts w:cs="Century Schoolbook"/>
        </w:rPr>
        <w:t>____________________________________________________________</w:t>
      </w:r>
      <w:r w:rsidRPr="00497046">
        <w:rPr>
          <w:rFonts w:cs="Century Schoolbook"/>
        </w:rPr>
        <w:t xml:space="preserve"> </w:t>
      </w:r>
      <w:r>
        <w:rPr>
          <w:rFonts w:cs="Century Schoolbook"/>
        </w:rPr>
        <w:t xml:space="preserve">GILBERT, P. J.  </w:t>
      </w:r>
      <w:r>
        <w:rPr>
          <w:rFonts w:cs="Century Schoolbook"/>
        </w:rPr>
        <w:tab/>
        <w:t xml:space="preserve">        </w:t>
      </w:r>
      <w:r>
        <w:rPr>
          <w:rFonts w:cs="Century Schoolbook"/>
        </w:rPr>
        <w:tab/>
        <w:t xml:space="preserve">    BALTODANO, J.</w:t>
      </w:r>
      <w:r>
        <w:rPr>
          <w:rFonts w:cs="Century Schoolbook"/>
        </w:rPr>
        <w:tab/>
        <w:t xml:space="preserve">            CODY, J.</w:t>
      </w:r>
    </w:p>
    <w:sectPr w:rsidSect="00214BBA">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BBA" w:rsidP="00214BBA" w14:paraId="601417A3" w14:textId="73C84195">
    <w:pPr>
      <w:pStyle w:val="Footer"/>
      <w:jc w:val="center"/>
    </w:pPr>
    <w:r>
      <w:fldChar w:fldCharType="begin"/>
    </w:r>
    <w:r>
      <w:instrText xml:space="preserve"> PAGE  \* MERGEFORMAT </w:instrText>
    </w:r>
    <w:r>
      <w:fldChar w:fldCharType="separate"/>
    </w:r>
    <w:r w:rsidR="003C18A5">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3DC2" w:rsidP="00DE5E18" w14:paraId="0364F2D3" w14:textId="77777777">
      <w:pPr>
        <w:spacing w:line="240" w:lineRule="auto"/>
      </w:pPr>
      <w:r>
        <w:separator/>
      </w:r>
    </w:p>
  </w:footnote>
  <w:footnote w:type="continuationSeparator" w:id="1">
    <w:p w:rsidR="006A3DC2" w:rsidP="00DE5E18" w14:paraId="4F8DF547" w14:textId="77777777">
      <w:pPr>
        <w:spacing w:line="240" w:lineRule="auto"/>
      </w:pPr>
      <w:r>
        <w:continuationSeparator/>
      </w:r>
    </w:p>
  </w:footnote>
  <w:footnote w:id="2">
    <w:p w:rsidR="006B4EB8" w:rsidRPr="002757C6" w:rsidP="00FF23F1" w14:paraId="39226DA0" w14:textId="5886CB88">
      <w:pPr>
        <w:pStyle w:val="FootnoteText"/>
        <w:ind w:firstLine="720"/>
        <w:rPr>
          <w:sz w:val="26"/>
          <w:szCs w:val="26"/>
        </w:rPr>
      </w:pPr>
      <w:r w:rsidRPr="00C352E9">
        <w:rPr>
          <w:rStyle w:val="FootnoteReference"/>
          <w:position w:val="8"/>
          <w:vertAlign w:val="baseline"/>
        </w:rPr>
        <w:footnoteRef/>
      </w:r>
      <w:r w:rsidRPr="002757C6">
        <w:rPr>
          <w:sz w:val="26"/>
          <w:szCs w:val="26"/>
        </w:rPr>
        <w:t xml:space="preserve"> </w:t>
      </w:r>
      <w:r w:rsidR="001B5E99">
        <w:rPr>
          <w:sz w:val="26"/>
          <w:szCs w:val="26"/>
        </w:rPr>
        <w:t xml:space="preserve">We granted the </w:t>
      </w:r>
      <w:r w:rsidRPr="002757C6" w:rsidR="00CF1474">
        <w:rPr>
          <w:sz w:val="26"/>
          <w:szCs w:val="26"/>
        </w:rPr>
        <w:t xml:space="preserve">Retired </w:t>
      </w:r>
      <w:r w:rsidRPr="002757C6" w:rsidR="00ED6CCA">
        <w:rPr>
          <w:sz w:val="26"/>
          <w:szCs w:val="26"/>
        </w:rPr>
        <w:t>Employees’ Association of Ventura County, Inc.</w:t>
      </w:r>
      <w:r w:rsidR="002548C1">
        <w:rPr>
          <w:sz w:val="26"/>
          <w:szCs w:val="26"/>
        </w:rPr>
        <w:t xml:space="preserve">, </w:t>
      </w:r>
      <w:r w:rsidR="008359C4">
        <w:rPr>
          <w:sz w:val="26"/>
          <w:szCs w:val="26"/>
        </w:rPr>
        <w:t>Regina (Renee) Artman, Scott Barash, Lyn Krieger, Mark Lunn, Roberto R. Orellana, Tracey Frances Pirie, Marty Robinson, and Chris Stephens</w:t>
      </w:r>
      <w:r w:rsidR="001B5E99">
        <w:rPr>
          <w:sz w:val="26"/>
          <w:szCs w:val="26"/>
        </w:rPr>
        <w:t>’s application to</w:t>
      </w:r>
      <w:r w:rsidRPr="002757C6" w:rsidR="00AD281A">
        <w:rPr>
          <w:sz w:val="26"/>
          <w:szCs w:val="26"/>
        </w:rPr>
        <w:t xml:space="preserve"> </w:t>
      </w:r>
      <w:r w:rsidR="001B5E99">
        <w:rPr>
          <w:sz w:val="26"/>
          <w:szCs w:val="26"/>
        </w:rPr>
        <w:t xml:space="preserve">file </w:t>
      </w:r>
      <w:r w:rsidRPr="002757C6" w:rsidR="00AD281A">
        <w:rPr>
          <w:sz w:val="26"/>
          <w:szCs w:val="26"/>
        </w:rPr>
        <w:t>an amic</w:t>
      </w:r>
      <w:r w:rsidR="00443B11">
        <w:rPr>
          <w:sz w:val="26"/>
          <w:szCs w:val="26"/>
        </w:rPr>
        <w:t>us</w:t>
      </w:r>
      <w:r w:rsidRPr="002757C6" w:rsidR="002757C6">
        <w:rPr>
          <w:sz w:val="26"/>
          <w:szCs w:val="26"/>
        </w:rPr>
        <w:t xml:space="preserve"> curiae brief in support of Appellants. </w:t>
      </w:r>
      <w:r w:rsidR="002757C6">
        <w:rPr>
          <w:sz w:val="26"/>
          <w:szCs w:val="26"/>
        </w:rPr>
        <w:br/>
      </w:r>
    </w:p>
  </w:footnote>
  <w:footnote w:id="3">
    <w:p w:rsidR="00862C71" w:rsidRPr="00681441" w:rsidP="00862C71" w14:paraId="78D4585B" w14:textId="77777777">
      <w:pPr>
        <w:pStyle w:val="FootnoteText"/>
        <w:ind w:firstLine="720"/>
        <w:rPr>
          <w:sz w:val="26"/>
          <w:szCs w:val="26"/>
        </w:rPr>
      </w:pPr>
      <w:r w:rsidRPr="00C352E9">
        <w:rPr>
          <w:rStyle w:val="FootnoteReference"/>
          <w:position w:val="8"/>
          <w:vertAlign w:val="baseline"/>
        </w:rPr>
        <w:footnoteRef/>
      </w:r>
      <w:r w:rsidRPr="00C352E9">
        <w:rPr>
          <w:rStyle w:val="FootnoteReference"/>
          <w:position w:val="8"/>
          <w:vertAlign w:val="baseline"/>
        </w:rPr>
        <w:t xml:space="preserve"> </w:t>
      </w:r>
      <w:r w:rsidRPr="00681441">
        <w:rPr>
          <w:sz w:val="26"/>
          <w:szCs w:val="26"/>
        </w:rPr>
        <w:t>Further unspeci</w:t>
      </w:r>
      <w:r w:rsidRPr="00681441" w:rsidR="00A52DD5">
        <w:rPr>
          <w:sz w:val="26"/>
          <w:szCs w:val="26"/>
        </w:rPr>
        <w:t>fied statutory references are to the Government Code.</w:t>
      </w:r>
      <w:r w:rsidRPr="00681441">
        <w:rPr>
          <w:sz w:val="26"/>
          <w:szCs w:val="26"/>
        </w:rPr>
        <w:t xml:space="preserve"> </w:t>
      </w:r>
    </w:p>
    <w:p w:rsidR="00B56D8F" w:rsidRPr="00681441" w:rsidP="00862C71" w14:paraId="054E94F9" w14:textId="77777777">
      <w:pPr>
        <w:pStyle w:val="FootnoteText"/>
        <w:ind w:firstLine="720"/>
        <w:rPr>
          <w:sz w:val="26"/>
          <w:szCs w:val="26"/>
        </w:rPr>
      </w:pPr>
    </w:p>
  </w:footnote>
  <w:footnote w:id="4">
    <w:p w:rsidR="00F21BA4" w:rsidP="00F21BA4" w14:paraId="32B5B5F3" w14:textId="5D1681AD">
      <w:pPr>
        <w:pStyle w:val="FootnoteText"/>
        <w:ind w:firstLine="720"/>
      </w:pPr>
      <w:r w:rsidRPr="00C352E9">
        <w:rPr>
          <w:rStyle w:val="FootnoteReference"/>
          <w:position w:val="8"/>
          <w:vertAlign w:val="baseline"/>
        </w:rPr>
        <w:footnoteRef/>
      </w:r>
      <w:r w:rsidRPr="00F6063A">
        <w:rPr>
          <w:sz w:val="26"/>
          <w:szCs w:val="26"/>
        </w:rPr>
        <w:t xml:space="preserve"> Final compensation for </w:t>
      </w:r>
      <w:r>
        <w:rPr>
          <w:sz w:val="26"/>
          <w:szCs w:val="26"/>
        </w:rPr>
        <w:t xml:space="preserve">“new </w:t>
      </w:r>
      <w:r w:rsidRPr="00F6063A">
        <w:rPr>
          <w:sz w:val="26"/>
          <w:szCs w:val="26"/>
        </w:rPr>
        <w:t>members</w:t>
      </w:r>
      <w:r>
        <w:rPr>
          <w:sz w:val="26"/>
          <w:szCs w:val="26"/>
        </w:rPr>
        <w:t>”</w:t>
      </w:r>
      <w:r w:rsidRPr="00F6063A">
        <w:rPr>
          <w:sz w:val="26"/>
          <w:szCs w:val="26"/>
        </w:rPr>
        <w:t xml:space="preserve"> who joined the retirement system on or after January 1, 2013, are gover</w:t>
      </w:r>
      <w:r>
        <w:rPr>
          <w:sz w:val="26"/>
          <w:szCs w:val="26"/>
        </w:rPr>
        <w:t>ned</w:t>
      </w:r>
      <w:r w:rsidRPr="00F6063A">
        <w:rPr>
          <w:sz w:val="26"/>
          <w:szCs w:val="26"/>
        </w:rPr>
        <w:t xml:space="preserve"> by different statute</w:t>
      </w:r>
      <w:r>
        <w:rPr>
          <w:sz w:val="26"/>
          <w:szCs w:val="26"/>
        </w:rPr>
        <w:t xml:space="preserve">s (§§ 7522.32, 7522.34).  </w:t>
      </w:r>
      <w:r w:rsidR="001B5E99">
        <w:rPr>
          <w:sz w:val="26"/>
          <w:szCs w:val="26"/>
        </w:rPr>
        <w:t>The calculation of their retirement benefits is not</w:t>
      </w:r>
      <w:r w:rsidRPr="00F6063A">
        <w:rPr>
          <w:sz w:val="26"/>
          <w:szCs w:val="26"/>
        </w:rPr>
        <w:t xml:space="preserve"> at issue </w:t>
      </w:r>
      <w:r w:rsidR="00A31E61">
        <w:rPr>
          <w:sz w:val="26"/>
          <w:szCs w:val="26"/>
        </w:rPr>
        <w:t>here</w:t>
      </w:r>
      <w:r w:rsidRPr="00F6063A">
        <w:rPr>
          <w:sz w:val="26"/>
          <w:szCs w:val="26"/>
        </w:rPr>
        <w:t>.</w:t>
      </w:r>
      <w:r>
        <w:t xml:space="preserve">  </w:t>
      </w:r>
    </w:p>
  </w:footnote>
  <w:footnote w:id="5">
    <w:p w:rsidR="004E58C4" w:rsidRPr="006B66B0" w:rsidP="004E58C4" w14:paraId="00120C8A" w14:textId="1C44D6F8">
      <w:pPr>
        <w:pStyle w:val="FootnoteText"/>
        <w:ind w:firstLine="720"/>
        <w:rPr>
          <w:sz w:val="26"/>
          <w:szCs w:val="26"/>
        </w:rPr>
      </w:pPr>
      <w:r w:rsidRPr="00C352E9">
        <w:rPr>
          <w:rStyle w:val="FootnoteReference"/>
          <w:position w:val="8"/>
          <w:vertAlign w:val="baseline"/>
        </w:rPr>
        <w:footnoteRef/>
      </w:r>
      <w:r w:rsidRPr="00D54047">
        <w:rPr>
          <w:sz w:val="26"/>
          <w:szCs w:val="26"/>
        </w:rPr>
        <w:t xml:space="preserve"> </w:t>
      </w:r>
      <w:r w:rsidRPr="00D54047" w:rsidR="00D10BFC">
        <w:rPr>
          <w:sz w:val="26"/>
          <w:szCs w:val="26"/>
        </w:rPr>
        <w:t>VCERA alleged a second cause of action</w:t>
      </w:r>
      <w:r w:rsidRPr="00D54047" w:rsidR="006F2845">
        <w:rPr>
          <w:sz w:val="26"/>
          <w:szCs w:val="26"/>
        </w:rPr>
        <w:t xml:space="preserve"> </w:t>
      </w:r>
      <w:r w:rsidR="002906A9">
        <w:rPr>
          <w:sz w:val="26"/>
          <w:szCs w:val="26"/>
        </w:rPr>
        <w:t xml:space="preserve">for declaratory relief </w:t>
      </w:r>
      <w:r w:rsidRPr="00E14D0C" w:rsidR="006F2845">
        <w:rPr>
          <w:sz w:val="26"/>
          <w:szCs w:val="26"/>
        </w:rPr>
        <w:t xml:space="preserve">with respect to other provisions in the Resolution.  </w:t>
      </w:r>
      <w:r w:rsidRPr="00E14D0C" w:rsidR="006B66B0">
        <w:rPr>
          <w:sz w:val="26"/>
          <w:szCs w:val="26"/>
        </w:rPr>
        <w:t>Th</w:t>
      </w:r>
      <w:r w:rsidR="002906A9">
        <w:rPr>
          <w:sz w:val="26"/>
          <w:szCs w:val="26"/>
        </w:rPr>
        <w:t>is</w:t>
      </w:r>
      <w:r w:rsidRPr="00E14D0C" w:rsidR="006B66B0">
        <w:rPr>
          <w:sz w:val="26"/>
          <w:szCs w:val="26"/>
        </w:rPr>
        <w:t xml:space="preserve"> second cause of action is not at issue in</w:t>
      </w:r>
      <w:r w:rsidR="002906A9">
        <w:rPr>
          <w:sz w:val="26"/>
          <w:szCs w:val="26"/>
        </w:rPr>
        <w:t xml:space="preserve"> this action </w:t>
      </w:r>
      <w:r w:rsidRPr="00E14D0C" w:rsidR="00696F3B">
        <w:rPr>
          <w:sz w:val="26"/>
          <w:szCs w:val="26"/>
        </w:rPr>
        <w:t>nor are the other provisions in the Resolution</w:t>
      </w:r>
      <w:r w:rsidRPr="00E14D0C" w:rsidR="006B66B0">
        <w:rPr>
          <w:sz w:val="26"/>
          <w:szCs w:val="26"/>
        </w:rPr>
        <w:t>.</w:t>
      </w:r>
      <w:r w:rsidRPr="006B66B0" w:rsidR="006B66B0">
        <w:rPr>
          <w:sz w:val="26"/>
          <w:szCs w:val="26"/>
        </w:rPr>
        <w:t xml:space="preserve"> </w:t>
      </w:r>
    </w:p>
  </w:footnote>
  <w:footnote w:id="6">
    <w:p w:rsidR="003F494D" w:rsidRPr="00163D39" w:rsidP="00157653" w14:paraId="5192C419" w14:textId="682D1C23">
      <w:pPr>
        <w:pStyle w:val="FootnoteText"/>
        <w:ind w:firstLine="720"/>
        <w:rPr>
          <w:sz w:val="26"/>
          <w:szCs w:val="26"/>
        </w:rPr>
      </w:pPr>
      <w:r w:rsidRPr="00C352E9">
        <w:rPr>
          <w:rStyle w:val="FootnoteReference"/>
          <w:rFonts w:eastAsia="Times New Roman"/>
          <w:color w:val="000000"/>
          <w:position w:val="8"/>
          <w:vertAlign w:val="baseline"/>
        </w:rPr>
        <w:footnoteRef/>
      </w:r>
      <w:r w:rsidRPr="00C352E9">
        <w:rPr>
          <w:rStyle w:val="FootnoteReference"/>
          <w:rFonts w:eastAsia="Times New Roman"/>
          <w:color w:val="000000"/>
          <w:position w:val="8"/>
          <w:vertAlign w:val="baseline"/>
        </w:rPr>
        <w:t xml:space="preserve"> </w:t>
      </w:r>
      <w:r w:rsidRPr="00157653" w:rsidR="003C49C9">
        <w:rPr>
          <w:sz w:val="26"/>
          <w:szCs w:val="26"/>
        </w:rPr>
        <w:t>Appellants do not challenge the trial court’s resolution of the second issue—whether VCERA can exclude from compensation earnable leave cashouts that exceed annual cashout limit</w:t>
      </w:r>
      <w:r w:rsidR="000C0115">
        <w:rPr>
          <w:sz w:val="26"/>
          <w:szCs w:val="26"/>
        </w:rPr>
        <w:t>ations</w:t>
      </w:r>
      <w:r w:rsidRPr="00157653" w:rsidR="003C49C9">
        <w:rPr>
          <w:sz w:val="26"/>
          <w:szCs w:val="26"/>
        </w:rPr>
        <w:t xml:space="preserve"> for members who retired on or after January 1, 2013, PEPRA</w:t>
      </w:r>
      <w:r w:rsidR="00157653">
        <w:rPr>
          <w:sz w:val="26"/>
          <w:szCs w:val="26"/>
        </w:rPr>
        <w:t>’s</w:t>
      </w:r>
      <w:r w:rsidRPr="00157653" w:rsidR="003C49C9">
        <w:rPr>
          <w:sz w:val="26"/>
          <w:szCs w:val="26"/>
        </w:rPr>
        <w:t xml:space="preserve"> effective</w:t>
      </w:r>
      <w:r w:rsidR="00157653">
        <w:rPr>
          <w:sz w:val="26"/>
          <w:szCs w:val="26"/>
        </w:rPr>
        <w:t xml:space="preserve"> date</w:t>
      </w:r>
      <w:r w:rsidRPr="00157653" w:rsidR="003C49C9">
        <w:rPr>
          <w:sz w:val="26"/>
          <w:szCs w:val="26"/>
        </w:rPr>
        <w:t xml:space="preserve">.  </w:t>
      </w:r>
      <w:r w:rsidRPr="00157653" w:rsidR="001E29AE">
        <w:rPr>
          <w:sz w:val="26"/>
          <w:szCs w:val="26"/>
        </w:rPr>
        <w:t>Accordingly, we will not address this issue or disturb the trial court’s ruling</w:t>
      </w:r>
      <w:r w:rsidR="0009060B">
        <w:rPr>
          <w:sz w:val="26"/>
          <w:szCs w:val="26"/>
        </w:rPr>
        <w:t xml:space="preserve"> on this issue</w:t>
      </w:r>
      <w:r w:rsidRPr="00157653" w:rsidR="001E29AE">
        <w:rPr>
          <w:sz w:val="26"/>
          <w:szCs w:val="26"/>
        </w:rPr>
        <w:t xml:space="preserve">. </w:t>
      </w:r>
      <w:r>
        <w:rPr>
          <w:sz w:val="26"/>
          <w:szCs w:val="26"/>
        </w:rPr>
        <w:t xml:space="preserve"> (</w:t>
      </w:r>
      <w:r w:rsidR="007712D4">
        <w:rPr>
          <w:i/>
          <w:iCs/>
          <w:sz w:val="26"/>
          <w:szCs w:val="26"/>
        </w:rPr>
        <w:t>Golden Door Properties, LLC v. County of San Diego</w:t>
      </w:r>
      <w:r w:rsidR="007712D4">
        <w:rPr>
          <w:sz w:val="26"/>
          <w:szCs w:val="26"/>
        </w:rPr>
        <w:t xml:space="preserve"> (2020) 50 Cal.App.5th 467, 555 [issues not raised in appellant’s op</w:t>
      </w:r>
      <w:r w:rsidR="008A48D3">
        <w:rPr>
          <w:sz w:val="26"/>
          <w:szCs w:val="26"/>
        </w:rPr>
        <w:t xml:space="preserve">ening brief are deemed waived].)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79D06C2"/>
    <w:multiLevelType w:val="hybridMultilevel"/>
    <w:tmpl w:val="117AE3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18"/>
    <w:rsid w:val="00000E50"/>
    <w:rsid w:val="00001475"/>
    <w:rsid w:val="00003042"/>
    <w:rsid w:val="00003066"/>
    <w:rsid w:val="00003B94"/>
    <w:rsid w:val="00003C1D"/>
    <w:rsid w:val="00003CE1"/>
    <w:rsid w:val="00015158"/>
    <w:rsid w:val="00016CD4"/>
    <w:rsid w:val="00017FEB"/>
    <w:rsid w:val="000207B6"/>
    <w:rsid w:val="00021313"/>
    <w:rsid w:val="000222BB"/>
    <w:rsid w:val="000239A0"/>
    <w:rsid w:val="0002404B"/>
    <w:rsid w:val="0002414F"/>
    <w:rsid w:val="00025A0C"/>
    <w:rsid w:val="00025A29"/>
    <w:rsid w:val="000270D8"/>
    <w:rsid w:val="0002799D"/>
    <w:rsid w:val="00027BB5"/>
    <w:rsid w:val="00033992"/>
    <w:rsid w:val="00033C19"/>
    <w:rsid w:val="00033CA1"/>
    <w:rsid w:val="000346AE"/>
    <w:rsid w:val="000374B4"/>
    <w:rsid w:val="00041A93"/>
    <w:rsid w:val="00044076"/>
    <w:rsid w:val="00044ABC"/>
    <w:rsid w:val="00046548"/>
    <w:rsid w:val="000473C8"/>
    <w:rsid w:val="0005059E"/>
    <w:rsid w:val="00051493"/>
    <w:rsid w:val="000514E1"/>
    <w:rsid w:val="0005229F"/>
    <w:rsid w:val="00054CE4"/>
    <w:rsid w:val="00060104"/>
    <w:rsid w:val="0006116D"/>
    <w:rsid w:val="00063260"/>
    <w:rsid w:val="00063D9B"/>
    <w:rsid w:val="0006444B"/>
    <w:rsid w:val="00065187"/>
    <w:rsid w:val="000673CE"/>
    <w:rsid w:val="00067E89"/>
    <w:rsid w:val="000714BC"/>
    <w:rsid w:val="0008355A"/>
    <w:rsid w:val="00085F32"/>
    <w:rsid w:val="0008752E"/>
    <w:rsid w:val="00087AFF"/>
    <w:rsid w:val="0009060B"/>
    <w:rsid w:val="00095569"/>
    <w:rsid w:val="000A2111"/>
    <w:rsid w:val="000A4DBD"/>
    <w:rsid w:val="000A76F4"/>
    <w:rsid w:val="000B04E2"/>
    <w:rsid w:val="000B0F26"/>
    <w:rsid w:val="000B0F9E"/>
    <w:rsid w:val="000B2D20"/>
    <w:rsid w:val="000B4710"/>
    <w:rsid w:val="000B6A76"/>
    <w:rsid w:val="000B7419"/>
    <w:rsid w:val="000C0115"/>
    <w:rsid w:val="000C1A99"/>
    <w:rsid w:val="000C2834"/>
    <w:rsid w:val="000C283C"/>
    <w:rsid w:val="000C2C5B"/>
    <w:rsid w:val="000C4020"/>
    <w:rsid w:val="000C4194"/>
    <w:rsid w:val="000C463D"/>
    <w:rsid w:val="000C46AD"/>
    <w:rsid w:val="000C6109"/>
    <w:rsid w:val="000C729E"/>
    <w:rsid w:val="000C7C65"/>
    <w:rsid w:val="000D05CC"/>
    <w:rsid w:val="000D58DF"/>
    <w:rsid w:val="000E66D2"/>
    <w:rsid w:val="000E66E8"/>
    <w:rsid w:val="000E66EE"/>
    <w:rsid w:val="000F0823"/>
    <w:rsid w:val="000F11F9"/>
    <w:rsid w:val="000F2469"/>
    <w:rsid w:val="000F30AE"/>
    <w:rsid w:val="000F323C"/>
    <w:rsid w:val="000F3630"/>
    <w:rsid w:val="000F7FA3"/>
    <w:rsid w:val="0010123C"/>
    <w:rsid w:val="00101B3F"/>
    <w:rsid w:val="00102371"/>
    <w:rsid w:val="00102F9C"/>
    <w:rsid w:val="001062AB"/>
    <w:rsid w:val="0010779B"/>
    <w:rsid w:val="001113F7"/>
    <w:rsid w:val="001125A7"/>
    <w:rsid w:val="00114B96"/>
    <w:rsid w:val="0012130D"/>
    <w:rsid w:val="00123945"/>
    <w:rsid w:val="00126231"/>
    <w:rsid w:val="00130719"/>
    <w:rsid w:val="00132193"/>
    <w:rsid w:val="0013493E"/>
    <w:rsid w:val="0013696B"/>
    <w:rsid w:val="00136A4A"/>
    <w:rsid w:val="001421CD"/>
    <w:rsid w:val="00142E37"/>
    <w:rsid w:val="0014401F"/>
    <w:rsid w:val="001444F4"/>
    <w:rsid w:val="001445FC"/>
    <w:rsid w:val="00145CB3"/>
    <w:rsid w:val="001479CF"/>
    <w:rsid w:val="00152B46"/>
    <w:rsid w:val="00152D85"/>
    <w:rsid w:val="001546D1"/>
    <w:rsid w:val="00155E2C"/>
    <w:rsid w:val="0015733D"/>
    <w:rsid w:val="00157653"/>
    <w:rsid w:val="00157AFB"/>
    <w:rsid w:val="00161A97"/>
    <w:rsid w:val="00161F6F"/>
    <w:rsid w:val="00163553"/>
    <w:rsid w:val="00163D39"/>
    <w:rsid w:val="001641C7"/>
    <w:rsid w:val="00164322"/>
    <w:rsid w:val="00166B94"/>
    <w:rsid w:val="0016717C"/>
    <w:rsid w:val="00170203"/>
    <w:rsid w:val="0017035D"/>
    <w:rsid w:val="00172B24"/>
    <w:rsid w:val="00173762"/>
    <w:rsid w:val="00175BE7"/>
    <w:rsid w:val="0017757A"/>
    <w:rsid w:val="0017781A"/>
    <w:rsid w:val="00177B45"/>
    <w:rsid w:val="00177DE4"/>
    <w:rsid w:val="00180FC7"/>
    <w:rsid w:val="00182984"/>
    <w:rsid w:val="0018348C"/>
    <w:rsid w:val="0018371B"/>
    <w:rsid w:val="00183858"/>
    <w:rsid w:val="00191167"/>
    <w:rsid w:val="00192BFA"/>
    <w:rsid w:val="00192F29"/>
    <w:rsid w:val="00193C9D"/>
    <w:rsid w:val="0019579D"/>
    <w:rsid w:val="001958CC"/>
    <w:rsid w:val="001968F9"/>
    <w:rsid w:val="001A0511"/>
    <w:rsid w:val="001A18A5"/>
    <w:rsid w:val="001A21C2"/>
    <w:rsid w:val="001A34D1"/>
    <w:rsid w:val="001A34E8"/>
    <w:rsid w:val="001A388D"/>
    <w:rsid w:val="001A64D7"/>
    <w:rsid w:val="001A6B35"/>
    <w:rsid w:val="001A78B2"/>
    <w:rsid w:val="001B26B5"/>
    <w:rsid w:val="001B4466"/>
    <w:rsid w:val="001B5E99"/>
    <w:rsid w:val="001B639A"/>
    <w:rsid w:val="001B6CF8"/>
    <w:rsid w:val="001C1423"/>
    <w:rsid w:val="001C1A20"/>
    <w:rsid w:val="001C25D1"/>
    <w:rsid w:val="001C7EC9"/>
    <w:rsid w:val="001D1F65"/>
    <w:rsid w:val="001D1F92"/>
    <w:rsid w:val="001D238C"/>
    <w:rsid w:val="001D5136"/>
    <w:rsid w:val="001D7FD1"/>
    <w:rsid w:val="001E0211"/>
    <w:rsid w:val="001E23CC"/>
    <w:rsid w:val="001E29AE"/>
    <w:rsid w:val="001E4225"/>
    <w:rsid w:val="001E4B25"/>
    <w:rsid w:val="001E5324"/>
    <w:rsid w:val="001E5B19"/>
    <w:rsid w:val="001E66B0"/>
    <w:rsid w:val="001E6772"/>
    <w:rsid w:val="001E7FB8"/>
    <w:rsid w:val="001F02EF"/>
    <w:rsid w:val="001F0A5C"/>
    <w:rsid w:val="001F171C"/>
    <w:rsid w:val="001F296D"/>
    <w:rsid w:val="001F2B4F"/>
    <w:rsid w:val="001F47B3"/>
    <w:rsid w:val="001F52F7"/>
    <w:rsid w:val="001F730C"/>
    <w:rsid w:val="001F7F0F"/>
    <w:rsid w:val="00201B90"/>
    <w:rsid w:val="00202512"/>
    <w:rsid w:val="0020269B"/>
    <w:rsid w:val="00204EF2"/>
    <w:rsid w:val="00205536"/>
    <w:rsid w:val="00205908"/>
    <w:rsid w:val="00206EA5"/>
    <w:rsid w:val="00211F2A"/>
    <w:rsid w:val="0021234F"/>
    <w:rsid w:val="00213E2D"/>
    <w:rsid w:val="00214095"/>
    <w:rsid w:val="0021495A"/>
    <w:rsid w:val="00214BBA"/>
    <w:rsid w:val="00214FEF"/>
    <w:rsid w:val="002154A9"/>
    <w:rsid w:val="00217340"/>
    <w:rsid w:val="00221840"/>
    <w:rsid w:val="002226E3"/>
    <w:rsid w:val="00223529"/>
    <w:rsid w:val="00226024"/>
    <w:rsid w:val="00226DF1"/>
    <w:rsid w:val="00230F04"/>
    <w:rsid w:val="00231A24"/>
    <w:rsid w:val="00233187"/>
    <w:rsid w:val="00233EF3"/>
    <w:rsid w:val="00234328"/>
    <w:rsid w:val="00235A31"/>
    <w:rsid w:val="002370AF"/>
    <w:rsid w:val="00242ADA"/>
    <w:rsid w:val="00242B83"/>
    <w:rsid w:val="00243401"/>
    <w:rsid w:val="0024547E"/>
    <w:rsid w:val="00245C7C"/>
    <w:rsid w:val="00246ABA"/>
    <w:rsid w:val="00250968"/>
    <w:rsid w:val="00251AFF"/>
    <w:rsid w:val="002530F5"/>
    <w:rsid w:val="002548C1"/>
    <w:rsid w:val="00256ACF"/>
    <w:rsid w:val="00260AA0"/>
    <w:rsid w:val="00267386"/>
    <w:rsid w:val="00270A53"/>
    <w:rsid w:val="00270C02"/>
    <w:rsid w:val="002748BD"/>
    <w:rsid w:val="002757C6"/>
    <w:rsid w:val="0027697E"/>
    <w:rsid w:val="0027776A"/>
    <w:rsid w:val="002806C8"/>
    <w:rsid w:val="00280ABC"/>
    <w:rsid w:val="00280C1B"/>
    <w:rsid w:val="00283302"/>
    <w:rsid w:val="00284638"/>
    <w:rsid w:val="002859D9"/>
    <w:rsid w:val="00286B81"/>
    <w:rsid w:val="00287D9C"/>
    <w:rsid w:val="002906A9"/>
    <w:rsid w:val="0029158C"/>
    <w:rsid w:val="0029190C"/>
    <w:rsid w:val="002927A0"/>
    <w:rsid w:val="00292AD8"/>
    <w:rsid w:val="00292C41"/>
    <w:rsid w:val="00294DEB"/>
    <w:rsid w:val="00295F60"/>
    <w:rsid w:val="002968FB"/>
    <w:rsid w:val="00297BFC"/>
    <w:rsid w:val="002A1D76"/>
    <w:rsid w:val="002A2AD9"/>
    <w:rsid w:val="002A3EB2"/>
    <w:rsid w:val="002A436A"/>
    <w:rsid w:val="002B088E"/>
    <w:rsid w:val="002B3746"/>
    <w:rsid w:val="002B6AC9"/>
    <w:rsid w:val="002C01D1"/>
    <w:rsid w:val="002C172B"/>
    <w:rsid w:val="002C1B40"/>
    <w:rsid w:val="002C421E"/>
    <w:rsid w:val="002C48D9"/>
    <w:rsid w:val="002C4CF5"/>
    <w:rsid w:val="002C5CA7"/>
    <w:rsid w:val="002C74A2"/>
    <w:rsid w:val="002C78D3"/>
    <w:rsid w:val="002C7A16"/>
    <w:rsid w:val="002D28CA"/>
    <w:rsid w:val="002D3296"/>
    <w:rsid w:val="002D3890"/>
    <w:rsid w:val="002D5A6E"/>
    <w:rsid w:val="002D661D"/>
    <w:rsid w:val="002E3936"/>
    <w:rsid w:val="002E46BD"/>
    <w:rsid w:val="002E6CE0"/>
    <w:rsid w:val="002E7184"/>
    <w:rsid w:val="002E746C"/>
    <w:rsid w:val="002E77F3"/>
    <w:rsid w:val="002E7A62"/>
    <w:rsid w:val="002F2DB6"/>
    <w:rsid w:val="002F37BC"/>
    <w:rsid w:val="002F53DE"/>
    <w:rsid w:val="002F5731"/>
    <w:rsid w:val="002F61FC"/>
    <w:rsid w:val="002F6830"/>
    <w:rsid w:val="002F6F50"/>
    <w:rsid w:val="00301378"/>
    <w:rsid w:val="00301771"/>
    <w:rsid w:val="00303E44"/>
    <w:rsid w:val="003049B4"/>
    <w:rsid w:val="003053A9"/>
    <w:rsid w:val="00305B26"/>
    <w:rsid w:val="00305FBC"/>
    <w:rsid w:val="0030686D"/>
    <w:rsid w:val="003113A3"/>
    <w:rsid w:val="00311F29"/>
    <w:rsid w:val="00312DD5"/>
    <w:rsid w:val="0031375E"/>
    <w:rsid w:val="00317398"/>
    <w:rsid w:val="003244F9"/>
    <w:rsid w:val="003250A5"/>
    <w:rsid w:val="003257C4"/>
    <w:rsid w:val="0033102E"/>
    <w:rsid w:val="00331141"/>
    <w:rsid w:val="0033241E"/>
    <w:rsid w:val="003325A6"/>
    <w:rsid w:val="00333055"/>
    <w:rsid w:val="003336A4"/>
    <w:rsid w:val="00334F47"/>
    <w:rsid w:val="003377AD"/>
    <w:rsid w:val="0034166F"/>
    <w:rsid w:val="00341EC0"/>
    <w:rsid w:val="003424CA"/>
    <w:rsid w:val="00343BD0"/>
    <w:rsid w:val="00345970"/>
    <w:rsid w:val="003468FE"/>
    <w:rsid w:val="003548F7"/>
    <w:rsid w:val="0035590E"/>
    <w:rsid w:val="00356EB2"/>
    <w:rsid w:val="00357EF6"/>
    <w:rsid w:val="003606D2"/>
    <w:rsid w:val="00360920"/>
    <w:rsid w:val="003615CE"/>
    <w:rsid w:val="00361866"/>
    <w:rsid w:val="0036419B"/>
    <w:rsid w:val="003659BD"/>
    <w:rsid w:val="00366467"/>
    <w:rsid w:val="00367AF2"/>
    <w:rsid w:val="00367C39"/>
    <w:rsid w:val="003708FE"/>
    <w:rsid w:val="003726FE"/>
    <w:rsid w:val="00372BB9"/>
    <w:rsid w:val="0037396C"/>
    <w:rsid w:val="003742F5"/>
    <w:rsid w:val="00376283"/>
    <w:rsid w:val="003768E1"/>
    <w:rsid w:val="00377511"/>
    <w:rsid w:val="00377BDA"/>
    <w:rsid w:val="003814ED"/>
    <w:rsid w:val="00381B99"/>
    <w:rsid w:val="00382638"/>
    <w:rsid w:val="003826B1"/>
    <w:rsid w:val="00382827"/>
    <w:rsid w:val="00382D83"/>
    <w:rsid w:val="00383D37"/>
    <w:rsid w:val="0038401D"/>
    <w:rsid w:val="00385341"/>
    <w:rsid w:val="00386EF9"/>
    <w:rsid w:val="00387A96"/>
    <w:rsid w:val="00390157"/>
    <w:rsid w:val="003914EF"/>
    <w:rsid w:val="003932B8"/>
    <w:rsid w:val="00395645"/>
    <w:rsid w:val="003967AB"/>
    <w:rsid w:val="00396DD2"/>
    <w:rsid w:val="00396DF6"/>
    <w:rsid w:val="003971A0"/>
    <w:rsid w:val="003A063D"/>
    <w:rsid w:val="003A4563"/>
    <w:rsid w:val="003A5348"/>
    <w:rsid w:val="003B14FB"/>
    <w:rsid w:val="003B3D4E"/>
    <w:rsid w:val="003B493C"/>
    <w:rsid w:val="003B712E"/>
    <w:rsid w:val="003B766B"/>
    <w:rsid w:val="003B76C9"/>
    <w:rsid w:val="003C18A5"/>
    <w:rsid w:val="003C22BA"/>
    <w:rsid w:val="003C268A"/>
    <w:rsid w:val="003C49C9"/>
    <w:rsid w:val="003C7AA6"/>
    <w:rsid w:val="003D1BB9"/>
    <w:rsid w:val="003D3423"/>
    <w:rsid w:val="003D5D2F"/>
    <w:rsid w:val="003D645C"/>
    <w:rsid w:val="003D663B"/>
    <w:rsid w:val="003E1BDE"/>
    <w:rsid w:val="003E3DD3"/>
    <w:rsid w:val="003E4EC4"/>
    <w:rsid w:val="003F051D"/>
    <w:rsid w:val="003F1318"/>
    <w:rsid w:val="003F32E2"/>
    <w:rsid w:val="003F40EA"/>
    <w:rsid w:val="003F4299"/>
    <w:rsid w:val="003F4650"/>
    <w:rsid w:val="003F494D"/>
    <w:rsid w:val="003F5B70"/>
    <w:rsid w:val="003F6A52"/>
    <w:rsid w:val="00400584"/>
    <w:rsid w:val="00400B11"/>
    <w:rsid w:val="00405E41"/>
    <w:rsid w:val="0041137E"/>
    <w:rsid w:val="00411DF4"/>
    <w:rsid w:val="00413BA8"/>
    <w:rsid w:val="00413E49"/>
    <w:rsid w:val="00413FD5"/>
    <w:rsid w:val="004165B3"/>
    <w:rsid w:val="004175E2"/>
    <w:rsid w:val="0042047E"/>
    <w:rsid w:val="0043015E"/>
    <w:rsid w:val="00430D80"/>
    <w:rsid w:val="00435256"/>
    <w:rsid w:val="00436C51"/>
    <w:rsid w:val="004402D1"/>
    <w:rsid w:val="004425FC"/>
    <w:rsid w:val="0044269F"/>
    <w:rsid w:val="004430AD"/>
    <w:rsid w:val="00443B11"/>
    <w:rsid w:val="00446B8B"/>
    <w:rsid w:val="00446EA9"/>
    <w:rsid w:val="00450690"/>
    <w:rsid w:val="004513D0"/>
    <w:rsid w:val="00453006"/>
    <w:rsid w:val="00453A77"/>
    <w:rsid w:val="00453B80"/>
    <w:rsid w:val="00455F2C"/>
    <w:rsid w:val="00456411"/>
    <w:rsid w:val="00460F64"/>
    <w:rsid w:val="00462212"/>
    <w:rsid w:val="00463CE7"/>
    <w:rsid w:val="00464160"/>
    <w:rsid w:val="004673A2"/>
    <w:rsid w:val="00467858"/>
    <w:rsid w:val="004703DF"/>
    <w:rsid w:val="0047329F"/>
    <w:rsid w:val="00474A9A"/>
    <w:rsid w:val="00475A9F"/>
    <w:rsid w:val="00477513"/>
    <w:rsid w:val="004778D8"/>
    <w:rsid w:val="004779F9"/>
    <w:rsid w:val="00481EAF"/>
    <w:rsid w:val="00484808"/>
    <w:rsid w:val="00490C05"/>
    <w:rsid w:val="00492E62"/>
    <w:rsid w:val="00494610"/>
    <w:rsid w:val="004946F2"/>
    <w:rsid w:val="00494E1B"/>
    <w:rsid w:val="0049532F"/>
    <w:rsid w:val="0049595B"/>
    <w:rsid w:val="00496501"/>
    <w:rsid w:val="00497046"/>
    <w:rsid w:val="004977C5"/>
    <w:rsid w:val="004A0D88"/>
    <w:rsid w:val="004A377F"/>
    <w:rsid w:val="004A3B3B"/>
    <w:rsid w:val="004A3F07"/>
    <w:rsid w:val="004A4CE5"/>
    <w:rsid w:val="004A5832"/>
    <w:rsid w:val="004A6792"/>
    <w:rsid w:val="004B1923"/>
    <w:rsid w:val="004B4747"/>
    <w:rsid w:val="004B6447"/>
    <w:rsid w:val="004B7A5F"/>
    <w:rsid w:val="004C2C2B"/>
    <w:rsid w:val="004C2D4F"/>
    <w:rsid w:val="004C3EE0"/>
    <w:rsid w:val="004C4777"/>
    <w:rsid w:val="004C5C93"/>
    <w:rsid w:val="004C6086"/>
    <w:rsid w:val="004C6B77"/>
    <w:rsid w:val="004D106A"/>
    <w:rsid w:val="004D1B7A"/>
    <w:rsid w:val="004D29CE"/>
    <w:rsid w:val="004D2EE9"/>
    <w:rsid w:val="004D7130"/>
    <w:rsid w:val="004E176B"/>
    <w:rsid w:val="004E2469"/>
    <w:rsid w:val="004E58C4"/>
    <w:rsid w:val="004E65D0"/>
    <w:rsid w:val="004E7E5C"/>
    <w:rsid w:val="004F1857"/>
    <w:rsid w:val="004F27DE"/>
    <w:rsid w:val="004F2FE6"/>
    <w:rsid w:val="004F45A8"/>
    <w:rsid w:val="004F4AD9"/>
    <w:rsid w:val="004F5801"/>
    <w:rsid w:val="004F6E8A"/>
    <w:rsid w:val="004F798E"/>
    <w:rsid w:val="004F7D09"/>
    <w:rsid w:val="004F7DD0"/>
    <w:rsid w:val="00500D2C"/>
    <w:rsid w:val="00501771"/>
    <w:rsid w:val="005021DF"/>
    <w:rsid w:val="00503F6F"/>
    <w:rsid w:val="00506EAE"/>
    <w:rsid w:val="00506F2F"/>
    <w:rsid w:val="00510C94"/>
    <w:rsid w:val="00510D49"/>
    <w:rsid w:val="00511B24"/>
    <w:rsid w:val="00512D13"/>
    <w:rsid w:val="0051375F"/>
    <w:rsid w:val="0051792B"/>
    <w:rsid w:val="005212DE"/>
    <w:rsid w:val="00522C5C"/>
    <w:rsid w:val="00522F84"/>
    <w:rsid w:val="00523CC1"/>
    <w:rsid w:val="00526AB6"/>
    <w:rsid w:val="00526B64"/>
    <w:rsid w:val="0053188C"/>
    <w:rsid w:val="005318A1"/>
    <w:rsid w:val="005344A1"/>
    <w:rsid w:val="00536977"/>
    <w:rsid w:val="0053793C"/>
    <w:rsid w:val="0054433B"/>
    <w:rsid w:val="0054615E"/>
    <w:rsid w:val="00546196"/>
    <w:rsid w:val="005476F6"/>
    <w:rsid w:val="00550F14"/>
    <w:rsid w:val="00552F16"/>
    <w:rsid w:val="00553B81"/>
    <w:rsid w:val="0055576B"/>
    <w:rsid w:val="005604A3"/>
    <w:rsid w:val="00561207"/>
    <w:rsid w:val="00562599"/>
    <w:rsid w:val="005630C4"/>
    <w:rsid w:val="005633C8"/>
    <w:rsid w:val="005639A3"/>
    <w:rsid w:val="005649B1"/>
    <w:rsid w:val="005673CA"/>
    <w:rsid w:val="00570945"/>
    <w:rsid w:val="00570B50"/>
    <w:rsid w:val="00573170"/>
    <w:rsid w:val="005753BF"/>
    <w:rsid w:val="00576736"/>
    <w:rsid w:val="00576CA5"/>
    <w:rsid w:val="0058088E"/>
    <w:rsid w:val="005813AF"/>
    <w:rsid w:val="0058146F"/>
    <w:rsid w:val="005844B3"/>
    <w:rsid w:val="00585B49"/>
    <w:rsid w:val="00586847"/>
    <w:rsid w:val="005902E5"/>
    <w:rsid w:val="005919A0"/>
    <w:rsid w:val="00591F10"/>
    <w:rsid w:val="00592016"/>
    <w:rsid w:val="00593825"/>
    <w:rsid w:val="00596D03"/>
    <w:rsid w:val="00597054"/>
    <w:rsid w:val="005970C3"/>
    <w:rsid w:val="005A002E"/>
    <w:rsid w:val="005A06B0"/>
    <w:rsid w:val="005A1124"/>
    <w:rsid w:val="005A1C78"/>
    <w:rsid w:val="005A3CAA"/>
    <w:rsid w:val="005A4E90"/>
    <w:rsid w:val="005A595E"/>
    <w:rsid w:val="005A732B"/>
    <w:rsid w:val="005B0261"/>
    <w:rsid w:val="005B1491"/>
    <w:rsid w:val="005B1E95"/>
    <w:rsid w:val="005B384E"/>
    <w:rsid w:val="005B39F2"/>
    <w:rsid w:val="005B482F"/>
    <w:rsid w:val="005B4E02"/>
    <w:rsid w:val="005C0135"/>
    <w:rsid w:val="005C0673"/>
    <w:rsid w:val="005C06D7"/>
    <w:rsid w:val="005C10F4"/>
    <w:rsid w:val="005C2AB0"/>
    <w:rsid w:val="005C4DD2"/>
    <w:rsid w:val="005C5448"/>
    <w:rsid w:val="005D0507"/>
    <w:rsid w:val="005D0646"/>
    <w:rsid w:val="005D0817"/>
    <w:rsid w:val="005D2E6E"/>
    <w:rsid w:val="005D31A7"/>
    <w:rsid w:val="005D5C38"/>
    <w:rsid w:val="005D690D"/>
    <w:rsid w:val="005E0022"/>
    <w:rsid w:val="005E23A2"/>
    <w:rsid w:val="005E337F"/>
    <w:rsid w:val="005E3DBE"/>
    <w:rsid w:val="005E3F70"/>
    <w:rsid w:val="005E597B"/>
    <w:rsid w:val="005F1573"/>
    <w:rsid w:val="005F2695"/>
    <w:rsid w:val="005F592E"/>
    <w:rsid w:val="00600005"/>
    <w:rsid w:val="0060061C"/>
    <w:rsid w:val="0060163E"/>
    <w:rsid w:val="00601A17"/>
    <w:rsid w:val="00602A9C"/>
    <w:rsid w:val="006030F3"/>
    <w:rsid w:val="00604086"/>
    <w:rsid w:val="00607B98"/>
    <w:rsid w:val="00613DF5"/>
    <w:rsid w:val="006140CE"/>
    <w:rsid w:val="00615587"/>
    <w:rsid w:val="00617E3D"/>
    <w:rsid w:val="00621658"/>
    <w:rsid w:val="00622752"/>
    <w:rsid w:val="006236B6"/>
    <w:rsid w:val="0062428B"/>
    <w:rsid w:val="00624978"/>
    <w:rsid w:val="006256A6"/>
    <w:rsid w:val="00627415"/>
    <w:rsid w:val="00630388"/>
    <w:rsid w:val="00630472"/>
    <w:rsid w:val="00632313"/>
    <w:rsid w:val="0063301C"/>
    <w:rsid w:val="0063451A"/>
    <w:rsid w:val="006350F1"/>
    <w:rsid w:val="00635473"/>
    <w:rsid w:val="0064063E"/>
    <w:rsid w:val="006458C6"/>
    <w:rsid w:val="006459A5"/>
    <w:rsid w:val="00651027"/>
    <w:rsid w:val="00651E19"/>
    <w:rsid w:val="00652312"/>
    <w:rsid w:val="00652C65"/>
    <w:rsid w:val="00652F6E"/>
    <w:rsid w:val="00652FE8"/>
    <w:rsid w:val="00660BDA"/>
    <w:rsid w:val="006610E1"/>
    <w:rsid w:val="00661366"/>
    <w:rsid w:val="006678A8"/>
    <w:rsid w:val="00672710"/>
    <w:rsid w:val="00673533"/>
    <w:rsid w:val="0067382F"/>
    <w:rsid w:val="00675147"/>
    <w:rsid w:val="006752C3"/>
    <w:rsid w:val="00676C78"/>
    <w:rsid w:val="0067718F"/>
    <w:rsid w:val="00680F3E"/>
    <w:rsid w:val="00681441"/>
    <w:rsid w:val="00681D86"/>
    <w:rsid w:val="0068303E"/>
    <w:rsid w:val="00683BC6"/>
    <w:rsid w:val="00684E5C"/>
    <w:rsid w:val="00685F70"/>
    <w:rsid w:val="00686706"/>
    <w:rsid w:val="00690CC9"/>
    <w:rsid w:val="006921E4"/>
    <w:rsid w:val="00695A4A"/>
    <w:rsid w:val="00696F3B"/>
    <w:rsid w:val="006975FD"/>
    <w:rsid w:val="006A2EBE"/>
    <w:rsid w:val="006A3DC2"/>
    <w:rsid w:val="006B0FD1"/>
    <w:rsid w:val="006B2470"/>
    <w:rsid w:val="006B3A96"/>
    <w:rsid w:val="006B4E68"/>
    <w:rsid w:val="006B4EB8"/>
    <w:rsid w:val="006B5F73"/>
    <w:rsid w:val="006B66B0"/>
    <w:rsid w:val="006B6BA8"/>
    <w:rsid w:val="006B705B"/>
    <w:rsid w:val="006B72AC"/>
    <w:rsid w:val="006B795F"/>
    <w:rsid w:val="006B7B4C"/>
    <w:rsid w:val="006B7E92"/>
    <w:rsid w:val="006C0B26"/>
    <w:rsid w:val="006C23F7"/>
    <w:rsid w:val="006C5D10"/>
    <w:rsid w:val="006C61F2"/>
    <w:rsid w:val="006C6650"/>
    <w:rsid w:val="006C7221"/>
    <w:rsid w:val="006C7607"/>
    <w:rsid w:val="006D1111"/>
    <w:rsid w:val="006D15AD"/>
    <w:rsid w:val="006D2079"/>
    <w:rsid w:val="006D42FA"/>
    <w:rsid w:val="006D44C8"/>
    <w:rsid w:val="006D4CFD"/>
    <w:rsid w:val="006D52FF"/>
    <w:rsid w:val="006D6A22"/>
    <w:rsid w:val="006D7C80"/>
    <w:rsid w:val="006E057C"/>
    <w:rsid w:val="006E05D4"/>
    <w:rsid w:val="006E1718"/>
    <w:rsid w:val="006E6194"/>
    <w:rsid w:val="006F20AD"/>
    <w:rsid w:val="006F22E5"/>
    <w:rsid w:val="006F2845"/>
    <w:rsid w:val="006F43FB"/>
    <w:rsid w:val="006F4911"/>
    <w:rsid w:val="006F4C0A"/>
    <w:rsid w:val="006F5104"/>
    <w:rsid w:val="006F6163"/>
    <w:rsid w:val="006F6636"/>
    <w:rsid w:val="00700945"/>
    <w:rsid w:val="00701322"/>
    <w:rsid w:val="00702497"/>
    <w:rsid w:val="00703598"/>
    <w:rsid w:val="007053F4"/>
    <w:rsid w:val="007064C6"/>
    <w:rsid w:val="00706A05"/>
    <w:rsid w:val="00706BBF"/>
    <w:rsid w:val="0070764A"/>
    <w:rsid w:val="00710FE6"/>
    <w:rsid w:val="007127EB"/>
    <w:rsid w:val="0071572C"/>
    <w:rsid w:val="00717568"/>
    <w:rsid w:val="00722E3B"/>
    <w:rsid w:val="00725A8A"/>
    <w:rsid w:val="00726A9F"/>
    <w:rsid w:val="00732726"/>
    <w:rsid w:val="007331CE"/>
    <w:rsid w:val="00735EB2"/>
    <w:rsid w:val="00736AF2"/>
    <w:rsid w:val="007405D9"/>
    <w:rsid w:val="00740BF5"/>
    <w:rsid w:val="00741D99"/>
    <w:rsid w:val="0074485D"/>
    <w:rsid w:val="0074507D"/>
    <w:rsid w:val="007508AB"/>
    <w:rsid w:val="00750AAC"/>
    <w:rsid w:val="00752294"/>
    <w:rsid w:val="007556CB"/>
    <w:rsid w:val="00755891"/>
    <w:rsid w:val="0075721A"/>
    <w:rsid w:val="00757498"/>
    <w:rsid w:val="00757F04"/>
    <w:rsid w:val="007606DC"/>
    <w:rsid w:val="0076094D"/>
    <w:rsid w:val="00760B67"/>
    <w:rsid w:val="00760B75"/>
    <w:rsid w:val="00760BE2"/>
    <w:rsid w:val="00761A7D"/>
    <w:rsid w:val="00761B28"/>
    <w:rsid w:val="007627CB"/>
    <w:rsid w:val="00763327"/>
    <w:rsid w:val="00764C72"/>
    <w:rsid w:val="007708DA"/>
    <w:rsid w:val="00770E27"/>
    <w:rsid w:val="007712D4"/>
    <w:rsid w:val="0077210B"/>
    <w:rsid w:val="00772A3E"/>
    <w:rsid w:val="00773023"/>
    <w:rsid w:val="00776C66"/>
    <w:rsid w:val="007775C0"/>
    <w:rsid w:val="00781986"/>
    <w:rsid w:val="00782625"/>
    <w:rsid w:val="0078384D"/>
    <w:rsid w:val="007838AB"/>
    <w:rsid w:val="00784CE1"/>
    <w:rsid w:val="00786282"/>
    <w:rsid w:val="0078776B"/>
    <w:rsid w:val="00787E6A"/>
    <w:rsid w:val="007912E7"/>
    <w:rsid w:val="00791732"/>
    <w:rsid w:val="007918E9"/>
    <w:rsid w:val="0079224A"/>
    <w:rsid w:val="007924A9"/>
    <w:rsid w:val="007976A1"/>
    <w:rsid w:val="0079781D"/>
    <w:rsid w:val="00797F2D"/>
    <w:rsid w:val="007A0731"/>
    <w:rsid w:val="007A371F"/>
    <w:rsid w:val="007A39C2"/>
    <w:rsid w:val="007A4EEE"/>
    <w:rsid w:val="007A4F6C"/>
    <w:rsid w:val="007A5C26"/>
    <w:rsid w:val="007A64AE"/>
    <w:rsid w:val="007A7152"/>
    <w:rsid w:val="007A7591"/>
    <w:rsid w:val="007A760A"/>
    <w:rsid w:val="007A7A7B"/>
    <w:rsid w:val="007B03D3"/>
    <w:rsid w:val="007B20B7"/>
    <w:rsid w:val="007B3247"/>
    <w:rsid w:val="007B3972"/>
    <w:rsid w:val="007B5901"/>
    <w:rsid w:val="007B5FCE"/>
    <w:rsid w:val="007B728C"/>
    <w:rsid w:val="007B7662"/>
    <w:rsid w:val="007B7A11"/>
    <w:rsid w:val="007B7D26"/>
    <w:rsid w:val="007B7E65"/>
    <w:rsid w:val="007C326D"/>
    <w:rsid w:val="007C37DC"/>
    <w:rsid w:val="007C44C4"/>
    <w:rsid w:val="007C4644"/>
    <w:rsid w:val="007C519C"/>
    <w:rsid w:val="007C7860"/>
    <w:rsid w:val="007C7FDA"/>
    <w:rsid w:val="007D2370"/>
    <w:rsid w:val="007D2683"/>
    <w:rsid w:val="007D28B7"/>
    <w:rsid w:val="007D3E02"/>
    <w:rsid w:val="007D46DF"/>
    <w:rsid w:val="007D6A21"/>
    <w:rsid w:val="007D7D7C"/>
    <w:rsid w:val="007E0E7A"/>
    <w:rsid w:val="007E6913"/>
    <w:rsid w:val="007E71CB"/>
    <w:rsid w:val="007E78C8"/>
    <w:rsid w:val="007F07E0"/>
    <w:rsid w:val="007F1269"/>
    <w:rsid w:val="007F1344"/>
    <w:rsid w:val="007F243D"/>
    <w:rsid w:val="007F32E2"/>
    <w:rsid w:val="007F4FD3"/>
    <w:rsid w:val="007F6396"/>
    <w:rsid w:val="007F743B"/>
    <w:rsid w:val="00801E7A"/>
    <w:rsid w:val="00803196"/>
    <w:rsid w:val="00805114"/>
    <w:rsid w:val="00805555"/>
    <w:rsid w:val="00806E77"/>
    <w:rsid w:val="00807167"/>
    <w:rsid w:val="008076D9"/>
    <w:rsid w:val="00812343"/>
    <w:rsid w:val="00817BC6"/>
    <w:rsid w:val="00817F9E"/>
    <w:rsid w:val="00820ED7"/>
    <w:rsid w:val="00823C20"/>
    <w:rsid w:val="008259DF"/>
    <w:rsid w:val="00826354"/>
    <w:rsid w:val="008275CA"/>
    <w:rsid w:val="008301F5"/>
    <w:rsid w:val="0083037D"/>
    <w:rsid w:val="00832005"/>
    <w:rsid w:val="00832298"/>
    <w:rsid w:val="008342E5"/>
    <w:rsid w:val="008359C4"/>
    <w:rsid w:val="0084150E"/>
    <w:rsid w:val="0084368C"/>
    <w:rsid w:val="00844493"/>
    <w:rsid w:val="00844639"/>
    <w:rsid w:val="00845999"/>
    <w:rsid w:val="00845C96"/>
    <w:rsid w:val="00847E43"/>
    <w:rsid w:val="00853998"/>
    <w:rsid w:val="00855CD2"/>
    <w:rsid w:val="008560E6"/>
    <w:rsid w:val="008567A3"/>
    <w:rsid w:val="00857A77"/>
    <w:rsid w:val="0086052F"/>
    <w:rsid w:val="008606C7"/>
    <w:rsid w:val="00862C71"/>
    <w:rsid w:val="0086529D"/>
    <w:rsid w:val="0086552A"/>
    <w:rsid w:val="0086614F"/>
    <w:rsid w:val="0086631A"/>
    <w:rsid w:val="0086703A"/>
    <w:rsid w:val="00870456"/>
    <w:rsid w:val="00871604"/>
    <w:rsid w:val="00871EBB"/>
    <w:rsid w:val="00872CEB"/>
    <w:rsid w:val="00872FAA"/>
    <w:rsid w:val="008733A3"/>
    <w:rsid w:val="00875E52"/>
    <w:rsid w:val="0087699A"/>
    <w:rsid w:val="0087730B"/>
    <w:rsid w:val="0087764E"/>
    <w:rsid w:val="00881842"/>
    <w:rsid w:val="00884F6E"/>
    <w:rsid w:val="0088562D"/>
    <w:rsid w:val="00886B07"/>
    <w:rsid w:val="00887246"/>
    <w:rsid w:val="00891AFF"/>
    <w:rsid w:val="00891C9D"/>
    <w:rsid w:val="0089350B"/>
    <w:rsid w:val="00896142"/>
    <w:rsid w:val="00896D34"/>
    <w:rsid w:val="008A144A"/>
    <w:rsid w:val="008A47B6"/>
    <w:rsid w:val="008A48D3"/>
    <w:rsid w:val="008A553A"/>
    <w:rsid w:val="008A63C1"/>
    <w:rsid w:val="008A7AC7"/>
    <w:rsid w:val="008B36D6"/>
    <w:rsid w:val="008B5485"/>
    <w:rsid w:val="008B56CB"/>
    <w:rsid w:val="008B68E0"/>
    <w:rsid w:val="008B7804"/>
    <w:rsid w:val="008C158E"/>
    <w:rsid w:val="008C29CF"/>
    <w:rsid w:val="008C3652"/>
    <w:rsid w:val="008C3D37"/>
    <w:rsid w:val="008C5684"/>
    <w:rsid w:val="008C5AF9"/>
    <w:rsid w:val="008C5DA7"/>
    <w:rsid w:val="008C7B1A"/>
    <w:rsid w:val="008D059F"/>
    <w:rsid w:val="008D0F82"/>
    <w:rsid w:val="008D14BC"/>
    <w:rsid w:val="008D14BE"/>
    <w:rsid w:val="008D16C6"/>
    <w:rsid w:val="008D1754"/>
    <w:rsid w:val="008D2AB0"/>
    <w:rsid w:val="008D2B1A"/>
    <w:rsid w:val="008D308E"/>
    <w:rsid w:val="008D40E9"/>
    <w:rsid w:val="008D544F"/>
    <w:rsid w:val="008D60C3"/>
    <w:rsid w:val="008E04A2"/>
    <w:rsid w:val="008E271B"/>
    <w:rsid w:val="008E6580"/>
    <w:rsid w:val="008E7247"/>
    <w:rsid w:val="008E7808"/>
    <w:rsid w:val="008F1C2A"/>
    <w:rsid w:val="008F6AEE"/>
    <w:rsid w:val="008F6F22"/>
    <w:rsid w:val="008F7F40"/>
    <w:rsid w:val="00901245"/>
    <w:rsid w:val="009039CB"/>
    <w:rsid w:val="00903E3D"/>
    <w:rsid w:val="0090428A"/>
    <w:rsid w:val="009048E3"/>
    <w:rsid w:val="00905438"/>
    <w:rsid w:val="00910E83"/>
    <w:rsid w:val="0091216F"/>
    <w:rsid w:val="009133C0"/>
    <w:rsid w:val="00920302"/>
    <w:rsid w:val="00921ACA"/>
    <w:rsid w:val="00923BAF"/>
    <w:rsid w:val="0092440D"/>
    <w:rsid w:val="0092456D"/>
    <w:rsid w:val="009271FC"/>
    <w:rsid w:val="00934753"/>
    <w:rsid w:val="00935034"/>
    <w:rsid w:val="0093540C"/>
    <w:rsid w:val="00941459"/>
    <w:rsid w:val="00942235"/>
    <w:rsid w:val="00942C24"/>
    <w:rsid w:val="00943BE3"/>
    <w:rsid w:val="00944396"/>
    <w:rsid w:val="009443EC"/>
    <w:rsid w:val="00945355"/>
    <w:rsid w:val="00950481"/>
    <w:rsid w:val="00951E0D"/>
    <w:rsid w:val="00955071"/>
    <w:rsid w:val="00955993"/>
    <w:rsid w:val="0095647C"/>
    <w:rsid w:val="009623E3"/>
    <w:rsid w:val="00964EF9"/>
    <w:rsid w:val="00974709"/>
    <w:rsid w:val="0097474A"/>
    <w:rsid w:val="00975A9A"/>
    <w:rsid w:val="00975E13"/>
    <w:rsid w:val="009808A1"/>
    <w:rsid w:val="00983020"/>
    <w:rsid w:val="00984159"/>
    <w:rsid w:val="009848A4"/>
    <w:rsid w:val="00985DAF"/>
    <w:rsid w:val="00987C18"/>
    <w:rsid w:val="00990081"/>
    <w:rsid w:val="00993714"/>
    <w:rsid w:val="00994552"/>
    <w:rsid w:val="009955D9"/>
    <w:rsid w:val="009969CB"/>
    <w:rsid w:val="00997B40"/>
    <w:rsid w:val="009A0DD6"/>
    <w:rsid w:val="009A1ACC"/>
    <w:rsid w:val="009A329D"/>
    <w:rsid w:val="009A3704"/>
    <w:rsid w:val="009A476D"/>
    <w:rsid w:val="009A488C"/>
    <w:rsid w:val="009A52F5"/>
    <w:rsid w:val="009A56C8"/>
    <w:rsid w:val="009A7144"/>
    <w:rsid w:val="009B15D7"/>
    <w:rsid w:val="009B192C"/>
    <w:rsid w:val="009B2F87"/>
    <w:rsid w:val="009B36D9"/>
    <w:rsid w:val="009B514B"/>
    <w:rsid w:val="009B6852"/>
    <w:rsid w:val="009C15C0"/>
    <w:rsid w:val="009C3623"/>
    <w:rsid w:val="009C5405"/>
    <w:rsid w:val="009C57AC"/>
    <w:rsid w:val="009D0DB2"/>
    <w:rsid w:val="009D0DD3"/>
    <w:rsid w:val="009D2A42"/>
    <w:rsid w:val="009D4F09"/>
    <w:rsid w:val="009D5087"/>
    <w:rsid w:val="009D53D5"/>
    <w:rsid w:val="009D70D3"/>
    <w:rsid w:val="009D78C0"/>
    <w:rsid w:val="009E1B31"/>
    <w:rsid w:val="009E3944"/>
    <w:rsid w:val="009E4203"/>
    <w:rsid w:val="009E4B4E"/>
    <w:rsid w:val="009E60BB"/>
    <w:rsid w:val="009E7A36"/>
    <w:rsid w:val="009F3BB1"/>
    <w:rsid w:val="009F45D0"/>
    <w:rsid w:val="009F5424"/>
    <w:rsid w:val="00A0240B"/>
    <w:rsid w:val="00A068D1"/>
    <w:rsid w:val="00A07A3C"/>
    <w:rsid w:val="00A122FC"/>
    <w:rsid w:val="00A135F3"/>
    <w:rsid w:val="00A13751"/>
    <w:rsid w:val="00A14179"/>
    <w:rsid w:val="00A14575"/>
    <w:rsid w:val="00A1566D"/>
    <w:rsid w:val="00A16044"/>
    <w:rsid w:val="00A16E76"/>
    <w:rsid w:val="00A170C2"/>
    <w:rsid w:val="00A170D3"/>
    <w:rsid w:val="00A21648"/>
    <w:rsid w:val="00A22A87"/>
    <w:rsid w:val="00A233CE"/>
    <w:rsid w:val="00A23BF5"/>
    <w:rsid w:val="00A23C9B"/>
    <w:rsid w:val="00A23FF8"/>
    <w:rsid w:val="00A25F99"/>
    <w:rsid w:val="00A27474"/>
    <w:rsid w:val="00A30DDF"/>
    <w:rsid w:val="00A30EA3"/>
    <w:rsid w:val="00A31A5A"/>
    <w:rsid w:val="00A31E61"/>
    <w:rsid w:val="00A3203E"/>
    <w:rsid w:val="00A340D0"/>
    <w:rsid w:val="00A3469E"/>
    <w:rsid w:val="00A37D21"/>
    <w:rsid w:val="00A44698"/>
    <w:rsid w:val="00A46708"/>
    <w:rsid w:val="00A4736F"/>
    <w:rsid w:val="00A47EAB"/>
    <w:rsid w:val="00A515EF"/>
    <w:rsid w:val="00A52DD5"/>
    <w:rsid w:val="00A563BF"/>
    <w:rsid w:val="00A62405"/>
    <w:rsid w:val="00A63A37"/>
    <w:rsid w:val="00A64271"/>
    <w:rsid w:val="00A65F22"/>
    <w:rsid w:val="00A66A9B"/>
    <w:rsid w:val="00A7116E"/>
    <w:rsid w:val="00A80042"/>
    <w:rsid w:val="00A84EFE"/>
    <w:rsid w:val="00A8554C"/>
    <w:rsid w:val="00A96125"/>
    <w:rsid w:val="00A963B7"/>
    <w:rsid w:val="00A97ED8"/>
    <w:rsid w:val="00A97FAA"/>
    <w:rsid w:val="00AA019D"/>
    <w:rsid w:val="00AA09B1"/>
    <w:rsid w:val="00AA4C80"/>
    <w:rsid w:val="00AA6DDC"/>
    <w:rsid w:val="00AA7341"/>
    <w:rsid w:val="00AB00EA"/>
    <w:rsid w:val="00AB3E66"/>
    <w:rsid w:val="00AB4697"/>
    <w:rsid w:val="00AB539E"/>
    <w:rsid w:val="00AB771A"/>
    <w:rsid w:val="00AC0E39"/>
    <w:rsid w:val="00AC2107"/>
    <w:rsid w:val="00AC43F3"/>
    <w:rsid w:val="00AC44A0"/>
    <w:rsid w:val="00AC53E1"/>
    <w:rsid w:val="00AC6FFB"/>
    <w:rsid w:val="00AD0884"/>
    <w:rsid w:val="00AD12D0"/>
    <w:rsid w:val="00AD281A"/>
    <w:rsid w:val="00AD3A9D"/>
    <w:rsid w:val="00AD4926"/>
    <w:rsid w:val="00AD6904"/>
    <w:rsid w:val="00AE0068"/>
    <w:rsid w:val="00AE0FB7"/>
    <w:rsid w:val="00AE5675"/>
    <w:rsid w:val="00AE5E8F"/>
    <w:rsid w:val="00AE73D2"/>
    <w:rsid w:val="00AE7619"/>
    <w:rsid w:val="00AF1B79"/>
    <w:rsid w:val="00AF1EB3"/>
    <w:rsid w:val="00AF20B1"/>
    <w:rsid w:val="00AF3531"/>
    <w:rsid w:val="00AF40C5"/>
    <w:rsid w:val="00AF4D7C"/>
    <w:rsid w:val="00B009F8"/>
    <w:rsid w:val="00B01857"/>
    <w:rsid w:val="00B01F85"/>
    <w:rsid w:val="00B02957"/>
    <w:rsid w:val="00B033B1"/>
    <w:rsid w:val="00B048DE"/>
    <w:rsid w:val="00B04F78"/>
    <w:rsid w:val="00B10CBC"/>
    <w:rsid w:val="00B11844"/>
    <w:rsid w:val="00B13EDF"/>
    <w:rsid w:val="00B147BD"/>
    <w:rsid w:val="00B14994"/>
    <w:rsid w:val="00B21245"/>
    <w:rsid w:val="00B21268"/>
    <w:rsid w:val="00B21C0A"/>
    <w:rsid w:val="00B2353F"/>
    <w:rsid w:val="00B248FC"/>
    <w:rsid w:val="00B252FE"/>
    <w:rsid w:val="00B25A99"/>
    <w:rsid w:val="00B30C7C"/>
    <w:rsid w:val="00B33A01"/>
    <w:rsid w:val="00B34568"/>
    <w:rsid w:val="00B3645F"/>
    <w:rsid w:val="00B377A8"/>
    <w:rsid w:val="00B40720"/>
    <w:rsid w:val="00B42309"/>
    <w:rsid w:val="00B4256F"/>
    <w:rsid w:val="00B425C5"/>
    <w:rsid w:val="00B42CA9"/>
    <w:rsid w:val="00B431E7"/>
    <w:rsid w:val="00B43292"/>
    <w:rsid w:val="00B437DB"/>
    <w:rsid w:val="00B447DC"/>
    <w:rsid w:val="00B45302"/>
    <w:rsid w:val="00B45751"/>
    <w:rsid w:val="00B46F9E"/>
    <w:rsid w:val="00B4728C"/>
    <w:rsid w:val="00B4763B"/>
    <w:rsid w:val="00B4766F"/>
    <w:rsid w:val="00B51E93"/>
    <w:rsid w:val="00B520DF"/>
    <w:rsid w:val="00B54552"/>
    <w:rsid w:val="00B5511B"/>
    <w:rsid w:val="00B55DAF"/>
    <w:rsid w:val="00B5669B"/>
    <w:rsid w:val="00B56D47"/>
    <w:rsid w:val="00B56D8F"/>
    <w:rsid w:val="00B61BD5"/>
    <w:rsid w:val="00B620B6"/>
    <w:rsid w:val="00B62D77"/>
    <w:rsid w:val="00B63732"/>
    <w:rsid w:val="00B703E7"/>
    <w:rsid w:val="00B70AC1"/>
    <w:rsid w:val="00B70D88"/>
    <w:rsid w:val="00B7134B"/>
    <w:rsid w:val="00B723DF"/>
    <w:rsid w:val="00B72C66"/>
    <w:rsid w:val="00B73761"/>
    <w:rsid w:val="00B74297"/>
    <w:rsid w:val="00B74D71"/>
    <w:rsid w:val="00B751C5"/>
    <w:rsid w:val="00B758E2"/>
    <w:rsid w:val="00B81443"/>
    <w:rsid w:val="00B8339F"/>
    <w:rsid w:val="00B83B8F"/>
    <w:rsid w:val="00B940F3"/>
    <w:rsid w:val="00B94988"/>
    <w:rsid w:val="00B95304"/>
    <w:rsid w:val="00B95B18"/>
    <w:rsid w:val="00B96585"/>
    <w:rsid w:val="00B96962"/>
    <w:rsid w:val="00B96CE5"/>
    <w:rsid w:val="00B96DF7"/>
    <w:rsid w:val="00B96E25"/>
    <w:rsid w:val="00BA0534"/>
    <w:rsid w:val="00BA0E20"/>
    <w:rsid w:val="00BA25F9"/>
    <w:rsid w:val="00BA7387"/>
    <w:rsid w:val="00BB1028"/>
    <w:rsid w:val="00BB1287"/>
    <w:rsid w:val="00BB1EC2"/>
    <w:rsid w:val="00BB3782"/>
    <w:rsid w:val="00BB4321"/>
    <w:rsid w:val="00BB4CF2"/>
    <w:rsid w:val="00BB5326"/>
    <w:rsid w:val="00BC2138"/>
    <w:rsid w:val="00BC2730"/>
    <w:rsid w:val="00BC3661"/>
    <w:rsid w:val="00BD0447"/>
    <w:rsid w:val="00BE0730"/>
    <w:rsid w:val="00BE0AEA"/>
    <w:rsid w:val="00BE1EE5"/>
    <w:rsid w:val="00BE270F"/>
    <w:rsid w:val="00BE51BA"/>
    <w:rsid w:val="00BE5509"/>
    <w:rsid w:val="00BF0ECB"/>
    <w:rsid w:val="00BF1874"/>
    <w:rsid w:val="00BF2A31"/>
    <w:rsid w:val="00BF7FE1"/>
    <w:rsid w:val="00C10B19"/>
    <w:rsid w:val="00C1126A"/>
    <w:rsid w:val="00C114CF"/>
    <w:rsid w:val="00C1497C"/>
    <w:rsid w:val="00C14D8F"/>
    <w:rsid w:val="00C16A5B"/>
    <w:rsid w:val="00C20732"/>
    <w:rsid w:val="00C23E91"/>
    <w:rsid w:val="00C254CD"/>
    <w:rsid w:val="00C30417"/>
    <w:rsid w:val="00C33FE7"/>
    <w:rsid w:val="00C34E58"/>
    <w:rsid w:val="00C352E9"/>
    <w:rsid w:val="00C35FBC"/>
    <w:rsid w:val="00C3789E"/>
    <w:rsid w:val="00C401F6"/>
    <w:rsid w:val="00C40DCF"/>
    <w:rsid w:val="00C41B5D"/>
    <w:rsid w:val="00C43149"/>
    <w:rsid w:val="00C455AE"/>
    <w:rsid w:val="00C457EF"/>
    <w:rsid w:val="00C45B58"/>
    <w:rsid w:val="00C46B87"/>
    <w:rsid w:val="00C505B6"/>
    <w:rsid w:val="00C50647"/>
    <w:rsid w:val="00C51F16"/>
    <w:rsid w:val="00C51F92"/>
    <w:rsid w:val="00C561C3"/>
    <w:rsid w:val="00C56B2F"/>
    <w:rsid w:val="00C57429"/>
    <w:rsid w:val="00C57E25"/>
    <w:rsid w:val="00C60554"/>
    <w:rsid w:val="00C60961"/>
    <w:rsid w:val="00C64738"/>
    <w:rsid w:val="00C65E60"/>
    <w:rsid w:val="00C664D9"/>
    <w:rsid w:val="00C66F3C"/>
    <w:rsid w:val="00C70FAC"/>
    <w:rsid w:val="00C730F0"/>
    <w:rsid w:val="00C76B96"/>
    <w:rsid w:val="00C817CA"/>
    <w:rsid w:val="00C820B9"/>
    <w:rsid w:val="00C84258"/>
    <w:rsid w:val="00C851E4"/>
    <w:rsid w:val="00C85EAD"/>
    <w:rsid w:val="00C86098"/>
    <w:rsid w:val="00C8626A"/>
    <w:rsid w:val="00C9019B"/>
    <w:rsid w:val="00C910EF"/>
    <w:rsid w:val="00C9134F"/>
    <w:rsid w:val="00C92238"/>
    <w:rsid w:val="00C92A3E"/>
    <w:rsid w:val="00C95F55"/>
    <w:rsid w:val="00CA0027"/>
    <w:rsid w:val="00CA4761"/>
    <w:rsid w:val="00CB0D4D"/>
    <w:rsid w:val="00CB1745"/>
    <w:rsid w:val="00CB2950"/>
    <w:rsid w:val="00CB41A8"/>
    <w:rsid w:val="00CB4750"/>
    <w:rsid w:val="00CB6BFA"/>
    <w:rsid w:val="00CB6CB7"/>
    <w:rsid w:val="00CC0A94"/>
    <w:rsid w:val="00CC1ED1"/>
    <w:rsid w:val="00CC38B3"/>
    <w:rsid w:val="00CC49ED"/>
    <w:rsid w:val="00CC4E48"/>
    <w:rsid w:val="00CC5638"/>
    <w:rsid w:val="00CD0209"/>
    <w:rsid w:val="00CD5106"/>
    <w:rsid w:val="00CD5451"/>
    <w:rsid w:val="00CD58D9"/>
    <w:rsid w:val="00CD722F"/>
    <w:rsid w:val="00CE2194"/>
    <w:rsid w:val="00CE233A"/>
    <w:rsid w:val="00CE241B"/>
    <w:rsid w:val="00CE347B"/>
    <w:rsid w:val="00CE34D5"/>
    <w:rsid w:val="00CE3A02"/>
    <w:rsid w:val="00CE5B20"/>
    <w:rsid w:val="00CE73E5"/>
    <w:rsid w:val="00CF0C5C"/>
    <w:rsid w:val="00CF122B"/>
    <w:rsid w:val="00CF1474"/>
    <w:rsid w:val="00CF15A9"/>
    <w:rsid w:val="00CF301E"/>
    <w:rsid w:val="00CF3BEB"/>
    <w:rsid w:val="00CF4B40"/>
    <w:rsid w:val="00CF5508"/>
    <w:rsid w:val="00CF6505"/>
    <w:rsid w:val="00CF6533"/>
    <w:rsid w:val="00CF6AF6"/>
    <w:rsid w:val="00CF7049"/>
    <w:rsid w:val="00D0032E"/>
    <w:rsid w:val="00D01214"/>
    <w:rsid w:val="00D01DC6"/>
    <w:rsid w:val="00D0225C"/>
    <w:rsid w:val="00D02C73"/>
    <w:rsid w:val="00D07B23"/>
    <w:rsid w:val="00D07DA9"/>
    <w:rsid w:val="00D10B80"/>
    <w:rsid w:val="00D10BFC"/>
    <w:rsid w:val="00D1101E"/>
    <w:rsid w:val="00D12616"/>
    <w:rsid w:val="00D127E6"/>
    <w:rsid w:val="00D12880"/>
    <w:rsid w:val="00D134CD"/>
    <w:rsid w:val="00D14828"/>
    <w:rsid w:val="00D16006"/>
    <w:rsid w:val="00D171BC"/>
    <w:rsid w:val="00D20A13"/>
    <w:rsid w:val="00D21908"/>
    <w:rsid w:val="00D22336"/>
    <w:rsid w:val="00D24CBA"/>
    <w:rsid w:val="00D26A95"/>
    <w:rsid w:val="00D2760F"/>
    <w:rsid w:val="00D277BB"/>
    <w:rsid w:val="00D318CF"/>
    <w:rsid w:val="00D32B41"/>
    <w:rsid w:val="00D34CB4"/>
    <w:rsid w:val="00D35CCA"/>
    <w:rsid w:val="00D35DB6"/>
    <w:rsid w:val="00D42A09"/>
    <w:rsid w:val="00D42D4C"/>
    <w:rsid w:val="00D43800"/>
    <w:rsid w:val="00D439F5"/>
    <w:rsid w:val="00D44361"/>
    <w:rsid w:val="00D44F11"/>
    <w:rsid w:val="00D4573D"/>
    <w:rsid w:val="00D45B1C"/>
    <w:rsid w:val="00D4768A"/>
    <w:rsid w:val="00D5341A"/>
    <w:rsid w:val="00D54047"/>
    <w:rsid w:val="00D54074"/>
    <w:rsid w:val="00D57331"/>
    <w:rsid w:val="00D61479"/>
    <w:rsid w:val="00D620AF"/>
    <w:rsid w:val="00D63366"/>
    <w:rsid w:val="00D64E36"/>
    <w:rsid w:val="00D66512"/>
    <w:rsid w:val="00D66642"/>
    <w:rsid w:val="00D709B0"/>
    <w:rsid w:val="00D71947"/>
    <w:rsid w:val="00D7241B"/>
    <w:rsid w:val="00D72BD4"/>
    <w:rsid w:val="00D73029"/>
    <w:rsid w:val="00D736A3"/>
    <w:rsid w:val="00D7739B"/>
    <w:rsid w:val="00D77A8B"/>
    <w:rsid w:val="00D81CB6"/>
    <w:rsid w:val="00D83777"/>
    <w:rsid w:val="00D85004"/>
    <w:rsid w:val="00D87873"/>
    <w:rsid w:val="00D909EC"/>
    <w:rsid w:val="00D92C75"/>
    <w:rsid w:val="00D959B0"/>
    <w:rsid w:val="00DA1FD3"/>
    <w:rsid w:val="00DA3B53"/>
    <w:rsid w:val="00DA43C6"/>
    <w:rsid w:val="00DA5368"/>
    <w:rsid w:val="00DA59ED"/>
    <w:rsid w:val="00DA79C3"/>
    <w:rsid w:val="00DA7F97"/>
    <w:rsid w:val="00DB0FB7"/>
    <w:rsid w:val="00DB24A5"/>
    <w:rsid w:val="00DB2CBD"/>
    <w:rsid w:val="00DB36BA"/>
    <w:rsid w:val="00DB390D"/>
    <w:rsid w:val="00DB48B4"/>
    <w:rsid w:val="00DB7FF0"/>
    <w:rsid w:val="00DC0243"/>
    <w:rsid w:val="00DC14B3"/>
    <w:rsid w:val="00DC1B7F"/>
    <w:rsid w:val="00DC2CD1"/>
    <w:rsid w:val="00DC5CA0"/>
    <w:rsid w:val="00DC5DE4"/>
    <w:rsid w:val="00DC6103"/>
    <w:rsid w:val="00DD16E4"/>
    <w:rsid w:val="00DD17F6"/>
    <w:rsid w:val="00DD1EE0"/>
    <w:rsid w:val="00DD3E72"/>
    <w:rsid w:val="00DD3F05"/>
    <w:rsid w:val="00DD57EB"/>
    <w:rsid w:val="00DD5DD7"/>
    <w:rsid w:val="00DE0280"/>
    <w:rsid w:val="00DE21F6"/>
    <w:rsid w:val="00DE3D94"/>
    <w:rsid w:val="00DE5E18"/>
    <w:rsid w:val="00DE6EF9"/>
    <w:rsid w:val="00DE74F1"/>
    <w:rsid w:val="00DF074F"/>
    <w:rsid w:val="00DF0E16"/>
    <w:rsid w:val="00DF1DEE"/>
    <w:rsid w:val="00DF2A7C"/>
    <w:rsid w:val="00DF38D2"/>
    <w:rsid w:val="00DF63A6"/>
    <w:rsid w:val="00E00CE2"/>
    <w:rsid w:val="00E0145F"/>
    <w:rsid w:val="00E021E1"/>
    <w:rsid w:val="00E04734"/>
    <w:rsid w:val="00E05127"/>
    <w:rsid w:val="00E05BA7"/>
    <w:rsid w:val="00E06304"/>
    <w:rsid w:val="00E113E1"/>
    <w:rsid w:val="00E11CD6"/>
    <w:rsid w:val="00E123F3"/>
    <w:rsid w:val="00E12646"/>
    <w:rsid w:val="00E12F25"/>
    <w:rsid w:val="00E14D0C"/>
    <w:rsid w:val="00E17205"/>
    <w:rsid w:val="00E17B08"/>
    <w:rsid w:val="00E20AB6"/>
    <w:rsid w:val="00E24B35"/>
    <w:rsid w:val="00E25DCB"/>
    <w:rsid w:val="00E261CE"/>
    <w:rsid w:val="00E267F3"/>
    <w:rsid w:val="00E270DF"/>
    <w:rsid w:val="00E316E3"/>
    <w:rsid w:val="00E35D83"/>
    <w:rsid w:val="00E35F98"/>
    <w:rsid w:val="00E376A7"/>
    <w:rsid w:val="00E42662"/>
    <w:rsid w:val="00E43D1D"/>
    <w:rsid w:val="00E479F6"/>
    <w:rsid w:val="00E506E4"/>
    <w:rsid w:val="00E5134F"/>
    <w:rsid w:val="00E51996"/>
    <w:rsid w:val="00E5285F"/>
    <w:rsid w:val="00E53A05"/>
    <w:rsid w:val="00E542F7"/>
    <w:rsid w:val="00E560DB"/>
    <w:rsid w:val="00E64597"/>
    <w:rsid w:val="00E65431"/>
    <w:rsid w:val="00E66111"/>
    <w:rsid w:val="00E66A02"/>
    <w:rsid w:val="00E673AC"/>
    <w:rsid w:val="00E72093"/>
    <w:rsid w:val="00E755A7"/>
    <w:rsid w:val="00E77037"/>
    <w:rsid w:val="00E7753C"/>
    <w:rsid w:val="00E80CF8"/>
    <w:rsid w:val="00E8271A"/>
    <w:rsid w:val="00E835BD"/>
    <w:rsid w:val="00E835E1"/>
    <w:rsid w:val="00E839D2"/>
    <w:rsid w:val="00E83C6F"/>
    <w:rsid w:val="00E87240"/>
    <w:rsid w:val="00E87B25"/>
    <w:rsid w:val="00E9000B"/>
    <w:rsid w:val="00E93ADD"/>
    <w:rsid w:val="00E94D9D"/>
    <w:rsid w:val="00E95E15"/>
    <w:rsid w:val="00E9615A"/>
    <w:rsid w:val="00E96E7B"/>
    <w:rsid w:val="00EA30EF"/>
    <w:rsid w:val="00EA3AAE"/>
    <w:rsid w:val="00EB25D2"/>
    <w:rsid w:val="00EB4409"/>
    <w:rsid w:val="00EB788A"/>
    <w:rsid w:val="00EC0D87"/>
    <w:rsid w:val="00EC0E44"/>
    <w:rsid w:val="00EC1D10"/>
    <w:rsid w:val="00EC3530"/>
    <w:rsid w:val="00EC7661"/>
    <w:rsid w:val="00ED0EAD"/>
    <w:rsid w:val="00ED26DE"/>
    <w:rsid w:val="00ED2DE7"/>
    <w:rsid w:val="00ED4058"/>
    <w:rsid w:val="00ED66B6"/>
    <w:rsid w:val="00ED6CCA"/>
    <w:rsid w:val="00ED764A"/>
    <w:rsid w:val="00EE1EC0"/>
    <w:rsid w:val="00EE2056"/>
    <w:rsid w:val="00EE2209"/>
    <w:rsid w:val="00EE3363"/>
    <w:rsid w:val="00EE6178"/>
    <w:rsid w:val="00EF081B"/>
    <w:rsid w:val="00EF3B47"/>
    <w:rsid w:val="00EF4B9E"/>
    <w:rsid w:val="00EF6A3F"/>
    <w:rsid w:val="00EF71A2"/>
    <w:rsid w:val="00F00030"/>
    <w:rsid w:val="00F02281"/>
    <w:rsid w:val="00F02A83"/>
    <w:rsid w:val="00F03666"/>
    <w:rsid w:val="00F056A4"/>
    <w:rsid w:val="00F10A40"/>
    <w:rsid w:val="00F115BE"/>
    <w:rsid w:val="00F136FB"/>
    <w:rsid w:val="00F16A7D"/>
    <w:rsid w:val="00F16ABA"/>
    <w:rsid w:val="00F1787D"/>
    <w:rsid w:val="00F17D56"/>
    <w:rsid w:val="00F20EB3"/>
    <w:rsid w:val="00F21A64"/>
    <w:rsid w:val="00F21B1F"/>
    <w:rsid w:val="00F21BA4"/>
    <w:rsid w:val="00F21D9F"/>
    <w:rsid w:val="00F24024"/>
    <w:rsid w:val="00F30995"/>
    <w:rsid w:val="00F30DBF"/>
    <w:rsid w:val="00F34196"/>
    <w:rsid w:val="00F35598"/>
    <w:rsid w:val="00F35C75"/>
    <w:rsid w:val="00F365AD"/>
    <w:rsid w:val="00F36B71"/>
    <w:rsid w:val="00F36D94"/>
    <w:rsid w:val="00F41843"/>
    <w:rsid w:val="00F42451"/>
    <w:rsid w:val="00F43C8C"/>
    <w:rsid w:val="00F443FD"/>
    <w:rsid w:val="00F5168A"/>
    <w:rsid w:val="00F5578A"/>
    <w:rsid w:val="00F56FB0"/>
    <w:rsid w:val="00F6063A"/>
    <w:rsid w:val="00F627B6"/>
    <w:rsid w:val="00F6358E"/>
    <w:rsid w:val="00F65D7E"/>
    <w:rsid w:val="00F674B4"/>
    <w:rsid w:val="00F704BB"/>
    <w:rsid w:val="00F711F9"/>
    <w:rsid w:val="00F71E02"/>
    <w:rsid w:val="00F71EB6"/>
    <w:rsid w:val="00F71FE9"/>
    <w:rsid w:val="00F75CCC"/>
    <w:rsid w:val="00F8574A"/>
    <w:rsid w:val="00F87DFE"/>
    <w:rsid w:val="00F922CD"/>
    <w:rsid w:val="00F9369B"/>
    <w:rsid w:val="00F93926"/>
    <w:rsid w:val="00F94DAA"/>
    <w:rsid w:val="00F96C9C"/>
    <w:rsid w:val="00FA137D"/>
    <w:rsid w:val="00FA6724"/>
    <w:rsid w:val="00FA76C6"/>
    <w:rsid w:val="00FB2E54"/>
    <w:rsid w:val="00FB38DA"/>
    <w:rsid w:val="00FB4A16"/>
    <w:rsid w:val="00FB6B82"/>
    <w:rsid w:val="00FB735D"/>
    <w:rsid w:val="00FC08FF"/>
    <w:rsid w:val="00FC1FD8"/>
    <w:rsid w:val="00FC60C1"/>
    <w:rsid w:val="00FC632F"/>
    <w:rsid w:val="00FC65BA"/>
    <w:rsid w:val="00FC7715"/>
    <w:rsid w:val="00FD30E9"/>
    <w:rsid w:val="00FD36C3"/>
    <w:rsid w:val="00FE1A1C"/>
    <w:rsid w:val="00FE2701"/>
    <w:rsid w:val="00FE3214"/>
    <w:rsid w:val="00FE40D7"/>
    <w:rsid w:val="00FE4712"/>
    <w:rsid w:val="00FE4A8B"/>
    <w:rsid w:val="00FE4AF3"/>
    <w:rsid w:val="00FE5CC8"/>
    <w:rsid w:val="00FE67E0"/>
    <w:rsid w:val="00FE77C5"/>
    <w:rsid w:val="00FF0A6C"/>
    <w:rsid w:val="00FF0EB0"/>
    <w:rsid w:val="00FF23F1"/>
    <w:rsid w:val="00FF3525"/>
    <w:rsid w:val="00FF3F77"/>
    <w:rsid w:val="00FF571D"/>
    <w:rsid w:val="00FF75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18"/>
    <w:pPr>
      <w:spacing w:after="0" w:line="288" w:lineRule="auto"/>
    </w:pPr>
    <w:rPr>
      <w:rFonts w:ascii="Century Schoolbook" w:eastAsia="Calibri" w:hAnsi="Century Schoolbook" w:cs="Times New Roman"/>
      <w:kern w:val="0"/>
      <w:sz w:val="26"/>
      <w14:ligatures w14:val="none"/>
    </w:rPr>
  </w:style>
  <w:style w:type="paragraph" w:styleId="Heading1">
    <w:name w:val="heading 1"/>
    <w:basedOn w:val="Normal"/>
    <w:next w:val="Normal"/>
    <w:link w:val="Heading1Char"/>
    <w:uiPriority w:val="9"/>
    <w:qFormat/>
    <w:rsid w:val="00435256"/>
    <w:pPr>
      <w:keepNext/>
      <w:spacing w:before="240" w:after="60"/>
      <w:jc w:val="center"/>
      <w:outlineLvl w:val="0"/>
    </w:pPr>
    <w:rPr>
      <w:rFonts w:eastAsia="Times New Roman"/>
      <w:b/>
      <w:bCs/>
      <w:caps/>
      <w:kern w:val="32"/>
      <w:szCs w:val="32"/>
      <w:lang w:val="x-none" w:eastAsia="x-none"/>
      <w14:ligatures w14:val="standardContextual"/>
    </w:rPr>
  </w:style>
  <w:style w:type="paragraph" w:styleId="Heading2">
    <w:name w:val="heading 2"/>
    <w:basedOn w:val="Normal"/>
    <w:next w:val="Normal"/>
    <w:link w:val="Heading2Char"/>
    <w:uiPriority w:val="9"/>
    <w:unhideWhenUsed/>
    <w:qFormat/>
    <w:rsid w:val="00435256"/>
    <w:pPr>
      <w:keepNext/>
      <w:keepLines/>
      <w:spacing w:before="40" w:line="360" w:lineRule="auto"/>
      <w:outlineLvl w:val="1"/>
    </w:pPr>
    <w:rPr>
      <w:rFonts w:eastAsiaTheme="majorEastAsia" w:cstheme="majorBidi"/>
      <w:i/>
      <w:kern w:val="2"/>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256"/>
    <w:rPr>
      <w:rFonts w:ascii="Century Schoolbook" w:hAnsi="Century Schoolbook" w:eastAsiaTheme="majorEastAsia" w:cstheme="majorBidi"/>
      <w:i/>
      <w:sz w:val="26"/>
      <w:szCs w:val="26"/>
    </w:rPr>
  </w:style>
  <w:style w:type="character" w:customStyle="1" w:styleId="Heading1Char">
    <w:name w:val="Heading 1 Char"/>
    <w:basedOn w:val="DefaultParagraphFont"/>
    <w:link w:val="Heading1"/>
    <w:uiPriority w:val="9"/>
    <w:rsid w:val="00435256"/>
    <w:rPr>
      <w:rFonts w:ascii="Century Schoolbook" w:eastAsia="Times New Roman" w:hAnsi="Century Schoolbook" w:cs="Times New Roman"/>
      <w:b/>
      <w:bCs/>
      <w:caps/>
      <w:kern w:val="32"/>
      <w:sz w:val="26"/>
      <w:szCs w:val="32"/>
      <w:lang w:val="x-none" w:eastAsia="x-none"/>
    </w:rPr>
  </w:style>
  <w:style w:type="paragraph" w:styleId="FootnoteText">
    <w:name w:val="footnote text"/>
    <w:basedOn w:val="Normal"/>
    <w:link w:val="FootnoteTextChar"/>
    <w:uiPriority w:val="99"/>
    <w:unhideWhenUsed/>
    <w:rsid w:val="00DE5E18"/>
    <w:pPr>
      <w:spacing w:line="240" w:lineRule="auto"/>
    </w:pPr>
    <w:rPr>
      <w:sz w:val="20"/>
      <w:szCs w:val="20"/>
    </w:rPr>
  </w:style>
  <w:style w:type="character" w:customStyle="1" w:styleId="FootnoteTextChar">
    <w:name w:val="Footnote Text Char"/>
    <w:basedOn w:val="DefaultParagraphFont"/>
    <w:link w:val="FootnoteText"/>
    <w:uiPriority w:val="99"/>
    <w:rsid w:val="00DE5E18"/>
    <w:rPr>
      <w:rFonts w:ascii="Century Schoolbook" w:eastAsia="Calibri" w:hAnsi="Century Schoolbook" w:cs="Times New Roman"/>
      <w:kern w:val="0"/>
      <w:sz w:val="20"/>
      <w:szCs w:val="20"/>
      <w14:ligatures w14:val="none"/>
    </w:rPr>
  </w:style>
  <w:style w:type="character" w:styleId="FootnoteReference">
    <w:name w:val="footnote reference"/>
    <w:basedOn w:val="DefaultParagraphFont"/>
    <w:uiPriority w:val="99"/>
    <w:semiHidden/>
    <w:unhideWhenUsed/>
    <w:rsid w:val="00DE5E18"/>
    <w:rPr>
      <w:vertAlign w:val="superscript"/>
    </w:rPr>
  </w:style>
  <w:style w:type="character" w:styleId="PageNumber">
    <w:name w:val="page number"/>
    <w:basedOn w:val="DefaultParagraphFont"/>
    <w:semiHidden/>
    <w:unhideWhenUsed/>
    <w:rsid w:val="00DE5E18"/>
    <w:rPr>
      <w:rFonts w:ascii="Courier New" w:hAnsi="Courier New" w:cs="Courier New" w:hint="default"/>
      <w:sz w:val="24"/>
    </w:rPr>
  </w:style>
  <w:style w:type="character" w:styleId="Hyperlink">
    <w:name w:val="Hyperlink"/>
    <w:basedOn w:val="DefaultParagraphFont"/>
    <w:uiPriority w:val="99"/>
    <w:semiHidden/>
    <w:unhideWhenUsed/>
    <w:rsid w:val="007D2370"/>
    <w:rPr>
      <w:color w:val="0000FF"/>
      <w:u w:val="single"/>
    </w:rPr>
  </w:style>
  <w:style w:type="paragraph" w:styleId="ListParagraph">
    <w:name w:val="List Paragraph"/>
    <w:basedOn w:val="Normal"/>
    <w:uiPriority w:val="34"/>
    <w:qFormat/>
    <w:rsid w:val="00FE40D7"/>
    <w:pPr>
      <w:ind w:left="720"/>
      <w:contextualSpacing/>
    </w:pPr>
  </w:style>
  <w:style w:type="character" w:styleId="CommentReference">
    <w:name w:val="annotation reference"/>
    <w:basedOn w:val="DefaultParagraphFont"/>
    <w:uiPriority w:val="99"/>
    <w:semiHidden/>
    <w:unhideWhenUsed/>
    <w:rsid w:val="00A23BF5"/>
    <w:rPr>
      <w:sz w:val="16"/>
      <w:szCs w:val="16"/>
    </w:rPr>
  </w:style>
  <w:style w:type="paragraph" w:styleId="CommentText">
    <w:name w:val="annotation text"/>
    <w:basedOn w:val="Normal"/>
    <w:link w:val="CommentTextChar"/>
    <w:uiPriority w:val="99"/>
    <w:unhideWhenUsed/>
    <w:rsid w:val="00A23BF5"/>
    <w:pPr>
      <w:spacing w:line="240" w:lineRule="auto"/>
    </w:pPr>
    <w:rPr>
      <w:sz w:val="20"/>
      <w:szCs w:val="20"/>
    </w:rPr>
  </w:style>
  <w:style w:type="character" w:customStyle="1" w:styleId="CommentTextChar">
    <w:name w:val="Comment Text Char"/>
    <w:basedOn w:val="DefaultParagraphFont"/>
    <w:link w:val="CommentText"/>
    <w:uiPriority w:val="99"/>
    <w:rsid w:val="00A23BF5"/>
    <w:rPr>
      <w:rFonts w:ascii="Century Schoolbook" w:eastAsia="Calibri"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23BF5"/>
    <w:rPr>
      <w:b/>
      <w:bCs/>
    </w:rPr>
  </w:style>
  <w:style w:type="character" w:customStyle="1" w:styleId="CommentSubjectChar">
    <w:name w:val="Comment Subject Char"/>
    <w:basedOn w:val="CommentTextChar"/>
    <w:link w:val="CommentSubject"/>
    <w:uiPriority w:val="99"/>
    <w:semiHidden/>
    <w:rsid w:val="00A23BF5"/>
    <w:rPr>
      <w:rFonts w:ascii="Century Schoolbook" w:eastAsia="Calibri" w:hAnsi="Century Schoolbook" w:cs="Times New Roman"/>
      <w:b/>
      <w:bCs/>
      <w:kern w:val="0"/>
      <w:sz w:val="20"/>
      <w:szCs w:val="20"/>
      <w14:ligatures w14:val="none"/>
    </w:rPr>
  </w:style>
  <w:style w:type="character" w:customStyle="1" w:styleId="coconcept3341">
    <w:name w:val="co_concept_33_41"/>
    <w:basedOn w:val="DefaultParagraphFont"/>
    <w:rsid w:val="00430D80"/>
  </w:style>
  <w:style w:type="character" w:styleId="Emphasis">
    <w:name w:val="Emphasis"/>
    <w:basedOn w:val="DefaultParagraphFont"/>
    <w:uiPriority w:val="20"/>
    <w:qFormat/>
    <w:rsid w:val="00292C41"/>
    <w:rPr>
      <w:i/>
      <w:iCs/>
    </w:rPr>
  </w:style>
  <w:style w:type="character" w:customStyle="1" w:styleId="costarpage">
    <w:name w:val="co_starpage"/>
    <w:basedOn w:val="DefaultParagraphFont"/>
    <w:rsid w:val="00CD0209"/>
  </w:style>
  <w:style w:type="paragraph" w:styleId="Header">
    <w:name w:val="header"/>
    <w:basedOn w:val="Normal"/>
    <w:link w:val="HeaderChar"/>
    <w:uiPriority w:val="99"/>
    <w:unhideWhenUsed/>
    <w:rsid w:val="00214BBA"/>
    <w:pPr>
      <w:tabs>
        <w:tab w:val="center" w:pos="4680"/>
        <w:tab w:val="right" w:pos="9360"/>
      </w:tabs>
      <w:spacing w:line="240" w:lineRule="auto"/>
    </w:pPr>
  </w:style>
  <w:style w:type="character" w:customStyle="1" w:styleId="HeaderChar">
    <w:name w:val="Header Char"/>
    <w:basedOn w:val="DefaultParagraphFont"/>
    <w:link w:val="Header"/>
    <w:uiPriority w:val="99"/>
    <w:rsid w:val="00214BBA"/>
    <w:rPr>
      <w:rFonts w:ascii="Century Schoolbook" w:eastAsia="Calibri" w:hAnsi="Century Schoolbook" w:cs="Times New Roman"/>
      <w:kern w:val="0"/>
      <w:sz w:val="26"/>
      <w14:ligatures w14:val="none"/>
    </w:rPr>
  </w:style>
  <w:style w:type="paragraph" w:styleId="Footer">
    <w:name w:val="footer"/>
    <w:basedOn w:val="Normal"/>
    <w:link w:val="FooterChar"/>
    <w:uiPriority w:val="99"/>
    <w:unhideWhenUsed/>
    <w:rsid w:val="00214BBA"/>
    <w:pPr>
      <w:tabs>
        <w:tab w:val="center" w:pos="4680"/>
        <w:tab w:val="right" w:pos="9360"/>
      </w:tabs>
      <w:spacing w:line="240" w:lineRule="auto"/>
    </w:pPr>
  </w:style>
  <w:style w:type="character" w:customStyle="1" w:styleId="FooterChar">
    <w:name w:val="Footer Char"/>
    <w:basedOn w:val="DefaultParagraphFont"/>
    <w:link w:val="Footer"/>
    <w:uiPriority w:val="99"/>
    <w:rsid w:val="00214BBA"/>
    <w:rPr>
      <w:rFonts w:ascii="Century Schoolbook" w:eastAsia="Calibri" w:hAnsi="Century Schoolbook" w:cs="Times New Roman"/>
      <w:kern w:val="0"/>
      <w:sz w:val="26"/>
      <w14:ligatures w14:val="none"/>
    </w:rPr>
  </w:style>
  <w:style w:type="paragraph" w:styleId="BalloonText">
    <w:name w:val="Balloon Text"/>
    <w:basedOn w:val="Normal"/>
    <w:link w:val="BalloonTextChar"/>
    <w:uiPriority w:val="99"/>
    <w:semiHidden/>
    <w:unhideWhenUsed/>
    <w:rsid w:val="00891A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AFF"/>
    <w:rPr>
      <w:rFonts w:ascii="Segoe UI" w:eastAsia="Calibri" w:hAnsi="Segoe UI" w:cs="Segoe UI"/>
      <w:kern w:val="0"/>
      <w:sz w:val="18"/>
      <w:szCs w:val="18"/>
      <w14:ligatures w14:val="none"/>
    </w:rPr>
  </w:style>
  <w:style w:type="paragraph" w:styleId="Revision">
    <w:name w:val="Revision"/>
    <w:hidden/>
    <w:uiPriority w:val="99"/>
    <w:semiHidden/>
    <w:rsid w:val="0086703A"/>
    <w:pPr>
      <w:spacing w:after="0" w:line="240" w:lineRule="auto"/>
    </w:pPr>
    <w:rPr>
      <w:rFonts w:ascii="Century Schoolbook" w:eastAsia="Calibri" w:hAnsi="Century Schoolbook" w:cs="Times New Roman"/>
      <w:kern w:val="0"/>
      <w:sz w:val="26"/>
      <w14:ligatures w14:val="none"/>
    </w:rPr>
  </w:style>
  <w:style w:type="character" w:customStyle="1" w:styleId="coconcept3547">
    <w:name w:val="co_concept_35_47"/>
    <w:basedOn w:val="DefaultParagraphFont"/>
    <w:rsid w:val="0009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CC19-1864-4F95-BF07-25396145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2024-01-18T20:40:12Z</dcterms:created>
  <dcterms:modified xsi:type="dcterms:W3CDTF">2024-01-18T20:40:12Z</dcterms:modified>
</cp:coreProperties>
</file>