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136C9" w14:textId="6D631EBF" w:rsidR="00683D27" w:rsidRPr="00E91E95" w:rsidRDefault="004C647A" w:rsidP="004E11C2">
      <w:pPr>
        <w:spacing w:line="240" w:lineRule="auto"/>
        <w:rPr>
          <w:sz w:val="20"/>
        </w:rPr>
      </w:pPr>
      <w:bookmarkStart w:id="0" w:name="_Hlk37928941"/>
      <w:r>
        <w:rPr>
          <w:sz w:val="20"/>
        </w:rPr>
        <w:t>Filed 5/1/24</w:t>
      </w:r>
    </w:p>
    <w:p w14:paraId="29575377" w14:textId="46E73647" w:rsidR="00683D27" w:rsidRDefault="00957B98" w:rsidP="00957B98">
      <w:pPr>
        <w:spacing w:line="240" w:lineRule="auto"/>
        <w:jc w:val="center"/>
        <w:rPr>
          <w:b/>
        </w:rPr>
      </w:pPr>
      <w:r>
        <w:rPr>
          <w:b/>
        </w:rPr>
        <w:t>CERTIFIED FOR PUBLICATION</w:t>
      </w:r>
    </w:p>
    <w:p w14:paraId="162498BA" w14:textId="77777777" w:rsidR="00957B98" w:rsidRPr="00957B98" w:rsidRDefault="00957B98" w:rsidP="00957B98">
      <w:pPr>
        <w:spacing w:line="240" w:lineRule="auto"/>
      </w:pPr>
    </w:p>
    <w:p w14:paraId="1629C5BD" w14:textId="77777777" w:rsidR="00683D27" w:rsidRPr="00D85905" w:rsidRDefault="00683D27" w:rsidP="003A5E38">
      <w:pPr>
        <w:spacing w:line="240" w:lineRule="auto"/>
        <w:jc w:val="center"/>
      </w:pPr>
      <w:r w:rsidRPr="00D85905">
        <w:t>IN THE COURT OF APPEAL OF THE STATE OF CALIFORNIA</w:t>
      </w:r>
    </w:p>
    <w:p w14:paraId="5B939E67" w14:textId="77777777" w:rsidR="00683D27" w:rsidRPr="00D85905" w:rsidRDefault="00683D27" w:rsidP="003A5E38">
      <w:pPr>
        <w:spacing w:line="240" w:lineRule="auto"/>
        <w:jc w:val="center"/>
      </w:pPr>
    </w:p>
    <w:p w14:paraId="4930BED8" w14:textId="77777777" w:rsidR="00683D27" w:rsidRPr="00D85905" w:rsidRDefault="00683D27" w:rsidP="003A5E38">
      <w:pPr>
        <w:spacing w:line="240" w:lineRule="auto"/>
        <w:jc w:val="center"/>
      </w:pPr>
      <w:r w:rsidRPr="00D85905">
        <w:t>SECOND APPELLATE DISTRICT</w:t>
      </w:r>
    </w:p>
    <w:p w14:paraId="6E162DBF" w14:textId="77777777" w:rsidR="00683D27" w:rsidRPr="00D85905" w:rsidRDefault="00683D27" w:rsidP="003A5E38">
      <w:pPr>
        <w:spacing w:line="240" w:lineRule="auto"/>
        <w:jc w:val="center"/>
      </w:pPr>
    </w:p>
    <w:p w14:paraId="63E5EAF3" w14:textId="77777777" w:rsidR="00683D27" w:rsidRPr="00D85905" w:rsidRDefault="00683D27" w:rsidP="003A5E38">
      <w:pPr>
        <w:spacing w:line="240" w:lineRule="auto"/>
        <w:jc w:val="center"/>
      </w:pPr>
      <w:r w:rsidRPr="00D85905">
        <w:t>DIVISION SEVEN</w:t>
      </w:r>
    </w:p>
    <w:p w14:paraId="06736225" w14:textId="77777777" w:rsidR="00683D27" w:rsidRPr="00D85905" w:rsidRDefault="00683D27" w:rsidP="003A5E38">
      <w:pPr>
        <w:spacing w:line="240" w:lineRule="auto"/>
        <w:jc w:val="center"/>
      </w:pPr>
    </w:p>
    <w:p w14:paraId="1388CE35" w14:textId="77777777" w:rsidR="00683D27" w:rsidRPr="00D85905" w:rsidRDefault="00683D27" w:rsidP="003A5E38">
      <w:pPr>
        <w:spacing w:line="240" w:lineRule="auto"/>
        <w:jc w:val="center"/>
      </w:pPr>
    </w:p>
    <w:tbl>
      <w:tblPr>
        <w:tblW w:w="5000" w:type="pct"/>
        <w:tblCellMar>
          <w:left w:w="0" w:type="dxa"/>
          <w:right w:w="0" w:type="dxa"/>
        </w:tblCellMar>
        <w:tblLook w:val="0000" w:firstRow="0" w:lastRow="0" w:firstColumn="0" w:lastColumn="0" w:noHBand="0" w:noVBand="0"/>
      </w:tblPr>
      <w:tblGrid>
        <w:gridCol w:w="3960"/>
        <w:gridCol w:w="3960"/>
      </w:tblGrid>
      <w:tr w:rsidR="00683D27" w:rsidRPr="00D85905" w14:paraId="6E386E49" w14:textId="77777777" w:rsidTr="000B3B39">
        <w:tc>
          <w:tcPr>
            <w:tcW w:w="2500" w:type="pct"/>
            <w:tcBorders>
              <w:bottom w:val="single" w:sz="4" w:space="0" w:color="auto"/>
              <w:right w:val="single" w:sz="4" w:space="0" w:color="auto"/>
            </w:tcBorders>
            <w:shd w:val="clear" w:color="auto" w:fill="auto"/>
          </w:tcPr>
          <w:p w14:paraId="025B738A" w14:textId="77777777" w:rsidR="00683D27" w:rsidRPr="00D85905" w:rsidRDefault="00683D27" w:rsidP="003A5E38">
            <w:pPr>
              <w:spacing w:line="240" w:lineRule="auto"/>
            </w:pPr>
            <w:r w:rsidRPr="00D85905">
              <w:t>THE PEOPLE,</w:t>
            </w:r>
          </w:p>
          <w:p w14:paraId="096C3606" w14:textId="77777777" w:rsidR="00683D27" w:rsidRPr="00D85905" w:rsidRDefault="00683D27" w:rsidP="003A5E38">
            <w:pPr>
              <w:spacing w:line="240" w:lineRule="auto"/>
            </w:pPr>
          </w:p>
          <w:p w14:paraId="17614333" w14:textId="77777777" w:rsidR="00683D27" w:rsidRPr="00D85905" w:rsidRDefault="00683D27" w:rsidP="003A5E38">
            <w:pPr>
              <w:spacing w:line="240" w:lineRule="auto"/>
            </w:pPr>
            <w:r w:rsidRPr="00D85905">
              <w:tab/>
              <w:t>Plaintiff and Respondent,</w:t>
            </w:r>
          </w:p>
          <w:p w14:paraId="095BBCC9" w14:textId="77777777" w:rsidR="00683D27" w:rsidRPr="00D85905" w:rsidRDefault="00683D27" w:rsidP="003A5E38">
            <w:pPr>
              <w:spacing w:line="240" w:lineRule="auto"/>
            </w:pPr>
          </w:p>
          <w:p w14:paraId="1F661744" w14:textId="77777777" w:rsidR="00683D27" w:rsidRPr="00D85905" w:rsidRDefault="00683D27" w:rsidP="003A5E38">
            <w:pPr>
              <w:spacing w:line="240" w:lineRule="auto"/>
            </w:pPr>
            <w:r w:rsidRPr="00D85905">
              <w:tab/>
              <w:t>v.</w:t>
            </w:r>
          </w:p>
          <w:p w14:paraId="2A975C4A" w14:textId="77777777" w:rsidR="00683D27" w:rsidRPr="00D85905" w:rsidRDefault="00683D27" w:rsidP="003A5E38">
            <w:pPr>
              <w:spacing w:line="240" w:lineRule="auto"/>
            </w:pPr>
          </w:p>
          <w:p w14:paraId="0BBC5725" w14:textId="79C00987" w:rsidR="00683D27" w:rsidRPr="00D85905" w:rsidRDefault="00106480" w:rsidP="003A5E38">
            <w:pPr>
              <w:spacing w:line="240" w:lineRule="auto"/>
            </w:pPr>
            <w:r>
              <w:t>MIGUEL GARCIA</w:t>
            </w:r>
            <w:r w:rsidR="00683D27" w:rsidRPr="00D85905">
              <w:t>,</w:t>
            </w:r>
          </w:p>
          <w:p w14:paraId="5367D083" w14:textId="77777777" w:rsidR="00683D27" w:rsidRPr="00D85905" w:rsidRDefault="00683D27" w:rsidP="003A5E38">
            <w:pPr>
              <w:spacing w:line="240" w:lineRule="auto"/>
            </w:pPr>
          </w:p>
          <w:p w14:paraId="50B71E46" w14:textId="77777777" w:rsidR="00683D27" w:rsidRPr="00D85905" w:rsidRDefault="00683D27" w:rsidP="003A5E38">
            <w:pPr>
              <w:spacing w:line="240" w:lineRule="auto"/>
            </w:pPr>
            <w:r w:rsidRPr="00D85905">
              <w:tab/>
              <w:t>Defendant and Appellant.</w:t>
            </w:r>
          </w:p>
          <w:p w14:paraId="1C113C26" w14:textId="77777777" w:rsidR="00683D27" w:rsidRPr="00D85905" w:rsidRDefault="00683D27" w:rsidP="003A5E38">
            <w:pPr>
              <w:spacing w:line="240" w:lineRule="auto"/>
            </w:pPr>
          </w:p>
        </w:tc>
        <w:tc>
          <w:tcPr>
            <w:tcW w:w="2500" w:type="pct"/>
            <w:tcBorders>
              <w:left w:val="single" w:sz="4" w:space="0" w:color="auto"/>
            </w:tcBorders>
            <w:shd w:val="clear" w:color="auto" w:fill="auto"/>
          </w:tcPr>
          <w:p w14:paraId="5C3D33AD" w14:textId="76B33FE6" w:rsidR="00683D27" w:rsidRPr="00D85905" w:rsidRDefault="00683D27" w:rsidP="003A5E38">
            <w:pPr>
              <w:spacing w:line="240" w:lineRule="auto"/>
            </w:pPr>
            <w:r w:rsidRPr="00D85905">
              <w:t xml:space="preserve">      </w:t>
            </w:r>
            <w:r>
              <w:t>B3</w:t>
            </w:r>
            <w:r w:rsidR="00106480">
              <w:t>26131</w:t>
            </w:r>
          </w:p>
          <w:p w14:paraId="32F464B1" w14:textId="77777777" w:rsidR="00683D27" w:rsidRPr="00D85905" w:rsidRDefault="00683D27" w:rsidP="003A5E38">
            <w:pPr>
              <w:spacing w:line="240" w:lineRule="auto"/>
            </w:pPr>
          </w:p>
          <w:p w14:paraId="64C7A2E8" w14:textId="77777777" w:rsidR="00683D27" w:rsidRPr="00D85905" w:rsidRDefault="00683D27" w:rsidP="003A5E38">
            <w:pPr>
              <w:spacing w:line="240" w:lineRule="auto"/>
            </w:pPr>
            <w:r w:rsidRPr="00D85905">
              <w:t xml:space="preserve">      (Los Angeles County</w:t>
            </w:r>
          </w:p>
          <w:p w14:paraId="59C1787E" w14:textId="00D73952" w:rsidR="00683D27" w:rsidRPr="00D85905" w:rsidRDefault="00683D27" w:rsidP="00CD6852">
            <w:pPr>
              <w:spacing w:line="240" w:lineRule="auto"/>
            </w:pPr>
            <w:r w:rsidRPr="00D85905">
              <w:t xml:space="preserve">      Super. Ct. </w:t>
            </w:r>
            <w:r>
              <w:t>No. </w:t>
            </w:r>
            <w:r w:rsidR="00106480">
              <w:t>B</w:t>
            </w:r>
            <w:r>
              <w:t>A</w:t>
            </w:r>
            <w:r w:rsidR="00106480">
              <w:t>471405</w:t>
            </w:r>
            <w:r w:rsidRPr="00D85905">
              <w:t>)</w:t>
            </w:r>
          </w:p>
        </w:tc>
      </w:tr>
    </w:tbl>
    <w:p w14:paraId="05EBD1AC" w14:textId="77777777" w:rsidR="00683D27" w:rsidRPr="00D85905" w:rsidRDefault="00683D27" w:rsidP="003A5E38"/>
    <w:p w14:paraId="42D75D5F" w14:textId="71F04A25" w:rsidR="00683D27" w:rsidRPr="00D85905" w:rsidRDefault="00683D27" w:rsidP="003A5E38">
      <w:r w:rsidRPr="00D85905">
        <w:tab/>
        <w:t xml:space="preserve">APPEAL from </w:t>
      </w:r>
      <w:r w:rsidR="00B221A9">
        <w:t>an order</w:t>
      </w:r>
      <w:r w:rsidRPr="00D85905">
        <w:t xml:space="preserve"> of the Superior Court of Los Angeles County, </w:t>
      </w:r>
      <w:r w:rsidR="00BB2A83">
        <w:t>Lynne M. Hobbs</w:t>
      </w:r>
      <w:r w:rsidRPr="00D85905">
        <w:t>, Judge.</w:t>
      </w:r>
      <w:r>
        <w:t xml:space="preserve">  </w:t>
      </w:r>
      <w:r w:rsidR="00BB2A83">
        <w:t>Affirmed</w:t>
      </w:r>
      <w:r w:rsidR="007C7381">
        <w:t xml:space="preserve"> with directions</w:t>
      </w:r>
      <w:r>
        <w:t>.</w:t>
      </w:r>
    </w:p>
    <w:p w14:paraId="5B25CD97" w14:textId="720109F0" w:rsidR="00683D27" w:rsidRPr="00D85905" w:rsidRDefault="00683D27" w:rsidP="003A5E38">
      <w:r w:rsidRPr="00D85905">
        <w:tab/>
      </w:r>
      <w:r w:rsidR="00BB2A83">
        <w:t>Karyn H. Bucur</w:t>
      </w:r>
      <w:r>
        <w:t>, under appointment by the Court of Appeal, for Defendant and Appellant.</w:t>
      </w:r>
    </w:p>
    <w:p w14:paraId="670F0C17" w14:textId="5809328D" w:rsidR="00274E85" w:rsidRDefault="00BB2A83" w:rsidP="00274E85">
      <w:pPr>
        <w:ind w:firstLine="720"/>
        <w:rPr>
          <w:szCs w:val="26"/>
        </w:rPr>
      </w:pPr>
      <w:r>
        <w:rPr>
          <w:szCs w:val="26"/>
        </w:rPr>
        <w:t>Rob Bonta</w:t>
      </w:r>
      <w:r w:rsidRPr="00EF6B58">
        <w:rPr>
          <w:szCs w:val="26"/>
        </w:rPr>
        <w:t>, Attorney General, Lance</w:t>
      </w:r>
      <w:r>
        <w:rPr>
          <w:szCs w:val="26"/>
        </w:rPr>
        <w:t> </w:t>
      </w:r>
      <w:r w:rsidRPr="00EF6B58">
        <w:rPr>
          <w:szCs w:val="26"/>
        </w:rPr>
        <w:t xml:space="preserve">E. Winters, Chief Assistant Attorney General, Susan Sullivan Pithey, </w:t>
      </w:r>
      <w:r>
        <w:rPr>
          <w:szCs w:val="26"/>
        </w:rPr>
        <w:t xml:space="preserve">Senior </w:t>
      </w:r>
      <w:r w:rsidRPr="00EF6B58">
        <w:rPr>
          <w:szCs w:val="26"/>
        </w:rPr>
        <w:t>Assistant Attorney General,</w:t>
      </w:r>
      <w:r>
        <w:rPr>
          <w:szCs w:val="26"/>
        </w:rPr>
        <w:t xml:space="preserve"> Idan Ivri and Gabriel Bradley, Deputy Attorney</w:t>
      </w:r>
      <w:r w:rsidR="00357F89">
        <w:rPr>
          <w:szCs w:val="26"/>
        </w:rPr>
        <w:t>s</w:t>
      </w:r>
      <w:r>
        <w:rPr>
          <w:szCs w:val="26"/>
        </w:rPr>
        <w:t xml:space="preserve"> General,</w:t>
      </w:r>
      <w:r w:rsidRPr="00EF6B58">
        <w:rPr>
          <w:szCs w:val="26"/>
        </w:rPr>
        <w:t xml:space="preserve"> for Plaintiff and Respondent</w:t>
      </w:r>
      <w:r w:rsidR="00274E85" w:rsidRPr="00EF6B58">
        <w:rPr>
          <w:szCs w:val="26"/>
        </w:rPr>
        <w:t>.</w:t>
      </w:r>
    </w:p>
    <w:p w14:paraId="474FB708" w14:textId="77777777" w:rsidR="00274E85" w:rsidRDefault="00274E85" w:rsidP="00274E85">
      <w:pPr>
        <w:jc w:val="center"/>
        <w:rPr>
          <w:szCs w:val="26"/>
        </w:rPr>
      </w:pPr>
      <w:r w:rsidRPr="00EF6B58">
        <w:rPr>
          <w:szCs w:val="26"/>
        </w:rPr>
        <w:t>_______________</w:t>
      </w:r>
    </w:p>
    <w:p w14:paraId="44FD4F38" w14:textId="518CCF10" w:rsidR="005139DB" w:rsidRDefault="007C7381" w:rsidP="00C5267C">
      <w:pPr>
        <w:ind w:firstLine="720"/>
        <w:rPr>
          <w:rFonts w:cs="Calibri"/>
        </w:rPr>
      </w:pPr>
      <w:r>
        <w:rPr>
          <w:rFonts w:cs="Calibri"/>
        </w:rPr>
        <w:lastRenderedPageBreak/>
        <w:t xml:space="preserve">Miguel Garcia appeals from </w:t>
      </w:r>
      <w:r w:rsidR="003038CB">
        <w:rPr>
          <w:rFonts w:cs="Calibri"/>
        </w:rPr>
        <w:t>a</w:t>
      </w:r>
      <w:r w:rsidR="007A0B33">
        <w:rPr>
          <w:rFonts w:cs="Calibri"/>
        </w:rPr>
        <w:t>n</w:t>
      </w:r>
      <w:r w:rsidR="003038CB">
        <w:rPr>
          <w:rFonts w:cs="Calibri"/>
        </w:rPr>
        <w:t xml:space="preserve"> order after a </w:t>
      </w:r>
      <w:r w:rsidR="007A0B33">
        <w:rPr>
          <w:rFonts w:cs="Calibri"/>
        </w:rPr>
        <w:t xml:space="preserve">resentencing </w:t>
      </w:r>
      <w:r w:rsidR="003038CB">
        <w:rPr>
          <w:rFonts w:cs="Calibri"/>
        </w:rPr>
        <w:t xml:space="preserve">hearing </w:t>
      </w:r>
      <w:r w:rsidR="00C5267C">
        <w:rPr>
          <w:rFonts w:cs="Calibri"/>
        </w:rPr>
        <w:t>pursuant to</w:t>
      </w:r>
      <w:r w:rsidR="003038CB">
        <w:rPr>
          <w:rFonts w:cs="Calibri"/>
        </w:rPr>
        <w:t xml:space="preserve"> Penal Code</w:t>
      </w:r>
      <w:r w:rsidR="00EF0A8F">
        <w:rPr>
          <w:rStyle w:val="FootnoteReference"/>
          <w:rFonts w:cs="Calibri"/>
        </w:rPr>
        <w:footnoteReference w:id="2"/>
      </w:r>
      <w:r w:rsidR="003038CB">
        <w:rPr>
          <w:rFonts w:cs="Calibri"/>
        </w:rPr>
        <w:t xml:space="preserve"> section</w:t>
      </w:r>
      <w:r w:rsidR="00891F58">
        <w:rPr>
          <w:rFonts w:cs="Calibri"/>
        </w:rPr>
        <w:t> </w:t>
      </w:r>
      <w:r w:rsidR="003038CB">
        <w:rPr>
          <w:rFonts w:cs="Calibri"/>
        </w:rPr>
        <w:t>1172.75</w:t>
      </w:r>
      <w:r w:rsidR="00AA07AE">
        <w:rPr>
          <w:rFonts w:cs="Calibri"/>
        </w:rPr>
        <w:t xml:space="preserve"> (</w:t>
      </w:r>
      <w:r w:rsidR="000A2C88">
        <w:rPr>
          <w:rFonts w:cs="Calibri"/>
        </w:rPr>
        <w:t xml:space="preserve">retroactively </w:t>
      </w:r>
      <w:r w:rsidR="00AA07AE">
        <w:rPr>
          <w:rFonts w:cs="Calibri"/>
        </w:rPr>
        <w:t>invalidat</w:t>
      </w:r>
      <w:r w:rsidR="000A2C88">
        <w:rPr>
          <w:rFonts w:cs="Calibri"/>
        </w:rPr>
        <w:t>ing</w:t>
      </w:r>
      <w:r w:rsidR="00AA07AE">
        <w:rPr>
          <w:rFonts w:cs="Calibri"/>
        </w:rPr>
        <w:t xml:space="preserve"> </w:t>
      </w:r>
      <w:r w:rsidR="008A7D22">
        <w:rPr>
          <w:rFonts w:cs="Calibri"/>
        </w:rPr>
        <w:t xml:space="preserve">prior </w:t>
      </w:r>
      <w:r w:rsidR="004979D6">
        <w:rPr>
          <w:rFonts w:cs="Calibri"/>
        </w:rPr>
        <w:t xml:space="preserve">prison term </w:t>
      </w:r>
      <w:r w:rsidR="00A73316">
        <w:rPr>
          <w:rFonts w:cs="Calibri"/>
        </w:rPr>
        <w:t>sentence enhancements imposed under former section</w:t>
      </w:r>
      <w:r w:rsidR="00891F58">
        <w:rPr>
          <w:rFonts w:cs="Calibri"/>
        </w:rPr>
        <w:t> </w:t>
      </w:r>
      <w:r w:rsidR="00A73316">
        <w:rPr>
          <w:rFonts w:cs="Calibri"/>
        </w:rPr>
        <w:t>667.5</w:t>
      </w:r>
      <w:r w:rsidR="00BF0AC9">
        <w:rPr>
          <w:rFonts w:cs="Calibri"/>
        </w:rPr>
        <w:t>, subdivision</w:t>
      </w:r>
      <w:r w:rsidR="00891F58">
        <w:rPr>
          <w:rFonts w:cs="Calibri"/>
        </w:rPr>
        <w:t> </w:t>
      </w:r>
      <w:r w:rsidR="00BF0AC9">
        <w:rPr>
          <w:rFonts w:cs="Calibri"/>
        </w:rPr>
        <w:t>(b)</w:t>
      </w:r>
      <w:r w:rsidR="000A2C88">
        <w:rPr>
          <w:rFonts w:cs="Calibri"/>
        </w:rPr>
        <w:t>, other than for sexually violent offen</w:t>
      </w:r>
      <w:r w:rsidR="00C014CF">
        <w:rPr>
          <w:rFonts w:cs="Calibri"/>
        </w:rPr>
        <w:t>s</w:t>
      </w:r>
      <w:r w:rsidR="000A2C88">
        <w:rPr>
          <w:rFonts w:cs="Calibri"/>
        </w:rPr>
        <w:t>es</w:t>
      </w:r>
      <w:r w:rsidR="00A73316">
        <w:rPr>
          <w:rFonts w:cs="Calibri"/>
        </w:rPr>
        <w:t>)</w:t>
      </w:r>
      <w:r w:rsidR="003038CB">
        <w:rPr>
          <w:rFonts w:cs="Calibri"/>
        </w:rPr>
        <w:t xml:space="preserve">. </w:t>
      </w:r>
      <w:r w:rsidR="00F359EB">
        <w:rPr>
          <w:rFonts w:cs="Calibri"/>
        </w:rPr>
        <w:t xml:space="preserve"> </w:t>
      </w:r>
      <w:r w:rsidR="00683D27">
        <w:rPr>
          <w:rFonts w:cs="Calibri"/>
        </w:rPr>
        <w:t>In 20</w:t>
      </w:r>
      <w:r w:rsidR="00274E85">
        <w:rPr>
          <w:rFonts w:cs="Calibri"/>
        </w:rPr>
        <w:t>19 Garcia pleaded no contest to second degree robbery and possession of a firearm</w:t>
      </w:r>
      <w:r w:rsidR="005A2F4E">
        <w:rPr>
          <w:rFonts w:cs="Calibri"/>
        </w:rPr>
        <w:t xml:space="preserve"> by a felon</w:t>
      </w:r>
      <w:r w:rsidR="00E52024">
        <w:rPr>
          <w:rFonts w:cs="Calibri"/>
        </w:rPr>
        <w:t xml:space="preserve"> and admitted he </w:t>
      </w:r>
      <w:r w:rsidR="008807F7">
        <w:rPr>
          <w:rFonts w:cs="Calibri"/>
        </w:rPr>
        <w:t xml:space="preserve">personally and intentionally </w:t>
      </w:r>
      <w:r w:rsidR="00E52024">
        <w:rPr>
          <w:rFonts w:cs="Calibri"/>
        </w:rPr>
        <w:t>discharged a firearm</w:t>
      </w:r>
      <w:r w:rsidR="009064E6">
        <w:rPr>
          <w:rFonts w:cs="Calibri"/>
        </w:rPr>
        <w:t>.  Garcia’s 12-year sentence included seven</w:t>
      </w:r>
      <w:r w:rsidR="003038CB">
        <w:rPr>
          <w:rFonts w:cs="Calibri"/>
        </w:rPr>
        <w:t xml:space="preserve"> </w:t>
      </w:r>
      <w:r w:rsidR="009064E6">
        <w:rPr>
          <w:rFonts w:cs="Calibri"/>
        </w:rPr>
        <w:t xml:space="preserve">one-year prior prison </w:t>
      </w:r>
      <w:r w:rsidR="002A20CE">
        <w:rPr>
          <w:rFonts w:cs="Calibri"/>
        </w:rPr>
        <w:t xml:space="preserve">term </w:t>
      </w:r>
      <w:r w:rsidR="009064E6">
        <w:rPr>
          <w:rFonts w:cs="Calibri"/>
        </w:rPr>
        <w:t>sentence</w:t>
      </w:r>
      <w:r>
        <w:rPr>
          <w:rFonts w:cs="Calibri"/>
        </w:rPr>
        <w:t xml:space="preserve"> enhancements</w:t>
      </w:r>
      <w:r w:rsidR="00C5267C">
        <w:rPr>
          <w:rFonts w:cs="Calibri"/>
        </w:rPr>
        <w:t xml:space="preserve"> </w:t>
      </w:r>
      <w:r w:rsidR="00067730">
        <w:rPr>
          <w:rFonts w:cs="Calibri"/>
        </w:rPr>
        <w:t>pursuant to</w:t>
      </w:r>
      <w:r w:rsidR="009064E6">
        <w:rPr>
          <w:rFonts w:cs="Calibri"/>
        </w:rPr>
        <w:t xml:space="preserve"> </w:t>
      </w:r>
      <w:r w:rsidR="00EF0A8F">
        <w:rPr>
          <w:rFonts w:cs="Calibri"/>
        </w:rPr>
        <w:t xml:space="preserve">former </w:t>
      </w:r>
      <w:r w:rsidR="007A0B33">
        <w:rPr>
          <w:rFonts w:cs="Calibri"/>
        </w:rPr>
        <w:t>section</w:t>
      </w:r>
      <w:r w:rsidR="00891F58">
        <w:rPr>
          <w:rFonts w:cs="Calibri"/>
        </w:rPr>
        <w:t> </w:t>
      </w:r>
      <w:r w:rsidR="009064E6">
        <w:rPr>
          <w:rFonts w:cs="Calibri"/>
        </w:rPr>
        <w:t xml:space="preserve">667.5, </w:t>
      </w:r>
      <w:r w:rsidR="007A0B33">
        <w:rPr>
          <w:rFonts w:cs="Calibri"/>
        </w:rPr>
        <w:t>subdivision</w:t>
      </w:r>
      <w:r w:rsidR="00891F58">
        <w:rPr>
          <w:rFonts w:cs="Calibri"/>
        </w:rPr>
        <w:t> </w:t>
      </w:r>
      <w:r w:rsidR="009064E6">
        <w:rPr>
          <w:rFonts w:cs="Calibri"/>
        </w:rPr>
        <w:t>(b)</w:t>
      </w:r>
      <w:r w:rsidR="00B15B7C">
        <w:rPr>
          <w:rFonts w:cs="Calibri"/>
        </w:rPr>
        <w:t xml:space="preserve">.  </w:t>
      </w:r>
      <w:r w:rsidR="003038CB">
        <w:rPr>
          <w:rFonts w:cs="Calibri"/>
        </w:rPr>
        <w:t xml:space="preserve">At </w:t>
      </w:r>
      <w:r w:rsidR="00C5267C">
        <w:rPr>
          <w:rFonts w:cs="Calibri"/>
        </w:rPr>
        <w:t>Garcia’s</w:t>
      </w:r>
      <w:r w:rsidR="003038CB">
        <w:rPr>
          <w:rFonts w:cs="Calibri"/>
        </w:rPr>
        <w:t xml:space="preserve"> resentencing hearing, the </w:t>
      </w:r>
      <w:r w:rsidR="00845C98">
        <w:rPr>
          <w:rFonts w:cs="Calibri"/>
        </w:rPr>
        <w:t>superior</w:t>
      </w:r>
      <w:r w:rsidR="003038CB">
        <w:rPr>
          <w:rFonts w:cs="Calibri"/>
        </w:rPr>
        <w:t xml:space="preserve"> court dismissed </w:t>
      </w:r>
      <w:r w:rsidR="00EF0A8F">
        <w:rPr>
          <w:rFonts w:cs="Calibri"/>
        </w:rPr>
        <w:t xml:space="preserve">the </w:t>
      </w:r>
      <w:r w:rsidR="00EC0165">
        <w:rPr>
          <w:rFonts w:cs="Calibri"/>
        </w:rPr>
        <w:t xml:space="preserve">prior </w:t>
      </w:r>
      <w:r w:rsidR="00891F58">
        <w:rPr>
          <w:rFonts w:cs="Calibri"/>
        </w:rPr>
        <w:t xml:space="preserve">prison </w:t>
      </w:r>
      <w:r w:rsidR="00341944">
        <w:rPr>
          <w:rFonts w:cs="Calibri"/>
        </w:rPr>
        <w:t xml:space="preserve">term </w:t>
      </w:r>
      <w:r w:rsidR="00C5267C">
        <w:rPr>
          <w:rFonts w:cs="Calibri"/>
        </w:rPr>
        <w:t xml:space="preserve">enhancements but resentenced Garcia to the same </w:t>
      </w:r>
      <w:r w:rsidR="00EC0165">
        <w:rPr>
          <w:rFonts w:cs="Calibri"/>
        </w:rPr>
        <w:t xml:space="preserve">12-year </w:t>
      </w:r>
      <w:r w:rsidR="00C5267C">
        <w:rPr>
          <w:rFonts w:cs="Calibri"/>
        </w:rPr>
        <w:t>sentence</w:t>
      </w:r>
      <w:r w:rsidR="00E52024">
        <w:rPr>
          <w:rFonts w:cs="Calibri"/>
        </w:rPr>
        <w:t xml:space="preserve"> by imposing </w:t>
      </w:r>
      <w:r w:rsidR="00EC0165">
        <w:rPr>
          <w:rFonts w:cs="Calibri"/>
        </w:rPr>
        <w:t>the</w:t>
      </w:r>
      <w:r w:rsidR="00E52024">
        <w:rPr>
          <w:rFonts w:cs="Calibri"/>
        </w:rPr>
        <w:t xml:space="preserve"> firearm enhancement</w:t>
      </w:r>
      <w:r w:rsidR="007E73A0">
        <w:rPr>
          <w:rFonts w:cs="Calibri"/>
        </w:rPr>
        <w:t xml:space="preserve"> that had been </w:t>
      </w:r>
      <w:r w:rsidR="00EC0165">
        <w:rPr>
          <w:rFonts w:cs="Calibri"/>
        </w:rPr>
        <w:t>previously</w:t>
      </w:r>
      <w:r w:rsidR="00513DF0">
        <w:rPr>
          <w:rFonts w:cs="Calibri"/>
        </w:rPr>
        <w:t xml:space="preserve"> </w:t>
      </w:r>
      <w:r w:rsidR="0037144C">
        <w:rPr>
          <w:rFonts w:cs="Calibri"/>
        </w:rPr>
        <w:t>stricken</w:t>
      </w:r>
      <w:r w:rsidR="005139DB">
        <w:rPr>
          <w:rFonts w:cs="Calibri"/>
        </w:rPr>
        <w:t>, finding</w:t>
      </w:r>
      <w:r w:rsidR="00E65BAE">
        <w:rPr>
          <w:rFonts w:cs="Calibri"/>
        </w:rPr>
        <w:t xml:space="preserve"> Garcia continued to pose a threat to public safety</w:t>
      </w:r>
      <w:r w:rsidR="00C5267C">
        <w:rPr>
          <w:rFonts w:cs="Calibri"/>
        </w:rPr>
        <w:t xml:space="preserve">.  </w:t>
      </w:r>
    </w:p>
    <w:p w14:paraId="0D9E3AD3" w14:textId="0EAA8E1D" w:rsidR="00274E85" w:rsidRDefault="008D3B9F" w:rsidP="007C7381">
      <w:pPr>
        <w:ind w:firstLine="720"/>
        <w:rPr>
          <w:rFonts w:cs="Calibri"/>
        </w:rPr>
      </w:pPr>
      <w:r>
        <w:rPr>
          <w:rFonts w:cs="Calibri"/>
        </w:rPr>
        <w:t xml:space="preserve">On appeal, </w:t>
      </w:r>
      <w:r w:rsidR="00C5267C">
        <w:rPr>
          <w:rFonts w:cs="Calibri"/>
        </w:rPr>
        <w:t xml:space="preserve">Garcia </w:t>
      </w:r>
      <w:r w:rsidR="00FD4DAC">
        <w:rPr>
          <w:rFonts w:cs="Calibri"/>
        </w:rPr>
        <w:t>challenges</w:t>
      </w:r>
      <w:r w:rsidR="00E43943">
        <w:rPr>
          <w:rFonts w:cs="Calibri"/>
        </w:rPr>
        <w:t xml:space="preserve"> </w:t>
      </w:r>
      <w:r w:rsidR="00C5267C">
        <w:rPr>
          <w:rFonts w:cs="Calibri"/>
        </w:rPr>
        <w:t xml:space="preserve">the </w:t>
      </w:r>
      <w:r w:rsidR="003A6583">
        <w:rPr>
          <w:rFonts w:cs="Calibri"/>
        </w:rPr>
        <w:t xml:space="preserve">superior </w:t>
      </w:r>
      <w:r w:rsidR="00C5267C">
        <w:rPr>
          <w:rFonts w:cs="Calibri"/>
        </w:rPr>
        <w:t>court</w:t>
      </w:r>
      <w:r w:rsidR="00E43943">
        <w:rPr>
          <w:rFonts w:cs="Calibri"/>
        </w:rPr>
        <w:t xml:space="preserve">’s </w:t>
      </w:r>
      <w:r w:rsidR="007A0B33">
        <w:rPr>
          <w:rFonts w:cs="Calibri"/>
        </w:rPr>
        <w:t xml:space="preserve">finding </w:t>
      </w:r>
      <w:r w:rsidR="00EF0A8F">
        <w:rPr>
          <w:rFonts w:cs="Calibri"/>
        </w:rPr>
        <w:t>under</w:t>
      </w:r>
      <w:r w:rsidR="00845C98">
        <w:rPr>
          <w:rFonts w:cs="Calibri"/>
        </w:rPr>
        <w:t xml:space="preserve"> section</w:t>
      </w:r>
      <w:r w:rsidR="00891F58">
        <w:rPr>
          <w:rFonts w:cs="Calibri"/>
        </w:rPr>
        <w:t> </w:t>
      </w:r>
      <w:r w:rsidR="00845C98">
        <w:rPr>
          <w:rFonts w:cs="Calibri"/>
        </w:rPr>
        <w:t>1172.75, subdivision</w:t>
      </w:r>
      <w:r w:rsidR="00891F58">
        <w:rPr>
          <w:rFonts w:cs="Calibri"/>
        </w:rPr>
        <w:t> </w:t>
      </w:r>
      <w:r w:rsidR="00845C98">
        <w:rPr>
          <w:rFonts w:cs="Calibri"/>
        </w:rPr>
        <w:t xml:space="preserve">(d)(1), </w:t>
      </w:r>
      <w:r w:rsidR="007A0B33">
        <w:rPr>
          <w:rFonts w:cs="Calibri"/>
        </w:rPr>
        <w:t xml:space="preserve">that imposition of a lesser sentence would endanger public safety.  </w:t>
      </w:r>
      <w:r w:rsidR="00E43943" w:rsidRPr="00E43943">
        <w:rPr>
          <w:rFonts w:cs="Calibri"/>
        </w:rPr>
        <w:t xml:space="preserve">We review </w:t>
      </w:r>
      <w:r w:rsidR="00E43943">
        <w:rPr>
          <w:rFonts w:cs="Calibri"/>
        </w:rPr>
        <w:t xml:space="preserve">the superior court’s </w:t>
      </w:r>
      <w:r w:rsidR="000E3EB4">
        <w:rPr>
          <w:rFonts w:cs="Calibri"/>
        </w:rPr>
        <w:t xml:space="preserve">finding </w:t>
      </w:r>
      <w:r w:rsidR="00E43943" w:rsidRPr="00E43943">
        <w:rPr>
          <w:rFonts w:cs="Calibri"/>
        </w:rPr>
        <w:t xml:space="preserve">that reduction of </w:t>
      </w:r>
      <w:r w:rsidR="000E3EB4">
        <w:rPr>
          <w:rFonts w:cs="Calibri"/>
        </w:rPr>
        <w:t>Garcia’s</w:t>
      </w:r>
      <w:r w:rsidR="00E43943" w:rsidRPr="00E43943">
        <w:rPr>
          <w:rFonts w:cs="Calibri"/>
        </w:rPr>
        <w:t xml:space="preserve"> sentence would endanger public safety</w:t>
      </w:r>
      <w:r w:rsidR="000E3EB4">
        <w:rPr>
          <w:rFonts w:cs="Calibri"/>
        </w:rPr>
        <w:t xml:space="preserve">, as we do for other determinations of risk </w:t>
      </w:r>
      <w:r w:rsidR="00037C4E">
        <w:rPr>
          <w:rFonts w:cs="Calibri"/>
        </w:rPr>
        <w:t>in resentencing decisions,</w:t>
      </w:r>
      <w:r w:rsidR="00D37DBE">
        <w:rPr>
          <w:rFonts w:cs="Calibri"/>
        </w:rPr>
        <w:t xml:space="preserve"> for an abuse of discretion.</w:t>
      </w:r>
      <w:r w:rsidR="0074062A">
        <w:rPr>
          <w:rFonts w:cs="Calibri"/>
        </w:rPr>
        <w:t xml:space="preserve"> </w:t>
      </w:r>
      <w:r w:rsidR="005A45A8">
        <w:rPr>
          <w:rFonts w:cs="Calibri"/>
        </w:rPr>
        <w:t xml:space="preserve"> </w:t>
      </w:r>
      <w:r w:rsidR="0074062A">
        <w:rPr>
          <w:rFonts w:cs="Calibri"/>
        </w:rPr>
        <w:t xml:space="preserve">In light of the </w:t>
      </w:r>
      <w:r w:rsidR="00FB1A31">
        <w:rPr>
          <w:rFonts w:cs="Calibri"/>
        </w:rPr>
        <w:t xml:space="preserve">nature of the offense (an armed robbery in which Garcia fired his gun), </w:t>
      </w:r>
      <w:r w:rsidR="00521DD7">
        <w:rPr>
          <w:rFonts w:cs="Calibri"/>
        </w:rPr>
        <w:t>Garcia’s</w:t>
      </w:r>
      <w:r w:rsidR="00FB1A31">
        <w:rPr>
          <w:rFonts w:cs="Calibri"/>
        </w:rPr>
        <w:t xml:space="preserve"> multiple prior felony convictions</w:t>
      </w:r>
      <w:r w:rsidR="00A65E14">
        <w:rPr>
          <w:rFonts w:cs="Calibri"/>
        </w:rPr>
        <w:t xml:space="preserve"> of increasing seriousness</w:t>
      </w:r>
      <w:r w:rsidR="00FB1A31">
        <w:rPr>
          <w:rFonts w:cs="Calibri"/>
        </w:rPr>
        <w:t>, his failure to appear for sentencing, and his participation</w:t>
      </w:r>
      <w:r w:rsidR="00521DD7">
        <w:rPr>
          <w:rFonts w:cs="Calibri"/>
        </w:rPr>
        <w:t xml:space="preserve"> just two-and-a-half years after his sentencing</w:t>
      </w:r>
      <w:r w:rsidR="00FB1A31">
        <w:rPr>
          <w:rFonts w:cs="Calibri"/>
        </w:rPr>
        <w:t xml:space="preserve"> in a pri</w:t>
      </w:r>
      <w:r w:rsidR="00521DD7">
        <w:rPr>
          <w:rFonts w:cs="Calibri"/>
        </w:rPr>
        <w:t>son riot in which he beat another inmate, the court did not abuse its</w:t>
      </w:r>
      <w:r w:rsidR="00413FDA">
        <w:rPr>
          <w:rFonts w:cs="Calibri"/>
        </w:rPr>
        <w:t xml:space="preserve"> discretion</w:t>
      </w:r>
      <w:r w:rsidR="00845C98">
        <w:rPr>
          <w:rFonts w:cs="Calibri"/>
        </w:rPr>
        <w:t xml:space="preserve">.  However, we </w:t>
      </w:r>
      <w:r w:rsidR="00767EAA">
        <w:rPr>
          <w:rFonts w:cs="Calibri"/>
        </w:rPr>
        <w:t xml:space="preserve">direct the court to </w:t>
      </w:r>
      <w:r w:rsidR="007C7381" w:rsidRPr="007C7381">
        <w:rPr>
          <w:rFonts w:cs="Calibri"/>
        </w:rPr>
        <w:t xml:space="preserve">correct </w:t>
      </w:r>
      <w:r w:rsidR="00DB1A8E">
        <w:rPr>
          <w:rFonts w:cs="Calibri"/>
        </w:rPr>
        <w:t xml:space="preserve">a clerical error in </w:t>
      </w:r>
      <w:r w:rsidR="007C7381" w:rsidRPr="007C7381">
        <w:rPr>
          <w:rFonts w:cs="Calibri"/>
        </w:rPr>
        <w:t xml:space="preserve">the abstract of judgment to </w:t>
      </w:r>
      <w:r w:rsidR="00767EAA">
        <w:rPr>
          <w:rFonts w:cs="Calibri"/>
        </w:rPr>
        <w:t xml:space="preserve">reflect that Garcia </w:t>
      </w:r>
      <w:r w:rsidR="00767EAA">
        <w:rPr>
          <w:rFonts w:cs="Calibri"/>
        </w:rPr>
        <w:lastRenderedPageBreak/>
        <w:t xml:space="preserve">was sentenced to a concurrent term of two </w:t>
      </w:r>
      <w:r w:rsidR="00845C98">
        <w:rPr>
          <w:rFonts w:cs="Calibri"/>
        </w:rPr>
        <w:t>years on count</w:t>
      </w:r>
      <w:r w:rsidR="00917039">
        <w:rPr>
          <w:rFonts w:cs="Calibri"/>
        </w:rPr>
        <w:t> </w:t>
      </w:r>
      <w:r w:rsidR="00845C98">
        <w:rPr>
          <w:rFonts w:cs="Calibri"/>
        </w:rPr>
        <w:t>2 for possession of a firearm by a felon</w:t>
      </w:r>
      <w:r w:rsidR="00767EAA">
        <w:rPr>
          <w:rFonts w:cs="Calibri"/>
        </w:rPr>
        <w:t>.</w:t>
      </w:r>
      <w:r w:rsidR="00845C98">
        <w:rPr>
          <w:rFonts w:cs="Calibri"/>
        </w:rPr>
        <w:t xml:space="preserve">  </w:t>
      </w:r>
      <w:r w:rsidR="00767EAA">
        <w:rPr>
          <w:rFonts w:cs="Calibri"/>
        </w:rPr>
        <w:t xml:space="preserve">  </w:t>
      </w:r>
    </w:p>
    <w:p w14:paraId="2C757AB9" w14:textId="77777777" w:rsidR="00683D27" w:rsidRDefault="00683D27" w:rsidP="00683D27"/>
    <w:p w14:paraId="31F1E2A6" w14:textId="77777777" w:rsidR="00683D27" w:rsidRPr="00F93982" w:rsidRDefault="00683D27">
      <w:pPr>
        <w:pStyle w:val="Heading1"/>
      </w:pPr>
      <w:r w:rsidRPr="00F93982">
        <w:t>FACTUAL AND PROCEDURAL BACKGROUND</w:t>
      </w:r>
    </w:p>
    <w:p w14:paraId="2790D32C" w14:textId="77777777" w:rsidR="00683D27" w:rsidRPr="003E2C51" w:rsidRDefault="00683D27" w:rsidP="00F6372B">
      <w:pPr>
        <w:keepNext/>
      </w:pPr>
    </w:p>
    <w:p w14:paraId="7A0202CB" w14:textId="47399609" w:rsidR="00683D27" w:rsidRDefault="00683D27" w:rsidP="00724D9D">
      <w:pPr>
        <w:pStyle w:val="Heading2"/>
      </w:pPr>
      <w:r>
        <w:t xml:space="preserve">The </w:t>
      </w:r>
      <w:r w:rsidR="00767EAA">
        <w:t xml:space="preserve">Robbery, Plea, and </w:t>
      </w:r>
      <w:r>
        <w:t>Sentenc</w:t>
      </w:r>
      <w:r w:rsidR="001441DA">
        <w:t>ing</w:t>
      </w:r>
    </w:p>
    <w:p w14:paraId="736A4666" w14:textId="7DCF43B2" w:rsidR="00DD3377" w:rsidRDefault="007738FC" w:rsidP="00F90966">
      <w:pPr>
        <w:ind w:firstLine="720"/>
      </w:pPr>
      <w:r>
        <w:t xml:space="preserve">According to the probation report, </w:t>
      </w:r>
      <w:r w:rsidR="00845C98">
        <w:t>o</w:t>
      </w:r>
      <w:r w:rsidR="00F90966">
        <w:t xml:space="preserve">n May 28, 2018 Simon Ituraea was working at </w:t>
      </w:r>
      <w:r w:rsidR="00DD3377">
        <w:t>a</w:t>
      </w:r>
      <w:r w:rsidR="00F90966">
        <w:t xml:space="preserve"> </w:t>
      </w:r>
      <w:r w:rsidR="00DD3377">
        <w:t>r</w:t>
      </w:r>
      <w:r w:rsidR="00F90966">
        <w:t xml:space="preserve">ecycling </w:t>
      </w:r>
      <w:r w:rsidR="00DD3377">
        <w:t>c</w:t>
      </w:r>
      <w:r w:rsidR="00F90966">
        <w:t>enter</w:t>
      </w:r>
      <w:r w:rsidR="00DD3377">
        <w:t xml:space="preserve"> </w:t>
      </w:r>
      <w:r w:rsidR="00855F6E">
        <w:t xml:space="preserve">in Los Angeles </w:t>
      </w:r>
      <w:r w:rsidR="00DD3377">
        <w:t xml:space="preserve">when a vehicle entered the parking lot and Garcia exited the passenger side </w:t>
      </w:r>
      <w:r w:rsidR="00067730">
        <w:t>carrying</w:t>
      </w:r>
      <w:r w:rsidR="00DD3377">
        <w:t xml:space="preserve"> a handgun.  Garcia approached Ituraea and demanded </w:t>
      </w:r>
      <w:r w:rsidR="00E52024">
        <w:t xml:space="preserve">Ituraea open a padlocked </w:t>
      </w:r>
      <w:r w:rsidR="00DD3377">
        <w:t xml:space="preserve">cabinet that served as </w:t>
      </w:r>
      <w:r w:rsidR="00855F6E">
        <w:t>the</w:t>
      </w:r>
      <w:r w:rsidR="00067730">
        <w:t xml:space="preserve"> recycling center’s</w:t>
      </w:r>
      <w:r w:rsidR="00855F6E">
        <w:t xml:space="preserve"> </w:t>
      </w:r>
      <w:r w:rsidR="00DD3377">
        <w:t xml:space="preserve">cash register.  After Ituraea told Garcia there was no money in the cabinet, Garcia walked </w:t>
      </w:r>
      <w:r w:rsidR="00D57817">
        <w:t xml:space="preserve">up </w:t>
      </w:r>
      <w:r w:rsidR="00DD3377">
        <w:t>to the cabinet and fired four shots at the padlock.</w:t>
      </w:r>
      <w:r w:rsidR="00855F6E">
        <w:t xml:space="preserve">  Garcia opened the cabinet, removed $1,400</w:t>
      </w:r>
      <w:r w:rsidR="00234FA9">
        <w:t xml:space="preserve"> in</w:t>
      </w:r>
      <w:r w:rsidR="00855F6E">
        <w:t xml:space="preserve"> cash,</w:t>
      </w:r>
      <w:r w:rsidR="00DD3377">
        <w:t xml:space="preserve"> </w:t>
      </w:r>
      <w:r w:rsidR="00855F6E">
        <w:t>and returned to the vehicle, which drove off.  Responding police officers recovered four 40</w:t>
      </w:r>
      <w:r w:rsidR="005A0840">
        <w:t>-</w:t>
      </w:r>
      <w:r w:rsidR="007B7004">
        <w:t>caliber</w:t>
      </w:r>
      <w:r w:rsidR="00855F6E">
        <w:t xml:space="preserve"> shell casings next to the cabinet and two partial casings that were embedded in the cabinet stand.  The robbery was captured on security cameras, and Ituraea identified Garcia in a photograph</w:t>
      </w:r>
      <w:r w:rsidR="00BA6C36">
        <w:t>ic</w:t>
      </w:r>
      <w:r w:rsidR="00855F6E">
        <w:t xml:space="preserve"> lineup. </w:t>
      </w:r>
      <w:r w:rsidR="008C5140">
        <w:t xml:space="preserve"> </w:t>
      </w:r>
    </w:p>
    <w:p w14:paraId="1CB9C13F" w14:textId="3F598784" w:rsidR="00F90966" w:rsidRDefault="00067730" w:rsidP="004C5748">
      <w:pPr>
        <w:widowControl w:val="0"/>
        <w:tabs>
          <w:tab w:val="left" w:pos="1215"/>
        </w:tabs>
        <w:ind w:firstLine="720"/>
      </w:pPr>
      <w:r>
        <w:t>The</w:t>
      </w:r>
      <w:r w:rsidR="007B7004">
        <w:t xml:space="preserve"> information charged Garcia with second degree robbery </w:t>
      </w:r>
      <w:r w:rsidR="007B7004" w:rsidRPr="006A6B18">
        <w:t>(</w:t>
      </w:r>
      <w:r w:rsidR="007B7004" w:rsidRPr="00A65009">
        <w:t>§</w:t>
      </w:r>
      <w:r w:rsidR="00891F58">
        <w:t> </w:t>
      </w:r>
      <w:r w:rsidR="007B7004">
        <w:t>211</w:t>
      </w:r>
      <w:r w:rsidR="007B7004" w:rsidRPr="006A6B18">
        <w:t>; count</w:t>
      </w:r>
      <w:r w:rsidR="00891F58">
        <w:t> </w:t>
      </w:r>
      <w:r w:rsidR="007B7004" w:rsidRPr="006A6B18">
        <w:t xml:space="preserve">1) and </w:t>
      </w:r>
      <w:r w:rsidR="007B7004">
        <w:t>possession of a firearm by a felon (</w:t>
      </w:r>
      <w:r w:rsidR="007B7004" w:rsidRPr="0066183A">
        <w:t>§</w:t>
      </w:r>
      <w:r w:rsidR="007B7004">
        <w:rPr>
          <w:i/>
        </w:rPr>
        <w:t> </w:t>
      </w:r>
      <w:r w:rsidR="007B7004">
        <w:rPr>
          <w:iCs/>
        </w:rPr>
        <w:t>29800, subdivision</w:t>
      </w:r>
      <w:r w:rsidR="00891F58">
        <w:rPr>
          <w:iCs/>
        </w:rPr>
        <w:t> </w:t>
      </w:r>
      <w:r w:rsidR="007B7004">
        <w:rPr>
          <w:iCs/>
        </w:rPr>
        <w:t>(a)(1)</w:t>
      </w:r>
      <w:r w:rsidR="007B7004" w:rsidRPr="006A6B18">
        <w:t>; count</w:t>
      </w:r>
      <w:r w:rsidR="00891F58">
        <w:t> </w:t>
      </w:r>
      <w:r w:rsidR="007B7004">
        <w:t>2</w:t>
      </w:r>
      <w:r w:rsidR="007B7004" w:rsidRPr="006A6B18">
        <w:t>).</w:t>
      </w:r>
      <w:r w:rsidR="007B7004">
        <w:t xml:space="preserve">  As to count</w:t>
      </w:r>
      <w:r w:rsidR="00917039">
        <w:t> </w:t>
      </w:r>
      <w:r w:rsidR="007B7004">
        <w:t xml:space="preserve">1, it was </w:t>
      </w:r>
      <w:r>
        <w:t xml:space="preserve">specially </w:t>
      </w:r>
      <w:r w:rsidR="007B7004">
        <w:t>alleged Garcia</w:t>
      </w:r>
      <w:r>
        <w:t xml:space="preserve"> personally used and</w:t>
      </w:r>
      <w:r w:rsidR="007B7004">
        <w:t xml:space="preserve"> </w:t>
      </w:r>
      <w:r w:rsidR="00F90966">
        <w:t>personally and intentionally discharged a firearm (§</w:t>
      </w:r>
      <w:r w:rsidR="003F0E46">
        <w:t> </w:t>
      </w:r>
      <w:r w:rsidR="00F90966">
        <w:t>12022.53, subd</w:t>
      </w:r>
      <w:r w:rsidR="00DA741D">
        <w:t>s</w:t>
      </w:r>
      <w:r w:rsidR="00F90966">
        <w:t>.</w:t>
      </w:r>
      <w:r w:rsidR="003F0E46">
        <w:t> </w:t>
      </w:r>
      <w:r w:rsidR="00DA741D">
        <w:t xml:space="preserve">(b), </w:t>
      </w:r>
      <w:r w:rsidR="00F90966">
        <w:t>(c</w:t>
      </w:r>
      <w:r w:rsidR="00FE1AF9">
        <w:t>))</w:t>
      </w:r>
      <w:r w:rsidR="00F90966">
        <w:t xml:space="preserve">. </w:t>
      </w:r>
      <w:r w:rsidR="007B7004">
        <w:t xml:space="preserve"> </w:t>
      </w:r>
      <w:r w:rsidR="00F90966">
        <w:t xml:space="preserve">As to </w:t>
      </w:r>
      <w:r>
        <w:t>both counts</w:t>
      </w:r>
      <w:r w:rsidR="007B7004">
        <w:t xml:space="preserve">, it was also </w:t>
      </w:r>
      <w:r w:rsidR="00FE1AF9">
        <w:t xml:space="preserve">specially </w:t>
      </w:r>
      <w:r w:rsidR="007B7004">
        <w:t>alleged Garcia</w:t>
      </w:r>
      <w:r w:rsidR="002E762E">
        <w:t xml:space="preserve"> </w:t>
      </w:r>
      <w:r w:rsidR="00F90966" w:rsidRPr="00950DE7">
        <w:t>served six</w:t>
      </w:r>
      <w:r w:rsidR="00F90966">
        <w:t xml:space="preserve"> prior prison terms </w:t>
      </w:r>
      <w:r w:rsidR="00224EF0">
        <w:t xml:space="preserve">within the meaning of </w:t>
      </w:r>
      <w:r w:rsidR="00F90966">
        <w:t xml:space="preserve">former </w:t>
      </w:r>
      <w:r w:rsidR="00224EF0">
        <w:t>section</w:t>
      </w:r>
      <w:r w:rsidR="003F0E46">
        <w:t> </w:t>
      </w:r>
      <w:r w:rsidR="00F90966">
        <w:t xml:space="preserve">667.5, </w:t>
      </w:r>
      <w:r w:rsidR="00F90966">
        <w:lastRenderedPageBreak/>
        <w:t>subd</w:t>
      </w:r>
      <w:r w:rsidR="00224EF0">
        <w:t>ivision</w:t>
      </w:r>
      <w:r w:rsidR="003F0E46">
        <w:t> </w:t>
      </w:r>
      <w:r w:rsidR="00F90966">
        <w:t>(b).</w:t>
      </w:r>
      <w:r w:rsidR="00124F60">
        <w:rPr>
          <w:rStyle w:val="FootnoteReference"/>
        </w:rPr>
        <w:footnoteReference w:id="3"/>
      </w:r>
      <w:r w:rsidR="00F90966">
        <w:t xml:space="preserve">  </w:t>
      </w:r>
    </w:p>
    <w:p w14:paraId="31D8420B" w14:textId="7A76B590" w:rsidR="006E3899" w:rsidRDefault="008C5140" w:rsidP="004C5748">
      <w:pPr>
        <w:widowControl w:val="0"/>
        <w:tabs>
          <w:tab w:val="left" w:pos="1215"/>
        </w:tabs>
        <w:ind w:firstLine="720"/>
      </w:pPr>
      <w:r>
        <w:t xml:space="preserve">On June 6, 2019 </w:t>
      </w:r>
      <w:r w:rsidR="006E3899">
        <w:t xml:space="preserve">Garcia </w:t>
      </w:r>
      <w:r w:rsidR="00607890">
        <w:t xml:space="preserve">entered into a negotiated plea under which he </w:t>
      </w:r>
      <w:r w:rsidR="006E3899">
        <w:t>pleaded no contest to</w:t>
      </w:r>
      <w:r>
        <w:t xml:space="preserve"> both counts</w:t>
      </w:r>
      <w:r w:rsidR="00AF3BBD">
        <w:t xml:space="preserve">, admitted to </w:t>
      </w:r>
      <w:r w:rsidR="00607890">
        <w:t xml:space="preserve">having </w:t>
      </w:r>
      <w:r w:rsidR="00607890" w:rsidRPr="00950DE7">
        <w:t xml:space="preserve">served </w:t>
      </w:r>
      <w:r w:rsidR="00AF3BBD" w:rsidRPr="00950DE7">
        <w:t>seven</w:t>
      </w:r>
      <w:r w:rsidR="00AF3BBD">
        <w:t xml:space="preserve"> prior prison terms</w:t>
      </w:r>
      <w:r w:rsidR="00D45E28">
        <w:t xml:space="preserve"> </w:t>
      </w:r>
      <w:r w:rsidR="00F84F7F">
        <w:t>within the meaning of</w:t>
      </w:r>
      <w:r w:rsidR="00AF3BBD">
        <w:t xml:space="preserve"> former section</w:t>
      </w:r>
      <w:r w:rsidR="003F0E46">
        <w:t> </w:t>
      </w:r>
      <w:r w:rsidR="00AF3BBD">
        <w:t>667.5, subdivision</w:t>
      </w:r>
      <w:r w:rsidR="003F0E46">
        <w:t> </w:t>
      </w:r>
      <w:r w:rsidR="00AF3BBD">
        <w:t>(b),</w:t>
      </w:r>
      <w:r w:rsidR="00AF3BBD">
        <w:rPr>
          <w:rStyle w:val="FootnoteReference"/>
        </w:rPr>
        <w:footnoteReference w:id="4"/>
      </w:r>
      <w:r>
        <w:t xml:space="preserve"> and </w:t>
      </w:r>
      <w:r w:rsidR="00FE1AF9">
        <w:t xml:space="preserve">admitted </w:t>
      </w:r>
      <w:r w:rsidR="00445F7F">
        <w:t xml:space="preserve">the </w:t>
      </w:r>
      <w:r w:rsidR="004F5882">
        <w:t xml:space="preserve">firearm enhancement allegation under </w:t>
      </w:r>
      <w:r w:rsidR="00FE1AF9">
        <w:t>section</w:t>
      </w:r>
      <w:r w:rsidR="003F0E46">
        <w:t> </w:t>
      </w:r>
      <w:r w:rsidR="00FE1AF9">
        <w:t>12022.53, subdivision</w:t>
      </w:r>
      <w:r w:rsidR="003F0E46">
        <w:t> </w:t>
      </w:r>
      <w:r w:rsidR="00FE1AF9">
        <w:t>(c)</w:t>
      </w:r>
      <w:r w:rsidR="00F61471">
        <w:t>,</w:t>
      </w:r>
      <w:r w:rsidR="00445F7F">
        <w:t xml:space="preserve"> </w:t>
      </w:r>
      <w:r w:rsidR="00307CB0">
        <w:t>“</w:t>
      </w:r>
      <w:r w:rsidR="008A53F7" w:rsidRPr="00A14E25">
        <w:t xml:space="preserve">on the </w:t>
      </w:r>
      <w:r w:rsidR="00F631F7" w:rsidRPr="00A14E25">
        <w:t>condition</w:t>
      </w:r>
      <w:r w:rsidR="00307CB0" w:rsidRPr="003F0E46">
        <w:t xml:space="preserve"> </w:t>
      </w:r>
      <w:r w:rsidR="00307CB0" w:rsidRPr="00A14E25">
        <w:t>it will be stricken</w:t>
      </w:r>
      <w:r w:rsidR="00F61471">
        <w:t>.</w:t>
      </w:r>
      <w:r w:rsidR="00307CB0">
        <w:t>”</w:t>
      </w:r>
      <w:r w:rsidR="00F61471">
        <w:t xml:space="preserve">  </w:t>
      </w:r>
      <w:r w:rsidR="000A758F">
        <w:t xml:space="preserve">Garcia agreed to imposition of a 12-year sentence, </w:t>
      </w:r>
      <w:r w:rsidR="00CC25A1">
        <w:t xml:space="preserve">which </w:t>
      </w:r>
      <w:r w:rsidR="00F61471">
        <w:t>the trial court</w:t>
      </w:r>
      <w:r w:rsidR="00F61471">
        <w:rPr>
          <w:rStyle w:val="FootnoteReference"/>
        </w:rPr>
        <w:footnoteReference w:id="5"/>
      </w:r>
      <w:r w:rsidR="00F61471">
        <w:t xml:space="preserve"> </w:t>
      </w:r>
      <w:r w:rsidR="00C04E05">
        <w:t xml:space="preserve">imposed on November 26, 2019, </w:t>
      </w:r>
      <w:r w:rsidR="00F61471">
        <w:t>compris</w:t>
      </w:r>
      <w:r w:rsidR="00B70303">
        <w:t xml:space="preserve">ing </w:t>
      </w:r>
      <w:r w:rsidR="00F61471">
        <w:t xml:space="preserve">the upper term of five years for the robbery </w:t>
      </w:r>
      <w:r w:rsidR="00E52024">
        <w:t>on count</w:t>
      </w:r>
      <w:r w:rsidR="00917039">
        <w:t> </w:t>
      </w:r>
      <w:r w:rsidR="00E52024">
        <w:t>1</w:t>
      </w:r>
      <w:r w:rsidR="00366E83">
        <w:t>,</w:t>
      </w:r>
      <w:r w:rsidR="00E52024">
        <w:t xml:space="preserve"> </w:t>
      </w:r>
      <w:r w:rsidR="00F61471">
        <w:t xml:space="preserve">plus seven </w:t>
      </w:r>
      <w:r w:rsidR="00EF0A8F">
        <w:t>one</w:t>
      </w:r>
      <w:r w:rsidR="00F61471">
        <w:t>-year enhancements under former section 667.5, subdivision (b).</w:t>
      </w:r>
      <w:r w:rsidR="00F61471">
        <w:rPr>
          <w:rStyle w:val="FootnoteReference"/>
        </w:rPr>
        <w:footnoteReference w:id="6"/>
      </w:r>
      <w:r w:rsidR="00F61471">
        <w:t xml:space="preserve"> </w:t>
      </w:r>
      <w:r w:rsidR="002B05AE">
        <w:t xml:space="preserve"> On count</w:t>
      </w:r>
      <w:r w:rsidR="00917039">
        <w:t> </w:t>
      </w:r>
      <w:r w:rsidR="002B05AE">
        <w:t xml:space="preserve">2, the court </w:t>
      </w:r>
      <w:r w:rsidR="002B05AE">
        <w:lastRenderedPageBreak/>
        <w:t>sentenced Garcia to the upper term of three years to run concurrently with the sentence on count</w:t>
      </w:r>
      <w:r w:rsidR="00917039">
        <w:t> </w:t>
      </w:r>
      <w:r w:rsidR="002B05AE">
        <w:t xml:space="preserve">1, and the court </w:t>
      </w:r>
      <w:r w:rsidR="00E52024">
        <w:t>imposed and struck</w:t>
      </w:r>
      <w:r w:rsidR="002B05AE">
        <w:t xml:space="preserve"> a 20-year sentence </w:t>
      </w:r>
      <w:r w:rsidR="00EF0A8F">
        <w:t>for the</w:t>
      </w:r>
      <w:r w:rsidR="00015618">
        <w:t xml:space="preserve"> </w:t>
      </w:r>
      <w:r w:rsidR="002B05AE">
        <w:t>section</w:t>
      </w:r>
      <w:r w:rsidR="00366E83">
        <w:t> </w:t>
      </w:r>
      <w:r w:rsidR="002B05AE">
        <w:t>12022.53, subdivision</w:t>
      </w:r>
      <w:r w:rsidR="00366E83">
        <w:t> </w:t>
      </w:r>
      <w:r w:rsidR="002B05AE">
        <w:t>(c</w:t>
      </w:r>
      <w:r w:rsidR="00E52024">
        <w:t>)</w:t>
      </w:r>
      <w:r w:rsidR="00EF0A8F">
        <w:t>, firearm enhancement</w:t>
      </w:r>
      <w:r w:rsidR="002B05AE">
        <w:t>.</w:t>
      </w:r>
      <w:r w:rsidR="00015618">
        <w:t xml:space="preserve"> </w:t>
      </w:r>
    </w:p>
    <w:p w14:paraId="68335008" w14:textId="77777777" w:rsidR="00F90966" w:rsidRDefault="00F90966" w:rsidP="00F90966">
      <w:pPr>
        <w:tabs>
          <w:tab w:val="left" w:pos="1215"/>
        </w:tabs>
        <w:ind w:firstLine="720"/>
      </w:pPr>
    </w:p>
    <w:p w14:paraId="4D52D821" w14:textId="324A2039" w:rsidR="00F90966" w:rsidRDefault="00F90966" w:rsidP="00F90966">
      <w:pPr>
        <w:pStyle w:val="Heading2"/>
      </w:pPr>
      <w:r>
        <w:t xml:space="preserve">Resentencing </w:t>
      </w:r>
      <w:r w:rsidR="00136993">
        <w:t>U</w:t>
      </w:r>
      <w:r>
        <w:t>nder Section 1172.75</w:t>
      </w:r>
    </w:p>
    <w:p w14:paraId="78EF4ECA" w14:textId="3FF094DF" w:rsidR="0035766E" w:rsidRDefault="00F90966" w:rsidP="00543B7F">
      <w:pPr>
        <w:tabs>
          <w:tab w:val="left" w:pos="1215"/>
        </w:tabs>
        <w:ind w:firstLine="720"/>
      </w:pPr>
      <w:r>
        <w:t xml:space="preserve">In </w:t>
      </w:r>
      <w:r w:rsidR="00EF0A8F">
        <w:t>mid-</w:t>
      </w:r>
      <w:r>
        <w:t xml:space="preserve">2022 </w:t>
      </w:r>
      <w:r w:rsidR="002C7F3C">
        <w:t xml:space="preserve">the superior court recalled </w:t>
      </w:r>
      <w:r w:rsidR="00102C15">
        <w:t>Garcia’s</w:t>
      </w:r>
      <w:r>
        <w:t xml:space="preserve"> </w:t>
      </w:r>
      <w:r w:rsidR="002C7F3C">
        <w:t xml:space="preserve">sentence </w:t>
      </w:r>
      <w:r w:rsidR="00AB7CF9">
        <w:t xml:space="preserve">and set the case </w:t>
      </w:r>
      <w:r>
        <w:t>for resentencing under section</w:t>
      </w:r>
      <w:r w:rsidR="00366E83">
        <w:t> </w:t>
      </w:r>
      <w:r>
        <w:t xml:space="preserve">1172.75. </w:t>
      </w:r>
      <w:r w:rsidR="002E1BC4">
        <w:t xml:space="preserve"> </w:t>
      </w:r>
      <w:r w:rsidR="00623CC4">
        <w:t>On September</w:t>
      </w:r>
      <w:r w:rsidR="00366E83">
        <w:t> </w:t>
      </w:r>
      <w:r w:rsidR="00623CC4">
        <w:t xml:space="preserve">14 </w:t>
      </w:r>
      <w:r w:rsidR="00214BCC">
        <w:t xml:space="preserve">the People filed </w:t>
      </w:r>
      <w:r w:rsidR="00E52024">
        <w:t>a brief in opposition to resentencing</w:t>
      </w:r>
      <w:r w:rsidR="00214BCC">
        <w:t xml:space="preserve">, arguing there was clear and convincing evidence that imposition of a lesser sentence would endanger public safety. </w:t>
      </w:r>
      <w:r w:rsidR="00136D81">
        <w:t xml:space="preserve"> Garcia’s “C-</w:t>
      </w:r>
      <w:r w:rsidR="00FF3AD7">
        <w:t>file</w:t>
      </w:r>
      <w:r w:rsidR="00136D81">
        <w:t>”</w:t>
      </w:r>
      <w:r w:rsidR="00136D81">
        <w:rPr>
          <w:rStyle w:val="FootnoteReference"/>
        </w:rPr>
        <w:footnoteReference w:id="7"/>
      </w:r>
      <w:r w:rsidR="00136D81">
        <w:t xml:space="preserve"> </w:t>
      </w:r>
      <w:r w:rsidR="00012A8B">
        <w:t>reflected</w:t>
      </w:r>
      <w:r w:rsidR="00136D81">
        <w:t xml:space="preserve"> that </w:t>
      </w:r>
      <w:r w:rsidR="0035766E">
        <w:t>on March</w:t>
      </w:r>
      <w:r w:rsidR="00C339B1">
        <w:t> </w:t>
      </w:r>
      <w:r w:rsidR="0035766E">
        <w:t>1</w:t>
      </w:r>
      <w:r w:rsidR="00EF0A8F">
        <w:t>8</w:t>
      </w:r>
      <w:r w:rsidR="0035766E">
        <w:t xml:space="preserve">, 2022 </w:t>
      </w:r>
      <w:r w:rsidR="00136D81">
        <w:t xml:space="preserve">Garcia participated in a </w:t>
      </w:r>
      <w:r w:rsidR="00E52024">
        <w:t xml:space="preserve">prison </w:t>
      </w:r>
      <w:r w:rsidR="00136D81">
        <w:t xml:space="preserve">riot and </w:t>
      </w:r>
      <w:r w:rsidR="00012A8B">
        <w:t xml:space="preserve">attacked another prisoner.  Specifically, Garcia and seven other new arrivals to the Sierra Conservation Center </w:t>
      </w:r>
      <w:r w:rsidR="001C131A">
        <w:t xml:space="preserve">prison </w:t>
      </w:r>
      <w:r w:rsidR="0035766E">
        <w:t xml:space="preserve">rushed toward prisoners in the yard of the non-designated programming facility </w:t>
      </w:r>
      <w:r w:rsidR="003D29B3">
        <w:t>(NDPF),</w:t>
      </w:r>
      <w:r w:rsidR="00D04633">
        <w:rPr>
          <w:rStyle w:val="FootnoteReference"/>
        </w:rPr>
        <w:footnoteReference w:id="8"/>
      </w:r>
      <w:r w:rsidR="003D29B3">
        <w:t xml:space="preserve"> </w:t>
      </w:r>
      <w:r w:rsidR="0035766E">
        <w:t xml:space="preserve">“causing a </w:t>
      </w:r>
      <w:r w:rsidR="0035766E">
        <w:lastRenderedPageBreak/>
        <w:t>riot</w:t>
      </w:r>
      <w:r w:rsidR="0035766E" w:rsidRPr="009E0934">
        <w:t xml:space="preserve">.” </w:t>
      </w:r>
      <w:r w:rsidR="0035766E" w:rsidRPr="00DC04AE">
        <w:t xml:space="preserve"> Garcia and three other</w:t>
      </w:r>
      <w:r w:rsidR="00EF0A8F" w:rsidRPr="00DC04AE">
        <w:t xml:space="preserve"> new arrivals</w:t>
      </w:r>
      <w:r w:rsidR="0035766E" w:rsidRPr="00DC04AE">
        <w:t xml:space="preserve"> hit an inmate on his body, upper torso, and face</w:t>
      </w:r>
      <w:r w:rsidR="00EF0A8F" w:rsidRPr="00DC04AE">
        <w:t xml:space="preserve"> with their fists</w:t>
      </w:r>
      <w:r w:rsidR="0035766E" w:rsidRPr="00DC04AE">
        <w:t xml:space="preserve">.  </w:t>
      </w:r>
      <w:r w:rsidR="00DA506C" w:rsidRPr="00DC04AE">
        <w:t xml:space="preserve">Two corrections officers ordered the </w:t>
      </w:r>
      <w:r w:rsidR="00826C84" w:rsidRPr="00DC04AE">
        <w:t xml:space="preserve">attackers </w:t>
      </w:r>
      <w:r w:rsidR="00DA506C" w:rsidRPr="00DC04AE">
        <w:t xml:space="preserve">to “[g]et [d]own,” but they did not comply and continued to fight.  The second time the corrections officers gave orders to get down, the </w:t>
      </w:r>
      <w:r w:rsidR="00826C84" w:rsidRPr="00DC04AE">
        <w:t xml:space="preserve">attackers </w:t>
      </w:r>
      <w:r w:rsidR="00DA506C" w:rsidRPr="00DC04AE">
        <w:t xml:space="preserve">complied and got down on the ground.  </w:t>
      </w:r>
      <w:r w:rsidR="0035766E" w:rsidRPr="00DC04AE">
        <w:t>Ultimately</w:t>
      </w:r>
      <w:r w:rsidR="003D29B3" w:rsidRPr="00DC04AE">
        <w:t>,</w:t>
      </w:r>
      <w:r w:rsidR="0035766E" w:rsidRPr="00DC04AE">
        <w:t xml:space="preserve"> correction</w:t>
      </w:r>
      <w:r w:rsidR="00C35A2A" w:rsidRPr="006459F2">
        <w:t>s</w:t>
      </w:r>
      <w:r w:rsidR="0035766E" w:rsidRPr="00DC04AE">
        <w:t xml:space="preserve"> officers </w:t>
      </w:r>
      <w:r w:rsidR="00007BFE" w:rsidRPr="00DC04AE">
        <w:t xml:space="preserve">used </w:t>
      </w:r>
      <w:r w:rsidR="0035766E" w:rsidRPr="00DC04AE">
        <w:t xml:space="preserve">pepper spray to </w:t>
      </w:r>
      <w:r w:rsidR="00E52024" w:rsidRPr="00DC04AE">
        <w:t>control</w:t>
      </w:r>
      <w:r w:rsidR="003D29B3" w:rsidRPr="00DC04AE">
        <w:t xml:space="preserve"> the </w:t>
      </w:r>
      <w:r w:rsidR="00E52024" w:rsidRPr="00DC04AE">
        <w:t>situation</w:t>
      </w:r>
      <w:r w:rsidR="003D29B3" w:rsidRPr="00DC04AE">
        <w:t>.  Garcia</w:t>
      </w:r>
      <w:r w:rsidR="003D29B3">
        <w:t xml:space="preserve"> was placed in a</w:t>
      </w:r>
      <w:r w:rsidR="00E52024">
        <w:t xml:space="preserve"> </w:t>
      </w:r>
      <w:r w:rsidR="005959FF">
        <w:t>segregated</w:t>
      </w:r>
      <w:r w:rsidR="003D29B3">
        <w:t xml:space="preserve"> unit “for presenting an immediate threat to the safety of others and endangering institution security.”  When interviewed, Garcia stated, “‘I am a southsider</w:t>
      </w:r>
      <w:r w:rsidR="00FF3AD7">
        <w:rPr>
          <w:vertAlign w:val="superscript"/>
        </w:rPr>
        <w:t>[</w:t>
      </w:r>
      <w:r w:rsidR="00FF3AD7">
        <w:rPr>
          <w:rStyle w:val="FootnoteReference"/>
        </w:rPr>
        <w:footnoteReference w:id="9"/>
      </w:r>
      <w:r w:rsidR="00FF3AD7">
        <w:rPr>
          <w:vertAlign w:val="superscript"/>
        </w:rPr>
        <w:t>]</w:t>
      </w:r>
      <w:r w:rsidR="003D29B3">
        <w:t xml:space="preserve"> and I will continue to commit violence if rehoused on an NDPF yard[.]’”  The institutional classification committee concluded, “Due to [Garcia’s] unwillingness to conform to behavioral expectations of </w:t>
      </w:r>
      <w:r w:rsidR="003D29B3" w:rsidRPr="00FF3AD7">
        <w:t>an</w:t>
      </w:r>
      <w:r w:rsidR="003D29B3">
        <w:t xml:space="preserve"> NDPF, his unprovoked attack on an inmate he did not previously know of or have any prior</w:t>
      </w:r>
      <w:r w:rsidR="000C002A">
        <w:t xml:space="preserve"> </w:t>
      </w:r>
      <w:r w:rsidR="003D29B3">
        <w:t>interaction with</w:t>
      </w:r>
      <w:r w:rsidR="000C002A">
        <w:t>,</w:t>
      </w:r>
      <w:r w:rsidR="003D29B3">
        <w:t xml:space="preserve"> and statements during the interview, he is determined to be </w:t>
      </w:r>
      <w:r w:rsidR="00056F18">
        <w:t>[</w:t>
      </w:r>
      <w:r w:rsidR="003D29B3">
        <w:t>a</w:t>
      </w:r>
      <w:r w:rsidR="00C35A2A">
        <w:t>n</w:t>
      </w:r>
      <w:r w:rsidR="00056F18">
        <w:t>]</w:t>
      </w:r>
      <w:r w:rsidR="003D29B3">
        <w:t xml:space="preserve"> NDPF failure, presents threat to the safety of others and endangers institution security and shall not be rehoused</w:t>
      </w:r>
      <w:r w:rsidR="000C002A">
        <w:t xml:space="preserve"> [</w:t>
      </w:r>
      <w:r w:rsidR="005959FF">
        <w:t xml:space="preserve">in </w:t>
      </w:r>
      <w:r w:rsidR="005C0516">
        <w:t xml:space="preserve">the </w:t>
      </w:r>
      <w:r w:rsidR="005959FF">
        <w:t xml:space="preserve">nonsegregated </w:t>
      </w:r>
      <w:r w:rsidR="000C002A">
        <w:t xml:space="preserve">units].” </w:t>
      </w:r>
    </w:p>
    <w:p w14:paraId="259CE87A" w14:textId="24C4AD3E" w:rsidR="00623CC4" w:rsidRDefault="005959FF" w:rsidP="00F90966">
      <w:pPr>
        <w:tabs>
          <w:tab w:val="left" w:pos="1215"/>
        </w:tabs>
        <w:ind w:firstLine="720"/>
      </w:pPr>
      <w:r>
        <w:t xml:space="preserve">On September 28, 2022 Garcia filed a response </w:t>
      </w:r>
      <w:r w:rsidR="00D95227">
        <w:t>arguing the People</w:t>
      </w:r>
      <w:r w:rsidR="00645EB6">
        <w:t xml:space="preserve"> failed to present clear and convincing </w:t>
      </w:r>
      <w:r w:rsidR="00D95227">
        <w:t>evidence he presented a public safety risk</w:t>
      </w:r>
      <w:r>
        <w:t xml:space="preserve">.  </w:t>
      </w:r>
      <w:r w:rsidR="00D07081">
        <w:t>His C-file showed that o</w:t>
      </w:r>
      <w:r w:rsidR="00D95227">
        <w:t>n</w:t>
      </w:r>
      <w:r w:rsidR="00F7537F">
        <w:t xml:space="preserve"> </w:t>
      </w:r>
      <w:r w:rsidR="008B0CEC">
        <w:t xml:space="preserve">May 25, 2022, </w:t>
      </w:r>
      <w:r w:rsidR="00EF0A8F">
        <w:t>two months</w:t>
      </w:r>
      <w:r w:rsidR="008B0CEC">
        <w:t xml:space="preserve"> after the incident at the Sierra Conservation Center</w:t>
      </w:r>
      <w:r w:rsidR="00F7537F">
        <w:t xml:space="preserve">, </w:t>
      </w:r>
      <w:r w:rsidR="00D95227">
        <w:t xml:space="preserve">the </w:t>
      </w:r>
      <w:r w:rsidR="00645EB6">
        <w:t xml:space="preserve">classification committee at the </w:t>
      </w:r>
      <w:r w:rsidR="00875D09">
        <w:t>California City Correctional Facility</w:t>
      </w:r>
      <w:r w:rsidR="00645EB6">
        <w:t xml:space="preserve"> </w:t>
      </w:r>
      <w:r w:rsidR="008B0CEC">
        <w:t>decided</w:t>
      </w:r>
      <w:r w:rsidR="00B8717F">
        <w:t xml:space="preserve"> not to impose a violent offender </w:t>
      </w:r>
      <w:r w:rsidR="00EF0A8F">
        <w:lastRenderedPageBreak/>
        <w:t xml:space="preserve">determination based on the </w:t>
      </w:r>
      <w:r w:rsidR="00B8717F">
        <w:t xml:space="preserve">“the circumstances of </w:t>
      </w:r>
      <w:r w:rsidR="00EF0A8F">
        <w:t>[Garcia’s commitment</w:t>
      </w:r>
      <w:r w:rsidR="00B8717F">
        <w:t xml:space="preserve"> </w:t>
      </w:r>
      <w:r w:rsidR="00EC17F6">
        <w:t>offense</w:t>
      </w:r>
      <w:r w:rsidR="00EF0A8F">
        <w:t>]</w:t>
      </w:r>
      <w:r w:rsidR="00B8717F">
        <w:t>, no injuries noted to the victim</w:t>
      </w:r>
      <w:r w:rsidR="00EF0A8F">
        <w:t xml:space="preserve">,” and because </w:t>
      </w:r>
      <w:r w:rsidR="00B8717F">
        <w:t>Garcia</w:t>
      </w:r>
      <w:r w:rsidR="00EF0A8F">
        <w:t xml:space="preserve"> had “</w:t>
      </w:r>
      <w:r w:rsidR="00B8717F">
        <w:t>minimal history of committing similar offenses</w:t>
      </w:r>
      <w:r w:rsidR="008B0CEC">
        <w:t>.</w:t>
      </w:r>
      <w:r w:rsidR="00B8717F">
        <w:t xml:space="preserve">” </w:t>
      </w:r>
      <w:r w:rsidR="008B0CEC">
        <w:t xml:space="preserve"> T</w:t>
      </w:r>
      <w:r w:rsidR="00B8717F">
        <w:t xml:space="preserve">he committee </w:t>
      </w:r>
      <w:r w:rsidR="008B0CEC">
        <w:t xml:space="preserve">further </w:t>
      </w:r>
      <w:r w:rsidR="00B8717F">
        <w:t xml:space="preserve">found Garcia “does not pose a threat to the safety of [p]ublic, [s]taff, and [i]nmates if housed in a minimum support facility or a program in the community.”  Garcia was approved for a double cell “based on no recent in-cell misconduct or predatory behavior,” and </w:t>
      </w:r>
      <w:r w:rsidR="00EC17F6">
        <w:t>he reported he</w:t>
      </w:r>
      <w:r w:rsidR="00B8717F">
        <w:t xml:space="preserve"> was getting along with his cellmate. </w:t>
      </w:r>
      <w:r w:rsidR="00EC17F6">
        <w:t xml:space="preserve"> </w:t>
      </w:r>
      <w:r w:rsidR="00B8717F">
        <w:t xml:space="preserve">Garcia was also </w:t>
      </w:r>
      <w:r w:rsidR="00EF0A8F">
        <w:t xml:space="preserve">deemed </w:t>
      </w:r>
      <w:r w:rsidR="00B8717F">
        <w:t>eligible for contact vis</w:t>
      </w:r>
      <w:r w:rsidR="00EC17F6">
        <w:t>i</w:t>
      </w:r>
      <w:r w:rsidR="00B8717F">
        <w:t xml:space="preserve">ts with minors. </w:t>
      </w:r>
      <w:r w:rsidR="00F7537F">
        <w:t xml:space="preserve"> </w:t>
      </w:r>
      <w:r w:rsidR="008E019E">
        <w:t xml:space="preserve">Apart from the </w:t>
      </w:r>
      <w:r w:rsidR="00EF0A8F">
        <w:t>March</w:t>
      </w:r>
      <w:r w:rsidR="005C63D0">
        <w:t> </w:t>
      </w:r>
      <w:r w:rsidR="00D07081">
        <w:t>2022 riot and beating</w:t>
      </w:r>
      <w:r w:rsidR="008E019E">
        <w:t xml:space="preserve">, there were no other instances in the C-file </w:t>
      </w:r>
      <w:r w:rsidR="00D07081">
        <w:t>raising</w:t>
      </w:r>
      <w:r w:rsidR="008E019E">
        <w:t xml:space="preserve"> a public safety concern. </w:t>
      </w:r>
    </w:p>
    <w:p w14:paraId="326FA1B0" w14:textId="29AE98E6" w:rsidR="001D6BC4" w:rsidRDefault="00F7537F" w:rsidP="00F90966">
      <w:pPr>
        <w:tabs>
          <w:tab w:val="left" w:pos="1215"/>
        </w:tabs>
        <w:ind w:firstLine="720"/>
      </w:pPr>
      <w:r>
        <w:t xml:space="preserve">At the September 30, 2022 resentencing hearing, </w:t>
      </w:r>
      <w:r w:rsidR="008E019E">
        <w:t>t</w:t>
      </w:r>
      <w:r w:rsidR="001D6BC4">
        <w:t>he superior court</w:t>
      </w:r>
      <w:r w:rsidR="001D6BC4">
        <w:rPr>
          <w:rStyle w:val="FootnoteReference"/>
        </w:rPr>
        <w:footnoteReference w:id="10"/>
      </w:r>
      <w:r w:rsidR="001D6BC4">
        <w:t xml:space="preserve"> found by clear and convincing evidence that Garcia </w:t>
      </w:r>
      <w:r w:rsidR="00EF0A8F">
        <w:t>posed</w:t>
      </w:r>
      <w:r w:rsidR="001D6BC4">
        <w:t xml:space="preserve"> a public safety risk based on the “seriousness of the offense as charged, . . . the fact that [Garcia] had a maximum of 30 years, used a firearm, discharged it, </w:t>
      </w:r>
      <w:r w:rsidR="000A1699">
        <w:t xml:space="preserve">[and] </w:t>
      </w:r>
      <w:r w:rsidR="001D6BC4">
        <w:t>suffered several prior felony convictions that seemed to become more serious in nature</w:t>
      </w:r>
      <w:r w:rsidR="008E019E">
        <w:t>.</w:t>
      </w:r>
      <w:r w:rsidR="001D6BC4">
        <w:t>”</w:t>
      </w:r>
      <w:r w:rsidR="008E019E">
        <w:t xml:space="preserve">  The court </w:t>
      </w:r>
      <w:r w:rsidR="00D07081">
        <w:t xml:space="preserve">also </w:t>
      </w:r>
      <w:r w:rsidR="008E019E">
        <w:t xml:space="preserve">based its finding on Garcia’s </w:t>
      </w:r>
      <w:r w:rsidR="001D6BC4">
        <w:t xml:space="preserve">“post-conviction behavior such as [his] failure to obey the court in returning for sentencing, engaging in a riot, as well as the allegations of </w:t>
      </w:r>
      <w:r w:rsidR="0055766B">
        <w:t xml:space="preserve">[a] </w:t>
      </w:r>
      <w:r w:rsidR="001D6BC4">
        <w:t xml:space="preserve">group beating of one individual.”  </w:t>
      </w:r>
    </w:p>
    <w:p w14:paraId="4EF028A2" w14:textId="71809DA6" w:rsidR="001D6BC4" w:rsidRDefault="008E019E" w:rsidP="00F90966">
      <w:pPr>
        <w:tabs>
          <w:tab w:val="left" w:pos="1215"/>
        </w:tabs>
        <w:ind w:firstLine="720"/>
      </w:pPr>
      <w:r>
        <w:t xml:space="preserve">The </w:t>
      </w:r>
      <w:r w:rsidR="00EF0A8F">
        <w:t xml:space="preserve">superior </w:t>
      </w:r>
      <w:r>
        <w:t xml:space="preserve">court </w:t>
      </w:r>
      <w:r w:rsidR="00D27A03">
        <w:t>acknowledged</w:t>
      </w:r>
      <w:r w:rsidR="00315AA6">
        <w:t xml:space="preserve"> </w:t>
      </w:r>
      <w:r>
        <w:t xml:space="preserve">it was required to resentence Garcia because of the </w:t>
      </w:r>
      <w:r w:rsidR="00E52024">
        <w:t>invalidity</w:t>
      </w:r>
      <w:r>
        <w:t xml:space="preserve"> of the one-year </w:t>
      </w:r>
      <w:r w:rsidR="00856C7C">
        <w:t>p</w:t>
      </w:r>
      <w:r>
        <w:t xml:space="preserve">rison </w:t>
      </w:r>
      <w:r w:rsidR="00856C7C">
        <w:t xml:space="preserve">prior </w:t>
      </w:r>
      <w:r>
        <w:t xml:space="preserve">sentence enhancements, but </w:t>
      </w:r>
      <w:r w:rsidR="003D27B8">
        <w:t xml:space="preserve">it declined to </w:t>
      </w:r>
      <w:r>
        <w:t xml:space="preserve">reduce </w:t>
      </w:r>
      <w:r w:rsidR="00EF0A8F">
        <w:t>Garcia’s</w:t>
      </w:r>
      <w:r>
        <w:t xml:space="preserve"> sentence</w:t>
      </w:r>
      <w:r w:rsidR="003D27B8">
        <w:t>, finding a</w:t>
      </w:r>
      <w:r w:rsidR="00136993">
        <w:t xml:space="preserve"> public safety risk and </w:t>
      </w:r>
      <w:r w:rsidR="00001ABA">
        <w:t xml:space="preserve">noting </w:t>
      </w:r>
      <w:r w:rsidR="00EF0A8F">
        <w:t>“the open plea main goal was to get to 12</w:t>
      </w:r>
      <w:r w:rsidR="0055766B">
        <w:t> </w:t>
      </w:r>
      <w:r w:rsidR="00EF0A8F">
        <w:t xml:space="preserve">years.” </w:t>
      </w:r>
      <w:r>
        <w:t xml:space="preserve"> </w:t>
      </w:r>
      <w:r w:rsidR="005575FE">
        <w:t>T</w:t>
      </w:r>
      <w:r>
        <w:t xml:space="preserve">he court resentenced Garcia </w:t>
      </w:r>
      <w:r w:rsidR="00D07081">
        <w:t xml:space="preserve">to an aggregate sentence of </w:t>
      </w:r>
      <w:r w:rsidR="00EF0A8F">
        <w:t>12</w:t>
      </w:r>
      <w:r w:rsidR="0055766B">
        <w:t> </w:t>
      </w:r>
      <w:r w:rsidR="00EF0A8F">
        <w:t xml:space="preserve">years </w:t>
      </w:r>
      <w:r w:rsidR="00FF3AD7">
        <w:t>comprising</w:t>
      </w:r>
      <w:r w:rsidR="00EF0A8F">
        <w:t xml:space="preserve"> the </w:t>
      </w:r>
      <w:r>
        <w:t xml:space="preserve">low term of </w:t>
      </w:r>
      <w:r>
        <w:lastRenderedPageBreak/>
        <w:t xml:space="preserve">two years </w:t>
      </w:r>
      <w:r w:rsidR="005575FE">
        <w:t xml:space="preserve">on </w:t>
      </w:r>
      <w:r>
        <w:t xml:space="preserve">the robbery </w:t>
      </w:r>
      <w:r w:rsidR="00136993">
        <w:t xml:space="preserve">count </w:t>
      </w:r>
      <w:r>
        <w:t>plus 10</w:t>
      </w:r>
      <w:r w:rsidR="0055766B">
        <w:t> </w:t>
      </w:r>
      <w:r>
        <w:t>years for</w:t>
      </w:r>
      <w:r w:rsidR="00E52024">
        <w:t xml:space="preserve"> </w:t>
      </w:r>
      <w:r w:rsidR="00D872B7">
        <w:t xml:space="preserve">the lesser included </w:t>
      </w:r>
      <w:r w:rsidR="00097E93">
        <w:t xml:space="preserve">sentence enhancement for </w:t>
      </w:r>
      <w:r w:rsidR="00E52024">
        <w:t xml:space="preserve">personal use of a firearm </w:t>
      </w:r>
      <w:r w:rsidR="00EF0A8F">
        <w:t>under section</w:t>
      </w:r>
      <w:r w:rsidR="0055766B">
        <w:t> </w:t>
      </w:r>
      <w:r>
        <w:t>12022.53, subd</w:t>
      </w:r>
      <w:r w:rsidR="00EF0A8F">
        <w:t>ivision</w:t>
      </w:r>
      <w:r w:rsidR="0055766B">
        <w:t> </w:t>
      </w:r>
      <w:r>
        <w:t>(b).</w:t>
      </w:r>
      <w:r w:rsidR="00136993">
        <w:t xml:space="preserve">  On count</w:t>
      </w:r>
      <w:r w:rsidR="0055766B">
        <w:t> </w:t>
      </w:r>
      <w:r w:rsidR="00136993">
        <w:t>2 the court sentenced Garcia to the middle term of two years to run concurrently with his sentence on count</w:t>
      </w:r>
      <w:r w:rsidR="00917039">
        <w:t> </w:t>
      </w:r>
      <w:r w:rsidR="00136993">
        <w:t xml:space="preserve">1. </w:t>
      </w:r>
    </w:p>
    <w:p w14:paraId="4806F06D" w14:textId="6E2CD353" w:rsidR="00683D27" w:rsidRDefault="00136993" w:rsidP="003E4AC1">
      <w:pPr>
        <w:tabs>
          <w:tab w:val="left" w:pos="1215"/>
        </w:tabs>
        <w:ind w:firstLine="720"/>
      </w:pPr>
      <w:r>
        <w:t xml:space="preserve">Garcia timely appealed. </w:t>
      </w:r>
    </w:p>
    <w:p w14:paraId="4C945983" w14:textId="77777777" w:rsidR="00826C84" w:rsidRPr="002862C8" w:rsidRDefault="00826C84" w:rsidP="003E4AC1">
      <w:pPr>
        <w:tabs>
          <w:tab w:val="left" w:pos="1215"/>
        </w:tabs>
        <w:ind w:firstLine="720"/>
      </w:pPr>
    </w:p>
    <w:p w14:paraId="4E9CBC66" w14:textId="77777777" w:rsidR="00683D27" w:rsidRPr="00695353" w:rsidRDefault="00683D27">
      <w:pPr>
        <w:pStyle w:val="Heading1"/>
      </w:pPr>
      <w:r w:rsidRPr="00695353">
        <w:t>DISCUSSION</w:t>
      </w:r>
    </w:p>
    <w:p w14:paraId="6DF48179" w14:textId="77777777" w:rsidR="00683D27" w:rsidRDefault="00683D27" w:rsidP="00F62B40">
      <w:pPr>
        <w:keepNext/>
        <w:rPr>
          <w:iCs/>
        </w:rPr>
      </w:pPr>
    </w:p>
    <w:p w14:paraId="5817F8CA" w14:textId="358B1581" w:rsidR="00683D27" w:rsidRDefault="00DC7C29" w:rsidP="00B221A9">
      <w:pPr>
        <w:pStyle w:val="Heading2"/>
      </w:pPr>
      <w:r>
        <w:t>Governing Law and Standard of Review</w:t>
      </w:r>
    </w:p>
    <w:p w14:paraId="2BB6ADCC" w14:textId="2C5D8E14" w:rsidR="00E52024" w:rsidRPr="00E52024" w:rsidRDefault="00E52024" w:rsidP="00EF0A8F">
      <w:pPr>
        <w:ind w:firstLine="720"/>
      </w:pPr>
      <w:r>
        <w:t>“Prior to January 1, 2020, section</w:t>
      </w:r>
      <w:r w:rsidR="000150E1">
        <w:t> </w:t>
      </w:r>
      <w:r>
        <w:t>667.5, subdivision</w:t>
      </w:r>
      <w:r w:rsidR="000150E1">
        <w:t> </w:t>
      </w:r>
      <w:r>
        <w:t xml:space="preserve">(b) required trial courts to impose a one-year sentence enhancement for each true finding on an allegation the defendant had served a separate prior prison term and had not remained free of custody for at least five years.  [Citation.]  Effective January 1, 2020, Senate Bill </w:t>
      </w:r>
      <w:r w:rsidR="00BA14BE">
        <w:t>No.</w:t>
      </w:r>
      <w:r w:rsidR="000150E1">
        <w:t> </w:t>
      </w:r>
      <w:r>
        <w:t xml:space="preserve">136 </w:t>
      </w:r>
      <w:r w:rsidR="00917039">
        <w:rPr>
          <w:rStyle w:val="ssrfcpassagedeactivated"/>
        </w:rPr>
        <w:t>(</w:t>
      </w:r>
      <w:r w:rsidR="00917039">
        <w:rPr>
          <w:rStyle w:val="sssh"/>
        </w:rPr>
        <w:t>2019</w:t>
      </w:r>
      <w:r w:rsidR="00917039">
        <w:rPr>
          <w:rStyle w:val="ssrfcpassagedeactivated"/>
        </w:rPr>
        <w:t xml:space="preserve">–2020 Reg. Sess.) </w:t>
      </w:r>
      <w:r>
        <w:t>(Stats.</w:t>
      </w:r>
      <w:r w:rsidR="00BA14BE">
        <w:t> </w:t>
      </w:r>
      <w:r>
        <w:t>2019, ch.</w:t>
      </w:r>
      <w:r w:rsidR="00BA14BE">
        <w:t> </w:t>
      </w:r>
      <w:r>
        <w:t>590) . . . amended section</w:t>
      </w:r>
      <w:r w:rsidR="00BA14BE">
        <w:t> </w:t>
      </w:r>
      <w:r>
        <w:t>667.5 by limiting the prior prison term enhancement to only prior terms for sexually violent offenses.  [Citations.]  Enhancements based on prior prison terms served for other offenses became legally invalid.”  (</w:t>
      </w:r>
      <w:r w:rsidRPr="00E52024">
        <w:rPr>
          <w:i/>
          <w:iCs/>
        </w:rPr>
        <w:t>People v. Burgess</w:t>
      </w:r>
      <w:r>
        <w:t xml:space="preserve"> (2022) 86</w:t>
      </w:r>
      <w:r w:rsidR="00BA14BE">
        <w:t> </w:t>
      </w:r>
      <w:r>
        <w:t xml:space="preserve">Cal.App.5th 375, 379-380.)  </w:t>
      </w:r>
      <w:r w:rsidR="00D07081">
        <w:t>The</w:t>
      </w:r>
      <w:r>
        <w:t xml:space="preserve"> Legislature later enacted Senate Bill No.</w:t>
      </w:r>
      <w:r w:rsidR="000150E1">
        <w:t> </w:t>
      </w:r>
      <w:r>
        <w:t>483</w:t>
      </w:r>
      <w:r w:rsidR="00D07081">
        <w:t>, effective January 1, 2022,</w:t>
      </w:r>
      <w:r>
        <w:t xml:space="preserve"> to make the changes implemented by Senate Bill No.</w:t>
      </w:r>
      <w:r w:rsidR="000150E1">
        <w:t> </w:t>
      </w:r>
      <w:r>
        <w:t>136 retroactive</w:t>
      </w:r>
      <w:r w:rsidR="00D07081">
        <w:t xml:space="preserve"> by adding former section</w:t>
      </w:r>
      <w:r w:rsidR="000150E1">
        <w:t> </w:t>
      </w:r>
      <w:r w:rsidR="00D07081">
        <w:t>1171.1 (now section</w:t>
      </w:r>
      <w:r w:rsidR="000150E1">
        <w:t> </w:t>
      </w:r>
      <w:r w:rsidR="00D07081">
        <w:t>1172.75)</w:t>
      </w:r>
      <w:r w:rsidR="00826C84">
        <w:rPr>
          <w:rStyle w:val="FootnoteReference"/>
        </w:rPr>
        <w:footnoteReference w:id="11"/>
      </w:r>
      <w:r w:rsidR="00D07081">
        <w:t xml:space="preserve"> to the Penal Code</w:t>
      </w:r>
      <w:r>
        <w:t>.  (</w:t>
      </w:r>
      <w:r w:rsidR="00EF0A8F">
        <w:t xml:space="preserve">See </w:t>
      </w:r>
      <w:r>
        <w:t>Stats.</w:t>
      </w:r>
      <w:r w:rsidR="000150E1">
        <w:t> </w:t>
      </w:r>
      <w:r>
        <w:t>2021, ch.</w:t>
      </w:r>
      <w:r w:rsidR="00717A1D">
        <w:t> </w:t>
      </w:r>
      <w:r>
        <w:t>728, §</w:t>
      </w:r>
      <w:r w:rsidR="000150E1">
        <w:t> </w:t>
      </w:r>
      <w:r>
        <w:t>1 [“it is the intent of the Legislature to retroactively apply . . . Senate Bill</w:t>
      </w:r>
      <w:r w:rsidR="000150E1">
        <w:t> </w:t>
      </w:r>
      <w:r>
        <w:t xml:space="preserve">136 . . . to all </w:t>
      </w:r>
      <w:r>
        <w:lastRenderedPageBreak/>
        <w:t xml:space="preserve">persons currently serving a term of incarceration in jail or prison for these repealed sentence enhancements”]; accord, </w:t>
      </w:r>
      <w:r>
        <w:rPr>
          <w:i/>
          <w:iCs/>
        </w:rPr>
        <w:t>Burgess</w:t>
      </w:r>
      <w:r w:rsidRPr="00EF0A8F">
        <w:t>,</w:t>
      </w:r>
      <w:r>
        <w:t xml:space="preserve"> at p. 380; accord, </w:t>
      </w:r>
      <w:r w:rsidRPr="00E52024">
        <w:rPr>
          <w:i/>
          <w:iCs/>
        </w:rPr>
        <w:t>People v. Monroe</w:t>
      </w:r>
      <w:r>
        <w:t xml:space="preserve"> (2022) 85</w:t>
      </w:r>
      <w:r w:rsidR="000150E1">
        <w:t> </w:t>
      </w:r>
      <w:r>
        <w:t>Cal.App.5th 393, 399 (</w:t>
      </w:r>
      <w:r>
        <w:rPr>
          <w:i/>
          <w:iCs/>
        </w:rPr>
        <w:t>Monroe</w:t>
      </w:r>
      <w:r>
        <w:t>).)</w:t>
      </w:r>
      <w:r w:rsidR="00AB391D">
        <w:t xml:space="preserve"> </w:t>
      </w:r>
    </w:p>
    <w:p w14:paraId="5875F436" w14:textId="1C1CAD25" w:rsidR="00E52024" w:rsidRDefault="00E52024" w:rsidP="00E52024">
      <w:pPr>
        <w:ind w:firstLine="720"/>
      </w:pPr>
      <w:r>
        <w:t>Section</w:t>
      </w:r>
      <w:r w:rsidR="000150E1">
        <w:t> </w:t>
      </w:r>
      <w:r>
        <w:t>1172.75</w:t>
      </w:r>
      <w:r w:rsidR="00EF0A8F">
        <w:t>, subdivision</w:t>
      </w:r>
      <w:r w:rsidR="000150E1">
        <w:t> </w:t>
      </w:r>
      <w:r w:rsidR="00EF0A8F">
        <w:t>(a),</w:t>
      </w:r>
      <w:r>
        <w:t xml:space="preserve"> </w:t>
      </w:r>
      <w:r w:rsidR="00CC786A">
        <w:t>provides,</w:t>
      </w:r>
      <w:r>
        <w:t xml:space="preserve"> “</w:t>
      </w:r>
      <w:r w:rsidR="00EF0A8F">
        <w:t>A</w:t>
      </w:r>
      <w:r>
        <w:t>ny sentence enhancement that was imposed prior to January</w:t>
      </w:r>
      <w:r w:rsidR="000150E1">
        <w:t> </w:t>
      </w:r>
      <w:r>
        <w:t>1, 2020, pursuant to subdivision</w:t>
      </w:r>
      <w:r w:rsidR="000150E1">
        <w:t> </w:t>
      </w:r>
      <w:r>
        <w:t>(b) of Section</w:t>
      </w:r>
      <w:r w:rsidR="000150E1">
        <w:t> </w:t>
      </w:r>
      <w:r>
        <w:t xml:space="preserve">667.5, except for any enhancement imposed for a prior conviction for a sexually violent offense . . . is legally invalid.”  </w:t>
      </w:r>
      <w:r w:rsidR="00CC786A">
        <w:t>T</w:t>
      </w:r>
      <w:r w:rsidR="00EE6641">
        <w:t xml:space="preserve">he </w:t>
      </w:r>
      <w:r>
        <w:t xml:space="preserve">Department of Corrections and Rehabilitation is required to identify </w:t>
      </w:r>
      <w:r w:rsidR="00EE6641">
        <w:t>for</w:t>
      </w:r>
      <w:r w:rsidR="00EF0A8F">
        <w:t xml:space="preserve"> the sentencing court</w:t>
      </w:r>
      <w:r w:rsidR="00D07081">
        <w:t>s</w:t>
      </w:r>
      <w:r w:rsidR="00EF0A8F">
        <w:t xml:space="preserve"> </w:t>
      </w:r>
      <w:r>
        <w:t>all persons “c</w:t>
      </w:r>
      <w:r w:rsidRPr="00E52024">
        <w:t>urrently serving a term for a judgment that includes an enhancement described in subdivision</w:t>
      </w:r>
      <w:r w:rsidR="005C63D0">
        <w:t> </w:t>
      </w:r>
      <w:r w:rsidRPr="00E52024">
        <w:t>(a)</w:t>
      </w:r>
      <w:r>
        <w:t>” (§</w:t>
      </w:r>
      <w:r w:rsidR="000150E1">
        <w:t> </w:t>
      </w:r>
      <w:r>
        <w:t>1172.75, subd.</w:t>
      </w:r>
      <w:r w:rsidR="000150E1">
        <w:t> </w:t>
      </w:r>
      <w:r>
        <w:t xml:space="preserve">(b)), </w:t>
      </w:r>
      <w:r w:rsidR="00EF0A8F">
        <w:t xml:space="preserve">and if </w:t>
      </w:r>
      <w:r w:rsidR="00D07081">
        <w:t>a</w:t>
      </w:r>
      <w:r w:rsidR="00EF0A8F">
        <w:t xml:space="preserve"> sentencing court verifies </w:t>
      </w:r>
      <w:r w:rsidR="00EE6641">
        <w:t>a</w:t>
      </w:r>
      <w:r w:rsidR="00EF0A8F">
        <w:t xml:space="preserve"> defendant was sentenced under </w:t>
      </w:r>
      <w:r w:rsidR="00EE6641">
        <w:t>an</w:t>
      </w:r>
      <w:r w:rsidR="00EF0A8F">
        <w:t xml:space="preserve"> invalid enhancement, </w:t>
      </w:r>
      <w:r>
        <w:t>the court “shall recall the sentence and resentence the defendant” (§</w:t>
      </w:r>
      <w:r w:rsidR="00CC786A">
        <w:t> </w:t>
      </w:r>
      <w:r>
        <w:t>1172.75, subd.</w:t>
      </w:r>
      <w:r w:rsidR="000150E1">
        <w:t> </w:t>
      </w:r>
      <w:r>
        <w:t>(c)).  “By its plain terms, section</w:t>
      </w:r>
      <w:r w:rsidR="000150E1">
        <w:t> </w:t>
      </w:r>
      <w:r>
        <w:t>1172.75 requires a full resentencing, not merely that the trial court strike the newly ‘invalid’ enhancements.”  (</w:t>
      </w:r>
      <w:r>
        <w:rPr>
          <w:i/>
          <w:iCs/>
        </w:rPr>
        <w:t>Monroe, supra</w:t>
      </w:r>
      <w:r>
        <w:t>, 85</w:t>
      </w:r>
      <w:r w:rsidR="000150E1">
        <w:t> </w:t>
      </w:r>
      <w:r>
        <w:t>Cal.App.5th at p.</w:t>
      </w:r>
      <w:r w:rsidR="00EF0A8F">
        <w:t> </w:t>
      </w:r>
      <w:r>
        <w:t xml:space="preserve">402; accord, </w:t>
      </w:r>
      <w:r w:rsidRPr="00E52024">
        <w:rPr>
          <w:i/>
          <w:iCs/>
        </w:rPr>
        <w:t>People v. Montgomery</w:t>
      </w:r>
      <w:r>
        <w:t xml:space="preserve"> (2024) </w:t>
      </w:r>
      <w:r w:rsidR="002C4605">
        <w:t>100</w:t>
      </w:r>
      <w:r w:rsidR="000150E1">
        <w:t> </w:t>
      </w:r>
      <w:r w:rsidR="00EF0A8F">
        <w:t xml:space="preserve">Cal.App.5th </w:t>
      </w:r>
      <w:r w:rsidR="002C4605">
        <w:t>768, 773</w:t>
      </w:r>
      <w:r>
        <w:t>.)</w:t>
      </w:r>
      <w:r>
        <w:rPr>
          <w:rStyle w:val="FootnoteReference"/>
        </w:rPr>
        <w:footnoteReference w:id="12"/>
      </w:r>
      <w:r>
        <w:t xml:space="preserve">  </w:t>
      </w:r>
    </w:p>
    <w:p w14:paraId="1D6A2A7D" w14:textId="60608D95" w:rsidR="00E52024" w:rsidRDefault="00E52024" w:rsidP="004C5748">
      <w:pPr>
        <w:widowControl w:val="0"/>
        <w:ind w:firstLine="720"/>
      </w:pPr>
      <w:r>
        <w:lastRenderedPageBreak/>
        <w:t>Section</w:t>
      </w:r>
      <w:r w:rsidR="000150E1">
        <w:t> </w:t>
      </w:r>
      <w:r>
        <w:t>117</w:t>
      </w:r>
      <w:r w:rsidR="00DC7C29">
        <w:t>2</w:t>
      </w:r>
      <w:r>
        <w:t>.75</w:t>
      </w:r>
      <w:r w:rsidR="00EE6641">
        <w:t>, subdivision (d)</w:t>
      </w:r>
      <w:r w:rsidR="007A1924">
        <w:t>(1)</w:t>
      </w:r>
      <w:r w:rsidR="00EE6641">
        <w:t xml:space="preserve">, </w:t>
      </w:r>
      <w:r w:rsidR="00CC786A">
        <w:t>states</w:t>
      </w:r>
      <w:r>
        <w:t xml:space="preserve"> that </w:t>
      </w:r>
      <w:r w:rsidR="00B42AB2">
        <w:t xml:space="preserve">the </w:t>
      </w:r>
      <w:r>
        <w:t>resentencing “</w:t>
      </w:r>
      <w:r w:rsidRPr="00E52024">
        <w:t>shall result in a lesser sentence than the one originally imposed as a result of the elimination of the repealed enhancement, unless the court finds by clear and convincing evidence that imposing a lesser sentence would endanger public safety</w:t>
      </w:r>
      <w:r w:rsidR="00DC7C29">
        <w:t xml:space="preserve">,” </w:t>
      </w:r>
      <w:r w:rsidR="00CC786A">
        <w:t>and</w:t>
      </w:r>
      <w:r w:rsidR="00DC7C29">
        <w:t xml:space="preserve"> </w:t>
      </w:r>
      <w:r w:rsidR="00B17ACE">
        <w:t xml:space="preserve">further, </w:t>
      </w:r>
      <w:r>
        <w:t>resentencing “</w:t>
      </w:r>
      <w:r w:rsidRPr="00E52024">
        <w:t>shall not result in a longer sentence than the one originally imposed</w:t>
      </w:r>
      <w:r>
        <w:t>.”</w:t>
      </w:r>
      <w:r w:rsidR="000150E1">
        <w:t>  </w:t>
      </w:r>
      <w:r w:rsidR="00B17ACE">
        <w:t>In addition</w:t>
      </w:r>
      <w:r w:rsidR="00CC786A">
        <w:t>, t</w:t>
      </w:r>
      <w:r>
        <w:t>he sentencing court “‘shall apply the sentencing rules of the Judicial Council and apply any other changes in law that reduce sentences or provide for judicial discretion so as to eliminate disparity of sentences and to promote uniformity of sentencing.’”  (§</w:t>
      </w:r>
      <w:r w:rsidR="000150E1">
        <w:t> </w:t>
      </w:r>
      <w:r>
        <w:t xml:space="preserve">1172.75, subd. (d)(2).)  “The court may consider postconviction factors, including </w:t>
      </w:r>
      <w:r w:rsidRPr="00E52024">
        <w:t>but not limited to, the disciplinary record and record of rehabilitation of the defendant while incarcerated, evidence that reflects whether age, time served, and diminished physical condition, if any, have reduced the defendant</w:t>
      </w:r>
      <w:r>
        <w:t>’</w:t>
      </w:r>
      <w:r w:rsidRPr="00E52024">
        <w:t>s risk for future violence, and evidence that reflects that circumstances have changed since the original sentencing so that continued incarceration is no longer in the interest of justice</w:t>
      </w:r>
      <w:r>
        <w:t>.”  (§</w:t>
      </w:r>
      <w:r w:rsidR="000150E1">
        <w:t> </w:t>
      </w:r>
      <w:r>
        <w:t xml:space="preserve">1172.75, subd. (d)(3); accord, </w:t>
      </w:r>
      <w:r w:rsidR="000D0B3E" w:rsidRPr="000D0B3E">
        <w:rPr>
          <w:i/>
          <w:iCs/>
        </w:rPr>
        <w:t>People v. Montgomery</w:t>
      </w:r>
      <w:r w:rsidR="000D0B3E" w:rsidRPr="000D0B3E">
        <w:t xml:space="preserve">, </w:t>
      </w:r>
      <w:r w:rsidR="000D0B3E" w:rsidRPr="000D0B3E">
        <w:rPr>
          <w:i/>
          <w:iCs/>
        </w:rPr>
        <w:t>supra</w:t>
      </w:r>
      <w:r w:rsidR="000D0B3E" w:rsidRPr="000D0B3E">
        <w:t>, 100 Cal.App.5th at p. 773</w:t>
      </w:r>
      <w:r w:rsidR="000D0B3E">
        <w:t xml:space="preserve">; </w:t>
      </w:r>
      <w:r w:rsidRPr="00E52024">
        <w:rPr>
          <w:i/>
          <w:iCs/>
        </w:rPr>
        <w:t>Monroe</w:t>
      </w:r>
      <w:r>
        <w:t xml:space="preserve">, </w:t>
      </w:r>
      <w:r w:rsidR="00917039">
        <w:rPr>
          <w:i/>
          <w:iCs/>
        </w:rPr>
        <w:t>supra</w:t>
      </w:r>
      <w:r w:rsidR="00917039">
        <w:t>, 85</w:t>
      </w:r>
      <w:r w:rsidR="000150E1">
        <w:t> </w:t>
      </w:r>
      <w:r w:rsidR="00917039">
        <w:t xml:space="preserve">Cal.App.5th </w:t>
      </w:r>
      <w:r>
        <w:t xml:space="preserve">at </w:t>
      </w:r>
      <w:r>
        <w:lastRenderedPageBreak/>
        <w:t>p.</w:t>
      </w:r>
      <w:r w:rsidR="00F012E4">
        <w:t> </w:t>
      </w:r>
      <w:r>
        <w:t>399</w:t>
      </w:r>
      <w:r w:rsidR="000D0B3E">
        <w:t>.</w:t>
      </w:r>
      <w:r>
        <w:t>)</w:t>
      </w:r>
      <w:r w:rsidR="00EF0A8F">
        <w:rPr>
          <w:rStyle w:val="FootnoteReference"/>
        </w:rPr>
        <w:footnoteReference w:id="13"/>
      </w:r>
    </w:p>
    <w:p w14:paraId="3A53D6D7" w14:textId="48B41841" w:rsidR="00AB7A55" w:rsidRDefault="00B6583F" w:rsidP="004C5748">
      <w:pPr>
        <w:widowControl w:val="0"/>
        <w:ind w:firstLine="720"/>
      </w:pPr>
      <w:r>
        <w:t>N</w:t>
      </w:r>
      <w:r w:rsidR="00DC7C29">
        <w:t>o published decision</w:t>
      </w:r>
      <w:r>
        <w:t xml:space="preserve"> has</w:t>
      </w:r>
      <w:r w:rsidR="00DC7C29">
        <w:t xml:space="preserve"> address</w:t>
      </w:r>
      <w:r w:rsidR="00B3038D">
        <w:t>ed</w:t>
      </w:r>
      <w:r>
        <w:t xml:space="preserve"> the standard for reviewing a </w:t>
      </w:r>
      <w:r w:rsidR="00AB7A55">
        <w:t>superior</w:t>
      </w:r>
      <w:r w:rsidR="00DC7C29">
        <w:t xml:space="preserve"> court’s decision not to reduce a defendant’s sentence under section</w:t>
      </w:r>
      <w:r w:rsidR="000150E1">
        <w:t> </w:t>
      </w:r>
      <w:r w:rsidR="00DC7C29">
        <w:t>1172.75, subdivision</w:t>
      </w:r>
      <w:r w:rsidR="000150E1">
        <w:t> </w:t>
      </w:r>
      <w:r w:rsidR="00DC7C29">
        <w:t>(d)</w:t>
      </w:r>
      <w:r w:rsidR="00AB7A55">
        <w:t xml:space="preserve">, based on a finding </w:t>
      </w:r>
      <w:r w:rsidR="00DC7C29">
        <w:t xml:space="preserve">the defendant </w:t>
      </w:r>
      <w:r w:rsidR="00DE3A62">
        <w:t>endangers</w:t>
      </w:r>
      <w:r w:rsidR="00DC7C29">
        <w:t xml:space="preserve"> public safety.  </w:t>
      </w:r>
      <w:r w:rsidR="00381F06">
        <w:t>However, as t</w:t>
      </w:r>
      <w:r w:rsidR="00C62F55">
        <w:t xml:space="preserve">he People and Garcia </w:t>
      </w:r>
      <w:r w:rsidR="00381F06">
        <w:t xml:space="preserve">observe, </w:t>
      </w:r>
      <w:r w:rsidR="00210B7D">
        <w:t xml:space="preserve">we review for </w:t>
      </w:r>
      <w:r w:rsidR="00DC7C29">
        <w:t>an abuse of discretion</w:t>
      </w:r>
      <w:r w:rsidR="00210B7D">
        <w:t xml:space="preserve"> </w:t>
      </w:r>
      <w:r w:rsidR="00AB7A55">
        <w:t xml:space="preserve">a </w:t>
      </w:r>
      <w:r w:rsidR="00210B7D">
        <w:t xml:space="preserve">superior court’s </w:t>
      </w:r>
      <w:r w:rsidR="00DC7C29">
        <w:t xml:space="preserve">risk determination </w:t>
      </w:r>
      <w:r w:rsidR="00AB7A55">
        <w:t>under</w:t>
      </w:r>
      <w:r w:rsidR="00DC7C29">
        <w:t xml:space="preserve"> other ameliorative sentencing </w:t>
      </w:r>
      <w:r w:rsidR="00AB7A55">
        <w:t>legislation</w:t>
      </w:r>
      <w:r w:rsidR="00DC7C29">
        <w:t>.  (See, e.g</w:t>
      </w:r>
      <w:r w:rsidR="00DC7C29" w:rsidRPr="00DC7C29">
        <w:rPr>
          <w:i/>
          <w:iCs/>
        </w:rPr>
        <w:t>.</w:t>
      </w:r>
      <w:r w:rsidR="00DC7C29" w:rsidRPr="00AB7A55">
        <w:t>,</w:t>
      </w:r>
      <w:r w:rsidR="009D722F">
        <w:t xml:space="preserve"> </w:t>
      </w:r>
      <w:r w:rsidR="009D722F" w:rsidRPr="009D722F">
        <w:rPr>
          <w:i/>
          <w:iCs/>
        </w:rPr>
        <w:t>People v. Mendoza</w:t>
      </w:r>
      <w:r w:rsidR="009D722F" w:rsidRPr="009D722F">
        <w:t xml:space="preserve"> (2023) 88 Cal.App.5th 287, 298 [</w:t>
      </w:r>
      <w:r w:rsidR="00CC5420">
        <w:t xml:space="preserve">applying abuse of discretion standard to </w:t>
      </w:r>
      <w:r w:rsidR="009D722F" w:rsidRPr="009D722F">
        <w:t xml:space="preserve">determination whether dismissal of an enhancement pursuant to </w:t>
      </w:r>
      <w:r w:rsidR="00AA1AAA">
        <w:t xml:space="preserve">amendments </w:t>
      </w:r>
      <w:r w:rsidR="000436C8">
        <w:t xml:space="preserve">to </w:t>
      </w:r>
      <w:r w:rsidR="009D722F" w:rsidRPr="009D722F">
        <w:t>section 1385, subdivision (c)(2), would endanger public safety</w:t>
      </w:r>
      <w:r w:rsidR="00CC5420">
        <w:t xml:space="preserve"> because the </w:t>
      </w:r>
      <w:r w:rsidR="001658EB">
        <w:t>determination</w:t>
      </w:r>
      <w:r w:rsidR="009D722F" w:rsidRPr="009D722F">
        <w:t xml:space="preserve"> is “similar (though not identical) to the determination of whether ‘resentencing the petitioner would pose an unreasonable risk of danger to public safety’ under subdivision (b) of section 1170.18”]</w:t>
      </w:r>
      <w:r w:rsidR="00007DDD">
        <w:t xml:space="preserve">; </w:t>
      </w:r>
      <w:r w:rsidR="00DC7C29" w:rsidRPr="00DC7C29">
        <w:rPr>
          <w:i/>
          <w:iCs/>
        </w:rPr>
        <w:t>People v. Hall</w:t>
      </w:r>
      <w:r w:rsidR="00DC7C29" w:rsidRPr="00DC7C29">
        <w:t xml:space="preserve"> (2016) 247</w:t>
      </w:r>
      <w:r w:rsidR="000150E1">
        <w:t> </w:t>
      </w:r>
      <w:r w:rsidR="00DC7C29" w:rsidRPr="00DC7C29">
        <w:t>Cal.App.4th 1255, 1261</w:t>
      </w:r>
      <w:r w:rsidR="00DC7C29">
        <w:t xml:space="preserve"> [trial court’s determination whether resentencing would create an “unreasonable risk of danger to public safety” under section</w:t>
      </w:r>
      <w:r w:rsidR="00E4053C">
        <w:t> </w:t>
      </w:r>
      <w:r w:rsidR="00DC7C29">
        <w:t>1170.18, subdivisions</w:t>
      </w:r>
      <w:r w:rsidR="00E4053C">
        <w:t> </w:t>
      </w:r>
      <w:r w:rsidR="00DC7C29">
        <w:t xml:space="preserve">(b) and (c), </w:t>
      </w:r>
      <w:r w:rsidR="003706DF">
        <w:t xml:space="preserve">is </w:t>
      </w:r>
      <w:r w:rsidR="00DC7C29">
        <w:t>reviewed for an abuse of discretion</w:t>
      </w:r>
      <w:r w:rsidR="003F1938">
        <w:t xml:space="preserve"> because the trial court’s decision </w:t>
      </w:r>
      <w:r w:rsidR="00DC7C29">
        <w:t>“‘</w:t>
      </w:r>
      <w:r w:rsidR="00DC7C29" w:rsidRPr="00DC7C29">
        <w:t>is inherently factual, requiring the trial court to determine whether the defendant meets the statutory criteria for relief</w:t>
      </w:r>
      <w:r w:rsidR="00DC7C29">
        <w:t>’”]</w:t>
      </w:r>
      <w:r w:rsidR="009D722F">
        <w:t>.)</w:t>
      </w:r>
      <w:r w:rsidR="00DC7C29">
        <w:t xml:space="preserve"> </w:t>
      </w:r>
    </w:p>
    <w:p w14:paraId="37F042EE" w14:textId="46EA4B8B" w:rsidR="00AB7A55" w:rsidRDefault="00AB7A55" w:rsidP="00AB7A55">
      <w:pPr>
        <w:ind w:firstLine="720"/>
      </w:pPr>
      <w:r>
        <w:t>We</w:t>
      </w:r>
      <w:r w:rsidR="00185C30">
        <w:t xml:space="preserve"> conclude that, similar to the standard that applies to other </w:t>
      </w:r>
      <w:r w:rsidR="00831F5F">
        <w:t>resentencing decisions</w:t>
      </w:r>
      <w:r w:rsidR="006C191C">
        <w:t xml:space="preserve"> </w:t>
      </w:r>
      <w:r w:rsidR="000838A8">
        <w:t>involv</w:t>
      </w:r>
      <w:r w:rsidR="00097B30">
        <w:t>ing</w:t>
      </w:r>
      <w:r w:rsidR="000838A8">
        <w:t xml:space="preserve"> a superior court’s </w:t>
      </w:r>
      <w:r w:rsidR="00097B30">
        <w:t xml:space="preserve">risk </w:t>
      </w:r>
      <w:r w:rsidR="006C191C">
        <w:lastRenderedPageBreak/>
        <w:t>determination</w:t>
      </w:r>
      <w:r w:rsidR="00831F5F">
        <w:t>, we review</w:t>
      </w:r>
      <w:r w:rsidR="00236C42">
        <w:t xml:space="preserve"> </w:t>
      </w:r>
      <w:r w:rsidR="008A48ED">
        <w:t xml:space="preserve">for an abuse of discretion </w:t>
      </w:r>
      <w:r w:rsidR="00236C42">
        <w:t>a</w:t>
      </w:r>
      <w:r w:rsidR="00D07081">
        <w:t xml:space="preserve"> </w:t>
      </w:r>
      <w:r w:rsidR="00A233F5">
        <w:t>superior court’s decision under s</w:t>
      </w:r>
      <w:r w:rsidR="00DC7C29">
        <w:t>ection</w:t>
      </w:r>
      <w:r w:rsidR="00E4053C">
        <w:t> </w:t>
      </w:r>
      <w:r w:rsidR="00DC7C29">
        <w:t>1172.75, subdivision</w:t>
      </w:r>
      <w:r w:rsidR="00E4053C">
        <w:t> </w:t>
      </w:r>
      <w:r w:rsidR="00DC7C29">
        <w:t>(</w:t>
      </w:r>
      <w:r>
        <w:t>d</w:t>
      </w:r>
      <w:r w:rsidR="00DC7C29">
        <w:t>)</w:t>
      </w:r>
      <w:r>
        <w:t>(1)</w:t>
      </w:r>
      <w:r w:rsidR="00DC7C29">
        <w:t xml:space="preserve">, </w:t>
      </w:r>
      <w:r w:rsidR="00080BD1" w:rsidRPr="00F012E4">
        <w:t>that</w:t>
      </w:r>
      <w:r w:rsidR="0032176E" w:rsidRPr="00F012E4">
        <w:t xml:space="preserve"> reduction of a </w:t>
      </w:r>
      <w:r w:rsidR="00FB7E71">
        <w:t xml:space="preserve">defendant’s </w:t>
      </w:r>
      <w:r w:rsidR="0032176E" w:rsidRPr="00F012E4">
        <w:t>sentence would endanger public safety</w:t>
      </w:r>
      <w:r w:rsidR="00236C42">
        <w:t xml:space="preserve">.  </w:t>
      </w:r>
      <w:r w:rsidR="00767630">
        <w:t>Section 1172.75, s</w:t>
      </w:r>
      <w:r w:rsidR="00236C42">
        <w:t xml:space="preserve">ubdivision </w:t>
      </w:r>
      <w:r w:rsidR="00767630">
        <w:t xml:space="preserve">(d)(1), </w:t>
      </w:r>
      <w:r>
        <w:t xml:space="preserve">expressly contemplates </w:t>
      </w:r>
      <w:r w:rsidR="00DC7C29">
        <w:t xml:space="preserve">that the </w:t>
      </w:r>
      <w:r w:rsidR="00DC7C29" w:rsidRPr="00F57D40">
        <w:t xml:space="preserve">superior court </w:t>
      </w:r>
      <w:r w:rsidRPr="00F57D40">
        <w:t>will</w:t>
      </w:r>
      <w:r w:rsidR="00DC7C29" w:rsidRPr="00F57D40">
        <w:t xml:space="preserve"> make a</w:t>
      </w:r>
      <w:r w:rsidR="00793FE8" w:rsidRPr="00F57D40">
        <w:t xml:space="preserve"> factual </w:t>
      </w:r>
      <w:r w:rsidR="00DC7C29" w:rsidRPr="00F57D40">
        <w:t>determination</w:t>
      </w:r>
      <w:r w:rsidRPr="00F57D40">
        <w:t xml:space="preserve"> whether a defendant poses a risk to public safety;</w:t>
      </w:r>
      <w:r w:rsidR="00DC7C29" w:rsidRPr="00F57D40">
        <w:t xml:space="preserve"> subdivision</w:t>
      </w:r>
      <w:r w:rsidR="00E4053C" w:rsidRPr="00F57D40">
        <w:t> </w:t>
      </w:r>
      <w:r w:rsidR="00DC7C29" w:rsidRPr="00F57D40">
        <w:t>(</w:t>
      </w:r>
      <w:r w:rsidRPr="00F57D40">
        <w:t xml:space="preserve">d)(2) </w:t>
      </w:r>
      <w:r w:rsidR="00DC7C29" w:rsidRPr="00F57D40">
        <w:t xml:space="preserve">requires </w:t>
      </w:r>
      <w:r w:rsidRPr="00F57D40">
        <w:t>the court to</w:t>
      </w:r>
      <w:r w:rsidR="00DC7C29" w:rsidRPr="00F57D40">
        <w:t xml:space="preserve"> consider sentencing </w:t>
      </w:r>
      <w:r w:rsidRPr="00F57D40">
        <w:t xml:space="preserve">rules </w:t>
      </w:r>
      <w:r w:rsidR="00DC7C29" w:rsidRPr="00F57D40">
        <w:t>that “provide for judicial discretion”</w:t>
      </w:r>
      <w:r w:rsidRPr="00F57D40">
        <w:t>;</w:t>
      </w:r>
      <w:r w:rsidR="00DC7C29" w:rsidRPr="00F57D40">
        <w:t xml:space="preserve"> and subdivision</w:t>
      </w:r>
      <w:r w:rsidR="00E4053C" w:rsidRPr="00F57D40">
        <w:t> </w:t>
      </w:r>
      <w:r w:rsidR="00DC7C29" w:rsidRPr="00F57D40">
        <w:t>(</w:t>
      </w:r>
      <w:r w:rsidRPr="00F57D40">
        <w:t>d</w:t>
      </w:r>
      <w:r w:rsidR="00DC7C29" w:rsidRPr="00F57D40">
        <w:t>)</w:t>
      </w:r>
      <w:r w:rsidRPr="00F57D40">
        <w:t>(3)</w:t>
      </w:r>
      <w:r w:rsidR="00DC7C29" w:rsidRPr="00F57D40">
        <w:t xml:space="preserve"> states the court “may” consider a non-exhaustive list of postconviction factors</w:t>
      </w:r>
      <w:r w:rsidR="000A69B5" w:rsidRPr="00F57D40">
        <w:t>.  T</w:t>
      </w:r>
      <w:r w:rsidRPr="00F57D40">
        <w:t>hus, section</w:t>
      </w:r>
      <w:r w:rsidR="00E4053C" w:rsidRPr="00F57D40">
        <w:t> </w:t>
      </w:r>
      <w:r w:rsidR="00DC7C29" w:rsidRPr="00F57D40">
        <w:t>1172.75</w:t>
      </w:r>
      <w:r w:rsidRPr="00F57D40">
        <w:t>, subdivision</w:t>
      </w:r>
      <w:r w:rsidR="00E4053C" w:rsidRPr="00F57D40">
        <w:t> </w:t>
      </w:r>
      <w:r w:rsidRPr="00F57D40">
        <w:t>(d),</w:t>
      </w:r>
      <w:r w:rsidR="00DC7C29" w:rsidRPr="00F57D40">
        <w:t xml:space="preserve"> </w:t>
      </w:r>
      <w:r w:rsidRPr="00F57D40">
        <w:t>vests the</w:t>
      </w:r>
      <w:r>
        <w:t xml:space="preserve"> </w:t>
      </w:r>
      <w:r w:rsidR="00DC7C29">
        <w:t xml:space="preserve">superior court </w:t>
      </w:r>
      <w:r>
        <w:t>with broad discretion based on an inherently factual inquiry.  (</w:t>
      </w:r>
      <w:r w:rsidR="00312309">
        <w:t xml:space="preserve">See </w:t>
      </w:r>
      <w:r w:rsidRPr="00DC7C29">
        <w:rPr>
          <w:i/>
          <w:iCs/>
        </w:rPr>
        <w:t>People v. Hall</w:t>
      </w:r>
      <w:r>
        <w:rPr>
          <w:i/>
          <w:iCs/>
        </w:rPr>
        <w:t>, supra</w:t>
      </w:r>
      <w:r>
        <w:t xml:space="preserve">, </w:t>
      </w:r>
      <w:r w:rsidRPr="00DC7C29">
        <w:t>247</w:t>
      </w:r>
      <w:r w:rsidR="00E4053C">
        <w:t> </w:t>
      </w:r>
      <w:r w:rsidRPr="00DC7C29">
        <w:t xml:space="preserve">Cal.App.4th </w:t>
      </w:r>
      <w:r>
        <w:t>at p. </w:t>
      </w:r>
      <w:r w:rsidRPr="00DC7C29">
        <w:t>1261</w:t>
      </w:r>
      <w:r>
        <w:t>.)</w:t>
      </w:r>
    </w:p>
    <w:p w14:paraId="56E52A1D" w14:textId="147AE47A" w:rsidR="00EF0A8F" w:rsidRDefault="00DC7C29" w:rsidP="00AB7A55">
      <w:pPr>
        <w:ind w:firstLine="720"/>
      </w:pPr>
      <w:r>
        <w:t xml:space="preserve">Under </w:t>
      </w:r>
      <w:r w:rsidR="004D1F97">
        <w:t xml:space="preserve">an </w:t>
      </w:r>
      <w:r>
        <w:t xml:space="preserve">abuse of discretion standard, </w:t>
      </w:r>
      <w:r w:rsidRPr="00DC7C29">
        <w:t>“‘we ask whether the trial court</w:t>
      </w:r>
      <w:r>
        <w:t>’</w:t>
      </w:r>
      <w:r w:rsidRPr="00DC7C29">
        <w:t>s findings of fact are supported by substantial evidence, whether its rulings of law are correct, and whether its application of the law to the facts was neither arbitrary nor capricious</w:t>
      </w:r>
      <w:r>
        <w:t>.</w:t>
      </w:r>
      <w:r w:rsidRPr="00DC7C29">
        <w:t>’”</w:t>
      </w:r>
      <w:r>
        <w:t xml:space="preserve">  </w:t>
      </w:r>
      <w:r w:rsidRPr="00DC7C29">
        <w:t>(</w:t>
      </w:r>
      <w:r w:rsidRPr="00DC7C29">
        <w:rPr>
          <w:i/>
          <w:iCs/>
        </w:rPr>
        <w:t>People v. Clancey</w:t>
      </w:r>
      <w:r w:rsidRPr="00DC7C29">
        <w:t xml:space="preserve"> (2013) 56</w:t>
      </w:r>
      <w:r w:rsidR="001937AC">
        <w:t> </w:t>
      </w:r>
      <w:r w:rsidRPr="00DC7C29">
        <w:t>Cal.4th 562, 578</w:t>
      </w:r>
      <w:r>
        <w:t xml:space="preserve">; see </w:t>
      </w:r>
      <w:r w:rsidRPr="00DC7C29">
        <w:rPr>
          <w:i/>
          <w:iCs/>
        </w:rPr>
        <w:t xml:space="preserve">People v. Buford </w:t>
      </w:r>
      <w:r>
        <w:t>(2016) 4</w:t>
      </w:r>
      <w:r w:rsidR="001937AC">
        <w:t> </w:t>
      </w:r>
      <w:r>
        <w:t>Cal.App.5th 886, 901 [facts supporting trial court’s denial of a petition for resentencing under section</w:t>
      </w:r>
      <w:r w:rsidR="001937AC">
        <w:t> </w:t>
      </w:r>
      <w:r w:rsidRPr="00DC7C29">
        <w:t>1170.126</w:t>
      </w:r>
      <w:r>
        <w:t xml:space="preserve"> </w:t>
      </w:r>
      <w:r w:rsidR="00AB7A55">
        <w:t>are “</w:t>
      </w:r>
      <w:r>
        <w:t>subject to our review for substantial evidence</w:t>
      </w:r>
      <w:r w:rsidR="00AB7A55">
        <w:t>,</w:t>
      </w:r>
      <w:r>
        <w:t>”</w:t>
      </w:r>
      <w:r w:rsidR="00AB7A55">
        <w:t xml:space="preserve"> but </w:t>
      </w:r>
      <w:r>
        <w:t>“[i]</w:t>
      </w:r>
      <w:r w:rsidRPr="00DC7C29">
        <w:t xml:space="preserve">f a factor (for example, that the </w:t>
      </w:r>
      <w:r>
        <w:t>[defendant]</w:t>
      </w:r>
      <w:r w:rsidRPr="00DC7C29">
        <w:t xml:space="preserve"> participated in a riot, is violent due to repeated instances of mutual combat, etc.) is not established </w:t>
      </w:r>
      <w:r>
        <w:t xml:space="preserve">[to the requisite standard of proof], </w:t>
      </w:r>
      <w:r w:rsidRPr="00DC7C29">
        <w:t>it cannot form the basis for a finding of unreasonable ris</w:t>
      </w:r>
      <w:r>
        <w:t>k”].)</w:t>
      </w:r>
      <w:r w:rsidR="00EF0A8F">
        <w:t xml:space="preserve">  Ultimately, </w:t>
      </w:r>
      <w:r w:rsidR="00AB7A55">
        <w:t xml:space="preserve">the superior </w:t>
      </w:r>
      <w:r w:rsidR="00EF0A8F">
        <w:t xml:space="preserve">court’s </w:t>
      </w:r>
      <w:r w:rsidR="00AB7A55">
        <w:t>risk finding</w:t>
      </w:r>
      <w:r w:rsidR="00EF0A8F">
        <w:t xml:space="preserve"> will be upheld “if it falls within ‘the bounds of reason, all of the circumstances being considered.’”  (</w:t>
      </w:r>
      <w:r w:rsidR="00EF0A8F">
        <w:rPr>
          <w:i/>
          <w:iCs/>
        </w:rPr>
        <w:t>Buford</w:t>
      </w:r>
      <w:r w:rsidR="00EF0A8F">
        <w:t>, at p.</w:t>
      </w:r>
      <w:r w:rsidR="001937AC">
        <w:t> </w:t>
      </w:r>
      <w:r w:rsidR="00EF0A8F">
        <w:t xml:space="preserve">901; citing </w:t>
      </w:r>
      <w:r w:rsidR="00EF0A8F" w:rsidRPr="00EF0A8F">
        <w:rPr>
          <w:i/>
          <w:iCs/>
        </w:rPr>
        <w:t>People v. Giminez</w:t>
      </w:r>
      <w:r w:rsidR="00EF0A8F">
        <w:t xml:space="preserve"> (1975) 14</w:t>
      </w:r>
      <w:r w:rsidR="001937AC">
        <w:t> </w:t>
      </w:r>
      <w:r w:rsidR="00EF0A8F">
        <w:t xml:space="preserve">Cal.3d 68, 72 [“in the absence of a clear showing that its sentencing decision was arbitrary or </w:t>
      </w:r>
      <w:r w:rsidR="00EF0A8F">
        <w:lastRenderedPageBreak/>
        <w:t>irrational, a trial court should be presumed to have acted to achieve legitimate sentencing objectives”].)</w:t>
      </w:r>
    </w:p>
    <w:p w14:paraId="308D7307" w14:textId="77777777" w:rsidR="00EF0A8F" w:rsidRDefault="00EF0A8F" w:rsidP="00EF0A8F">
      <w:pPr>
        <w:ind w:firstLine="720"/>
      </w:pPr>
    </w:p>
    <w:p w14:paraId="2074096E" w14:textId="51A48141" w:rsidR="00683D27" w:rsidRPr="005F55AF" w:rsidRDefault="00683D27" w:rsidP="00B221A9">
      <w:pPr>
        <w:pStyle w:val="Heading2"/>
        <w:rPr>
          <w:iCs/>
        </w:rPr>
      </w:pPr>
      <w:r w:rsidRPr="0063382E">
        <w:t xml:space="preserve">The </w:t>
      </w:r>
      <w:r>
        <w:t xml:space="preserve">Superior Court </w:t>
      </w:r>
      <w:r w:rsidR="00DC7C29">
        <w:t>Did Not Abuse I</w:t>
      </w:r>
      <w:r>
        <w:t xml:space="preserve">ts Discretion in </w:t>
      </w:r>
      <w:r w:rsidR="00AC5A42">
        <w:t>Finding a Reduction in Garcia’s Aggregate Sentence Would Endanger Public Safety</w:t>
      </w:r>
    </w:p>
    <w:p w14:paraId="1C4273DD" w14:textId="73AEB1CB" w:rsidR="00AC5A42" w:rsidRDefault="00AC5A42" w:rsidP="00AC5A42">
      <w:pPr>
        <w:ind w:firstLine="720"/>
      </w:pPr>
      <w:r>
        <w:t xml:space="preserve">Garcia’s sole contention on appeal is that the superior court abused its discretion </w:t>
      </w:r>
      <w:r w:rsidR="00BA6C36">
        <w:t xml:space="preserve">at the section 1172.75 resentencing hearing </w:t>
      </w:r>
      <w:r>
        <w:t>in finding that imposition of</w:t>
      </w:r>
      <w:r w:rsidRPr="00E52024">
        <w:t xml:space="preserve"> a lesser sentence would endanger public safety</w:t>
      </w:r>
      <w:r>
        <w:t xml:space="preserve">.  </w:t>
      </w:r>
      <w:r w:rsidR="00AB7A55">
        <w:t>In particular, h</w:t>
      </w:r>
      <w:r>
        <w:t>e argues</w:t>
      </w:r>
      <w:r w:rsidR="00AB7A55">
        <w:t xml:space="preserve"> the court’s risk </w:t>
      </w:r>
      <w:r w:rsidR="00062778">
        <w:t>determination</w:t>
      </w:r>
      <w:r w:rsidR="00AB7A55">
        <w:t xml:space="preserve"> </w:t>
      </w:r>
      <w:r w:rsidR="00D07081">
        <w:t>was</w:t>
      </w:r>
      <w:r w:rsidR="00AB7A55">
        <w:t xml:space="preserve"> “</w:t>
      </w:r>
      <w:r>
        <w:t>irrational or arbitrary because the trial court relied on certain factors not related to postconviction and because the postconviction factors relating to the prison incident were not supported by the record.”  The court did not abuse its discretion.</w:t>
      </w:r>
    </w:p>
    <w:p w14:paraId="7D302D6F" w14:textId="6CC01D06" w:rsidR="00AC5A42" w:rsidRDefault="00AC5A42" w:rsidP="00EF0A8F">
      <w:pPr>
        <w:tabs>
          <w:tab w:val="left" w:pos="1215"/>
        </w:tabs>
        <w:ind w:firstLine="720"/>
      </w:pPr>
      <w:r>
        <w:t xml:space="preserve">The </w:t>
      </w:r>
      <w:r w:rsidR="00AB7A55">
        <w:t xml:space="preserve">superior </w:t>
      </w:r>
      <w:r>
        <w:t xml:space="preserve">court based its risk </w:t>
      </w:r>
      <w:r w:rsidR="00062778">
        <w:t>determination</w:t>
      </w:r>
      <w:r w:rsidR="00AB7A55">
        <w:t xml:space="preserve"> </w:t>
      </w:r>
      <w:r>
        <w:t>on the “seriousness of the offense as charged</w:t>
      </w:r>
      <w:r w:rsidR="00EF0A8F">
        <w:t>,</w:t>
      </w:r>
      <w:r>
        <w:t>”</w:t>
      </w:r>
      <w:r w:rsidR="00EF0A8F">
        <w:t xml:space="preserve"> the high maximum </w:t>
      </w:r>
      <w:r w:rsidR="00AB7A55">
        <w:t xml:space="preserve">potential </w:t>
      </w:r>
      <w:r w:rsidR="00EF0A8F">
        <w:t xml:space="preserve">sentence, </w:t>
      </w:r>
      <w:r>
        <w:t>Garcia</w:t>
      </w:r>
      <w:r w:rsidR="00AB7A55">
        <w:t>’s firing a gun during the robbery,</w:t>
      </w:r>
      <w:r w:rsidR="00EF0A8F">
        <w:t xml:space="preserve"> </w:t>
      </w:r>
      <w:r w:rsidR="00061410">
        <w:t xml:space="preserve">that </w:t>
      </w:r>
      <w:r w:rsidR="00EF0A8F">
        <w:t>Garcia</w:t>
      </w:r>
      <w:r>
        <w:t xml:space="preserve"> “suffered several prior felony convictions that seemed to become more serious in nature,” and Garcia’s post-conviction behavior, including his failure to appear for sentencing and his </w:t>
      </w:r>
      <w:r w:rsidR="00823864">
        <w:t>participation</w:t>
      </w:r>
      <w:r>
        <w:t xml:space="preserve"> in a prison riot and beating an inmate.  All of these findings are </w:t>
      </w:r>
      <w:r w:rsidR="00EF0A8F">
        <w:t xml:space="preserve">aggravating circumstances under the sentencing rules </w:t>
      </w:r>
      <w:r w:rsidR="00AB7A55">
        <w:t>promulgated by the Judicial Council, which the superior court was required to consider under section</w:t>
      </w:r>
      <w:r w:rsidR="001937AC">
        <w:t> </w:t>
      </w:r>
      <w:r w:rsidR="00AB7A55">
        <w:t>1172.75, subdivision</w:t>
      </w:r>
      <w:r w:rsidR="001937AC">
        <w:t> </w:t>
      </w:r>
      <w:r w:rsidR="00AB7A55">
        <w:t>(d)(2).</w:t>
      </w:r>
      <w:r w:rsidR="00EF0A8F">
        <w:t xml:space="preserve">  (See Cal. Rules of Ct., rule 4.421 [court </w:t>
      </w:r>
      <w:r w:rsidR="00AB7A55">
        <w:t>may</w:t>
      </w:r>
      <w:r w:rsidR="00EF0A8F">
        <w:t xml:space="preserve"> consider that</w:t>
      </w:r>
      <w:r w:rsidR="00BA6C36">
        <w:t>:</w:t>
      </w:r>
      <w:r w:rsidR="00EF0A8F">
        <w:t xml:space="preserve"> defendant used a weapon </w:t>
      </w:r>
      <w:r w:rsidR="00445B9D">
        <w:t xml:space="preserve">in the commission of the crime </w:t>
      </w:r>
      <w:r w:rsidR="00EF0A8F">
        <w:t>(rule</w:t>
      </w:r>
      <w:r w:rsidR="001937AC">
        <w:t> </w:t>
      </w:r>
      <w:r w:rsidR="00EF0A8F">
        <w:t>4.421(a)(</w:t>
      </w:r>
      <w:r w:rsidR="001937AC">
        <w:t>2</w:t>
      </w:r>
      <w:r w:rsidR="00EF0A8F">
        <w:t>)</w:t>
      </w:r>
      <w:r w:rsidR="00AB7A55">
        <w:t>)</w:t>
      </w:r>
      <w:r w:rsidR="00EF0A8F">
        <w:t xml:space="preserve">; defendant was convicted of other crimes for which consecutive </w:t>
      </w:r>
      <w:r w:rsidR="00EF0A8F" w:rsidRPr="0051687C">
        <w:t>sentences could have been imposed</w:t>
      </w:r>
      <w:r w:rsidR="00EF0A8F">
        <w:t xml:space="preserve"> (rule</w:t>
      </w:r>
      <w:r w:rsidR="001937AC">
        <w:t> </w:t>
      </w:r>
      <w:r w:rsidR="00EF0A8F">
        <w:t>4.421(a)(7)); defendant engaged in violent conduct that indicates a serious danger to society (rule</w:t>
      </w:r>
      <w:r w:rsidR="001937AC">
        <w:t> </w:t>
      </w:r>
      <w:r w:rsidR="00EF0A8F">
        <w:t xml:space="preserve">4.421(b)(1)); and </w:t>
      </w:r>
      <w:r w:rsidR="00EF0A8F">
        <w:lastRenderedPageBreak/>
        <w:t>defendant’s prior convictions “are numerous or of increasing seriousness” (rule</w:t>
      </w:r>
      <w:r w:rsidR="001937AC">
        <w:t> </w:t>
      </w:r>
      <w:r w:rsidR="00EF0A8F">
        <w:t>4.421(b)(2).)  Garcia does not contend</w:t>
      </w:r>
      <w:r w:rsidR="00E00E20">
        <w:t xml:space="preserve"> there were</w:t>
      </w:r>
      <w:r w:rsidR="00AB7A55">
        <w:t xml:space="preserve"> any</w:t>
      </w:r>
      <w:r w:rsidR="00EF0A8F">
        <w:t xml:space="preserve"> mitigating sentencing circumstances</w:t>
      </w:r>
      <w:r w:rsidR="00E00E20">
        <w:t>, nor does the record show there were</w:t>
      </w:r>
      <w:r w:rsidR="00AB7A55">
        <w:t xml:space="preserve">.  </w:t>
      </w:r>
      <w:r w:rsidR="00421EA8">
        <w:t xml:space="preserve">And </w:t>
      </w:r>
      <w:r w:rsidR="00EF0A8F">
        <w:t xml:space="preserve">Garcia </w:t>
      </w:r>
      <w:r w:rsidR="00421EA8">
        <w:t xml:space="preserve">does not </w:t>
      </w:r>
      <w:r w:rsidR="00EF0A8F">
        <w:t xml:space="preserve">provide any authority for </w:t>
      </w:r>
      <w:r w:rsidR="00AB7A55">
        <w:t>his</w:t>
      </w:r>
      <w:r w:rsidR="00EF0A8F">
        <w:t xml:space="preserve"> assertion that the </w:t>
      </w:r>
      <w:r w:rsidR="00AB7A55">
        <w:t xml:space="preserve">superior </w:t>
      </w:r>
      <w:r w:rsidR="00EF0A8F">
        <w:t>court is limited to consideration of post-conviction conduct</w:t>
      </w:r>
      <w:r w:rsidR="00AB7A55">
        <w:t>—an assertion that is inconsistent with section</w:t>
      </w:r>
      <w:r w:rsidR="001937AC">
        <w:t> </w:t>
      </w:r>
      <w:r w:rsidR="00AB7A55">
        <w:t>1172.75, subdivision</w:t>
      </w:r>
      <w:r w:rsidR="001937AC">
        <w:t> </w:t>
      </w:r>
      <w:r w:rsidR="00AB7A55">
        <w:t xml:space="preserve">(d)(1) </w:t>
      </w:r>
      <w:r w:rsidR="00062778">
        <w:t>and</w:t>
      </w:r>
      <w:r w:rsidR="00AB7A55">
        <w:t xml:space="preserve"> (</w:t>
      </w:r>
      <w:r w:rsidR="00062778">
        <w:t>2</w:t>
      </w:r>
      <w:r w:rsidR="00AB7A55">
        <w:t>)</w:t>
      </w:r>
      <w:r w:rsidR="00EF0A8F">
        <w:t>.</w:t>
      </w:r>
      <w:r w:rsidR="0075772A">
        <w:t xml:space="preserve"> </w:t>
      </w:r>
    </w:p>
    <w:p w14:paraId="5F9FE6D3" w14:textId="596555F5" w:rsidR="00EF0A8F" w:rsidRDefault="00EF0A8F" w:rsidP="00AC5A42">
      <w:pPr>
        <w:ind w:firstLine="720"/>
      </w:pPr>
      <w:r>
        <w:t>With respect to Garcia’s postconviction behavior,</w:t>
      </w:r>
      <w:r w:rsidR="00062778">
        <w:t xml:space="preserve"> which includes “</w:t>
      </w:r>
      <w:r w:rsidR="00062778" w:rsidRPr="00062778">
        <w:t>the disciplinary record and record of rehabilitation of the defendant while incarcerated</w:t>
      </w:r>
      <w:r w:rsidR="00062778">
        <w:t>” (§</w:t>
      </w:r>
      <w:r w:rsidR="001937AC">
        <w:t> </w:t>
      </w:r>
      <w:r w:rsidR="00062778">
        <w:t>1172.75, subd.</w:t>
      </w:r>
      <w:r w:rsidR="001937AC">
        <w:t> </w:t>
      </w:r>
      <w:r w:rsidR="00062778">
        <w:t>(d)(3))</w:t>
      </w:r>
      <w:r w:rsidR="00062778" w:rsidRPr="00062778">
        <w:t>,</w:t>
      </w:r>
      <w:r w:rsidR="00062778">
        <w:t xml:space="preserve"> </w:t>
      </w:r>
      <w:r>
        <w:t>substantial evidence support</w:t>
      </w:r>
      <w:r w:rsidR="007D327B">
        <w:t>s</w:t>
      </w:r>
      <w:r>
        <w:t xml:space="preserve"> the </w:t>
      </w:r>
      <w:r w:rsidR="003A6583">
        <w:t xml:space="preserve">superior </w:t>
      </w:r>
      <w:r>
        <w:t xml:space="preserve">court’s finding </w:t>
      </w:r>
      <w:r w:rsidR="00062778">
        <w:t>by clear and convincing</w:t>
      </w:r>
      <w:r>
        <w:t xml:space="preserve"> evidence that Garcia </w:t>
      </w:r>
      <w:r w:rsidR="00062778">
        <w:t>presented</w:t>
      </w:r>
      <w:r>
        <w:t xml:space="preserve"> a public safety risk.  Garcia’s C-file </w:t>
      </w:r>
      <w:r w:rsidR="00062778">
        <w:t>states that</w:t>
      </w:r>
      <w:r>
        <w:t xml:space="preserve"> in </w:t>
      </w:r>
      <w:r w:rsidR="00062778">
        <w:t xml:space="preserve">March </w:t>
      </w:r>
      <w:r>
        <w:t>2022</w:t>
      </w:r>
      <w:r w:rsidR="00B3038D">
        <w:t>—</w:t>
      </w:r>
      <w:r w:rsidR="00425B1E">
        <w:t xml:space="preserve">just </w:t>
      </w:r>
      <w:r w:rsidR="00B3038D">
        <w:t xml:space="preserve">two and a half years after his sentencing and </w:t>
      </w:r>
      <w:r w:rsidR="00062778">
        <w:t>six</w:t>
      </w:r>
      <w:r>
        <w:t xml:space="preserve"> months before the resentencing hearing</w:t>
      </w:r>
      <w:r w:rsidR="00B3038D">
        <w:t>—</w:t>
      </w:r>
      <w:r>
        <w:t>Garcia was among a group of arrivals to the Sierra Conservation Center who charged the prison yard and began a riot, and Garcia (with three others) beat an inmate without provocation.  Garcia told corrections officers he was a “southsider” and “I will continue to commit violence” unless rehoused.  The classification committe</w:t>
      </w:r>
      <w:r w:rsidR="008A649A">
        <w:t>e</w:t>
      </w:r>
      <w:r>
        <w:t xml:space="preserve"> </w:t>
      </w:r>
      <w:r w:rsidR="00062778">
        <w:t xml:space="preserve">concluded </w:t>
      </w:r>
      <w:r>
        <w:t>Garcia was “a threat to the safety of others and endangers institution security</w:t>
      </w:r>
      <w:r w:rsidR="008A649A">
        <w:t>,</w:t>
      </w:r>
      <w:r>
        <w:t xml:space="preserve">” and </w:t>
      </w:r>
      <w:r w:rsidR="008A649A">
        <w:t xml:space="preserve">it </w:t>
      </w:r>
      <w:r w:rsidR="00062778">
        <w:t>housed him in</w:t>
      </w:r>
      <w:r>
        <w:t xml:space="preserve"> a segregated unit.  </w:t>
      </w:r>
    </w:p>
    <w:p w14:paraId="537DF20F" w14:textId="70C8F4DC" w:rsidR="00EF0A8F" w:rsidRPr="007E480D" w:rsidRDefault="00EF0A8F" w:rsidP="00EF0A8F">
      <w:pPr>
        <w:tabs>
          <w:tab w:val="left" w:pos="1215"/>
        </w:tabs>
        <w:ind w:firstLine="720"/>
      </w:pPr>
      <w:r>
        <w:t>Garcia argues, as he</w:t>
      </w:r>
      <w:r w:rsidR="008A649A">
        <w:t xml:space="preserve"> did in the trial court</w:t>
      </w:r>
      <w:r>
        <w:t xml:space="preserve">, </w:t>
      </w:r>
      <w:r w:rsidR="00062778">
        <w:t>that in May</w:t>
      </w:r>
      <w:r w:rsidR="00C50B5B">
        <w:t> </w:t>
      </w:r>
      <w:r w:rsidR="00062778">
        <w:t>2022</w:t>
      </w:r>
      <w:r>
        <w:t xml:space="preserve"> the classification </w:t>
      </w:r>
      <w:r w:rsidRPr="004E7802">
        <w:t xml:space="preserve">committee at a different </w:t>
      </w:r>
      <w:r w:rsidR="00142BB8">
        <w:t xml:space="preserve">prison </w:t>
      </w:r>
      <w:r w:rsidRPr="004E7802">
        <w:t>facility determined</w:t>
      </w:r>
      <w:r>
        <w:t xml:space="preserve"> he </w:t>
      </w:r>
      <w:r w:rsidR="00BA6C36">
        <w:t xml:space="preserve">would </w:t>
      </w:r>
      <w:r w:rsidR="00D63C79">
        <w:t xml:space="preserve">not pose a threat to the safety of the public, staff, or other inmates if he were housed in a less restrictive facility or a program </w:t>
      </w:r>
      <w:r w:rsidR="00142BB8">
        <w:t>in</w:t>
      </w:r>
      <w:r w:rsidR="00D63C79">
        <w:t xml:space="preserve"> the community, and it </w:t>
      </w:r>
      <w:r>
        <w:t xml:space="preserve">approved him for a double cell </w:t>
      </w:r>
      <w:r w:rsidR="00E00B60">
        <w:t xml:space="preserve">and contact with minors </w:t>
      </w:r>
      <w:r w:rsidR="009832ED">
        <w:t xml:space="preserve">given his lack of recent misconduct in his cell or </w:t>
      </w:r>
      <w:r>
        <w:t xml:space="preserve">predatory behavior.  However, the fact </w:t>
      </w:r>
      <w:r w:rsidR="002451A6">
        <w:t xml:space="preserve">the second </w:t>
      </w:r>
      <w:r>
        <w:t xml:space="preserve">classification committee determined Garcia did not </w:t>
      </w:r>
      <w:r>
        <w:lastRenderedPageBreak/>
        <w:t xml:space="preserve">pose a public safety threat for housing purposes </w:t>
      </w:r>
      <w:r w:rsidR="00062778">
        <w:t xml:space="preserve">shortly </w:t>
      </w:r>
      <w:r>
        <w:t xml:space="preserve">after </w:t>
      </w:r>
      <w:r w:rsidR="002451A6">
        <w:t xml:space="preserve">the </w:t>
      </w:r>
      <w:r w:rsidR="00445B9D">
        <w:t xml:space="preserve">first </w:t>
      </w:r>
      <w:r>
        <w:t xml:space="preserve">classification committee made </w:t>
      </w:r>
      <w:r w:rsidR="002451A6">
        <w:t xml:space="preserve">a contrary </w:t>
      </w:r>
      <w:r>
        <w:t>determination</w:t>
      </w:r>
      <w:r w:rsidR="002451A6">
        <w:t xml:space="preserve"> </w:t>
      </w:r>
      <w:r>
        <w:t xml:space="preserve">does not contradict the evidence of Garcia’s violent conduct </w:t>
      </w:r>
      <w:r w:rsidR="00062778">
        <w:t>in March</w:t>
      </w:r>
      <w:r w:rsidR="00C50B5B">
        <w:t> </w:t>
      </w:r>
      <w:r>
        <w:t>2022.  The superior court’s public risk determination</w:t>
      </w:r>
      <w:r w:rsidR="00CF49F7">
        <w:t xml:space="preserve"> </w:t>
      </w:r>
      <w:r>
        <w:t xml:space="preserve">based on uncontroverted evidence </w:t>
      </w:r>
      <w:r w:rsidR="00EE6641">
        <w:t>of Garcia’s postconviction</w:t>
      </w:r>
      <w:r w:rsidR="00062778">
        <w:t xml:space="preserve"> behavior</w:t>
      </w:r>
      <w:r w:rsidR="00EE6641">
        <w:t xml:space="preserve"> in combination with</w:t>
      </w:r>
      <w:r>
        <w:t xml:space="preserve"> the circumstances of </w:t>
      </w:r>
      <w:r w:rsidR="00CF49F7">
        <w:t xml:space="preserve">his </w:t>
      </w:r>
      <w:r w:rsidR="00EE6641">
        <w:t xml:space="preserve">commitment </w:t>
      </w:r>
      <w:r>
        <w:t xml:space="preserve">offense and criminal record was not </w:t>
      </w:r>
      <w:r w:rsidR="00EE6641">
        <w:t>arbitrary or capricious</w:t>
      </w:r>
      <w:r>
        <w:t xml:space="preserve">.  </w:t>
      </w:r>
    </w:p>
    <w:p w14:paraId="6E981428" w14:textId="61F2E82B" w:rsidR="00767EAA" w:rsidRDefault="00767EAA" w:rsidP="00767EAA">
      <w:pPr>
        <w:ind w:firstLine="720"/>
        <w:rPr>
          <w:rFonts w:cs="Calibri"/>
        </w:rPr>
      </w:pPr>
    </w:p>
    <w:p w14:paraId="5B4A249C" w14:textId="1676FA14" w:rsidR="00767EAA" w:rsidRDefault="00767EAA" w:rsidP="00DC7C29">
      <w:pPr>
        <w:pStyle w:val="Heading2"/>
      </w:pPr>
      <w:r w:rsidRPr="007C7381">
        <w:t>The Superior Court Should Correct a Clerical Error in the Abstract of Judgment</w:t>
      </w:r>
    </w:p>
    <w:p w14:paraId="19AEDEB7" w14:textId="2E0FAF27" w:rsidR="00845C98" w:rsidRDefault="008957C1" w:rsidP="00DC7C29">
      <w:pPr>
        <w:ind w:firstLine="720"/>
      </w:pPr>
      <w:r>
        <w:rPr>
          <w:rFonts w:cs="Calibri"/>
        </w:rPr>
        <w:t>The</w:t>
      </w:r>
      <w:r w:rsidR="00DC7C29">
        <w:rPr>
          <w:rFonts w:cs="Calibri"/>
        </w:rPr>
        <w:t xml:space="preserve"> People </w:t>
      </w:r>
      <w:r w:rsidR="00215177">
        <w:rPr>
          <w:rFonts w:cs="Calibri"/>
        </w:rPr>
        <w:t xml:space="preserve">correctly </w:t>
      </w:r>
      <w:r w:rsidR="005E23CC">
        <w:rPr>
          <w:rFonts w:cs="Calibri"/>
        </w:rPr>
        <w:t xml:space="preserve">point out </w:t>
      </w:r>
      <w:r w:rsidR="00767EAA" w:rsidRPr="007C7381">
        <w:rPr>
          <w:rFonts w:cs="Calibri"/>
        </w:rPr>
        <w:t xml:space="preserve">the abstract of judgment contains </w:t>
      </w:r>
      <w:r w:rsidR="00DC7C29">
        <w:rPr>
          <w:rFonts w:cs="Calibri"/>
        </w:rPr>
        <w:t xml:space="preserve">an error </w:t>
      </w:r>
      <w:r w:rsidR="00DF3447">
        <w:rPr>
          <w:rFonts w:cs="Calibri"/>
        </w:rPr>
        <w:t>that</w:t>
      </w:r>
      <w:r>
        <w:rPr>
          <w:rFonts w:cs="Calibri"/>
        </w:rPr>
        <w:t xml:space="preserve"> </w:t>
      </w:r>
      <w:r w:rsidR="005E23CC">
        <w:rPr>
          <w:rFonts w:cs="Calibri"/>
        </w:rPr>
        <w:t xml:space="preserve">should </w:t>
      </w:r>
      <w:r w:rsidR="00DC7C29">
        <w:rPr>
          <w:rFonts w:cs="Calibri"/>
        </w:rPr>
        <w:t>be corrected</w:t>
      </w:r>
      <w:r w:rsidR="00767EAA" w:rsidRPr="007C7381">
        <w:rPr>
          <w:rFonts w:cs="Calibri"/>
        </w:rPr>
        <w:t xml:space="preserve">. </w:t>
      </w:r>
      <w:r w:rsidR="00DC7C29">
        <w:rPr>
          <w:rFonts w:cs="Calibri"/>
        </w:rPr>
        <w:t xml:space="preserve"> At the resentencing hearing Garcia was sentenced on count</w:t>
      </w:r>
      <w:r w:rsidR="00917039">
        <w:rPr>
          <w:rFonts w:cs="Calibri"/>
        </w:rPr>
        <w:t> </w:t>
      </w:r>
      <w:r w:rsidR="00DC7C29">
        <w:rPr>
          <w:rFonts w:cs="Calibri"/>
        </w:rPr>
        <w:t xml:space="preserve">2 for </w:t>
      </w:r>
      <w:r w:rsidR="00062778">
        <w:rPr>
          <w:rFonts w:cs="Calibri"/>
        </w:rPr>
        <w:t>p</w:t>
      </w:r>
      <w:r w:rsidR="00DC7C29">
        <w:rPr>
          <w:rFonts w:cs="Calibri"/>
        </w:rPr>
        <w:t xml:space="preserve">ossession of a firearm </w:t>
      </w:r>
      <w:r w:rsidR="00062778">
        <w:rPr>
          <w:rFonts w:cs="Calibri"/>
        </w:rPr>
        <w:t xml:space="preserve">by a felon </w:t>
      </w:r>
      <w:r w:rsidR="00DC7C29">
        <w:rPr>
          <w:rFonts w:cs="Calibri"/>
        </w:rPr>
        <w:t xml:space="preserve">to the middle term of two years, to be served concurrently with his </w:t>
      </w:r>
      <w:r w:rsidR="00062778">
        <w:rPr>
          <w:rFonts w:cs="Calibri"/>
        </w:rPr>
        <w:t xml:space="preserve">12-year </w:t>
      </w:r>
      <w:r w:rsidR="00DC7C29">
        <w:rPr>
          <w:rFonts w:cs="Calibri"/>
        </w:rPr>
        <w:t>sentence on count</w:t>
      </w:r>
      <w:r w:rsidR="00917039">
        <w:rPr>
          <w:rFonts w:cs="Calibri"/>
        </w:rPr>
        <w:t> </w:t>
      </w:r>
      <w:r w:rsidR="00DC7C29">
        <w:rPr>
          <w:rFonts w:cs="Calibri"/>
        </w:rPr>
        <w:t>1.  However, in an apparent clerical error, the abstract of judgment incorrectly states Garcia’s sentence on count</w:t>
      </w:r>
      <w:r w:rsidR="00917039">
        <w:rPr>
          <w:rFonts w:cs="Calibri"/>
        </w:rPr>
        <w:t> </w:t>
      </w:r>
      <w:r w:rsidR="00DC7C29">
        <w:rPr>
          <w:rFonts w:cs="Calibri"/>
        </w:rPr>
        <w:t xml:space="preserve">2 is a concurrent term of three years. </w:t>
      </w:r>
      <w:r w:rsidR="00DC7C29">
        <w:t xml:space="preserve"> </w:t>
      </w:r>
      <w:r w:rsidR="00767EAA" w:rsidRPr="007C7381">
        <w:rPr>
          <w:rFonts w:cs="Calibri"/>
        </w:rPr>
        <w:t>The trial court should correct th</w:t>
      </w:r>
      <w:r w:rsidR="003C701B">
        <w:rPr>
          <w:rFonts w:cs="Calibri"/>
        </w:rPr>
        <w:t>e error</w:t>
      </w:r>
      <w:r w:rsidR="00767EAA" w:rsidRPr="007C7381">
        <w:rPr>
          <w:rFonts w:cs="Calibri"/>
        </w:rPr>
        <w:t xml:space="preserve">. </w:t>
      </w:r>
      <w:r w:rsidR="00DC7C29">
        <w:rPr>
          <w:rFonts w:cs="Calibri"/>
        </w:rPr>
        <w:t xml:space="preserve"> </w:t>
      </w:r>
      <w:r w:rsidR="00767EAA" w:rsidRPr="007C7381">
        <w:rPr>
          <w:rFonts w:cs="Calibri"/>
        </w:rPr>
        <w:t>(</w:t>
      </w:r>
      <w:r w:rsidR="00DC7C29">
        <w:rPr>
          <w:rFonts w:cs="Calibri"/>
        </w:rPr>
        <w:t xml:space="preserve">See </w:t>
      </w:r>
      <w:r w:rsidR="00DC7C29" w:rsidRPr="00DC7C29">
        <w:rPr>
          <w:rFonts w:cs="Calibri"/>
          <w:i/>
          <w:iCs/>
        </w:rPr>
        <w:t>People v. Mitchell</w:t>
      </w:r>
      <w:r w:rsidR="00DC7C29" w:rsidRPr="00DC7C29">
        <w:rPr>
          <w:rFonts w:cs="Calibri"/>
        </w:rPr>
        <w:t xml:space="preserve"> (2001) 26</w:t>
      </w:r>
      <w:r w:rsidR="00C50B5B">
        <w:rPr>
          <w:rFonts w:cs="Calibri"/>
        </w:rPr>
        <w:t> </w:t>
      </w:r>
      <w:r w:rsidR="00DC7C29" w:rsidRPr="00DC7C29">
        <w:rPr>
          <w:rFonts w:cs="Calibri"/>
        </w:rPr>
        <w:t>Cal.4th 181, 185</w:t>
      </w:r>
      <w:r w:rsidR="00DC7C29">
        <w:rPr>
          <w:rFonts w:cs="Calibri"/>
        </w:rPr>
        <w:t xml:space="preserve"> </w:t>
      </w:r>
      <w:r w:rsidR="00DC7C29" w:rsidRPr="00DC7C29">
        <w:rPr>
          <w:rFonts w:cs="Calibri"/>
        </w:rPr>
        <w:t xml:space="preserve">[“Courts may correct clerical errors at any time, and appellate courts </w:t>
      </w:r>
      <w:r w:rsidR="00DC7C29">
        <w:rPr>
          <w:rFonts w:cs="Calibri"/>
        </w:rPr>
        <w:t>. . . </w:t>
      </w:r>
      <w:r w:rsidR="00DC7C29" w:rsidRPr="00DC7C29">
        <w:rPr>
          <w:rFonts w:cs="Calibri"/>
        </w:rPr>
        <w:t>have ordered correction of abstracts of judgment that did not accurately reflect the oral judgments of sentencing courts”]</w:t>
      </w:r>
      <w:r w:rsidR="00DC7C29">
        <w:rPr>
          <w:rFonts w:cs="Calibri"/>
        </w:rPr>
        <w:t xml:space="preserve">; </w:t>
      </w:r>
      <w:r w:rsidR="00DC7C29" w:rsidRPr="00DC7C29">
        <w:rPr>
          <w:rFonts w:cs="Calibri"/>
          <w:i/>
          <w:iCs/>
        </w:rPr>
        <w:t>People v. Gobert</w:t>
      </w:r>
      <w:r w:rsidR="00DC7C29" w:rsidRPr="00DC7C29">
        <w:rPr>
          <w:rFonts w:cs="Calibri"/>
        </w:rPr>
        <w:t xml:space="preserve"> (2023) 89</w:t>
      </w:r>
      <w:r w:rsidR="00C50B5B">
        <w:rPr>
          <w:rFonts w:cs="Calibri"/>
        </w:rPr>
        <w:t> </w:t>
      </w:r>
      <w:r w:rsidR="00DC7C29" w:rsidRPr="00DC7C29">
        <w:rPr>
          <w:rFonts w:cs="Calibri"/>
        </w:rPr>
        <w:t>Cal.App.5th 676, 689 [</w:t>
      </w:r>
      <w:r w:rsidR="00DC7C29">
        <w:rPr>
          <w:rFonts w:cs="Calibri"/>
        </w:rPr>
        <w:t>same</w:t>
      </w:r>
      <w:r w:rsidR="00DC7C29" w:rsidRPr="00DC7C29">
        <w:rPr>
          <w:rFonts w:cs="Calibri"/>
        </w:rPr>
        <w:t>]</w:t>
      </w:r>
      <w:r w:rsidR="00DC7C29">
        <w:rPr>
          <w:rFonts w:cs="Calibri"/>
        </w:rPr>
        <w:t xml:space="preserve">.)  </w:t>
      </w:r>
    </w:p>
    <w:p w14:paraId="67D9574D" w14:textId="19E5FCC6" w:rsidR="00C50B5B" w:rsidRDefault="00C50B5B">
      <w:pPr>
        <w:spacing w:line="240" w:lineRule="auto"/>
      </w:pPr>
    </w:p>
    <w:p w14:paraId="17F70DCD" w14:textId="77777777" w:rsidR="00683D27" w:rsidRPr="004057F4" w:rsidRDefault="00683D27">
      <w:pPr>
        <w:pStyle w:val="Heading1"/>
      </w:pPr>
      <w:r w:rsidRPr="004057F4">
        <w:t>DISPOSITION</w:t>
      </w:r>
    </w:p>
    <w:p w14:paraId="7BD937C1" w14:textId="77777777" w:rsidR="00683D27" w:rsidRDefault="00683D27" w:rsidP="00F62B40">
      <w:pPr>
        <w:keepNext/>
      </w:pPr>
    </w:p>
    <w:p w14:paraId="50089846" w14:textId="0FF50DCD" w:rsidR="007C7381" w:rsidRDefault="001A626D" w:rsidP="001A626D">
      <w:pPr>
        <w:ind w:firstLine="720"/>
      </w:pPr>
      <w:r>
        <w:t xml:space="preserve">The September 30, 2022 </w:t>
      </w:r>
      <w:r w:rsidR="00683D27">
        <w:t xml:space="preserve">order </w:t>
      </w:r>
      <w:r>
        <w:t>resentencing Garcia is affirmed</w:t>
      </w:r>
      <w:r w:rsidR="00683D27">
        <w:t>.  The</w:t>
      </w:r>
      <w:r>
        <w:t xml:space="preserve"> superior</w:t>
      </w:r>
      <w:r w:rsidR="007C7381">
        <w:t xml:space="preserve"> court is directed to correct the abstract of judgment to state </w:t>
      </w:r>
      <w:r>
        <w:t>Garcia</w:t>
      </w:r>
      <w:r w:rsidR="007C7381">
        <w:t xml:space="preserve"> was </w:t>
      </w:r>
      <w:r>
        <w:t xml:space="preserve">sentenced on count 2 for possession of </w:t>
      </w:r>
      <w:r w:rsidR="00BA6C36">
        <w:t xml:space="preserve">a </w:t>
      </w:r>
      <w:r>
        <w:t>firearm by a felon (</w:t>
      </w:r>
      <w:r w:rsidRPr="0066183A">
        <w:t>§</w:t>
      </w:r>
      <w:r>
        <w:rPr>
          <w:i/>
        </w:rPr>
        <w:t> </w:t>
      </w:r>
      <w:r>
        <w:rPr>
          <w:iCs/>
        </w:rPr>
        <w:t>29800, subdivision</w:t>
      </w:r>
      <w:r w:rsidR="00C50B5B">
        <w:rPr>
          <w:iCs/>
        </w:rPr>
        <w:t> </w:t>
      </w:r>
      <w:r>
        <w:rPr>
          <w:iCs/>
        </w:rPr>
        <w:t>(a)(1)</w:t>
      </w:r>
      <w:r w:rsidRPr="006A6B18">
        <w:t>)</w:t>
      </w:r>
      <w:r>
        <w:t xml:space="preserve"> to a term of </w:t>
      </w:r>
      <w:r>
        <w:lastRenderedPageBreak/>
        <w:t>two years in state prison, to be served concurrently with his sentence on count</w:t>
      </w:r>
      <w:r w:rsidR="00C50B5B">
        <w:t> </w:t>
      </w:r>
      <w:r>
        <w:t xml:space="preserve">1, and </w:t>
      </w:r>
      <w:r w:rsidR="007C7381">
        <w:t>to send a corrected abstract of judgment to the Department of Corrections and Rehabilitation.</w:t>
      </w:r>
    </w:p>
    <w:p w14:paraId="52F0C94C" w14:textId="4665D213" w:rsidR="00683D27" w:rsidRDefault="00683D27" w:rsidP="00F62B40">
      <w:pPr>
        <w:ind w:firstLine="720"/>
      </w:pPr>
    </w:p>
    <w:p w14:paraId="4B3408AF" w14:textId="77777777" w:rsidR="00C50B5B" w:rsidRDefault="00C50B5B" w:rsidP="00F62B40">
      <w:pPr>
        <w:ind w:firstLine="720"/>
      </w:pPr>
    </w:p>
    <w:p w14:paraId="321A0304" w14:textId="77777777" w:rsidR="00540B54" w:rsidRDefault="00540B54" w:rsidP="00F62B40">
      <w:pPr>
        <w:ind w:firstLine="720"/>
      </w:pPr>
    </w:p>
    <w:p w14:paraId="6852D197" w14:textId="2E3D4CDE" w:rsidR="00683D27" w:rsidRDefault="00683D27" w:rsidP="00F62B40">
      <w:r>
        <w:tab/>
      </w:r>
      <w:r>
        <w:tab/>
      </w:r>
      <w:r>
        <w:tab/>
      </w:r>
      <w:r>
        <w:tab/>
      </w:r>
      <w:r>
        <w:tab/>
      </w:r>
      <w:r>
        <w:tab/>
      </w:r>
      <w:r w:rsidR="00956FB8">
        <w:tab/>
      </w:r>
      <w:r>
        <w:t xml:space="preserve">FEUER, </w:t>
      </w:r>
      <w:r w:rsidR="00956FB8">
        <w:t>Acting P. J.</w:t>
      </w:r>
    </w:p>
    <w:p w14:paraId="4C3F87C3" w14:textId="77777777" w:rsidR="00683D27" w:rsidRDefault="00683D27" w:rsidP="00F62B40">
      <w:r>
        <w:t>We concur:</w:t>
      </w:r>
    </w:p>
    <w:p w14:paraId="3C4831FC" w14:textId="65A666C9" w:rsidR="00683D27" w:rsidRDefault="00683D27" w:rsidP="00683D27">
      <w:pPr>
        <w:ind w:firstLine="720"/>
      </w:pPr>
    </w:p>
    <w:p w14:paraId="3BC2249B" w14:textId="77777777" w:rsidR="0066183A" w:rsidRDefault="0066183A" w:rsidP="00683D27">
      <w:pPr>
        <w:ind w:firstLine="720"/>
      </w:pPr>
    </w:p>
    <w:p w14:paraId="28C49B4D" w14:textId="77777777" w:rsidR="00540B54" w:rsidRDefault="00540B54" w:rsidP="00683D27">
      <w:pPr>
        <w:ind w:firstLine="720"/>
      </w:pPr>
    </w:p>
    <w:p w14:paraId="6D929233" w14:textId="1A70B199" w:rsidR="0066183A" w:rsidRDefault="00956FB8" w:rsidP="00956FB8">
      <w:pPr>
        <w:ind w:left="720" w:firstLine="720"/>
      </w:pPr>
      <w:r>
        <w:t>MARTINEZ</w:t>
      </w:r>
      <w:r w:rsidR="00683D27">
        <w:t>, J.</w:t>
      </w:r>
    </w:p>
    <w:p w14:paraId="2B6C69E0" w14:textId="77777777" w:rsidR="0066183A" w:rsidRDefault="0066183A" w:rsidP="00B221A9">
      <w:pPr>
        <w:ind w:firstLine="720"/>
      </w:pPr>
    </w:p>
    <w:p w14:paraId="5B9F25A0" w14:textId="77777777" w:rsidR="00540B54" w:rsidRDefault="00540B54" w:rsidP="00B221A9">
      <w:pPr>
        <w:ind w:firstLine="720"/>
      </w:pPr>
    </w:p>
    <w:p w14:paraId="683280CA" w14:textId="77777777" w:rsidR="00C50B5B" w:rsidRDefault="00C50B5B" w:rsidP="00B221A9">
      <w:pPr>
        <w:ind w:firstLine="720"/>
      </w:pPr>
    </w:p>
    <w:bookmarkEnd w:id="0"/>
    <w:p w14:paraId="604B17E8" w14:textId="77777777" w:rsidR="004A11F0" w:rsidRDefault="004A11F0" w:rsidP="004A11F0">
      <w:pPr>
        <w:spacing w:line="240" w:lineRule="auto"/>
        <w:ind w:left="720" w:firstLine="720"/>
      </w:pPr>
      <w:r>
        <w:t>RAPHAEL, J.</w:t>
      </w:r>
      <w:r>
        <w:rPr>
          <w:rStyle w:val="FootnoteReference"/>
        </w:rPr>
        <w:footnoteReference w:customMarkFollows="1" w:id="14"/>
        <w:t>*</w:t>
      </w:r>
    </w:p>
    <w:p w14:paraId="055E77D7" w14:textId="6CBE6C3B" w:rsidR="004E70F8" w:rsidRDefault="004E70F8" w:rsidP="004A11F0">
      <w:pPr>
        <w:ind w:left="720" w:firstLine="720"/>
      </w:pPr>
    </w:p>
    <w:sectPr w:rsidR="004E70F8" w:rsidSect="002E3ABA">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7E5A04" w14:textId="77777777" w:rsidR="002E3ABA" w:rsidRDefault="002E3ABA" w:rsidP="00683D27">
      <w:pPr>
        <w:spacing w:line="240" w:lineRule="auto"/>
      </w:pPr>
      <w:r>
        <w:separator/>
      </w:r>
    </w:p>
  </w:endnote>
  <w:endnote w:type="continuationSeparator" w:id="0">
    <w:p w14:paraId="57E99B01" w14:textId="77777777" w:rsidR="002E3ABA" w:rsidRDefault="002E3ABA" w:rsidP="00683D27">
      <w:pPr>
        <w:spacing w:line="240" w:lineRule="auto"/>
      </w:pPr>
      <w:r>
        <w:continuationSeparator/>
      </w:r>
    </w:p>
  </w:endnote>
  <w:endnote w:type="continuationNotice" w:id="1">
    <w:p w14:paraId="023991F3" w14:textId="77777777" w:rsidR="002E3ABA" w:rsidRDefault="002E3A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2F683" w14:textId="77777777" w:rsidR="005A2F4E" w:rsidRDefault="00874060" w:rsidP="003A5E38">
    <w:pP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2828069D" w14:textId="77777777" w:rsidR="005A2F4E" w:rsidRDefault="005A2F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97A60D" w14:textId="77777777" w:rsidR="005A2F4E" w:rsidRPr="00683D27" w:rsidRDefault="00874060" w:rsidP="00683D27">
    <w:pPr>
      <w:jc w:val="center"/>
    </w:pPr>
    <w:r w:rsidRPr="006C018D">
      <w:rPr>
        <w:rStyle w:val="PageNumber"/>
      </w:rPr>
      <w:fldChar w:fldCharType="begin"/>
    </w:r>
    <w:r w:rsidRPr="006C018D">
      <w:rPr>
        <w:rStyle w:val="PageNumber"/>
      </w:rPr>
      <w:instrText xml:space="preserve"> PAGE </w:instrText>
    </w:r>
    <w:r w:rsidRPr="006C018D">
      <w:rPr>
        <w:rStyle w:val="PageNumber"/>
      </w:rPr>
      <w:fldChar w:fldCharType="separate"/>
    </w:r>
    <w:r>
      <w:rPr>
        <w:rStyle w:val="PageNumber"/>
        <w:noProof/>
      </w:rPr>
      <w:t>17</w:t>
    </w:r>
    <w:r w:rsidRPr="006C018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E5540" w14:textId="77777777" w:rsidR="00CB4939" w:rsidRDefault="00CB4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FBE2D2" w14:textId="77777777" w:rsidR="002E3ABA" w:rsidRPr="00540B54" w:rsidRDefault="002E3ABA" w:rsidP="00540B54">
      <w:pPr>
        <w:pStyle w:val="Footer"/>
      </w:pPr>
      <w:r>
        <w:separator/>
      </w:r>
    </w:p>
  </w:footnote>
  <w:footnote w:type="continuationSeparator" w:id="0">
    <w:p w14:paraId="260258B2" w14:textId="77777777" w:rsidR="002E3ABA" w:rsidRDefault="002E3ABA" w:rsidP="00683D27">
      <w:pPr>
        <w:spacing w:line="240" w:lineRule="auto"/>
      </w:pPr>
      <w:r>
        <w:continuationSeparator/>
      </w:r>
    </w:p>
  </w:footnote>
  <w:footnote w:type="continuationNotice" w:id="1">
    <w:p w14:paraId="0D85D6B3" w14:textId="77777777" w:rsidR="002E3ABA" w:rsidRDefault="002E3ABA">
      <w:pPr>
        <w:spacing w:line="240" w:lineRule="auto"/>
      </w:pPr>
    </w:p>
  </w:footnote>
  <w:footnote w:id="2">
    <w:p w14:paraId="53117D7A" w14:textId="40857B8B" w:rsidR="00EF0A8F" w:rsidRPr="00EB3642" w:rsidRDefault="00EF0A8F" w:rsidP="00BA6C36">
      <w:pPr>
        <w:pStyle w:val="FootnoteText"/>
        <w:rPr>
          <w:lang w:val="en-US"/>
        </w:rPr>
      </w:pPr>
      <w:r>
        <w:rPr>
          <w:rStyle w:val="FootnoteReference"/>
        </w:rPr>
        <w:footnoteRef/>
      </w:r>
      <w:r>
        <w:t xml:space="preserve"> </w:t>
      </w:r>
      <w:r>
        <w:rPr>
          <w:lang w:val="en-US"/>
        </w:rPr>
        <w:tab/>
      </w:r>
      <w:r w:rsidR="00EE3782">
        <w:rPr>
          <w:lang w:val="en-US"/>
        </w:rPr>
        <w:t>Further</w:t>
      </w:r>
      <w:r w:rsidRPr="00700098">
        <w:t xml:space="preserve"> undesignated statutory references are to the </w:t>
      </w:r>
      <w:r>
        <w:rPr>
          <w:lang w:val="en-US"/>
        </w:rPr>
        <w:t>Penal Code</w:t>
      </w:r>
      <w:r w:rsidRPr="00700098">
        <w:t>.</w:t>
      </w:r>
    </w:p>
  </w:footnote>
  <w:footnote w:id="3">
    <w:p w14:paraId="3E071744" w14:textId="243DED62" w:rsidR="00124F60" w:rsidRPr="00124F60" w:rsidRDefault="00124F60" w:rsidP="00BA6C36">
      <w:pPr>
        <w:pStyle w:val="FootnoteText"/>
      </w:pPr>
      <w:r>
        <w:rPr>
          <w:rStyle w:val="FootnoteReference"/>
        </w:rPr>
        <w:footnoteRef/>
      </w:r>
      <w:r>
        <w:t xml:space="preserve"> </w:t>
      </w:r>
      <w:r>
        <w:tab/>
      </w:r>
      <w:r w:rsidR="002E762E">
        <w:rPr>
          <w:lang w:val="en-US"/>
        </w:rPr>
        <w:t xml:space="preserve">The information alleged Garcia </w:t>
      </w:r>
      <w:r w:rsidR="00BA6C36">
        <w:rPr>
          <w:lang w:val="en-US"/>
        </w:rPr>
        <w:t xml:space="preserve">had been </w:t>
      </w:r>
      <w:r w:rsidR="002E762E">
        <w:rPr>
          <w:lang w:val="en-US"/>
        </w:rPr>
        <w:t>convicted of a total of seven felonies</w:t>
      </w:r>
      <w:r w:rsidR="00BA6C36">
        <w:rPr>
          <w:lang w:val="en-US"/>
        </w:rPr>
        <w:t>:</w:t>
      </w:r>
      <w:r w:rsidR="002E762E">
        <w:rPr>
          <w:lang w:val="en-US"/>
        </w:rPr>
        <w:t xml:space="preserve"> </w:t>
      </w:r>
      <w:r w:rsidR="00DF667D">
        <w:rPr>
          <w:lang w:val="en-US"/>
        </w:rPr>
        <w:t xml:space="preserve">a </w:t>
      </w:r>
      <w:r w:rsidR="0067570D">
        <w:t xml:space="preserve">2015 </w:t>
      </w:r>
      <w:r w:rsidR="00DF667D">
        <w:rPr>
          <w:lang w:val="en-US"/>
        </w:rPr>
        <w:t xml:space="preserve">conviction </w:t>
      </w:r>
      <w:r w:rsidR="0067570D">
        <w:t xml:space="preserve">for being a </w:t>
      </w:r>
      <w:r>
        <w:t>felon in possession of a firearm (</w:t>
      </w:r>
      <w:r w:rsidRPr="00124F60">
        <w:t>§</w:t>
      </w:r>
      <w:r>
        <w:t xml:space="preserve"> 29800); </w:t>
      </w:r>
      <w:r w:rsidR="00DF667D">
        <w:rPr>
          <w:lang w:val="en-US"/>
        </w:rPr>
        <w:t xml:space="preserve">a </w:t>
      </w:r>
      <w:r w:rsidR="00DF667D">
        <w:t xml:space="preserve">2014 </w:t>
      </w:r>
      <w:r w:rsidR="00DF667D">
        <w:rPr>
          <w:lang w:val="en-US"/>
        </w:rPr>
        <w:t xml:space="preserve">conviction for </w:t>
      </w:r>
      <w:r>
        <w:t>corporal injury to a spouse, cohabitant</w:t>
      </w:r>
      <w:r w:rsidR="006E3899">
        <w:t>,</w:t>
      </w:r>
      <w:r>
        <w:t xml:space="preserve"> or child’s parent (</w:t>
      </w:r>
      <w:r w:rsidRPr="00124F60">
        <w:t>§</w:t>
      </w:r>
      <w:r w:rsidR="00950DE7">
        <w:t> </w:t>
      </w:r>
      <w:r>
        <w:t xml:space="preserve">273.5); </w:t>
      </w:r>
      <w:r w:rsidR="00DB20F8">
        <w:rPr>
          <w:lang w:val="en-US"/>
        </w:rPr>
        <w:t xml:space="preserve">a </w:t>
      </w:r>
      <w:r w:rsidR="00950DE7">
        <w:rPr>
          <w:lang w:val="en-US"/>
        </w:rPr>
        <w:t>2007</w:t>
      </w:r>
      <w:r w:rsidR="005C63D0">
        <w:rPr>
          <w:lang w:val="en-US"/>
        </w:rPr>
        <w:t> </w:t>
      </w:r>
      <w:r w:rsidR="00DF667D">
        <w:rPr>
          <w:lang w:val="en-US"/>
        </w:rPr>
        <w:t>conviction for s</w:t>
      </w:r>
      <w:r>
        <w:t>econd degree burglary (</w:t>
      </w:r>
      <w:r w:rsidRPr="00124F60">
        <w:t>§</w:t>
      </w:r>
      <w:r>
        <w:t xml:space="preserve"> 459); </w:t>
      </w:r>
      <w:r w:rsidR="00DB20F8">
        <w:rPr>
          <w:lang w:val="en-US"/>
        </w:rPr>
        <w:t xml:space="preserve">a </w:t>
      </w:r>
      <w:r w:rsidR="00DF667D">
        <w:rPr>
          <w:lang w:val="en-US"/>
        </w:rPr>
        <w:t>2001</w:t>
      </w:r>
      <w:r w:rsidR="005C63D0">
        <w:rPr>
          <w:lang w:val="en-US"/>
        </w:rPr>
        <w:t> </w:t>
      </w:r>
      <w:r w:rsidR="00DF667D">
        <w:rPr>
          <w:lang w:val="en-US"/>
        </w:rPr>
        <w:t xml:space="preserve">conviction for </w:t>
      </w:r>
      <w:r w:rsidR="002A0B0D">
        <w:t>carrying a concealed weapon (</w:t>
      </w:r>
      <w:r w:rsidR="002A0B0D" w:rsidRPr="002A0B0D">
        <w:t>§</w:t>
      </w:r>
      <w:r w:rsidR="002A0B0D">
        <w:t xml:space="preserve"> 12025); and </w:t>
      </w:r>
      <w:r w:rsidR="00DF667D">
        <w:rPr>
          <w:lang w:val="en-US"/>
        </w:rPr>
        <w:t xml:space="preserve">2001, 2005, and 2006 </w:t>
      </w:r>
      <w:r w:rsidR="00156CC5">
        <w:rPr>
          <w:lang w:val="en-US"/>
        </w:rPr>
        <w:t xml:space="preserve">convictions </w:t>
      </w:r>
      <w:r w:rsidR="002A0B0D">
        <w:t xml:space="preserve">for </w:t>
      </w:r>
      <w:r w:rsidR="00801B48">
        <w:rPr>
          <w:lang w:val="en-US"/>
        </w:rPr>
        <w:t>driving or taking a vehicle without consent</w:t>
      </w:r>
      <w:r>
        <w:t xml:space="preserve"> (Veh. Code, </w:t>
      </w:r>
      <w:r w:rsidRPr="00124F60">
        <w:t>§</w:t>
      </w:r>
      <w:r>
        <w:t> 10851)</w:t>
      </w:r>
      <w:r w:rsidR="002A0B0D">
        <w:t xml:space="preserve">. </w:t>
      </w:r>
      <w:r>
        <w:t xml:space="preserve"> </w:t>
      </w:r>
    </w:p>
  </w:footnote>
  <w:footnote w:id="4">
    <w:p w14:paraId="58BDB161" w14:textId="05F838B7" w:rsidR="00AF3BBD" w:rsidRPr="00DB20F8" w:rsidRDefault="00AF3BBD" w:rsidP="00BA6C36">
      <w:pPr>
        <w:pStyle w:val="FootnoteText"/>
      </w:pPr>
      <w:r>
        <w:rPr>
          <w:rStyle w:val="FootnoteReference"/>
        </w:rPr>
        <w:footnoteRef/>
      </w:r>
      <w:r>
        <w:t xml:space="preserve"> </w:t>
      </w:r>
      <w:r>
        <w:tab/>
        <w:t xml:space="preserve">Although the information charged Garcia with only six prior prison terms </w:t>
      </w:r>
      <w:r w:rsidRPr="005D4B67">
        <w:t>under former section</w:t>
      </w:r>
      <w:r w:rsidR="00950DE7">
        <w:t> </w:t>
      </w:r>
      <w:r w:rsidRPr="005D4B67">
        <w:t>667.5, subdivision</w:t>
      </w:r>
      <w:r w:rsidR="00950DE7">
        <w:t> </w:t>
      </w:r>
      <w:r w:rsidRPr="005D4B67">
        <w:t xml:space="preserve">(b), </w:t>
      </w:r>
      <w:r w:rsidR="00587237">
        <w:t xml:space="preserve">as part of </w:t>
      </w:r>
      <w:r w:rsidR="008F6C5B">
        <w:t xml:space="preserve">the negotiated plea he </w:t>
      </w:r>
      <w:r w:rsidR="00587237">
        <w:t xml:space="preserve">admitted to </w:t>
      </w:r>
      <w:r w:rsidR="00607890">
        <w:t xml:space="preserve">having </w:t>
      </w:r>
      <w:r w:rsidR="005D4B67">
        <w:t xml:space="preserve">seven one-year </w:t>
      </w:r>
      <w:r w:rsidR="00607890">
        <w:t>prison priors and waived his right on appeal to challenge the seventh prison prior as not having been separately served</w:t>
      </w:r>
      <w:r>
        <w:t xml:space="preserve">.  </w:t>
      </w:r>
    </w:p>
  </w:footnote>
  <w:footnote w:id="5">
    <w:p w14:paraId="170B53C7" w14:textId="100B680B" w:rsidR="00F61471" w:rsidRPr="00F61471" w:rsidRDefault="00F61471" w:rsidP="00BA6C36">
      <w:pPr>
        <w:pStyle w:val="FootnoteText"/>
      </w:pPr>
      <w:r>
        <w:rPr>
          <w:rStyle w:val="FootnoteReference"/>
        </w:rPr>
        <w:footnoteRef/>
      </w:r>
      <w:r>
        <w:t xml:space="preserve"> </w:t>
      </w:r>
      <w:r>
        <w:tab/>
        <w:t>Judge Katherine Mader.</w:t>
      </w:r>
    </w:p>
  </w:footnote>
  <w:footnote w:id="6">
    <w:p w14:paraId="6F12A124" w14:textId="46417B50" w:rsidR="00F61471" w:rsidRPr="00E7667A" w:rsidRDefault="00F61471" w:rsidP="00BA6C36">
      <w:pPr>
        <w:pStyle w:val="FootnoteText"/>
        <w:rPr>
          <w:szCs w:val="26"/>
        </w:rPr>
      </w:pPr>
      <w:r>
        <w:rPr>
          <w:rStyle w:val="FootnoteReference"/>
        </w:rPr>
        <w:footnoteRef/>
      </w:r>
      <w:r>
        <w:t xml:space="preserve"> </w:t>
      </w:r>
      <w:r>
        <w:tab/>
        <w:t xml:space="preserve">Garcia did not </w:t>
      </w:r>
      <w:r w:rsidR="00440E5A">
        <w:t xml:space="preserve">appear for sentencing on July </w:t>
      </w:r>
      <w:r w:rsidR="00950DE7">
        <w:t>23</w:t>
      </w:r>
      <w:r w:rsidR="00440E5A">
        <w:t xml:space="preserve">, 2019 and was arrested.  Although he had been admonished at the time of his open plea </w:t>
      </w:r>
      <w:r w:rsidR="00EC1E81">
        <w:rPr>
          <w:lang w:val="en-US"/>
        </w:rPr>
        <w:t xml:space="preserve">to the </w:t>
      </w:r>
      <w:r w:rsidR="003A6583">
        <w:rPr>
          <w:lang w:val="en-US"/>
        </w:rPr>
        <w:t xml:space="preserve">trial </w:t>
      </w:r>
      <w:r w:rsidR="00EC1E81">
        <w:rPr>
          <w:lang w:val="en-US"/>
        </w:rPr>
        <w:t xml:space="preserve">court </w:t>
      </w:r>
      <w:r w:rsidR="00440E5A">
        <w:t>that he could be sentenced to 31</w:t>
      </w:r>
      <w:r w:rsidR="00950DE7">
        <w:t> </w:t>
      </w:r>
      <w:r w:rsidR="00440E5A">
        <w:t xml:space="preserve">years rather than 12 years if </w:t>
      </w:r>
      <w:r w:rsidR="00FD1033">
        <w:rPr>
          <w:lang w:val="en-US"/>
        </w:rPr>
        <w:t xml:space="preserve">he </w:t>
      </w:r>
      <w:r w:rsidR="00440E5A">
        <w:t xml:space="preserve">failed to appear for sentencing, the court </w:t>
      </w:r>
      <w:r w:rsidR="00181F1C">
        <w:rPr>
          <w:lang w:val="en-US"/>
        </w:rPr>
        <w:t xml:space="preserve">did not </w:t>
      </w:r>
      <w:r w:rsidR="00440E5A">
        <w:t xml:space="preserve">sentence him to additional time.  </w:t>
      </w:r>
      <w:r w:rsidR="0017210A">
        <w:rPr>
          <w:lang w:val="en-US"/>
        </w:rPr>
        <w:t>A</w:t>
      </w:r>
      <w:r w:rsidR="00AB089B">
        <w:rPr>
          <w:lang w:val="en-US"/>
        </w:rPr>
        <w:t xml:space="preserve">t the time of </w:t>
      </w:r>
      <w:r w:rsidR="0017210A">
        <w:rPr>
          <w:lang w:val="en-US"/>
        </w:rPr>
        <w:t xml:space="preserve">his sentencing on November </w:t>
      </w:r>
      <w:r w:rsidR="00AB089B">
        <w:rPr>
          <w:lang w:val="en-US"/>
        </w:rPr>
        <w:t>26, 2019</w:t>
      </w:r>
      <w:r w:rsidR="0017210A">
        <w:rPr>
          <w:lang w:val="en-US"/>
        </w:rPr>
        <w:t xml:space="preserve">, </w:t>
      </w:r>
      <w:r w:rsidR="00AB089B">
        <w:rPr>
          <w:lang w:val="en-US"/>
        </w:rPr>
        <w:t xml:space="preserve">the court noted the law had changed as to the </w:t>
      </w:r>
      <w:r w:rsidR="00CC5FCF">
        <w:rPr>
          <w:lang w:val="en-US"/>
        </w:rPr>
        <w:t xml:space="preserve">imposition of </w:t>
      </w:r>
      <w:r w:rsidR="00AB089B">
        <w:rPr>
          <w:lang w:val="en-US"/>
        </w:rPr>
        <w:t>one-year prison priors</w:t>
      </w:r>
      <w:r w:rsidR="00F631F7">
        <w:rPr>
          <w:lang w:val="en-US"/>
        </w:rPr>
        <w:t xml:space="preserve"> (effective January 1, </w:t>
      </w:r>
      <w:r w:rsidR="00717A1D">
        <w:rPr>
          <w:lang w:val="en-US"/>
        </w:rPr>
        <w:t>2020</w:t>
      </w:r>
      <w:r w:rsidR="00F631F7">
        <w:rPr>
          <w:lang w:val="en-US"/>
        </w:rPr>
        <w:t>, as we discuss below)</w:t>
      </w:r>
      <w:r w:rsidR="00AB089B">
        <w:rPr>
          <w:lang w:val="en-US"/>
        </w:rPr>
        <w:t xml:space="preserve">, and </w:t>
      </w:r>
      <w:r w:rsidR="0017210A">
        <w:rPr>
          <w:lang w:val="en-US"/>
        </w:rPr>
        <w:t xml:space="preserve">Garcia </w:t>
      </w:r>
      <w:r w:rsidR="00AB089B">
        <w:rPr>
          <w:lang w:val="en-US"/>
        </w:rPr>
        <w:t>agreed to give up his appellate rights to challenge the</w:t>
      </w:r>
      <w:r w:rsidR="00E7667A">
        <w:rPr>
          <w:lang w:val="en-US"/>
        </w:rPr>
        <w:t xml:space="preserve"> </w:t>
      </w:r>
      <w:r w:rsidR="00B10D99">
        <w:rPr>
          <w:lang w:val="en-US"/>
        </w:rPr>
        <w:t xml:space="preserve">prior </w:t>
      </w:r>
      <w:r w:rsidR="00B60A7A">
        <w:rPr>
          <w:lang w:val="en-US"/>
        </w:rPr>
        <w:t xml:space="preserve">prison term </w:t>
      </w:r>
      <w:r w:rsidR="00E7667A">
        <w:rPr>
          <w:lang w:val="en-US"/>
        </w:rPr>
        <w:t>enhancements</w:t>
      </w:r>
      <w:r w:rsidR="00AB089B">
        <w:rPr>
          <w:lang w:val="en-US"/>
        </w:rPr>
        <w:t xml:space="preserve">. </w:t>
      </w:r>
    </w:p>
  </w:footnote>
  <w:footnote w:id="7">
    <w:p w14:paraId="3977F49A" w14:textId="1D5AFB5E" w:rsidR="00136D81" w:rsidRPr="00136D81" w:rsidRDefault="00136D81" w:rsidP="00BA6C36">
      <w:pPr>
        <w:pStyle w:val="FootnoteText"/>
      </w:pPr>
      <w:r>
        <w:rPr>
          <w:rStyle w:val="FootnoteReference"/>
        </w:rPr>
        <w:footnoteRef/>
      </w:r>
      <w:r>
        <w:t xml:space="preserve"> </w:t>
      </w:r>
      <w:r>
        <w:tab/>
      </w:r>
      <w:r w:rsidRPr="00136D81">
        <w:t xml:space="preserve">“C-file” refers to “the confidential correctional inmate files maintained by the Department of Corrections.” </w:t>
      </w:r>
      <w:r>
        <w:t xml:space="preserve"> </w:t>
      </w:r>
      <w:r w:rsidRPr="00136D81">
        <w:t>(</w:t>
      </w:r>
      <w:r w:rsidRPr="00136D81">
        <w:rPr>
          <w:i/>
          <w:iCs/>
        </w:rPr>
        <w:t>People v. Landry</w:t>
      </w:r>
      <w:r w:rsidRPr="00136D81">
        <w:t xml:space="preserve"> (2016) 2</w:t>
      </w:r>
      <w:r w:rsidR="00BA14BE">
        <w:t> </w:t>
      </w:r>
      <w:r w:rsidRPr="00136D81">
        <w:t>Cal.5th 52, 71.)</w:t>
      </w:r>
    </w:p>
  </w:footnote>
  <w:footnote w:id="8">
    <w:p w14:paraId="3B95AAEB" w14:textId="0E7D0D45" w:rsidR="00D04633" w:rsidRPr="00B10881" w:rsidRDefault="00D04633" w:rsidP="00BA6C36">
      <w:pPr>
        <w:pStyle w:val="FootnoteText"/>
        <w:rPr>
          <w:lang w:val="en-US"/>
        </w:rPr>
      </w:pPr>
      <w:r>
        <w:rPr>
          <w:rStyle w:val="FootnoteReference"/>
        </w:rPr>
        <w:footnoteRef/>
      </w:r>
      <w:r>
        <w:t xml:space="preserve"> </w:t>
      </w:r>
      <w:r>
        <w:rPr>
          <w:lang w:val="en-US"/>
        </w:rPr>
        <w:tab/>
        <w:t>A</w:t>
      </w:r>
      <w:r w:rsidR="008D23E8">
        <w:rPr>
          <w:lang w:val="en-US"/>
        </w:rPr>
        <w:t>n NDPF</w:t>
      </w:r>
      <w:r w:rsidR="00DD28F5">
        <w:rPr>
          <w:lang w:val="en-US"/>
        </w:rPr>
        <w:t xml:space="preserve"> “</w:t>
      </w:r>
      <w:r w:rsidRPr="00D04633">
        <w:t>houses inmates who demonstrate positive behavior and a willingness to participate in rehabilitative programs and conform to departmental policies, free from Security Threat Group (STG) influence and behavior.</w:t>
      </w:r>
      <w:r w:rsidR="00DD28F5">
        <w:rPr>
          <w:lang w:val="en-US"/>
        </w:rPr>
        <w:t>”  (</w:t>
      </w:r>
      <w:r w:rsidRPr="00D04633">
        <w:t>Cal. Code Regs., tit. 15, § 3269.4</w:t>
      </w:r>
      <w:r w:rsidR="001D5CE2">
        <w:rPr>
          <w:lang w:val="en-US"/>
        </w:rPr>
        <w:t xml:space="preserve"> (a).)  The California Department of Corrections and </w:t>
      </w:r>
      <w:r w:rsidR="000C4934">
        <w:rPr>
          <w:lang w:val="en-US"/>
        </w:rPr>
        <w:t>R</w:t>
      </w:r>
      <w:r w:rsidR="00F50AA8">
        <w:rPr>
          <w:lang w:val="en-US"/>
        </w:rPr>
        <w:t xml:space="preserve">ehabilitation </w:t>
      </w:r>
      <w:r w:rsidR="00533292">
        <w:rPr>
          <w:lang w:val="en-US"/>
        </w:rPr>
        <w:t xml:space="preserve">regulations </w:t>
      </w:r>
      <w:r w:rsidR="00F50AA8">
        <w:rPr>
          <w:lang w:val="en-US"/>
        </w:rPr>
        <w:t>specify the conditions for excluding or removing an inmate from an NDPF placement.  (</w:t>
      </w:r>
      <w:r w:rsidR="00F50AA8" w:rsidRPr="00B10881">
        <w:rPr>
          <w:i/>
          <w:iCs/>
          <w:lang w:val="en-US"/>
        </w:rPr>
        <w:t>Id</w:t>
      </w:r>
      <w:r w:rsidR="00F50AA8">
        <w:rPr>
          <w:lang w:val="en-US"/>
        </w:rPr>
        <w:t>.</w:t>
      </w:r>
      <w:r w:rsidR="000C4934">
        <w:rPr>
          <w:lang w:val="en-US"/>
        </w:rPr>
        <w:t>, § 3269.4 (b).)</w:t>
      </w:r>
      <w:r w:rsidR="001D5CE2">
        <w:rPr>
          <w:lang w:val="en-US"/>
        </w:rPr>
        <w:t xml:space="preserve">  </w:t>
      </w:r>
    </w:p>
  </w:footnote>
  <w:footnote w:id="9">
    <w:p w14:paraId="2FE74B6C" w14:textId="05B4BD5F" w:rsidR="00FF3AD7" w:rsidRPr="00683474" w:rsidRDefault="00FF3AD7" w:rsidP="00BA6C36">
      <w:pPr>
        <w:pStyle w:val="FootnoteText"/>
      </w:pPr>
      <w:r>
        <w:rPr>
          <w:rStyle w:val="FootnoteReference"/>
        </w:rPr>
        <w:footnoteRef/>
      </w:r>
      <w:r>
        <w:t xml:space="preserve"> </w:t>
      </w:r>
      <w:r>
        <w:tab/>
        <w:t xml:space="preserve">We assume Garcia was </w:t>
      </w:r>
      <w:r w:rsidR="00247067">
        <w:rPr>
          <w:lang w:val="en-US"/>
        </w:rPr>
        <w:t>identifying himself as a Southern California Hispanic gang member, commonly referred to as a “Southsider</w:t>
      </w:r>
      <w:r>
        <w:t>.</w:t>
      </w:r>
      <w:r w:rsidR="00247067">
        <w:rPr>
          <w:lang w:val="en-US"/>
        </w:rPr>
        <w:t>”</w:t>
      </w:r>
      <w:r w:rsidRPr="00683474">
        <w:t xml:space="preserve"> </w:t>
      </w:r>
      <w:r>
        <w:t xml:space="preserve"> (See </w:t>
      </w:r>
      <w:r w:rsidRPr="00B10881">
        <w:rPr>
          <w:i/>
          <w:iCs/>
        </w:rPr>
        <w:t>People v. Miranda</w:t>
      </w:r>
      <w:r w:rsidRPr="00683474">
        <w:t xml:space="preserve"> (2016) 2</w:t>
      </w:r>
      <w:r w:rsidR="00540B54">
        <w:t> </w:t>
      </w:r>
      <w:r w:rsidRPr="00683474">
        <w:t xml:space="preserve">Cal.App.5th 829, 834 </w:t>
      </w:r>
      <w:r>
        <w:t xml:space="preserve">[discussing segregated housing of </w:t>
      </w:r>
      <w:r w:rsidR="00247067">
        <w:rPr>
          <w:lang w:val="en-US"/>
        </w:rPr>
        <w:t xml:space="preserve">Southern California </w:t>
      </w:r>
      <w:r>
        <w:t xml:space="preserve">Hispanic gang members in prison].)  </w:t>
      </w:r>
    </w:p>
    <w:p w14:paraId="57453890" w14:textId="77777777" w:rsidR="00FF3AD7" w:rsidRPr="00683474" w:rsidRDefault="00FF3AD7" w:rsidP="00BA6C36">
      <w:pPr>
        <w:pStyle w:val="FootnoteText"/>
      </w:pPr>
    </w:p>
  </w:footnote>
  <w:footnote w:id="10">
    <w:p w14:paraId="761C32C2" w14:textId="44079E98" w:rsidR="001D6BC4" w:rsidRPr="001D6BC4" w:rsidRDefault="001D6BC4" w:rsidP="00BA6C36">
      <w:pPr>
        <w:pStyle w:val="FootnoteText"/>
      </w:pPr>
      <w:r>
        <w:rPr>
          <w:rStyle w:val="FootnoteReference"/>
        </w:rPr>
        <w:footnoteRef/>
      </w:r>
      <w:r>
        <w:t xml:space="preserve"> </w:t>
      </w:r>
      <w:r>
        <w:tab/>
        <w:t>Judge Lynne M. Hobbs.</w:t>
      </w:r>
    </w:p>
  </w:footnote>
  <w:footnote w:id="11">
    <w:p w14:paraId="1C20600C" w14:textId="5B679B53" w:rsidR="00826C84" w:rsidRPr="00826C84" w:rsidRDefault="00826C84" w:rsidP="00BA6C36">
      <w:pPr>
        <w:pStyle w:val="FootnoteText"/>
      </w:pPr>
      <w:r>
        <w:rPr>
          <w:rStyle w:val="FootnoteReference"/>
        </w:rPr>
        <w:footnoteRef/>
      </w:r>
      <w:r>
        <w:t xml:space="preserve"> </w:t>
      </w:r>
      <w:r>
        <w:tab/>
      </w:r>
      <w:r w:rsidRPr="00826C84">
        <w:t>Effective June 30, 2022, the Legislature renumbered section 1171.1 to section 1172.75 without substantive change to the statute.  (Stats.</w:t>
      </w:r>
      <w:r w:rsidR="005C63D0">
        <w:t> </w:t>
      </w:r>
      <w:r w:rsidRPr="00826C84">
        <w:t>2022, ch.</w:t>
      </w:r>
      <w:r w:rsidR="005C63D0">
        <w:t> </w:t>
      </w:r>
      <w:r w:rsidRPr="00826C84">
        <w:t>58, §</w:t>
      </w:r>
      <w:r w:rsidR="005C63D0">
        <w:t> </w:t>
      </w:r>
      <w:r w:rsidRPr="00826C84">
        <w:t xml:space="preserve">12.)  </w:t>
      </w:r>
    </w:p>
  </w:footnote>
  <w:footnote w:id="12">
    <w:p w14:paraId="3D6AB062" w14:textId="7949ACA2" w:rsidR="00E52024" w:rsidRPr="00717A1D" w:rsidRDefault="00E52024" w:rsidP="00BA6C36">
      <w:pPr>
        <w:pStyle w:val="FootnoteText"/>
        <w:rPr>
          <w:lang w:val="en-US"/>
        </w:rPr>
      </w:pPr>
      <w:r>
        <w:rPr>
          <w:rStyle w:val="FootnoteReference"/>
        </w:rPr>
        <w:footnoteRef/>
      </w:r>
      <w:r>
        <w:t xml:space="preserve"> </w:t>
      </w:r>
      <w:r>
        <w:tab/>
        <w:t>In a</w:t>
      </w:r>
      <w:r w:rsidRPr="00E52024">
        <w:t>n uncodified section of Sen</w:t>
      </w:r>
      <w:r>
        <w:t xml:space="preserve">ate </w:t>
      </w:r>
      <w:r w:rsidRPr="00E52024">
        <w:t xml:space="preserve">Bill </w:t>
      </w:r>
      <w:r>
        <w:t>No.</w:t>
      </w:r>
      <w:r w:rsidR="002C4605">
        <w:t> </w:t>
      </w:r>
      <w:r w:rsidRPr="00E52024">
        <w:t xml:space="preserve">483, the Legislature </w:t>
      </w:r>
      <w:r w:rsidR="00EF0A8F">
        <w:t>stated that</w:t>
      </w:r>
      <w:r>
        <w:t xml:space="preserve"> “‘</w:t>
      </w:r>
      <w:r w:rsidRPr="00E52024">
        <w:t>any changes to a sentence as a result of the act that added this section shall not be a basis for a prosecutor or court to rescind a plea agreement.</w:t>
      </w:r>
      <w:r>
        <w:t>’”</w:t>
      </w:r>
      <w:r w:rsidRPr="00E52024">
        <w:t xml:space="preserve"> </w:t>
      </w:r>
      <w:r>
        <w:t xml:space="preserve"> </w:t>
      </w:r>
      <w:r w:rsidRPr="00E52024">
        <w:t>(</w:t>
      </w:r>
      <w:r w:rsidRPr="00E52024">
        <w:rPr>
          <w:i/>
          <w:iCs/>
        </w:rPr>
        <w:t>People v. Montgomery</w:t>
      </w:r>
      <w:r>
        <w:rPr>
          <w:i/>
          <w:iCs/>
        </w:rPr>
        <w:t>, supra</w:t>
      </w:r>
      <w:r>
        <w:t>,</w:t>
      </w:r>
      <w:r w:rsidRPr="00E52024">
        <w:t xml:space="preserve"> </w:t>
      </w:r>
      <w:r w:rsidR="002C4605">
        <w:t>100</w:t>
      </w:r>
      <w:r w:rsidR="005C63D0">
        <w:t> </w:t>
      </w:r>
      <w:r w:rsidR="002C4605">
        <w:t xml:space="preserve">Cal.App.5th at p. </w:t>
      </w:r>
      <w:r w:rsidR="00F12307">
        <w:t>774</w:t>
      </w:r>
      <w:r w:rsidRPr="00000D87">
        <w:t>,</w:t>
      </w:r>
      <w:r>
        <w:t xml:space="preserve"> citing </w:t>
      </w:r>
      <w:r w:rsidRPr="00E52024">
        <w:t>Stats.</w:t>
      </w:r>
      <w:r w:rsidR="00F12307">
        <w:t> </w:t>
      </w:r>
      <w:r w:rsidRPr="00E52024">
        <w:t>2021, ch.</w:t>
      </w:r>
      <w:r>
        <w:t> </w:t>
      </w:r>
      <w:r w:rsidRPr="00E52024">
        <w:t>728, §</w:t>
      </w:r>
      <w:r w:rsidR="00F12307">
        <w:t> </w:t>
      </w:r>
      <w:r w:rsidRPr="00E52024">
        <w:t>1</w:t>
      </w:r>
      <w:r>
        <w:t xml:space="preserve">; </w:t>
      </w:r>
      <w:r w:rsidR="00627E44">
        <w:rPr>
          <w:lang w:val="en-US"/>
        </w:rPr>
        <w:t xml:space="preserve">accord, </w:t>
      </w:r>
      <w:r w:rsidRPr="00E52024">
        <w:rPr>
          <w:i/>
          <w:iCs/>
        </w:rPr>
        <w:t>People v. Carter</w:t>
      </w:r>
      <w:r w:rsidRPr="00E52024">
        <w:t xml:space="preserve"> (2023) 97</w:t>
      </w:r>
      <w:r w:rsidR="00F12307">
        <w:t> </w:t>
      </w:r>
      <w:r w:rsidRPr="00E52024">
        <w:t>Cal.App.5th 960</w:t>
      </w:r>
      <w:r>
        <w:t xml:space="preserve">, 972-973 [prosecutor may not rescind plea agreement due to a sentence reduction at </w:t>
      </w:r>
      <w:r w:rsidR="00C7203D">
        <w:rPr>
          <w:lang w:val="en-US"/>
        </w:rPr>
        <w:t xml:space="preserve">a </w:t>
      </w:r>
      <w:r>
        <w:t>section</w:t>
      </w:r>
      <w:r w:rsidR="00F12307">
        <w:t> </w:t>
      </w:r>
      <w:r>
        <w:t>1172.75</w:t>
      </w:r>
      <w:r w:rsidR="00C7203D">
        <w:rPr>
          <w:lang w:val="en-US"/>
        </w:rPr>
        <w:t xml:space="preserve"> resentencing</w:t>
      </w:r>
      <w:r w:rsidR="003E039F">
        <w:rPr>
          <w:lang w:val="en-US"/>
        </w:rPr>
        <w:t xml:space="preserve"> hearing</w:t>
      </w:r>
      <w:r>
        <w:t xml:space="preserve">, even if the reduction resulted from </w:t>
      </w:r>
      <w:r w:rsidR="00627E44">
        <w:rPr>
          <w:lang w:val="en-US"/>
        </w:rPr>
        <w:t xml:space="preserve">application of </w:t>
      </w:r>
      <w:r>
        <w:t xml:space="preserve">another </w:t>
      </w:r>
      <w:r w:rsidR="003E039F">
        <w:rPr>
          <w:lang w:val="en-US"/>
        </w:rPr>
        <w:t xml:space="preserve">Penal </w:t>
      </w:r>
      <w:r>
        <w:t>Code provision</w:t>
      </w:r>
      <w:r w:rsidR="00935A8D">
        <w:rPr>
          <w:lang w:val="en-US"/>
        </w:rPr>
        <w:t xml:space="preserve"> at the resentencing</w:t>
      </w:r>
      <w:r>
        <w:t xml:space="preserve">]; but see </w:t>
      </w:r>
      <w:r w:rsidRPr="007A1924">
        <w:rPr>
          <w:i/>
          <w:iCs/>
        </w:rPr>
        <w:t>People v. Coddington</w:t>
      </w:r>
      <w:r w:rsidRPr="007A1924">
        <w:t xml:space="preserve"> (2023) 96</w:t>
      </w:r>
      <w:r w:rsidR="000150E1">
        <w:t> </w:t>
      </w:r>
      <w:r w:rsidRPr="007A1924">
        <w:t xml:space="preserve">Cal.App.5th </w:t>
      </w:r>
      <w:r w:rsidRPr="00A03ABF">
        <w:t>562</w:t>
      </w:r>
      <w:r w:rsidR="00A03ABF">
        <w:rPr>
          <w:lang w:val="en-US"/>
        </w:rPr>
        <w:t>, 570-572</w:t>
      </w:r>
      <w:r>
        <w:t xml:space="preserve"> [</w:t>
      </w:r>
      <w:r w:rsidRPr="00E52024">
        <w:t xml:space="preserve">Legislature intended to preclude a prosecutor from withdrawing from a plea agreement when a </w:t>
      </w:r>
      <w:r w:rsidR="00EF0A8F">
        <w:t>prior prison sentence enhancement</w:t>
      </w:r>
      <w:r w:rsidRPr="00E52024">
        <w:t xml:space="preserve"> is </w:t>
      </w:r>
      <w:r w:rsidRPr="00627E44">
        <w:t>st</w:t>
      </w:r>
      <w:r w:rsidRPr="00E52024">
        <w:t>ruck</w:t>
      </w:r>
      <w:r>
        <w:t xml:space="preserve">, but </w:t>
      </w:r>
      <w:r w:rsidR="00EF0A8F" w:rsidRPr="00A03ABF">
        <w:t xml:space="preserve">the </w:t>
      </w:r>
      <w:r w:rsidRPr="00A03ABF">
        <w:t xml:space="preserve">prosecutor </w:t>
      </w:r>
      <w:r w:rsidR="00627E44" w:rsidRPr="00A03ABF">
        <w:rPr>
          <w:lang w:val="en-US"/>
        </w:rPr>
        <w:t>may</w:t>
      </w:r>
      <w:r w:rsidRPr="00A03ABF">
        <w:t xml:space="preserve"> withdraw from</w:t>
      </w:r>
      <w:r w:rsidR="00EF0A8F" w:rsidRPr="00A03ABF">
        <w:t xml:space="preserve"> the plea</w:t>
      </w:r>
      <w:r w:rsidRPr="00A03ABF">
        <w:t xml:space="preserve"> if the sentence is reduced</w:t>
      </w:r>
      <w:r w:rsidR="00627E44" w:rsidRPr="00A03ABF">
        <w:rPr>
          <w:lang w:val="en-US"/>
        </w:rPr>
        <w:t xml:space="preserve"> based on </w:t>
      </w:r>
      <w:r w:rsidR="001735B8" w:rsidRPr="00A03ABF">
        <w:rPr>
          <w:lang w:val="en-US"/>
        </w:rPr>
        <w:t>a different code provision</w:t>
      </w:r>
      <w:r>
        <w:t>].</w:t>
      </w:r>
      <w:r w:rsidR="00826C84">
        <w:rPr>
          <w:lang w:val="en-US"/>
        </w:rPr>
        <w:t>)</w:t>
      </w:r>
      <w:r w:rsidR="00EF0A8F">
        <w:t xml:space="preserve"> </w:t>
      </w:r>
      <w:r w:rsidR="00717A1D">
        <w:rPr>
          <w:lang w:val="en-US"/>
        </w:rPr>
        <w:t xml:space="preserve"> </w:t>
      </w:r>
      <w:r w:rsidR="00EA24B7">
        <w:rPr>
          <w:lang w:val="en-US"/>
        </w:rPr>
        <w:t xml:space="preserve">At the resentencing hearing, Garcia argued that imposing the firearm enhancement that had been </w:t>
      </w:r>
      <w:r w:rsidR="00F012E4">
        <w:rPr>
          <w:lang w:val="en-US"/>
        </w:rPr>
        <w:t xml:space="preserve">struck </w:t>
      </w:r>
      <w:r w:rsidR="00EA24B7">
        <w:rPr>
          <w:lang w:val="en-US"/>
        </w:rPr>
        <w:t>as part of the negotiated plea would be the</w:t>
      </w:r>
      <w:r w:rsidR="00501D22">
        <w:rPr>
          <w:lang w:val="en-US"/>
        </w:rPr>
        <w:t xml:space="preserve"> </w:t>
      </w:r>
      <w:r w:rsidR="00EA24B7">
        <w:rPr>
          <w:lang w:val="en-US"/>
        </w:rPr>
        <w:t>equivalent of the court rescinding its plea offer</w:t>
      </w:r>
      <w:r w:rsidR="00B91A71">
        <w:rPr>
          <w:lang w:val="en-US"/>
        </w:rPr>
        <w:t xml:space="preserve">. </w:t>
      </w:r>
      <w:r w:rsidR="00501D22">
        <w:rPr>
          <w:lang w:val="en-US"/>
        </w:rPr>
        <w:t xml:space="preserve"> The parties do not </w:t>
      </w:r>
      <w:r w:rsidR="00D868E0">
        <w:rPr>
          <w:lang w:val="en-US"/>
        </w:rPr>
        <w:t>address this argument on appeal.</w:t>
      </w:r>
    </w:p>
  </w:footnote>
  <w:footnote w:id="13">
    <w:p w14:paraId="722C819B" w14:textId="70730A25" w:rsidR="00EF0A8F" w:rsidRPr="00EF0A8F" w:rsidRDefault="00EF0A8F" w:rsidP="00BA6C36">
      <w:pPr>
        <w:pStyle w:val="FootnoteText"/>
      </w:pPr>
      <w:r>
        <w:rPr>
          <w:rStyle w:val="FootnoteReference"/>
        </w:rPr>
        <w:footnoteRef/>
      </w:r>
      <w:r>
        <w:t xml:space="preserve"> </w:t>
      </w:r>
      <w:r>
        <w:tab/>
      </w:r>
      <w:r w:rsidR="00002AD4">
        <w:rPr>
          <w:lang w:val="en-US"/>
        </w:rPr>
        <w:t>T</w:t>
      </w:r>
      <w:r w:rsidR="00CC786A">
        <w:t xml:space="preserve">he sentencing </w:t>
      </w:r>
      <w:r>
        <w:t>court is also required to appoint counsel for the defendant</w:t>
      </w:r>
      <w:r w:rsidR="00557841">
        <w:rPr>
          <w:lang w:val="en-US"/>
        </w:rPr>
        <w:t>,</w:t>
      </w:r>
      <w:r>
        <w:t xml:space="preserve"> and the court may not impose a sentence exceeding the middle term unless circumstances in aggravation that justify the upper term have been stipulated to by the defendant or found true beyond a reasonable doubt</w:t>
      </w:r>
      <w:r w:rsidR="00557841">
        <w:rPr>
          <w:lang w:val="en-US"/>
        </w:rPr>
        <w:t>.</w:t>
      </w:r>
      <w:r>
        <w:t xml:space="preserve"> </w:t>
      </w:r>
      <w:r w:rsidR="00557841" w:rsidRPr="00557841">
        <w:rPr>
          <w:lang w:val="en-US" w:eastAsia="en-US"/>
        </w:rPr>
        <w:t xml:space="preserve"> </w:t>
      </w:r>
      <w:r w:rsidR="00557841" w:rsidRPr="00557841">
        <w:rPr>
          <w:lang w:val="en-US"/>
        </w:rPr>
        <w:t>(§</w:t>
      </w:r>
      <w:r w:rsidR="000150E1">
        <w:rPr>
          <w:lang w:val="en-US"/>
        </w:rPr>
        <w:t> </w:t>
      </w:r>
      <w:r w:rsidR="00557841" w:rsidRPr="00557841">
        <w:rPr>
          <w:lang w:val="en-US"/>
        </w:rPr>
        <w:t>1172.75, subd.</w:t>
      </w:r>
      <w:r w:rsidR="000150E1">
        <w:rPr>
          <w:lang w:val="en-US"/>
        </w:rPr>
        <w:t> </w:t>
      </w:r>
      <w:r w:rsidR="00557841" w:rsidRPr="00557841">
        <w:rPr>
          <w:lang w:val="en-US"/>
        </w:rPr>
        <w:t>(d)</w:t>
      </w:r>
      <w:r w:rsidR="00B3038D">
        <w:rPr>
          <w:lang w:val="en-US"/>
        </w:rPr>
        <w:t>(4),</w:t>
      </w:r>
      <w:r w:rsidR="001F5DC7">
        <w:rPr>
          <w:lang w:val="en-US"/>
        </w:rPr>
        <w:t xml:space="preserve"> </w:t>
      </w:r>
      <w:r w:rsidR="00557841" w:rsidRPr="00557841">
        <w:rPr>
          <w:lang w:val="en-US"/>
        </w:rPr>
        <w:t>(5)</w:t>
      </w:r>
      <w:r w:rsidR="001072CD">
        <w:rPr>
          <w:lang w:val="en-US"/>
        </w:rPr>
        <w:t xml:space="preserve">.) </w:t>
      </w:r>
    </w:p>
  </w:footnote>
  <w:footnote w:id="14">
    <w:p w14:paraId="3BE0FE84" w14:textId="5FFE83F9" w:rsidR="004A11F0" w:rsidRDefault="004A11F0" w:rsidP="00BA6C36">
      <w:pPr>
        <w:pStyle w:val="FootnoteText"/>
      </w:pPr>
      <w:r>
        <w:rPr>
          <w:rStyle w:val="FootnoteReference"/>
        </w:rPr>
        <w:t>*</w:t>
      </w:r>
      <w:r>
        <w:t xml:space="preserve"> </w:t>
      </w:r>
      <w:r>
        <w:tab/>
        <w:t>Judge of the San Berna</w:t>
      </w:r>
      <w:r w:rsidR="00BB134F">
        <w:t>r</w:t>
      </w:r>
      <w:r>
        <w:t xml:space="preserve">dino County Superior Court, assigned by the Chief Justice pursuant to article VI, section 6 of the California Constitution.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470C9" w14:textId="77777777" w:rsidR="00CB4939" w:rsidRDefault="00CB4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C181E" w14:textId="77777777" w:rsidR="00CB4939" w:rsidRDefault="00CB4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D1FD8" w14:textId="77777777" w:rsidR="00CB4939" w:rsidRDefault="00CB4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67DCC"/>
    <w:multiLevelType w:val="hybridMultilevel"/>
    <w:tmpl w:val="AE4C0950"/>
    <w:lvl w:ilvl="0" w:tplc="0DD03F0C">
      <w:start w:val="1"/>
      <w:numFmt w:val="lowerRoman"/>
      <w:pStyle w:val="Heading5"/>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E92AC8"/>
    <w:multiLevelType w:val="multilevel"/>
    <w:tmpl w:val="74161426"/>
    <w:lvl w:ilvl="0">
      <w:start w:val="1"/>
      <w:numFmt w:val="none"/>
      <w:pStyle w:val="Heading1"/>
      <w:suff w:val="nothing"/>
      <w:lvlText w:val=""/>
      <w:lvlJc w:val="center"/>
      <w:pPr>
        <w:ind w:left="0" w:firstLine="0"/>
      </w:pPr>
      <w:rPr>
        <w:rFonts w:ascii="Century Schoolbook" w:hAnsi="Century Schoolbook" w:hint="default"/>
        <w:b/>
        <w:i w:val="0"/>
        <w:caps/>
        <w:sz w:val="26"/>
      </w:rPr>
    </w:lvl>
    <w:lvl w:ilvl="1">
      <w:start w:val="1"/>
      <w:numFmt w:val="upperLetter"/>
      <w:pStyle w:val="Heading2"/>
      <w:lvlText w:val="%2."/>
      <w:lvlJc w:val="left"/>
      <w:pPr>
        <w:ind w:left="720" w:hanging="720"/>
      </w:pPr>
      <w:rPr>
        <w:rFonts w:ascii="Century Schoolbook" w:hAnsi="Century Schoolbook" w:hint="default"/>
        <w:b w:val="0"/>
        <w:i w:val="0"/>
        <w:sz w:val="26"/>
      </w:rPr>
    </w:lvl>
    <w:lvl w:ilvl="2">
      <w:start w:val="1"/>
      <w:numFmt w:val="decimal"/>
      <w:pStyle w:val="Heading3"/>
      <w:lvlText w:val="%3."/>
      <w:lvlJc w:val="left"/>
      <w:pPr>
        <w:ind w:left="1440" w:hanging="720"/>
      </w:pPr>
      <w:rPr>
        <w:rFonts w:ascii="Century Schoolbook" w:hAnsi="Century Schoolbook" w:hint="default"/>
        <w:b w:val="0"/>
        <w:i w:val="0"/>
        <w:sz w:val="26"/>
      </w:rPr>
    </w:lvl>
    <w:lvl w:ilvl="3">
      <w:start w:val="1"/>
      <w:numFmt w:val="lowerLetter"/>
      <w:pStyle w:val="Heading4"/>
      <w:lvlText w:val="%4."/>
      <w:lvlJc w:val="left"/>
      <w:pPr>
        <w:ind w:left="2160" w:hanging="720"/>
      </w:pPr>
      <w:rPr>
        <w:rFonts w:ascii="Century Schoolbook" w:hAnsi="Century Schoolbook" w:hint="default"/>
        <w:b w:val="0"/>
        <w:i w:val="0"/>
        <w:caps w:val="0"/>
        <w:strike w:val="0"/>
        <w:dstrike w:val="0"/>
        <w:vanish w:val="0"/>
        <w:color w:val="auto"/>
        <w:sz w:val="26"/>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90859856">
    <w:abstractNumId w:val="1"/>
  </w:num>
  <w:num w:numId="2" w16cid:durableId="2087072362">
    <w:abstractNumId w:val="1"/>
  </w:num>
  <w:num w:numId="3" w16cid:durableId="1396513541">
    <w:abstractNumId w:val="1"/>
  </w:num>
  <w:num w:numId="4" w16cid:durableId="289046295">
    <w:abstractNumId w:val="1"/>
  </w:num>
  <w:num w:numId="5" w16cid:durableId="410662745">
    <w:abstractNumId w:val="1"/>
  </w:num>
  <w:num w:numId="6" w16cid:durableId="681125293">
    <w:abstractNumId w:val="1"/>
  </w:num>
  <w:num w:numId="7" w16cid:durableId="2042629538">
    <w:abstractNumId w:val="1"/>
  </w:num>
  <w:num w:numId="8" w16cid:durableId="345598625">
    <w:abstractNumId w:val="1"/>
  </w:num>
  <w:num w:numId="9" w16cid:durableId="1133327568">
    <w:abstractNumId w:val="0"/>
  </w:num>
  <w:num w:numId="10" w16cid:durableId="401296755">
    <w:abstractNumId w:val="1"/>
  </w:num>
  <w:num w:numId="11" w16cid:durableId="23949695">
    <w:abstractNumId w:val="1"/>
  </w:num>
  <w:num w:numId="12" w16cid:durableId="1307709257">
    <w:abstractNumId w:val="1"/>
  </w:num>
  <w:num w:numId="13" w16cid:durableId="1574777678">
    <w:abstractNumId w:val="1"/>
  </w:num>
  <w:num w:numId="14" w16cid:durableId="874849005">
    <w:abstractNumId w:val="0"/>
  </w:num>
  <w:num w:numId="15" w16cid:durableId="1900087485">
    <w:abstractNumId w:val="1"/>
  </w:num>
  <w:num w:numId="16" w16cid:durableId="623849449">
    <w:abstractNumId w:val="1"/>
  </w:num>
  <w:num w:numId="17" w16cid:durableId="433326972">
    <w:abstractNumId w:val="1"/>
  </w:num>
  <w:num w:numId="18" w16cid:durableId="2016417298">
    <w:abstractNumId w:val="1"/>
  </w:num>
  <w:num w:numId="19" w16cid:durableId="858742417">
    <w:abstractNumId w:val="1"/>
  </w:num>
  <w:num w:numId="20" w16cid:durableId="2023046008">
    <w:abstractNumId w:val="0"/>
  </w:num>
  <w:num w:numId="21" w16cid:durableId="1086655132">
    <w:abstractNumId w:val="1"/>
  </w:num>
  <w:num w:numId="22" w16cid:durableId="82727220">
    <w:abstractNumId w:val="1"/>
  </w:num>
  <w:num w:numId="23" w16cid:durableId="818765771">
    <w:abstractNumId w:val="1"/>
  </w:num>
  <w:num w:numId="24" w16cid:durableId="1712076554">
    <w:abstractNumId w:val="1"/>
  </w:num>
  <w:num w:numId="25" w16cid:durableId="646520639">
    <w:abstractNumId w:val="0"/>
  </w:num>
  <w:num w:numId="26" w16cid:durableId="1643389637">
    <w:abstractNumId w:val="1"/>
  </w:num>
  <w:num w:numId="27" w16cid:durableId="1466698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27"/>
    <w:rsid w:val="00000D87"/>
    <w:rsid w:val="00001ABA"/>
    <w:rsid w:val="00002AD4"/>
    <w:rsid w:val="00007BFE"/>
    <w:rsid w:val="00007DDD"/>
    <w:rsid w:val="00012A8B"/>
    <w:rsid w:val="000150E1"/>
    <w:rsid w:val="00015618"/>
    <w:rsid w:val="000318DE"/>
    <w:rsid w:val="00033C56"/>
    <w:rsid w:val="00037C4E"/>
    <w:rsid w:val="000436C8"/>
    <w:rsid w:val="00056F18"/>
    <w:rsid w:val="00061410"/>
    <w:rsid w:val="00062778"/>
    <w:rsid w:val="00064657"/>
    <w:rsid w:val="00067730"/>
    <w:rsid w:val="00071A3D"/>
    <w:rsid w:val="000764C3"/>
    <w:rsid w:val="00080BD1"/>
    <w:rsid w:val="000836BF"/>
    <w:rsid w:val="000838A8"/>
    <w:rsid w:val="00083E79"/>
    <w:rsid w:val="00097B30"/>
    <w:rsid w:val="00097E93"/>
    <w:rsid w:val="000A1699"/>
    <w:rsid w:val="000A2C88"/>
    <w:rsid w:val="000A3F38"/>
    <w:rsid w:val="000A69B5"/>
    <w:rsid w:val="000A758F"/>
    <w:rsid w:val="000C002A"/>
    <w:rsid w:val="000C4934"/>
    <w:rsid w:val="000D0B3E"/>
    <w:rsid w:val="000E3EB4"/>
    <w:rsid w:val="000E6920"/>
    <w:rsid w:val="000E74B8"/>
    <w:rsid w:val="000F0BD2"/>
    <w:rsid w:val="00102C15"/>
    <w:rsid w:val="00106480"/>
    <w:rsid w:val="001072CD"/>
    <w:rsid w:val="00122716"/>
    <w:rsid w:val="00124F60"/>
    <w:rsid w:val="00126BFE"/>
    <w:rsid w:val="0013149F"/>
    <w:rsid w:val="00132F8C"/>
    <w:rsid w:val="00134116"/>
    <w:rsid w:val="00136993"/>
    <w:rsid w:val="00136D81"/>
    <w:rsid w:val="00142BB8"/>
    <w:rsid w:val="001441DA"/>
    <w:rsid w:val="00144A7F"/>
    <w:rsid w:val="00150C52"/>
    <w:rsid w:val="001551DE"/>
    <w:rsid w:val="00156CC5"/>
    <w:rsid w:val="001658EB"/>
    <w:rsid w:val="0017210A"/>
    <w:rsid w:val="001735B8"/>
    <w:rsid w:val="0018103B"/>
    <w:rsid w:val="00181F1C"/>
    <w:rsid w:val="00183607"/>
    <w:rsid w:val="00185C30"/>
    <w:rsid w:val="00191084"/>
    <w:rsid w:val="001937AC"/>
    <w:rsid w:val="001956FD"/>
    <w:rsid w:val="001A5709"/>
    <w:rsid w:val="001A626D"/>
    <w:rsid w:val="001B45FC"/>
    <w:rsid w:val="001C0FAF"/>
    <w:rsid w:val="001C131A"/>
    <w:rsid w:val="001C2493"/>
    <w:rsid w:val="001C4BE4"/>
    <w:rsid w:val="001D00A1"/>
    <w:rsid w:val="001D0FD9"/>
    <w:rsid w:val="001D3388"/>
    <w:rsid w:val="001D5CE2"/>
    <w:rsid w:val="001D5D2F"/>
    <w:rsid w:val="001D6BC4"/>
    <w:rsid w:val="001E0DF0"/>
    <w:rsid w:val="001E6F71"/>
    <w:rsid w:val="001E7814"/>
    <w:rsid w:val="001F5DC7"/>
    <w:rsid w:val="00210955"/>
    <w:rsid w:val="00210B7D"/>
    <w:rsid w:val="002129FD"/>
    <w:rsid w:val="00212A65"/>
    <w:rsid w:val="00214BCC"/>
    <w:rsid w:val="00214EC4"/>
    <w:rsid w:val="00215177"/>
    <w:rsid w:val="00222F81"/>
    <w:rsid w:val="002249F1"/>
    <w:rsid w:val="00224EF0"/>
    <w:rsid w:val="00227005"/>
    <w:rsid w:val="00234FA9"/>
    <w:rsid w:val="00235BE8"/>
    <w:rsid w:val="00236C42"/>
    <w:rsid w:val="002408AE"/>
    <w:rsid w:val="00241C3B"/>
    <w:rsid w:val="00243114"/>
    <w:rsid w:val="002451A6"/>
    <w:rsid w:val="00247067"/>
    <w:rsid w:val="00262BA8"/>
    <w:rsid w:val="00271D02"/>
    <w:rsid w:val="00274E85"/>
    <w:rsid w:val="00277923"/>
    <w:rsid w:val="00296FF4"/>
    <w:rsid w:val="002A0B0D"/>
    <w:rsid w:val="002A20CE"/>
    <w:rsid w:val="002B05AE"/>
    <w:rsid w:val="002C227E"/>
    <w:rsid w:val="002C4605"/>
    <w:rsid w:val="002C6A10"/>
    <w:rsid w:val="002C7F3C"/>
    <w:rsid w:val="002D3B10"/>
    <w:rsid w:val="002E18B2"/>
    <w:rsid w:val="002E1BC4"/>
    <w:rsid w:val="002E3ABA"/>
    <w:rsid w:val="002E488D"/>
    <w:rsid w:val="002E6BAB"/>
    <w:rsid w:val="002E762E"/>
    <w:rsid w:val="002F2A5D"/>
    <w:rsid w:val="003038CB"/>
    <w:rsid w:val="00307CB0"/>
    <w:rsid w:val="003119E8"/>
    <w:rsid w:val="00312309"/>
    <w:rsid w:val="00314500"/>
    <w:rsid w:val="00315AA6"/>
    <w:rsid w:val="003201C9"/>
    <w:rsid w:val="00320CFB"/>
    <w:rsid w:val="0032176E"/>
    <w:rsid w:val="00325DCC"/>
    <w:rsid w:val="00333F5E"/>
    <w:rsid w:val="0033423F"/>
    <w:rsid w:val="00341944"/>
    <w:rsid w:val="00342C9D"/>
    <w:rsid w:val="003570E3"/>
    <w:rsid w:val="0035766E"/>
    <w:rsid w:val="00357F89"/>
    <w:rsid w:val="003637C2"/>
    <w:rsid w:val="00364159"/>
    <w:rsid w:val="00366E83"/>
    <w:rsid w:val="003706DF"/>
    <w:rsid w:val="0037144C"/>
    <w:rsid w:val="0037367A"/>
    <w:rsid w:val="00373F6F"/>
    <w:rsid w:val="00381173"/>
    <w:rsid w:val="00381F06"/>
    <w:rsid w:val="003841F5"/>
    <w:rsid w:val="00396861"/>
    <w:rsid w:val="003A19B8"/>
    <w:rsid w:val="003A6583"/>
    <w:rsid w:val="003C1C11"/>
    <w:rsid w:val="003C701B"/>
    <w:rsid w:val="003C7381"/>
    <w:rsid w:val="003D27B8"/>
    <w:rsid w:val="003D29B3"/>
    <w:rsid w:val="003E039F"/>
    <w:rsid w:val="003E406C"/>
    <w:rsid w:val="003E4AC1"/>
    <w:rsid w:val="003F0E46"/>
    <w:rsid w:val="003F1938"/>
    <w:rsid w:val="003F351E"/>
    <w:rsid w:val="003F6D7D"/>
    <w:rsid w:val="0040356C"/>
    <w:rsid w:val="004111AA"/>
    <w:rsid w:val="00412418"/>
    <w:rsid w:val="00413FDA"/>
    <w:rsid w:val="00421EA8"/>
    <w:rsid w:val="00422619"/>
    <w:rsid w:val="00425B1E"/>
    <w:rsid w:val="00427E07"/>
    <w:rsid w:val="00436FEF"/>
    <w:rsid w:val="00440E5A"/>
    <w:rsid w:val="00445B9D"/>
    <w:rsid w:val="00445F7F"/>
    <w:rsid w:val="00447BCF"/>
    <w:rsid w:val="004634BD"/>
    <w:rsid w:val="00465F6F"/>
    <w:rsid w:val="00476E65"/>
    <w:rsid w:val="00480A55"/>
    <w:rsid w:val="0048732B"/>
    <w:rsid w:val="00492350"/>
    <w:rsid w:val="004969B7"/>
    <w:rsid w:val="00497576"/>
    <w:rsid w:val="004979D6"/>
    <w:rsid w:val="004A0167"/>
    <w:rsid w:val="004A11F0"/>
    <w:rsid w:val="004C1796"/>
    <w:rsid w:val="004C1E1A"/>
    <w:rsid w:val="004C5748"/>
    <w:rsid w:val="004C647A"/>
    <w:rsid w:val="004D1C70"/>
    <w:rsid w:val="004D1F97"/>
    <w:rsid w:val="004D75CB"/>
    <w:rsid w:val="004E0767"/>
    <w:rsid w:val="004E70F8"/>
    <w:rsid w:val="004E7802"/>
    <w:rsid w:val="004F2CE4"/>
    <w:rsid w:val="004F5882"/>
    <w:rsid w:val="004F79D0"/>
    <w:rsid w:val="00501D22"/>
    <w:rsid w:val="00502A27"/>
    <w:rsid w:val="005139DB"/>
    <w:rsid w:val="00513DF0"/>
    <w:rsid w:val="00515914"/>
    <w:rsid w:val="0051687C"/>
    <w:rsid w:val="00521DD7"/>
    <w:rsid w:val="00531B41"/>
    <w:rsid w:val="00533292"/>
    <w:rsid w:val="00540B54"/>
    <w:rsid w:val="005415F8"/>
    <w:rsid w:val="00542AAA"/>
    <w:rsid w:val="00543B7F"/>
    <w:rsid w:val="00544C34"/>
    <w:rsid w:val="005575FE"/>
    <w:rsid w:val="0055766B"/>
    <w:rsid w:val="00557841"/>
    <w:rsid w:val="00564A6B"/>
    <w:rsid w:val="00571DEB"/>
    <w:rsid w:val="00587237"/>
    <w:rsid w:val="005876D0"/>
    <w:rsid w:val="00593BD2"/>
    <w:rsid w:val="005959FF"/>
    <w:rsid w:val="005977D5"/>
    <w:rsid w:val="005A0840"/>
    <w:rsid w:val="005A2F4E"/>
    <w:rsid w:val="005A45A8"/>
    <w:rsid w:val="005A50B6"/>
    <w:rsid w:val="005C0516"/>
    <w:rsid w:val="005C63D0"/>
    <w:rsid w:val="005D4B67"/>
    <w:rsid w:val="005E23CC"/>
    <w:rsid w:val="005F7DA7"/>
    <w:rsid w:val="006010A8"/>
    <w:rsid w:val="00607890"/>
    <w:rsid w:val="00614D44"/>
    <w:rsid w:val="00623134"/>
    <w:rsid w:val="00623CC4"/>
    <w:rsid w:val="00627E44"/>
    <w:rsid w:val="00645EB6"/>
    <w:rsid w:val="0065183D"/>
    <w:rsid w:val="00656477"/>
    <w:rsid w:val="0066183A"/>
    <w:rsid w:val="00674545"/>
    <w:rsid w:val="0067570D"/>
    <w:rsid w:val="00677B3F"/>
    <w:rsid w:val="00683474"/>
    <w:rsid w:val="00683D27"/>
    <w:rsid w:val="006A447A"/>
    <w:rsid w:val="006A54CD"/>
    <w:rsid w:val="006A7B3E"/>
    <w:rsid w:val="006B417B"/>
    <w:rsid w:val="006C0EC5"/>
    <w:rsid w:val="006C191C"/>
    <w:rsid w:val="006C6374"/>
    <w:rsid w:val="006D5A04"/>
    <w:rsid w:val="006E3899"/>
    <w:rsid w:val="0070158E"/>
    <w:rsid w:val="00707046"/>
    <w:rsid w:val="00712277"/>
    <w:rsid w:val="00712566"/>
    <w:rsid w:val="00717A1D"/>
    <w:rsid w:val="00723084"/>
    <w:rsid w:val="00733FA8"/>
    <w:rsid w:val="0074062A"/>
    <w:rsid w:val="00742B07"/>
    <w:rsid w:val="007466D1"/>
    <w:rsid w:val="00752A32"/>
    <w:rsid w:val="0075772A"/>
    <w:rsid w:val="00762619"/>
    <w:rsid w:val="007647FC"/>
    <w:rsid w:val="00767630"/>
    <w:rsid w:val="00767EAA"/>
    <w:rsid w:val="007738FC"/>
    <w:rsid w:val="00776D6E"/>
    <w:rsid w:val="00784A79"/>
    <w:rsid w:val="00791659"/>
    <w:rsid w:val="00793FE8"/>
    <w:rsid w:val="00795633"/>
    <w:rsid w:val="007A0B33"/>
    <w:rsid w:val="007A1924"/>
    <w:rsid w:val="007A389E"/>
    <w:rsid w:val="007A3EDB"/>
    <w:rsid w:val="007B00A9"/>
    <w:rsid w:val="007B7004"/>
    <w:rsid w:val="007C7381"/>
    <w:rsid w:val="007D327B"/>
    <w:rsid w:val="007D7C66"/>
    <w:rsid w:val="007E1E6A"/>
    <w:rsid w:val="007E73A0"/>
    <w:rsid w:val="007F6D06"/>
    <w:rsid w:val="00800B8E"/>
    <w:rsid w:val="00801B48"/>
    <w:rsid w:val="0080364E"/>
    <w:rsid w:val="00823864"/>
    <w:rsid w:val="00824817"/>
    <w:rsid w:val="00826C84"/>
    <w:rsid w:val="00831F5F"/>
    <w:rsid w:val="008326FA"/>
    <w:rsid w:val="0084131B"/>
    <w:rsid w:val="00845C98"/>
    <w:rsid w:val="00853783"/>
    <w:rsid w:val="00855F6E"/>
    <w:rsid w:val="00856C7C"/>
    <w:rsid w:val="00871CD6"/>
    <w:rsid w:val="00874060"/>
    <w:rsid w:val="00875D09"/>
    <w:rsid w:val="008807F7"/>
    <w:rsid w:val="008856A1"/>
    <w:rsid w:val="00891865"/>
    <w:rsid w:val="00891F58"/>
    <w:rsid w:val="00893B57"/>
    <w:rsid w:val="0089528A"/>
    <w:rsid w:val="0089559C"/>
    <w:rsid w:val="008957C1"/>
    <w:rsid w:val="00895FC5"/>
    <w:rsid w:val="008A3363"/>
    <w:rsid w:val="008A48ED"/>
    <w:rsid w:val="008A53F7"/>
    <w:rsid w:val="008A649A"/>
    <w:rsid w:val="008A7B1D"/>
    <w:rsid w:val="008A7D22"/>
    <w:rsid w:val="008B0CEC"/>
    <w:rsid w:val="008B69A2"/>
    <w:rsid w:val="008C5140"/>
    <w:rsid w:val="008D23E8"/>
    <w:rsid w:val="008D26EC"/>
    <w:rsid w:val="008D30B5"/>
    <w:rsid w:val="008D3B9F"/>
    <w:rsid w:val="008E019E"/>
    <w:rsid w:val="008E4C06"/>
    <w:rsid w:val="008F28A3"/>
    <w:rsid w:val="008F6C5B"/>
    <w:rsid w:val="008F70E5"/>
    <w:rsid w:val="009064E6"/>
    <w:rsid w:val="00917039"/>
    <w:rsid w:val="00923EF1"/>
    <w:rsid w:val="00935503"/>
    <w:rsid w:val="00935A8D"/>
    <w:rsid w:val="00936E4C"/>
    <w:rsid w:val="00944BC8"/>
    <w:rsid w:val="00945EA6"/>
    <w:rsid w:val="009468C6"/>
    <w:rsid w:val="00950DE7"/>
    <w:rsid w:val="00956A0A"/>
    <w:rsid w:val="00956FB8"/>
    <w:rsid w:val="00957B98"/>
    <w:rsid w:val="00964507"/>
    <w:rsid w:val="00966974"/>
    <w:rsid w:val="00970486"/>
    <w:rsid w:val="00973332"/>
    <w:rsid w:val="00974152"/>
    <w:rsid w:val="009832ED"/>
    <w:rsid w:val="00986FB5"/>
    <w:rsid w:val="009951BB"/>
    <w:rsid w:val="00997243"/>
    <w:rsid w:val="009A39CF"/>
    <w:rsid w:val="009A5700"/>
    <w:rsid w:val="009C3CB7"/>
    <w:rsid w:val="009C5B47"/>
    <w:rsid w:val="009D003B"/>
    <w:rsid w:val="009D722F"/>
    <w:rsid w:val="009E0934"/>
    <w:rsid w:val="009F1DC7"/>
    <w:rsid w:val="009F26A8"/>
    <w:rsid w:val="009F5A42"/>
    <w:rsid w:val="00A004B5"/>
    <w:rsid w:val="00A03ABF"/>
    <w:rsid w:val="00A14E25"/>
    <w:rsid w:val="00A207C6"/>
    <w:rsid w:val="00A233F5"/>
    <w:rsid w:val="00A236C4"/>
    <w:rsid w:val="00A36182"/>
    <w:rsid w:val="00A44C33"/>
    <w:rsid w:val="00A50690"/>
    <w:rsid w:val="00A64568"/>
    <w:rsid w:val="00A6475E"/>
    <w:rsid w:val="00A65009"/>
    <w:rsid w:val="00A65E14"/>
    <w:rsid w:val="00A73316"/>
    <w:rsid w:val="00A737A5"/>
    <w:rsid w:val="00AA07AE"/>
    <w:rsid w:val="00AA1AAA"/>
    <w:rsid w:val="00AA3955"/>
    <w:rsid w:val="00AB089B"/>
    <w:rsid w:val="00AB391D"/>
    <w:rsid w:val="00AB7A55"/>
    <w:rsid w:val="00AB7CF9"/>
    <w:rsid w:val="00AB7E61"/>
    <w:rsid w:val="00AC3BD8"/>
    <w:rsid w:val="00AC5A42"/>
    <w:rsid w:val="00AD38F0"/>
    <w:rsid w:val="00AD3E12"/>
    <w:rsid w:val="00AE0772"/>
    <w:rsid w:val="00AE5266"/>
    <w:rsid w:val="00AF3BBD"/>
    <w:rsid w:val="00AF4304"/>
    <w:rsid w:val="00AF445E"/>
    <w:rsid w:val="00B06487"/>
    <w:rsid w:val="00B06AD9"/>
    <w:rsid w:val="00B077C2"/>
    <w:rsid w:val="00B10881"/>
    <w:rsid w:val="00B10D99"/>
    <w:rsid w:val="00B13316"/>
    <w:rsid w:val="00B15B7C"/>
    <w:rsid w:val="00B17ACE"/>
    <w:rsid w:val="00B221A9"/>
    <w:rsid w:val="00B26103"/>
    <w:rsid w:val="00B3038D"/>
    <w:rsid w:val="00B31848"/>
    <w:rsid w:val="00B42AB2"/>
    <w:rsid w:val="00B43F45"/>
    <w:rsid w:val="00B54A09"/>
    <w:rsid w:val="00B54B7C"/>
    <w:rsid w:val="00B5555F"/>
    <w:rsid w:val="00B555E8"/>
    <w:rsid w:val="00B60A7A"/>
    <w:rsid w:val="00B63658"/>
    <w:rsid w:val="00B6583F"/>
    <w:rsid w:val="00B70303"/>
    <w:rsid w:val="00B70BF3"/>
    <w:rsid w:val="00B7641C"/>
    <w:rsid w:val="00B76F11"/>
    <w:rsid w:val="00B774AE"/>
    <w:rsid w:val="00B819F7"/>
    <w:rsid w:val="00B8717F"/>
    <w:rsid w:val="00B91A71"/>
    <w:rsid w:val="00BA1462"/>
    <w:rsid w:val="00BA14BE"/>
    <w:rsid w:val="00BA4B05"/>
    <w:rsid w:val="00BA6C36"/>
    <w:rsid w:val="00BB134F"/>
    <w:rsid w:val="00BB2A83"/>
    <w:rsid w:val="00BC0AD3"/>
    <w:rsid w:val="00BD00EA"/>
    <w:rsid w:val="00BD7841"/>
    <w:rsid w:val="00BE7E11"/>
    <w:rsid w:val="00BF0AC9"/>
    <w:rsid w:val="00C014CF"/>
    <w:rsid w:val="00C04E05"/>
    <w:rsid w:val="00C07327"/>
    <w:rsid w:val="00C174EF"/>
    <w:rsid w:val="00C225C4"/>
    <w:rsid w:val="00C226D7"/>
    <w:rsid w:val="00C25510"/>
    <w:rsid w:val="00C25C16"/>
    <w:rsid w:val="00C32F27"/>
    <w:rsid w:val="00C336E2"/>
    <w:rsid w:val="00C339B1"/>
    <w:rsid w:val="00C33EC1"/>
    <w:rsid w:val="00C35A2A"/>
    <w:rsid w:val="00C44194"/>
    <w:rsid w:val="00C4713E"/>
    <w:rsid w:val="00C50B5B"/>
    <w:rsid w:val="00C521A5"/>
    <w:rsid w:val="00C5267C"/>
    <w:rsid w:val="00C62F55"/>
    <w:rsid w:val="00C6427C"/>
    <w:rsid w:val="00C646F7"/>
    <w:rsid w:val="00C6642F"/>
    <w:rsid w:val="00C7203D"/>
    <w:rsid w:val="00C75EA1"/>
    <w:rsid w:val="00C84775"/>
    <w:rsid w:val="00C903D6"/>
    <w:rsid w:val="00C97F60"/>
    <w:rsid w:val="00CA0F94"/>
    <w:rsid w:val="00CA2EE1"/>
    <w:rsid w:val="00CB1CCA"/>
    <w:rsid w:val="00CB4939"/>
    <w:rsid w:val="00CC25A1"/>
    <w:rsid w:val="00CC3955"/>
    <w:rsid w:val="00CC5420"/>
    <w:rsid w:val="00CC5FCF"/>
    <w:rsid w:val="00CC690E"/>
    <w:rsid w:val="00CC786A"/>
    <w:rsid w:val="00CE27FD"/>
    <w:rsid w:val="00CF49F7"/>
    <w:rsid w:val="00CF6626"/>
    <w:rsid w:val="00CF665D"/>
    <w:rsid w:val="00D04633"/>
    <w:rsid w:val="00D07081"/>
    <w:rsid w:val="00D12F58"/>
    <w:rsid w:val="00D21D9C"/>
    <w:rsid w:val="00D23F7F"/>
    <w:rsid w:val="00D27A03"/>
    <w:rsid w:val="00D379CE"/>
    <w:rsid w:val="00D37DBE"/>
    <w:rsid w:val="00D42300"/>
    <w:rsid w:val="00D45E28"/>
    <w:rsid w:val="00D52F63"/>
    <w:rsid w:val="00D57817"/>
    <w:rsid w:val="00D605F8"/>
    <w:rsid w:val="00D6324D"/>
    <w:rsid w:val="00D63C79"/>
    <w:rsid w:val="00D65EA5"/>
    <w:rsid w:val="00D67228"/>
    <w:rsid w:val="00D6752F"/>
    <w:rsid w:val="00D77AC8"/>
    <w:rsid w:val="00D85F38"/>
    <w:rsid w:val="00D868E0"/>
    <w:rsid w:val="00D872B7"/>
    <w:rsid w:val="00D9047E"/>
    <w:rsid w:val="00D95227"/>
    <w:rsid w:val="00D955DF"/>
    <w:rsid w:val="00D95C78"/>
    <w:rsid w:val="00DA399D"/>
    <w:rsid w:val="00DA506C"/>
    <w:rsid w:val="00DA741D"/>
    <w:rsid w:val="00DB1A8E"/>
    <w:rsid w:val="00DB20F8"/>
    <w:rsid w:val="00DB64BD"/>
    <w:rsid w:val="00DC04AE"/>
    <w:rsid w:val="00DC0D72"/>
    <w:rsid w:val="00DC58BE"/>
    <w:rsid w:val="00DC7C29"/>
    <w:rsid w:val="00DD28F5"/>
    <w:rsid w:val="00DD3377"/>
    <w:rsid w:val="00DD4398"/>
    <w:rsid w:val="00DE3A62"/>
    <w:rsid w:val="00DF0254"/>
    <w:rsid w:val="00DF3447"/>
    <w:rsid w:val="00DF667D"/>
    <w:rsid w:val="00E00B60"/>
    <w:rsid w:val="00E00E20"/>
    <w:rsid w:val="00E052F2"/>
    <w:rsid w:val="00E12818"/>
    <w:rsid w:val="00E12D67"/>
    <w:rsid w:val="00E16E32"/>
    <w:rsid w:val="00E33C1C"/>
    <w:rsid w:val="00E4053C"/>
    <w:rsid w:val="00E41B24"/>
    <w:rsid w:val="00E43943"/>
    <w:rsid w:val="00E469DD"/>
    <w:rsid w:val="00E52024"/>
    <w:rsid w:val="00E56CEE"/>
    <w:rsid w:val="00E61379"/>
    <w:rsid w:val="00E65BAE"/>
    <w:rsid w:val="00E70EAF"/>
    <w:rsid w:val="00E72D07"/>
    <w:rsid w:val="00E7667A"/>
    <w:rsid w:val="00E77E80"/>
    <w:rsid w:val="00E850CD"/>
    <w:rsid w:val="00E860C7"/>
    <w:rsid w:val="00E876AC"/>
    <w:rsid w:val="00E87EB2"/>
    <w:rsid w:val="00E87FA8"/>
    <w:rsid w:val="00EA0A6C"/>
    <w:rsid w:val="00EA24B7"/>
    <w:rsid w:val="00EB23E1"/>
    <w:rsid w:val="00EB3642"/>
    <w:rsid w:val="00EB3646"/>
    <w:rsid w:val="00EB62CB"/>
    <w:rsid w:val="00EC0165"/>
    <w:rsid w:val="00EC0ACD"/>
    <w:rsid w:val="00EC17F6"/>
    <w:rsid w:val="00EC1E81"/>
    <w:rsid w:val="00EC6DA8"/>
    <w:rsid w:val="00EE344F"/>
    <w:rsid w:val="00EE3782"/>
    <w:rsid w:val="00EE3916"/>
    <w:rsid w:val="00EE4BF0"/>
    <w:rsid w:val="00EE533C"/>
    <w:rsid w:val="00EE6641"/>
    <w:rsid w:val="00EF0A8F"/>
    <w:rsid w:val="00EF1DB9"/>
    <w:rsid w:val="00F012E4"/>
    <w:rsid w:val="00F0605A"/>
    <w:rsid w:val="00F12307"/>
    <w:rsid w:val="00F16E34"/>
    <w:rsid w:val="00F20086"/>
    <w:rsid w:val="00F359EB"/>
    <w:rsid w:val="00F45BC0"/>
    <w:rsid w:val="00F50AA8"/>
    <w:rsid w:val="00F55986"/>
    <w:rsid w:val="00F57D40"/>
    <w:rsid w:val="00F61471"/>
    <w:rsid w:val="00F631F7"/>
    <w:rsid w:val="00F63F38"/>
    <w:rsid w:val="00F7537F"/>
    <w:rsid w:val="00F75FE2"/>
    <w:rsid w:val="00F84F7F"/>
    <w:rsid w:val="00F90966"/>
    <w:rsid w:val="00FA0893"/>
    <w:rsid w:val="00FA20C0"/>
    <w:rsid w:val="00FA3C66"/>
    <w:rsid w:val="00FA5518"/>
    <w:rsid w:val="00FB1A31"/>
    <w:rsid w:val="00FB3FB5"/>
    <w:rsid w:val="00FB4961"/>
    <w:rsid w:val="00FB7E71"/>
    <w:rsid w:val="00FC2807"/>
    <w:rsid w:val="00FD1033"/>
    <w:rsid w:val="00FD34DB"/>
    <w:rsid w:val="00FD4DAC"/>
    <w:rsid w:val="00FE1AF9"/>
    <w:rsid w:val="00FE3E13"/>
    <w:rsid w:val="00FE71F7"/>
    <w:rsid w:val="00FF1068"/>
    <w:rsid w:val="00FF3A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D9C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6FA"/>
    <w:pPr>
      <w:spacing w:line="288" w:lineRule="auto"/>
    </w:pPr>
    <w:rPr>
      <w:sz w:val="26"/>
    </w:rPr>
  </w:style>
  <w:style w:type="paragraph" w:styleId="Heading1">
    <w:name w:val="heading 1"/>
    <w:basedOn w:val="Normal"/>
    <w:next w:val="Normal"/>
    <w:link w:val="Heading1Char"/>
    <w:autoRedefine/>
    <w:uiPriority w:val="9"/>
    <w:qFormat/>
    <w:rsid w:val="00C50B5B"/>
    <w:pPr>
      <w:keepNext/>
      <w:numPr>
        <w:numId w:val="1"/>
      </w:numPr>
      <w:jc w:val="center"/>
      <w:outlineLvl w:val="0"/>
    </w:pPr>
    <w:rPr>
      <w:b/>
      <w:caps/>
    </w:rPr>
  </w:style>
  <w:style w:type="paragraph" w:styleId="Heading2">
    <w:name w:val="heading 2"/>
    <w:basedOn w:val="Normal"/>
    <w:next w:val="Normal"/>
    <w:link w:val="Heading2Char"/>
    <w:autoRedefine/>
    <w:uiPriority w:val="9"/>
    <w:qFormat/>
    <w:rsid w:val="00795633"/>
    <w:pPr>
      <w:keepNext/>
      <w:numPr>
        <w:ilvl w:val="1"/>
        <w:numId w:val="1"/>
      </w:numPr>
      <w:outlineLvl w:val="1"/>
    </w:pPr>
    <w:rPr>
      <w:i/>
    </w:rPr>
  </w:style>
  <w:style w:type="paragraph" w:styleId="Heading3">
    <w:name w:val="heading 3"/>
    <w:basedOn w:val="Normal"/>
    <w:next w:val="Normal"/>
    <w:link w:val="Heading3Char"/>
    <w:autoRedefine/>
    <w:uiPriority w:val="9"/>
    <w:qFormat/>
    <w:rsid w:val="00795633"/>
    <w:pPr>
      <w:keepNext/>
      <w:keepLines/>
      <w:numPr>
        <w:ilvl w:val="2"/>
        <w:numId w:val="27"/>
      </w:numPr>
      <w:outlineLvl w:val="2"/>
    </w:pPr>
    <w:rPr>
      <w:rFonts w:eastAsia="Times New Roman"/>
      <w:i/>
      <w:szCs w:val="24"/>
    </w:rPr>
  </w:style>
  <w:style w:type="paragraph" w:styleId="Heading4">
    <w:name w:val="heading 4"/>
    <w:basedOn w:val="Normal"/>
    <w:next w:val="Normal"/>
    <w:link w:val="Heading4Char"/>
    <w:uiPriority w:val="9"/>
    <w:unhideWhenUsed/>
    <w:rsid w:val="00795633"/>
    <w:pPr>
      <w:keepNext/>
      <w:keepLines/>
      <w:numPr>
        <w:ilvl w:val="3"/>
        <w:numId w:val="27"/>
      </w:numPr>
      <w:spacing w:before="40"/>
      <w:outlineLvl w:val="3"/>
    </w:pPr>
    <w:rPr>
      <w:rFonts w:eastAsia="Times New Roman"/>
      <w:iCs/>
    </w:rPr>
  </w:style>
  <w:style w:type="paragraph" w:styleId="Heading5">
    <w:name w:val="heading 5"/>
    <w:basedOn w:val="Normal"/>
    <w:next w:val="Normal"/>
    <w:link w:val="Heading5Char"/>
    <w:autoRedefine/>
    <w:uiPriority w:val="9"/>
    <w:semiHidden/>
    <w:unhideWhenUsed/>
    <w:rsid w:val="001D3388"/>
    <w:pPr>
      <w:numPr>
        <w:numId w:val="25"/>
      </w:numPr>
      <w:outlineLvl w:val="4"/>
    </w:pPr>
    <w:rPr>
      <w:rFonts w:eastAsia="Times New Roman"/>
      <w:bCs/>
      <w:iCs/>
    </w:rPr>
  </w:style>
  <w:style w:type="paragraph" w:styleId="Heading6">
    <w:name w:val="heading 6"/>
    <w:basedOn w:val="Normal"/>
    <w:next w:val="Normal"/>
    <w:link w:val="Heading6Char"/>
    <w:uiPriority w:val="9"/>
    <w:unhideWhenUsed/>
    <w:rsid w:val="00683D27"/>
    <w:pPr>
      <w:keepNext/>
      <w:widowControl w:val="0"/>
      <w:spacing w:line="240" w:lineRule="auto"/>
      <w:outlineLvl w:val="5"/>
    </w:pPr>
    <w:rPr>
      <w:b/>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388"/>
    <w:rPr>
      <w:rFonts w:ascii="Segoe UI" w:hAnsi="Segoe UI"/>
      <w:sz w:val="18"/>
      <w:szCs w:val="18"/>
      <w:lang w:val="x-none" w:eastAsia="x-none"/>
    </w:rPr>
  </w:style>
  <w:style w:type="character" w:customStyle="1" w:styleId="BalloonTextChar">
    <w:name w:val="Balloon Text Char"/>
    <w:link w:val="BalloonText"/>
    <w:uiPriority w:val="99"/>
    <w:semiHidden/>
    <w:rsid w:val="001D3388"/>
    <w:rPr>
      <w:rFonts w:ascii="Segoe UI" w:hAnsi="Segoe UI"/>
      <w:sz w:val="18"/>
      <w:szCs w:val="18"/>
      <w:lang w:val="x-none" w:eastAsia="x-none"/>
    </w:rPr>
  </w:style>
  <w:style w:type="paragraph" w:styleId="Footer">
    <w:name w:val="footer"/>
    <w:basedOn w:val="Normal"/>
    <w:link w:val="FooterChar"/>
    <w:autoRedefine/>
    <w:uiPriority w:val="99"/>
    <w:unhideWhenUsed/>
    <w:rsid w:val="00E860C7"/>
    <w:pPr>
      <w:widowControl w:val="0"/>
    </w:pPr>
  </w:style>
  <w:style w:type="character" w:customStyle="1" w:styleId="FooterChar">
    <w:name w:val="Footer Char"/>
    <w:link w:val="Footer"/>
    <w:uiPriority w:val="99"/>
    <w:rsid w:val="00E860C7"/>
  </w:style>
  <w:style w:type="character" w:styleId="FootnoteReference">
    <w:name w:val="footnote reference"/>
    <w:uiPriority w:val="99"/>
    <w:qFormat/>
    <w:rsid w:val="001D3388"/>
    <w:rPr>
      <w:rFonts w:ascii="Century Schoolbook" w:hAnsi="Century Schoolbook"/>
      <w:b w:val="0"/>
      <w:i w:val="0"/>
      <w:dstrike w:val="0"/>
      <w:position w:val="0"/>
      <w:sz w:val="26"/>
      <w:vertAlign w:val="superscript"/>
    </w:rPr>
  </w:style>
  <w:style w:type="paragraph" w:styleId="FootnoteText">
    <w:name w:val="footnote text"/>
    <w:basedOn w:val="Normal"/>
    <w:link w:val="FootnoteTextChar"/>
    <w:autoRedefine/>
    <w:uiPriority w:val="99"/>
    <w:qFormat/>
    <w:rsid w:val="00BA6C36"/>
    <w:pPr>
      <w:spacing w:after="120" w:line="240" w:lineRule="auto"/>
    </w:pPr>
    <w:rPr>
      <w:lang w:val="x-none" w:eastAsia="x-none"/>
    </w:rPr>
  </w:style>
  <w:style w:type="character" w:customStyle="1" w:styleId="FootnoteTextChar">
    <w:name w:val="Footnote Text Char"/>
    <w:link w:val="FootnoteText"/>
    <w:uiPriority w:val="99"/>
    <w:rsid w:val="00BA6C36"/>
    <w:rPr>
      <w:sz w:val="26"/>
      <w:lang w:val="x-none" w:eastAsia="x-none"/>
    </w:rPr>
  </w:style>
  <w:style w:type="paragraph" w:styleId="Header">
    <w:name w:val="header"/>
    <w:basedOn w:val="Normal"/>
    <w:link w:val="HeaderChar"/>
    <w:uiPriority w:val="99"/>
    <w:unhideWhenUsed/>
    <w:rsid w:val="001D3388"/>
    <w:pPr>
      <w:tabs>
        <w:tab w:val="center" w:pos="4680"/>
        <w:tab w:val="right" w:pos="9360"/>
      </w:tabs>
    </w:pPr>
  </w:style>
  <w:style w:type="character" w:customStyle="1" w:styleId="HeaderChar">
    <w:name w:val="Header Char"/>
    <w:link w:val="Header"/>
    <w:uiPriority w:val="99"/>
    <w:rsid w:val="001D3388"/>
    <w:rPr>
      <w:sz w:val="26"/>
    </w:rPr>
  </w:style>
  <w:style w:type="character" w:customStyle="1" w:styleId="Heading1Char">
    <w:name w:val="Heading 1 Char"/>
    <w:link w:val="Heading1"/>
    <w:uiPriority w:val="9"/>
    <w:rsid w:val="00C50B5B"/>
    <w:rPr>
      <w:b/>
      <w:caps/>
      <w:sz w:val="26"/>
    </w:rPr>
  </w:style>
  <w:style w:type="character" w:customStyle="1" w:styleId="Heading2Char">
    <w:name w:val="Heading 2 Char"/>
    <w:link w:val="Heading2"/>
    <w:uiPriority w:val="9"/>
    <w:rsid w:val="00795633"/>
    <w:rPr>
      <w:i/>
    </w:rPr>
  </w:style>
  <w:style w:type="character" w:customStyle="1" w:styleId="Heading3Char">
    <w:name w:val="Heading 3 Char"/>
    <w:link w:val="Heading3"/>
    <w:uiPriority w:val="9"/>
    <w:rsid w:val="00795633"/>
    <w:rPr>
      <w:rFonts w:eastAsia="Times New Roman"/>
      <w:i/>
      <w:szCs w:val="24"/>
    </w:rPr>
  </w:style>
  <w:style w:type="character" w:customStyle="1" w:styleId="Heading4Char">
    <w:name w:val="Heading 4 Char"/>
    <w:link w:val="Heading4"/>
    <w:uiPriority w:val="9"/>
    <w:rsid w:val="001D3388"/>
    <w:rPr>
      <w:rFonts w:eastAsia="Times New Roman"/>
      <w:iCs/>
      <w:sz w:val="26"/>
    </w:rPr>
  </w:style>
  <w:style w:type="character" w:styleId="Hyperlink">
    <w:name w:val="Hyperlink"/>
    <w:uiPriority w:val="99"/>
    <w:unhideWhenUsed/>
    <w:rsid w:val="001D3388"/>
    <w:rPr>
      <w:color w:val="0563C1"/>
      <w:u w:val="single"/>
    </w:rPr>
  </w:style>
  <w:style w:type="paragraph" w:styleId="ListParagraph">
    <w:name w:val="List Paragraph"/>
    <w:basedOn w:val="Normal"/>
    <w:uiPriority w:val="99"/>
    <w:rsid w:val="001D3388"/>
    <w:pPr>
      <w:ind w:left="720"/>
    </w:pPr>
  </w:style>
  <w:style w:type="character" w:styleId="PageNumber">
    <w:name w:val="page number"/>
    <w:basedOn w:val="DefaultParagraphFont"/>
    <w:uiPriority w:val="99"/>
    <w:semiHidden/>
    <w:unhideWhenUsed/>
    <w:rsid w:val="001D3388"/>
  </w:style>
  <w:style w:type="paragraph" w:styleId="BodyText">
    <w:name w:val="Body Text"/>
    <w:basedOn w:val="Normal"/>
    <w:link w:val="BodyTextChar"/>
    <w:uiPriority w:val="99"/>
    <w:semiHidden/>
    <w:unhideWhenUsed/>
    <w:rsid w:val="001D3388"/>
    <w:pPr>
      <w:spacing w:after="120"/>
    </w:pPr>
  </w:style>
  <w:style w:type="character" w:customStyle="1" w:styleId="BodyTextChar">
    <w:name w:val="Body Text Char"/>
    <w:link w:val="BodyText"/>
    <w:uiPriority w:val="99"/>
    <w:semiHidden/>
    <w:rsid w:val="001D3388"/>
    <w:rPr>
      <w:sz w:val="26"/>
    </w:rPr>
  </w:style>
  <w:style w:type="paragraph" w:styleId="BodyText2">
    <w:name w:val="Body Text 2"/>
    <w:basedOn w:val="Normal"/>
    <w:link w:val="BodyText2Char"/>
    <w:uiPriority w:val="99"/>
    <w:unhideWhenUsed/>
    <w:rsid w:val="001D3388"/>
    <w:pPr>
      <w:pBdr>
        <w:top w:val="single" w:sz="4" w:space="1" w:color="auto"/>
        <w:left w:val="single" w:sz="4" w:space="4" w:color="auto"/>
        <w:bottom w:val="single" w:sz="4" w:space="1" w:color="auto"/>
        <w:right w:val="single" w:sz="4" w:space="4" w:color="auto"/>
      </w:pBdr>
      <w:spacing w:line="140" w:lineRule="exact"/>
      <w:jc w:val="both"/>
    </w:pPr>
    <w:rPr>
      <w:rFonts w:ascii="Arial" w:hAnsi="Arial" w:cs="Arial"/>
      <w:b/>
      <w:sz w:val="16"/>
    </w:rPr>
  </w:style>
  <w:style w:type="character" w:customStyle="1" w:styleId="BodyText2Char">
    <w:name w:val="Body Text 2 Char"/>
    <w:link w:val="BodyText2"/>
    <w:uiPriority w:val="99"/>
    <w:rsid w:val="001D3388"/>
    <w:rPr>
      <w:rFonts w:ascii="Arial" w:hAnsi="Arial" w:cs="Arial"/>
      <w:b/>
      <w:sz w:val="16"/>
    </w:rPr>
  </w:style>
  <w:style w:type="paragraph" w:customStyle="1" w:styleId="TableParagraph">
    <w:name w:val="Table Paragraph"/>
    <w:basedOn w:val="Normal"/>
    <w:uiPriority w:val="99"/>
    <w:rsid w:val="00B7641C"/>
    <w:pPr>
      <w:widowControl w:val="0"/>
      <w:autoSpaceDE w:val="0"/>
      <w:autoSpaceDN w:val="0"/>
      <w:adjustRightInd w:val="0"/>
    </w:pPr>
    <w:rPr>
      <w:rFonts w:ascii="Times New Roman" w:eastAsia="Times New Roman" w:hAnsi="Times New Roman"/>
      <w:sz w:val="24"/>
      <w:szCs w:val="24"/>
    </w:rPr>
  </w:style>
  <w:style w:type="character" w:customStyle="1" w:styleId="Heading5Char">
    <w:name w:val="Heading 5 Char"/>
    <w:link w:val="Heading5"/>
    <w:uiPriority w:val="9"/>
    <w:semiHidden/>
    <w:rsid w:val="001D3388"/>
    <w:rPr>
      <w:rFonts w:eastAsia="Times New Roman" w:cs="Times New Roman"/>
      <w:bCs/>
      <w:iCs/>
      <w:sz w:val="26"/>
    </w:rPr>
  </w:style>
  <w:style w:type="table" w:styleId="TableGrid">
    <w:name w:val="Table Grid"/>
    <w:basedOn w:val="TableNormal"/>
    <w:rsid w:val="00AD3E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683D27"/>
    <w:rPr>
      <w:b/>
      <w:color w:val="FF0000"/>
      <w:sz w:val="32"/>
      <w:szCs w:val="32"/>
    </w:rPr>
  </w:style>
  <w:style w:type="character" w:styleId="CommentReference">
    <w:name w:val="annotation reference"/>
    <w:uiPriority w:val="99"/>
    <w:semiHidden/>
    <w:unhideWhenUsed/>
    <w:rsid w:val="00683D27"/>
    <w:rPr>
      <w:sz w:val="16"/>
      <w:szCs w:val="16"/>
    </w:rPr>
  </w:style>
  <w:style w:type="paragraph" w:styleId="CommentText">
    <w:name w:val="annotation text"/>
    <w:basedOn w:val="Normal"/>
    <w:link w:val="CommentTextChar"/>
    <w:uiPriority w:val="99"/>
    <w:unhideWhenUsed/>
    <w:rsid w:val="00683D27"/>
    <w:pPr>
      <w:spacing w:line="240" w:lineRule="auto"/>
    </w:pPr>
    <w:rPr>
      <w:sz w:val="20"/>
    </w:rPr>
  </w:style>
  <w:style w:type="character" w:customStyle="1" w:styleId="CommentTextChar">
    <w:name w:val="Comment Text Char"/>
    <w:basedOn w:val="DefaultParagraphFont"/>
    <w:link w:val="CommentText"/>
    <w:uiPriority w:val="99"/>
    <w:rsid w:val="00683D27"/>
  </w:style>
  <w:style w:type="paragraph" w:styleId="Revision">
    <w:name w:val="Revision"/>
    <w:hidden/>
    <w:uiPriority w:val="99"/>
    <w:semiHidden/>
    <w:rsid w:val="00B221A9"/>
    <w:rPr>
      <w:sz w:val="26"/>
    </w:rPr>
  </w:style>
  <w:style w:type="paragraph" w:styleId="CommentSubject">
    <w:name w:val="annotation subject"/>
    <w:basedOn w:val="CommentText"/>
    <w:next w:val="CommentText"/>
    <w:link w:val="CommentSubjectChar"/>
    <w:uiPriority w:val="99"/>
    <w:semiHidden/>
    <w:unhideWhenUsed/>
    <w:rsid w:val="008F28A3"/>
    <w:rPr>
      <w:b/>
      <w:bCs/>
    </w:rPr>
  </w:style>
  <w:style w:type="character" w:customStyle="1" w:styleId="CommentSubjectChar">
    <w:name w:val="Comment Subject Char"/>
    <w:basedOn w:val="CommentTextChar"/>
    <w:link w:val="CommentSubject"/>
    <w:uiPriority w:val="99"/>
    <w:semiHidden/>
    <w:rsid w:val="008F28A3"/>
    <w:rPr>
      <w:b/>
      <w:bCs/>
    </w:rPr>
  </w:style>
  <w:style w:type="character" w:styleId="UnresolvedMention">
    <w:name w:val="Unresolved Mention"/>
    <w:basedOn w:val="DefaultParagraphFont"/>
    <w:uiPriority w:val="99"/>
    <w:semiHidden/>
    <w:unhideWhenUsed/>
    <w:rsid w:val="00CC5FCF"/>
    <w:rPr>
      <w:color w:val="605E5C"/>
      <w:shd w:val="clear" w:color="auto" w:fill="E1DFDD"/>
    </w:rPr>
  </w:style>
  <w:style w:type="character" w:customStyle="1" w:styleId="ssrfcpassagedeactivated">
    <w:name w:val="ss_rfcpassage_deactivated"/>
    <w:basedOn w:val="DefaultParagraphFont"/>
    <w:rsid w:val="00917039"/>
  </w:style>
  <w:style w:type="character" w:customStyle="1" w:styleId="sssh">
    <w:name w:val="ss_sh"/>
    <w:basedOn w:val="DefaultParagraphFont"/>
    <w:rsid w:val="00917039"/>
  </w:style>
  <w:style w:type="paragraph" w:styleId="NormalWeb">
    <w:name w:val="Normal (Web)"/>
    <w:basedOn w:val="Normal"/>
    <w:uiPriority w:val="99"/>
    <w:semiHidden/>
    <w:unhideWhenUsed/>
    <w:rsid w:val="00445B9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513608">
      <w:bodyDiv w:val="1"/>
      <w:marLeft w:val="0"/>
      <w:marRight w:val="0"/>
      <w:marTop w:val="0"/>
      <w:marBottom w:val="0"/>
      <w:divBdr>
        <w:top w:val="none" w:sz="0" w:space="0" w:color="auto"/>
        <w:left w:val="none" w:sz="0" w:space="0" w:color="auto"/>
        <w:bottom w:val="none" w:sz="0" w:space="0" w:color="auto"/>
        <w:right w:val="none" w:sz="0" w:space="0" w:color="auto"/>
      </w:divBdr>
      <w:divsChild>
        <w:div w:id="1051617424">
          <w:marLeft w:val="0"/>
          <w:marRight w:val="0"/>
          <w:marTop w:val="0"/>
          <w:marBottom w:val="0"/>
          <w:divBdr>
            <w:top w:val="none" w:sz="0" w:space="0" w:color="3D3D3D"/>
            <w:left w:val="none" w:sz="0" w:space="0" w:color="3D3D3D"/>
            <w:bottom w:val="none" w:sz="0" w:space="0" w:color="3D3D3D"/>
            <w:right w:val="none" w:sz="0" w:space="0" w:color="3D3D3D"/>
          </w:divBdr>
          <w:divsChild>
            <w:div w:id="1919897892">
              <w:marLeft w:val="0"/>
              <w:marRight w:val="0"/>
              <w:marTop w:val="0"/>
              <w:marBottom w:val="0"/>
              <w:divBdr>
                <w:top w:val="none" w:sz="0" w:space="0" w:color="3D3D3D"/>
                <w:left w:val="none" w:sz="0" w:space="0" w:color="3D3D3D"/>
                <w:bottom w:val="none" w:sz="0" w:space="0" w:color="3D3D3D"/>
                <w:right w:val="none" w:sz="0" w:space="0" w:color="3D3D3D"/>
              </w:divBdr>
              <w:divsChild>
                <w:div w:id="1293440466">
                  <w:marLeft w:val="0"/>
                  <w:marRight w:val="0"/>
                  <w:marTop w:val="0"/>
                  <w:marBottom w:val="0"/>
                  <w:divBdr>
                    <w:top w:val="none" w:sz="0" w:space="0" w:color="3D3D3D"/>
                    <w:left w:val="none" w:sz="0" w:space="0" w:color="3D3D3D"/>
                    <w:bottom w:val="none" w:sz="0" w:space="0" w:color="3D3D3D"/>
                    <w:right w:val="none" w:sz="0" w:space="0" w:color="3D3D3D"/>
                  </w:divBdr>
                </w:div>
              </w:divsChild>
            </w:div>
            <w:div w:id="1652522852">
              <w:marLeft w:val="0"/>
              <w:marRight w:val="0"/>
              <w:marTop w:val="233"/>
              <w:marBottom w:val="0"/>
              <w:divBdr>
                <w:top w:val="none" w:sz="0" w:space="0" w:color="3D3D3D"/>
                <w:left w:val="none" w:sz="0" w:space="0" w:color="3D3D3D"/>
                <w:bottom w:val="none" w:sz="0" w:space="0" w:color="3D3D3D"/>
                <w:right w:val="none" w:sz="0" w:space="0" w:color="3D3D3D"/>
              </w:divBdr>
              <w:divsChild>
                <w:div w:id="1843422855">
                  <w:marLeft w:val="0"/>
                  <w:marRight w:val="0"/>
                  <w:marTop w:val="0"/>
                  <w:marBottom w:val="0"/>
                  <w:divBdr>
                    <w:top w:val="none" w:sz="0" w:space="0" w:color="3D3D3D"/>
                    <w:left w:val="none" w:sz="0" w:space="0" w:color="3D3D3D"/>
                    <w:bottom w:val="none" w:sz="0" w:space="0" w:color="3D3D3D"/>
                    <w:right w:val="none" w:sz="0" w:space="0" w:color="3D3D3D"/>
                  </w:divBdr>
                </w:div>
              </w:divsChild>
            </w:div>
            <w:div w:id="134389616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47616024">
      <w:bodyDiv w:val="1"/>
      <w:marLeft w:val="0"/>
      <w:marRight w:val="0"/>
      <w:marTop w:val="0"/>
      <w:marBottom w:val="0"/>
      <w:divBdr>
        <w:top w:val="none" w:sz="0" w:space="0" w:color="auto"/>
        <w:left w:val="none" w:sz="0" w:space="0" w:color="auto"/>
        <w:bottom w:val="none" w:sz="0" w:space="0" w:color="auto"/>
        <w:right w:val="none" w:sz="0" w:space="0" w:color="auto"/>
      </w:divBdr>
    </w:div>
    <w:div w:id="1237670823">
      <w:bodyDiv w:val="1"/>
      <w:marLeft w:val="0"/>
      <w:marRight w:val="0"/>
      <w:marTop w:val="0"/>
      <w:marBottom w:val="0"/>
      <w:divBdr>
        <w:top w:val="none" w:sz="0" w:space="0" w:color="auto"/>
        <w:left w:val="none" w:sz="0" w:space="0" w:color="auto"/>
        <w:bottom w:val="none" w:sz="0" w:space="0" w:color="auto"/>
        <w:right w:val="none" w:sz="0" w:space="0" w:color="auto"/>
      </w:divBdr>
      <w:divsChild>
        <w:div w:id="1829512650">
          <w:marLeft w:val="0"/>
          <w:marRight w:val="0"/>
          <w:marTop w:val="0"/>
          <w:marBottom w:val="0"/>
          <w:divBdr>
            <w:top w:val="none" w:sz="0" w:space="0" w:color="3D3D3D"/>
            <w:left w:val="none" w:sz="0" w:space="0" w:color="3D3D3D"/>
            <w:bottom w:val="none" w:sz="0" w:space="0" w:color="3D3D3D"/>
            <w:right w:val="none" w:sz="0" w:space="0" w:color="3D3D3D"/>
          </w:divBdr>
          <w:divsChild>
            <w:div w:id="143151092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78246869">
      <w:bodyDiv w:val="1"/>
      <w:marLeft w:val="0"/>
      <w:marRight w:val="0"/>
      <w:marTop w:val="0"/>
      <w:marBottom w:val="0"/>
      <w:divBdr>
        <w:top w:val="none" w:sz="0" w:space="0" w:color="auto"/>
        <w:left w:val="none" w:sz="0" w:space="0" w:color="auto"/>
        <w:bottom w:val="none" w:sz="0" w:space="0" w:color="auto"/>
        <w:right w:val="none" w:sz="0" w:space="0" w:color="auto"/>
      </w:divBdr>
    </w:div>
    <w:div w:id="1764259104">
      <w:bodyDiv w:val="1"/>
      <w:marLeft w:val="0"/>
      <w:marRight w:val="0"/>
      <w:marTop w:val="0"/>
      <w:marBottom w:val="0"/>
      <w:divBdr>
        <w:top w:val="none" w:sz="0" w:space="0" w:color="auto"/>
        <w:left w:val="none" w:sz="0" w:space="0" w:color="auto"/>
        <w:bottom w:val="none" w:sz="0" w:space="0" w:color="auto"/>
        <w:right w:val="none" w:sz="0" w:space="0" w:color="auto"/>
      </w:divBdr>
    </w:div>
    <w:div w:id="18636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3258</Words>
  <Characters>17733</Characters>
  <Application>Microsoft Office Word</Application>
  <DocSecurity>0</DocSecurity>
  <Lines>394</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2024-05-01T21:41:00Z</cp:lastPrinted>
  <dcterms:created xsi:type="dcterms:W3CDTF">2024-05-01T21:52:00Z</dcterms:created>
  <dcterms:modified xsi:type="dcterms:W3CDTF">2024-05-01T21:52:00Z</dcterms:modified>
  <cp:category/>
</cp:coreProperties>
</file>