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F7866" w:rsidRPr="001146E7" w:rsidP="00F72039" w14:paraId="7A730136" w14:textId="7C4AC9D8">
      <w:pPr>
        <w:spacing w:line="240" w:lineRule="auto"/>
        <w:rPr>
          <w:sz w:val="20"/>
          <w:szCs w:val="20"/>
        </w:rPr>
      </w:pPr>
      <w:r>
        <w:rPr>
          <w:sz w:val="20"/>
          <w:szCs w:val="20"/>
        </w:rPr>
        <w:t>Filed 1/29/24</w:t>
      </w:r>
    </w:p>
    <w:p w:rsidR="0030577D" w:rsidRPr="00433829" w:rsidP="00F72039" w14:paraId="116BE302" w14:textId="132FDB50">
      <w:pPr>
        <w:spacing w:line="240" w:lineRule="auto"/>
        <w:jc w:val="center"/>
        <w:rPr>
          <w:b/>
          <w:bCs/>
        </w:rPr>
      </w:pPr>
      <w:r w:rsidRPr="00433829">
        <w:rPr>
          <w:b/>
          <w:bCs/>
        </w:rPr>
        <w:t>CERTIFIED FOR PUBLICATION</w:t>
      </w:r>
    </w:p>
    <w:p w:rsidR="008C7F43" w:rsidP="00F72039" w14:paraId="6AD9BC01" w14:textId="77777777">
      <w:pPr>
        <w:spacing w:line="240" w:lineRule="auto"/>
        <w:jc w:val="center"/>
      </w:pPr>
    </w:p>
    <w:p w:rsidR="00F72039" w:rsidP="00F72039" w14:paraId="3AE2DE9E" w14:textId="288BACAB">
      <w:pPr>
        <w:spacing w:line="240" w:lineRule="auto"/>
        <w:jc w:val="center"/>
      </w:pPr>
      <w:r>
        <w:t>IN THE COURT OF APPEAL OF THE STATE OF CALIFORNIA</w:t>
      </w:r>
    </w:p>
    <w:p w:rsidR="00F72039" w:rsidP="00F72039" w14:paraId="613E0376" w14:textId="77777777">
      <w:pPr>
        <w:spacing w:line="240" w:lineRule="auto"/>
        <w:jc w:val="center"/>
      </w:pPr>
    </w:p>
    <w:p w:rsidR="00F72039" w:rsidP="00F72039" w14:paraId="5CB59028" w14:textId="3C683961">
      <w:pPr>
        <w:spacing w:line="240" w:lineRule="auto"/>
        <w:jc w:val="center"/>
      </w:pPr>
      <w:r>
        <w:t>SECOND APPELLATE DISTRICT</w:t>
      </w:r>
    </w:p>
    <w:p w:rsidR="00F72039" w:rsidP="00F72039" w14:paraId="6BBB47A4" w14:textId="77777777">
      <w:pPr>
        <w:spacing w:line="240" w:lineRule="auto"/>
        <w:jc w:val="center"/>
      </w:pPr>
    </w:p>
    <w:p w:rsidR="00F72039" w:rsidP="00F72039" w14:paraId="5D9A7618" w14:textId="09B14C97">
      <w:pPr>
        <w:spacing w:line="240" w:lineRule="auto"/>
        <w:jc w:val="center"/>
      </w:pPr>
      <w:r>
        <w:t>DIVISION FIVE</w:t>
      </w:r>
    </w:p>
    <w:p w:rsidR="00F72039" w:rsidP="00F72039" w14:paraId="6BA373F2" w14:textId="77777777">
      <w:pPr>
        <w:spacing w:line="240" w:lineRule="auto"/>
        <w:jc w:val="center"/>
      </w:pPr>
    </w:p>
    <w:p w:rsidR="00F72039" w:rsidP="00F72039" w14:paraId="439405F6" w14:textId="77777777">
      <w:pPr>
        <w:spacing w:line="240" w:lineRule="auto"/>
        <w:jc w:val="center"/>
      </w:pPr>
    </w:p>
    <w:tbl>
      <w:tblPr>
        <w:tblW w:w="0" w:type="auto"/>
        <w:tblLayout w:type="fixed"/>
        <w:tblLook w:val="0000"/>
      </w:tblPr>
      <w:tblGrid>
        <w:gridCol w:w="4500"/>
        <w:gridCol w:w="3420"/>
      </w:tblGrid>
      <w:tr w14:paraId="7556163E" w14:textId="77777777" w:rsidTr="00F72039">
        <w:tblPrEx>
          <w:tblW w:w="0" w:type="auto"/>
          <w:tblLayout w:type="fixed"/>
          <w:tblLook w:val="0000"/>
        </w:tblPrEx>
        <w:tc>
          <w:tcPr>
            <w:tcW w:w="4500" w:type="dxa"/>
            <w:tcBorders>
              <w:bottom w:val="single" w:sz="4" w:space="0" w:color="auto"/>
              <w:right w:val="single" w:sz="4" w:space="0" w:color="auto"/>
            </w:tcBorders>
            <w:shd w:val="clear" w:color="auto" w:fill="auto"/>
          </w:tcPr>
          <w:p w:rsidR="00F72039" w:rsidP="00F72039" w14:paraId="43D93F38" w14:textId="77777777">
            <w:pPr>
              <w:spacing w:line="240" w:lineRule="auto"/>
            </w:pPr>
            <w:r>
              <w:t>OMAR KADER,</w:t>
            </w:r>
          </w:p>
          <w:p w:rsidR="00F72039" w:rsidP="00F72039" w14:paraId="42824058" w14:textId="77777777">
            <w:pPr>
              <w:spacing w:line="240" w:lineRule="auto"/>
            </w:pPr>
          </w:p>
          <w:p w:rsidR="00F72039" w:rsidP="00F72039" w14:paraId="6A914E6B" w14:textId="77777777">
            <w:pPr>
              <w:spacing w:line="240" w:lineRule="auto"/>
            </w:pPr>
            <w:r>
              <w:tab/>
              <w:t>Plaintiff and Respondent,</w:t>
            </w:r>
          </w:p>
          <w:p w:rsidR="00F72039" w:rsidP="00F72039" w14:paraId="653454E3" w14:textId="77777777">
            <w:pPr>
              <w:spacing w:line="240" w:lineRule="auto"/>
            </w:pPr>
          </w:p>
          <w:p w:rsidR="00F72039" w:rsidP="00F72039" w14:paraId="685CD208" w14:textId="77777777">
            <w:pPr>
              <w:spacing w:line="240" w:lineRule="auto"/>
            </w:pPr>
            <w:r>
              <w:tab/>
              <w:t>v.</w:t>
            </w:r>
          </w:p>
          <w:p w:rsidR="00F72039" w:rsidP="00F72039" w14:paraId="30409226" w14:textId="77777777">
            <w:pPr>
              <w:spacing w:line="240" w:lineRule="auto"/>
            </w:pPr>
          </w:p>
          <w:p w:rsidR="00F72039" w:rsidP="00F72039" w14:paraId="7360386D" w14:textId="53C49A49">
            <w:pPr>
              <w:spacing w:line="240" w:lineRule="auto"/>
            </w:pPr>
            <w:r>
              <w:t>SOUTHERN CALIFORNIA MEDICAL CENTER, INC.</w:t>
            </w:r>
            <w:r w:rsidR="008A330B">
              <w:t>, et al.</w:t>
            </w:r>
            <w:r>
              <w:t>,</w:t>
            </w:r>
          </w:p>
          <w:p w:rsidR="00F72039" w:rsidP="00F72039" w14:paraId="356139B9" w14:textId="77777777">
            <w:pPr>
              <w:spacing w:line="240" w:lineRule="auto"/>
            </w:pPr>
          </w:p>
          <w:p w:rsidR="00F72039" w:rsidP="00F72039" w14:paraId="741A9C21" w14:textId="77777777">
            <w:pPr>
              <w:spacing w:line="240" w:lineRule="auto"/>
            </w:pPr>
            <w:r>
              <w:tab/>
              <w:t>Defendants and Appellants.</w:t>
            </w:r>
          </w:p>
          <w:p w:rsidR="00F72039" w:rsidP="00F72039" w14:paraId="4C753786" w14:textId="6DF042B9">
            <w:pPr>
              <w:spacing w:line="240" w:lineRule="auto"/>
            </w:pPr>
          </w:p>
        </w:tc>
        <w:tc>
          <w:tcPr>
            <w:tcW w:w="3420" w:type="dxa"/>
            <w:tcBorders>
              <w:left w:val="single" w:sz="4" w:space="0" w:color="auto"/>
            </w:tcBorders>
            <w:shd w:val="clear" w:color="auto" w:fill="auto"/>
          </w:tcPr>
          <w:p w:rsidR="00F72039" w:rsidP="00F72039" w14:paraId="0CD4F9B4" w14:textId="77777777">
            <w:pPr>
              <w:spacing w:line="240" w:lineRule="auto"/>
            </w:pPr>
            <w:r>
              <w:t xml:space="preserve">      B326830</w:t>
            </w:r>
          </w:p>
          <w:p w:rsidR="00F72039" w:rsidP="00F72039" w14:paraId="7487B829" w14:textId="77777777">
            <w:pPr>
              <w:spacing w:line="240" w:lineRule="auto"/>
            </w:pPr>
          </w:p>
          <w:p w:rsidR="00F72039" w:rsidP="00F72039" w14:paraId="12FFD24E" w14:textId="77777777">
            <w:pPr>
              <w:spacing w:line="240" w:lineRule="auto"/>
            </w:pPr>
            <w:r>
              <w:t xml:space="preserve">      (Los Angeles County</w:t>
            </w:r>
          </w:p>
          <w:p w:rsidR="00F72039" w:rsidP="00F72039" w14:paraId="327F91BD" w14:textId="77777777">
            <w:pPr>
              <w:spacing w:line="240" w:lineRule="auto"/>
            </w:pPr>
            <w:r>
              <w:t xml:space="preserve">      Super. Ct. No.</w:t>
            </w:r>
          </w:p>
          <w:p w:rsidR="00F72039" w:rsidP="00F72039" w14:paraId="3E0F27D7" w14:textId="6345740E">
            <w:pPr>
              <w:spacing w:line="240" w:lineRule="auto"/>
            </w:pPr>
            <w:r>
              <w:t xml:space="preserve">      22STCV17630)</w:t>
            </w:r>
          </w:p>
          <w:p w:rsidR="00F72039" w:rsidP="00F72039" w14:paraId="47DFF20F" w14:textId="7B33A3C5">
            <w:pPr>
              <w:spacing w:line="240" w:lineRule="auto"/>
            </w:pPr>
          </w:p>
        </w:tc>
      </w:tr>
    </w:tbl>
    <w:p w:rsidR="00F72039" w:rsidRPr="00F72039" w:rsidP="00433829" w14:paraId="70E097C8" w14:textId="77777777"/>
    <w:p w:rsidR="00206AFF" w:rsidP="00433829" w14:paraId="22368A62" w14:textId="77777777"/>
    <w:p w:rsidR="00206AFF" w:rsidP="00433829" w14:paraId="21679AE2" w14:textId="6801070C">
      <w:pPr>
        <w:ind w:firstLine="720"/>
      </w:pPr>
      <w:r w:rsidRPr="005B2A04">
        <w:t xml:space="preserve">APPEAL </w:t>
      </w:r>
      <w:r w:rsidRPr="00887FFD">
        <w:t>from a</w:t>
      </w:r>
      <w:r>
        <w:t>n order</w:t>
      </w:r>
      <w:r w:rsidRPr="005B2A04">
        <w:t xml:space="preserve"> of the Superior Court of Los Angeles County, </w:t>
      </w:r>
      <w:r w:rsidR="00C209FC">
        <w:t>D</w:t>
      </w:r>
      <w:r w:rsidR="00093731">
        <w:t>aniel Murphy</w:t>
      </w:r>
      <w:r w:rsidRPr="005B2A04">
        <w:t xml:space="preserve">, </w:t>
      </w:r>
      <w:r>
        <w:t>Judge</w:t>
      </w:r>
      <w:r w:rsidRPr="00237CF8">
        <w:t>.  Affirmed.</w:t>
      </w:r>
    </w:p>
    <w:p w:rsidR="001D1CD3" w:rsidRPr="005B2A04" w:rsidP="001D1CD3" w14:paraId="21A42362" w14:textId="77777777">
      <w:pPr>
        <w:ind w:firstLine="720"/>
      </w:pPr>
    </w:p>
    <w:p w:rsidR="001D1CD3" w:rsidP="001D1CD3" w14:paraId="30EE205F" w14:textId="75FA33B8">
      <w:pPr>
        <w:ind w:firstLine="720"/>
      </w:pPr>
      <w:r>
        <w:t>Quinn Emanuel Urquhart &amp; Sullivan, Michael E. Williams, Dylan C. Bonfigli and Marie M. Hayrapetian</w:t>
      </w:r>
      <w:r w:rsidRPr="005B2A04">
        <w:t xml:space="preserve"> for </w:t>
      </w:r>
      <w:r w:rsidR="00406814">
        <w:t>Defendants and Appellants</w:t>
      </w:r>
      <w:r w:rsidRPr="005B2A04">
        <w:t>.</w:t>
      </w:r>
    </w:p>
    <w:p w:rsidR="001D1CD3" w:rsidP="00433829" w14:paraId="01762808" w14:textId="77777777">
      <w:pPr>
        <w:ind w:firstLine="720"/>
      </w:pPr>
    </w:p>
    <w:p w:rsidR="003A0712" w:rsidP="00433829" w14:paraId="2C006339" w14:textId="1BF78E30">
      <w:pPr>
        <w:ind w:firstLine="720"/>
      </w:pPr>
      <w:r>
        <w:t>The Law Offices of Vincent Miller, Vincent Miller and Nick Sage</w:t>
      </w:r>
      <w:r w:rsidRPr="005B2A04">
        <w:t xml:space="preserve"> for </w:t>
      </w:r>
      <w:r w:rsidR="00406814">
        <w:t>Plain</w:t>
      </w:r>
      <w:r w:rsidR="00997608">
        <w:t>tiff and Respondent</w:t>
      </w:r>
      <w:r w:rsidRPr="005B2A04">
        <w:t>.</w:t>
      </w:r>
    </w:p>
    <w:p w:rsidR="00206AFF" w:rsidRPr="005B2A04" w:rsidP="00433829" w14:paraId="3B0DF27B" w14:textId="7D8F4750">
      <w:pPr>
        <w:ind w:firstLine="720"/>
        <w:jc w:val="center"/>
      </w:pPr>
      <w:r>
        <w:t>_______________</w:t>
      </w:r>
    </w:p>
    <w:p w:rsidR="00206AFF" w:rsidRPr="005B2A04" w:rsidP="00433829" w14:paraId="521A1CD5" w14:textId="77777777">
      <w:pPr>
        <w:ind w:firstLine="720"/>
      </w:pPr>
    </w:p>
    <w:p w:rsidR="00206AFF" w:rsidP="00433829" w14:paraId="1C1589FB" w14:textId="77777777">
      <w:pPr>
        <w:rPr>
          <w:szCs w:val="26"/>
        </w:rPr>
      </w:pPr>
    </w:p>
    <w:p w:rsidR="0052483D" w:rsidP="00433829" w14:paraId="4F922642" w14:textId="0DC98F78">
      <w:pPr>
        <w:rPr>
          <w:szCs w:val="26"/>
        </w:rPr>
      </w:pPr>
      <w:r>
        <w:rPr>
          <w:szCs w:val="26"/>
        </w:rPr>
        <w:tab/>
      </w:r>
      <w:r w:rsidR="005324E7">
        <w:rPr>
          <w:szCs w:val="26"/>
        </w:rPr>
        <w:t>An employee</w:t>
      </w:r>
      <w:r w:rsidR="00DD6375">
        <w:rPr>
          <w:szCs w:val="26"/>
        </w:rPr>
        <w:t xml:space="preserve"> signed an arbitration agreement with his employer</w:t>
      </w:r>
      <w:r w:rsidR="00E57778">
        <w:rPr>
          <w:szCs w:val="26"/>
        </w:rPr>
        <w:t xml:space="preserve"> in the regular</w:t>
      </w:r>
      <w:r w:rsidR="004A5AEE">
        <w:rPr>
          <w:szCs w:val="26"/>
        </w:rPr>
        <w:t xml:space="preserve"> course of his employment</w:t>
      </w:r>
      <w:r w:rsidR="00E57778">
        <w:rPr>
          <w:szCs w:val="26"/>
        </w:rPr>
        <w:t>, without disclosing</w:t>
      </w:r>
      <w:r w:rsidR="00155B33">
        <w:rPr>
          <w:szCs w:val="26"/>
        </w:rPr>
        <w:t xml:space="preserve"> that</w:t>
      </w:r>
      <w:r w:rsidR="004A5AEE">
        <w:rPr>
          <w:szCs w:val="26"/>
        </w:rPr>
        <w:t xml:space="preserve"> he was being</w:t>
      </w:r>
      <w:r w:rsidR="007C4FA7">
        <w:rPr>
          <w:szCs w:val="26"/>
        </w:rPr>
        <w:t xml:space="preserve"> subject</w:t>
      </w:r>
      <w:r w:rsidR="004A5AEE">
        <w:rPr>
          <w:szCs w:val="26"/>
        </w:rPr>
        <w:t>ed</w:t>
      </w:r>
      <w:r w:rsidR="007C4FA7">
        <w:rPr>
          <w:szCs w:val="26"/>
        </w:rPr>
        <w:t xml:space="preserve"> to sexual harassment and assaul</w:t>
      </w:r>
      <w:r w:rsidR="003E12FB">
        <w:rPr>
          <w:szCs w:val="26"/>
        </w:rPr>
        <w:t>t</w:t>
      </w:r>
      <w:r w:rsidR="00796C41">
        <w:rPr>
          <w:szCs w:val="26"/>
        </w:rPr>
        <w:t xml:space="preserve">.  </w:t>
      </w:r>
      <w:r w:rsidR="001B3567">
        <w:rPr>
          <w:szCs w:val="26"/>
        </w:rPr>
        <w:t>Congress subsequently enacted the</w:t>
      </w:r>
      <w:r w:rsidR="008300DC">
        <w:rPr>
          <w:szCs w:val="26"/>
        </w:rPr>
        <w:t xml:space="preserve"> </w:t>
      </w:r>
      <w:r w:rsidR="001754E5">
        <w:rPr>
          <w:szCs w:val="26"/>
        </w:rPr>
        <w:t>Ending</w:t>
      </w:r>
      <w:r w:rsidR="00E9208F">
        <w:rPr>
          <w:szCs w:val="26"/>
        </w:rPr>
        <w:t xml:space="preserve"> Forced Arbitration of Sexual Assault and Sexual Harassment Act (</w:t>
      </w:r>
      <w:r w:rsidR="00E53113">
        <w:rPr>
          <w:szCs w:val="26"/>
        </w:rPr>
        <w:t xml:space="preserve">the Act; </w:t>
      </w:r>
      <w:r w:rsidR="00E9208F">
        <w:rPr>
          <w:szCs w:val="26"/>
        </w:rPr>
        <w:t xml:space="preserve">9 U.S.C. </w:t>
      </w:r>
      <w:r w:rsidR="00136087">
        <w:rPr>
          <w:szCs w:val="26"/>
        </w:rPr>
        <w:t>§</w:t>
      </w:r>
      <w:r w:rsidR="005544BF">
        <w:rPr>
          <w:szCs w:val="26"/>
        </w:rPr>
        <w:t xml:space="preserve">§ 401, </w:t>
      </w:r>
      <w:r w:rsidR="00A817B9">
        <w:rPr>
          <w:szCs w:val="26"/>
        </w:rPr>
        <w:t>402)</w:t>
      </w:r>
      <w:r w:rsidR="006F30C4">
        <w:rPr>
          <w:szCs w:val="26"/>
        </w:rPr>
        <w:t xml:space="preserve">, </w:t>
      </w:r>
      <w:r w:rsidR="005544BF">
        <w:rPr>
          <w:szCs w:val="26"/>
        </w:rPr>
        <w:t xml:space="preserve">which </w:t>
      </w:r>
      <w:r w:rsidR="009101B8">
        <w:rPr>
          <w:szCs w:val="26"/>
        </w:rPr>
        <w:t>invalidates</w:t>
      </w:r>
      <w:r w:rsidR="005544BF">
        <w:rPr>
          <w:szCs w:val="26"/>
        </w:rPr>
        <w:t xml:space="preserve"> predispute arbitration </w:t>
      </w:r>
      <w:r w:rsidR="006D36D9">
        <w:rPr>
          <w:szCs w:val="26"/>
        </w:rPr>
        <w:t>agreements</w:t>
      </w:r>
      <w:r w:rsidR="006D14D5">
        <w:rPr>
          <w:szCs w:val="26"/>
        </w:rPr>
        <w:t xml:space="preserve"> </w:t>
      </w:r>
      <w:r w:rsidR="005544BF">
        <w:rPr>
          <w:szCs w:val="26"/>
        </w:rPr>
        <w:t xml:space="preserve">in certain </w:t>
      </w:r>
      <w:r w:rsidR="00F06EEA">
        <w:rPr>
          <w:szCs w:val="26"/>
        </w:rPr>
        <w:t>circumstances</w:t>
      </w:r>
      <w:r w:rsidR="00995E54">
        <w:rPr>
          <w:szCs w:val="26"/>
        </w:rPr>
        <w:t xml:space="preserve">.  </w:t>
      </w:r>
      <w:r w:rsidR="009E2CE4">
        <w:rPr>
          <w:szCs w:val="26"/>
        </w:rPr>
        <w:t xml:space="preserve">Following </w:t>
      </w:r>
      <w:r w:rsidR="00995E54">
        <w:rPr>
          <w:szCs w:val="26"/>
        </w:rPr>
        <w:t xml:space="preserve">the effective date of the Act, </w:t>
      </w:r>
      <w:r w:rsidR="00716BBB">
        <w:rPr>
          <w:szCs w:val="26"/>
        </w:rPr>
        <w:t xml:space="preserve">the employee </w:t>
      </w:r>
      <w:r w:rsidR="004A5AEE">
        <w:rPr>
          <w:szCs w:val="26"/>
        </w:rPr>
        <w:t>sued</w:t>
      </w:r>
      <w:r w:rsidR="00716BBB">
        <w:rPr>
          <w:szCs w:val="26"/>
        </w:rPr>
        <w:t xml:space="preserve"> the employer and </w:t>
      </w:r>
      <w:r w:rsidR="00E23FD8">
        <w:rPr>
          <w:szCs w:val="26"/>
        </w:rPr>
        <w:t>other</w:t>
      </w:r>
      <w:r w:rsidR="00716BBB">
        <w:rPr>
          <w:szCs w:val="26"/>
        </w:rPr>
        <w:t xml:space="preserve"> defendants </w:t>
      </w:r>
      <w:r w:rsidR="00B012CE">
        <w:rPr>
          <w:szCs w:val="26"/>
        </w:rPr>
        <w:t>for claims arising from</w:t>
      </w:r>
      <w:r w:rsidR="00716BBB">
        <w:rPr>
          <w:szCs w:val="26"/>
        </w:rPr>
        <w:t xml:space="preserve"> the </w:t>
      </w:r>
      <w:r w:rsidR="0072494F">
        <w:rPr>
          <w:szCs w:val="26"/>
        </w:rPr>
        <w:t>alleged</w:t>
      </w:r>
      <w:r w:rsidR="007F0A63">
        <w:rPr>
          <w:szCs w:val="26"/>
        </w:rPr>
        <w:t xml:space="preserve"> sexual </w:t>
      </w:r>
      <w:r w:rsidR="00716BBB">
        <w:rPr>
          <w:szCs w:val="26"/>
        </w:rPr>
        <w:t>conduct</w:t>
      </w:r>
      <w:r w:rsidR="006F30C4">
        <w:rPr>
          <w:szCs w:val="26"/>
        </w:rPr>
        <w:t xml:space="preserve">.  </w:t>
      </w:r>
      <w:r w:rsidR="0083062F">
        <w:rPr>
          <w:szCs w:val="26"/>
        </w:rPr>
        <w:t>The d</w:t>
      </w:r>
      <w:r w:rsidR="00716BBB">
        <w:rPr>
          <w:szCs w:val="26"/>
        </w:rPr>
        <w:t>efendants</w:t>
      </w:r>
      <w:r w:rsidR="00E87B39">
        <w:rPr>
          <w:szCs w:val="26"/>
        </w:rPr>
        <w:t xml:space="preserve"> </w:t>
      </w:r>
      <w:r w:rsidR="004A5AEE">
        <w:rPr>
          <w:szCs w:val="26"/>
        </w:rPr>
        <w:t xml:space="preserve">filed a </w:t>
      </w:r>
      <w:r w:rsidR="00E87B39">
        <w:rPr>
          <w:szCs w:val="26"/>
        </w:rPr>
        <w:t>motion to compel arbitration</w:t>
      </w:r>
      <w:r w:rsidR="004A5AEE">
        <w:rPr>
          <w:szCs w:val="26"/>
        </w:rPr>
        <w:t>, which the trial court denied</w:t>
      </w:r>
      <w:r w:rsidR="004038DE">
        <w:rPr>
          <w:szCs w:val="26"/>
        </w:rPr>
        <w:t xml:space="preserve"> based on the Act</w:t>
      </w:r>
      <w:r w:rsidR="00E87B39">
        <w:rPr>
          <w:szCs w:val="26"/>
        </w:rPr>
        <w:t>.  On appeal</w:t>
      </w:r>
      <w:r w:rsidR="007F0A63">
        <w:rPr>
          <w:szCs w:val="26"/>
        </w:rPr>
        <w:t>,</w:t>
      </w:r>
      <w:r w:rsidR="00E87B39">
        <w:rPr>
          <w:szCs w:val="26"/>
        </w:rPr>
        <w:t xml:space="preserve"> the </w:t>
      </w:r>
      <w:r w:rsidR="00716BBB">
        <w:rPr>
          <w:szCs w:val="26"/>
        </w:rPr>
        <w:t xml:space="preserve">defendants </w:t>
      </w:r>
      <w:r w:rsidR="00E87B39">
        <w:rPr>
          <w:szCs w:val="26"/>
        </w:rPr>
        <w:t>contend</w:t>
      </w:r>
      <w:r w:rsidR="00AC0094">
        <w:rPr>
          <w:szCs w:val="26"/>
        </w:rPr>
        <w:t xml:space="preserve"> the</w:t>
      </w:r>
      <w:r w:rsidR="004A5AEE">
        <w:rPr>
          <w:szCs w:val="26"/>
        </w:rPr>
        <w:t xml:space="preserve"> Act does not invalidate the arbitration agreement </w:t>
      </w:r>
      <w:r w:rsidR="00FF4CAF">
        <w:rPr>
          <w:szCs w:val="26"/>
        </w:rPr>
        <w:t>in this case</w:t>
      </w:r>
      <w:r w:rsidR="004A5AEE">
        <w:rPr>
          <w:szCs w:val="26"/>
        </w:rPr>
        <w:t xml:space="preserve"> because the</w:t>
      </w:r>
      <w:r w:rsidR="00AC0094">
        <w:rPr>
          <w:szCs w:val="26"/>
        </w:rPr>
        <w:t xml:space="preserve"> </w:t>
      </w:r>
      <w:r w:rsidR="00967567">
        <w:rPr>
          <w:szCs w:val="26"/>
        </w:rPr>
        <w:t xml:space="preserve">alleged sexual </w:t>
      </w:r>
      <w:r w:rsidR="00AC0094">
        <w:rPr>
          <w:szCs w:val="26"/>
        </w:rPr>
        <w:t xml:space="preserve">conduct </w:t>
      </w:r>
      <w:r w:rsidR="00967567">
        <w:rPr>
          <w:szCs w:val="26"/>
        </w:rPr>
        <w:t>constituted</w:t>
      </w:r>
      <w:r w:rsidR="00AC0094">
        <w:rPr>
          <w:szCs w:val="26"/>
        </w:rPr>
        <w:t xml:space="preserve"> a “dispute</w:t>
      </w:r>
      <w:r w:rsidR="0053245C">
        <w:rPr>
          <w:szCs w:val="26"/>
        </w:rPr>
        <w:t>,</w:t>
      </w:r>
      <w:r w:rsidR="00AC0094">
        <w:rPr>
          <w:szCs w:val="26"/>
        </w:rPr>
        <w:t>”</w:t>
      </w:r>
      <w:r w:rsidR="00BE5649">
        <w:rPr>
          <w:szCs w:val="26"/>
        </w:rPr>
        <w:t xml:space="preserve"> </w:t>
      </w:r>
      <w:r w:rsidR="0053245C">
        <w:rPr>
          <w:szCs w:val="26"/>
        </w:rPr>
        <w:t>which</w:t>
      </w:r>
      <w:r w:rsidR="006B6A38">
        <w:rPr>
          <w:szCs w:val="26"/>
        </w:rPr>
        <w:t xml:space="preserve"> </w:t>
      </w:r>
      <w:r w:rsidR="00501094">
        <w:rPr>
          <w:szCs w:val="26"/>
        </w:rPr>
        <w:t>pre</w:t>
      </w:r>
      <w:r w:rsidR="00716BBB">
        <w:rPr>
          <w:szCs w:val="26"/>
        </w:rPr>
        <w:t xml:space="preserve">existed </w:t>
      </w:r>
      <w:r w:rsidR="00F31990">
        <w:rPr>
          <w:szCs w:val="26"/>
        </w:rPr>
        <w:t>the</w:t>
      </w:r>
      <w:r w:rsidR="004A5AEE">
        <w:rPr>
          <w:szCs w:val="26"/>
        </w:rPr>
        <w:t xml:space="preserve"> </w:t>
      </w:r>
      <w:r w:rsidR="00A646C9">
        <w:rPr>
          <w:szCs w:val="26"/>
        </w:rPr>
        <w:t xml:space="preserve">parties’ </w:t>
      </w:r>
      <w:r w:rsidR="00651620">
        <w:rPr>
          <w:szCs w:val="26"/>
        </w:rPr>
        <w:t>arbitration agreement</w:t>
      </w:r>
      <w:r w:rsidR="00A15FE8">
        <w:rPr>
          <w:szCs w:val="26"/>
        </w:rPr>
        <w:t xml:space="preserve"> </w:t>
      </w:r>
      <w:r w:rsidR="00651620">
        <w:rPr>
          <w:szCs w:val="26"/>
        </w:rPr>
        <w:t xml:space="preserve">and the </w:t>
      </w:r>
      <w:r w:rsidR="00985521">
        <w:rPr>
          <w:szCs w:val="26"/>
        </w:rPr>
        <w:t>effective date of the Act</w:t>
      </w:r>
      <w:r w:rsidR="00123A9C">
        <w:rPr>
          <w:szCs w:val="26"/>
        </w:rPr>
        <w:t>.</w:t>
      </w:r>
      <w:r w:rsidR="00985521">
        <w:rPr>
          <w:szCs w:val="26"/>
        </w:rPr>
        <w:t xml:space="preserve">  </w:t>
      </w:r>
      <w:r w:rsidR="00123A9C">
        <w:rPr>
          <w:szCs w:val="26"/>
        </w:rPr>
        <w:t xml:space="preserve">We conclude </w:t>
      </w:r>
      <w:r w:rsidR="00222BBA">
        <w:rPr>
          <w:szCs w:val="26"/>
        </w:rPr>
        <w:t xml:space="preserve">the </w:t>
      </w:r>
      <w:r w:rsidR="000A5B29">
        <w:rPr>
          <w:szCs w:val="26"/>
        </w:rPr>
        <w:t xml:space="preserve">date that a dispute </w:t>
      </w:r>
      <w:r w:rsidR="007251E5">
        <w:rPr>
          <w:szCs w:val="26"/>
        </w:rPr>
        <w:t>has arisen</w:t>
      </w:r>
      <w:r w:rsidR="000A5B29">
        <w:rPr>
          <w:szCs w:val="26"/>
        </w:rPr>
        <w:t xml:space="preserve"> </w:t>
      </w:r>
      <w:r w:rsidR="00777096">
        <w:rPr>
          <w:szCs w:val="26"/>
        </w:rPr>
        <w:t xml:space="preserve">for purposes of the Act </w:t>
      </w:r>
      <w:r w:rsidR="00602709">
        <w:rPr>
          <w:szCs w:val="26"/>
        </w:rPr>
        <w:t>depends</w:t>
      </w:r>
      <w:r w:rsidR="00A21BF2">
        <w:rPr>
          <w:szCs w:val="26"/>
        </w:rPr>
        <w:t xml:space="preserve"> on the unique facts of </w:t>
      </w:r>
      <w:r w:rsidR="00FD6602">
        <w:rPr>
          <w:szCs w:val="26"/>
        </w:rPr>
        <w:t>each</w:t>
      </w:r>
      <w:r w:rsidR="00A21BF2">
        <w:rPr>
          <w:szCs w:val="26"/>
        </w:rPr>
        <w:t xml:space="preserve"> case, but </w:t>
      </w:r>
      <w:r w:rsidR="0093655D">
        <w:rPr>
          <w:szCs w:val="26"/>
        </w:rPr>
        <w:t xml:space="preserve">a dispute </w:t>
      </w:r>
      <w:r w:rsidR="00E31170">
        <w:rPr>
          <w:szCs w:val="26"/>
        </w:rPr>
        <w:t xml:space="preserve">does not arise </w:t>
      </w:r>
      <w:r w:rsidR="007251E5">
        <w:rPr>
          <w:szCs w:val="26"/>
        </w:rPr>
        <w:t>merely from the</w:t>
      </w:r>
      <w:r w:rsidR="00E31170">
        <w:rPr>
          <w:szCs w:val="26"/>
        </w:rPr>
        <w:t xml:space="preserve"> fact of injury</w:t>
      </w:r>
      <w:r w:rsidR="0093655D">
        <w:rPr>
          <w:szCs w:val="26"/>
        </w:rPr>
        <w:t xml:space="preserve">.  </w:t>
      </w:r>
      <w:r w:rsidR="005767C5">
        <w:rPr>
          <w:szCs w:val="26"/>
        </w:rPr>
        <w:t>For</w:t>
      </w:r>
      <w:r w:rsidR="00E269A8">
        <w:rPr>
          <w:szCs w:val="26"/>
        </w:rPr>
        <w:t xml:space="preserve"> a dispute </w:t>
      </w:r>
      <w:r w:rsidR="005767C5">
        <w:rPr>
          <w:szCs w:val="26"/>
        </w:rPr>
        <w:t xml:space="preserve">to </w:t>
      </w:r>
      <w:r w:rsidR="006B1D66">
        <w:rPr>
          <w:szCs w:val="26"/>
        </w:rPr>
        <w:t>arise</w:t>
      </w:r>
      <w:r w:rsidR="00E269A8">
        <w:rPr>
          <w:szCs w:val="26"/>
        </w:rPr>
        <w:t xml:space="preserve">, </w:t>
      </w:r>
      <w:r w:rsidR="006B1D66">
        <w:rPr>
          <w:szCs w:val="26"/>
        </w:rPr>
        <w:t>a</w:t>
      </w:r>
      <w:r w:rsidR="00E269A8">
        <w:rPr>
          <w:szCs w:val="26"/>
        </w:rPr>
        <w:t xml:space="preserve"> party must </w:t>
      </w:r>
      <w:r w:rsidR="00195F90">
        <w:rPr>
          <w:szCs w:val="26"/>
        </w:rPr>
        <w:t>first assert</w:t>
      </w:r>
      <w:r w:rsidR="00E269A8">
        <w:rPr>
          <w:szCs w:val="26"/>
        </w:rPr>
        <w:t xml:space="preserve"> a right, claim, or demand</w:t>
      </w:r>
      <w:r w:rsidR="00646150">
        <w:rPr>
          <w:szCs w:val="26"/>
        </w:rPr>
        <w:t>.</w:t>
      </w:r>
      <w:r w:rsidR="00E269A8">
        <w:rPr>
          <w:szCs w:val="26"/>
        </w:rPr>
        <w:t xml:space="preserve"> </w:t>
      </w:r>
      <w:r w:rsidR="00116D94">
        <w:rPr>
          <w:szCs w:val="26"/>
        </w:rPr>
        <w:t xml:space="preserve"> </w:t>
      </w:r>
      <w:r w:rsidR="00956C94">
        <w:rPr>
          <w:szCs w:val="26"/>
        </w:rPr>
        <w:t xml:space="preserve">There </w:t>
      </w:r>
      <w:r w:rsidR="004A5AEE">
        <w:rPr>
          <w:szCs w:val="26"/>
        </w:rPr>
        <w:t xml:space="preserve">is </w:t>
      </w:r>
      <w:r w:rsidR="00956C94">
        <w:rPr>
          <w:szCs w:val="26"/>
        </w:rPr>
        <w:t xml:space="preserve">no evidence of </w:t>
      </w:r>
      <w:r w:rsidR="00753063">
        <w:rPr>
          <w:szCs w:val="26"/>
        </w:rPr>
        <w:t xml:space="preserve">a </w:t>
      </w:r>
      <w:r w:rsidR="00956C94">
        <w:rPr>
          <w:szCs w:val="26"/>
        </w:rPr>
        <w:t xml:space="preserve">disagreement </w:t>
      </w:r>
      <w:r w:rsidR="00186A74">
        <w:rPr>
          <w:szCs w:val="26"/>
        </w:rPr>
        <w:t xml:space="preserve">or controversy </w:t>
      </w:r>
      <w:r w:rsidR="001D28D8">
        <w:rPr>
          <w:szCs w:val="26"/>
        </w:rPr>
        <w:t xml:space="preserve">in this case </w:t>
      </w:r>
      <w:r w:rsidR="00956C94">
        <w:rPr>
          <w:szCs w:val="26"/>
        </w:rPr>
        <w:t xml:space="preserve">until </w:t>
      </w:r>
      <w:r w:rsidR="00186A74">
        <w:rPr>
          <w:szCs w:val="26"/>
        </w:rPr>
        <w:t xml:space="preserve">after </w:t>
      </w:r>
      <w:r w:rsidR="00600BEA">
        <w:rPr>
          <w:szCs w:val="26"/>
        </w:rPr>
        <w:t>the</w:t>
      </w:r>
      <w:r w:rsidR="00186A74">
        <w:rPr>
          <w:szCs w:val="26"/>
        </w:rPr>
        <w:t xml:space="preserve"> </w:t>
      </w:r>
      <w:r w:rsidR="004A5AEE">
        <w:rPr>
          <w:szCs w:val="26"/>
        </w:rPr>
        <w:t xml:space="preserve">date of the </w:t>
      </w:r>
      <w:r w:rsidR="00186A74">
        <w:rPr>
          <w:szCs w:val="26"/>
        </w:rPr>
        <w:t xml:space="preserve">arbitration agreement and the effective date of the Act, when </w:t>
      </w:r>
      <w:r w:rsidR="00956C94">
        <w:rPr>
          <w:szCs w:val="26"/>
        </w:rPr>
        <w:t>the employee filed charges with the Department of Fair Employment and Housing (DFEH)</w:t>
      </w:r>
      <w:r w:rsidR="00AF6E03">
        <w:rPr>
          <w:szCs w:val="26"/>
        </w:rPr>
        <w:t xml:space="preserve"> in May</w:t>
      </w:r>
      <w:r w:rsidR="00553AA1">
        <w:rPr>
          <w:szCs w:val="26"/>
        </w:rPr>
        <w:t xml:space="preserve"> 2022.</w:t>
      </w:r>
      <w:r>
        <w:rPr>
          <w:rStyle w:val="FootnoteReference"/>
          <w:b/>
          <w:bCs/>
          <w:position w:val="8"/>
          <w:sz w:val="20"/>
          <w:szCs w:val="26"/>
          <w:vertAlign w:val="baseline"/>
        </w:rPr>
        <w:footnoteReference w:id="2"/>
      </w:r>
      <w:r w:rsidR="008211A6">
        <w:rPr>
          <w:szCs w:val="26"/>
        </w:rPr>
        <w:t xml:space="preserve"> </w:t>
      </w:r>
      <w:r w:rsidR="00186A74">
        <w:rPr>
          <w:szCs w:val="26"/>
        </w:rPr>
        <w:t xml:space="preserve"> Therefore, </w:t>
      </w:r>
      <w:r w:rsidR="007F0A98">
        <w:rPr>
          <w:szCs w:val="26"/>
        </w:rPr>
        <w:t>the</w:t>
      </w:r>
      <w:r w:rsidR="006D4015">
        <w:rPr>
          <w:szCs w:val="26"/>
        </w:rPr>
        <w:t xml:space="preserve"> predispute arbitration agreement is invalid, and the</w:t>
      </w:r>
      <w:r w:rsidR="007F0A98">
        <w:rPr>
          <w:szCs w:val="26"/>
        </w:rPr>
        <w:t xml:space="preserve"> order denying the motion to compel arbitration is affirmed.</w:t>
      </w:r>
    </w:p>
    <w:p w:rsidR="00E37A7C" w:rsidRPr="00DE08FB" w:rsidP="00433829" w14:paraId="756E7E6E" w14:textId="77777777">
      <w:pPr>
        <w:keepNext/>
        <w:rPr>
          <w:szCs w:val="26"/>
        </w:rPr>
      </w:pPr>
    </w:p>
    <w:p w:rsidR="00DE08FB" w:rsidRPr="0052483D" w:rsidP="00433829" w14:paraId="4918ABB2" w14:textId="5842A7C3">
      <w:pPr>
        <w:keepNext/>
        <w:jc w:val="center"/>
        <w:rPr>
          <w:b/>
          <w:bCs/>
          <w:szCs w:val="26"/>
        </w:rPr>
      </w:pPr>
      <w:r w:rsidRPr="0052483D">
        <w:rPr>
          <w:b/>
          <w:bCs/>
          <w:szCs w:val="26"/>
        </w:rPr>
        <w:t>FACT</w:t>
      </w:r>
      <w:r>
        <w:rPr>
          <w:b/>
          <w:bCs/>
          <w:szCs w:val="26"/>
        </w:rPr>
        <w:t>UAL</w:t>
      </w:r>
      <w:r w:rsidRPr="0052483D">
        <w:rPr>
          <w:b/>
          <w:bCs/>
          <w:szCs w:val="26"/>
        </w:rPr>
        <w:t xml:space="preserve"> </w:t>
      </w:r>
      <w:r w:rsidRPr="0052483D" w:rsidR="0052483D">
        <w:rPr>
          <w:b/>
          <w:bCs/>
          <w:szCs w:val="26"/>
        </w:rPr>
        <w:t>AND PROCEDURAL HISTORY</w:t>
      </w:r>
    </w:p>
    <w:p w:rsidR="000C7095" w:rsidP="00433829" w14:paraId="3D77CCCD" w14:textId="77777777">
      <w:pPr>
        <w:keepNext/>
        <w:rPr>
          <w:szCs w:val="26"/>
        </w:rPr>
      </w:pPr>
    </w:p>
    <w:p w:rsidR="00124EF3" w:rsidP="00433829" w14:paraId="7DC47AD0" w14:textId="483AA7B2">
      <w:pPr>
        <w:keepNext/>
        <w:rPr>
          <w:szCs w:val="26"/>
        </w:rPr>
      </w:pPr>
      <w:r>
        <w:rPr>
          <w:szCs w:val="26"/>
        </w:rPr>
        <w:tab/>
      </w:r>
      <w:r w:rsidR="00356B42">
        <w:rPr>
          <w:szCs w:val="26"/>
        </w:rPr>
        <w:t xml:space="preserve">Southern California Medical Center, Inc., </w:t>
      </w:r>
      <w:r w:rsidR="004811CA">
        <w:rPr>
          <w:szCs w:val="26"/>
        </w:rPr>
        <w:t xml:space="preserve">is a </w:t>
      </w:r>
      <w:r w:rsidR="00816E5A">
        <w:rPr>
          <w:szCs w:val="26"/>
        </w:rPr>
        <w:t>community clinic</w:t>
      </w:r>
      <w:r w:rsidR="004811CA">
        <w:rPr>
          <w:szCs w:val="26"/>
        </w:rPr>
        <w:t xml:space="preserve"> that </w:t>
      </w:r>
      <w:r w:rsidR="003777E2">
        <w:rPr>
          <w:szCs w:val="26"/>
        </w:rPr>
        <w:t>provides care to low income and medically uninsured</w:t>
      </w:r>
      <w:r w:rsidR="00FC5FFA">
        <w:rPr>
          <w:szCs w:val="26"/>
        </w:rPr>
        <w:t xml:space="preserve"> patients.  </w:t>
      </w:r>
      <w:r w:rsidR="00460817">
        <w:rPr>
          <w:szCs w:val="26"/>
        </w:rPr>
        <w:t xml:space="preserve">The Center’s chief medical officer is physician </w:t>
      </w:r>
      <w:r w:rsidR="00CF4148">
        <w:rPr>
          <w:szCs w:val="26"/>
        </w:rPr>
        <w:t>Mohammad Rasekhi</w:t>
      </w:r>
      <w:r w:rsidR="00655BE2">
        <w:rPr>
          <w:szCs w:val="26"/>
        </w:rPr>
        <w:t>.</w:t>
      </w:r>
      <w:r w:rsidR="00816E5A">
        <w:rPr>
          <w:szCs w:val="26"/>
        </w:rPr>
        <w:t xml:space="preserve">  </w:t>
      </w:r>
      <w:r w:rsidR="00460817">
        <w:rPr>
          <w:szCs w:val="26"/>
        </w:rPr>
        <w:t>In July 2016, the</w:t>
      </w:r>
      <w:r w:rsidR="00FC5FFA">
        <w:rPr>
          <w:szCs w:val="26"/>
        </w:rPr>
        <w:t xml:space="preserve"> Center </w:t>
      </w:r>
      <w:r w:rsidR="00356B42">
        <w:rPr>
          <w:szCs w:val="26"/>
        </w:rPr>
        <w:t>hired plaintiff and respondent Omar Kader</w:t>
      </w:r>
      <w:r w:rsidR="00FF7C40">
        <w:rPr>
          <w:szCs w:val="26"/>
        </w:rPr>
        <w:t xml:space="preserve"> </w:t>
      </w:r>
      <w:r w:rsidR="00FC5FFA">
        <w:rPr>
          <w:szCs w:val="26"/>
        </w:rPr>
        <w:t>to serve as</w:t>
      </w:r>
      <w:r w:rsidR="00FF7C40">
        <w:rPr>
          <w:szCs w:val="26"/>
        </w:rPr>
        <w:t xml:space="preserve"> </w:t>
      </w:r>
      <w:r w:rsidR="004B40E5">
        <w:rPr>
          <w:szCs w:val="26"/>
        </w:rPr>
        <w:t>the c</w:t>
      </w:r>
      <w:r w:rsidR="00FF7C40">
        <w:rPr>
          <w:szCs w:val="26"/>
        </w:rPr>
        <w:t xml:space="preserve">hief </w:t>
      </w:r>
      <w:r w:rsidR="004B40E5">
        <w:rPr>
          <w:szCs w:val="26"/>
        </w:rPr>
        <w:t>f</w:t>
      </w:r>
      <w:r w:rsidR="00FF7C40">
        <w:rPr>
          <w:szCs w:val="26"/>
        </w:rPr>
        <w:t xml:space="preserve">inancial </w:t>
      </w:r>
      <w:r w:rsidR="004B40E5">
        <w:rPr>
          <w:szCs w:val="26"/>
        </w:rPr>
        <w:t>o</w:t>
      </w:r>
      <w:r w:rsidR="00FF7C40">
        <w:rPr>
          <w:szCs w:val="26"/>
        </w:rPr>
        <w:t>fficer</w:t>
      </w:r>
      <w:r w:rsidR="0068735E">
        <w:rPr>
          <w:szCs w:val="26"/>
        </w:rPr>
        <w:t>.</w:t>
      </w:r>
      <w:r w:rsidRPr="00CC040B" w:rsidR="00CC040B">
        <w:rPr>
          <w:szCs w:val="26"/>
        </w:rPr>
        <w:t xml:space="preserve"> </w:t>
      </w:r>
      <w:bookmarkStart w:id="0" w:name="_Hlk150871308"/>
      <w:r w:rsidR="00AD3134">
        <w:rPr>
          <w:szCs w:val="26"/>
        </w:rPr>
        <w:t xml:space="preserve"> </w:t>
      </w:r>
      <w:bookmarkEnd w:id="0"/>
      <w:r w:rsidR="00B66DB2">
        <w:rPr>
          <w:szCs w:val="26"/>
        </w:rPr>
        <w:t xml:space="preserve">Approximately 18 months later, </w:t>
      </w:r>
      <w:r w:rsidR="00332689">
        <w:rPr>
          <w:szCs w:val="26"/>
        </w:rPr>
        <w:t xml:space="preserve">Kader became </w:t>
      </w:r>
      <w:r w:rsidR="004B40E5">
        <w:rPr>
          <w:szCs w:val="26"/>
        </w:rPr>
        <w:t>the c</w:t>
      </w:r>
      <w:r w:rsidR="00332689">
        <w:rPr>
          <w:szCs w:val="26"/>
        </w:rPr>
        <w:t xml:space="preserve">hief </w:t>
      </w:r>
      <w:r w:rsidR="004B40E5">
        <w:rPr>
          <w:szCs w:val="26"/>
        </w:rPr>
        <w:t>o</w:t>
      </w:r>
      <w:r w:rsidR="00332689">
        <w:rPr>
          <w:szCs w:val="26"/>
        </w:rPr>
        <w:t xml:space="preserve">perating </w:t>
      </w:r>
      <w:r w:rsidR="004B40E5">
        <w:rPr>
          <w:szCs w:val="26"/>
        </w:rPr>
        <w:t>o</w:t>
      </w:r>
      <w:r w:rsidR="00332689">
        <w:rPr>
          <w:szCs w:val="26"/>
        </w:rPr>
        <w:t>fficer</w:t>
      </w:r>
      <w:r w:rsidR="00894A47">
        <w:rPr>
          <w:szCs w:val="26"/>
        </w:rPr>
        <w:t>.</w:t>
      </w:r>
      <w:r w:rsidRPr="00894A47" w:rsidR="00894A47">
        <w:rPr>
          <w:szCs w:val="26"/>
        </w:rPr>
        <w:t xml:space="preserve"> </w:t>
      </w:r>
      <w:r w:rsidR="00145F9F">
        <w:rPr>
          <w:szCs w:val="26"/>
        </w:rPr>
        <w:t xml:space="preserve"> </w:t>
      </w:r>
      <w:r w:rsidR="006C3F7C">
        <w:rPr>
          <w:szCs w:val="26"/>
        </w:rPr>
        <w:t xml:space="preserve">In May 2018, Kader signed </w:t>
      </w:r>
      <w:r w:rsidR="00AA07EC">
        <w:rPr>
          <w:szCs w:val="26"/>
        </w:rPr>
        <w:t>his first</w:t>
      </w:r>
      <w:r w:rsidR="006C3F7C">
        <w:rPr>
          <w:szCs w:val="26"/>
        </w:rPr>
        <w:t xml:space="preserve"> </w:t>
      </w:r>
      <w:r w:rsidR="00E37A7C">
        <w:rPr>
          <w:szCs w:val="26"/>
        </w:rPr>
        <w:t>arbitration agreement</w:t>
      </w:r>
      <w:r w:rsidR="00AA07EC">
        <w:rPr>
          <w:szCs w:val="26"/>
        </w:rPr>
        <w:t>,</w:t>
      </w:r>
      <w:r w:rsidR="00145F9F">
        <w:rPr>
          <w:szCs w:val="26"/>
        </w:rPr>
        <w:t xml:space="preserve"> which is not at issue in this case</w:t>
      </w:r>
      <w:r w:rsidR="006152BD">
        <w:rPr>
          <w:szCs w:val="26"/>
        </w:rPr>
        <w:t>.</w:t>
      </w:r>
      <w:r w:rsidRPr="00C85BE1" w:rsidR="00C85BE1">
        <w:rPr>
          <w:szCs w:val="26"/>
        </w:rPr>
        <w:t xml:space="preserve"> </w:t>
      </w:r>
    </w:p>
    <w:p w:rsidR="008D2083" w:rsidP="00433829" w14:paraId="15AAE653" w14:textId="6AB9B178">
      <w:pPr>
        <w:rPr>
          <w:szCs w:val="26"/>
        </w:rPr>
      </w:pPr>
      <w:r>
        <w:rPr>
          <w:szCs w:val="26"/>
        </w:rPr>
        <w:tab/>
      </w:r>
      <w:r w:rsidR="00145F9F">
        <w:rPr>
          <w:szCs w:val="26"/>
        </w:rPr>
        <w:t xml:space="preserve">Kader </w:t>
      </w:r>
      <w:r w:rsidR="00696305">
        <w:rPr>
          <w:szCs w:val="26"/>
        </w:rPr>
        <w:t xml:space="preserve">has alleged </w:t>
      </w:r>
      <w:r w:rsidR="006D4015">
        <w:rPr>
          <w:szCs w:val="26"/>
        </w:rPr>
        <w:t xml:space="preserve">that in July 2018, </w:t>
      </w:r>
      <w:r>
        <w:rPr>
          <w:szCs w:val="26"/>
        </w:rPr>
        <w:t>Ra</w:t>
      </w:r>
      <w:r w:rsidR="00255AAB">
        <w:rPr>
          <w:szCs w:val="26"/>
        </w:rPr>
        <w:t xml:space="preserve">sekhi </w:t>
      </w:r>
      <w:r w:rsidR="00145F9F">
        <w:rPr>
          <w:szCs w:val="26"/>
        </w:rPr>
        <w:t>said</w:t>
      </w:r>
      <w:r w:rsidR="00255AAB">
        <w:rPr>
          <w:szCs w:val="26"/>
        </w:rPr>
        <w:t xml:space="preserve"> </w:t>
      </w:r>
      <w:r w:rsidR="00E9560F">
        <w:rPr>
          <w:szCs w:val="26"/>
        </w:rPr>
        <w:t xml:space="preserve">Kader </w:t>
      </w:r>
      <w:r w:rsidR="00255AAB">
        <w:rPr>
          <w:szCs w:val="26"/>
        </w:rPr>
        <w:t xml:space="preserve">had a pretty face, was a </w:t>
      </w:r>
      <w:r w:rsidR="00460817">
        <w:rPr>
          <w:szCs w:val="26"/>
        </w:rPr>
        <w:t>good-looking</w:t>
      </w:r>
      <w:r w:rsidR="00255AAB">
        <w:rPr>
          <w:szCs w:val="26"/>
        </w:rPr>
        <w:t xml:space="preserve"> man, and his slacks were nice and tight</w:t>
      </w:r>
      <w:r w:rsidR="00D108AF">
        <w:rPr>
          <w:szCs w:val="26"/>
        </w:rPr>
        <w:t>.</w:t>
      </w:r>
      <w:r w:rsidRPr="00D108AF" w:rsidR="00D108AF">
        <w:rPr>
          <w:szCs w:val="26"/>
        </w:rPr>
        <w:t xml:space="preserve"> </w:t>
      </w:r>
      <w:r w:rsidR="00D108AF">
        <w:rPr>
          <w:szCs w:val="26"/>
        </w:rPr>
        <w:t xml:space="preserve"> </w:t>
      </w:r>
      <w:r w:rsidR="002650D5">
        <w:rPr>
          <w:szCs w:val="26"/>
        </w:rPr>
        <w:t>Rasekhi asked if Kader watched porn</w:t>
      </w:r>
      <w:r w:rsidR="00220B68">
        <w:rPr>
          <w:szCs w:val="26"/>
        </w:rPr>
        <w:t xml:space="preserve"> and</w:t>
      </w:r>
      <w:r w:rsidR="002650D5">
        <w:rPr>
          <w:szCs w:val="26"/>
        </w:rPr>
        <w:t xml:space="preserve"> talked about guys playing with each other at the gym steam room</w:t>
      </w:r>
      <w:r w:rsidR="00220B68">
        <w:rPr>
          <w:szCs w:val="26"/>
        </w:rPr>
        <w:t>.</w:t>
      </w:r>
      <w:r w:rsidR="002650D5">
        <w:rPr>
          <w:szCs w:val="26"/>
        </w:rPr>
        <w:t xml:space="preserve"> </w:t>
      </w:r>
      <w:r w:rsidR="00986533">
        <w:rPr>
          <w:szCs w:val="26"/>
        </w:rPr>
        <w:t xml:space="preserve"> He </w:t>
      </w:r>
      <w:r w:rsidR="002650D5">
        <w:rPr>
          <w:szCs w:val="26"/>
        </w:rPr>
        <w:t>stared at Kader’s buttocks while wetting his lips with his tongue.</w:t>
      </w:r>
      <w:r w:rsidRPr="00CE39A1" w:rsidR="00CE39A1">
        <w:rPr>
          <w:szCs w:val="26"/>
        </w:rPr>
        <w:t xml:space="preserve"> </w:t>
      </w:r>
    </w:p>
    <w:p w:rsidR="00280EF3" w:rsidP="00433829" w14:paraId="0568C254" w14:textId="364DCC72">
      <w:pPr>
        <w:rPr>
          <w:szCs w:val="26"/>
        </w:rPr>
      </w:pPr>
      <w:r>
        <w:rPr>
          <w:szCs w:val="26"/>
        </w:rPr>
        <w:tab/>
      </w:r>
      <w:r w:rsidR="00460817">
        <w:rPr>
          <w:szCs w:val="26"/>
        </w:rPr>
        <w:t>On</w:t>
      </w:r>
      <w:r>
        <w:rPr>
          <w:szCs w:val="26"/>
        </w:rPr>
        <w:t xml:space="preserve"> November 18, 2018, Rasekhi </w:t>
      </w:r>
      <w:r w:rsidR="00460817">
        <w:rPr>
          <w:szCs w:val="26"/>
        </w:rPr>
        <w:t xml:space="preserve">allegedly </w:t>
      </w:r>
      <w:r>
        <w:rPr>
          <w:szCs w:val="26"/>
        </w:rPr>
        <w:t xml:space="preserve">forced </w:t>
      </w:r>
      <w:r w:rsidR="00460817">
        <w:rPr>
          <w:szCs w:val="26"/>
        </w:rPr>
        <w:t>Kader</w:t>
      </w:r>
      <w:r w:rsidR="00034A3F">
        <w:rPr>
          <w:szCs w:val="26"/>
        </w:rPr>
        <w:t xml:space="preserve"> to perform oral sex</w:t>
      </w:r>
      <w:r w:rsidR="008E16A5">
        <w:rPr>
          <w:szCs w:val="26"/>
        </w:rPr>
        <w:t>, and on</w:t>
      </w:r>
      <w:r w:rsidR="00034A3F">
        <w:rPr>
          <w:szCs w:val="26"/>
        </w:rPr>
        <w:t xml:space="preserve"> April 17, 2019, </w:t>
      </w:r>
      <w:r w:rsidR="00933CD4">
        <w:rPr>
          <w:szCs w:val="26"/>
        </w:rPr>
        <w:t>forced him to touch Rasekhi’s gen</w:t>
      </w:r>
      <w:r w:rsidR="00FF5683">
        <w:rPr>
          <w:szCs w:val="26"/>
        </w:rPr>
        <w:t>itals and perform oral sex</w:t>
      </w:r>
      <w:r w:rsidR="00034A3F">
        <w:rPr>
          <w:szCs w:val="26"/>
        </w:rPr>
        <w:t>.</w:t>
      </w:r>
      <w:r w:rsidR="00CE39A1">
        <w:rPr>
          <w:szCs w:val="26"/>
        </w:rPr>
        <w:t xml:space="preserve">  </w:t>
      </w:r>
      <w:bookmarkStart w:id="1" w:name="_Hlk152149904"/>
      <w:r w:rsidR="00CE39A1">
        <w:rPr>
          <w:szCs w:val="26"/>
        </w:rPr>
        <w:t>Rasekhi</w:t>
      </w:r>
      <w:bookmarkEnd w:id="1"/>
      <w:r w:rsidR="0005352F">
        <w:rPr>
          <w:szCs w:val="26"/>
        </w:rPr>
        <w:t xml:space="preserve"> </w:t>
      </w:r>
      <w:r w:rsidR="00CE39A1">
        <w:rPr>
          <w:szCs w:val="26"/>
        </w:rPr>
        <w:t xml:space="preserve">threatened to fire </w:t>
      </w:r>
      <w:r w:rsidR="00FF5683">
        <w:rPr>
          <w:szCs w:val="26"/>
        </w:rPr>
        <w:t>Kader</w:t>
      </w:r>
      <w:r w:rsidR="00CE39A1">
        <w:rPr>
          <w:szCs w:val="26"/>
        </w:rPr>
        <w:t xml:space="preserve"> if he </w:t>
      </w:r>
      <w:r w:rsidR="00F8599B">
        <w:rPr>
          <w:szCs w:val="26"/>
        </w:rPr>
        <w:t xml:space="preserve">revealed </w:t>
      </w:r>
      <w:r w:rsidR="00CE39A1">
        <w:rPr>
          <w:szCs w:val="26"/>
        </w:rPr>
        <w:t>the incidents</w:t>
      </w:r>
      <w:r w:rsidR="00F8599B">
        <w:rPr>
          <w:szCs w:val="26"/>
        </w:rPr>
        <w:t xml:space="preserve"> to anyone</w:t>
      </w:r>
      <w:r w:rsidR="00CE39A1">
        <w:rPr>
          <w:szCs w:val="26"/>
        </w:rPr>
        <w:t>.</w:t>
      </w:r>
      <w:r w:rsidRPr="00880DFF" w:rsidR="00880DFF">
        <w:rPr>
          <w:szCs w:val="26"/>
        </w:rPr>
        <w:t xml:space="preserve"> </w:t>
      </w:r>
      <w:r w:rsidR="00986225">
        <w:rPr>
          <w:szCs w:val="26"/>
        </w:rPr>
        <w:t xml:space="preserve"> Kader</w:t>
      </w:r>
      <w:r w:rsidR="00AC0BE6">
        <w:rPr>
          <w:szCs w:val="26"/>
        </w:rPr>
        <w:t xml:space="preserve"> kept the incidents to himself out of shame and fear of losing his job.</w:t>
      </w:r>
      <w:r w:rsidRPr="00AC0BE6" w:rsidR="00AC0BE6">
        <w:rPr>
          <w:szCs w:val="26"/>
        </w:rPr>
        <w:t xml:space="preserve"> </w:t>
      </w:r>
    </w:p>
    <w:p w:rsidR="00003E5B" w:rsidP="00433829" w14:paraId="58911A40" w14:textId="5459A5C7">
      <w:pPr>
        <w:rPr>
          <w:szCs w:val="26"/>
        </w:rPr>
      </w:pPr>
      <w:r>
        <w:rPr>
          <w:szCs w:val="26"/>
        </w:rPr>
        <w:tab/>
        <w:t>On June 25, 2019, Kader signed</w:t>
      </w:r>
      <w:r w:rsidR="00A825A2">
        <w:rPr>
          <w:szCs w:val="26"/>
        </w:rPr>
        <w:t xml:space="preserve"> a new arbitration agreement agreeing to arbitrate “employment disputes”</w:t>
      </w:r>
      <w:r w:rsidR="002724D2">
        <w:rPr>
          <w:szCs w:val="26"/>
        </w:rPr>
        <w:t xml:space="preserve"> with the Center, </w:t>
      </w:r>
      <w:r w:rsidR="00145F9F">
        <w:rPr>
          <w:szCs w:val="26"/>
        </w:rPr>
        <w:t xml:space="preserve">the </w:t>
      </w:r>
      <w:r w:rsidR="002724D2">
        <w:rPr>
          <w:szCs w:val="26"/>
        </w:rPr>
        <w:t xml:space="preserve">human resources provider Modern HR, Inc., or any of their </w:t>
      </w:r>
      <w:r w:rsidR="00FC16EC">
        <w:rPr>
          <w:szCs w:val="26"/>
        </w:rPr>
        <w:t xml:space="preserve">respective </w:t>
      </w:r>
      <w:r w:rsidR="002724D2">
        <w:rPr>
          <w:szCs w:val="26"/>
        </w:rPr>
        <w:t>employees or officers.</w:t>
      </w:r>
      <w:r w:rsidRPr="002724D2" w:rsidR="002724D2">
        <w:rPr>
          <w:szCs w:val="26"/>
        </w:rPr>
        <w:t xml:space="preserve"> </w:t>
      </w:r>
      <w:r w:rsidR="002F72ED">
        <w:rPr>
          <w:szCs w:val="26"/>
        </w:rPr>
        <w:t xml:space="preserve"> </w:t>
      </w:r>
      <w:r w:rsidR="008A23E8">
        <w:rPr>
          <w:szCs w:val="26"/>
        </w:rPr>
        <w:t>The parties agreed that</w:t>
      </w:r>
      <w:r w:rsidR="0020603A">
        <w:rPr>
          <w:szCs w:val="26"/>
        </w:rPr>
        <w:t xml:space="preserve"> any arbitration would be governed by the Federal Arbitration Act (</w:t>
      </w:r>
      <w:r w:rsidR="00CD04CE">
        <w:rPr>
          <w:szCs w:val="26"/>
        </w:rPr>
        <w:t xml:space="preserve">FAA; </w:t>
      </w:r>
      <w:r w:rsidR="0020603A">
        <w:rPr>
          <w:szCs w:val="26"/>
        </w:rPr>
        <w:t>9 U.S.C., §§ 1</w:t>
      </w:r>
      <w:r w:rsidR="00BC2386">
        <w:rPr>
          <w:szCs w:val="26"/>
        </w:rPr>
        <w:t>–</w:t>
      </w:r>
      <w:r w:rsidR="0020603A">
        <w:rPr>
          <w:szCs w:val="26"/>
        </w:rPr>
        <w:t xml:space="preserve">16).  </w:t>
      </w:r>
      <w:r w:rsidR="00690977">
        <w:rPr>
          <w:szCs w:val="26"/>
        </w:rPr>
        <w:t>The agreement provided that if</w:t>
      </w:r>
      <w:r w:rsidR="00526217">
        <w:rPr>
          <w:szCs w:val="26"/>
        </w:rPr>
        <w:t xml:space="preserve"> Kader </w:t>
      </w:r>
      <w:r w:rsidR="00461671">
        <w:rPr>
          <w:szCs w:val="26"/>
        </w:rPr>
        <w:t xml:space="preserve">filed a lawsuit containing claims that were subject to arbitration and claims that were not subject to arbitration, </w:t>
      </w:r>
      <w:r w:rsidR="00526217">
        <w:rPr>
          <w:szCs w:val="26"/>
        </w:rPr>
        <w:t xml:space="preserve">the arbitrable claims </w:t>
      </w:r>
      <w:r w:rsidR="00690977">
        <w:rPr>
          <w:szCs w:val="26"/>
        </w:rPr>
        <w:t>would</w:t>
      </w:r>
      <w:r w:rsidR="00526217">
        <w:rPr>
          <w:szCs w:val="26"/>
        </w:rPr>
        <w:t xml:space="preserve"> be resolved </w:t>
      </w:r>
      <w:r w:rsidR="00754577">
        <w:rPr>
          <w:szCs w:val="26"/>
        </w:rPr>
        <w:t>before the</w:t>
      </w:r>
      <w:r w:rsidR="00E05A2F">
        <w:rPr>
          <w:szCs w:val="26"/>
        </w:rPr>
        <w:t xml:space="preserve"> nonarbitrable claims</w:t>
      </w:r>
      <w:r w:rsidR="001216EC">
        <w:rPr>
          <w:szCs w:val="26"/>
        </w:rPr>
        <w:t>.</w:t>
      </w:r>
      <w:r w:rsidRPr="001216EC" w:rsidR="001216EC">
        <w:rPr>
          <w:szCs w:val="26"/>
        </w:rPr>
        <w:t xml:space="preserve"> </w:t>
      </w:r>
    </w:p>
    <w:p w:rsidR="00EC466D" w:rsidP="00433829" w14:paraId="76CED241" w14:textId="6C88101E">
      <w:pPr>
        <w:rPr>
          <w:szCs w:val="26"/>
        </w:rPr>
      </w:pPr>
      <w:r>
        <w:rPr>
          <w:szCs w:val="26"/>
        </w:rPr>
        <w:tab/>
      </w:r>
      <w:r w:rsidR="00007282">
        <w:rPr>
          <w:szCs w:val="26"/>
        </w:rPr>
        <w:t>E</w:t>
      </w:r>
      <w:r w:rsidR="00460817">
        <w:rPr>
          <w:szCs w:val="26"/>
        </w:rPr>
        <w:t>ight</w:t>
      </w:r>
      <w:r>
        <w:rPr>
          <w:szCs w:val="26"/>
        </w:rPr>
        <w:t xml:space="preserve"> </w:t>
      </w:r>
      <w:r w:rsidR="00BC6C5D">
        <w:rPr>
          <w:szCs w:val="26"/>
        </w:rPr>
        <w:t>subsequent</w:t>
      </w:r>
      <w:r w:rsidR="00F85DCC">
        <w:rPr>
          <w:szCs w:val="26"/>
        </w:rPr>
        <w:t xml:space="preserve"> </w:t>
      </w:r>
      <w:r w:rsidR="00145F9F">
        <w:rPr>
          <w:szCs w:val="26"/>
        </w:rPr>
        <w:t>incidents</w:t>
      </w:r>
      <w:r>
        <w:rPr>
          <w:szCs w:val="26"/>
        </w:rPr>
        <w:t xml:space="preserve"> of sexual harassment and sexual assault </w:t>
      </w:r>
      <w:r w:rsidR="001F1474">
        <w:rPr>
          <w:szCs w:val="26"/>
        </w:rPr>
        <w:t xml:space="preserve">allegedly </w:t>
      </w:r>
      <w:r w:rsidR="00007282">
        <w:rPr>
          <w:szCs w:val="26"/>
        </w:rPr>
        <w:t>took place between</w:t>
      </w:r>
      <w:r w:rsidR="00611E63">
        <w:rPr>
          <w:szCs w:val="26"/>
        </w:rPr>
        <w:t xml:space="preserve"> September 2019</w:t>
      </w:r>
      <w:r w:rsidR="006B654C">
        <w:rPr>
          <w:szCs w:val="26"/>
        </w:rPr>
        <w:t xml:space="preserve"> and </w:t>
      </w:r>
      <w:r w:rsidR="00601634">
        <w:rPr>
          <w:szCs w:val="26"/>
        </w:rPr>
        <w:t>February 28, 20</w:t>
      </w:r>
      <w:r w:rsidR="006B654C">
        <w:rPr>
          <w:szCs w:val="26"/>
        </w:rPr>
        <w:t>22.</w:t>
      </w:r>
      <w:r w:rsidRPr="006B654C" w:rsidR="006B654C">
        <w:rPr>
          <w:szCs w:val="26"/>
        </w:rPr>
        <w:t xml:space="preserve"> </w:t>
      </w:r>
      <w:r w:rsidR="00C577B1">
        <w:rPr>
          <w:szCs w:val="26"/>
        </w:rPr>
        <w:t xml:space="preserve"> </w:t>
      </w:r>
      <w:r w:rsidR="00145F9F">
        <w:rPr>
          <w:szCs w:val="26"/>
        </w:rPr>
        <w:t xml:space="preserve">Kader </w:t>
      </w:r>
      <w:r w:rsidR="006544D3">
        <w:rPr>
          <w:szCs w:val="26"/>
        </w:rPr>
        <w:t xml:space="preserve">alleged </w:t>
      </w:r>
      <w:r w:rsidR="00145F9F">
        <w:rPr>
          <w:szCs w:val="26"/>
        </w:rPr>
        <w:t xml:space="preserve">that </w:t>
      </w:r>
      <w:r w:rsidR="006544D3">
        <w:rPr>
          <w:szCs w:val="26"/>
        </w:rPr>
        <w:t xml:space="preserve">in July 2021, </w:t>
      </w:r>
      <w:r w:rsidR="00145F9F">
        <w:rPr>
          <w:szCs w:val="26"/>
        </w:rPr>
        <w:t>the</w:t>
      </w:r>
      <w:r w:rsidR="00C577B1">
        <w:rPr>
          <w:szCs w:val="26"/>
        </w:rPr>
        <w:t xml:space="preserve"> Center’s chief executive officer Sheila Busheri began making false statements about Kader </w:t>
      </w:r>
      <w:r w:rsidR="00C14B33">
        <w:rPr>
          <w:szCs w:val="26"/>
        </w:rPr>
        <w:t>to justify retaliating against</w:t>
      </w:r>
      <w:r w:rsidR="00C543BE">
        <w:rPr>
          <w:szCs w:val="26"/>
        </w:rPr>
        <w:t xml:space="preserve"> him</w:t>
      </w:r>
      <w:r w:rsidR="00C577B1">
        <w:rPr>
          <w:szCs w:val="26"/>
        </w:rPr>
        <w:t>.</w:t>
      </w:r>
      <w:r w:rsidRPr="00C577B1" w:rsidR="00C577B1">
        <w:rPr>
          <w:szCs w:val="26"/>
        </w:rPr>
        <w:t xml:space="preserve"> </w:t>
      </w:r>
    </w:p>
    <w:p w:rsidR="00460817" w:rsidP="00433829" w14:paraId="2CA2FE2D" w14:textId="3ADF3FBB">
      <w:pPr>
        <w:rPr>
          <w:szCs w:val="26"/>
        </w:rPr>
      </w:pPr>
      <w:r>
        <w:rPr>
          <w:szCs w:val="26"/>
        </w:rPr>
        <w:tab/>
        <w:t>The</w:t>
      </w:r>
      <w:r w:rsidR="001E23A8">
        <w:rPr>
          <w:szCs w:val="26"/>
        </w:rPr>
        <w:t xml:space="preserve"> Act </w:t>
      </w:r>
      <w:r w:rsidR="009101B8">
        <w:rPr>
          <w:szCs w:val="26"/>
        </w:rPr>
        <w:t xml:space="preserve">became effective </w:t>
      </w:r>
      <w:r w:rsidR="00B15C79">
        <w:rPr>
          <w:szCs w:val="26"/>
        </w:rPr>
        <w:t>on</w:t>
      </w:r>
      <w:r w:rsidR="001E23A8">
        <w:rPr>
          <w:szCs w:val="26"/>
        </w:rPr>
        <w:t xml:space="preserve"> March </w:t>
      </w:r>
      <w:r w:rsidR="003A67DA">
        <w:rPr>
          <w:szCs w:val="26"/>
        </w:rPr>
        <w:t>3</w:t>
      </w:r>
      <w:r w:rsidR="001E23A8">
        <w:rPr>
          <w:szCs w:val="26"/>
        </w:rPr>
        <w:t>, 2022.</w:t>
      </w:r>
      <w:r w:rsidR="000E6305">
        <w:rPr>
          <w:szCs w:val="26"/>
        </w:rPr>
        <w:t xml:space="preserve">  </w:t>
      </w:r>
      <w:r w:rsidR="00145F9F">
        <w:rPr>
          <w:szCs w:val="26"/>
        </w:rPr>
        <w:t xml:space="preserve">Kader </w:t>
      </w:r>
      <w:r w:rsidR="00B15C79">
        <w:rPr>
          <w:szCs w:val="26"/>
        </w:rPr>
        <w:t xml:space="preserve">alleged </w:t>
      </w:r>
      <w:r>
        <w:rPr>
          <w:szCs w:val="26"/>
        </w:rPr>
        <w:t xml:space="preserve">Rasekhi opened Kader’s blazer </w:t>
      </w:r>
      <w:r w:rsidR="00145F9F">
        <w:rPr>
          <w:szCs w:val="26"/>
        </w:rPr>
        <w:t xml:space="preserve">on March 16, 2022, </w:t>
      </w:r>
      <w:r>
        <w:rPr>
          <w:szCs w:val="26"/>
        </w:rPr>
        <w:t>and pinched his nipple while wetting his lips with his tongue.</w:t>
      </w:r>
      <w:r w:rsidRPr="00C577B1" w:rsidR="00C577B1">
        <w:rPr>
          <w:szCs w:val="26"/>
        </w:rPr>
        <w:t xml:space="preserve"> </w:t>
      </w:r>
    </w:p>
    <w:p w:rsidR="00D10240" w:rsidP="00433829" w14:paraId="2D475C11" w14:textId="01B049DF">
      <w:pPr>
        <w:rPr>
          <w:szCs w:val="26"/>
        </w:rPr>
      </w:pPr>
      <w:r>
        <w:rPr>
          <w:szCs w:val="26"/>
        </w:rPr>
        <w:tab/>
      </w:r>
      <w:bookmarkStart w:id="2" w:name="_Hlk152150385"/>
      <w:r>
        <w:rPr>
          <w:szCs w:val="26"/>
        </w:rPr>
        <w:t xml:space="preserve">In May 2022, Kader filed a complaint with the DFEH </w:t>
      </w:r>
      <w:bookmarkEnd w:id="2"/>
      <w:r>
        <w:rPr>
          <w:szCs w:val="26"/>
        </w:rPr>
        <w:t>and requested an immediate</w:t>
      </w:r>
      <w:r w:rsidR="008416E9">
        <w:rPr>
          <w:szCs w:val="26"/>
        </w:rPr>
        <w:t xml:space="preserve"> right</w:t>
      </w:r>
      <w:r w:rsidR="005F6496">
        <w:rPr>
          <w:szCs w:val="26"/>
        </w:rPr>
        <w:t>-</w:t>
      </w:r>
      <w:r w:rsidR="008416E9">
        <w:rPr>
          <w:szCs w:val="26"/>
        </w:rPr>
        <w:t>to</w:t>
      </w:r>
      <w:r w:rsidR="005F6496">
        <w:rPr>
          <w:szCs w:val="26"/>
        </w:rPr>
        <w:t>-</w:t>
      </w:r>
      <w:r w:rsidR="008416E9">
        <w:rPr>
          <w:szCs w:val="26"/>
        </w:rPr>
        <w:t>sue notice.  DFEH closed the complaint and issued a right</w:t>
      </w:r>
      <w:r w:rsidR="00C42F7F">
        <w:rPr>
          <w:szCs w:val="26"/>
        </w:rPr>
        <w:t>-</w:t>
      </w:r>
      <w:r w:rsidR="008416E9">
        <w:rPr>
          <w:szCs w:val="26"/>
        </w:rPr>
        <w:t>to</w:t>
      </w:r>
      <w:r w:rsidR="00C42F7F">
        <w:rPr>
          <w:szCs w:val="26"/>
        </w:rPr>
        <w:t>-</w:t>
      </w:r>
      <w:r w:rsidR="008416E9">
        <w:rPr>
          <w:szCs w:val="26"/>
        </w:rPr>
        <w:t>sue notice on May 27, 2022.</w:t>
      </w:r>
      <w:r w:rsidRPr="008416E9" w:rsidR="008416E9">
        <w:rPr>
          <w:szCs w:val="26"/>
        </w:rPr>
        <w:t xml:space="preserve"> </w:t>
      </w:r>
    </w:p>
    <w:p w:rsidR="009C41D2" w:rsidP="00433829" w14:paraId="6FC61FF5" w14:textId="630E96D3">
      <w:pPr>
        <w:rPr>
          <w:szCs w:val="26"/>
        </w:rPr>
      </w:pPr>
      <w:r>
        <w:rPr>
          <w:szCs w:val="26"/>
        </w:rPr>
        <w:tab/>
      </w:r>
      <w:r w:rsidR="00145F9F">
        <w:rPr>
          <w:szCs w:val="26"/>
        </w:rPr>
        <w:t>That same day</w:t>
      </w:r>
      <w:r>
        <w:rPr>
          <w:szCs w:val="26"/>
        </w:rPr>
        <w:t xml:space="preserve">, </w:t>
      </w:r>
      <w:r w:rsidR="00681C40">
        <w:rPr>
          <w:szCs w:val="26"/>
        </w:rPr>
        <w:t>Kader filed a complaint</w:t>
      </w:r>
      <w:r w:rsidR="00BD5C93">
        <w:rPr>
          <w:szCs w:val="26"/>
        </w:rPr>
        <w:t xml:space="preserve"> against </w:t>
      </w:r>
      <w:r w:rsidR="00C577B1">
        <w:rPr>
          <w:szCs w:val="26"/>
        </w:rPr>
        <w:t>the</w:t>
      </w:r>
      <w:r w:rsidR="00BD5C93">
        <w:rPr>
          <w:szCs w:val="26"/>
        </w:rPr>
        <w:t xml:space="preserve"> Center, Rasekhi, </w:t>
      </w:r>
      <w:r w:rsidR="00C577B1">
        <w:rPr>
          <w:szCs w:val="26"/>
        </w:rPr>
        <w:t>Busheri</w:t>
      </w:r>
      <w:r w:rsidR="000E6305">
        <w:rPr>
          <w:szCs w:val="26"/>
        </w:rPr>
        <w:t xml:space="preserve">, six </w:t>
      </w:r>
      <w:r w:rsidR="00145F9F">
        <w:rPr>
          <w:szCs w:val="26"/>
        </w:rPr>
        <w:t>of the Center’s</w:t>
      </w:r>
      <w:r w:rsidR="000E6305">
        <w:rPr>
          <w:szCs w:val="26"/>
        </w:rPr>
        <w:t xml:space="preserve"> board members, Modern HR, and two additional entities</w:t>
      </w:r>
      <w:r w:rsidR="00C577B1">
        <w:rPr>
          <w:szCs w:val="26"/>
        </w:rPr>
        <w:t>.</w:t>
      </w:r>
      <w:r w:rsidRPr="00C577B1" w:rsidR="00C577B1">
        <w:rPr>
          <w:szCs w:val="26"/>
        </w:rPr>
        <w:t xml:space="preserve"> </w:t>
      </w:r>
      <w:r w:rsidR="00C577B1">
        <w:rPr>
          <w:szCs w:val="26"/>
        </w:rPr>
        <w:t xml:space="preserve"> He alleged causes of action for sexual harassment, discrimination on the basis of </w:t>
      </w:r>
      <w:r w:rsidR="003268CF">
        <w:rPr>
          <w:szCs w:val="26"/>
        </w:rPr>
        <w:t>race, national origin and/or sex</w:t>
      </w:r>
      <w:r w:rsidR="00C577B1">
        <w:rPr>
          <w:szCs w:val="26"/>
        </w:rPr>
        <w:t xml:space="preserve">, failure to prevent discrimination and harassment, retaliation, intentional infliction of emotional distress, negligence, sexual battery, </w:t>
      </w:r>
      <w:r w:rsidR="00AC4D2E">
        <w:rPr>
          <w:szCs w:val="26"/>
        </w:rPr>
        <w:t>and defamation.</w:t>
      </w:r>
    </w:p>
    <w:p w:rsidR="00754577" w:rsidP="00433829" w14:paraId="707855EE" w14:textId="07603DF0">
      <w:pPr>
        <w:rPr>
          <w:szCs w:val="26"/>
        </w:rPr>
      </w:pPr>
      <w:r>
        <w:rPr>
          <w:szCs w:val="26"/>
        </w:rPr>
        <w:tab/>
      </w:r>
      <w:r w:rsidRPr="00442424" w:rsidR="00442424">
        <w:rPr>
          <w:szCs w:val="26"/>
        </w:rPr>
        <w:t xml:space="preserve">It is unclear </w:t>
      </w:r>
      <w:r w:rsidR="00442424">
        <w:rPr>
          <w:szCs w:val="26"/>
        </w:rPr>
        <w:t xml:space="preserve">from the complaint </w:t>
      </w:r>
      <w:r w:rsidRPr="00442424" w:rsidR="00442424">
        <w:rPr>
          <w:szCs w:val="26"/>
        </w:rPr>
        <w:t>whether Kader complained</w:t>
      </w:r>
      <w:r w:rsidR="00C60F59">
        <w:rPr>
          <w:szCs w:val="26"/>
        </w:rPr>
        <w:t xml:space="preserve"> about Rasekhi’s conduct</w:t>
      </w:r>
      <w:r w:rsidRPr="00442424" w:rsidR="00442424">
        <w:rPr>
          <w:szCs w:val="26"/>
        </w:rPr>
        <w:t xml:space="preserve"> to anyone other than Rasekhi.  </w:t>
      </w:r>
      <w:r w:rsidR="003E4945">
        <w:rPr>
          <w:szCs w:val="26"/>
        </w:rPr>
        <w:t xml:space="preserve">Kader </w:t>
      </w:r>
      <w:r w:rsidR="000E6305">
        <w:rPr>
          <w:szCs w:val="26"/>
        </w:rPr>
        <w:t>alleged</w:t>
      </w:r>
      <w:r w:rsidR="003E4945">
        <w:rPr>
          <w:szCs w:val="26"/>
        </w:rPr>
        <w:t xml:space="preserve"> </w:t>
      </w:r>
      <w:r w:rsidR="001A42DF">
        <w:rPr>
          <w:szCs w:val="26"/>
        </w:rPr>
        <w:t>he</w:t>
      </w:r>
      <w:r w:rsidR="003E4945">
        <w:rPr>
          <w:szCs w:val="26"/>
        </w:rPr>
        <w:t xml:space="preserve"> felt</w:t>
      </w:r>
      <w:r w:rsidRPr="00C543BE" w:rsidR="00C543BE">
        <w:rPr>
          <w:szCs w:val="26"/>
        </w:rPr>
        <w:t xml:space="preserve"> </w:t>
      </w:r>
      <w:r w:rsidR="001A42DF">
        <w:rPr>
          <w:szCs w:val="26"/>
        </w:rPr>
        <w:t xml:space="preserve">that he </w:t>
      </w:r>
      <w:r w:rsidRPr="00C543BE" w:rsidR="00C543BE">
        <w:rPr>
          <w:szCs w:val="26"/>
        </w:rPr>
        <w:t xml:space="preserve">could not report </w:t>
      </w:r>
      <w:r w:rsidR="000B60BB">
        <w:rPr>
          <w:szCs w:val="26"/>
        </w:rPr>
        <w:t>Rasekhi’s</w:t>
      </w:r>
      <w:r w:rsidRPr="00C543BE" w:rsidR="00C543BE">
        <w:rPr>
          <w:szCs w:val="26"/>
        </w:rPr>
        <w:t xml:space="preserve"> conduct to the Center or </w:t>
      </w:r>
      <w:r w:rsidR="001A42DF">
        <w:rPr>
          <w:szCs w:val="26"/>
        </w:rPr>
        <w:t xml:space="preserve">its </w:t>
      </w:r>
      <w:r w:rsidRPr="00C543BE" w:rsidR="00C543BE">
        <w:rPr>
          <w:szCs w:val="26"/>
        </w:rPr>
        <w:t xml:space="preserve">related entities without suffering retaliation.  </w:t>
      </w:r>
      <w:r w:rsidR="001A42DF">
        <w:rPr>
          <w:szCs w:val="26"/>
        </w:rPr>
        <w:t xml:space="preserve">Kader </w:t>
      </w:r>
      <w:r w:rsidR="00F8730C">
        <w:rPr>
          <w:szCs w:val="26"/>
        </w:rPr>
        <w:t>also alleged, however,</w:t>
      </w:r>
      <w:r w:rsidR="00D824C8">
        <w:rPr>
          <w:szCs w:val="26"/>
        </w:rPr>
        <w:t xml:space="preserve"> that </w:t>
      </w:r>
      <w:r w:rsidR="001A42DF">
        <w:rPr>
          <w:szCs w:val="26"/>
        </w:rPr>
        <w:t xml:space="preserve">he </w:t>
      </w:r>
      <w:r w:rsidR="009362C1">
        <w:rPr>
          <w:szCs w:val="26"/>
        </w:rPr>
        <w:t xml:space="preserve">reported </w:t>
      </w:r>
      <w:r w:rsidR="001A42DF">
        <w:rPr>
          <w:szCs w:val="26"/>
        </w:rPr>
        <w:t>Rasekhi’s</w:t>
      </w:r>
      <w:r w:rsidR="009362C1">
        <w:rPr>
          <w:szCs w:val="26"/>
        </w:rPr>
        <w:t xml:space="preserve"> inappropriate conduct to the Center and a related entity</w:t>
      </w:r>
      <w:r w:rsidR="001A42DF">
        <w:rPr>
          <w:szCs w:val="26"/>
        </w:rPr>
        <w:t xml:space="preserve">, and he </w:t>
      </w:r>
      <w:r w:rsidR="00D71205">
        <w:rPr>
          <w:szCs w:val="26"/>
        </w:rPr>
        <w:t xml:space="preserve">objected </w:t>
      </w:r>
      <w:r w:rsidR="001A42DF">
        <w:rPr>
          <w:szCs w:val="26"/>
        </w:rPr>
        <w:t xml:space="preserve">to </w:t>
      </w:r>
      <w:r w:rsidR="00FB51D1">
        <w:rPr>
          <w:szCs w:val="26"/>
        </w:rPr>
        <w:t>the defendants’ racism and discriminatory hiring practices.</w:t>
      </w:r>
      <w:r w:rsidRPr="00FB51D1" w:rsidR="00FB51D1">
        <w:rPr>
          <w:szCs w:val="26"/>
        </w:rPr>
        <w:t xml:space="preserve"> </w:t>
      </w:r>
      <w:r w:rsidR="00E04E86">
        <w:rPr>
          <w:szCs w:val="26"/>
        </w:rPr>
        <w:t xml:space="preserve"> In response to </w:t>
      </w:r>
      <w:r w:rsidR="001A42DF">
        <w:rPr>
          <w:szCs w:val="26"/>
        </w:rPr>
        <w:t>Kader’s</w:t>
      </w:r>
      <w:r w:rsidR="00E04E86">
        <w:rPr>
          <w:szCs w:val="26"/>
        </w:rPr>
        <w:t xml:space="preserve"> reports and comp</w:t>
      </w:r>
      <w:r w:rsidR="003E594C">
        <w:rPr>
          <w:szCs w:val="26"/>
        </w:rPr>
        <w:t>l</w:t>
      </w:r>
      <w:r w:rsidR="00E04E86">
        <w:rPr>
          <w:szCs w:val="26"/>
        </w:rPr>
        <w:t>aints, the Center</w:t>
      </w:r>
      <w:r w:rsidR="003E594C">
        <w:rPr>
          <w:szCs w:val="26"/>
        </w:rPr>
        <w:t xml:space="preserve"> and </w:t>
      </w:r>
      <w:r w:rsidR="00145F9F">
        <w:rPr>
          <w:szCs w:val="26"/>
        </w:rPr>
        <w:t xml:space="preserve">the </w:t>
      </w:r>
      <w:r w:rsidR="003E594C">
        <w:rPr>
          <w:szCs w:val="26"/>
        </w:rPr>
        <w:t xml:space="preserve">other </w:t>
      </w:r>
      <w:r w:rsidR="00F8730C">
        <w:rPr>
          <w:szCs w:val="26"/>
        </w:rPr>
        <w:t>entities</w:t>
      </w:r>
      <w:r w:rsidR="003E594C">
        <w:rPr>
          <w:szCs w:val="26"/>
        </w:rPr>
        <w:t xml:space="preserve"> retaliated against him through a demotion, a pay cut, and </w:t>
      </w:r>
      <w:r w:rsidR="00F8730C">
        <w:rPr>
          <w:szCs w:val="26"/>
        </w:rPr>
        <w:t>retraction</w:t>
      </w:r>
      <w:r w:rsidR="003E594C">
        <w:rPr>
          <w:szCs w:val="26"/>
        </w:rPr>
        <w:t xml:space="preserve"> of a bonu</w:t>
      </w:r>
      <w:r w:rsidR="00DC2971">
        <w:rPr>
          <w:szCs w:val="26"/>
        </w:rPr>
        <w:t>s.</w:t>
      </w:r>
      <w:r w:rsidRPr="00DC2971" w:rsidR="00DC2971">
        <w:rPr>
          <w:szCs w:val="26"/>
        </w:rPr>
        <w:t xml:space="preserve"> </w:t>
      </w:r>
      <w:r w:rsidR="00340D9D">
        <w:rPr>
          <w:szCs w:val="26"/>
        </w:rPr>
        <w:t xml:space="preserve"> In addition, </w:t>
      </w:r>
      <w:r w:rsidR="00F05916">
        <w:rPr>
          <w:szCs w:val="26"/>
        </w:rPr>
        <w:t xml:space="preserve">Busheri </w:t>
      </w:r>
      <w:r w:rsidR="001A42DF">
        <w:rPr>
          <w:szCs w:val="26"/>
        </w:rPr>
        <w:t>began making</w:t>
      </w:r>
      <w:r w:rsidR="00F05916">
        <w:rPr>
          <w:szCs w:val="26"/>
        </w:rPr>
        <w:t xml:space="preserve"> false statements </w:t>
      </w:r>
      <w:r w:rsidR="001A42DF">
        <w:rPr>
          <w:szCs w:val="26"/>
        </w:rPr>
        <w:t xml:space="preserve">in July 2021 </w:t>
      </w:r>
      <w:r w:rsidR="00E81231">
        <w:rPr>
          <w:szCs w:val="26"/>
        </w:rPr>
        <w:t xml:space="preserve">in </w:t>
      </w:r>
      <w:r w:rsidR="00F05916">
        <w:rPr>
          <w:szCs w:val="26"/>
        </w:rPr>
        <w:t>retaliation</w:t>
      </w:r>
      <w:r w:rsidR="00E81231">
        <w:rPr>
          <w:szCs w:val="26"/>
        </w:rPr>
        <w:t xml:space="preserve"> against </w:t>
      </w:r>
      <w:r w:rsidR="00E9560F">
        <w:rPr>
          <w:szCs w:val="26"/>
        </w:rPr>
        <w:t xml:space="preserve">Kader </w:t>
      </w:r>
      <w:r w:rsidR="00DD35CA">
        <w:rPr>
          <w:szCs w:val="26"/>
        </w:rPr>
        <w:t xml:space="preserve">for resisting </w:t>
      </w:r>
      <w:r w:rsidR="001A42DF">
        <w:rPr>
          <w:szCs w:val="26"/>
        </w:rPr>
        <w:t>Rasekhi’s conduct</w:t>
      </w:r>
      <w:r w:rsidR="00DD35CA">
        <w:rPr>
          <w:szCs w:val="26"/>
        </w:rPr>
        <w:t xml:space="preserve"> and objecting to discrimination</w:t>
      </w:r>
      <w:r w:rsidR="00BD34DA">
        <w:rPr>
          <w:szCs w:val="26"/>
        </w:rPr>
        <w:t>.</w:t>
      </w:r>
      <w:r w:rsidRPr="00BD34DA" w:rsidR="00BD34DA">
        <w:rPr>
          <w:szCs w:val="26"/>
        </w:rPr>
        <w:t xml:space="preserve"> </w:t>
      </w:r>
    </w:p>
    <w:p w:rsidR="00191E21" w:rsidP="00433829" w14:paraId="336CC25A" w14:textId="0E2D8381">
      <w:pPr>
        <w:rPr>
          <w:szCs w:val="26"/>
        </w:rPr>
      </w:pPr>
      <w:r>
        <w:rPr>
          <w:szCs w:val="26"/>
        </w:rPr>
        <w:tab/>
      </w:r>
      <w:r w:rsidR="003A67DA">
        <w:rPr>
          <w:szCs w:val="26"/>
        </w:rPr>
        <w:t xml:space="preserve">The Center, Rasekhi, Busheri, </w:t>
      </w:r>
      <w:r w:rsidR="00F8730C">
        <w:rPr>
          <w:szCs w:val="26"/>
        </w:rPr>
        <w:t xml:space="preserve">and the </w:t>
      </w:r>
      <w:r w:rsidR="003A67DA">
        <w:rPr>
          <w:szCs w:val="26"/>
        </w:rPr>
        <w:t xml:space="preserve">six </w:t>
      </w:r>
      <w:r w:rsidR="00F8730C">
        <w:rPr>
          <w:szCs w:val="26"/>
        </w:rPr>
        <w:t>board members (collectively the Center defendants)</w:t>
      </w:r>
      <w:r w:rsidR="00C27436">
        <w:rPr>
          <w:szCs w:val="26"/>
        </w:rPr>
        <w:t xml:space="preserve"> </w:t>
      </w:r>
      <w:r w:rsidR="003A67DA">
        <w:rPr>
          <w:szCs w:val="26"/>
        </w:rPr>
        <w:t>filed a motion to compel arbitration.</w:t>
      </w:r>
      <w:r w:rsidRPr="003A67DA" w:rsidR="003A67DA">
        <w:rPr>
          <w:szCs w:val="26"/>
        </w:rPr>
        <w:t xml:space="preserve"> </w:t>
      </w:r>
      <w:r w:rsidR="003A67DA">
        <w:rPr>
          <w:szCs w:val="26"/>
        </w:rPr>
        <w:t xml:space="preserve"> </w:t>
      </w:r>
      <w:r>
        <w:rPr>
          <w:szCs w:val="26"/>
        </w:rPr>
        <w:t xml:space="preserve">They argued that the Act did not apply because:  (1) Kader’s claims accrued prior to the effective date of the </w:t>
      </w:r>
      <w:r w:rsidR="00E9560F">
        <w:rPr>
          <w:szCs w:val="26"/>
        </w:rPr>
        <w:t>Act</w:t>
      </w:r>
      <w:r>
        <w:rPr>
          <w:szCs w:val="26"/>
        </w:rPr>
        <w:t>, and (2) the arbitration agreement was signed after the conduct giving rise to sexual harassment or sexual assault</w:t>
      </w:r>
      <w:r w:rsidR="00AB6341">
        <w:rPr>
          <w:szCs w:val="26"/>
        </w:rPr>
        <w:t xml:space="preserve"> took place</w:t>
      </w:r>
      <w:r>
        <w:rPr>
          <w:szCs w:val="26"/>
        </w:rPr>
        <w:t xml:space="preserve">.  </w:t>
      </w:r>
    </w:p>
    <w:p w:rsidR="00F8730C" w:rsidP="00433829" w14:paraId="2D1B84F0" w14:textId="031AA5C9">
      <w:pPr>
        <w:rPr>
          <w:szCs w:val="26"/>
        </w:rPr>
      </w:pPr>
      <w:r>
        <w:rPr>
          <w:szCs w:val="26"/>
        </w:rPr>
        <w:tab/>
        <w:t xml:space="preserve">In support of the motion, they submitted Busheri’s declaration </w:t>
      </w:r>
      <w:r w:rsidR="00145F9F">
        <w:rPr>
          <w:szCs w:val="26"/>
        </w:rPr>
        <w:t xml:space="preserve">stating that </w:t>
      </w:r>
      <w:r w:rsidR="00C27436">
        <w:rPr>
          <w:szCs w:val="26"/>
        </w:rPr>
        <w:t xml:space="preserve">Kader never made any complaint to her </w:t>
      </w:r>
      <w:r>
        <w:rPr>
          <w:szCs w:val="26"/>
        </w:rPr>
        <w:t xml:space="preserve">about Rasekhi’s conduct </w:t>
      </w:r>
      <w:r w:rsidR="00C27436">
        <w:rPr>
          <w:szCs w:val="26"/>
        </w:rPr>
        <w:t>during his employment</w:t>
      </w:r>
      <w:r>
        <w:rPr>
          <w:szCs w:val="26"/>
        </w:rPr>
        <w:t xml:space="preserve">. </w:t>
      </w:r>
      <w:r w:rsidR="00C27436">
        <w:rPr>
          <w:szCs w:val="26"/>
        </w:rPr>
        <w:t xml:space="preserve"> She was not aware </w:t>
      </w:r>
      <w:r w:rsidR="007D26EC">
        <w:rPr>
          <w:szCs w:val="26"/>
        </w:rPr>
        <w:t>of</w:t>
      </w:r>
      <w:r w:rsidR="00C27436">
        <w:rPr>
          <w:szCs w:val="26"/>
        </w:rPr>
        <w:t xml:space="preserve"> any complaints </w:t>
      </w:r>
      <w:r w:rsidR="005946CB">
        <w:rPr>
          <w:szCs w:val="26"/>
        </w:rPr>
        <w:t xml:space="preserve">Kader </w:t>
      </w:r>
      <w:r w:rsidR="007D26EC">
        <w:rPr>
          <w:szCs w:val="26"/>
        </w:rPr>
        <w:t xml:space="preserve">made </w:t>
      </w:r>
      <w:r w:rsidR="00C27436">
        <w:rPr>
          <w:szCs w:val="26"/>
        </w:rPr>
        <w:t xml:space="preserve">to Modern HR </w:t>
      </w:r>
      <w:r>
        <w:rPr>
          <w:szCs w:val="26"/>
        </w:rPr>
        <w:t>about</w:t>
      </w:r>
      <w:r w:rsidR="00C27436">
        <w:rPr>
          <w:szCs w:val="26"/>
        </w:rPr>
        <w:t xml:space="preserve"> any of the Center’s officials or employees.  </w:t>
      </w:r>
      <w:r w:rsidR="007D26EC">
        <w:rPr>
          <w:szCs w:val="26"/>
        </w:rPr>
        <w:t>In fact, during</w:t>
      </w:r>
      <w:r w:rsidR="00C27436">
        <w:rPr>
          <w:szCs w:val="26"/>
        </w:rPr>
        <w:t xml:space="preserve"> the time of the alleged incidents, Kader sent text messages to Busheri expressing support of Rasekhi.</w:t>
      </w:r>
      <w:r>
        <w:rPr>
          <w:rStyle w:val="FootnoteReference"/>
          <w:b/>
          <w:bCs/>
          <w:position w:val="8"/>
          <w:sz w:val="20"/>
          <w:szCs w:val="26"/>
          <w:vertAlign w:val="baseline"/>
        </w:rPr>
        <w:footnoteReference w:id="3"/>
      </w:r>
      <w:r w:rsidRPr="00BC2386">
        <w:rPr>
          <w:position w:val="8"/>
          <w:sz w:val="20"/>
          <w:szCs w:val="26"/>
        </w:rPr>
        <w:t xml:space="preserve"> </w:t>
      </w:r>
    </w:p>
    <w:p w:rsidR="00AC4D2E" w:rsidP="00433829" w14:paraId="1A0E1078" w14:textId="496C47DE">
      <w:pPr>
        <w:rPr>
          <w:szCs w:val="26"/>
        </w:rPr>
      </w:pPr>
      <w:r>
        <w:rPr>
          <w:szCs w:val="26"/>
        </w:rPr>
        <w:tab/>
      </w:r>
      <w:r w:rsidR="003A67DA">
        <w:rPr>
          <w:szCs w:val="26"/>
        </w:rPr>
        <w:t xml:space="preserve">Kader opposed </w:t>
      </w:r>
      <w:r w:rsidR="007D26EC">
        <w:rPr>
          <w:szCs w:val="26"/>
        </w:rPr>
        <w:t xml:space="preserve">the </w:t>
      </w:r>
      <w:r w:rsidR="00F8730C">
        <w:rPr>
          <w:szCs w:val="26"/>
        </w:rPr>
        <w:t xml:space="preserve">motion brought by </w:t>
      </w:r>
      <w:r w:rsidR="003A67DA">
        <w:rPr>
          <w:szCs w:val="26"/>
        </w:rPr>
        <w:t xml:space="preserve">the </w:t>
      </w:r>
      <w:r w:rsidR="00C27436">
        <w:rPr>
          <w:szCs w:val="26"/>
        </w:rPr>
        <w:t>Center defendants</w:t>
      </w:r>
      <w:r w:rsidR="003A67DA">
        <w:rPr>
          <w:szCs w:val="26"/>
        </w:rPr>
        <w:t>.</w:t>
      </w:r>
      <w:r w:rsidRPr="003A67DA" w:rsidR="003A67DA">
        <w:rPr>
          <w:szCs w:val="26"/>
        </w:rPr>
        <w:t xml:space="preserve"> </w:t>
      </w:r>
      <w:r w:rsidR="00C27436">
        <w:rPr>
          <w:szCs w:val="26"/>
        </w:rPr>
        <w:t xml:space="preserve"> He argued that the Act covered disputes or claims arising or accruing after March 3, 2022</w:t>
      </w:r>
      <w:r w:rsidR="00B20A16">
        <w:rPr>
          <w:szCs w:val="26"/>
        </w:rPr>
        <w:t xml:space="preserve">, and </w:t>
      </w:r>
      <w:r w:rsidR="009A4EBB">
        <w:rPr>
          <w:szCs w:val="26"/>
        </w:rPr>
        <w:t xml:space="preserve">under the continuing violation doctrine, </w:t>
      </w:r>
      <w:r w:rsidR="00B20A16">
        <w:rPr>
          <w:szCs w:val="26"/>
        </w:rPr>
        <w:t>his causes of action accrued after March 3, 2022.</w:t>
      </w:r>
      <w:r w:rsidRPr="00B20A16" w:rsidR="00B20A16">
        <w:rPr>
          <w:szCs w:val="26"/>
        </w:rPr>
        <w:t xml:space="preserve"> </w:t>
      </w:r>
      <w:r w:rsidR="00B20A16">
        <w:rPr>
          <w:szCs w:val="26"/>
        </w:rPr>
        <w:t xml:space="preserve"> He also argued that the arbitration agreement was contrary to public policy, unconscionable, and there was a possibility of conflicting rulings resulting from litigation with third parties.</w:t>
      </w:r>
    </w:p>
    <w:p w:rsidR="00B20A16" w:rsidP="00433829" w14:paraId="498C626F" w14:textId="63614AF8">
      <w:pPr>
        <w:rPr>
          <w:szCs w:val="26"/>
        </w:rPr>
      </w:pPr>
      <w:r>
        <w:rPr>
          <w:szCs w:val="26"/>
        </w:rPr>
        <w:tab/>
        <w:t>Kader submitted his own declaration</w:t>
      </w:r>
      <w:r w:rsidR="00F8730C">
        <w:rPr>
          <w:szCs w:val="26"/>
        </w:rPr>
        <w:t xml:space="preserve"> in support of the opposition.  </w:t>
      </w:r>
      <w:r w:rsidR="001C345C">
        <w:rPr>
          <w:szCs w:val="26"/>
        </w:rPr>
        <w:t>He stated that when</w:t>
      </w:r>
      <w:r>
        <w:rPr>
          <w:szCs w:val="26"/>
        </w:rPr>
        <w:t xml:space="preserve"> he refused to work with Rasekhi, travel alone with him, or be behind closed doors with him, Rasekhi and Busheri began to retaliate against him.</w:t>
      </w:r>
      <w:r w:rsidRPr="00B20A16">
        <w:rPr>
          <w:szCs w:val="26"/>
        </w:rPr>
        <w:t xml:space="preserve"> </w:t>
      </w:r>
      <w:r w:rsidR="004F5A8D">
        <w:rPr>
          <w:szCs w:val="26"/>
        </w:rPr>
        <w:t xml:space="preserve"> He stated that the defendants were aware of the allegations against Rasekhi based on the complaints of several other employees.</w:t>
      </w:r>
      <w:r w:rsidRPr="004F5A8D" w:rsidR="004F5A8D">
        <w:rPr>
          <w:szCs w:val="26"/>
        </w:rPr>
        <w:t xml:space="preserve"> </w:t>
      </w:r>
    </w:p>
    <w:p w:rsidR="003A67DA" w:rsidP="00433829" w14:paraId="4E4A5B77" w14:textId="7A48AE31">
      <w:pPr>
        <w:rPr>
          <w:szCs w:val="26"/>
        </w:rPr>
      </w:pPr>
      <w:r>
        <w:rPr>
          <w:szCs w:val="26"/>
        </w:rPr>
        <w:tab/>
        <w:t xml:space="preserve">The trial court </w:t>
      </w:r>
      <w:r w:rsidR="00F8730C">
        <w:rPr>
          <w:szCs w:val="26"/>
        </w:rPr>
        <w:t xml:space="preserve">initially </w:t>
      </w:r>
      <w:r>
        <w:rPr>
          <w:szCs w:val="26"/>
        </w:rPr>
        <w:t xml:space="preserve">granted the motion, </w:t>
      </w:r>
      <w:r w:rsidR="00F8730C">
        <w:rPr>
          <w:szCs w:val="26"/>
        </w:rPr>
        <w:t xml:space="preserve">finding that </w:t>
      </w:r>
      <w:r>
        <w:rPr>
          <w:szCs w:val="26"/>
        </w:rPr>
        <w:t>each alleged sexual assault was independently actionable, and therefore, all but one claim accrued prior to the Act.</w:t>
      </w:r>
      <w:r w:rsidRPr="003A67DA">
        <w:rPr>
          <w:szCs w:val="26"/>
        </w:rPr>
        <w:t xml:space="preserve"> </w:t>
      </w:r>
      <w:r>
        <w:rPr>
          <w:szCs w:val="26"/>
        </w:rPr>
        <w:t xml:space="preserve"> </w:t>
      </w:r>
      <w:r w:rsidR="008B03B2">
        <w:rPr>
          <w:szCs w:val="26"/>
        </w:rPr>
        <w:t xml:space="preserve">The court stayed </w:t>
      </w:r>
      <w:r w:rsidR="00F8730C">
        <w:rPr>
          <w:szCs w:val="26"/>
        </w:rPr>
        <w:t xml:space="preserve">litigation on </w:t>
      </w:r>
      <w:r w:rsidR="008B03B2">
        <w:rPr>
          <w:szCs w:val="26"/>
        </w:rPr>
        <w:t xml:space="preserve">claims that arose after March 2, 2022, pending arbitration on the claims that arose before March </w:t>
      </w:r>
      <w:r w:rsidR="00EA0D16">
        <w:rPr>
          <w:szCs w:val="26"/>
        </w:rPr>
        <w:t>2</w:t>
      </w:r>
      <w:r w:rsidR="008B03B2">
        <w:rPr>
          <w:szCs w:val="26"/>
        </w:rPr>
        <w:t>, 2022.</w:t>
      </w:r>
      <w:r w:rsidRPr="00EA0D16" w:rsidR="00EA0D16">
        <w:rPr>
          <w:szCs w:val="26"/>
        </w:rPr>
        <w:t xml:space="preserve"> </w:t>
      </w:r>
    </w:p>
    <w:p w:rsidR="008B03B2" w:rsidP="00433829" w14:paraId="39A9AC95" w14:textId="20506DB1">
      <w:pPr>
        <w:rPr>
          <w:szCs w:val="26"/>
        </w:rPr>
      </w:pPr>
      <w:r>
        <w:rPr>
          <w:szCs w:val="26"/>
        </w:rPr>
        <w:tab/>
        <w:t>Kader petitioned this appellate court for a writ of mandate, which this court granted.</w:t>
      </w:r>
      <w:r w:rsidRPr="008B03B2">
        <w:rPr>
          <w:szCs w:val="26"/>
        </w:rPr>
        <w:t xml:space="preserve"> </w:t>
      </w:r>
      <w:r>
        <w:rPr>
          <w:szCs w:val="26"/>
        </w:rPr>
        <w:t xml:space="preserve"> This court ordered the trial court to reconsider the order granting the motion to compel arbitration or show cause why a peremptory writ should not issue.  </w:t>
      </w:r>
      <w:r w:rsidR="00EA0D16">
        <w:rPr>
          <w:szCs w:val="26"/>
        </w:rPr>
        <w:t>After a hearing on</w:t>
      </w:r>
      <w:r>
        <w:rPr>
          <w:szCs w:val="26"/>
        </w:rPr>
        <w:t xml:space="preserve"> February 1</w:t>
      </w:r>
      <w:r w:rsidR="00EA0D16">
        <w:rPr>
          <w:szCs w:val="26"/>
        </w:rPr>
        <w:t>0</w:t>
      </w:r>
      <w:r>
        <w:rPr>
          <w:szCs w:val="26"/>
        </w:rPr>
        <w:t>, 2023, the trial court vacated its prior order and denied the motion to compel arbitration.</w:t>
      </w:r>
      <w:r w:rsidRPr="008B03B2">
        <w:rPr>
          <w:szCs w:val="26"/>
        </w:rPr>
        <w:t xml:space="preserve"> </w:t>
      </w:r>
      <w:r>
        <w:rPr>
          <w:szCs w:val="26"/>
        </w:rPr>
        <w:t xml:space="preserve"> The Center </w:t>
      </w:r>
      <w:r w:rsidR="000C785B">
        <w:rPr>
          <w:szCs w:val="26"/>
        </w:rPr>
        <w:t>defendants</w:t>
      </w:r>
      <w:r>
        <w:rPr>
          <w:szCs w:val="26"/>
        </w:rPr>
        <w:t xml:space="preserve"> filed a timely notice of appeal from the February 2023 order.</w:t>
      </w:r>
      <w:r w:rsidRPr="008B03B2">
        <w:rPr>
          <w:szCs w:val="26"/>
        </w:rPr>
        <w:t xml:space="preserve"> </w:t>
      </w:r>
    </w:p>
    <w:p w:rsidR="0052483D" w:rsidRPr="00DE08FB" w:rsidP="00433829" w14:paraId="710322BA" w14:textId="77777777">
      <w:pPr>
        <w:rPr>
          <w:szCs w:val="26"/>
        </w:rPr>
      </w:pPr>
    </w:p>
    <w:p w:rsidR="00DE08FB" w:rsidRPr="00E41D6B" w:rsidP="00433829" w14:paraId="208231B5" w14:textId="51EAE942">
      <w:pPr>
        <w:keepNext/>
        <w:jc w:val="center"/>
        <w:rPr>
          <w:b/>
          <w:bCs/>
          <w:szCs w:val="26"/>
        </w:rPr>
      </w:pPr>
      <w:r w:rsidRPr="00E41D6B">
        <w:rPr>
          <w:b/>
          <w:bCs/>
          <w:szCs w:val="26"/>
        </w:rPr>
        <w:t>DISCUSSION</w:t>
      </w:r>
    </w:p>
    <w:p w:rsidR="0052483D" w:rsidP="00433829" w14:paraId="72EC9B43" w14:textId="77777777">
      <w:pPr>
        <w:keepNext/>
        <w:rPr>
          <w:szCs w:val="26"/>
        </w:rPr>
      </w:pPr>
    </w:p>
    <w:p w:rsidR="00CA2A60" w:rsidP="00433829" w14:paraId="1790271F" w14:textId="0A61FD18">
      <w:pPr>
        <w:keepNext/>
        <w:rPr>
          <w:szCs w:val="26"/>
        </w:rPr>
      </w:pPr>
      <w:r>
        <w:rPr>
          <w:szCs w:val="26"/>
        </w:rPr>
        <w:tab/>
        <w:t>The Center defendants contend that the Act does not invalidate the arbitration agreement in this case for two reasons.  First, it is not a “predispute” arbitration agreement because the conduct began before the agreement was signed.  Second, the Act does not apply</w:t>
      </w:r>
      <w:r w:rsidR="008742C8">
        <w:rPr>
          <w:szCs w:val="26"/>
        </w:rPr>
        <w:t xml:space="preserve"> because Kader’s</w:t>
      </w:r>
      <w:r>
        <w:rPr>
          <w:szCs w:val="26"/>
        </w:rPr>
        <w:t xml:space="preserve"> claims accrued before the effective date</w:t>
      </w:r>
      <w:r w:rsidR="004A1505">
        <w:rPr>
          <w:szCs w:val="26"/>
        </w:rPr>
        <w:t xml:space="preserve"> of the Act</w:t>
      </w:r>
      <w:r>
        <w:rPr>
          <w:szCs w:val="26"/>
        </w:rPr>
        <w:t xml:space="preserve">.  We disagree with </w:t>
      </w:r>
      <w:r w:rsidR="00945046">
        <w:rPr>
          <w:szCs w:val="26"/>
        </w:rPr>
        <w:t>the</w:t>
      </w:r>
      <w:r w:rsidR="00E84B2E">
        <w:rPr>
          <w:szCs w:val="26"/>
        </w:rPr>
        <w:t xml:space="preserve">se </w:t>
      </w:r>
      <w:r>
        <w:rPr>
          <w:szCs w:val="26"/>
        </w:rPr>
        <w:t>contentions.</w:t>
      </w:r>
    </w:p>
    <w:p w:rsidR="00CA2A60" w:rsidRPr="00DE08FB" w:rsidP="00433829" w14:paraId="0AD5CBF2" w14:textId="77777777">
      <w:pPr>
        <w:keepNext/>
        <w:rPr>
          <w:szCs w:val="26"/>
        </w:rPr>
      </w:pPr>
    </w:p>
    <w:p w:rsidR="00D315BB" w:rsidRPr="009101B8" w:rsidP="00433829" w14:paraId="3DB9A121" w14:textId="755FCEC9">
      <w:pPr>
        <w:keepNext/>
        <w:rPr>
          <w:b/>
          <w:bCs/>
          <w:szCs w:val="26"/>
          <w:u w:val="single"/>
        </w:rPr>
      </w:pPr>
      <w:r w:rsidRPr="009101B8">
        <w:rPr>
          <w:b/>
          <w:bCs/>
          <w:szCs w:val="26"/>
          <w:u w:val="single"/>
        </w:rPr>
        <w:t>Standard of Review</w:t>
      </w:r>
    </w:p>
    <w:p w:rsidR="00566685" w:rsidP="00433829" w14:paraId="4983C454" w14:textId="77777777">
      <w:pPr>
        <w:keepNext/>
        <w:rPr>
          <w:szCs w:val="26"/>
        </w:rPr>
      </w:pPr>
    </w:p>
    <w:p w:rsidR="0004243F" w:rsidP="00433829" w14:paraId="09C5A515" w14:textId="51378B7F">
      <w:pPr>
        <w:keepNext/>
        <w:rPr>
          <w:szCs w:val="26"/>
        </w:rPr>
      </w:pPr>
      <w:r>
        <w:rPr>
          <w:szCs w:val="26"/>
        </w:rPr>
        <w:tab/>
        <w:t>“</w:t>
      </w:r>
      <w:r w:rsidRPr="00566685" w:rsidR="00566685">
        <w:rPr>
          <w:szCs w:val="26"/>
        </w:rPr>
        <w:t xml:space="preserve">California statutes create a </w:t>
      </w:r>
      <w:r>
        <w:rPr>
          <w:szCs w:val="26"/>
        </w:rPr>
        <w:t>‘</w:t>
      </w:r>
      <w:r w:rsidRPr="00566685" w:rsidR="00566685">
        <w:rPr>
          <w:szCs w:val="26"/>
        </w:rPr>
        <w:t>summary proceeding</w:t>
      </w:r>
      <w:r>
        <w:rPr>
          <w:szCs w:val="26"/>
        </w:rPr>
        <w:t>’</w:t>
      </w:r>
      <w:r w:rsidRPr="00566685" w:rsidR="00566685">
        <w:rPr>
          <w:szCs w:val="26"/>
        </w:rPr>
        <w:t xml:space="preserve"> for resolving petitions or motions to compel arbitration. </w:t>
      </w:r>
      <w:r>
        <w:rPr>
          <w:szCs w:val="26"/>
        </w:rPr>
        <w:t xml:space="preserve"> [Citation.]  ‘</w:t>
      </w:r>
      <w:r w:rsidRPr="00566685" w:rsidR="00566685">
        <w:rPr>
          <w:szCs w:val="26"/>
        </w:rPr>
        <w:t xml:space="preserve">The petitioner bears the burden of proving the existence of a valid arbitration agreement by the preponderance of the evidence, and a party opposing the petition bears the burden of proving by a preponderance of the evidence any fact necessary to its defense. </w:t>
      </w:r>
      <w:r>
        <w:rPr>
          <w:szCs w:val="26"/>
        </w:rPr>
        <w:t xml:space="preserve"> </w:t>
      </w:r>
      <w:r w:rsidRPr="00566685" w:rsidR="00566685">
        <w:rPr>
          <w:szCs w:val="26"/>
        </w:rPr>
        <w:t xml:space="preserve">[Citation.] </w:t>
      </w:r>
      <w:r>
        <w:rPr>
          <w:szCs w:val="26"/>
        </w:rPr>
        <w:t xml:space="preserve"> </w:t>
      </w:r>
      <w:r w:rsidRPr="00566685" w:rsidR="00566685">
        <w:rPr>
          <w:szCs w:val="26"/>
        </w:rPr>
        <w:t>In these summary proceedings, the trial court sits as a trier of fact, weighing all the affidavits, declarations, and other documentary evidence, as well as oral testimony received at the court</w:t>
      </w:r>
      <w:r>
        <w:rPr>
          <w:szCs w:val="26"/>
        </w:rPr>
        <w:t>’</w:t>
      </w:r>
      <w:r w:rsidRPr="00566685" w:rsidR="00566685">
        <w:rPr>
          <w:szCs w:val="26"/>
        </w:rPr>
        <w:t>s discretion, to reach a final determination.</w:t>
      </w:r>
      <w:r>
        <w:rPr>
          <w:szCs w:val="26"/>
        </w:rPr>
        <w:t>’  [Citation.]”  (</w:t>
      </w:r>
      <w:r w:rsidRPr="0004243F">
        <w:rPr>
          <w:i/>
          <w:iCs/>
          <w:szCs w:val="26"/>
        </w:rPr>
        <w:t xml:space="preserve">Chambers v. Crown Asset Management, LLC </w:t>
      </w:r>
      <w:r w:rsidRPr="0004243F">
        <w:rPr>
          <w:szCs w:val="26"/>
        </w:rPr>
        <w:t>(2021) 71 Cal.App.5th 583, 590</w:t>
      </w:r>
      <w:r w:rsidR="00411600">
        <w:rPr>
          <w:szCs w:val="26"/>
        </w:rPr>
        <w:t>,</w:t>
      </w:r>
      <w:r w:rsidR="005C1E51">
        <w:rPr>
          <w:szCs w:val="26"/>
        </w:rPr>
        <w:t xml:space="preserve"> fn. omitted</w:t>
      </w:r>
      <w:r>
        <w:rPr>
          <w:szCs w:val="26"/>
        </w:rPr>
        <w:t>.)</w:t>
      </w:r>
    </w:p>
    <w:p w:rsidR="0004243F" w:rsidP="00433829" w14:paraId="08AE324F" w14:textId="339D12C8">
      <w:pPr>
        <w:keepNext/>
        <w:rPr>
          <w:szCs w:val="26"/>
        </w:rPr>
      </w:pPr>
      <w:r>
        <w:rPr>
          <w:szCs w:val="26"/>
        </w:rPr>
        <w:tab/>
      </w:r>
      <w:r w:rsidRPr="00566685" w:rsidR="00566685">
        <w:rPr>
          <w:szCs w:val="26"/>
        </w:rPr>
        <w:t>“</w:t>
      </w:r>
      <w:r w:rsidR="00404772">
        <w:rPr>
          <w:szCs w:val="26"/>
        </w:rPr>
        <w:t> </w:t>
      </w:r>
      <w:r w:rsidRPr="00566685" w:rsidR="00566685">
        <w:rPr>
          <w:szCs w:val="26"/>
        </w:rPr>
        <w:t>‘There is no uniform standard of review for evaluating an order denying a motion to compel arbitration.</w:t>
      </w:r>
      <w:r>
        <w:rPr>
          <w:szCs w:val="26"/>
        </w:rPr>
        <w:t xml:space="preserve"> </w:t>
      </w:r>
      <w:r w:rsidRPr="00566685" w:rsidR="00566685">
        <w:rPr>
          <w:szCs w:val="26"/>
        </w:rPr>
        <w:t xml:space="preserve"> [Citation.]</w:t>
      </w:r>
      <w:r>
        <w:rPr>
          <w:szCs w:val="26"/>
        </w:rPr>
        <w:t xml:space="preserve"> </w:t>
      </w:r>
      <w:r w:rsidRPr="00566685" w:rsidR="00566685">
        <w:rPr>
          <w:szCs w:val="26"/>
        </w:rPr>
        <w:t xml:space="preserve"> If the court</w:t>
      </w:r>
      <w:r>
        <w:rPr>
          <w:szCs w:val="26"/>
        </w:rPr>
        <w:t>’</w:t>
      </w:r>
      <w:r w:rsidRPr="00566685" w:rsidR="00566685">
        <w:rPr>
          <w:szCs w:val="26"/>
        </w:rPr>
        <w:t>s order is based on a decision of fact, then we adopt a substantial evidence standard.</w:t>
      </w:r>
      <w:r>
        <w:rPr>
          <w:szCs w:val="26"/>
        </w:rPr>
        <w:t xml:space="preserve"> </w:t>
      </w:r>
      <w:r w:rsidRPr="00566685" w:rsidR="00566685">
        <w:rPr>
          <w:szCs w:val="26"/>
        </w:rPr>
        <w:t xml:space="preserve"> [Citations.] </w:t>
      </w:r>
      <w:r>
        <w:rPr>
          <w:szCs w:val="26"/>
        </w:rPr>
        <w:t xml:space="preserve"> </w:t>
      </w:r>
      <w:r w:rsidRPr="00566685" w:rsidR="00566685">
        <w:rPr>
          <w:szCs w:val="26"/>
        </w:rPr>
        <w:t>Alternatively, if the court</w:t>
      </w:r>
      <w:r>
        <w:rPr>
          <w:szCs w:val="26"/>
        </w:rPr>
        <w:t>’</w:t>
      </w:r>
      <w:r w:rsidRPr="00566685" w:rsidR="00566685">
        <w:rPr>
          <w:szCs w:val="26"/>
        </w:rPr>
        <w:t>s denial rests solely on a decision of law, then a de novo standard of review is employed.</w:t>
      </w:r>
      <w:r w:rsidR="003E2BAB">
        <w:rPr>
          <w:szCs w:val="26"/>
        </w:rPr>
        <w:t>  </w:t>
      </w:r>
      <w:r w:rsidR="00C045D7">
        <w:rPr>
          <w:szCs w:val="26"/>
        </w:rPr>
        <w:t>[Ci</w:t>
      </w:r>
      <w:r w:rsidR="00747E96">
        <w:rPr>
          <w:szCs w:val="26"/>
        </w:rPr>
        <w:t>t</w:t>
      </w:r>
      <w:r w:rsidR="00C045D7">
        <w:rPr>
          <w:szCs w:val="26"/>
        </w:rPr>
        <w:t>ations.]</w:t>
      </w:r>
      <w:r w:rsidRPr="00566685" w:rsidR="00566685">
        <w:rPr>
          <w:szCs w:val="26"/>
        </w:rPr>
        <w:t>’</w:t>
      </w:r>
      <w:r w:rsidR="00C045D7">
        <w:rPr>
          <w:szCs w:val="26"/>
        </w:rPr>
        <w:t>  [Ci</w:t>
      </w:r>
      <w:r w:rsidR="00747E96">
        <w:rPr>
          <w:szCs w:val="26"/>
        </w:rPr>
        <w:t>t</w:t>
      </w:r>
      <w:r w:rsidR="00C045D7">
        <w:rPr>
          <w:szCs w:val="26"/>
        </w:rPr>
        <w:t>ation.]</w:t>
      </w:r>
      <w:r w:rsidRPr="00566685" w:rsidR="00566685">
        <w:rPr>
          <w:szCs w:val="26"/>
        </w:rPr>
        <w:t xml:space="preserve"> ” </w:t>
      </w:r>
      <w:r w:rsidR="005C1E51">
        <w:rPr>
          <w:szCs w:val="26"/>
        </w:rPr>
        <w:t xml:space="preserve"> </w:t>
      </w:r>
      <w:r w:rsidRPr="00566685" w:rsidR="00566685">
        <w:rPr>
          <w:szCs w:val="26"/>
        </w:rPr>
        <w:t>(</w:t>
      </w:r>
      <w:r w:rsidRPr="009101B8" w:rsidR="00566685">
        <w:rPr>
          <w:i/>
          <w:iCs/>
          <w:szCs w:val="26"/>
        </w:rPr>
        <w:t xml:space="preserve">Carlson v. Home Team Pest Defense, Inc. </w:t>
      </w:r>
      <w:r w:rsidRPr="00566685" w:rsidR="00566685">
        <w:rPr>
          <w:szCs w:val="26"/>
        </w:rPr>
        <w:t>(2015) 239 Cal.App.4th 619, 630.)</w:t>
      </w:r>
      <w:r w:rsidR="00755E82">
        <w:rPr>
          <w:szCs w:val="26"/>
        </w:rPr>
        <w:t xml:space="preserve">  </w:t>
      </w:r>
    </w:p>
    <w:p w:rsidR="009101B8" w:rsidRPr="00566685" w:rsidP="00433829" w14:paraId="09FF01AC" w14:textId="3BACB69A">
      <w:pPr>
        <w:keepNext/>
        <w:rPr>
          <w:szCs w:val="26"/>
        </w:rPr>
      </w:pPr>
      <w:r>
        <w:rPr>
          <w:szCs w:val="26"/>
        </w:rPr>
        <w:tab/>
        <w:t xml:space="preserve">We review statutory interpretation issues de novo. </w:t>
      </w:r>
      <w:r w:rsidR="00CB7B6F">
        <w:rPr>
          <w:szCs w:val="26"/>
        </w:rPr>
        <w:t xml:space="preserve"> </w:t>
      </w:r>
      <w:r>
        <w:rPr>
          <w:szCs w:val="26"/>
        </w:rPr>
        <w:t>(</w:t>
      </w:r>
      <w:r w:rsidRPr="009101B8">
        <w:rPr>
          <w:i/>
          <w:iCs/>
          <w:szCs w:val="26"/>
        </w:rPr>
        <w:t xml:space="preserve">State Farm Mut. Auto. Ins. Co. v. Department of Motor Vehicles </w:t>
      </w:r>
      <w:r w:rsidRPr="009101B8">
        <w:rPr>
          <w:szCs w:val="26"/>
        </w:rPr>
        <w:t>(1997) 53 Cal.App.4th 1076, 1081</w:t>
      </w:r>
      <w:r>
        <w:rPr>
          <w:szCs w:val="26"/>
        </w:rPr>
        <w:t>.)  “</w:t>
      </w:r>
      <w:r w:rsidRPr="009101B8">
        <w:rPr>
          <w:szCs w:val="26"/>
        </w:rPr>
        <w:t xml:space="preserve">The objective of statutory interpretation is to ascertain and effectuate legislative intent. </w:t>
      </w:r>
      <w:r>
        <w:rPr>
          <w:szCs w:val="26"/>
        </w:rPr>
        <w:t xml:space="preserve"> </w:t>
      </w:r>
      <w:r w:rsidRPr="009101B8">
        <w:rPr>
          <w:szCs w:val="26"/>
        </w:rPr>
        <w:t xml:space="preserve">To accomplish that objective, courts must look first to the words of the statute, giving effect to their plain meaning. </w:t>
      </w:r>
      <w:r>
        <w:rPr>
          <w:szCs w:val="26"/>
        </w:rPr>
        <w:t xml:space="preserve"> </w:t>
      </w:r>
      <w:r w:rsidRPr="009101B8">
        <w:rPr>
          <w:szCs w:val="26"/>
        </w:rPr>
        <w:t xml:space="preserve">If those words are clear, we may not alter them to accomplish a purpose that does not appear on the face of the statute or from its legislative history. </w:t>
      </w:r>
      <w:r>
        <w:rPr>
          <w:szCs w:val="26"/>
        </w:rPr>
        <w:t xml:space="preserve"> [Citation.]  </w:t>
      </w:r>
      <w:r w:rsidRPr="009101B8">
        <w:rPr>
          <w:szCs w:val="26"/>
        </w:rPr>
        <w:t>Whenever possible, we must give effect to every word in a statute and avoid a construction making a statutory term surplusage or meaningless.</w:t>
      </w:r>
      <w:r>
        <w:rPr>
          <w:szCs w:val="26"/>
        </w:rPr>
        <w:t xml:space="preserve"> </w:t>
      </w:r>
      <w:r w:rsidRPr="009101B8">
        <w:rPr>
          <w:szCs w:val="26"/>
        </w:rPr>
        <w:t xml:space="preserve"> </w:t>
      </w:r>
      <w:r>
        <w:rPr>
          <w:szCs w:val="26"/>
        </w:rPr>
        <w:t>[Citations.]”  (</w:t>
      </w:r>
      <w:r w:rsidRPr="009101B8">
        <w:rPr>
          <w:i/>
          <w:iCs/>
          <w:szCs w:val="26"/>
        </w:rPr>
        <w:t>In re Jerry R.</w:t>
      </w:r>
      <w:r w:rsidRPr="009101B8">
        <w:rPr>
          <w:szCs w:val="26"/>
        </w:rPr>
        <w:t xml:space="preserve"> (1994) 29 Cal.App.4th 1432, 1437</w:t>
      </w:r>
      <w:r>
        <w:rPr>
          <w:szCs w:val="26"/>
        </w:rPr>
        <w:t>.)</w:t>
      </w:r>
    </w:p>
    <w:p w:rsidR="002B40D5" w:rsidP="00433829" w14:paraId="39B692E4" w14:textId="77777777">
      <w:pPr>
        <w:keepNext/>
        <w:rPr>
          <w:szCs w:val="26"/>
        </w:rPr>
      </w:pPr>
    </w:p>
    <w:p w:rsidR="00566685" w:rsidRPr="009101B8" w:rsidP="00433829" w14:paraId="38696273" w14:textId="621D0F64">
      <w:pPr>
        <w:keepNext/>
        <w:rPr>
          <w:b/>
          <w:bCs/>
          <w:szCs w:val="26"/>
          <w:u w:val="single"/>
        </w:rPr>
      </w:pPr>
      <w:r w:rsidRPr="009101B8">
        <w:rPr>
          <w:b/>
          <w:bCs/>
          <w:szCs w:val="26"/>
          <w:u w:val="single"/>
        </w:rPr>
        <w:t>Statutory Scheme</w:t>
      </w:r>
    </w:p>
    <w:p w:rsidR="00C23179" w:rsidP="00433829" w14:paraId="27DEA0A8" w14:textId="77777777">
      <w:pPr>
        <w:rPr>
          <w:szCs w:val="26"/>
        </w:rPr>
      </w:pPr>
    </w:p>
    <w:p w:rsidR="00C23179" w:rsidP="00433829" w14:paraId="2410AA3E" w14:textId="7016C712">
      <w:pPr>
        <w:rPr>
          <w:szCs w:val="26"/>
        </w:rPr>
      </w:pPr>
      <w:r>
        <w:rPr>
          <w:szCs w:val="26"/>
        </w:rPr>
        <w:tab/>
      </w:r>
      <w:r w:rsidR="000E6305">
        <w:rPr>
          <w:szCs w:val="26"/>
        </w:rPr>
        <w:t xml:space="preserve">The Act consists of two sections.  </w:t>
      </w:r>
      <w:r>
        <w:rPr>
          <w:szCs w:val="26"/>
        </w:rPr>
        <w:t>Section 402, subdivision (a), provides that at the election of the person alleging conduct constituting a sexual harassment dispute or sexual assault dispute, “</w:t>
      </w:r>
      <w:r w:rsidRPr="00C23179">
        <w:rPr>
          <w:szCs w:val="26"/>
        </w:rPr>
        <w:t>no predispute arbitration agreement or predispute joint-action waiver shall be valid or enforceable with respect to a case which is filed under Federal, Tribal, or State law and relates to the sexual assault dispute or the sexual harassment dispute.</w:t>
      </w:r>
      <w:r>
        <w:rPr>
          <w:szCs w:val="26"/>
        </w:rPr>
        <w:t xml:space="preserve">”  Any issue as to whether the Act applies to a dispute is to be determined under federal law.  </w:t>
      </w:r>
      <w:bookmarkStart w:id="3" w:name="_Hlk151059329"/>
      <w:r>
        <w:rPr>
          <w:szCs w:val="26"/>
        </w:rPr>
        <w:t>(9 U.S.C. § 402, subd. (b).)</w:t>
      </w:r>
      <w:bookmarkEnd w:id="3"/>
    </w:p>
    <w:p w:rsidR="008F5736" w:rsidP="00433829" w14:paraId="7F72FECB" w14:textId="67538E5A">
      <w:pPr>
        <w:rPr>
          <w:szCs w:val="26"/>
        </w:rPr>
      </w:pPr>
      <w:r>
        <w:rPr>
          <w:szCs w:val="26"/>
        </w:rPr>
        <w:tab/>
        <w:t>Section 401 of the Act defines several relevant terms:  (1)</w:t>
      </w:r>
    </w:p>
    <w:p w:rsidR="00C23179" w:rsidP="00433829" w14:paraId="4AEA6ECC" w14:textId="305158EA">
      <w:pPr>
        <w:rPr>
          <w:szCs w:val="26"/>
        </w:rPr>
      </w:pPr>
      <w:r>
        <w:rPr>
          <w:szCs w:val="26"/>
        </w:rPr>
        <w:t>a</w:t>
      </w:r>
      <w:r w:rsidRPr="00C23179">
        <w:rPr>
          <w:szCs w:val="26"/>
        </w:rPr>
        <w:t xml:space="preserve"> predispute arbitration agreement </w:t>
      </w:r>
      <w:r>
        <w:rPr>
          <w:szCs w:val="26"/>
        </w:rPr>
        <w:t>is</w:t>
      </w:r>
      <w:r w:rsidRPr="00C23179">
        <w:rPr>
          <w:szCs w:val="26"/>
        </w:rPr>
        <w:t xml:space="preserve"> </w:t>
      </w:r>
      <w:r w:rsidR="004A0970">
        <w:rPr>
          <w:szCs w:val="26"/>
        </w:rPr>
        <w:t>“</w:t>
      </w:r>
      <w:bookmarkStart w:id="4" w:name="_Hlk152141121"/>
      <w:r w:rsidRPr="00C23179">
        <w:rPr>
          <w:szCs w:val="26"/>
        </w:rPr>
        <w:t>any agreement to arbitrate a dispute that had not yet arisen at the time of the making of the agreement</w:t>
      </w:r>
      <w:bookmarkEnd w:id="4"/>
      <w:r>
        <w:rPr>
          <w:szCs w:val="26"/>
        </w:rPr>
        <w:t>;</w:t>
      </w:r>
      <w:r w:rsidR="004A0970">
        <w:rPr>
          <w:szCs w:val="26"/>
        </w:rPr>
        <w:t>”</w:t>
      </w:r>
      <w:r>
        <w:rPr>
          <w:szCs w:val="26"/>
        </w:rPr>
        <w:t xml:space="preserve"> (2) a</w:t>
      </w:r>
      <w:r w:rsidRPr="00C23179">
        <w:rPr>
          <w:szCs w:val="26"/>
        </w:rPr>
        <w:t xml:space="preserve"> sexual assault dispute </w:t>
      </w:r>
      <w:r>
        <w:rPr>
          <w:szCs w:val="26"/>
        </w:rPr>
        <w:t>is</w:t>
      </w:r>
      <w:r w:rsidRPr="00C23179">
        <w:rPr>
          <w:szCs w:val="26"/>
        </w:rPr>
        <w:t xml:space="preserve"> </w:t>
      </w:r>
      <w:r>
        <w:rPr>
          <w:szCs w:val="26"/>
        </w:rPr>
        <w:t>“</w:t>
      </w:r>
      <w:r w:rsidRPr="00C23179">
        <w:rPr>
          <w:szCs w:val="26"/>
        </w:rPr>
        <w:t>a dispute involving a nonconsensual sexual act or sexual contact</w:t>
      </w:r>
      <w:r>
        <w:rPr>
          <w:szCs w:val="26"/>
        </w:rPr>
        <w:t>;” and (3) a</w:t>
      </w:r>
      <w:r w:rsidRPr="00C23179">
        <w:rPr>
          <w:szCs w:val="26"/>
        </w:rPr>
        <w:t xml:space="preserve"> sexual harassment dispute </w:t>
      </w:r>
      <w:r>
        <w:rPr>
          <w:szCs w:val="26"/>
        </w:rPr>
        <w:t>is</w:t>
      </w:r>
      <w:r w:rsidRPr="00C23179">
        <w:rPr>
          <w:szCs w:val="26"/>
        </w:rPr>
        <w:t xml:space="preserve"> </w:t>
      </w:r>
      <w:r w:rsidR="004A0970">
        <w:rPr>
          <w:szCs w:val="26"/>
        </w:rPr>
        <w:t>“</w:t>
      </w:r>
      <w:r w:rsidRPr="00C23179">
        <w:rPr>
          <w:szCs w:val="26"/>
        </w:rPr>
        <w:t>a dispute relating to conduct that is alleged to constitute sexual harassment under applicable Federal, Tribal, or State law.</w:t>
      </w:r>
      <w:r w:rsidR="004A0970">
        <w:rPr>
          <w:szCs w:val="26"/>
        </w:rPr>
        <w:t xml:space="preserve">”  </w:t>
      </w:r>
      <w:r w:rsidRPr="004A0970" w:rsidR="004A0970">
        <w:rPr>
          <w:szCs w:val="26"/>
        </w:rPr>
        <w:t>(9 U.S.C. § 40</w:t>
      </w:r>
      <w:r w:rsidR="004A0970">
        <w:rPr>
          <w:szCs w:val="26"/>
        </w:rPr>
        <w:t>1</w:t>
      </w:r>
      <w:r w:rsidRPr="004A0970" w:rsidR="004A0970">
        <w:rPr>
          <w:szCs w:val="26"/>
        </w:rPr>
        <w:t>, subd</w:t>
      </w:r>
      <w:r w:rsidR="004A0970">
        <w:rPr>
          <w:szCs w:val="26"/>
        </w:rPr>
        <w:t>s</w:t>
      </w:r>
      <w:r w:rsidRPr="004A0970" w:rsidR="004A0970">
        <w:rPr>
          <w:szCs w:val="26"/>
        </w:rPr>
        <w:t>. (</w:t>
      </w:r>
      <w:r w:rsidR="004A0970">
        <w:rPr>
          <w:szCs w:val="26"/>
        </w:rPr>
        <w:t>1</w:t>
      </w:r>
      <w:r w:rsidRPr="004A0970" w:rsidR="004A0970">
        <w:rPr>
          <w:szCs w:val="26"/>
        </w:rPr>
        <w:t>)</w:t>
      </w:r>
      <w:r w:rsidR="004A0970">
        <w:rPr>
          <w:szCs w:val="26"/>
        </w:rPr>
        <w:t>, (3), &amp; (4)</w:t>
      </w:r>
      <w:r w:rsidRPr="004A0970" w:rsidR="004A0970">
        <w:rPr>
          <w:szCs w:val="26"/>
        </w:rPr>
        <w:t>.)</w:t>
      </w:r>
    </w:p>
    <w:p w:rsidR="00CA02BF" w:rsidP="00433829" w14:paraId="0CE12C57" w14:textId="2181CDFB">
      <w:pPr>
        <w:rPr>
          <w:szCs w:val="26"/>
        </w:rPr>
      </w:pPr>
      <w:r w:rsidRPr="00CA02BF">
        <w:rPr>
          <w:szCs w:val="26"/>
        </w:rPr>
        <w:tab/>
        <w:t xml:space="preserve">A </w:t>
      </w:r>
      <w:r>
        <w:rPr>
          <w:szCs w:val="26"/>
        </w:rPr>
        <w:t>statutory</w:t>
      </w:r>
      <w:r w:rsidRPr="00CA02BF">
        <w:rPr>
          <w:szCs w:val="26"/>
        </w:rPr>
        <w:t xml:space="preserve"> note to the Act </w:t>
      </w:r>
      <w:r w:rsidR="007A1933">
        <w:rPr>
          <w:szCs w:val="26"/>
        </w:rPr>
        <w:t>adds</w:t>
      </w:r>
      <w:r w:rsidRPr="00CA02BF">
        <w:rPr>
          <w:szCs w:val="26"/>
        </w:rPr>
        <w:t>:  “</w:t>
      </w:r>
      <w:bookmarkStart w:id="5" w:name="_Hlk152166451"/>
      <w:r w:rsidRPr="00CA02BF">
        <w:rPr>
          <w:szCs w:val="26"/>
        </w:rPr>
        <w:t>This Act, and the amendments made by this Act, shall apply with respect to any dispute or claim that arises or accrues on or after the date of enactment of this Act</w:t>
      </w:r>
      <w:bookmarkEnd w:id="5"/>
      <w:r w:rsidRPr="00CA02BF">
        <w:rPr>
          <w:szCs w:val="26"/>
        </w:rPr>
        <w:t xml:space="preserve">.”  </w:t>
      </w:r>
      <w:bookmarkStart w:id="6" w:name="_Hlk152166557"/>
      <w:r w:rsidRPr="00CA02BF">
        <w:rPr>
          <w:szCs w:val="26"/>
        </w:rPr>
        <w:t>(Pub.L. No. 117-90, § 3, reprinted in notes foll. 9 U.S.C. § 401.)</w:t>
      </w:r>
      <w:r w:rsidR="003352A1">
        <w:rPr>
          <w:szCs w:val="26"/>
        </w:rPr>
        <w:t xml:space="preserve">  </w:t>
      </w:r>
      <w:bookmarkEnd w:id="6"/>
      <w:r w:rsidR="00310FF7">
        <w:rPr>
          <w:szCs w:val="26"/>
        </w:rPr>
        <w:t xml:space="preserve">All provisions enacted by Congress, including a provision codified as a statutory note, must be given equal weight </w:t>
      </w:r>
      <w:r w:rsidR="000B2373">
        <w:rPr>
          <w:szCs w:val="26"/>
        </w:rPr>
        <w:t xml:space="preserve">regardless of their placement by the codifier. </w:t>
      </w:r>
      <w:r w:rsidR="009F5539">
        <w:rPr>
          <w:szCs w:val="26"/>
        </w:rPr>
        <w:t xml:space="preserve"> </w:t>
      </w:r>
      <w:r w:rsidR="000B2373">
        <w:rPr>
          <w:szCs w:val="26"/>
        </w:rPr>
        <w:t>(</w:t>
      </w:r>
      <w:r w:rsidRPr="000B2373" w:rsidR="000B2373">
        <w:rPr>
          <w:i/>
          <w:iCs/>
          <w:szCs w:val="26"/>
        </w:rPr>
        <w:t>Famuyide v. Chipotle Mexican Grill, Inc.</w:t>
      </w:r>
      <w:r w:rsidRPr="000B2373" w:rsidR="000B2373">
        <w:rPr>
          <w:szCs w:val="26"/>
        </w:rPr>
        <w:t xml:space="preserve"> (D. Minn., Aug. 31, 2023, No. CV 23-1127 (DWF/ECW)) 2023 WL 5651915, at *3</w:t>
      </w:r>
      <w:r w:rsidR="003E6672">
        <w:rPr>
          <w:szCs w:val="26"/>
        </w:rPr>
        <w:t xml:space="preserve"> (</w:t>
      </w:r>
      <w:r w:rsidRPr="003E6672" w:rsidR="003E6672">
        <w:rPr>
          <w:i/>
          <w:iCs/>
          <w:szCs w:val="26"/>
        </w:rPr>
        <w:t>Famuyide</w:t>
      </w:r>
      <w:r w:rsidR="003E6672">
        <w:rPr>
          <w:szCs w:val="26"/>
        </w:rPr>
        <w:t xml:space="preserve">).)  </w:t>
      </w:r>
      <w:r w:rsidR="006A5907">
        <w:rPr>
          <w:szCs w:val="26"/>
        </w:rPr>
        <w:t>“</w:t>
      </w:r>
      <w:r w:rsidRPr="00CA02BF">
        <w:rPr>
          <w:szCs w:val="26"/>
        </w:rPr>
        <w:t>The Court must read § 402(a) in conjunction with the statutory note, as both are binding law.</w:t>
      </w:r>
      <w:r w:rsidR="006A5907">
        <w:rPr>
          <w:szCs w:val="26"/>
        </w:rPr>
        <w:t>”  (</w:t>
      </w:r>
      <w:r w:rsidRPr="006A5907" w:rsidR="006A5907">
        <w:rPr>
          <w:i/>
          <w:iCs/>
          <w:szCs w:val="26"/>
        </w:rPr>
        <w:t>Ibid</w:t>
      </w:r>
      <w:r w:rsidR="006A5907">
        <w:rPr>
          <w:szCs w:val="26"/>
        </w:rPr>
        <w:t>.)</w:t>
      </w:r>
    </w:p>
    <w:p w:rsidR="009101B8" w:rsidP="00433829" w14:paraId="45C6320D" w14:textId="77777777">
      <w:pPr>
        <w:rPr>
          <w:szCs w:val="26"/>
        </w:rPr>
      </w:pPr>
    </w:p>
    <w:p w:rsidR="009101B8" w:rsidRPr="00143C8D" w:rsidP="00433829" w14:paraId="08832452" w14:textId="19BF8EE7">
      <w:pPr>
        <w:rPr>
          <w:b/>
          <w:bCs/>
          <w:szCs w:val="26"/>
          <w:u w:val="single"/>
        </w:rPr>
      </w:pPr>
      <w:r>
        <w:rPr>
          <w:b/>
          <w:bCs/>
          <w:szCs w:val="26"/>
          <w:u w:val="single"/>
        </w:rPr>
        <w:t xml:space="preserve">Date of </w:t>
      </w:r>
      <w:r w:rsidRPr="00143C8D" w:rsidR="000C14DC">
        <w:rPr>
          <w:b/>
          <w:bCs/>
          <w:szCs w:val="26"/>
          <w:u w:val="single"/>
        </w:rPr>
        <w:t>Dispute</w:t>
      </w:r>
    </w:p>
    <w:p w:rsidR="009101B8" w:rsidP="00433829" w14:paraId="28167AE2" w14:textId="77777777">
      <w:pPr>
        <w:rPr>
          <w:szCs w:val="26"/>
        </w:rPr>
      </w:pPr>
    </w:p>
    <w:p w:rsidR="009101B8" w:rsidP="00433829" w14:paraId="013F1D69" w14:textId="1BA4C07D">
      <w:pPr>
        <w:rPr>
          <w:szCs w:val="26"/>
        </w:rPr>
      </w:pPr>
      <w:r>
        <w:rPr>
          <w:szCs w:val="26"/>
        </w:rPr>
        <w:tab/>
        <w:t xml:space="preserve">The Center defendants contend </w:t>
      </w:r>
      <w:r w:rsidR="00CA2A60">
        <w:rPr>
          <w:szCs w:val="26"/>
        </w:rPr>
        <w:t xml:space="preserve">the </w:t>
      </w:r>
      <w:r w:rsidR="008F5B5D">
        <w:rPr>
          <w:szCs w:val="26"/>
        </w:rPr>
        <w:t xml:space="preserve">arbitration </w:t>
      </w:r>
      <w:r w:rsidR="00CA2A60">
        <w:rPr>
          <w:szCs w:val="26"/>
        </w:rPr>
        <w:t xml:space="preserve">agreement </w:t>
      </w:r>
      <w:r w:rsidR="008F5B5D">
        <w:rPr>
          <w:szCs w:val="26"/>
        </w:rPr>
        <w:t xml:space="preserve">in this case </w:t>
      </w:r>
      <w:r w:rsidR="00CA2A60">
        <w:rPr>
          <w:szCs w:val="26"/>
        </w:rPr>
        <w:t xml:space="preserve">is not a </w:t>
      </w:r>
      <w:r w:rsidR="000C14DC">
        <w:rPr>
          <w:szCs w:val="26"/>
        </w:rPr>
        <w:t>“</w:t>
      </w:r>
      <w:r w:rsidR="00CA2A60">
        <w:rPr>
          <w:szCs w:val="26"/>
        </w:rPr>
        <w:t>predispute</w:t>
      </w:r>
      <w:r w:rsidR="000C14DC">
        <w:rPr>
          <w:szCs w:val="26"/>
        </w:rPr>
        <w:t>”</w:t>
      </w:r>
      <w:r w:rsidR="00CA2A60">
        <w:rPr>
          <w:szCs w:val="26"/>
        </w:rPr>
        <w:t xml:space="preserve"> arbitration agreement because </w:t>
      </w:r>
      <w:r w:rsidR="000C14DC">
        <w:rPr>
          <w:szCs w:val="26"/>
        </w:rPr>
        <w:t xml:space="preserve">the </w:t>
      </w:r>
      <w:r w:rsidR="008F5B5D">
        <w:rPr>
          <w:szCs w:val="26"/>
        </w:rPr>
        <w:t xml:space="preserve">conduct </w:t>
      </w:r>
      <w:r w:rsidR="0062384D">
        <w:rPr>
          <w:szCs w:val="26"/>
        </w:rPr>
        <w:t xml:space="preserve">allegedly began </w:t>
      </w:r>
      <w:r w:rsidR="0028071F">
        <w:rPr>
          <w:szCs w:val="26"/>
        </w:rPr>
        <w:t xml:space="preserve">before </w:t>
      </w:r>
      <w:r w:rsidR="00CA2A60">
        <w:rPr>
          <w:szCs w:val="26"/>
        </w:rPr>
        <w:t xml:space="preserve">Kader signed the </w:t>
      </w:r>
      <w:r w:rsidR="005154DC">
        <w:rPr>
          <w:szCs w:val="26"/>
        </w:rPr>
        <w:t xml:space="preserve">arbitration </w:t>
      </w:r>
      <w:r w:rsidR="00CA2A60">
        <w:rPr>
          <w:szCs w:val="26"/>
        </w:rPr>
        <w:t>agreement.</w:t>
      </w:r>
      <w:r w:rsidR="000C14DC">
        <w:rPr>
          <w:szCs w:val="26"/>
        </w:rPr>
        <w:t xml:space="preserve">  We disagree</w:t>
      </w:r>
      <w:r w:rsidR="00486EED">
        <w:rPr>
          <w:szCs w:val="26"/>
        </w:rPr>
        <w:t xml:space="preserve"> with the Center’s interpretation</w:t>
      </w:r>
      <w:r w:rsidR="005154DC">
        <w:rPr>
          <w:szCs w:val="26"/>
        </w:rPr>
        <w:t xml:space="preserve"> of the term</w:t>
      </w:r>
      <w:r w:rsidR="00FE15B1">
        <w:rPr>
          <w:szCs w:val="26"/>
        </w:rPr>
        <w:t xml:space="preserve"> “dispute</w:t>
      </w:r>
      <w:r w:rsidR="000C14DC">
        <w:rPr>
          <w:szCs w:val="26"/>
        </w:rPr>
        <w:t>.</w:t>
      </w:r>
      <w:r w:rsidR="00FE15B1">
        <w:rPr>
          <w:szCs w:val="26"/>
        </w:rPr>
        <w:t>”</w:t>
      </w:r>
    </w:p>
    <w:p w:rsidR="00BF0625" w:rsidP="00433829" w14:paraId="17B22D1C" w14:textId="5A28059A">
      <w:pPr>
        <w:rPr>
          <w:szCs w:val="26"/>
        </w:rPr>
      </w:pPr>
      <w:r>
        <w:rPr>
          <w:szCs w:val="26"/>
        </w:rPr>
        <w:tab/>
      </w:r>
      <w:r w:rsidRPr="000C14DC">
        <w:rPr>
          <w:szCs w:val="26"/>
        </w:rPr>
        <w:t xml:space="preserve">The Act does not define a “dispute” or state when a dispute has “arisen.”  </w:t>
      </w:r>
      <w:r w:rsidR="0028071F">
        <w:rPr>
          <w:szCs w:val="26"/>
        </w:rPr>
        <w:t xml:space="preserve">We look to general and legal dictionaries for </w:t>
      </w:r>
      <w:r w:rsidRPr="000C14DC">
        <w:rPr>
          <w:szCs w:val="26"/>
        </w:rPr>
        <w:t>a term’s ordinary meaning</w:t>
      </w:r>
      <w:r w:rsidR="0028071F">
        <w:rPr>
          <w:szCs w:val="26"/>
        </w:rPr>
        <w:t xml:space="preserve">.  </w:t>
      </w:r>
      <w:r w:rsidRPr="000C14DC">
        <w:rPr>
          <w:szCs w:val="26"/>
        </w:rPr>
        <w:t>(</w:t>
      </w:r>
      <w:r w:rsidRPr="000C14DC">
        <w:rPr>
          <w:i/>
          <w:iCs/>
          <w:szCs w:val="26"/>
        </w:rPr>
        <w:t>Fair Education Santa Barbara v. Santa Barbara Unified School Dist</w:t>
      </w:r>
      <w:r w:rsidR="003930B3">
        <w:rPr>
          <w:i/>
          <w:iCs/>
          <w:szCs w:val="26"/>
        </w:rPr>
        <w:t>rict</w:t>
      </w:r>
      <w:r w:rsidRPr="000C14DC">
        <w:rPr>
          <w:szCs w:val="26"/>
        </w:rPr>
        <w:t xml:space="preserve"> (2021) 72 Cal.App.5th 884, 898.)  The Cambridge Dictionary defines a dispute as “an argument or disagreement, especially an official one.” </w:t>
      </w:r>
      <w:r w:rsidR="007315C7">
        <w:rPr>
          <w:szCs w:val="26"/>
        </w:rPr>
        <w:t xml:space="preserve"> </w:t>
      </w:r>
      <w:r w:rsidRPr="000C14DC">
        <w:rPr>
          <w:szCs w:val="26"/>
        </w:rPr>
        <w:t>(Cambridge</w:t>
      </w:r>
      <w:r w:rsidR="00CB79A7">
        <w:rPr>
          <w:szCs w:val="26"/>
        </w:rPr>
        <w:t> </w:t>
      </w:r>
      <w:r w:rsidRPr="000C14DC">
        <w:rPr>
          <w:szCs w:val="26"/>
        </w:rPr>
        <w:t>Dictionary,</w:t>
      </w:r>
      <w:r w:rsidR="007D44BA">
        <w:rPr>
          <w:szCs w:val="26"/>
        </w:rPr>
        <w:t> </w:t>
      </w:r>
      <w:r w:rsidRPr="000C14DC">
        <w:rPr>
          <w:szCs w:val="26"/>
        </w:rPr>
        <w:t>https://dictionary.cambridge.org/us/dictionary/english/dispute (</w:t>
      </w:r>
      <w:r w:rsidR="00DC4AFA">
        <w:rPr>
          <w:szCs w:val="26"/>
        </w:rPr>
        <w:t>Jan</w:t>
      </w:r>
      <w:r w:rsidR="00617043">
        <w:rPr>
          <w:szCs w:val="26"/>
        </w:rPr>
        <w:t>.</w:t>
      </w:r>
      <w:r w:rsidR="00DC4AFA">
        <w:rPr>
          <w:szCs w:val="26"/>
        </w:rPr>
        <w:t xml:space="preserve"> 22, 202</w:t>
      </w:r>
      <w:r w:rsidR="00D1738F">
        <w:rPr>
          <w:szCs w:val="26"/>
        </w:rPr>
        <w:t>4</w:t>
      </w:r>
      <w:r w:rsidRPr="000C14DC">
        <w:rPr>
          <w:szCs w:val="26"/>
        </w:rPr>
        <w:t xml:space="preserve">).)  Black’s Law Dictionary defines a dispute as a “conflict or controversy, esp. one that has given rise to a particular lawsuit.”  (Black’s Law Dictionary (11th ed. 2019).) </w:t>
      </w:r>
      <w:r w:rsidR="00D07DA9">
        <w:rPr>
          <w:szCs w:val="26"/>
        </w:rPr>
        <w:t xml:space="preserve"> </w:t>
      </w:r>
      <w:r w:rsidRPr="000C14DC">
        <w:rPr>
          <w:szCs w:val="26"/>
        </w:rPr>
        <w:t xml:space="preserve">Merriam-Webster’s Dictionary of Law </w:t>
      </w:r>
      <w:r w:rsidR="00016D77">
        <w:rPr>
          <w:szCs w:val="26"/>
        </w:rPr>
        <w:t>states</w:t>
      </w:r>
      <w:r w:rsidRPr="000C14DC">
        <w:rPr>
          <w:szCs w:val="26"/>
        </w:rPr>
        <w:t xml:space="preserve"> a dispute </w:t>
      </w:r>
      <w:r w:rsidR="00016D77">
        <w:rPr>
          <w:szCs w:val="26"/>
        </w:rPr>
        <w:t>is</w:t>
      </w:r>
      <w:r w:rsidRPr="000C14DC">
        <w:rPr>
          <w:szCs w:val="26"/>
        </w:rPr>
        <w:t xml:space="preserve"> “an assertion of opposing views or claims:</w:t>
      </w:r>
      <w:r w:rsidR="00586B77">
        <w:rPr>
          <w:szCs w:val="26"/>
        </w:rPr>
        <w:t xml:space="preserve"> </w:t>
      </w:r>
      <w:r w:rsidRPr="000C14DC">
        <w:rPr>
          <w:szCs w:val="26"/>
        </w:rPr>
        <w:t xml:space="preserve"> a disagreement as to rights[,] </w:t>
      </w:r>
      <w:r w:rsidRPr="00154074">
        <w:rPr>
          <w:i/>
          <w:iCs/>
          <w:szCs w:val="26"/>
        </w:rPr>
        <w:t>especially</w:t>
      </w:r>
      <w:r w:rsidRPr="00154074" w:rsidR="00192945">
        <w:rPr>
          <w:szCs w:val="26"/>
        </w:rPr>
        <w:t>:</w:t>
      </w:r>
      <w:r w:rsidR="00EB5E20">
        <w:rPr>
          <w:szCs w:val="26"/>
        </w:rPr>
        <w:t> </w:t>
      </w:r>
      <w:r w:rsidR="00C21008">
        <w:rPr>
          <w:szCs w:val="26"/>
        </w:rPr>
        <w:t> </w:t>
      </w:r>
      <w:r w:rsidRPr="000C14DC">
        <w:rPr>
          <w:szCs w:val="26"/>
        </w:rPr>
        <w:t xml:space="preserve">one that is the subject of proceedings for resolution (as arbitration).”  (Merriam-Webster’s </w:t>
      </w:r>
      <w:r w:rsidRPr="000C14DC" w:rsidR="00644D57">
        <w:rPr>
          <w:szCs w:val="26"/>
        </w:rPr>
        <w:t>Dictionary of</w:t>
      </w:r>
      <w:r w:rsidRPr="000C14DC">
        <w:rPr>
          <w:szCs w:val="26"/>
        </w:rPr>
        <w:t xml:space="preserve"> Law, https://www.merriam-</w:t>
      </w:r>
      <w:r w:rsidR="00E257C6">
        <w:rPr>
          <w:szCs w:val="26"/>
        </w:rPr>
        <w:t> </w:t>
      </w:r>
      <w:r w:rsidRPr="000C14DC">
        <w:rPr>
          <w:szCs w:val="26"/>
        </w:rPr>
        <w:t>webster.com/dictionary/dispute#legalDictionary (</w:t>
      </w:r>
      <w:r w:rsidR="008D4909">
        <w:rPr>
          <w:szCs w:val="26"/>
        </w:rPr>
        <w:t xml:space="preserve">Jan. </w:t>
      </w:r>
      <w:r w:rsidR="00617043">
        <w:rPr>
          <w:szCs w:val="26"/>
        </w:rPr>
        <w:t>22, 2024</w:t>
      </w:r>
      <w:r w:rsidRPr="000C14DC">
        <w:rPr>
          <w:szCs w:val="26"/>
        </w:rPr>
        <w:t>).)</w:t>
      </w:r>
    </w:p>
    <w:p w:rsidR="00BA7A47" w:rsidP="00433829" w14:paraId="136D7A4E" w14:textId="695D67F0">
      <w:pPr>
        <w:rPr>
          <w:szCs w:val="26"/>
        </w:rPr>
      </w:pPr>
      <w:r>
        <w:rPr>
          <w:szCs w:val="26"/>
        </w:rPr>
        <w:tab/>
        <w:t xml:space="preserve">We conclude </w:t>
      </w:r>
      <w:r w:rsidR="00055D54">
        <w:rPr>
          <w:szCs w:val="26"/>
        </w:rPr>
        <w:t xml:space="preserve">the </w:t>
      </w:r>
      <w:r w:rsidR="00A10F8D">
        <w:rPr>
          <w:szCs w:val="26"/>
        </w:rPr>
        <w:t>date that</w:t>
      </w:r>
      <w:r w:rsidR="00055D54">
        <w:rPr>
          <w:szCs w:val="26"/>
        </w:rPr>
        <w:t xml:space="preserve"> a</w:t>
      </w:r>
      <w:r w:rsidR="00215F8A">
        <w:rPr>
          <w:szCs w:val="26"/>
        </w:rPr>
        <w:t xml:space="preserve"> dispute </w:t>
      </w:r>
      <w:r w:rsidR="007F7CA8">
        <w:rPr>
          <w:szCs w:val="26"/>
        </w:rPr>
        <w:t>has arisen</w:t>
      </w:r>
      <w:r w:rsidR="00A10F8D">
        <w:rPr>
          <w:szCs w:val="26"/>
        </w:rPr>
        <w:t xml:space="preserve"> for purposes of the Act</w:t>
      </w:r>
      <w:r w:rsidR="00215F8A">
        <w:rPr>
          <w:szCs w:val="26"/>
        </w:rPr>
        <w:t xml:space="preserve"> </w:t>
      </w:r>
      <w:r w:rsidR="006F5ABA">
        <w:rPr>
          <w:szCs w:val="26"/>
        </w:rPr>
        <w:t>is a fact-specific inquiry</w:t>
      </w:r>
      <w:r w:rsidR="00E14AB8">
        <w:rPr>
          <w:szCs w:val="26"/>
        </w:rPr>
        <w:t xml:space="preserve"> in each case</w:t>
      </w:r>
      <w:r w:rsidR="008971C9">
        <w:rPr>
          <w:szCs w:val="26"/>
        </w:rPr>
        <w:t xml:space="preserve">, but </w:t>
      </w:r>
      <w:r w:rsidR="00CE3820">
        <w:rPr>
          <w:szCs w:val="26"/>
        </w:rPr>
        <w:t>a dispute</w:t>
      </w:r>
      <w:r w:rsidR="005F04A1">
        <w:rPr>
          <w:szCs w:val="26"/>
        </w:rPr>
        <w:t xml:space="preserve"> does not arise </w:t>
      </w:r>
      <w:r w:rsidR="00EA76A0">
        <w:rPr>
          <w:szCs w:val="26"/>
        </w:rPr>
        <w:t>solely from</w:t>
      </w:r>
      <w:r w:rsidR="00474395">
        <w:rPr>
          <w:szCs w:val="26"/>
        </w:rPr>
        <w:t xml:space="preserve"> </w:t>
      </w:r>
      <w:r w:rsidR="00A10F8D">
        <w:rPr>
          <w:szCs w:val="26"/>
        </w:rPr>
        <w:t>the alleged sexual conduct</w:t>
      </w:r>
      <w:r w:rsidR="008C5D20">
        <w:rPr>
          <w:szCs w:val="26"/>
        </w:rPr>
        <w:t xml:space="preserve">.  </w:t>
      </w:r>
      <w:r w:rsidR="00D343C5">
        <w:rPr>
          <w:szCs w:val="26"/>
        </w:rPr>
        <w:t xml:space="preserve">A </w:t>
      </w:r>
      <w:r>
        <w:rPr>
          <w:szCs w:val="26"/>
        </w:rPr>
        <w:t xml:space="preserve">dispute arises when </w:t>
      </w:r>
      <w:r w:rsidR="00550349">
        <w:rPr>
          <w:szCs w:val="26"/>
        </w:rPr>
        <w:t>one</w:t>
      </w:r>
      <w:r>
        <w:rPr>
          <w:szCs w:val="26"/>
        </w:rPr>
        <w:t xml:space="preserve"> party</w:t>
      </w:r>
      <w:r w:rsidR="007E34EA">
        <w:rPr>
          <w:szCs w:val="26"/>
        </w:rPr>
        <w:t xml:space="preserve"> asserts a right, claim, or demand</w:t>
      </w:r>
      <w:r w:rsidR="00693492">
        <w:rPr>
          <w:szCs w:val="26"/>
        </w:rPr>
        <w:t>,</w:t>
      </w:r>
      <w:r w:rsidR="007E34EA">
        <w:rPr>
          <w:szCs w:val="26"/>
        </w:rPr>
        <w:t xml:space="preserve"> and </w:t>
      </w:r>
      <w:r w:rsidR="00E33E3C">
        <w:rPr>
          <w:szCs w:val="26"/>
        </w:rPr>
        <w:t xml:space="preserve">the other side </w:t>
      </w:r>
      <w:r w:rsidR="00055D54">
        <w:rPr>
          <w:szCs w:val="26"/>
        </w:rPr>
        <w:t>expresses disagreement</w:t>
      </w:r>
      <w:r w:rsidR="009A1A39">
        <w:rPr>
          <w:szCs w:val="26"/>
        </w:rPr>
        <w:t xml:space="preserve"> or </w:t>
      </w:r>
      <w:r w:rsidR="00055D54">
        <w:rPr>
          <w:szCs w:val="26"/>
        </w:rPr>
        <w:t>takes</w:t>
      </w:r>
      <w:r w:rsidR="009A1A39">
        <w:rPr>
          <w:szCs w:val="26"/>
        </w:rPr>
        <w:t xml:space="preserve"> an adversarial posture</w:t>
      </w:r>
      <w:r w:rsidR="00F10640">
        <w:rPr>
          <w:szCs w:val="26"/>
        </w:rPr>
        <w:t xml:space="preserve">. </w:t>
      </w:r>
      <w:r>
        <w:rPr>
          <w:szCs w:val="26"/>
        </w:rPr>
        <w:t xml:space="preserve"> (</w:t>
      </w:r>
      <w:r w:rsidRPr="00630ACB">
        <w:rPr>
          <w:i/>
          <w:iCs/>
          <w:szCs w:val="26"/>
        </w:rPr>
        <w:t>Famuyid</w:t>
      </w:r>
      <w:r w:rsidR="00554AD9">
        <w:rPr>
          <w:i/>
          <w:iCs/>
          <w:szCs w:val="26"/>
        </w:rPr>
        <w:t>e, supra</w:t>
      </w:r>
      <w:r w:rsidRPr="00BA7A47">
        <w:rPr>
          <w:szCs w:val="26"/>
        </w:rPr>
        <w:t>, at *3</w:t>
      </w:r>
      <w:r w:rsidR="00554AD9">
        <w:rPr>
          <w:szCs w:val="26"/>
        </w:rPr>
        <w:t>.</w:t>
      </w:r>
      <w:r>
        <w:rPr>
          <w:szCs w:val="26"/>
        </w:rPr>
        <w:t xml:space="preserve">)  </w:t>
      </w:r>
      <w:r w:rsidR="00D403FA">
        <w:rPr>
          <w:szCs w:val="26"/>
        </w:rPr>
        <w:t xml:space="preserve">In other words, </w:t>
      </w:r>
      <w:r w:rsidR="007E34EA">
        <w:rPr>
          <w:szCs w:val="26"/>
        </w:rPr>
        <w:t>“</w:t>
      </w:r>
      <w:r w:rsidR="00DA6ED4">
        <w:rPr>
          <w:szCs w:val="26"/>
        </w:rPr>
        <w:t>[</w:t>
      </w:r>
      <w:r w:rsidR="00D403FA">
        <w:rPr>
          <w:szCs w:val="26"/>
        </w:rPr>
        <w:t>a</w:t>
      </w:r>
      <w:r w:rsidR="00DA6ED4">
        <w:rPr>
          <w:szCs w:val="26"/>
        </w:rPr>
        <w:t>]</w:t>
      </w:r>
      <w:r>
        <w:rPr>
          <w:szCs w:val="26"/>
        </w:rPr>
        <w:t xml:space="preserve"> dispute</w:t>
      </w:r>
      <w:r w:rsidRPr="007E34EA" w:rsidR="007E34EA">
        <w:t xml:space="preserve"> </w:t>
      </w:r>
      <w:r w:rsidRPr="007E34EA" w:rsidR="007E34EA">
        <w:rPr>
          <w:szCs w:val="26"/>
        </w:rPr>
        <w:t>cannot arise until both sides have expressed their disagreement, either through words or actions.</w:t>
      </w:r>
      <w:r w:rsidR="007E34EA">
        <w:rPr>
          <w:szCs w:val="26"/>
        </w:rPr>
        <w:t>”</w:t>
      </w:r>
      <w:r w:rsidR="00E14AB8">
        <w:rPr>
          <w:szCs w:val="26"/>
        </w:rPr>
        <w:t xml:space="preserve"> </w:t>
      </w:r>
      <w:r>
        <w:rPr>
          <w:szCs w:val="26"/>
        </w:rPr>
        <w:t xml:space="preserve"> (</w:t>
      </w:r>
      <w:r w:rsidR="00EB3A14">
        <w:rPr>
          <w:i/>
          <w:iCs/>
          <w:szCs w:val="26"/>
        </w:rPr>
        <w:t>Id</w:t>
      </w:r>
      <w:r w:rsidRPr="009114D3" w:rsidR="00EB3A14">
        <w:rPr>
          <w:szCs w:val="26"/>
        </w:rPr>
        <w:t>. at *8</w:t>
      </w:r>
      <w:r>
        <w:rPr>
          <w:szCs w:val="26"/>
        </w:rPr>
        <w:t>.)</w:t>
      </w:r>
      <w:r w:rsidR="00630ACB">
        <w:rPr>
          <w:szCs w:val="26"/>
        </w:rPr>
        <w:t xml:space="preserve">  Until there is a conflict or disagreement, there is nothing to resolve in litigation.  (</w:t>
      </w:r>
      <w:r w:rsidRPr="00630ACB" w:rsidR="00630ACB">
        <w:rPr>
          <w:i/>
          <w:iCs/>
          <w:szCs w:val="26"/>
        </w:rPr>
        <w:t>Ibid</w:t>
      </w:r>
      <w:r w:rsidR="00630ACB">
        <w:rPr>
          <w:szCs w:val="26"/>
        </w:rPr>
        <w:t>.)</w:t>
      </w:r>
    </w:p>
    <w:p w:rsidR="00630ACB" w:rsidP="00433829" w14:paraId="2B04B186" w14:textId="2A1EF3F3">
      <w:pPr>
        <w:rPr>
          <w:szCs w:val="26"/>
        </w:rPr>
      </w:pPr>
      <w:r>
        <w:rPr>
          <w:szCs w:val="26"/>
        </w:rPr>
        <w:tab/>
        <w:t>“</w:t>
      </w:r>
      <w:r w:rsidRPr="00630ACB">
        <w:rPr>
          <w:szCs w:val="26"/>
        </w:rPr>
        <w:t xml:space="preserve">Other courts have analyzed this language and similarly concluded that a dispute requires some sort of disagreement or </w:t>
      </w:r>
      <w:r>
        <w:rPr>
          <w:szCs w:val="26"/>
        </w:rPr>
        <w:t>‘</w:t>
      </w:r>
      <w:r w:rsidRPr="00630ACB">
        <w:rPr>
          <w:szCs w:val="26"/>
        </w:rPr>
        <w:t>adversarial posture.</w:t>
      </w:r>
      <w:r>
        <w:rPr>
          <w:szCs w:val="26"/>
        </w:rPr>
        <w:t>’  [(</w:t>
      </w:r>
      <w:r w:rsidRPr="00CF68D9">
        <w:rPr>
          <w:i/>
          <w:iCs/>
          <w:szCs w:val="26"/>
        </w:rPr>
        <w:t xml:space="preserve">Hodgin v. Intensive Care Consortium, Inc. </w:t>
      </w:r>
      <w:r w:rsidRPr="00630ACB">
        <w:rPr>
          <w:szCs w:val="26"/>
        </w:rPr>
        <w:t>(S.D. Fla., Mar. 31, 2023, No. 22-81733-CV) 2023 WL 2751443, at *2</w:t>
      </w:r>
      <w:r w:rsidR="003000A0">
        <w:rPr>
          <w:szCs w:val="26"/>
        </w:rPr>
        <w:t xml:space="preserve"> (</w:t>
      </w:r>
      <w:r w:rsidRPr="003000A0" w:rsidR="003000A0">
        <w:rPr>
          <w:i/>
          <w:iCs/>
          <w:szCs w:val="26"/>
        </w:rPr>
        <w:t>Hodgin</w:t>
      </w:r>
      <w:r w:rsidR="003000A0">
        <w:rPr>
          <w:szCs w:val="26"/>
        </w:rPr>
        <w:t>)</w:t>
      </w:r>
      <w:r w:rsidRPr="00630ACB">
        <w:rPr>
          <w:szCs w:val="26"/>
        </w:rPr>
        <w:t xml:space="preserve">; </w:t>
      </w:r>
      <w:r w:rsidRPr="00CF68D9">
        <w:rPr>
          <w:i/>
          <w:iCs/>
          <w:szCs w:val="26"/>
        </w:rPr>
        <w:t xml:space="preserve">Silverman v. DiscGenics, Inc. </w:t>
      </w:r>
      <w:r w:rsidRPr="00630ACB">
        <w:rPr>
          <w:szCs w:val="26"/>
        </w:rPr>
        <w:t>(D. Utah, Mar. 13, 2023, No. 2</w:t>
      </w:r>
      <w:r w:rsidR="00DF32DE">
        <w:rPr>
          <w:szCs w:val="26"/>
        </w:rPr>
        <w:t>:</w:t>
      </w:r>
      <w:r w:rsidRPr="00630ACB">
        <w:rPr>
          <w:szCs w:val="26"/>
        </w:rPr>
        <w:t>22</w:t>
      </w:r>
      <w:r w:rsidR="00F301EA">
        <w:rPr>
          <w:szCs w:val="26"/>
        </w:rPr>
        <w:t>CV</w:t>
      </w:r>
      <w:r w:rsidRPr="00630ACB">
        <w:rPr>
          <w:szCs w:val="26"/>
        </w:rPr>
        <w:t>00354</w:t>
      </w:r>
      <w:r w:rsidR="00163E8C">
        <w:rPr>
          <w:szCs w:val="26"/>
        </w:rPr>
        <w:t>-</w:t>
      </w:r>
      <w:r w:rsidRPr="00630ACB">
        <w:rPr>
          <w:szCs w:val="26"/>
        </w:rPr>
        <w:t>JNP</w:t>
      </w:r>
      <w:r w:rsidR="00163E8C">
        <w:rPr>
          <w:szCs w:val="26"/>
        </w:rPr>
        <w:t>-</w:t>
      </w:r>
      <w:r w:rsidRPr="00630ACB">
        <w:rPr>
          <w:szCs w:val="26"/>
        </w:rPr>
        <w:t>DAO) 2023 WL 2480054, at *2</w:t>
      </w:r>
      <w:r>
        <w:rPr>
          <w:szCs w:val="26"/>
        </w:rPr>
        <w:t xml:space="preserve">] </w:t>
      </w:r>
      <w:r w:rsidRPr="00630ACB">
        <w:rPr>
          <w:szCs w:val="26"/>
        </w:rPr>
        <w:t xml:space="preserve">(concluding dispute </w:t>
      </w:r>
      <w:r>
        <w:rPr>
          <w:szCs w:val="26"/>
        </w:rPr>
        <w:t>arose when plaintiffs filed discrimination charges with government agency)</w:t>
      </w:r>
      <w:r w:rsidRPr="00630ACB">
        <w:rPr>
          <w:szCs w:val="26"/>
        </w:rPr>
        <w:t>.</w:t>
      </w:r>
      <w:r>
        <w:rPr>
          <w:szCs w:val="26"/>
        </w:rPr>
        <w:t>)]”  (</w:t>
      </w:r>
      <w:r w:rsidRPr="00CF68D9">
        <w:rPr>
          <w:i/>
          <w:iCs/>
          <w:szCs w:val="26"/>
        </w:rPr>
        <w:t>Famuyide</w:t>
      </w:r>
      <w:r w:rsidR="00CF68D9">
        <w:rPr>
          <w:szCs w:val="26"/>
        </w:rPr>
        <w:t xml:space="preserve">, </w:t>
      </w:r>
      <w:r w:rsidRPr="00CF68D9" w:rsidR="00CF68D9">
        <w:rPr>
          <w:i/>
          <w:iCs/>
          <w:szCs w:val="26"/>
        </w:rPr>
        <w:t>supra</w:t>
      </w:r>
      <w:r w:rsidR="00CF68D9">
        <w:rPr>
          <w:szCs w:val="26"/>
        </w:rPr>
        <w:t>,</w:t>
      </w:r>
      <w:r w:rsidRPr="00630ACB">
        <w:rPr>
          <w:szCs w:val="26"/>
        </w:rPr>
        <w:t xml:space="preserve"> at *3</w:t>
      </w:r>
      <w:r w:rsidR="00CF68D9">
        <w:rPr>
          <w:szCs w:val="26"/>
        </w:rPr>
        <w:t>.)  The term dispute is broader than simply filing an action in court and includes many forums.  (</w:t>
      </w:r>
      <w:r w:rsidRPr="00CF68D9" w:rsidR="00CF68D9">
        <w:rPr>
          <w:i/>
          <w:iCs/>
          <w:szCs w:val="26"/>
        </w:rPr>
        <w:t>Ibid</w:t>
      </w:r>
      <w:r w:rsidR="00CF68D9">
        <w:rPr>
          <w:szCs w:val="26"/>
        </w:rPr>
        <w:t>.)</w:t>
      </w:r>
      <w:bookmarkStart w:id="7" w:name="_Hlk152146183"/>
    </w:p>
    <w:p w:rsidR="00215A71" w:rsidP="00433829" w14:paraId="11FFD440" w14:textId="626EACA3">
      <w:pPr>
        <w:rPr>
          <w:szCs w:val="26"/>
        </w:rPr>
      </w:pPr>
      <w:r w:rsidRPr="000F5B9B">
        <w:rPr>
          <w:szCs w:val="26"/>
        </w:rPr>
        <w:tab/>
      </w:r>
      <w:r>
        <w:rPr>
          <w:szCs w:val="26"/>
        </w:rPr>
        <w:t>The Center defendants contend</w:t>
      </w:r>
      <w:r w:rsidR="008910F1">
        <w:rPr>
          <w:szCs w:val="26"/>
        </w:rPr>
        <w:t>, however,</w:t>
      </w:r>
      <w:r>
        <w:rPr>
          <w:szCs w:val="26"/>
        </w:rPr>
        <w:t xml:space="preserve"> </w:t>
      </w:r>
      <w:r w:rsidR="00550349">
        <w:rPr>
          <w:szCs w:val="26"/>
        </w:rPr>
        <w:t xml:space="preserve">that </w:t>
      </w:r>
      <w:r>
        <w:rPr>
          <w:szCs w:val="26"/>
        </w:rPr>
        <w:t xml:space="preserve">a dispute arises </w:t>
      </w:r>
      <w:r w:rsidR="006940A9">
        <w:rPr>
          <w:szCs w:val="26"/>
        </w:rPr>
        <w:t>when</w:t>
      </w:r>
      <w:r w:rsidR="00041FEA">
        <w:rPr>
          <w:szCs w:val="26"/>
        </w:rPr>
        <w:t xml:space="preserve"> </w:t>
      </w:r>
      <w:r w:rsidR="00436307">
        <w:rPr>
          <w:szCs w:val="26"/>
        </w:rPr>
        <w:t xml:space="preserve">the alleged </w:t>
      </w:r>
      <w:r w:rsidR="00041FEA">
        <w:rPr>
          <w:szCs w:val="26"/>
        </w:rPr>
        <w:t xml:space="preserve">conduct </w:t>
      </w:r>
      <w:r w:rsidR="006940A9">
        <w:rPr>
          <w:szCs w:val="26"/>
        </w:rPr>
        <w:t xml:space="preserve">occurs </w:t>
      </w:r>
      <w:r w:rsidR="00436307">
        <w:rPr>
          <w:szCs w:val="26"/>
        </w:rPr>
        <w:t xml:space="preserve">that constitutes </w:t>
      </w:r>
      <w:r w:rsidR="00041FEA">
        <w:rPr>
          <w:szCs w:val="26"/>
        </w:rPr>
        <w:t>sexual assault or sexual harassment</w:t>
      </w:r>
      <w:r w:rsidRPr="000F5B9B">
        <w:rPr>
          <w:szCs w:val="26"/>
        </w:rPr>
        <w:t>,</w:t>
      </w:r>
      <w:r w:rsidR="00041FEA">
        <w:rPr>
          <w:szCs w:val="26"/>
        </w:rPr>
        <w:t xml:space="preserve"> citing</w:t>
      </w:r>
      <w:r w:rsidRPr="000F5B9B">
        <w:rPr>
          <w:szCs w:val="26"/>
        </w:rPr>
        <w:t xml:space="preserve"> </w:t>
      </w:r>
      <w:r w:rsidRPr="000F5B9B">
        <w:rPr>
          <w:i/>
          <w:iCs/>
          <w:szCs w:val="26"/>
        </w:rPr>
        <w:t>Barnes v. Festival Fun Parks, LLC</w:t>
      </w:r>
      <w:r w:rsidRPr="000F5B9B">
        <w:rPr>
          <w:szCs w:val="26"/>
        </w:rPr>
        <w:t xml:space="preserve"> (W.D. Pa., June 27, 2023, No. 3:22-CV-165) 2023 WL 4209745 </w:t>
      </w:r>
      <w:r w:rsidR="00B23CC5">
        <w:rPr>
          <w:szCs w:val="26"/>
        </w:rPr>
        <w:t>at</w:t>
      </w:r>
      <w:r w:rsidRPr="000F5B9B">
        <w:rPr>
          <w:szCs w:val="26"/>
        </w:rPr>
        <w:t xml:space="preserve"> *1 (</w:t>
      </w:r>
      <w:r w:rsidRPr="000F5B9B">
        <w:rPr>
          <w:i/>
          <w:iCs/>
          <w:szCs w:val="26"/>
        </w:rPr>
        <w:t>Barnes</w:t>
      </w:r>
      <w:r w:rsidRPr="000F5B9B">
        <w:rPr>
          <w:szCs w:val="26"/>
        </w:rPr>
        <w:t xml:space="preserve">).  </w:t>
      </w:r>
      <w:r w:rsidR="008104E0">
        <w:rPr>
          <w:szCs w:val="26"/>
        </w:rPr>
        <w:t>We disagree</w:t>
      </w:r>
      <w:r w:rsidR="00696D31">
        <w:rPr>
          <w:szCs w:val="26"/>
        </w:rPr>
        <w:t xml:space="preserve">.  </w:t>
      </w:r>
      <w:r w:rsidR="001C3BB6">
        <w:rPr>
          <w:szCs w:val="26"/>
        </w:rPr>
        <w:t>The</w:t>
      </w:r>
      <w:r w:rsidRPr="000F5B9B">
        <w:rPr>
          <w:szCs w:val="26"/>
        </w:rPr>
        <w:t xml:space="preserve"> </w:t>
      </w:r>
      <w:r w:rsidRPr="000F5B9B">
        <w:rPr>
          <w:i/>
          <w:iCs/>
          <w:szCs w:val="26"/>
        </w:rPr>
        <w:t>Barnes</w:t>
      </w:r>
      <w:r w:rsidRPr="000F5B9B">
        <w:rPr>
          <w:szCs w:val="26"/>
        </w:rPr>
        <w:t xml:space="preserve"> court</w:t>
      </w:r>
      <w:r w:rsidR="00FA4D48">
        <w:rPr>
          <w:szCs w:val="26"/>
        </w:rPr>
        <w:t xml:space="preserve"> acknowledge</w:t>
      </w:r>
      <w:r w:rsidR="006E0172">
        <w:rPr>
          <w:szCs w:val="26"/>
        </w:rPr>
        <w:t>d</w:t>
      </w:r>
      <w:r w:rsidR="000D307B">
        <w:rPr>
          <w:szCs w:val="26"/>
        </w:rPr>
        <w:t xml:space="preserve"> that </w:t>
      </w:r>
      <w:r w:rsidR="00CF39BB">
        <w:rPr>
          <w:szCs w:val="26"/>
        </w:rPr>
        <w:t>the terms</w:t>
      </w:r>
      <w:r w:rsidR="009B2973">
        <w:rPr>
          <w:szCs w:val="26"/>
        </w:rPr>
        <w:t xml:space="preserve"> </w:t>
      </w:r>
      <w:r w:rsidRPr="000F5B9B">
        <w:rPr>
          <w:szCs w:val="26"/>
        </w:rPr>
        <w:t xml:space="preserve">“dispute” and “claim” </w:t>
      </w:r>
      <w:r w:rsidR="00216B9F">
        <w:rPr>
          <w:szCs w:val="26"/>
        </w:rPr>
        <w:t>have distinct meanings as used</w:t>
      </w:r>
      <w:r w:rsidR="00655DB5">
        <w:rPr>
          <w:szCs w:val="26"/>
        </w:rPr>
        <w:t xml:space="preserve"> </w:t>
      </w:r>
      <w:r w:rsidR="009C334F">
        <w:rPr>
          <w:szCs w:val="26"/>
        </w:rPr>
        <w:t>by Congress</w:t>
      </w:r>
      <w:r w:rsidR="008B789A">
        <w:rPr>
          <w:szCs w:val="26"/>
        </w:rPr>
        <w:t xml:space="preserve">, </w:t>
      </w:r>
      <w:r w:rsidR="001C3BB6">
        <w:rPr>
          <w:szCs w:val="26"/>
        </w:rPr>
        <w:t xml:space="preserve">but </w:t>
      </w:r>
      <w:r w:rsidR="00B41F8C">
        <w:rPr>
          <w:szCs w:val="26"/>
        </w:rPr>
        <w:t>then</w:t>
      </w:r>
      <w:r w:rsidR="00894EE7">
        <w:rPr>
          <w:szCs w:val="26"/>
        </w:rPr>
        <w:t xml:space="preserve"> conflate</w:t>
      </w:r>
      <w:r w:rsidR="00B41F8C">
        <w:rPr>
          <w:szCs w:val="26"/>
        </w:rPr>
        <w:t>d</w:t>
      </w:r>
      <w:r w:rsidR="008B789A">
        <w:rPr>
          <w:szCs w:val="26"/>
        </w:rPr>
        <w:t xml:space="preserve"> </w:t>
      </w:r>
      <w:r w:rsidR="0093233B">
        <w:rPr>
          <w:szCs w:val="26"/>
        </w:rPr>
        <w:t>the terms</w:t>
      </w:r>
      <w:r>
        <w:rPr>
          <w:szCs w:val="26"/>
        </w:rPr>
        <w:t xml:space="preserve"> in </w:t>
      </w:r>
      <w:r w:rsidR="005844B3">
        <w:rPr>
          <w:szCs w:val="26"/>
        </w:rPr>
        <w:t>that</w:t>
      </w:r>
      <w:r>
        <w:rPr>
          <w:szCs w:val="26"/>
        </w:rPr>
        <w:t xml:space="preserve"> court’s analysis</w:t>
      </w:r>
      <w:r w:rsidRPr="000F5B9B">
        <w:rPr>
          <w:szCs w:val="26"/>
        </w:rPr>
        <w:t>.</w:t>
      </w:r>
      <w:r w:rsidR="008B789A">
        <w:rPr>
          <w:szCs w:val="26"/>
        </w:rPr>
        <w:t xml:space="preserve">  </w:t>
      </w:r>
      <w:r w:rsidRPr="000F5B9B">
        <w:rPr>
          <w:szCs w:val="26"/>
        </w:rPr>
        <w:t>(</w:t>
      </w:r>
      <w:r w:rsidRPr="000F5B9B">
        <w:rPr>
          <w:i/>
          <w:iCs/>
          <w:szCs w:val="26"/>
        </w:rPr>
        <w:t>Barnes</w:t>
      </w:r>
      <w:r w:rsidRPr="000F5B9B">
        <w:rPr>
          <w:szCs w:val="26"/>
        </w:rPr>
        <w:t xml:space="preserve">, </w:t>
      </w:r>
      <w:r w:rsidRPr="000F5B9B">
        <w:rPr>
          <w:i/>
          <w:iCs/>
          <w:szCs w:val="26"/>
        </w:rPr>
        <w:t>supra</w:t>
      </w:r>
      <w:r w:rsidRPr="000F5B9B">
        <w:rPr>
          <w:szCs w:val="26"/>
        </w:rPr>
        <w:t>, at *</w:t>
      </w:r>
      <w:r w:rsidR="00A75334">
        <w:rPr>
          <w:szCs w:val="26"/>
        </w:rPr>
        <w:t>26</w:t>
      </w:r>
      <w:r w:rsidR="00E96DC9">
        <w:rPr>
          <w:szCs w:val="26"/>
        </w:rPr>
        <w:t>–</w:t>
      </w:r>
      <w:r w:rsidR="00FF2763">
        <w:rPr>
          <w:szCs w:val="26"/>
        </w:rPr>
        <w:t>27</w:t>
      </w:r>
      <w:r w:rsidRPr="000F5B9B">
        <w:rPr>
          <w:szCs w:val="26"/>
        </w:rPr>
        <w:t xml:space="preserve">.)  </w:t>
      </w:r>
    </w:p>
    <w:p w:rsidR="007554F3" w:rsidP="00433829" w14:paraId="7666C6A7" w14:textId="6C095155">
      <w:pPr>
        <w:rPr>
          <w:szCs w:val="26"/>
        </w:rPr>
      </w:pPr>
      <w:r>
        <w:rPr>
          <w:szCs w:val="26"/>
        </w:rPr>
        <w:tab/>
      </w:r>
      <w:r w:rsidR="006A6312">
        <w:rPr>
          <w:szCs w:val="26"/>
        </w:rPr>
        <w:t>In general</w:t>
      </w:r>
      <w:r w:rsidRPr="000F5B9B" w:rsidR="000F5B9B">
        <w:rPr>
          <w:szCs w:val="26"/>
        </w:rPr>
        <w:t xml:space="preserve">, a claim arises for the first time when the plaintiff suffers an injury.  </w:t>
      </w:r>
      <w:r w:rsidRPr="000F5B9B" w:rsidR="0059575F">
        <w:rPr>
          <w:szCs w:val="26"/>
        </w:rPr>
        <w:t>(</w:t>
      </w:r>
      <w:r w:rsidRPr="000F5B9B" w:rsidR="0059575F">
        <w:rPr>
          <w:i/>
          <w:iCs/>
          <w:szCs w:val="26"/>
        </w:rPr>
        <w:t>In re Marriage of Klug</w:t>
      </w:r>
      <w:r w:rsidRPr="000F5B9B" w:rsidR="0059575F">
        <w:rPr>
          <w:szCs w:val="26"/>
        </w:rPr>
        <w:t xml:space="preserve"> (2005) 130 Cal.App.4th 1389, </w:t>
      </w:r>
      <w:r w:rsidRPr="00D71560" w:rsidR="0059575F">
        <w:rPr>
          <w:szCs w:val="26"/>
        </w:rPr>
        <w:t>1398</w:t>
      </w:r>
      <w:r w:rsidRPr="000F5B9B" w:rsidR="0059575F">
        <w:rPr>
          <w:szCs w:val="26"/>
        </w:rPr>
        <w:t xml:space="preserve"> (</w:t>
      </w:r>
      <w:r w:rsidRPr="000F5B9B" w:rsidR="0059575F">
        <w:rPr>
          <w:i/>
          <w:iCs/>
          <w:szCs w:val="26"/>
        </w:rPr>
        <w:t>Klug</w:t>
      </w:r>
      <w:r w:rsidRPr="000F5B9B" w:rsidR="0059575F">
        <w:rPr>
          <w:szCs w:val="26"/>
        </w:rPr>
        <w:t xml:space="preserve">).)  </w:t>
      </w:r>
      <w:r w:rsidRPr="000F5B9B" w:rsidR="000F5B9B">
        <w:rPr>
          <w:szCs w:val="26"/>
        </w:rPr>
        <w:t>A cause of action accrues, and the statute of limitations begins to run, when the last element essential to the cause of action occurs and the plaintiff is entitled to maintain an action.  (</w:t>
      </w:r>
      <w:r w:rsidRPr="000F5B9B" w:rsidR="000F5B9B">
        <w:rPr>
          <w:i/>
          <w:iCs/>
          <w:szCs w:val="26"/>
        </w:rPr>
        <w:t>Id.</w:t>
      </w:r>
      <w:r w:rsidRPr="000F5B9B" w:rsidR="000F5B9B">
        <w:rPr>
          <w:szCs w:val="26"/>
        </w:rPr>
        <w:t xml:space="preserve"> at pp. 1399</w:t>
      </w:r>
      <w:r w:rsidR="00586B77">
        <w:rPr>
          <w:szCs w:val="26"/>
        </w:rPr>
        <w:t>–</w:t>
      </w:r>
      <w:r w:rsidRPr="000F5B9B" w:rsidR="000F5B9B">
        <w:rPr>
          <w:szCs w:val="26"/>
        </w:rPr>
        <w:t xml:space="preserve">1400.)  </w:t>
      </w:r>
      <w:r w:rsidR="005844B3">
        <w:rPr>
          <w:szCs w:val="26"/>
        </w:rPr>
        <w:t>A</w:t>
      </w:r>
      <w:r w:rsidRPr="000F5B9B" w:rsidR="000F5B9B">
        <w:rPr>
          <w:szCs w:val="26"/>
        </w:rPr>
        <w:t xml:space="preserve"> cause of action often arises and accrues at the same time, </w:t>
      </w:r>
      <w:r w:rsidR="005844B3">
        <w:rPr>
          <w:szCs w:val="26"/>
        </w:rPr>
        <w:t xml:space="preserve">but </w:t>
      </w:r>
      <w:r w:rsidRPr="000F5B9B" w:rsidR="000F5B9B">
        <w:rPr>
          <w:szCs w:val="26"/>
        </w:rPr>
        <w:t xml:space="preserve">the dates </w:t>
      </w:r>
      <w:r w:rsidR="005844B3">
        <w:rPr>
          <w:szCs w:val="26"/>
        </w:rPr>
        <w:t>can be</w:t>
      </w:r>
      <w:r w:rsidRPr="000F5B9B" w:rsidR="000F5B9B">
        <w:rPr>
          <w:szCs w:val="26"/>
        </w:rPr>
        <w:t xml:space="preserve"> different under some circumstances, such as when a cause of action arises at the time of injury but does not accrue until discovery.  (</w:t>
      </w:r>
      <w:r w:rsidRPr="000F5B9B" w:rsidR="000F5B9B">
        <w:rPr>
          <w:i/>
          <w:iCs/>
          <w:szCs w:val="26"/>
        </w:rPr>
        <w:t>Ibid</w:t>
      </w:r>
      <w:r w:rsidRPr="000F5B9B" w:rsidR="000F5B9B">
        <w:rPr>
          <w:szCs w:val="26"/>
        </w:rPr>
        <w:t>.)</w:t>
      </w:r>
      <w:r w:rsidR="00F67EA9">
        <w:rPr>
          <w:szCs w:val="26"/>
        </w:rPr>
        <w:t xml:space="preserve">  </w:t>
      </w:r>
      <w:r w:rsidR="00463707">
        <w:rPr>
          <w:szCs w:val="26"/>
        </w:rPr>
        <w:t>Unlike a claim,</w:t>
      </w:r>
      <w:r w:rsidR="004D7BC8">
        <w:rPr>
          <w:szCs w:val="26"/>
        </w:rPr>
        <w:t xml:space="preserve"> </w:t>
      </w:r>
      <w:r w:rsidR="005844B3">
        <w:rPr>
          <w:szCs w:val="26"/>
        </w:rPr>
        <w:t xml:space="preserve">however, </w:t>
      </w:r>
      <w:r w:rsidR="00463707">
        <w:rPr>
          <w:szCs w:val="26"/>
        </w:rPr>
        <w:t>a</w:t>
      </w:r>
      <w:r w:rsidRPr="00463707" w:rsidR="00463707">
        <w:rPr>
          <w:szCs w:val="26"/>
        </w:rPr>
        <w:t xml:space="preserve"> dispute </w:t>
      </w:r>
      <w:r w:rsidR="00A80C5C">
        <w:rPr>
          <w:szCs w:val="26"/>
        </w:rPr>
        <w:t>does not arise</w:t>
      </w:r>
      <w:r w:rsidRPr="00463707" w:rsidR="00463707">
        <w:rPr>
          <w:szCs w:val="26"/>
        </w:rPr>
        <w:t xml:space="preserve"> </w:t>
      </w:r>
      <w:r w:rsidR="00A875EF">
        <w:rPr>
          <w:szCs w:val="26"/>
        </w:rPr>
        <w:t>simply</w:t>
      </w:r>
      <w:r w:rsidRPr="00463707" w:rsidR="00463707">
        <w:rPr>
          <w:szCs w:val="26"/>
        </w:rPr>
        <w:t xml:space="preserve"> </w:t>
      </w:r>
      <w:r w:rsidR="00727904">
        <w:rPr>
          <w:szCs w:val="26"/>
        </w:rPr>
        <w:t>because the plaintiff suffers an injury</w:t>
      </w:r>
      <w:r w:rsidR="004D7BC8">
        <w:rPr>
          <w:szCs w:val="26"/>
        </w:rPr>
        <w:t>; it</w:t>
      </w:r>
      <w:r w:rsidRPr="00463707" w:rsidR="00463707">
        <w:rPr>
          <w:szCs w:val="26"/>
        </w:rPr>
        <w:t xml:space="preserve"> </w:t>
      </w:r>
      <w:r w:rsidR="00181DDC">
        <w:rPr>
          <w:szCs w:val="26"/>
        </w:rPr>
        <w:t xml:space="preserve">additionally </w:t>
      </w:r>
      <w:r w:rsidRPr="00463707" w:rsidR="00463707">
        <w:rPr>
          <w:szCs w:val="26"/>
        </w:rPr>
        <w:t>requires a disagreement or controversy.  (</w:t>
      </w:r>
      <w:r w:rsidRPr="00463707" w:rsidR="00463707">
        <w:rPr>
          <w:i/>
          <w:iCs/>
          <w:szCs w:val="26"/>
        </w:rPr>
        <w:t>Hodgin</w:t>
      </w:r>
      <w:r w:rsidRPr="00463707" w:rsidR="00463707">
        <w:rPr>
          <w:szCs w:val="26"/>
        </w:rPr>
        <w:t xml:space="preserve">, </w:t>
      </w:r>
      <w:r w:rsidRPr="00463707" w:rsidR="00463707">
        <w:rPr>
          <w:i/>
          <w:iCs/>
          <w:szCs w:val="26"/>
        </w:rPr>
        <w:t>supra</w:t>
      </w:r>
      <w:r w:rsidRPr="00463707" w:rsidR="00463707">
        <w:rPr>
          <w:szCs w:val="26"/>
        </w:rPr>
        <w:t xml:space="preserve">, at *2, </w:t>
      </w:r>
      <w:r w:rsidRPr="00463707" w:rsidR="00463707">
        <w:rPr>
          <w:i/>
          <w:iCs/>
          <w:szCs w:val="26"/>
        </w:rPr>
        <w:t>Famuyide</w:t>
      </w:r>
      <w:r w:rsidRPr="00463707" w:rsidR="00463707">
        <w:rPr>
          <w:szCs w:val="26"/>
        </w:rPr>
        <w:t xml:space="preserve">, </w:t>
      </w:r>
      <w:r w:rsidRPr="00463707" w:rsidR="00463707">
        <w:rPr>
          <w:i/>
          <w:iCs/>
          <w:szCs w:val="26"/>
        </w:rPr>
        <w:t>supra</w:t>
      </w:r>
      <w:r w:rsidRPr="00463707" w:rsidR="00463707">
        <w:rPr>
          <w:szCs w:val="26"/>
        </w:rPr>
        <w:t>, at *3.)</w:t>
      </w:r>
    </w:p>
    <w:p w:rsidR="000F5B9B" w:rsidP="00433829" w14:paraId="02F16475" w14:textId="4FF944D6">
      <w:pPr>
        <w:rPr>
          <w:szCs w:val="26"/>
        </w:rPr>
      </w:pPr>
      <w:r>
        <w:rPr>
          <w:szCs w:val="26"/>
        </w:rPr>
        <w:tab/>
        <w:t>“</w:t>
      </w:r>
      <w:r w:rsidRPr="003762CD" w:rsidR="003762CD">
        <w:rPr>
          <w:szCs w:val="26"/>
        </w:rPr>
        <w:t xml:space="preserve">The definitions within the </w:t>
      </w:r>
      <w:r w:rsidR="00CA047C">
        <w:rPr>
          <w:szCs w:val="26"/>
        </w:rPr>
        <w:t>[Act]</w:t>
      </w:r>
      <w:r w:rsidRPr="003762CD" w:rsidR="003762CD">
        <w:rPr>
          <w:szCs w:val="26"/>
        </w:rPr>
        <w:t xml:space="preserve"> also make clear that a dispute requires more than an injury. </w:t>
      </w:r>
      <w:r>
        <w:rPr>
          <w:szCs w:val="26"/>
        </w:rPr>
        <w:t xml:space="preserve"> </w:t>
      </w:r>
      <w:r w:rsidRPr="003762CD" w:rsidR="003762CD">
        <w:rPr>
          <w:szCs w:val="26"/>
        </w:rPr>
        <w:t xml:space="preserve">The </w:t>
      </w:r>
      <w:r w:rsidR="00CA047C">
        <w:rPr>
          <w:szCs w:val="26"/>
        </w:rPr>
        <w:t>[Act]</w:t>
      </w:r>
      <w:r w:rsidRPr="003762CD" w:rsidR="003762CD">
        <w:rPr>
          <w:szCs w:val="26"/>
        </w:rPr>
        <w:t xml:space="preserve"> defines a </w:t>
      </w:r>
      <w:r>
        <w:rPr>
          <w:szCs w:val="26"/>
        </w:rPr>
        <w:t>‘</w:t>
      </w:r>
      <w:r w:rsidRPr="003762CD" w:rsidR="003762CD">
        <w:rPr>
          <w:szCs w:val="26"/>
        </w:rPr>
        <w:t>sexual assault dispute</w:t>
      </w:r>
      <w:r>
        <w:rPr>
          <w:szCs w:val="26"/>
        </w:rPr>
        <w:t>’</w:t>
      </w:r>
      <w:r w:rsidRPr="003762CD" w:rsidR="003762CD">
        <w:rPr>
          <w:szCs w:val="26"/>
        </w:rPr>
        <w:t xml:space="preserve"> as </w:t>
      </w:r>
      <w:r>
        <w:rPr>
          <w:szCs w:val="26"/>
        </w:rPr>
        <w:t>‘</w:t>
      </w:r>
      <w:r w:rsidRPr="003762CD" w:rsidR="003762CD">
        <w:rPr>
          <w:szCs w:val="26"/>
        </w:rPr>
        <w:t xml:space="preserve">a </w:t>
      </w:r>
      <w:r w:rsidRPr="00BB152D" w:rsidR="003762CD">
        <w:rPr>
          <w:i/>
          <w:iCs/>
          <w:szCs w:val="26"/>
        </w:rPr>
        <w:t>dispute</w:t>
      </w:r>
      <w:r w:rsidRPr="003762CD" w:rsidR="003762CD">
        <w:rPr>
          <w:szCs w:val="26"/>
        </w:rPr>
        <w:t xml:space="preserve"> involving a nonconsensual act or sexual conduct,</w:t>
      </w:r>
      <w:r>
        <w:rPr>
          <w:szCs w:val="26"/>
        </w:rPr>
        <w:t>’</w:t>
      </w:r>
      <w:r w:rsidRPr="003762CD" w:rsidR="003762CD">
        <w:rPr>
          <w:szCs w:val="26"/>
        </w:rPr>
        <w:t xml:space="preserve"> and it defines </w:t>
      </w:r>
      <w:r>
        <w:rPr>
          <w:szCs w:val="26"/>
        </w:rPr>
        <w:t>‘</w:t>
      </w:r>
      <w:r w:rsidRPr="003762CD" w:rsidR="003762CD">
        <w:rPr>
          <w:szCs w:val="26"/>
        </w:rPr>
        <w:t>sexual harassment dispute</w:t>
      </w:r>
      <w:r>
        <w:rPr>
          <w:szCs w:val="26"/>
        </w:rPr>
        <w:t>’</w:t>
      </w:r>
      <w:r w:rsidRPr="003762CD" w:rsidR="003762CD">
        <w:rPr>
          <w:szCs w:val="26"/>
        </w:rPr>
        <w:t xml:space="preserve"> as </w:t>
      </w:r>
      <w:r>
        <w:rPr>
          <w:szCs w:val="26"/>
        </w:rPr>
        <w:t>‘</w:t>
      </w:r>
      <w:r w:rsidRPr="00055E36" w:rsidR="003762CD">
        <w:rPr>
          <w:i/>
          <w:iCs/>
          <w:szCs w:val="26"/>
        </w:rPr>
        <w:t xml:space="preserve">a </w:t>
      </w:r>
      <w:r w:rsidRPr="00BB152D" w:rsidR="003762CD">
        <w:rPr>
          <w:i/>
          <w:iCs/>
          <w:szCs w:val="26"/>
        </w:rPr>
        <w:t>dispute</w:t>
      </w:r>
      <w:r w:rsidRPr="003762CD" w:rsidR="003762CD">
        <w:rPr>
          <w:szCs w:val="26"/>
        </w:rPr>
        <w:t xml:space="preserve"> relating to conduct that is alleged to constitute sexual harassment.</w:t>
      </w:r>
      <w:r>
        <w:rPr>
          <w:szCs w:val="26"/>
        </w:rPr>
        <w:t xml:space="preserve">’ </w:t>
      </w:r>
      <w:r w:rsidRPr="003762CD" w:rsidR="003762CD">
        <w:rPr>
          <w:szCs w:val="26"/>
        </w:rPr>
        <w:t xml:space="preserve"> </w:t>
      </w:r>
      <w:r w:rsidR="00BB152D">
        <w:rPr>
          <w:szCs w:val="26"/>
        </w:rPr>
        <w:t>[(</w:t>
      </w:r>
      <w:r w:rsidRPr="003762CD" w:rsidR="003762CD">
        <w:rPr>
          <w:szCs w:val="26"/>
        </w:rPr>
        <w:t>9 U.S.C. § 401 (emphasis added).</w:t>
      </w:r>
      <w:r w:rsidR="0041567C">
        <w:rPr>
          <w:szCs w:val="26"/>
        </w:rPr>
        <w:t xml:space="preserve">)] </w:t>
      </w:r>
      <w:r w:rsidRPr="003762CD" w:rsidR="003762CD">
        <w:rPr>
          <w:szCs w:val="26"/>
        </w:rPr>
        <w:t xml:space="preserve"> If the underlying conduct alone—the sexual assault or harassment—automatically gave rise to a dispute, then the legislature</w:t>
      </w:r>
      <w:r w:rsidR="0041567C">
        <w:rPr>
          <w:szCs w:val="26"/>
        </w:rPr>
        <w:t>’</w:t>
      </w:r>
      <w:r w:rsidRPr="003762CD" w:rsidR="003762CD">
        <w:rPr>
          <w:szCs w:val="26"/>
        </w:rPr>
        <w:t xml:space="preserve">s use of the word </w:t>
      </w:r>
      <w:r w:rsidR="0041567C">
        <w:rPr>
          <w:szCs w:val="26"/>
        </w:rPr>
        <w:t>‘</w:t>
      </w:r>
      <w:r w:rsidRPr="003762CD" w:rsidR="003762CD">
        <w:rPr>
          <w:szCs w:val="26"/>
        </w:rPr>
        <w:t>dispute</w:t>
      </w:r>
      <w:r w:rsidR="0041567C">
        <w:rPr>
          <w:szCs w:val="26"/>
        </w:rPr>
        <w:t>’</w:t>
      </w:r>
      <w:r w:rsidRPr="003762CD" w:rsidR="003762CD">
        <w:rPr>
          <w:szCs w:val="26"/>
        </w:rPr>
        <w:t xml:space="preserve"> within these two definitions would be superfluous.</w:t>
      </w:r>
      <w:r w:rsidR="0041567C">
        <w:rPr>
          <w:szCs w:val="26"/>
        </w:rPr>
        <w:t xml:space="preserve"> </w:t>
      </w:r>
      <w:r w:rsidRPr="003762CD" w:rsidR="003762CD">
        <w:rPr>
          <w:szCs w:val="26"/>
        </w:rPr>
        <w:t xml:space="preserve"> A </w:t>
      </w:r>
      <w:r w:rsidR="0041567C">
        <w:rPr>
          <w:szCs w:val="26"/>
        </w:rPr>
        <w:t>‘</w:t>
      </w:r>
      <w:r w:rsidRPr="003762CD" w:rsidR="003762CD">
        <w:rPr>
          <w:szCs w:val="26"/>
        </w:rPr>
        <w:t>sexual assault dispute</w:t>
      </w:r>
      <w:r w:rsidR="0041567C">
        <w:rPr>
          <w:szCs w:val="26"/>
        </w:rPr>
        <w:t>’</w:t>
      </w:r>
      <w:r w:rsidRPr="003762CD" w:rsidR="003762CD">
        <w:rPr>
          <w:szCs w:val="26"/>
        </w:rPr>
        <w:t xml:space="preserve"> would merely mean </w:t>
      </w:r>
      <w:r w:rsidR="0041567C">
        <w:rPr>
          <w:szCs w:val="26"/>
        </w:rPr>
        <w:t>‘</w:t>
      </w:r>
      <w:r w:rsidRPr="003762CD" w:rsidR="003762CD">
        <w:rPr>
          <w:szCs w:val="26"/>
        </w:rPr>
        <w:t>a nonconsensual act or sexual conduct.</w:t>
      </w:r>
      <w:r w:rsidR="0041567C">
        <w:rPr>
          <w:szCs w:val="26"/>
        </w:rPr>
        <w:t xml:space="preserve">’ </w:t>
      </w:r>
      <w:r w:rsidRPr="003762CD" w:rsidR="003762CD">
        <w:rPr>
          <w:szCs w:val="26"/>
        </w:rPr>
        <w:t xml:space="preserve"> And a </w:t>
      </w:r>
      <w:r w:rsidR="0041567C">
        <w:rPr>
          <w:szCs w:val="26"/>
        </w:rPr>
        <w:t>‘</w:t>
      </w:r>
      <w:r w:rsidRPr="003762CD" w:rsidR="003762CD">
        <w:rPr>
          <w:szCs w:val="26"/>
        </w:rPr>
        <w:t>sexual harassment dispute</w:t>
      </w:r>
      <w:r w:rsidR="0041567C">
        <w:rPr>
          <w:szCs w:val="26"/>
        </w:rPr>
        <w:t>’</w:t>
      </w:r>
      <w:r w:rsidRPr="003762CD" w:rsidR="003762CD">
        <w:rPr>
          <w:szCs w:val="26"/>
        </w:rPr>
        <w:t xml:space="preserve"> would mean </w:t>
      </w:r>
      <w:r w:rsidR="0041567C">
        <w:rPr>
          <w:szCs w:val="26"/>
        </w:rPr>
        <w:t>‘</w:t>
      </w:r>
      <w:r w:rsidRPr="003762CD" w:rsidR="003762CD">
        <w:rPr>
          <w:szCs w:val="26"/>
        </w:rPr>
        <w:t>conduct that is alleged to constitute sexual harassment.</w:t>
      </w:r>
      <w:r w:rsidR="0041567C">
        <w:rPr>
          <w:szCs w:val="26"/>
        </w:rPr>
        <w:t xml:space="preserve">’ </w:t>
      </w:r>
      <w:r w:rsidRPr="003762CD" w:rsidR="003762CD">
        <w:rPr>
          <w:szCs w:val="26"/>
        </w:rPr>
        <w:t xml:space="preserve"> This cannot be so.</w:t>
      </w:r>
      <w:r w:rsidR="00C456BF">
        <w:rPr>
          <w:szCs w:val="26"/>
        </w:rPr>
        <w:t xml:space="preserve"> </w:t>
      </w:r>
      <w:r w:rsidRPr="003762CD" w:rsidR="003762CD">
        <w:rPr>
          <w:szCs w:val="26"/>
        </w:rPr>
        <w:t xml:space="preserve"> </w:t>
      </w:r>
      <w:r w:rsidR="0041567C">
        <w:rPr>
          <w:szCs w:val="26"/>
        </w:rPr>
        <w:t>‘</w:t>
      </w:r>
      <w:r w:rsidRPr="003762CD" w:rsidR="003762CD">
        <w:rPr>
          <w:szCs w:val="26"/>
        </w:rPr>
        <w:t>[A] statute should be construed so that effect is given to all its provisions, so that no part will be inoperative or superfluous, void or insignificant.</w:t>
      </w:r>
      <w:r w:rsidR="0041567C">
        <w:rPr>
          <w:szCs w:val="26"/>
        </w:rPr>
        <w:t>’</w:t>
      </w:r>
      <w:r w:rsidR="00F710E9">
        <w:rPr>
          <w:szCs w:val="26"/>
        </w:rPr>
        <w:t xml:space="preserve"> </w:t>
      </w:r>
      <w:r w:rsidRPr="003762CD" w:rsidR="003762CD">
        <w:rPr>
          <w:szCs w:val="26"/>
        </w:rPr>
        <w:t xml:space="preserve"> </w:t>
      </w:r>
      <w:r w:rsidR="00F710E9">
        <w:rPr>
          <w:szCs w:val="26"/>
        </w:rPr>
        <w:t>[Citation.]”  (</w:t>
      </w:r>
      <w:r w:rsidRPr="00F710E9" w:rsidR="003762CD">
        <w:rPr>
          <w:i/>
          <w:iCs/>
          <w:szCs w:val="26"/>
        </w:rPr>
        <w:t>Famuyide</w:t>
      </w:r>
      <w:r w:rsidR="00F710E9">
        <w:rPr>
          <w:szCs w:val="26"/>
        </w:rPr>
        <w:t xml:space="preserve">, </w:t>
      </w:r>
      <w:r w:rsidRPr="00F710E9" w:rsidR="00F710E9">
        <w:rPr>
          <w:i/>
          <w:iCs/>
          <w:szCs w:val="26"/>
        </w:rPr>
        <w:t>supra</w:t>
      </w:r>
      <w:r w:rsidRPr="003762CD" w:rsidR="003762CD">
        <w:rPr>
          <w:szCs w:val="26"/>
        </w:rPr>
        <w:t>, at *</w:t>
      </w:r>
      <w:r w:rsidR="00A81654">
        <w:rPr>
          <w:szCs w:val="26"/>
        </w:rPr>
        <w:t>11</w:t>
      </w:r>
      <w:r w:rsidR="00F710E9">
        <w:rPr>
          <w:szCs w:val="26"/>
        </w:rPr>
        <w:t>.)</w:t>
      </w:r>
    </w:p>
    <w:p w:rsidR="00A45CF9" w:rsidP="00433829" w14:paraId="1869A549" w14:textId="2C3AD11A">
      <w:pPr>
        <w:rPr>
          <w:szCs w:val="26"/>
        </w:rPr>
      </w:pPr>
      <w:r>
        <w:rPr>
          <w:szCs w:val="26"/>
        </w:rPr>
        <w:tab/>
        <w:t xml:space="preserve">The Center defendants </w:t>
      </w:r>
      <w:r w:rsidR="009A6925">
        <w:rPr>
          <w:szCs w:val="26"/>
        </w:rPr>
        <w:t xml:space="preserve">additionally </w:t>
      </w:r>
      <w:r>
        <w:rPr>
          <w:szCs w:val="26"/>
        </w:rPr>
        <w:t>rely on</w:t>
      </w:r>
      <w:r w:rsidRPr="00A45CF9">
        <w:rPr>
          <w:szCs w:val="26"/>
        </w:rPr>
        <w:t xml:space="preserve"> an unpublished federal district court order</w:t>
      </w:r>
      <w:r w:rsidR="005A1E22">
        <w:rPr>
          <w:rFonts w:ascii="Source Sans Pro" w:eastAsia="Times New Roman" w:hAnsi="Source Sans Pro" w:cs="Times New Roman"/>
          <w:color w:val="000000"/>
          <w:kern w:val="0"/>
          <w:sz w:val="24"/>
          <w:szCs w:val="24"/>
          <w14:ligatures w14:val="none"/>
        </w:rPr>
        <w:t xml:space="preserve">, </w:t>
      </w:r>
      <w:r w:rsidRPr="005A1E22" w:rsidR="005A1E22">
        <w:rPr>
          <w:i/>
          <w:iCs/>
          <w:szCs w:val="26"/>
        </w:rPr>
        <w:t>Zinsky v. Russin</w:t>
      </w:r>
      <w:r w:rsidRPr="005A1E22" w:rsidR="005A1E22">
        <w:rPr>
          <w:szCs w:val="26"/>
        </w:rPr>
        <w:t xml:space="preserve"> (W.D. Pa., July 22, 2022, No. 2:22-CV-547) 2022 WL 2906371, at *4</w:t>
      </w:r>
      <w:bookmarkStart w:id="8" w:name="_Hlk152134700"/>
      <w:r w:rsidR="005A1E22">
        <w:rPr>
          <w:szCs w:val="26"/>
        </w:rPr>
        <w:t xml:space="preserve"> (</w:t>
      </w:r>
      <w:r w:rsidRPr="005A1E22" w:rsidR="005A1E22">
        <w:rPr>
          <w:i/>
          <w:iCs/>
          <w:szCs w:val="26"/>
        </w:rPr>
        <w:t>Zinsky</w:t>
      </w:r>
      <w:r w:rsidR="005A1E22">
        <w:rPr>
          <w:szCs w:val="26"/>
        </w:rPr>
        <w:t xml:space="preserve">).  The </w:t>
      </w:r>
      <w:r w:rsidRPr="00FA2E50" w:rsidR="005A1E22">
        <w:rPr>
          <w:i/>
          <w:iCs/>
          <w:szCs w:val="26"/>
        </w:rPr>
        <w:t>Zinsky</w:t>
      </w:r>
      <w:r w:rsidR="005A1E22">
        <w:rPr>
          <w:szCs w:val="26"/>
        </w:rPr>
        <w:t xml:space="preserve"> court </w:t>
      </w:r>
      <w:r w:rsidR="006C672C">
        <w:rPr>
          <w:szCs w:val="26"/>
        </w:rPr>
        <w:t>found the Act did not apply</w:t>
      </w:r>
      <w:r w:rsidR="00FA2E50">
        <w:rPr>
          <w:szCs w:val="26"/>
        </w:rPr>
        <w:t xml:space="preserve"> in that case</w:t>
      </w:r>
      <w:r w:rsidR="006C672C">
        <w:rPr>
          <w:szCs w:val="26"/>
        </w:rPr>
        <w:t xml:space="preserve"> </w:t>
      </w:r>
      <w:r w:rsidR="004148F8">
        <w:rPr>
          <w:szCs w:val="26"/>
        </w:rPr>
        <w:t>based on the date that</w:t>
      </w:r>
      <w:r w:rsidR="00F44E3E">
        <w:rPr>
          <w:szCs w:val="26"/>
        </w:rPr>
        <w:t xml:space="preserve"> a claim accrues</w:t>
      </w:r>
      <w:r w:rsidR="009E69DA">
        <w:rPr>
          <w:szCs w:val="26"/>
        </w:rPr>
        <w:t xml:space="preserve"> under state law</w:t>
      </w:r>
      <w:r w:rsidR="006F047E">
        <w:rPr>
          <w:szCs w:val="26"/>
        </w:rPr>
        <w:t>, but</w:t>
      </w:r>
      <w:r w:rsidR="0058773C">
        <w:rPr>
          <w:szCs w:val="26"/>
        </w:rPr>
        <w:t xml:space="preserve"> failed </w:t>
      </w:r>
      <w:r w:rsidR="00CA1B63">
        <w:rPr>
          <w:szCs w:val="26"/>
        </w:rPr>
        <w:t xml:space="preserve">entirely </w:t>
      </w:r>
      <w:r w:rsidR="0058773C">
        <w:rPr>
          <w:szCs w:val="26"/>
        </w:rPr>
        <w:t xml:space="preserve">to </w:t>
      </w:r>
      <w:r w:rsidR="004148F8">
        <w:rPr>
          <w:szCs w:val="26"/>
        </w:rPr>
        <w:t>consider</w:t>
      </w:r>
      <w:r w:rsidR="0058773C">
        <w:rPr>
          <w:szCs w:val="26"/>
        </w:rPr>
        <w:t xml:space="preserve"> </w:t>
      </w:r>
      <w:r w:rsidR="004148F8">
        <w:rPr>
          <w:szCs w:val="26"/>
        </w:rPr>
        <w:t xml:space="preserve">or analyze </w:t>
      </w:r>
      <w:r w:rsidR="00FA2E50">
        <w:rPr>
          <w:szCs w:val="26"/>
        </w:rPr>
        <w:t>the date that</w:t>
      </w:r>
      <w:r w:rsidR="004148F8">
        <w:rPr>
          <w:szCs w:val="26"/>
        </w:rPr>
        <w:t xml:space="preserve"> a dispute arises</w:t>
      </w:r>
      <w:r w:rsidR="0058773C">
        <w:rPr>
          <w:szCs w:val="26"/>
        </w:rPr>
        <w:t>.</w:t>
      </w:r>
      <w:r w:rsidR="00311F46">
        <w:rPr>
          <w:szCs w:val="26"/>
        </w:rPr>
        <w:t xml:space="preserve">  We do not find the </w:t>
      </w:r>
      <w:r w:rsidRPr="00FA2E50" w:rsidR="00311F46">
        <w:rPr>
          <w:i/>
          <w:iCs/>
          <w:szCs w:val="26"/>
        </w:rPr>
        <w:t>Zinsky</w:t>
      </w:r>
      <w:r w:rsidR="00311F46">
        <w:rPr>
          <w:szCs w:val="26"/>
        </w:rPr>
        <w:t xml:space="preserve"> opinion persuasive.</w:t>
      </w:r>
      <w:bookmarkEnd w:id="8"/>
      <w:r w:rsidR="008572D8">
        <w:rPr>
          <w:szCs w:val="26"/>
        </w:rPr>
        <w:t xml:space="preserve">  </w:t>
      </w:r>
    </w:p>
    <w:p w:rsidR="000C14DC" w:rsidP="00433829" w14:paraId="6B9F2EA7" w14:textId="0D370B93">
      <w:pPr>
        <w:rPr>
          <w:szCs w:val="26"/>
        </w:rPr>
      </w:pPr>
      <w:r>
        <w:rPr>
          <w:szCs w:val="26"/>
        </w:rPr>
        <w:tab/>
        <w:t xml:space="preserve">In </w:t>
      </w:r>
      <w:r w:rsidR="001D70DE">
        <w:rPr>
          <w:szCs w:val="26"/>
        </w:rPr>
        <w:t>the present</w:t>
      </w:r>
      <w:r>
        <w:rPr>
          <w:szCs w:val="26"/>
        </w:rPr>
        <w:t xml:space="preserve"> case, </w:t>
      </w:r>
      <w:r w:rsidR="00CC2C1F">
        <w:rPr>
          <w:szCs w:val="26"/>
        </w:rPr>
        <w:t>there is no evidence</w:t>
      </w:r>
      <w:r w:rsidR="00491834">
        <w:rPr>
          <w:szCs w:val="26"/>
        </w:rPr>
        <w:t xml:space="preserve"> </w:t>
      </w:r>
      <w:r w:rsidR="00FE66C0">
        <w:rPr>
          <w:szCs w:val="26"/>
        </w:rPr>
        <w:t>that</w:t>
      </w:r>
      <w:r w:rsidR="00C46A7E">
        <w:rPr>
          <w:szCs w:val="26"/>
        </w:rPr>
        <w:t xml:space="preserve"> a </w:t>
      </w:r>
      <w:r w:rsidR="00491834">
        <w:rPr>
          <w:szCs w:val="26"/>
        </w:rPr>
        <w:t xml:space="preserve">dispute </w:t>
      </w:r>
      <w:r w:rsidR="00FE66C0">
        <w:rPr>
          <w:szCs w:val="26"/>
        </w:rPr>
        <w:t xml:space="preserve">existed </w:t>
      </w:r>
      <w:r w:rsidR="00491834">
        <w:rPr>
          <w:szCs w:val="26"/>
        </w:rPr>
        <w:t xml:space="preserve">between the parties </w:t>
      </w:r>
      <w:r w:rsidR="007E34EA">
        <w:rPr>
          <w:szCs w:val="26"/>
        </w:rPr>
        <w:t xml:space="preserve">prior to or at the time </w:t>
      </w:r>
      <w:r w:rsidR="002D373B">
        <w:rPr>
          <w:szCs w:val="26"/>
        </w:rPr>
        <w:t>of signing</w:t>
      </w:r>
      <w:r>
        <w:rPr>
          <w:szCs w:val="26"/>
        </w:rPr>
        <w:t xml:space="preserve"> </w:t>
      </w:r>
      <w:r w:rsidR="00322C34">
        <w:rPr>
          <w:szCs w:val="26"/>
        </w:rPr>
        <w:t>the new</w:t>
      </w:r>
      <w:r>
        <w:rPr>
          <w:szCs w:val="26"/>
        </w:rPr>
        <w:t xml:space="preserve"> arbitration agreement</w:t>
      </w:r>
      <w:r w:rsidR="007338BA">
        <w:rPr>
          <w:szCs w:val="26"/>
        </w:rPr>
        <w:t xml:space="preserve"> on June 25, 2019</w:t>
      </w:r>
      <w:r>
        <w:rPr>
          <w:szCs w:val="26"/>
        </w:rPr>
        <w:t>.</w:t>
      </w:r>
      <w:r w:rsidR="00CC2C1F">
        <w:rPr>
          <w:szCs w:val="26"/>
        </w:rPr>
        <w:t xml:space="preserve">  </w:t>
      </w:r>
      <w:r w:rsidR="00C46A7E">
        <w:rPr>
          <w:szCs w:val="26"/>
        </w:rPr>
        <w:t>Kader</w:t>
      </w:r>
      <w:r w:rsidR="00491834">
        <w:rPr>
          <w:szCs w:val="26"/>
        </w:rPr>
        <w:t xml:space="preserve"> alleged </w:t>
      </w:r>
      <w:r w:rsidR="007375B5">
        <w:rPr>
          <w:szCs w:val="26"/>
        </w:rPr>
        <w:t>three</w:t>
      </w:r>
      <w:r w:rsidR="000F3DF7">
        <w:rPr>
          <w:szCs w:val="26"/>
        </w:rPr>
        <w:t xml:space="preserve"> incidents of sexually harassing or assaultive conduct</w:t>
      </w:r>
      <w:r w:rsidR="00D80FBD">
        <w:rPr>
          <w:szCs w:val="26"/>
        </w:rPr>
        <w:t xml:space="preserve"> took place before the agreement was signed, </w:t>
      </w:r>
      <w:r w:rsidR="009A6925">
        <w:rPr>
          <w:szCs w:val="26"/>
        </w:rPr>
        <w:t xml:space="preserve">but </w:t>
      </w:r>
      <w:r w:rsidR="00D80FBD">
        <w:rPr>
          <w:szCs w:val="26"/>
        </w:rPr>
        <w:t xml:space="preserve">there </w:t>
      </w:r>
      <w:r w:rsidR="007338BA">
        <w:rPr>
          <w:szCs w:val="26"/>
        </w:rPr>
        <w:t xml:space="preserve">is </w:t>
      </w:r>
      <w:r w:rsidR="003A520E">
        <w:rPr>
          <w:szCs w:val="26"/>
        </w:rPr>
        <w:t>no</w:t>
      </w:r>
      <w:r w:rsidR="00714B42">
        <w:rPr>
          <w:szCs w:val="26"/>
        </w:rPr>
        <w:t xml:space="preserve"> </w:t>
      </w:r>
      <w:r w:rsidR="00D80FBD">
        <w:rPr>
          <w:szCs w:val="26"/>
        </w:rPr>
        <w:t xml:space="preserve">evidence </w:t>
      </w:r>
      <w:r w:rsidR="007F733F">
        <w:rPr>
          <w:szCs w:val="26"/>
        </w:rPr>
        <w:t>that any</w:t>
      </w:r>
      <w:r w:rsidR="00580089">
        <w:rPr>
          <w:szCs w:val="26"/>
        </w:rPr>
        <w:t xml:space="preserve"> </w:t>
      </w:r>
      <w:r w:rsidR="00D80FBD">
        <w:rPr>
          <w:szCs w:val="26"/>
        </w:rPr>
        <w:t xml:space="preserve">dispute </w:t>
      </w:r>
      <w:r w:rsidR="007F733F">
        <w:rPr>
          <w:szCs w:val="26"/>
        </w:rPr>
        <w:t>yet existed</w:t>
      </w:r>
      <w:r w:rsidR="00D80FBD">
        <w:rPr>
          <w:szCs w:val="26"/>
        </w:rPr>
        <w:t xml:space="preserve">.  </w:t>
      </w:r>
      <w:r w:rsidR="00714B42">
        <w:rPr>
          <w:szCs w:val="26"/>
        </w:rPr>
        <w:t xml:space="preserve">In fact, Kader alleged </w:t>
      </w:r>
      <w:r w:rsidRPr="009E0029" w:rsidR="009E0029">
        <w:rPr>
          <w:szCs w:val="26"/>
        </w:rPr>
        <w:t>Rasekhi</w:t>
      </w:r>
      <w:r w:rsidR="009E0029">
        <w:rPr>
          <w:szCs w:val="26"/>
        </w:rPr>
        <w:t xml:space="preserve"> </w:t>
      </w:r>
      <w:r w:rsidR="002500EB">
        <w:rPr>
          <w:szCs w:val="26"/>
        </w:rPr>
        <w:t>threatened to fire him if he</w:t>
      </w:r>
      <w:r w:rsidR="009E0029">
        <w:rPr>
          <w:szCs w:val="26"/>
        </w:rPr>
        <w:t xml:space="preserve"> </w:t>
      </w:r>
      <w:r w:rsidR="00714B42">
        <w:rPr>
          <w:szCs w:val="26"/>
        </w:rPr>
        <w:t>told</w:t>
      </w:r>
      <w:r w:rsidR="009E0029">
        <w:rPr>
          <w:szCs w:val="26"/>
        </w:rPr>
        <w:t xml:space="preserve"> anyone</w:t>
      </w:r>
      <w:r w:rsidR="0027413E">
        <w:rPr>
          <w:szCs w:val="26"/>
        </w:rPr>
        <w:t xml:space="preserve">, </w:t>
      </w:r>
      <w:r w:rsidR="008143C1">
        <w:rPr>
          <w:szCs w:val="26"/>
        </w:rPr>
        <w:t xml:space="preserve">implying that </w:t>
      </w:r>
      <w:r w:rsidR="00714B42">
        <w:rPr>
          <w:szCs w:val="26"/>
        </w:rPr>
        <w:t>Rasekhi</w:t>
      </w:r>
      <w:r w:rsidR="002500EB">
        <w:rPr>
          <w:szCs w:val="26"/>
        </w:rPr>
        <w:t xml:space="preserve"> did not dispute </w:t>
      </w:r>
      <w:r w:rsidR="00D77D13">
        <w:rPr>
          <w:szCs w:val="26"/>
        </w:rPr>
        <w:t>the conduct</w:t>
      </w:r>
      <w:r w:rsidR="0032730B">
        <w:rPr>
          <w:szCs w:val="26"/>
        </w:rPr>
        <w:t xml:space="preserve">.  </w:t>
      </w:r>
      <w:r w:rsidR="0064223C">
        <w:rPr>
          <w:szCs w:val="26"/>
        </w:rPr>
        <w:t>There was no</w:t>
      </w:r>
      <w:r w:rsidR="00745E54">
        <w:rPr>
          <w:szCs w:val="26"/>
        </w:rPr>
        <w:t xml:space="preserve"> evidence </w:t>
      </w:r>
      <w:r w:rsidR="0064223C">
        <w:rPr>
          <w:szCs w:val="26"/>
        </w:rPr>
        <w:t>that Kader</w:t>
      </w:r>
      <w:r w:rsidR="002922B9">
        <w:rPr>
          <w:szCs w:val="26"/>
        </w:rPr>
        <w:t xml:space="preserve"> </w:t>
      </w:r>
      <w:r w:rsidR="007338BA">
        <w:rPr>
          <w:szCs w:val="26"/>
        </w:rPr>
        <w:t>asserted any right, claim, or demand</w:t>
      </w:r>
      <w:r w:rsidR="005B2E5B">
        <w:rPr>
          <w:szCs w:val="26"/>
        </w:rPr>
        <w:t xml:space="preserve"> </w:t>
      </w:r>
      <w:r w:rsidR="004928BC">
        <w:rPr>
          <w:szCs w:val="26"/>
        </w:rPr>
        <w:t xml:space="preserve">prior to </w:t>
      </w:r>
      <w:r w:rsidR="006E785C">
        <w:rPr>
          <w:szCs w:val="26"/>
        </w:rPr>
        <w:t>filing</w:t>
      </w:r>
      <w:r w:rsidR="00B32734">
        <w:rPr>
          <w:szCs w:val="26"/>
        </w:rPr>
        <w:t xml:space="preserve"> charges </w:t>
      </w:r>
      <w:r w:rsidR="004928BC">
        <w:rPr>
          <w:szCs w:val="26"/>
        </w:rPr>
        <w:t>with</w:t>
      </w:r>
      <w:r w:rsidR="007530CF">
        <w:rPr>
          <w:szCs w:val="26"/>
        </w:rPr>
        <w:t xml:space="preserve"> </w:t>
      </w:r>
      <w:r w:rsidR="00096A3F">
        <w:rPr>
          <w:szCs w:val="26"/>
        </w:rPr>
        <w:t xml:space="preserve">the </w:t>
      </w:r>
      <w:r w:rsidR="007530CF">
        <w:rPr>
          <w:szCs w:val="26"/>
        </w:rPr>
        <w:t>DFEH i</w:t>
      </w:r>
      <w:r w:rsidRPr="005B2E5B" w:rsidR="005B2E5B">
        <w:rPr>
          <w:szCs w:val="26"/>
        </w:rPr>
        <w:t>n May 2022</w:t>
      </w:r>
      <w:r w:rsidR="0064223C">
        <w:rPr>
          <w:szCs w:val="26"/>
        </w:rPr>
        <w:t>, and at</w:t>
      </w:r>
      <w:r w:rsidR="00700B93">
        <w:rPr>
          <w:szCs w:val="26"/>
        </w:rPr>
        <w:t xml:space="preserve"> oral argument, Kader’s attorney conceded that </w:t>
      </w:r>
      <w:r w:rsidR="00E771C5">
        <w:rPr>
          <w:szCs w:val="26"/>
        </w:rPr>
        <w:t>Kader</w:t>
      </w:r>
      <w:r w:rsidR="00700B93">
        <w:rPr>
          <w:szCs w:val="26"/>
        </w:rPr>
        <w:t xml:space="preserve"> never complained to anyone at the Center</w:t>
      </w:r>
      <w:r w:rsidR="00E771C5">
        <w:rPr>
          <w:szCs w:val="26"/>
        </w:rPr>
        <w:t xml:space="preserve"> about Rasekhi’s conduct.  There is </w:t>
      </w:r>
      <w:r w:rsidR="00292754">
        <w:rPr>
          <w:szCs w:val="26"/>
        </w:rPr>
        <w:t xml:space="preserve">also </w:t>
      </w:r>
      <w:r w:rsidR="00E771C5">
        <w:rPr>
          <w:szCs w:val="26"/>
        </w:rPr>
        <w:t>no</w:t>
      </w:r>
      <w:r w:rsidR="007338BA">
        <w:rPr>
          <w:szCs w:val="26"/>
        </w:rPr>
        <w:t xml:space="preserve"> evidence that the Center defendants </w:t>
      </w:r>
      <w:r w:rsidR="002C716E">
        <w:rPr>
          <w:szCs w:val="26"/>
        </w:rPr>
        <w:t>disagreed</w:t>
      </w:r>
      <w:r w:rsidR="007338BA">
        <w:rPr>
          <w:szCs w:val="26"/>
        </w:rPr>
        <w:t xml:space="preserve"> with a</w:t>
      </w:r>
      <w:r w:rsidR="00292754">
        <w:rPr>
          <w:szCs w:val="26"/>
        </w:rPr>
        <w:t>ny</w:t>
      </w:r>
      <w:r w:rsidR="007338BA">
        <w:rPr>
          <w:szCs w:val="26"/>
        </w:rPr>
        <w:t xml:space="preserve"> </w:t>
      </w:r>
      <w:r w:rsidR="00601FA9">
        <w:rPr>
          <w:szCs w:val="26"/>
        </w:rPr>
        <w:t>claim</w:t>
      </w:r>
      <w:r w:rsidR="007338BA">
        <w:rPr>
          <w:szCs w:val="26"/>
        </w:rPr>
        <w:t xml:space="preserve"> asser</w:t>
      </w:r>
      <w:r w:rsidR="00E32CCF">
        <w:rPr>
          <w:szCs w:val="26"/>
        </w:rPr>
        <w:t>t</w:t>
      </w:r>
      <w:r w:rsidR="007338BA">
        <w:rPr>
          <w:szCs w:val="26"/>
        </w:rPr>
        <w:t xml:space="preserve">ed by Kader until after </w:t>
      </w:r>
      <w:r w:rsidR="00B7120A">
        <w:rPr>
          <w:szCs w:val="26"/>
        </w:rPr>
        <w:t>he filed</w:t>
      </w:r>
      <w:r w:rsidR="007338BA">
        <w:rPr>
          <w:szCs w:val="26"/>
        </w:rPr>
        <w:t xml:space="preserve"> charges with DFEH</w:t>
      </w:r>
      <w:r w:rsidR="007530CF">
        <w:rPr>
          <w:szCs w:val="26"/>
        </w:rPr>
        <w:t>.</w:t>
      </w:r>
      <w:r w:rsidR="001C5043">
        <w:rPr>
          <w:szCs w:val="26"/>
        </w:rPr>
        <w:t xml:space="preserve">  The trial court properly concluded that</w:t>
      </w:r>
      <w:r w:rsidR="003773EC">
        <w:rPr>
          <w:szCs w:val="26"/>
        </w:rPr>
        <w:t xml:space="preserve"> </w:t>
      </w:r>
      <w:r w:rsidR="00FB302B">
        <w:rPr>
          <w:szCs w:val="26"/>
        </w:rPr>
        <w:t xml:space="preserve">the Act applies, because </w:t>
      </w:r>
      <w:r w:rsidR="003773EC">
        <w:rPr>
          <w:szCs w:val="26"/>
        </w:rPr>
        <w:t>the</w:t>
      </w:r>
      <w:r w:rsidR="001C5043">
        <w:rPr>
          <w:szCs w:val="26"/>
        </w:rPr>
        <w:t xml:space="preserve"> arbitration agreement</w:t>
      </w:r>
      <w:r w:rsidR="003773EC">
        <w:rPr>
          <w:szCs w:val="26"/>
        </w:rPr>
        <w:t xml:space="preserve"> was executed before the dispute arose </w:t>
      </w:r>
      <w:r w:rsidR="002C057C">
        <w:rPr>
          <w:szCs w:val="26"/>
        </w:rPr>
        <w:t>between the parties</w:t>
      </w:r>
      <w:r w:rsidR="00590D30">
        <w:rPr>
          <w:szCs w:val="26"/>
        </w:rPr>
        <w:t xml:space="preserve"> in May 2022</w:t>
      </w:r>
      <w:r w:rsidR="002C057C">
        <w:rPr>
          <w:szCs w:val="26"/>
        </w:rPr>
        <w:t>.</w:t>
      </w:r>
      <w:bookmarkEnd w:id="7"/>
    </w:p>
    <w:p w:rsidR="00CA2A60" w:rsidP="008572D8" w14:paraId="68366112" w14:textId="77777777">
      <w:pPr>
        <w:keepNext/>
        <w:rPr>
          <w:szCs w:val="26"/>
        </w:rPr>
      </w:pPr>
    </w:p>
    <w:p w:rsidR="00CA2A60" w:rsidRPr="00590D30" w:rsidP="008572D8" w14:paraId="6A953F2F" w14:textId="51613EC9">
      <w:pPr>
        <w:keepNext/>
        <w:rPr>
          <w:b/>
          <w:bCs/>
          <w:szCs w:val="26"/>
          <w:u w:val="single"/>
        </w:rPr>
      </w:pPr>
      <w:r w:rsidRPr="00590D30">
        <w:rPr>
          <w:b/>
          <w:bCs/>
          <w:szCs w:val="26"/>
          <w:u w:val="single"/>
        </w:rPr>
        <w:t xml:space="preserve">Case Filed </w:t>
      </w:r>
      <w:r w:rsidR="007D53E2">
        <w:rPr>
          <w:b/>
          <w:bCs/>
          <w:szCs w:val="26"/>
          <w:u w:val="single"/>
        </w:rPr>
        <w:t>A</w:t>
      </w:r>
      <w:r w:rsidRPr="00590D30">
        <w:rPr>
          <w:b/>
          <w:bCs/>
          <w:szCs w:val="26"/>
          <w:u w:val="single"/>
        </w:rPr>
        <w:t>fter Effective Date</w:t>
      </w:r>
    </w:p>
    <w:p w:rsidR="00647612" w:rsidP="008572D8" w14:paraId="679505CD" w14:textId="77777777">
      <w:pPr>
        <w:keepNext/>
        <w:rPr>
          <w:szCs w:val="26"/>
        </w:rPr>
      </w:pPr>
    </w:p>
    <w:p w:rsidR="000C14DC" w:rsidP="008572D8" w14:paraId="6EE5D856" w14:textId="6267EFA0">
      <w:pPr>
        <w:keepNext/>
        <w:rPr>
          <w:szCs w:val="26"/>
        </w:rPr>
      </w:pPr>
      <w:r>
        <w:rPr>
          <w:szCs w:val="26"/>
        </w:rPr>
        <w:tab/>
      </w:r>
      <w:r w:rsidR="00565EAC">
        <w:rPr>
          <w:szCs w:val="26"/>
        </w:rPr>
        <w:t>The Center defendants also contend the Act does not apply</w:t>
      </w:r>
      <w:r w:rsidR="006228E5">
        <w:rPr>
          <w:szCs w:val="26"/>
        </w:rPr>
        <w:t xml:space="preserve"> because Kader’s</w:t>
      </w:r>
      <w:r w:rsidR="00565EAC">
        <w:rPr>
          <w:szCs w:val="26"/>
        </w:rPr>
        <w:t xml:space="preserve"> </w:t>
      </w:r>
      <w:r w:rsidR="006228E5">
        <w:rPr>
          <w:szCs w:val="26"/>
        </w:rPr>
        <w:t>claims accrued</w:t>
      </w:r>
      <w:r w:rsidR="006D71C1">
        <w:rPr>
          <w:szCs w:val="26"/>
        </w:rPr>
        <w:t xml:space="preserve"> before the effective date of </w:t>
      </w:r>
      <w:r w:rsidR="006228E5">
        <w:rPr>
          <w:szCs w:val="26"/>
        </w:rPr>
        <w:t>the Act</w:t>
      </w:r>
      <w:r w:rsidR="006D71C1">
        <w:rPr>
          <w:szCs w:val="26"/>
        </w:rPr>
        <w:t>.  We disagree</w:t>
      </w:r>
      <w:r w:rsidR="006228E5">
        <w:rPr>
          <w:szCs w:val="26"/>
        </w:rPr>
        <w:t xml:space="preserve"> with this analysis</w:t>
      </w:r>
      <w:r w:rsidR="006D71C1">
        <w:rPr>
          <w:szCs w:val="26"/>
        </w:rPr>
        <w:t>.</w:t>
      </w:r>
    </w:p>
    <w:p w:rsidR="00E81ACA" w:rsidP="00433829" w14:paraId="38BF9D48" w14:textId="3F5CF238">
      <w:pPr>
        <w:rPr>
          <w:szCs w:val="26"/>
        </w:rPr>
      </w:pPr>
      <w:r>
        <w:rPr>
          <w:szCs w:val="26"/>
        </w:rPr>
        <w:tab/>
      </w:r>
      <w:r w:rsidR="001E321F">
        <w:rPr>
          <w:szCs w:val="26"/>
        </w:rPr>
        <w:t xml:space="preserve">Section 402, subdivision (a), unambiguously </w:t>
      </w:r>
      <w:r w:rsidR="00B3370D">
        <w:rPr>
          <w:szCs w:val="26"/>
        </w:rPr>
        <w:t>states that it applies</w:t>
      </w:r>
      <w:r w:rsidR="001E321F">
        <w:rPr>
          <w:szCs w:val="26"/>
        </w:rPr>
        <w:t xml:space="preserve"> </w:t>
      </w:r>
      <w:r w:rsidR="00A1045F">
        <w:rPr>
          <w:szCs w:val="26"/>
        </w:rPr>
        <w:t>in</w:t>
      </w:r>
      <w:r w:rsidR="001E321F">
        <w:rPr>
          <w:szCs w:val="26"/>
        </w:rPr>
        <w:t xml:space="preserve"> a</w:t>
      </w:r>
      <w:r w:rsidR="00CC1148">
        <w:rPr>
          <w:szCs w:val="26"/>
        </w:rPr>
        <w:t>ny</w:t>
      </w:r>
      <w:r w:rsidR="001E321F">
        <w:rPr>
          <w:szCs w:val="26"/>
        </w:rPr>
        <w:t xml:space="preserve"> case </w:t>
      </w:r>
      <w:r w:rsidR="00CC1148">
        <w:rPr>
          <w:szCs w:val="26"/>
        </w:rPr>
        <w:t xml:space="preserve">that relates to </w:t>
      </w:r>
      <w:r w:rsidR="004218A8">
        <w:rPr>
          <w:szCs w:val="26"/>
        </w:rPr>
        <w:t>the</w:t>
      </w:r>
      <w:r w:rsidR="00CC1148">
        <w:rPr>
          <w:szCs w:val="26"/>
        </w:rPr>
        <w:t xml:space="preserve"> sexual assault</w:t>
      </w:r>
      <w:r w:rsidR="00A829C9">
        <w:rPr>
          <w:szCs w:val="26"/>
        </w:rPr>
        <w:t xml:space="preserve"> dispute or</w:t>
      </w:r>
      <w:r w:rsidR="004218A8">
        <w:rPr>
          <w:szCs w:val="26"/>
        </w:rPr>
        <w:t xml:space="preserve"> </w:t>
      </w:r>
      <w:r w:rsidR="00A829C9">
        <w:rPr>
          <w:szCs w:val="26"/>
        </w:rPr>
        <w:t>sexual harassment dispute.</w:t>
      </w:r>
      <w:r w:rsidR="004E5E8E">
        <w:rPr>
          <w:szCs w:val="26"/>
        </w:rPr>
        <w:t xml:space="preserve">  (</w:t>
      </w:r>
      <w:r w:rsidRPr="0062556A" w:rsidR="004E5E8E">
        <w:rPr>
          <w:i/>
          <w:iCs/>
          <w:szCs w:val="26"/>
        </w:rPr>
        <w:t>Mu</w:t>
      </w:r>
      <w:r w:rsidRPr="0062556A" w:rsidR="00CF0031">
        <w:rPr>
          <w:i/>
          <w:iCs/>
          <w:szCs w:val="26"/>
        </w:rPr>
        <w:t>rrey v. Superior Court</w:t>
      </w:r>
      <w:r w:rsidR="00CF0031">
        <w:rPr>
          <w:szCs w:val="26"/>
        </w:rPr>
        <w:t xml:space="preserve"> (2023)</w:t>
      </w:r>
      <w:r w:rsidR="00620B86">
        <w:rPr>
          <w:szCs w:val="26"/>
        </w:rPr>
        <w:t xml:space="preserve"> </w:t>
      </w:r>
      <w:r w:rsidRPr="009F3435" w:rsidR="009F3435">
        <w:rPr>
          <w:szCs w:val="26"/>
        </w:rPr>
        <w:t>87 Cal.App.5th 1223, 1235</w:t>
      </w:r>
      <w:r w:rsidR="009F3435">
        <w:rPr>
          <w:szCs w:val="26"/>
        </w:rPr>
        <w:t>.)</w:t>
      </w:r>
      <w:r w:rsidR="00940716">
        <w:rPr>
          <w:szCs w:val="26"/>
        </w:rPr>
        <w:t xml:space="preserve">  Under the plain meaning of section 402, subdivision (a), the Act applies to th</w:t>
      </w:r>
      <w:r w:rsidR="000C0383">
        <w:rPr>
          <w:szCs w:val="26"/>
        </w:rPr>
        <w:t>e instant case</w:t>
      </w:r>
      <w:r w:rsidR="00C86E09">
        <w:rPr>
          <w:szCs w:val="26"/>
        </w:rPr>
        <w:t>, which was</w:t>
      </w:r>
      <w:r w:rsidR="000C0383">
        <w:rPr>
          <w:szCs w:val="26"/>
        </w:rPr>
        <w:t xml:space="preserve"> filed after the effective date of the Act.</w:t>
      </w:r>
      <w:r w:rsidR="008572D8">
        <w:rPr>
          <w:szCs w:val="26"/>
        </w:rPr>
        <w:t xml:space="preserve">  </w:t>
      </w:r>
    </w:p>
    <w:p w:rsidR="00143C8D" w:rsidRPr="004A0970" w:rsidP="00433829" w14:paraId="0CC4D9B5" w14:textId="231774AD">
      <w:pPr>
        <w:rPr>
          <w:szCs w:val="26"/>
        </w:rPr>
      </w:pPr>
      <w:r>
        <w:rPr>
          <w:szCs w:val="26"/>
        </w:rPr>
        <w:tab/>
        <w:t>The statutory note</w:t>
      </w:r>
      <w:r w:rsidR="007E7474">
        <w:rPr>
          <w:szCs w:val="26"/>
        </w:rPr>
        <w:t xml:space="preserve"> states that the Act applies to “</w:t>
      </w:r>
      <w:r w:rsidRPr="00CA02BF">
        <w:rPr>
          <w:szCs w:val="26"/>
        </w:rPr>
        <w:t>any dispute or claim that arises or accrues on or after the date of enactment of this Act</w:t>
      </w:r>
      <w:r w:rsidR="007E7474">
        <w:rPr>
          <w:szCs w:val="26"/>
        </w:rPr>
        <w:t>.”</w:t>
      </w:r>
      <w:r w:rsidRPr="00B04B90" w:rsidR="00B04B90">
        <w:t xml:space="preserve"> </w:t>
      </w:r>
      <w:r w:rsidRPr="00B04B90" w:rsidR="00B04B90">
        <w:rPr>
          <w:szCs w:val="26"/>
        </w:rPr>
        <w:t>(Pub.L. No. 117-90, § 3, reprinted in notes foll. 9 U.S.C. §</w:t>
      </w:r>
      <w:r w:rsidR="00735213">
        <w:rPr>
          <w:szCs w:val="26"/>
        </w:rPr>
        <w:t> </w:t>
      </w:r>
      <w:r w:rsidRPr="00B04B90" w:rsidR="00B04B90">
        <w:rPr>
          <w:szCs w:val="26"/>
        </w:rPr>
        <w:t xml:space="preserve">401.)  </w:t>
      </w:r>
      <w:r w:rsidR="00F803D7">
        <w:rPr>
          <w:szCs w:val="26"/>
        </w:rPr>
        <w:t>A</w:t>
      </w:r>
      <w:r w:rsidR="00F42586">
        <w:rPr>
          <w:szCs w:val="26"/>
        </w:rPr>
        <w:t>s discussed above, a</w:t>
      </w:r>
      <w:r w:rsidR="00F803D7">
        <w:rPr>
          <w:szCs w:val="26"/>
        </w:rPr>
        <w:t xml:space="preserve"> claim may arise or accrue </w:t>
      </w:r>
      <w:r w:rsidR="00A774A5">
        <w:rPr>
          <w:szCs w:val="26"/>
        </w:rPr>
        <w:t xml:space="preserve">before a dispute arises, and additional claims may arise after a dispute arises.  </w:t>
      </w:r>
      <w:r w:rsidR="001F467D">
        <w:rPr>
          <w:szCs w:val="26"/>
        </w:rPr>
        <w:t>The</w:t>
      </w:r>
      <w:r w:rsidR="00B04B90">
        <w:rPr>
          <w:szCs w:val="26"/>
        </w:rPr>
        <w:t xml:space="preserve"> dispute in this case arose in May 2022, after the effective date of the Act.</w:t>
      </w:r>
      <w:r w:rsidR="00467ADA">
        <w:rPr>
          <w:szCs w:val="26"/>
        </w:rPr>
        <w:t xml:space="preserve">  The trial court properly concluded that the Act applied to invalidate the predispute arbitration agreement in this case.</w:t>
      </w:r>
    </w:p>
    <w:p w:rsidR="00433829" w:rsidP="00433829" w14:paraId="6BC118A6" w14:textId="2DE99EDE">
      <w:pPr>
        <w:rPr>
          <w:szCs w:val="26"/>
        </w:rPr>
      </w:pPr>
      <w:r>
        <w:rPr>
          <w:szCs w:val="26"/>
        </w:rPr>
        <w:br w:type="page"/>
      </w:r>
    </w:p>
    <w:p w:rsidR="009A0E84" w:rsidRPr="00DE08FB" w:rsidP="00433829" w14:paraId="76806730" w14:textId="77777777">
      <w:pPr>
        <w:rPr>
          <w:szCs w:val="26"/>
        </w:rPr>
      </w:pPr>
    </w:p>
    <w:p w:rsidR="0052483D" w:rsidRPr="00467ADA" w:rsidP="00433829" w14:paraId="10948452" w14:textId="1CD4E1EA">
      <w:pPr>
        <w:jc w:val="center"/>
        <w:rPr>
          <w:b/>
          <w:bCs/>
          <w:szCs w:val="26"/>
        </w:rPr>
      </w:pPr>
      <w:r w:rsidRPr="00E41D6B">
        <w:rPr>
          <w:b/>
          <w:bCs/>
          <w:szCs w:val="26"/>
        </w:rPr>
        <w:t>DISPOSITION</w:t>
      </w:r>
    </w:p>
    <w:p w:rsidR="00467ADA" w:rsidP="00433829" w14:paraId="401DD4D9" w14:textId="77777777">
      <w:pPr>
        <w:rPr>
          <w:szCs w:val="26"/>
        </w:rPr>
      </w:pPr>
    </w:p>
    <w:p w:rsidR="00CC6A07" w:rsidP="00433829" w14:paraId="049EC932" w14:textId="290FB83D">
      <w:pPr>
        <w:rPr>
          <w:szCs w:val="26"/>
        </w:rPr>
      </w:pPr>
      <w:r>
        <w:rPr>
          <w:szCs w:val="26"/>
        </w:rPr>
        <w:tab/>
      </w:r>
      <w:r w:rsidRPr="00DE08FB" w:rsidR="00DE08FB">
        <w:rPr>
          <w:szCs w:val="26"/>
        </w:rPr>
        <w:t xml:space="preserve">The </w:t>
      </w:r>
      <w:r w:rsidR="00C06BC5">
        <w:rPr>
          <w:szCs w:val="26"/>
        </w:rPr>
        <w:t xml:space="preserve">order denying the motion to compel arbitration is </w:t>
      </w:r>
      <w:r w:rsidR="002459AF">
        <w:rPr>
          <w:szCs w:val="26"/>
        </w:rPr>
        <w:t>affirmed</w:t>
      </w:r>
      <w:r w:rsidR="00D315BB">
        <w:rPr>
          <w:szCs w:val="26"/>
        </w:rPr>
        <w:t>.</w:t>
      </w:r>
      <w:r w:rsidR="004B7C11">
        <w:rPr>
          <w:szCs w:val="26"/>
        </w:rPr>
        <w:t xml:space="preserve">  Plaintiff and </w:t>
      </w:r>
      <w:r w:rsidR="00C245B2">
        <w:rPr>
          <w:szCs w:val="26"/>
        </w:rPr>
        <w:t>respondent</w:t>
      </w:r>
      <w:r w:rsidR="004B7C11">
        <w:rPr>
          <w:szCs w:val="26"/>
        </w:rPr>
        <w:t xml:space="preserve"> Omar Kader is awarded his costs on appeal.</w:t>
      </w:r>
    </w:p>
    <w:p w:rsidR="00180142" w:rsidRPr="002B4E66" w:rsidP="00433829" w14:paraId="023E2D1D" w14:textId="77777777">
      <w:pPr>
        <w:rPr>
          <w:szCs w:val="26"/>
        </w:rPr>
      </w:pPr>
    </w:p>
    <w:p w:rsidR="00180142" w:rsidRPr="002B4E66" w:rsidP="00433829" w14:paraId="2655671C" w14:textId="77777777">
      <w:pPr>
        <w:rPr>
          <w:szCs w:val="26"/>
        </w:rPr>
      </w:pPr>
    </w:p>
    <w:p w:rsidR="00180142" w:rsidRPr="002B4E66" w:rsidP="00433829" w14:paraId="35617225" w14:textId="77777777">
      <w:pPr>
        <w:rPr>
          <w:szCs w:val="26"/>
        </w:rPr>
      </w:pPr>
      <w:r w:rsidRPr="002B4E66">
        <w:rPr>
          <w:szCs w:val="26"/>
        </w:rPr>
        <w:tab/>
      </w:r>
      <w:r w:rsidRPr="002B4E66">
        <w:rPr>
          <w:szCs w:val="26"/>
        </w:rPr>
        <w:tab/>
      </w:r>
      <w:r w:rsidRPr="002B4E66">
        <w:rPr>
          <w:szCs w:val="26"/>
        </w:rPr>
        <w:tab/>
      </w:r>
      <w:r w:rsidRPr="002B4E66">
        <w:rPr>
          <w:szCs w:val="26"/>
        </w:rPr>
        <w:tab/>
      </w:r>
      <w:r w:rsidRPr="002B4E66">
        <w:rPr>
          <w:szCs w:val="26"/>
        </w:rPr>
        <w:tab/>
      </w:r>
      <w:r w:rsidRPr="002B4E66">
        <w:rPr>
          <w:szCs w:val="26"/>
        </w:rPr>
        <w:tab/>
      </w:r>
      <w:r w:rsidRPr="002B4E66">
        <w:rPr>
          <w:szCs w:val="26"/>
        </w:rPr>
        <w:tab/>
        <w:t>MOOR, J.</w:t>
      </w:r>
    </w:p>
    <w:p w:rsidR="00180142" w:rsidRPr="002B4E66" w:rsidP="00433829" w14:paraId="7664BF2B" w14:textId="77777777">
      <w:pPr>
        <w:rPr>
          <w:szCs w:val="26"/>
        </w:rPr>
      </w:pPr>
    </w:p>
    <w:p w:rsidR="00180142" w:rsidRPr="002B4E66" w:rsidP="00433829" w14:paraId="1206CAA3" w14:textId="77777777">
      <w:pPr>
        <w:rPr>
          <w:szCs w:val="26"/>
        </w:rPr>
      </w:pPr>
      <w:r w:rsidRPr="002B4E66">
        <w:rPr>
          <w:szCs w:val="26"/>
        </w:rPr>
        <w:t>We concur:</w:t>
      </w:r>
    </w:p>
    <w:p w:rsidR="00180142" w:rsidRPr="002B4E66" w:rsidP="00433829" w14:paraId="299885FD" w14:textId="77777777">
      <w:pPr>
        <w:rPr>
          <w:szCs w:val="26"/>
        </w:rPr>
      </w:pPr>
    </w:p>
    <w:p w:rsidR="00180142" w:rsidRPr="002B4E66" w:rsidP="00433829" w14:paraId="5B590C48" w14:textId="77777777">
      <w:pPr>
        <w:rPr>
          <w:szCs w:val="26"/>
        </w:rPr>
      </w:pPr>
    </w:p>
    <w:p w:rsidR="00180142" w:rsidP="00433829" w14:paraId="02390A0A" w14:textId="77777777">
      <w:pPr>
        <w:rPr>
          <w:szCs w:val="26"/>
        </w:rPr>
      </w:pPr>
      <w:r w:rsidRPr="002B4E66">
        <w:rPr>
          <w:szCs w:val="26"/>
        </w:rPr>
        <w:tab/>
      </w:r>
      <w:r w:rsidRPr="002B4E66">
        <w:rPr>
          <w:szCs w:val="26"/>
        </w:rPr>
        <w:tab/>
      </w:r>
      <w:r>
        <w:rPr>
          <w:szCs w:val="26"/>
        </w:rPr>
        <w:t>RUBIN</w:t>
      </w:r>
      <w:r w:rsidRPr="002B4E66">
        <w:rPr>
          <w:szCs w:val="26"/>
        </w:rPr>
        <w:t>, P. J.</w:t>
      </w:r>
    </w:p>
    <w:p w:rsidR="00180142" w:rsidP="00433829" w14:paraId="6142D9FA" w14:textId="77777777">
      <w:pPr>
        <w:rPr>
          <w:szCs w:val="26"/>
        </w:rPr>
      </w:pPr>
    </w:p>
    <w:p w:rsidR="00180142" w:rsidP="00433829" w14:paraId="5CB13C70" w14:textId="77777777">
      <w:pPr>
        <w:rPr>
          <w:szCs w:val="26"/>
        </w:rPr>
      </w:pPr>
    </w:p>
    <w:p w:rsidR="00F72039" w:rsidRPr="00DE08FB" w:rsidP="00433829" w14:paraId="2A432A11" w14:textId="60CB9FC0">
      <w:pPr>
        <w:rPr>
          <w:szCs w:val="26"/>
        </w:rPr>
      </w:pPr>
      <w:r>
        <w:rPr>
          <w:szCs w:val="26"/>
        </w:rPr>
        <w:tab/>
      </w:r>
      <w:r>
        <w:rPr>
          <w:szCs w:val="26"/>
        </w:rPr>
        <w:tab/>
      </w:r>
      <w:r w:rsidR="00204CA2">
        <w:rPr>
          <w:szCs w:val="26"/>
        </w:rPr>
        <w:t>KIM</w:t>
      </w:r>
      <w:r w:rsidRPr="002B4E66">
        <w:rPr>
          <w:spacing w:val="4"/>
          <w:szCs w:val="26"/>
        </w:rPr>
        <w:t>, J.</w:t>
      </w:r>
    </w:p>
    <w:sectPr w:rsidSect="00C73B25">
      <w:footerReference w:type="even" r:id="rId9"/>
      <w:footerReference w:type="default" r:id="rId10"/>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A07" w14:paraId="57655BCC"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9521F4">
      <w:rPr>
        <w:rStyle w:val="PageNumber"/>
      </w:rPr>
      <w:fldChar w:fldCharType="separate"/>
    </w:r>
    <w:r>
      <w:rPr>
        <w:rStyle w:val="PageNumber"/>
      </w:rPr>
      <w:fldChar w:fldCharType="end"/>
    </w:r>
  </w:p>
  <w:p w:rsidR="00CC6A07" w14:paraId="238A18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A07" w14:paraId="797DBBE2" w14:textId="2A6462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08FB" w:rsidRPr="00DE08FB" w14:paraId="115863BF" w14:textId="49639E2C">
    <w:pPr>
      <w:pStyle w:val="Footer"/>
      <w:jc w:val="center"/>
      <w:rPr>
        <w:szCs w:val="26"/>
      </w:rPr>
    </w:pPr>
  </w:p>
  <w:p w:rsidR="00DE08FB" w14:paraId="06F744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3B25" w:rsidP="00DE08FB" w14:paraId="30D6C2B0" w14:textId="77777777">
      <w:pPr>
        <w:spacing w:line="240" w:lineRule="auto"/>
      </w:pPr>
      <w:r>
        <w:separator/>
      </w:r>
    </w:p>
  </w:footnote>
  <w:footnote w:type="continuationSeparator" w:id="1">
    <w:p w:rsidR="00C73B25" w:rsidP="00DE08FB" w14:paraId="6A26BF99" w14:textId="77777777">
      <w:pPr>
        <w:spacing w:line="240" w:lineRule="auto"/>
      </w:pPr>
      <w:r>
        <w:continuationSeparator/>
      </w:r>
    </w:p>
  </w:footnote>
  <w:footnote w:id="2">
    <w:p w:rsidR="002463EA" w:rsidRPr="002463EA" w:rsidP="002463EA" w14:paraId="29C11E65" w14:textId="0CEA1581">
      <w:pPr>
        <w:pStyle w:val="FootnoteText"/>
        <w:rPr>
          <w:sz w:val="26"/>
          <w:szCs w:val="26"/>
        </w:rPr>
      </w:pPr>
      <w:r w:rsidRPr="002463EA">
        <w:rPr>
          <w:sz w:val="26"/>
          <w:szCs w:val="26"/>
        </w:rPr>
        <w:tab/>
      </w:r>
      <w:r w:rsidRPr="00C41CF1">
        <w:rPr>
          <w:rStyle w:val="FootnoteReference"/>
          <w:b/>
          <w:bCs/>
          <w:position w:val="8"/>
          <w:szCs w:val="26"/>
          <w:vertAlign w:val="baseline"/>
        </w:rPr>
        <w:footnoteRef/>
      </w:r>
      <w:r w:rsidRPr="00C41CF1">
        <w:rPr>
          <w:position w:val="8"/>
          <w:szCs w:val="26"/>
        </w:rPr>
        <w:t xml:space="preserve"> </w:t>
      </w:r>
      <w:r w:rsidRPr="002463EA">
        <w:rPr>
          <w:sz w:val="26"/>
          <w:szCs w:val="26"/>
        </w:rPr>
        <w:t>Effective June 30, 2022, after the events in this case, the agency’s name changed to the Civil Rights Department.  (Gov. Code, § 12901.)</w:t>
      </w:r>
    </w:p>
  </w:footnote>
  <w:footnote w:id="3">
    <w:p w:rsidR="006D4015" w14:paraId="5369CD2E" w14:textId="77517F01">
      <w:pPr>
        <w:pStyle w:val="FootnoteText"/>
      </w:pPr>
      <w:r>
        <w:rPr>
          <w:sz w:val="26"/>
          <w:szCs w:val="26"/>
        </w:rPr>
        <w:tab/>
      </w:r>
      <w:r w:rsidRPr="00BC2386">
        <w:rPr>
          <w:rStyle w:val="FootnoteReference"/>
          <w:b/>
          <w:bCs/>
          <w:position w:val="8"/>
          <w:szCs w:val="26"/>
          <w:vertAlign w:val="baseline"/>
        </w:rPr>
        <w:footnoteRef/>
      </w:r>
      <w:r w:rsidRPr="00BC2386">
        <w:rPr>
          <w:position w:val="8"/>
          <w:szCs w:val="26"/>
        </w:rPr>
        <w:t xml:space="preserve"> </w:t>
      </w:r>
      <w:r w:rsidRPr="005D6B5E">
        <w:rPr>
          <w:sz w:val="26"/>
          <w:szCs w:val="26"/>
        </w:rPr>
        <w:t xml:space="preserve">Modern HR also filed a motion to compel arbitration, which is not at issue in this appeal.  Modern HR submitted evidence showing the company ceased to be a provider for the Center and had no relationship with Kader, the Center, or any other defendant after January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85E2B65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FB"/>
    <w:rsid w:val="0000014A"/>
    <w:rsid w:val="00001A33"/>
    <w:rsid w:val="00002266"/>
    <w:rsid w:val="00003E5B"/>
    <w:rsid w:val="00005537"/>
    <w:rsid w:val="00007282"/>
    <w:rsid w:val="0000768E"/>
    <w:rsid w:val="0001208B"/>
    <w:rsid w:val="00014EE9"/>
    <w:rsid w:val="00015072"/>
    <w:rsid w:val="00016D77"/>
    <w:rsid w:val="00020746"/>
    <w:rsid w:val="00021711"/>
    <w:rsid w:val="00022D26"/>
    <w:rsid w:val="00025099"/>
    <w:rsid w:val="000256FD"/>
    <w:rsid w:val="00025C60"/>
    <w:rsid w:val="00026DC2"/>
    <w:rsid w:val="00030981"/>
    <w:rsid w:val="00030AA8"/>
    <w:rsid w:val="00030DCF"/>
    <w:rsid w:val="00032C50"/>
    <w:rsid w:val="00032F0B"/>
    <w:rsid w:val="000332ED"/>
    <w:rsid w:val="0003379E"/>
    <w:rsid w:val="00034A3F"/>
    <w:rsid w:val="00041FEA"/>
    <w:rsid w:val="0004243F"/>
    <w:rsid w:val="0004635F"/>
    <w:rsid w:val="0004719C"/>
    <w:rsid w:val="00050DB1"/>
    <w:rsid w:val="000525CF"/>
    <w:rsid w:val="0005352F"/>
    <w:rsid w:val="00053B6A"/>
    <w:rsid w:val="000543BE"/>
    <w:rsid w:val="00054E11"/>
    <w:rsid w:val="00055573"/>
    <w:rsid w:val="00055D54"/>
    <w:rsid w:val="00055E36"/>
    <w:rsid w:val="00057850"/>
    <w:rsid w:val="000671D9"/>
    <w:rsid w:val="00070525"/>
    <w:rsid w:val="0007061B"/>
    <w:rsid w:val="00071FB2"/>
    <w:rsid w:val="000731DA"/>
    <w:rsid w:val="00073723"/>
    <w:rsid w:val="000744E7"/>
    <w:rsid w:val="00081709"/>
    <w:rsid w:val="00083B3F"/>
    <w:rsid w:val="00085040"/>
    <w:rsid w:val="00093731"/>
    <w:rsid w:val="00094EDF"/>
    <w:rsid w:val="00095D60"/>
    <w:rsid w:val="00096A3F"/>
    <w:rsid w:val="000A0D4A"/>
    <w:rsid w:val="000A4A5A"/>
    <w:rsid w:val="000A5AA2"/>
    <w:rsid w:val="000A5B29"/>
    <w:rsid w:val="000A5E8B"/>
    <w:rsid w:val="000A6C63"/>
    <w:rsid w:val="000A7F21"/>
    <w:rsid w:val="000B1E95"/>
    <w:rsid w:val="000B2373"/>
    <w:rsid w:val="000B2C8A"/>
    <w:rsid w:val="000B5A78"/>
    <w:rsid w:val="000B5B22"/>
    <w:rsid w:val="000B60BB"/>
    <w:rsid w:val="000B6F43"/>
    <w:rsid w:val="000B7B90"/>
    <w:rsid w:val="000C0383"/>
    <w:rsid w:val="000C14DC"/>
    <w:rsid w:val="000C3AFA"/>
    <w:rsid w:val="000C7095"/>
    <w:rsid w:val="000C785B"/>
    <w:rsid w:val="000D0A05"/>
    <w:rsid w:val="000D10C1"/>
    <w:rsid w:val="000D1220"/>
    <w:rsid w:val="000D307B"/>
    <w:rsid w:val="000D5429"/>
    <w:rsid w:val="000D62C4"/>
    <w:rsid w:val="000E088D"/>
    <w:rsid w:val="000E1C79"/>
    <w:rsid w:val="000E6305"/>
    <w:rsid w:val="000E7FCF"/>
    <w:rsid w:val="000F3DF7"/>
    <w:rsid w:val="000F4147"/>
    <w:rsid w:val="000F5B9B"/>
    <w:rsid w:val="000F6E5F"/>
    <w:rsid w:val="00103794"/>
    <w:rsid w:val="00104326"/>
    <w:rsid w:val="00105332"/>
    <w:rsid w:val="00110B0B"/>
    <w:rsid w:val="00110EB7"/>
    <w:rsid w:val="00111620"/>
    <w:rsid w:val="00111930"/>
    <w:rsid w:val="001135E2"/>
    <w:rsid w:val="00113C7C"/>
    <w:rsid w:val="001146E7"/>
    <w:rsid w:val="0011528E"/>
    <w:rsid w:val="0011533D"/>
    <w:rsid w:val="00116D94"/>
    <w:rsid w:val="001216EC"/>
    <w:rsid w:val="001218B7"/>
    <w:rsid w:val="001239A9"/>
    <w:rsid w:val="00123A9C"/>
    <w:rsid w:val="0012406F"/>
    <w:rsid w:val="00124EF3"/>
    <w:rsid w:val="001264BB"/>
    <w:rsid w:val="001317C8"/>
    <w:rsid w:val="001321D3"/>
    <w:rsid w:val="00132824"/>
    <w:rsid w:val="0013339F"/>
    <w:rsid w:val="00136087"/>
    <w:rsid w:val="00143274"/>
    <w:rsid w:val="00143C8D"/>
    <w:rsid w:val="0014489C"/>
    <w:rsid w:val="001448AC"/>
    <w:rsid w:val="00145E26"/>
    <w:rsid w:val="00145F9F"/>
    <w:rsid w:val="00146F13"/>
    <w:rsid w:val="00146FDC"/>
    <w:rsid w:val="00150619"/>
    <w:rsid w:val="00150BAC"/>
    <w:rsid w:val="00150E66"/>
    <w:rsid w:val="00152AF3"/>
    <w:rsid w:val="00153120"/>
    <w:rsid w:val="0015361F"/>
    <w:rsid w:val="00154074"/>
    <w:rsid w:val="0015425C"/>
    <w:rsid w:val="00155B33"/>
    <w:rsid w:val="00161652"/>
    <w:rsid w:val="00162017"/>
    <w:rsid w:val="00163E8C"/>
    <w:rsid w:val="001660E1"/>
    <w:rsid w:val="00166DC0"/>
    <w:rsid w:val="001754E5"/>
    <w:rsid w:val="00176508"/>
    <w:rsid w:val="0017742F"/>
    <w:rsid w:val="00180142"/>
    <w:rsid w:val="00180A99"/>
    <w:rsid w:val="00181DDC"/>
    <w:rsid w:val="00186A74"/>
    <w:rsid w:val="00191B78"/>
    <w:rsid w:val="00191E21"/>
    <w:rsid w:val="0019236C"/>
    <w:rsid w:val="00192819"/>
    <w:rsid w:val="00192945"/>
    <w:rsid w:val="00194C74"/>
    <w:rsid w:val="00195F90"/>
    <w:rsid w:val="001A076A"/>
    <w:rsid w:val="001A09F2"/>
    <w:rsid w:val="001A1C43"/>
    <w:rsid w:val="001A42DF"/>
    <w:rsid w:val="001A55FB"/>
    <w:rsid w:val="001A5F73"/>
    <w:rsid w:val="001A74E7"/>
    <w:rsid w:val="001B109D"/>
    <w:rsid w:val="001B1F1F"/>
    <w:rsid w:val="001B2BFC"/>
    <w:rsid w:val="001B3567"/>
    <w:rsid w:val="001C1A9B"/>
    <w:rsid w:val="001C2A52"/>
    <w:rsid w:val="001C31B2"/>
    <w:rsid w:val="001C345C"/>
    <w:rsid w:val="001C3BB6"/>
    <w:rsid w:val="001C4E17"/>
    <w:rsid w:val="001C5043"/>
    <w:rsid w:val="001C71C7"/>
    <w:rsid w:val="001C7397"/>
    <w:rsid w:val="001C75B6"/>
    <w:rsid w:val="001D1CD3"/>
    <w:rsid w:val="001D28D8"/>
    <w:rsid w:val="001D2F49"/>
    <w:rsid w:val="001D3238"/>
    <w:rsid w:val="001D5162"/>
    <w:rsid w:val="001D5604"/>
    <w:rsid w:val="001D5A7E"/>
    <w:rsid w:val="001D650A"/>
    <w:rsid w:val="001D70DE"/>
    <w:rsid w:val="001E23A8"/>
    <w:rsid w:val="001E321F"/>
    <w:rsid w:val="001E52D0"/>
    <w:rsid w:val="001F03E5"/>
    <w:rsid w:val="001F1474"/>
    <w:rsid w:val="001F390E"/>
    <w:rsid w:val="001F467D"/>
    <w:rsid w:val="001F4D05"/>
    <w:rsid w:val="001F79E9"/>
    <w:rsid w:val="00201DBF"/>
    <w:rsid w:val="00202E45"/>
    <w:rsid w:val="00204CA2"/>
    <w:rsid w:val="002052B7"/>
    <w:rsid w:val="0020603A"/>
    <w:rsid w:val="00206AFF"/>
    <w:rsid w:val="00207BFA"/>
    <w:rsid w:val="002129E8"/>
    <w:rsid w:val="002130E9"/>
    <w:rsid w:val="002133B0"/>
    <w:rsid w:val="00215A71"/>
    <w:rsid w:val="00215F8A"/>
    <w:rsid w:val="00216B9F"/>
    <w:rsid w:val="002205B5"/>
    <w:rsid w:val="00220B68"/>
    <w:rsid w:val="00222645"/>
    <w:rsid w:val="00222BBA"/>
    <w:rsid w:val="002254CA"/>
    <w:rsid w:val="0022788A"/>
    <w:rsid w:val="002317C4"/>
    <w:rsid w:val="002325A3"/>
    <w:rsid w:val="00235C10"/>
    <w:rsid w:val="00237CF8"/>
    <w:rsid w:val="002459AF"/>
    <w:rsid w:val="002462E1"/>
    <w:rsid w:val="002463EA"/>
    <w:rsid w:val="00246F1A"/>
    <w:rsid w:val="002500C5"/>
    <w:rsid w:val="002500EB"/>
    <w:rsid w:val="0025382B"/>
    <w:rsid w:val="00253EDA"/>
    <w:rsid w:val="00255AAB"/>
    <w:rsid w:val="00257727"/>
    <w:rsid w:val="002579BD"/>
    <w:rsid w:val="00261E8B"/>
    <w:rsid w:val="00264E57"/>
    <w:rsid w:val="002650D5"/>
    <w:rsid w:val="00267AC4"/>
    <w:rsid w:val="0027137F"/>
    <w:rsid w:val="0027239B"/>
    <w:rsid w:val="002724D2"/>
    <w:rsid w:val="0027413E"/>
    <w:rsid w:val="00274EC3"/>
    <w:rsid w:val="0028071F"/>
    <w:rsid w:val="002808A1"/>
    <w:rsid w:val="00280EF3"/>
    <w:rsid w:val="0028450A"/>
    <w:rsid w:val="00286253"/>
    <w:rsid w:val="00291864"/>
    <w:rsid w:val="00291F69"/>
    <w:rsid w:val="002922B9"/>
    <w:rsid w:val="00292754"/>
    <w:rsid w:val="00293C47"/>
    <w:rsid w:val="0029479F"/>
    <w:rsid w:val="0029513D"/>
    <w:rsid w:val="002A178A"/>
    <w:rsid w:val="002A1ED2"/>
    <w:rsid w:val="002A41BB"/>
    <w:rsid w:val="002A56CA"/>
    <w:rsid w:val="002A5AD9"/>
    <w:rsid w:val="002A6CCF"/>
    <w:rsid w:val="002A6D54"/>
    <w:rsid w:val="002A76A3"/>
    <w:rsid w:val="002B03C9"/>
    <w:rsid w:val="002B16D0"/>
    <w:rsid w:val="002B3816"/>
    <w:rsid w:val="002B40D5"/>
    <w:rsid w:val="002B4393"/>
    <w:rsid w:val="002B4E66"/>
    <w:rsid w:val="002B5ED2"/>
    <w:rsid w:val="002B6365"/>
    <w:rsid w:val="002C057C"/>
    <w:rsid w:val="002C716E"/>
    <w:rsid w:val="002D151C"/>
    <w:rsid w:val="002D1C3A"/>
    <w:rsid w:val="002D373B"/>
    <w:rsid w:val="002E4292"/>
    <w:rsid w:val="002E447D"/>
    <w:rsid w:val="002E55E4"/>
    <w:rsid w:val="002F0562"/>
    <w:rsid w:val="002F156F"/>
    <w:rsid w:val="002F2B8D"/>
    <w:rsid w:val="002F3174"/>
    <w:rsid w:val="002F4A31"/>
    <w:rsid w:val="002F4C9D"/>
    <w:rsid w:val="002F5E2D"/>
    <w:rsid w:val="002F72ED"/>
    <w:rsid w:val="003000A0"/>
    <w:rsid w:val="0030177C"/>
    <w:rsid w:val="00301C14"/>
    <w:rsid w:val="003023D7"/>
    <w:rsid w:val="003041D7"/>
    <w:rsid w:val="003041FF"/>
    <w:rsid w:val="0030577D"/>
    <w:rsid w:val="0030735A"/>
    <w:rsid w:val="003078F7"/>
    <w:rsid w:val="00310FF7"/>
    <w:rsid w:val="00311F46"/>
    <w:rsid w:val="00312AD3"/>
    <w:rsid w:val="00315792"/>
    <w:rsid w:val="00317749"/>
    <w:rsid w:val="00322C34"/>
    <w:rsid w:val="00322EA3"/>
    <w:rsid w:val="00323C3A"/>
    <w:rsid w:val="003257A7"/>
    <w:rsid w:val="003268CF"/>
    <w:rsid w:val="0032730B"/>
    <w:rsid w:val="00327EB4"/>
    <w:rsid w:val="00332689"/>
    <w:rsid w:val="0033502E"/>
    <w:rsid w:val="003352A1"/>
    <w:rsid w:val="00340D9D"/>
    <w:rsid w:val="003433C7"/>
    <w:rsid w:val="00347DEC"/>
    <w:rsid w:val="00351598"/>
    <w:rsid w:val="00354F9D"/>
    <w:rsid w:val="0035587E"/>
    <w:rsid w:val="003565F5"/>
    <w:rsid w:val="00356B42"/>
    <w:rsid w:val="00356F9E"/>
    <w:rsid w:val="00366307"/>
    <w:rsid w:val="00370E90"/>
    <w:rsid w:val="00372064"/>
    <w:rsid w:val="0037297E"/>
    <w:rsid w:val="0037484F"/>
    <w:rsid w:val="003758F4"/>
    <w:rsid w:val="003762CD"/>
    <w:rsid w:val="00376663"/>
    <w:rsid w:val="003773EC"/>
    <w:rsid w:val="003777E2"/>
    <w:rsid w:val="00377953"/>
    <w:rsid w:val="003829E2"/>
    <w:rsid w:val="00383592"/>
    <w:rsid w:val="003930B3"/>
    <w:rsid w:val="0039364C"/>
    <w:rsid w:val="003953E2"/>
    <w:rsid w:val="003958A4"/>
    <w:rsid w:val="003A0712"/>
    <w:rsid w:val="003A0C47"/>
    <w:rsid w:val="003A1CDB"/>
    <w:rsid w:val="003A32EF"/>
    <w:rsid w:val="003A387C"/>
    <w:rsid w:val="003A4CC9"/>
    <w:rsid w:val="003A520E"/>
    <w:rsid w:val="003A67DA"/>
    <w:rsid w:val="003A6C1B"/>
    <w:rsid w:val="003C005C"/>
    <w:rsid w:val="003C1BAF"/>
    <w:rsid w:val="003C204C"/>
    <w:rsid w:val="003C3938"/>
    <w:rsid w:val="003C3EBF"/>
    <w:rsid w:val="003C49B4"/>
    <w:rsid w:val="003D1B0C"/>
    <w:rsid w:val="003D245E"/>
    <w:rsid w:val="003D356F"/>
    <w:rsid w:val="003D787B"/>
    <w:rsid w:val="003E12FB"/>
    <w:rsid w:val="003E2BAB"/>
    <w:rsid w:val="003E4945"/>
    <w:rsid w:val="003E51B4"/>
    <w:rsid w:val="003E594C"/>
    <w:rsid w:val="003E6672"/>
    <w:rsid w:val="003E6998"/>
    <w:rsid w:val="003F0EFD"/>
    <w:rsid w:val="003F1B4F"/>
    <w:rsid w:val="003F2B2C"/>
    <w:rsid w:val="003F3FA5"/>
    <w:rsid w:val="003F7969"/>
    <w:rsid w:val="00400488"/>
    <w:rsid w:val="0040051C"/>
    <w:rsid w:val="004030C5"/>
    <w:rsid w:val="0040315B"/>
    <w:rsid w:val="0040378D"/>
    <w:rsid w:val="004038DE"/>
    <w:rsid w:val="00404772"/>
    <w:rsid w:val="004048EF"/>
    <w:rsid w:val="0040505B"/>
    <w:rsid w:val="00405AAD"/>
    <w:rsid w:val="00406814"/>
    <w:rsid w:val="00411600"/>
    <w:rsid w:val="00411A41"/>
    <w:rsid w:val="004148F8"/>
    <w:rsid w:val="0041567C"/>
    <w:rsid w:val="0041652A"/>
    <w:rsid w:val="004169F4"/>
    <w:rsid w:val="00416CAB"/>
    <w:rsid w:val="004218A8"/>
    <w:rsid w:val="00423110"/>
    <w:rsid w:val="004258C9"/>
    <w:rsid w:val="004313F3"/>
    <w:rsid w:val="00433829"/>
    <w:rsid w:val="00435507"/>
    <w:rsid w:val="00435D68"/>
    <w:rsid w:val="00436307"/>
    <w:rsid w:val="00442424"/>
    <w:rsid w:val="004512B6"/>
    <w:rsid w:val="00452D47"/>
    <w:rsid w:val="00455E48"/>
    <w:rsid w:val="00456A6F"/>
    <w:rsid w:val="004576A7"/>
    <w:rsid w:val="004605C7"/>
    <w:rsid w:val="00460817"/>
    <w:rsid w:val="00460DF2"/>
    <w:rsid w:val="00461671"/>
    <w:rsid w:val="00461F1D"/>
    <w:rsid w:val="00463707"/>
    <w:rsid w:val="0046375F"/>
    <w:rsid w:val="00467ADA"/>
    <w:rsid w:val="00472AB9"/>
    <w:rsid w:val="00473F5B"/>
    <w:rsid w:val="00474395"/>
    <w:rsid w:val="0047456B"/>
    <w:rsid w:val="00475F01"/>
    <w:rsid w:val="00480099"/>
    <w:rsid w:val="004803DE"/>
    <w:rsid w:val="0048071A"/>
    <w:rsid w:val="004811CA"/>
    <w:rsid w:val="00485680"/>
    <w:rsid w:val="00486EED"/>
    <w:rsid w:val="0049079B"/>
    <w:rsid w:val="00490991"/>
    <w:rsid w:val="004910F1"/>
    <w:rsid w:val="00491834"/>
    <w:rsid w:val="00491C6A"/>
    <w:rsid w:val="004928BC"/>
    <w:rsid w:val="00493483"/>
    <w:rsid w:val="00493817"/>
    <w:rsid w:val="0049529A"/>
    <w:rsid w:val="00495D17"/>
    <w:rsid w:val="004974F3"/>
    <w:rsid w:val="00497D3B"/>
    <w:rsid w:val="004A06BC"/>
    <w:rsid w:val="004A0970"/>
    <w:rsid w:val="004A099C"/>
    <w:rsid w:val="004A0A26"/>
    <w:rsid w:val="004A1505"/>
    <w:rsid w:val="004A36AB"/>
    <w:rsid w:val="004A49E3"/>
    <w:rsid w:val="004A5842"/>
    <w:rsid w:val="004A5AEE"/>
    <w:rsid w:val="004B04CB"/>
    <w:rsid w:val="004B259E"/>
    <w:rsid w:val="004B40E5"/>
    <w:rsid w:val="004B5188"/>
    <w:rsid w:val="004B76DE"/>
    <w:rsid w:val="004B797E"/>
    <w:rsid w:val="004B7C11"/>
    <w:rsid w:val="004C0B6B"/>
    <w:rsid w:val="004C120D"/>
    <w:rsid w:val="004C2BDF"/>
    <w:rsid w:val="004C36ED"/>
    <w:rsid w:val="004C3741"/>
    <w:rsid w:val="004C4D91"/>
    <w:rsid w:val="004C52D6"/>
    <w:rsid w:val="004C69B0"/>
    <w:rsid w:val="004D7BC8"/>
    <w:rsid w:val="004E2B5E"/>
    <w:rsid w:val="004E5E8E"/>
    <w:rsid w:val="004E6946"/>
    <w:rsid w:val="004F0023"/>
    <w:rsid w:val="004F0470"/>
    <w:rsid w:val="004F0D9C"/>
    <w:rsid w:val="004F4C7D"/>
    <w:rsid w:val="004F56FC"/>
    <w:rsid w:val="004F5A8D"/>
    <w:rsid w:val="004F62BB"/>
    <w:rsid w:val="004F6E1F"/>
    <w:rsid w:val="00501094"/>
    <w:rsid w:val="00501E55"/>
    <w:rsid w:val="00504D47"/>
    <w:rsid w:val="00504D48"/>
    <w:rsid w:val="005055E4"/>
    <w:rsid w:val="00506B53"/>
    <w:rsid w:val="00514D33"/>
    <w:rsid w:val="00514F99"/>
    <w:rsid w:val="005154DC"/>
    <w:rsid w:val="00516CE8"/>
    <w:rsid w:val="005209D6"/>
    <w:rsid w:val="00520A7D"/>
    <w:rsid w:val="00521A93"/>
    <w:rsid w:val="00521ED9"/>
    <w:rsid w:val="005235E7"/>
    <w:rsid w:val="005236F2"/>
    <w:rsid w:val="0052483D"/>
    <w:rsid w:val="00526217"/>
    <w:rsid w:val="00527A32"/>
    <w:rsid w:val="00527A7F"/>
    <w:rsid w:val="0053245C"/>
    <w:rsid w:val="005324E7"/>
    <w:rsid w:val="00533DC9"/>
    <w:rsid w:val="0053675D"/>
    <w:rsid w:val="00537A9E"/>
    <w:rsid w:val="005405B1"/>
    <w:rsid w:val="00540B4E"/>
    <w:rsid w:val="00540CF9"/>
    <w:rsid w:val="00540E62"/>
    <w:rsid w:val="00542294"/>
    <w:rsid w:val="00550349"/>
    <w:rsid w:val="00551AA7"/>
    <w:rsid w:val="00553AA1"/>
    <w:rsid w:val="005544BF"/>
    <w:rsid w:val="00554AD9"/>
    <w:rsid w:val="00556ADC"/>
    <w:rsid w:val="00562D2E"/>
    <w:rsid w:val="005645AF"/>
    <w:rsid w:val="0056475A"/>
    <w:rsid w:val="00565451"/>
    <w:rsid w:val="00565EAC"/>
    <w:rsid w:val="00566685"/>
    <w:rsid w:val="00566705"/>
    <w:rsid w:val="0056741E"/>
    <w:rsid w:val="005767C5"/>
    <w:rsid w:val="00580089"/>
    <w:rsid w:val="00582145"/>
    <w:rsid w:val="005844B3"/>
    <w:rsid w:val="00585C46"/>
    <w:rsid w:val="00586B77"/>
    <w:rsid w:val="0058773C"/>
    <w:rsid w:val="00587CAD"/>
    <w:rsid w:val="00590D30"/>
    <w:rsid w:val="00593F69"/>
    <w:rsid w:val="00594484"/>
    <w:rsid w:val="005946CB"/>
    <w:rsid w:val="00594BB3"/>
    <w:rsid w:val="0059575F"/>
    <w:rsid w:val="0059749C"/>
    <w:rsid w:val="005A002E"/>
    <w:rsid w:val="005A1E22"/>
    <w:rsid w:val="005A3CC7"/>
    <w:rsid w:val="005A77CB"/>
    <w:rsid w:val="005B11B8"/>
    <w:rsid w:val="005B2A04"/>
    <w:rsid w:val="005B2E5B"/>
    <w:rsid w:val="005B44D1"/>
    <w:rsid w:val="005B74A9"/>
    <w:rsid w:val="005C04A8"/>
    <w:rsid w:val="005C1E51"/>
    <w:rsid w:val="005C207A"/>
    <w:rsid w:val="005C349A"/>
    <w:rsid w:val="005C3D64"/>
    <w:rsid w:val="005C4451"/>
    <w:rsid w:val="005C50DE"/>
    <w:rsid w:val="005C6E1C"/>
    <w:rsid w:val="005D0977"/>
    <w:rsid w:val="005D14FB"/>
    <w:rsid w:val="005D3642"/>
    <w:rsid w:val="005D373B"/>
    <w:rsid w:val="005D49F4"/>
    <w:rsid w:val="005D5266"/>
    <w:rsid w:val="005D6B5E"/>
    <w:rsid w:val="005D7ED8"/>
    <w:rsid w:val="005E02DE"/>
    <w:rsid w:val="005E2043"/>
    <w:rsid w:val="005E4EB7"/>
    <w:rsid w:val="005E5E02"/>
    <w:rsid w:val="005F04A1"/>
    <w:rsid w:val="005F10C4"/>
    <w:rsid w:val="005F13D8"/>
    <w:rsid w:val="005F6496"/>
    <w:rsid w:val="0060029C"/>
    <w:rsid w:val="00600BEA"/>
    <w:rsid w:val="00601634"/>
    <w:rsid w:val="00601D88"/>
    <w:rsid w:val="00601FA9"/>
    <w:rsid w:val="006023DD"/>
    <w:rsid w:val="00602709"/>
    <w:rsid w:val="006058A1"/>
    <w:rsid w:val="00606462"/>
    <w:rsid w:val="00606479"/>
    <w:rsid w:val="00606BAE"/>
    <w:rsid w:val="00607CDE"/>
    <w:rsid w:val="00610FE3"/>
    <w:rsid w:val="00611E63"/>
    <w:rsid w:val="00612740"/>
    <w:rsid w:val="00613311"/>
    <w:rsid w:val="00614D6B"/>
    <w:rsid w:val="006152BD"/>
    <w:rsid w:val="006162D5"/>
    <w:rsid w:val="00616542"/>
    <w:rsid w:val="00617043"/>
    <w:rsid w:val="00620B86"/>
    <w:rsid w:val="006228E5"/>
    <w:rsid w:val="006230F5"/>
    <w:rsid w:val="0062384D"/>
    <w:rsid w:val="00623BBE"/>
    <w:rsid w:val="0062520F"/>
    <w:rsid w:val="0062556A"/>
    <w:rsid w:val="00630ACB"/>
    <w:rsid w:val="00632CC9"/>
    <w:rsid w:val="0063625F"/>
    <w:rsid w:val="0064223C"/>
    <w:rsid w:val="00643173"/>
    <w:rsid w:val="00644D57"/>
    <w:rsid w:val="00646150"/>
    <w:rsid w:val="006468AB"/>
    <w:rsid w:val="00646C68"/>
    <w:rsid w:val="006473FF"/>
    <w:rsid w:val="00647612"/>
    <w:rsid w:val="006505A6"/>
    <w:rsid w:val="00651620"/>
    <w:rsid w:val="00651D10"/>
    <w:rsid w:val="00652476"/>
    <w:rsid w:val="006544D3"/>
    <w:rsid w:val="00654A37"/>
    <w:rsid w:val="00655BE2"/>
    <w:rsid w:val="00655DB5"/>
    <w:rsid w:val="00656B9B"/>
    <w:rsid w:val="0066000F"/>
    <w:rsid w:val="0066265C"/>
    <w:rsid w:val="006635D0"/>
    <w:rsid w:val="00664DFF"/>
    <w:rsid w:val="0067474F"/>
    <w:rsid w:val="006761F0"/>
    <w:rsid w:val="00681C40"/>
    <w:rsid w:val="00686C65"/>
    <w:rsid w:val="0068735E"/>
    <w:rsid w:val="00690314"/>
    <w:rsid w:val="00690977"/>
    <w:rsid w:val="006929E6"/>
    <w:rsid w:val="00693492"/>
    <w:rsid w:val="00693A40"/>
    <w:rsid w:val="006940A9"/>
    <w:rsid w:val="00696305"/>
    <w:rsid w:val="00696D31"/>
    <w:rsid w:val="006A0CB3"/>
    <w:rsid w:val="006A1260"/>
    <w:rsid w:val="006A1B5B"/>
    <w:rsid w:val="006A3CA9"/>
    <w:rsid w:val="006A5907"/>
    <w:rsid w:val="006A5BA2"/>
    <w:rsid w:val="006A6312"/>
    <w:rsid w:val="006A7932"/>
    <w:rsid w:val="006B1D66"/>
    <w:rsid w:val="006B5280"/>
    <w:rsid w:val="006B654C"/>
    <w:rsid w:val="006B6A38"/>
    <w:rsid w:val="006C2D34"/>
    <w:rsid w:val="006C3F7C"/>
    <w:rsid w:val="006C5E6C"/>
    <w:rsid w:val="006C672C"/>
    <w:rsid w:val="006C6814"/>
    <w:rsid w:val="006C6DCA"/>
    <w:rsid w:val="006C796C"/>
    <w:rsid w:val="006D14D5"/>
    <w:rsid w:val="006D1DAD"/>
    <w:rsid w:val="006D36D9"/>
    <w:rsid w:val="006D4015"/>
    <w:rsid w:val="006D50FD"/>
    <w:rsid w:val="006D627C"/>
    <w:rsid w:val="006D662F"/>
    <w:rsid w:val="006D71C1"/>
    <w:rsid w:val="006D75C9"/>
    <w:rsid w:val="006E0172"/>
    <w:rsid w:val="006E0295"/>
    <w:rsid w:val="006E0E21"/>
    <w:rsid w:val="006E54EA"/>
    <w:rsid w:val="006E7493"/>
    <w:rsid w:val="006E785C"/>
    <w:rsid w:val="006F047E"/>
    <w:rsid w:val="006F0FEA"/>
    <w:rsid w:val="006F30C4"/>
    <w:rsid w:val="006F40F9"/>
    <w:rsid w:val="006F5ABA"/>
    <w:rsid w:val="006F5D3E"/>
    <w:rsid w:val="00700B93"/>
    <w:rsid w:val="00703B05"/>
    <w:rsid w:val="00705ADB"/>
    <w:rsid w:val="00707BFF"/>
    <w:rsid w:val="00714B42"/>
    <w:rsid w:val="00715766"/>
    <w:rsid w:val="00716BBB"/>
    <w:rsid w:val="00720C4C"/>
    <w:rsid w:val="00722732"/>
    <w:rsid w:val="0072494F"/>
    <w:rsid w:val="007251E5"/>
    <w:rsid w:val="007270A9"/>
    <w:rsid w:val="00727904"/>
    <w:rsid w:val="00727B72"/>
    <w:rsid w:val="007315C7"/>
    <w:rsid w:val="007338BA"/>
    <w:rsid w:val="0073437A"/>
    <w:rsid w:val="00735213"/>
    <w:rsid w:val="0073561C"/>
    <w:rsid w:val="0073651B"/>
    <w:rsid w:val="007375B5"/>
    <w:rsid w:val="00742511"/>
    <w:rsid w:val="00743281"/>
    <w:rsid w:val="00745E54"/>
    <w:rsid w:val="007462EF"/>
    <w:rsid w:val="00747E96"/>
    <w:rsid w:val="00750AB4"/>
    <w:rsid w:val="00752486"/>
    <w:rsid w:val="00752628"/>
    <w:rsid w:val="00752BA9"/>
    <w:rsid w:val="00753063"/>
    <w:rsid w:val="007530CF"/>
    <w:rsid w:val="00754577"/>
    <w:rsid w:val="007550CA"/>
    <w:rsid w:val="007554F3"/>
    <w:rsid w:val="00755E82"/>
    <w:rsid w:val="00755FBE"/>
    <w:rsid w:val="00760AA6"/>
    <w:rsid w:val="00763C10"/>
    <w:rsid w:val="007653A6"/>
    <w:rsid w:val="00777096"/>
    <w:rsid w:val="007821AC"/>
    <w:rsid w:val="00782703"/>
    <w:rsid w:val="0078287F"/>
    <w:rsid w:val="00786D12"/>
    <w:rsid w:val="00790A83"/>
    <w:rsid w:val="00791193"/>
    <w:rsid w:val="0079633B"/>
    <w:rsid w:val="00796C41"/>
    <w:rsid w:val="00797DE7"/>
    <w:rsid w:val="007A05A2"/>
    <w:rsid w:val="007A060C"/>
    <w:rsid w:val="007A1933"/>
    <w:rsid w:val="007A1D1A"/>
    <w:rsid w:val="007B5AD5"/>
    <w:rsid w:val="007C3A57"/>
    <w:rsid w:val="007C4FA7"/>
    <w:rsid w:val="007D10DC"/>
    <w:rsid w:val="007D1E74"/>
    <w:rsid w:val="007D26EC"/>
    <w:rsid w:val="007D2885"/>
    <w:rsid w:val="007D3A97"/>
    <w:rsid w:val="007D44BA"/>
    <w:rsid w:val="007D53E2"/>
    <w:rsid w:val="007E206E"/>
    <w:rsid w:val="007E34EA"/>
    <w:rsid w:val="007E7474"/>
    <w:rsid w:val="007F0A63"/>
    <w:rsid w:val="007F0A98"/>
    <w:rsid w:val="007F3394"/>
    <w:rsid w:val="007F5D7C"/>
    <w:rsid w:val="007F733F"/>
    <w:rsid w:val="007F7CA8"/>
    <w:rsid w:val="008029A3"/>
    <w:rsid w:val="00803752"/>
    <w:rsid w:val="0080575E"/>
    <w:rsid w:val="008104E0"/>
    <w:rsid w:val="00811047"/>
    <w:rsid w:val="00813B7C"/>
    <w:rsid w:val="00813F4B"/>
    <w:rsid w:val="008143C1"/>
    <w:rsid w:val="008146D4"/>
    <w:rsid w:val="0081577E"/>
    <w:rsid w:val="0081670A"/>
    <w:rsid w:val="00816E5A"/>
    <w:rsid w:val="00817A6D"/>
    <w:rsid w:val="008201DE"/>
    <w:rsid w:val="00821011"/>
    <w:rsid w:val="008211A6"/>
    <w:rsid w:val="00821323"/>
    <w:rsid w:val="00821671"/>
    <w:rsid w:val="00822B05"/>
    <w:rsid w:val="008267AA"/>
    <w:rsid w:val="00827160"/>
    <w:rsid w:val="008300DC"/>
    <w:rsid w:val="0083062F"/>
    <w:rsid w:val="00836D39"/>
    <w:rsid w:val="00840800"/>
    <w:rsid w:val="00841362"/>
    <w:rsid w:val="008416E9"/>
    <w:rsid w:val="00845654"/>
    <w:rsid w:val="00851536"/>
    <w:rsid w:val="00855FAB"/>
    <w:rsid w:val="008572D8"/>
    <w:rsid w:val="00857A53"/>
    <w:rsid w:val="0086003D"/>
    <w:rsid w:val="0086476D"/>
    <w:rsid w:val="00866E17"/>
    <w:rsid w:val="00872469"/>
    <w:rsid w:val="008742C8"/>
    <w:rsid w:val="008759B3"/>
    <w:rsid w:val="00880DFF"/>
    <w:rsid w:val="008823E2"/>
    <w:rsid w:val="0088254E"/>
    <w:rsid w:val="00887FFD"/>
    <w:rsid w:val="008910F1"/>
    <w:rsid w:val="00892C18"/>
    <w:rsid w:val="00892D4D"/>
    <w:rsid w:val="00892F96"/>
    <w:rsid w:val="00894911"/>
    <w:rsid w:val="00894A47"/>
    <w:rsid w:val="00894EE7"/>
    <w:rsid w:val="00895000"/>
    <w:rsid w:val="008971C9"/>
    <w:rsid w:val="008A0A57"/>
    <w:rsid w:val="008A22AE"/>
    <w:rsid w:val="008A23E8"/>
    <w:rsid w:val="008A330B"/>
    <w:rsid w:val="008A3774"/>
    <w:rsid w:val="008A5BDE"/>
    <w:rsid w:val="008B0286"/>
    <w:rsid w:val="008B03B2"/>
    <w:rsid w:val="008B726B"/>
    <w:rsid w:val="008B789A"/>
    <w:rsid w:val="008C094C"/>
    <w:rsid w:val="008C1982"/>
    <w:rsid w:val="008C2F39"/>
    <w:rsid w:val="008C5D20"/>
    <w:rsid w:val="008C7F43"/>
    <w:rsid w:val="008D0175"/>
    <w:rsid w:val="008D0CE3"/>
    <w:rsid w:val="008D1AC8"/>
    <w:rsid w:val="008D2083"/>
    <w:rsid w:val="008D293F"/>
    <w:rsid w:val="008D2B44"/>
    <w:rsid w:val="008D3DAB"/>
    <w:rsid w:val="008D444F"/>
    <w:rsid w:val="008D44AD"/>
    <w:rsid w:val="008D4909"/>
    <w:rsid w:val="008E16A5"/>
    <w:rsid w:val="008E376F"/>
    <w:rsid w:val="008E7736"/>
    <w:rsid w:val="008F5736"/>
    <w:rsid w:val="008F5B5D"/>
    <w:rsid w:val="008F7520"/>
    <w:rsid w:val="00903F21"/>
    <w:rsid w:val="00905C0F"/>
    <w:rsid w:val="009101B8"/>
    <w:rsid w:val="009114D3"/>
    <w:rsid w:val="00915C90"/>
    <w:rsid w:val="00924667"/>
    <w:rsid w:val="00927BD3"/>
    <w:rsid w:val="00931824"/>
    <w:rsid w:val="0093233B"/>
    <w:rsid w:val="00933C95"/>
    <w:rsid w:val="00933CD4"/>
    <w:rsid w:val="00934202"/>
    <w:rsid w:val="00934AB6"/>
    <w:rsid w:val="009362C1"/>
    <w:rsid w:val="0093655D"/>
    <w:rsid w:val="0093746B"/>
    <w:rsid w:val="00937F2A"/>
    <w:rsid w:val="00940716"/>
    <w:rsid w:val="009436DC"/>
    <w:rsid w:val="009441E7"/>
    <w:rsid w:val="00945046"/>
    <w:rsid w:val="009452E5"/>
    <w:rsid w:val="0095071F"/>
    <w:rsid w:val="00950D77"/>
    <w:rsid w:val="009521F4"/>
    <w:rsid w:val="009533EF"/>
    <w:rsid w:val="00953B62"/>
    <w:rsid w:val="00954760"/>
    <w:rsid w:val="0095563A"/>
    <w:rsid w:val="00956815"/>
    <w:rsid w:val="00956C94"/>
    <w:rsid w:val="009607A8"/>
    <w:rsid w:val="00961FB1"/>
    <w:rsid w:val="00966E6E"/>
    <w:rsid w:val="00967567"/>
    <w:rsid w:val="00967CCB"/>
    <w:rsid w:val="00974E65"/>
    <w:rsid w:val="00983012"/>
    <w:rsid w:val="00985521"/>
    <w:rsid w:val="00986225"/>
    <w:rsid w:val="00986533"/>
    <w:rsid w:val="00986E00"/>
    <w:rsid w:val="0099091B"/>
    <w:rsid w:val="00994FC4"/>
    <w:rsid w:val="00995E54"/>
    <w:rsid w:val="00997608"/>
    <w:rsid w:val="00997F53"/>
    <w:rsid w:val="009A0E84"/>
    <w:rsid w:val="009A1A39"/>
    <w:rsid w:val="009A4EBB"/>
    <w:rsid w:val="009A6925"/>
    <w:rsid w:val="009A7281"/>
    <w:rsid w:val="009B00CA"/>
    <w:rsid w:val="009B2973"/>
    <w:rsid w:val="009B345C"/>
    <w:rsid w:val="009B36CD"/>
    <w:rsid w:val="009B39B6"/>
    <w:rsid w:val="009B3A0A"/>
    <w:rsid w:val="009B3A35"/>
    <w:rsid w:val="009B3A87"/>
    <w:rsid w:val="009B3D6F"/>
    <w:rsid w:val="009B43F1"/>
    <w:rsid w:val="009B7220"/>
    <w:rsid w:val="009C334F"/>
    <w:rsid w:val="009C34D8"/>
    <w:rsid w:val="009C41D2"/>
    <w:rsid w:val="009C7441"/>
    <w:rsid w:val="009D1BA5"/>
    <w:rsid w:val="009D2052"/>
    <w:rsid w:val="009D3374"/>
    <w:rsid w:val="009D4ECB"/>
    <w:rsid w:val="009D5305"/>
    <w:rsid w:val="009D7C25"/>
    <w:rsid w:val="009E0029"/>
    <w:rsid w:val="009E20DB"/>
    <w:rsid w:val="009E2C7C"/>
    <w:rsid w:val="009E2CE4"/>
    <w:rsid w:val="009E3696"/>
    <w:rsid w:val="009E69DA"/>
    <w:rsid w:val="009F1701"/>
    <w:rsid w:val="009F1D6B"/>
    <w:rsid w:val="009F3435"/>
    <w:rsid w:val="009F36FE"/>
    <w:rsid w:val="009F3C66"/>
    <w:rsid w:val="009F4BCF"/>
    <w:rsid w:val="009F5539"/>
    <w:rsid w:val="009F718C"/>
    <w:rsid w:val="00A01B19"/>
    <w:rsid w:val="00A03E51"/>
    <w:rsid w:val="00A06372"/>
    <w:rsid w:val="00A07410"/>
    <w:rsid w:val="00A1045F"/>
    <w:rsid w:val="00A10F8D"/>
    <w:rsid w:val="00A117EC"/>
    <w:rsid w:val="00A12DB0"/>
    <w:rsid w:val="00A13BC4"/>
    <w:rsid w:val="00A15415"/>
    <w:rsid w:val="00A15485"/>
    <w:rsid w:val="00A15FE8"/>
    <w:rsid w:val="00A16770"/>
    <w:rsid w:val="00A21BF2"/>
    <w:rsid w:val="00A22BFD"/>
    <w:rsid w:val="00A2412C"/>
    <w:rsid w:val="00A26289"/>
    <w:rsid w:val="00A2634F"/>
    <w:rsid w:val="00A33CB3"/>
    <w:rsid w:val="00A358C7"/>
    <w:rsid w:val="00A361BC"/>
    <w:rsid w:val="00A36E20"/>
    <w:rsid w:val="00A36FD6"/>
    <w:rsid w:val="00A41ECB"/>
    <w:rsid w:val="00A4232F"/>
    <w:rsid w:val="00A430DC"/>
    <w:rsid w:val="00A45BC2"/>
    <w:rsid w:val="00A45CF9"/>
    <w:rsid w:val="00A50508"/>
    <w:rsid w:val="00A5210B"/>
    <w:rsid w:val="00A53A56"/>
    <w:rsid w:val="00A5795F"/>
    <w:rsid w:val="00A6279F"/>
    <w:rsid w:val="00A646C9"/>
    <w:rsid w:val="00A64E5E"/>
    <w:rsid w:val="00A65046"/>
    <w:rsid w:val="00A715AF"/>
    <w:rsid w:val="00A72AA4"/>
    <w:rsid w:val="00A75334"/>
    <w:rsid w:val="00A76DCF"/>
    <w:rsid w:val="00A774A5"/>
    <w:rsid w:val="00A80C5C"/>
    <w:rsid w:val="00A8158A"/>
    <w:rsid w:val="00A81654"/>
    <w:rsid w:val="00A817B9"/>
    <w:rsid w:val="00A825A2"/>
    <w:rsid w:val="00A829C9"/>
    <w:rsid w:val="00A848D2"/>
    <w:rsid w:val="00A875EF"/>
    <w:rsid w:val="00A94C75"/>
    <w:rsid w:val="00A94E38"/>
    <w:rsid w:val="00A96666"/>
    <w:rsid w:val="00A97741"/>
    <w:rsid w:val="00AA07EC"/>
    <w:rsid w:val="00AA1546"/>
    <w:rsid w:val="00AA39FF"/>
    <w:rsid w:val="00AA3D32"/>
    <w:rsid w:val="00AA523A"/>
    <w:rsid w:val="00AA5DD1"/>
    <w:rsid w:val="00AA5F18"/>
    <w:rsid w:val="00AA6428"/>
    <w:rsid w:val="00AA785A"/>
    <w:rsid w:val="00AB3256"/>
    <w:rsid w:val="00AB400B"/>
    <w:rsid w:val="00AB42E6"/>
    <w:rsid w:val="00AB6341"/>
    <w:rsid w:val="00AC0094"/>
    <w:rsid w:val="00AC059D"/>
    <w:rsid w:val="00AC0BE6"/>
    <w:rsid w:val="00AC1391"/>
    <w:rsid w:val="00AC4D2E"/>
    <w:rsid w:val="00AC4FDD"/>
    <w:rsid w:val="00AD3134"/>
    <w:rsid w:val="00AE00F9"/>
    <w:rsid w:val="00AE24EC"/>
    <w:rsid w:val="00AE384F"/>
    <w:rsid w:val="00AE4189"/>
    <w:rsid w:val="00AE4C24"/>
    <w:rsid w:val="00AF0CB2"/>
    <w:rsid w:val="00AF2E67"/>
    <w:rsid w:val="00AF55F3"/>
    <w:rsid w:val="00AF661B"/>
    <w:rsid w:val="00AF6E03"/>
    <w:rsid w:val="00AF7F46"/>
    <w:rsid w:val="00B00E27"/>
    <w:rsid w:val="00B012CE"/>
    <w:rsid w:val="00B01E1D"/>
    <w:rsid w:val="00B0324E"/>
    <w:rsid w:val="00B04B90"/>
    <w:rsid w:val="00B051CE"/>
    <w:rsid w:val="00B07F23"/>
    <w:rsid w:val="00B15C79"/>
    <w:rsid w:val="00B20A16"/>
    <w:rsid w:val="00B20D18"/>
    <w:rsid w:val="00B23589"/>
    <w:rsid w:val="00B23CC5"/>
    <w:rsid w:val="00B2489A"/>
    <w:rsid w:val="00B248BF"/>
    <w:rsid w:val="00B24D31"/>
    <w:rsid w:val="00B25894"/>
    <w:rsid w:val="00B306EF"/>
    <w:rsid w:val="00B32734"/>
    <w:rsid w:val="00B329C7"/>
    <w:rsid w:val="00B3356A"/>
    <w:rsid w:val="00B3370D"/>
    <w:rsid w:val="00B35E94"/>
    <w:rsid w:val="00B37D04"/>
    <w:rsid w:val="00B41371"/>
    <w:rsid w:val="00B41F8C"/>
    <w:rsid w:val="00B43EB4"/>
    <w:rsid w:val="00B44CEE"/>
    <w:rsid w:val="00B4556A"/>
    <w:rsid w:val="00B5101A"/>
    <w:rsid w:val="00B51383"/>
    <w:rsid w:val="00B54695"/>
    <w:rsid w:val="00B54D66"/>
    <w:rsid w:val="00B62EBE"/>
    <w:rsid w:val="00B66B2A"/>
    <w:rsid w:val="00B66DB2"/>
    <w:rsid w:val="00B70A25"/>
    <w:rsid w:val="00B70B11"/>
    <w:rsid w:val="00B7120A"/>
    <w:rsid w:val="00B71BD0"/>
    <w:rsid w:val="00B72485"/>
    <w:rsid w:val="00B72A27"/>
    <w:rsid w:val="00B74977"/>
    <w:rsid w:val="00B749AE"/>
    <w:rsid w:val="00B77742"/>
    <w:rsid w:val="00B8006F"/>
    <w:rsid w:val="00B877F2"/>
    <w:rsid w:val="00B87BB6"/>
    <w:rsid w:val="00B93BFF"/>
    <w:rsid w:val="00B96443"/>
    <w:rsid w:val="00B96E37"/>
    <w:rsid w:val="00B97D6C"/>
    <w:rsid w:val="00BA0E47"/>
    <w:rsid w:val="00BA6277"/>
    <w:rsid w:val="00BA7A47"/>
    <w:rsid w:val="00BB01A8"/>
    <w:rsid w:val="00BB152D"/>
    <w:rsid w:val="00BB471D"/>
    <w:rsid w:val="00BB4A0E"/>
    <w:rsid w:val="00BB5420"/>
    <w:rsid w:val="00BB64AC"/>
    <w:rsid w:val="00BB774A"/>
    <w:rsid w:val="00BC0DCB"/>
    <w:rsid w:val="00BC2386"/>
    <w:rsid w:val="00BC295F"/>
    <w:rsid w:val="00BC6C5D"/>
    <w:rsid w:val="00BC6F1B"/>
    <w:rsid w:val="00BD13D7"/>
    <w:rsid w:val="00BD34DA"/>
    <w:rsid w:val="00BD5C93"/>
    <w:rsid w:val="00BD6A32"/>
    <w:rsid w:val="00BE0F7F"/>
    <w:rsid w:val="00BE3F30"/>
    <w:rsid w:val="00BE4548"/>
    <w:rsid w:val="00BE5649"/>
    <w:rsid w:val="00BE7888"/>
    <w:rsid w:val="00BF0625"/>
    <w:rsid w:val="00BF2E94"/>
    <w:rsid w:val="00BF426E"/>
    <w:rsid w:val="00BF7C75"/>
    <w:rsid w:val="00C015F6"/>
    <w:rsid w:val="00C0190E"/>
    <w:rsid w:val="00C045D7"/>
    <w:rsid w:val="00C06BC5"/>
    <w:rsid w:val="00C10A3B"/>
    <w:rsid w:val="00C10DCA"/>
    <w:rsid w:val="00C11D6B"/>
    <w:rsid w:val="00C130F0"/>
    <w:rsid w:val="00C14B33"/>
    <w:rsid w:val="00C14C84"/>
    <w:rsid w:val="00C16757"/>
    <w:rsid w:val="00C209FC"/>
    <w:rsid w:val="00C20CE6"/>
    <w:rsid w:val="00C21008"/>
    <w:rsid w:val="00C21BF3"/>
    <w:rsid w:val="00C23179"/>
    <w:rsid w:val="00C240F8"/>
    <w:rsid w:val="00C245B2"/>
    <w:rsid w:val="00C250EC"/>
    <w:rsid w:val="00C26FBC"/>
    <w:rsid w:val="00C27436"/>
    <w:rsid w:val="00C277B4"/>
    <w:rsid w:val="00C322B7"/>
    <w:rsid w:val="00C32632"/>
    <w:rsid w:val="00C32C16"/>
    <w:rsid w:val="00C3618E"/>
    <w:rsid w:val="00C364CF"/>
    <w:rsid w:val="00C37401"/>
    <w:rsid w:val="00C417E5"/>
    <w:rsid w:val="00C41CF1"/>
    <w:rsid w:val="00C423E5"/>
    <w:rsid w:val="00C42F7F"/>
    <w:rsid w:val="00C456BF"/>
    <w:rsid w:val="00C45F7C"/>
    <w:rsid w:val="00C46A7E"/>
    <w:rsid w:val="00C47032"/>
    <w:rsid w:val="00C47782"/>
    <w:rsid w:val="00C543BE"/>
    <w:rsid w:val="00C549C5"/>
    <w:rsid w:val="00C54E73"/>
    <w:rsid w:val="00C577B1"/>
    <w:rsid w:val="00C609C9"/>
    <w:rsid w:val="00C609DF"/>
    <w:rsid w:val="00C60F59"/>
    <w:rsid w:val="00C633EB"/>
    <w:rsid w:val="00C639D1"/>
    <w:rsid w:val="00C6718D"/>
    <w:rsid w:val="00C7183F"/>
    <w:rsid w:val="00C71A96"/>
    <w:rsid w:val="00C734E2"/>
    <w:rsid w:val="00C73B25"/>
    <w:rsid w:val="00C85BE1"/>
    <w:rsid w:val="00C86820"/>
    <w:rsid w:val="00C86845"/>
    <w:rsid w:val="00C86E09"/>
    <w:rsid w:val="00C8728B"/>
    <w:rsid w:val="00C9070B"/>
    <w:rsid w:val="00C90932"/>
    <w:rsid w:val="00C90F6B"/>
    <w:rsid w:val="00C928B9"/>
    <w:rsid w:val="00C94EFA"/>
    <w:rsid w:val="00C95E88"/>
    <w:rsid w:val="00C96082"/>
    <w:rsid w:val="00CA02BF"/>
    <w:rsid w:val="00CA047C"/>
    <w:rsid w:val="00CA1B63"/>
    <w:rsid w:val="00CA1FA5"/>
    <w:rsid w:val="00CA2600"/>
    <w:rsid w:val="00CA2A60"/>
    <w:rsid w:val="00CA2DE5"/>
    <w:rsid w:val="00CA30BF"/>
    <w:rsid w:val="00CA4BFA"/>
    <w:rsid w:val="00CB79A7"/>
    <w:rsid w:val="00CB7B6F"/>
    <w:rsid w:val="00CC040B"/>
    <w:rsid w:val="00CC1148"/>
    <w:rsid w:val="00CC16EF"/>
    <w:rsid w:val="00CC2C1F"/>
    <w:rsid w:val="00CC3645"/>
    <w:rsid w:val="00CC6A07"/>
    <w:rsid w:val="00CD04CE"/>
    <w:rsid w:val="00CD0507"/>
    <w:rsid w:val="00CD0AA7"/>
    <w:rsid w:val="00CD28AE"/>
    <w:rsid w:val="00CD42D0"/>
    <w:rsid w:val="00CD6A30"/>
    <w:rsid w:val="00CE0CD2"/>
    <w:rsid w:val="00CE12CD"/>
    <w:rsid w:val="00CE3820"/>
    <w:rsid w:val="00CE39A1"/>
    <w:rsid w:val="00CF0031"/>
    <w:rsid w:val="00CF2359"/>
    <w:rsid w:val="00CF285E"/>
    <w:rsid w:val="00CF2C75"/>
    <w:rsid w:val="00CF39BB"/>
    <w:rsid w:val="00CF4148"/>
    <w:rsid w:val="00CF68D9"/>
    <w:rsid w:val="00CF7866"/>
    <w:rsid w:val="00D008CC"/>
    <w:rsid w:val="00D02399"/>
    <w:rsid w:val="00D031D9"/>
    <w:rsid w:val="00D04981"/>
    <w:rsid w:val="00D06B3C"/>
    <w:rsid w:val="00D07221"/>
    <w:rsid w:val="00D07DA9"/>
    <w:rsid w:val="00D10240"/>
    <w:rsid w:val="00D1056F"/>
    <w:rsid w:val="00D108AF"/>
    <w:rsid w:val="00D12B0E"/>
    <w:rsid w:val="00D12E48"/>
    <w:rsid w:val="00D1318E"/>
    <w:rsid w:val="00D139A7"/>
    <w:rsid w:val="00D13F23"/>
    <w:rsid w:val="00D1738F"/>
    <w:rsid w:val="00D20A50"/>
    <w:rsid w:val="00D214BD"/>
    <w:rsid w:val="00D2326F"/>
    <w:rsid w:val="00D24560"/>
    <w:rsid w:val="00D315BB"/>
    <w:rsid w:val="00D31F18"/>
    <w:rsid w:val="00D341E5"/>
    <w:rsid w:val="00D343C5"/>
    <w:rsid w:val="00D35B68"/>
    <w:rsid w:val="00D3673E"/>
    <w:rsid w:val="00D403FA"/>
    <w:rsid w:val="00D4629F"/>
    <w:rsid w:val="00D47CD6"/>
    <w:rsid w:val="00D50F14"/>
    <w:rsid w:val="00D530EE"/>
    <w:rsid w:val="00D5655D"/>
    <w:rsid w:val="00D61799"/>
    <w:rsid w:val="00D62062"/>
    <w:rsid w:val="00D64E2D"/>
    <w:rsid w:val="00D67B65"/>
    <w:rsid w:val="00D71205"/>
    <w:rsid w:val="00D71560"/>
    <w:rsid w:val="00D7252A"/>
    <w:rsid w:val="00D73E55"/>
    <w:rsid w:val="00D74E64"/>
    <w:rsid w:val="00D75032"/>
    <w:rsid w:val="00D75091"/>
    <w:rsid w:val="00D75D39"/>
    <w:rsid w:val="00D77D13"/>
    <w:rsid w:val="00D80394"/>
    <w:rsid w:val="00D80FBD"/>
    <w:rsid w:val="00D824C8"/>
    <w:rsid w:val="00D8286E"/>
    <w:rsid w:val="00D829D9"/>
    <w:rsid w:val="00D83855"/>
    <w:rsid w:val="00D8429E"/>
    <w:rsid w:val="00D8572E"/>
    <w:rsid w:val="00D85F5A"/>
    <w:rsid w:val="00D87283"/>
    <w:rsid w:val="00D906D0"/>
    <w:rsid w:val="00DA005F"/>
    <w:rsid w:val="00DA0142"/>
    <w:rsid w:val="00DA2C76"/>
    <w:rsid w:val="00DA5904"/>
    <w:rsid w:val="00DA678B"/>
    <w:rsid w:val="00DA6ED4"/>
    <w:rsid w:val="00DB2A16"/>
    <w:rsid w:val="00DB3918"/>
    <w:rsid w:val="00DB596A"/>
    <w:rsid w:val="00DB5C17"/>
    <w:rsid w:val="00DB64CF"/>
    <w:rsid w:val="00DB6630"/>
    <w:rsid w:val="00DC016A"/>
    <w:rsid w:val="00DC0A4E"/>
    <w:rsid w:val="00DC2068"/>
    <w:rsid w:val="00DC2971"/>
    <w:rsid w:val="00DC2DA7"/>
    <w:rsid w:val="00DC4888"/>
    <w:rsid w:val="00DC4AFA"/>
    <w:rsid w:val="00DC57C3"/>
    <w:rsid w:val="00DC5ED3"/>
    <w:rsid w:val="00DD0DA1"/>
    <w:rsid w:val="00DD35CA"/>
    <w:rsid w:val="00DD5E03"/>
    <w:rsid w:val="00DD6375"/>
    <w:rsid w:val="00DD6B79"/>
    <w:rsid w:val="00DD6C9D"/>
    <w:rsid w:val="00DE08FB"/>
    <w:rsid w:val="00DE1812"/>
    <w:rsid w:val="00DE5126"/>
    <w:rsid w:val="00DE5913"/>
    <w:rsid w:val="00DF32DE"/>
    <w:rsid w:val="00DF4A37"/>
    <w:rsid w:val="00DF57B9"/>
    <w:rsid w:val="00DF5C2F"/>
    <w:rsid w:val="00DF624C"/>
    <w:rsid w:val="00E009A6"/>
    <w:rsid w:val="00E00D88"/>
    <w:rsid w:val="00E0130C"/>
    <w:rsid w:val="00E037C1"/>
    <w:rsid w:val="00E04DCE"/>
    <w:rsid w:val="00E04E86"/>
    <w:rsid w:val="00E05A2F"/>
    <w:rsid w:val="00E05F11"/>
    <w:rsid w:val="00E12AAD"/>
    <w:rsid w:val="00E141EC"/>
    <w:rsid w:val="00E14AB8"/>
    <w:rsid w:val="00E14D93"/>
    <w:rsid w:val="00E15910"/>
    <w:rsid w:val="00E16DA8"/>
    <w:rsid w:val="00E1712F"/>
    <w:rsid w:val="00E2042A"/>
    <w:rsid w:val="00E2045C"/>
    <w:rsid w:val="00E2227B"/>
    <w:rsid w:val="00E227CF"/>
    <w:rsid w:val="00E235B0"/>
    <w:rsid w:val="00E23FD8"/>
    <w:rsid w:val="00E257C6"/>
    <w:rsid w:val="00E269A8"/>
    <w:rsid w:val="00E31170"/>
    <w:rsid w:val="00E32CCF"/>
    <w:rsid w:val="00E33E3C"/>
    <w:rsid w:val="00E3735F"/>
    <w:rsid w:val="00E37A7C"/>
    <w:rsid w:val="00E403D5"/>
    <w:rsid w:val="00E41D6B"/>
    <w:rsid w:val="00E42683"/>
    <w:rsid w:val="00E4348E"/>
    <w:rsid w:val="00E43B5D"/>
    <w:rsid w:val="00E4461E"/>
    <w:rsid w:val="00E45D3E"/>
    <w:rsid w:val="00E461F0"/>
    <w:rsid w:val="00E53113"/>
    <w:rsid w:val="00E54DF2"/>
    <w:rsid w:val="00E55C05"/>
    <w:rsid w:val="00E57572"/>
    <w:rsid w:val="00E57778"/>
    <w:rsid w:val="00E617D3"/>
    <w:rsid w:val="00E67A4D"/>
    <w:rsid w:val="00E71CDD"/>
    <w:rsid w:val="00E74016"/>
    <w:rsid w:val="00E7518F"/>
    <w:rsid w:val="00E752AB"/>
    <w:rsid w:val="00E77036"/>
    <w:rsid w:val="00E771C5"/>
    <w:rsid w:val="00E77335"/>
    <w:rsid w:val="00E81231"/>
    <w:rsid w:val="00E81ACA"/>
    <w:rsid w:val="00E84B2E"/>
    <w:rsid w:val="00E8703A"/>
    <w:rsid w:val="00E87B39"/>
    <w:rsid w:val="00E9208F"/>
    <w:rsid w:val="00E95234"/>
    <w:rsid w:val="00E9560F"/>
    <w:rsid w:val="00E9664A"/>
    <w:rsid w:val="00E96DC9"/>
    <w:rsid w:val="00E97500"/>
    <w:rsid w:val="00E9768F"/>
    <w:rsid w:val="00EA0D16"/>
    <w:rsid w:val="00EA1285"/>
    <w:rsid w:val="00EA6991"/>
    <w:rsid w:val="00EA76A0"/>
    <w:rsid w:val="00EA7AE5"/>
    <w:rsid w:val="00EB066B"/>
    <w:rsid w:val="00EB3A14"/>
    <w:rsid w:val="00EB5E20"/>
    <w:rsid w:val="00EB7B55"/>
    <w:rsid w:val="00EB7DFD"/>
    <w:rsid w:val="00EC1526"/>
    <w:rsid w:val="00EC466D"/>
    <w:rsid w:val="00EC51B3"/>
    <w:rsid w:val="00EC6D4B"/>
    <w:rsid w:val="00EC70A3"/>
    <w:rsid w:val="00EC74B5"/>
    <w:rsid w:val="00EC7FBB"/>
    <w:rsid w:val="00ED37A5"/>
    <w:rsid w:val="00ED469B"/>
    <w:rsid w:val="00ED6DA8"/>
    <w:rsid w:val="00EE00C3"/>
    <w:rsid w:val="00EE1273"/>
    <w:rsid w:val="00EE55C4"/>
    <w:rsid w:val="00EE633C"/>
    <w:rsid w:val="00EE7DAF"/>
    <w:rsid w:val="00EF293E"/>
    <w:rsid w:val="00EF4044"/>
    <w:rsid w:val="00EF47A6"/>
    <w:rsid w:val="00EF4EF8"/>
    <w:rsid w:val="00EF544B"/>
    <w:rsid w:val="00EF6904"/>
    <w:rsid w:val="00EF7C11"/>
    <w:rsid w:val="00EF7E5B"/>
    <w:rsid w:val="00F00ECA"/>
    <w:rsid w:val="00F05916"/>
    <w:rsid w:val="00F06EEA"/>
    <w:rsid w:val="00F10640"/>
    <w:rsid w:val="00F1315A"/>
    <w:rsid w:val="00F14BCF"/>
    <w:rsid w:val="00F2072B"/>
    <w:rsid w:val="00F210AF"/>
    <w:rsid w:val="00F22CF4"/>
    <w:rsid w:val="00F23143"/>
    <w:rsid w:val="00F243E1"/>
    <w:rsid w:val="00F301EA"/>
    <w:rsid w:val="00F31107"/>
    <w:rsid w:val="00F3145E"/>
    <w:rsid w:val="00F31990"/>
    <w:rsid w:val="00F31FDF"/>
    <w:rsid w:val="00F341D2"/>
    <w:rsid w:val="00F342E5"/>
    <w:rsid w:val="00F34B00"/>
    <w:rsid w:val="00F35436"/>
    <w:rsid w:val="00F35598"/>
    <w:rsid w:val="00F415E8"/>
    <w:rsid w:val="00F41F79"/>
    <w:rsid w:val="00F42586"/>
    <w:rsid w:val="00F42D43"/>
    <w:rsid w:val="00F43588"/>
    <w:rsid w:val="00F43D58"/>
    <w:rsid w:val="00F43EA5"/>
    <w:rsid w:val="00F44E3E"/>
    <w:rsid w:val="00F4690B"/>
    <w:rsid w:val="00F50A37"/>
    <w:rsid w:val="00F52342"/>
    <w:rsid w:val="00F525F9"/>
    <w:rsid w:val="00F52C35"/>
    <w:rsid w:val="00F54B96"/>
    <w:rsid w:val="00F5773F"/>
    <w:rsid w:val="00F57D32"/>
    <w:rsid w:val="00F64978"/>
    <w:rsid w:val="00F67EA9"/>
    <w:rsid w:val="00F67FDC"/>
    <w:rsid w:val="00F710E9"/>
    <w:rsid w:val="00F72039"/>
    <w:rsid w:val="00F73BFC"/>
    <w:rsid w:val="00F73E60"/>
    <w:rsid w:val="00F740CF"/>
    <w:rsid w:val="00F74CBD"/>
    <w:rsid w:val="00F76463"/>
    <w:rsid w:val="00F77D27"/>
    <w:rsid w:val="00F803D7"/>
    <w:rsid w:val="00F8121A"/>
    <w:rsid w:val="00F829E8"/>
    <w:rsid w:val="00F84707"/>
    <w:rsid w:val="00F8599B"/>
    <w:rsid w:val="00F85DCC"/>
    <w:rsid w:val="00F8669C"/>
    <w:rsid w:val="00F87024"/>
    <w:rsid w:val="00F8730C"/>
    <w:rsid w:val="00F90054"/>
    <w:rsid w:val="00F927B6"/>
    <w:rsid w:val="00FA03E8"/>
    <w:rsid w:val="00FA2E50"/>
    <w:rsid w:val="00FA4D48"/>
    <w:rsid w:val="00FA7106"/>
    <w:rsid w:val="00FB1054"/>
    <w:rsid w:val="00FB302B"/>
    <w:rsid w:val="00FB49D3"/>
    <w:rsid w:val="00FB51D1"/>
    <w:rsid w:val="00FB5F85"/>
    <w:rsid w:val="00FB6C6F"/>
    <w:rsid w:val="00FC16EC"/>
    <w:rsid w:val="00FC3F24"/>
    <w:rsid w:val="00FC5FFA"/>
    <w:rsid w:val="00FC6336"/>
    <w:rsid w:val="00FD33E7"/>
    <w:rsid w:val="00FD5A22"/>
    <w:rsid w:val="00FD6602"/>
    <w:rsid w:val="00FE0BC1"/>
    <w:rsid w:val="00FE15B1"/>
    <w:rsid w:val="00FE1709"/>
    <w:rsid w:val="00FE394D"/>
    <w:rsid w:val="00FE3E5F"/>
    <w:rsid w:val="00FE56D9"/>
    <w:rsid w:val="00FE578B"/>
    <w:rsid w:val="00FE66C0"/>
    <w:rsid w:val="00FF2763"/>
    <w:rsid w:val="00FF2860"/>
    <w:rsid w:val="00FF2E1C"/>
    <w:rsid w:val="00FF33E4"/>
    <w:rsid w:val="00FF4CAF"/>
    <w:rsid w:val="00FF4CCB"/>
    <w:rsid w:val="00FF5683"/>
    <w:rsid w:val="00FF7C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373"/>
    <w:pPr>
      <w:spacing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8FB"/>
    <w:pPr>
      <w:tabs>
        <w:tab w:val="center" w:pos="4680"/>
        <w:tab w:val="right" w:pos="9360"/>
      </w:tabs>
      <w:spacing w:line="240" w:lineRule="auto"/>
    </w:pPr>
  </w:style>
  <w:style w:type="character" w:customStyle="1" w:styleId="HeaderChar">
    <w:name w:val="Header Char"/>
    <w:basedOn w:val="DefaultParagraphFont"/>
    <w:link w:val="Header"/>
    <w:uiPriority w:val="99"/>
    <w:rsid w:val="00DE08FB"/>
  </w:style>
  <w:style w:type="paragraph" w:styleId="Footer">
    <w:name w:val="footer"/>
    <w:basedOn w:val="Normal"/>
    <w:link w:val="FooterChar"/>
    <w:uiPriority w:val="99"/>
    <w:unhideWhenUsed/>
    <w:rsid w:val="00DE08FB"/>
    <w:pPr>
      <w:tabs>
        <w:tab w:val="center" w:pos="4680"/>
        <w:tab w:val="right" w:pos="9360"/>
      </w:tabs>
      <w:spacing w:line="240" w:lineRule="auto"/>
    </w:pPr>
  </w:style>
  <w:style w:type="character" w:customStyle="1" w:styleId="FooterChar">
    <w:name w:val="Footer Char"/>
    <w:basedOn w:val="DefaultParagraphFont"/>
    <w:link w:val="Footer"/>
    <w:uiPriority w:val="99"/>
    <w:rsid w:val="00DE08FB"/>
  </w:style>
  <w:style w:type="paragraph" w:styleId="FootnoteText">
    <w:name w:val="footnote text"/>
    <w:basedOn w:val="Normal"/>
    <w:link w:val="FootnoteTextChar"/>
    <w:uiPriority w:val="99"/>
    <w:semiHidden/>
    <w:unhideWhenUsed/>
    <w:rsid w:val="00E67A4D"/>
    <w:pPr>
      <w:spacing w:line="240" w:lineRule="auto"/>
    </w:pPr>
    <w:rPr>
      <w:sz w:val="20"/>
      <w:szCs w:val="20"/>
    </w:rPr>
  </w:style>
  <w:style w:type="character" w:customStyle="1" w:styleId="FootnoteTextChar">
    <w:name w:val="Footnote Text Char"/>
    <w:basedOn w:val="DefaultParagraphFont"/>
    <w:link w:val="FootnoteText"/>
    <w:uiPriority w:val="99"/>
    <w:semiHidden/>
    <w:rsid w:val="00E67A4D"/>
    <w:rPr>
      <w:sz w:val="20"/>
      <w:szCs w:val="20"/>
    </w:rPr>
  </w:style>
  <w:style w:type="character" w:styleId="FootnoteReference">
    <w:name w:val="footnote reference"/>
    <w:basedOn w:val="DefaultParagraphFont"/>
    <w:uiPriority w:val="99"/>
    <w:semiHidden/>
    <w:unhideWhenUsed/>
    <w:rsid w:val="00E67A4D"/>
    <w:rPr>
      <w:vertAlign w:val="superscript"/>
    </w:rPr>
  </w:style>
  <w:style w:type="paragraph" w:styleId="Revision">
    <w:name w:val="Revision"/>
    <w:hidden/>
    <w:uiPriority w:val="99"/>
    <w:semiHidden/>
    <w:rsid w:val="00C86845"/>
    <w:pPr>
      <w:spacing w:line="240" w:lineRule="auto"/>
    </w:pPr>
  </w:style>
  <w:style w:type="character" w:styleId="CommentReference">
    <w:name w:val="annotation reference"/>
    <w:basedOn w:val="DefaultParagraphFont"/>
    <w:uiPriority w:val="99"/>
    <w:semiHidden/>
    <w:unhideWhenUsed/>
    <w:rsid w:val="00EF4044"/>
    <w:rPr>
      <w:sz w:val="16"/>
      <w:szCs w:val="16"/>
    </w:rPr>
  </w:style>
  <w:style w:type="paragraph" w:styleId="CommentText">
    <w:name w:val="annotation text"/>
    <w:basedOn w:val="Normal"/>
    <w:link w:val="CommentTextChar"/>
    <w:uiPriority w:val="99"/>
    <w:semiHidden/>
    <w:unhideWhenUsed/>
    <w:rsid w:val="00EF4044"/>
    <w:pPr>
      <w:spacing w:line="240" w:lineRule="auto"/>
    </w:pPr>
    <w:rPr>
      <w:sz w:val="20"/>
      <w:szCs w:val="20"/>
    </w:rPr>
  </w:style>
  <w:style w:type="character" w:customStyle="1" w:styleId="CommentTextChar">
    <w:name w:val="Comment Text Char"/>
    <w:basedOn w:val="DefaultParagraphFont"/>
    <w:link w:val="CommentText"/>
    <w:uiPriority w:val="99"/>
    <w:semiHidden/>
    <w:rsid w:val="00EF4044"/>
    <w:rPr>
      <w:sz w:val="20"/>
      <w:szCs w:val="20"/>
    </w:rPr>
  </w:style>
  <w:style w:type="paragraph" w:styleId="CommentSubject">
    <w:name w:val="annotation subject"/>
    <w:basedOn w:val="CommentText"/>
    <w:next w:val="CommentText"/>
    <w:link w:val="CommentSubjectChar"/>
    <w:uiPriority w:val="99"/>
    <w:semiHidden/>
    <w:unhideWhenUsed/>
    <w:rsid w:val="00EF4044"/>
    <w:rPr>
      <w:b/>
      <w:bCs/>
    </w:rPr>
  </w:style>
  <w:style w:type="character" w:customStyle="1" w:styleId="CommentSubjectChar">
    <w:name w:val="Comment Subject Char"/>
    <w:basedOn w:val="CommentTextChar"/>
    <w:link w:val="CommentSubject"/>
    <w:uiPriority w:val="99"/>
    <w:semiHidden/>
    <w:rsid w:val="00EF4044"/>
    <w:rPr>
      <w:b/>
      <w:bCs/>
      <w:sz w:val="20"/>
      <w:szCs w:val="20"/>
    </w:rPr>
  </w:style>
  <w:style w:type="character" w:styleId="PageNumber">
    <w:name w:val="page number"/>
    <w:basedOn w:val="DefaultParagraphFont"/>
    <w:uiPriority w:val="99"/>
    <w:semiHidden/>
    <w:unhideWhenUsed/>
    <w:rsid w:val="00CC6A07"/>
  </w:style>
  <w:style w:type="paragraph" w:styleId="ListBullet">
    <w:name w:val="List Bullet"/>
    <w:basedOn w:val="Normal"/>
    <w:uiPriority w:val="99"/>
    <w:unhideWhenUsed/>
    <w:rsid w:val="00274EC3"/>
    <w:pPr>
      <w:numPr>
        <w:numId w:val="1"/>
      </w:numPr>
      <w:spacing w:line="360" w:lineRule="auto"/>
      <w:contextualSpacing/>
    </w:pPr>
    <w:rPr>
      <w:rFonts w:ascii="Times New Roman" w:eastAsia="Calibri" w:hAnsi="Times New Roman" w:cs="Times New Roman"/>
      <w:kern w:val="0"/>
      <w14:ligatures w14:val="none"/>
    </w:rPr>
  </w:style>
  <w:style w:type="character" w:styleId="Hyperlink">
    <w:name w:val="Hyperlink"/>
    <w:basedOn w:val="DefaultParagraphFont"/>
    <w:uiPriority w:val="99"/>
    <w:unhideWhenUsed/>
    <w:rsid w:val="005D0977"/>
    <w:rPr>
      <w:color w:val="0563C1" w:themeColor="hyperlink"/>
      <w:u w:val="single"/>
    </w:rPr>
  </w:style>
  <w:style w:type="character" w:customStyle="1" w:styleId="UnresolvedMention1">
    <w:name w:val="Unresolved Mention1"/>
    <w:basedOn w:val="DefaultParagraphFont"/>
    <w:uiPriority w:val="99"/>
    <w:semiHidden/>
    <w:unhideWhenUsed/>
    <w:rsid w:val="005D0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A649AF8013D41A8B092A8DFB78E82" ma:contentTypeVersion="12" ma:contentTypeDescription="Create a new document." ma:contentTypeScope="" ma:versionID="7eb75c3cf66fe6e71ef3c2b17b30c85c">
  <xsd:schema xmlns:xsd="http://www.w3.org/2001/XMLSchema" xmlns:xs="http://www.w3.org/2001/XMLSchema" xmlns:p="http://schemas.microsoft.com/office/2006/metadata/properties" xmlns:ns3="22915fb5-c362-439a-b18b-8835116d7d41" xmlns:ns4="0710afb7-46cd-4761-b4fe-857448a102c1" targetNamespace="http://schemas.microsoft.com/office/2006/metadata/properties" ma:root="true" ma:fieldsID="a79594dc208a662e388f3b3f28964ff3" ns3:_="" ns4:_="">
    <xsd:import namespace="22915fb5-c362-439a-b18b-8835116d7d41"/>
    <xsd:import namespace="0710afb7-46cd-4761-b4fe-857448a102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5fb5-c362-439a-b18b-8835116d7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0afb7-46cd-4761-b4fe-857448a102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2915fb5-c362-439a-b18b-8835116d7d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96DA-2C6C-421A-86DA-24B496D0C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5fb5-c362-439a-b18b-8835116d7d41"/>
    <ds:schemaRef ds:uri="0710afb7-46cd-4761-b4fe-857448a10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9234A-6389-437F-AA55-820076986AC5}">
  <ds:schemaRefs>
    <ds:schemaRef ds:uri="http://schemas.microsoft.com/sharepoint/v3/contenttype/forms"/>
  </ds:schemaRefs>
</ds:datastoreItem>
</file>

<file path=customXml/itemProps3.xml><?xml version="1.0" encoding="utf-8"?>
<ds:datastoreItem xmlns:ds="http://schemas.openxmlformats.org/officeDocument/2006/customXml" ds:itemID="{979C7B57-DCD3-45B8-9321-3C7AFAED62D8}">
  <ds:schemaRefs>
    <ds:schemaRef ds:uri="http://schemas.microsoft.com/office/2006/metadata/properties"/>
    <ds:schemaRef ds:uri="http://schemas.microsoft.com/office/infopath/2007/PartnerControls"/>
    <ds:schemaRef ds:uri="22915fb5-c362-439a-b18b-8835116d7d41"/>
  </ds:schemaRefs>
</ds:datastoreItem>
</file>

<file path=customXml/itemProps4.xml><?xml version="1.0" encoding="utf-8"?>
<ds:datastoreItem xmlns:ds="http://schemas.openxmlformats.org/officeDocument/2006/customXml" ds:itemID="{ACA05468-F6A1-47C9-AB8A-9B7F6FD5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2024-01-29T22:04:35Z</dcterms:created>
  <dcterms:modified xsi:type="dcterms:W3CDTF">2024-01-29T22:04:35Z</dcterms:modified>
</cp:coreProperties>
</file>