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4641" w14:textId="54B9234C" w:rsidR="00536D0B" w:rsidRPr="002C11E5" w:rsidRDefault="005A628C" w:rsidP="002C11E5">
      <w:pPr>
        <w:spacing w:line="276" w:lineRule="auto"/>
        <w:rPr>
          <w:bCs/>
          <w:sz w:val="20"/>
          <w:szCs w:val="20"/>
        </w:rPr>
      </w:pPr>
      <w:r>
        <w:rPr>
          <w:bCs/>
          <w:sz w:val="20"/>
          <w:szCs w:val="20"/>
        </w:rPr>
        <w:t>Filed 1/17/24</w:t>
      </w:r>
    </w:p>
    <w:p w14:paraId="3924D7AB" w14:textId="038CE2FE" w:rsidR="00C5403D" w:rsidRPr="00C5403D" w:rsidRDefault="00C5403D" w:rsidP="00536D0B">
      <w:pPr>
        <w:spacing w:line="276" w:lineRule="auto"/>
        <w:jc w:val="center"/>
        <w:rPr>
          <w:b/>
          <w:bCs/>
          <w:szCs w:val="26"/>
        </w:rPr>
      </w:pPr>
      <w:r w:rsidRPr="00C5403D">
        <w:rPr>
          <w:b/>
          <w:bCs/>
          <w:szCs w:val="26"/>
        </w:rPr>
        <w:t xml:space="preserve">CERTIFIED FOR PUBLICATION </w:t>
      </w:r>
    </w:p>
    <w:p w14:paraId="729BE28B" w14:textId="77777777" w:rsidR="00C5403D" w:rsidRDefault="00C5403D" w:rsidP="00536D0B">
      <w:pPr>
        <w:spacing w:line="276" w:lineRule="auto"/>
        <w:jc w:val="center"/>
        <w:rPr>
          <w:szCs w:val="26"/>
        </w:rPr>
      </w:pPr>
    </w:p>
    <w:p w14:paraId="5313F4AD" w14:textId="3E8CC315" w:rsidR="00536D0B" w:rsidRPr="00DE5A47" w:rsidRDefault="00536D0B" w:rsidP="00536D0B">
      <w:pPr>
        <w:spacing w:line="276" w:lineRule="auto"/>
        <w:jc w:val="center"/>
        <w:rPr>
          <w:szCs w:val="26"/>
        </w:rPr>
      </w:pPr>
      <w:r w:rsidRPr="00DE5A47">
        <w:rPr>
          <w:szCs w:val="26"/>
        </w:rPr>
        <w:t>IN THE COURT OF APPEAL OF THE STATE OF CALIFORNIA</w:t>
      </w:r>
    </w:p>
    <w:p w14:paraId="3F9E7C5F" w14:textId="77777777" w:rsidR="00536D0B" w:rsidRPr="00DE5A47" w:rsidRDefault="00536D0B" w:rsidP="00536D0B">
      <w:pPr>
        <w:spacing w:line="276" w:lineRule="auto"/>
        <w:jc w:val="center"/>
        <w:rPr>
          <w:szCs w:val="26"/>
        </w:rPr>
      </w:pPr>
    </w:p>
    <w:p w14:paraId="3E161517" w14:textId="77777777" w:rsidR="00536D0B" w:rsidRPr="00DE5A47" w:rsidRDefault="00536D0B" w:rsidP="00536D0B">
      <w:pPr>
        <w:spacing w:line="276" w:lineRule="auto"/>
        <w:jc w:val="center"/>
        <w:rPr>
          <w:szCs w:val="26"/>
        </w:rPr>
      </w:pPr>
      <w:r w:rsidRPr="00DE5A47">
        <w:rPr>
          <w:szCs w:val="26"/>
        </w:rPr>
        <w:t>SECOND APPELLATE DISTRICT</w:t>
      </w:r>
    </w:p>
    <w:p w14:paraId="7033DF41" w14:textId="77777777" w:rsidR="00536D0B" w:rsidRPr="00DE5A47" w:rsidRDefault="00536D0B" w:rsidP="00536D0B">
      <w:pPr>
        <w:spacing w:line="276" w:lineRule="auto"/>
        <w:jc w:val="center"/>
        <w:rPr>
          <w:szCs w:val="26"/>
        </w:rPr>
      </w:pPr>
    </w:p>
    <w:p w14:paraId="1108C0E5" w14:textId="77777777" w:rsidR="00536D0B" w:rsidRPr="00DE5A47" w:rsidRDefault="00536D0B" w:rsidP="00536D0B">
      <w:pPr>
        <w:spacing w:line="276" w:lineRule="auto"/>
        <w:jc w:val="center"/>
        <w:rPr>
          <w:szCs w:val="26"/>
        </w:rPr>
      </w:pPr>
      <w:r w:rsidRPr="00DE5A47">
        <w:rPr>
          <w:szCs w:val="26"/>
        </w:rPr>
        <w:t>DIVISION SEVEN</w:t>
      </w:r>
    </w:p>
    <w:p w14:paraId="17DCC379" w14:textId="77777777" w:rsidR="00536D0B" w:rsidRPr="00DE5A47" w:rsidRDefault="00536D0B" w:rsidP="00536D0B">
      <w:pPr>
        <w:spacing w:line="276" w:lineRule="auto"/>
        <w:jc w:val="center"/>
        <w:rPr>
          <w:szCs w:val="26"/>
        </w:rPr>
      </w:pPr>
    </w:p>
    <w:tbl>
      <w:tblPr>
        <w:tblW w:w="8460" w:type="dxa"/>
        <w:tblLayout w:type="fixed"/>
        <w:tblLook w:val="0000" w:firstRow="0" w:lastRow="0" w:firstColumn="0" w:lastColumn="0" w:noHBand="0" w:noVBand="0"/>
      </w:tblPr>
      <w:tblGrid>
        <w:gridCol w:w="4320"/>
        <w:gridCol w:w="4140"/>
      </w:tblGrid>
      <w:tr w:rsidR="00536D0B" w:rsidRPr="00DE5A47" w14:paraId="43AA5B99" w14:textId="77777777" w:rsidTr="00941CA0">
        <w:tc>
          <w:tcPr>
            <w:tcW w:w="4320" w:type="dxa"/>
            <w:tcBorders>
              <w:bottom w:val="single" w:sz="4" w:space="0" w:color="auto"/>
              <w:right w:val="single" w:sz="4" w:space="0" w:color="auto"/>
            </w:tcBorders>
            <w:shd w:val="clear" w:color="auto" w:fill="auto"/>
          </w:tcPr>
          <w:p w14:paraId="0B43A7DE" w14:textId="77777777" w:rsidR="00536D0B" w:rsidRPr="00DE5A47" w:rsidRDefault="002C11E5" w:rsidP="001754C5">
            <w:pPr>
              <w:spacing w:line="240" w:lineRule="auto"/>
              <w:rPr>
                <w:szCs w:val="26"/>
              </w:rPr>
            </w:pPr>
            <w:r>
              <w:rPr>
                <w:szCs w:val="26"/>
              </w:rPr>
              <w:t>PETER HENRI DRAGONES III</w:t>
            </w:r>
            <w:r w:rsidR="00536D0B">
              <w:rPr>
                <w:szCs w:val="26"/>
              </w:rPr>
              <w:t>,</w:t>
            </w:r>
          </w:p>
          <w:p w14:paraId="3D8B97E3" w14:textId="77777777" w:rsidR="00536D0B" w:rsidRPr="00DE5A47" w:rsidRDefault="00536D0B" w:rsidP="001754C5">
            <w:pPr>
              <w:spacing w:line="240" w:lineRule="auto"/>
              <w:rPr>
                <w:szCs w:val="26"/>
              </w:rPr>
            </w:pPr>
          </w:p>
          <w:p w14:paraId="2F4EA7B2" w14:textId="77777777" w:rsidR="00536D0B" w:rsidRPr="00DE5A47" w:rsidRDefault="00536D0B" w:rsidP="001754C5">
            <w:pPr>
              <w:spacing w:line="240" w:lineRule="auto"/>
              <w:rPr>
                <w:szCs w:val="26"/>
              </w:rPr>
            </w:pPr>
            <w:r w:rsidRPr="00DE5A47">
              <w:rPr>
                <w:szCs w:val="26"/>
              </w:rPr>
              <w:tab/>
            </w:r>
            <w:r>
              <w:rPr>
                <w:szCs w:val="26"/>
              </w:rPr>
              <w:t>Plaintiff</w:t>
            </w:r>
            <w:r w:rsidRPr="00DE5A47">
              <w:rPr>
                <w:szCs w:val="26"/>
              </w:rPr>
              <w:t xml:space="preserve"> and </w:t>
            </w:r>
            <w:r w:rsidR="002C11E5">
              <w:rPr>
                <w:szCs w:val="26"/>
              </w:rPr>
              <w:t>Respondent,</w:t>
            </w:r>
          </w:p>
          <w:p w14:paraId="77843565" w14:textId="77777777" w:rsidR="00536D0B" w:rsidRPr="00DE5A47" w:rsidRDefault="00536D0B" w:rsidP="001754C5">
            <w:pPr>
              <w:spacing w:line="240" w:lineRule="auto"/>
              <w:rPr>
                <w:szCs w:val="26"/>
              </w:rPr>
            </w:pPr>
          </w:p>
          <w:p w14:paraId="26016CD0" w14:textId="77777777" w:rsidR="00536D0B" w:rsidRPr="00DE5A47" w:rsidRDefault="00536D0B" w:rsidP="001754C5">
            <w:pPr>
              <w:spacing w:line="240" w:lineRule="auto"/>
              <w:rPr>
                <w:szCs w:val="26"/>
              </w:rPr>
            </w:pPr>
            <w:r w:rsidRPr="00DE5A47">
              <w:rPr>
                <w:szCs w:val="26"/>
              </w:rPr>
              <w:tab/>
              <w:t>v.</w:t>
            </w:r>
          </w:p>
          <w:p w14:paraId="1FB82AA0" w14:textId="77777777" w:rsidR="00536D0B" w:rsidRPr="00DE5A47" w:rsidRDefault="00536D0B" w:rsidP="001754C5">
            <w:pPr>
              <w:spacing w:line="240" w:lineRule="auto"/>
              <w:rPr>
                <w:szCs w:val="26"/>
              </w:rPr>
            </w:pPr>
          </w:p>
          <w:p w14:paraId="77480567" w14:textId="77777777" w:rsidR="00536D0B" w:rsidRPr="00DE5A47" w:rsidRDefault="002C11E5" w:rsidP="001754C5">
            <w:pPr>
              <w:spacing w:line="240" w:lineRule="auto"/>
              <w:rPr>
                <w:szCs w:val="26"/>
              </w:rPr>
            </w:pPr>
            <w:r>
              <w:rPr>
                <w:szCs w:val="26"/>
              </w:rPr>
              <w:t>KERRY CALKINS</w:t>
            </w:r>
            <w:r w:rsidR="00536D0B" w:rsidRPr="00DE5A47">
              <w:rPr>
                <w:szCs w:val="26"/>
              </w:rPr>
              <w:t>,</w:t>
            </w:r>
          </w:p>
          <w:p w14:paraId="210432FC" w14:textId="77777777" w:rsidR="00536D0B" w:rsidRPr="00DE5A47" w:rsidRDefault="00536D0B" w:rsidP="001754C5">
            <w:pPr>
              <w:spacing w:line="240" w:lineRule="auto"/>
              <w:rPr>
                <w:szCs w:val="26"/>
              </w:rPr>
            </w:pPr>
          </w:p>
          <w:p w14:paraId="3924BD0C" w14:textId="77777777" w:rsidR="00536D0B" w:rsidRDefault="00536D0B" w:rsidP="001754C5">
            <w:pPr>
              <w:spacing w:line="240" w:lineRule="auto"/>
              <w:rPr>
                <w:szCs w:val="26"/>
              </w:rPr>
            </w:pPr>
            <w:r w:rsidRPr="00DE5A47">
              <w:rPr>
                <w:szCs w:val="26"/>
              </w:rPr>
              <w:tab/>
            </w:r>
            <w:r>
              <w:rPr>
                <w:szCs w:val="26"/>
              </w:rPr>
              <w:t>Defendant</w:t>
            </w:r>
            <w:r w:rsidRPr="00DE5A47">
              <w:rPr>
                <w:szCs w:val="26"/>
              </w:rPr>
              <w:t xml:space="preserve"> and </w:t>
            </w:r>
            <w:r w:rsidR="002C11E5">
              <w:rPr>
                <w:szCs w:val="26"/>
              </w:rPr>
              <w:t>Appellant</w:t>
            </w:r>
            <w:r>
              <w:rPr>
                <w:szCs w:val="26"/>
              </w:rPr>
              <w:t>.</w:t>
            </w:r>
          </w:p>
          <w:p w14:paraId="5175447C" w14:textId="77777777" w:rsidR="00536D0B" w:rsidRPr="00DE5A47" w:rsidRDefault="00536D0B" w:rsidP="00941CA0">
            <w:pPr>
              <w:spacing w:line="276" w:lineRule="auto"/>
              <w:rPr>
                <w:szCs w:val="26"/>
              </w:rPr>
            </w:pPr>
          </w:p>
        </w:tc>
        <w:tc>
          <w:tcPr>
            <w:tcW w:w="4140" w:type="dxa"/>
            <w:tcBorders>
              <w:left w:val="single" w:sz="4" w:space="0" w:color="auto"/>
            </w:tcBorders>
            <w:shd w:val="clear" w:color="auto" w:fill="auto"/>
          </w:tcPr>
          <w:p w14:paraId="1AD11BB2" w14:textId="77777777" w:rsidR="00536D0B" w:rsidRPr="00DE5A47" w:rsidRDefault="00536D0B" w:rsidP="001754C5">
            <w:pPr>
              <w:spacing w:line="240" w:lineRule="auto"/>
              <w:ind w:left="158"/>
              <w:rPr>
                <w:szCs w:val="26"/>
              </w:rPr>
            </w:pPr>
            <w:r w:rsidRPr="00DE5A47">
              <w:rPr>
                <w:szCs w:val="26"/>
              </w:rPr>
              <w:t>B</w:t>
            </w:r>
            <w:r>
              <w:rPr>
                <w:szCs w:val="26"/>
              </w:rPr>
              <w:t>32</w:t>
            </w:r>
            <w:r w:rsidR="002C11E5">
              <w:rPr>
                <w:szCs w:val="26"/>
              </w:rPr>
              <w:t>9659</w:t>
            </w:r>
          </w:p>
          <w:p w14:paraId="63203C8D" w14:textId="77777777" w:rsidR="00536D0B" w:rsidRPr="00DE5A47" w:rsidRDefault="00536D0B" w:rsidP="001754C5">
            <w:pPr>
              <w:spacing w:line="240" w:lineRule="auto"/>
              <w:ind w:left="158"/>
              <w:rPr>
                <w:szCs w:val="26"/>
              </w:rPr>
            </w:pPr>
          </w:p>
          <w:p w14:paraId="66BFD299" w14:textId="77777777" w:rsidR="00536D0B" w:rsidRPr="00DE5A47" w:rsidRDefault="00536D0B" w:rsidP="001754C5">
            <w:pPr>
              <w:spacing w:line="240" w:lineRule="auto"/>
              <w:ind w:left="158"/>
              <w:rPr>
                <w:szCs w:val="26"/>
              </w:rPr>
            </w:pPr>
            <w:r w:rsidRPr="00DE5A47">
              <w:rPr>
                <w:szCs w:val="26"/>
              </w:rPr>
              <w:t>(Los Angeles County</w:t>
            </w:r>
          </w:p>
          <w:p w14:paraId="67FF2E91" w14:textId="5A6D9F30" w:rsidR="00536D0B" w:rsidRPr="00DE5A47" w:rsidRDefault="00536D0B" w:rsidP="001754C5">
            <w:pPr>
              <w:spacing w:line="240" w:lineRule="auto"/>
              <w:ind w:left="158"/>
              <w:rPr>
                <w:szCs w:val="26"/>
              </w:rPr>
            </w:pPr>
            <w:r w:rsidRPr="00DE5A47">
              <w:rPr>
                <w:szCs w:val="26"/>
              </w:rPr>
              <w:t>Super. Ct. N</w:t>
            </w:r>
            <w:r>
              <w:rPr>
                <w:szCs w:val="26"/>
              </w:rPr>
              <w:t>o. 2</w:t>
            </w:r>
            <w:r w:rsidR="002C11E5">
              <w:rPr>
                <w:szCs w:val="26"/>
              </w:rPr>
              <w:t>2PD</w:t>
            </w:r>
            <w:r w:rsidR="00E04900">
              <w:rPr>
                <w:szCs w:val="26"/>
              </w:rPr>
              <w:t>R</w:t>
            </w:r>
            <w:r w:rsidR="002C11E5">
              <w:rPr>
                <w:szCs w:val="26"/>
              </w:rPr>
              <w:t>O00962</w:t>
            </w:r>
            <w:r w:rsidRPr="00DE5A47">
              <w:rPr>
                <w:szCs w:val="26"/>
              </w:rPr>
              <w:t>)</w:t>
            </w:r>
          </w:p>
        </w:tc>
      </w:tr>
    </w:tbl>
    <w:p w14:paraId="7988DE23" w14:textId="77777777" w:rsidR="00536D0B" w:rsidRDefault="00536D0B" w:rsidP="00536D0B">
      <w:pPr>
        <w:spacing w:line="276" w:lineRule="auto"/>
        <w:rPr>
          <w:szCs w:val="26"/>
        </w:rPr>
      </w:pPr>
    </w:p>
    <w:p w14:paraId="12BED197" w14:textId="77777777" w:rsidR="00536D0B" w:rsidRPr="00DE5A47" w:rsidRDefault="00536D0B" w:rsidP="001754C5">
      <w:pPr>
        <w:rPr>
          <w:szCs w:val="26"/>
        </w:rPr>
      </w:pPr>
      <w:r w:rsidRPr="00DE5A47">
        <w:rPr>
          <w:szCs w:val="26"/>
        </w:rPr>
        <w:tab/>
        <w:t xml:space="preserve">APPEAL from </w:t>
      </w:r>
      <w:r>
        <w:rPr>
          <w:szCs w:val="26"/>
        </w:rPr>
        <w:t>a</w:t>
      </w:r>
      <w:r w:rsidR="00FA0E25">
        <w:rPr>
          <w:szCs w:val="26"/>
        </w:rPr>
        <w:t xml:space="preserve">n order </w:t>
      </w:r>
      <w:r w:rsidRPr="00DE5A47">
        <w:rPr>
          <w:szCs w:val="26"/>
        </w:rPr>
        <w:t xml:space="preserve">of the Superior Court of Los Angeles County, </w:t>
      </w:r>
      <w:r w:rsidR="002C11E5">
        <w:rPr>
          <w:szCs w:val="26"/>
        </w:rPr>
        <w:t>Timothy Martella</w:t>
      </w:r>
      <w:r w:rsidRPr="00DE5A47">
        <w:rPr>
          <w:szCs w:val="26"/>
        </w:rPr>
        <w:t xml:space="preserve">, Judge.  </w:t>
      </w:r>
      <w:r w:rsidR="002C11E5">
        <w:rPr>
          <w:szCs w:val="26"/>
        </w:rPr>
        <w:t>Affirmed</w:t>
      </w:r>
      <w:r>
        <w:rPr>
          <w:szCs w:val="26"/>
        </w:rPr>
        <w:t>.</w:t>
      </w:r>
    </w:p>
    <w:p w14:paraId="3D7B3E7C" w14:textId="77777777" w:rsidR="00536D0B" w:rsidRPr="00DE5A47" w:rsidRDefault="00536D0B" w:rsidP="001754C5">
      <w:pPr>
        <w:rPr>
          <w:szCs w:val="26"/>
        </w:rPr>
      </w:pPr>
      <w:r w:rsidRPr="00DE5A47">
        <w:rPr>
          <w:szCs w:val="26"/>
        </w:rPr>
        <w:tab/>
      </w:r>
      <w:r w:rsidR="002C11E5">
        <w:rPr>
          <w:szCs w:val="26"/>
        </w:rPr>
        <w:t>David D. Diamond</w:t>
      </w:r>
      <w:r>
        <w:rPr>
          <w:szCs w:val="26"/>
        </w:rPr>
        <w:t xml:space="preserve"> for Plaintiff and </w:t>
      </w:r>
      <w:r w:rsidR="002C11E5">
        <w:rPr>
          <w:szCs w:val="26"/>
        </w:rPr>
        <w:t>Respondent</w:t>
      </w:r>
      <w:r>
        <w:rPr>
          <w:szCs w:val="26"/>
        </w:rPr>
        <w:t>.</w:t>
      </w:r>
    </w:p>
    <w:p w14:paraId="3C18F077" w14:textId="77777777" w:rsidR="00536D0B" w:rsidRDefault="00536D0B" w:rsidP="001754C5">
      <w:pPr>
        <w:rPr>
          <w:szCs w:val="26"/>
        </w:rPr>
      </w:pPr>
      <w:r w:rsidRPr="00DE5A47">
        <w:rPr>
          <w:szCs w:val="26"/>
        </w:rPr>
        <w:tab/>
      </w:r>
      <w:r w:rsidR="002C11E5">
        <w:rPr>
          <w:szCs w:val="26"/>
        </w:rPr>
        <w:t xml:space="preserve">Law Office of </w:t>
      </w:r>
      <w:r w:rsidR="00FA0E25">
        <w:rPr>
          <w:szCs w:val="26"/>
        </w:rPr>
        <w:t xml:space="preserve">Boice </w:t>
      </w:r>
      <w:r w:rsidR="002C11E5">
        <w:rPr>
          <w:szCs w:val="26"/>
        </w:rPr>
        <w:t xml:space="preserve">&amp; Associates </w:t>
      </w:r>
      <w:r>
        <w:rPr>
          <w:szCs w:val="26"/>
        </w:rPr>
        <w:t xml:space="preserve">and </w:t>
      </w:r>
      <w:r w:rsidR="00FA0E25">
        <w:rPr>
          <w:szCs w:val="26"/>
        </w:rPr>
        <w:t>Bruce A. Boice</w:t>
      </w:r>
      <w:r>
        <w:rPr>
          <w:szCs w:val="26"/>
        </w:rPr>
        <w:t xml:space="preserve"> </w:t>
      </w:r>
      <w:r w:rsidRPr="00DE5A47">
        <w:rPr>
          <w:szCs w:val="26"/>
        </w:rPr>
        <w:t xml:space="preserve">for </w:t>
      </w:r>
      <w:r>
        <w:rPr>
          <w:szCs w:val="26"/>
        </w:rPr>
        <w:t xml:space="preserve">Defendant </w:t>
      </w:r>
      <w:r w:rsidRPr="00DE5A47">
        <w:rPr>
          <w:szCs w:val="26"/>
        </w:rPr>
        <w:t xml:space="preserve">and </w:t>
      </w:r>
      <w:r w:rsidR="002C11E5">
        <w:rPr>
          <w:szCs w:val="26"/>
        </w:rPr>
        <w:t>Appellant</w:t>
      </w:r>
      <w:r>
        <w:rPr>
          <w:szCs w:val="26"/>
        </w:rPr>
        <w:t>.</w:t>
      </w:r>
    </w:p>
    <w:p w14:paraId="23CDE1C5" w14:textId="77777777" w:rsidR="00536D0B" w:rsidRDefault="00536D0B" w:rsidP="001754C5">
      <w:pPr>
        <w:rPr>
          <w:szCs w:val="26"/>
        </w:rPr>
      </w:pPr>
    </w:p>
    <w:p w14:paraId="2C5B028F" w14:textId="77777777" w:rsidR="00536D0B" w:rsidRDefault="00536D0B" w:rsidP="001754C5">
      <w:pPr>
        <w:jc w:val="center"/>
        <w:rPr>
          <w:szCs w:val="26"/>
        </w:rPr>
      </w:pPr>
      <w:r>
        <w:rPr>
          <w:szCs w:val="26"/>
        </w:rPr>
        <w:t>_________________________________</w:t>
      </w:r>
    </w:p>
    <w:p w14:paraId="3A7DE012" w14:textId="77777777" w:rsidR="00536D0B" w:rsidRDefault="00536D0B" w:rsidP="001754C5"/>
    <w:p w14:paraId="3A05F3AD" w14:textId="5F841B78" w:rsidR="007A355E" w:rsidRDefault="00E95A2E" w:rsidP="007A355E">
      <w:pPr>
        <w:ind w:firstLine="720"/>
      </w:pPr>
      <w:r>
        <w:lastRenderedPageBreak/>
        <w:t xml:space="preserve">In 2022, </w:t>
      </w:r>
      <w:r w:rsidR="00CE118C">
        <w:t>Kerry Calkins and Peter Henri Dragones</w:t>
      </w:r>
      <w:r w:rsidR="00143885">
        <w:t xml:space="preserve"> </w:t>
      </w:r>
      <w:r w:rsidR="00CE118C">
        <w:t>III</w:t>
      </w:r>
      <w:r w:rsidR="00AC324B">
        <w:rPr>
          <w:rStyle w:val="FootnoteReference"/>
        </w:rPr>
        <w:footnoteReference w:id="2"/>
      </w:r>
      <w:r w:rsidR="000B6554">
        <w:t xml:space="preserve"> sought domestic violence restraining orders against </w:t>
      </w:r>
      <w:r w:rsidR="00114853">
        <w:t xml:space="preserve">each </w:t>
      </w:r>
      <w:r w:rsidR="000B6554">
        <w:t xml:space="preserve">other.  The </w:t>
      </w:r>
      <w:r w:rsidR="00A64C5D">
        <w:t xml:space="preserve">trial </w:t>
      </w:r>
      <w:r w:rsidR="000B6554">
        <w:t xml:space="preserve">court </w:t>
      </w:r>
      <w:r w:rsidR="00953395">
        <w:t>granted Dragones’</w:t>
      </w:r>
      <w:r w:rsidR="007C1F0C">
        <w:t>s</w:t>
      </w:r>
      <w:r w:rsidR="00953395">
        <w:t xml:space="preserve"> request for </w:t>
      </w:r>
      <w:r w:rsidR="00867ADC">
        <w:t xml:space="preserve">a </w:t>
      </w:r>
      <w:r w:rsidR="00953395">
        <w:t>restraining order</w:t>
      </w:r>
      <w:r w:rsidR="007A355E">
        <w:t xml:space="preserve"> and </w:t>
      </w:r>
      <w:r w:rsidR="00953395">
        <w:t>denied Calkins’</w:t>
      </w:r>
      <w:r w:rsidR="007C1F0C">
        <w:t>s</w:t>
      </w:r>
      <w:r w:rsidR="00953395">
        <w:t xml:space="preserve"> request</w:t>
      </w:r>
      <w:r w:rsidR="007A355E">
        <w:t xml:space="preserve">.  </w:t>
      </w:r>
      <w:r w:rsidR="00117C7A">
        <w:t>In early 2023</w:t>
      </w:r>
      <w:r w:rsidR="005769B4">
        <w:t xml:space="preserve"> </w:t>
      </w:r>
      <w:r w:rsidR="00CF1586">
        <w:t>Dragones moved for attorney</w:t>
      </w:r>
      <w:r w:rsidR="00921CC0">
        <w:t>’</w:t>
      </w:r>
      <w:r w:rsidR="00CF1586">
        <w:t>s fees</w:t>
      </w:r>
      <w:r w:rsidR="00953395">
        <w:t xml:space="preserve"> </w:t>
      </w:r>
      <w:r w:rsidR="003411EC">
        <w:t xml:space="preserve">pursuant to Family Code section </w:t>
      </w:r>
      <w:r w:rsidR="00194A74">
        <w:t>63</w:t>
      </w:r>
      <w:r w:rsidR="003411EC">
        <w:t>44</w:t>
      </w:r>
      <w:r w:rsidR="00F921BE">
        <w:t>.</w:t>
      </w:r>
      <w:r w:rsidR="003340FA" w:rsidRPr="003011FF">
        <w:rPr>
          <w:rStyle w:val="FootnoteReference"/>
          <w:sz w:val="24"/>
          <w:szCs w:val="24"/>
        </w:rPr>
        <w:footnoteReference w:id="3"/>
      </w:r>
      <w:r w:rsidR="003411EC" w:rsidRPr="003011FF">
        <w:rPr>
          <w:sz w:val="24"/>
          <w:szCs w:val="24"/>
        </w:rPr>
        <w:t xml:space="preserve"> </w:t>
      </w:r>
      <w:r w:rsidR="00205890">
        <w:rPr>
          <w:sz w:val="24"/>
          <w:szCs w:val="24"/>
        </w:rPr>
        <w:t xml:space="preserve"> </w:t>
      </w:r>
      <w:r w:rsidR="00117C7A">
        <w:t>The court</w:t>
      </w:r>
      <w:r w:rsidR="00DC6E2B">
        <w:t xml:space="preserve"> granted the motion,</w:t>
      </w:r>
      <w:r w:rsidR="00117C7A">
        <w:t xml:space="preserve"> </w:t>
      </w:r>
      <w:r w:rsidR="00DC6E2B">
        <w:t xml:space="preserve">awarding $6,000 in </w:t>
      </w:r>
      <w:r>
        <w:t>attorney</w:t>
      </w:r>
      <w:r w:rsidR="00921CC0">
        <w:t>’</w:t>
      </w:r>
      <w:r>
        <w:t xml:space="preserve">s </w:t>
      </w:r>
      <w:r w:rsidR="00117C7A">
        <w:t>fees to Dragones</w:t>
      </w:r>
      <w:r w:rsidR="00A64C5D">
        <w:t xml:space="preserve">.  </w:t>
      </w:r>
      <w:r w:rsidR="00596C9B">
        <w:t>Calkins appeals</w:t>
      </w:r>
      <w:r w:rsidR="00F001BD">
        <w:t xml:space="preserve"> from the </w:t>
      </w:r>
      <w:r>
        <w:t>fee order</w:t>
      </w:r>
      <w:r w:rsidR="00F001BD">
        <w:t>.</w:t>
      </w:r>
      <w:r w:rsidR="001754C5">
        <w:t xml:space="preserve">  </w:t>
      </w:r>
    </w:p>
    <w:p w14:paraId="1162194E" w14:textId="4B703DEE" w:rsidR="00BA0AA2" w:rsidRDefault="00205890" w:rsidP="00096AC3">
      <w:pPr>
        <w:ind w:firstLine="720"/>
      </w:pPr>
      <w:r>
        <w:t xml:space="preserve">Section 6344 provides authority for courts to award </w:t>
      </w:r>
      <w:r w:rsidR="00F82FFB">
        <w:t>attorney</w:t>
      </w:r>
      <w:r w:rsidR="00C118FD">
        <w:t>’</w:t>
      </w:r>
      <w:r w:rsidR="00F82FFB">
        <w:t xml:space="preserve">s </w:t>
      </w:r>
      <w:r>
        <w:t>fees to prevailing parties in actions brought pursuant to the Domestic Violence Prevention Act</w:t>
      </w:r>
      <w:r w:rsidR="00DF54DE">
        <w:t xml:space="preserve"> </w:t>
      </w:r>
      <w:r w:rsidR="001F395E">
        <w:t>(</w:t>
      </w:r>
      <w:r w:rsidR="001F395E" w:rsidRPr="001F395E">
        <w:t>§ 6200 et seq.)</w:t>
      </w:r>
      <w:r w:rsidR="00DF54DE">
        <w:t>.</w:t>
      </w:r>
      <w:r>
        <w:t xml:space="preserve">  </w:t>
      </w:r>
      <w:r w:rsidR="0097474C">
        <w:t>While th</w:t>
      </w:r>
      <w:r w:rsidR="009F2E86">
        <w:t xml:space="preserve">is </w:t>
      </w:r>
      <w:r w:rsidR="0097474C">
        <w:t xml:space="preserve">case was pending in the trial court, </w:t>
      </w:r>
      <w:r w:rsidR="00F82FFB">
        <w:t>the Legislature repea</w:t>
      </w:r>
      <w:r w:rsidR="00EA6FB4">
        <w:t>l</w:t>
      </w:r>
      <w:r w:rsidR="00F82FFB">
        <w:t xml:space="preserve">ed </w:t>
      </w:r>
      <w:r w:rsidR="00ED6C31">
        <w:t xml:space="preserve">the prior version of </w:t>
      </w:r>
      <w:r w:rsidR="00497E47">
        <w:t>s</w:t>
      </w:r>
      <w:r w:rsidR="00EA5C3A">
        <w:t xml:space="preserve">ection 6344 </w:t>
      </w:r>
      <w:r w:rsidR="00497E47">
        <w:t xml:space="preserve">and </w:t>
      </w:r>
      <w:r w:rsidR="00F01DA4">
        <w:t xml:space="preserve">enacted </w:t>
      </w:r>
      <w:r w:rsidR="00DC6AED">
        <w:t xml:space="preserve">a </w:t>
      </w:r>
      <w:r w:rsidR="00497E47">
        <w:t>new section 6344</w:t>
      </w:r>
      <w:r w:rsidR="00F01DA4">
        <w:t xml:space="preserve">, </w:t>
      </w:r>
      <w:r w:rsidR="0018713C">
        <w:t>effective</w:t>
      </w:r>
      <w:r w:rsidR="00114853">
        <w:t xml:space="preserve"> </w:t>
      </w:r>
      <w:r w:rsidR="0018713C">
        <w:t>January 1, 2023</w:t>
      </w:r>
      <w:r w:rsidR="0097474C">
        <w:t xml:space="preserve">.  </w:t>
      </w:r>
      <w:r w:rsidR="00E06C0F">
        <w:t xml:space="preserve">The new statute makes it easier for a prevailing petitioner to obtain fees, and harder for a prevailing respondent to obtain fees.  </w:t>
      </w:r>
      <w:r w:rsidR="00B725B7">
        <w:t xml:space="preserve">The parties contend that </w:t>
      </w:r>
      <w:r w:rsidR="00B63795">
        <w:t xml:space="preserve">the prior version of </w:t>
      </w:r>
      <w:r w:rsidR="00B725B7">
        <w:t xml:space="preserve">section 6344 applies.  </w:t>
      </w:r>
      <w:r w:rsidR="00782BFA">
        <w:t xml:space="preserve">We hold </w:t>
      </w:r>
      <w:r w:rsidR="006171A0">
        <w:t xml:space="preserve">that </w:t>
      </w:r>
      <w:r w:rsidR="007964DD">
        <w:t xml:space="preserve">the current version of </w:t>
      </w:r>
      <w:r w:rsidR="00454665">
        <w:t xml:space="preserve">section 6344 </w:t>
      </w:r>
      <w:r w:rsidR="004E2876">
        <w:t>appl</w:t>
      </w:r>
      <w:r w:rsidR="00C76142">
        <w:t>ies</w:t>
      </w:r>
      <w:r w:rsidR="004E2876">
        <w:t xml:space="preserve"> </w:t>
      </w:r>
      <w:r w:rsidR="009F3B57">
        <w:t>retroactively to all cases pending on its effective date</w:t>
      </w:r>
      <w:r w:rsidR="00684142">
        <w:t>, including this case</w:t>
      </w:r>
      <w:r w:rsidR="009F3B57">
        <w:t xml:space="preserve">.  </w:t>
      </w:r>
      <w:r w:rsidR="00CA4C2A">
        <w:t xml:space="preserve">Notwithstanding the </w:t>
      </w:r>
      <w:r w:rsidR="00312035">
        <w:t xml:space="preserve">presumption </w:t>
      </w:r>
      <w:r w:rsidR="00CA4C2A">
        <w:t xml:space="preserve">against retroactive application of new statutes, </w:t>
      </w:r>
      <w:r w:rsidR="00F00E2D">
        <w:t xml:space="preserve">amendments to the Family Code are governed by </w:t>
      </w:r>
      <w:r w:rsidR="00896BC6">
        <w:t>s</w:t>
      </w:r>
      <w:r w:rsidR="008F2973">
        <w:t>ection 4</w:t>
      </w:r>
      <w:r w:rsidR="00F00E2D">
        <w:t xml:space="preserve">, which </w:t>
      </w:r>
      <w:r w:rsidR="00896BC6">
        <w:t xml:space="preserve">establishes </w:t>
      </w:r>
      <w:r w:rsidR="00567F81">
        <w:t xml:space="preserve">a </w:t>
      </w:r>
      <w:r w:rsidR="00F00E2D">
        <w:t xml:space="preserve">general rule of </w:t>
      </w:r>
      <w:r w:rsidR="00C8768B">
        <w:t xml:space="preserve">retroactivity.  </w:t>
      </w:r>
      <w:r w:rsidR="003651CF">
        <w:t xml:space="preserve">Additionally, </w:t>
      </w:r>
      <w:r w:rsidR="007F3C2A">
        <w:t xml:space="preserve">attorney fee statutes </w:t>
      </w:r>
      <w:r w:rsidR="00CD31CC">
        <w:t xml:space="preserve">are procedural in nature, and </w:t>
      </w:r>
      <w:r w:rsidR="00921B0B">
        <w:t xml:space="preserve">a </w:t>
      </w:r>
      <w:r w:rsidR="00D4102C">
        <w:t>newly enacted attorney</w:t>
      </w:r>
      <w:r w:rsidR="007702D4">
        <w:t xml:space="preserve"> </w:t>
      </w:r>
      <w:r w:rsidR="00D4102C">
        <w:t>fee</w:t>
      </w:r>
      <w:r w:rsidR="007702D4">
        <w:t xml:space="preserve"> </w:t>
      </w:r>
      <w:r w:rsidR="00D4102C">
        <w:t>statute</w:t>
      </w:r>
      <w:r w:rsidR="00921B0B">
        <w:t xml:space="preserve"> applies </w:t>
      </w:r>
      <w:r w:rsidR="007F3C2A">
        <w:t xml:space="preserve">to cases pending on </w:t>
      </w:r>
      <w:r w:rsidR="00921B0B">
        <w:t xml:space="preserve">its </w:t>
      </w:r>
      <w:r w:rsidR="00C8768B">
        <w:t>effective date</w:t>
      </w:r>
      <w:r w:rsidR="007F3C2A">
        <w:t xml:space="preserve">.  </w:t>
      </w:r>
      <w:r w:rsidR="00F00DCD">
        <w:lastRenderedPageBreak/>
        <w:t xml:space="preserve">The </w:t>
      </w:r>
      <w:r w:rsidR="00521072">
        <w:t xml:space="preserve">trial court did not abuse its discretion in awarding </w:t>
      </w:r>
      <w:r w:rsidR="00D51D42">
        <w:t xml:space="preserve">attorney’s fees under the </w:t>
      </w:r>
      <w:r w:rsidR="00B30BA9">
        <w:t xml:space="preserve">new </w:t>
      </w:r>
      <w:r w:rsidR="00D51D42">
        <w:t>statute.</w:t>
      </w:r>
    </w:p>
    <w:p w14:paraId="7280AC5E" w14:textId="77777777" w:rsidR="00096AC3" w:rsidRDefault="00096AC3" w:rsidP="00096AC3">
      <w:pPr>
        <w:ind w:firstLine="720"/>
      </w:pPr>
    </w:p>
    <w:p w14:paraId="7B71768F" w14:textId="77777777" w:rsidR="003411EC" w:rsidRDefault="003411EC" w:rsidP="00096AC3">
      <w:pPr>
        <w:jc w:val="center"/>
        <w:rPr>
          <w:b/>
          <w:bCs/>
        </w:rPr>
      </w:pPr>
      <w:r w:rsidRPr="00EE5477">
        <w:rPr>
          <w:b/>
          <w:bCs/>
        </w:rPr>
        <w:t>FACTUAL AND PROCEDURAL BACKGROUND</w:t>
      </w:r>
    </w:p>
    <w:p w14:paraId="4CAA25B8" w14:textId="77777777" w:rsidR="00096AC3" w:rsidRPr="00EE5477" w:rsidRDefault="00096AC3" w:rsidP="00096AC3">
      <w:pPr>
        <w:jc w:val="center"/>
        <w:rPr>
          <w:b/>
          <w:bCs/>
        </w:rPr>
      </w:pPr>
    </w:p>
    <w:p w14:paraId="4ADE591D" w14:textId="12D2C8B3" w:rsidR="00A42718" w:rsidRDefault="003411EC" w:rsidP="00096AC3">
      <w:pPr>
        <w:ind w:firstLine="720"/>
      </w:pPr>
      <w:r>
        <w:t xml:space="preserve">Calkins and </w:t>
      </w:r>
      <w:r w:rsidR="009E3CCB">
        <w:t>Dragones</w:t>
      </w:r>
      <w:r w:rsidR="00AC324B">
        <w:t xml:space="preserve"> </w:t>
      </w:r>
      <w:r w:rsidR="001E05F6">
        <w:t xml:space="preserve">were in a dating relationship when, on the </w:t>
      </w:r>
      <w:r>
        <w:t xml:space="preserve">night </w:t>
      </w:r>
      <w:r w:rsidR="008B7046">
        <w:t>of June</w:t>
      </w:r>
      <w:r w:rsidR="00B26BF6">
        <w:t xml:space="preserve"> 30, 2022</w:t>
      </w:r>
      <w:r>
        <w:t xml:space="preserve">, </w:t>
      </w:r>
      <w:r w:rsidR="001E05F6">
        <w:t xml:space="preserve">they </w:t>
      </w:r>
      <w:r>
        <w:t>had a fight</w:t>
      </w:r>
      <w:r w:rsidR="005C2503">
        <w:t xml:space="preserve"> that gave rise to the restraining orders at issue </w:t>
      </w:r>
      <w:r w:rsidR="00D22202">
        <w:t>in the underlying case</w:t>
      </w:r>
      <w:r w:rsidR="005C2503">
        <w:t>.</w:t>
      </w:r>
      <w:r w:rsidR="00F94635">
        <w:t xml:space="preserve">  </w:t>
      </w:r>
      <w:r w:rsidR="009E3CCB">
        <w:t>Dragones</w:t>
      </w:r>
      <w:r w:rsidR="005C2503">
        <w:t xml:space="preserve"> alleged</w:t>
      </w:r>
      <w:r w:rsidR="00D22202">
        <w:t xml:space="preserve">, among other things, that </w:t>
      </w:r>
      <w:r w:rsidR="005C2503">
        <w:t>Calkins punched or elbowed him in the face</w:t>
      </w:r>
      <w:r w:rsidR="00D22202">
        <w:t xml:space="preserve"> </w:t>
      </w:r>
      <w:r w:rsidR="00F94635">
        <w:t xml:space="preserve">during </w:t>
      </w:r>
      <w:r w:rsidR="00D22202">
        <w:t>a physical altercation</w:t>
      </w:r>
      <w:r w:rsidR="007964DD">
        <w:t xml:space="preserve"> </w:t>
      </w:r>
      <w:r w:rsidR="004A09BC">
        <w:t xml:space="preserve">and that </w:t>
      </w:r>
      <w:r w:rsidR="005C2503">
        <w:t xml:space="preserve">Calkins </w:t>
      </w:r>
      <w:r w:rsidR="006256E0">
        <w:t xml:space="preserve">poured water </w:t>
      </w:r>
      <w:r w:rsidR="00671C65">
        <w:t xml:space="preserve">on </w:t>
      </w:r>
      <w:r w:rsidR="005C2503">
        <w:t>him</w:t>
      </w:r>
      <w:r w:rsidR="00671C65">
        <w:t xml:space="preserve"> and his bed</w:t>
      </w:r>
      <w:r w:rsidR="006D602B">
        <w:t>.</w:t>
      </w:r>
      <w:r w:rsidR="00874634">
        <w:t xml:space="preserve"> </w:t>
      </w:r>
      <w:r w:rsidR="006D602B">
        <w:t xml:space="preserve"> Dragones videotaped the water-</w:t>
      </w:r>
      <w:r w:rsidR="00671C65">
        <w:t xml:space="preserve">pouring </w:t>
      </w:r>
      <w:r w:rsidR="006D602B">
        <w:t xml:space="preserve">incident.  </w:t>
      </w:r>
      <w:r w:rsidR="005C2503">
        <w:t xml:space="preserve">Calkins </w:t>
      </w:r>
      <w:r w:rsidR="00B42595">
        <w:t>acknowledged the water-</w:t>
      </w:r>
      <w:r w:rsidR="00671C65">
        <w:t xml:space="preserve">pouring </w:t>
      </w:r>
      <w:r w:rsidR="006E496A">
        <w:t>incident</w:t>
      </w:r>
      <w:r w:rsidR="007964DD">
        <w:t>,</w:t>
      </w:r>
      <w:r w:rsidR="006E496A">
        <w:t xml:space="preserve"> but</w:t>
      </w:r>
      <w:r w:rsidR="00B42595">
        <w:t xml:space="preserve"> </w:t>
      </w:r>
      <w:r w:rsidR="005C2503">
        <w:t xml:space="preserve">denied </w:t>
      </w:r>
      <w:r w:rsidR="007964DD">
        <w:t xml:space="preserve">she </w:t>
      </w:r>
      <w:r w:rsidR="005C2503">
        <w:t xml:space="preserve">punched or elbowed </w:t>
      </w:r>
      <w:r w:rsidR="00A42718">
        <w:t>Dragones</w:t>
      </w:r>
      <w:r w:rsidR="006D602B">
        <w:t xml:space="preserve">, </w:t>
      </w:r>
      <w:r w:rsidR="00F74972">
        <w:t xml:space="preserve">contending instead </w:t>
      </w:r>
      <w:r w:rsidR="001A7403">
        <w:t xml:space="preserve">that </w:t>
      </w:r>
      <w:r w:rsidR="00F94635">
        <w:t xml:space="preserve">Dragones </w:t>
      </w:r>
      <w:r w:rsidR="00F74972">
        <w:t>was the primary aggressor in the physical altercation.</w:t>
      </w:r>
      <w:r w:rsidR="00F94635">
        <w:t xml:space="preserve"> </w:t>
      </w:r>
      <w:r w:rsidR="00945424">
        <w:t xml:space="preserve">  </w:t>
      </w:r>
    </w:p>
    <w:p w14:paraId="4F0D8F77" w14:textId="495A6227" w:rsidR="005C2503" w:rsidRDefault="008325D3" w:rsidP="00096AC3">
      <w:pPr>
        <w:ind w:firstLine="720"/>
      </w:pPr>
      <w:r>
        <w:t xml:space="preserve">Each party </w:t>
      </w:r>
      <w:r w:rsidR="00281F23">
        <w:t xml:space="preserve">filed </w:t>
      </w:r>
      <w:r>
        <w:t xml:space="preserve">a </w:t>
      </w:r>
      <w:r w:rsidR="00281F23">
        <w:t xml:space="preserve">request for </w:t>
      </w:r>
      <w:r w:rsidR="007964DD">
        <w:t xml:space="preserve">a </w:t>
      </w:r>
      <w:r w:rsidR="00281F23">
        <w:t>domestic violence restraining order</w:t>
      </w:r>
      <w:r>
        <w:t xml:space="preserve"> against the other</w:t>
      </w:r>
      <w:r w:rsidR="00BA19EB">
        <w:t xml:space="preserve">, </w:t>
      </w:r>
      <w:r w:rsidR="008567AA">
        <w:t xml:space="preserve">and the court </w:t>
      </w:r>
      <w:r w:rsidR="001B2D23">
        <w:t xml:space="preserve">consolidated </w:t>
      </w:r>
      <w:r w:rsidR="008567AA">
        <w:t>the</w:t>
      </w:r>
      <w:r w:rsidR="00F60136">
        <w:t xml:space="preserve"> matters</w:t>
      </w:r>
      <w:r w:rsidR="008567AA">
        <w:t xml:space="preserve"> </w:t>
      </w:r>
      <w:r w:rsidR="00063FC9">
        <w:t xml:space="preserve">and held </w:t>
      </w:r>
      <w:r w:rsidR="00C7415D">
        <w:t xml:space="preserve">a </w:t>
      </w:r>
      <w:r w:rsidR="00605CC7">
        <w:t xml:space="preserve">hearing on </w:t>
      </w:r>
      <w:r w:rsidR="003411EC">
        <w:t xml:space="preserve">September 7, 2022. </w:t>
      </w:r>
      <w:r w:rsidR="00163C95">
        <w:t xml:space="preserve"> </w:t>
      </w:r>
      <w:r w:rsidR="003411EC">
        <w:t xml:space="preserve">At the hearing, </w:t>
      </w:r>
      <w:r w:rsidR="009E3CCB">
        <w:t>Dragones</w:t>
      </w:r>
      <w:r w:rsidR="003411EC">
        <w:t xml:space="preserve"> was represented by counsel and Calkins was not. </w:t>
      </w:r>
      <w:r w:rsidR="007B0B4B">
        <w:t xml:space="preserve"> </w:t>
      </w:r>
      <w:r w:rsidR="003411EC">
        <w:t xml:space="preserve">After hearing testimony from both parties, the court granted </w:t>
      </w:r>
      <w:r w:rsidR="009E3CCB">
        <w:t>Dragones</w:t>
      </w:r>
      <w:r w:rsidR="003411EC">
        <w:t>’</w:t>
      </w:r>
      <w:r w:rsidR="00BE4D82">
        <w:t>s</w:t>
      </w:r>
      <w:r w:rsidR="003411EC">
        <w:t xml:space="preserve"> request for </w:t>
      </w:r>
      <w:r w:rsidR="00873012">
        <w:t xml:space="preserve">a </w:t>
      </w:r>
      <w:r w:rsidR="003411EC">
        <w:t>restraining order and denied Calkins’</w:t>
      </w:r>
      <w:r w:rsidR="00BE4D82">
        <w:t>s</w:t>
      </w:r>
      <w:r w:rsidR="003411EC">
        <w:t xml:space="preserve"> request for </w:t>
      </w:r>
      <w:r w:rsidR="00873012">
        <w:t xml:space="preserve">a </w:t>
      </w:r>
      <w:r w:rsidR="003411EC">
        <w:t>restraining order.</w:t>
      </w:r>
      <w:r w:rsidR="005C2503">
        <w:t xml:space="preserve">  The court explained that it was </w:t>
      </w:r>
      <w:r w:rsidR="00BE2A31">
        <w:t xml:space="preserve">issuing </w:t>
      </w:r>
      <w:r w:rsidR="005C2503">
        <w:t>a one-year restraining order against Calkins based on the videotaped water-</w:t>
      </w:r>
      <w:r w:rsidR="00BE2A31">
        <w:t xml:space="preserve">pouring </w:t>
      </w:r>
      <w:r w:rsidR="005C2503">
        <w:t xml:space="preserve">incident, finding that Calkins “actually start[ed] the battering part when [she threw] the water </w:t>
      </w:r>
      <w:r w:rsidR="00180FAA">
        <w:t xml:space="preserve">on </w:t>
      </w:r>
      <w:r w:rsidR="005C2503">
        <w:t xml:space="preserve">him.” </w:t>
      </w:r>
      <w:r w:rsidR="00FB3A92">
        <w:t xml:space="preserve"> </w:t>
      </w:r>
      <w:r w:rsidR="005C2503">
        <w:t>As to the physical altercation</w:t>
      </w:r>
      <w:r w:rsidR="00E05305">
        <w:t xml:space="preserve">, </w:t>
      </w:r>
      <w:r w:rsidR="005C2503">
        <w:t xml:space="preserve">the court found </w:t>
      </w:r>
      <w:r w:rsidR="007964DD">
        <w:t xml:space="preserve">both parties </w:t>
      </w:r>
      <w:r w:rsidR="005C2503">
        <w:t>“got</w:t>
      </w:r>
      <w:r w:rsidR="00712FDD">
        <w:t xml:space="preserve"> in </w:t>
      </w:r>
      <w:r w:rsidR="005C2503">
        <w:t xml:space="preserve">a physical tussle at the door.”    </w:t>
      </w:r>
    </w:p>
    <w:p w14:paraId="5645B194" w14:textId="2B744ABC" w:rsidR="005C2503" w:rsidRDefault="005C2503" w:rsidP="00096AC3">
      <w:pPr>
        <w:ind w:firstLine="720"/>
      </w:pPr>
      <w:r>
        <w:t>The court denied Calkins’</w:t>
      </w:r>
      <w:r w:rsidR="00BE4D82">
        <w:t>s</w:t>
      </w:r>
      <w:r>
        <w:t xml:space="preserve"> request for </w:t>
      </w:r>
      <w:r w:rsidR="0044619A">
        <w:t xml:space="preserve">a </w:t>
      </w:r>
      <w:r>
        <w:t xml:space="preserve">restraining order on the basis that “the court doesn’t find sufficient evidence to </w:t>
      </w:r>
      <w:r w:rsidR="00B718F7">
        <w:t>issue a restraining order”</w:t>
      </w:r>
      <w:r w:rsidR="005B70C3">
        <w:t xml:space="preserve"> </w:t>
      </w:r>
      <w:r w:rsidR="0048234C">
        <w:t>protecting Calkins</w:t>
      </w:r>
      <w:r w:rsidR="00544259">
        <w:t xml:space="preserve">.  </w:t>
      </w:r>
      <w:r w:rsidR="007964DD">
        <w:t xml:space="preserve">The court </w:t>
      </w:r>
      <w:r w:rsidR="00B718F7">
        <w:lastRenderedPageBreak/>
        <w:t xml:space="preserve">reiterated that both parties sustained </w:t>
      </w:r>
      <w:r w:rsidR="006F7372">
        <w:t xml:space="preserve">bruises because </w:t>
      </w:r>
      <w:r w:rsidR="007964DD">
        <w:t xml:space="preserve">they </w:t>
      </w:r>
      <w:r w:rsidR="00B718F7">
        <w:t xml:space="preserve">“both got into a physical altercation.”   </w:t>
      </w:r>
    </w:p>
    <w:p w14:paraId="4ABA6371" w14:textId="216D5387" w:rsidR="00B718F7" w:rsidRDefault="005C2503" w:rsidP="00096AC3">
      <w:pPr>
        <w:ind w:firstLine="720"/>
      </w:pPr>
      <w:r>
        <w:t xml:space="preserve">On </w:t>
      </w:r>
      <w:r w:rsidR="005B6D99">
        <w:t>January 26, 2023</w:t>
      </w:r>
      <w:r w:rsidR="00B718F7">
        <w:t xml:space="preserve">, </w:t>
      </w:r>
      <w:r w:rsidR="009E3CCB">
        <w:t>Dragones</w:t>
      </w:r>
      <w:r w:rsidR="00B718F7">
        <w:t xml:space="preserve"> filed a motion for attorney</w:t>
      </w:r>
      <w:r w:rsidR="00D56DDF">
        <w:t>’</w:t>
      </w:r>
      <w:r w:rsidR="00B718F7">
        <w:t xml:space="preserve">s fees </w:t>
      </w:r>
      <w:r w:rsidR="000E6658">
        <w:t xml:space="preserve">in the amount of $13,659 </w:t>
      </w:r>
      <w:r w:rsidR="00B718F7">
        <w:t>pursuant to section</w:t>
      </w:r>
      <w:r w:rsidR="00F753BA">
        <w:t> </w:t>
      </w:r>
      <w:r w:rsidR="00B718F7">
        <w:t xml:space="preserve">6344. </w:t>
      </w:r>
      <w:r w:rsidR="000716BC">
        <w:t xml:space="preserve"> </w:t>
      </w:r>
      <w:r w:rsidR="00F43B47">
        <w:t>Dragones</w:t>
      </w:r>
      <w:r w:rsidR="00B718F7">
        <w:t xml:space="preserve"> argued </w:t>
      </w:r>
      <w:r w:rsidR="000E6658">
        <w:t xml:space="preserve">that </w:t>
      </w:r>
      <w:r w:rsidR="00F43B47">
        <w:t xml:space="preserve">he </w:t>
      </w:r>
      <w:r w:rsidR="001A7403">
        <w:t>wa</w:t>
      </w:r>
      <w:r w:rsidR="000E6658">
        <w:t xml:space="preserve">s entitled to fees as the prevailing petitioner in his </w:t>
      </w:r>
      <w:r w:rsidR="00037494">
        <w:t xml:space="preserve">request </w:t>
      </w:r>
      <w:r w:rsidR="000E6658">
        <w:t xml:space="preserve">for </w:t>
      </w:r>
      <w:r w:rsidR="00037494">
        <w:t xml:space="preserve">a </w:t>
      </w:r>
      <w:r w:rsidR="000E6658">
        <w:t xml:space="preserve">restraining order and as the </w:t>
      </w:r>
      <w:r w:rsidR="00280C68">
        <w:t xml:space="preserve">prevailing </w:t>
      </w:r>
      <w:r w:rsidR="000E6658">
        <w:t>respondent in Calkins’</w:t>
      </w:r>
      <w:r w:rsidR="00BE4D82">
        <w:t>s</w:t>
      </w:r>
      <w:r w:rsidR="000E6658">
        <w:t xml:space="preserve"> </w:t>
      </w:r>
      <w:r w:rsidR="00037494">
        <w:t xml:space="preserve">request </w:t>
      </w:r>
      <w:r w:rsidR="000E6658">
        <w:t xml:space="preserve">for </w:t>
      </w:r>
      <w:r w:rsidR="00037494">
        <w:t xml:space="preserve">a </w:t>
      </w:r>
      <w:r w:rsidR="000E6658">
        <w:t xml:space="preserve">restraining order. </w:t>
      </w:r>
      <w:r w:rsidR="00280C68">
        <w:t xml:space="preserve"> </w:t>
      </w:r>
      <w:r w:rsidR="008303DB">
        <w:t xml:space="preserve">In support of the motion, </w:t>
      </w:r>
      <w:r w:rsidR="009E3CCB">
        <w:t>Dragones</w:t>
      </w:r>
      <w:r w:rsidR="008303DB">
        <w:t xml:space="preserve"> filed a declaration</w:t>
      </w:r>
      <w:r w:rsidR="006D0087">
        <w:t xml:space="preserve"> </w:t>
      </w:r>
      <w:r w:rsidR="008303DB">
        <w:t>from counsel</w:t>
      </w:r>
      <w:r w:rsidR="006D0087">
        <w:t xml:space="preserve"> </w:t>
      </w:r>
      <w:r w:rsidR="00DB6C25">
        <w:t xml:space="preserve">explaining </w:t>
      </w:r>
      <w:r w:rsidR="008303DB">
        <w:t>the attorney</w:t>
      </w:r>
      <w:r w:rsidR="00FD4AC4">
        <w:t>’</w:t>
      </w:r>
      <w:r w:rsidR="008303DB">
        <w:t xml:space="preserve">s fees </w:t>
      </w:r>
      <w:r w:rsidR="003B4055">
        <w:t xml:space="preserve">Dragones </w:t>
      </w:r>
      <w:r w:rsidR="001B275A">
        <w:t>had incurred</w:t>
      </w:r>
      <w:r w:rsidR="008303DB">
        <w:t>.</w:t>
      </w:r>
      <w:r w:rsidR="00F42933">
        <w:t xml:space="preserve">  </w:t>
      </w:r>
      <w:r w:rsidR="009E3CCB">
        <w:t>Dragones</w:t>
      </w:r>
      <w:r w:rsidR="00F42933">
        <w:t xml:space="preserve"> did not </w:t>
      </w:r>
      <w:r w:rsidR="00D25B9D">
        <w:t xml:space="preserve">submit any evidence </w:t>
      </w:r>
      <w:r w:rsidR="00C131F9">
        <w:t xml:space="preserve">of </w:t>
      </w:r>
      <w:r w:rsidR="004E1871">
        <w:t xml:space="preserve">his income or </w:t>
      </w:r>
      <w:r w:rsidR="00E4560C">
        <w:t xml:space="preserve">his </w:t>
      </w:r>
      <w:r w:rsidR="002B214B">
        <w:t>ability to pay attorney</w:t>
      </w:r>
      <w:r w:rsidR="005B143C">
        <w:t>’</w:t>
      </w:r>
      <w:r w:rsidR="002B214B">
        <w:t>s fees</w:t>
      </w:r>
      <w:r w:rsidR="00CA7ABF">
        <w:t xml:space="preserve">. </w:t>
      </w:r>
    </w:p>
    <w:p w14:paraId="6B85B65F" w14:textId="44D4155F" w:rsidR="005C2503" w:rsidRDefault="00B718F7" w:rsidP="00096AC3">
      <w:pPr>
        <w:ind w:firstLine="720"/>
      </w:pPr>
      <w:r>
        <w:t>Calkins</w:t>
      </w:r>
      <w:r w:rsidR="000E6658">
        <w:t xml:space="preserve">, </w:t>
      </w:r>
      <w:r w:rsidR="007964DD">
        <w:t xml:space="preserve">for the first time </w:t>
      </w:r>
      <w:r w:rsidR="000E6658">
        <w:t xml:space="preserve">represented by </w:t>
      </w:r>
      <w:r>
        <w:t xml:space="preserve">counsel, filed an opposition </w:t>
      </w:r>
      <w:r w:rsidR="00DB6C25">
        <w:t>to the motion for attorney’s fees</w:t>
      </w:r>
      <w:r w:rsidR="00685A27">
        <w:t xml:space="preserve"> </w:t>
      </w:r>
      <w:r>
        <w:t xml:space="preserve">arguing </w:t>
      </w:r>
      <w:r w:rsidR="00451710">
        <w:t>that th</w:t>
      </w:r>
      <w:r w:rsidR="00497037">
        <w:t>e</w:t>
      </w:r>
      <w:r w:rsidR="00451710">
        <w:t xml:space="preserve"> motion should be denied because </w:t>
      </w:r>
      <w:r w:rsidR="009E3CCB">
        <w:t>Dragones</w:t>
      </w:r>
      <w:r w:rsidR="00451710">
        <w:t xml:space="preserve"> ha</w:t>
      </w:r>
      <w:r w:rsidR="00612AAB">
        <w:t>d</w:t>
      </w:r>
      <w:r w:rsidR="00451710">
        <w:t xml:space="preserve"> the ability to pay his </w:t>
      </w:r>
      <w:r w:rsidR="004C76A8">
        <w:t xml:space="preserve">own </w:t>
      </w:r>
      <w:r w:rsidR="00451710">
        <w:t>attorney</w:t>
      </w:r>
      <w:r w:rsidR="006C2F58">
        <w:t>’</w:t>
      </w:r>
      <w:r w:rsidR="00451710">
        <w:t>s fees</w:t>
      </w:r>
      <w:r w:rsidR="003B564D">
        <w:t xml:space="preserve"> </w:t>
      </w:r>
      <w:r w:rsidR="00451710">
        <w:t xml:space="preserve">and </w:t>
      </w:r>
      <w:r w:rsidR="00497037">
        <w:t>Calkins lack</w:t>
      </w:r>
      <w:r w:rsidR="00612AAB">
        <w:t>ed</w:t>
      </w:r>
      <w:r w:rsidR="00497037">
        <w:t xml:space="preserve"> the ability to pay </w:t>
      </w:r>
      <w:r w:rsidR="009E3CCB">
        <w:t>Dragones</w:t>
      </w:r>
      <w:r w:rsidR="00497037">
        <w:t>’</w:t>
      </w:r>
      <w:r w:rsidR="00BE4D82">
        <w:t>s</w:t>
      </w:r>
      <w:r w:rsidR="00497037">
        <w:t xml:space="preserve"> fees.</w:t>
      </w:r>
      <w:r w:rsidR="00074E7B">
        <w:t xml:space="preserve"> </w:t>
      </w:r>
      <w:r w:rsidR="00D2506B">
        <w:t xml:space="preserve"> Calkins also argued that the amount of fees requested </w:t>
      </w:r>
      <w:r w:rsidR="00D67CBD">
        <w:t>wa</w:t>
      </w:r>
      <w:r w:rsidR="00D2506B">
        <w:t>s unreasonable.</w:t>
      </w:r>
      <w:r w:rsidR="002F583F">
        <w:t xml:space="preserve">  </w:t>
      </w:r>
      <w:r w:rsidR="007C6626">
        <w:t xml:space="preserve">With her opposition, Calkins filed a declaration </w:t>
      </w:r>
      <w:r w:rsidR="005C6DFE">
        <w:t>stating that she earn</w:t>
      </w:r>
      <w:r w:rsidR="00E10C08">
        <w:t>ed</w:t>
      </w:r>
      <w:r w:rsidR="005C6DFE">
        <w:t xml:space="preserve"> $3,082 </w:t>
      </w:r>
      <w:r w:rsidR="00E10C08">
        <w:t xml:space="preserve">the prior </w:t>
      </w:r>
      <w:r w:rsidR="005C6DFE">
        <w:t>month</w:t>
      </w:r>
      <w:r w:rsidR="00B26BF6">
        <w:t xml:space="preserve"> and </w:t>
      </w:r>
      <w:r w:rsidR="007964DD">
        <w:t xml:space="preserve">that </w:t>
      </w:r>
      <w:r w:rsidR="009E3CCB">
        <w:t>Dragones</w:t>
      </w:r>
      <w:r w:rsidR="00763FC5">
        <w:t xml:space="preserve"> </w:t>
      </w:r>
      <w:r w:rsidR="00B53C67">
        <w:t xml:space="preserve">typically </w:t>
      </w:r>
      <w:r w:rsidR="00A21CC2">
        <w:t>earn</w:t>
      </w:r>
      <w:r w:rsidR="00763FC5">
        <w:t>ed</w:t>
      </w:r>
      <w:r w:rsidR="00A21CC2">
        <w:t xml:space="preserve"> </w:t>
      </w:r>
      <w:r w:rsidR="0076570A">
        <w:t xml:space="preserve">more than </w:t>
      </w:r>
      <w:r w:rsidR="00B26BF6">
        <w:t>$2</w:t>
      </w:r>
      <w:r w:rsidR="0076570A">
        <w:t>0</w:t>
      </w:r>
      <w:r w:rsidR="00B26BF6">
        <w:t>,</w:t>
      </w:r>
      <w:r w:rsidR="0076570A">
        <w:t>0</w:t>
      </w:r>
      <w:r w:rsidR="00B26BF6">
        <w:t>00</w:t>
      </w:r>
      <w:r w:rsidR="0076570A">
        <w:t xml:space="preserve"> </w:t>
      </w:r>
      <w:r w:rsidR="00B26BF6">
        <w:t xml:space="preserve">per month.  </w:t>
      </w:r>
    </w:p>
    <w:p w14:paraId="03B24FEE" w14:textId="7AA5F63C" w:rsidR="0090701A" w:rsidRDefault="00B718F7" w:rsidP="00096AC3">
      <w:pPr>
        <w:ind w:firstLine="720"/>
        <w:rPr>
          <w:b/>
          <w:bCs/>
        </w:rPr>
      </w:pPr>
      <w:r>
        <w:t>The motion for attorney</w:t>
      </w:r>
      <w:r w:rsidR="00441990">
        <w:t>’</w:t>
      </w:r>
      <w:r>
        <w:t xml:space="preserve">s fees </w:t>
      </w:r>
      <w:r w:rsidR="004441A5">
        <w:t xml:space="preserve">was heard on </w:t>
      </w:r>
      <w:r>
        <w:t xml:space="preserve">March 24, 2023.  </w:t>
      </w:r>
      <w:r w:rsidR="00D25109">
        <w:t xml:space="preserve">The court </w:t>
      </w:r>
      <w:r w:rsidR="007964DD">
        <w:t xml:space="preserve">ordered </w:t>
      </w:r>
      <w:r w:rsidR="00D25109">
        <w:t xml:space="preserve">Calkins to pay </w:t>
      </w:r>
      <w:r w:rsidR="009E3CCB">
        <w:t>Dragones</w:t>
      </w:r>
      <w:r w:rsidR="00D25109">
        <w:t xml:space="preserve"> </w:t>
      </w:r>
      <w:r w:rsidR="004F7008">
        <w:t>attorney’s</w:t>
      </w:r>
      <w:r w:rsidR="00D25109">
        <w:t xml:space="preserve"> fees in the amount of $6,000. </w:t>
      </w:r>
      <w:r w:rsidR="00CD10D1">
        <w:t xml:space="preserve"> The order </w:t>
      </w:r>
      <w:r w:rsidR="00157816">
        <w:t xml:space="preserve">contemplates that Calkins would pay the fees in </w:t>
      </w:r>
      <w:r w:rsidR="004870C6">
        <w:t xml:space="preserve">monthly </w:t>
      </w:r>
      <w:r w:rsidR="00157816">
        <w:t>installments</w:t>
      </w:r>
      <w:r w:rsidR="00040629">
        <w:t xml:space="preserve"> in a</w:t>
      </w:r>
      <w:r w:rsidR="004870C6">
        <w:t>n</w:t>
      </w:r>
      <w:r w:rsidR="00040629">
        <w:t xml:space="preserve"> amount to be negotiated by the parties</w:t>
      </w:r>
      <w:r w:rsidR="004870C6">
        <w:t xml:space="preserve">.  </w:t>
      </w:r>
    </w:p>
    <w:p w14:paraId="6AB102D9" w14:textId="6ADEAEB9" w:rsidR="008A22DF" w:rsidRDefault="008A22DF" w:rsidP="00096AC3">
      <w:pPr>
        <w:rPr>
          <w:b/>
          <w:bCs/>
        </w:rPr>
      </w:pPr>
    </w:p>
    <w:p w14:paraId="23C7312D" w14:textId="77777777" w:rsidR="00D25109" w:rsidRDefault="00D25109" w:rsidP="00096AC3">
      <w:pPr>
        <w:jc w:val="center"/>
        <w:rPr>
          <w:b/>
          <w:bCs/>
        </w:rPr>
      </w:pPr>
      <w:r w:rsidRPr="00EE5477">
        <w:rPr>
          <w:b/>
          <w:bCs/>
        </w:rPr>
        <w:t>DISCUSSION</w:t>
      </w:r>
    </w:p>
    <w:p w14:paraId="323E439F" w14:textId="77777777" w:rsidR="00096AC3" w:rsidRPr="00C50116" w:rsidRDefault="00096AC3" w:rsidP="00096AC3">
      <w:pPr>
        <w:jc w:val="center"/>
        <w:rPr>
          <w:b/>
          <w:bCs/>
        </w:rPr>
      </w:pPr>
    </w:p>
    <w:p w14:paraId="2BB645DE" w14:textId="36A9A2F8" w:rsidR="0052544D" w:rsidRPr="00302851" w:rsidRDefault="004A24FC" w:rsidP="00096AC3">
      <w:pPr>
        <w:pStyle w:val="ListParagraph"/>
        <w:numPr>
          <w:ilvl w:val="0"/>
          <w:numId w:val="1"/>
        </w:numPr>
        <w:ind w:hanging="720"/>
        <w:rPr>
          <w:i/>
          <w:iCs/>
        </w:rPr>
      </w:pPr>
      <w:r>
        <w:rPr>
          <w:i/>
          <w:iCs/>
        </w:rPr>
        <w:t>The Current</w:t>
      </w:r>
      <w:r w:rsidR="00B53C67">
        <w:rPr>
          <w:i/>
          <w:iCs/>
        </w:rPr>
        <w:t xml:space="preserve"> </w:t>
      </w:r>
      <w:r w:rsidR="00316CC5">
        <w:rPr>
          <w:i/>
          <w:iCs/>
        </w:rPr>
        <w:t xml:space="preserve">Version of </w:t>
      </w:r>
      <w:r w:rsidR="00240057">
        <w:rPr>
          <w:i/>
          <w:iCs/>
        </w:rPr>
        <w:t>S</w:t>
      </w:r>
      <w:r w:rsidR="00E25296" w:rsidRPr="00302851">
        <w:rPr>
          <w:i/>
          <w:iCs/>
        </w:rPr>
        <w:t xml:space="preserve">ection 6344 </w:t>
      </w:r>
      <w:r w:rsidR="00ED5AA0" w:rsidRPr="00302851">
        <w:rPr>
          <w:i/>
          <w:iCs/>
        </w:rPr>
        <w:t>Appl</w:t>
      </w:r>
      <w:r w:rsidR="00327C4D">
        <w:rPr>
          <w:i/>
          <w:iCs/>
        </w:rPr>
        <w:t>ies</w:t>
      </w:r>
      <w:r w:rsidR="00ED5AA0" w:rsidRPr="00302851">
        <w:rPr>
          <w:i/>
          <w:iCs/>
        </w:rPr>
        <w:t xml:space="preserve"> </w:t>
      </w:r>
      <w:r w:rsidR="001F4781">
        <w:rPr>
          <w:i/>
          <w:iCs/>
        </w:rPr>
        <w:t>t</w:t>
      </w:r>
      <w:r w:rsidR="002E4DA9">
        <w:rPr>
          <w:i/>
          <w:iCs/>
        </w:rPr>
        <w:t xml:space="preserve">o </w:t>
      </w:r>
      <w:r w:rsidR="00C565E9">
        <w:rPr>
          <w:i/>
          <w:iCs/>
        </w:rPr>
        <w:t>This Case</w:t>
      </w:r>
    </w:p>
    <w:p w14:paraId="0AA32A2C" w14:textId="13DBE31E" w:rsidR="00026040" w:rsidRDefault="00C50116" w:rsidP="00096AC3">
      <w:pPr>
        <w:ind w:firstLine="720"/>
      </w:pPr>
      <w:r>
        <w:t>Calkins’</w:t>
      </w:r>
      <w:r w:rsidR="005A0032">
        <w:t>s</w:t>
      </w:r>
      <w:r>
        <w:t xml:space="preserve"> appeal </w:t>
      </w:r>
      <w:r w:rsidR="00007C0F">
        <w:t xml:space="preserve">is </w:t>
      </w:r>
      <w:r>
        <w:t>premise</w:t>
      </w:r>
      <w:r w:rsidR="00007C0F">
        <w:t>d on the assumption</w:t>
      </w:r>
      <w:r>
        <w:t xml:space="preserve"> that the fee order in this case is governed by the former </w:t>
      </w:r>
      <w:r w:rsidR="00F901F5">
        <w:t xml:space="preserve">version of </w:t>
      </w:r>
      <w:r w:rsidR="00287D18">
        <w:lastRenderedPageBreak/>
        <w:t>section</w:t>
      </w:r>
      <w:r w:rsidR="00F753BA">
        <w:t> </w:t>
      </w:r>
      <w:r w:rsidR="00287D18">
        <w:t xml:space="preserve">6344 </w:t>
      </w:r>
      <w:r>
        <w:t xml:space="preserve">that was in effect </w:t>
      </w:r>
      <w:r w:rsidR="00674B3A">
        <w:t xml:space="preserve">in </w:t>
      </w:r>
      <w:r w:rsidR="007D004C">
        <w:t>2022</w:t>
      </w:r>
      <w:r w:rsidR="00674B3A">
        <w:t xml:space="preserve">, when the </w:t>
      </w:r>
      <w:r>
        <w:t>restraining order</w:t>
      </w:r>
      <w:r w:rsidR="00674B3A">
        <w:t xml:space="preserve">s were litigated and decided, </w:t>
      </w:r>
      <w:r>
        <w:t xml:space="preserve">and not the </w:t>
      </w:r>
      <w:r w:rsidR="00CE65E1">
        <w:t xml:space="preserve">version of the </w:t>
      </w:r>
      <w:r>
        <w:t>statute in effect in 2023</w:t>
      </w:r>
      <w:r w:rsidR="00A42C3A">
        <w:t>,</w:t>
      </w:r>
      <w:r>
        <w:t xml:space="preserve"> when the attorney fee motion was filed and </w:t>
      </w:r>
      <w:r w:rsidR="00C947F9">
        <w:t>decided</w:t>
      </w:r>
      <w:r>
        <w:t>.</w:t>
      </w:r>
      <w:r w:rsidR="007D004C">
        <w:t xml:space="preserve">  Under the former statute, a prevailing petitioner’s right to </w:t>
      </w:r>
      <w:r w:rsidR="00CF6538">
        <w:t xml:space="preserve">recover attorney’s </w:t>
      </w:r>
      <w:r w:rsidR="007D004C">
        <w:t xml:space="preserve">fees </w:t>
      </w:r>
      <w:r w:rsidR="00A42C3A">
        <w:t xml:space="preserve">depended </w:t>
      </w:r>
      <w:r w:rsidR="007D004C">
        <w:t xml:space="preserve">on the </w:t>
      </w:r>
      <w:r w:rsidR="00CA49A3">
        <w:t>petitioner</w:t>
      </w:r>
      <w:r w:rsidR="00CF6538">
        <w:t xml:space="preserve">’s demonstrated inability </w:t>
      </w:r>
      <w:r w:rsidR="007D004C">
        <w:t>to pay fees</w:t>
      </w:r>
      <w:r w:rsidR="00CA49A3">
        <w:t xml:space="preserve"> and a disparity in income between the parties.  The statute provided,</w:t>
      </w:r>
      <w:r w:rsidR="00484B76">
        <w:t xml:space="preserve"> for actions brought pursuant to the Domestic Violence Prevention Act</w:t>
      </w:r>
      <w:r w:rsidR="00C947F9">
        <w:t>:</w:t>
      </w:r>
    </w:p>
    <w:p w14:paraId="30958944" w14:textId="77777777" w:rsidR="00547331" w:rsidRPr="00F7398A" w:rsidRDefault="00F7398A" w:rsidP="00096AC3">
      <w:pPr>
        <w:ind w:firstLine="720"/>
        <w:rPr>
          <w:color w:val="000000" w:themeColor="text1"/>
        </w:rPr>
      </w:pPr>
      <w:r>
        <w:rPr>
          <w:color w:val="000000" w:themeColor="text1"/>
        </w:rPr>
        <w:t>“(a)</w:t>
      </w:r>
      <w:r w:rsidR="00134B23">
        <w:rPr>
          <w:color w:val="000000" w:themeColor="text1"/>
        </w:rPr>
        <w:t xml:space="preserve"> </w:t>
      </w:r>
      <w:r w:rsidR="00547331" w:rsidRPr="00F7398A">
        <w:rPr>
          <w:color w:val="000000" w:themeColor="text1"/>
        </w:rPr>
        <w:t>After notice and a hearing, the court may issue an order for the payment of attorney</w:t>
      </w:r>
      <w:r w:rsidR="001D0CF6" w:rsidRPr="00F7398A">
        <w:rPr>
          <w:color w:val="000000" w:themeColor="text1"/>
        </w:rPr>
        <w:t>’</w:t>
      </w:r>
      <w:r w:rsidR="00547331" w:rsidRPr="00F7398A">
        <w:rPr>
          <w:color w:val="000000" w:themeColor="text1"/>
        </w:rPr>
        <w:t>s fees and costs of the prevailing party.</w:t>
      </w:r>
    </w:p>
    <w:p w14:paraId="73BFC0C7" w14:textId="5C67F14B" w:rsidR="000A4E01" w:rsidRDefault="00134B23" w:rsidP="00096AC3">
      <w:pPr>
        <w:ind w:firstLine="720"/>
      </w:pPr>
      <w:r>
        <w:rPr>
          <w:color w:val="000000" w:themeColor="text1"/>
        </w:rPr>
        <w:t xml:space="preserve">(b) </w:t>
      </w:r>
      <w:r w:rsidR="00547331" w:rsidRPr="00134B23">
        <w:rPr>
          <w:color w:val="000000" w:themeColor="text1"/>
        </w:rPr>
        <w:t>In any action in which the petitioner is the prevailing party and cannot afford to pay for the attorney</w:t>
      </w:r>
      <w:r w:rsidR="001D0CF6" w:rsidRPr="00134B23">
        <w:rPr>
          <w:color w:val="000000" w:themeColor="text1"/>
        </w:rPr>
        <w:t>’</w:t>
      </w:r>
      <w:r w:rsidR="00547331" w:rsidRPr="00134B23">
        <w:rPr>
          <w:color w:val="000000" w:themeColor="text1"/>
        </w:rPr>
        <w:t>s fees and costs, the court shall, if appropriate based on the parties</w:t>
      </w:r>
      <w:r w:rsidR="001D0CF6" w:rsidRPr="00134B23">
        <w:rPr>
          <w:color w:val="000000" w:themeColor="text1"/>
        </w:rPr>
        <w:t>’</w:t>
      </w:r>
      <w:r w:rsidR="00547331" w:rsidRPr="00134B23">
        <w:rPr>
          <w:color w:val="000000" w:themeColor="text1"/>
        </w:rPr>
        <w:t xml:space="preserve"> respective abilities to pay, order that the respondent pay petitioner</w:t>
      </w:r>
      <w:r w:rsidR="005A0032">
        <w:rPr>
          <w:color w:val="000000" w:themeColor="text1"/>
        </w:rPr>
        <w:t>’</w:t>
      </w:r>
      <w:r w:rsidR="00547331" w:rsidRPr="00134B23">
        <w:rPr>
          <w:color w:val="000000" w:themeColor="text1"/>
        </w:rPr>
        <w:t>s attorney</w:t>
      </w:r>
      <w:r w:rsidR="00B4202D">
        <w:rPr>
          <w:color w:val="000000" w:themeColor="text1"/>
        </w:rPr>
        <w:t>’</w:t>
      </w:r>
      <w:r w:rsidR="00547331" w:rsidRPr="00134B23">
        <w:rPr>
          <w:color w:val="000000" w:themeColor="text1"/>
        </w:rPr>
        <w:t>s fees and costs for commencing and maintaining the proceeding.</w:t>
      </w:r>
      <w:r w:rsidR="005A0032">
        <w:rPr>
          <w:color w:val="000000" w:themeColor="text1"/>
        </w:rPr>
        <w:t xml:space="preserve">  </w:t>
      </w:r>
      <w:r w:rsidR="00547331" w:rsidRPr="00134B23">
        <w:rPr>
          <w:color w:val="000000" w:themeColor="text1"/>
        </w:rPr>
        <w:t>Whether the respondent shall be ordered to pay attorney</w:t>
      </w:r>
      <w:r w:rsidR="00B4202D">
        <w:rPr>
          <w:color w:val="000000" w:themeColor="text1"/>
        </w:rPr>
        <w:t>’</w:t>
      </w:r>
      <w:r w:rsidR="00547331" w:rsidRPr="00134B23">
        <w:rPr>
          <w:color w:val="000000" w:themeColor="text1"/>
        </w:rPr>
        <w:t>s fees and costs for the prevailing petitioner, and what amount shall be paid, shall be determined based upon (1) the respective incomes and needs of the parties, and (2) any factors affecting the parties</w:t>
      </w:r>
      <w:r w:rsidR="00BE4F47">
        <w:rPr>
          <w:color w:val="000000" w:themeColor="text1"/>
        </w:rPr>
        <w:t>’</w:t>
      </w:r>
      <w:r w:rsidR="00547331" w:rsidRPr="00134B23">
        <w:rPr>
          <w:color w:val="000000" w:themeColor="text1"/>
        </w:rPr>
        <w:t xml:space="preserve"> respective abilities to pay.</w:t>
      </w:r>
      <w:r w:rsidR="00BE4F47">
        <w:rPr>
          <w:color w:val="000000" w:themeColor="text1"/>
        </w:rPr>
        <w:t>”</w:t>
      </w:r>
      <w:r w:rsidR="00376379">
        <w:t xml:space="preserve">  </w:t>
      </w:r>
      <w:r w:rsidR="00665C92">
        <w:t>(</w:t>
      </w:r>
      <w:r w:rsidR="00C90A2E">
        <w:t>Former §</w:t>
      </w:r>
      <w:r w:rsidR="00665C92">
        <w:t xml:space="preserve"> 6344</w:t>
      </w:r>
      <w:r w:rsidR="001754C5">
        <w:t>, added by</w:t>
      </w:r>
      <w:r w:rsidR="000A4E01">
        <w:t xml:space="preserve"> </w:t>
      </w:r>
      <w:r w:rsidR="000A4E01" w:rsidRPr="000A4E01">
        <w:t>Stats.</w:t>
      </w:r>
      <w:r w:rsidR="00376379">
        <w:t xml:space="preserve"> </w:t>
      </w:r>
      <w:r w:rsidR="000A4E01" w:rsidRPr="000A4E01">
        <w:t>2004, c</w:t>
      </w:r>
      <w:r w:rsidR="00376379">
        <w:t>h</w:t>
      </w:r>
      <w:r w:rsidR="000A4E01" w:rsidRPr="000A4E01">
        <w:t>. 472</w:t>
      </w:r>
      <w:r w:rsidR="007D4AA8">
        <w:t xml:space="preserve">, </w:t>
      </w:r>
      <w:r w:rsidR="007C17BC">
        <w:t>§ 6</w:t>
      </w:r>
      <w:r w:rsidR="00376379">
        <w:t xml:space="preserve">, </w:t>
      </w:r>
      <w:r w:rsidR="009018AF">
        <w:t>e</w:t>
      </w:r>
      <w:r w:rsidR="0038574F">
        <w:t>ff</w:t>
      </w:r>
      <w:r w:rsidR="00376379">
        <w:t>.</w:t>
      </w:r>
      <w:r w:rsidR="0038574F">
        <w:t xml:space="preserve"> Jan</w:t>
      </w:r>
      <w:r w:rsidR="00376379">
        <w:t>.</w:t>
      </w:r>
      <w:r w:rsidR="0038574F">
        <w:t xml:space="preserve"> 1, 20</w:t>
      </w:r>
      <w:r w:rsidR="00A23CA2">
        <w:t>0</w:t>
      </w:r>
      <w:r w:rsidR="0038574F">
        <w:t>5</w:t>
      </w:r>
      <w:r w:rsidR="009018AF">
        <w:t>.)</w:t>
      </w:r>
      <w:r w:rsidR="00665C92">
        <w:t xml:space="preserve"> </w:t>
      </w:r>
    </w:p>
    <w:p w14:paraId="1E5392A6" w14:textId="6BAEFC21" w:rsidR="00124850" w:rsidRDefault="009018AF" w:rsidP="00096AC3">
      <w:r>
        <w:t xml:space="preserve"> </w:t>
      </w:r>
      <w:r>
        <w:tab/>
      </w:r>
      <w:r w:rsidR="00D15251">
        <w:t>B</w:t>
      </w:r>
      <w:r w:rsidR="00FC3FB5">
        <w:t>y the time Dragones file</w:t>
      </w:r>
      <w:r w:rsidR="00373791">
        <w:t xml:space="preserve">d his January 26, </w:t>
      </w:r>
      <w:r w:rsidR="00D830A0">
        <w:t>2023</w:t>
      </w:r>
      <w:r w:rsidR="00FC3FB5">
        <w:t xml:space="preserve"> </w:t>
      </w:r>
      <w:r w:rsidR="004A6A1A">
        <w:t>motion for attorney</w:t>
      </w:r>
      <w:r w:rsidR="00C26EBF">
        <w:t>’</w:t>
      </w:r>
      <w:r w:rsidR="004A6A1A">
        <w:t>s fees</w:t>
      </w:r>
      <w:r w:rsidR="00FC3FB5">
        <w:t xml:space="preserve">, </w:t>
      </w:r>
      <w:r w:rsidR="00FB7B34">
        <w:t xml:space="preserve">former </w:t>
      </w:r>
      <w:r w:rsidR="00D15251">
        <w:t xml:space="preserve">section 6344 </w:t>
      </w:r>
      <w:r w:rsidR="004A6A1A">
        <w:t>had been</w:t>
      </w:r>
      <w:r w:rsidR="00FB7B34">
        <w:t xml:space="preserve"> repealed and replaced by </w:t>
      </w:r>
      <w:r w:rsidR="00E95C1F">
        <w:t xml:space="preserve">the current version of </w:t>
      </w:r>
      <w:r w:rsidR="00FB7B34">
        <w:t>section 6344 (</w:t>
      </w:r>
      <w:r w:rsidR="004F1766">
        <w:t xml:space="preserve">see </w:t>
      </w:r>
      <w:r w:rsidR="00FB7B34">
        <w:t>Stats. 2022, ch. 591, §§ 1-2), which</w:t>
      </w:r>
      <w:r w:rsidR="002F5A12">
        <w:t xml:space="preserve"> </w:t>
      </w:r>
      <w:r w:rsidR="00C62FD8">
        <w:t>require</w:t>
      </w:r>
      <w:r w:rsidR="00FB7B34">
        <w:t>s</w:t>
      </w:r>
      <w:r w:rsidR="00C62FD8">
        <w:t xml:space="preserve"> </w:t>
      </w:r>
      <w:r w:rsidR="00D15251">
        <w:t xml:space="preserve">the court to award fees to a </w:t>
      </w:r>
      <w:r w:rsidR="00105D30">
        <w:t>prevailing petitioner</w:t>
      </w:r>
      <w:r w:rsidR="00D15251">
        <w:t>,</w:t>
      </w:r>
      <w:r w:rsidR="00C62FD8">
        <w:t xml:space="preserve"> </w:t>
      </w:r>
      <w:r w:rsidR="00B420B8">
        <w:t xml:space="preserve">subject only to the </w:t>
      </w:r>
      <w:r w:rsidR="00D15251" w:rsidRPr="0043580B">
        <w:t>respondent’s</w:t>
      </w:r>
      <w:r w:rsidR="00D15251">
        <w:t xml:space="preserve"> ability to pay</w:t>
      </w:r>
      <w:r w:rsidR="000E673C">
        <w:t>.  T</w:t>
      </w:r>
      <w:r w:rsidR="004F1766">
        <w:t>he new</w:t>
      </w:r>
      <w:r w:rsidR="004E7C52">
        <w:t>ly enacted</w:t>
      </w:r>
      <w:r w:rsidR="004F1766">
        <w:t xml:space="preserve"> statute </w:t>
      </w:r>
      <w:r w:rsidR="00697E1C">
        <w:t>obviate</w:t>
      </w:r>
      <w:r w:rsidR="004F1766">
        <w:t>s</w:t>
      </w:r>
      <w:r w:rsidR="00697E1C">
        <w:t xml:space="preserve"> the need for a </w:t>
      </w:r>
      <w:r w:rsidR="00861BCF">
        <w:t xml:space="preserve">prevailing </w:t>
      </w:r>
      <w:r w:rsidR="00C62FD8">
        <w:t xml:space="preserve">petitioner </w:t>
      </w:r>
      <w:r w:rsidR="00697E1C">
        <w:t xml:space="preserve">to show inability to </w:t>
      </w:r>
      <w:r w:rsidR="00861BCF">
        <w:t>afford</w:t>
      </w:r>
      <w:r w:rsidR="004E575A">
        <w:t xml:space="preserve"> </w:t>
      </w:r>
      <w:r w:rsidR="00861BCF">
        <w:t xml:space="preserve">attorney’s </w:t>
      </w:r>
      <w:r w:rsidR="00813034">
        <w:t>fees</w:t>
      </w:r>
      <w:r w:rsidR="00697E1C">
        <w:t xml:space="preserve"> </w:t>
      </w:r>
      <w:r w:rsidR="004E575A">
        <w:t xml:space="preserve">and </w:t>
      </w:r>
      <w:r w:rsidR="004E575A">
        <w:lastRenderedPageBreak/>
        <w:t xml:space="preserve">eliminates the requirement to show </w:t>
      </w:r>
      <w:r w:rsidR="00697E1C">
        <w:t>a disparity in access to funds</w:t>
      </w:r>
      <w:r w:rsidR="00C62FD8">
        <w:t xml:space="preserve">.  </w:t>
      </w:r>
      <w:r w:rsidR="00211310">
        <w:t>E</w:t>
      </w:r>
      <w:r w:rsidR="00FC4DDA">
        <w:t>ffective January 1, 2023, section</w:t>
      </w:r>
      <w:r w:rsidR="00FB7B34">
        <w:t> </w:t>
      </w:r>
      <w:r w:rsidR="00FC4DDA">
        <w:t xml:space="preserve">6344 </w:t>
      </w:r>
      <w:r w:rsidR="000A7A63">
        <w:t>provides:</w:t>
      </w:r>
    </w:p>
    <w:p w14:paraId="072DA3A1" w14:textId="77777777" w:rsidR="00124850" w:rsidRPr="00373791" w:rsidRDefault="00BE4F47" w:rsidP="00096AC3">
      <w:pPr>
        <w:ind w:firstLine="720"/>
        <w:rPr>
          <w:color w:val="000000" w:themeColor="text1"/>
        </w:rPr>
      </w:pPr>
      <w:r>
        <w:t>“</w:t>
      </w:r>
      <w:r w:rsidR="00124850">
        <w:t xml:space="preserve">(a) </w:t>
      </w:r>
      <w:r w:rsidR="00124850" w:rsidRPr="00373791">
        <w:rPr>
          <w:color w:val="000000" w:themeColor="text1"/>
        </w:rPr>
        <w:t>After notice and a hearing, a court, upon request, shall issue an order for the payment of attorney’s fees and costs for a prevailing petitioner.</w:t>
      </w:r>
    </w:p>
    <w:p w14:paraId="7CEB093D" w14:textId="77777777" w:rsidR="00124850" w:rsidRPr="00373791" w:rsidRDefault="00124850" w:rsidP="00096AC3">
      <w:pPr>
        <w:ind w:firstLine="720"/>
        <w:rPr>
          <w:color w:val="000000" w:themeColor="text1"/>
        </w:rPr>
      </w:pPr>
      <w:r w:rsidRPr="00373791">
        <w:rPr>
          <w:color w:val="000000" w:themeColor="text1"/>
        </w:rPr>
        <w:t>(b) After notice and a hearing, the court, upon request, may issue an order for the payment of attorney’s fees and costs for a prevailing respondent only if the respondent establishes by a preponderance of the evidence that the petition or request is frivolous or solely intended to abuse, intimidate, or cause unnecessary delay.</w:t>
      </w:r>
    </w:p>
    <w:p w14:paraId="5FCE5A60" w14:textId="65D21B6E" w:rsidR="00470BCF" w:rsidRDefault="00124850" w:rsidP="00096AC3">
      <w:pPr>
        <w:ind w:firstLine="720"/>
      </w:pPr>
      <w:r>
        <w:t xml:space="preserve">(c) Before a court awards attorney’s fees and costs pursuant to this </w:t>
      </w:r>
      <w:r w:rsidRPr="00373791">
        <w:rPr>
          <w:color w:val="000000" w:themeColor="text1"/>
        </w:rPr>
        <w:t>section, the court shall first determine pursuant to Section</w:t>
      </w:r>
      <w:r w:rsidR="00240057">
        <w:rPr>
          <w:color w:val="000000" w:themeColor="text1"/>
        </w:rPr>
        <w:t> </w:t>
      </w:r>
      <w:r w:rsidRPr="00373791">
        <w:rPr>
          <w:color w:val="000000" w:themeColor="text1"/>
        </w:rPr>
        <w:t>270 that the party ordered to pay has, or is reasonably likely to have, the ability to pay.</w:t>
      </w:r>
      <w:r w:rsidR="00BE4F47">
        <w:rPr>
          <w:color w:val="000000" w:themeColor="text1"/>
        </w:rPr>
        <w:t>”</w:t>
      </w:r>
      <w:r w:rsidR="00FB7B34">
        <w:t xml:space="preserve">  </w:t>
      </w:r>
      <w:r>
        <w:t>(</w:t>
      </w:r>
      <w:r w:rsidR="000B05D0">
        <w:t xml:space="preserve">§ </w:t>
      </w:r>
      <w:r w:rsidR="00AF7AC5">
        <w:t>6344, a</w:t>
      </w:r>
      <w:r w:rsidR="000B05D0">
        <w:t>d</w:t>
      </w:r>
      <w:r w:rsidR="00AF7AC5">
        <w:t xml:space="preserve">ded </w:t>
      </w:r>
      <w:r>
        <w:t xml:space="preserve">by Stats. 2022, </w:t>
      </w:r>
      <w:r w:rsidR="000B05D0">
        <w:t>c</w:t>
      </w:r>
      <w:r>
        <w:t xml:space="preserve">h. 591, </w:t>
      </w:r>
      <w:r w:rsidR="000B05D0">
        <w:t>§</w:t>
      </w:r>
      <w:r>
        <w:t xml:space="preserve"> 2</w:t>
      </w:r>
      <w:r w:rsidR="007D4AA8">
        <w:t>, e</w:t>
      </w:r>
      <w:r>
        <w:t>ff</w:t>
      </w:r>
      <w:r w:rsidR="000B05D0">
        <w:t>.</w:t>
      </w:r>
      <w:r>
        <w:t xml:space="preserve"> Jan</w:t>
      </w:r>
      <w:r w:rsidR="000B05D0">
        <w:t>.</w:t>
      </w:r>
      <w:r>
        <w:t xml:space="preserve"> 1, 2023</w:t>
      </w:r>
      <w:r w:rsidR="00FB7B34">
        <w:t>.</w:t>
      </w:r>
      <w:r>
        <w:t>)</w:t>
      </w:r>
    </w:p>
    <w:p w14:paraId="0A6E0067" w14:textId="2A294E6B" w:rsidR="00DE33C3" w:rsidRDefault="006D7BBF" w:rsidP="00096AC3">
      <w:pPr>
        <w:ind w:firstLine="720"/>
      </w:pPr>
      <w:r>
        <w:t>The trial court did not explain which version of the statute it applied when award</w:t>
      </w:r>
      <w:r w:rsidR="002C7027">
        <w:t>ing attorney’s fees</w:t>
      </w:r>
      <w:r w:rsidR="001A7403">
        <w:t xml:space="preserve"> to Dragones</w:t>
      </w:r>
      <w:r>
        <w:t xml:space="preserve">.  </w:t>
      </w:r>
      <w:r w:rsidR="001F7400">
        <w:t xml:space="preserve">Both parties argued </w:t>
      </w:r>
      <w:r w:rsidR="004E4223">
        <w:t xml:space="preserve">in </w:t>
      </w:r>
      <w:r w:rsidR="001F7400">
        <w:t xml:space="preserve">the trial court and on appeal that this case is governed by the former version of the statute. </w:t>
      </w:r>
      <w:r w:rsidR="009A73E2">
        <w:t xml:space="preserve"> </w:t>
      </w:r>
      <w:r w:rsidR="009B536D">
        <w:t xml:space="preserve">In support of this contention, the parties </w:t>
      </w:r>
      <w:r w:rsidR="00EE3A47">
        <w:t>recite</w:t>
      </w:r>
      <w:r w:rsidR="009B536D">
        <w:t xml:space="preserve"> </w:t>
      </w:r>
      <w:r w:rsidR="00EE3A47">
        <w:t xml:space="preserve">the general presumption that new statutes do not apply retroactively.  </w:t>
      </w:r>
      <w:r w:rsidR="001F7400">
        <w:t>Neither party suggest</w:t>
      </w:r>
      <w:r w:rsidR="009B536D">
        <w:t>s</w:t>
      </w:r>
      <w:r w:rsidR="001F7400">
        <w:t xml:space="preserve"> that </w:t>
      </w:r>
      <w:r w:rsidR="00E95C1F">
        <w:t xml:space="preserve">applying </w:t>
      </w:r>
      <w:r w:rsidR="00140AAF">
        <w:t xml:space="preserve">the current version of </w:t>
      </w:r>
      <w:r w:rsidR="001F7400">
        <w:t>section</w:t>
      </w:r>
      <w:r w:rsidR="007D3E32">
        <w:t> </w:t>
      </w:r>
      <w:r w:rsidR="001F7400">
        <w:t>6344 in this case would be unfair, impair any vested rights, or violate due process.</w:t>
      </w:r>
      <w:r w:rsidR="007B40D2">
        <w:t xml:space="preserve"> </w:t>
      </w:r>
      <w:r w:rsidR="001F7400">
        <w:t xml:space="preserve"> </w:t>
      </w:r>
    </w:p>
    <w:p w14:paraId="391215A2" w14:textId="2FE8F516" w:rsidR="0057001A" w:rsidRDefault="00723425" w:rsidP="00096AC3">
      <w:pPr>
        <w:ind w:firstLine="720"/>
      </w:pPr>
      <w:r>
        <w:t>We review de novo whether a statute applies retroactively.  (</w:t>
      </w:r>
      <w:r w:rsidRPr="00825635">
        <w:rPr>
          <w:i/>
          <w:iCs/>
        </w:rPr>
        <w:t>In re Marriage of Fellows</w:t>
      </w:r>
      <w:r>
        <w:t xml:space="preserve"> (2006) 39 Cal.4th 179, 183 (</w:t>
      </w:r>
      <w:r w:rsidRPr="003011FF">
        <w:rPr>
          <w:i/>
        </w:rPr>
        <w:t>Fellows</w:t>
      </w:r>
      <w:r>
        <w:t xml:space="preserve">).)  </w:t>
      </w:r>
      <w:r w:rsidR="000F44ED">
        <w:t xml:space="preserve">We </w:t>
      </w:r>
      <w:r w:rsidR="00DE33C3">
        <w:t>conclude</w:t>
      </w:r>
      <w:r w:rsidR="00A37258">
        <w:t xml:space="preserve"> that </w:t>
      </w:r>
      <w:r w:rsidR="00140AAF">
        <w:t>the current version of s</w:t>
      </w:r>
      <w:r w:rsidR="00A37258">
        <w:t xml:space="preserve">ection 6344 applies </w:t>
      </w:r>
      <w:r w:rsidR="00274438">
        <w:t>retroactively and</w:t>
      </w:r>
      <w:r w:rsidR="00315D75">
        <w:t xml:space="preserve"> governs the</w:t>
      </w:r>
      <w:r w:rsidR="00B50F50">
        <w:t xml:space="preserve"> attorney</w:t>
      </w:r>
      <w:r w:rsidR="00315D75">
        <w:t xml:space="preserve"> fee motion in this case.  </w:t>
      </w:r>
      <w:r w:rsidR="00BC483D">
        <w:t>As we explain, s</w:t>
      </w:r>
      <w:r w:rsidR="00EB0FD3">
        <w:t>tatutes operate retroactively if</w:t>
      </w:r>
      <w:r w:rsidR="00A17B78">
        <w:t xml:space="preserve"> </w:t>
      </w:r>
      <w:r w:rsidR="00F94CA9">
        <w:t>“</w:t>
      </w:r>
      <w:r w:rsidR="007B40D2">
        <w:t>‘</w:t>
      </w:r>
      <w:r w:rsidR="00F94CA9">
        <w:t>the Legislature plainly intended them to do so</w:t>
      </w:r>
      <w:r w:rsidR="007B40D2">
        <w:t>’</w:t>
      </w:r>
      <w:r w:rsidR="00F94CA9">
        <w:t>”</w:t>
      </w:r>
      <w:r w:rsidR="008D35E6">
        <w:t>;</w:t>
      </w:r>
      <w:r>
        <w:t xml:space="preserve"> here, </w:t>
      </w:r>
      <w:r w:rsidR="00BC483D">
        <w:t>the Legislature</w:t>
      </w:r>
      <w:r w:rsidR="000A1827">
        <w:t xml:space="preserve"> has </w:t>
      </w:r>
      <w:r w:rsidR="00C316C6">
        <w:lastRenderedPageBreak/>
        <w:t xml:space="preserve">decreed </w:t>
      </w:r>
      <w:r w:rsidR="000A7CFC">
        <w:t xml:space="preserve">that </w:t>
      </w:r>
      <w:r w:rsidR="000D6792">
        <w:t xml:space="preserve">Family Code </w:t>
      </w:r>
      <w:r w:rsidR="000A7CFC">
        <w:t xml:space="preserve">revisions </w:t>
      </w:r>
      <w:r w:rsidR="000D6792">
        <w:t>are presumptively retroactive</w:t>
      </w:r>
      <w:r w:rsidR="002E1B88">
        <w:t>.</w:t>
      </w:r>
      <w:r w:rsidR="00F94CA9">
        <w:t xml:space="preserve">  (</w:t>
      </w:r>
      <w:r w:rsidR="00860419">
        <w:rPr>
          <w:i/>
          <w:iCs/>
        </w:rPr>
        <w:t>Fellows</w:t>
      </w:r>
      <w:r w:rsidR="00860419" w:rsidRPr="001A7403">
        <w:t>,</w:t>
      </w:r>
      <w:r w:rsidR="00860419">
        <w:rPr>
          <w:i/>
          <w:iCs/>
        </w:rPr>
        <w:t xml:space="preserve"> </w:t>
      </w:r>
      <w:r w:rsidR="00860419" w:rsidRPr="003011FF">
        <w:rPr>
          <w:iCs/>
        </w:rPr>
        <w:t>at</w:t>
      </w:r>
      <w:r w:rsidR="00860419">
        <w:rPr>
          <w:i/>
          <w:iCs/>
        </w:rPr>
        <w:t xml:space="preserve"> </w:t>
      </w:r>
      <w:r w:rsidR="00860419">
        <w:t>p</w:t>
      </w:r>
      <w:r w:rsidR="00DD5D9F">
        <w:t>.</w:t>
      </w:r>
      <w:r w:rsidR="00862636">
        <w:t xml:space="preserve"> </w:t>
      </w:r>
      <w:r w:rsidR="00DD5D9F">
        <w:t>183</w:t>
      </w:r>
      <w:r w:rsidR="0028493B">
        <w:rPr>
          <w:i/>
          <w:iCs/>
        </w:rPr>
        <w:t>,</w:t>
      </w:r>
      <w:r w:rsidR="004E7C59">
        <w:t xml:space="preserve"> </w:t>
      </w:r>
      <w:r w:rsidR="006B5318">
        <w:t xml:space="preserve">quoting </w:t>
      </w:r>
      <w:r w:rsidR="00F94CA9" w:rsidRPr="007A7769">
        <w:rPr>
          <w:i/>
          <w:iCs/>
        </w:rPr>
        <w:t>Western Security Bank v. Superior Court</w:t>
      </w:r>
      <w:r w:rsidR="00F94CA9">
        <w:t xml:space="preserve"> (1997) 15</w:t>
      </w:r>
      <w:r w:rsidR="00AC6DEE">
        <w:t> </w:t>
      </w:r>
      <w:r w:rsidR="00F94CA9">
        <w:t>Cal.4th 232, 243</w:t>
      </w:r>
      <w:r w:rsidR="006B5318">
        <w:t>.)</w:t>
      </w:r>
      <w:r w:rsidR="006566C1">
        <w:t xml:space="preserve">  </w:t>
      </w:r>
      <w:r w:rsidR="001B2131">
        <w:t>Further</w:t>
      </w:r>
      <w:r w:rsidR="002E1B88">
        <w:t xml:space="preserve">, </w:t>
      </w:r>
      <w:r w:rsidR="00626BC6">
        <w:t xml:space="preserve">it is well established that </w:t>
      </w:r>
      <w:r w:rsidR="00C303BD">
        <w:t xml:space="preserve">a </w:t>
      </w:r>
      <w:r w:rsidR="00320E01">
        <w:t>new</w:t>
      </w:r>
      <w:r w:rsidR="000443CB">
        <w:t xml:space="preserve">ly enacted </w:t>
      </w:r>
      <w:r w:rsidR="002E1B88">
        <w:t>statut</w:t>
      </w:r>
      <w:r w:rsidR="000443CB">
        <w:t>e</w:t>
      </w:r>
      <w:r w:rsidR="008D353A">
        <w:t xml:space="preserve"> </w:t>
      </w:r>
      <w:r w:rsidR="002E1B88">
        <w:t xml:space="preserve">that </w:t>
      </w:r>
      <w:r w:rsidR="008901A1">
        <w:t>modif</w:t>
      </w:r>
      <w:r w:rsidR="00C303BD">
        <w:t>ies</w:t>
      </w:r>
      <w:r w:rsidR="008901A1">
        <w:t xml:space="preserve"> </w:t>
      </w:r>
      <w:r w:rsidR="00DD5D9F">
        <w:t xml:space="preserve">the </w:t>
      </w:r>
      <w:r w:rsidR="008901A1">
        <w:t>standard</w:t>
      </w:r>
      <w:r w:rsidR="00DD5D9F">
        <w:t xml:space="preserve"> </w:t>
      </w:r>
      <w:r w:rsidR="008901A1">
        <w:t>for awarding attorney</w:t>
      </w:r>
      <w:r w:rsidR="00B4202D">
        <w:t>’s</w:t>
      </w:r>
      <w:r w:rsidR="008901A1">
        <w:t xml:space="preserve"> fees appl</w:t>
      </w:r>
      <w:r w:rsidR="00C303BD">
        <w:t>ies</w:t>
      </w:r>
      <w:r w:rsidR="008901A1">
        <w:t xml:space="preserve"> to case</w:t>
      </w:r>
      <w:r w:rsidR="006419B1">
        <w:t>s</w:t>
      </w:r>
      <w:r w:rsidR="00DD5D9F">
        <w:t xml:space="preserve"> </w:t>
      </w:r>
      <w:r w:rsidR="008901A1">
        <w:t xml:space="preserve">pending </w:t>
      </w:r>
      <w:r w:rsidR="005D2128">
        <w:t xml:space="preserve">on </w:t>
      </w:r>
      <w:r w:rsidR="00C303BD">
        <w:t xml:space="preserve">its </w:t>
      </w:r>
      <w:r w:rsidR="005D2128">
        <w:t xml:space="preserve">effective date.  </w:t>
      </w:r>
      <w:r w:rsidR="0018171B">
        <w:t>(</w:t>
      </w:r>
      <w:r w:rsidR="00BA71DA" w:rsidRPr="00DD3135">
        <w:rPr>
          <w:i/>
          <w:iCs/>
        </w:rPr>
        <w:t>Woodland Hills Residents Assn., Inc. v. City Council</w:t>
      </w:r>
      <w:r w:rsidR="00BA71DA">
        <w:t xml:space="preserve"> (1979) 23</w:t>
      </w:r>
      <w:r w:rsidR="00ED07A6">
        <w:t> </w:t>
      </w:r>
      <w:r w:rsidR="00BA71DA">
        <w:t>Cal.3d 917, 931</w:t>
      </w:r>
      <w:r w:rsidR="007B40D2">
        <w:t xml:space="preserve"> (</w:t>
      </w:r>
      <w:r w:rsidR="007B40D2" w:rsidRPr="007B40D2">
        <w:rPr>
          <w:i/>
          <w:iCs/>
        </w:rPr>
        <w:t>Woodland Hills</w:t>
      </w:r>
      <w:r w:rsidR="007B40D2">
        <w:t>)</w:t>
      </w:r>
      <w:r w:rsidR="0018171B">
        <w:t>.)</w:t>
      </w:r>
    </w:p>
    <w:p w14:paraId="3F027FF0" w14:textId="77777777" w:rsidR="00096AC3" w:rsidRDefault="00096AC3" w:rsidP="00096AC3">
      <w:pPr>
        <w:ind w:firstLine="720"/>
      </w:pPr>
    </w:p>
    <w:p w14:paraId="05D4B3C2" w14:textId="77777777" w:rsidR="0057001A" w:rsidRPr="00BA71DA" w:rsidRDefault="00821D69" w:rsidP="00096AC3">
      <w:pPr>
        <w:pStyle w:val="ListParagraph"/>
        <w:numPr>
          <w:ilvl w:val="0"/>
          <w:numId w:val="3"/>
        </w:numPr>
        <w:ind w:left="1440" w:hanging="720"/>
        <w:rPr>
          <w:i/>
          <w:iCs/>
        </w:rPr>
      </w:pPr>
      <w:r>
        <w:rPr>
          <w:i/>
          <w:iCs/>
        </w:rPr>
        <w:t xml:space="preserve">Newly enacted provisions of </w:t>
      </w:r>
      <w:r w:rsidR="00BA71DA" w:rsidRPr="00BA71DA">
        <w:rPr>
          <w:i/>
          <w:iCs/>
        </w:rPr>
        <w:t xml:space="preserve">the Family Code </w:t>
      </w:r>
      <w:r w:rsidR="00C95C34">
        <w:rPr>
          <w:i/>
          <w:iCs/>
        </w:rPr>
        <w:t>g</w:t>
      </w:r>
      <w:r w:rsidR="00AA08B0">
        <w:rPr>
          <w:i/>
          <w:iCs/>
        </w:rPr>
        <w:t xml:space="preserve">enerally </w:t>
      </w:r>
      <w:r w:rsidR="00C95C34">
        <w:rPr>
          <w:i/>
          <w:iCs/>
        </w:rPr>
        <w:t>a</w:t>
      </w:r>
      <w:r w:rsidR="00BA71DA" w:rsidRPr="00BA71DA">
        <w:rPr>
          <w:i/>
          <w:iCs/>
        </w:rPr>
        <w:t xml:space="preserve">pply </w:t>
      </w:r>
      <w:r w:rsidR="00C95C34">
        <w:rPr>
          <w:i/>
          <w:iCs/>
        </w:rPr>
        <w:t>r</w:t>
      </w:r>
      <w:r w:rsidR="00BA71DA" w:rsidRPr="00BA71DA">
        <w:rPr>
          <w:i/>
          <w:iCs/>
        </w:rPr>
        <w:t>etroactively</w:t>
      </w:r>
    </w:p>
    <w:p w14:paraId="4C00CD07" w14:textId="390B8E49" w:rsidR="00EF5DF5" w:rsidRDefault="0091676E" w:rsidP="00096AC3">
      <w:pPr>
        <w:ind w:firstLine="720"/>
      </w:pPr>
      <w:r>
        <w:t>In section 4 of the Family Code, t</w:t>
      </w:r>
      <w:r w:rsidR="009A3AC8">
        <w:t xml:space="preserve">he </w:t>
      </w:r>
      <w:r w:rsidR="00A50BC2">
        <w:t xml:space="preserve">Legislature expressed its intention that </w:t>
      </w:r>
      <w:r w:rsidR="00B166A8">
        <w:t xml:space="preserve">newly enacted provisions of </w:t>
      </w:r>
      <w:r w:rsidR="00A50BC2">
        <w:t xml:space="preserve">the Family Code </w:t>
      </w:r>
      <w:r>
        <w:t xml:space="preserve">presumptively </w:t>
      </w:r>
      <w:r w:rsidR="00A50BC2">
        <w:t xml:space="preserve">apply </w:t>
      </w:r>
      <w:r w:rsidR="00F45578">
        <w:t>to cases pending on the effective date</w:t>
      </w:r>
      <w:r w:rsidR="00A50BC2">
        <w:t xml:space="preserve">. </w:t>
      </w:r>
      <w:r w:rsidR="006C37B1">
        <w:t xml:space="preserve"> </w:t>
      </w:r>
      <w:r w:rsidR="00550E39">
        <w:t>S</w:t>
      </w:r>
      <w:r w:rsidR="007A7769">
        <w:t>ection 4, subdivision</w:t>
      </w:r>
      <w:r w:rsidR="0018401E">
        <w:t> </w:t>
      </w:r>
      <w:r w:rsidR="007A7769">
        <w:t>(c)</w:t>
      </w:r>
      <w:r w:rsidR="008C3ED5">
        <w:t>,</w:t>
      </w:r>
      <w:r w:rsidR="007A7769">
        <w:t xml:space="preserve"> provides: </w:t>
      </w:r>
      <w:r w:rsidR="008C3ED5">
        <w:t xml:space="preserve"> </w:t>
      </w:r>
      <w:r w:rsidR="007A7769">
        <w:t>“Subject to the limitations provided in this section, the new law applies on the operative date to all matters governed by the new law, regardless of whether an event occurred or circumstance existed before, on, or after the operative date, including, but not limited to, commencement of a proceeding, making of an order, or taking of an action.”</w:t>
      </w:r>
      <w:r w:rsidR="00A94D39">
        <w:t xml:space="preserve">  </w:t>
      </w:r>
      <w:r w:rsidR="000D6C78">
        <w:t>Section</w:t>
      </w:r>
      <w:r w:rsidR="0018401E">
        <w:t> </w:t>
      </w:r>
      <w:r w:rsidR="000D6C78">
        <w:t>4, s</w:t>
      </w:r>
      <w:r w:rsidR="00C3482E">
        <w:t>ubdivision (d)</w:t>
      </w:r>
      <w:r w:rsidR="008C3ED5">
        <w:t>,</w:t>
      </w:r>
      <w:r w:rsidR="00C3482E">
        <w:t xml:space="preserve"> </w:t>
      </w:r>
      <w:r w:rsidR="000362A9">
        <w:t xml:space="preserve">further </w:t>
      </w:r>
      <w:r w:rsidR="005E2ED9">
        <w:t>provides</w:t>
      </w:r>
      <w:r w:rsidR="008D35E6">
        <w:t xml:space="preserve">:  </w:t>
      </w:r>
      <w:r w:rsidR="0007737D">
        <w:t>“</w:t>
      </w:r>
      <w:r w:rsidR="0055710B">
        <w:t>I</w:t>
      </w:r>
      <w:r w:rsidR="0007737D" w:rsidRPr="0007737D">
        <w:t>f a document or paper is filed before the operative date, the contents, execution, and notice thereof are governed by the old law and not by the new law; but subsequent proceedings taken after the operative date concerning the document or paper, including an objection or response, a hearing, an order, or other matter relating thereto is governed by the new law and not by the old law.</w:t>
      </w:r>
      <w:r w:rsidR="000124FA">
        <w:t>”</w:t>
      </w:r>
      <w:r w:rsidR="00A94D39">
        <w:t xml:space="preserve">  </w:t>
      </w:r>
      <w:r w:rsidR="00B01ACF">
        <w:t>“</w:t>
      </w:r>
      <w:r w:rsidR="007B40D2">
        <w:t>‘</w:t>
      </w:r>
      <w:r w:rsidR="002F38D8">
        <w:t>N</w:t>
      </w:r>
      <w:r w:rsidR="00B01ACF">
        <w:t>ew law</w:t>
      </w:r>
      <w:r w:rsidR="007B40D2">
        <w:t>’</w:t>
      </w:r>
      <w:r w:rsidR="00B01ACF">
        <w:t>” include</w:t>
      </w:r>
      <w:r w:rsidR="00F642A6">
        <w:t>s</w:t>
      </w:r>
      <w:r w:rsidR="00B01ACF">
        <w:t xml:space="preserve"> any </w:t>
      </w:r>
      <w:r w:rsidR="00266192">
        <w:t xml:space="preserve">amendment, </w:t>
      </w:r>
      <w:r w:rsidR="003D0F8C">
        <w:t>addition</w:t>
      </w:r>
      <w:r w:rsidR="000406A0">
        <w:t>,</w:t>
      </w:r>
      <w:r w:rsidR="003D0F8C">
        <w:t xml:space="preserve"> or repeal of a provision of</w:t>
      </w:r>
      <w:r w:rsidR="00B01ACF">
        <w:t xml:space="preserve"> the Family Code.</w:t>
      </w:r>
      <w:r w:rsidR="0018401E">
        <w:t xml:space="preserve">  </w:t>
      </w:r>
      <w:r w:rsidR="00B01ACF">
        <w:t>(§ 4, subd</w:t>
      </w:r>
      <w:r w:rsidR="000362A9">
        <w:t>.</w:t>
      </w:r>
      <w:r w:rsidR="003D0F8C">
        <w:t> </w:t>
      </w:r>
      <w:r w:rsidR="00B01ACF">
        <w:t xml:space="preserve">(a)(1)(B).)  </w:t>
      </w:r>
      <w:r w:rsidR="00162889">
        <w:t>Section 4</w:t>
      </w:r>
      <w:r w:rsidR="00E11A23">
        <w:t xml:space="preserve"> </w:t>
      </w:r>
      <w:r w:rsidR="004E7A6C">
        <w:t xml:space="preserve">provides for </w:t>
      </w:r>
      <w:r w:rsidR="00634247">
        <w:t xml:space="preserve">limited </w:t>
      </w:r>
      <w:r w:rsidR="00540A84">
        <w:t>exceptions</w:t>
      </w:r>
      <w:r w:rsidR="00E10EFC">
        <w:t xml:space="preserve"> to the general presumption of retroactivity</w:t>
      </w:r>
      <w:r w:rsidR="00162889">
        <w:t xml:space="preserve"> </w:t>
      </w:r>
      <w:r w:rsidR="00B36DD7">
        <w:t xml:space="preserve">where </w:t>
      </w:r>
      <w:r w:rsidR="00F50873">
        <w:t xml:space="preserve">retroactive application would </w:t>
      </w:r>
      <w:r w:rsidR="00B36DD7">
        <w:t>alter</w:t>
      </w:r>
      <w:r w:rsidR="000362A9">
        <w:t xml:space="preserve"> </w:t>
      </w:r>
      <w:r w:rsidR="00B36DD7">
        <w:t>a</w:t>
      </w:r>
      <w:r w:rsidR="00F772EE">
        <w:t xml:space="preserve">n </w:t>
      </w:r>
      <w:r w:rsidR="00F772EE">
        <w:lastRenderedPageBreak/>
        <w:t>existing</w:t>
      </w:r>
      <w:r w:rsidR="00B36DD7">
        <w:t xml:space="preserve"> duty or </w:t>
      </w:r>
      <w:r w:rsidR="007A1098">
        <w:t xml:space="preserve">impair </w:t>
      </w:r>
      <w:r w:rsidR="000362A9">
        <w:t xml:space="preserve">vested </w:t>
      </w:r>
      <w:r w:rsidR="007A1098">
        <w:t>rights.  (</w:t>
      </w:r>
      <w:r w:rsidR="00213EFA" w:rsidRPr="004F2714">
        <w:t>S</w:t>
      </w:r>
      <w:r w:rsidR="001E4DAD" w:rsidRPr="004F2714">
        <w:t>ee</w:t>
      </w:r>
      <w:r w:rsidR="00A94D39">
        <w:t xml:space="preserve"> </w:t>
      </w:r>
      <w:r w:rsidR="00A94D39" w:rsidRPr="003011FF">
        <w:rPr>
          <w:i/>
        </w:rPr>
        <w:t>id</w:t>
      </w:r>
      <w:r w:rsidR="00A94D39">
        <w:t>.</w:t>
      </w:r>
      <w:r w:rsidR="007A1098">
        <w:t>, subd</w:t>
      </w:r>
      <w:r w:rsidR="00F02C6A">
        <w:t>s</w:t>
      </w:r>
      <w:r w:rsidR="000362A9">
        <w:t xml:space="preserve">. </w:t>
      </w:r>
      <w:r w:rsidR="007A1098">
        <w:t>(</w:t>
      </w:r>
      <w:r w:rsidR="001E4DAD">
        <w:t>f</w:t>
      </w:r>
      <w:r w:rsidR="007A1098">
        <w:t>)</w:t>
      </w:r>
      <w:r w:rsidR="000362A9">
        <w:t xml:space="preserve"> &amp; </w:t>
      </w:r>
      <w:r w:rsidR="00213EFA">
        <w:t>(h)</w:t>
      </w:r>
      <w:r w:rsidR="007A1098">
        <w:t>.)</w:t>
      </w:r>
      <w:r w:rsidR="00EF5DF5">
        <w:t xml:space="preserve">  </w:t>
      </w:r>
      <w:r w:rsidR="00486943">
        <w:t>S</w:t>
      </w:r>
      <w:r w:rsidR="00540A84">
        <w:t>ection 4</w:t>
      </w:r>
      <w:r w:rsidR="007205F7">
        <w:t xml:space="preserve"> </w:t>
      </w:r>
      <w:r w:rsidR="00A94843">
        <w:t>“</w:t>
      </w:r>
      <w:r w:rsidR="0087747D">
        <w:t>establish</w:t>
      </w:r>
      <w:r w:rsidR="007205F7">
        <w:t>es</w:t>
      </w:r>
      <w:r w:rsidR="0087747D">
        <w:t xml:space="preserve"> that </w:t>
      </w:r>
      <w:r w:rsidR="003A33F9">
        <w:t>amendments to the Family Code apply retroactively unless otherwise provided by law.”  (</w:t>
      </w:r>
      <w:r w:rsidR="003A33F9" w:rsidRPr="00783337">
        <w:rPr>
          <w:i/>
          <w:iCs/>
        </w:rPr>
        <w:t>Fellows</w:t>
      </w:r>
      <w:r w:rsidR="00783337">
        <w:t xml:space="preserve">, </w:t>
      </w:r>
      <w:r w:rsidR="00783337" w:rsidRPr="00783337">
        <w:rPr>
          <w:i/>
          <w:iCs/>
        </w:rPr>
        <w:t>supra</w:t>
      </w:r>
      <w:r w:rsidR="00783337">
        <w:t xml:space="preserve">, </w:t>
      </w:r>
      <w:r w:rsidR="003A33F9">
        <w:t xml:space="preserve">39 Cal.4th </w:t>
      </w:r>
      <w:r w:rsidR="00783337">
        <w:t xml:space="preserve">at </w:t>
      </w:r>
      <w:r w:rsidR="002D1AEE">
        <w:t xml:space="preserve">p. </w:t>
      </w:r>
      <w:r w:rsidR="003A33F9">
        <w:t>186.</w:t>
      </w:r>
      <w:r w:rsidR="00F14D42">
        <w:t>)</w:t>
      </w:r>
      <w:r w:rsidR="003A33F9">
        <w:t xml:space="preserve">  </w:t>
      </w:r>
    </w:p>
    <w:p w14:paraId="55C65E2F" w14:textId="2ABFBAB0" w:rsidR="00FB4292" w:rsidRDefault="005B26A1" w:rsidP="00096AC3">
      <w:pPr>
        <w:ind w:firstLine="720"/>
      </w:pPr>
      <w:r>
        <w:t xml:space="preserve">In </w:t>
      </w:r>
      <w:r w:rsidRPr="00F45E6B">
        <w:rPr>
          <w:i/>
          <w:iCs/>
        </w:rPr>
        <w:t>Fellows</w:t>
      </w:r>
      <w:r w:rsidR="00E83CBA">
        <w:t xml:space="preserve">, </w:t>
      </w:r>
      <w:r w:rsidR="00E83CBA" w:rsidRPr="00C149F6">
        <w:rPr>
          <w:i/>
          <w:iCs/>
        </w:rPr>
        <w:t>supra</w:t>
      </w:r>
      <w:r w:rsidR="00E83CBA">
        <w:t xml:space="preserve">, </w:t>
      </w:r>
      <w:r w:rsidR="00E83CBA" w:rsidRPr="00C9329B">
        <w:t>39</w:t>
      </w:r>
      <w:r w:rsidR="00E83CBA">
        <w:t xml:space="preserve"> Cal.4th 179</w:t>
      </w:r>
      <w:r w:rsidR="00F45E6B">
        <w:t>,</w:t>
      </w:r>
      <w:r w:rsidR="00F642A6">
        <w:t xml:space="preserve"> </w:t>
      </w:r>
      <w:r w:rsidR="00F83234">
        <w:t xml:space="preserve">a father </w:t>
      </w:r>
      <w:r w:rsidR="00D7202C">
        <w:t>sought to vacate a</w:t>
      </w:r>
      <w:r w:rsidR="00361F9C">
        <w:t xml:space="preserve"> 17-year-old child support order on the ground</w:t>
      </w:r>
      <w:r w:rsidR="0038081A">
        <w:t xml:space="preserve"> </w:t>
      </w:r>
      <w:r w:rsidR="00361F9C">
        <w:t>of laches.</w:t>
      </w:r>
      <w:r w:rsidR="00934C07">
        <w:t xml:space="preserve">  (</w:t>
      </w:r>
      <w:r w:rsidR="006C24CF" w:rsidRPr="00930081">
        <w:rPr>
          <w:i/>
          <w:iCs/>
        </w:rPr>
        <w:t>Id</w:t>
      </w:r>
      <w:r w:rsidR="006C24CF">
        <w:t xml:space="preserve">. </w:t>
      </w:r>
      <w:r w:rsidR="00930081">
        <w:t>a</w:t>
      </w:r>
      <w:r w:rsidR="006C24CF">
        <w:t xml:space="preserve">t p. </w:t>
      </w:r>
      <w:r w:rsidR="006E326C">
        <w:t>182</w:t>
      </w:r>
      <w:r w:rsidR="00930081">
        <w:t>.)</w:t>
      </w:r>
      <w:r w:rsidR="003E066E">
        <w:t xml:space="preserve">  A laches defense would have been valid at the time the award</w:t>
      </w:r>
      <w:r w:rsidR="00B32D09">
        <w:t xml:space="preserve"> was entered, but the Legislature subsequently amended the Family Code to eliminate the defense of laches.  (</w:t>
      </w:r>
      <w:r w:rsidR="00B32D09" w:rsidRPr="00930081">
        <w:rPr>
          <w:i/>
          <w:iCs/>
        </w:rPr>
        <w:t>Id</w:t>
      </w:r>
      <w:r w:rsidR="00B32D09">
        <w:t>. at p.</w:t>
      </w:r>
      <w:r w:rsidR="00FF0121">
        <w:t> </w:t>
      </w:r>
      <w:r w:rsidR="00B32D09">
        <w:t>18</w:t>
      </w:r>
      <w:r w:rsidR="00664421">
        <w:t>5</w:t>
      </w:r>
      <w:r w:rsidR="00B32D09">
        <w:t>.)</w:t>
      </w:r>
      <w:r w:rsidR="00664421">
        <w:t xml:space="preserve">  </w:t>
      </w:r>
      <w:r w:rsidR="00E359E5">
        <w:t xml:space="preserve">The </w:t>
      </w:r>
      <w:r w:rsidR="00664421">
        <w:t xml:space="preserve">Supreme Court </w:t>
      </w:r>
      <w:r w:rsidR="004054C5">
        <w:t xml:space="preserve">held that </w:t>
      </w:r>
      <w:r w:rsidR="00926839">
        <w:t xml:space="preserve">Family Code section 4 </w:t>
      </w:r>
      <w:r w:rsidR="00681E83">
        <w:t>establishes that</w:t>
      </w:r>
      <w:r w:rsidR="0038081A">
        <w:t>,</w:t>
      </w:r>
      <w:r w:rsidR="00681E83">
        <w:t xml:space="preserve"> “as a general rule, future changes to the Family </w:t>
      </w:r>
      <w:r w:rsidR="00D81689">
        <w:t>C</w:t>
      </w:r>
      <w:r w:rsidR="00681E83">
        <w:t xml:space="preserve">ode apply retroactively.” </w:t>
      </w:r>
      <w:r w:rsidR="00A94D39">
        <w:t xml:space="preserve"> </w:t>
      </w:r>
      <w:r w:rsidR="003E3EE0">
        <w:t>(</w:t>
      </w:r>
      <w:r w:rsidR="007D53B8" w:rsidRPr="003011FF">
        <w:rPr>
          <w:i/>
        </w:rPr>
        <w:t>Fellows</w:t>
      </w:r>
      <w:r w:rsidR="007D53B8">
        <w:t>,</w:t>
      </w:r>
      <w:r w:rsidR="003E3EE0">
        <w:t xml:space="preserve"> at p. 186</w:t>
      </w:r>
      <w:r w:rsidR="00871D56">
        <w:t>; see</w:t>
      </w:r>
      <w:r w:rsidR="00DB5824">
        <w:t xml:space="preserve"> </w:t>
      </w:r>
      <w:r w:rsidR="00DB5824">
        <w:rPr>
          <w:i/>
          <w:iCs/>
        </w:rPr>
        <w:t xml:space="preserve">In re </w:t>
      </w:r>
      <w:r w:rsidR="008B3C85">
        <w:rPr>
          <w:i/>
          <w:iCs/>
        </w:rPr>
        <w:t>Marriage of Kelkar</w:t>
      </w:r>
      <w:r w:rsidR="008B3C85">
        <w:t xml:space="preserve"> (20</w:t>
      </w:r>
      <w:r w:rsidR="007B40D2">
        <w:t>1</w:t>
      </w:r>
      <w:r w:rsidR="008B3C85">
        <w:t>4) 229 Cal.App.4</w:t>
      </w:r>
      <w:r w:rsidR="00503DD0">
        <w:t>th</w:t>
      </w:r>
      <w:r w:rsidR="008B3C85">
        <w:t xml:space="preserve"> 833 </w:t>
      </w:r>
      <w:r w:rsidR="00E55B30">
        <w:t xml:space="preserve">[following </w:t>
      </w:r>
      <w:r w:rsidR="00E55B30">
        <w:rPr>
          <w:i/>
          <w:iCs/>
        </w:rPr>
        <w:t xml:space="preserve">Fellows </w:t>
      </w:r>
      <w:r w:rsidR="00E55B30">
        <w:t xml:space="preserve">and affirming </w:t>
      </w:r>
      <w:r w:rsidR="0085402E">
        <w:t xml:space="preserve">retroactive application of </w:t>
      </w:r>
      <w:r w:rsidR="00B963C7">
        <w:t xml:space="preserve">Family Code </w:t>
      </w:r>
      <w:r w:rsidR="004804D8">
        <w:t>provision</w:t>
      </w:r>
      <w:r w:rsidR="00250321">
        <w:t xml:space="preserve"> that establishes a</w:t>
      </w:r>
      <w:r w:rsidR="00B963C7">
        <w:t xml:space="preserve"> </w:t>
      </w:r>
      <w:r w:rsidR="00A41E15">
        <w:t>presumption against awarding spousal support to spouse</w:t>
      </w:r>
      <w:r w:rsidR="0060608D">
        <w:t xml:space="preserve"> convicted of domestic violence</w:t>
      </w:r>
      <w:r w:rsidR="00E55B30">
        <w:t>]</w:t>
      </w:r>
      <w:r w:rsidR="001E74C2">
        <w:t>.</w:t>
      </w:r>
      <w:r w:rsidR="00E55B30">
        <w:t>)</w:t>
      </w:r>
      <w:r w:rsidR="00515B9B">
        <w:t xml:space="preserve"> </w:t>
      </w:r>
      <w:r w:rsidR="00E55B30">
        <w:t xml:space="preserve"> </w:t>
      </w:r>
      <w:r w:rsidR="001D01FD">
        <w:t xml:space="preserve">Finding </w:t>
      </w:r>
      <w:r w:rsidR="00107314">
        <w:t xml:space="preserve">there was no applicable </w:t>
      </w:r>
      <w:r w:rsidR="001D01FD">
        <w:t>exception</w:t>
      </w:r>
      <w:r w:rsidR="00436AB0">
        <w:t xml:space="preserve"> </w:t>
      </w:r>
      <w:r w:rsidR="001D01FD">
        <w:t>to the section 4 presumption of retroactivity</w:t>
      </w:r>
      <w:r w:rsidR="00107314">
        <w:t>,</w:t>
      </w:r>
      <w:r w:rsidR="00345BE2">
        <w:t xml:space="preserve"> </w:t>
      </w:r>
      <w:r w:rsidR="001D01FD">
        <w:t xml:space="preserve">the </w:t>
      </w:r>
      <w:r w:rsidR="001D01FD">
        <w:rPr>
          <w:i/>
          <w:iCs/>
        </w:rPr>
        <w:t xml:space="preserve">Fellows </w:t>
      </w:r>
      <w:r w:rsidR="001D01FD">
        <w:t xml:space="preserve">court held that </w:t>
      </w:r>
      <w:r w:rsidR="00FB4292">
        <w:t xml:space="preserve">the amended statute </w:t>
      </w:r>
      <w:r w:rsidR="00345BE2">
        <w:t xml:space="preserve">eliminating the laches defense </w:t>
      </w:r>
      <w:r w:rsidR="00FB4292">
        <w:t>applies</w:t>
      </w:r>
      <w:r w:rsidR="00AD2758">
        <w:t xml:space="preserve"> retroactively</w:t>
      </w:r>
      <w:r w:rsidR="00345BE2">
        <w:t xml:space="preserve">.  </w:t>
      </w:r>
      <w:r w:rsidR="00AD2758">
        <w:t>(</w:t>
      </w:r>
      <w:r w:rsidR="00AD2758">
        <w:rPr>
          <w:i/>
          <w:iCs/>
        </w:rPr>
        <w:t>Fellows</w:t>
      </w:r>
      <w:r w:rsidR="00AD2758" w:rsidRPr="00C149F6">
        <w:t>,</w:t>
      </w:r>
      <w:r w:rsidR="00AD2758">
        <w:rPr>
          <w:i/>
          <w:iCs/>
        </w:rPr>
        <w:t xml:space="preserve"> </w:t>
      </w:r>
      <w:r w:rsidR="00AD2758">
        <w:t>at pp.</w:t>
      </w:r>
      <w:r w:rsidR="00D270B7">
        <w:t xml:space="preserve"> 187-190.</w:t>
      </w:r>
      <w:r w:rsidR="00FF0121">
        <w:t>)</w:t>
      </w:r>
      <w:r w:rsidR="00AD2758">
        <w:t xml:space="preserve"> </w:t>
      </w:r>
    </w:p>
    <w:p w14:paraId="36180658" w14:textId="6911FAD9" w:rsidR="00297467" w:rsidRDefault="00486943" w:rsidP="00096AC3">
      <w:pPr>
        <w:ind w:firstLine="720"/>
      </w:pPr>
      <w:r>
        <w:t xml:space="preserve">Section 6344, like </w:t>
      </w:r>
      <w:r w:rsidR="001D4656">
        <w:t xml:space="preserve">the amended statute in </w:t>
      </w:r>
      <w:r w:rsidR="001D4656" w:rsidRPr="001D4656">
        <w:rPr>
          <w:i/>
          <w:iCs/>
        </w:rPr>
        <w:t>Fellows</w:t>
      </w:r>
      <w:r w:rsidR="001D4656">
        <w:t xml:space="preserve">, does not </w:t>
      </w:r>
      <w:r w:rsidR="00CF5AB6">
        <w:t xml:space="preserve">expressly state whether it applies retroactively.  Therefore, pursuant to section 4, we presume </w:t>
      </w:r>
      <w:r w:rsidR="00297467">
        <w:t xml:space="preserve">retroactivity </w:t>
      </w:r>
      <w:r w:rsidR="00CF5AB6">
        <w:t xml:space="preserve">unless one of the </w:t>
      </w:r>
      <w:r w:rsidR="000C1410">
        <w:t>statutory exceptions</w:t>
      </w:r>
      <w:r w:rsidR="00867A72">
        <w:t xml:space="preserve"> applies</w:t>
      </w:r>
      <w:r w:rsidR="000C1410">
        <w:t xml:space="preserve">. </w:t>
      </w:r>
      <w:r w:rsidR="00AA61BF">
        <w:t xml:space="preserve"> </w:t>
      </w:r>
      <w:r w:rsidR="00C34816">
        <w:t xml:space="preserve">We analyze the two potentially relevant </w:t>
      </w:r>
      <w:r w:rsidR="00297467">
        <w:t>exceptions</w:t>
      </w:r>
      <w:r w:rsidR="00C34816">
        <w:t xml:space="preserve"> to the presumption of retroactivity</w:t>
      </w:r>
      <w:r w:rsidR="00297467">
        <w:t>:  Section</w:t>
      </w:r>
      <w:r w:rsidR="00F753BA">
        <w:t> </w:t>
      </w:r>
      <w:r w:rsidR="00297467">
        <w:t>4, subdivisions (f) and (</w:t>
      </w:r>
      <w:r w:rsidR="00C34816">
        <w:t>h).</w:t>
      </w:r>
    </w:p>
    <w:p w14:paraId="52B82C91" w14:textId="26DB7A1D" w:rsidR="00C339C3" w:rsidRDefault="00B0635D" w:rsidP="00096AC3">
      <w:pPr>
        <w:ind w:firstLine="720"/>
      </w:pPr>
      <w:r>
        <w:t>Section 4, subdivision (f)</w:t>
      </w:r>
      <w:r w:rsidR="00C5629F">
        <w:t>,</w:t>
      </w:r>
      <w:r>
        <w:t xml:space="preserve"> provides</w:t>
      </w:r>
      <w:r w:rsidR="00C5629F">
        <w:t>,</w:t>
      </w:r>
      <w:r>
        <w:t xml:space="preserve"> “</w:t>
      </w:r>
      <w:r w:rsidR="00C62C7C" w:rsidRPr="00C62C7C">
        <w:t xml:space="preserve">No person is liable for an action taken before the operative date that was proper at the time the action was taken, even though the action would be improper if taken on or after the operative date, and the person has no duty, as a result of the enactment of the new law, to take </w:t>
      </w:r>
      <w:r w:rsidR="00C62C7C" w:rsidRPr="00C62C7C">
        <w:lastRenderedPageBreak/>
        <w:t>any step to alter the course of action or its consequences.</w:t>
      </w:r>
      <w:r w:rsidR="00C62C7C">
        <w:t xml:space="preserve">”  </w:t>
      </w:r>
      <w:r w:rsidR="002D4C59">
        <w:t xml:space="preserve">This section has no application </w:t>
      </w:r>
      <w:r w:rsidR="005A7117">
        <w:t xml:space="preserve">here </w:t>
      </w:r>
      <w:r w:rsidR="006225E7">
        <w:t xml:space="preserve">because </w:t>
      </w:r>
      <w:r w:rsidR="00C339C3">
        <w:t>Calkins’</w:t>
      </w:r>
      <w:r w:rsidR="00C5629F">
        <w:t>s</w:t>
      </w:r>
      <w:r w:rsidR="00C339C3">
        <w:t xml:space="preserve"> liability for </w:t>
      </w:r>
      <w:r w:rsidR="001D4656">
        <w:t xml:space="preserve">attorney’s </w:t>
      </w:r>
      <w:r w:rsidR="00C339C3">
        <w:t xml:space="preserve">fees does not arise from any action she took prior to 2023 that </w:t>
      </w:r>
      <w:r w:rsidR="00846CDB">
        <w:t>was “proper at the time the action was taken</w:t>
      </w:r>
      <w:r w:rsidR="000D364E">
        <w:t>.</w:t>
      </w:r>
      <w:r w:rsidR="00846CDB">
        <w:t xml:space="preserve">” </w:t>
      </w:r>
      <w:r w:rsidR="007B40D2">
        <w:t xml:space="preserve"> </w:t>
      </w:r>
      <w:r w:rsidR="007D705D">
        <w:t>(</w:t>
      </w:r>
      <w:r w:rsidR="00E3375A">
        <w:t>§ 4,</w:t>
      </w:r>
      <w:r w:rsidR="00E3375A" w:rsidRPr="006307CA">
        <w:rPr>
          <w:i/>
        </w:rPr>
        <w:t xml:space="preserve"> </w:t>
      </w:r>
      <w:r w:rsidR="007D705D">
        <w:t>subd. (f).)</w:t>
      </w:r>
      <w:r w:rsidR="004E6A9F">
        <w:t xml:space="preserve">  </w:t>
      </w:r>
      <w:r w:rsidR="006225E7">
        <w:t xml:space="preserve">Her liability </w:t>
      </w:r>
      <w:r w:rsidR="004E32EC">
        <w:t xml:space="preserve">stems from </w:t>
      </w:r>
      <w:r w:rsidR="0090287C">
        <w:t xml:space="preserve">her </w:t>
      </w:r>
      <w:r w:rsidR="004E32EC">
        <w:t>acts of domestic violence</w:t>
      </w:r>
      <w:r w:rsidR="00B74569">
        <w:t>.  B</w:t>
      </w:r>
      <w:r w:rsidR="000C0E22">
        <w:t xml:space="preserve">oth before and after the enactment of </w:t>
      </w:r>
      <w:r w:rsidR="00AB7E92">
        <w:t xml:space="preserve">the current version of </w:t>
      </w:r>
      <w:r w:rsidR="000C0E22">
        <w:t>section 6344, Calkins</w:t>
      </w:r>
      <w:r w:rsidR="004E6A9F">
        <w:t xml:space="preserve"> was under a duty not to </w:t>
      </w:r>
      <w:r w:rsidR="005E40AC">
        <w:t xml:space="preserve">engage in acts of </w:t>
      </w:r>
      <w:r w:rsidR="004E6A9F">
        <w:t>domestic violence</w:t>
      </w:r>
      <w:r w:rsidR="005E40AC">
        <w:t>.</w:t>
      </w:r>
      <w:r w:rsidR="000C0E22">
        <w:t xml:space="preserve"> </w:t>
      </w:r>
      <w:r w:rsidR="00021C09">
        <w:t xml:space="preserve"> The </w:t>
      </w:r>
      <w:r w:rsidR="00821549">
        <w:t xml:space="preserve">change in </w:t>
      </w:r>
      <w:r w:rsidR="007B5413">
        <w:t>Section 6344 did not alter that duty.</w:t>
      </w:r>
    </w:p>
    <w:p w14:paraId="7E92A544" w14:textId="71D13D68" w:rsidR="00D3601D" w:rsidRDefault="00BF4A78" w:rsidP="00096AC3">
      <w:pPr>
        <w:ind w:firstLine="720"/>
      </w:pPr>
      <w:r>
        <w:t>Section 4, subdivision (h)</w:t>
      </w:r>
      <w:r w:rsidR="00C5629F">
        <w:t>,</w:t>
      </w:r>
      <w:r>
        <w:t xml:space="preserve"> provides an ex</w:t>
      </w:r>
      <w:r w:rsidR="002E793B">
        <w:t>ception for circumstances where</w:t>
      </w:r>
      <w:r w:rsidR="005034CB">
        <w:t xml:space="preserve"> “</w:t>
      </w:r>
      <w:r w:rsidR="005034CB" w:rsidRPr="005034CB">
        <w:t>application of a particular provision of the new law or of the old law in the manner required by this section</w:t>
      </w:r>
      <w:r w:rsidR="00F753BA">
        <w:t> </w:t>
      </w:r>
      <w:r w:rsidR="005034CB" w:rsidRPr="005034CB">
        <w:t>or by the new law would substantially interfere with the effective conduct of the proceedings or the rights of the parties or other interested persons in connection with an event that occurred or circumstance that existed before the operative date</w:t>
      </w:r>
      <w:r w:rsidR="005034CB">
        <w:t>.”  This exception</w:t>
      </w:r>
      <w:r w:rsidR="006738E2">
        <w:t xml:space="preserve"> is </w:t>
      </w:r>
      <w:r w:rsidR="005034CB">
        <w:t xml:space="preserve">characterized by </w:t>
      </w:r>
      <w:r w:rsidR="004153B0">
        <w:rPr>
          <w:i/>
          <w:iCs/>
        </w:rPr>
        <w:t>Fellows</w:t>
      </w:r>
      <w:r w:rsidR="004153B0">
        <w:t xml:space="preserve"> as the</w:t>
      </w:r>
      <w:r w:rsidR="0040218C">
        <w:t xml:space="preserve"> codification of the rule </w:t>
      </w:r>
      <w:r w:rsidR="00871DFD">
        <w:t>that</w:t>
      </w:r>
      <w:r w:rsidR="00C05466">
        <w:t>,</w:t>
      </w:r>
      <w:r w:rsidR="00871DFD">
        <w:t xml:space="preserve"> “[e]ven in the fac</w:t>
      </w:r>
      <w:r w:rsidR="00F5439A">
        <w:t>e</w:t>
      </w:r>
      <w:r w:rsidR="00871DFD">
        <w:t xml:space="preserve"> of specific legislative intent, retrospective application is impermissible if it ‘impairs a vested</w:t>
      </w:r>
      <w:r w:rsidR="00F5439A">
        <w:t xml:space="preserve"> . . . </w:t>
      </w:r>
      <w:r w:rsidR="00871DFD">
        <w:t>right without due process of law.</w:t>
      </w:r>
      <w:r w:rsidR="00F5439A">
        <w:t>’</w:t>
      </w:r>
      <w:r w:rsidR="00871DFD">
        <w:t>”</w:t>
      </w:r>
      <w:r w:rsidR="00F5439A">
        <w:t xml:space="preserve">  </w:t>
      </w:r>
      <w:r w:rsidR="00871DFD">
        <w:t>(</w:t>
      </w:r>
      <w:r w:rsidR="00871DFD">
        <w:rPr>
          <w:i/>
          <w:iCs/>
        </w:rPr>
        <w:t>Fellows</w:t>
      </w:r>
      <w:r w:rsidR="00871DFD">
        <w:t xml:space="preserve">, </w:t>
      </w:r>
      <w:r w:rsidR="00871DFD" w:rsidRPr="00373D06">
        <w:rPr>
          <w:i/>
          <w:iCs/>
        </w:rPr>
        <w:t>supra</w:t>
      </w:r>
      <w:r w:rsidR="00871DFD">
        <w:t>, 39</w:t>
      </w:r>
      <w:r w:rsidR="00F5439A">
        <w:t> </w:t>
      </w:r>
      <w:r w:rsidR="00871DFD">
        <w:t>Cal.4</w:t>
      </w:r>
      <w:r w:rsidR="00373D06">
        <w:t>th</w:t>
      </w:r>
      <w:r w:rsidR="00871DFD">
        <w:t xml:space="preserve"> at </w:t>
      </w:r>
      <w:r w:rsidR="00373D06">
        <w:t>p. 189.)</w:t>
      </w:r>
      <w:r w:rsidR="00292B5F">
        <w:t xml:space="preserve">  </w:t>
      </w:r>
      <w:r w:rsidR="008E068C">
        <w:t xml:space="preserve">Here, </w:t>
      </w:r>
      <w:r w:rsidR="006A52A4">
        <w:t xml:space="preserve">neither party contends that </w:t>
      </w:r>
      <w:r w:rsidR="008E068C">
        <w:t>r</w:t>
      </w:r>
      <w:r w:rsidR="00E42705">
        <w:t xml:space="preserve">etroactive application </w:t>
      </w:r>
      <w:r w:rsidR="006A52A4">
        <w:t xml:space="preserve">would </w:t>
      </w:r>
      <w:r w:rsidR="00E42705">
        <w:t xml:space="preserve">impair vested rights or violate </w:t>
      </w:r>
      <w:r w:rsidR="00373D06">
        <w:t>due process</w:t>
      </w:r>
      <w:r w:rsidR="001466D3">
        <w:t xml:space="preserve">.  </w:t>
      </w:r>
      <w:r w:rsidR="008B2887">
        <w:t xml:space="preserve">And rightly so.  </w:t>
      </w:r>
      <w:r w:rsidR="0054754C">
        <w:t xml:space="preserve">The </w:t>
      </w:r>
      <w:r w:rsidR="00F5439A">
        <w:t xml:space="preserve">newly enacted provision </w:t>
      </w:r>
      <w:r w:rsidR="001466D3">
        <w:t>merely change</w:t>
      </w:r>
      <w:r w:rsidR="00B8545D">
        <w:t>s</w:t>
      </w:r>
      <w:r w:rsidR="001466D3">
        <w:t xml:space="preserve"> the standard under which a prevailing party can obtain an award of attorney’s fees.  </w:t>
      </w:r>
      <w:r w:rsidR="00266612">
        <w:t xml:space="preserve">As </w:t>
      </w:r>
      <w:r w:rsidR="005C43B9">
        <w:t xml:space="preserve">we explain, </w:t>
      </w:r>
      <w:r w:rsidR="00266612">
        <w:t>statut</w:t>
      </w:r>
      <w:r w:rsidR="00F720F9">
        <w:t>e</w:t>
      </w:r>
      <w:r w:rsidR="008B2887">
        <w:t>s</w:t>
      </w:r>
      <w:r w:rsidR="00F720F9">
        <w:t xml:space="preserve"> </w:t>
      </w:r>
      <w:r w:rsidR="00266612">
        <w:t xml:space="preserve">that </w:t>
      </w:r>
      <w:r w:rsidR="008B2887">
        <w:t xml:space="preserve">modify </w:t>
      </w:r>
      <w:r w:rsidR="00F720F9">
        <w:t xml:space="preserve">the </w:t>
      </w:r>
      <w:r w:rsidR="00266612">
        <w:t>standard</w:t>
      </w:r>
      <w:r w:rsidR="00F720F9">
        <w:t xml:space="preserve"> </w:t>
      </w:r>
      <w:r w:rsidR="00266612">
        <w:t xml:space="preserve">for awarding attorney’s fees </w:t>
      </w:r>
      <w:r w:rsidR="008B2887">
        <w:t xml:space="preserve">are </w:t>
      </w:r>
      <w:r w:rsidR="00266612">
        <w:t>procedural in nature</w:t>
      </w:r>
      <w:r w:rsidR="00E72782">
        <w:t>,</w:t>
      </w:r>
      <w:r w:rsidR="00266612">
        <w:t xml:space="preserve"> and </w:t>
      </w:r>
      <w:r w:rsidR="009450A9">
        <w:t xml:space="preserve">the application of </w:t>
      </w:r>
      <w:r w:rsidR="004F0E78">
        <w:t xml:space="preserve">such </w:t>
      </w:r>
      <w:r w:rsidR="00E92C38">
        <w:t>statute</w:t>
      </w:r>
      <w:r w:rsidR="008B2887">
        <w:t>s</w:t>
      </w:r>
      <w:r w:rsidR="00E92C38">
        <w:t xml:space="preserve"> </w:t>
      </w:r>
      <w:r w:rsidR="004F0E78">
        <w:t xml:space="preserve">to a pending case does not violate fundamental rights.  </w:t>
      </w:r>
    </w:p>
    <w:p w14:paraId="362BFBC0" w14:textId="77777777" w:rsidR="00185928" w:rsidRDefault="00185928" w:rsidP="00096AC3">
      <w:pPr>
        <w:ind w:firstLine="720"/>
      </w:pPr>
    </w:p>
    <w:p w14:paraId="4FF66AC2" w14:textId="77777777" w:rsidR="00096AC3" w:rsidRDefault="00096AC3" w:rsidP="00096AC3">
      <w:pPr>
        <w:ind w:firstLine="720"/>
      </w:pPr>
    </w:p>
    <w:p w14:paraId="5ADB25CD" w14:textId="1AD527A7" w:rsidR="003870BA" w:rsidRPr="00B01DAE" w:rsidRDefault="003870BA" w:rsidP="00096AC3">
      <w:pPr>
        <w:ind w:left="1440" w:hanging="720"/>
        <w:rPr>
          <w:i/>
          <w:iCs/>
        </w:rPr>
      </w:pPr>
      <w:r>
        <w:lastRenderedPageBreak/>
        <w:t xml:space="preserve">2. </w:t>
      </w:r>
      <w:r w:rsidR="00C95C34">
        <w:tab/>
      </w:r>
      <w:r w:rsidR="00F5439A">
        <w:rPr>
          <w:i/>
          <w:iCs/>
        </w:rPr>
        <w:t>New</w:t>
      </w:r>
      <w:r w:rsidR="00E05298">
        <w:rPr>
          <w:i/>
          <w:iCs/>
        </w:rPr>
        <w:t xml:space="preserve"> </w:t>
      </w:r>
      <w:r w:rsidR="00F5439A">
        <w:rPr>
          <w:i/>
          <w:iCs/>
        </w:rPr>
        <w:t>a</w:t>
      </w:r>
      <w:r w:rsidRPr="00B01DAE">
        <w:rPr>
          <w:i/>
          <w:iCs/>
        </w:rPr>
        <w:t>ttorney</w:t>
      </w:r>
      <w:r w:rsidR="00940A12">
        <w:rPr>
          <w:i/>
          <w:iCs/>
        </w:rPr>
        <w:t xml:space="preserve"> </w:t>
      </w:r>
      <w:r w:rsidR="00C95C34">
        <w:rPr>
          <w:i/>
          <w:iCs/>
        </w:rPr>
        <w:t>f</w:t>
      </w:r>
      <w:r w:rsidRPr="00B01DAE">
        <w:rPr>
          <w:i/>
          <w:iCs/>
        </w:rPr>
        <w:t>ee</w:t>
      </w:r>
      <w:r w:rsidR="00940A12">
        <w:rPr>
          <w:i/>
          <w:iCs/>
        </w:rPr>
        <w:t xml:space="preserve"> </w:t>
      </w:r>
      <w:r w:rsidR="00C95C34">
        <w:rPr>
          <w:i/>
          <w:iCs/>
        </w:rPr>
        <w:t>s</w:t>
      </w:r>
      <w:r w:rsidR="00B01DAE">
        <w:rPr>
          <w:i/>
          <w:iCs/>
        </w:rPr>
        <w:t>tatute</w:t>
      </w:r>
      <w:r w:rsidR="002D70D4">
        <w:rPr>
          <w:i/>
          <w:iCs/>
        </w:rPr>
        <w:t>s</w:t>
      </w:r>
      <w:r w:rsidR="00B01DAE">
        <w:rPr>
          <w:i/>
          <w:iCs/>
        </w:rPr>
        <w:t xml:space="preserve"> </w:t>
      </w:r>
      <w:r w:rsidR="00C95C34">
        <w:rPr>
          <w:i/>
          <w:iCs/>
        </w:rPr>
        <w:t>a</w:t>
      </w:r>
      <w:r w:rsidR="00BA71DA" w:rsidRPr="00B01DAE">
        <w:rPr>
          <w:i/>
          <w:iCs/>
        </w:rPr>
        <w:t>ppl</w:t>
      </w:r>
      <w:r w:rsidR="002D70D4">
        <w:rPr>
          <w:i/>
          <w:iCs/>
        </w:rPr>
        <w:t>y</w:t>
      </w:r>
      <w:r w:rsidR="00BA71DA" w:rsidRPr="00B01DAE">
        <w:rPr>
          <w:i/>
          <w:iCs/>
        </w:rPr>
        <w:t xml:space="preserve"> </w:t>
      </w:r>
      <w:r w:rsidR="00B01DAE" w:rsidRPr="00B01DAE">
        <w:rPr>
          <w:i/>
          <w:iCs/>
        </w:rPr>
        <w:t>to</w:t>
      </w:r>
      <w:r w:rsidR="00BA71DA" w:rsidRPr="00B01DAE">
        <w:rPr>
          <w:i/>
          <w:iCs/>
        </w:rPr>
        <w:t xml:space="preserve"> </w:t>
      </w:r>
      <w:r w:rsidR="007E1409">
        <w:rPr>
          <w:i/>
          <w:iCs/>
        </w:rPr>
        <w:t xml:space="preserve">pending </w:t>
      </w:r>
      <w:r w:rsidR="00C95C34">
        <w:rPr>
          <w:i/>
          <w:iCs/>
        </w:rPr>
        <w:t>c</w:t>
      </w:r>
      <w:r w:rsidR="00B01DAE">
        <w:rPr>
          <w:i/>
          <w:iCs/>
        </w:rPr>
        <w:t>ases</w:t>
      </w:r>
      <w:r w:rsidR="00C95C34">
        <w:rPr>
          <w:i/>
          <w:iCs/>
        </w:rPr>
        <w:t xml:space="preserve"> </w:t>
      </w:r>
    </w:p>
    <w:p w14:paraId="24460C4E" w14:textId="701E8190" w:rsidR="007033C1" w:rsidRDefault="00A30789" w:rsidP="00096AC3">
      <w:pPr>
        <w:ind w:firstLine="720"/>
      </w:pPr>
      <w:r>
        <w:t>I</w:t>
      </w:r>
      <w:r w:rsidR="00863D28">
        <w:t xml:space="preserve">t </w:t>
      </w:r>
      <w:r w:rsidR="00431980">
        <w:t xml:space="preserve">has long been </w:t>
      </w:r>
      <w:r w:rsidR="001108BD">
        <w:t xml:space="preserve">recognized </w:t>
      </w:r>
      <w:r w:rsidR="00431980">
        <w:t>that</w:t>
      </w:r>
      <w:r w:rsidR="00B8545D">
        <w:t xml:space="preserve"> </w:t>
      </w:r>
      <w:r w:rsidR="00484DD7">
        <w:t xml:space="preserve">a </w:t>
      </w:r>
      <w:r w:rsidR="00462FA8">
        <w:t xml:space="preserve">new </w:t>
      </w:r>
      <w:r w:rsidR="008C0270" w:rsidRPr="00494865">
        <w:t>statute</w:t>
      </w:r>
      <w:r w:rsidR="00484DD7">
        <w:t xml:space="preserve"> </w:t>
      </w:r>
      <w:r w:rsidR="003F66E8">
        <w:t xml:space="preserve">governing </w:t>
      </w:r>
      <w:r w:rsidR="00484DD7">
        <w:t xml:space="preserve">the </w:t>
      </w:r>
      <w:r w:rsidR="0068321F">
        <w:t>standard</w:t>
      </w:r>
      <w:r w:rsidR="00484DD7">
        <w:t xml:space="preserve"> </w:t>
      </w:r>
      <w:r w:rsidR="0068321F">
        <w:t xml:space="preserve">for awarding </w:t>
      </w:r>
      <w:r w:rsidR="008C0270" w:rsidRPr="00494865">
        <w:t>attorney</w:t>
      </w:r>
      <w:r w:rsidR="00431980">
        <w:t>’</w:t>
      </w:r>
      <w:r w:rsidR="008C0270" w:rsidRPr="00494865">
        <w:t>s fees</w:t>
      </w:r>
      <w:r w:rsidR="004E2AA3" w:rsidRPr="00494865">
        <w:t xml:space="preserve"> </w:t>
      </w:r>
      <w:r w:rsidR="0068321F">
        <w:t>appl</w:t>
      </w:r>
      <w:r w:rsidR="00484DD7">
        <w:t>ies</w:t>
      </w:r>
      <w:r w:rsidR="0068321F">
        <w:t xml:space="preserve"> </w:t>
      </w:r>
      <w:r w:rsidR="008C0270" w:rsidRPr="00494865">
        <w:t xml:space="preserve">to actions pending </w:t>
      </w:r>
      <w:r w:rsidR="0068321F">
        <w:t xml:space="preserve">on the </w:t>
      </w:r>
      <w:r w:rsidR="008C0270" w:rsidRPr="00494865">
        <w:t>statute</w:t>
      </w:r>
      <w:r w:rsidR="00484DD7">
        <w:t>’</w:t>
      </w:r>
      <w:r w:rsidR="0068321F">
        <w:t>s</w:t>
      </w:r>
      <w:r w:rsidR="00484DD7">
        <w:t xml:space="preserve"> </w:t>
      </w:r>
      <w:r w:rsidR="0068321F">
        <w:t xml:space="preserve">effective date.  </w:t>
      </w:r>
      <w:r w:rsidR="00DD3135">
        <w:t>In</w:t>
      </w:r>
      <w:r w:rsidR="00F210EC">
        <w:t> </w:t>
      </w:r>
      <w:r w:rsidR="00DD3135" w:rsidRPr="00DD3135">
        <w:rPr>
          <w:i/>
          <w:iCs/>
        </w:rPr>
        <w:t>Woodland Hills</w:t>
      </w:r>
      <w:r w:rsidR="007B40D2" w:rsidRPr="00C149F6">
        <w:t>,</w:t>
      </w:r>
      <w:r w:rsidR="007E1409">
        <w:t xml:space="preserve"> </w:t>
      </w:r>
      <w:r w:rsidR="007E1409" w:rsidRPr="003011FF">
        <w:rPr>
          <w:i/>
        </w:rPr>
        <w:t>supra</w:t>
      </w:r>
      <w:r w:rsidR="007E1409">
        <w:t>,</w:t>
      </w:r>
      <w:r w:rsidR="00DD3135">
        <w:t xml:space="preserve"> 23</w:t>
      </w:r>
      <w:r w:rsidR="00AC6DEE">
        <w:t> </w:t>
      </w:r>
      <w:r w:rsidR="00DD3135">
        <w:t xml:space="preserve">Cal.3d </w:t>
      </w:r>
      <w:r w:rsidR="007B40D2">
        <w:t>at page 931</w:t>
      </w:r>
      <w:r w:rsidR="00DD3135">
        <w:t xml:space="preserve">, </w:t>
      </w:r>
      <w:r w:rsidR="00D9324D">
        <w:t>the</w:t>
      </w:r>
      <w:r w:rsidR="00DD3135">
        <w:t xml:space="preserve"> Supreme Court held that newly enacted Code of Civil Procedure section 1021.5 (permitting an award of </w:t>
      </w:r>
      <w:r w:rsidR="00B4202D">
        <w:t>attorney’s fees</w:t>
      </w:r>
      <w:r w:rsidR="00DD3135">
        <w:t xml:space="preserve"> under a private attorney general theory) applie</w:t>
      </w:r>
      <w:r w:rsidR="0093574C">
        <w:t>d</w:t>
      </w:r>
      <w:r w:rsidR="00DD3135">
        <w:t xml:space="preserve"> to a case pending on appeal at the time the legislative enactment became effective.</w:t>
      </w:r>
      <w:r w:rsidR="009B00D2">
        <w:t xml:space="preserve">  </w:t>
      </w:r>
      <w:r w:rsidR="00184064">
        <w:t xml:space="preserve">The </w:t>
      </w:r>
      <w:r w:rsidR="00DB5A17" w:rsidRPr="00DB5A17">
        <w:rPr>
          <w:i/>
          <w:iCs/>
        </w:rPr>
        <w:t>Woodland Hills</w:t>
      </w:r>
      <w:r w:rsidR="00DB5A17">
        <w:t xml:space="preserve"> </w:t>
      </w:r>
      <w:r w:rsidR="0093574C">
        <w:t xml:space="preserve">decision </w:t>
      </w:r>
      <w:r w:rsidR="00DB5A17">
        <w:t>re</w:t>
      </w:r>
      <w:r w:rsidR="00AD6373">
        <w:t xml:space="preserve">sts on </w:t>
      </w:r>
      <w:r w:rsidR="00DB5A17">
        <w:t>a long line of cases</w:t>
      </w:r>
      <w:r w:rsidR="00C33D38">
        <w:t xml:space="preserve"> </w:t>
      </w:r>
      <w:r w:rsidR="001E0D5B">
        <w:t xml:space="preserve">holding </w:t>
      </w:r>
      <w:r w:rsidR="00591460">
        <w:t xml:space="preserve">that </w:t>
      </w:r>
      <w:r w:rsidR="000D1DFE" w:rsidRPr="000D1DFE">
        <w:t>newly enacted attorney</w:t>
      </w:r>
      <w:r w:rsidR="00940A12">
        <w:t xml:space="preserve"> </w:t>
      </w:r>
      <w:r w:rsidR="000D1DFE" w:rsidRPr="000D1DFE">
        <w:t xml:space="preserve">fee provisions </w:t>
      </w:r>
      <w:r w:rsidR="00B15FB3">
        <w:t xml:space="preserve">apply to cases pending in the trial court </w:t>
      </w:r>
      <w:r w:rsidR="00C02497">
        <w:t>or on appeal “</w:t>
      </w:r>
      <w:r w:rsidR="000D1DFE" w:rsidRPr="000D1DFE">
        <w:t>on the effective date of the statutes</w:t>
      </w:r>
      <w:r w:rsidR="008556ED">
        <w:t>.</w:t>
      </w:r>
      <w:r w:rsidR="000D1DFE">
        <w:t>”</w:t>
      </w:r>
      <w:r w:rsidR="006F52E8">
        <w:t xml:space="preserve">  (</w:t>
      </w:r>
      <w:r w:rsidR="006F52E8" w:rsidRPr="009210F8">
        <w:rPr>
          <w:i/>
          <w:iCs/>
        </w:rPr>
        <w:t>Woodland Hills</w:t>
      </w:r>
      <w:r w:rsidR="006F52E8">
        <w:t xml:space="preserve">, at </w:t>
      </w:r>
      <w:r w:rsidR="007E1409">
        <w:t>p</w:t>
      </w:r>
      <w:r w:rsidR="006F52E8">
        <w:t>p.</w:t>
      </w:r>
      <w:r w:rsidR="000A58B5">
        <w:t> </w:t>
      </w:r>
      <w:r w:rsidR="006F52E8">
        <w:t>931-932</w:t>
      </w:r>
      <w:r w:rsidR="00FA5C7B">
        <w:t xml:space="preserve">; </w:t>
      </w:r>
      <w:r w:rsidR="007033C1" w:rsidRPr="006307CA">
        <w:t>see</w:t>
      </w:r>
      <w:r w:rsidR="007033C1">
        <w:t xml:space="preserve"> </w:t>
      </w:r>
      <w:r w:rsidR="00046735" w:rsidRPr="00046735">
        <w:rPr>
          <w:i/>
          <w:iCs/>
        </w:rPr>
        <w:t>Olson v. Hickman</w:t>
      </w:r>
      <w:r w:rsidR="00046735">
        <w:t xml:space="preserve"> (1972) 25</w:t>
      </w:r>
      <w:r w:rsidR="00AC6DEE">
        <w:t> </w:t>
      </w:r>
      <w:r w:rsidR="00046735">
        <w:t>Cal.App.3d 920</w:t>
      </w:r>
      <w:r w:rsidR="00FA5C7B">
        <w:t xml:space="preserve"> [</w:t>
      </w:r>
      <w:r w:rsidR="006D79C5">
        <w:t xml:space="preserve">newly enacted statute permitting award of </w:t>
      </w:r>
      <w:r w:rsidR="00B4202D">
        <w:t>attorney’s fees</w:t>
      </w:r>
      <w:r w:rsidR="006D79C5">
        <w:t xml:space="preserve"> in mandamus actions </w:t>
      </w:r>
      <w:r w:rsidR="00BE3FD1">
        <w:t>applies to administrative mandamus action pending on appeal when the attorney</w:t>
      </w:r>
      <w:r w:rsidR="007964DD">
        <w:t>’s</w:t>
      </w:r>
      <w:r w:rsidR="00BE3FD1">
        <w:t xml:space="preserve"> fee</w:t>
      </w:r>
      <w:r w:rsidR="007964DD">
        <w:t>s</w:t>
      </w:r>
      <w:r w:rsidR="00BE3FD1">
        <w:t xml:space="preserve"> statute was enacted</w:t>
      </w:r>
      <w:r w:rsidR="00A07185">
        <w:t>]</w:t>
      </w:r>
      <w:r w:rsidR="007033C1">
        <w:t>.)</w:t>
      </w:r>
    </w:p>
    <w:p w14:paraId="2E52D637" w14:textId="032DB22D" w:rsidR="00F45578" w:rsidRDefault="007033C1" w:rsidP="00096AC3">
      <w:pPr>
        <w:ind w:firstLine="720"/>
      </w:pPr>
      <w:r>
        <w:t xml:space="preserve">Since </w:t>
      </w:r>
      <w:r w:rsidRPr="007033C1">
        <w:rPr>
          <w:i/>
          <w:iCs/>
        </w:rPr>
        <w:t>Woodland Hills</w:t>
      </w:r>
      <w:r>
        <w:t xml:space="preserve">, </w:t>
      </w:r>
      <w:r w:rsidR="00A514A1">
        <w:t xml:space="preserve">California </w:t>
      </w:r>
      <w:r>
        <w:t xml:space="preserve">courts have consistently held that </w:t>
      </w:r>
      <w:r w:rsidR="007E2A21">
        <w:t>“</w:t>
      </w:r>
      <w:r w:rsidR="0070517A">
        <w:t>statutory provisions that alter the recovery of attorney fees are deemed procedural in nature and apply to pending litigation.”</w:t>
      </w:r>
      <w:r w:rsidR="007E1409">
        <w:t xml:space="preserve">  </w:t>
      </w:r>
      <w:r w:rsidR="0070517A">
        <w:t>(</w:t>
      </w:r>
      <w:r w:rsidR="0070517A">
        <w:rPr>
          <w:i/>
          <w:iCs/>
        </w:rPr>
        <w:t>USS-Posco Indus</w:t>
      </w:r>
      <w:r w:rsidR="007B40D2">
        <w:rPr>
          <w:i/>
          <w:iCs/>
        </w:rPr>
        <w:t>tries</w:t>
      </w:r>
      <w:r w:rsidR="0070517A">
        <w:rPr>
          <w:i/>
          <w:iCs/>
        </w:rPr>
        <w:t xml:space="preserve"> </w:t>
      </w:r>
      <w:r w:rsidR="00847324">
        <w:rPr>
          <w:i/>
          <w:iCs/>
        </w:rPr>
        <w:t>v</w:t>
      </w:r>
      <w:r w:rsidR="0070517A">
        <w:rPr>
          <w:i/>
          <w:iCs/>
        </w:rPr>
        <w:t>. Case</w:t>
      </w:r>
      <w:r w:rsidR="0070517A">
        <w:t xml:space="preserve"> (2016)</w:t>
      </w:r>
      <w:r w:rsidR="00DF624F">
        <w:t xml:space="preserve"> 244</w:t>
      </w:r>
      <w:r w:rsidR="000D7EAD">
        <w:t> </w:t>
      </w:r>
      <w:r w:rsidR="00DF624F">
        <w:t>Cal.App.4th</w:t>
      </w:r>
      <w:r w:rsidR="000D7EAD">
        <w:t> </w:t>
      </w:r>
      <w:r w:rsidR="00DF624F">
        <w:t>197, 20</w:t>
      </w:r>
      <w:r w:rsidR="007B40D2">
        <w:t>1 (</w:t>
      </w:r>
      <w:r w:rsidR="007B40D2" w:rsidRPr="007B40D2">
        <w:rPr>
          <w:i/>
          <w:iCs/>
        </w:rPr>
        <w:t>USS-Posco</w:t>
      </w:r>
      <w:r w:rsidR="007B40D2">
        <w:t>)</w:t>
      </w:r>
      <w:r w:rsidR="00E56FF9">
        <w:t>; see</w:t>
      </w:r>
      <w:r w:rsidR="0035377C">
        <w:t xml:space="preserve"> </w:t>
      </w:r>
      <w:r w:rsidR="00805805" w:rsidRPr="00F641D0">
        <w:rPr>
          <w:i/>
          <w:iCs/>
        </w:rPr>
        <w:t>California Housing Finance Agency v. E.R. Fairway Associates I</w:t>
      </w:r>
      <w:r w:rsidR="00805805" w:rsidRPr="00EA7743">
        <w:t xml:space="preserve"> (1995) 37</w:t>
      </w:r>
      <w:r w:rsidR="00F753BA">
        <w:t> </w:t>
      </w:r>
      <w:r w:rsidR="00805805" w:rsidRPr="00EA7743">
        <w:t>Cal.App.4th 1508, 1512</w:t>
      </w:r>
      <w:r w:rsidR="00805805">
        <w:t>-</w:t>
      </w:r>
      <w:r w:rsidR="00805805" w:rsidRPr="00EA7743">
        <w:t>1513</w:t>
      </w:r>
      <w:r w:rsidR="00805805">
        <w:t xml:space="preserve"> </w:t>
      </w:r>
      <w:r w:rsidR="00805805" w:rsidRPr="00EA7743">
        <w:t>[</w:t>
      </w:r>
      <w:r w:rsidR="00805805">
        <w:t xml:space="preserve">applying revised </w:t>
      </w:r>
      <w:r w:rsidR="00805805" w:rsidRPr="00EA7743">
        <w:t xml:space="preserve">Health and Safety Code </w:t>
      </w:r>
      <w:r w:rsidR="00805805">
        <w:t>attorney</w:t>
      </w:r>
      <w:r w:rsidR="00940A12">
        <w:t xml:space="preserve"> </w:t>
      </w:r>
      <w:r w:rsidR="00805805">
        <w:t>fee</w:t>
      </w:r>
      <w:r w:rsidR="00940A12">
        <w:t xml:space="preserve"> </w:t>
      </w:r>
      <w:r w:rsidR="00805805">
        <w:t xml:space="preserve">provision to pending case, where code was amended </w:t>
      </w:r>
      <w:r w:rsidR="00805805" w:rsidRPr="00EA7743">
        <w:t xml:space="preserve">during trial to provide for an award of </w:t>
      </w:r>
      <w:r w:rsidR="00805805">
        <w:t>attorney’s fees</w:t>
      </w:r>
      <w:r w:rsidR="00805805" w:rsidRPr="00EA7743">
        <w:t xml:space="preserve"> and costs to the prevailing party</w:t>
      </w:r>
      <w:r w:rsidR="00805805">
        <w:t xml:space="preserve">]; </w:t>
      </w:r>
      <w:r w:rsidR="00F77407" w:rsidRPr="002D0959">
        <w:rPr>
          <w:i/>
          <w:iCs/>
        </w:rPr>
        <w:t>Mir v. Charter Suburban Hospital</w:t>
      </w:r>
      <w:r w:rsidR="00F77407" w:rsidRPr="00EA7743">
        <w:t xml:space="preserve"> (1994) 27 Cal.App.4th 1471, 1477</w:t>
      </w:r>
      <w:r w:rsidR="00F77407">
        <w:t>-</w:t>
      </w:r>
      <w:r w:rsidR="00F77407" w:rsidRPr="00EA7743">
        <w:t>1478</w:t>
      </w:r>
      <w:r w:rsidR="00F77407">
        <w:t xml:space="preserve"> </w:t>
      </w:r>
      <w:r w:rsidR="00F77407" w:rsidRPr="00EA7743">
        <w:t>[Business and Professions Code section 809.9, which took effect after trial court judgment became final, allowed for award of fees incurred both before and after effective date of statute];</w:t>
      </w:r>
      <w:r w:rsidR="00F77407">
        <w:t xml:space="preserve"> </w:t>
      </w:r>
      <w:r w:rsidR="00DB72B3" w:rsidRPr="00436ADA">
        <w:rPr>
          <w:i/>
          <w:iCs/>
        </w:rPr>
        <w:t>ARA Living Centers</w:t>
      </w:r>
      <w:r w:rsidR="00AC6DEE">
        <w:rPr>
          <w:i/>
          <w:iCs/>
        </w:rPr>
        <w:t>-</w:t>
      </w:r>
      <w:r w:rsidR="00DB72B3" w:rsidRPr="00436ADA">
        <w:rPr>
          <w:i/>
          <w:iCs/>
        </w:rPr>
        <w:lastRenderedPageBreak/>
        <w:t>Pacific, Inc. v. Superior Court</w:t>
      </w:r>
      <w:r w:rsidR="00DB72B3" w:rsidRPr="00EA7743">
        <w:t xml:space="preserve"> (1993) 18 Cal.App.4th 1556, 1562 [</w:t>
      </w:r>
      <w:r w:rsidR="00DB72B3">
        <w:t xml:space="preserve">applying </w:t>
      </w:r>
      <w:r w:rsidR="00DB72B3" w:rsidRPr="00EA7743">
        <w:t xml:space="preserve">Welfare and Institutions Code section 15657, </w:t>
      </w:r>
      <w:r w:rsidR="00DB72B3">
        <w:t xml:space="preserve">which was </w:t>
      </w:r>
      <w:r w:rsidR="00DB72B3" w:rsidRPr="00EA7743">
        <w:t xml:space="preserve">amended during trial court proceedings to allow </w:t>
      </w:r>
      <w:r w:rsidR="007121DC">
        <w:t xml:space="preserve">prevailing </w:t>
      </w:r>
      <w:r w:rsidR="00DB3383">
        <w:t xml:space="preserve">plaintiff </w:t>
      </w:r>
      <w:r w:rsidR="007121DC">
        <w:t xml:space="preserve">to obtain attorney’s </w:t>
      </w:r>
      <w:r w:rsidR="00DB72B3" w:rsidRPr="00EA7743">
        <w:t>fees in elder abuse cases];</w:t>
      </w:r>
      <w:r w:rsidR="00DB72B3">
        <w:t xml:space="preserve"> </w:t>
      </w:r>
      <w:r w:rsidR="00F77407" w:rsidRPr="004F0E78">
        <w:rPr>
          <w:i/>
          <w:iCs/>
        </w:rPr>
        <w:t>Harbor View Hills Community Assn. v. Torley</w:t>
      </w:r>
      <w:r w:rsidR="00F77407" w:rsidRPr="00F36AE9">
        <w:t xml:space="preserve"> (1992) 5 Cal.App.4th 343, 35</w:t>
      </w:r>
      <w:r w:rsidR="00F77407">
        <w:t>0</w:t>
      </w:r>
      <w:r w:rsidR="00F77407" w:rsidRPr="00F36AE9">
        <w:t xml:space="preserve"> [</w:t>
      </w:r>
      <w:r w:rsidR="00F77407">
        <w:t xml:space="preserve">holding </w:t>
      </w:r>
      <w:r w:rsidR="00F77407" w:rsidRPr="00F36AE9">
        <w:t>new Civil Code attorney</w:t>
      </w:r>
      <w:r w:rsidR="006A2FA4">
        <w:t xml:space="preserve"> </w:t>
      </w:r>
      <w:r w:rsidR="00F77407" w:rsidRPr="00F36AE9">
        <w:t>fee</w:t>
      </w:r>
      <w:r w:rsidR="006A2FA4">
        <w:t xml:space="preserve"> </w:t>
      </w:r>
      <w:r w:rsidR="00F77407" w:rsidRPr="00F36AE9">
        <w:t>provision applies to case pending on appeal</w:t>
      </w:r>
      <w:r w:rsidR="00F77407">
        <w:t xml:space="preserve"> </w:t>
      </w:r>
      <w:r w:rsidR="00F77407" w:rsidRPr="00F36AE9">
        <w:t xml:space="preserve">and rejecting contention that such application </w:t>
      </w:r>
      <w:r w:rsidR="00F77407">
        <w:t>would “</w:t>
      </w:r>
      <w:r w:rsidR="00F77407" w:rsidRPr="00F36AE9">
        <w:t>deprive either party of a matured right</w:t>
      </w:r>
      <w:r w:rsidR="00F77407">
        <w:t>”</w:t>
      </w:r>
      <w:r w:rsidR="00F77407" w:rsidRPr="00F36AE9">
        <w:t>]</w:t>
      </w:r>
      <w:r w:rsidR="00F77407" w:rsidRPr="00022E11">
        <w:t>;</w:t>
      </w:r>
      <w:r w:rsidR="00F77407">
        <w:t xml:space="preserve"> </w:t>
      </w:r>
      <w:r w:rsidR="00805805" w:rsidRPr="00DA631B">
        <w:rPr>
          <w:i/>
          <w:iCs/>
        </w:rPr>
        <w:t>Wood v. McGovern</w:t>
      </w:r>
      <w:r w:rsidR="00805805" w:rsidRPr="00EA7743">
        <w:t xml:space="preserve"> (1985) 167</w:t>
      </w:r>
      <w:r w:rsidR="00805805">
        <w:t> </w:t>
      </w:r>
      <w:r w:rsidR="00805805" w:rsidRPr="00EA7743">
        <w:t>Cal.App.3d</w:t>
      </w:r>
      <w:r w:rsidR="00805805">
        <w:t> </w:t>
      </w:r>
      <w:r w:rsidR="00805805" w:rsidRPr="00EA7743">
        <w:t>772, 774</w:t>
      </w:r>
      <w:r w:rsidR="00805805">
        <w:t>-</w:t>
      </w:r>
      <w:r w:rsidR="00805805" w:rsidRPr="00EA7743">
        <w:t>776</w:t>
      </w:r>
      <w:r w:rsidR="00805805">
        <w:t xml:space="preserve"> </w:t>
      </w:r>
      <w:r w:rsidR="00805805" w:rsidRPr="00EA7743">
        <w:t>[Code of Civil Procedure section 1021.4, allowing fees against defendant who is convicted of a felony for the conduct giving rise to the civil suit, applies to suits pending when it became effective]</w:t>
      </w:r>
      <w:r w:rsidR="00805805" w:rsidRPr="00022E11">
        <w:t>;</w:t>
      </w:r>
      <w:r w:rsidR="00805805">
        <w:t xml:space="preserve"> </w:t>
      </w:r>
      <w:r w:rsidR="00805805" w:rsidRPr="008052E3">
        <w:rPr>
          <w:i/>
          <w:iCs/>
        </w:rPr>
        <w:t>Estate of S</w:t>
      </w:r>
      <w:r w:rsidR="00805805">
        <w:rPr>
          <w:i/>
          <w:iCs/>
        </w:rPr>
        <w:t>c</w:t>
      </w:r>
      <w:r w:rsidR="00805805" w:rsidRPr="008052E3">
        <w:rPr>
          <w:i/>
          <w:iCs/>
        </w:rPr>
        <w:t>huster</w:t>
      </w:r>
      <w:r w:rsidR="00805805">
        <w:t xml:space="preserve"> (1984) </w:t>
      </w:r>
      <w:r w:rsidR="00805805" w:rsidRPr="008052E3">
        <w:t>163</w:t>
      </w:r>
      <w:r w:rsidR="00805805">
        <w:t> </w:t>
      </w:r>
      <w:r w:rsidR="00805805" w:rsidRPr="008052E3">
        <w:t>Cal.App.3d 337</w:t>
      </w:r>
      <w:r w:rsidR="00805805">
        <w:t>, 341</w:t>
      </w:r>
      <w:r w:rsidR="00805805" w:rsidRPr="008052E3">
        <w:t xml:space="preserve"> </w:t>
      </w:r>
      <w:r w:rsidR="00805805">
        <w:t>[applying revised probate attorney</w:t>
      </w:r>
      <w:r w:rsidR="006A2FA4">
        <w:t xml:space="preserve"> </w:t>
      </w:r>
      <w:r w:rsidR="00805805">
        <w:t>fee</w:t>
      </w:r>
      <w:r w:rsidR="006A2FA4">
        <w:t xml:space="preserve"> </w:t>
      </w:r>
      <w:r w:rsidR="00805805">
        <w:t>provision to pending case and holding, “</w:t>
      </w:r>
      <w:r w:rsidR="00805805" w:rsidRPr="00BA688B">
        <w:t>Statutes authorizing attorneys’ fees are applicable to cases in which an appeal is pending, even if only as to the attorney fee issues, on the effective date of the statute</w:t>
      </w:r>
      <w:r w:rsidR="00805805">
        <w:t>”]</w:t>
      </w:r>
      <w:r w:rsidR="00E936E0">
        <w:t>.)</w:t>
      </w:r>
      <w:r w:rsidR="00C76D24">
        <w:t xml:space="preserve"> </w:t>
      </w:r>
    </w:p>
    <w:p w14:paraId="3AF0D991" w14:textId="774BFDC4" w:rsidR="00EB5050" w:rsidRDefault="006D5B6E" w:rsidP="00096AC3">
      <w:pPr>
        <w:ind w:firstLine="720"/>
      </w:pPr>
      <w:r>
        <w:t>Most recently, i</w:t>
      </w:r>
      <w:r w:rsidR="00EB5050">
        <w:t xml:space="preserve">n </w:t>
      </w:r>
      <w:r w:rsidR="00EB5050" w:rsidRPr="004156F7">
        <w:rPr>
          <w:i/>
          <w:iCs/>
        </w:rPr>
        <w:t>USS-Posco</w:t>
      </w:r>
      <w:r w:rsidR="00EB5050">
        <w:t xml:space="preserve">, the court considered </w:t>
      </w:r>
      <w:r w:rsidR="00DE7FBF">
        <w:t xml:space="preserve">the retroactive application of </w:t>
      </w:r>
      <w:r w:rsidR="00EB5050">
        <w:t xml:space="preserve">an amended Labor Code provision that curtailed a prevailing employer’s ability to recover </w:t>
      </w:r>
      <w:r w:rsidR="00B4202D">
        <w:t>attorney’s fees</w:t>
      </w:r>
      <w:r w:rsidR="00EB5050">
        <w:t xml:space="preserve"> </w:t>
      </w:r>
      <w:r w:rsidR="003C21CE">
        <w:t>in a</w:t>
      </w:r>
      <w:r w:rsidR="00511B1E">
        <w:t xml:space="preserve"> dispute over nonpayment of wages</w:t>
      </w:r>
      <w:r w:rsidR="003C21CE">
        <w:t xml:space="preserve">.  </w:t>
      </w:r>
      <w:r w:rsidR="00AC6DEE">
        <w:t>(</w:t>
      </w:r>
      <w:r w:rsidR="007C1AED">
        <w:rPr>
          <w:i/>
          <w:iCs/>
        </w:rPr>
        <w:t>USS-Posco</w:t>
      </w:r>
      <w:r w:rsidR="007B40D2" w:rsidRPr="00C149F6">
        <w:t>,</w:t>
      </w:r>
      <w:r w:rsidR="007C1AED">
        <w:rPr>
          <w:i/>
          <w:iCs/>
        </w:rPr>
        <w:t xml:space="preserve"> supra</w:t>
      </w:r>
      <w:r w:rsidR="007C1AED" w:rsidRPr="00C149F6">
        <w:t>,</w:t>
      </w:r>
      <w:r w:rsidR="007C1AED">
        <w:rPr>
          <w:i/>
          <w:iCs/>
        </w:rPr>
        <w:t xml:space="preserve"> </w:t>
      </w:r>
      <w:r w:rsidR="007C1AED">
        <w:t>244</w:t>
      </w:r>
      <w:r w:rsidR="00374EFD">
        <w:t> </w:t>
      </w:r>
      <w:r w:rsidR="007C1AED">
        <w:t>Cal.App</w:t>
      </w:r>
      <w:r w:rsidR="007E1409">
        <w:t>.</w:t>
      </w:r>
      <w:r w:rsidR="007C1AED">
        <w:t>4th</w:t>
      </w:r>
      <w:r w:rsidR="007C1AED">
        <w:rPr>
          <w:i/>
          <w:iCs/>
        </w:rPr>
        <w:t xml:space="preserve"> </w:t>
      </w:r>
      <w:r w:rsidR="007C1AED">
        <w:t>at p.</w:t>
      </w:r>
      <w:r w:rsidR="003E12DE">
        <w:t> </w:t>
      </w:r>
      <w:r w:rsidR="007C1AED" w:rsidRPr="006E1478">
        <w:t>215</w:t>
      </w:r>
      <w:r w:rsidR="007C1AED">
        <w:rPr>
          <w:i/>
          <w:iCs/>
        </w:rPr>
        <w:t>.</w:t>
      </w:r>
      <w:r w:rsidR="007C1AED" w:rsidRPr="006E1478">
        <w:t>)</w:t>
      </w:r>
      <w:r w:rsidR="007C1AED">
        <w:t xml:space="preserve"> </w:t>
      </w:r>
      <w:r w:rsidR="00922AED">
        <w:t xml:space="preserve"> There,</w:t>
      </w:r>
      <w:r w:rsidR="00EB5050">
        <w:t xml:space="preserve"> the employer had prevailed on summary judgment, </w:t>
      </w:r>
      <w:r w:rsidR="00922AED">
        <w:t xml:space="preserve">and </w:t>
      </w:r>
      <w:r w:rsidR="00EB5050">
        <w:t xml:space="preserve">the </w:t>
      </w:r>
      <w:r w:rsidR="00922AED">
        <w:t xml:space="preserve">employer’s </w:t>
      </w:r>
      <w:r w:rsidR="00EB5050">
        <w:t xml:space="preserve">fee motion was pending </w:t>
      </w:r>
      <w:r w:rsidR="00831B6D">
        <w:t xml:space="preserve">on </w:t>
      </w:r>
      <w:r w:rsidR="00EB5050">
        <w:t>the effective date of the statutory amendment.  (</w:t>
      </w:r>
      <w:r w:rsidR="007C1AED" w:rsidRPr="007C1AED">
        <w:rPr>
          <w:i/>
          <w:iCs/>
        </w:rPr>
        <w:t>Ibid</w:t>
      </w:r>
      <w:r w:rsidR="007C1AED">
        <w:t>.</w:t>
      </w:r>
      <w:r w:rsidR="00EB5050" w:rsidRPr="006E1478">
        <w:t>)</w:t>
      </w:r>
      <w:r w:rsidR="00EB5050">
        <w:t xml:space="preserve">  Surveying the case law on the retroactive application of attorney</w:t>
      </w:r>
      <w:r w:rsidR="006A2FA4">
        <w:t xml:space="preserve"> </w:t>
      </w:r>
      <w:r w:rsidR="00EB5050">
        <w:t>fee</w:t>
      </w:r>
      <w:r w:rsidR="006A2FA4">
        <w:t xml:space="preserve"> </w:t>
      </w:r>
      <w:r w:rsidR="00EB5050">
        <w:t xml:space="preserve">statutes and </w:t>
      </w:r>
      <w:r w:rsidR="00072091">
        <w:t xml:space="preserve">other </w:t>
      </w:r>
      <w:r w:rsidR="00EB5050">
        <w:t xml:space="preserve">statutes </w:t>
      </w:r>
      <w:r w:rsidR="003B4082">
        <w:t>a</w:t>
      </w:r>
      <w:r w:rsidR="00EB5050">
        <w:t xml:space="preserve">ffecting the recovery of costs, the court held that </w:t>
      </w:r>
      <w:r w:rsidR="00CD46CC">
        <w:t xml:space="preserve">the </w:t>
      </w:r>
      <w:r w:rsidR="00EB5050">
        <w:t>amended attorney</w:t>
      </w:r>
      <w:r w:rsidR="00EF12FF">
        <w:t xml:space="preserve"> </w:t>
      </w:r>
      <w:r w:rsidR="00EB5050">
        <w:t>fee</w:t>
      </w:r>
      <w:r w:rsidR="00EF12FF">
        <w:t xml:space="preserve"> </w:t>
      </w:r>
      <w:r w:rsidR="00EB5050">
        <w:t xml:space="preserve">provision </w:t>
      </w:r>
      <w:r w:rsidR="005743D4">
        <w:t>applie</w:t>
      </w:r>
      <w:r w:rsidR="00F45E6B">
        <w:t>d</w:t>
      </w:r>
      <w:r w:rsidR="005743D4">
        <w:t xml:space="preserve"> </w:t>
      </w:r>
      <w:r w:rsidR="00CD46CC">
        <w:lastRenderedPageBreak/>
        <w:t xml:space="preserve">because </w:t>
      </w:r>
      <w:r w:rsidR="007C5BEA">
        <w:t xml:space="preserve">the case </w:t>
      </w:r>
      <w:r w:rsidR="00D72D99">
        <w:t xml:space="preserve">was </w:t>
      </w:r>
      <w:r w:rsidR="00EB5050">
        <w:t>pending when the statute was amended.  (</w:t>
      </w:r>
      <w:r w:rsidR="00EB5050">
        <w:rPr>
          <w:i/>
          <w:iCs/>
        </w:rPr>
        <w:t>Ibid.</w:t>
      </w:r>
      <w:r w:rsidR="00EB5050">
        <w:t>)</w:t>
      </w:r>
      <w:r w:rsidR="00EB5050" w:rsidRPr="003011FF">
        <w:rPr>
          <w:rStyle w:val="FootnoteReference"/>
          <w:sz w:val="24"/>
          <w:szCs w:val="24"/>
        </w:rPr>
        <w:footnoteReference w:id="4"/>
      </w:r>
    </w:p>
    <w:p w14:paraId="44D7647F" w14:textId="77CC6558" w:rsidR="00E32F0A" w:rsidRDefault="00634168" w:rsidP="00096AC3">
      <w:pPr>
        <w:ind w:firstLine="720"/>
      </w:pPr>
      <w:r>
        <w:t xml:space="preserve">In light of the general </w:t>
      </w:r>
      <w:r w:rsidR="001C6197">
        <w:t xml:space="preserve">presumption of </w:t>
      </w:r>
      <w:r w:rsidR="00DC7FFB">
        <w:t xml:space="preserve">retroactive application of </w:t>
      </w:r>
      <w:r w:rsidR="00F929C4">
        <w:t xml:space="preserve">new provisions of the </w:t>
      </w:r>
      <w:r w:rsidR="00C37969">
        <w:t>Family Code</w:t>
      </w:r>
      <w:r w:rsidR="003565A6">
        <w:t xml:space="preserve">, and the long line of cases </w:t>
      </w:r>
      <w:r w:rsidR="00221CC8">
        <w:t xml:space="preserve">establishing </w:t>
      </w:r>
      <w:r w:rsidR="003565A6">
        <w:t xml:space="preserve">that </w:t>
      </w:r>
      <w:r w:rsidR="00CC1E58">
        <w:t xml:space="preserve">newly enacted </w:t>
      </w:r>
      <w:r w:rsidR="00C37969">
        <w:t>attorney</w:t>
      </w:r>
      <w:r w:rsidR="00EF12FF">
        <w:t xml:space="preserve"> </w:t>
      </w:r>
      <w:r w:rsidR="00C37969">
        <w:t>fee</w:t>
      </w:r>
      <w:r w:rsidR="00EF12FF">
        <w:t xml:space="preserve"> </w:t>
      </w:r>
      <w:r w:rsidR="00C37969">
        <w:t>statute</w:t>
      </w:r>
      <w:r w:rsidR="00F929C4">
        <w:t>s</w:t>
      </w:r>
      <w:r w:rsidR="00221CC8">
        <w:t xml:space="preserve"> </w:t>
      </w:r>
      <w:r w:rsidR="00F929C4">
        <w:t xml:space="preserve">apply </w:t>
      </w:r>
      <w:r w:rsidR="006F694D">
        <w:t xml:space="preserve">to cases pending on </w:t>
      </w:r>
      <w:r w:rsidR="00BD7D4A">
        <w:t>the</w:t>
      </w:r>
      <w:r w:rsidR="00617BD8">
        <w:t xml:space="preserve"> </w:t>
      </w:r>
      <w:r w:rsidR="006F694D">
        <w:t xml:space="preserve">effective date, </w:t>
      </w:r>
      <w:r w:rsidR="00C37969">
        <w:t>w</w:t>
      </w:r>
      <w:r w:rsidR="0036248E">
        <w:t xml:space="preserve">e hold that </w:t>
      </w:r>
      <w:r w:rsidR="00F45E6B">
        <w:t xml:space="preserve">the </w:t>
      </w:r>
      <w:r w:rsidR="00C149F6">
        <w:t xml:space="preserve">current version of </w:t>
      </w:r>
      <w:r w:rsidR="0036248E">
        <w:t>section 6344</w:t>
      </w:r>
      <w:r w:rsidR="00080800">
        <w:t xml:space="preserve"> applies to cases pending on its </w:t>
      </w:r>
      <w:r w:rsidR="00CC1E58">
        <w:t>January 1, 2023</w:t>
      </w:r>
      <w:r w:rsidR="00C149F6">
        <w:t>,</w:t>
      </w:r>
      <w:r w:rsidR="00080800">
        <w:t xml:space="preserve"> effective date, including </w:t>
      </w:r>
      <w:r w:rsidR="00A35BEE">
        <w:t>this case.</w:t>
      </w:r>
      <w:r w:rsidR="00FC2D76">
        <w:t xml:space="preserve">  </w:t>
      </w:r>
    </w:p>
    <w:p w14:paraId="0078242D" w14:textId="77777777" w:rsidR="00096AC3" w:rsidRDefault="00096AC3" w:rsidP="00096AC3">
      <w:pPr>
        <w:ind w:firstLine="720"/>
      </w:pPr>
    </w:p>
    <w:p w14:paraId="1637274B" w14:textId="77777777" w:rsidR="00061924" w:rsidRPr="006D67DA" w:rsidRDefault="0032676D" w:rsidP="00096AC3">
      <w:pPr>
        <w:pStyle w:val="ListParagraph"/>
        <w:keepNext/>
        <w:numPr>
          <w:ilvl w:val="0"/>
          <w:numId w:val="1"/>
        </w:numPr>
        <w:ind w:hanging="720"/>
        <w:rPr>
          <w:i/>
          <w:iCs/>
        </w:rPr>
      </w:pPr>
      <w:r>
        <w:rPr>
          <w:i/>
          <w:iCs/>
        </w:rPr>
        <w:t xml:space="preserve">The Court Did Not Abuse </w:t>
      </w:r>
      <w:r w:rsidR="00C95C34">
        <w:rPr>
          <w:i/>
          <w:iCs/>
        </w:rPr>
        <w:t>I</w:t>
      </w:r>
      <w:r>
        <w:rPr>
          <w:i/>
          <w:iCs/>
        </w:rPr>
        <w:t>ts Discretion in Awarding Fees</w:t>
      </w:r>
    </w:p>
    <w:p w14:paraId="5CEB22D7" w14:textId="4F75DAC7" w:rsidR="00147944" w:rsidRDefault="00E32F0A" w:rsidP="00096AC3">
      <w:pPr>
        <w:keepNext/>
        <w:ind w:firstLine="720"/>
      </w:pPr>
      <w:r>
        <w:t>The new statute mandates an award of attorney’s fees to a prevailing petitioner in an action brought pursuant to the Domestic Violence Prevention Act, subject only to the trial court’s consideration of the respondent’s inability to pay.  (§ 6344, subd</w:t>
      </w:r>
      <w:r w:rsidR="00F45E6B">
        <w:t>s</w:t>
      </w:r>
      <w:r>
        <w:t>.</w:t>
      </w:r>
      <w:r w:rsidR="00374EFD">
        <w:t> </w:t>
      </w:r>
      <w:r>
        <w:t xml:space="preserve">(a) &amp; (c).)  </w:t>
      </w:r>
      <w:r w:rsidR="009B6975" w:rsidRPr="009B6975">
        <w:t xml:space="preserve">Calkins contends that </w:t>
      </w:r>
      <w:r w:rsidR="00B72BD0">
        <w:t xml:space="preserve">the </w:t>
      </w:r>
      <w:r w:rsidR="009B6975" w:rsidRPr="009B6975">
        <w:t xml:space="preserve">trial court </w:t>
      </w:r>
      <w:r w:rsidR="00B72BD0">
        <w:t xml:space="preserve">failed </w:t>
      </w:r>
      <w:r w:rsidR="009B6975" w:rsidRPr="009B6975">
        <w:t xml:space="preserve">to </w:t>
      </w:r>
      <w:r w:rsidR="009B6975" w:rsidRPr="009B6975">
        <w:lastRenderedPageBreak/>
        <w:t>consider salient financial circumstances when it issued the attorney</w:t>
      </w:r>
      <w:r w:rsidR="002C080F">
        <w:t xml:space="preserve"> </w:t>
      </w:r>
      <w:r w:rsidR="009B6975" w:rsidRPr="009B6975">
        <w:t>fee</w:t>
      </w:r>
      <w:r w:rsidR="002C080F">
        <w:t xml:space="preserve"> </w:t>
      </w:r>
      <w:r w:rsidR="009B6975" w:rsidRPr="009B6975">
        <w:t>award</w:t>
      </w:r>
      <w:r w:rsidR="009E167D">
        <w:t>,</w:t>
      </w:r>
      <w:r w:rsidR="00A368E2">
        <w:t xml:space="preserve"> and </w:t>
      </w:r>
      <w:r w:rsidR="009E167D">
        <w:t xml:space="preserve">that </w:t>
      </w:r>
      <w:r w:rsidR="00A368E2">
        <w:t>the award is too high</w:t>
      </w:r>
      <w:r w:rsidR="009B6975" w:rsidRPr="009B6975">
        <w:t xml:space="preserve">.  </w:t>
      </w:r>
    </w:p>
    <w:p w14:paraId="43A46D98" w14:textId="77777777" w:rsidR="00147944" w:rsidRDefault="00147944" w:rsidP="00096AC3">
      <w:pPr>
        <w:ind w:firstLine="720"/>
      </w:pPr>
      <w:r>
        <w:t>“We apply an abuse of discretion standard in reviewing the amount of an attorney fee award.</w:t>
      </w:r>
      <w:r w:rsidR="00206E0A">
        <w:t xml:space="preserve">  </w:t>
      </w:r>
      <w:r>
        <w:t>[</w:t>
      </w:r>
      <w:r w:rsidR="00206E0A">
        <w:t>C</w:t>
      </w:r>
      <w:r>
        <w:t>itation</w:t>
      </w:r>
      <w:r w:rsidR="00206E0A">
        <w:t>.</w:t>
      </w:r>
      <w:r>
        <w:t>]</w:t>
      </w:r>
      <w:r w:rsidR="00206E0A">
        <w:t xml:space="preserve">  ‘</w:t>
      </w:r>
      <w:r>
        <w:t>[A]n experienced trial judge is in a much better position than an appellate court to assess the value of the legal services rendered in his or her court, and the amount of a fee awarded by such a judge will therefore not be set aside on appeal absent a showing that it is manifestly excessive in the circumstances.</w:t>
      </w:r>
      <w:r w:rsidR="00206E0A">
        <w:t xml:space="preserve">’  </w:t>
      </w:r>
      <w:r>
        <w:t>[</w:t>
      </w:r>
      <w:r w:rsidR="00206E0A">
        <w:t>C</w:t>
      </w:r>
      <w:r>
        <w:t>itation</w:t>
      </w:r>
      <w:r w:rsidR="00206E0A">
        <w:t>.</w:t>
      </w:r>
      <w:r>
        <w:t>]</w:t>
      </w:r>
      <w:r w:rsidR="00206E0A">
        <w:t xml:space="preserve">  ‘</w:t>
      </w:r>
      <w:r>
        <w:t>The only proper basis of reversal of the amount of an attorney fees award is if the amount awarded is so large or small that it shocks the conscience and suggests that passion and prejudice influenced the determination.</w:t>
      </w:r>
      <w:r w:rsidR="00206E0A">
        <w:t>’</w:t>
      </w:r>
      <w:r>
        <w:t>”</w:t>
      </w:r>
      <w:r w:rsidR="00206E0A">
        <w:t xml:space="preserve">  </w:t>
      </w:r>
      <w:r>
        <w:t>(</w:t>
      </w:r>
      <w:r w:rsidRPr="00EB2E84">
        <w:rPr>
          <w:i/>
          <w:iCs/>
        </w:rPr>
        <w:t>Loeffler v. Medina</w:t>
      </w:r>
      <w:r>
        <w:t xml:space="preserve"> (2009) 174</w:t>
      </w:r>
      <w:r w:rsidR="007F461A">
        <w:t> </w:t>
      </w:r>
      <w:r>
        <w:t>Cal.App.4th 1495, 1509.)</w:t>
      </w:r>
    </w:p>
    <w:p w14:paraId="160D31BE" w14:textId="5BBAD16E" w:rsidR="0013735B" w:rsidRDefault="00023A83" w:rsidP="00096AC3">
      <w:pPr>
        <w:ind w:firstLine="720"/>
      </w:pPr>
      <w:r>
        <w:t xml:space="preserve">Calkins argues that the </w:t>
      </w:r>
      <w:r w:rsidR="002B3405">
        <w:t>attorney</w:t>
      </w:r>
      <w:r w:rsidR="00BD547D">
        <w:t xml:space="preserve"> </w:t>
      </w:r>
      <w:r w:rsidR="002B3405">
        <w:t>fee</w:t>
      </w:r>
      <w:r w:rsidR="002C080F">
        <w:t xml:space="preserve"> </w:t>
      </w:r>
      <w:r w:rsidR="002B3405">
        <w:t xml:space="preserve">order must </w:t>
      </w:r>
      <w:r w:rsidR="00955B4A">
        <w:t xml:space="preserve">be reversed because the trial court </w:t>
      </w:r>
      <w:r w:rsidR="00E51FD0">
        <w:t xml:space="preserve">failed </w:t>
      </w:r>
      <w:r w:rsidR="00715E59">
        <w:t xml:space="preserve">to </w:t>
      </w:r>
      <w:r w:rsidR="0021545F">
        <w:t>consider</w:t>
      </w:r>
      <w:r>
        <w:t xml:space="preserve"> her </w:t>
      </w:r>
      <w:r w:rsidR="00151F4D">
        <w:t>inability to pay</w:t>
      </w:r>
      <w:r w:rsidR="00955B4A">
        <w:t xml:space="preserve"> Dragones’s fees</w:t>
      </w:r>
      <w:r w:rsidR="00D40D4C">
        <w:t xml:space="preserve">, and </w:t>
      </w:r>
      <w:r w:rsidR="00A65F5B">
        <w:t xml:space="preserve">that </w:t>
      </w:r>
      <w:r w:rsidR="00D40D4C">
        <w:t>the resulting fee order “shocks the conscience</w:t>
      </w:r>
      <w:r w:rsidR="00151F4D">
        <w:t>.</w:t>
      </w:r>
      <w:r w:rsidR="00D40D4C">
        <w:t>”</w:t>
      </w:r>
      <w:r w:rsidR="00151F4D">
        <w:t xml:space="preserve"> </w:t>
      </w:r>
      <w:r w:rsidR="007533F3">
        <w:t xml:space="preserve"> </w:t>
      </w:r>
      <w:r w:rsidR="000C5FA5">
        <w:t xml:space="preserve">Calkins </w:t>
      </w:r>
      <w:r w:rsidR="002A0D64">
        <w:t xml:space="preserve">submitted a declaration </w:t>
      </w:r>
      <w:r w:rsidR="00511A44">
        <w:t xml:space="preserve">in the trial court </w:t>
      </w:r>
      <w:r w:rsidR="00FD3275">
        <w:t xml:space="preserve">showing that </w:t>
      </w:r>
      <w:r w:rsidR="00A74932">
        <w:t xml:space="preserve">in the </w:t>
      </w:r>
      <w:r w:rsidR="00955B4A">
        <w:t xml:space="preserve">prior </w:t>
      </w:r>
      <w:r w:rsidR="00A74932">
        <w:t xml:space="preserve">month she </w:t>
      </w:r>
      <w:r w:rsidR="00511A44">
        <w:t xml:space="preserve">had </w:t>
      </w:r>
      <w:r w:rsidR="00A74932">
        <w:t xml:space="preserve">earned </w:t>
      </w:r>
      <w:r w:rsidR="00B04205">
        <w:t>$3,0</w:t>
      </w:r>
      <w:r w:rsidR="008B49BB">
        <w:t>82</w:t>
      </w:r>
      <w:r w:rsidR="00B04205">
        <w:t xml:space="preserve"> </w:t>
      </w:r>
      <w:r w:rsidR="00FD3275">
        <w:t xml:space="preserve">(an increase from </w:t>
      </w:r>
      <w:r w:rsidR="00E2227A">
        <w:t xml:space="preserve">her </w:t>
      </w:r>
      <w:r w:rsidR="00FD3275">
        <w:t>2022</w:t>
      </w:r>
      <w:r w:rsidR="00E2227A">
        <w:t xml:space="preserve"> earnings</w:t>
      </w:r>
      <w:r w:rsidR="00FD3275">
        <w:t>)</w:t>
      </w:r>
      <w:r w:rsidR="00A65F5B">
        <w:t xml:space="preserve"> </w:t>
      </w:r>
      <w:r w:rsidR="00B04205">
        <w:t xml:space="preserve">and </w:t>
      </w:r>
      <w:r w:rsidR="002A0D64" w:rsidRPr="00BB4FE9">
        <w:t xml:space="preserve">that, after expenses, she had </w:t>
      </w:r>
      <w:r w:rsidR="00DD4D3D">
        <w:t xml:space="preserve">only </w:t>
      </w:r>
      <w:r w:rsidR="002A0D64" w:rsidRPr="00BB4FE9">
        <w:t xml:space="preserve">a </w:t>
      </w:r>
      <w:r w:rsidR="000B2BC0" w:rsidRPr="00BB4FE9">
        <w:t xml:space="preserve">small amount of </w:t>
      </w:r>
      <w:r w:rsidR="000C5E6F" w:rsidRPr="00BB4FE9">
        <w:t>disposable income</w:t>
      </w:r>
      <w:r w:rsidR="00ED11C7" w:rsidRPr="00BB4FE9">
        <w:t xml:space="preserve">.   </w:t>
      </w:r>
      <w:r w:rsidR="00ED5FD0" w:rsidRPr="00BB4FE9">
        <w:t xml:space="preserve">She </w:t>
      </w:r>
      <w:r w:rsidR="00BB4FE9" w:rsidRPr="00BB4FE9">
        <w:t xml:space="preserve">thus demonstrated </w:t>
      </w:r>
      <w:r w:rsidR="003E0347">
        <w:t xml:space="preserve">a very limited </w:t>
      </w:r>
      <w:r w:rsidR="00887B5E">
        <w:t>ability to pay attorney</w:t>
      </w:r>
      <w:r w:rsidR="00604E01">
        <w:t>’</w:t>
      </w:r>
      <w:r w:rsidR="00887B5E">
        <w:t>s fees</w:t>
      </w:r>
      <w:r w:rsidR="00BD2433">
        <w:t xml:space="preserve">.  She did not, however, show that </w:t>
      </w:r>
      <w:r w:rsidR="003F1550">
        <w:t xml:space="preserve">she was unable to afford </w:t>
      </w:r>
      <w:r w:rsidR="003E0347">
        <w:t xml:space="preserve">any amount in fees.  </w:t>
      </w:r>
      <w:r w:rsidR="003F1550">
        <w:t xml:space="preserve">The trial </w:t>
      </w:r>
      <w:r w:rsidR="00715E59">
        <w:t xml:space="preserve">court </w:t>
      </w:r>
      <w:r w:rsidR="00E55C35">
        <w:t>awarded $6,000 in fees</w:t>
      </w:r>
      <w:r w:rsidR="00046881">
        <w:t xml:space="preserve">, less than half of the </w:t>
      </w:r>
      <w:r w:rsidR="0021545F">
        <w:t xml:space="preserve">$13,659 </w:t>
      </w:r>
      <w:r w:rsidR="00B552C1">
        <w:t>requested by Dragones</w:t>
      </w:r>
      <w:r w:rsidR="00046881">
        <w:t xml:space="preserve">.  </w:t>
      </w:r>
      <w:r w:rsidR="009E02B7">
        <w:t xml:space="preserve">The order contemplates that Calkins will pay </w:t>
      </w:r>
      <w:r w:rsidR="00A1529F">
        <w:t xml:space="preserve">the </w:t>
      </w:r>
      <w:r w:rsidR="009E02B7">
        <w:t>fees in installments, rather than a lump sum.</w:t>
      </w:r>
      <w:r w:rsidR="00BA747B">
        <w:t xml:space="preserve">  </w:t>
      </w:r>
      <w:r w:rsidR="00637B7B">
        <w:t xml:space="preserve">This was not </w:t>
      </w:r>
      <w:r w:rsidR="008A054A">
        <w:t xml:space="preserve">an </w:t>
      </w:r>
      <w:r w:rsidR="00637B7B">
        <w:t>abuse of discretion</w:t>
      </w:r>
      <w:r w:rsidR="008A054A">
        <w:t xml:space="preserve"> </w:t>
      </w:r>
      <w:r w:rsidR="00DD4D3D">
        <w:t>and does not demonstrate that the award was the result of passion or prejudice</w:t>
      </w:r>
      <w:r w:rsidR="00637B7B">
        <w:t xml:space="preserve">.  </w:t>
      </w:r>
      <w:r w:rsidR="001B140C">
        <w:t>T</w:t>
      </w:r>
      <w:r w:rsidR="00B20A00">
        <w:t xml:space="preserve">he </w:t>
      </w:r>
      <w:r w:rsidR="003F7862">
        <w:t xml:space="preserve">reduced </w:t>
      </w:r>
      <w:r w:rsidR="00BA747B">
        <w:t>fee amount</w:t>
      </w:r>
      <w:r w:rsidR="003F7862">
        <w:t xml:space="preserve"> </w:t>
      </w:r>
      <w:r w:rsidR="00BA747B">
        <w:t xml:space="preserve">and </w:t>
      </w:r>
      <w:r w:rsidR="003F7862">
        <w:t xml:space="preserve">the installment </w:t>
      </w:r>
      <w:r w:rsidR="00BA747B">
        <w:t xml:space="preserve">structure </w:t>
      </w:r>
      <w:r w:rsidR="00507C6F">
        <w:t xml:space="preserve">indicate that </w:t>
      </w:r>
      <w:r>
        <w:t xml:space="preserve">the </w:t>
      </w:r>
      <w:r w:rsidR="00AA2B0B">
        <w:t>fee award result</w:t>
      </w:r>
      <w:r w:rsidR="00DF627E">
        <w:t>ed from</w:t>
      </w:r>
      <w:r w:rsidR="003A4F3D">
        <w:t xml:space="preserve"> </w:t>
      </w:r>
      <w:r w:rsidR="00DC4350">
        <w:t xml:space="preserve">the court’s </w:t>
      </w:r>
      <w:r w:rsidR="00AA2B0B">
        <w:t>exercise</w:t>
      </w:r>
      <w:r w:rsidR="00DF627E">
        <w:t xml:space="preserve"> of </w:t>
      </w:r>
      <w:r>
        <w:lastRenderedPageBreak/>
        <w:t xml:space="preserve">discretion </w:t>
      </w:r>
      <w:r w:rsidR="003A4F3D">
        <w:t xml:space="preserve">after </w:t>
      </w:r>
      <w:r w:rsidR="00FD4CDC">
        <w:t>considering</w:t>
      </w:r>
      <w:r>
        <w:t xml:space="preserve"> the facts of </w:t>
      </w:r>
      <w:r w:rsidR="003A4F3D">
        <w:t xml:space="preserve">the </w:t>
      </w:r>
      <w:r>
        <w:t>case, including Calkins’</w:t>
      </w:r>
      <w:r w:rsidR="00005F00">
        <w:t>s</w:t>
      </w:r>
      <w:r>
        <w:t xml:space="preserve"> limited income.  </w:t>
      </w:r>
      <w:r w:rsidRPr="00B20A00">
        <w:t>(</w:t>
      </w:r>
      <w:r w:rsidRPr="00B20A00">
        <w:rPr>
          <w:i/>
          <w:iCs/>
        </w:rPr>
        <w:t>See Akins</w:t>
      </w:r>
      <w:r w:rsidR="00BC1643" w:rsidRPr="00B20A00">
        <w:rPr>
          <w:i/>
          <w:iCs/>
        </w:rPr>
        <w:t xml:space="preserve"> v. Enterprise Rent-</w:t>
      </w:r>
      <w:r w:rsidR="00A061ED">
        <w:rPr>
          <w:i/>
          <w:iCs/>
        </w:rPr>
        <w:t>A</w:t>
      </w:r>
      <w:r w:rsidR="00BC1643" w:rsidRPr="00B20A00">
        <w:rPr>
          <w:i/>
          <w:iCs/>
        </w:rPr>
        <w:t>-Car Co</w:t>
      </w:r>
      <w:r w:rsidR="00BC1643" w:rsidRPr="00B20A00">
        <w:t xml:space="preserve">. (2000) </w:t>
      </w:r>
      <w:r w:rsidRPr="00B20A00">
        <w:t xml:space="preserve">79 Cal.App.4th </w:t>
      </w:r>
      <w:r w:rsidR="00EF404D">
        <w:t>1127</w:t>
      </w:r>
      <w:r w:rsidR="003E12DE">
        <w:t xml:space="preserve">, </w:t>
      </w:r>
      <w:r>
        <w:t>1134</w:t>
      </w:r>
      <w:r w:rsidR="00D14788">
        <w:t>.</w:t>
      </w:r>
      <w:r w:rsidR="00CE442C">
        <w:t>)</w:t>
      </w:r>
      <w:r w:rsidR="00EF404D">
        <w:t xml:space="preserve"> </w:t>
      </w:r>
      <w:r w:rsidR="004B6278">
        <w:t xml:space="preserve"> </w:t>
      </w:r>
      <w:r w:rsidR="00D72810" w:rsidRPr="00933B0B">
        <w:t xml:space="preserve">Should Calkins find herself unable to afford the installment payments, she can file an appropriate </w:t>
      </w:r>
      <w:r w:rsidR="000E189C">
        <w:t xml:space="preserve">request to modify the </w:t>
      </w:r>
      <w:r w:rsidR="00B92B84">
        <w:t>installment payments</w:t>
      </w:r>
      <w:r w:rsidR="00BF1A2F">
        <w:t xml:space="preserve">, </w:t>
      </w:r>
      <w:r w:rsidR="00D72810" w:rsidRPr="00933B0B">
        <w:t xml:space="preserve">with sufficient facts to demonstrate </w:t>
      </w:r>
      <w:r w:rsidR="00A5449D">
        <w:t xml:space="preserve">her </w:t>
      </w:r>
      <w:r w:rsidR="004D19AA" w:rsidRPr="00933B0B">
        <w:t>inability to pay.</w:t>
      </w:r>
      <w:r w:rsidR="00D72810">
        <w:t xml:space="preserve"> </w:t>
      </w:r>
    </w:p>
    <w:p w14:paraId="133A117B" w14:textId="0E022F8F" w:rsidR="00B1611D" w:rsidRDefault="00393F22" w:rsidP="00096AC3">
      <w:pPr>
        <w:ind w:firstLine="720"/>
      </w:pPr>
      <w:r>
        <w:t xml:space="preserve">Calkins </w:t>
      </w:r>
      <w:r w:rsidR="00DB3E0E">
        <w:t xml:space="preserve">also </w:t>
      </w:r>
      <w:r>
        <w:t xml:space="preserve">argues that the </w:t>
      </w:r>
      <w:r w:rsidR="007A43D3">
        <w:t xml:space="preserve">court abused its discretion because </w:t>
      </w:r>
      <w:r w:rsidR="00CC6199">
        <w:t xml:space="preserve">Dragones </w:t>
      </w:r>
      <w:r w:rsidR="008B3AE7">
        <w:t xml:space="preserve">failed to show that he cannot </w:t>
      </w:r>
      <w:r w:rsidR="00DB3E0E">
        <w:t xml:space="preserve">afford </w:t>
      </w:r>
      <w:r w:rsidR="003E7BC6">
        <w:t xml:space="preserve">to pay </w:t>
      </w:r>
      <w:r w:rsidR="00DB3E0E">
        <w:t xml:space="preserve">his </w:t>
      </w:r>
      <w:r w:rsidR="00CC6199">
        <w:t xml:space="preserve">own fees and because </w:t>
      </w:r>
      <w:r w:rsidR="004B6278">
        <w:t xml:space="preserve">Dragones </w:t>
      </w:r>
      <w:r w:rsidR="00A061ED">
        <w:t xml:space="preserve">earns </w:t>
      </w:r>
      <w:r w:rsidR="004B6278">
        <w:t xml:space="preserve">substantially more money than she does. </w:t>
      </w:r>
      <w:r>
        <w:t xml:space="preserve"> </w:t>
      </w:r>
      <w:r w:rsidR="00023A83">
        <w:t xml:space="preserve">However, </w:t>
      </w:r>
      <w:r w:rsidR="00A95C4F">
        <w:t xml:space="preserve">the operative </w:t>
      </w:r>
      <w:r w:rsidR="00663D2F">
        <w:t xml:space="preserve">version of </w:t>
      </w:r>
      <w:r w:rsidR="00D14262">
        <w:t>section 6344</w:t>
      </w:r>
      <w:r w:rsidR="0044300D">
        <w:t xml:space="preserve"> </w:t>
      </w:r>
      <w:r w:rsidR="00A95C4F">
        <w:t>eliminate</w:t>
      </w:r>
      <w:r w:rsidR="00663D2F">
        <w:t>s</w:t>
      </w:r>
      <w:r w:rsidR="001F63F9">
        <w:t xml:space="preserve"> </w:t>
      </w:r>
      <w:r w:rsidR="00A95C4F">
        <w:t xml:space="preserve">the requirement that a </w:t>
      </w:r>
      <w:r w:rsidR="001F7B5B">
        <w:t xml:space="preserve">prevailing petitioner </w:t>
      </w:r>
      <w:r w:rsidR="007D2113">
        <w:t xml:space="preserve">demonstrate </w:t>
      </w:r>
      <w:r w:rsidR="001F7B5B">
        <w:t>in</w:t>
      </w:r>
      <w:r w:rsidR="006C3D49">
        <w:t xml:space="preserve">ability to pay </w:t>
      </w:r>
      <w:r w:rsidR="001F7B5B">
        <w:t>attorney</w:t>
      </w:r>
      <w:r w:rsidR="007964DD">
        <w:t>’</w:t>
      </w:r>
      <w:r w:rsidR="001F7B5B">
        <w:t xml:space="preserve">s fees and a disparity in </w:t>
      </w:r>
      <w:r w:rsidR="006C3D49">
        <w:t>the parties</w:t>
      </w:r>
      <w:r w:rsidR="00CF507E">
        <w:t>’ income</w:t>
      </w:r>
      <w:r w:rsidR="00D14262">
        <w:t>.</w:t>
      </w:r>
      <w:r w:rsidR="006C3D49">
        <w:t xml:space="preserve">  </w:t>
      </w:r>
      <w:r w:rsidR="004B3128">
        <w:t xml:space="preserve">Accordingly, the trial court did not </w:t>
      </w:r>
      <w:r w:rsidR="00EA4413">
        <w:t xml:space="preserve">abuse its discretion </w:t>
      </w:r>
      <w:r w:rsidR="004B3128">
        <w:t xml:space="preserve">in awarding </w:t>
      </w:r>
      <w:r w:rsidR="004F7008">
        <w:t>attorney’s</w:t>
      </w:r>
      <w:r w:rsidR="004B3128">
        <w:t xml:space="preserve"> fees </w:t>
      </w:r>
      <w:r w:rsidR="00E1620A">
        <w:t xml:space="preserve">in the absence of that </w:t>
      </w:r>
      <w:r w:rsidR="008B3AE7">
        <w:t>showing</w:t>
      </w:r>
      <w:r w:rsidR="0096103A">
        <w:t>.</w:t>
      </w:r>
      <w:r w:rsidR="00EA4413" w:rsidRPr="003011FF">
        <w:rPr>
          <w:rStyle w:val="FootnoteReference"/>
          <w:sz w:val="24"/>
          <w:szCs w:val="24"/>
        </w:rPr>
        <w:footnoteReference w:id="5"/>
      </w:r>
    </w:p>
    <w:p w14:paraId="51A56875" w14:textId="77777777" w:rsidR="00096AC3" w:rsidRDefault="00096AC3" w:rsidP="00096AC3">
      <w:pPr>
        <w:rPr>
          <w:b/>
          <w:bCs/>
        </w:rPr>
      </w:pPr>
      <w:r>
        <w:rPr>
          <w:b/>
          <w:bCs/>
        </w:rPr>
        <w:br w:type="page"/>
      </w:r>
    </w:p>
    <w:p w14:paraId="35BD4BCA" w14:textId="2A24678D" w:rsidR="000E7508" w:rsidRDefault="000E7508" w:rsidP="00096AC3">
      <w:pPr>
        <w:jc w:val="center"/>
        <w:rPr>
          <w:b/>
          <w:bCs/>
        </w:rPr>
      </w:pPr>
      <w:r w:rsidRPr="00CA6FD9">
        <w:rPr>
          <w:b/>
          <w:bCs/>
        </w:rPr>
        <w:lastRenderedPageBreak/>
        <w:t>DISPOSITION</w:t>
      </w:r>
    </w:p>
    <w:p w14:paraId="7D496558" w14:textId="77777777" w:rsidR="00096AC3" w:rsidRPr="00CA6FD9" w:rsidRDefault="00096AC3" w:rsidP="00096AC3">
      <w:pPr>
        <w:jc w:val="center"/>
        <w:rPr>
          <w:b/>
          <w:bCs/>
        </w:rPr>
      </w:pPr>
    </w:p>
    <w:p w14:paraId="3A114F63" w14:textId="77777777" w:rsidR="000E7508" w:rsidRDefault="000E7508" w:rsidP="00096AC3">
      <w:r>
        <w:tab/>
        <w:t xml:space="preserve">The </w:t>
      </w:r>
      <w:r w:rsidR="00623407">
        <w:t>order</w:t>
      </w:r>
      <w:r w:rsidR="008C71C1">
        <w:t xml:space="preserve"> awarding attorney</w:t>
      </w:r>
      <w:r w:rsidR="00147DE0">
        <w:t>’</w:t>
      </w:r>
      <w:r w:rsidR="008C71C1">
        <w:t xml:space="preserve">s fees </w:t>
      </w:r>
      <w:r>
        <w:t xml:space="preserve">is </w:t>
      </w:r>
      <w:r w:rsidR="000B532D">
        <w:t>affirmed</w:t>
      </w:r>
      <w:r w:rsidR="008C71C1">
        <w:t xml:space="preserve">. </w:t>
      </w:r>
      <w:r w:rsidR="003E12DE">
        <w:t xml:space="preserve"> </w:t>
      </w:r>
      <w:r w:rsidR="000B532D">
        <w:t xml:space="preserve">Dragones </w:t>
      </w:r>
      <w:r>
        <w:t xml:space="preserve">is </w:t>
      </w:r>
      <w:r w:rsidR="00656D15">
        <w:t xml:space="preserve">entitled to </w:t>
      </w:r>
      <w:r>
        <w:t xml:space="preserve">recover </w:t>
      </w:r>
      <w:r w:rsidR="00656D15">
        <w:t xml:space="preserve">his </w:t>
      </w:r>
      <w:r>
        <w:t xml:space="preserve">costs on appeal.  </w:t>
      </w:r>
    </w:p>
    <w:p w14:paraId="451F5BFC" w14:textId="77777777" w:rsidR="004D3E5D" w:rsidRDefault="004D3E5D" w:rsidP="000E7508"/>
    <w:p w14:paraId="5F18B646" w14:textId="77777777" w:rsidR="00FA0E25" w:rsidRDefault="00FA0E25" w:rsidP="000E7508"/>
    <w:p w14:paraId="52159291" w14:textId="77777777" w:rsidR="004D3E5D" w:rsidRDefault="004D3E5D" w:rsidP="004D3E5D">
      <w:pPr>
        <w:spacing w:before="120" w:line="240" w:lineRule="auto"/>
      </w:pPr>
      <w:r>
        <w:tab/>
      </w:r>
      <w:r>
        <w:tab/>
      </w:r>
      <w:r>
        <w:tab/>
      </w:r>
      <w:r>
        <w:tab/>
      </w:r>
      <w:r>
        <w:tab/>
      </w:r>
      <w:r>
        <w:tab/>
      </w:r>
      <w:r>
        <w:rPr>
          <w:bCs/>
        </w:rPr>
        <w:t>EVENSON, J.</w:t>
      </w:r>
      <w:r w:rsidRPr="003011FF">
        <w:rPr>
          <w:rStyle w:val="FootnoteReference"/>
          <w:bCs/>
          <w:sz w:val="24"/>
          <w:szCs w:val="24"/>
        </w:rPr>
        <w:footnoteReference w:customMarkFollows="1" w:id="6"/>
        <w:sym w:font="Symbol" w:char="F02A"/>
      </w:r>
    </w:p>
    <w:p w14:paraId="20A4972D" w14:textId="77777777" w:rsidR="004D3E5D" w:rsidRDefault="004D3E5D" w:rsidP="000E7508"/>
    <w:p w14:paraId="65484C4C" w14:textId="77777777" w:rsidR="00FA0E25" w:rsidRDefault="00FA0E25" w:rsidP="000E7508">
      <w:r>
        <w:t>We concur:</w:t>
      </w:r>
    </w:p>
    <w:p w14:paraId="21A3ED3B" w14:textId="77777777" w:rsidR="00FA0E25" w:rsidRDefault="00FA0E25" w:rsidP="000E7508"/>
    <w:p w14:paraId="28D0C04F" w14:textId="27E635CA" w:rsidR="00FA0E25" w:rsidRDefault="00FA0E25" w:rsidP="000E7508"/>
    <w:p w14:paraId="0155CB0B" w14:textId="77777777" w:rsidR="006307CA" w:rsidRDefault="00FA0E25" w:rsidP="00FA0E25">
      <w:pPr>
        <w:ind w:firstLine="720"/>
      </w:pPr>
      <w:r>
        <w:t>FEUER, Acting P. J.</w:t>
      </w:r>
      <w:r>
        <w:tab/>
      </w:r>
      <w:r>
        <w:tab/>
      </w:r>
    </w:p>
    <w:p w14:paraId="6A397AF2" w14:textId="77777777" w:rsidR="006307CA" w:rsidRDefault="006307CA" w:rsidP="00FA0E25">
      <w:pPr>
        <w:ind w:firstLine="720"/>
      </w:pPr>
    </w:p>
    <w:p w14:paraId="24FA7456" w14:textId="77777777" w:rsidR="006307CA" w:rsidRDefault="006307CA" w:rsidP="00FA0E25">
      <w:pPr>
        <w:ind w:firstLine="720"/>
      </w:pPr>
    </w:p>
    <w:p w14:paraId="6B6E624D" w14:textId="374DC85B" w:rsidR="00FA0E25" w:rsidRDefault="00FA0E25" w:rsidP="00FA0E25">
      <w:pPr>
        <w:ind w:firstLine="720"/>
      </w:pPr>
      <w:r>
        <w:t>MARTINEZ,  J.</w:t>
      </w:r>
    </w:p>
    <w:sectPr w:rsidR="00FA0E25" w:rsidSect="004D0B59">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467E6" w14:textId="77777777" w:rsidR="004D0B59" w:rsidRDefault="004D0B59" w:rsidP="00184287">
      <w:pPr>
        <w:spacing w:line="240" w:lineRule="auto"/>
      </w:pPr>
      <w:r>
        <w:separator/>
      </w:r>
    </w:p>
  </w:endnote>
  <w:endnote w:type="continuationSeparator" w:id="0">
    <w:p w14:paraId="12229763" w14:textId="77777777" w:rsidR="004D0B59" w:rsidRDefault="004D0B59" w:rsidP="00184287">
      <w:pPr>
        <w:spacing w:line="240" w:lineRule="auto"/>
      </w:pPr>
      <w:r>
        <w:continuationSeparator/>
      </w:r>
    </w:p>
  </w:endnote>
  <w:endnote w:type="continuationNotice" w:id="1">
    <w:p w14:paraId="7AB90D7A" w14:textId="77777777" w:rsidR="004D0B59" w:rsidRDefault="004D0B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6A9E" w14:textId="77777777" w:rsidR="000D364E" w:rsidRDefault="000D364E" w:rsidP="007D3E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F20172" w14:textId="77777777" w:rsidR="000D364E" w:rsidRDefault="000D3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D224" w14:textId="77777777" w:rsidR="000D364E" w:rsidRDefault="000D364E" w:rsidP="007D3E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011FF">
      <w:rPr>
        <w:rStyle w:val="PageNumber"/>
        <w:noProof/>
      </w:rPr>
      <w:t>13</w:t>
    </w:r>
    <w:r>
      <w:rPr>
        <w:rStyle w:val="PageNumber"/>
      </w:rPr>
      <w:fldChar w:fldCharType="end"/>
    </w:r>
  </w:p>
  <w:p w14:paraId="34657CC8" w14:textId="77777777" w:rsidR="000D364E" w:rsidRDefault="000D3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8C74" w14:textId="77777777" w:rsidR="00F84152" w:rsidRDefault="00F84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2275" w14:textId="77777777" w:rsidR="004D0B59" w:rsidRDefault="004D0B59" w:rsidP="00184287">
      <w:pPr>
        <w:spacing w:line="240" w:lineRule="auto"/>
      </w:pPr>
      <w:r>
        <w:separator/>
      </w:r>
    </w:p>
  </w:footnote>
  <w:footnote w:type="continuationSeparator" w:id="0">
    <w:p w14:paraId="319A815F" w14:textId="77777777" w:rsidR="004D0B59" w:rsidRDefault="004D0B59" w:rsidP="00184287">
      <w:pPr>
        <w:spacing w:line="240" w:lineRule="auto"/>
      </w:pPr>
      <w:r>
        <w:continuationSeparator/>
      </w:r>
    </w:p>
  </w:footnote>
  <w:footnote w:type="continuationNotice" w:id="1">
    <w:p w14:paraId="3B825837" w14:textId="77777777" w:rsidR="004D0B59" w:rsidRDefault="004D0B59">
      <w:pPr>
        <w:spacing w:line="240" w:lineRule="auto"/>
      </w:pPr>
    </w:p>
  </w:footnote>
  <w:footnote w:id="2">
    <w:p w14:paraId="34A20D2C" w14:textId="44DD02F3" w:rsidR="007964DD" w:rsidRDefault="00AC324B" w:rsidP="00096AC3">
      <w:pPr>
        <w:pStyle w:val="FootnoteText"/>
        <w:spacing w:after="120"/>
      </w:pPr>
      <w:r w:rsidRPr="003011FF">
        <w:rPr>
          <w:rStyle w:val="FootnoteReference"/>
          <w:sz w:val="24"/>
          <w:szCs w:val="24"/>
        </w:rPr>
        <w:footnoteRef/>
      </w:r>
      <w:r w:rsidRPr="003011FF">
        <w:rPr>
          <w:sz w:val="24"/>
          <w:szCs w:val="24"/>
        </w:rPr>
        <w:t xml:space="preserve"> </w:t>
      </w:r>
      <w:r>
        <w:rPr>
          <w:sz w:val="24"/>
          <w:szCs w:val="24"/>
        </w:rPr>
        <w:tab/>
      </w:r>
      <w:r w:rsidRPr="003011FF">
        <w:rPr>
          <w:sz w:val="26"/>
          <w:szCs w:val="26"/>
        </w:rPr>
        <w:t>On appeal and in the trial court, the parties (including respondent’s counsel) spell the respondent’s name as both “Dragones” and “Dragonas.”  It is not clear which is the correct spelling.  Because the case is captioned “Dragones,” we use that spelling throughout.</w:t>
      </w:r>
      <w:r>
        <w:t xml:space="preserve"> </w:t>
      </w:r>
    </w:p>
  </w:footnote>
  <w:footnote w:id="3">
    <w:p w14:paraId="7DAF8B22" w14:textId="2436651D" w:rsidR="001754C5" w:rsidRDefault="000D364E" w:rsidP="00096AC3">
      <w:pPr>
        <w:pStyle w:val="FootnoteText"/>
        <w:spacing w:after="120"/>
      </w:pPr>
      <w:r w:rsidRPr="003011FF">
        <w:rPr>
          <w:rStyle w:val="FootnoteReference"/>
          <w:sz w:val="24"/>
          <w:szCs w:val="24"/>
        </w:rPr>
        <w:footnoteRef/>
      </w:r>
      <w:r w:rsidRPr="003011FF">
        <w:rPr>
          <w:sz w:val="24"/>
          <w:szCs w:val="24"/>
        </w:rPr>
        <w:t xml:space="preserve"> </w:t>
      </w:r>
      <w:r>
        <w:rPr>
          <w:sz w:val="24"/>
          <w:szCs w:val="24"/>
        </w:rPr>
        <w:tab/>
      </w:r>
      <w:r w:rsidRPr="003011FF">
        <w:rPr>
          <w:sz w:val="26"/>
          <w:szCs w:val="26"/>
        </w:rPr>
        <w:t>Undesignated statutory references are to the Family Code.</w:t>
      </w:r>
    </w:p>
  </w:footnote>
  <w:footnote w:id="4">
    <w:p w14:paraId="5279A15E" w14:textId="77777777" w:rsidR="000D364E" w:rsidRDefault="000D364E" w:rsidP="00096AC3">
      <w:pPr>
        <w:spacing w:after="120" w:line="240" w:lineRule="auto"/>
      </w:pPr>
      <w:r w:rsidRPr="003011FF">
        <w:rPr>
          <w:rStyle w:val="FootnoteReference"/>
          <w:sz w:val="24"/>
          <w:szCs w:val="24"/>
        </w:rPr>
        <w:footnoteRef/>
      </w:r>
      <w:r>
        <w:t xml:space="preserve"> </w:t>
      </w:r>
      <w:r>
        <w:tab/>
        <w:t xml:space="preserve">The </w:t>
      </w:r>
      <w:r w:rsidRPr="003B6B9F">
        <w:rPr>
          <w:i/>
          <w:iCs/>
        </w:rPr>
        <w:t>USS-Posco</w:t>
      </w:r>
      <w:r>
        <w:t xml:space="preserve"> court point</w:t>
      </w:r>
      <w:r w:rsidR="00D64131">
        <w:t>ed</w:t>
      </w:r>
      <w:r>
        <w:t xml:space="preserve"> out an anomaly in the case law:</w:t>
      </w:r>
      <w:r w:rsidR="007E1409">
        <w:t xml:space="preserve">  C</w:t>
      </w:r>
      <w:r>
        <w:t>ourts applying an amended attorney fee</w:t>
      </w:r>
      <w:r w:rsidR="005052DB">
        <w:t xml:space="preserve"> </w:t>
      </w:r>
      <w:r>
        <w:t>statute to a case currently pending do not deem such application “</w:t>
      </w:r>
      <w:r w:rsidR="007B40D2">
        <w:t>‘</w:t>
      </w:r>
      <w:r>
        <w:t>retroactive</w:t>
      </w:r>
      <w:r w:rsidR="007B40D2">
        <w:t>’</w:t>
      </w:r>
      <w:r>
        <w:t>”</w:t>
      </w:r>
      <w:r w:rsidR="007E1409">
        <w:t>;</w:t>
      </w:r>
      <w:r>
        <w:t xml:space="preserve"> instead, they term such application “</w:t>
      </w:r>
      <w:r w:rsidR="007B40D2">
        <w:t>‘</w:t>
      </w:r>
      <w:r>
        <w:t>prospective</w:t>
      </w:r>
      <w:r w:rsidR="007B40D2">
        <w:t>’</w:t>
      </w:r>
      <w:r>
        <w:t>” because an attorney fee statute is deemed to address a “</w:t>
      </w:r>
      <w:r w:rsidR="007E1409">
        <w:t>‘p</w:t>
      </w:r>
      <w:r>
        <w:t>rocedural</w:t>
      </w:r>
      <w:r w:rsidR="007E1409">
        <w:t>’</w:t>
      </w:r>
      <w:r>
        <w:t xml:space="preserve"> matter that is </w:t>
      </w:r>
      <w:r w:rsidR="007E1409">
        <w:t>‘</w:t>
      </w:r>
      <w:r>
        <w:t>prospective</w:t>
      </w:r>
      <w:r w:rsidR="007E1409">
        <w:t>’</w:t>
      </w:r>
      <w:r>
        <w:t xml:space="preserve"> in character and thus not at odds with the general presumption against retroactivity.”  (</w:t>
      </w:r>
      <w:r>
        <w:rPr>
          <w:i/>
          <w:iCs/>
        </w:rPr>
        <w:t>USS-Posco</w:t>
      </w:r>
      <w:r w:rsidRPr="00C149F6">
        <w:t>,</w:t>
      </w:r>
      <w:r>
        <w:rPr>
          <w:i/>
          <w:iCs/>
        </w:rPr>
        <w:t xml:space="preserve"> supra</w:t>
      </w:r>
      <w:r w:rsidRPr="00C149F6">
        <w:t>,</w:t>
      </w:r>
      <w:r>
        <w:rPr>
          <w:i/>
          <w:iCs/>
        </w:rPr>
        <w:t xml:space="preserve"> </w:t>
      </w:r>
      <w:r>
        <w:t>244 Cal.App.4th</w:t>
      </w:r>
      <w:r>
        <w:rPr>
          <w:i/>
          <w:iCs/>
        </w:rPr>
        <w:t xml:space="preserve"> </w:t>
      </w:r>
      <w:r>
        <w:t>at p. 2</w:t>
      </w:r>
      <w:r w:rsidR="00BB6BD3">
        <w:t>19</w:t>
      </w:r>
      <w:r>
        <w:t>.)  Courts have consistently adhered to this terminology</w:t>
      </w:r>
      <w:r w:rsidR="00D5752A">
        <w:t>,</w:t>
      </w:r>
      <w:r>
        <w:t xml:space="preserve"> even though, </w:t>
      </w:r>
      <w:r w:rsidR="00D5752A">
        <w:t xml:space="preserve">as </w:t>
      </w:r>
      <w:r>
        <w:t xml:space="preserve">the </w:t>
      </w:r>
      <w:r>
        <w:rPr>
          <w:i/>
          <w:iCs/>
        </w:rPr>
        <w:t>USS-P</w:t>
      </w:r>
      <w:r w:rsidR="00BB6BD3">
        <w:rPr>
          <w:i/>
          <w:iCs/>
        </w:rPr>
        <w:t>osco</w:t>
      </w:r>
      <w:r>
        <w:rPr>
          <w:i/>
          <w:iCs/>
        </w:rPr>
        <w:t xml:space="preserve"> </w:t>
      </w:r>
      <w:r>
        <w:t>court note</w:t>
      </w:r>
      <w:r w:rsidR="00D64131">
        <w:t>d</w:t>
      </w:r>
      <w:r>
        <w:t>, “legislation changing when attorney fees are available could readily be said to change the legal consequences of past conduct and substantially affect preexisting rights and obligations.”</w:t>
      </w:r>
      <w:r w:rsidR="007E1409">
        <w:t xml:space="preserve">  </w:t>
      </w:r>
      <w:r>
        <w:t>(</w:t>
      </w:r>
      <w:r w:rsidRPr="0083078F">
        <w:rPr>
          <w:i/>
          <w:iCs/>
        </w:rPr>
        <w:t>Id</w:t>
      </w:r>
      <w:r>
        <w:t xml:space="preserve">. at pp. 217-218.)  Notwithstanding the oddity in nomenclature and its potential for masking a material change in rights and obligations, the </w:t>
      </w:r>
      <w:r w:rsidRPr="0083078F">
        <w:rPr>
          <w:i/>
          <w:iCs/>
        </w:rPr>
        <w:t>USS-Posco</w:t>
      </w:r>
      <w:r>
        <w:t xml:space="preserve"> court follow</w:t>
      </w:r>
      <w:r w:rsidR="00D64131">
        <w:t>ed</w:t>
      </w:r>
      <w:r>
        <w:t xml:space="preserve"> the well-established rule, applying the amended Labor Code attorney fee statute to the pending case.  (</w:t>
      </w:r>
      <w:r w:rsidRPr="0083078F">
        <w:rPr>
          <w:i/>
          <w:iCs/>
        </w:rPr>
        <w:t>Id</w:t>
      </w:r>
      <w:r>
        <w:t>. at p. 221.)</w:t>
      </w:r>
    </w:p>
  </w:footnote>
  <w:footnote w:id="5">
    <w:p w14:paraId="1F308378" w14:textId="77777777" w:rsidR="000D364E" w:rsidRDefault="000D364E" w:rsidP="001754C5">
      <w:pPr>
        <w:pStyle w:val="FootnoteText"/>
        <w:rPr>
          <w:sz w:val="26"/>
          <w:szCs w:val="26"/>
        </w:rPr>
      </w:pPr>
      <w:r w:rsidRPr="003011FF">
        <w:rPr>
          <w:rStyle w:val="FootnoteReference"/>
          <w:sz w:val="24"/>
          <w:szCs w:val="24"/>
        </w:rPr>
        <w:footnoteRef/>
      </w:r>
      <w:r w:rsidRPr="003011FF">
        <w:rPr>
          <w:sz w:val="24"/>
          <w:szCs w:val="24"/>
        </w:rPr>
        <w:t xml:space="preserve"> </w:t>
      </w:r>
      <w:r>
        <w:rPr>
          <w:sz w:val="24"/>
          <w:szCs w:val="24"/>
        </w:rPr>
        <w:tab/>
      </w:r>
      <w:r w:rsidRPr="00EA4413">
        <w:rPr>
          <w:sz w:val="26"/>
          <w:szCs w:val="26"/>
        </w:rPr>
        <w:t>Because we affirm the trial court’s order awarding fees to Dragones as a prevailing petitioner</w:t>
      </w:r>
      <w:r>
        <w:rPr>
          <w:sz w:val="26"/>
          <w:szCs w:val="26"/>
        </w:rPr>
        <w:t>,</w:t>
      </w:r>
      <w:r w:rsidRPr="00EA4413">
        <w:rPr>
          <w:sz w:val="26"/>
          <w:szCs w:val="26"/>
        </w:rPr>
        <w:t xml:space="preserve"> we </w:t>
      </w:r>
      <w:r>
        <w:rPr>
          <w:sz w:val="26"/>
          <w:szCs w:val="26"/>
        </w:rPr>
        <w:t xml:space="preserve">need </w:t>
      </w:r>
      <w:r w:rsidRPr="00EA4413">
        <w:rPr>
          <w:sz w:val="26"/>
          <w:szCs w:val="26"/>
        </w:rPr>
        <w:t xml:space="preserve">not </w:t>
      </w:r>
      <w:r>
        <w:rPr>
          <w:sz w:val="26"/>
          <w:szCs w:val="26"/>
        </w:rPr>
        <w:t xml:space="preserve">address </w:t>
      </w:r>
      <w:r w:rsidRPr="00EA4413">
        <w:rPr>
          <w:sz w:val="26"/>
          <w:szCs w:val="26"/>
        </w:rPr>
        <w:t>whether the court could also</w:t>
      </w:r>
      <w:r w:rsidRPr="00EA4413">
        <w:rPr>
          <w:i/>
          <w:iCs/>
          <w:sz w:val="26"/>
          <w:szCs w:val="26"/>
        </w:rPr>
        <w:t xml:space="preserve"> </w:t>
      </w:r>
      <w:r w:rsidRPr="00EA4413">
        <w:rPr>
          <w:sz w:val="26"/>
          <w:szCs w:val="26"/>
        </w:rPr>
        <w:t>have awarded fees to Dragones as a prevailing respondent.</w:t>
      </w:r>
    </w:p>
    <w:p w14:paraId="233050C9" w14:textId="77777777" w:rsidR="001754C5" w:rsidRDefault="001754C5" w:rsidP="001754C5">
      <w:pPr>
        <w:pStyle w:val="FootnoteText"/>
      </w:pPr>
    </w:p>
  </w:footnote>
  <w:footnote w:id="6">
    <w:p w14:paraId="0F97FFB8" w14:textId="77777777" w:rsidR="004D3E5D" w:rsidRDefault="004D3E5D" w:rsidP="00096AC3">
      <w:pPr>
        <w:pStyle w:val="FootnoteText"/>
        <w:spacing w:after="120"/>
      </w:pPr>
      <w:r w:rsidRPr="003011FF">
        <w:rPr>
          <w:rStyle w:val="FootnoteReference"/>
          <w:sz w:val="24"/>
          <w:szCs w:val="24"/>
        </w:rPr>
        <w:sym w:font="Symbol" w:char="F02A"/>
      </w:r>
      <w:r>
        <w:t xml:space="preserve"> </w:t>
      </w:r>
      <w:r>
        <w:tab/>
      </w:r>
      <w:r w:rsidRPr="003011FF">
        <w:rPr>
          <w:sz w:val="26"/>
          <w:szCs w:val="26"/>
        </w:rPr>
        <w:t>Judge of the Alameda County Superior Court, assigned by the Chief Justice pursuant to article VI, section 6 of the California Constitution</w:t>
      </w:r>
      <w:r w:rsidRPr="00BC2EB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9465" w14:textId="77777777" w:rsidR="00F84152" w:rsidRDefault="00F84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5FD4" w14:textId="77777777" w:rsidR="00F84152" w:rsidRDefault="00F84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D81A" w14:textId="77777777" w:rsidR="00F84152" w:rsidRDefault="00F84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3D69"/>
    <w:multiLevelType w:val="hybridMultilevel"/>
    <w:tmpl w:val="3E7A5544"/>
    <w:lvl w:ilvl="0" w:tplc="4028B60A">
      <w:start w:val="1"/>
      <w:numFmt w:val="lowerLetter"/>
      <w:lvlText w:val="(%1)"/>
      <w:lvlJc w:val="left"/>
      <w:pPr>
        <w:ind w:left="4260" w:hanging="39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 w15:restartNumberingAfterBreak="0">
    <w:nsid w:val="12E92014"/>
    <w:multiLevelType w:val="hybridMultilevel"/>
    <w:tmpl w:val="FBF0A9F0"/>
    <w:lvl w:ilvl="0" w:tplc="D0B435C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A347C"/>
    <w:multiLevelType w:val="hybridMultilevel"/>
    <w:tmpl w:val="ED36E12E"/>
    <w:lvl w:ilvl="0" w:tplc="5DE6D63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7414875">
    <w:abstractNumId w:val="1"/>
  </w:num>
  <w:num w:numId="2" w16cid:durableId="1298729848">
    <w:abstractNumId w:val="0"/>
  </w:num>
  <w:num w:numId="3" w16cid:durableId="1035352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EC"/>
    <w:rsid w:val="00000DE5"/>
    <w:rsid w:val="00002168"/>
    <w:rsid w:val="00002221"/>
    <w:rsid w:val="00005451"/>
    <w:rsid w:val="00005F00"/>
    <w:rsid w:val="00006E8C"/>
    <w:rsid w:val="0000703B"/>
    <w:rsid w:val="000078C6"/>
    <w:rsid w:val="00007C0F"/>
    <w:rsid w:val="000115AB"/>
    <w:rsid w:val="000124FA"/>
    <w:rsid w:val="00013B51"/>
    <w:rsid w:val="00015947"/>
    <w:rsid w:val="00021C09"/>
    <w:rsid w:val="00022E11"/>
    <w:rsid w:val="0002356B"/>
    <w:rsid w:val="00023A83"/>
    <w:rsid w:val="00026040"/>
    <w:rsid w:val="00031159"/>
    <w:rsid w:val="000314C6"/>
    <w:rsid w:val="00032573"/>
    <w:rsid w:val="0003284C"/>
    <w:rsid w:val="000362A9"/>
    <w:rsid w:val="00037494"/>
    <w:rsid w:val="00040629"/>
    <w:rsid w:val="000406A0"/>
    <w:rsid w:val="00042981"/>
    <w:rsid w:val="00042F98"/>
    <w:rsid w:val="000443CB"/>
    <w:rsid w:val="00046735"/>
    <w:rsid w:val="00046881"/>
    <w:rsid w:val="00052057"/>
    <w:rsid w:val="000567E2"/>
    <w:rsid w:val="00056C44"/>
    <w:rsid w:val="000570CB"/>
    <w:rsid w:val="00057CF5"/>
    <w:rsid w:val="000600B8"/>
    <w:rsid w:val="00061924"/>
    <w:rsid w:val="00063EC4"/>
    <w:rsid w:val="00063FC9"/>
    <w:rsid w:val="00065135"/>
    <w:rsid w:val="000715CB"/>
    <w:rsid w:val="000716BC"/>
    <w:rsid w:val="00072091"/>
    <w:rsid w:val="00072121"/>
    <w:rsid w:val="0007258B"/>
    <w:rsid w:val="00072DB3"/>
    <w:rsid w:val="00074549"/>
    <w:rsid w:val="00074E7B"/>
    <w:rsid w:val="0007737D"/>
    <w:rsid w:val="00080800"/>
    <w:rsid w:val="00083088"/>
    <w:rsid w:val="000836BD"/>
    <w:rsid w:val="00085A84"/>
    <w:rsid w:val="0008786F"/>
    <w:rsid w:val="000910A2"/>
    <w:rsid w:val="00094029"/>
    <w:rsid w:val="000943E6"/>
    <w:rsid w:val="00096729"/>
    <w:rsid w:val="00096AC3"/>
    <w:rsid w:val="00096F3D"/>
    <w:rsid w:val="000A1827"/>
    <w:rsid w:val="000A1EE5"/>
    <w:rsid w:val="000A247B"/>
    <w:rsid w:val="000A247C"/>
    <w:rsid w:val="000A47D1"/>
    <w:rsid w:val="000A4E01"/>
    <w:rsid w:val="000A58B5"/>
    <w:rsid w:val="000A66D9"/>
    <w:rsid w:val="000A79C0"/>
    <w:rsid w:val="000A7A63"/>
    <w:rsid w:val="000A7CFC"/>
    <w:rsid w:val="000B05D0"/>
    <w:rsid w:val="000B2BC0"/>
    <w:rsid w:val="000B532D"/>
    <w:rsid w:val="000B6554"/>
    <w:rsid w:val="000B6D26"/>
    <w:rsid w:val="000B704D"/>
    <w:rsid w:val="000B76EB"/>
    <w:rsid w:val="000C0E22"/>
    <w:rsid w:val="000C1410"/>
    <w:rsid w:val="000C23E9"/>
    <w:rsid w:val="000C286E"/>
    <w:rsid w:val="000C2DEC"/>
    <w:rsid w:val="000C3C7A"/>
    <w:rsid w:val="000C5E6F"/>
    <w:rsid w:val="000C5FA5"/>
    <w:rsid w:val="000C6076"/>
    <w:rsid w:val="000C68B8"/>
    <w:rsid w:val="000D1DFE"/>
    <w:rsid w:val="000D246E"/>
    <w:rsid w:val="000D2DC6"/>
    <w:rsid w:val="000D364E"/>
    <w:rsid w:val="000D4437"/>
    <w:rsid w:val="000D4BA2"/>
    <w:rsid w:val="000D4D43"/>
    <w:rsid w:val="000D5194"/>
    <w:rsid w:val="000D6440"/>
    <w:rsid w:val="000D6792"/>
    <w:rsid w:val="000D6C78"/>
    <w:rsid w:val="000D7EAD"/>
    <w:rsid w:val="000E0F8C"/>
    <w:rsid w:val="000E189C"/>
    <w:rsid w:val="000E6658"/>
    <w:rsid w:val="000E673C"/>
    <w:rsid w:val="000E68BC"/>
    <w:rsid w:val="000E7508"/>
    <w:rsid w:val="000F14D7"/>
    <w:rsid w:val="000F1763"/>
    <w:rsid w:val="000F1F10"/>
    <w:rsid w:val="000F2546"/>
    <w:rsid w:val="000F44ED"/>
    <w:rsid w:val="000F5049"/>
    <w:rsid w:val="000F671D"/>
    <w:rsid w:val="000F7D9A"/>
    <w:rsid w:val="00105D30"/>
    <w:rsid w:val="00107314"/>
    <w:rsid w:val="001108BD"/>
    <w:rsid w:val="00112031"/>
    <w:rsid w:val="001124E7"/>
    <w:rsid w:val="001140E2"/>
    <w:rsid w:val="00114853"/>
    <w:rsid w:val="00117695"/>
    <w:rsid w:val="00117C7A"/>
    <w:rsid w:val="00120FEE"/>
    <w:rsid w:val="00121611"/>
    <w:rsid w:val="00124281"/>
    <w:rsid w:val="00124850"/>
    <w:rsid w:val="001253CA"/>
    <w:rsid w:val="00127270"/>
    <w:rsid w:val="00127F8A"/>
    <w:rsid w:val="00130A1A"/>
    <w:rsid w:val="001318FB"/>
    <w:rsid w:val="001345C7"/>
    <w:rsid w:val="00134B23"/>
    <w:rsid w:val="00136BAF"/>
    <w:rsid w:val="0013735B"/>
    <w:rsid w:val="00140AAF"/>
    <w:rsid w:val="00140AF9"/>
    <w:rsid w:val="001411DB"/>
    <w:rsid w:val="00143885"/>
    <w:rsid w:val="00143F4E"/>
    <w:rsid w:val="00145A62"/>
    <w:rsid w:val="00145AD8"/>
    <w:rsid w:val="001466D3"/>
    <w:rsid w:val="00146F24"/>
    <w:rsid w:val="00147944"/>
    <w:rsid w:val="00147DE0"/>
    <w:rsid w:val="001505ED"/>
    <w:rsid w:val="00150D57"/>
    <w:rsid w:val="00151F4D"/>
    <w:rsid w:val="00152E93"/>
    <w:rsid w:val="00157816"/>
    <w:rsid w:val="0015789B"/>
    <w:rsid w:val="001601B7"/>
    <w:rsid w:val="00162889"/>
    <w:rsid w:val="00163C95"/>
    <w:rsid w:val="001648EE"/>
    <w:rsid w:val="00164DB2"/>
    <w:rsid w:val="001678BC"/>
    <w:rsid w:val="0017307B"/>
    <w:rsid w:val="001754C5"/>
    <w:rsid w:val="00176F08"/>
    <w:rsid w:val="00177156"/>
    <w:rsid w:val="001808A4"/>
    <w:rsid w:val="00180E66"/>
    <w:rsid w:val="00180FAA"/>
    <w:rsid w:val="0018171B"/>
    <w:rsid w:val="00181A4A"/>
    <w:rsid w:val="00182F96"/>
    <w:rsid w:val="0018353A"/>
    <w:rsid w:val="00183DBE"/>
    <w:rsid w:val="00183DFC"/>
    <w:rsid w:val="0018401E"/>
    <w:rsid w:val="00184064"/>
    <w:rsid w:val="00184287"/>
    <w:rsid w:val="00185928"/>
    <w:rsid w:val="0018713C"/>
    <w:rsid w:val="0019022E"/>
    <w:rsid w:val="00192A9E"/>
    <w:rsid w:val="00194A74"/>
    <w:rsid w:val="00197E5E"/>
    <w:rsid w:val="001A0C1D"/>
    <w:rsid w:val="001A18D6"/>
    <w:rsid w:val="001A2FD8"/>
    <w:rsid w:val="001A409D"/>
    <w:rsid w:val="001A6F33"/>
    <w:rsid w:val="001A7403"/>
    <w:rsid w:val="001A741C"/>
    <w:rsid w:val="001A7733"/>
    <w:rsid w:val="001B096E"/>
    <w:rsid w:val="001B140C"/>
    <w:rsid w:val="001B1E5C"/>
    <w:rsid w:val="001B2131"/>
    <w:rsid w:val="001B275A"/>
    <w:rsid w:val="001B2D23"/>
    <w:rsid w:val="001B3AC3"/>
    <w:rsid w:val="001B4B2D"/>
    <w:rsid w:val="001B5A3C"/>
    <w:rsid w:val="001C039B"/>
    <w:rsid w:val="001C3763"/>
    <w:rsid w:val="001C44B5"/>
    <w:rsid w:val="001C48C4"/>
    <w:rsid w:val="001C5136"/>
    <w:rsid w:val="001C6080"/>
    <w:rsid w:val="001C6197"/>
    <w:rsid w:val="001D01D0"/>
    <w:rsid w:val="001D01FD"/>
    <w:rsid w:val="001D0CF6"/>
    <w:rsid w:val="001D1AB8"/>
    <w:rsid w:val="001D1E67"/>
    <w:rsid w:val="001D4656"/>
    <w:rsid w:val="001D7422"/>
    <w:rsid w:val="001E0314"/>
    <w:rsid w:val="001E05F6"/>
    <w:rsid w:val="001E0D5B"/>
    <w:rsid w:val="001E33EE"/>
    <w:rsid w:val="001E41FC"/>
    <w:rsid w:val="001E4DAD"/>
    <w:rsid w:val="001E74C2"/>
    <w:rsid w:val="001E7BCB"/>
    <w:rsid w:val="001F0D40"/>
    <w:rsid w:val="001F1606"/>
    <w:rsid w:val="001F2F1A"/>
    <w:rsid w:val="001F395E"/>
    <w:rsid w:val="001F4781"/>
    <w:rsid w:val="001F500B"/>
    <w:rsid w:val="001F55A9"/>
    <w:rsid w:val="001F63F9"/>
    <w:rsid w:val="001F7400"/>
    <w:rsid w:val="001F7B5B"/>
    <w:rsid w:val="0020014C"/>
    <w:rsid w:val="00201207"/>
    <w:rsid w:val="002024C3"/>
    <w:rsid w:val="002028D5"/>
    <w:rsid w:val="002055BA"/>
    <w:rsid w:val="00205890"/>
    <w:rsid w:val="0020613B"/>
    <w:rsid w:val="0020673D"/>
    <w:rsid w:val="00206E0A"/>
    <w:rsid w:val="00206FE8"/>
    <w:rsid w:val="00210534"/>
    <w:rsid w:val="00211310"/>
    <w:rsid w:val="00212A9F"/>
    <w:rsid w:val="00213EFA"/>
    <w:rsid w:val="0021545F"/>
    <w:rsid w:val="00217889"/>
    <w:rsid w:val="00221CC8"/>
    <w:rsid w:val="00225199"/>
    <w:rsid w:val="00225533"/>
    <w:rsid w:val="00227437"/>
    <w:rsid w:val="00231354"/>
    <w:rsid w:val="002320F6"/>
    <w:rsid w:val="00232524"/>
    <w:rsid w:val="00232AF7"/>
    <w:rsid w:val="00232D28"/>
    <w:rsid w:val="00240057"/>
    <w:rsid w:val="002419F6"/>
    <w:rsid w:val="00243B5F"/>
    <w:rsid w:val="00247CF6"/>
    <w:rsid w:val="00250321"/>
    <w:rsid w:val="00250960"/>
    <w:rsid w:val="0025212D"/>
    <w:rsid w:val="0025239E"/>
    <w:rsid w:val="00252543"/>
    <w:rsid w:val="002548C8"/>
    <w:rsid w:val="00260D6C"/>
    <w:rsid w:val="00263EA6"/>
    <w:rsid w:val="00266192"/>
    <w:rsid w:val="00266612"/>
    <w:rsid w:val="00267C60"/>
    <w:rsid w:val="00272107"/>
    <w:rsid w:val="00273427"/>
    <w:rsid w:val="0027402B"/>
    <w:rsid w:val="00274438"/>
    <w:rsid w:val="00275CE9"/>
    <w:rsid w:val="00275DA1"/>
    <w:rsid w:val="00276393"/>
    <w:rsid w:val="00276C37"/>
    <w:rsid w:val="00277D6D"/>
    <w:rsid w:val="00280C68"/>
    <w:rsid w:val="00281F23"/>
    <w:rsid w:val="00283F86"/>
    <w:rsid w:val="00284007"/>
    <w:rsid w:val="0028493B"/>
    <w:rsid w:val="00285220"/>
    <w:rsid w:val="0028776C"/>
    <w:rsid w:val="00287D18"/>
    <w:rsid w:val="0029116C"/>
    <w:rsid w:val="00291908"/>
    <w:rsid w:val="00291E50"/>
    <w:rsid w:val="00292B5F"/>
    <w:rsid w:val="00293EAD"/>
    <w:rsid w:val="00294C40"/>
    <w:rsid w:val="002954A0"/>
    <w:rsid w:val="00296A3F"/>
    <w:rsid w:val="00297467"/>
    <w:rsid w:val="002A0D64"/>
    <w:rsid w:val="002A2979"/>
    <w:rsid w:val="002B1233"/>
    <w:rsid w:val="002B214B"/>
    <w:rsid w:val="002B2B24"/>
    <w:rsid w:val="002B3405"/>
    <w:rsid w:val="002B3EBB"/>
    <w:rsid w:val="002B57D6"/>
    <w:rsid w:val="002B5FA2"/>
    <w:rsid w:val="002B6AFE"/>
    <w:rsid w:val="002C080F"/>
    <w:rsid w:val="002C11E5"/>
    <w:rsid w:val="002C1545"/>
    <w:rsid w:val="002C18BD"/>
    <w:rsid w:val="002C2698"/>
    <w:rsid w:val="002C4E29"/>
    <w:rsid w:val="002C5C4D"/>
    <w:rsid w:val="002C65EF"/>
    <w:rsid w:val="002C7027"/>
    <w:rsid w:val="002C78AB"/>
    <w:rsid w:val="002D058D"/>
    <w:rsid w:val="002D0959"/>
    <w:rsid w:val="002D1AEE"/>
    <w:rsid w:val="002D29F8"/>
    <w:rsid w:val="002D4C59"/>
    <w:rsid w:val="002D4FC3"/>
    <w:rsid w:val="002D70D4"/>
    <w:rsid w:val="002D7639"/>
    <w:rsid w:val="002D798B"/>
    <w:rsid w:val="002E1B88"/>
    <w:rsid w:val="002E1C48"/>
    <w:rsid w:val="002E2753"/>
    <w:rsid w:val="002E4DA9"/>
    <w:rsid w:val="002E5B37"/>
    <w:rsid w:val="002E5F76"/>
    <w:rsid w:val="002E793B"/>
    <w:rsid w:val="002F0345"/>
    <w:rsid w:val="002F1E04"/>
    <w:rsid w:val="002F23E7"/>
    <w:rsid w:val="002F3836"/>
    <w:rsid w:val="002F38D8"/>
    <w:rsid w:val="002F5024"/>
    <w:rsid w:val="002F583F"/>
    <w:rsid w:val="002F5A12"/>
    <w:rsid w:val="003005F1"/>
    <w:rsid w:val="003011FF"/>
    <w:rsid w:val="00302851"/>
    <w:rsid w:val="00305179"/>
    <w:rsid w:val="00305EFB"/>
    <w:rsid w:val="003066CB"/>
    <w:rsid w:val="00307C61"/>
    <w:rsid w:val="00312035"/>
    <w:rsid w:val="00312186"/>
    <w:rsid w:val="00315D75"/>
    <w:rsid w:val="00316CC5"/>
    <w:rsid w:val="00317595"/>
    <w:rsid w:val="00320934"/>
    <w:rsid w:val="00320E01"/>
    <w:rsid w:val="00322852"/>
    <w:rsid w:val="00322F81"/>
    <w:rsid w:val="00325AB2"/>
    <w:rsid w:val="003263E6"/>
    <w:rsid w:val="0032676D"/>
    <w:rsid w:val="00327C4D"/>
    <w:rsid w:val="00327CED"/>
    <w:rsid w:val="003340FA"/>
    <w:rsid w:val="00334E43"/>
    <w:rsid w:val="00335514"/>
    <w:rsid w:val="003378BB"/>
    <w:rsid w:val="00340037"/>
    <w:rsid w:val="00340D49"/>
    <w:rsid w:val="00341142"/>
    <w:rsid w:val="003411EC"/>
    <w:rsid w:val="003417DA"/>
    <w:rsid w:val="00342283"/>
    <w:rsid w:val="00342D74"/>
    <w:rsid w:val="00342EC9"/>
    <w:rsid w:val="00343F08"/>
    <w:rsid w:val="00344494"/>
    <w:rsid w:val="00345BE2"/>
    <w:rsid w:val="00345ECA"/>
    <w:rsid w:val="00346502"/>
    <w:rsid w:val="003500D4"/>
    <w:rsid w:val="0035106C"/>
    <w:rsid w:val="00351C8D"/>
    <w:rsid w:val="0035377C"/>
    <w:rsid w:val="003565A6"/>
    <w:rsid w:val="00356979"/>
    <w:rsid w:val="003569D1"/>
    <w:rsid w:val="00357EAB"/>
    <w:rsid w:val="003600FD"/>
    <w:rsid w:val="0036090E"/>
    <w:rsid w:val="00361EB2"/>
    <w:rsid w:val="00361F9C"/>
    <w:rsid w:val="0036248E"/>
    <w:rsid w:val="0036256E"/>
    <w:rsid w:val="00362FAA"/>
    <w:rsid w:val="003651CF"/>
    <w:rsid w:val="003663A4"/>
    <w:rsid w:val="00366853"/>
    <w:rsid w:val="0036755A"/>
    <w:rsid w:val="00370A4C"/>
    <w:rsid w:val="00370E7A"/>
    <w:rsid w:val="00370F8F"/>
    <w:rsid w:val="0037271A"/>
    <w:rsid w:val="00372FD1"/>
    <w:rsid w:val="003731D1"/>
    <w:rsid w:val="00373791"/>
    <w:rsid w:val="00373D06"/>
    <w:rsid w:val="00374EFD"/>
    <w:rsid w:val="00374F46"/>
    <w:rsid w:val="0037526D"/>
    <w:rsid w:val="00375A0A"/>
    <w:rsid w:val="00376379"/>
    <w:rsid w:val="003769FF"/>
    <w:rsid w:val="00377303"/>
    <w:rsid w:val="003775E3"/>
    <w:rsid w:val="003806FD"/>
    <w:rsid w:val="0038081A"/>
    <w:rsid w:val="0038574F"/>
    <w:rsid w:val="003870BA"/>
    <w:rsid w:val="003906E9"/>
    <w:rsid w:val="0039195A"/>
    <w:rsid w:val="00392265"/>
    <w:rsid w:val="00393F22"/>
    <w:rsid w:val="003972C8"/>
    <w:rsid w:val="003A182A"/>
    <w:rsid w:val="003A2667"/>
    <w:rsid w:val="003A33F9"/>
    <w:rsid w:val="003A4F3D"/>
    <w:rsid w:val="003A76A5"/>
    <w:rsid w:val="003A7AB3"/>
    <w:rsid w:val="003B36D5"/>
    <w:rsid w:val="003B3767"/>
    <w:rsid w:val="003B3916"/>
    <w:rsid w:val="003B4055"/>
    <w:rsid w:val="003B4082"/>
    <w:rsid w:val="003B564D"/>
    <w:rsid w:val="003B6B9F"/>
    <w:rsid w:val="003B76A3"/>
    <w:rsid w:val="003C1B24"/>
    <w:rsid w:val="003C21CE"/>
    <w:rsid w:val="003C2683"/>
    <w:rsid w:val="003C276B"/>
    <w:rsid w:val="003C3B4A"/>
    <w:rsid w:val="003C50C6"/>
    <w:rsid w:val="003C5354"/>
    <w:rsid w:val="003C58CC"/>
    <w:rsid w:val="003C58F4"/>
    <w:rsid w:val="003C6022"/>
    <w:rsid w:val="003C6AA7"/>
    <w:rsid w:val="003C7120"/>
    <w:rsid w:val="003C73A3"/>
    <w:rsid w:val="003C74B1"/>
    <w:rsid w:val="003C79A1"/>
    <w:rsid w:val="003D002E"/>
    <w:rsid w:val="003D0F8C"/>
    <w:rsid w:val="003D4293"/>
    <w:rsid w:val="003D43FA"/>
    <w:rsid w:val="003D4886"/>
    <w:rsid w:val="003D5078"/>
    <w:rsid w:val="003D6A04"/>
    <w:rsid w:val="003D6B8B"/>
    <w:rsid w:val="003D6E4E"/>
    <w:rsid w:val="003E0347"/>
    <w:rsid w:val="003E066E"/>
    <w:rsid w:val="003E0D0C"/>
    <w:rsid w:val="003E12DE"/>
    <w:rsid w:val="003E1309"/>
    <w:rsid w:val="003E1A8F"/>
    <w:rsid w:val="003E3EE0"/>
    <w:rsid w:val="003E3F03"/>
    <w:rsid w:val="003E404F"/>
    <w:rsid w:val="003E5828"/>
    <w:rsid w:val="003E5B9E"/>
    <w:rsid w:val="003E65DC"/>
    <w:rsid w:val="003E7BC6"/>
    <w:rsid w:val="003F1550"/>
    <w:rsid w:val="003F2C27"/>
    <w:rsid w:val="003F321A"/>
    <w:rsid w:val="003F58DA"/>
    <w:rsid w:val="003F6267"/>
    <w:rsid w:val="003F66E8"/>
    <w:rsid w:val="003F7862"/>
    <w:rsid w:val="003F787F"/>
    <w:rsid w:val="003F7F53"/>
    <w:rsid w:val="003F7FAE"/>
    <w:rsid w:val="00400DC2"/>
    <w:rsid w:val="0040218C"/>
    <w:rsid w:val="00402299"/>
    <w:rsid w:val="004029D9"/>
    <w:rsid w:val="004031C5"/>
    <w:rsid w:val="00403D47"/>
    <w:rsid w:val="004054C5"/>
    <w:rsid w:val="004076A1"/>
    <w:rsid w:val="004143E6"/>
    <w:rsid w:val="004153B0"/>
    <w:rsid w:val="004156F7"/>
    <w:rsid w:val="004168E1"/>
    <w:rsid w:val="0041698F"/>
    <w:rsid w:val="00416B39"/>
    <w:rsid w:val="00420F5C"/>
    <w:rsid w:val="004223DD"/>
    <w:rsid w:val="0042375E"/>
    <w:rsid w:val="00424B58"/>
    <w:rsid w:val="00427011"/>
    <w:rsid w:val="00427DE9"/>
    <w:rsid w:val="00431980"/>
    <w:rsid w:val="00432ADE"/>
    <w:rsid w:val="00433DFF"/>
    <w:rsid w:val="0043439B"/>
    <w:rsid w:val="00435034"/>
    <w:rsid w:val="0043580B"/>
    <w:rsid w:val="00436753"/>
    <w:rsid w:val="00436AB0"/>
    <w:rsid w:val="00436ADA"/>
    <w:rsid w:val="004411FD"/>
    <w:rsid w:val="00441990"/>
    <w:rsid w:val="0044300D"/>
    <w:rsid w:val="004441A5"/>
    <w:rsid w:val="00444B41"/>
    <w:rsid w:val="00444ECE"/>
    <w:rsid w:val="0044619A"/>
    <w:rsid w:val="00446CC8"/>
    <w:rsid w:val="00447A78"/>
    <w:rsid w:val="00450151"/>
    <w:rsid w:val="00450594"/>
    <w:rsid w:val="00451710"/>
    <w:rsid w:val="00451A2A"/>
    <w:rsid w:val="00451A67"/>
    <w:rsid w:val="004525E9"/>
    <w:rsid w:val="004534A0"/>
    <w:rsid w:val="00453A61"/>
    <w:rsid w:val="00454665"/>
    <w:rsid w:val="00455287"/>
    <w:rsid w:val="00455761"/>
    <w:rsid w:val="004608FD"/>
    <w:rsid w:val="00461931"/>
    <w:rsid w:val="00462FA8"/>
    <w:rsid w:val="0046384E"/>
    <w:rsid w:val="0046527E"/>
    <w:rsid w:val="00470BCF"/>
    <w:rsid w:val="00471E2A"/>
    <w:rsid w:val="00472AAE"/>
    <w:rsid w:val="004804D8"/>
    <w:rsid w:val="0048234C"/>
    <w:rsid w:val="00484B76"/>
    <w:rsid w:val="00484DD7"/>
    <w:rsid w:val="00486943"/>
    <w:rsid w:val="004870C6"/>
    <w:rsid w:val="0048772B"/>
    <w:rsid w:val="0048783A"/>
    <w:rsid w:val="004945A1"/>
    <w:rsid w:val="00494865"/>
    <w:rsid w:val="00495349"/>
    <w:rsid w:val="00496A6E"/>
    <w:rsid w:val="00496B6D"/>
    <w:rsid w:val="00497037"/>
    <w:rsid w:val="00497E47"/>
    <w:rsid w:val="004A0270"/>
    <w:rsid w:val="004A09BC"/>
    <w:rsid w:val="004A19FC"/>
    <w:rsid w:val="004A24FC"/>
    <w:rsid w:val="004A5372"/>
    <w:rsid w:val="004A6A1A"/>
    <w:rsid w:val="004B12C8"/>
    <w:rsid w:val="004B3128"/>
    <w:rsid w:val="004B6278"/>
    <w:rsid w:val="004C1BDC"/>
    <w:rsid w:val="004C4FCC"/>
    <w:rsid w:val="004C76A8"/>
    <w:rsid w:val="004D0B59"/>
    <w:rsid w:val="004D0F2A"/>
    <w:rsid w:val="004D19AA"/>
    <w:rsid w:val="004D28F1"/>
    <w:rsid w:val="004D29B6"/>
    <w:rsid w:val="004D3E5D"/>
    <w:rsid w:val="004D4462"/>
    <w:rsid w:val="004D58AD"/>
    <w:rsid w:val="004D62A3"/>
    <w:rsid w:val="004D677E"/>
    <w:rsid w:val="004D7ED0"/>
    <w:rsid w:val="004E0298"/>
    <w:rsid w:val="004E1871"/>
    <w:rsid w:val="004E2876"/>
    <w:rsid w:val="004E2AA3"/>
    <w:rsid w:val="004E32EC"/>
    <w:rsid w:val="004E3559"/>
    <w:rsid w:val="004E4223"/>
    <w:rsid w:val="004E4404"/>
    <w:rsid w:val="004E575A"/>
    <w:rsid w:val="004E6A9F"/>
    <w:rsid w:val="004E7A6C"/>
    <w:rsid w:val="004E7C52"/>
    <w:rsid w:val="004E7C59"/>
    <w:rsid w:val="004F08F2"/>
    <w:rsid w:val="004F0E78"/>
    <w:rsid w:val="004F1766"/>
    <w:rsid w:val="004F1DDE"/>
    <w:rsid w:val="004F2714"/>
    <w:rsid w:val="004F5D4C"/>
    <w:rsid w:val="004F7008"/>
    <w:rsid w:val="004F7913"/>
    <w:rsid w:val="005034CB"/>
    <w:rsid w:val="0050359F"/>
    <w:rsid w:val="005039D9"/>
    <w:rsid w:val="00503DD0"/>
    <w:rsid w:val="005052DB"/>
    <w:rsid w:val="00505393"/>
    <w:rsid w:val="00507865"/>
    <w:rsid w:val="00507C6F"/>
    <w:rsid w:val="00511A44"/>
    <w:rsid w:val="00511B1E"/>
    <w:rsid w:val="005123D6"/>
    <w:rsid w:val="00512798"/>
    <w:rsid w:val="00513B24"/>
    <w:rsid w:val="00514C22"/>
    <w:rsid w:val="00515A98"/>
    <w:rsid w:val="00515B9B"/>
    <w:rsid w:val="00517417"/>
    <w:rsid w:val="00521072"/>
    <w:rsid w:val="005214F5"/>
    <w:rsid w:val="0052544D"/>
    <w:rsid w:val="005261B1"/>
    <w:rsid w:val="00526976"/>
    <w:rsid w:val="00526B11"/>
    <w:rsid w:val="00531356"/>
    <w:rsid w:val="00531EC7"/>
    <w:rsid w:val="00533140"/>
    <w:rsid w:val="005334F5"/>
    <w:rsid w:val="00533A27"/>
    <w:rsid w:val="00536D0B"/>
    <w:rsid w:val="00537987"/>
    <w:rsid w:val="00537E06"/>
    <w:rsid w:val="005400E3"/>
    <w:rsid w:val="00540A84"/>
    <w:rsid w:val="00541B60"/>
    <w:rsid w:val="00542273"/>
    <w:rsid w:val="00544259"/>
    <w:rsid w:val="00547331"/>
    <w:rsid w:val="0054754C"/>
    <w:rsid w:val="00550186"/>
    <w:rsid w:val="00550E39"/>
    <w:rsid w:val="0055203A"/>
    <w:rsid w:val="00552D94"/>
    <w:rsid w:val="0055710B"/>
    <w:rsid w:val="005619EF"/>
    <w:rsid w:val="00561EF6"/>
    <w:rsid w:val="005656EA"/>
    <w:rsid w:val="00567F81"/>
    <w:rsid w:val="0057001A"/>
    <w:rsid w:val="0057063A"/>
    <w:rsid w:val="00570FC6"/>
    <w:rsid w:val="005743D4"/>
    <w:rsid w:val="005769B4"/>
    <w:rsid w:val="00584004"/>
    <w:rsid w:val="00591460"/>
    <w:rsid w:val="0059470A"/>
    <w:rsid w:val="00596C9B"/>
    <w:rsid w:val="005A0032"/>
    <w:rsid w:val="005A1C10"/>
    <w:rsid w:val="005A213B"/>
    <w:rsid w:val="005A2EE3"/>
    <w:rsid w:val="005A55E3"/>
    <w:rsid w:val="005A628C"/>
    <w:rsid w:val="005A6DCC"/>
    <w:rsid w:val="005A7117"/>
    <w:rsid w:val="005B13CC"/>
    <w:rsid w:val="005B143C"/>
    <w:rsid w:val="005B26A1"/>
    <w:rsid w:val="005B6D99"/>
    <w:rsid w:val="005B70C3"/>
    <w:rsid w:val="005B77B5"/>
    <w:rsid w:val="005B7EA4"/>
    <w:rsid w:val="005C0972"/>
    <w:rsid w:val="005C1456"/>
    <w:rsid w:val="005C2503"/>
    <w:rsid w:val="005C43B9"/>
    <w:rsid w:val="005C4C3D"/>
    <w:rsid w:val="005C6994"/>
    <w:rsid w:val="005C6DFE"/>
    <w:rsid w:val="005D0636"/>
    <w:rsid w:val="005D2104"/>
    <w:rsid w:val="005D2128"/>
    <w:rsid w:val="005E06BD"/>
    <w:rsid w:val="005E06C6"/>
    <w:rsid w:val="005E0A2A"/>
    <w:rsid w:val="005E2ED9"/>
    <w:rsid w:val="005E3E31"/>
    <w:rsid w:val="005E40AC"/>
    <w:rsid w:val="005E50AF"/>
    <w:rsid w:val="005E6DA4"/>
    <w:rsid w:val="005F44B7"/>
    <w:rsid w:val="005F5102"/>
    <w:rsid w:val="005F7527"/>
    <w:rsid w:val="00602967"/>
    <w:rsid w:val="00604E01"/>
    <w:rsid w:val="0060567D"/>
    <w:rsid w:val="00605CC7"/>
    <w:rsid w:val="0060608D"/>
    <w:rsid w:val="00606BDD"/>
    <w:rsid w:val="00606E0D"/>
    <w:rsid w:val="00607011"/>
    <w:rsid w:val="00607A64"/>
    <w:rsid w:val="00612AAB"/>
    <w:rsid w:val="00614DA5"/>
    <w:rsid w:val="0061646D"/>
    <w:rsid w:val="006171A0"/>
    <w:rsid w:val="00617BD8"/>
    <w:rsid w:val="00620565"/>
    <w:rsid w:val="0062073D"/>
    <w:rsid w:val="00622165"/>
    <w:rsid w:val="006225E7"/>
    <w:rsid w:val="006229EF"/>
    <w:rsid w:val="00623407"/>
    <w:rsid w:val="006256E0"/>
    <w:rsid w:val="00625847"/>
    <w:rsid w:val="00626BC6"/>
    <w:rsid w:val="00630706"/>
    <w:rsid w:val="00630726"/>
    <w:rsid w:val="006307CA"/>
    <w:rsid w:val="0063292E"/>
    <w:rsid w:val="00633425"/>
    <w:rsid w:val="00634168"/>
    <w:rsid w:val="00634247"/>
    <w:rsid w:val="00635C5C"/>
    <w:rsid w:val="00637105"/>
    <w:rsid w:val="006378F8"/>
    <w:rsid w:val="00637B7B"/>
    <w:rsid w:val="00641981"/>
    <w:rsid w:val="006419B1"/>
    <w:rsid w:val="00643000"/>
    <w:rsid w:val="0064524E"/>
    <w:rsid w:val="00645B4C"/>
    <w:rsid w:val="00645B96"/>
    <w:rsid w:val="0065289E"/>
    <w:rsid w:val="0065498F"/>
    <w:rsid w:val="006566C1"/>
    <w:rsid w:val="00656D15"/>
    <w:rsid w:val="006611A7"/>
    <w:rsid w:val="00663D2F"/>
    <w:rsid w:val="00664421"/>
    <w:rsid w:val="00664BBC"/>
    <w:rsid w:val="00665C92"/>
    <w:rsid w:val="00671C65"/>
    <w:rsid w:val="00672AE7"/>
    <w:rsid w:val="006738E2"/>
    <w:rsid w:val="0067408F"/>
    <w:rsid w:val="0067427F"/>
    <w:rsid w:val="0067479A"/>
    <w:rsid w:val="00674B3A"/>
    <w:rsid w:val="00677A68"/>
    <w:rsid w:val="00677D79"/>
    <w:rsid w:val="00681E83"/>
    <w:rsid w:val="00682DA4"/>
    <w:rsid w:val="0068321F"/>
    <w:rsid w:val="00684142"/>
    <w:rsid w:val="00684340"/>
    <w:rsid w:val="00684BD2"/>
    <w:rsid w:val="00685A27"/>
    <w:rsid w:val="00686409"/>
    <w:rsid w:val="00686BBE"/>
    <w:rsid w:val="0069114A"/>
    <w:rsid w:val="006939AE"/>
    <w:rsid w:val="006942AA"/>
    <w:rsid w:val="0069706D"/>
    <w:rsid w:val="00697E1C"/>
    <w:rsid w:val="006A0ABC"/>
    <w:rsid w:val="006A1C4C"/>
    <w:rsid w:val="006A2FA4"/>
    <w:rsid w:val="006A52A4"/>
    <w:rsid w:val="006A58EB"/>
    <w:rsid w:val="006A7C40"/>
    <w:rsid w:val="006B03B3"/>
    <w:rsid w:val="006B1E43"/>
    <w:rsid w:val="006B5318"/>
    <w:rsid w:val="006B66CA"/>
    <w:rsid w:val="006C0411"/>
    <w:rsid w:val="006C24CF"/>
    <w:rsid w:val="006C2F58"/>
    <w:rsid w:val="006C37B1"/>
    <w:rsid w:val="006C3D49"/>
    <w:rsid w:val="006C4FD1"/>
    <w:rsid w:val="006C6124"/>
    <w:rsid w:val="006C63C2"/>
    <w:rsid w:val="006D0087"/>
    <w:rsid w:val="006D10A7"/>
    <w:rsid w:val="006D12F2"/>
    <w:rsid w:val="006D5B6E"/>
    <w:rsid w:val="006D602B"/>
    <w:rsid w:val="006D6231"/>
    <w:rsid w:val="006D6332"/>
    <w:rsid w:val="006D67DA"/>
    <w:rsid w:val="006D79C5"/>
    <w:rsid w:val="006D7A70"/>
    <w:rsid w:val="006D7BBF"/>
    <w:rsid w:val="006E1478"/>
    <w:rsid w:val="006E187A"/>
    <w:rsid w:val="006E22E8"/>
    <w:rsid w:val="006E24A7"/>
    <w:rsid w:val="006E326C"/>
    <w:rsid w:val="006E496A"/>
    <w:rsid w:val="006E69D2"/>
    <w:rsid w:val="006E6F26"/>
    <w:rsid w:val="006E727F"/>
    <w:rsid w:val="006F078F"/>
    <w:rsid w:val="006F52E8"/>
    <w:rsid w:val="006F5D93"/>
    <w:rsid w:val="006F694D"/>
    <w:rsid w:val="006F7372"/>
    <w:rsid w:val="00701EF5"/>
    <w:rsid w:val="0070211C"/>
    <w:rsid w:val="007027EF"/>
    <w:rsid w:val="007033C1"/>
    <w:rsid w:val="0070517A"/>
    <w:rsid w:val="00705C73"/>
    <w:rsid w:val="00706BD9"/>
    <w:rsid w:val="00707989"/>
    <w:rsid w:val="007121DC"/>
    <w:rsid w:val="00712FDD"/>
    <w:rsid w:val="00715E59"/>
    <w:rsid w:val="00716DEC"/>
    <w:rsid w:val="007205F7"/>
    <w:rsid w:val="007218C8"/>
    <w:rsid w:val="0072234D"/>
    <w:rsid w:val="00723425"/>
    <w:rsid w:val="00724346"/>
    <w:rsid w:val="00724EC9"/>
    <w:rsid w:val="0072713B"/>
    <w:rsid w:val="00731A3C"/>
    <w:rsid w:val="0073222C"/>
    <w:rsid w:val="007322BE"/>
    <w:rsid w:val="00732990"/>
    <w:rsid w:val="00734000"/>
    <w:rsid w:val="007341D7"/>
    <w:rsid w:val="0073597B"/>
    <w:rsid w:val="0073610C"/>
    <w:rsid w:val="0073649B"/>
    <w:rsid w:val="00736554"/>
    <w:rsid w:val="007417FC"/>
    <w:rsid w:val="00746170"/>
    <w:rsid w:val="007474C7"/>
    <w:rsid w:val="00747F03"/>
    <w:rsid w:val="007500E9"/>
    <w:rsid w:val="00750F40"/>
    <w:rsid w:val="00752A83"/>
    <w:rsid w:val="007533F3"/>
    <w:rsid w:val="0075497B"/>
    <w:rsid w:val="00754E73"/>
    <w:rsid w:val="00763FC5"/>
    <w:rsid w:val="0076570A"/>
    <w:rsid w:val="007702D4"/>
    <w:rsid w:val="007705B3"/>
    <w:rsid w:val="00771512"/>
    <w:rsid w:val="00774E79"/>
    <w:rsid w:val="00782BFA"/>
    <w:rsid w:val="00783337"/>
    <w:rsid w:val="007839C6"/>
    <w:rsid w:val="00784E76"/>
    <w:rsid w:val="00785179"/>
    <w:rsid w:val="007858B7"/>
    <w:rsid w:val="007924C3"/>
    <w:rsid w:val="007959A6"/>
    <w:rsid w:val="007964DD"/>
    <w:rsid w:val="00797A13"/>
    <w:rsid w:val="007A0AE7"/>
    <w:rsid w:val="007A0D16"/>
    <w:rsid w:val="007A1098"/>
    <w:rsid w:val="007A18BA"/>
    <w:rsid w:val="007A1FA9"/>
    <w:rsid w:val="007A355E"/>
    <w:rsid w:val="007A43D3"/>
    <w:rsid w:val="007A7769"/>
    <w:rsid w:val="007B07BD"/>
    <w:rsid w:val="007B0B4B"/>
    <w:rsid w:val="007B1332"/>
    <w:rsid w:val="007B379A"/>
    <w:rsid w:val="007B40D2"/>
    <w:rsid w:val="007B41C5"/>
    <w:rsid w:val="007B5413"/>
    <w:rsid w:val="007B6B5E"/>
    <w:rsid w:val="007C17BC"/>
    <w:rsid w:val="007C1AED"/>
    <w:rsid w:val="007C1F0C"/>
    <w:rsid w:val="007C56E3"/>
    <w:rsid w:val="007C5BEA"/>
    <w:rsid w:val="007C6626"/>
    <w:rsid w:val="007C6FAE"/>
    <w:rsid w:val="007D004C"/>
    <w:rsid w:val="007D2113"/>
    <w:rsid w:val="007D2396"/>
    <w:rsid w:val="007D2FB5"/>
    <w:rsid w:val="007D3366"/>
    <w:rsid w:val="007D3E32"/>
    <w:rsid w:val="007D4AA8"/>
    <w:rsid w:val="007D53B8"/>
    <w:rsid w:val="007D705D"/>
    <w:rsid w:val="007E0672"/>
    <w:rsid w:val="007E1409"/>
    <w:rsid w:val="007E1869"/>
    <w:rsid w:val="007E2542"/>
    <w:rsid w:val="007E2A21"/>
    <w:rsid w:val="007E2F93"/>
    <w:rsid w:val="007E4367"/>
    <w:rsid w:val="007E5026"/>
    <w:rsid w:val="007E6840"/>
    <w:rsid w:val="007F218B"/>
    <w:rsid w:val="007F32A1"/>
    <w:rsid w:val="007F3ADB"/>
    <w:rsid w:val="007F3C2A"/>
    <w:rsid w:val="007F4237"/>
    <w:rsid w:val="007F461A"/>
    <w:rsid w:val="007F77E4"/>
    <w:rsid w:val="00804E8B"/>
    <w:rsid w:val="008052E3"/>
    <w:rsid w:val="00805805"/>
    <w:rsid w:val="008072E0"/>
    <w:rsid w:val="00807EDD"/>
    <w:rsid w:val="00810DEA"/>
    <w:rsid w:val="00813034"/>
    <w:rsid w:val="00814D6E"/>
    <w:rsid w:val="00815577"/>
    <w:rsid w:val="00821549"/>
    <w:rsid w:val="00821D69"/>
    <w:rsid w:val="00822098"/>
    <w:rsid w:val="008241B8"/>
    <w:rsid w:val="00825346"/>
    <w:rsid w:val="00825635"/>
    <w:rsid w:val="00825C0C"/>
    <w:rsid w:val="008303DB"/>
    <w:rsid w:val="0083078F"/>
    <w:rsid w:val="00830867"/>
    <w:rsid w:val="008319A3"/>
    <w:rsid w:val="00831B6D"/>
    <w:rsid w:val="0083218C"/>
    <w:rsid w:val="008325D3"/>
    <w:rsid w:val="008357DB"/>
    <w:rsid w:val="008361D1"/>
    <w:rsid w:val="0084062E"/>
    <w:rsid w:val="00841656"/>
    <w:rsid w:val="00842244"/>
    <w:rsid w:val="008433CE"/>
    <w:rsid w:val="00846CDB"/>
    <w:rsid w:val="00847257"/>
    <w:rsid w:val="00847324"/>
    <w:rsid w:val="008526C8"/>
    <w:rsid w:val="0085402E"/>
    <w:rsid w:val="00854425"/>
    <w:rsid w:val="008556ED"/>
    <w:rsid w:val="008567AA"/>
    <w:rsid w:val="00860419"/>
    <w:rsid w:val="00861BCF"/>
    <w:rsid w:val="00862636"/>
    <w:rsid w:val="00862D85"/>
    <w:rsid w:val="00863D28"/>
    <w:rsid w:val="0086528E"/>
    <w:rsid w:val="008678CC"/>
    <w:rsid w:val="00867A72"/>
    <w:rsid w:val="00867ADC"/>
    <w:rsid w:val="00871D56"/>
    <w:rsid w:val="00871DFD"/>
    <w:rsid w:val="00873012"/>
    <w:rsid w:val="00874634"/>
    <w:rsid w:val="008757D6"/>
    <w:rsid w:val="00876385"/>
    <w:rsid w:val="0087747D"/>
    <w:rsid w:val="00877EA7"/>
    <w:rsid w:val="008836B5"/>
    <w:rsid w:val="008837DC"/>
    <w:rsid w:val="00884ED1"/>
    <w:rsid w:val="00886C1F"/>
    <w:rsid w:val="00887B5E"/>
    <w:rsid w:val="008901A1"/>
    <w:rsid w:val="008907AE"/>
    <w:rsid w:val="0089241A"/>
    <w:rsid w:val="00893698"/>
    <w:rsid w:val="0089430E"/>
    <w:rsid w:val="008956ED"/>
    <w:rsid w:val="00896BC6"/>
    <w:rsid w:val="008A01B2"/>
    <w:rsid w:val="008A054A"/>
    <w:rsid w:val="008A1D71"/>
    <w:rsid w:val="008A22DF"/>
    <w:rsid w:val="008A3344"/>
    <w:rsid w:val="008A3443"/>
    <w:rsid w:val="008A7F66"/>
    <w:rsid w:val="008B10BF"/>
    <w:rsid w:val="008B150F"/>
    <w:rsid w:val="008B2887"/>
    <w:rsid w:val="008B2DD0"/>
    <w:rsid w:val="008B3AE7"/>
    <w:rsid w:val="008B3C85"/>
    <w:rsid w:val="008B49BB"/>
    <w:rsid w:val="008B4EC8"/>
    <w:rsid w:val="008B590A"/>
    <w:rsid w:val="008B7046"/>
    <w:rsid w:val="008B71AA"/>
    <w:rsid w:val="008C0270"/>
    <w:rsid w:val="008C3ED5"/>
    <w:rsid w:val="008C5E93"/>
    <w:rsid w:val="008C6750"/>
    <w:rsid w:val="008C71C1"/>
    <w:rsid w:val="008C723B"/>
    <w:rsid w:val="008C7611"/>
    <w:rsid w:val="008D156A"/>
    <w:rsid w:val="008D1715"/>
    <w:rsid w:val="008D1F7A"/>
    <w:rsid w:val="008D28CA"/>
    <w:rsid w:val="008D353A"/>
    <w:rsid w:val="008D35E6"/>
    <w:rsid w:val="008D444A"/>
    <w:rsid w:val="008D5FE1"/>
    <w:rsid w:val="008E068C"/>
    <w:rsid w:val="008E0D73"/>
    <w:rsid w:val="008E0E2D"/>
    <w:rsid w:val="008E1294"/>
    <w:rsid w:val="008E38C4"/>
    <w:rsid w:val="008E699F"/>
    <w:rsid w:val="008F2813"/>
    <w:rsid w:val="008F2973"/>
    <w:rsid w:val="008F3B71"/>
    <w:rsid w:val="008F62E1"/>
    <w:rsid w:val="008F6331"/>
    <w:rsid w:val="008F638F"/>
    <w:rsid w:val="008F7A0A"/>
    <w:rsid w:val="00901680"/>
    <w:rsid w:val="009018AF"/>
    <w:rsid w:val="0090287C"/>
    <w:rsid w:val="00903514"/>
    <w:rsid w:val="00906279"/>
    <w:rsid w:val="0090701A"/>
    <w:rsid w:val="00907D66"/>
    <w:rsid w:val="00910331"/>
    <w:rsid w:val="0091323A"/>
    <w:rsid w:val="0091676E"/>
    <w:rsid w:val="009201C2"/>
    <w:rsid w:val="009210F8"/>
    <w:rsid w:val="00921B0B"/>
    <w:rsid w:val="00921CC0"/>
    <w:rsid w:val="00922AED"/>
    <w:rsid w:val="00923DF4"/>
    <w:rsid w:val="00926839"/>
    <w:rsid w:val="00927422"/>
    <w:rsid w:val="00930081"/>
    <w:rsid w:val="00933B0B"/>
    <w:rsid w:val="00934C07"/>
    <w:rsid w:val="0093574C"/>
    <w:rsid w:val="009360D2"/>
    <w:rsid w:val="0093790E"/>
    <w:rsid w:val="00940597"/>
    <w:rsid w:val="00940A12"/>
    <w:rsid w:val="00942077"/>
    <w:rsid w:val="0094362F"/>
    <w:rsid w:val="00943EF1"/>
    <w:rsid w:val="009450A9"/>
    <w:rsid w:val="00945424"/>
    <w:rsid w:val="009504DC"/>
    <w:rsid w:val="00950B92"/>
    <w:rsid w:val="0095120D"/>
    <w:rsid w:val="00953395"/>
    <w:rsid w:val="00955B4A"/>
    <w:rsid w:val="00957E3D"/>
    <w:rsid w:val="0096103A"/>
    <w:rsid w:val="00961F12"/>
    <w:rsid w:val="009645E1"/>
    <w:rsid w:val="0097474C"/>
    <w:rsid w:val="00976BC6"/>
    <w:rsid w:val="00980191"/>
    <w:rsid w:val="00981A74"/>
    <w:rsid w:val="00984299"/>
    <w:rsid w:val="0098668D"/>
    <w:rsid w:val="00990339"/>
    <w:rsid w:val="00990CF0"/>
    <w:rsid w:val="0099466A"/>
    <w:rsid w:val="00996260"/>
    <w:rsid w:val="00996FC6"/>
    <w:rsid w:val="0099793C"/>
    <w:rsid w:val="009A3AC8"/>
    <w:rsid w:val="009A73E2"/>
    <w:rsid w:val="009B00D2"/>
    <w:rsid w:val="009B1765"/>
    <w:rsid w:val="009B32D3"/>
    <w:rsid w:val="009B536D"/>
    <w:rsid w:val="009B5AFF"/>
    <w:rsid w:val="009B6975"/>
    <w:rsid w:val="009B7D95"/>
    <w:rsid w:val="009C2902"/>
    <w:rsid w:val="009C59F4"/>
    <w:rsid w:val="009C7B6C"/>
    <w:rsid w:val="009D2267"/>
    <w:rsid w:val="009D2D14"/>
    <w:rsid w:val="009D4B18"/>
    <w:rsid w:val="009D70AB"/>
    <w:rsid w:val="009E02B7"/>
    <w:rsid w:val="009E167D"/>
    <w:rsid w:val="009E3CCB"/>
    <w:rsid w:val="009E44FE"/>
    <w:rsid w:val="009E4FEB"/>
    <w:rsid w:val="009E791E"/>
    <w:rsid w:val="009F16ED"/>
    <w:rsid w:val="009F2E86"/>
    <w:rsid w:val="009F3B57"/>
    <w:rsid w:val="009F4BDE"/>
    <w:rsid w:val="00A01D65"/>
    <w:rsid w:val="00A03643"/>
    <w:rsid w:val="00A05979"/>
    <w:rsid w:val="00A061ED"/>
    <w:rsid w:val="00A07185"/>
    <w:rsid w:val="00A07334"/>
    <w:rsid w:val="00A13A47"/>
    <w:rsid w:val="00A1529F"/>
    <w:rsid w:val="00A173AC"/>
    <w:rsid w:val="00A17B78"/>
    <w:rsid w:val="00A20D32"/>
    <w:rsid w:val="00A21CC2"/>
    <w:rsid w:val="00A21EFC"/>
    <w:rsid w:val="00A227D5"/>
    <w:rsid w:val="00A229E7"/>
    <w:rsid w:val="00A23CA2"/>
    <w:rsid w:val="00A24617"/>
    <w:rsid w:val="00A260CD"/>
    <w:rsid w:val="00A26D46"/>
    <w:rsid w:val="00A30789"/>
    <w:rsid w:val="00A316A8"/>
    <w:rsid w:val="00A31D30"/>
    <w:rsid w:val="00A33FE2"/>
    <w:rsid w:val="00A34599"/>
    <w:rsid w:val="00A35BEE"/>
    <w:rsid w:val="00A368E2"/>
    <w:rsid w:val="00A37258"/>
    <w:rsid w:val="00A41482"/>
    <w:rsid w:val="00A41930"/>
    <w:rsid w:val="00A41AAB"/>
    <w:rsid w:val="00A41E15"/>
    <w:rsid w:val="00A41E9D"/>
    <w:rsid w:val="00A42718"/>
    <w:rsid w:val="00A42C0D"/>
    <w:rsid w:val="00A42C3A"/>
    <w:rsid w:val="00A4326C"/>
    <w:rsid w:val="00A45F15"/>
    <w:rsid w:val="00A504CD"/>
    <w:rsid w:val="00A50BC2"/>
    <w:rsid w:val="00A514A1"/>
    <w:rsid w:val="00A51949"/>
    <w:rsid w:val="00A5307A"/>
    <w:rsid w:val="00A53CA2"/>
    <w:rsid w:val="00A53DFE"/>
    <w:rsid w:val="00A5449D"/>
    <w:rsid w:val="00A56765"/>
    <w:rsid w:val="00A57418"/>
    <w:rsid w:val="00A60C7A"/>
    <w:rsid w:val="00A62087"/>
    <w:rsid w:val="00A64C5D"/>
    <w:rsid w:val="00A65F5B"/>
    <w:rsid w:val="00A70333"/>
    <w:rsid w:val="00A73DE2"/>
    <w:rsid w:val="00A74932"/>
    <w:rsid w:val="00A766CD"/>
    <w:rsid w:val="00A77AF7"/>
    <w:rsid w:val="00A81048"/>
    <w:rsid w:val="00A81D49"/>
    <w:rsid w:val="00A8251C"/>
    <w:rsid w:val="00A832CB"/>
    <w:rsid w:val="00A90324"/>
    <w:rsid w:val="00A91283"/>
    <w:rsid w:val="00A94843"/>
    <w:rsid w:val="00A94D39"/>
    <w:rsid w:val="00A95588"/>
    <w:rsid w:val="00A95C4F"/>
    <w:rsid w:val="00A963AC"/>
    <w:rsid w:val="00AA08B0"/>
    <w:rsid w:val="00AA0E38"/>
    <w:rsid w:val="00AA2B0B"/>
    <w:rsid w:val="00AA344D"/>
    <w:rsid w:val="00AA61BF"/>
    <w:rsid w:val="00AA6734"/>
    <w:rsid w:val="00AA76A5"/>
    <w:rsid w:val="00AB3F2F"/>
    <w:rsid w:val="00AB42D0"/>
    <w:rsid w:val="00AB4B27"/>
    <w:rsid w:val="00AB63A8"/>
    <w:rsid w:val="00AB7E92"/>
    <w:rsid w:val="00AC0E0C"/>
    <w:rsid w:val="00AC0EEE"/>
    <w:rsid w:val="00AC138A"/>
    <w:rsid w:val="00AC15E3"/>
    <w:rsid w:val="00AC2A3C"/>
    <w:rsid w:val="00AC324B"/>
    <w:rsid w:val="00AC583C"/>
    <w:rsid w:val="00AC6DEE"/>
    <w:rsid w:val="00AD2758"/>
    <w:rsid w:val="00AD5B3E"/>
    <w:rsid w:val="00AD6373"/>
    <w:rsid w:val="00AD679C"/>
    <w:rsid w:val="00AD7603"/>
    <w:rsid w:val="00AD764C"/>
    <w:rsid w:val="00AE544A"/>
    <w:rsid w:val="00AF25CF"/>
    <w:rsid w:val="00AF2901"/>
    <w:rsid w:val="00AF6728"/>
    <w:rsid w:val="00AF6F35"/>
    <w:rsid w:val="00AF7029"/>
    <w:rsid w:val="00AF7AC5"/>
    <w:rsid w:val="00B0061C"/>
    <w:rsid w:val="00B01A9E"/>
    <w:rsid w:val="00B01ACF"/>
    <w:rsid w:val="00B01DAE"/>
    <w:rsid w:val="00B0316D"/>
    <w:rsid w:val="00B04205"/>
    <w:rsid w:val="00B05FF4"/>
    <w:rsid w:val="00B0635D"/>
    <w:rsid w:val="00B07A48"/>
    <w:rsid w:val="00B12579"/>
    <w:rsid w:val="00B1257F"/>
    <w:rsid w:val="00B13B1D"/>
    <w:rsid w:val="00B148D9"/>
    <w:rsid w:val="00B15FB3"/>
    <w:rsid w:val="00B1611D"/>
    <w:rsid w:val="00B166A8"/>
    <w:rsid w:val="00B16974"/>
    <w:rsid w:val="00B16990"/>
    <w:rsid w:val="00B16EAF"/>
    <w:rsid w:val="00B206D2"/>
    <w:rsid w:val="00B20A00"/>
    <w:rsid w:val="00B220C1"/>
    <w:rsid w:val="00B26BF6"/>
    <w:rsid w:val="00B30BA9"/>
    <w:rsid w:val="00B32D09"/>
    <w:rsid w:val="00B34467"/>
    <w:rsid w:val="00B34E76"/>
    <w:rsid w:val="00B35BB1"/>
    <w:rsid w:val="00B36DD7"/>
    <w:rsid w:val="00B36DF1"/>
    <w:rsid w:val="00B36E47"/>
    <w:rsid w:val="00B374CF"/>
    <w:rsid w:val="00B4202D"/>
    <w:rsid w:val="00B420B8"/>
    <w:rsid w:val="00B42595"/>
    <w:rsid w:val="00B430A7"/>
    <w:rsid w:val="00B43704"/>
    <w:rsid w:val="00B50A2C"/>
    <w:rsid w:val="00B50CDD"/>
    <w:rsid w:val="00B50F50"/>
    <w:rsid w:val="00B520BE"/>
    <w:rsid w:val="00B52112"/>
    <w:rsid w:val="00B52668"/>
    <w:rsid w:val="00B529E5"/>
    <w:rsid w:val="00B53C67"/>
    <w:rsid w:val="00B53F18"/>
    <w:rsid w:val="00B5505B"/>
    <w:rsid w:val="00B552C1"/>
    <w:rsid w:val="00B5535F"/>
    <w:rsid w:val="00B61CC9"/>
    <w:rsid w:val="00B625F6"/>
    <w:rsid w:val="00B63795"/>
    <w:rsid w:val="00B6439E"/>
    <w:rsid w:val="00B651CC"/>
    <w:rsid w:val="00B718F7"/>
    <w:rsid w:val="00B725B7"/>
    <w:rsid w:val="00B72BD0"/>
    <w:rsid w:val="00B73487"/>
    <w:rsid w:val="00B736FC"/>
    <w:rsid w:val="00B74569"/>
    <w:rsid w:val="00B753AC"/>
    <w:rsid w:val="00B77697"/>
    <w:rsid w:val="00B77ACC"/>
    <w:rsid w:val="00B80A8C"/>
    <w:rsid w:val="00B84539"/>
    <w:rsid w:val="00B8545D"/>
    <w:rsid w:val="00B90D4C"/>
    <w:rsid w:val="00B92B84"/>
    <w:rsid w:val="00B95AF1"/>
    <w:rsid w:val="00B963C7"/>
    <w:rsid w:val="00B96BF8"/>
    <w:rsid w:val="00B96CBC"/>
    <w:rsid w:val="00BA0AA2"/>
    <w:rsid w:val="00BA0ABC"/>
    <w:rsid w:val="00BA1602"/>
    <w:rsid w:val="00BA19EB"/>
    <w:rsid w:val="00BA37BF"/>
    <w:rsid w:val="00BA3D74"/>
    <w:rsid w:val="00BA5C0F"/>
    <w:rsid w:val="00BA688B"/>
    <w:rsid w:val="00BA71DA"/>
    <w:rsid w:val="00BA747B"/>
    <w:rsid w:val="00BB2438"/>
    <w:rsid w:val="00BB3C6F"/>
    <w:rsid w:val="00BB4FE9"/>
    <w:rsid w:val="00BB54AB"/>
    <w:rsid w:val="00BB6BD3"/>
    <w:rsid w:val="00BC03A2"/>
    <w:rsid w:val="00BC1643"/>
    <w:rsid w:val="00BC3620"/>
    <w:rsid w:val="00BC483D"/>
    <w:rsid w:val="00BC4850"/>
    <w:rsid w:val="00BD2433"/>
    <w:rsid w:val="00BD530A"/>
    <w:rsid w:val="00BD547D"/>
    <w:rsid w:val="00BD5DA4"/>
    <w:rsid w:val="00BD64DD"/>
    <w:rsid w:val="00BD6AD0"/>
    <w:rsid w:val="00BD717F"/>
    <w:rsid w:val="00BD7D3A"/>
    <w:rsid w:val="00BD7D4A"/>
    <w:rsid w:val="00BE0D1D"/>
    <w:rsid w:val="00BE28AB"/>
    <w:rsid w:val="00BE2A31"/>
    <w:rsid w:val="00BE2F30"/>
    <w:rsid w:val="00BE3FD1"/>
    <w:rsid w:val="00BE4D82"/>
    <w:rsid w:val="00BE4F47"/>
    <w:rsid w:val="00BE7CB1"/>
    <w:rsid w:val="00BF1713"/>
    <w:rsid w:val="00BF1A2F"/>
    <w:rsid w:val="00BF1E36"/>
    <w:rsid w:val="00BF1F07"/>
    <w:rsid w:val="00BF288B"/>
    <w:rsid w:val="00BF4A78"/>
    <w:rsid w:val="00BF6D7D"/>
    <w:rsid w:val="00C01562"/>
    <w:rsid w:val="00C02497"/>
    <w:rsid w:val="00C03FB7"/>
    <w:rsid w:val="00C05466"/>
    <w:rsid w:val="00C06190"/>
    <w:rsid w:val="00C06E05"/>
    <w:rsid w:val="00C07C68"/>
    <w:rsid w:val="00C118FD"/>
    <w:rsid w:val="00C11F5E"/>
    <w:rsid w:val="00C131F9"/>
    <w:rsid w:val="00C13886"/>
    <w:rsid w:val="00C140BE"/>
    <w:rsid w:val="00C149F6"/>
    <w:rsid w:val="00C15F24"/>
    <w:rsid w:val="00C200DD"/>
    <w:rsid w:val="00C2247C"/>
    <w:rsid w:val="00C22661"/>
    <w:rsid w:val="00C24C38"/>
    <w:rsid w:val="00C26EBF"/>
    <w:rsid w:val="00C303BD"/>
    <w:rsid w:val="00C316C6"/>
    <w:rsid w:val="00C32DF5"/>
    <w:rsid w:val="00C339C3"/>
    <w:rsid w:val="00C33D38"/>
    <w:rsid w:val="00C34816"/>
    <w:rsid w:val="00C3482E"/>
    <w:rsid w:val="00C34B20"/>
    <w:rsid w:val="00C354C5"/>
    <w:rsid w:val="00C35A97"/>
    <w:rsid w:val="00C36921"/>
    <w:rsid w:val="00C3696A"/>
    <w:rsid w:val="00C372E5"/>
    <w:rsid w:val="00C37762"/>
    <w:rsid w:val="00C37969"/>
    <w:rsid w:val="00C40BCE"/>
    <w:rsid w:val="00C41569"/>
    <w:rsid w:val="00C43536"/>
    <w:rsid w:val="00C438B3"/>
    <w:rsid w:val="00C4475E"/>
    <w:rsid w:val="00C44C8D"/>
    <w:rsid w:val="00C460D5"/>
    <w:rsid w:val="00C46826"/>
    <w:rsid w:val="00C50116"/>
    <w:rsid w:val="00C53BAD"/>
    <w:rsid w:val="00C5403D"/>
    <w:rsid w:val="00C541D8"/>
    <w:rsid w:val="00C55C84"/>
    <w:rsid w:val="00C561CC"/>
    <w:rsid w:val="00C5629F"/>
    <w:rsid w:val="00C565E9"/>
    <w:rsid w:val="00C57B70"/>
    <w:rsid w:val="00C60FA8"/>
    <w:rsid w:val="00C61EF9"/>
    <w:rsid w:val="00C62C7C"/>
    <w:rsid w:val="00C62C93"/>
    <w:rsid w:val="00C62FD8"/>
    <w:rsid w:val="00C66128"/>
    <w:rsid w:val="00C67027"/>
    <w:rsid w:val="00C704AE"/>
    <w:rsid w:val="00C7415D"/>
    <w:rsid w:val="00C743B4"/>
    <w:rsid w:val="00C7610E"/>
    <w:rsid w:val="00C76142"/>
    <w:rsid w:val="00C76D24"/>
    <w:rsid w:val="00C8086B"/>
    <w:rsid w:val="00C83A9D"/>
    <w:rsid w:val="00C84831"/>
    <w:rsid w:val="00C85A7B"/>
    <w:rsid w:val="00C8768B"/>
    <w:rsid w:val="00C87B02"/>
    <w:rsid w:val="00C90A2E"/>
    <w:rsid w:val="00C9281C"/>
    <w:rsid w:val="00C936C3"/>
    <w:rsid w:val="00C93A97"/>
    <w:rsid w:val="00C9416F"/>
    <w:rsid w:val="00C946E8"/>
    <w:rsid w:val="00C947F9"/>
    <w:rsid w:val="00C95C34"/>
    <w:rsid w:val="00CA1C9C"/>
    <w:rsid w:val="00CA49A3"/>
    <w:rsid w:val="00CA4C2A"/>
    <w:rsid w:val="00CA6A77"/>
    <w:rsid w:val="00CA6FD9"/>
    <w:rsid w:val="00CA7815"/>
    <w:rsid w:val="00CA7ABF"/>
    <w:rsid w:val="00CB3E11"/>
    <w:rsid w:val="00CB5A89"/>
    <w:rsid w:val="00CB7EDC"/>
    <w:rsid w:val="00CC08A8"/>
    <w:rsid w:val="00CC0A73"/>
    <w:rsid w:val="00CC1E58"/>
    <w:rsid w:val="00CC4ECF"/>
    <w:rsid w:val="00CC59D6"/>
    <w:rsid w:val="00CC6199"/>
    <w:rsid w:val="00CC7446"/>
    <w:rsid w:val="00CD0636"/>
    <w:rsid w:val="00CD0BAE"/>
    <w:rsid w:val="00CD10D1"/>
    <w:rsid w:val="00CD31CC"/>
    <w:rsid w:val="00CD46CC"/>
    <w:rsid w:val="00CD5FFE"/>
    <w:rsid w:val="00CD7479"/>
    <w:rsid w:val="00CE118C"/>
    <w:rsid w:val="00CE407B"/>
    <w:rsid w:val="00CE442C"/>
    <w:rsid w:val="00CE5AFF"/>
    <w:rsid w:val="00CE65E1"/>
    <w:rsid w:val="00CE7C48"/>
    <w:rsid w:val="00CF00A4"/>
    <w:rsid w:val="00CF0641"/>
    <w:rsid w:val="00CF1586"/>
    <w:rsid w:val="00CF1E25"/>
    <w:rsid w:val="00CF2C29"/>
    <w:rsid w:val="00CF507E"/>
    <w:rsid w:val="00CF5641"/>
    <w:rsid w:val="00CF5AB6"/>
    <w:rsid w:val="00CF5DD1"/>
    <w:rsid w:val="00CF6538"/>
    <w:rsid w:val="00CF6BC2"/>
    <w:rsid w:val="00CF7814"/>
    <w:rsid w:val="00CF7F79"/>
    <w:rsid w:val="00D00236"/>
    <w:rsid w:val="00D02405"/>
    <w:rsid w:val="00D02879"/>
    <w:rsid w:val="00D1402C"/>
    <w:rsid w:val="00D14262"/>
    <w:rsid w:val="00D14788"/>
    <w:rsid w:val="00D15251"/>
    <w:rsid w:val="00D168ED"/>
    <w:rsid w:val="00D16EDC"/>
    <w:rsid w:val="00D22202"/>
    <w:rsid w:val="00D24EC4"/>
    <w:rsid w:val="00D2506B"/>
    <w:rsid w:val="00D25109"/>
    <w:rsid w:val="00D25B9D"/>
    <w:rsid w:val="00D26FE3"/>
    <w:rsid w:val="00D270B7"/>
    <w:rsid w:val="00D30EBA"/>
    <w:rsid w:val="00D358D2"/>
    <w:rsid w:val="00D3601D"/>
    <w:rsid w:val="00D36178"/>
    <w:rsid w:val="00D40D4C"/>
    <w:rsid w:val="00D4102C"/>
    <w:rsid w:val="00D41B65"/>
    <w:rsid w:val="00D42D05"/>
    <w:rsid w:val="00D43A27"/>
    <w:rsid w:val="00D44790"/>
    <w:rsid w:val="00D447B5"/>
    <w:rsid w:val="00D46CD9"/>
    <w:rsid w:val="00D507FA"/>
    <w:rsid w:val="00D50FA1"/>
    <w:rsid w:val="00D51D42"/>
    <w:rsid w:val="00D553EF"/>
    <w:rsid w:val="00D56DDF"/>
    <w:rsid w:val="00D56ED5"/>
    <w:rsid w:val="00D5752A"/>
    <w:rsid w:val="00D635C3"/>
    <w:rsid w:val="00D63FFD"/>
    <w:rsid w:val="00D64131"/>
    <w:rsid w:val="00D67CBD"/>
    <w:rsid w:val="00D701C5"/>
    <w:rsid w:val="00D71C63"/>
    <w:rsid w:val="00D7202C"/>
    <w:rsid w:val="00D72810"/>
    <w:rsid w:val="00D72CD7"/>
    <w:rsid w:val="00D72D99"/>
    <w:rsid w:val="00D730F1"/>
    <w:rsid w:val="00D77593"/>
    <w:rsid w:val="00D777DF"/>
    <w:rsid w:val="00D81689"/>
    <w:rsid w:val="00D821B9"/>
    <w:rsid w:val="00D830A0"/>
    <w:rsid w:val="00D8389B"/>
    <w:rsid w:val="00D83E32"/>
    <w:rsid w:val="00D843B8"/>
    <w:rsid w:val="00D86222"/>
    <w:rsid w:val="00D91AF6"/>
    <w:rsid w:val="00D9324D"/>
    <w:rsid w:val="00D93890"/>
    <w:rsid w:val="00D94982"/>
    <w:rsid w:val="00D954AE"/>
    <w:rsid w:val="00D96BC0"/>
    <w:rsid w:val="00D96CE5"/>
    <w:rsid w:val="00DA3755"/>
    <w:rsid w:val="00DA40CE"/>
    <w:rsid w:val="00DA587E"/>
    <w:rsid w:val="00DA5ED2"/>
    <w:rsid w:val="00DA631B"/>
    <w:rsid w:val="00DA6CD9"/>
    <w:rsid w:val="00DA7B13"/>
    <w:rsid w:val="00DB0473"/>
    <w:rsid w:val="00DB0E43"/>
    <w:rsid w:val="00DB3383"/>
    <w:rsid w:val="00DB3E0E"/>
    <w:rsid w:val="00DB5471"/>
    <w:rsid w:val="00DB5824"/>
    <w:rsid w:val="00DB5A17"/>
    <w:rsid w:val="00DB6C25"/>
    <w:rsid w:val="00DB72B3"/>
    <w:rsid w:val="00DC0A36"/>
    <w:rsid w:val="00DC23CF"/>
    <w:rsid w:val="00DC2CF6"/>
    <w:rsid w:val="00DC4350"/>
    <w:rsid w:val="00DC5888"/>
    <w:rsid w:val="00DC5C4B"/>
    <w:rsid w:val="00DC6AED"/>
    <w:rsid w:val="00DC6E2B"/>
    <w:rsid w:val="00DC7191"/>
    <w:rsid w:val="00DC7A7C"/>
    <w:rsid w:val="00DC7DAB"/>
    <w:rsid w:val="00DC7FFB"/>
    <w:rsid w:val="00DD0DCF"/>
    <w:rsid w:val="00DD3067"/>
    <w:rsid w:val="00DD3135"/>
    <w:rsid w:val="00DD4928"/>
    <w:rsid w:val="00DD4D3D"/>
    <w:rsid w:val="00DD5D9F"/>
    <w:rsid w:val="00DD728D"/>
    <w:rsid w:val="00DD7652"/>
    <w:rsid w:val="00DE33C3"/>
    <w:rsid w:val="00DE5F6A"/>
    <w:rsid w:val="00DE63BE"/>
    <w:rsid w:val="00DE7FBF"/>
    <w:rsid w:val="00DF3797"/>
    <w:rsid w:val="00DF4159"/>
    <w:rsid w:val="00DF54DE"/>
    <w:rsid w:val="00DF624F"/>
    <w:rsid w:val="00DF627E"/>
    <w:rsid w:val="00E00903"/>
    <w:rsid w:val="00E00AF3"/>
    <w:rsid w:val="00E01529"/>
    <w:rsid w:val="00E02DB9"/>
    <w:rsid w:val="00E040A0"/>
    <w:rsid w:val="00E04900"/>
    <w:rsid w:val="00E05298"/>
    <w:rsid w:val="00E05305"/>
    <w:rsid w:val="00E05E20"/>
    <w:rsid w:val="00E0658C"/>
    <w:rsid w:val="00E06996"/>
    <w:rsid w:val="00E06C0F"/>
    <w:rsid w:val="00E10C08"/>
    <w:rsid w:val="00E10EFC"/>
    <w:rsid w:val="00E11A23"/>
    <w:rsid w:val="00E140A1"/>
    <w:rsid w:val="00E1620A"/>
    <w:rsid w:val="00E16D5E"/>
    <w:rsid w:val="00E20DD9"/>
    <w:rsid w:val="00E2131A"/>
    <w:rsid w:val="00E217D0"/>
    <w:rsid w:val="00E2227A"/>
    <w:rsid w:val="00E25296"/>
    <w:rsid w:val="00E2594F"/>
    <w:rsid w:val="00E2607A"/>
    <w:rsid w:val="00E32D3E"/>
    <w:rsid w:val="00E32F0A"/>
    <w:rsid w:val="00E3375A"/>
    <w:rsid w:val="00E33DA5"/>
    <w:rsid w:val="00E3522D"/>
    <w:rsid w:val="00E359E5"/>
    <w:rsid w:val="00E37A11"/>
    <w:rsid w:val="00E37F27"/>
    <w:rsid w:val="00E40511"/>
    <w:rsid w:val="00E422E4"/>
    <w:rsid w:val="00E42705"/>
    <w:rsid w:val="00E4560C"/>
    <w:rsid w:val="00E46108"/>
    <w:rsid w:val="00E46A18"/>
    <w:rsid w:val="00E4711D"/>
    <w:rsid w:val="00E50744"/>
    <w:rsid w:val="00E51FD0"/>
    <w:rsid w:val="00E543AD"/>
    <w:rsid w:val="00E55B30"/>
    <w:rsid w:val="00E55C35"/>
    <w:rsid w:val="00E56FF9"/>
    <w:rsid w:val="00E57ABF"/>
    <w:rsid w:val="00E617D7"/>
    <w:rsid w:val="00E61DD5"/>
    <w:rsid w:val="00E624A5"/>
    <w:rsid w:val="00E637FF"/>
    <w:rsid w:val="00E6591D"/>
    <w:rsid w:val="00E65A08"/>
    <w:rsid w:val="00E674A0"/>
    <w:rsid w:val="00E7027D"/>
    <w:rsid w:val="00E70AF8"/>
    <w:rsid w:val="00E72782"/>
    <w:rsid w:val="00E74991"/>
    <w:rsid w:val="00E76918"/>
    <w:rsid w:val="00E8231A"/>
    <w:rsid w:val="00E83CBA"/>
    <w:rsid w:val="00E84385"/>
    <w:rsid w:val="00E84885"/>
    <w:rsid w:val="00E85DEC"/>
    <w:rsid w:val="00E87299"/>
    <w:rsid w:val="00E902EA"/>
    <w:rsid w:val="00E909E2"/>
    <w:rsid w:val="00E92C38"/>
    <w:rsid w:val="00E936E0"/>
    <w:rsid w:val="00E94E2D"/>
    <w:rsid w:val="00E95182"/>
    <w:rsid w:val="00E95A2E"/>
    <w:rsid w:val="00E95C1F"/>
    <w:rsid w:val="00E97C49"/>
    <w:rsid w:val="00EA34E7"/>
    <w:rsid w:val="00EA3BAB"/>
    <w:rsid w:val="00EA4413"/>
    <w:rsid w:val="00EA4815"/>
    <w:rsid w:val="00EA4ABF"/>
    <w:rsid w:val="00EA5C3A"/>
    <w:rsid w:val="00EA64B8"/>
    <w:rsid w:val="00EA6FB4"/>
    <w:rsid w:val="00EA7743"/>
    <w:rsid w:val="00EB0FD3"/>
    <w:rsid w:val="00EB2E84"/>
    <w:rsid w:val="00EB5050"/>
    <w:rsid w:val="00EB7D55"/>
    <w:rsid w:val="00EC0546"/>
    <w:rsid w:val="00EC2B2E"/>
    <w:rsid w:val="00EC5006"/>
    <w:rsid w:val="00EC53AE"/>
    <w:rsid w:val="00ED07A6"/>
    <w:rsid w:val="00ED11C7"/>
    <w:rsid w:val="00ED125F"/>
    <w:rsid w:val="00ED3F69"/>
    <w:rsid w:val="00ED5AA0"/>
    <w:rsid w:val="00ED5FD0"/>
    <w:rsid w:val="00ED6C31"/>
    <w:rsid w:val="00EE1C7B"/>
    <w:rsid w:val="00EE27F9"/>
    <w:rsid w:val="00EE3A47"/>
    <w:rsid w:val="00EE5477"/>
    <w:rsid w:val="00EE5CC3"/>
    <w:rsid w:val="00EF12FF"/>
    <w:rsid w:val="00EF22D0"/>
    <w:rsid w:val="00EF404D"/>
    <w:rsid w:val="00EF5DF5"/>
    <w:rsid w:val="00EF7B63"/>
    <w:rsid w:val="00F001BD"/>
    <w:rsid w:val="00F00DCD"/>
    <w:rsid w:val="00F00E2D"/>
    <w:rsid w:val="00F01DA4"/>
    <w:rsid w:val="00F02C6A"/>
    <w:rsid w:val="00F02E7D"/>
    <w:rsid w:val="00F05E0B"/>
    <w:rsid w:val="00F07672"/>
    <w:rsid w:val="00F0768F"/>
    <w:rsid w:val="00F076F1"/>
    <w:rsid w:val="00F11258"/>
    <w:rsid w:val="00F12F92"/>
    <w:rsid w:val="00F14D42"/>
    <w:rsid w:val="00F15BAA"/>
    <w:rsid w:val="00F210EC"/>
    <w:rsid w:val="00F21E4A"/>
    <w:rsid w:val="00F2250B"/>
    <w:rsid w:val="00F23C29"/>
    <w:rsid w:val="00F2737D"/>
    <w:rsid w:val="00F27A68"/>
    <w:rsid w:val="00F27D3A"/>
    <w:rsid w:val="00F34642"/>
    <w:rsid w:val="00F36AE9"/>
    <w:rsid w:val="00F36E08"/>
    <w:rsid w:val="00F37490"/>
    <w:rsid w:val="00F3751E"/>
    <w:rsid w:val="00F42933"/>
    <w:rsid w:val="00F43B47"/>
    <w:rsid w:val="00F45578"/>
    <w:rsid w:val="00F45B08"/>
    <w:rsid w:val="00F45E6B"/>
    <w:rsid w:val="00F50873"/>
    <w:rsid w:val="00F50D75"/>
    <w:rsid w:val="00F52207"/>
    <w:rsid w:val="00F5302F"/>
    <w:rsid w:val="00F5439A"/>
    <w:rsid w:val="00F60136"/>
    <w:rsid w:val="00F60BFE"/>
    <w:rsid w:val="00F641D0"/>
    <w:rsid w:val="00F642A6"/>
    <w:rsid w:val="00F64C0F"/>
    <w:rsid w:val="00F64D67"/>
    <w:rsid w:val="00F660D6"/>
    <w:rsid w:val="00F71F61"/>
    <w:rsid w:val="00F720F9"/>
    <w:rsid w:val="00F7398A"/>
    <w:rsid w:val="00F74972"/>
    <w:rsid w:val="00F753BA"/>
    <w:rsid w:val="00F76C91"/>
    <w:rsid w:val="00F77042"/>
    <w:rsid w:val="00F772EE"/>
    <w:rsid w:val="00F77407"/>
    <w:rsid w:val="00F82A8C"/>
    <w:rsid w:val="00F82D28"/>
    <w:rsid w:val="00F82FFB"/>
    <w:rsid w:val="00F83234"/>
    <w:rsid w:val="00F8344F"/>
    <w:rsid w:val="00F834C0"/>
    <w:rsid w:val="00F84152"/>
    <w:rsid w:val="00F901F5"/>
    <w:rsid w:val="00F921BE"/>
    <w:rsid w:val="00F929C4"/>
    <w:rsid w:val="00F92CDC"/>
    <w:rsid w:val="00F93893"/>
    <w:rsid w:val="00F94635"/>
    <w:rsid w:val="00F94CA9"/>
    <w:rsid w:val="00F954D3"/>
    <w:rsid w:val="00F95B85"/>
    <w:rsid w:val="00FA0E25"/>
    <w:rsid w:val="00FA3462"/>
    <w:rsid w:val="00FA5C7B"/>
    <w:rsid w:val="00FB0B81"/>
    <w:rsid w:val="00FB2C99"/>
    <w:rsid w:val="00FB31BA"/>
    <w:rsid w:val="00FB3A92"/>
    <w:rsid w:val="00FB3C6F"/>
    <w:rsid w:val="00FB3FFF"/>
    <w:rsid w:val="00FB4292"/>
    <w:rsid w:val="00FB6D80"/>
    <w:rsid w:val="00FB7B34"/>
    <w:rsid w:val="00FB7FB3"/>
    <w:rsid w:val="00FC18F1"/>
    <w:rsid w:val="00FC2D76"/>
    <w:rsid w:val="00FC3632"/>
    <w:rsid w:val="00FC3FB5"/>
    <w:rsid w:val="00FC40AB"/>
    <w:rsid w:val="00FC4AB5"/>
    <w:rsid w:val="00FC4B9E"/>
    <w:rsid w:val="00FC4DDA"/>
    <w:rsid w:val="00FC51D9"/>
    <w:rsid w:val="00FC68DF"/>
    <w:rsid w:val="00FC6F39"/>
    <w:rsid w:val="00FD019B"/>
    <w:rsid w:val="00FD09D2"/>
    <w:rsid w:val="00FD2012"/>
    <w:rsid w:val="00FD226A"/>
    <w:rsid w:val="00FD3275"/>
    <w:rsid w:val="00FD356C"/>
    <w:rsid w:val="00FD365E"/>
    <w:rsid w:val="00FD4AC4"/>
    <w:rsid w:val="00FD4CDC"/>
    <w:rsid w:val="00FD655C"/>
    <w:rsid w:val="00FD6E7B"/>
    <w:rsid w:val="00FD70CE"/>
    <w:rsid w:val="00FD725F"/>
    <w:rsid w:val="00FD7745"/>
    <w:rsid w:val="00FE159A"/>
    <w:rsid w:val="00FE3E28"/>
    <w:rsid w:val="00FE5DBB"/>
    <w:rsid w:val="00FF0121"/>
    <w:rsid w:val="00FF132B"/>
    <w:rsid w:val="00FF18A1"/>
    <w:rsid w:val="00FF2385"/>
    <w:rsid w:val="00FF4BC0"/>
    <w:rsid w:val="00FF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70F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88" w:lineRule="auto"/>
    </w:pPr>
    <w:rPr>
      <w:rFonts w:ascii="Century Schoolbook" w:hAnsi="Century Schoolbook"/>
      <w:sz w:val="26"/>
    </w:rPr>
  </w:style>
  <w:style w:type="paragraph" w:styleId="Heading1">
    <w:name w:val="heading 1"/>
    <w:basedOn w:val="Normal"/>
    <w:next w:val="Normal"/>
    <w:link w:val="Heading1Char"/>
    <w:uiPriority w:val="9"/>
    <w:qFormat/>
    <w:rsid w:val="00541B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109"/>
    <w:pPr>
      <w:ind w:left="720"/>
      <w:contextualSpacing/>
    </w:pPr>
  </w:style>
  <w:style w:type="character" w:styleId="Hyperlink">
    <w:name w:val="Hyperlink"/>
    <w:basedOn w:val="DefaultParagraphFont"/>
    <w:uiPriority w:val="99"/>
    <w:semiHidden/>
    <w:unhideWhenUsed/>
    <w:rsid w:val="00E84885"/>
    <w:rPr>
      <w:color w:val="0000FF"/>
      <w:u w:val="single"/>
    </w:rPr>
  </w:style>
  <w:style w:type="character" w:styleId="Emphasis">
    <w:name w:val="Emphasis"/>
    <w:basedOn w:val="DefaultParagraphFont"/>
    <w:uiPriority w:val="20"/>
    <w:qFormat/>
    <w:rsid w:val="001E33EE"/>
    <w:rPr>
      <w:i/>
      <w:iCs/>
    </w:rPr>
  </w:style>
  <w:style w:type="paragraph" w:styleId="FootnoteText">
    <w:name w:val="footnote text"/>
    <w:basedOn w:val="Normal"/>
    <w:link w:val="FootnoteTextChar"/>
    <w:uiPriority w:val="99"/>
    <w:unhideWhenUsed/>
    <w:rsid w:val="00184287"/>
    <w:pPr>
      <w:spacing w:line="240" w:lineRule="auto"/>
    </w:pPr>
    <w:rPr>
      <w:sz w:val="20"/>
      <w:szCs w:val="20"/>
    </w:rPr>
  </w:style>
  <w:style w:type="character" w:customStyle="1" w:styleId="FootnoteTextChar">
    <w:name w:val="Footnote Text Char"/>
    <w:basedOn w:val="DefaultParagraphFont"/>
    <w:link w:val="FootnoteText"/>
    <w:uiPriority w:val="99"/>
    <w:rsid w:val="00184287"/>
    <w:rPr>
      <w:rFonts w:ascii="Century Schoolbook" w:hAnsi="Century Schoolbook"/>
      <w:sz w:val="20"/>
      <w:szCs w:val="20"/>
    </w:rPr>
  </w:style>
  <w:style w:type="character" w:styleId="FootnoteReference">
    <w:name w:val="footnote reference"/>
    <w:basedOn w:val="DefaultParagraphFont"/>
    <w:uiPriority w:val="99"/>
    <w:semiHidden/>
    <w:unhideWhenUsed/>
    <w:rsid w:val="00184287"/>
    <w:rPr>
      <w:vertAlign w:val="superscript"/>
    </w:rPr>
  </w:style>
  <w:style w:type="paragraph" w:styleId="EndnoteText">
    <w:name w:val="endnote text"/>
    <w:basedOn w:val="Normal"/>
    <w:link w:val="EndnoteTextChar"/>
    <w:uiPriority w:val="99"/>
    <w:semiHidden/>
    <w:unhideWhenUsed/>
    <w:rsid w:val="00DB5471"/>
    <w:pPr>
      <w:spacing w:line="240" w:lineRule="auto"/>
    </w:pPr>
    <w:rPr>
      <w:sz w:val="20"/>
      <w:szCs w:val="20"/>
    </w:rPr>
  </w:style>
  <w:style w:type="character" w:customStyle="1" w:styleId="EndnoteTextChar">
    <w:name w:val="Endnote Text Char"/>
    <w:basedOn w:val="DefaultParagraphFont"/>
    <w:link w:val="EndnoteText"/>
    <w:uiPriority w:val="99"/>
    <w:semiHidden/>
    <w:rsid w:val="00DB5471"/>
    <w:rPr>
      <w:rFonts w:ascii="Century Schoolbook" w:hAnsi="Century Schoolbook"/>
      <w:sz w:val="20"/>
      <w:szCs w:val="20"/>
    </w:rPr>
  </w:style>
  <w:style w:type="character" w:styleId="EndnoteReference">
    <w:name w:val="endnote reference"/>
    <w:basedOn w:val="DefaultParagraphFont"/>
    <w:uiPriority w:val="99"/>
    <w:semiHidden/>
    <w:unhideWhenUsed/>
    <w:rsid w:val="00DB5471"/>
    <w:rPr>
      <w:vertAlign w:val="superscript"/>
    </w:rPr>
  </w:style>
  <w:style w:type="character" w:customStyle="1" w:styleId="Heading1Char">
    <w:name w:val="Heading 1 Char"/>
    <w:basedOn w:val="DefaultParagraphFont"/>
    <w:link w:val="Heading1"/>
    <w:uiPriority w:val="9"/>
    <w:rsid w:val="00541B6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1B60"/>
    <w:pPr>
      <w:tabs>
        <w:tab w:val="center" w:pos="4680"/>
        <w:tab w:val="right" w:pos="9360"/>
      </w:tabs>
      <w:spacing w:line="240" w:lineRule="auto"/>
    </w:pPr>
  </w:style>
  <w:style w:type="character" w:customStyle="1" w:styleId="HeaderChar">
    <w:name w:val="Header Char"/>
    <w:basedOn w:val="DefaultParagraphFont"/>
    <w:link w:val="Header"/>
    <w:uiPriority w:val="99"/>
    <w:rsid w:val="00541B60"/>
    <w:rPr>
      <w:rFonts w:ascii="Century Schoolbook" w:hAnsi="Century Schoolbook"/>
      <w:sz w:val="26"/>
    </w:rPr>
  </w:style>
  <w:style w:type="paragraph" w:styleId="Footer">
    <w:name w:val="footer"/>
    <w:basedOn w:val="Normal"/>
    <w:link w:val="FooterChar"/>
    <w:uiPriority w:val="99"/>
    <w:unhideWhenUsed/>
    <w:rsid w:val="00541B60"/>
    <w:pPr>
      <w:tabs>
        <w:tab w:val="center" w:pos="4680"/>
        <w:tab w:val="right" w:pos="9360"/>
      </w:tabs>
      <w:spacing w:line="240" w:lineRule="auto"/>
    </w:pPr>
  </w:style>
  <w:style w:type="character" w:customStyle="1" w:styleId="FooterChar">
    <w:name w:val="Footer Char"/>
    <w:basedOn w:val="DefaultParagraphFont"/>
    <w:link w:val="Footer"/>
    <w:uiPriority w:val="99"/>
    <w:rsid w:val="00541B60"/>
    <w:rPr>
      <w:rFonts w:ascii="Century Schoolbook" w:hAnsi="Century Schoolbook"/>
      <w:sz w:val="26"/>
    </w:rPr>
  </w:style>
  <w:style w:type="character" w:styleId="PageNumber">
    <w:name w:val="page number"/>
    <w:basedOn w:val="DefaultParagraphFont"/>
    <w:unhideWhenUsed/>
    <w:rsid w:val="00541B60"/>
  </w:style>
  <w:style w:type="paragraph" w:styleId="BalloonText">
    <w:name w:val="Balloon Text"/>
    <w:basedOn w:val="Normal"/>
    <w:link w:val="BalloonTextChar"/>
    <w:uiPriority w:val="99"/>
    <w:semiHidden/>
    <w:unhideWhenUsed/>
    <w:rsid w:val="007C1F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F0C"/>
    <w:rPr>
      <w:rFonts w:ascii="Segoe UI" w:hAnsi="Segoe UI" w:cs="Segoe UI"/>
      <w:sz w:val="18"/>
      <w:szCs w:val="18"/>
    </w:rPr>
  </w:style>
  <w:style w:type="character" w:styleId="CommentReference">
    <w:name w:val="annotation reference"/>
    <w:basedOn w:val="DefaultParagraphFont"/>
    <w:uiPriority w:val="99"/>
    <w:semiHidden/>
    <w:unhideWhenUsed/>
    <w:rsid w:val="00CA7815"/>
    <w:rPr>
      <w:sz w:val="16"/>
      <w:szCs w:val="16"/>
    </w:rPr>
  </w:style>
  <w:style w:type="paragraph" w:styleId="CommentText">
    <w:name w:val="annotation text"/>
    <w:basedOn w:val="Normal"/>
    <w:link w:val="CommentTextChar"/>
    <w:uiPriority w:val="99"/>
    <w:semiHidden/>
    <w:unhideWhenUsed/>
    <w:rsid w:val="00CA7815"/>
    <w:pPr>
      <w:spacing w:line="240" w:lineRule="auto"/>
    </w:pPr>
    <w:rPr>
      <w:sz w:val="20"/>
      <w:szCs w:val="20"/>
    </w:rPr>
  </w:style>
  <w:style w:type="character" w:customStyle="1" w:styleId="CommentTextChar">
    <w:name w:val="Comment Text Char"/>
    <w:basedOn w:val="DefaultParagraphFont"/>
    <w:link w:val="CommentText"/>
    <w:uiPriority w:val="99"/>
    <w:semiHidden/>
    <w:rsid w:val="00CA7815"/>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CA7815"/>
    <w:rPr>
      <w:b/>
      <w:bCs/>
    </w:rPr>
  </w:style>
  <w:style w:type="character" w:customStyle="1" w:styleId="CommentSubjectChar">
    <w:name w:val="Comment Subject Char"/>
    <w:basedOn w:val="CommentTextChar"/>
    <w:link w:val="CommentSubject"/>
    <w:uiPriority w:val="99"/>
    <w:semiHidden/>
    <w:rsid w:val="00CA7815"/>
    <w:rPr>
      <w:rFonts w:ascii="Century Schoolbook" w:hAnsi="Century Schoolbook"/>
      <w:b/>
      <w:bCs/>
      <w:sz w:val="20"/>
      <w:szCs w:val="20"/>
    </w:rPr>
  </w:style>
  <w:style w:type="paragraph" w:styleId="Revision">
    <w:name w:val="Revision"/>
    <w:hidden/>
    <w:uiPriority w:val="99"/>
    <w:semiHidden/>
    <w:rsid w:val="00BD6AD0"/>
    <w:pPr>
      <w:spacing w:after="0" w:line="240" w:lineRule="auto"/>
    </w:pPr>
    <w:rPr>
      <w:rFonts w:ascii="Century Schoolbook" w:hAnsi="Century Schoolbook"/>
      <w:sz w:val="26"/>
    </w:rPr>
  </w:style>
  <w:style w:type="table" w:styleId="TableGrid">
    <w:name w:val="Table Grid"/>
    <w:basedOn w:val="TableNormal"/>
    <w:rsid w:val="00536D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04108">
      <w:bodyDiv w:val="1"/>
      <w:marLeft w:val="0"/>
      <w:marRight w:val="0"/>
      <w:marTop w:val="0"/>
      <w:marBottom w:val="0"/>
      <w:divBdr>
        <w:top w:val="none" w:sz="0" w:space="0" w:color="auto"/>
        <w:left w:val="none" w:sz="0" w:space="0" w:color="auto"/>
        <w:bottom w:val="none" w:sz="0" w:space="0" w:color="auto"/>
        <w:right w:val="none" w:sz="0" w:space="0" w:color="auto"/>
      </w:divBdr>
      <w:divsChild>
        <w:div w:id="1381782849">
          <w:marLeft w:val="0"/>
          <w:marRight w:val="0"/>
          <w:marTop w:val="0"/>
          <w:marBottom w:val="0"/>
          <w:divBdr>
            <w:top w:val="none" w:sz="0" w:space="0" w:color="3D3D3D"/>
            <w:left w:val="none" w:sz="0" w:space="0" w:color="3D3D3D"/>
            <w:bottom w:val="none" w:sz="0" w:space="0" w:color="3D3D3D"/>
            <w:right w:val="none" w:sz="0" w:space="0" w:color="3D3D3D"/>
          </w:divBdr>
          <w:divsChild>
            <w:div w:id="206301710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71385783">
      <w:bodyDiv w:val="1"/>
      <w:marLeft w:val="0"/>
      <w:marRight w:val="0"/>
      <w:marTop w:val="0"/>
      <w:marBottom w:val="0"/>
      <w:divBdr>
        <w:top w:val="none" w:sz="0" w:space="0" w:color="auto"/>
        <w:left w:val="none" w:sz="0" w:space="0" w:color="auto"/>
        <w:bottom w:val="none" w:sz="0" w:space="0" w:color="auto"/>
        <w:right w:val="none" w:sz="0" w:space="0" w:color="auto"/>
      </w:divBdr>
      <w:divsChild>
        <w:div w:id="2058383941">
          <w:marLeft w:val="0"/>
          <w:marRight w:val="0"/>
          <w:marTop w:val="0"/>
          <w:marBottom w:val="0"/>
          <w:divBdr>
            <w:top w:val="none" w:sz="0" w:space="0" w:color="3D3D3D"/>
            <w:left w:val="none" w:sz="0" w:space="0" w:color="3D3D3D"/>
            <w:bottom w:val="none" w:sz="0" w:space="0" w:color="3D3D3D"/>
            <w:right w:val="none" w:sz="0" w:space="0" w:color="3D3D3D"/>
          </w:divBdr>
          <w:divsChild>
            <w:div w:id="78468840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37472021">
      <w:bodyDiv w:val="1"/>
      <w:marLeft w:val="0"/>
      <w:marRight w:val="0"/>
      <w:marTop w:val="0"/>
      <w:marBottom w:val="0"/>
      <w:divBdr>
        <w:top w:val="none" w:sz="0" w:space="0" w:color="auto"/>
        <w:left w:val="none" w:sz="0" w:space="0" w:color="auto"/>
        <w:bottom w:val="none" w:sz="0" w:space="0" w:color="auto"/>
        <w:right w:val="none" w:sz="0" w:space="0" w:color="auto"/>
      </w:divBdr>
      <w:divsChild>
        <w:div w:id="1638681615">
          <w:marLeft w:val="0"/>
          <w:marRight w:val="0"/>
          <w:marTop w:val="0"/>
          <w:marBottom w:val="0"/>
          <w:divBdr>
            <w:top w:val="single" w:sz="18" w:space="0" w:color="DADADA"/>
            <w:left w:val="none" w:sz="0" w:space="0" w:color="auto"/>
            <w:bottom w:val="none" w:sz="0" w:space="0" w:color="auto"/>
            <w:right w:val="none" w:sz="0" w:space="0" w:color="auto"/>
          </w:divBdr>
          <w:divsChild>
            <w:div w:id="1859468031">
              <w:marLeft w:val="0"/>
              <w:marRight w:val="0"/>
              <w:marTop w:val="0"/>
              <w:marBottom w:val="0"/>
              <w:divBdr>
                <w:top w:val="none" w:sz="0" w:space="0" w:color="auto"/>
                <w:left w:val="none" w:sz="0" w:space="0" w:color="auto"/>
                <w:bottom w:val="none" w:sz="0" w:space="0" w:color="auto"/>
                <w:right w:val="none" w:sz="0" w:space="0" w:color="auto"/>
              </w:divBdr>
              <w:divsChild>
                <w:div w:id="1619027387">
                  <w:marLeft w:val="0"/>
                  <w:marRight w:val="0"/>
                  <w:marTop w:val="0"/>
                  <w:marBottom w:val="0"/>
                  <w:divBdr>
                    <w:top w:val="none" w:sz="0" w:space="0" w:color="auto"/>
                    <w:left w:val="none" w:sz="0" w:space="0" w:color="auto"/>
                    <w:bottom w:val="none" w:sz="0" w:space="0" w:color="auto"/>
                    <w:right w:val="none" w:sz="0" w:space="0" w:color="auto"/>
                  </w:divBdr>
                  <w:divsChild>
                    <w:div w:id="1699424808">
                      <w:marLeft w:val="0"/>
                      <w:marRight w:val="0"/>
                      <w:marTop w:val="0"/>
                      <w:marBottom w:val="0"/>
                      <w:divBdr>
                        <w:top w:val="none" w:sz="0" w:space="0" w:color="auto"/>
                        <w:left w:val="none" w:sz="0" w:space="0" w:color="auto"/>
                        <w:bottom w:val="none" w:sz="0" w:space="0" w:color="auto"/>
                        <w:right w:val="none" w:sz="0" w:space="0" w:color="auto"/>
                      </w:divBdr>
                      <w:divsChild>
                        <w:div w:id="13488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3388</Words>
  <Characters>17741</Characters>
  <Application>Microsoft Office Word</Application>
  <DocSecurity>0</DocSecurity>
  <Lines>397</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21227</CharactersWithSpaces>
  <SharedDoc>false</SharedDoc>
  <HyperlinkBase/>
  <HLinks>
    <vt:vector size="6" baseType="variant">
      <vt:variant>
        <vt:i4>7471141</vt:i4>
      </vt:variant>
      <vt:variant>
        <vt:i4>0</vt:i4>
      </vt:variant>
      <vt:variant>
        <vt:i4>0</vt:i4>
      </vt:variant>
      <vt:variant>
        <vt:i4>5</vt:i4>
      </vt:variant>
      <vt:variant>
        <vt:lpwstr>https://1.next.westlaw.com/Link/Document/FullText?findType=Y&amp;serNum=2036276563&amp;pubNum=0007047&amp;originatingDoc=I4b722dc8a30c11daadebec44d3948d89&amp;refType=RP&amp;originationContext=document&amp;transitionType=DocumentItem&amp;ppcid=38e043fc8ceb4beb8206120fd33bd72b&amp;contextData=(sc.Keyc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2024-01-17T17:29:00Z</cp:lastPrinted>
  <dcterms:created xsi:type="dcterms:W3CDTF">2024-01-17T17:38:00Z</dcterms:created>
  <dcterms:modified xsi:type="dcterms:W3CDTF">2024-01-17T17:38:00Z</dcterms:modified>
  <cp:category/>
</cp:coreProperties>
</file>