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FE0E8" w14:textId="724CDB38" w:rsidR="00BF728F" w:rsidRPr="00A864A5" w:rsidRDefault="00267C6F" w:rsidP="00A864A5">
      <w:pPr>
        <w:spacing w:after="0" w:line="288" w:lineRule="auto"/>
        <w:rPr>
          <w:rFonts w:ascii="Century Schoolbook" w:hAnsi="Century Schoolbook"/>
          <w:bCs/>
          <w:sz w:val="20"/>
          <w:szCs w:val="20"/>
        </w:rPr>
      </w:pPr>
      <w:r>
        <w:rPr>
          <w:rFonts w:ascii="Century Schoolbook" w:hAnsi="Century Schoolbook"/>
          <w:bCs/>
          <w:sz w:val="20"/>
          <w:szCs w:val="20"/>
        </w:rPr>
        <w:t xml:space="preserve">Filed </w:t>
      </w:r>
      <w:proofErr w:type="gramStart"/>
      <w:r>
        <w:rPr>
          <w:rFonts w:ascii="Century Schoolbook" w:hAnsi="Century Schoolbook"/>
          <w:bCs/>
          <w:sz w:val="20"/>
          <w:szCs w:val="20"/>
        </w:rPr>
        <w:t>1/25/2024</w:t>
      </w:r>
      <w:proofErr w:type="gramEnd"/>
    </w:p>
    <w:p w14:paraId="78E89CEE" w14:textId="705705A1" w:rsidR="00DF0BE3" w:rsidRPr="00DF0BE3" w:rsidRDefault="00267C6F" w:rsidP="00D4746C">
      <w:pPr>
        <w:spacing w:after="0" w:line="288" w:lineRule="auto"/>
        <w:jc w:val="center"/>
        <w:rPr>
          <w:rFonts w:ascii="Century Schoolbook" w:hAnsi="Century Schoolbook"/>
          <w:b/>
          <w:sz w:val="26"/>
        </w:rPr>
      </w:pPr>
      <w:r w:rsidRPr="00DF0BE3">
        <w:rPr>
          <w:rFonts w:ascii="Century Schoolbook" w:hAnsi="Century Schoolbook"/>
          <w:b/>
          <w:sz w:val="26"/>
        </w:rPr>
        <w:t>CERTIFIED FOR PUBLICATION</w:t>
      </w:r>
    </w:p>
    <w:p w14:paraId="0ED960DB" w14:textId="77777777" w:rsidR="00DF0BE3" w:rsidRPr="00DF0BE3" w:rsidRDefault="00DF0BE3" w:rsidP="00D4746C">
      <w:pPr>
        <w:spacing w:after="0" w:line="288" w:lineRule="auto"/>
        <w:rPr>
          <w:rFonts w:ascii="Century Schoolbook" w:hAnsi="Century Schoolbook"/>
          <w:sz w:val="26"/>
        </w:rPr>
      </w:pPr>
    </w:p>
    <w:p w14:paraId="446577EB" w14:textId="77777777" w:rsidR="00DF0BE3" w:rsidRPr="00DF0BE3" w:rsidRDefault="00267C6F" w:rsidP="00D4746C">
      <w:pPr>
        <w:spacing w:after="0" w:line="288" w:lineRule="auto"/>
        <w:jc w:val="center"/>
        <w:rPr>
          <w:rFonts w:ascii="Century Schoolbook" w:hAnsi="Century Schoolbook"/>
          <w:sz w:val="26"/>
        </w:rPr>
      </w:pPr>
      <w:r w:rsidRPr="00DF0BE3">
        <w:rPr>
          <w:rFonts w:ascii="Century Schoolbook" w:hAnsi="Century Schoolbook"/>
          <w:sz w:val="26"/>
        </w:rPr>
        <w:t>IN THE COURT OF APPEAL OF THE STATE OF CALIFORNIA</w:t>
      </w:r>
    </w:p>
    <w:p w14:paraId="1B8D6176" w14:textId="77777777" w:rsidR="009A7218" w:rsidRPr="009A7218" w:rsidRDefault="009A7218" w:rsidP="00D4746C">
      <w:pPr>
        <w:spacing w:after="0" w:line="288" w:lineRule="auto"/>
        <w:rPr>
          <w:rFonts w:ascii="Century Schoolbook" w:eastAsia="Calibri" w:hAnsi="Century Schoolbook" w:cs="Times New Roman"/>
          <w:sz w:val="26"/>
        </w:rPr>
      </w:pPr>
    </w:p>
    <w:p w14:paraId="19E0B779" w14:textId="77777777" w:rsidR="009A7218" w:rsidRPr="009A7218" w:rsidRDefault="00267C6F" w:rsidP="00D4746C">
      <w:pPr>
        <w:spacing w:after="0" w:line="288" w:lineRule="auto"/>
        <w:jc w:val="center"/>
        <w:rPr>
          <w:rFonts w:ascii="Century Schoolbook" w:eastAsia="Calibri" w:hAnsi="Century Schoolbook" w:cs="Times New Roman"/>
          <w:sz w:val="26"/>
        </w:rPr>
      </w:pPr>
      <w:r w:rsidRPr="009A7218">
        <w:rPr>
          <w:rFonts w:ascii="Century Schoolbook" w:eastAsia="Calibri" w:hAnsi="Century Schoolbook" w:cs="Times New Roman"/>
          <w:sz w:val="26"/>
        </w:rPr>
        <w:t>SECOND APPELLATE DISTRICT</w:t>
      </w:r>
    </w:p>
    <w:p w14:paraId="5CEB5AFF" w14:textId="77777777" w:rsidR="009A7218" w:rsidRPr="009A7218" w:rsidRDefault="009A7218" w:rsidP="00D4746C">
      <w:pPr>
        <w:spacing w:after="0" w:line="288" w:lineRule="auto"/>
        <w:jc w:val="center"/>
        <w:rPr>
          <w:rFonts w:ascii="Century Schoolbook" w:eastAsia="Calibri" w:hAnsi="Century Schoolbook" w:cs="Times New Roman"/>
          <w:sz w:val="26"/>
        </w:rPr>
      </w:pPr>
    </w:p>
    <w:p w14:paraId="4C0ED1C3" w14:textId="77777777" w:rsidR="009A7218" w:rsidRDefault="00267C6F" w:rsidP="00D4746C">
      <w:pPr>
        <w:spacing w:after="0" w:line="288" w:lineRule="auto"/>
        <w:jc w:val="center"/>
        <w:rPr>
          <w:rFonts w:ascii="Century Schoolbook" w:eastAsia="Calibri" w:hAnsi="Century Schoolbook" w:cs="Times New Roman"/>
          <w:sz w:val="26"/>
        </w:rPr>
      </w:pPr>
      <w:r w:rsidRPr="009A7218">
        <w:rPr>
          <w:rFonts w:ascii="Century Schoolbook" w:eastAsia="Calibri" w:hAnsi="Century Schoolbook" w:cs="Times New Roman"/>
          <w:sz w:val="26"/>
        </w:rPr>
        <w:t>DIVISION TWO</w:t>
      </w:r>
    </w:p>
    <w:p w14:paraId="69CB53A6" w14:textId="77777777" w:rsidR="00E77C44" w:rsidRDefault="00E77C44" w:rsidP="00E77C44">
      <w:pPr>
        <w:spacing w:after="0" w:line="288" w:lineRule="auto"/>
        <w:rPr>
          <w:rFonts w:ascii="Century Schoolbook" w:eastAsia="Calibri" w:hAnsi="Century Schoolbook" w:cs="Times New Roman"/>
          <w:sz w:val="26"/>
        </w:rPr>
      </w:pPr>
    </w:p>
    <w:tbl>
      <w:tblPr>
        <w:tblW w:w="8136" w:type="dxa"/>
        <w:tblLayout w:type="fixed"/>
        <w:tblLook w:val="0000" w:firstRow="0" w:lastRow="0" w:firstColumn="0" w:lastColumn="0" w:noHBand="0" w:noVBand="0"/>
      </w:tblPr>
      <w:tblGrid>
        <w:gridCol w:w="4050"/>
        <w:gridCol w:w="4086"/>
      </w:tblGrid>
      <w:tr w:rsidR="005C0D03" w14:paraId="57914DF1" w14:textId="77777777" w:rsidTr="004A1C12">
        <w:tc>
          <w:tcPr>
            <w:tcW w:w="4050" w:type="dxa"/>
            <w:tcBorders>
              <w:bottom w:val="single" w:sz="4" w:space="0" w:color="auto"/>
              <w:right w:val="single" w:sz="4" w:space="0" w:color="auto"/>
            </w:tcBorders>
            <w:shd w:val="clear" w:color="auto" w:fill="auto"/>
          </w:tcPr>
          <w:p w14:paraId="6BC0DBBB" w14:textId="71D56A67" w:rsidR="009D0AA2" w:rsidRDefault="00267C6F" w:rsidP="00D4746C">
            <w:pPr>
              <w:spacing w:after="0" w:line="288" w:lineRule="auto"/>
              <w:rPr>
                <w:rFonts w:ascii="Century Schoolbook" w:eastAsia="Calibri" w:hAnsi="Century Schoolbook"/>
                <w:sz w:val="26"/>
              </w:rPr>
            </w:pPr>
            <w:r>
              <w:rPr>
                <w:rFonts w:ascii="Century Schoolbook" w:eastAsia="Calibri" w:hAnsi="Century Schoolbook"/>
                <w:sz w:val="26"/>
              </w:rPr>
              <w:t>CARLOS CHAVEZ</w:t>
            </w:r>
            <w:r w:rsidRPr="00D27DED">
              <w:rPr>
                <w:rFonts w:ascii="Century Schoolbook" w:eastAsia="Calibri" w:hAnsi="Century Schoolbook"/>
                <w:sz w:val="26"/>
              </w:rPr>
              <w:t>,</w:t>
            </w:r>
          </w:p>
          <w:p w14:paraId="3CC4B8B6" w14:textId="77777777" w:rsidR="00D4746C" w:rsidRPr="00D27DED" w:rsidRDefault="00D4746C" w:rsidP="00D4746C">
            <w:pPr>
              <w:spacing w:after="0" w:line="288" w:lineRule="auto"/>
              <w:rPr>
                <w:rFonts w:ascii="Century Schoolbook" w:eastAsia="Calibri" w:hAnsi="Century Schoolbook"/>
                <w:sz w:val="26"/>
              </w:rPr>
            </w:pPr>
          </w:p>
          <w:p w14:paraId="6E1E124F" w14:textId="235FD646" w:rsidR="009D0AA2" w:rsidRDefault="00267C6F" w:rsidP="00D4746C">
            <w:pPr>
              <w:spacing w:after="0" w:line="288" w:lineRule="auto"/>
              <w:rPr>
                <w:rFonts w:ascii="Century Schoolbook" w:eastAsia="Calibri" w:hAnsi="Century Schoolbook"/>
                <w:sz w:val="26"/>
              </w:rPr>
            </w:pPr>
            <w:r w:rsidRPr="00D27DED">
              <w:rPr>
                <w:rFonts w:ascii="Century Schoolbook" w:eastAsia="Calibri" w:hAnsi="Century Schoolbook"/>
                <w:sz w:val="26"/>
              </w:rPr>
              <w:tab/>
              <w:t>P</w:t>
            </w:r>
            <w:r w:rsidR="00D4746C">
              <w:rPr>
                <w:rFonts w:ascii="Century Schoolbook" w:eastAsia="Calibri" w:hAnsi="Century Schoolbook"/>
                <w:sz w:val="26"/>
              </w:rPr>
              <w:t>etitioner</w:t>
            </w:r>
            <w:r w:rsidRPr="00D27DED">
              <w:rPr>
                <w:rFonts w:ascii="Century Schoolbook" w:eastAsia="Calibri" w:hAnsi="Century Schoolbook"/>
                <w:sz w:val="26"/>
              </w:rPr>
              <w:t>,</w:t>
            </w:r>
          </w:p>
          <w:p w14:paraId="268610DE" w14:textId="77777777" w:rsidR="00D4746C" w:rsidRPr="00D27DED" w:rsidRDefault="00D4746C" w:rsidP="00D4746C">
            <w:pPr>
              <w:spacing w:after="0" w:line="288" w:lineRule="auto"/>
              <w:rPr>
                <w:rFonts w:ascii="Century Schoolbook" w:eastAsia="Calibri" w:hAnsi="Century Schoolbook"/>
                <w:sz w:val="26"/>
              </w:rPr>
            </w:pPr>
          </w:p>
          <w:p w14:paraId="36BD53AC" w14:textId="2EAC01CA" w:rsidR="009D0AA2" w:rsidRDefault="00267C6F" w:rsidP="00D4746C">
            <w:pPr>
              <w:spacing w:after="0" w:line="288" w:lineRule="auto"/>
              <w:rPr>
                <w:rFonts w:ascii="Century Schoolbook" w:eastAsia="Calibri" w:hAnsi="Century Schoolbook"/>
                <w:sz w:val="26"/>
              </w:rPr>
            </w:pPr>
            <w:r w:rsidRPr="00D27DED">
              <w:rPr>
                <w:rFonts w:ascii="Century Schoolbook" w:eastAsia="Calibri" w:hAnsi="Century Schoolbook"/>
                <w:sz w:val="26"/>
              </w:rPr>
              <w:tab/>
              <w:t>v.</w:t>
            </w:r>
          </w:p>
          <w:p w14:paraId="7C1686B3" w14:textId="77777777" w:rsidR="00D4746C" w:rsidRPr="00D27DED" w:rsidRDefault="00D4746C" w:rsidP="00D4746C">
            <w:pPr>
              <w:spacing w:after="0" w:line="288" w:lineRule="auto"/>
              <w:rPr>
                <w:rFonts w:ascii="Century Schoolbook" w:eastAsia="Calibri" w:hAnsi="Century Schoolbook"/>
                <w:sz w:val="26"/>
              </w:rPr>
            </w:pPr>
          </w:p>
          <w:p w14:paraId="61922F8A" w14:textId="17CD6B5E" w:rsidR="009D0AA2" w:rsidRDefault="00267C6F" w:rsidP="00D4746C">
            <w:pPr>
              <w:spacing w:after="0" w:line="288" w:lineRule="auto"/>
              <w:rPr>
                <w:rFonts w:ascii="Century Schoolbook" w:eastAsia="Calibri" w:hAnsi="Century Schoolbook"/>
                <w:sz w:val="26"/>
              </w:rPr>
            </w:pPr>
            <w:r>
              <w:rPr>
                <w:rFonts w:ascii="Century Schoolbook" w:eastAsia="Calibri" w:hAnsi="Century Schoolbook"/>
                <w:sz w:val="26"/>
              </w:rPr>
              <w:t>THE SUPERIOR COURT OF LOS ANGELES COUNTY</w:t>
            </w:r>
            <w:r w:rsidRPr="00D27DED">
              <w:rPr>
                <w:rFonts w:ascii="Century Schoolbook" w:eastAsia="Calibri" w:hAnsi="Century Schoolbook"/>
                <w:sz w:val="26"/>
              </w:rPr>
              <w:t>,</w:t>
            </w:r>
          </w:p>
          <w:p w14:paraId="6A76D4D3" w14:textId="77777777" w:rsidR="00D4746C" w:rsidRPr="00D27DED" w:rsidRDefault="00D4746C" w:rsidP="00D4746C">
            <w:pPr>
              <w:spacing w:after="0" w:line="288" w:lineRule="auto"/>
              <w:rPr>
                <w:rFonts w:ascii="Century Schoolbook" w:eastAsia="Calibri" w:hAnsi="Century Schoolbook"/>
                <w:sz w:val="26"/>
              </w:rPr>
            </w:pPr>
          </w:p>
          <w:p w14:paraId="5E94D89B" w14:textId="3E9CA57A" w:rsidR="00D4746C" w:rsidRDefault="00267C6F" w:rsidP="00D4746C">
            <w:pPr>
              <w:spacing w:after="0" w:line="288" w:lineRule="auto"/>
              <w:rPr>
                <w:rFonts w:ascii="Century Schoolbook" w:eastAsia="Calibri" w:hAnsi="Century Schoolbook"/>
                <w:sz w:val="26"/>
              </w:rPr>
            </w:pPr>
            <w:r w:rsidRPr="00D27DED">
              <w:rPr>
                <w:rFonts w:ascii="Century Schoolbook" w:eastAsia="Calibri" w:hAnsi="Century Schoolbook"/>
                <w:sz w:val="26"/>
              </w:rPr>
              <w:tab/>
            </w:r>
            <w:proofErr w:type="gramStart"/>
            <w:r>
              <w:rPr>
                <w:rFonts w:ascii="Century Schoolbook" w:eastAsia="Calibri" w:hAnsi="Century Schoolbook"/>
                <w:sz w:val="26"/>
              </w:rPr>
              <w:t>Respondent;</w:t>
            </w:r>
            <w:proofErr w:type="gramEnd"/>
          </w:p>
          <w:p w14:paraId="13660E3F" w14:textId="77777777" w:rsidR="00D4746C" w:rsidRDefault="00D4746C" w:rsidP="00D4746C">
            <w:pPr>
              <w:spacing w:after="0" w:line="288" w:lineRule="auto"/>
              <w:rPr>
                <w:rFonts w:ascii="Century Schoolbook" w:eastAsia="Calibri" w:hAnsi="Century Schoolbook"/>
                <w:sz w:val="26"/>
              </w:rPr>
            </w:pPr>
          </w:p>
          <w:p w14:paraId="5AFB2174" w14:textId="1A85193B" w:rsidR="00D4746C" w:rsidRDefault="00267C6F" w:rsidP="00D4746C">
            <w:pPr>
              <w:spacing w:after="0" w:line="288" w:lineRule="auto"/>
              <w:rPr>
                <w:rFonts w:ascii="Century Schoolbook" w:eastAsia="Calibri" w:hAnsi="Century Schoolbook"/>
                <w:sz w:val="26"/>
              </w:rPr>
            </w:pPr>
            <w:r>
              <w:rPr>
                <w:rFonts w:ascii="Century Schoolbook" w:eastAsia="Calibri" w:hAnsi="Century Schoolbook"/>
                <w:sz w:val="26"/>
              </w:rPr>
              <w:t>THE PEOPLE,</w:t>
            </w:r>
          </w:p>
          <w:p w14:paraId="44FFA4E6" w14:textId="77777777" w:rsidR="00D4746C" w:rsidRDefault="00D4746C" w:rsidP="00D4746C">
            <w:pPr>
              <w:spacing w:after="0" w:line="288" w:lineRule="auto"/>
              <w:rPr>
                <w:rFonts w:ascii="Century Schoolbook" w:eastAsia="Calibri" w:hAnsi="Century Schoolbook"/>
                <w:sz w:val="26"/>
              </w:rPr>
            </w:pPr>
          </w:p>
          <w:p w14:paraId="6A2BA7D1" w14:textId="23B28E4E" w:rsidR="00D4746C" w:rsidRPr="00D27DED" w:rsidRDefault="00267C6F" w:rsidP="00D4746C">
            <w:pPr>
              <w:spacing w:after="0" w:line="288" w:lineRule="auto"/>
              <w:ind w:left="705"/>
              <w:rPr>
                <w:rFonts w:ascii="Century Schoolbook" w:eastAsia="Calibri" w:hAnsi="Century Schoolbook"/>
                <w:sz w:val="26"/>
              </w:rPr>
            </w:pPr>
            <w:r>
              <w:rPr>
                <w:rFonts w:ascii="Century Schoolbook" w:eastAsia="Calibri" w:hAnsi="Century Schoolbook"/>
                <w:sz w:val="26"/>
              </w:rPr>
              <w:t xml:space="preserve">Real Party in </w:t>
            </w:r>
            <w:r>
              <w:rPr>
                <w:rFonts w:ascii="Century Schoolbook" w:eastAsia="Calibri" w:hAnsi="Century Schoolbook"/>
                <w:sz w:val="26"/>
              </w:rPr>
              <w:t>Interest.</w:t>
            </w:r>
          </w:p>
          <w:p w14:paraId="0B4B63F7" w14:textId="77777777" w:rsidR="009D0AA2" w:rsidRPr="00D27DED" w:rsidRDefault="009D0AA2" w:rsidP="00D4746C">
            <w:pPr>
              <w:spacing w:after="0" w:line="288" w:lineRule="auto"/>
              <w:rPr>
                <w:rFonts w:ascii="Century Schoolbook" w:eastAsia="Calibri" w:hAnsi="Century Schoolbook"/>
                <w:sz w:val="26"/>
              </w:rPr>
            </w:pPr>
          </w:p>
        </w:tc>
        <w:tc>
          <w:tcPr>
            <w:tcW w:w="4086" w:type="dxa"/>
            <w:tcBorders>
              <w:left w:val="single" w:sz="4" w:space="0" w:color="auto"/>
            </w:tcBorders>
            <w:shd w:val="clear" w:color="auto" w:fill="auto"/>
          </w:tcPr>
          <w:p w14:paraId="43CEF3CF" w14:textId="1EF08456" w:rsidR="009D0AA2" w:rsidRDefault="00267C6F" w:rsidP="00D4746C">
            <w:pPr>
              <w:spacing w:after="0" w:line="288" w:lineRule="auto"/>
              <w:ind w:left="421" w:hanging="421"/>
              <w:rPr>
                <w:rFonts w:ascii="Century Schoolbook" w:eastAsia="Calibri" w:hAnsi="Century Schoolbook"/>
                <w:sz w:val="26"/>
              </w:rPr>
            </w:pPr>
            <w:r w:rsidRPr="00D27DED">
              <w:rPr>
                <w:rFonts w:ascii="Century Schoolbook" w:eastAsia="Calibri" w:hAnsi="Century Schoolbook"/>
                <w:sz w:val="26"/>
              </w:rPr>
              <w:t xml:space="preserve">     </w:t>
            </w:r>
            <w:r w:rsidR="00E43AFC" w:rsidRPr="00D27DED">
              <w:rPr>
                <w:rFonts w:ascii="Century Schoolbook" w:eastAsia="Calibri" w:hAnsi="Century Schoolbook"/>
                <w:sz w:val="26"/>
              </w:rPr>
              <w:t xml:space="preserve"> </w:t>
            </w:r>
            <w:r w:rsidR="004A1C12" w:rsidRPr="004A1C12">
              <w:rPr>
                <w:rFonts w:ascii="Century Schoolbook" w:eastAsia="Calibri" w:hAnsi="Century Schoolbook"/>
                <w:sz w:val="26"/>
              </w:rPr>
              <w:t> </w:t>
            </w:r>
            <w:r w:rsidR="00D4746C" w:rsidRPr="00D4746C">
              <w:rPr>
                <w:rFonts w:ascii="Century Schoolbook" w:eastAsia="Calibri" w:hAnsi="Century Schoolbook"/>
                <w:sz w:val="26"/>
              </w:rPr>
              <w:t>B332361</w:t>
            </w:r>
          </w:p>
          <w:p w14:paraId="47EFD06A" w14:textId="77777777" w:rsidR="00D4746C" w:rsidRPr="00D27DED" w:rsidRDefault="00D4746C" w:rsidP="00D4746C">
            <w:pPr>
              <w:spacing w:after="0" w:line="288" w:lineRule="auto"/>
              <w:ind w:left="421" w:hanging="421"/>
              <w:rPr>
                <w:rFonts w:ascii="Century Schoolbook" w:eastAsia="Calibri" w:hAnsi="Century Schoolbook"/>
                <w:sz w:val="26"/>
              </w:rPr>
            </w:pPr>
          </w:p>
          <w:p w14:paraId="756C2C1B" w14:textId="77777777" w:rsidR="009D0AA2" w:rsidRPr="00D27DED" w:rsidRDefault="00267C6F" w:rsidP="00D4746C">
            <w:pPr>
              <w:spacing w:after="0" w:line="288" w:lineRule="auto"/>
              <w:rPr>
                <w:rFonts w:ascii="Century Schoolbook" w:eastAsia="Calibri" w:hAnsi="Century Schoolbook"/>
                <w:sz w:val="26"/>
              </w:rPr>
            </w:pPr>
            <w:r w:rsidRPr="00D27DED">
              <w:rPr>
                <w:rFonts w:ascii="Century Schoolbook" w:eastAsia="Calibri" w:hAnsi="Century Schoolbook"/>
                <w:sz w:val="26"/>
              </w:rPr>
              <w:t xml:space="preserve">      (Los Angeles County</w:t>
            </w:r>
          </w:p>
          <w:p w14:paraId="51E4F4D4" w14:textId="67D0625F" w:rsidR="009D0AA2" w:rsidRPr="00D27DED" w:rsidRDefault="00267C6F" w:rsidP="00D4746C">
            <w:pPr>
              <w:spacing w:after="0" w:line="288" w:lineRule="auto"/>
              <w:ind w:left="421" w:hanging="421"/>
              <w:rPr>
                <w:rFonts w:ascii="Century Schoolbook" w:eastAsia="Calibri" w:hAnsi="Century Schoolbook"/>
                <w:sz w:val="26"/>
              </w:rPr>
            </w:pPr>
            <w:r w:rsidRPr="00D27DED">
              <w:rPr>
                <w:rFonts w:ascii="Century Schoolbook" w:eastAsia="Calibri" w:hAnsi="Century Schoolbook"/>
                <w:sz w:val="26"/>
              </w:rPr>
              <w:t xml:space="preserve">      Super. Ct. No. </w:t>
            </w:r>
            <w:r w:rsidR="00D4746C" w:rsidRPr="00D4746C">
              <w:rPr>
                <w:rFonts w:ascii="Century Schoolbook" w:eastAsia="Calibri" w:hAnsi="Century Schoolbook"/>
                <w:sz w:val="26"/>
              </w:rPr>
              <w:t>BA452909</w:t>
            </w:r>
            <w:r w:rsidRPr="00D27DED">
              <w:rPr>
                <w:rFonts w:ascii="Century Schoolbook" w:eastAsia="Calibri" w:hAnsi="Century Schoolbook"/>
                <w:sz w:val="26"/>
              </w:rPr>
              <w:t>)</w:t>
            </w:r>
          </w:p>
        </w:tc>
      </w:tr>
    </w:tbl>
    <w:p w14:paraId="12C36120" w14:textId="77777777" w:rsidR="009A7218" w:rsidRPr="009A7218" w:rsidRDefault="009A7218" w:rsidP="00227B2E">
      <w:pPr>
        <w:spacing w:after="0" w:line="288" w:lineRule="auto"/>
        <w:rPr>
          <w:rFonts w:ascii="Century Schoolbook" w:eastAsia="Calibri" w:hAnsi="Century Schoolbook" w:cs="Times New Roman"/>
          <w:sz w:val="26"/>
        </w:rPr>
      </w:pPr>
    </w:p>
    <w:p w14:paraId="63C2922C" w14:textId="4A727595" w:rsidR="009A7218" w:rsidRDefault="00267C6F" w:rsidP="00CB47F4">
      <w:pPr>
        <w:spacing w:after="0" w:line="288" w:lineRule="auto"/>
        <w:ind w:firstLine="720"/>
        <w:rPr>
          <w:rFonts w:ascii="Century Schoolbook" w:hAnsi="Century Schoolbook"/>
          <w:sz w:val="26"/>
          <w:szCs w:val="26"/>
        </w:rPr>
      </w:pPr>
      <w:r>
        <w:rPr>
          <w:rFonts w:ascii="Century Schoolbook" w:hAnsi="Century Schoolbook"/>
          <w:sz w:val="26"/>
          <w:szCs w:val="26"/>
        </w:rPr>
        <w:t>ORIGINAL PROCEEDING</w:t>
      </w:r>
      <w:r w:rsidR="006D42E0">
        <w:rPr>
          <w:rFonts w:ascii="Century Schoolbook" w:hAnsi="Century Schoolbook"/>
          <w:sz w:val="26"/>
          <w:szCs w:val="26"/>
        </w:rPr>
        <w:t>S in</w:t>
      </w:r>
      <w:r w:rsidRPr="00CB47F4">
        <w:rPr>
          <w:rFonts w:ascii="Century Schoolbook" w:hAnsi="Century Schoolbook"/>
          <w:sz w:val="26"/>
          <w:szCs w:val="26"/>
        </w:rPr>
        <w:t xml:space="preserve"> </w:t>
      </w:r>
      <w:r w:rsidR="006D42E0">
        <w:rPr>
          <w:rFonts w:ascii="Century Schoolbook" w:hAnsi="Century Schoolbook"/>
          <w:sz w:val="26"/>
          <w:szCs w:val="26"/>
        </w:rPr>
        <w:t>m</w:t>
      </w:r>
      <w:r w:rsidRPr="00CB47F4">
        <w:rPr>
          <w:rFonts w:ascii="Century Schoolbook" w:hAnsi="Century Schoolbook"/>
          <w:sz w:val="26"/>
          <w:szCs w:val="26"/>
        </w:rPr>
        <w:t>andate</w:t>
      </w:r>
      <w:r w:rsidR="00E02A4A">
        <w:rPr>
          <w:rFonts w:ascii="Century Schoolbook" w:hAnsi="Century Schoolbook"/>
          <w:sz w:val="26"/>
          <w:szCs w:val="26"/>
        </w:rPr>
        <w:t xml:space="preserve">. </w:t>
      </w:r>
      <w:r w:rsidRPr="00CB47F4">
        <w:rPr>
          <w:rFonts w:ascii="Century Schoolbook" w:hAnsi="Century Schoolbook"/>
          <w:sz w:val="26"/>
          <w:szCs w:val="26"/>
        </w:rPr>
        <w:t xml:space="preserve"> </w:t>
      </w:r>
      <w:r w:rsidR="00E02A4A">
        <w:rPr>
          <w:rFonts w:ascii="Century Schoolbook" w:hAnsi="Century Schoolbook"/>
          <w:sz w:val="26"/>
          <w:szCs w:val="26"/>
        </w:rPr>
        <w:t xml:space="preserve">Lisa B. </w:t>
      </w:r>
      <w:proofErr w:type="spellStart"/>
      <w:r w:rsidR="00E02A4A">
        <w:rPr>
          <w:rFonts w:ascii="Century Schoolbook" w:hAnsi="Century Schoolbook"/>
          <w:sz w:val="26"/>
          <w:szCs w:val="26"/>
        </w:rPr>
        <w:t>Lench</w:t>
      </w:r>
      <w:proofErr w:type="spellEnd"/>
      <w:r w:rsidRPr="00E02A4A">
        <w:rPr>
          <w:rFonts w:ascii="Century Schoolbook" w:hAnsi="Century Schoolbook"/>
          <w:sz w:val="26"/>
          <w:szCs w:val="26"/>
        </w:rPr>
        <w:t>, Judge.</w:t>
      </w:r>
      <w:r w:rsidRPr="00CB47F4">
        <w:rPr>
          <w:rFonts w:ascii="Century Schoolbook" w:hAnsi="Century Schoolbook"/>
          <w:sz w:val="26"/>
          <w:szCs w:val="26"/>
        </w:rPr>
        <w:t xml:space="preserve">  Petition </w:t>
      </w:r>
      <w:r w:rsidR="0080698F">
        <w:rPr>
          <w:rFonts w:ascii="Century Schoolbook" w:hAnsi="Century Schoolbook"/>
          <w:sz w:val="26"/>
          <w:szCs w:val="26"/>
        </w:rPr>
        <w:t>denied</w:t>
      </w:r>
      <w:r w:rsidRPr="00CB47F4">
        <w:rPr>
          <w:rFonts w:ascii="Century Schoolbook" w:hAnsi="Century Schoolbook"/>
          <w:sz w:val="26"/>
          <w:szCs w:val="26"/>
        </w:rPr>
        <w:t>.</w:t>
      </w:r>
    </w:p>
    <w:p w14:paraId="14B13AF8" w14:textId="77777777" w:rsidR="00E77C44" w:rsidRPr="005735F4" w:rsidRDefault="00E77C44" w:rsidP="00E77C44">
      <w:pPr>
        <w:spacing w:after="0" w:line="288" w:lineRule="auto"/>
        <w:ind w:firstLine="720"/>
        <w:rPr>
          <w:rFonts w:ascii="Century Schoolbook" w:hAnsi="Century Schoolbook"/>
          <w:sz w:val="26"/>
          <w:szCs w:val="26"/>
        </w:rPr>
      </w:pPr>
    </w:p>
    <w:p w14:paraId="74835B1B" w14:textId="20ED9432" w:rsidR="00E77C44" w:rsidRPr="00E77C44" w:rsidRDefault="00267C6F" w:rsidP="00E77C44">
      <w:pPr>
        <w:spacing w:after="0" w:line="288" w:lineRule="auto"/>
        <w:ind w:firstLine="720"/>
        <w:rPr>
          <w:rFonts w:ascii="Century Schoolbook" w:eastAsia="Times New Roman" w:hAnsi="Century Schoolbook" w:cs="Times New Roman"/>
          <w:sz w:val="26"/>
          <w:szCs w:val="26"/>
        </w:rPr>
      </w:pPr>
      <w:r>
        <w:rPr>
          <w:rFonts w:ascii="Century Schoolbook" w:eastAsia="Times New Roman" w:hAnsi="Century Schoolbook" w:cs="Times New Roman"/>
          <w:sz w:val="26"/>
          <w:szCs w:val="26"/>
        </w:rPr>
        <w:t xml:space="preserve">Law Office of Tracy </w:t>
      </w:r>
      <w:proofErr w:type="spellStart"/>
      <w:r>
        <w:rPr>
          <w:rFonts w:ascii="Century Schoolbook" w:eastAsia="Times New Roman" w:hAnsi="Century Schoolbook" w:cs="Times New Roman"/>
          <w:sz w:val="26"/>
          <w:szCs w:val="26"/>
        </w:rPr>
        <w:t>Casadio</w:t>
      </w:r>
      <w:proofErr w:type="spellEnd"/>
      <w:r>
        <w:rPr>
          <w:rFonts w:ascii="Century Schoolbook" w:eastAsia="Times New Roman" w:hAnsi="Century Schoolbook" w:cs="Times New Roman"/>
          <w:sz w:val="26"/>
          <w:szCs w:val="26"/>
        </w:rPr>
        <w:t xml:space="preserve"> and Tracy </w:t>
      </w:r>
      <w:proofErr w:type="spellStart"/>
      <w:r>
        <w:rPr>
          <w:rFonts w:ascii="Century Schoolbook" w:eastAsia="Times New Roman" w:hAnsi="Century Schoolbook" w:cs="Times New Roman"/>
          <w:sz w:val="26"/>
          <w:szCs w:val="26"/>
        </w:rPr>
        <w:t>Casadio</w:t>
      </w:r>
      <w:proofErr w:type="spellEnd"/>
      <w:r w:rsidR="00D17B07">
        <w:rPr>
          <w:rFonts w:ascii="Century Schoolbook" w:eastAsia="Times New Roman" w:hAnsi="Century Schoolbook" w:cs="Times New Roman"/>
          <w:sz w:val="26"/>
          <w:szCs w:val="26"/>
        </w:rPr>
        <w:t xml:space="preserve"> </w:t>
      </w:r>
      <w:r w:rsidRPr="002E5797">
        <w:rPr>
          <w:rFonts w:ascii="Century Schoolbook" w:eastAsia="Times New Roman" w:hAnsi="Century Schoolbook" w:cs="Times New Roman"/>
          <w:sz w:val="26"/>
          <w:szCs w:val="26"/>
        </w:rPr>
        <w:t xml:space="preserve">for </w:t>
      </w:r>
      <w:r w:rsidR="00CB47F4">
        <w:rPr>
          <w:rFonts w:ascii="Century Schoolbook" w:eastAsia="Times New Roman" w:hAnsi="Century Schoolbook" w:cs="Times New Roman"/>
          <w:sz w:val="26"/>
          <w:szCs w:val="26"/>
        </w:rPr>
        <w:t>Petitioner</w:t>
      </w:r>
      <w:r w:rsidRPr="002E5797">
        <w:rPr>
          <w:rFonts w:ascii="Century Schoolbook" w:eastAsia="Times New Roman" w:hAnsi="Century Schoolbook" w:cs="Times New Roman"/>
          <w:sz w:val="26"/>
          <w:szCs w:val="26"/>
        </w:rPr>
        <w:t>.</w:t>
      </w:r>
    </w:p>
    <w:p w14:paraId="6E4B0BB9" w14:textId="77777777" w:rsidR="00E77C44" w:rsidRPr="00E77C44" w:rsidRDefault="00E77C44" w:rsidP="00E77C44">
      <w:pPr>
        <w:spacing w:after="0" w:line="288" w:lineRule="auto"/>
        <w:ind w:firstLine="720"/>
        <w:rPr>
          <w:rFonts w:ascii="Century Schoolbook" w:eastAsia="Times New Roman" w:hAnsi="Century Schoolbook" w:cs="Times New Roman"/>
          <w:sz w:val="26"/>
          <w:szCs w:val="26"/>
        </w:rPr>
      </w:pPr>
    </w:p>
    <w:p w14:paraId="5295FB4F" w14:textId="78BCBCA5" w:rsidR="00F83C9C" w:rsidRDefault="00267C6F" w:rsidP="00F560FD">
      <w:pPr>
        <w:spacing w:after="0" w:line="288" w:lineRule="auto"/>
        <w:ind w:firstLine="720"/>
        <w:rPr>
          <w:rFonts w:ascii="Century Schoolbook" w:eastAsia="Times New Roman" w:hAnsi="Century Schoolbook" w:cs="Times New Roman"/>
          <w:sz w:val="26"/>
          <w:szCs w:val="26"/>
        </w:rPr>
      </w:pPr>
      <w:r>
        <w:rPr>
          <w:rFonts w:ascii="Century Schoolbook" w:eastAsia="Times New Roman" w:hAnsi="Century Schoolbook" w:cs="Times New Roman"/>
          <w:sz w:val="26"/>
          <w:szCs w:val="26"/>
        </w:rPr>
        <w:lastRenderedPageBreak/>
        <w:t xml:space="preserve">No appearance </w:t>
      </w:r>
      <w:r w:rsidR="00FC6043" w:rsidRPr="00FC6043">
        <w:rPr>
          <w:rFonts w:ascii="Century Schoolbook" w:eastAsia="Times New Roman" w:hAnsi="Century Schoolbook" w:cs="Times New Roman"/>
          <w:sz w:val="26"/>
          <w:szCs w:val="26"/>
        </w:rPr>
        <w:t xml:space="preserve">for Respondent.  </w:t>
      </w:r>
    </w:p>
    <w:p w14:paraId="6C714B70" w14:textId="77777777" w:rsidR="00CB47F4" w:rsidRDefault="00CB47F4" w:rsidP="00F560FD">
      <w:pPr>
        <w:spacing w:after="0" w:line="288" w:lineRule="auto"/>
        <w:ind w:firstLine="720"/>
        <w:rPr>
          <w:rFonts w:ascii="Century Schoolbook" w:eastAsia="Times New Roman" w:hAnsi="Century Schoolbook" w:cs="Times New Roman"/>
          <w:sz w:val="26"/>
          <w:szCs w:val="26"/>
        </w:rPr>
      </w:pPr>
    </w:p>
    <w:p w14:paraId="1EF80818" w14:textId="1C340C9F" w:rsidR="00CB47F4" w:rsidRDefault="00267C6F" w:rsidP="00F560FD">
      <w:pPr>
        <w:spacing w:after="0" w:line="288" w:lineRule="auto"/>
        <w:ind w:firstLine="720"/>
        <w:rPr>
          <w:rFonts w:ascii="Century Schoolbook" w:eastAsia="Times New Roman" w:hAnsi="Century Schoolbook" w:cs="Times New Roman"/>
          <w:sz w:val="26"/>
          <w:szCs w:val="26"/>
        </w:rPr>
      </w:pPr>
      <w:r>
        <w:rPr>
          <w:rFonts w:ascii="Century Schoolbook" w:eastAsia="Times New Roman" w:hAnsi="Century Schoolbook" w:cs="Times New Roman"/>
          <w:sz w:val="26"/>
          <w:szCs w:val="26"/>
        </w:rPr>
        <w:t>George Gasc</w:t>
      </w:r>
      <w:r w:rsidRPr="00FA6403">
        <w:rPr>
          <w:rFonts w:ascii="Century Schoolbook" w:eastAsia="Times New Roman" w:hAnsi="Century Schoolbook" w:cs="Times New Roman"/>
          <w:sz w:val="26"/>
          <w:szCs w:val="26"/>
        </w:rPr>
        <w:t>ó</w:t>
      </w:r>
      <w:r>
        <w:rPr>
          <w:rFonts w:ascii="Century Schoolbook" w:eastAsia="Times New Roman" w:hAnsi="Century Schoolbook" w:cs="Times New Roman"/>
          <w:sz w:val="26"/>
          <w:szCs w:val="26"/>
        </w:rPr>
        <w:t>n, District Attorney</w:t>
      </w:r>
      <w:r w:rsidR="005C2ACB">
        <w:rPr>
          <w:rFonts w:ascii="Century Schoolbook" w:eastAsia="Times New Roman" w:hAnsi="Century Schoolbook" w:cs="Times New Roman"/>
          <w:sz w:val="26"/>
          <w:szCs w:val="26"/>
        </w:rPr>
        <w:t>,</w:t>
      </w:r>
      <w:r w:rsidR="0080698F">
        <w:rPr>
          <w:rFonts w:ascii="Century Schoolbook" w:eastAsia="Times New Roman" w:hAnsi="Century Schoolbook" w:cs="Times New Roman"/>
          <w:sz w:val="26"/>
          <w:szCs w:val="26"/>
        </w:rPr>
        <w:t xml:space="preserve"> Grace Shin, Deputy District Attorney,</w:t>
      </w:r>
      <w:r>
        <w:rPr>
          <w:rFonts w:ascii="Century Schoolbook" w:eastAsia="Times New Roman" w:hAnsi="Century Schoolbook" w:cs="Times New Roman"/>
          <w:sz w:val="26"/>
          <w:szCs w:val="26"/>
        </w:rPr>
        <w:t xml:space="preserve"> for Real Party in Interest.</w:t>
      </w:r>
    </w:p>
    <w:p w14:paraId="5F261119" w14:textId="77777777" w:rsidR="00107BDC" w:rsidRDefault="00107BDC" w:rsidP="00F560FD">
      <w:pPr>
        <w:spacing w:after="0" w:line="288" w:lineRule="auto"/>
        <w:ind w:firstLine="720"/>
        <w:rPr>
          <w:rFonts w:ascii="Century Schoolbook" w:eastAsia="Times New Roman" w:hAnsi="Century Schoolbook" w:cs="Times New Roman"/>
          <w:sz w:val="26"/>
          <w:szCs w:val="26"/>
        </w:rPr>
      </w:pPr>
    </w:p>
    <w:p w14:paraId="4B1ED400" w14:textId="00F974FD" w:rsidR="009A7218" w:rsidRDefault="00267C6F" w:rsidP="00E92B8E">
      <w:pPr>
        <w:spacing w:after="0" w:line="288" w:lineRule="auto"/>
        <w:jc w:val="center"/>
        <w:rPr>
          <w:rFonts w:ascii="Century Schoolbook" w:eastAsia="Times New Roman" w:hAnsi="Century Schoolbook" w:cs="Times New Roman"/>
          <w:sz w:val="26"/>
          <w:szCs w:val="26"/>
        </w:rPr>
      </w:pPr>
      <w:r w:rsidRPr="009A7218">
        <w:rPr>
          <w:rFonts w:ascii="Century Schoolbook" w:eastAsia="Times New Roman" w:hAnsi="Century Schoolbook" w:cs="Times New Roman"/>
          <w:sz w:val="26"/>
          <w:szCs w:val="26"/>
        </w:rPr>
        <w:t>* * * * * *</w:t>
      </w:r>
    </w:p>
    <w:p w14:paraId="4D311E15" w14:textId="084B504D" w:rsidR="00491272" w:rsidRPr="00491272" w:rsidRDefault="00267C6F" w:rsidP="00491272">
      <w:pPr>
        <w:spacing w:after="0" w:line="288" w:lineRule="auto"/>
        <w:rPr>
          <w:rFonts w:ascii="Century Schoolbook" w:eastAsia="Times New Roman" w:hAnsi="Century Schoolbook" w:cs="Times New Roman"/>
          <w:sz w:val="26"/>
          <w:szCs w:val="26"/>
        </w:rPr>
      </w:pPr>
      <w:r>
        <w:rPr>
          <w:rFonts w:ascii="Century Schoolbook" w:eastAsia="Times New Roman" w:hAnsi="Century Schoolbook" w:cs="Times New Roman"/>
          <w:sz w:val="26"/>
          <w:szCs w:val="26"/>
        </w:rPr>
        <w:tab/>
      </w:r>
      <w:r w:rsidRPr="00491272">
        <w:rPr>
          <w:rFonts w:ascii="Century Schoolbook" w:eastAsia="Times New Roman" w:hAnsi="Century Schoolbook" w:cs="Times New Roman"/>
          <w:sz w:val="26"/>
          <w:szCs w:val="26"/>
        </w:rPr>
        <w:t>A grand jury returned an indictment that, among other things, charge</w:t>
      </w:r>
      <w:r w:rsidR="00A55653">
        <w:rPr>
          <w:rFonts w:ascii="Century Schoolbook" w:eastAsia="Times New Roman" w:hAnsi="Century Schoolbook" w:cs="Times New Roman"/>
          <w:sz w:val="26"/>
          <w:szCs w:val="26"/>
        </w:rPr>
        <w:t>s</w:t>
      </w:r>
      <w:r w:rsidRPr="00491272">
        <w:rPr>
          <w:rFonts w:ascii="Century Schoolbook" w:eastAsia="Times New Roman" w:hAnsi="Century Schoolbook" w:cs="Times New Roman"/>
          <w:sz w:val="26"/>
          <w:szCs w:val="26"/>
        </w:rPr>
        <w:t xml:space="preserve"> a defendant with four </w:t>
      </w:r>
      <w:r w:rsidR="000A1473">
        <w:rPr>
          <w:rFonts w:ascii="Century Schoolbook" w:eastAsia="Times New Roman" w:hAnsi="Century Schoolbook" w:cs="Times New Roman"/>
          <w:sz w:val="26"/>
          <w:szCs w:val="26"/>
        </w:rPr>
        <w:t>violent</w:t>
      </w:r>
      <w:r w:rsidR="000A1473" w:rsidRPr="00491272">
        <w:rPr>
          <w:rFonts w:ascii="Century Schoolbook" w:eastAsia="Times New Roman" w:hAnsi="Century Schoolbook" w:cs="Times New Roman"/>
          <w:sz w:val="26"/>
          <w:szCs w:val="26"/>
        </w:rPr>
        <w:t xml:space="preserve"> </w:t>
      </w:r>
      <w:r w:rsidRPr="00491272">
        <w:rPr>
          <w:rFonts w:ascii="Century Schoolbook" w:eastAsia="Times New Roman" w:hAnsi="Century Schoolbook" w:cs="Times New Roman"/>
          <w:sz w:val="26"/>
          <w:szCs w:val="26"/>
        </w:rPr>
        <w:t>felonies</w:t>
      </w:r>
      <w:r w:rsidR="000A1473">
        <w:rPr>
          <w:rFonts w:ascii="Century Schoolbook" w:eastAsia="Times New Roman" w:hAnsi="Century Schoolbook" w:cs="Times New Roman"/>
          <w:sz w:val="26"/>
          <w:szCs w:val="26"/>
        </w:rPr>
        <w:t>,</w:t>
      </w:r>
      <w:r w:rsidRPr="00491272">
        <w:rPr>
          <w:rFonts w:ascii="Century Schoolbook" w:eastAsia="Times New Roman" w:hAnsi="Century Schoolbook" w:cs="Times New Roman"/>
          <w:sz w:val="26"/>
          <w:szCs w:val="26"/>
        </w:rPr>
        <w:t xml:space="preserve"> and with committing them “for the benefit of, at the direction of, or in association with” a criminal street gang; the latter allegation is known colloquially as the gang enhancement.  (Pen. Code, § 186.22, subd. (b)(1)(C).)</w:t>
      </w:r>
      <w:r>
        <w:rPr>
          <w:rFonts w:ascii="Century Schoolbook" w:eastAsia="Times New Roman" w:hAnsi="Century Schoolbook" w:cs="Times New Roman"/>
          <w:b/>
          <w:bCs/>
          <w:sz w:val="26"/>
          <w:szCs w:val="26"/>
          <w:vertAlign w:val="superscript"/>
        </w:rPr>
        <w:footnoteReference w:id="1"/>
      </w:r>
      <w:r w:rsidRPr="00491272">
        <w:rPr>
          <w:rFonts w:ascii="Century Schoolbook" w:eastAsia="Times New Roman" w:hAnsi="Century Schoolbook" w:cs="Times New Roman"/>
          <w:sz w:val="26"/>
          <w:szCs w:val="26"/>
        </w:rPr>
        <w:t xml:space="preserve">  It is undisputed that the evidence before the grand jury established probable cause to believe the gang enhancement was true </w:t>
      </w:r>
      <w:r w:rsidRPr="00491272">
        <w:rPr>
          <w:rFonts w:ascii="Century Schoolbook" w:eastAsia="Times New Roman" w:hAnsi="Century Schoolbook" w:cs="Times New Roman"/>
          <w:i/>
          <w:iCs/>
          <w:sz w:val="26"/>
          <w:szCs w:val="26"/>
        </w:rPr>
        <w:t xml:space="preserve">as </w:t>
      </w:r>
      <w:r w:rsidR="00225693">
        <w:rPr>
          <w:rFonts w:ascii="Century Schoolbook" w:eastAsia="Times New Roman" w:hAnsi="Century Schoolbook" w:cs="Times New Roman"/>
          <w:i/>
          <w:iCs/>
          <w:sz w:val="26"/>
          <w:szCs w:val="26"/>
        </w:rPr>
        <w:t>the enhancement</w:t>
      </w:r>
      <w:r w:rsidRPr="00491272">
        <w:rPr>
          <w:rFonts w:ascii="Century Schoolbook" w:eastAsia="Times New Roman" w:hAnsi="Century Schoolbook" w:cs="Times New Roman"/>
          <w:i/>
          <w:iCs/>
          <w:sz w:val="26"/>
          <w:szCs w:val="26"/>
        </w:rPr>
        <w:t xml:space="preserve"> was defined at that time</w:t>
      </w:r>
      <w:r w:rsidRPr="00491272">
        <w:rPr>
          <w:rFonts w:ascii="Century Schoolbook" w:eastAsia="Times New Roman" w:hAnsi="Century Schoolbook" w:cs="Times New Roman"/>
          <w:sz w:val="26"/>
          <w:szCs w:val="26"/>
        </w:rPr>
        <w:t>.  However, our Legislature subsequently amended the definition of the gang enhancemen</w:t>
      </w:r>
      <w:r w:rsidRPr="00491272">
        <w:rPr>
          <w:rFonts w:ascii="Century Schoolbook" w:eastAsia="Times New Roman" w:hAnsi="Century Schoolbook" w:cs="Times New Roman"/>
          <w:sz w:val="26"/>
          <w:szCs w:val="26"/>
        </w:rPr>
        <w:t xml:space="preserve">t—in Assembly Bill </w:t>
      </w:r>
      <w:r w:rsidR="006D42E0">
        <w:rPr>
          <w:rFonts w:ascii="Century Schoolbook" w:eastAsia="Times New Roman" w:hAnsi="Century Schoolbook" w:cs="Times New Roman"/>
          <w:sz w:val="26"/>
          <w:szCs w:val="26"/>
        </w:rPr>
        <w:t xml:space="preserve">No. </w:t>
      </w:r>
      <w:r w:rsidRPr="00491272">
        <w:rPr>
          <w:rFonts w:ascii="Century Schoolbook" w:eastAsia="Times New Roman" w:hAnsi="Century Schoolbook" w:cs="Times New Roman"/>
          <w:sz w:val="26"/>
          <w:szCs w:val="26"/>
        </w:rPr>
        <w:t xml:space="preserve">333 </w:t>
      </w:r>
      <w:r w:rsidR="000A1473">
        <w:rPr>
          <w:rFonts w:ascii="Century Schoolbook" w:eastAsia="Times New Roman" w:hAnsi="Century Schoolbook" w:cs="Times New Roman"/>
          <w:sz w:val="26"/>
          <w:szCs w:val="26"/>
        </w:rPr>
        <w:t>(</w:t>
      </w:r>
      <w:r w:rsidR="00225693">
        <w:rPr>
          <w:rFonts w:ascii="Century Schoolbook" w:eastAsia="Times New Roman" w:hAnsi="Century Schoolbook" w:cs="Times New Roman"/>
          <w:sz w:val="26"/>
          <w:szCs w:val="26"/>
        </w:rPr>
        <w:t>2021-2022 Reg. Sess.</w:t>
      </w:r>
      <w:r w:rsidR="000A1473">
        <w:rPr>
          <w:rFonts w:ascii="Century Schoolbook" w:eastAsia="Times New Roman" w:hAnsi="Century Schoolbook" w:cs="Times New Roman"/>
          <w:sz w:val="26"/>
          <w:szCs w:val="26"/>
        </w:rPr>
        <w:t>)</w:t>
      </w:r>
      <w:r w:rsidR="00641A64">
        <w:rPr>
          <w:rFonts w:ascii="Century Schoolbook" w:eastAsia="Times New Roman" w:hAnsi="Century Schoolbook" w:cs="Times New Roman"/>
          <w:sz w:val="26"/>
          <w:szCs w:val="26"/>
        </w:rPr>
        <w:t xml:space="preserve"> (Stats. 2021, </w:t>
      </w:r>
      <w:proofErr w:type="spellStart"/>
      <w:r w:rsidR="00225693">
        <w:rPr>
          <w:rFonts w:ascii="Century Schoolbook" w:eastAsia="Times New Roman" w:hAnsi="Century Schoolbook" w:cs="Times New Roman"/>
          <w:sz w:val="26"/>
          <w:szCs w:val="26"/>
        </w:rPr>
        <w:t>ch.</w:t>
      </w:r>
      <w:proofErr w:type="spellEnd"/>
      <w:r w:rsidR="00225693">
        <w:rPr>
          <w:rFonts w:ascii="Century Schoolbook" w:eastAsia="Times New Roman" w:hAnsi="Century Schoolbook" w:cs="Times New Roman"/>
          <w:sz w:val="26"/>
          <w:szCs w:val="26"/>
        </w:rPr>
        <w:t xml:space="preserve"> 699, § 4) </w:t>
      </w:r>
      <w:r w:rsidRPr="00491272">
        <w:rPr>
          <w:rFonts w:ascii="Century Schoolbook" w:eastAsia="Times New Roman" w:hAnsi="Century Schoolbook" w:cs="Times New Roman"/>
          <w:sz w:val="26"/>
          <w:szCs w:val="26"/>
        </w:rPr>
        <w:t>(</w:t>
      </w:r>
      <w:proofErr w:type="spellStart"/>
      <w:r w:rsidR="00D5449E">
        <w:rPr>
          <w:rFonts w:ascii="Century Schoolbook" w:eastAsia="Times New Roman" w:hAnsi="Century Schoolbook" w:cs="Times New Roman"/>
          <w:sz w:val="26"/>
          <w:szCs w:val="26"/>
        </w:rPr>
        <w:t>Assem</w:t>
      </w:r>
      <w:proofErr w:type="spellEnd"/>
      <w:r w:rsidR="00D5449E">
        <w:rPr>
          <w:rFonts w:ascii="Century Schoolbook" w:eastAsia="Times New Roman" w:hAnsi="Century Schoolbook" w:cs="Times New Roman"/>
          <w:sz w:val="26"/>
          <w:szCs w:val="26"/>
        </w:rPr>
        <w:t>. Bill No.</w:t>
      </w:r>
      <w:r w:rsidRPr="00491272">
        <w:rPr>
          <w:rFonts w:ascii="Century Schoolbook" w:eastAsia="Times New Roman" w:hAnsi="Century Schoolbook" w:cs="Times New Roman"/>
          <w:sz w:val="26"/>
          <w:szCs w:val="26"/>
        </w:rPr>
        <w:t xml:space="preserve"> 333)—to add new elements.  The defendant is now awaiting </w:t>
      </w:r>
      <w:proofErr w:type="gramStart"/>
      <w:r w:rsidRPr="00491272">
        <w:rPr>
          <w:rFonts w:ascii="Century Schoolbook" w:eastAsia="Times New Roman" w:hAnsi="Century Schoolbook" w:cs="Times New Roman"/>
          <w:sz w:val="26"/>
          <w:szCs w:val="26"/>
        </w:rPr>
        <w:t>trial, and</w:t>
      </w:r>
      <w:proofErr w:type="gramEnd"/>
      <w:r w:rsidRPr="00491272">
        <w:rPr>
          <w:rFonts w:ascii="Century Schoolbook" w:eastAsia="Times New Roman" w:hAnsi="Century Schoolbook" w:cs="Times New Roman"/>
          <w:sz w:val="26"/>
          <w:szCs w:val="26"/>
        </w:rPr>
        <w:t xml:space="preserve"> has moved to dismiss the gang</w:t>
      </w:r>
      <w:r w:rsidR="006D42E0">
        <w:rPr>
          <w:rFonts w:ascii="Century Schoolbook" w:eastAsia="Times New Roman" w:hAnsi="Century Schoolbook" w:cs="Times New Roman"/>
          <w:sz w:val="26"/>
          <w:szCs w:val="26"/>
        </w:rPr>
        <w:t xml:space="preserve"> enhancement</w:t>
      </w:r>
      <w:r w:rsidRPr="00491272">
        <w:rPr>
          <w:rFonts w:ascii="Century Schoolbook" w:eastAsia="Times New Roman" w:hAnsi="Century Schoolbook" w:cs="Times New Roman"/>
          <w:sz w:val="26"/>
          <w:szCs w:val="26"/>
        </w:rPr>
        <w:t xml:space="preserve"> allegation</w:t>
      </w:r>
      <w:r w:rsidR="006D42E0">
        <w:rPr>
          <w:rFonts w:ascii="Century Schoolbook" w:eastAsia="Times New Roman" w:hAnsi="Century Schoolbook" w:cs="Times New Roman"/>
          <w:sz w:val="26"/>
          <w:szCs w:val="26"/>
        </w:rPr>
        <w:t>s</w:t>
      </w:r>
      <w:r w:rsidRPr="00491272">
        <w:rPr>
          <w:rFonts w:ascii="Century Schoolbook" w:eastAsia="Times New Roman" w:hAnsi="Century Schoolbook" w:cs="Times New Roman"/>
          <w:sz w:val="26"/>
          <w:szCs w:val="26"/>
        </w:rPr>
        <w:t xml:space="preserve"> because the People had not presented ev</w:t>
      </w:r>
      <w:r w:rsidRPr="00491272">
        <w:rPr>
          <w:rFonts w:ascii="Century Schoolbook" w:eastAsia="Times New Roman" w:hAnsi="Century Schoolbook" w:cs="Times New Roman"/>
          <w:sz w:val="26"/>
          <w:szCs w:val="26"/>
        </w:rPr>
        <w:t xml:space="preserve">idence </w:t>
      </w:r>
      <w:r w:rsidR="00EB1655">
        <w:rPr>
          <w:rFonts w:ascii="Century Schoolbook" w:eastAsia="Times New Roman" w:hAnsi="Century Schoolbook" w:cs="Times New Roman"/>
          <w:sz w:val="26"/>
          <w:szCs w:val="26"/>
        </w:rPr>
        <w:t xml:space="preserve">to the grand jury </w:t>
      </w:r>
      <w:r w:rsidRPr="00491272">
        <w:rPr>
          <w:rFonts w:ascii="Century Schoolbook" w:eastAsia="Times New Roman" w:hAnsi="Century Schoolbook" w:cs="Times New Roman"/>
          <w:sz w:val="26"/>
          <w:szCs w:val="26"/>
        </w:rPr>
        <w:t xml:space="preserve">to support the new elements of the enhancement (which did not </w:t>
      </w:r>
      <w:r w:rsidRPr="00491272">
        <w:rPr>
          <w:rFonts w:ascii="Century Schoolbook" w:eastAsia="Times New Roman" w:hAnsi="Century Schoolbook" w:cs="Times New Roman"/>
          <w:i/>
          <w:iCs/>
          <w:sz w:val="26"/>
          <w:szCs w:val="26"/>
        </w:rPr>
        <w:t>exist</w:t>
      </w:r>
      <w:r w:rsidRPr="00491272">
        <w:rPr>
          <w:rFonts w:ascii="Century Schoolbook" w:eastAsia="Times New Roman" w:hAnsi="Century Schoolbook" w:cs="Times New Roman"/>
          <w:sz w:val="26"/>
          <w:szCs w:val="26"/>
        </w:rPr>
        <w:t xml:space="preserve"> at the time of the initial grand jury proceedings).  Is dismissal required?  It is not.  Instead, we hold that a trial court has the inherent authority to </w:t>
      </w:r>
      <w:r w:rsidR="00225693">
        <w:rPr>
          <w:rFonts w:ascii="Century Schoolbook" w:eastAsia="Times New Roman" w:hAnsi="Century Schoolbook" w:cs="Times New Roman"/>
          <w:sz w:val="26"/>
          <w:szCs w:val="26"/>
        </w:rPr>
        <w:t>reserve</w:t>
      </w:r>
      <w:r w:rsidRPr="00491272">
        <w:rPr>
          <w:rFonts w:ascii="Century Schoolbook" w:eastAsia="Times New Roman" w:hAnsi="Century Schoolbook" w:cs="Times New Roman"/>
          <w:sz w:val="26"/>
          <w:szCs w:val="26"/>
        </w:rPr>
        <w:t xml:space="preserve"> </w:t>
      </w:r>
      <w:r w:rsidRPr="00491272">
        <w:rPr>
          <w:rFonts w:ascii="Century Schoolbook" w:eastAsia="Times New Roman" w:hAnsi="Century Schoolbook" w:cs="Times New Roman"/>
          <w:sz w:val="26"/>
          <w:szCs w:val="26"/>
        </w:rPr>
        <w:t xml:space="preserve">ruling on </w:t>
      </w:r>
      <w:r w:rsidR="00EB1655">
        <w:rPr>
          <w:rFonts w:ascii="Century Schoolbook" w:eastAsia="Times New Roman" w:hAnsi="Century Schoolbook" w:cs="Times New Roman"/>
          <w:sz w:val="26"/>
          <w:szCs w:val="26"/>
        </w:rPr>
        <w:t>a</w:t>
      </w:r>
      <w:r w:rsidR="00EB1655" w:rsidRPr="00491272">
        <w:rPr>
          <w:rFonts w:ascii="Century Schoolbook" w:eastAsia="Times New Roman" w:hAnsi="Century Schoolbook" w:cs="Times New Roman"/>
          <w:sz w:val="26"/>
          <w:szCs w:val="26"/>
        </w:rPr>
        <w:t xml:space="preserve"> </w:t>
      </w:r>
      <w:r w:rsidRPr="00491272">
        <w:rPr>
          <w:rFonts w:ascii="Century Schoolbook" w:eastAsia="Times New Roman" w:hAnsi="Century Schoolbook" w:cs="Times New Roman"/>
          <w:sz w:val="26"/>
          <w:szCs w:val="26"/>
        </w:rPr>
        <w:t xml:space="preserve">motion to dismiss, to </w:t>
      </w:r>
      <w:r w:rsidR="000A1473">
        <w:rPr>
          <w:rFonts w:ascii="Century Schoolbook" w:eastAsia="Times New Roman" w:hAnsi="Century Schoolbook" w:cs="Times New Roman"/>
          <w:sz w:val="26"/>
          <w:szCs w:val="26"/>
        </w:rPr>
        <w:t>resubmit gang allegation</w:t>
      </w:r>
      <w:r w:rsidR="00EB1655">
        <w:rPr>
          <w:rFonts w:ascii="Century Schoolbook" w:eastAsia="Times New Roman" w:hAnsi="Century Schoolbook" w:cs="Times New Roman"/>
          <w:sz w:val="26"/>
          <w:szCs w:val="26"/>
        </w:rPr>
        <w:t>s</w:t>
      </w:r>
      <w:r w:rsidR="000A1473">
        <w:rPr>
          <w:rFonts w:ascii="Century Schoolbook" w:eastAsia="Times New Roman" w:hAnsi="Century Schoolbook" w:cs="Times New Roman"/>
          <w:sz w:val="26"/>
          <w:szCs w:val="26"/>
        </w:rPr>
        <w:t xml:space="preserve"> to</w:t>
      </w:r>
      <w:r w:rsidR="000A1473" w:rsidRPr="00491272">
        <w:rPr>
          <w:rFonts w:ascii="Century Schoolbook" w:eastAsia="Times New Roman" w:hAnsi="Century Schoolbook" w:cs="Times New Roman"/>
          <w:sz w:val="26"/>
          <w:szCs w:val="26"/>
        </w:rPr>
        <w:t xml:space="preserve"> </w:t>
      </w:r>
      <w:r w:rsidRPr="00491272">
        <w:rPr>
          <w:rFonts w:ascii="Century Schoolbook" w:eastAsia="Times New Roman" w:hAnsi="Century Schoolbook" w:cs="Times New Roman"/>
          <w:sz w:val="26"/>
          <w:szCs w:val="26"/>
        </w:rPr>
        <w:t xml:space="preserve">the grand jury for the People to present evidence bearing on the new elements, and </w:t>
      </w:r>
      <w:r w:rsidR="006D42E0">
        <w:rPr>
          <w:rFonts w:ascii="Century Schoolbook" w:eastAsia="Times New Roman" w:hAnsi="Century Schoolbook" w:cs="Times New Roman"/>
          <w:sz w:val="26"/>
          <w:szCs w:val="26"/>
        </w:rPr>
        <w:t xml:space="preserve">to </w:t>
      </w:r>
      <w:r w:rsidRPr="00491272">
        <w:rPr>
          <w:rFonts w:ascii="Century Schoolbook" w:eastAsia="Times New Roman" w:hAnsi="Century Schoolbook" w:cs="Times New Roman"/>
          <w:sz w:val="26"/>
          <w:szCs w:val="26"/>
        </w:rPr>
        <w:t xml:space="preserve">thereafter </w:t>
      </w:r>
      <w:r w:rsidR="00225693">
        <w:rPr>
          <w:rFonts w:ascii="Century Schoolbook" w:eastAsia="Times New Roman" w:hAnsi="Century Schoolbook" w:cs="Times New Roman"/>
          <w:sz w:val="26"/>
          <w:szCs w:val="26"/>
        </w:rPr>
        <w:t xml:space="preserve">rule on the motion by reviewing </w:t>
      </w:r>
      <w:r w:rsidRPr="00491272">
        <w:rPr>
          <w:rFonts w:ascii="Century Schoolbook" w:eastAsia="Times New Roman" w:hAnsi="Century Schoolbook" w:cs="Times New Roman"/>
          <w:sz w:val="26"/>
          <w:szCs w:val="26"/>
        </w:rPr>
        <w:t xml:space="preserve">the sufficiency of that </w:t>
      </w:r>
      <w:r w:rsidR="00225693">
        <w:rPr>
          <w:rFonts w:ascii="Century Schoolbook" w:eastAsia="Times New Roman" w:hAnsi="Century Schoolbook" w:cs="Times New Roman"/>
          <w:sz w:val="26"/>
          <w:szCs w:val="26"/>
        </w:rPr>
        <w:t xml:space="preserve">new </w:t>
      </w:r>
      <w:r w:rsidRPr="00491272">
        <w:rPr>
          <w:rFonts w:ascii="Century Schoolbook" w:eastAsia="Times New Roman" w:hAnsi="Century Schoolbook" w:cs="Times New Roman"/>
          <w:sz w:val="26"/>
          <w:szCs w:val="26"/>
        </w:rPr>
        <w:t xml:space="preserve">evidence.  Because the trial </w:t>
      </w:r>
      <w:r w:rsidRPr="00491272">
        <w:rPr>
          <w:rFonts w:ascii="Century Schoolbook" w:eastAsia="Times New Roman" w:hAnsi="Century Schoolbook" w:cs="Times New Roman"/>
          <w:sz w:val="26"/>
          <w:szCs w:val="26"/>
        </w:rPr>
        <w:t>court</w:t>
      </w:r>
      <w:r w:rsidR="00EB1655">
        <w:rPr>
          <w:rFonts w:ascii="Century Schoolbook" w:eastAsia="Times New Roman" w:hAnsi="Century Schoolbook" w:cs="Times New Roman"/>
          <w:sz w:val="26"/>
          <w:szCs w:val="26"/>
        </w:rPr>
        <w:t xml:space="preserve"> here</w:t>
      </w:r>
      <w:r w:rsidRPr="00491272">
        <w:rPr>
          <w:rFonts w:ascii="Century Schoolbook" w:eastAsia="Times New Roman" w:hAnsi="Century Schoolbook" w:cs="Times New Roman"/>
          <w:sz w:val="26"/>
          <w:szCs w:val="26"/>
        </w:rPr>
        <w:t xml:space="preserve">—in substance, if not </w:t>
      </w:r>
      <w:r w:rsidRPr="00491272">
        <w:rPr>
          <w:rFonts w:ascii="Century Schoolbook" w:eastAsia="Times New Roman" w:hAnsi="Century Schoolbook" w:cs="Times New Roman"/>
          <w:sz w:val="26"/>
          <w:szCs w:val="26"/>
        </w:rPr>
        <w:lastRenderedPageBreak/>
        <w:t>form—followed this procedure, we deny the defendant’s petition for a writ of mandate.</w:t>
      </w:r>
    </w:p>
    <w:p w14:paraId="705BDD00" w14:textId="77777777" w:rsidR="00491272" w:rsidRPr="00491272" w:rsidRDefault="00267C6F" w:rsidP="00491272">
      <w:pPr>
        <w:spacing w:after="0" w:line="288" w:lineRule="auto"/>
        <w:jc w:val="center"/>
        <w:rPr>
          <w:rFonts w:ascii="Century Schoolbook" w:eastAsia="Times New Roman" w:hAnsi="Century Schoolbook" w:cs="Times New Roman"/>
          <w:b/>
          <w:bCs/>
          <w:sz w:val="26"/>
          <w:szCs w:val="26"/>
        </w:rPr>
      </w:pPr>
      <w:r w:rsidRPr="00491272">
        <w:rPr>
          <w:rFonts w:ascii="Century Schoolbook" w:eastAsia="Times New Roman" w:hAnsi="Century Schoolbook" w:cs="Times New Roman"/>
          <w:b/>
          <w:bCs/>
          <w:sz w:val="26"/>
          <w:szCs w:val="26"/>
        </w:rPr>
        <w:t>FACTS AND PROCEDURAL BACKGROUND</w:t>
      </w:r>
    </w:p>
    <w:p w14:paraId="0F3A2CE2" w14:textId="587946D3" w:rsidR="00491272" w:rsidRPr="00491272" w:rsidRDefault="00267C6F" w:rsidP="00491272">
      <w:pPr>
        <w:spacing w:after="0" w:line="288" w:lineRule="auto"/>
        <w:rPr>
          <w:rFonts w:ascii="Century Schoolbook" w:eastAsia="Times New Roman" w:hAnsi="Century Schoolbook" w:cs="Times New Roman"/>
          <w:sz w:val="26"/>
          <w:szCs w:val="26"/>
        </w:rPr>
      </w:pPr>
      <w:r w:rsidRPr="00491272">
        <w:rPr>
          <w:rFonts w:ascii="Century Schoolbook" w:eastAsia="Times New Roman" w:hAnsi="Century Schoolbook" w:cs="Times New Roman"/>
          <w:sz w:val="26"/>
          <w:szCs w:val="26"/>
        </w:rPr>
        <w:tab/>
        <w:t xml:space="preserve">On December 22, 2015, members of the Valerio </w:t>
      </w:r>
      <w:r w:rsidR="006D42E0">
        <w:rPr>
          <w:rFonts w:ascii="Century Schoolbook" w:eastAsia="Times New Roman" w:hAnsi="Century Schoolbook" w:cs="Times New Roman"/>
          <w:sz w:val="26"/>
          <w:szCs w:val="26"/>
        </w:rPr>
        <w:t>S</w:t>
      </w:r>
      <w:r w:rsidRPr="00491272">
        <w:rPr>
          <w:rFonts w:ascii="Century Schoolbook" w:eastAsia="Times New Roman" w:hAnsi="Century Schoolbook" w:cs="Times New Roman"/>
          <w:sz w:val="26"/>
          <w:szCs w:val="26"/>
        </w:rPr>
        <w:t xml:space="preserve">treet gang </w:t>
      </w:r>
      <w:r w:rsidR="00225693">
        <w:rPr>
          <w:rFonts w:ascii="Century Schoolbook" w:eastAsia="Times New Roman" w:hAnsi="Century Schoolbook" w:cs="Times New Roman"/>
          <w:sz w:val="26"/>
          <w:szCs w:val="26"/>
        </w:rPr>
        <w:t>drove</w:t>
      </w:r>
      <w:r w:rsidRPr="00491272">
        <w:rPr>
          <w:rFonts w:ascii="Century Schoolbook" w:eastAsia="Times New Roman" w:hAnsi="Century Schoolbook" w:cs="Times New Roman"/>
          <w:sz w:val="26"/>
          <w:szCs w:val="26"/>
        </w:rPr>
        <w:t xml:space="preserve"> to Saticoy Street in Van Nuys, California.</w:t>
      </w:r>
      <w:r w:rsidRPr="00491272">
        <w:rPr>
          <w:rFonts w:ascii="Century Schoolbook" w:eastAsia="Times New Roman" w:hAnsi="Century Schoolbook" w:cs="Times New Roman"/>
          <w:sz w:val="26"/>
          <w:szCs w:val="26"/>
        </w:rPr>
        <w:t xml:space="preserve">  Saticoy Street is within </w:t>
      </w:r>
      <w:r w:rsidR="000A1473">
        <w:rPr>
          <w:rFonts w:ascii="Century Schoolbook" w:eastAsia="Times New Roman" w:hAnsi="Century Schoolbook" w:cs="Times New Roman"/>
          <w:sz w:val="26"/>
          <w:szCs w:val="26"/>
        </w:rPr>
        <w:t xml:space="preserve">the gang’s </w:t>
      </w:r>
      <w:r w:rsidRPr="00491272">
        <w:rPr>
          <w:rFonts w:ascii="Century Schoolbook" w:eastAsia="Times New Roman" w:hAnsi="Century Schoolbook" w:cs="Times New Roman"/>
          <w:sz w:val="26"/>
          <w:szCs w:val="26"/>
        </w:rPr>
        <w:t xml:space="preserve">territory.  </w:t>
      </w:r>
      <w:r w:rsidR="00225693">
        <w:rPr>
          <w:rFonts w:ascii="Century Schoolbook" w:eastAsia="Times New Roman" w:hAnsi="Century Schoolbook" w:cs="Times New Roman"/>
          <w:sz w:val="26"/>
          <w:szCs w:val="26"/>
        </w:rPr>
        <w:t>Now on foot</w:t>
      </w:r>
      <w:r w:rsidRPr="00491272">
        <w:rPr>
          <w:rFonts w:ascii="Century Schoolbook" w:eastAsia="Times New Roman" w:hAnsi="Century Schoolbook" w:cs="Times New Roman"/>
          <w:sz w:val="26"/>
          <w:szCs w:val="26"/>
        </w:rPr>
        <w:t>, three Valerio</w:t>
      </w:r>
      <w:r w:rsidR="000A1473">
        <w:rPr>
          <w:rFonts w:ascii="Century Schoolbook" w:eastAsia="Times New Roman" w:hAnsi="Century Schoolbook" w:cs="Times New Roman"/>
          <w:sz w:val="26"/>
          <w:szCs w:val="26"/>
        </w:rPr>
        <w:t xml:space="preserve"> Street</w:t>
      </w:r>
      <w:r w:rsidRPr="00491272">
        <w:rPr>
          <w:rFonts w:ascii="Century Schoolbook" w:eastAsia="Times New Roman" w:hAnsi="Century Schoolbook" w:cs="Times New Roman"/>
          <w:sz w:val="26"/>
          <w:szCs w:val="26"/>
        </w:rPr>
        <w:t xml:space="preserve"> gang members </w:t>
      </w:r>
      <w:r w:rsidR="00225693">
        <w:rPr>
          <w:rFonts w:ascii="Century Schoolbook" w:eastAsia="Times New Roman" w:hAnsi="Century Schoolbook" w:cs="Times New Roman"/>
          <w:sz w:val="26"/>
          <w:szCs w:val="26"/>
        </w:rPr>
        <w:t xml:space="preserve">accosted </w:t>
      </w:r>
      <w:r w:rsidRPr="00491272">
        <w:rPr>
          <w:rFonts w:ascii="Century Schoolbook" w:eastAsia="Times New Roman" w:hAnsi="Century Schoolbook" w:cs="Times New Roman"/>
          <w:sz w:val="26"/>
          <w:szCs w:val="26"/>
        </w:rPr>
        <w:t>four men perceived to be members of a rival gang, shouted out their gang’s name, and</w:t>
      </w:r>
      <w:r w:rsidR="00225693">
        <w:rPr>
          <w:rFonts w:ascii="Century Schoolbook" w:eastAsia="Times New Roman" w:hAnsi="Century Schoolbook" w:cs="Times New Roman"/>
          <w:sz w:val="26"/>
          <w:szCs w:val="26"/>
        </w:rPr>
        <w:t xml:space="preserve"> the Valerio </w:t>
      </w:r>
      <w:r w:rsidR="000A1473">
        <w:rPr>
          <w:rFonts w:ascii="Century Schoolbook" w:eastAsia="Times New Roman" w:hAnsi="Century Schoolbook" w:cs="Times New Roman"/>
          <w:sz w:val="26"/>
          <w:szCs w:val="26"/>
        </w:rPr>
        <w:t xml:space="preserve">Street </w:t>
      </w:r>
      <w:r w:rsidR="00225693">
        <w:rPr>
          <w:rFonts w:ascii="Century Schoolbook" w:eastAsia="Times New Roman" w:hAnsi="Century Schoolbook" w:cs="Times New Roman"/>
          <w:sz w:val="26"/>
          <w:szCs w:val="26"/>
        </w:rPr>
        <w:t>members a</w:t>
      </w:r>
      <w:r w:rsidRPr="00491272">
        <w:rPr>
          <w:rFonts w:ascii="Century Schoolbook" w:eastAsia="Times New Roman" w:hAnsi="Century Schoolbook" w:cs="Times New Roman"/>
          <w:sz w:val="26"/>
          <w:szCs w:val="26"/>
        </w:rPr>
        <w:t xml:space="preserve">rmed with guns </w:t>
      </w:r>
      <w:r w:rsidR="00225693">
        <w:rPr>
          <w:rFonts w:ascii="Century Schoolbook" w:eastAsia="Times New Roman" w:hAnsi="Century Schoolbook" w:cs="Times New Roman"/>
          <w:sz w:val="26"/>
          <w:szCs w:val="26"/>
        </w:rPr>
        <w:t xml:space="preserve">then </w:t>
      </w:r>
      <w:r w:rsidRPr="00491272">
        <w:rPr>
          <w:rFonts w:ascii="Century Schoolbook" w:eastAsia="Times New Roman" w:hAnsi="Century Schoolbook" w:cs="Times New Roman"/>
          <w:sz w:val="26"/>
          <w:szCs w:val="26"/>
        </w:rPr>
        <w:t xml:space="preserve">opened fire.  </w:t>
      </w:r>
      <w:r w:rsidRPr="00491272">
        <w:rPr>
          <w:rFonts w:ascii="Century Schoolbook" w:eastAsia="Times New Roman" w:hAnsi="Century Schoolbook" w:cs="Times New Roman"/>
          <w:sz w:val="26"/>
          <w:szCs w:val="26"/>
        </w:rPr>
        <w:t>One of the victims died; three others survived.</w:t>
      </w:r>
      <w:r w:rsidR="006D42E0">
        <w:rPr>
          <w:rFonts w:ascii="Century Schoolbook" w:eastAsia="Times New Roman" w:hAnsi="Century Schoolbook" w:cs="Times New Roman"/>
          <w:sz w:val="26"/>
          <w:szCs w:val="26"/>
        </w:rPr>
        <w:t xml:space="preserve"> </w:t>
      </w:r>
    </w:p>
    <w:p w14:paraId="45D89286" w14:textId="6341792C" w:rsidR="00491272" w:rsidRPr="00491272" w:rsidRDefault="00267C6F" w:rsidP="00491272">
      <w:pPr>
        <w:spacing w:after="0" w:line="288" w:lineRule="auto"/>
        <w:rPr>
          <w:rFonts w:ascii="Century Schoolbook" w:eastAsia="Times New Roman" w:hAnsi="Century Schoolbook" w:cs="Times New Roman"/>
          <w:sz w:val="26"/>
          <w:szCs w:val="26"/>
        </w:rPr>
      </w:pPr>
      <w:r w:rsidRPr="00491272">
        <w:rPr>
          <w:rFonts w:ascii="Century Schoolbook" w:eastAsia="Times New Roman" w:hAnsi="Century Schoolbook" w:cs="Times New Roman"/>
          <w:sz w:val="26"/>
          <w:szCs w:val="26"/>
        </w:rPr>
        <w:tab/>
        <w:t xml:space="preserve">On May 12, 2017, a grand jury returned a 20-count indictment against nine defendants.  With respect to the Saticoy Street shooting, the indictment charges </w:t>
      </w:r>
      <w:r w:rsidR="00225693">
        <w:rPr>
          <w:rFonts w:ascii="Century Schoolbook" w:eastAsia="Times New Roman" w:hAnsi="Century Schoolbook" w:cs="Times New Roman"/>
          <w:sz w:val="26"/>
          <w:szCs w:val="26"/>
        </w:rPr>
        <w:t>Carlos</w:t>
      </w:r>
      <w:r w:rsidRPr="00491272">
        <w:rPr>
          <w:rFonts w:ascii="Century Schoolbook" w:eastAsia="Times New Roman" w:hAnsi="Century Schoolbook" w:cs="Times New Roman"/>
          <w:sz w:val="26"/>
          <w:szCs w:val="26"/>
        </w:rPr>
        <w:t xml:space="preserve"> Chavez (defendant) and five others with one </w:t>
      </w:r>
      <w:r w:rsidRPr="00491272">
        <w:rPr>
          <w:rFonts w:ascii="Century Schoolbook" w:eastAsia="Times New Roman" w:hAnsi="Century Schoolbook" w:cs="Times New Roman"/>
          <w:sz w:val="26"/>
          <w:szCs w:val="26"/>
        </w:rPr>
        <w:t>count of murder (§ 187) and three counts of attempted premeditated murder (§§ 664, subd. (a), 187).  The indictment further alleges that defendant committed those crimes “for the benefit of, at the direction of, or in association with a criminal street gan</w:t>
      </w:r>
      <w:r w:rsidRPr="00491272">
        <w:rPr>
          <w:rFonts w:ascii="Century Schoolbook" w:eastAsia="Times New Roman" w:hAnsi="Century Schoolbook" w:cs="Times New Roman"/>
          <w:sz w:val="26"/>
          <w:szCs w:val="26"/>
        </w:rPr>
        <w:t>g with the specific intent to promote, further or assist in criminal conduct by gang members” pursuant to the gang enhancement statute (§ 186.22, subd. (b)(1)(C)).</w:t>
      </w:r>
      <w:r>
        <w:rPr>
          <w:rFonts w:ascii="Century Schoolbook" w:eastAsia="Times New Roman" w:hAnsi="Century Schoolbook" w:cs="Times New Roman"/>
          <w:b/>
          <w:bCs/>
          <w:sz w:val="26"/>
          <w:szCs w:val="26"/>
          <w:vertAlign w:val="superscript"/>
        </w:rPr>
        <w:footnoteReference w:id="2"/>
      </w:r>
    </w:p>
    <w:p w14:paraId="2079EFE7" w14:textId="4C85116E" w:rsidR="00491272" w:rsidRPr="00491272" w:rsidRDefault="00267C6F" w:rsidP="00491272">
      <w:pPr>
        <w:spacing w:after="0" w:line="288" w:lineRule="auto"/>
        <w:rPr>
          <w:rFonts w:ascii="Century Schoolbook" w:eastAsia="Times New Roman" w:hAnsi="Century Schoolbook" w:cs="Times New Roman"/>
          <w:sz w:val="26"/>
          <w:szCs w:val="26"/>
        </w:rPr>
      </w:pPr>
      <w:r w:rsidRPr="00491272">
        <w:rPr>
          <w:rFonts w:ascii="Century Schoolbook" w:eastAsia="Times New Roman" w:hAnsi="Century Schoolbook" w:cs="Times New Roman"/>
          <w:sz w:val="26"/>
          <w:szCs w:val="26"/>
        </w:rPr>
        <w:tab/>
        <w:t xml:space="preserve">On January 1, 2022, </w:t>
      </w:r>
      <w:proofErr w:type="spellStart"/>
      <w:r w:rsidR="00D5449E">
        <w:rPr>
          <w:rFonts w:ascii="Century Schoolbook" w:eastAsia="Times New Roman" w:hAnsi="Century Schoolbook" w:cs="Times New Roman"/>
          <w:sz w:val="26"/>
          <w:szCs w:val="26"/>
        </w:rPr>
        <w:t>Assem</w:t>
      </w:r>
      <w:proofErr w:type="spellEnd"/>
      <w:r w:rsidR="00D5449E">
        <w:rPr>
          <w:rFonts w:ascii="Century Schoolbook" w:eastAsia="Times New Roman" w:hAnsi="Century Schoolbook" w:cs="Times New Roman"/>
          <w:sz w:val="26"/>
          <w:szCs w:val="26"/>
        </w:rPr>
        <w:t>. Bill No.</w:t>
      </w:r>
      <w:r w:rsidRPr="00491272">
        <w:rPr>
          <w:rFonts w:ascii="Century Schoolbook" w:eastAsia="Times New Roman" w:hAnsi="Century Schoolbook" w:cs="Times New Roman"/>
          <w:sz w:val="26"/>
          <w:szCs w:val="26"/>
        </w:rPr>
        <w:t xml:space="preserve"> 333 became effective.  </w:t>
      </w:r>
      <w:proofErr w:type="spellStart"/>
      <w:r w:rsidR="00D5449E">
        <w:rPr>
          <w:rFonts w:ascii="Century Schoolbook" w:eastAsia="Times New Roman" w:hAnsi="Century Schoolbook" w:cs="Times New Roman"/>
          <w:sz w:val="26"/>
          <w:szCs w:val="26"/>
        </w:rPr>
        <w:t>Assem</w:t>
      </w:r>
      <w:proofErr w:type="spellEnd"/>
      <w:r w:rsidR="00D5449E">
        <w:rPr>
          <w:rFonts w:ascii="Century Schoolbook" w:eastAsia="Times New Roman" w:hAnsi="Century Schoolbook" w:cs="Times New Roman"/>
          <w:sz w:val="26"/>
          <w:szCs w:val="26"/>
        </w:rPr>
        <w:t xml:space="preserve">. Bill No. </w:t>
      </w:r>
      <w:r w:rsidRPr="00491272">
        <w:rPr>
          <w:rFonts w:ascii="Century Schoolbook" w:eastAsia="Times New Roman" w:hAnsi="Century Schoolbook" w:cs="Times New Roman"/>
          <w:sz w:val="26"/>
          <w:szCs w:val="26"/>
        </w:rPr>
        <w:t>333 amended th</w:t>
      </w:r>
      <w:r w:rsidRPr="00491272">
        <w:rPr>
          <w:rFonts w:ascii="Century Schoolbook" w:eastAsia="Times New Roman" w:hAnsi="Century Schoolbook" w:cs="Times New Roman"/>
          <w:sz w:val="26"/>
          <w:szCs w:val="26"/>
        </w:rPr>
        <w:t xml:space="preserve">e gang enhancement statute to “‘essentially </w:t>
      </w:r>
      <w:proofErr w:type="gramStart"/>
      <w:r w:rsidRPr="00491272">
        <w:rPr>
          <w:rFonts w:ascii="Century Schoolbook" w:eastAsia="Times New Roman" w:hAnsi="Century Schoolbook" w:cs="Times New Roman"/>
          <w:sz w:val="26"/>
          <w:szCs w:val="26"/>
        </w:rPr>
        <w:t>add[</w:t>
      </w:r>
      <w:proofErr w:type="gramEnd"/>
      <w:r w:rsidRPr="00491272">
        <w:rPr>
          <w:rFonts w:ascii="Century Schoolbook" w:eastAsia="Times New Roman" w:hAnsi="Century Schoolbook" w:cs="Times New Roman"/>
          <w:sz w:val="26"/>
          <w:szCs w:val="26"/>
        </w:rPr>
        <w:t>] new elements.’”  (</w:t>
      </w:r>
      <w:r w:rsidRPr="00491272">
        <w:rPr>
          <w:rFonts w:ascii="Century Schoolbook" w:eastAsia="Times New Roman" w:hAnsi="Century Schoolbook" w:cs="Times New Roman"/>
          <w:i/>
          <w:iCs/>
          <w:sz w:val="26"/>
          <w:szCs w:val="26"/>
        </w:rPr>
        <w:t xml:space="preserve">People v. Tran </w:t>
      </w:r>
      <w:r w:rsidRPr="00491272">
        <w:rPr>
          <w:rFonts w:ascii="Century Schoolbook" w:eastAsia="Times New Roman" w:hAnsi="Century Schoolbook" w:cs="Times New Roman"/>
          <w:sz w:val="26"/>
          <w:szCs w:val="26"/>
        </w:rPr>
        <w:t>(2022) 13 Cal.5th 1169, 1207</w:t>
      </w:r>
      <w:r w:rsidR="00225693">
        <w:rPr>
          <w:rFonts w:ascii="Century Schoolbook" w:eastAsia="Times New Roman" w:hAnsi="Century Schoolbook" w:cs="Times New Roman"/>
          <w:sz w:val="26"/>
          <w:szCs w:val="26"/>
        </w:rPr>
        <w:t xml:space="preserve"> (</w:t>
      </w:r>
      <w:r w:rsidR="00225693">
        <w:rPr>
          <w:rFonts w:ascii="Century Schoolbook" w:eastAsia="Times New Roman" w:hAnsi="Century Schoolbook" w:cs="Times New Roman"/>
          <w:i/>
          <w:iCs/>
          <w:sz w:val="26"/>
          <w:szCs w:val="26"/>
        </w:rPr>
        <w:t>Tran</w:t>
      </w:r>
      <w:r w:rsidR="00225693">
        <w:rPr>
          <w:rFonts w:ascii="Century Schoolbook" w:eastAsia="Times New Roman" w:hAnsi="Century Schoolbook" w:cs="Times New Roman"/>
          <w:sz w:val="26"/>
          <w:szCs w:val="26"/>
        </w:rPr>
        <w:t>)</w:t>
      </w:r>
      <w:r w:rsidRPr="00491272">
        <w:rPr>
          <w:rFonts w:ascii="Century Schoolbook" w:eastAsia="Times New Roman" w:hAnsi="Century Schoolbook" w:cs="Times New Roman"/>
          <w:sz w:val="26"/>
          <w:szCs w:val="26"/>
        </w:rPr>
        <w:t xml:space="preserve">.)  Prior to the enactment of </w:t>
      </w:r>
      <w:proofErr w:type="spellStart"/>
      <w:r w:rsidR="00D5449E">
        <w:rPr>
          <w:rFonts w:ascii="Century Schoolbook" w:eastAsia="Times New Roman" w:hAnsi="Century Schoolbook" w:cs="Times New Roman"/>
          <w:sz w:val="26"/>
          <w:szCs w:val="26"/>
        </w:rPr>
        <w:t>Assem</w:t>
      </w:r>
      <w:proofErr w:type="spellEnd"/>
      <w:r w:rsidR="00D5449E">
        <w:rPr>
          <w:rFonts w:ascii="Century Schoolbook" w:eastAsia="Times New Roman" w:hAnsi="Century Schoolbook" w:cs="Times New Roman"/>
          <w:sz w:val="26"/>
          <w:szCs w:val="26"/>
        </w:rPr>
        <w:t xml:space="preserve">. Bill </w:t>
      </w:r>
      <w:r w:rsidR="00D5449E">
        <w:rPr>
          <w:rFonts w:ascii="Century Schoolbook" w:eastAsia="Times New Roman" w:hAnsi="Century Schoolbook" w:cs="Times New Roman"/>
          <w:sz w:val="26"/>
          <w:szCs w:val="26"/>
        </w:rPr>
        <w:lastRenderedPageBreak/>
        <w:t>No.</w:t>
      </w:r>
      <w:r w:rsidRPr="00491272">
        <w:rPr>
          <w:rFonts w:ascii="Century Schoolbook" w:eastAsia="Times New Roman" w:hAnsi="Century Schoolbook" w:cs="Times New Roman"/>
          <w:sz w:val="26"/>
          <w:szCs w:val="26"/>
        </w:rPr>
        <w:t xml:space="preserve"> 333, the gang enhancement</w:t>
      </w:r>
      <w:r w:rsidR="000A1473">
        <w:rPr>
          <w:rFonts w:ascii="Century Schoolbook" w:eastAsia="Times New Roman" w:hAnsi="Century Schoolbook" w:cs="Times New Roman"/>
          <w:sz w:val="26"/>
          <w:szCs w:val="26"/>
        </w:rPr>
        <w:t xml:space="preserve"> statute</w:t>
      </w:r>
      <w:r w:rsidRPr="00491272">
        <w:rPr>
          <w:rFonts w:ascii="Century Schoolbook" w:eastAsia="Times New Roman" w:hAnsi="Century Schoolbook" w:cs="Times New Roman"/>
          <w:sz w:val="26"/>
          <w:szCs w:val="26"/>
        </w:rPr>
        <w:t xml:space="preserve"> defined a “criminal street gang” as an “ongoing organizati</w:t>
      </w:r>
      <w:r w:rsidRPr="00491272">
        <w:rPr>
          <w:rFonts w:ascii="Century Schoolbook" w:eastAsia="Times New Roman" w:hAnsi="Century Schoolbook" w:cs="Times New Roman"/>
          <w:sz w:val="26"/>
          <w:szCs w:val="26"/>
        </w:rPr>
        <w:t>on” or “group of three or more persons” (1) that “ha[s] as one of its primary activities the commission of one or more [statutorily enumerated] criminal acts”</w:t>
      </w:r>
      <w:r w:rsidR="0013512C">
        <w:rPr>
          <w:rFonts w:ascii="Century Schoolbook" w:eastAsia="Times New Roman" w:hAnsi="Century Schoolbook" w:cs="Times New Roman"/>
          <w:sz w:val="26"/>
          <w:szCs w:val="26"/>
        </w:rPr>
        <w:t>;</w:t>
      </w:r>
      <w:r w:rsidRPr="00491272">
        <w:rPr>
          <w:rFonts w:ascii="Century Schoolbook" w:eastAsia="Times New Roman" w:hAnsi="Century Schoolbook" w:cs="Times New Roman"/>
          <w:sz w:val="26"/>
          <w:szCs w:val="26"/>
        </w:rPr>
        <w:t xml:space="preserve"> (2) that “ha[s] a common name or common identifying sign or symbol”</w:t>
      </w:r>
      <w:r w:rsidR="0013512C">
        <w:rPr>
          <w:rFonts w:ascii="Century Schoolbook" w:eastAsia="Times New Roman" w:hAnsi="Century Schoolbook" w:cs="Times New Roman"/>
          <w:sz w:val="26"/>
          <w:szCs w:val="26"/>
        </w:rPr>
        <w:t>;</w:t>
      </w:r>
      <w:r w:rsidRPr="00491272">
        <w:rPr>
          <w:rFonts w:ascii="Century Schoolbook" w:eastAsia="Times New Roman" w:hAnsi="Century Schoolbook" w:cs="Times New Roman"/>
          <w:sz w:val="26"/>
          <w:szCs w:val="26"/>
        </w:rPr>
        <w:t xml:space="preserve"> and (3) “who</w:t>
      </w:r>
      <w:r w:rsidR="000A1473">
        <w:rPr>
          <w:rFonts w:ascii="Century Schoolbook" w:eastAsia="Times New Roman" w:hAnsi="Century Schoolbook" w:cs="Times New Roman"/>
          <w:sz w:val="26"/>
          <w:szCs w:val="26"/>
        </w:rPr>
        <w:t>se members</w:t>
      </w:r>
      <w:r w:rsidRPr="00491272">
        <w:rPr>
          <w:rFonts w:ascii="Century Schoolbook" w:eastAsia="Times New Roman" w:hAnsi="Century Schoolbook" w:cs="Times New Roman"/>
          <w:sz w:val="26"/>
          <w:szCs w:val="26"/>
        </w:rPr>
        <w:t xml:space="preserve"> individually or collectively engage in, or have engaged in, a pattern of criminal </w:t>
      </w:r>
      <w:r w:rsidR="000A1473">
        <w:rPr>
          <w:rFonts w:ascii="Century Schoolbook" w:eastAsia="Times New Roman" w:hAnsi="Century Schoolbook" w:cs="Times New Roman"/>
          <w:sz w:val="26"/>
          <w:szCs w:val="26"/>
        </w:rPr>
        <w:t xml:space="preserve">gang </w:t>
      </w:r>
      <w:r w:rsidRPr="00491272">
        <w:rPr>
          <w:rFonts w:ascii="Century Schoolbook" w:eastAsia="Times New Roman" w:hAnsi="Century Schoolbook" w:cs="Times New Roman"/>
          <w:sz w:val="26"/>
          <w:szCs w:val="26"/>
        </w:rPr>
        <w:t>activity.”  (Former § 186.22, subd. (f)</w:t>
      </w:r>
      <w:r w:rsidR="000A1473">
        <w:rPr>
          <w:rFonts w:ascii="Century Schoolbook" w:eastAsia="Times New Roman" w:hAnsi="Century Schoolbook" w:cs="Times New Roman"/>
          <w:sz w:val="26"/>
          <w:szCs w:val="26"/>
        </w:rPr>
        <w:t xml:space="preserve">, Stats. 2017, </w:t>
      </w:r>
      <w:proofErr w:type="spellStart"/>
      <w:r w:rsidR="000A1473">
        <w:rPr>
          <w:rFonts w:ascii="Century Schoolbook" w:eastAsia="Times New Roman" w:hAnsi="Century Schoolbook" w:cs="Times New Roman"/>
          <w:sz w:val="26"/>
          <w:szCs w:val="26"/>
        </w:rPr>
        <w:t>ch.</w:t>
      </w:r>
      <w:proofErr w:type="spellEnd"/>
      <w:r w:rsidR="000A1473">
        <w:rPr>
          <w:rFonts w:ascii="Century Schoolbook" w:eastAsia="Times New Roman" w:hAnsi="Century Schoolbook" w:cs="Times New Roman"/>
          <w:sz w:val="26"/>
          <w:szCs w:val="26"/>
        </w:rPr>
        <w:t xml:space="preserve"> 561, § 178</w:t>
      </w:r>
      <w:r w:rsidRPr="00491272">
        <w:rPr>
          <w:rFonts w:ascii="Century Schoolbook" w:eastAsia="Times New Roman" w:hAnsi="Century Schoolbook" w:cs="Times New Roman"/>
          <w:sz w:val="26"/>
          <w:szCs w:val="26"/>
        </w:rPr>
        <w:t>.)  The pre-</w:t>
      </w:r>
      <w:proofErr w:type="spellStart"/>
      <w:r w:rsidR="00D5449E">
        <w:rPr>
          <w:rFonts w:ascii="Century Schoolbook" w:eastAsia="Times New Roman" w:hAnsi="Century Schoolbook" w:cs="Times New Roman"/>
          <w:sz w:val="26"/>
          <w:szCs w:val="26"/>
        </w:rPr>
        <w:t>Assem</w:t>
      </w:r>
      <w:proofErr w:type="spellEnd"/>
      <w:r w:rsidR="00D5449E">
        <w:rPr>
          <w:rFonts w:ascii="Century Schoolbook" w:eastAsia="Times New Roman" w:hAnsi="Century Schoolbook" w:cs="Times New Roman"/>
          <w:sz w:val="26"/>
          <w:szCs w:val="26"/>
        </w:rPr>
        <w:t>. Bill No.</w:t>
      </w:r>
      <w:r w:rsidRPr="00491272">
        <w:rPr>
          <w:rFonts w:ascii="Century Schoolbook" w:eastAsia="Times New Roman" w:hAnsi="Century Schoolbook" w:cs="Times New Roman"/>
          <w:sz w:val="26"/>
          <w:szCs w:val="26"/>
        </w:rPr>
        <w:t xml:space="preserve"> 333 version went on to define a “pattern of criminal </w:t>
      </w:r>
      <w:r w:rsidR="000A1473">
        <w:rPr>
          <w:rFonts w:ascii="Century Schoolbook" w:eastAsia="Times New Roman" w:hAnsi="Century Schoolbook" w:cs="Times New Roman"/>
          <w:sz w:val="26"/>
          <w:szCs w:val="26"/>
        </w:rPr>
        <w:t xml:space="preserve">gang </w:t>
      </w:r>
      <w:r w:rsidRPr="00491272">
        <w:rPr>
          <w:rFonts w:ascii="Century Schoolbook" w:eastAsia="Times New Roman" w:hAnsi="Century Schoolbook" w:cs="Times New Roman"/>
          <w:sz w:val="26"/>
          <w:szCs w:val="26"/>
        </w:rPr>
        <w:t>activit</w:t>
      </w:r>
      <w:r w:rsidRPr="00491272">
        <w:rPr>
          <w:rFonts w:ascii="Century Schoolbook" w:eastAsia="Times New Roman" w:hAnsi="Century Schoolbook" w:cs="Times New Roman"/>
          <w:sz w:val="26"/>
          <w:szCs w:val="26"/>
        </w:rPr>
        <w:t xml:space="preserve">y” as requiring proof of “two or more” convictions for statutorily enumerated offenses </w:t>
      </w:r>
      <w:proofErr w:type="gramStart"/>
      <w:r w:rsidRPr="00491272">
        <w:rPr>
          <w:rFonts w:ascii="Century Schoolbook" w:eastAsia="Times New Roman" w:hAnsi="Century Schoolbook" w:cs="Times New Roman"/>
          <w:sz w:val="26"/>
          <w:szCs w:val="26"/>
        </w:rPr>
        <w:t>as long as</w:t>
      </w:r>
      <w:proofErr w:type="gramEnd"/>
      <w:r w:rsidRPr="00491272">
        <w:rPr>
          <w:rFonts w:ascii="Century Schoolbook" w:eastAsia="Times New Roman" w:hAnsi="Century Schoolbook" w:cs="Times New Roman"/>
          <w:sz w:val="26"/>
          <w:szCs w:val="26"/>
        </w:rPr>
        <w:t xml:space="preserve"> they were “committed on separate occasions” and all committed within three years of each other.  (</w:t>
      </w:r>
      <w:r w:rsidR="000A1473">
        <w:rPr>
          <w:rFonts w:ascii="Century Schoolbook" w:eastAsia="Times New Roman" w:hAnsi="Century Schoolbook" w:cs="Times New Roman"/>
          <w:i/>
          <w:iCs/>
          <w:sz w:val="26"/>
          <w:szCs w:val="26"/>
        </w:rPr>
        <w:t>Id.</w:t>
      </w:r>
      <w:r w:rsidRPr="00491272">
        <w:rPr>
          <w:rFonts w:ascii="Century Schoolbook" w:eastAsia="Times New Roman" w:hAnsi="Century Schoolbook" w:cs="Times New Roman"/>
          <w:sz w:val="26"/>
          <w:szCs w:val="26"/>
        </w:rPr>
        <w:t xml:space="preserve">, subd. (e).)  </w:t>
      </w:r>
      <w:proofErr w:type="spellStart"/>
      <w:r w:rsidR="00D5449E">
        <w:rPr>
          <w:rFonts w:ascii="Century Schoolbook" w:eastAsia="Times New Roman" w:hAnsi="Century Schoolbook" w:cs="Times New Roman"/>
          <w:sz w:val="26"/>
          <w:szCs w:val="26"/>
        </w:rPr>
        <w:t>Assem</w:t>
      </w:r>
      <w:proofErr w:type="spellEnd"/>
      <w:r w:rsidR="00D5449E">
        <w:rPr>
          <w:rFonts w:ascii="Century Schoolbook" w:eastAsia="Times New Roman" w:hAnsi="Century Schoolbook" w:cs="Times New Roman"/>
          <w:sz w:val="26"/>
          <w:szCs w:val="26"/>
        </w:rPr>
        <w:t>. Bill No.</w:t>
      </w:r>
      <w:r w:rsidRPr="00491272">
        <w:rPr>
          <w:rFonts w:ascii="Century Schoolbook" w:eastAsia="Times New Roman" w:hAnsi="Century Schoolbook" w:cs="Times New Roman"/>
          <w:sz w:val="26"/>
          <w:szCs w:val="26"/>
        </w:rPr>
        <w:t xml:space="preserve"> 333 amended the gang enhan</w:t>
      </w:r>
      <w:r w:rsidRPr="00491272">
        <w:rPr>
          <w:rFonts w:ascii="Century Schoolbook" w:eastAsia="Times New Roman" w:hAnsi="Century Schoolbook" w:cs="Times New Roman"/>
          <w:sz w:val="26"/>
          <w:szCs w:val="26"/>
        </w:rPr>
        <w:t>cement</w:t>
      </w:r>
      <w:r w:rsidR="000A1473">
        <w:rPr>
          <w:rFonts w:ascii="Century Schoolbook" w:eastAsia="Times New Roman" w:hAnsi="Century Schoolbook" w:cs="Times New Roman"/>
          <w:sz w:val="26"/>
          <w:szCs w:val="26"/>
        </w:rPr>
        <w:t xml:space="preserve"> statute</w:t>
      </w:r>
      <w:r w:rsidRPr="00491272">
        <w:rPr>
          <w:rFonts w:ascii="Century Schoolbook" w:eastAsia="Times New Roman" w:hAnsi="Century Schoolbook" w:cs="Times New Roman"/>
          <w:sz w:val="26"/>
          <w:szCs w:val="26"/>
        </w:rPr>
        <w:t xml:space="preserve"> to require, for the first time</w:t>
      </w:r>
      <w:r w:rsidR="00225693">
        <w:rPr>
          <w:rFonts w:ascii="Century Schoolbook" w:eastAsia="Times New Roman" w:hAnsi="Century Schoolbook" w:cs="Times New Roman"/>
          <w:sz w:val="26"/>
          <w:szCs w:val="26"/>
        </w:rPr>
        <w:t xml:space="preserve"> and as pertinent here</w:t>
      </w:r>
      <w:r w:rsidRPr="00491272">
        <w:rPr>
          <w:rFonts w:ascii="Century Schoolbook" w:eastAsia="Times New Roman" w:hAnsi="Century Schoolbook" w:cs="Times New Roman"/>
          <w:sz w:val="26"/>
          <w:szCs w:val="26"/>
        </w:rPr>
        <w:t xml:space="preserve">, proof that the </w:t>
      </w:r>
      <w:r w:rsidR="006D42E0">
        <w:rPr>
          <w:rFonts w:ascii="Century Schoolbook" w:eastAsia="Times New Roman" w:hAnsi="Century Schoolbook" w:cs="Times New Roman"/>
          <w:sz w:val="26"/>
          <w:szCs w:val="26"/>
        </w:rPr>
        <w:t>offenses</w:t>
      </w:r>
      <w:r w:rsidR="006D42E0" w:rsidRPr="00491272">
        <w:rPr>
          <w:rFonts w:ascii="Century Schoolbook" w:eastAsia="Times New Roman" w:hAnsi="Century Schoolbook" w:cs="Times New Roman"/>
          <w:sz w:val="26"/>
          <w:szCs w:val="26"/>
        </w:rPr>
        <w:t xml:space="preserve"> </w:t>
      </w:r>
      <w:r w:rsidRPr="00491272">
        <w:rPr>
          <w:rFonts w:ascii="Century Schoolbook" w:eastAsia="Times New Roman" w:hAnsi="Century Schoolbook" w:cs="Times New Roman"/>
          <w:sz w:val="26"/>
          <w:szCs w:val="26"/>
        </w:rPr>
        <w:t xml:space="preserve">making up the “pattern of criminal </w:t>
      </w:r>
      <w:r w:rsidR="000A1473">
        <w:rPr>
          <w:rFonts w:ascii="Century Schoolbook" w:eastAsia="Times New Roman" w:hAnsi="Century Schoolbook" w:cs="Times New Roman"/>
          <w:sz w:val="26"/>
          <w:szCs w:val="26"/>
        </w:rPr>
        <w:t xml:space="preserve">gang </w:t>
      </w:r>
      <w:r w:rsidRPr="00491272">
        <w:rPr>
          <w:rFonts w:ascii="Century Schoolbook" w:eastAsia="Times New Roman" w:hAnsi="Century Schoolbook" w:cs="Times New Roman"/>
          <w:sz w:val="26"/>
          <w:szCs w:val="26"/>
        </w:rPr>
        <w:t>activity” (1) were committed “collectively” (rather than “individually or collectively”) (§ 186.22, subd. (f))</w:t>
      </w:r>
      <w:r w:rsidR="00B012D3">
        <w:rPr>
          <w:rFonts w:ascii="Century Schoolbook" w:eastAsia="Times New Roman" w:hAnsi="Century Schoolbook" w:cs="Times New Roman"/>
          <w:sz w:val="26"/>
          <w:szCs w:val="26"/>
        </w:rPr>
        <w:t>;</w:t>
      </w:r>
      <w:r w:rsidRPr="00491272">
        <w:rPr>
          <w:rFonts w:ascii="Century Schoolbook" w:eastAsia="Times New Roman" w:hAnsi="Century Schoolbook" w:cs="Times New Roman"/>
          <w:sz w:val="26"/>
          <w:szCs w:val="26"/>
        </w:rPr>
        <w:t xml:space="preserve"> (2) “common</w:t>
      </w:r>
      <w:r w:rsidRPr="00491272">
        <w:rPr>
          <w:rFonts w:ascii="Century Schoolbook" w:eastAsia="Times New Roman" w:hAnsi="Century Schoolbook" w:cs="Times New Roman"/>
          <w:sz w:val="26"/>
          <w:szCs w:val="26"/>
        </w:rPr>
        <w:t>ly benefitted [the] criminal street gang,” and requiring that the “common benefit [be] more than reputational” (</w:t>
      </w:r>
      <w:r w:rsidR="000A1473">
        <w:rPr>
          <w:rFonts w:ascii="Century Schoolbook" w:eastAsia="Times New Roman" w:hAnsi="Century Schoolbook" w:cs="Times New Roman"/>
          <w:i/>
          <w:iCs/>
          <w:sz w:val="26"/>
          <w:szCs w:val="26"/>
        </w:rPr>
        <w:t>id.</w:t>
      </w:r>
      <w:r w:rsidR="000A1473">
        <w:rPr>
          <w:rFonts w:ascii="Century Schoolbook" w:eastAsia="Times New Roman" w:hAnsi="Century Schoolbook" w:cs="Times New Roman"/>
          <w:sz w:val="26"/>
          <w:szCs w:val="26"/>
        </w:rPr>
        <w:t xml:space="preserve">, </w:t>
      </w:r>
      <w:r w:rsidRPr="00491272">
        <w:rPr>
          <w:rFonts w:ascii="Century Schoolbook" w:eastAsia="Times New Roman" w:hAnsi="Century Schoolbook" w:cs="Times New Roman"/>
          <w:sz w:val="26"/>
          <w:szCs w:val="26"/>
        </w:rPr>
        <w:t>subds. (e)(1) &amp; (g))</w:t>
      </w:r>
      <w:r w:rsidR="00B012D3">
        <w:rPr>
          <w:rFonts w:ascii="Century Schoolbook" w:eastAsia="Times New Roman" w:hAnsi="Century Schoolbook" w:cs="Times New Roman"/>
          <w:sz w:val="26"/>
          <w:szCs w:val="26"/>
        </w:rPr>
        <w:t>;</w:t>
      </w:r>
      <w:r w:rsidRPr="00491272">
        <w:rPr>
          <w:rFonts w:ascii="Century Schoolbook" w:eastAsia="Times New Roman" w:hAnsi="Century Schoolbook" w:cs="Times New Roman"/>
          <w:sz w:val="26"/>
          <w:szCs w:val="26"/>
        </w:rPr>
        <w:t xml:space="preserve"> and (3) were committed within three years of each other </w:t>
      </w:r>
      <w:r w:rsidRPr="00225693">
        <w:rPr>
          <w:rFonts w:ascii="Century Schoolbook" w:eastAsia="Times New Roman" w:hAnsi="Century Schoolbook" w:cs="Times New Roman"/>
          <w:i/>
          <w:iCs/>
          <w:sz w:val="26"/>
          <w:szCs w:val="26"/>
        </w:rPr>
        <w:t>and</w:t>
      </w:r>
      <w:r w:rsidRPr="00491272">
        <w:rPr>
          <w:rFonts w:ascii="Century Schoolbook" w:eastAsia="Times New Roman" w:hAnsi="Century Schoolbook" w:cs="Times New Roman"/>
          <w:sz w:val="26"/>
          <w:szCs w:val="26"/>
        </w:rPr>
        <w:t xml:space="preserve"> within three years of the charged </w:t>
      </w:r>
      <w:proofErr w:type="gramStart"/>
      <w:r w:rsidRPr="00491272">
        <w:rPr>
          <w:rFonts w:ascii="Century Schoolbook" w:eastAsia="Times New Roman" w:hAnsi="Century Schoolbook" w:cs="Times New Roman"/>
          <w:sz w:val="26"/>
          <w:szCs w:val="26"/>
        </w:rPr>
        <w:t>crime, and</w:t>
      </w:r>
      <w:proofErr w:type="gramEnd"/>
      <w:r w:rsidRPr="00491272">
        <w:rPr>
          <w:rFonts w:ascii="Century Schoolbook" w:eastAsia="Times New Roman" w:hAnsi="Century Schoolbook" w:cs="Times New Roman"/>
          <w:sz w:val="26"/>
          <w:szCs w:val="26"/>
        </w:rPr>
        <w:t xml:space="preserve"> can no longe</w:t>
      </w:r>
      <w:r w:rsidRPr="00491272">
        <w:rPr>
          <w:rFonts w:ascii="Century Schoolbook" w:eastAsia="Times New Roman" w:hAnsi="Century Schoolbook" w:cs="Times New Roman"/>
          <w:sz w:val="26"/>
          <w:szCs w:val="26"/>
        </w:rPr>
        <w:t>r include the charged crime (</w:t>
      </w:r>
      <w:r w:rsidR="000A1473">
        <w:rPr>
          <w:rFonts w:ascii="Century Schoolbook" w:eastAsia="Times New Roman" w:hAnsi="Century Schoolbook" w:cs="Times New Roman"/>
          <w:i/>
          <w:iCs/>
          <w:sz w:val="26"/>
          <w:szCs w:val="26"/>
        </w:rPr>
        <w:t>id.</w:t>
      </w:r>
      <w:r w:rsidRPr="00491272">
        <w:rPr>
          <w:rFonts w:ascii="Century Schoolbook" w:eastAsia="Times New Roman" w:hAnsi="Century Schoolbook" w:cs="Times New Roman"/>
          <w:sz w:val="26"/>
          <w:szCs w:val="26"/>
        </w:rPr>
        <w:t xml:space="preserve">, subds. (e)(1) &amp; (e)(2)).  (Accord, </w:t>
      </w:r>
      <w:r w:rsidRPr="00491272">
        <w:rPr>
          <w:rFonts w:ascii="Century Schoolbook" w:eastAsia="Times New Roman" w:hAnsi="Century Schoolbook" w:cs="Times New Roman"/>
          <w:i/>
          <w:iCs/>
          <w:sz w:val="26"/>
          <w:szCs w:val="26"/>
        </w:rPr>
        <w:t xml:space="preserve">Mendoza v. Superior Court </w:t>
      </w:r>
      <w:r w:rsidRPr="00491272">
        <w:rPr>
          <w:rFonts w:ascii="Century Schoolbook" w:eastAsia="Times New Roman" w:hAnsi="Century Schoolbook" w:cs="Times New Roman"/>
          <w:sz w:val="26"/>
          <w:szCs w:val="26"/>
        </w:rPr>
        <w:t>(2023) 91 Cal.App.5th 42, 51 (</w:t>
      </w:r>
      <w:r w:rsidRPr="00491272">
        <w:rPr>
          <w:rFonts w:ascii="Century Schoolbook" w:eastAsia="Times New Roman" w:hAnsi="Century Schoolbook" w:cs="Times New Roman"/>
          <w:i/>
          <w:iCs/>
          <w:sz w:val="26"/>
          <w:szCs w:val="26"/>
        </w:rPr>
        <w:t>Mendoza</w:t>
      </w:r>
      <w:r w:rsidRPr="00491272">
        <w:rPr>
          <w:rFonts w:ascii="Century Schoolbook" w:eastAsia="Times New Roman" w:hAnsi="Century Schoolbook" w:cs="Times New Roman"/>
          <w:sz w:val="26"/>
          <w:szCs w:val="26"/>
        </w:rPr>
        <w:t>) [enumerating these changes].)</w:t>
      </w:r>
    </w:p>
    <w:p w14:paraId="00F546DD" w14:textId="028802CD" w:rsidR="00491272" w:rsidRPr="00491272" w:rsidRDefault="00267C6F" w:rsidP="00491272">
      <w:pPr>
        <w:spacing w:after="0" w:line="288" w:lineRule="auto"/>
        <w:rPr>
          <w:rFonts w:ascii="Century Schoolbook" w:eastAsia="Times New Roman" w:hAnsi="Century Schoolbook" w:cs="Times New Roman"/>
          <w:sz w:val="26"/>
          <w:szCs w:val="26"/>
        </w:rPr>
      </w:pPr>
      <w:r w:rsidRPr="00491272">
        <w:rPr>
          <w:rFonts w:ascii="Century Schoolbook" w:eastAsia="Times New Roman" w:hAnsi="Century Schoolbook" w:cs="Times New Roman"/>
          <w:sz w:val="26"/>
          <w:szCs w:val="26"/>
        </w:rPr>
        <w:tab/>
      </w:r>
      <w:r w:rsidRPr="00491272">
        <w:rPr>
          <w:rFonts w:ascii="Century Schoolbook" w:eastAsia="Times New Roman" w:hAnsi="Century Schoolbook" w:cs="Times New Roman"/>
          <w:sz w:val="26"/>
          <w:szCs w:val="26"/>
        </w:rPr>
        <w:t xml:space="preserve">On August 31, 2023, defendant moved to dismiss the gang enhancement allegations from the indictment.  Specifically, defendant argued that </w:t>
      </w:r>
      <w:proofErr w:type="spellStart"/>
      <w:r w:rsidR="00D5449E">
        <w:rPr>
          <w:rFonts w:ascii="Century Schoolbook" w:eastAsia="Times New Roman" w:hAnsi="Century Schoolbook" w:cs="Times New Roman"/>
          <w:sz w:val="26"/>
          <w:szCs w:val="26"/>
        </w:rPr>
        <w:t>Assem</w:t>
      </w:r>
      <w:proofErr w:type="spellEnd"/>
      <w:r w:rsidR="00D5449E">
        <w:rPr>
          <w:rFonts w:ascii="Century Schoolbook" w:eastAsia="Times New Roman" w:hAnsi="Century Schoolbook" w:cs="Times New Roman"/>
          <w:sz w:val="26"/>
          <w:szCs w:val="26"/>
        </w:rPr>
        <w:t>. Bill No.</w:t>
      </w:r>
      <w:r w:rsidRPr="00491272">
        <w:rPr>
          <w:rFonts w:ascii="Century Schoolbook" w:eastAsia="Times New Roman" w:hAnsi="Century Schoolbook" w:cs="Times New Roman"/>
          <w:sz w:val="26"/>
          <w:szCs w:val="26"/>
        </w:rPr>
        <w:t xml:space="preserve"> 333 applied retroactively to his still-pending case and that the evidence presented to the grand jury </w:t>
      </w:r>
      <w:r w:rsidRPr="00491272">
        <w:rPr>
          <w:rFonts w:ascii="Century Schoolbook" w:eastAsia="Times New Roman" w:hAnsi="Century Schoolbook" w:cs="Times New Roman"/>
          <w:sz w:val="26"/>
          <w:szCs w:val="26"/>
        </w:rPr>
        <w:t xml:space="preserve">did not establish probable cause to believe (1) that the </w:t>
      </w:r>
      <w:r w:rsidR="006D42E0">
        <w:rPr>
          <w:rFonts w:ascii="Century Schoolbook" w:eastAsia="Times New Roman" w:hAnsi="Century Schoolbook" w:cs="Times New Roman"/>
          <w:sz w:val="26"/>
          <w:szCs w:val="26"/>
        </w:rPr>
        <w:t xml:space="preserve">prior offenses constituted a </w:t>
      </w:r>
      <w:r w:rsidRPr="00491272">
        <w:rPr>
          <w:rFonts w:ascii="Century Schoolbook" w:eastAsia="Times New Roman" w:hAnsi="Century Schoolbook" w:cs="Times New Roman"/>
          <w:sz w:val="26"/>
          <w:szCs w:val="26"/>
        </w:rPr>
        <w:t xml:space="preserve">“pattern of criminal </w:t>
      </w:r>
      <w:r w:rsidR="000A1473">
        <w:rPr>
          <w:rFonts w:ascii="Century Schoolbook" w:eastAsia="Times New Roman" w:hAnsi="Century Schoolbook" w:cs="Times New Roman"/>
          <w:sz w:val="26"/>
          <w:szCs w:val="26"/>
        </w:rPr>
        <w:t xml:space="preserve">gang </w:t>
      </w:r>
      <w:r w:rsidRPr="00491272">
        <w:rPr>
          <w:rFonts w:ascii="Century Schoolbook" w:eastAsia="Times New Roman" w:hAnsi="Century Schoolbook" w:cs="Times New Roman"/>
          <w:sz w:val="26"/>
          <w:szCs w:val="26"/>
        </w:rPr>
        <w:t xml:space="preserve">activity” </w:t>
      </w:r>
      <w:r w:rsidR="006D42E0">
        <w:rPr>
          <w:rFonts w:ascii="Century Schoolbook" w:eastAsia="Times New Roman" w:hAnsi="Century Schoolbook" w:cs="Times New Roman"/>
          <w:sz w:val="26"/>
          <w:szCs w:val="26"/>
        </w:rPr>
        <w:lastRenderedPageBreak/>
        <w:t xml:space="preserve">that </w:t>
      </w:r>
      <w:r w:rsidR="000A1473">
        <w:rPr>
          <w:rFonts w:ascii="Century Schoolbook" w:eastAsia="Times New Roman" w:hAnsi="Century Schoolbook" w:cs="Times New Roman"/>
          <w:sz w:val="26"/>
          <w:szCs w:val="26"/>
        </w:rPr>
        <w:t>were</w:t>
      </w:r>
      <w:r w:rsidRPr="00491272">
        <w:rPr>
          <w:rFonts w:ascii="Century Schoolbook" w:eastAsia="Times New Roman" w:hAnsi="Century Schoolbook" w:cs="Times New Roman"/>
          <w:sz w:val="26"/>
          <w:szCs w:val="26"/>
        </w:rPr>
        <w:t xml:space="preserve"> committed collectively</w:t>
      </w:r>
      <w:r w:rsidR="006D42E0">
        <w:rPr>
          <w:rFonts w:ascii="Century Schoolbook" w:eastAsia="Times New Roman" w:hAnsi="Century Schoolbook" w:cs="Times New Roman"/>
          <w:sz w:val="26"/>
          <w:szCs w:val="26"/>
        </w:rPr>
        <w:t xml:space="preserve"> to benefit the gang</w:t>
      </w:r>
      <w:r w:rsidRPr="00491272">
        <w:rPr>
          <w:rFonts w:ascii="Century Schoolbook" w:eastAsia="Times New Roman" w:hAnsi="Century Schoolbook" w:cs="Times New Roman"/>
          <w:sz w:val="26"/>
          <w:szCs w:val="26"/>
        </w:rPr>
        <w:t xml:space="preserve">, or (2) that </w:t>
      </w:r>
      <w:r w:rsidR="006D42E0">
        <w:rPr>
          <w:rFonts w:ascii="Century Schoolbook" w:eastAsia="Times New Roman" w:hAnsi="Century Schoolbook" w:cs="Times New Roman"/>
          <w:sz w:val="26"/>
          <w:szCs w:val="26"/>
        </w:rPr>
        <w:t>any</w:t>
      </w:r>
      <w:r w:rsidR="006D42E0" w:rsidRPr="00491272">
        <w:rPr>
          <w:rFonts w:ascii="Century Schoolbook" w:eastAsia="Times New Roman" w:hAnsi="Century Schoolbook" w:cs="Times New Roman"/>
          <w:sz w:val="26"/>
          <w:szCs w:val="26"/>
        </w:rPr>
        <w:t xml:space="preserve"> </w:t>
      </w:r>
      <w:r w:rsidRPr="00491272">
        <w:rPr>
          <w:rFonts w:ascii="Century Schoolbook" w:eastAsia="Times New Roman" w:hAnsi="Century Schoolbook" w:cs="Times New Roman"/>
          <w:sz w:val="26"/>
          <w:szCs w:val="26"/>
        </w:rPr>
        <w:t>benefit to the gang was more than reputational.</w:t>
      </w:r>
    </w:p>
    <w:p w14:paraId="5CAC4CDF" w14:textId="1078FD0A" w:rsidR="00491272" w:rsidRPr="00491272" w:rsidRDefault="00267C6F" w:rsidP="00491272">
      <w:pPr>
        <w:spacing w:after="0" w:line="288" w:lineRule="auto"/>
        <w:rPr>
          <w:rFonts w:ascii="Century Schoolbook" w:eastAsia="Times New Roman" w:hAnsi="Century Schoolbook" w:cs="Times New Roman"/>
          <w:sz w:val="26"/>
          <w:szCs w:val="26"/>
        </w:rPr>
      </w:pPr>
      <w:r w:rsidRPr="00491272">
        <w:rPr>
          <w:rFonts w:ascii="Century Schoolbook" w:eastAsia="Times New Roman" w:hAnsi="Century Schoolbook" w:cs="Times New Roman"/>
          <w:sz w:val="26"/>
          <w:szCs w:val="26"/>
        </w:rPr>
        <w:tab/>
        <w:t>In their opposi</w:t>
      </w:r>
      <w:r w:rsidRPr="00491272">
        <w:rPr>
          <w:rFonts w:ascii="Century Schoolbook" w:eastAsia="Times New Roman" w:hAnsi="Century Schoolbook" w:cs="Times New Roman"/>
          <w:sz w:val="26"/>
          <w:szCs w:val="26"/>
        </w:rPr>
        <w:t xml:space="preserve">tion to defendant’s motion and at the ensuing hearing, the People conceded that </w:t>
      </w:r>
      <w:proofErr w:type="spellStart"/>
      <w:r w:rsidR="00D5449E">
        <w:rPr>
          <w:rFonts w:ascii="Century Schoolbook" w:eastAsia="Times New Roman" w:hAnsi="Century Schoolbook" w:cs="Times New Roman"/>
          <w:sz w:val="26"/>
          <w:szCs w:val="26"/>
        </w:rPr>
        <w:t>Assem</w:t>
      </w:r>
      <w:proofErr w:type="spellEnd"/>
      <w:r w:rsidR="00D5449E">
        <w:rPr>
          <w:rFonts w:ascii="Century Schoolbook" w:eastAsia="Times New Roman" w:hAnsi="Century Schoolbook" w:cs="Times New Roman"/>
          <w:sz w:val="26"/>
          <w:szCs w:val="26"/>
        </w:rPr>
        <w:t>. Bill No.</w:t>
      </w:r>
      <w:r w:rsidRPr="00491272">
        <w:rPr>
          <w:rFonts w:ascii="Century Schoolbook" w:eastAsia="Times New Roman" w:hAnsi="Century Schoolbook" w:cs="Times New Roman"/>
          <w:sz w:val="26"/>
          <w:szCs w:val="26"/>
        </w:rPr>
        <w:t xml:space="preserve"> 333’s new requirements applied retroactively to </w:t>
      </w:r>
      <w:r w:rsidR="000A1473">
        <w:rPr>
          <w:rFonts w:ascii="Century Schoolbook" w:eastAsia="Times New Roman" w:hAnsi="Century Schoolbook" w:cs="Times New Roman"/>
          <w:sz w:val="26"/>
          <w:szCs w:val="26"/>
        </w:rPr>
        <w:t>the gang enhancement</w:t>
      </w:r>
      <w:r w:rsidR="00EB1655">
        <w:rPr>
          <w:rFonts w:ascii="Century Schoolbook" w:eastAsia="Times New Roman" w:hAnsi="Century Schoolbook" w:cs="Times New Roman"/>
          <w:sz w:val="26"/>
          <w:szCs w:val="26"/>
        </w:rPr>
        <w:t>s</w:t>
      </w:r>
      <w:r w:rsidR="000A1473">
        <w:rPr>
          <w:rFonts w:ascii="Century Schoolbook" w:eastAsia="Times New Roman" w:hAnsi="Century Schoolbook" w:cs="Times New Roman"/>
          <w:sz w:val="26"/>
          <w:szCs w:val="26"/>
        </w:rPr>
        <w:t xml:space="preserve"> alleged against </w:t>
      </w:r>
      <w:r w:rsidRPr="00491272">
        <w:rPr>
          <w:rFonts w:ascii="Century Schoolbook" w:eastAsia="Times New Roman" w:hAnsi="Century Schoolbook" w:cs="Times New Roman"/>
          <w:sz w:val="26"/>
          <w:szCs w:val="26"/>
        </w:rPr>
        <w:t>defendant</w:t>
      </w:r>
      <w:r w:rsidR="00EB1655">
        <w:rPr>
          <w:rFonts w:ascii="Century Schoolbook" w:eastAsia="Times New Roman" w:hAnsi="Century Schoolbook" w:cs="Times New Roman"/>
          <w:sz w:val="26"/>
          <w:szCs w:val="26"/>
        </w:rPr>
        <w:t>,</w:t>
      </w:r>
      <w:r w:rsidRPr="00491272">
        <w:rPr>
          <w:rFonts w:ascii="Century Schoolbook" w:eastAsia="Times New Roman" w:hAnsi="Century Schoolbook" w:cs="Times New Roman"/>
          <w:sz w:val="26"/>
          <w:szCs w:val="26"/>
        </w:rPr>
        <w:t xml:space="preserve"> and that the evidence presented to the grand jury did not estab</w:t>
      </w:r>
      <w:r w:rsidRPr="00491272">
        <w:rPr>
          <w:rFonts w:ascii="Century Schoolbook" w:eastAsia="Times New Roman" w:hAnsi="Century Schoolbook" w:cs="Times New Roman"/>
          <w:sz w:val="26"/>
          <w:szCs w:val="26"/>
        </w:rPr>
        <w:t xml:space="preserve">lish probable cause to believe </w:t>
      </w:r>
      <w:r w:rsidR="006D42E0">
        <w:rPr>
          <w:rFonts w:ascii="Century Schoolbook" w:eastAsia="Times New Roman" w:hAnsi="Century Schoolbook" w:cs="Times New Roman"/>
          <w:sz w:val="26"/>
          <w:szCs w:val="26"/>
        </w:rPr>
        <w:t xml:space="preserve">that the prior offenses were committed collectively </w:t>
      </w:r>
      <w:r w:rsidRPr="00491272">
        <w:rPr>
          <w:rFonts w:ascii="Century Schoolbook" w:eastAsia="Times New Roman" w:hAnsi="Century Schoolbook" w:cs="Times New Roman"/>
          <w:sz w:val="26"/>
          <w:szCs w:val="26"/>
        </w:rPr>
        <w:t xml:space="preserve">by Valerio </w:t>
      </w:r>
      <w:r w:rsidR="006D42E0">
        <w:rPr>
          <w:rFonts w:ascii="Century Schoolbook" w:eastAsia="Times New Roman" w:hAnsi="Century Schoolbook" w:cs="Times New Roman"/>
          <w:sz w:val="26"/>
          <w:szCs w:val="26"/>
        </w:rPr>
        <w:t xml:space="preserve">Street </w:t>
      </w:r>
      <w:r w:rsidRPr="00491272">
        <w:rPr>
          <w:rFonts w:ascii="Century Schoolbook" w:eastAsia="Times New Roman" w:hAnsi="Century Schoolbook" w:cs="Times New Roman"/>
          <w:sz w:val="26"/>
          <w:szCs w:val="26"/>
        </w:rPr>
        <w:t xml:space="preserve">gang members or that their benefit to the gang was more than reputational.  However, the People sought the </w:t>
      </w:r>
      <w:r w:rsidR="006D42E0">
        <w:rPr>
          <w:rFonts w:ascii="Century Schoolbook" w:eastAsia="Times New Roman" w:hAnsi="Century Schoolbook" w:cs="Times New Roman"/>
          <w:sz w:val="26"/>
          <w:szCs w:val="26"/>
        </w:rPr>
        <w:t xml:space="preserve">trial </w:t>
      </w:r>
      <w:r w:rsidRPr="00491272">
        <w:rPr>
          <w:rFonts w:ascii="Century Schoolbook" w:eastAsia="Times New Roman" w:hAnsi="Century Schoolbook" w:cs="Times New Roman"/>
          <w:sz w:val="26"/>
          <w:szCs w:val="26"/>
        </w:rPr>
        <w:t>court’s permission to present additional e</w:t>
      </w:r>
      <w:r w:rsidRPr="00491272">
        <w:rPr>
          <w:rFonts w:ascii="Century Schoolbook" w:eastAsia="Times New Roman" w:hAnsi="Century Schoolbook" w:cs="Times New Roman"/>
          <w:sz w:val="26"/>
          <w:szCs w:val="26"/>
        </w:rPr>
        <w:t xml:space="preserve">vidence to the grand jury, representing </w:t>
      </w:r>
      <w:r w:rsidR="00F9507D">
        <w:rPr>
          <w:rFonts w:ascii="Century Schoolbook" w:eastAsia="Times New Roman" w:hAnsi="Century Schoolbook" w:cs="Times New Roman"/>
          <w:sz w:val="26"/>
          <w:szCs w:val="26"/>
        </w:rPr>
        <w:t xml:space="preserve">to the trial court </w:t>
      </w:r>
      <w:r w:rsidRPr="00491272">
        <w:rPr>
          <w:rFonts w:ascii="Century Schoolbook" w:eastAsia="Times New Roman" w:hAnsi="Century Schoolbook" w:cs="Times New Roman"/>
          <w:sz w:val="26"/>
          <w:szCs w:val="26"/>
        </w:rPr>
        <w:t xml:space="preserve">that </w:t>
      </w:r>
      <w:r w:rsidR="00225693">
        <w:rPr>
          <w:rFonts w:ascii="Century Schoolbook" w:eastAsia="Times New Roman" w:hAnsi="Century Schoolbook" w:cs="Times New Roman"/>
          <w:sz w:val="26"/>
          <w:szCs w:val="26"/>
        </w:rPr>
        <w:t xml:space="preserve">the People </w:t>
      </w:r>
      <w:r w:rsidRPr="00491272">
        <w:rPr>
          <w:rFonts w:ascii="Century Schoolbook" w:eastAsia="Times New Roman" w:hAnsi="Century Schoolbook" w:cs="Times New Roman"/>
          <w:sz w:val="26"/>
          <w:szCs w:val="26"/>
        </w:rPr>
        <w:t xml:space="preserve">could “meet the requirements of the </w:t>
      </w:r>
      <w:proofErr w:type="gramStart"/>
      <w:r w:rsidRPr="00491272">
        <w:rPr>
          <w:rFonts w:ascii="Century Schoolbook" w:eastAsia="Times New Roman" w:hAnsi="Century Schoolbook" w:cs="Times New Roman"/>
          <w:sz w:val="26"/>
          <w:szCs w:val="26"/>
        </w:rPr>
        <w:t>new[</w:t>
      </w:r>
      <w:proofErr w:type="spellStart"/>
      <w:proofErr w:type="gramEnd"/>
      <w:r w:rsidRPr="00491272">
        <w:rPr>
          <w:rFonts w:ascii="Century Schoolbook" w:eastAsia="Times New Roman" w:hAnsi="Century Schoolbook" w:cs="Times New Roman"/>
          <w:sz w:val="26"/>
          <w:szCs w:val="26"/>
        </w:rPr>
        <w:t>ly</w:t>
      </w:r>
      <w:proofErr w:type="spellEnd"/>
      <w:r w:rsidRPr="00491272">
        <w:rPr>
          <w:rFonts w:ascii="Century Schoolbook" w:eastAsia="Times New Roman" w:hAnsi="Century Schoolbook" w:cs="Times New Roman"/>
          <w:sz w:val="26"/>
          <w:szCs w:val="26"/>
        </w:rPr>
        <w:t xml:space="preserve"> amended] gang statute.”</w:t>
      </w:r>
    </w:p>
    <w:p w14:paraId="590DF6E1" w14:textId="0C9016A4" w:rsidR="00491272" w:rsidRPr="00491272" w:rsidRDefault="00267C6F" w:rsidP="00491272">
      <w:pPr>
        <w:spacing w:after="0" w:line="288" w:lineRule="auto"/>
        <w:rPr>
          <w:rFonts w:ascii="Century Schoolbook" w:eastAsia="Times New Roman" w:hAnsi="Century Schoolbook" w:cs="Times New Roman"/>
          <w:sz w:val="26"/>
          <w:szCs w:val="26"/>
        </w:rPr>
      </w:pPr>
      <w:r w:rsidRPr="00491272">
        <w:rPr>
          <w:rFonts w:ascii="Century Schoolbook" w:eastAsia="Times New Roman" w:hAnsi="Century Schoolbook" w:cs="Times New Roman"/>
          <w:sz w:val="26"/>
          <w:szCs w:val="26"/>
        </w:rPr>
        <w:tab/>
        <w:t>The trial court ruled that it would “give the People the opportunity</w:t>
      </w:r>
      <w:r w:rsidR="00F07E8E">
        <w:rPr>
          <w:rFonts w:ascii="Century Schoolbook" w:eastAsia="Times New Roman" w:hAnsi="Century Schoolbook" w:cs="Times New Roman"/>
          <w:sz w:val="26"/>
          <w:szCs w:val="26"/>
        </w:rPr>
        <w:t xml:space="preserve"> </w:t>
      </w:r>
      <w:r w:rsidRPr="00491272">
        <w:rPr>
          <w:rFonts w:ascii="Century Schoolbook" w:eastAsia="Times New Roman" w:hAnsi="Century Schoolbook" w:cs="Times New Roman"/>
          <w:sz w:val="26"/>
          <w:szCs w:val="26"/>
        </w:rPr>
        <w:t xml:space="preserve">present [evidence relevant to the newly </w:t>
      </w:r>
      <w:r w:rsidRPr="00491272">
        <w:rPr>
          <w:rFonts w:ascii="Century Schoolbook" w:eastAsia="Times New Roman" w:hAnsi="Century Schoolbook" w:cs="Times New Roman"/>
          <w:sz w:val="26"/>
          <w:szCs w:val="26"/>
        </w:rPr>
        <w:t>added elements of the gang enhancement</w:t>
      </w:r>
      <w:r w:rsidR="00EB1655">
        <w:rPr>
          <w:rFonts w:ascii="Century Schoolbook" w:eastAsia="Times New Roman" w:hAnsi="Century Schoolbook" w:cs="Times New Roman"/>
          <w:sz w:val="26"/>
          <w:szCs w:val="26"/>
        </w:rPr>
        <w:t xml:space="preserve"> statute</w:t>
      </w:r>
      <w:r w:rsidRPr="00491272">
        <w:rPr>
          <w:rFonts w:ascii="Century Schoolbook" w:eastAsia="Times New Roman" w:hAnsi="Century Schoolbook" w:cs="Times New Roman"/>
          <w:sz w:val="26"/>
          <w:szCs w:val="26"/>
        </w:rPr>
        <w:t>] to the grand jury if they choose to do so” and “</w:t>
      </w:r>
      <w:proofErr w:type="gramStart"/>
      <w:r w:rsidRPr="00491272">
        <w:rPr>
          <w:rFonts w:ascii="Century Schoolbook" w:eastAsia="Times New Roman" w:hAnsi="Century Schoolbook" w:cs="Times New Roman"/>
          <w:sz w:val="26"/>
          <w:szCs w:val="26"/>
        </w:rPr>
        <w:t>den[</w:t>
      </w:r>
      <w:proofErr w:type="spellStart"/>
      <w:proofErr w:type="gramEnd"/>
      <w:r w:rsidRPr="00491272">
        <w:rPr>
          <w:rFonts w:ascii="Century Schoolbook" w:eastAsia="Times New Roman" w:hAnsi="Century Schoolbook" w:cs="Times New Roman"/>
          <w:sz w:val="26"/>
          <w:szCs w:val="26"/>
        </w:rPr>
        <w:t>ied</w:t>
      </w:r>
      <w:proofErr w:type="spellEnd"/>
      <w:r w:rsidRPr="00491272">
        <w:rPr>
          <w:rFonts w:ascii="Century Schoolbook" w:eastAsia="Times New Roman" w:hAnsi="Century Schoolbook" w:cs="Times New Roman"/>
          <w:sz w:val="26"/>
          <w:szCs w:val="26"/>
        </w:rPr>
        <w:t xml:space="preserve"> defendant’s] motion [to dismiss] on that basis.” </w:t>
      </w:r>
      <w:r w:rsidR="00225693">
        <w:rPr>
          <w:rFonts w:ascii="Century Schoolbook" w:eastAsia="Times New Roman" w:hAnsi="Century Schoolbook" w:cs="Times New Roman"/>
          <w:sz w:val="26"/>
          <w:szCs w:val="26"/>
        </w:rPr>
        <w:t xml:space="preserve"> Because the court’s order contemplated the presentation of this new evidence to the grand jury, we infer that the court’s denial of the motion was without prejudice—and hence equivalent to reserving a ruling on that motion pending </w:t>
      </w:r>
      <w:r w:rsidR="000A1473">
        <w:rPr>
          <w:rFonts w:ascii="Century Schoolbook" w:eastAsia="Times New Roman" w:hAnsi="Century Schoolbook" w:cs="Times New Roman"/>
          <w:sz w:val="26"/>
          <w:szCs w:val="26"/>
        </w:rPr>
        <w:t xml:space="preserve">resubmission </w:t>
      </w:r>
      <w:r w:rsidR="00225693">
        <w:rPr>
          <w:rFonts w:ascii="Century Schoolbook" w:eastAsia="Times New Roman" w:hAnsi="Century Schoolbook" w:cs="Times New Roman"/>
          <w:sz w:val="26"/>
          <w:szCs w:val="26"/>
        </w:rPr>
        <w:t>to the grand jury.</w:t>
      </w:r>
    </w:p>
    <w:p w14:paraId="07C50250" w14:textId="2AED1B9F" w:rsidR="00491272" w:rsidRPr="00491272" w:rsidRDefault="00267C6F" w:rsidP="00491272">
      <w:pPr>
        <w:spacing w:after="0" w:line="288" w:lineRule="auto"/>
        <w:rPr>
          <w:rFonts w:ascii="Century Schoolbook" w:eastAsia="Times New Roman" w:hAnsi="Century Schoolbook" w:cs="Times New Roman"/>
          <w:sz w:val="26"/>
          <w:szCs w:val="26"/>
        </w:rPr>
      </w:pPr>
      <w:r w:rsidRPr="00491272">
        <w:rPr>
          <w:rFonts w:ascii="Century Schoolbook" w:eastAsia="Times New Roman" w:hAnsi="Century Schoolbook" w:cs="Times New Roman"/>
          <w:sz w:val="26"/>
          <w:szCs w:val="26"/>
        </w:rPr>
        <w:tab/>
        <w:t>Defendant petition</w:t>
      </w:r>
      <w:r w:rsidR="000A1473">
        <w:rPr>
          <w:rFonts w:ascii="Century Schoolbook" w:eastAsia="Times New Roman" w:hAnsi="Century Schoolbook" w:cs="Times New Roman"/>
          <w:sz w:val="26"/>
          <w:szCs w:val="26"/>
        </w:rPr>
        <w:t>ed this court</w:t>
      </w:r>
      <w:r w:rsidRPr="00491272">
        <w:rPr>
          <w:rFonts w:ascii="Century Schoolbook" w:eastAsia="Times New Roman" w:hAnsi="Century Schoolbook" w:cs="Times New Roman"/>
          <w:sz w:val="26"/>
          <w:szCs w:val="26"/>
        </w:rPr>
        <w:t xml:space="preserve"> for a writ of mandate, arguing that the trial court lacked the</w:t>
      </w:r>
      <w:r w:rsidRPr="00491272">
        <w:rPr>
          <w:rFonts w:ascii="Century Schoolbook" w:eastAsia="Times New Roman" w:hAnsi="Century Schoolbook" w:cs="Times New Roman"/>
          <w:sz w:val="26"/>
          <w:szCs w:val="26"/>
        </w:rPr>
        <w:t xml:space="preserve"> authority to reopen the grand jury proceedings to permit the People to present evidence regarding the elements </w:t>
      </w:r>
      <w:proofErr w:type="spellStart"/>
      <w:r w:rsidR="00D5449E">
        <w:rPr>
          <w:rFonts w:ascii="Century Schoolbook" w:eastAsia="Times New Roman" w:hAnsi="Century Schoolbook" w:cs="Times New Roman"/>
          <w:sz w:val="26"/>
          <w:szCs w:val="26"/>
        </w:rPr>
        <w:t>Assem</w:t>
      </w:r>
      <w:proofErr w:type="spellEnd"/>
      <w:r w:rsidR="00D5449E">
        <w:rPr>
          <w:rFonts w:ascii="Century Schoolbook" w:eastAsia="Times New Roman" w:hAnsi="Century Schoolbook" w:cs="Times New Roman"/>
          <w:sz w:val="26"/>
          <w:szCs w:val="26"/>
        </w:rPr>
        <w:t>. Bill No.</w:t>
      </w:r>
      <w:r w:rsidRPr="00491272">
        <w:rPr>
          <w:rFonts w:ascii="Century Schoolbook" w:eastAsia="Times New Roman" w:hAnsi="Century Schoolbook" w:cs="Times New Roman"/>
          <w:sz w:val="26"/>
          <w:szCs w:val="26"/>
        </w:rPr>
        <w:t xml:space="preserve"> 333 added to the gang enhancement</w:t>
      </w:r>
      <w:r w:rsidR="000A1473">
        <w:rPr>
          <w:rFonts w:ascii="Century Schoolbook" w:eastAsia="Times New Roman" w:hAnsi="Century Schoolbook" w:cs="Times New Roman"/>
          <w:sz w:val="26"/>
          <w:szCs w:val="26"/>
        </w:rPr>
        <w:t xml:space="preserve"> statute</w:t>
      </w:r>
      <w:r w:rsidRPr="00491272">
        <w:rPr>
          <w:rFonts w:ascii="Century Schoolbook" w:eastAsia="Times New Roman" w:hAnsi="Century Schoolbook" w:cs="Times New Roman"/>
          <w:sz w:val="26"/>
          <w:szCs w:val="26"/>
        </w:rPr>
        <w:t xml:space="preserve">, and that he was entitled to have the gang enhancement </w:t>
      </w:r>
      <w:r w:rsidR="006D42E0">
        <w:rPr>
          <w:rFonts w:ascii="Century Schoolbook" w:eastAsia="Times New Roman" w:hAnsi="Century Schoolbook" w:cs="Times New Roman"/>
          <w:sz w:val="26"/>
          <w:szCs w:val="26"/>
        </w:rPr>
        <w:t xml:space="preserve">allegations </w:t>
      </w:r>
      <w:r w:rsidRPr="00491272">
        <w:rPr>
          <w:rFonts w:ascii="Century Schoolbook" w:eastAsia="Times New Roman" w:hAnsi="Century Schoolbook" w:cs="Times New Roman"/>
          <w:sz w:val="26"/>
          <w:szCs w:val="26"/>
        </w:rPr>
        <w:t>dismissed entirely.</w:t>
      </w:r>
      <w:r w:rsidRPr="00491272">
        <w:rPr>
          <w:rFonts w:ascii="Century Schoolbook" w:eastAsia="Times New Roman" w:hAnsi="Century Schoolbook" w:cs="Times New Roman"/>
          <w:sz w:val="26"/>
          <w:szCs w:val="26"/>
        </w:rPr>
        <w:t xml:space="preserve">  We called for a</w:t>
      </w:r>
      <w:r w:rsidR="006D42E0">
        <w:rPr>
          <w:rFonts w:ascii="Century Schoolbook" w:eastAsia="Times New Roman" w:hAnsi="Century Schoolbook" w:cs="Times New Roman"/>
          <w:sz w:val="26"/>
          <w:szCs w:val="26"/>
        </w:rPr>
        <w:t xml:space="preserve"> response</w:t>
      </w:r>
      <w:r w:rsidRPr="00491272">
        <w:rPr>
          <w:rFonts w:ascii="Century Schoolbook" w:eastAsia="Times New Roman" w:hAnsi="Century Schoolbook" w:cs="Times New Roman"/>
          <w:sz w:val="26"/>
          <w:szCs w:val="26"/>
        </w:rPr>
        <w:t>, and the People submitted a</w:t>
      </w:r>
      <w:r w:rsidR="006D42E0">
        <w:rPr>
          <w:rFonts w:ascii="Century Schoolbook" w:eastAsia="Times New Roman" w:hAnsi="Century Schoolbook" w:cs="Times New Roman"/>
          <w:sz w:val="26"/>
          <w:szCs w:val="26"/>
        </w:rPr>
        <w:t xml:space="preserve"> two-page letter</w:t>
      </w:r>
      <w:r w:rsidRPr="00491272">
        <w:rPr>
          <w:rFonts w:ascii="Century Schoolbook" w:eastAsia="Times New Roman" w:hAnsi="Century Schoolbook" w:cs="Times New Roman"/>
          <w:sz w:val="26"/>
          <w:szCs w:val="26"/>
        </w:rPr>
        <w:t xml:space="preserve"> indicating </w:t>
      </w:r>
      <w:r w:rsidR="006D42E0">
        <w:rPr>
          <w:rFonts w:ascii="Century Schoolbook" w:eastAsia="Times New Roman" w:hAnsi="Century Schoolbook" w:cs="Times New Roman"/>
          <w:sz w:val="26"/>
          <w:szCs w:val="26"/>
        </w:rPr>
        <w:t>they</w:t>
      </w:r>
      <w:r w:rsidR="006D42E0" w:rsidRPr="00491272">
        <w:rPr>
          <w:rFonts w:ascii="Century Schoolbook" w:eastAsia="Times New Roman" w:hAnsi="Century Schoolbook" w:cs="Times New Roman"/>
          <w:sz w:val="26"/>
          <w:szCs w:val="26"/>
        </w:rPr>
        <w:t xml:space="preserve"> </w:t>
      </w:r>
      <w:r w:rsidRPr="00491272">
        <w:rPr>
          <w:rFonts w:ascii="Century Schoolbook" w:eastAsia="Times New Roman" w:hAnsi="Century Schoolbook" w:cs="Times New Roman"/>
          <w:sz w:val="26"/>
          <w:szCs w:val="26"/>
        </w:rPr>
        <w:t>“</w:t>
      </w:r>
      <w:r w:rsidR="006D42E0">
        <w:rPr>
          <w:rFonts w:ascii="Century Schoolbook" w:eastAsia="Times New Roman" w:hAnsi="Century Schoolbook" w:cs="Times New Roman"/>
          <w:sz w:val="26"/>
          <w:szCs w:val="26"/>
        </w:rPr>
        <w:t>have not been able to find</w:t>
      </w:r>
      <w:r w:rsidRPr="00491272">
        <w:rPr>
          <w:rFonts w:ascii="Century Schoolbook" w:eastAsia="Times New Roman" w:hAnsi="Century Schoolbook" w:cs="Times New Roman"/>
          <w:sz w:val="26"/>
          <w:szCs w:val="26"/>
        </w:rPr>
        <w:t xml:space="preserve"> any cases” directly on point and, </w:t>
      </w:r>
      <w:r w:rsidRPr="00491272">
        <w:rPr>
          <w:rFonts w:ascii="Century Schoolbook" w:eastAsia="Times New Roman" w:hAnsi="Century Schoolbook" w:cs="Times New Roman"/>
          <w:sz w:val="26"/>
          <w:szCs w:val="26"/>
        </w:rPr>
        <w:lastRenderedPageBreak/>
        <w:t xml:space="preserve">on that basis (and hence without any </w:t>
      </w:r>
      <w:r w:rsidR="006D42E0">
        <w:rPr>
          <w:rFonts w:ascii="Century Schoolbook" w:eastAsia="Times New Roman" w:hAnsi="Century Schoolbook" w:cs="Times New Roman"/>
          <w:sz w:val="26"/>
          <w:szCs w:val="26"/>
        </w:rPr>
        <w:t>attempt</w:t>
      </w:r>
      <w:r w:rsidR="006D42E0" w:rsidRPr="00491272">
        <w:rPr>
          <w:rFonts w:ascii="Century Schoolbook" w:eastAsia="Times New Roman" w:hAnsi="Century Schoolbook" w:cs="Times New Roman"/>
          <w:sz w:val="26"/>
          <w:szCs w:val="26"/>
        </w:rPr>
        <w:t xml:space="preserve"> </w:t>
      </w:r>
      <w:r w:rsidRPr="00491272">
        <w:rPr>
          <w:rFonts w:ascii="Century Schoolbook" w:eastAsia="Times New Roman" w:hAnsi="Century Schoolbook" w:cs="Times New Roman"/>
          <w:sz w:val="26"/>
          <w:szCs w:val="26"/>
        </w:rPr>
        <w:t xml:space="preserve">to argue by analogy or engage in further </w:t>
      </w:r>
      <w:r w:rsidR="00F9507D">
        <w:rPr>
          <w:rFonts w:ascii="Century Schoolbook" w:eastAsia="Times New Roman" w:hAnsi="Century Schoolbook" w:cs="Times New Roman"/>
          <w:sz w:val="26"/>
          <w:szCs w:val="26"/>
        </w:rPr>
        <w:t xml:space="preserve">legal </w:t>
      </w:r>
      <w:r w:rsidRPr="00491272">
        <w:rPr>
          <w:rFonts w:ascii="Century Schoolbook" w:eastAsia="Times New Roman" w:hAnsi="Century Schoolbook" w:cs="Times New Roman"/>
          <w:sz w:val="26"/>
          <w:szCs w:val="26"/>
        </w:rPr>
        <w:t xml:space="preserve">research), </w:t>
      </w:r>
      <w:r w:rsidRPr="00491272">
        <w:rPr>
          <w:rFonts w:ascii="Century Schoolbook" w:eastAsia="Times New Roman" w:hAnsi="Century Schoolbook" w:cs="Times New Roman"/>
          <w:sz w:val="26"/>
          <w:szCs w:val="26"/>
        </w:rPr>
        <w:t>did “not oppose</w:t>
      </w:r>
      <w:r w:rsidR="000A1473">
        <w:rPr>
          <w:rFonts w:ascii="Century Schoolbook" w:eastAsia="Times New Roman" w:hAnsi="Century Schoolbook" w:cs="Times New Roman"/>
          <w:sz w:val="26"/>
          <w:szCs w:val="26"/>
        </w:rPr>
        <w:t>” defendant’s</w:t>
      </w:r>
      <w:r w:rsidR="00EB1655">
        <w:rPr>
          <w:rFonts w:ascii="Century Schoolbook" w:eastAsia="Times New Roman" w:hAnsi="Century Schoolbook" w:cs="Times New Roman"/>
          <w:sz w:val="26"/>
          <w:szCs w:val="26"/>
        </w:rPr>
        <w:t xml:space="preserve"> petition</w:t>
      </w:r>
      <w:r w:rsidRPr="00491272">
        <w:rPr>
          <w:rFonts w:ascii="Century Schoolbook" w:eastAsia="Times New Roman" w:hAnsi="Century Schoolbook" w:cs="Times New Roman"/>
          <w:sz w:val="26"/>
          <w:szCs w:val="26"/>
        </w:rPr>
        <w:t xml:space="preserve">.  </w:t>
      </w:r>
      <w:r w:rsidR="006D42E0">
        <w:rPr>
          <w:rFonts w:ascii="Century Schoolbook" w:eastAsia="Times New Roman" w:hAnsi="Century Schoolbook" w:cs="Times New Roman"/>
          <w:sz w:val="26"/>
          <w:szCs w:val="26"/>
        </w:rPr>
        <w:t>However, t</w:t>
      </w:r>
      <w:r w:rsidRPr="00491272">
        <w:rPr>
          <w:rFonts w:ascii="Century Schoolbook" w:eastAsia="Times New Roman" w:hAnsi="Century Schoolbook" w:cs="Times New Roman"/>
          <w:sz w:val="26"/>
          <w:szCs w:val="26"/>
        </w:rPr>
        <w:t xml:space="preserve">he People did not </w:t>
      </w:r>
      <w:r w:rsidR="006D42E0">
        <w:rPr>
          <w:rFonts w:ascii="Century Schoolbook" w:eastAsia="Times New Roman" w:hAnsi="Century Schoolbook" w:cs="Times New Roman"/>
          <w:sz w:val="26"/>
          <w:szCs w:val="26"/>
        </w:rPr>
        <w:t>withdraw their</w:t>
      </w:r>
      <w:r w:rsidRPr="00491272">
        <w:rPr>
          <w:rFonts w:ascii="Century Schoolbook" w:eastAsia="Times New Roman" w:hAnsi="Century Schoolbook" w:cs="Times New Roman"/>
          <w:sz w:val="26"/>
          <w:szCs w:val="26"/>
        </w:rPr>
        <w:t xml:space="preserve"> earlier position that </w:t>
      </w:r>
      <w:r w:rsidR="006D42E0">
        <w:rPr>
          <w:rFonts w:ascii="Century Schoolbook" w:eastAsia="Times New Roman" w:hAnsi="Century Schoolbook" w:cs="Times New Roman"/>
          <w:sz w:val="26"/>
          <w:szCs w:val="26"/>
        </w:rPr>
        <w:t>they</w:t>
      </w:r>
      <w:r w:rsidR="0068241A">
        <w:rPr>
          <w:rFonts w:ascii="Century Schoolbook" w:eastAsia="Times New Roman" w:hAnsi="Century Schoolbook" w:cs="Times New Roman"/>
          <w:sz w:val="26"/>
          <w:szCs w:val="26"/>
        </w:rPr>
        <w:t xml:space="preserve"> have </w:t>
      </w:r>
      <w:r w:rsidRPr="00491272">
        <w:rPr>
          <w:rFonts w:ascii="Century Schoolbook" w:eastAsia="Times New Roman" w:hAnsi="Century Schoolbook" w:cs="Times New Roman"/>
          <w:sz w:val="26"/>
          <w:szCs w:val="26"/>
        </w:rPr>
        <w:t>evidence to present to the grand jury regarding the newly added elements of the gang enhancement</w:t>
      </w:r>
      <w:r w:rsidR="000A1473">
        <w:rPr>
          <w:rFonts w:ascii="Century Schoolbook" w:eastAsia="Times New Roman" w:hAnsi="Century Schoolbook" w:cs="Times New Roman"/>
          <w:sz w:val="26"/>
          <w:szCs w:val="26"/>
        </w:rPr>
        <w:t xml:space="preserve"> statute</w:t>
      </w:r>
      <w:r w:rsidRPr="00491272">
        <w:rPr>
          <w:rFonts w:ascii="Century Schoolbook" w:eastAsia="Times New Roman" w:hAnsi="Century Schoolbook" w:cs="Times New Roman"/>
          <w:sz w:val="26"/>
          <w:szCs w:val="26"/>
        </w:rPr>
        <w:t xml:space="preserve">.  We reject the People’s concession </w:t>
      </w:r>
      <w:r w:rsidRPr="00491272">
        <w:rPr>
          <w:rFonts w:ascii="Century Schoolbook" w:eastAsia="Times New Roman" w:hAnsi="Century Schoolbook" w:cs="Times New Roman"/>
          <w:sz w:val="26"/>
          <w:szCs w:val="26"/>
        </w:rPr>
        <w:t xml:space="preserve">to the </w:t>
      </w:r>
      <w:r w:rsidR="0068241A">
        <w:rPr>
          <w:rFonts w:ascii="Century Schoolbook" w:eastAsia="Times New Roman" w:hAnsi="Century Schoolbook" w:cs="Times New Roman"/>
          <w:sz w:val="26"/>
          <w:szCs w:val="26"/>
        </w:rPr>
        <w:t xml:space="preserve">legal merit </w:t>
      </w:r>
      <w:r w:rsidRPr="00491272">
        <w:rPr>
          <w:rFonts w:ascii="Century Schoolbook" w:eastAsia="Times New Roman" w:hAnsi="Century Schoolbook" w:cs="Times New Roman"/>
          <w:sz w:val="26"/>
          <w:szCs w:val="26"/>
        </w:rPr>
        <w:t xml:space="preserve">of the writ </w:t>
      </w:r>
      <w:r w:rsidR="006D42E0">
        <w:rPr>
          <w:rFonts w:ascii="Century Schoolbook" w:eastAsia="Times New Roman" w:hAnsi="Century Schoolbook" w:cs="Times New Roman"/>
          <w:sz w:val="26"/>
          <w:szCs w:val="26"/>
        </w:rPr>
        <w:t xml:space="preserve">petition </w:t>
      </w:r>
      <w:r w:rsidRPr="00491272">
        <w:rPr>
          <w:rFonts w:ascii="Century Schoolbook" w:eastAsia="Times New Roman" w:hAnsi="Century Schoolbook" w:cs="Times New Roman"/>
          <w:sz w:val="26"/>
          <w:szCs w:val="26"/>
        </w:rPr>
        <w:t xml:space="preserve">because </w:t>
      </w:r>
      <w:r w:rsidR="00F9507D">
        <w:rPr>
          <w:rFonts w:ascii="Century Schoolbook" w:eastAsia="Times New Roman" w:hAnsi="Century Schoolbook" w:cs="Times New Roman"/>
          <w:sz w:val="26"/>
          <w:szCs w:val="26"/>
        </w:rPr>
        <w:t>that concession</w:t>
      </w:r>
      <w:r w:rsidR="00F9507D" w:rsidRPr="00491272">
        <w:rPr>
          <w:rFonts w:ascii="Century Schoolbook" w:eastAsia="Times New Roman" w:hAnsi="Century Schoolbook" w:cs="Times New Roman"/>
          <w:sz w:val="26"/>
          <w:szCs w:val="26"/>
        </w:rPr>
        <w:t xml:space="preserve"> </w:t>
      </w:r>
      <w:r w:rsidRPr="00491272">
        <w:rPr>
          <w:rFonts w:ascii="Century Schoolbook" w:eastAsia="Times New Roman" w:hAnsi="Century Schoolbook" w:cs="Times New Roman"/>
          <w:sz w:val="26"/>
          <w:szCs w:val="26"/>
        </w:rPr>
        <w:t>is wrong—as we explain below.</w:t>
      </w:r>
      <w:r>
        <w:rPr>
          <w:rFonts w:ascii="Century Schoolbook" w:eastAsia="Times New Roman" w:hAnsi="Century Schoolbook" w:cs="Times New Roman"/>
          <w:b/>
          <w:bCs/>
          <w:sz w:val="26"/>
          <w:szCs w:val="26"/>
          <w:vertAlign w:val="superscript"/>
        </w:rPr>
        <w:footnoteReference w:id="3"/>
      </w:r>
    </w:p>
    <w:p w14:paraId="2BF6721C" w14:textId="77777777" w:rsidR="00491272" w:rsidRPr="00491272" w:rsidRDefault="00267C6F" w:rsidP="00491272">
      <w:pPr>
        <w:spacing w:after="0" w:line="288" w:lineRule="auto"/>
        <w:jc w:val="center"/>
        <w:rPr>
          <w:rFonts w:ascii="Century Schoolbook" w:eastAsia="Times New Roman" w:hAnsi="Century Schoolbook" w:cs="Times New Roman"/>
          <w:b/>
          <w:bCs/>
          <w:sz w:val="26"/>
          <w:szCs w:val="26"/>
        </w:rPr>
      </w:pPr>
      <w:r w:rsidRPr="00491272">
        <w:rPr>
          <w:rFonts w:ascii="Century Schoolbook" w:eastAsia="Times New Roman" w:hAnsi="Century Schoolbook" w:cs="Times New Roman"/>
          <w:b/>
          <w:bCs/>
          <w:sz w:val="26"/>
          <w:szCs w:val="26"/>
        </w:rPr>
        <w:t>DISCUSSION</w:t>
      </w:r>
    </w:p>
    <w:p w14:paraId="288454BF" w14:textId="5CC91E82" w:rsidR="00491272" w:rsidRPr="00491272" w:rsidRDefault="00267C6F" w:rsidP="00491272">
      <w:pPr>
        <w:spacing w:after="0" w:line="288" w:lineRule="auto"/>
        <w:rPr>
          <w:rFonts w:ascii="Century Schoolbook" w:eastAsia="Times New Roman" w:hAnsi="Century Schoolbook" w:cs="Times New Roman"/>
          <w:sz w:val="26"/>
          <w:szCs w:val="26"/>
        </w:rPr>
      </w:pPr>
      <w:r w:rsidRPr="00491272">
        <w:rPr>
          <w:rFonts w:ascii="Century Schoolbook" w:eastAsia="Times New Roman" w:hAnsi="Century Schoolbook" w:cs="Times New Roman"/>
          <w:sz w:val="26"/>
          <w:szCs w:val="26"/>
        </w:rPr>
        <w:tab/>
        <w:t xml:space="preserve">This writ </w:t>
      </w:r>
      <w:r w:rsidR="006D42E0">
        <w:rPr>
          <w:rFonts w:ascii="Century Schoolbook" w:eastAsia="Times New Roman" w:hAnsi="Century Schoolbook" w:cs="Times New Roman"/>
          <w:sz w:val="26"/>
          <w:szCs w:val="26"/>
        </w:rPr>
        <w:t xml:space="preserve">petition </w:t>
      </w:r>
      <w:r w:rsidRPr="00491272">
        <w:rPr>
          <w:rFonts w:ascii="Century Schoolbook" w:eastAsia="Times New Roman" w:hAnsi="Century Schoolbook" w:cs="Times New Roman"/>
          <w:sz w:val="26"/>
          <w:szCs w:val="26"/>
        </w:rPr>
        <w:t xml:space="preserve">presents the following question:  Does a trial court have the authority, in response to a motion to dismiss a crime or enhancement from an indictment due to a lack of evidence supporting newly enacted elements </w:t>
      </w:r>
      <w:r w:rsidR="006D42E0">
        <w:rPr>
          <w:rFonts w:ascii="Century Schoolbook" w:eastAsia="Times New Roman" w:hAnsi="Century Schoolbook" w:cs="Times New Roman"/>
          <w:sz w:val="26"/>
          <w:szCs w:val="26"/>
        </w:rPr>
        <w:t xml:space="preserve">applicable </w:t>
      </w:r>
      <w:r w:rsidRPr="00491272">
        <w:rPr>
          <w:rFonts w:ascii="Century Schoolbook" w:eastAsia="Times New Roman" w:hAnsi="Century Schoolbook" w:cs="Times New Roman"/>
          <w:sz w:val="26"/>
          <w:szCs w:val="26"/>
        </w:rPr>
        <w:t xml:space="preserve">to that crime or enhancement, to </w:t>
      </w:r>
      <w:r w:rsidR="000A1473">
        <w:rPr>
          <w:rFonts w:ascii="Century Schoolbook" w:eastAsia="Times New Roman" w:hAnsi="Century Schoolbook" w:cs="Times New Roman"/>
          <w:sz w:val="26"/>
          <w:szCs w:val="26"/>
        </w:rPr>
        <w:t>resubmit the crime or enhancement to</w:t>
      </w:r>
      <w:r w:rsidR="000A1473" w:rsidRPr="00491272">
        <w:rPr>
          <w:rFonts w:ascii="Century Schoolbook" w:eastAsia="Times New Roman" w:hAnsi="Century Schoolbook" w:cs="Times New Roman"/>
          <w:sz w:val="26"/>
          <w:szCs w:val="26"/>
        </w:rPr>
        <w:t xml:space="preserve"> </w:t>
      </w:r>
      <w:r w:rsidRPr="00491272">
        <w:rPr>
          <w:rFonts w:ascii="Century Schoolbook" w:eastAsia="Times New Roman" w:hAnsi="Century Schoolbook" w:cs="Times New Roman"/>
          <w:sz w:val="26"/>
          <w:szCs w:val="26"/>
        </w:rPr>
        <w:t xml:space="preserve">the grand jury to permit the People to present evidence relevant to those new elements?  </w:t>
      </w:r>
    </w:p>
    <w:p w14:paraId="77B3DC2E" w14:textId="2EF226FD" w:rsidR="00491272" w:rsidRDefault="00267C6F" w:rsidP="00491272">
      <w:pPr>
        <w:spacing w:after="0" w:line="288" w:lineRule="auto"/>
        <w:rPr>
          <w:rFonts w:ascii="Century Schoolbook" w:eastAsia="Times New Roman" w:hAnsi="Century Schoolbook" w:cs="Times New Roman"/>
          <w:sz w:val="26"/>
          <w:szCs w:val="26"/>
        </w:rPr>
      </w:pPr>
      <w:r w:rsidRPr="00491272">
        <w:rPr>
          <w:rFonts w:ascii="Century Schoolbook" w:eastAsia="Times New Roman" w:hAnsi="Century Schoolbook" w:cs="Times New Roman"/>
          <w:sz w:val="26"/>
          <w:szCs w:val="26"/>
        </w:rPr>
        <w:tab/>
        <w:t>This presents a question of the existence of a trial court’s authority, which is a question of law that we review de novo.  (</w:t>
      </w:r>
      <w:r w:rsidRPr="00491272">
        <w:rPr>
          <w:rFonts w:ascii="Century Schoolbook" w:eastAsia="Times New Roman" w:hAnsi="Century Schoolbook" w:cs="Times New Roman"/>
          <w:i/>
          <w:iCs/>
          <w:sz w:val="26"/>
          <w:szCs w:val="26"/>
        </w:rPr>
        <w:t xml:space="preserve">People v. Lujan </w:t>
      </w:r>
      <w:r w:rsidRPr="00491272">
        <w:rPr>
          <w:rFonts w:ascii="Century Schoolbook" w:eastAsia="Times New Roman" w:hAnsi="Century Schoolbook" w:cs="Times New Roman"/>
          <w:sz w:val="26"/>
          <w:szCs w:val="26"/>
        </w:rPr>
        <w:t>(2012) 211 Cal.App.4th 1499, 1507</w:t>
      </w:r>
      <w:r w:rsidR="0023042C">
        <w:rPr>
          <w:rFonts w:ascii="Century Schoolbook" w:eastAsia="Times New Roman" w:hAnsi="Century Schoolbook" w:cs="Times New Roman"/>
          <w:sz w:val="26"/>
          <w:szCs w:val="26"/>
        </w:rPr>
        <w:t xml:space="preserve"> (</w:t>
      </w:r>
      <w:r w:rsidR="0023042C">
        <w:rPr>
          <w:rFonts w:ascii="Century Schoolbook" w:eastAsia="Times New Roman" w:hAnsi="Century Schoolbook" w:cs="Times New Roman"/>
          <w:i/>
          <w:iCs/>
          <w:sz w:val="26"/>
          <w:szCs w:val="26"/>
        </w:rPr>
        <w:t>Lujan</w:t>
      </w:r>
      <w:r w:rsidR="0023042C">
        <w:rPr>
          <w:rFonts w:ascii="Century Schoolbook" w:eastAsia="Times New Roman" w:hAnsi="Century Schoolbook" w:cs="Times New Roman"/>
          <w:sz w:val="26"/>
          <w:szCs w:val="26"/>
        </w:rPr>
        <w:t>)</w:t>
      </w:r>
      <w:r w:rsidRPr="00491272">
        <w:rPr>
          <w:rFonts w:ascii="Century Schoolbook" w:eastAsia="Times New Roman" w:hAnsi="Century Schoolbook" w:cs="Times New Roman"/>
          <w:sz w:val="26"/>
          <w:szCs w:val="26"/>
        </w:rPr>
        <w:t xml:space="preserve"> [inherent authority]; </w:t>
      </w:r>
      <w:r w:rsidRPr="00491272">
        <w:rPr>
          <w:rFonts w:ascii="Century Schoolbook" w:eastAsia="Times New Roman" w:hAnsi="Century Schoolbook" w:cs="Times New Roman"/>
          <w:i/>
          <w:iCs/>
          <w:sz w:val="26"/>
          <w:szCs w:val="26"/>
        </w:rPr>
        <w:t xml:space="preserve">Cheng v. Coastal L.B. Associates, LLC </w:t>
      </w:r>
      <w:r w:rsidRPr="00491272">
        <w:rPr>
          <w:rFonts w:ascii="Century Schoolbook" w:eastAsia="Times New Roman" w:hAnsi="Century Schoolbook" w:cs="Times New Roman"/>
          <w:sz w:val="26"/>
          <w:szCs w:val="26"/>
        </w:rPr>
        <w:t>(2021) 69 Cal.App.5th 112, 119 [statutory authority].)</w:t>
      </w:r>
    </w:p>
    <w:p w14:paraId="613B4094" w14:textId="77777777" w:rsidR="00864124" w:rsidRDefault="00864124" w:rsidP="00491272">
      <w:pPr>
        <w:spacing w:after="0" w:line="288" w:lineRule="auto"/>
        <w:rPr>
          <w:rFonts w:ascii="Century Schoolbook" w:eastAsia="Times New Roman" w:hAnsi="Century Schoolbook" w:cs="Times New Roman"/>
          <w:sz w:val="26"/>
          <w:szCs w:val="26"/>
        </w:rPr>
      </w:pPr>
    </w:p>
    <w:p w14:paraId="01958100" w14:textId="77777777" w:rsidR="00864124" w:rsidRPr="00491272" w:rsidRDefault="00864124" w:rsidP="00491272">
      <w:pPr>
        <w:spacing w:after="0" w:line="288" w:lineRule="auto"/>
        <w:rPr>
          <w:rFonts w:ascii="Century Schoolbook" w:eastAsia="Times New Roman" w:hAnsi="Century Schoolbook" w:cs="Times New Roman"/>
          <w:sz w:val="26"/>
          <w:szCs w:val="26"/>
        </w:rPr>
      </w:pPr>
    </w:p>
    <w:p w14:paraId="4A12C4C6" w14:textId="77777777" w:rsidR="00491272" w:rsidRPr="00491272" w:rsidRDefault="00267C6F" w:rsidP="00491272">
      <w:pPr>
        <w:spacing w:after="0" w:line="288" w:lineRule="auto"/>
        <w:rPr>
          <w:rFonts w:ascii="Century Schoolbook" w:eastAsia="Times New Roman" w:hAnsi="Century Schoolbook" w:cs="Times New Roman"/>
          <w:b/>
          <w:bCs/>
          <w:sz w:val="26"/>
          <w:szCs w:val="26"/>
        </w:rPr>
      </w:pPr>
      <w:r w:rsidRPr="00491272">
        <w:rPr>
          <w:rFonts w:ascii="Century Schoolbook" w:eastAsia="Times New Roman" w:hAnsi="Century Schoolbook" w:cs="Times New Roman"/>
          <w:b/>
          <w:bCs/>
          <w:sz w:val="26"/>
          <w:szCs w:val="26"/>
        </w:rPr>
        <w:lastRenderedPageBreak/>
        <w:t>I.</w:t>
      </w:r>
      <w:r w:rsidRPr="00491272">
        <w:rPr>
          <w:rFonts w:ascii="Century Schoolbook" w:eastAsia="Times New Roman" w:hAnsi="Century Schoolbook" w:cs="Times New Roman"/>
          <w:b/>
          <w:bCs/>
          <w:sz w:val="26"/>
          <w:szCs w:val="26"/>
        </w:rPr>
        <w:tab/>
        <w:t>Background Law</w:t>
      </w:r>
    </w:p>
    <w:p w14:paraId="4D13C7B4" w14:textId="77777777" w:rsidR="00491272" w:rsidRPr="00491272" w:rsidRDefault="00267C6F" w:rsidP="00491272">
      <w:pPr>
        <w:spacing w:after="0" w:line="288" w:lineRule="auto"/>
        <w:rPr>
          <w:rFonts w:ascii="Century Schoolbook" w:eastAsia="Times New Roman" w:hAnsi="Century Schoolbook" w:cs="Times New Roman"/>
          <w:b/>
          <w:bCs/>
          <w:i/>
          <w:iCs/>
          <w:sz w:val="26"/>
          <w:szCs w:val="26"/>
        </w:rPr>
      </w:pPr>
      <w:r w:rsidRPr="00491272">
        <w:rPr>
          <w:rFonts w:ascii="Century Schoolbook" w:eastAsia="Times New Roman" w:hAnsi="Century Schoolbook" w:cs="Times New Roman"/>
          <w:b/>
          <w:bCs/>
          <w:sz w:val="26"/>
          <w:szCs w:val="26"/>
        </w:rPr>
        <w:tab/>
        <w:t>A.</w:t>
      </w:r>
      <w:r w:rsidRPr="00491272">
        <w:rPr>
          <w:rFonts w:ascii="Century Schoolbook" w:eastAsia="Times New Roman" w:hAnsi="Century Schoolbook" w:cs="Times New Roman"/>
          <w:b/>
          <w:bCs/>
          <w:sz w:val="26"/>
          <w:szCs w:val="26"/>
        </w:rPr>
        <w:tab/>
      </w:r>
      <w:r w:rsidRPr="00491272">
        <w:rPr>
          <w:rFonts w:ascii="Century Schoolbook" w:eastAsia="Times New Roman" w:hAnsi="Century Schoolbook" w:cs="Times New Roman"/>
          <w:b/>
          <w:bCs/>
          <w:i/>
          <w:iCs/>
          <w:sz w:val="26"/>
          <w:szCs w:val="26"/>
        </w:rPr>
        <w:t xml:space="preserve">Charging crimes, and the ways a defendant may </w:t>
      </w:r>
      <w:r w:rsidRPr="00491272">
        <w:rPr>
          <w:rFonts w:ascii="Century Schoolbook" w:eastAsia="Times New Roman" w:hAnsi="Century Schoolbook" w:cs="Times New Roman"/>
          <w:b/>
          <w:bCs/>
          <w:i/>
          <w:iCs/>
          <w:sz w:val="26"/>
          <w:szCs w:val="26"/>
        </w:rPr>
        <w:t>challenge those charges</w:t>
      </w:r>
    </w:p>
    <w:p w14:paraId="0AE13430" w14:textId="77777777" w:rsidR="00491272" w:rsidRPr="00491272" w:rsidRDefault="00267C6F" w:rsidP="00491272">
      <w:pPr>
        <w:spacing w:after="0" w:line="288" w:lineRule="auto"/>
        <w:rPr>
          <w:rFonts w:ascii="Century Schoolbook" w:eastAsia="Times New Roman" w:hAnsi="Century Schoolbook" w:cs="Times New Roman"/>
          <w:i/>
          <w:iCs/>
          <w:sz w:val="26"/>
          <w:szCs w:val="26"/>
        </w:rPr>
      </w:pPr>
      <w:r w:rsidRPr="00491272">
        <w:rPr>
          <w:rFonts w:ascii="Century Schoolbook" w:eastAsia="Times New Roman" w:hAnsi="Century Schoolbook" w:cs="Times New Roman"/>
          <w:sz w:val="26"/>
          <w:szCs w:val="26"/>
        </w:rPr>
        <w:tab/>
      </w:r>
      <w:r w:rsidRPr="00491272">
        <w:rPr>
          <w:rFonts w:ascii="Century Schoolbook" w:eastAsia="Times New Roman" w:hAnsi="Century Schoolbook" w:cs="Times New Roman"/>
          <w:sz w:val="26"/>
          <w:szCs w:val="26"/>
        </w:rPr>
        <w:tab/>
        <w:t>1.</w:t>
      </w:r>
      <w:r w:rsidRPr="00491272">
        <w:rPr>
          <w:rFonts w:ascii="Century Schoolbook" w:eastAsia="Times New Roman" w:hAnsi="Century Schoolbook" w:cs="Times New Roman"/>
          <w:sz w:val="26"/>
          <w:szCs w:val="26"/>
        </w:rPr>
        <w:tab/>
      </w:r>
      <w:r w:rsidRPr="00491272">
        <w:rPr>
          <w:rFonts w:ascii="Century Schoolbook" w:eastAsia="Times New Roman" w:hAnsi="Century Schoolbook" w:cs="Times New Roman"/>
          <w:i/>
          <w:iCs/>
          <w:sz w:val="26"/>
          <w:szCs w:val="26"/>
        </w:rPr>
        <w:t>Mechanisms for charging crimes</w:t>
      </w:r>
    </w:p>
    <w:p w14:paraId="7C9BC936" w14:textId="78EFFF97" w:rsidR="00491272" w:rsidRPr="00491272" w:rsidRDefault="00267C6F" w:rsidP="00491272">
      <w:pPr>
        <w:spacing w:after="0" w:line="288" w:lineRule="auto"/>
        <w:rPr>
          <w:rFonts w:ascii="Century Schoolbook" w:eastAsia="Times New Roman" w:hAnsi="Century Schoolbook" w:cs="Times New Roman"/>
          <w:sz w:val="26"/>
          <w:szCs w:val="26"/>
        </w:rPr>
      </w:pPr>
      <w:r w:rsidRPr="00491272">
        <w:rPr>
          <w:rFonts w:ascii="Century Schoolbook" w:eastAsia="Times New Roman" w:hAnsi="Century Schoolbook" w:cs="Times New Roman"/>
          <w:sz w:val="26"/>
          <w:szCs w:val="26"/>
        </w:rPr>
        <w:tab/>
        <w:t xml:space="preserve">In California, a person charged with a </w:t>
      </w:r>
      <w:proofErr w:type="gramStart"/>
      <w:r w:rsidRPr="00491272">
        <w:rPr>
          <w:rFonts w:ascii="Century Schoolbook" w:eastAsia="Times New Roman" w:hAnsi="Century Schoolbook" w:cs="Times New Roman"/>
          <w:sz w:val="26"/>
          <w:szCs w:val="26"/>
        </w:rPr>
        <w:t>crime</w:t>
      </w:r>
      <w:proofErr w:type="gramEnd"/>
      <w:r w:rsidRPr="00491272">
        <w:rPr>
          <w:rFonts w:ascii="Century Schoolbook" w:eastAsia="Times New Roman" w:hAnsi="Century Schoolbook" w:cs="Times New Roman"/>
          <w:sz w:val="26"/>
          <w:szCs w:val="26"/>
        </w:rPr>
        <w:t xml:space="preserve"> or an enhancement has the right to a preliminary determination of whether there is sufficient evidence—that is, probable or reasonable cause to believ</w:t>
      </w:r>
      <w:r w:rsidRPr="00491272">
        <w:rPr>
          <w:rFonts w:ascii="Century Schoolbook" w:eastAsia="Times New Roman" w:hAnsi="Century Schoolbook" w:cs="Times New Roman"/>
          <w:sz w:val="26"/>
          <w:szCs w:val="26"/>
        </w:rPr>
        <w:t xml:space="preserve">e that they committed that crime or enhancement—to </w:t>
      </w:r>
      <w:r w:rsidR="00F9507D">
        <w:rPr>
          <w:rFonts w:ascii="Century Schoolbook" w:eastAsia="Times New Roman" w:hAnsi="Century Schoolbook" w:cs="Times New Roman"/>
          <w:sz w:val="26"/>
          <w:szCs w:val="26"/>
        </w:rPr>
        <w:t>prosecute those charges through trial</w:t>
      </w:r>
      <w:r w:rsidRPr="00491272">
        <w:rPr>
          <w:rFonts w:ascii="Century Schoolbook" w:eastAsia="Times New Roman" w:hAnsi="Century Schoolbook" w:cs="Times New Roman"/>
          <w:sz w:val="26"/>
          <w:szCs w:val="26"/>
        </w:rPr>
        <w:t xml:space="preserve">.  (Cal. Const., art. I, § 14; </w:t>
      </w:r>
      <w:proofErr w:type="spellStart"/>
      <w:r w:rsidRPr="00491272">
        <w:rPr>
          <w:rFonts w:ascii="Century Schoolbook" w:eastAsia="Times New Roman" w:hAnsi="Century Schoolbook" w:cs="Times New Roman"/>
          <w:i/>
          <w:iCs/>
          <w:sz w:val="26"/>
          <w:szCs w:val="26"/>
        </w:rPr>
        <w:t>Cummisk</w:t>
      </w:r>
      <w:r w:rsidR="00675082">
        <w:rPr>
          <w:rFonts w:ascii="Century Schoolbook" w:eastAsia="Times New Roman" w:hAnsi="Century Schoolbook" w:cs="Times New Roman"/>
          <w:i/>
          <w:iCs/>
          <w:sz w:val="26"/>
          <w:szCs w:val="26"/>
        </w:rPr>
        <w:t>e</w:t>
      </w:r>
      <w:r w:rsidRPr="00491272">
        <w:rPr>
          <w:rFonts w:ascii="Century Schoolbook" w:eastAsia="Times New Roman" w:hAnsi="Century Schoolbook" w:cs="Times New Roman"/>
          <w:i/>
          <w:iCs/>
          <w:sz w:val="26"/>
          <w:szCs w:val="26"/>
        </w:rPr>
        <w:t>y</w:t>
      </w:r>
      <w:proofErr w:type="spellEnd"/>
      <w:r w:rsidRPr="00491272">
        <w:rPr>
          <w:rFonts w:ascii="Century Schoolbook" w:eastAsia="Times New Roman" w:hAnsi="Century Schoolbook" w:cs="Times New Roman"/>
          <w:i/>
          <w:iCs/>
          <w:sz w:val="26"/>
          <w:szCs w:val="26"/>
        </w:rPr>
        <w:t xml:space="preserve"> v. Superior Court </w:t>
      </w:r>
      <w:r w:rsidRPr="00491272">
        <w:rPr>
          <w:rFonts w:ascii="Century Schoolbook" w:eastAsia="Times New Roman" w:hAnsi="Century Schoolbook" w:cs="Times New Roman"/>
          <w:sz w:val="26"/>
          <w:szCs w:val="26"/>
        </w:rPr>
        <w:t xml:space="preserve">(1992) 3 Cal.4th 1018, </w:t>
      </w:r>
      <w:r w:rsidR="000A1473">
        <w:rPr>
          <w:rFonts w:ascii="Century Schoolbook" w:eastAsia="Times New Roman" w:hAnsi="Century Schoolbook" w:cs="Times New Roman"/>
          <w:sz w:val="26"/>
          <w:szCs w:val="26"/>
        </w:rPr>
        <w:t>1025-</w:t>
      </w:r>
      <w:r w:rsidRPr="00491272">
        <w:rPr>
          <w:rFonts w:ascii="Century Schoolbook" w:eastAsia="Times New Roman" w:hAnsi="Century Schoolbook" w:cs="Times New Roman"/>
          <w:sz w:val="26"/>
          <w:szCs w:val="26"/>
        </w:rPr>
        <w:t xml:space="preserve">1026.)  Our state Constitution provides two different </w:t>
      </w:r>
      <w:r w:rsidR="000D27DD">
        <w:rPr>
          <w:rFonts w:ascii="Century Schoolbook" w:eastAsia="Times New Roman" w:hAnsi="Century Schoolbook" w:cs="Times New Roman"/>
          <w:sz w:val="26"/>
          <w:szCs w:val="26"/>
        </w:rPr>
        <w:t>avenues</w:t>
      </w:r>
      <w:r w:rsidRPr="00491272">
        <w:rPr>
          <w:rFonts w:ascii="Century Schoolbook" w:eastAsia="Times New Roman" w:hAnsi="Century Schoolbook" w:cs="Times New Roman"/>
          <w:sz w:val="26"/>
          <w:szCs w:val="26"/>
        </w:rPr>
        <w:t xml:space="preserve"> for this evaluation</w:t>
      </w:r>
      <w:proofErr w:type="gramStart"/>
      <w:r w:rsidRPr="00491272">
        <w:rPr>
          <w:rFonts w:ascii="Century Schoolbook" w:eastAsia="Times New Roman" w:hAnsi="Century Schoolbook" w:cs="Times New Roman"/>
          <w:sz w:val="26"/>
          <w:szCs w:val="26"/>
        </w:rPr>
        <w:t>:  (</w:t>
      </w:r>
      <w:proofErr w:type="gramEnd"/>
      <w:r w:rsidRPr="00491272">
        <w:rPr>
          <w:rFonts w:ascii="Century Schoolbook" w:eastAsia="Times New Roman" w:hAnsi="Century Schoolbook" w:cs="Times New Roman"/>
          <w:sz w:val="26"/>
          <w:szCs w:val="26"/>
        </w:rPr>
        <w:t>1) indictment after evaluation of the evidence by a grand jury</w:t>
      </w:r>
      <w:r w:rsidR="00207692">
        <w:rPr>
          <w:rFonts w:ascii="Century Schoolbook" w:eastAsia="Times New Roman" w:hAnsi="Century Schoolbook" w:cs="Times New Roman"/>
          <w:sz w:val="26"/>
          <w:szCs w:val="26"/>
        </w:rPr>
        <w:t>;</w:t>
      </w:r>
      <w:r w:rsidRPr="00491272">
        <w:rPr>
          <w:rFonts w:ascii="Century Schoolbook" w:eastAsia="Times New Roman" w:hAnsi="Century Schoolbook" w:cs="Times New Roman"/>
          <w:sz w:val="26"/>
          <w:szCs w:val="26"/>
        </w:rPr>
        <w:t xml:space="preserve"> or (2) the filing of an information after evaluation of the evidence by a “magistrate” at a hearing called a “preliminary examination” (or, more informally, a prelimina</w:t>
      </w:r>
      <w:r w:rsidRPr="00491272">
        <w:rPr>
          <w:rFonts w:ascii="Century Schoolbook" w:eastAsia="Times New Roman" w:hAnsi="Century Schoolbook" w:cs="Times New Roman"/>
          <w:sz w:val="26"/>
          <w:szCs w:val="26"/>
        </w:rPr>
        <w:t xml:space="preserve">ry hearing).  (Cal. Const., art. I, § 14; </w:t>
      </w:r>
      <w:r w:rsidR="00153F68">
        <w:rPr>
          <w:rFonts w:ascii="Century Schoolbook" w:eastAsia="Times New Roman" w:hAnsi="Century Schoolbook" w:cs="Times New Roman"/>
          <w:sz w:val="26"/>
          <w:szCs w:val="26"/>
        </w:rPr>
        <w:t xml:space="preserve">Pen. Code, </w:t>
      </w:r>
      <w:r w:rsidRPr="00491272">
        <w:rPr>
          <w:rFonts w:ascii="Century Schoolbook" w:eastAsia="Times New Roman" w:hAnsi="Century Schoolbook" w:cs="Times New Roman"/>
          <w:sz w:val="26"/>
          <w:szCs w:val="26"/>
        </w:rPr>
        <w:t>§ 737.)</w:t>
      </w:r>
    </w:p>
    <w:p w14:paraId="7F830A29" w14:textId="26C3B7BF" w:rsidR="00491272" w:rsidRPr="00491272" w:rsidRDefault="00267C6F" w:rsidP="00491272">
      <w:pPr>
        <w:spacing w:after="0" w:line="288" w:lineRule="auto"/>
        <w:rPr>
          <w:rFonts w:ascii="Century Schoolbook" w:eastAsia="Times New Roman" w:hAnsi="Century Schoolbook" w:cs="Times New Roman"/>
          <w:sz w:val="26"/>
          <w:szCs w:val="26"/>
        </w:rPr>
      </w:pPr>
      <w:r w:rsidRPr="00491272">
        <w:rPr>
          <w:rFonts w:ascii="Century Schoolbook" w:eastAsia="Times New Roman" w:hAnsi="Century Schoolbook" w:cs="Times New Roman"/>
          <w:sz w:val="26"/>
          <w:szCs w:val="26"/>
        </w:rPr>
        <w:tab/>
        <w:t>A grand jury is a pool of persons drawn from the community at large who “</w:t>
      </w:r>
      <w:proofErr w:type="gramStart"/>
      <w:r w:rsidRPr="00491272">
        <w:rPr>
          <w:rFonts w:ascii="Century Schoolbook" w:eastAsia="Times New Roman" w:hAnsi="Century Schoolbook" w:cs="Times New Roman"/>
          <w:sz w:val="26"/>
          <w:szCs w:val="26"/>
        </w:rPr>
        <w:t>weigh[</w:t>
      </w:r>
      <w:proofErr w:type="gramEnd"/>
      <w:r w:rsidRPr="00491272">
        <w:rPr>
          <w:rFonts w:ascii="Century Schoolbook" w:eastAsia="Times New Roman" w:hAnsi="Century Schoolbook" w:cs="Times New Roman"/>
          <w:sz w:val="26"/>
          <w:szCs w:val="26"/>
        </w:rPr>
        <w:t xml:space="preserve">] criminal charges.”  (§§ 888, 905; </w:t>
      </w:r>
      <w:r w:rsidRPr="00491272">
        <w:rPr>
          <w:rFonts w:ascii="Century Schoolbook" w:eastAsia="Times New Roman" w:hAnsi="Century Schoolbook" w:cs="Times New Roman"/>
          <w:i/>
          <w:iCs/>
          <w:sz w:val="26"/>
          <w:szCs w:val="26"/>
        </w:rPr>
        <w:t xml:space="preserve">People v. Garcia </w:t>
      </w:r>
      <w:r w:rsidRPr="00491272">
        <w:rPr>
          <w:rFonts w:ascii="Century Schoolbook" w:eastAsia="Times New Roman" w:hAnsi="Century Schoolbook" w:cs="Times New Roman"/>
          <w:sz w:val="26"/>
          <w:szCs w:val="26"/>
        </w:rPr>
        <w:t>(2011) 52 Cal.4th 706, 729 (</w:t>
      </w:r>
      <w:r w:rsidRPr="00491272">
        <w:rPr>
          <w:rFonts w:ascii="Century Schoolbook" w:eastAsia="Times New Roman" w:hAnsi="Century Schoolbook" w:cs="Times New Roman"/>
          <w:i/>
          <w:iCs/>
          <w:sz w:val="26"/>
          <w:szCs w:val="26"/>
        </w:rPr>
        <w:t>Garcia</w:t>
      </w:r>
      <w:r w:rsidR="001913ED">
        <w:rPr>
          <w:rFonts w:ascii="Century Schoolbook" w:eastAsia="Times New Roman" w:hAnsi="Century Schoolbook" w:cs="Times New Roman"/>
          <w:i/>
          <w:iCs/>
          <w:sz w:val="26"/>
          <w:szCs w:val="26"/>
        </w:rPr>
        <w:t xml:space="preserve"> </w:t>
      </w:r>
      <w:r w:rsidR="00922587">
        <w:rPr>
          <w:rFonts w:ascii="Century Schoolbook" w:eastAsia="Times New Roman" w:hAnsi="Century Schoolbook" w:cs="Times New Roman"/>
          <w:i/>
          <w:iCs/>
          <w:sz w:val="26"/>
          <w:szCs w:val="26"/>
        </w:rPr>
        <w:t>I</w:t>
      </w:r>
      <w:r w:rsidRPr="00491272">
        <w:rPr>
          <w:rFonts w:ascii="Century Schoolbook" w:eastAsia="Times New Roman" w:hAnsi="Century Schoolbook" w:cs="Times New Roman"/>
          <w:sz w:val="26"/>
          <w:szCs w:val="26"/>
        </w:rPr>
        <w:t>).)</w:t>
      </w:r>
      <w:r>
        <w:rPr>
          <w:rFonts w:ascii="Century Schoolbook" w:eastAsia="Times New Roman" w:hAnsi="Century Schoolbook" w:cs="Times New Roman"/>
          <w:b/>
          <w:bCs/>
          <w:sz w:val="26"/>
          <w:szCs w:val="26"/>
          <w:vertAlign w:val="superscript"/>
        </w:rPr>
        <w:footnoteReference w:id="4"/>
      </w:r>
      <w:r w:rsidRPr="00AE00C9">
        <w:rPr>
          <w:rFonts w:ascii="Century Schoolbook" w:eastAsia="Times New Roman" w:hAnsi="Century Schoolbook" w:cs="Times New Roman"/>
          <w:b/>
          <w:bCs/>
          <w:sz w:val="26"/>
          <w:szCs w:val="26"/>
        </w:rPr>
        <w:t xml:space="preserve"> </w:t>
      </w:r>
      <w:r w:rsidRPr="00491272">
        <w:rPr>
          <w:rFonts w:ascii="Century Schoolbook" w:eastAsia="Times New Roman" w:hAnsi="Century Schoolbook" w:cs="Times New Roman"/>
          <w:sz w:val="26"/>
          <w:szCs w:val="26"/>
        </w:rPr>
        <w:t xml:space="preserve"> A grand jury procee</w:t>
      </w:r>
      <w:r w:rsidRPr="00491272">
        <w:rPr>
          <w:rFonts w:ascii="Century Schoolbook" w:eastAsia="Times New Roman" w:hAnsi="Century Schoolbook" w:cs="Times New Roman"/>
          <w:sz w:val="26"/>
          <w:szCs w:val="26"/>
        </w:rPr>
        <w:t xml:space="preserve">ding is </w:t>
      </w:r>
      <w:r w:rsidR="00F07E8E">
        <w:rPr>
          <w:rFonts w:ascii="Century Schoolbook" w:eastAsia="Times New Roman" w:hAnsi="Century Schoolbook" w:cs="Times New Roman"/>
          <w:sz w:val="26"/>
          <w:szCs w:val="26"/>
        </w:rPr>
        <w:t xml:space="preserve">an </w:t>
      </w:r>
      <w:r w:rsidRPr="00AE00C9">
        <w:rPr>
          <w:rFonts w:ascii="Century Schoolbook" w:eastAsia="Times New Roman" w:hAnsi="Century Schoolbook" w:cs="Times New Roman"/>
          <w:sz w:val="26"/>
          <w:szCs w:val="26"/>
        </w:rPr>
        <w:t xml:space="preserve">ex </w:t>
      </w:r>
      <w:proofErr w:type="spellStart"/>
      <w:r w:rsidRPr="00AE00C9">
        <w:rPr>
          <w:rFonts w:ascii="Century Schoolbook" w:eastAsia="Times New Roman" w:hAnsi="Century Schoolbook" w:cs="Times New Roman"/>
          <w:sz w:val="26"/>
          <w:szCs w:val="26"/>
        </w:rPr>
        <w:t>parte</w:t>
      </w:r>
      <w:proofErr w:type="spellEnd"/>
      <w:r w:rsidRPr="00491272">
        <w:rPr>
          <w:rFonts w:ascii="Century Schoolbook" w:eastAsia="Times New Roman" w:hAnsi="Century Schoolbook" w:cs="Times New Roman"/>
          <w:sz w:val="26"/>
          <w:szCs w:val="26"/>
        </w:rPr>
        <w:t xml:space="preserve"> </w:t>
      </w:r>
      <w:r w:rsidR="000D27DD">
        <w:rPr>
          <w:rFonts w:ascii="Century Schoolbook" w:eastAsia="Times New Roman" w:hAnsi="Century Schoolbook" w:cs="Times New Roman"/>
          <w:sz w:val="26"/>
          <w:szCs w:val="26"/>
        </w:rPr>
        <w:t>pro</w:t>
      </w:r>
      <w:r w:rsidR="00675082">
        <w:rPr>
          <w:rFonts w:ascii="Century Schoolbook" w:eastAsia="Times New Roman" w:hAnsi="Century Schoolbook" w:cs="Times New Roman"/>
          <w:sz w:val="26"/>
          <w:szCs w:val="26"/>
        </w:rPr>
        <w:t>c</w:t>
      </w:r>
      <w:r w:rsidR="000D27DD">
        <w:rPr>
          <w:rFonts w:ascii="Century Schoolbook" w:eastAsia="Times New Roman" w:hAnsi="Century Schoolbook" w:cs="Times New Roman"/>
          <w:sz w:val="26"/>
          <w:szCs w:val="26"/>
        </w:rPr>
        <w:t>eeding</w:t>
      </w:r>
      <w:r w:rsidRPr="00491272">
        <w:rPr>
          <w:rFonts w:ascii="Century Schoolbook" w:eastAsia="Times New Roman" w:hAnsi="Century Schoolbook" w:cs="Times New Roman"/>
          <w:sz w:val="26"/>
          <w:szCs w:val="26"/>
        </w:rPr>
        <w:t xml:space="preserve"> in which the prosecutor—without the presence of a judge or </w:t>
      </w:r>
      <w:r w:rsidR="000A1473">
        <w:rPr>
          <w:rFonts w:ascii="Century Schoolbook" w:eastAsia="Times New Roman" w:hAnsi="Century Schoolbook" w:cs="Times New Roman"/>
          <w:sz w:val="26"/>
          <w:szCs w:val="26"/>
        </w:rPr>
        <w:t xml:space="preserve">the defendant (or </w:t>
      </w:r>
      <w:r w:rsidR="00EB7BD4">
        <w:rPr>
          <w:rFonts w:ascii="Century Schoolbook" w:eastAsia="Times New Roman" w:hAnsi="Century Schoolbook" w:cs="Times New Roman"/>
          <w:sz w:val="26"/>
          <w:szCs w:val="26"/>
        </w:rPr>
        <w:t>defense</w:t>
      </w:r>
      <w:r w:rsidR="000A1473">
        <w:rPr>
          <w:rFonts w:ascii="Century Schoolbook" w:eastAsia="Times New Roman" w:hAnsi="Century Schoolbook" w:cs="Times New Roman"/>
          <w:sz w:val="26"/>
          <w:szCs w:val="26"/>
        </w:rPr>
        <w:t xml:space="preserve"> counsel)</w:t>
      </w:r>
      <w:r w:rsidRPr="00491272">
        <w:rPr>
          <w:rFonts w:ascii="Century Schoolbook" w:eastAsia="Times New Roman" w:hAnsi="Century Schoolbook" w:cs="Times New Roman"/>
          <w:sz w:val="26"/>
          <w:szCs w:val="26"/>
        </w:rPr>
        <w:t xml:space="preserve">—presents evidence in support of </w:t>
      </w:r>
      <w:r w:rsidR="000D27DD">
        <w:rPr>
          <w:rFonts w:ascii="Century Schoolbook" w:eastAsia="Times New Roman" w:hAnsi="Century Schoolbook" w:cs="Times New Roman"/>
          <w:sz w:val="26"/>
          <w:szCs w:val="26"/>
        </w:rPr>
        <w:t>proposed</w:t>
      </w:r>
      <w:r w:rsidRPr="00491272">
        <w:rPr>
          <w:rFonts w:ascii="Century Schoolbook" w:eastAsia="Times New Roman" w:hAnsi="Century Schoolbook" w:cs="Times New Roman"/>
          <w:sz w:val="26"/>
          <w:szCs w:val="26"/>
        </w:rPr>
        <w:t xml:space="preserve"> </w:t>
      </w:r>
      <w:r w:rsidRPr="00491272">
        <w:rPr>
          <w:rFonts w:ascii="Century Schoolbook" w:eastAsia="Times New Roman" w:hAnsi="Century Schoolbook" w:cs="Times New Roman"/>
          <w:sz w:val="26"/>
          <w:szCs w:val="26"/>
        </w:rPr>
        <w:lastRenderedPageBreak/>
        <w:t xml:space="preserve">charges and enhancements and then instructs the jury on the pertinent law.  </w:t>
      </w:r>
      <w:r w:rsidR="000A1473">
        <w:rPr>
          <w:rFonts w:ascii="Century Schoolbook" w:eastAsia="Times New Roman" w:hAnsi="Century Schoolbook" w:cs="Times New Roman"/>
          <w:sz w:val="26"/>
          <w:szCs w:val="26"/>
        </w:rPr>
        <w:t xml:space="preserve">(§ 935.)  </w:t>
      </w:r>
      <w:r w:rsidRPr="00491272">
        <w:rPr>
          <w:rFonts w:ascii="Century Schoolbook" w:eastAsia="Times New Roman" w:hAnsi="Century Schoolbook" w:cs="Times New Roman"/>
          <w:sz w:val="26"/>
          <w:szCs w:val="26"/>
        </w:rPr>
        <w:t xml:space="preserve">If a specified number of the grand jurors “decide[s]” that sufficient evidence supports the </w:t>
      </w:r>
      <w:r w:rsidR="000D27DD">
        <w:rPr>
          <w:rFonts w:ascii="Century Schoolbook" w:eastAsia="Times New Roman" w:hAnsi="Century Schoolbook" w:cs="Times New Roman"/>
          <w:sz w:val="26"/>
          <w:szCs w:val="26"/>
        </w:rPr>
        <w:t>potential</w:t>
      </w:r>
      <w:r w:rsidRPr="00491272">
        <w:rPr>
          <w:rFonts w:ascii="Century Schoolbook" w:eastAsia="Times New Roman" w:hAnsi="Century Schoolbook" w:cs="Times New Roman"/>
          <w:sz w:val="26"/>
          <w:szCs w:val="26"/>
        </w:rPr>
        <w:t xml:space="preserve"> charges and enhancements, then the grand jury returns an indictment</w:t>
      </w:r>
      <w:r w:rsidR="000A1473">
        <w:rPr>
          <w:rFonts w:ascii="Century Schoolbook" w:eastAsia="Times New Roman" w:hAnsi="Century Schoolbook" w:cs="Times New Roman"/>
          <w:sz w:val="26"/>
          <w:szCs w:val="26"/>
        </w:rPr>
        <w:t xml:space="preserve"> which—once the prosecutor files it with the court</w:t>
      </w:r>
      <w:r w:rsidRPr="00491272">
        <w:rPr>
          <w:rFonts w:ascii="Century Schoolbook" w:eastAsia="Times New Roman" w:hAnsi="Century Schoolbook" w:cs="Times New Roman"/>
          <w:sz w:val="26"/>
          <w:szCs w:val="26"/>
        </w:rPr>
        <w:t>—</w:t>
      </w:r>
      <w:r w:rsidR="000A1473">
        <w:rPr>
          <w:rFonts w:ascii="Century Schoolbook" w:eastAsia="Times New Roman" w:hAnsi="Century Schoolbook" w:cs="Times New Roman"/>
          <w:sz w:val="26"/>
          <w:szCs w:val="26"/>
        </w:rPr>
        <w:t>b</w:t>
      </w:r>
      <w:r w:rsidRPr="00491272">
        <w:rPr>
          <w:rFonts w:ascii="Century Schoolbook" w:eastAsia="Times New Roman" w:hAnsi="Century Schoolbook" w:cs="Times New Roman"/>
          <w:sz w:val="26"/>
          <w:szCs w:val="26"/>
        </w:rPr>
        <w:t xml:space="preserve">ecomes the charging document on which the defendant goes to trial.  (§§ 888.2, </w:t>
      </w:r>
      <w:r w:rsidR="000A1473">
        <w:rPr>
          <w:rFonts w:ascii="Century Schoolbook" w:eastAsia="Times New Roman" w:hAnsi="Century Schoolbook" w:cs="Times New Roman"/>
          <w:sz w:val="26"/>
          <w:szCs w:val="26"/>
        </w:rPr>
        <w:t xml:space="preserve">669, </w:t>
      </w:r>
      <w:r w:rsidRPr="00491272">
        <w:rPr>
          <w:rFonts w:ascii="Century Schoolbook" w:eastAsia="Times New Roman" w:hAnsi="Century Schoolbook" w:cs="Times New Roman"/>
          <w:sz w:val="26"/>
          <w:szCs w:val="26"/>
        </w:rPr>
        <w:t>917, subd. (a), 938, 940</w:t>
      </w:r>
      <w:r w:rsidR="000D27DD">
        <w:rPr>
          <w:rFonts w:ascii="Century Schoolbook" w:eastAsia="Times New Roman" w:hAnsi="Century Schoolbook" w:cs="Times New Roman"/>
          <w:sz w:val="26"/>
          <w:szCs w:val="26"/>
        </w:rPr>
        <w:t>, 944</w:t>
      </w:r>
      <w:r w:rsidRPr="00491272">
        <w:rPr>
          <w:rFonts w:ascii="Century Schoolbook" w:eastAsia="Times New Roman" w:hAnsi="Century Schoolbook" w:cs="Times New Roman"/>
          <w:sz w:val="26"/>
          <w:szCs w:val="26"/>
        </w:rPr>
        <w:t xml:space="preserve">; </w:t>
      </w:r>
      <w:proofErr w:type="spellStart"/>
      <w:r w:rsidRPr="00491272">
        <w:rPr>
          <w:rFonts w:ascii="Century Schoolbook" w:eastAsia="Times New Roman" w:hAnsi="Century Schoolbook" w:cs="Times New Roman"/>
          <w:i/>
          <w:iCs/>
          <w:sz w:val="26"/>
          <w:szCs w:val="26"/>
        </w:rPr>
        <w:t>Garica</w:t>
      </w:r>
      <w:proofErr w:type="spellEnd"/>
      <w:r w:rsidR="000A1473">
        <w:rPr>
          <w:rFonts w:ascii="Century Schoolbook" w:eastAsia="Times New Roman" w:hAnsi="Century Schoolbook" w:cs="Times New Roman"/>
          <w:i/>
          <w:iCs/>
          <w:sz w:val="26"/>
          <w:szCs w:val="26"/>
        </w:rPr>
        <w:t xml:space="preserve"> </w:t>
      </w:r>
      <w:r w:rsidR="000D2A18">
        <w:rPr>
          <w:rFonts w:ascii="Century Schoolbook" w:eastAsia="Times New Roman" w:hAnsi="Century Schoolbook" w:cs="Times New Roman"/>
          <w:i/>
          <w:iCs/>
          <w:sz w:val="26"/>
          <w:szCs w:val="26"/>
        </w:rPr>
        <w:t>I</w:t>
      </w:r>
      <w:r w:rsidRPr="00491272">
        <w:rPr>
          <w:rFonts w:ascii="Century Schoolbook" w:eastAsia="Times New Roman" w:hAnsi="Century Schoolbook" w:cs="Times New Roman"/>
          <w:sz w:val="26"/>
          <w:szCs w:val="26"/>
        </w:rPr>
        <w:t xml:space="preserve">, at p. 729; </w:t>
      </w:r>
      <w:r w:rsidRPr="00491272">
        <w:rPr>
          <w:rFonts w:ascii="Century Schoolbook" w:eastAsia="Times New Roman" w:hAnsi="Century Schoolbook" w:cs="Times New Roman"/>
          <w:i/>
          <w:iCs/>
          <w:sz w:val="26"/>
          <w:szCs w:val="26"/>
        </w:rPr>
        <w:t xml:space="preserve">People v. Brown </w:t>
      </w:r>
      <w:r w:rsidRPr="00491272">
        <w:rPr>
          <w:rFonts w:ascii="Century Schoolbook" w:eastAsia="Times New Roman" w:hAnsi="Century Schoolbook" w:cs="Times New Roman"/>
          <w:sz w:val="26"/>
          <w:szCs w:val="26"/>
        </w:rPr>
        <w:t>(1999) 75 Cal.App.4th 916, 932.)</w:t>
      </w:r>
      <w:r w:rsidR="000D27DD">
        <w:rPr>
          <w:rFonts w:ascii="Century Schoolbook" w:eastAsia="Times New Roman" w:hAnsi="Century Schoolbook" w:cs="Times New Roman"/>
          <w:sz w:val="26"/>
          <w:szCs w:val="26"/>
        </w:rPr>
        <w:t xml:space="preserve">  </w:t>
      </w:r>
    </w:p>
    <w:p w14:paraId="6129B650" w14:textId="4B9519C6" w:rsidR="00491272" w:rsidRPr="00491272" w:rsidRDefault="00267C6F" w:rsidP="00491272">
      <w:pPr>
        <w:spacing w:after="0" w:line="288" w:lineRule="auto"/>
        <w:rPr>
          <w:rFonts w:ascii="Century Schoolbook" w:eastAsia="Times New Roman" w:hAnsi="Century Schoolbook" w:cs="Times New Roman"/>
          <w:sz w:val="26"/>
          <w:szCs w:val="26"/>
        </w:rPr>
      </w:pPr>
      <w:r w:rsidRPr="00491272">
        <w:rPr>
          <w:rFonts w:ascii="Century Schoolbook" w:eastAsia="Times New Roman" w:hAnsi="Century Schoolbook" w:cs="Times New Roman"/>
          <w:sz w:val="26"/>
          <w:szCs w:val="26"/>
        </w:rPr>
        <w:tab/>
      </w:r>
      <w:r w:rsidRPr="00491272">
        <w:rPr>
          <w:rFonts w:ascii="Century Schoolbook" w:eastAsia="Times New Roman" w:hAnsi="Century Schoolbook" w:cs="Times New Roman"/>
          <w:sz w:val="26"/>
          <w:szCs w:val="26"/>
        </w:rPr>
        <w:t xml:space="preserve">A preliminary </w:t>
      </w:r>
      <w:r w:rsidR="006D42E0">
        <w:rPr>
          <w:rFonts w:ascii="Century Schoolbook" w:eastAsia="Times New Roman" w:hAnsi="Century Schoolbook" w:cs="Times New Roman"/>
          <w:sz w:val="26"/>
          <w:szCs w:val="26"/>
        </w:rPr>
        <w:t>hearing</w:t>
      </w:r>
      <w:r w:rsidR="006D42E0" w:rsidRPr="00491272">
        <w:rPr>
          <w:rFonts w:ascii="Century Schoolbook" w:eastAsia="Times New Roman" w:hAnsi="Century Schoolbook" w:cs="Times New Roman"/>
          <w:sz w:val="26"/>
          <w:szCs w:val="26"/>
        </w:rPr>
        <w:t xml:space="preserve"> </w:t>
      </w:r>
      <w:r w:rsidRPr="00491272">
        <w:rPr>
          <w:rFonts w:ascii="Century Schoolbook" w:eastAsia="Times New Roman" w:hAnsi="Century Schoolbook" w:cs="Times New Roman"/>
          <w:sz w:val="26"/>
          <w:szCs w:val="26"/>
        </w:rPr>
        <w:t xml:space="preserve">is an adversarial proceeding before a judge and with the defendant (and </w:t>
      </w:r>
      <w:r w:rsidR="00EB7BD4">
        <w:rPr>
          <w:rFonts w:ascii="Century Schoolbook" w:eastAsia="Times New Roman" w:hAnsi="Century Schoolbook" w:cs="Times New Roman"/>
          <w:sz w:val="26"/>
          <w:szCs w:val="26"/>
        </w:rPr>
        <w:t>defense</w:t>
      </w:r>
      <w:r w:rsidR="00EB7BD4" w:rsidRPr="00491272">
        <w:rPr>
          <w:rFonts w:ascii="Century Schoolbook" w:eastAsia="Times New Roman" w:hAnsi="Century Schoolbook" w:cs="Times New Roman"/>
          <w:sz w:val="26"/>
          <w:szCs w:val="26"/>
        </w:rPr>
        <w:t xml:space="preserve"> </w:t>
      </w:r>
      <w:r w:rsidRPr="00491272">
        <w:rPr>
          <w:rFonts w:ascii="Century Schoolbook" w:eastAsia="Times New Roman" w:hAnsi="Century Schoolbook" w:cs="Times New Roman"/>
          <w:sz w:val="26"/>
          <w:szCs w:val="26"/>
        </w:rPr>
        <w:t>counsel) present.  (</w:t>
      </w:r>
      <w:r w:rsidR="000A1473">
        <w:rPr>
          <w:rFonts w:ascii="Century Schoolbook" w:eastAsia="Times New Roman" w:hAnsi="Century Schoolbook" w:cs="Times New Roman"/>
          <w:sz w:val="26"/>
          <w:szCs w:val="26"/>
        </w:rPr>
        <w:t xml:space="preserve">See </w:t>
      </w:r>
      <w:r w:rsidRPr="00491272">
        <w:rPr>
          <w:rFonts w:ascii="Century Schoolbook" w:eastAsia="Times New Roman" w:hAnsi="Century Schoolbook" w:cs="Times New Roman"/>
          <w:i/>
          <w:iCs/>
          <w:sz w:val="26"/>
          <w:szCs w:val="26"/>
        </w:rPr>
        <w:t xml:space="preserve">Whitman v. Superior Court </w:t>
      </w:r>
      <w:r w:rsidRPr="00491272">
        <w:rPr>
          <w:rFonts w:ascii="Century Schoolbook" w:eastAsia="Times New Roman" w:hAnsi="Century Schoolbook" w:cs="Times New Roman"/>
          <w:sz w:val="26"/>
          <w:szCs w:val="26"/>
        </w:rPr>
        <w:t>(1991) 54 Cal.3d 1063, 1076.)  When proceeding by way of a preliminary hearing, the prosecutor files a c</w:t>
      </w:r>
      <w:r w:rsidRPr="00491272">
        <w:rPr>
          <w:rFonts w:ascii="Century Schoolbook" w:eastAsia="Times New Roman" w:hAnsi="Century Schoolbook" w:cs="Times New Roman"/>
          <w:sz w:val="26"/>
          <w:szCs w:val="26"/>
        </w:rPr>
        <w:t>riminal complaint alleging certain crimes and enhancements, the prosecutor presents evidence in support of the complaint’s allegations at the preliminary hearing, the defendant may challenge that evidence, and the trial court—who is called a “magistrate” f</w:t>
      </w:r>
      <w:r w:rsidRPr="00491272">
        <w:rPr>
          <w:rFonts w:ascii="Century Schoolbook" w:eastAsia="Times New Roman" w:hAnsi="Century Schoolbook" w:cs="Times New Roman"/>
          <w:sz w:val="26"/>
          <w:szCs w:val="26"/>
        </w:rPr>
        <w:t>or these purposes—decides whether the evidence establishes probable cause to believe the defendant committed the alleged crimes and enhancements.  (§§ 859, 865, 872, subd. (a).)  If so, the defendant is “held to answer” and the prosecutor must thereafter f</w:t>
      </w:r>
      <w:r w:rsidRPr="00491272">
        <w:rPr>
          <w:rFonts w:ascii="Century Schoolbook" w:eastAsia="Times New Roman" w:hAnsi="Century Schoolbook" w:cs="Times New Roman"/>
          <w:sz w:val="26"/>
          <w:szCs w:val="26"/>
        </w:rPr>
        <w:t>ile an “information”</w:t>
      </w:r>
      <w:r w:rsidR="000A1473">
        <w:rPr>
          <w:rFonts w:ascii="Century Schoolbook" w:eastAsia="Times New Roman" w:hAnsi="Century Schoolbook" w:cs="Times New Roman"/>
          <w:sz w:val="26"/>
          <w:szCs w:val="26"/>
        </w:rPr>
        <w:t xml:space="preserve"> </w:t>
      </w:r>
      <w:r w:rsidRPr="00491272">
        <w:rPr>
          <w:rFonts w:ascii="Century Schoolbook" w:eastAsia="Times New Roman" w:hAnsi="Century Schoolbook" w:cs="Times New Roman"/>
          <w:sz w:val="26"/>
          <w:szCs w:val="26"/>
        </w:rPr>
        <w:t>which becomes the charging document on which the defendant goes to trial.  (§§ 738, 739.)</w:t>
      </w:r>
    </w:p>
    <w:p w14:paraId="1843F8CD" w14:textId="4122B5C1" w:rsidR="00491272" w:rsidRPr="00491272" w:rsidRDefault="00267C6F" w:rsidP="00491272">
      <w:pPr>
        <w:spacing w:after="0" w:line="288" w:lineRule="auto"/>
        <w:rPr>
          <w:rFonts w:ascii="Century Schoolbook" w:eastAsia="Times New Roman" w:hAnsi="Century Schoolbook" w:cs="Times New Roman"/>
          <w:sz w:val="26"/>
          <w:szCs w:val="26"/>
        </w:rPr>
      </w:pPr>
      <w:r w:rsidRPr="00491272">
        <w:rPr>
          <w:rFonts w:ascii="Century Schoolbook" w:eastAsia="Times New Roman" w:hAnsi="Century Schoolbook" w:cs="Times New Roman"/>
          <w:sz w:val="26"/>
          <w:szCs w:val="26"/>
        </w:rPr>
        <w:tab/>
      </w:r>
      <w:r w:rsidR="000D27DD">
        <w:rPr>
          <w:rFonts w:ascii="Century Schoolbook" w:eastAsia="Times New Roman" w:hAnsi="Century Schoolbook" w:cs="Times New Roman"/>
          <w:sz w:val="26"/>
          <w:szCs w:val="26"/>
        </w:rPr>
        <w:t>T</w:t>
      </w:r>
      <w:r w:rsidRPr="00491272">
        <w:rPr>
          <w:rFonts w:ascii="Century Schoolbook" w:eastAsia="Times New Roman" w:hAnsi="Century Schoolbook" w:cs="Times New Roman"/>
          <w:sz w:val="26"/>
          <w:szCs w:val="26"/>
        </w:rPr>
        <w:t xml:space="preserve">he grand jury and the preliminary hearing are </w:t>
      </w:r>
      <w:r w:rsidR="000A1473">
        <w:rPr>
          <w:rFonts w:ascii="Century Schoolbook" w:eastAsia="Times New Roman" w:hAnsi="Century Schoolbook" w:cs="Times New Roman"/>
          <w:sz w:val="26"/>
          <w:szCs w:val="26"/>
        </w:rPr>
        <w:t xml:space="preserve">different </w:t>
      </w:r>
      <w:r w:rsidR="000D27DD">
        <w:rPr>
          <w:rFonts w:ascii="Century Schoolbook" w:eastAsia="Times New Roman" w:hAnsi="Century Schoolbook" w:cs="Times New Roman"/>
          <w:sz w:val="26"/>
          <w:szCs w:val="26"/>
        </w:rPr>
        <w:t>avenues</w:t>
      </w:r>
      <w:r w:rsidRPr="00491272">
        <w:rPr>
          <w:rFonts w:ascii="Century Schoolbook" w:eastAsia="Times New Roman" w:hAnsi="Century Schoolbook" w:cs="Times New Roman"/>
          <w:sz w:val="26"/>
          <w:szCs w:val="26"/>
        </w:rPr>
        <w:t xml:space="preserve"> lead</w:t>
      </w:r>
      <w:r w:rsidR="000D27DD">
        <w:rPr>
          <w:rFonts w:ascii="Century Schoolbook" w:eastAsia="Times New Roman" w:hAnsi="Century Schoolbook" w:cs="Times New Roman"/>
          <w:sz w:val="26"/>
          <w:szCs w:val="26"/>
        </w:rPr>
        <w:t>ing</w:t>
      </w:r>
      <w:r w:rsidRPr="00491272">
        <w:rPr>
          <w:rFonts w:ascii="Century Schoolbook" w:eastAsia="Times New Roman" w:hAnsi="Century Schoolbook" w:cs="Times New Roman"/>
          <w:sz w:val="26"/>
          <w:szCs w:val="26"/>
        </w:rPr>
        <w:t xml:space="preserve"> to the same destination—namely, </w:t>
      </w:r>
      <w:r w:rsidR="000A1473">
        <w:rPr>
          <w:rFonts w:ascii="Century Schoolbook" w:eastAsia="Times New Roman" w:hAnsi="Century Schoolbook" w:cs="Times New Roman"/>
          <w:sz w:val="26"/>
          <w:szCs w:val="26"/>
        </w:rPr>
        <w:t xml:space="preserve">both are </w:t>
      </w:r>
      <w:r w:rsidRPr="00491272">
        <w:rPr>
          <w:rFonts w:ascii="Century Schoolbook" w:eastAsia="Times New Roman" w:hAnsi="Century Schoolbook" w:cs="Times New Roman"/>
          <w:sz w:val="26"/>
          <w:szCs w:val="26"/>
        </w:rPr>
        <w:t>a screen to ensure that an acc</w:t>
      </w:r>
      <w:r w:rsidRPr="00491272">
        <w:rPr>
          <w:rFonts w:ascii="Century Schoolbook" w:eastAsia="Times New Roman" w:hAnsi="Century Schoolbook" w:cs="Times New Roman"/>
          <w:sz w:val="26"/>
          <w:szCs w:val="26"/>
        </w:rPr>
        <w:t xml:space="preserve">used is not forced to endure the rigors of defending against criminal charges at trial unless the evidence supports a finding of probable cause to believe the accused is guilty of the </w:t>
      </w:r>
      <w:r w:rsidR="00EB1655">
        <w:rPr>
          <w:rFonts w:ascii="Century Schoolbook" w:eastAsia="Times New Roman" w:hAnsi="Century Schoolbook" w:cs="Times New Roman"/>
          <w:sz w:val="26"/>
          <w:szCs w:val="26"/>
        </w:rPr>
        <w:t>crimes</w:t>
      </w:r>
      <w:r w:rsidR="00EB1655" w:rsidRPr="00491272">
        <w:rPr>
          <w:rFonts w:ascii="Century Schoolbook" w:eastAsia="Times New Roman" w:hAnsi="Century Schoolbook" w:cs="Times New Roman"/>
          <w:sz w:val="26"/>
          <w:szCs w:val="26"/>
        </w:rPr>
        <w:t xml:space="preserve"> </w:t>
      </w:r>
      <w:r w:rsidRPr="00491272">
        <w:rPr>
          <w:rFonts w:ascii="Century Schoolbook" w:eastAsia="Times New Roman" w:hAnsi="Century Schoolbook" w:cs="Times New Roman"/>
          <w:sz w:val="26"/>
          <w:szCs w:val="26"/>
        </w:rPr>
        <w:t>and enhancements at issue.  (</w:t>
      </w:r>
      <w:r w:rsidRPr="00491272">
        <w:rPr>
          <w:rFonts w:ascii="Century Schoolbook" w:eastAsia="Times New Roman" w:hAnsi="Century Schoolbook" w:cs="Times New Roman"/>
          <w:i/>
          <w:iCs/>
          <w:sz w:val="26"/>
          <w:szCs w:val="26"/>
        </w:rPr>
        <w:t xml:space="preserve">Guillory v. Superior Court </w:t>
      </w:r>
      <w:r w:rsidRPr="00491272">
        <w:rPr>
          <w:rFonts w:ascii="Century Schoolbook" w:eastAsia="Times New Roman" w:hAnsi="Century Schoolbook" w:cs="Times New Roman"/>
          <w:sz w:val="26"/>
          <w:szCs w:val="26"/>
        </w:rPr>
        <w:t xml:space="preserve">(2003) 31 Cal.4th 168, 174 </w:t>
      </w:r>
      <w:r w:rsidR="006D42E0">
        <w:rPr>
          <w:rFonts w:ascii="Century Schoolbook" w:eastAsia="Times New Roman" w:hAnsi="Century Schoolbook" w:cs="Times New Roman"/>
          <w:sz w:val="26"/>
          <w:szCs w:val="26"/>
        </w:rPr>
        <w:t>(</w:t>
      </w:r>
      <w:r w:rsidR="006D42E0">
        <w:rPr>
          <w:rFonts w:ascii="Century Schoolbook" w:eastAsia="Times New Roman" w:hAnsi="Century Schoolbook" w:cs="Times New Roman"/>
          <w:i/>
          <w:iCs/>
          <w:sz w:val="26"/>
          <w:szCs w:val="26"/>
        </w:rPr>
        <w:t>Guillory</w:t>
      </w:r>
      <w:r w:rsidR="006D42E0">
        <w:rPr>
          <w:rFonts w:ascii="Century Schoolbook" w:eastAsia="Times New Roman" w:hAnsi="Century Schoolbook" w:cs="Times New Roman"/>
          <w:sz w:val="26"/>
          <w:szCs w:val="26"/>
        </w:rPr>
        <w:t>)</w:t>
      </w:r>
      <w:r w:rsidR="006D42E0">
        <w:rPr>
          <w:rFonts w:ascii="Century Schoolbook" w:eastAsia="Times New Roman" w:hAnsi="Century Schoolbook" w:cs="Times New Roman"/>
          <w:i/>
          <w:iCs/>
          <w:sz w:val="26"/>
          <w:szCs w:val="26"/>
        </w:rPr>
        <w:t xml:space="preserve"> </w:t>
      </w:r>
      <w:r w:rsidRPr="00491272">
        <w:rPr>
          <w:rFonts w:ascii="Century Schoolbook" w:eastAsia="Times New Roman" w:hAnsi="Century Schoolbook" w:cs="Times New Roman"/>
          <w:sz w:val="26"/>
          <w:szCs w:val="26"/>
        </w:rPr>
        <w:t xml:space="preserve">[“the grand jury serves as the functional equivalent of a magistrate who </w:t>
      </w:r>
      <w:r w:rsidRPr="00491272">
        <w:rPr>
          <w:rFonts w:ascii="Century Schoolbook" w:eastAsia="Times New Roman" w:hAnsi="Century Schoolbook" w:cs="Times New Roman"/>
          <w:sz w:val="26"/>
          <w:szCs w:val="26"/>
        </w:rPr>
        <w:lastRenderedPageBreak/>
        <w:t xml:space="preserve">presides over a preliminary examination on a felony complaint” in that both “‘determine whether probable cause exists </w:t>
      </w:r>
      <w:r w:rsidRPr="00491272">
        <w:rPr>
          <w:rFonts w:ascii="Century Schoolbook" w:eastAsia="Times New Roman" w:hAnsi="Century Schoolbook" w:cs="Times New Roman"/>
          <w:sz w:val="26"/>
          <w:szCs w:val="26"/>
        </w:rPr>
        <w:t xml:space="preserve">to accuse a defendant of a particular crime’”].)  By limiting when </w:t>
      </w:r>
      <w:r w:rsidR="000A1473">
        <w:rPr>
          <w:rFonts w:ascii="Century Schoolbook" w:eastAsia="Times New Roman" w:hAnsi="Century Schoolbook" w:cs="Times New Roman"/>
          <w:sz w:val="26"/>
          <w:szCs w:val="26"/>
        </w:rPr>
        <w:t xml:space="preserve">allegations may be </w:t>
      </w:r>
      <w:r w:rsidRPr="00491272">
        <w:rPr>
          <w:rFonts w:ascii="Century Schoolbook" w:eastAsia="Times New Roman" w:hAnsi="Century Schoolbook" w:cs="Times New Roman"/>
          <w:sz w:val="26"/>
          <w:szCs w:val="26"/>
        </w:rPr>
        <w:t>prosecut</w:t>
      </w:r>
      <w:r w:rsidR="000A1473">
        <w:rPr>
          <w:rFonts w:ascii="Century Schoolbook" w:eastAsia="Times New Roman" w:hAnsi="Century Schoolbook" w:cs="Times New Roman"/>
          <w:sz w:val="26"/>
          <w:szCs w:val="26"/>
        </w:rPr>
        <w:t>ed</w:t>
      </w:r>
      <w:r w:rsidRPr="00491272">
        <w:rPr>
          <w:rFonts w:ascii="Century Schoolbook" w:eastAsia="Times New Roman" w:hAnsi="Century Schoolbook" w:cs="Times New Roman"/>
          <w:sz w:val="26"/>
          <w:szCs w:val="26"/>
        </w:rPr>
        <w:t xml:space="preserve">, the screening function performed by </w:t>
      </w:r>
      <w:r w:rsidR="000A1473">
        <w:rPr>
          <w:rFonts w:ascii="Century Schoolbook" w:eastAsia="Times New Roman" w:hAnsi="Century Schoolbook" w:cs="Times New Roman"/>
          <w:sz w:val="26"/>
          <w:szCs w:val="26"/>
        </w:rPr>
        <w:t xml:space="preserve">a </w:t>
      </w:r>
      <w:r w:rsidRPr="00491272">
        <w:rPr>
          <w:rFonts w:ascii="Century Schoolbook" w:eastAsia="Times New Roman" w:hAnsi="Century Schoolbook" w:cs="Times New Roman"/>
          <w:sz w:val="26"/>
          <w:szCs w:val="26"/>
        </w:rPr>
        <w:t>grand jur</w:t>
      </w:r>
      <w:r w:rsidR="000A1473">
        <w:rPr>
          <w:rFonts w:ascii="Century Schoolbook" w:eastAsia="Times New Roman" w:hAnsi="Century Schoolbook" w:cs="Times New Roman"/>
          <w:sz w:val="26"/>
          <w:szCs w:val="26"/>
        </w:rPr>
        <w:t>y</w:t>
      </w:r>
      <w:r w:rsidRPr="00491272">
        <w:rPr>
          <w:rFonts w:ascii="Century Schoolbook" w:eastAsia="Times New Roman" w:hAnsi="Century Schoolbook" w:cs="Times New Roman"/>
          <w:sz w:val="26"/>
          <w:szCs w:val="26"/>
        </w:rPr>
        <w:t xml:space="preserve"> and </w:t>
      </w:r>
      <w:r w:rsidR="000A1473">
        <w:rPr>
          <w:rFonts w:ascii="Century Schoolbook" w:eastAsia="Times New Roman" w:hAnsi="Century Schoolbook" w:cs="Times New Roman"/>
          <w:sz w:val="26"/>
          <w:szCs w:val="26"/>
        </w:rPr>
        <w:t xml:space="preserve">the </w:t>
      </w:r>
      <w:r w:rsidRPr="00491272">
        <w:rPr>
          <w:rFonts w:ascii="Century Schoolbook" w:eastAsia="Times New Roman" w:hAnsi="Century Schoolbook" w:cs="Times New Roman"/>
          <w:sz w:val="26"/>
          <w:szCs w:val="26"/>
        </w:rPr>
        <w:t xml:space="preserve">preliminary </w:t>
      </w:r>
      <w:r w:rsidR="006D42E0">
        <w:rPr>
          <w:rFonts w:ascii="Century Schoolbook" w:eastAsia="Times New Roman" w:hAnsi="Century Schoolbook" w:cs="Times New Roman"/>
          <w:sz w:val="26"/>
          <w:szCs w:val="26"/>
        </w:rPr>
        <w:t>hearing</w:t>
      </w:r>
      <w:r w:rsidR="006D42E0" w:rsidRPr="00491272">
        <w:rPr>
          <w:rFonts w:ascii="Century Schoolbook" w:eastAsia="Times New Roman" w:hAnsi="Century Schoolbook" w:cs="Times New Roman"/>
          <w:sz w:val="26"/>
          <w:szCs w:val="26"/>
        </w:rPr>
        <w:t xml:space="preserve"> </w:t>
      </w:r>
      <w:r w:rsidRPr="00491272">
        <w:rPr>
          <w:rFonts w:ascii="Century Schoolbook" w:eastAsia="Times New Roman" w:hAnsi="Century Schoolbook" w:cs="Times New Roman"/>
          <w:sz w:val="26"/>
          <w:szCs w:val="26"/>
        </w:rPr>
        <w:t xml:space="preserve">also </w:t>
      </w:r>
      <w:r w:rsidR="000A1473">
        <w:rPr>
          <w:rFonts w:ascii="Century Schoolbook" w:eastAsia="Times New Roman" w:hAnsi="Century Schoolbook" w:cs="Times New Roman"/>
          <w:sz w:val="26"/>
          <w:szCs w:val="26"/>
        </w:rPr>
        <w:t>operates</w:t>
      </w:r>
      <w:r w:rsidR="000A1473" w:rsidRPr="00491272">
        <w:rPr>
          <w:rFonts w:ascii="Century Schoolbook" w:eastAsia="Times New Roman" w:hAnsi="Century Schoolbook" w:cs="Times New Roman"/>
          <w:sz w:val="26"/>
          <w:szCs w:val="26"/>
        </w:rPr>
        <w:t xml:space="preserve"> </w:t>
      </w:r>
      <w:r w:rsidRPr="00491272">
        <w:rPr>
          <w:rFonts w:ascii="Century Schoolbook" w:eastAsia="Times New Roman" w:hAnsi="Century Schoolbook" w:cs="Times New Roman"/>
          <w:sz w:val="26"/>
          <w:szCs w:val="26"/>
        </w:rPr>
        <w:t>as a check on the executive branch, and hence reinforces the separa</w:t>
      </w:r>
      <w:r w:rsidRPr="00491272">
        <w:rPr>
          <w:rFonts w:ascii="Century Schoolbook" w:eastAsia="Times New Roman" w:hAnsi="Century Schoolbook" w:cs="Times New Roman"/>
          <w:sz w:val="26"/>
          <w:szCs w:val="26"/>
        </w:rPr>
        <w:t xml:space="preserve">tion of powers.  (See </w:t>
      </w:r>
      <w:r w:rsidRPr="00491272">
        <w:rPr>
          <w:rFonts w:ascii="Century Schoolbook" w:eastAsia="Times New Roman" w:hAnsi="Century Schoolbook" w:cs="Times New Roman"/>
          <w:i/>
          <w:iCs/>
          <w:sz w:val="26"/>
          <w:szCs w:val="26"/>
        </w:rPr>
        <w:t xml:space="preserve">Jones v. Superior Court </w:t>
      </w:r>
      <w:r w:rsidRPr="00491272">
        <w:rPr>
          <w:rFonts w:ascii="Century Schoolbook" w:eastAsia="Times New Roman" w:hAnsi="Century Schoolbook" w:cs="Times New Roman"/>
          <w:sz w:val="26"/>
          <w:szCs w:val="26"/>
        </w:rPr>
        <w:t xml:space="preserve">(1971) 4 Cal.3d 660, 664; </w:t>
      </w:r>
      <w:proofErr w:type="spellStart"/>
      <w:r w:rsidRPr="00491272">
        <w:rPr>
          <w:rFonts w:ascii="Century Schoolbook" w:eastAsia="Times New Roman" w:hAnsi="Century Schoolbook" w:cs="Times New Roman"/>
          <w:i/>
          <w:iCs/>
          <w:sz w:val="26"/>
          <w:szCs w:val="26"/>
        </w:rPr>
        <w:t>Avitia</w:t>
      </w:r>
      <w:proofErr w:type="spellEnd"/>
      <w:r w:rsidRPr="00491272">
        <w:rPr>
          <w:rFonts w:ascii="Century Schoolbook" w:eastAsia="Times New Roman" w:hAnsi="Century Schoolbook" w:cs="Times New Roman"/>
          <w:i/>
          <w:iCs/>
          <w:sz w:val="26"/>
          <w:szCs w:val="26"/>
        </w:rPr>
        <w:t xml:space="preserve"> v. Superior Court</w:t>
      </w:r>
      <w:r w:rsidRPr="00491272">
        <w:rPr>
          <w:rFonts w:ascii="Century Schoolbook" w:eastAsia="Times New Roman" w:hAnsi="Century Schoolbook" w:cs="Times New Roman"/>
          <w:sz w:val="26"/>
          <w:szCs w:val="26"/>
        </w:rPr>
        <w:t xml:space="preserve"> (2018) 6 Cal.5th 486, 491.)</w:t>
      </w:r>
    </w:p>
    <w:p w14:paraId="02AC8CDE" w14:textId="46D51763" w:rsidR="00491272" w:rsidRPr="00491272" w:rsidRDefault="00267C6F" w:rsidP="00491272">
      <w:pPr>
        <w:spacing w:after="0" w:line="288" w:lineRule="auto"/>
        <w:rPr>
          <w:rFonts w:ascii="Century Schoolbook" w:eastAsia="Times New Roman" w:hAnsi="Century Schoolbook" w:cs="Times New Roman"/>
          <w:sz w:val="26"/>
          <w:szCs w:val="26"/>
        </w:rPr>
      </w:pPr>
      <w:r w:rsidRPr="00491272">
        <w:rPr>
          <w:rFonts w:ascii="Century Schoolbook" w:eastAsia="Times New Roman" w:hAnsi="Century Schoolbook" w:cs="Times New Roman"/>
          <w:sz w:val="26"/>
          <w:szCs w:val="26"/>
        </w:rPr>
        <w:tab/>
        <w:t xml:space="preserve">The decision as to which </w:t>
      </w:r>
      <w:r w:rsidR="000D27DD">
        <w:rPr>
          <w:rFonts w:ascii="Century Schoolbook" w:eastAsia="Times New Roman" w:hAnsi="Century Schoolbook" w:cs="Times New Roman"/>
          <w:sz w:val="26"/>
          <w:szCs w:val="26"/>
        </w:rPr>
        <w:t>avenue</w:t>
      </w:r>
      <w:r w:rsidRPr="00491272">
        <w:rPr>
          <w:rFonts w:ascii="Century Schoolbook" w:eastAsia="Times New Roman" w:hAnsi="Century Schoolbook" w:cs="Times New Roman"/>
          <w:sz w:val="26"/>
          <w:szCs w:val="26"/>
        </w:rPr>
        <w:t xml:space="preserve"> to walk is for </w:t>
      </w:r>
      <w:r w:rsidRPr="00491272">
        <w:rPr>
          <w:rFonts w:ascii="Century Schoolbook" w:eastAsia="Times New Roman" w:hAnsi="Century Schoolbook" w:cs="Times New Roman"/>
          <w:i/>
          <w:iCs/>
          <w:sz w:val="26"/>
          <w:szCs w:val="26"/>
        </w:rPr>
        <w:t>the prosecutor</w:t>
      </w:r>
      <w:r w:rsidRPr="00491272">
        <w:rPr>
          <w:rFonts w:ascii="Century Schoolbook" w:eastAsia="Times New Roman" w:hAnsi="Century Schoolbook" w:cs="Times New Roman"/>
          <w:sz w:val="26"/>
          <w:szCs w:val="26"/>
        </w:rPr>
        <w:t xml:space="preserve"> to make, not the </w:t>
      </w:r>
      <w:r w:rsidRPr="00491272">
        <w:rPr>
          <w:rFonts w:ascii="Century Schoolbook" w:eastAsia="Times New Roman" w:hAnsi="Century Schoolbook" w:cs="Times New Roman"/>
          <w:i/>
          <w:iCs/>
          <w:sz w:val="26"/>
          <w:szCs w:val="26"/>
        </w:rPr>
        <w:t>defendant</w:t>
      </w:r>
      <w:r w:rsidRPr="00491272">
        <w:rPr>
          <w:rFonts w:ascii="Century Schoolbook" w:eastAsia="Times New Roman" w:hAnsi="Century Schoolbook" w:cs="Times New Roman"/>
          <w:sz w:val="26"/>
          <w:szCs w:val="26"/>
        </w:rPr>
        <w:t>.  (Cal. Const., art. I, § 14;</w:t>
      </w:r>
      <w:r w:rsidR="00153F68">
        <w:rPr>
          <w:rFonts w:ascii="Century Schoolbook" w:eastAsia="Times New Roman" w:hAnsi="Century Schoolbook" w:cs="Times New Roman"/>
          <w:sz w:val="26"/>
          <w:szCs w:val="26"/>
        </w:rPr>
        <w:t xml:space="preserve"> Pen. Code,</w:t>
      </w:r>
      <w:r w:rsidRPr="00491272">
        <w:rPr>
          <w:rFonts w:ascii="Century Schoolbook" w:eastAsia="Times New Roman" w:hAnsi="Century Schoolbook" w:cs="Times New Roman"/>
          <w:sz w:val="26"/>
          <w:szCs w:val="26"/>
        </w:rPr>
        <w:t xml:space="preserve"> § 737; </w:t>
      </w:r>
      <w:r w:rsidRPr="00491272">
        <w:rPr>
          <w:rFonts w:ascii="Century Schoolbook" w:eastAsia="Times New Roman" w:hAnsi="Century Schoolbook" w:cs="Times New Roman"/>
          <w:i/>
          <w:iCs/>
          <w:sz w:val="26"/>
          <w:szCs w:val="26"/>
        </w:rPr>
        <w:t>Guillory</w:t>
      </w:r>
      <w:r w:rsidRPr="00AE00C9">
        <w:rPr>
          <w:rFonts w:ascii="Century Schoolbook" w:eastAsia="Times New Roman" w:hAnsi="Century Schoolbook" w:cs="Times New Roman"/>
          <w:sz w:val="26"/>
          <w:szCs w:val="26"/>
        </w:rPr>
        <w:t>,</w:t>
      </w:r>
      <w:r w:rsidRPr="00491272">
        <w:rPr>
          <w:rFonts w:ascii="Century Schoolbook" w:eastAsia="Times New Roman" w:hAnsi="Century Schoolbook" w:cs="Times New Roman"/>
          <w:i/>
          <w:iCs/>
          <w:sz w:val="26"/>
          <w:szCs w:val="26"/>
        </w:rPr>
        <w:t xml:space="preserve"> supra</w:t>
      </w:r>
      <w:r w:rsidRPr="00491272">
        <w:rPr>
          <w:rFonts w:ascii="Century Schoolbook" w:eastAsia="Times New Roman" w:hAnsi="Century Schoolbook" w:cs="Times New Roman"/>
          <w:sz w:val="26"/>
          <w:szCs w:val="26"/>
        </w:rPr>
        <w:t>, 31 Cal.4th at p. 174 [“</w:t>
      </w:r>
      <w:r w:rsidR="000A1473">
        <w:rPr>
          <w:rFonts w:ascii="Century Schoolbook" w:eastAsia="Times New Roman" w:hAnsi="Century Schoolbook" w:cs="Times New Roman"/>
          <w:sz w:val="26"/>
          <w:szCs w:val="26"/>
        </w:rPr>
        <w:t>‘</w:t>
      </w:r>
      <w:r w:rsidRPr="00491272">
        <w:rPr>
          <w:rFonts w:ascii="Century Schoolbook" w:eastAsia="Times New Roman" w:hAnsi="Century Schoolbook" w:cs="Times New Roman"/>
          <w:sz w:val="26"/>
          <w:szCs w:val="26"/>
        </w:rPr>
        <w:t>district attorney chooses</w:t>
      </w:r>
      <w:r w:rsidR="000A1473">
        <w:rPr>
          <w:rFonts w:ascii="Century Schoolbook" w:eastAsia="Times New Roman" w:hAnsi="Century Schoolbook" w:cs="Times New Roman"/>
          <w:sz w:val="26"/>
          <w:szCs w:val="26"/>
        </w:rPr>
        <w:t>’</w:t>
      </w:r>
      <w:r w:rsidRPr="00491272">
        <w:rPr>
          <w:rFonts w:ascii="Century Schoolbook" w:eastAsia="Times New Roman" w:hAnsi="Century Schoolbook" w:cs="Times New Roman"/>
          <w:sz w:val="26"/>
          <w:szCs w:val="26"/>
        </w:rPr>
        <w:t xml:space="preserve">” between the two options]; </w:t>
      </w:r>
      <w:r w:rsidRPr="00491272">
        <w:rPr>
          <w:rFonts w:ascii="Century Schoolbook" w:eastAsia="Times New Roman" w:hAnsi="Century Schoolbook" w:cs="Times New Roman"/>
          <w:i/>
          <w:iCs/>
          <w:sz w:val="26"/>
          <w:szCs w:val="26"/>
        </w:rPr>
        <w:t>People v. Crayton</w:t>
      </w:r>
      <w:r w:rsidRPr="00491272">
        <w:rPr>
          <w:rFonts w:ascii="Century Schoolbook" w:eastAsia="Times New Roman" w:hAnsi="Century Schoolbook" w:cs="Times New Roman"/>
          <w:sz w:val="26"/>
          <w:szCs w:val="26"/>
        </w:rPr>
        <w:t xml:space="preserve"> (2002) 28 Cal.4th 346, 360 [“prosecution elect[s]” between the two options].)  A defendant has no statutory or constitutiona</w:t>
      </w:r>
      <w:r w:rsidRPr="00491272">
        <w:rPr>
          <w:rFonts w:ascii="Century Schoolbook" w:eastAsia="Times New Roman" w:hAnsi="Century Schoolbook" w:cs="Times New Roman"/>
          <w:sz w:val="26"/>
          <w:szCs w:val="26"/>
        </w:rPr>
        <w:t xml:space="preserve">l right to </w:t>
      </w:r>
      <w:r w:rsidR="000D27DD">
        <w:rPr>
          <w:rFonts w:ascii="Century Schoolbook" w:eastAsia="Times New Roman" w:hAnsi="Century Schoolbook" w:cs="Times New Roman"/>
          <w:sz w:val="26"/>
          <w:szCs w:val="26"/>
        </w:rPr>
        <w:t>elect</w:t>
      </w:r>
      <w:r w:rsidR="001976B8">
        <w:rPr>
          <w:rFonts w:ascii="Century Schoolbook" w:eastAsia="Times New Roman" w:hAnsi="Century Schoolbook" w:cs="Times New Roman"/>
          <w:sz w:val="26"/>
          <w:szCs w:val="26"/>
        </w:rPr>
        <w:t xml:space="preserve"> how they are charged</w:t>
      </w:r>
      <w:r w:rsidRPr="00491272">
        <w:rPr>
          <w:rFonts w:ascii="Century Schoolbook" w:eastAsia="Times New Roman" w:hAnsi="Century Schoolbook" w:cs="Times New Roman"/>
          <w:sz w:val="26"/>
          <w:szCs w:val="26"/>
        </w:rPr>
        <w:t>.</w:t>
      </w:r>
      <w:r>
        <w:rPr>
          <w:rFonts w:ascii="Century Schoolbook" w:eastAsia="Times New Roman" w:hAnsi="Century Schoolbook" w:cs="Times New Roman"/>
          <w:b/>
          <w:bCs/>
          <w:sz w:val="26"/>
          <w:szCs w:val="26"/>
          <w:vertAlign w:val="superscript"/>
        </w:rPr>
        <w:footnoteReference w:id="5"/>
      </w:r>
      <w:r w:rsidRPr="00AE00C9">
        <w:rPr>
          <w:rFonts w:ascii="Century Schoolbook" w:eastAsia="Times New Roman" w:hAnsi="Century Schoolbook" w:cs="Times New Roman"/>
          <w:b/>
          <w:bCs/>
          <w:sz w:val="26"/>
          <w:szCs w:val="26"/>
        </w:rPr>
        <w:t xml:space="preserve"> </w:t>
      </w:r>
      <w:r w:rsidRPr="00491272">
        <w:rPr>
          <w:rFonts w:ascii="Century Schoolbook" w:eastAsia="Times New Roman" w:hAnsi="Century Schoolbook" w:cs="Times New Roman"/>
          <w:sz w:val="26"/>
          <w:szCs w:val="26"/>
        </w:rPr>
        <w:t xml:space="preserve"> (</w:t>
      </w:r>
      <w:r w:rsidRPr="00491272">
        <w:rPr>
          <w:rFonts w:ascii="Century Schoolbook" w:eastAsia="Times New Roman" w:hAnsi="Century Schoolbook" w:cs="Times New Roman"/>
          <w:i/>
          <w:iCs/>
          <w:sz w:val="26"/>
          <w:szCs w:val="26"/>
        </w:rPr>
        <w:t>Bowens</w:t>
      </w:r>
      <w:r w:rsidRPr="00AE00C9">
        <w:rPr>
          <w:rFonts w:ascii="Century Schoolbook" w:eastAsia="Times New Roman" w:hAnsi="Century Schoolbook" w:cs="Times New Roman"/>
          <w:sz w:val="26"/>
          <w:szCs w:val="26"/>
        </w:rPr>
        <w:t>,</w:t>
      </w:r>
      <w:r w:rsidRPr="00491272">
        <w:rPr>
          <w:rFonts w:ascii="Century Schoolbook" w:eastAsia="Times New Roman" w:hAnsi="Century Schoolbook" w:cs="Times New Roman"/>
          <w:i/>
          <w:iCs/>
          <w:sz w:val="26"/>
          <w:szCs w:val="26"/>
        </w:rPr>
        <w:t xml:space="preserve"> supra</w:t>
      </w:r>
      <w:r w:rsidRPr="00491272">
        <w:rPr>
          <w:rFonts w:ascii="Century Schoolbook" w:eastAsia="Times New Roman" w:hAnsi="Century Schoolbook" w:cs="Times New Roman"/>
          <w:sz w:val="26"/>
          <w:szCs w:val="26"/>
        </w:rPr>
        <w:t xml:space="preserve">, 1 Cal.4th at pp. 42-45 [defendant has no constitutional right to insist upon preliminary hearing]; </w:t>
      </w:r>
      <w:r w:rsidRPr="00491272">
        <w:rPr>
          <w:rFonts w:ascii="Century Schoolbook" w:eastAsia="Times New Roman" w:hAnsi="Century Schoolbook" w:cs="Times New Roman"/>
          <w:i/>
          <w:iCs/>
          <w:sz w:val="26"/>
          <w:szCs w:val="26"/>
        </w:rPr>
        <w:t>People v. Reed</w:t>
      </w:r>
      <w:r w:rsidRPr="00491272">
        <w:rPr>
          <w:rFonts w:ascii="Century Schoolbook" w:eastAsia="Times New Roman" w:hAnsi="Century Schoolbook" w:cs="Times New Roman"/>
          <w:sz w:val="26"/>
          <w:szCs w:val="26"/>
        </w:rPr>
        <w:t xml:space="preserve"> (1962) 210 Cal.App.2d 80, 84 [defendant has no constitutional right to insist upon i</w:t>
      </w:r>
      <w:r w:rsidRPr="00491272">
        <w:rPr>
          <w:rFonts w:ascii="Century Schoolbook" w:eastAsia="Times New Roman" w:hAnsi="Century Schoolbook" w:cs="Times New Roman"/>
          <w:sz w:val="26"/>
          <w:szCs w:val="26"/>
        </w:rPr>
        <w:t>ndictment].)</w:t>
      </w:r>
    </w:p>
    <w:p w14:paraId="30A4E390" w14:textId="77777777" w:rsidR="00491272" w:rsidRPr="00491272" w:rsidRDefault="00267C6F" w:rsidP="00491272">
      <w:pPr>
        <w:spacing w:after="0" w:line="288" w:lineRule="auto"/>
        <w:rPr>
          <w:rFonts w:ascii="Century Schoolbook" w:eastAsia="Times New Roman" w:hAnsi="Century Schoolbook" w:cs="Times New Roman"/>
          <w:i/>
          <w:iCs/>
          <w:sz w:val="26"/>
          <w:szCs w:val="26"/>
        </w:rPr>
      </w:pPr>
      <w:r w:rsidRPr="00491272">
        <w:rPr>
          <w:rFonts w:ascii="Century Schoolbook" w:eastAsia="Times New Roman" w:hAnsi="Century Schoolbook" w:cs="Times New Roman"/>
          <w:sz w:val="26"/>
          <w:szCs w:val="26"/>
        </w:rPr>
        <w:tab/>
      </w:r>
      <w:r w:rsidRPr="00491272">
        <w:rPr>
          <w:rFonts w:ascii="Century Schoolbook" w:eastAsia="Times New Roman" w:hAnsi="Century Schoolbook" w:cs="Times New Roman"/>
          <w:sz w:val="26"/>
          <w:szCs w:val="26"/>
        </w:rPr>
        <w:tab/>
        <w:t>2.</w:t>
      </w:r>
      <w:r w:rsidRPr="00491272">
        <w:rPr>
          <w:rFonts w:ascii="Century Schoolbook" w:eastAsia="Times New Roman" w:hAnsi="Century Schoolbook" w:cs="Times New Roman"/>
          <w:sz w:val="26"/>
          <w:szCs w:val="26"/>
        </w:rPr>
        <w:tab/>
      </w:r>
      <w:r w:rsidRPr="00491272">
        <w:rPr>
          <w:rFonts w:ascii="Century Schoolbook" w:eastAsia="Times New Roman" w:hAnsi="Century Schoolbook" w:cs="Times New Roman"/>
          <w:i/>
          <w:iCs/>
          <w:sz w:val="26"/>
          <w:szCs w:val="26"/>
        </w:rPr>
        <w:t>Mechanisms for challenging those charges</w:t>
      </w:r>
    </w:p>
    <w:p w14:paraId="40BAC6A9" w14:textId="77EF17D7" w:rsidR="00491272" w:rsidRPr="00491272" w:rsidRDefault="00267C6F" w:rsidP="001976B8">
      <w:pPr>
        <w:spacing w:after="0" w:line="288" w:lineRule="auto"/>
        <w:ind w:firstLine="720"/>
        <w:rPr>
          <w:rFonts w:ascii="Century Schoolbook" w:eastAsia="Times New Roman" w:hAnsi="Century Schoolbook" w:cs="Times New Roman"/>
          <w:sz w:val="26"/>
          <w:szCs w:val="26"/>
        </w:rPr>
      </w:pPr>
      <w:r w:rsidRPr="00491272">
        <w:rPr>
          <w:rFonts w:ascii="Century Schoolbook" w:eastAsia="Times New Roman" w:hAnsi="Century Schoolbook" w:cs="Times New Roman"/>
          <w:sz w:val="26"/>
          <w:szCs w:val="26"/>
        </w:rPr>
        <w:t xml:space="preserve">No matter which </w:t>
      </w:r>
      <w:r w:rsidR="001976B8">
        <w:rPr>
          <w:rFonts w:ascii="Century Schoolbook" w:eastAsia="Times New Roman" w:hAnsi="Century Schoolbook" w:cs="Times New Roman"/>
          <w:sz w:val="26"/>
          <w:szCs w:val="26"/>
        </w:rPr>
        <w:t>avenue</w:t>
      </w:r>
      <w:r w:rsidRPr="00491272">
        <w:rPr>
          <w:rFonts w:ascii="Century Schoolbook" w:eastAsia="Times New Roman" w:hAnsi="Century Schoolbook" w:cs="Times New Roman"/>
          <w:sz w:val="26"/>
          <w:szCs w:val="26"/>
        </w:rPr>
        <w:t xml:space="preserve"> the People take, a defendant has a right to challenge the resulting indictment or information.  </w:t>
      </w:r>
      <w:r w:rsidRPr="00491272">
        <w:rPr>
          <w:rFonts w:ascii="Century Schoolbook" w:eastAsia="Times New Roman" w:hAnsi="Century Schoolbook" w:cs="Times New Roman"/>
          <w:sz w:val="26"/>
          <w:szCs w:val="26"/>
        </w:rPr>
        <w:lastRenderedPageBreak/>
        <w:t xml:space="preserve">Section 995 provides a </w:t>
      </w:r>
      <w:r w:rsidRPr="00491272">
        <w:rPr>
          <w:rFonts w:ascii="Century Schoolbook" w:eastAsia="Times New Roman" w:hAnsi="Century Schoolbook" w:cs="Times New Roman"/>
          <w:i/>
          <w:iCs/>
          <w:sz w:val="26"/>
          <w:szCs w:val="26"/>
        </w:rPr>
        <w:t xml:space="preserve">statutory </w:t>
      </w:r>
      <w:r w:rsidRPr="00491272">
        <w:rPr>
          <w:rFonts w:ascii="Century Schoolbook" w:eastAsia="Times New Roman" w:hAnsi="Century Schoolbook" w:cs="Times New Roman"/>
          <w:sz w:val="26"/>
          <w:szCs w:val="26"/>
        </w:rPr>
        <w:t xml:space="preserve">basis for attacking an indictment or information on the ground that the evidence presented to the grand jury (in the case of </w:t>
      </w:r>
      <w:r w:rsidR="006D42E0">
        <w:rPr>
          <w:rFonts w:ascii="Century Schoolbook" w:eastAsia="Times New Roman" w:hAnsi="Century Schoolbook" w:cs="Times New Roman"/>
          <w:sz w:val="26"/>
          <w:szCs w:val="26"/>
        </w:rPr>
        <w:t xml:space="preserve">an </w:t>
      </w:r>
      <w:r w:rsidRPr="00491272">
        <w:rPr>
          <w:rFonts w:ascii="Century Schoolbook" w:eastAsia="Times New Roman" w:hAnsi="Century Schoolbook" w:cs="Times New Roman"/>
          <w:sz w:val="26"/>
          <w:szCs w:val="26"/>
        </w:rPr>
        <w:t xml:space="preserve">indictment) or to the magistrate (in the case of an information) did not provide “reasonable or probable cause” to believe the defendant committed the charged crime or enhancement.  (§ 995, subds. (a)(1)(B) &amp; (a)(2)(B).)  A defendant may also file a </w:t>
      </w:r>
      <w:proofErr w:type="spellStart"/>
      <w:r w:rsidRPr="001976B8">
        <w:rPr>
          <w:rFonts w:ascii="Century Schoolbook" w:eastAsia="Times New Roman" w:hAnsi="Century Schoolbook" w:cs="Times New Roman"/>
          <w:i/>
          <w:iCs/>
          <w:sz w:val="26"/>
          <w:szCs w:val="26"/>
        </w:rPr>
        <w:t>nons</w:t>
      </w:r>
      <w:r w:rsidRPr="001976B8">
        <w:rPr>
          <w:rFonts w:ascii="Century Schoolbook" w:eastAsia="Times New Roman" w:hAnsi="Century Schoolbook" w:cs="Times New Roman"/>
          <w:i/>
          <w:iCs/>
          <w:sz w:val="26"/>
          <w:szCs w:val="26"/>
        </w:rPr>
        <w:t>tatutory</w:t>
      </w:r>
      <w:proofErr w:type="spellEnd"/>
      <w:r w:rsidRPr="00491272">
        <w:rPr>
          <w:rFonts w:ascii="Century Schoolbook" w:eastAsia="Times New Roman" w:hAnsi="Century Schoolbook" w:cs="Times New Roman"/>
          <w:sz w:val="26"/>
          <w:szCs w:val="26"/>
        </w:rPr>
        <w:t xml:space="preserve"> motion to dismiss an indictment or information when the basis for dismissal is a ground not covered by section 995, such as when the People have obtained </w:t>
      </w:r>
      <w:r w:rsidR="001976B8">
        <w:rPr>
          <w:rFonts w:ascii="Century Schoolbook" w:eastAsia="Times New Roman" w:hAnsi="Century Schoolbook" w:cs="Times New Roman"/>
          <w:sz w:val="26"/>
          <w:szCs w:val="26"/>
        </w:rPr>
        <w:t xml:space="preserve">both </w:t>
      </w:r>
      <w:r w:rsidRPr="00491272">
        <w:rPr>
          <w:rFonts w:ascii="Century Schoolbook" w:eastAsia="Times New Roman" w:hAnsi="Century Schoolbook" w:cs="Times New Roman"/>
          <w:sz w:val="26"/>
          <w:szCs w:val="26"/>
        </w:rPr>
        <w:t xml:space="preserve">a duplicative information </w:t>
      </w:r>
      <w:r w:rsidRPr="00491272">
        <w:rPr>
          <w:rFonts w:ascii="Century Schoolbook" w:eastAsia="Times New Roman" w:hAnsi="Century Schoolbook" w:cs="Times New Roman"/>
          <w:i/>
          <w:iCs/>
          <w:sz w:val="26"/>
          <w:szCs w:val="26"/>
        </w:rPr>
        <w:t>and</w:t>
      </w:r>
      <w:r w:rsidRPr="00491272">
        <w:rPr>
          <w:rFonts w:ascii="Century Schoolbook" w:eastAsia="Times New Roman" w:hAnsi="Century Schoolbook" w:cs="Times New Roman"/>
          <w:sz w:val="26"/>
          <w:szCs w:val="26"/>
        </w:rPr>
        <w:t xml:space="preserve"> indictment (</w:t>
      </w:r>
      <w:r w:rsidRPr="00491272">
        <w:rPr>
          <w:rFonts w:ascii="Century Schoolbook" w:eastAsia="Times New Roman" w:hAnsi="Century Schoolbook" w:cs="Times New Roman"/>
          <w:i/>
          <w:iCs/>
          <w:sz w:val="26"/>
          <w:szCs w:val="26"/>
        </w:rPr>
        <w:t>Berardi v. Superior Court</w:t>
      </w:r>
      <w:r w:rsidRPr="00491272">
        <w:rPr>
          <w:rFonts w:ascii="Century Schoolbook" w:eastAsia="Times New Roman" w:hAnsi="Century Schoolbook" w:cs="Times New Roman"/>
          <w:sz w:val="26"/>
          <w:szCs w:val="26"/>
        </w:rPr>
        <w:t xml:space="preserve"> (2008) 160 Cal.App.4</w:t>
      </w:r>
      <w:r w:rsidRPr="00491272">
        <w:rPr>
          <w:rFonts w:ascii="Century Schoolbook" w:eastAsia="Times New Roman" w:hAnsi="Century Schoolbook" w:cs="Times New Roman"/>
          <w:sz w:val="26"/>
          <w:szCs w:val="26"/>
        </w:rPr>
        <w:t>th 210, 224-225), when the prosecution has</w:t>
      </w:r>
      <w:r w:rsidR="001976B8">
        <w:rPr>
          <w:rFonts w:ascii="Century Schoolbook" w:eastAsia="Times New Roman" w:hAnsi="Century Schoolbook" w:cs="Times New Roman"/>
          <w:sz w:val="26"/>
          <w:szCs w:val="26"/>
        </w:rPr>
        <w:t xml:space="preserve"> impermissibly withheld </w:t>
      </w:r>
      <w:r w:rsidRPr="00491272">
        <w:rPr>
          <w:rFonts w:ascii="Century Schoolbook" w:eastAsia="Times New Roman" w:hAnsi="Century Schoolbook" w:cs="Times New Roman"/>
          <w:sz w:val="26"/>
          <w:szCs w:val="26"/>
        </w:rPr>
        <w:t xml:space="preserve">information </w:t>
      </w:r>
      <w:r w:rsidR="001976B8">
        <w:rPr>
          <w:rFonts w:ascii="Century Schoolbook" w:eastAsia="Times New Roman" w:hAnsi="Century Schoolbook" w:cs="Times New Roman"/>
          <w:sz w:val="26"/>
          <w:szCs w:val="26"/>
        </w:rPr>
        <w:t xml:space="preserve">bearing on the existence of probable cause from the grand jury or magistrate </w:t>
      </w:r>
      <w:r w:rsidRPr="00491272">
        <w:rPr>
          <w:rFonts w:ascii="Century Schoolbook" w:eastAsia="Times New Roman" w:hAnsi="Century Schoolbook" w:cs="Times New Roman"/>
          <w:sz w:val="26"/>
          <w:szCs w:val="26"/>
        </w:rPr>
        <w:t>(</w:t>
      </w:r>
      <w:r w:rsidRPr="00491272">
        <w:rPr>
          <w:rFonts w:ascii="Century Schoolbook" w:eastAsia="Times New Roman" w:hAnsi="Century Schoolbook" w:cs="Times New Roman"/>
          <w:i/>
          <w:iCs/>
          <w:sz w:val="26"/>
          <w:szCs w:val="26"/>
        </w:rPr>
        <w:t>Merrill v. Superior Court</w:t>
      </w:r>
      <w:r w:rsidRPr="00491272">
        <w:rPr>
          <w:rFonts w:ascii="Century Schoolbook" w:eastAsia="Times New Roman" w:hAnsi="Century Schoolbook" w:cs="Times New Roman"/>
          <w:sz w:val="26"/>
          <w:szCs w:val="26"/>
        </w:rPr>
        <w:t xml:space="preserve"> (1994) 27 Cal.App.4th 1586, 1596), </w:t>
      </w:r>
      <w:r w:rsidR="000A1473">
        <w:rPr>
          <w:rFonts w:ascii="Century Schoolbook" w:eastAsia="Times New Roman" w:hAnsi="Century Schoolbook" w:cs="Times New Roman"/>
          <w:sz w:val="26"/>
          <w:szCs w:val="26"/>
        </w:rPr>
        <w:t>or</w:t>
      </w:r>
      <w:r w:rsidR="000A1473" w:rsidRPr="00491272">
        <w:rPr>
          <w:rFonts w:ascii="Century Schoolbook" w:eastAsia="Times New Roman" w:hAnsi="Century Schoolbook" w:cs="Times New Roman"/>
          <w:sz w:val="26"/>
          <w:szCs w:val="26"/>
        </w:rPr>
        <w:t xml:space="preserve"> </w:t>
      </w:r>
      <w:r w:rsidRPr="00491272">
        <w:rPr>
          <w:rFonts w:ascii="Century Schoolbook" w:eastAsia="Times New Roman" w:hAnsi="Century Schoolbook" w:cs="Times New Roman"/>
          <w:sz w:val="26"/>
          <w:szCs w:val="26"/>
        </w:rPr>
        <w:t>when prosecution of a crime is barre</w:t>
      </w:r>
      <w:r w:rsidRPr="00491272">
        <w:rPr>
          <w:rFonts w:ascii="Century Schoolbook" w:eastAsia="Times New Roman" w:hAnsi="Century Schoolbook" w:cs="Times New Roman"/>
          <w:sz w:val="26"/>
          <w:szCs w:val="26"/>
        </w:rPr>
        <w:t>d by the statute of limitations as a matter of law (</w:t>
      </w:r>
      <w:r w:rsidRPr="00491272">
        <w:rPr>
          <w:rFonts w:ascii="Century Schoolbook" w:eastAsia="Times New Roman" w:hAnsi="Century Schoolbook" w:cs="Times New Roman"/>
          <w:i/>
          <w:iCs/>
          <w:sz w:val="26"/>
          <w:szCs w:val="26"/>
        </w:rPr>
        <w:t>People v. Lopez</w:t>
      </w:r>
      <w:r w:rsidRPr="00491272">
        <w:rPr>
          <w:rFonts w:ascii="Century Schoolbook" w:eastAsia="Times New Roman" w:hAnsi="Century Schoolbook" w:cs="Times New Roman"/>
          <w:sz w:val="26"/>
          <w:szCs w:val="26"/>
        </w:rPr>
        <w:t xml:space="preserve"> (1997) 52 Cal.App.4th 233, 249-250).</w:t>
      </w:r>
    </w:p>
    <w:p w14:paraId="5864067A" w14:textId="2A727C02" w:rsidR="00491272" w:rsidRPr="00491272" w:rsidRDefault="00267C6F" w:rsidP="001976B8">
      <w:pPr>
        <w:spacing w:after="0" w:line="288" w:lineRule="auto"/>
        <w:ind w:firstLine="720"/>
        <w:rPr>
          <w:rFonts w:ascii="Century Schoolbook" w:eastAsia="Times New Roman" w:hAnsi="Century Schoolbook" w:cs="Times New Roman"/>
          <w:sz w:val="26"/>
          <w:szCs w:val="26"/>
        </w:rPr>
      </w:pPr>
      <w:r w:rsidRPr="00491272">
        <w:rPr>
          <w:rFonts w:ascii="Century Schoolbook" w:eastAsia="Times New Roman" w:hAnsi="Century Schoolbook" w:cs="Times New Roman"/>
          <w:sz w:val="26"/>
          <w:szCs w:val="26"/>
        </w:rPr>
        <w:t xml:space="preserve">If an indictment or information is dismissed, the People may </w:t>
      </w:r>
      <w:r w:rsidR="00F07E8E">
        <w:rPr>
          <w:rFonts w:ascii="Century Schoolbook" w:eastAsia="Times New Roman" w:hAnsi="Century Schoolbook" w:cs="Times New Roman"/>
          <w:sz w:val="26"/>
          <w:szCs w:val="26"/>
        </w:rPr>
        <w:t xml:space="preserve">generally </w:t>
      </w:r>
      <w:r w:rsidRPr="00491272">
        <w:rPr>
          <w:rFonts w:ascii="Century Schoolbook" w:eastAsia="Times New Roman" w:hAnsi="Century Schoolbook" w:cs="Times New Roman"/>
          <w:sz w:val="26"/>
          <w:szCs w:val="26"/>
        </w:rPr>
        <w:t xml:space="preserve">reinitiate a prosecution </w:t>
      </w:r>
      <w:r w:rsidR="001976B8">
        <w:rPr>
          <w:rFonts w:ascii="Century Schoolbook" w:eastAsia="Times New Roman" w:hAnsi="Century Schoolbook" w:cs="Times New Roman"/>
          <w:sz w:val="26"/>
          <w:szCs w:val="26"/>
        </w:rPr>
        <w:t xml:space="preserve">for felonies </w:t>
      </w:r>
      <w:r w:rsidRPr="00491272">
        <w:rPr>
          <w:rFonts w:ascii="Century Schoolbook" w:eastAsia="Times New Roman" w:hAnsi="Century Schoolbook" w:cs="Times New Roman"/>
          <w:sz w:val="26"/>
          <w:szCs w:val="26"/>
        </w:rPr>
        <w:t xml:space="preserve">only one additional time.  (§ 1387; </w:t>
      </w:r>
      <w:r w:rsidRPr="00491272">
        <w:rPr>
          <w:rFonts w:ascii="Century Schoolbook" w:eastAsia="Times New Roman" w:hAnsi="Century Schoolbook" w:cs="Times New Roman"/>
          <w:i/>
          <w:iCs/>
          <w:sz w:val="26"/>
          <w:szCs w:val="26"/>
        </w:rPr>
        <w:t xml:space="preserve">Jackson v. Superior Court </w:t>
      </w:r>
      <w:r w:rsidRPr="00491272">
        <w:rPr>
          <w:rFonts w:ascii="Century Schoolbook" w:eastAsia="Times New Roman" w:hAnsi="Century Schoolbook" w:cs="Times New Roman"/>
          <w:sz w:val="26"/>
          <w:szCs w:val="26"/>
        </w:rPr>
        <w:t xml:space="preserve">(2017) 4 Cal.5th 96, 103; </w:t>
      </w:r>
      <w:r w:rsidRPr="00491272">
        <w:rPr>
          <w:rFonts w:ascii="Century Schoolbook" w:eastAsia="Times New Roman" w:hAnsi="Century Schoolbook" w:cs="Times New Roman"/>
          <w:i/>
          <w:iCs/>
          <w:sz w:val="26"/>
          <w:szCs w:val="26"/>
        </w:rPr>
        <w:t xml:space="preserve">People v. </w:t>
      </w:r>
      <w:proofErr w:type="spellStart"/>
      <w:r w:rsidRPr="00491272">
        <w:rPr>
          <w:rFonts w:ascii="Century Schoolbook" w:eastAsia="Times New Roman" w:hAnsi="Century Schoolbook" w:cs="Times New Roman"/>
          <w:i/>
          <w:iCs/>
          <w:sz w:val="26"/>
          <w:szCs w:val="26"/>
        </w:rPr>
        <w:t>Trujeque</w:t>
      </w:r>
      <w:proofErr w:type="spellEnd"/>
      <w:r w:rsidRPr="00491272">
        <w:rPr>
          <w:rFonts w:ascii="Century Schoolbook" w:eastAsia="Times New Roman" w:hAnsi="Century Schoolbook" w:cs="Times New Roman"/>
          <w:i/>
          <w:iCs/>
          <w:sz w:val="26"/>
          <w:szCs w:val="26"/>
        </w:rPr>
        <w:t xml:space="preserve"> </w:t>
      </w:r>
      <w:r w:rsidRPr="00491272">
        <w:rPr>
          <w:rFonts w:ascii="Century Schoolbook" w:eastAsia="Times New Roman" w:hAnsi="Century Schoolbook" w:cs="Times New Roman"/>
          <w:sz w:val="26"/>
          <w:szCs w:val="26"/>
        </w:rPr>
        <w:t>(2015) 61 Cal.4th 227, 255.)</w:t>
      </w:r>
    </w:p>
    <w:p w14:paraId="1059624C" w14:textId="77777777" w:rsidR="00491272" w:rsidRPr="00491272" w:rsidRDefault="00267C6F" w:rsidP="00491272">
      <w:pPr>
        <w:spacing w:after="0" w:line="288" w:lineRule="auto"/>
        <w:rPr>
          <w:rFonts w:ascii="Century Schoolbook" w:eastAsia="Times New Roman" w:hAnsi="Century Schoolbook" w:cs="Times New Roman"/>
          <w:i/>
          <w:iCs/>
          <w:sz w:val="26"/>
          <w:szCs w:val="26"/>
          <w:u w:val="single"/>
        </w:rPr>
      </w:pPr>
      <w:r w:rsidRPr="00491272">
        <w:rPr>
          <w:rFonts w:ascii="Century Schoolbook" w:eastAsia="Times New Roman" w:hAnsi="Century Schoolbook" w:cs="Times New Roman"/>
          <w:b/>
          <w:bCs/>
          <w:sz w:val="26"/>
          <w:szCs w:val="26"/>
        </w:rPr>
        <w:tab/>
        <w:t>B.</w:t>
      </w:r>
      <w:r w:rsidRPr="00491272">
        <w:rPr>
          <w:rFonts w:ascii="Century Schoolbook" w:eastAsia="Times New Roman" w:hAnsi="Century Schoolbook" w:cs="Times New Roman"/>
          <w:b/>
          <w:bCs/>
          <w:sz w:val="26"/>
          <w:szCs w:val="26"/>
        </w:rPr>
        <w:tab/>
      </w:r>
      <w:r w:rsidRPr="00491272">
        <w:rPr>
          <w:rFonts w:ascii="Century Schoolbook" w:eastAsia="Times New Roman" w:hAnsi="Century Schoolbook" w:cs="Times New Roman"/>
          <w:b/>
          <w:bCs/>
          <w:i/>
          <w:iCs/>
          <w:sz w:val="26"/>
          <w:szCs w:val="26"/>
        </w:rPr>
        <w:t>The inherent and interstitial authority of courts to fashion procedures and remedies</w:t>
      </w:r>
    </w:p>
    <w:p w14:paraId="501CA745" w14:textId="654976C1" w:rsidR="00491272" w:rsidRDefault="00267C6F" w:rsidP="00491272">
      <w:pPr>
        <w:spacing w:after="0" w:line="288" w:lineRule="auto"/>
        <w:rPr>
          <w:rFonts w:ascii="Century Schoolbook" w:eastAsia="Times New Roman" w:hAnsi="Century Schoolbook" w:cs="Times New Roman"/>
          <w:sz w:val="26"/>
          <w:szCs w:val="26"/>
        </w:rPr>
      </w:pPr>
      <w:r w:rsidRPr="00491272">
        <w:rPr>
          <w:rFonts w:ascii="Century Schoolbook" w:eastAsia="Times New Roman" w:hAnsi="Century Schoolbook" w:cs="Times New Roman"/>
          <w:sz w:val="26"/>
          <w:szCs w:val="26"/>
        </w:rPr>
        <w:tab/>
        <w:t>In addition to the authority c</w:t>
      </w:r>
      <w:r w:rsidRPr="00491272">
        <w:rPr>
          <w:rFonts w:ascii="Century Schoolbook" w:eastAsia="Times New Roman" w:hAnsi="Century Schoolbook" w:cs="Times New Roman"/>
          <w:sz w:val="26"/>
          <w:szCs w:val="26"/>
        </w:rPr>
        <w:t xml:space="preserve">onferred upon </w:t>
      </w:r>
      <w:r w:rsidR="001976B8">
        <w:rPr>
          <w:rFonts w:ascii="Century Schoolbook" w:eastAsia="Times New Roman" w:hAnsi="Century Schoolbook" w:cs="Times New Roman"/>
          <w:sz w:val="26"/>
          <w:szCs w:val="26"/>
        </w:rPr>
        <w:t>trial courts</w:t>
      </w:r>
      <w:r w:rsidRPr="00491272">
        <w:rPr>
          <w:rFonts w:ascii="Century Schoolbook" w:eastAsia="Times New Roman" w:hAnsi="Century Schoolbook" w:cs="Times New Roman"/>
          <w:sz w:val="26"/>
          <w:szCs w:val="26"/>
        </w:rPr>
        <w:t xml:space="preserve"> by our Legislature, </w:t>
      </w:r>
      <w:r w:rsidR="001976B8">
        <w:rPr>
          <w:rFonts w:ascii="Century Schoolbook" w:eastAsia="Times New Roman" w:hAnsi="Century Schoolbook" w:cs="Times New Roman"/>
          <w:sz w:val="26"/>
          <w:szCs w:val="26"/>
        </w:rPr>
        <w:t xml:space="preserve">trial </w:t>
      </w:r>
      <w:r w:rsidRPr="00491272">
        <w:rPr>
          <w:rFonts w:ascii="Century Schoolbook" w:eastAsia="Times New Roman" w:hAnsi="Century Schoolbook" w:cs="Times New Roman"/>
          <w:sz w:val="26"/>
          <w:szCs w:val="26"/>
        </w:rPr>
        <w:t>courts also have “inherent powers,” derived from our state Constitution, to carry out their duties and ensure the orderly administration of justice.  (</w:t>
      </w:r>
      <w:r w:rsidRPr="00491272">
        <w:rPr>
          <w:rFonts w:ascii="Century Schoolbook" w:eastAsia="Times New Roman" w:hAnsi="Century Schoolbook" w:cs="Times New Roman"/>
          <w:i/>
          <w:iCs/>
          <w:sz w:val="26"/>
          <w:szCs w:val="26"/>
        </w:rPr>
        <w:t>Walker v. Superior Court</w:t>
      </w:r>
      <w:r w:rsidRPr="00491272">
        <w:rPr>
          <w:rFonts w:ascii="Century Schoolbook" w:eastAsia="Times New Roman" w:hAnsi="Century Schoolbook" w:cs="Times New Roman"/>
          <w:sz w:val="26"/>
          <w:szCs w:val="26"/>
        </w:rPr>
        <w:t xml:space="preserve"> (1991) 53 Cal.3d 257, 267; </w:t>
      </w:r>
      <w:r w:rsidRPr="00491272">
        <w:rPr>
          <w:rFonts w:ascii="Century Schoolbook" w:eastAsia="Times New Roman" w:hAnsi="Century Schoolbook" w:cs="Times New Roman"/>
          <w:i/>
          <w:iCs/>
          <w:sz w:val="26"/>
          <w:szCs w:val="26"/>
        </w:rPr>
        <w:t>Bauguess v. Paine</w:t>
      </w:r>
      <w:r w:rsidRPr="00491272">
        <w:rPr>
          <w:rFonts w:ascii="Century Schoolbook" w:eastAsia="Times New Roman" w:hAnsi="Century Schoolbook" w:cs="Times New Roman"/>
          <w:sz w:val="26"/>
          <w:szCs w:val="26"/>
        </w:rPr>
        <w:t xml:space="preserve"> (1978) 22 Cal.3d 626, 635-636</w:t>
      </w:r>
      <w:r w:rsidR="000A1473">
        <w:rPr>
          <w:rFonts w:ascii="Century Schoolbook" w:eastAsia="Times New Roman" w:hAnsi="Century Schoolbook" w:cs="Times New Roman"/>
          <w:sz w:val="26"/>
          <w:szCs w:val="26"/>
        </w:rPr>
        <w:t>, overruled by statute on other grounds</w:t>
      </w:r>
      <w:r w:rsidRPr="00491272">
        <w:rPr>
          <w:rFonts w:ascii="Century Schoolbook" w:eastAsia="Times New Roman" w:hAnsi="Century Schoolbook" w:cs="Times New Roman"/>
          <w:sz w:val="26"/>
          <w:szCs w:val="26"/>
        </w:rPr>
        <w:t xml:space="preserve">; </w:t>
      </w:r>
      <w:proofErr w:type="spellStart"/>
      <w:r w:rsidRPr="00491272">
        <w:rPr>
          <w:rFonts w:ascii="Century Schoolbook" w:eastAsia="Times New Roman" w:hAnsi="Century Schoolbook" w:cs="Times New Roman"/>
          <w:i/>
          <w:iCs/>
          <w:sz w:val="26"/>
          <w:szCs w:val="26"/>
        </w:rPr>
        <w:t>Swarthout</w:t>
      </w:r>
      <w:proofErr w:type="spellEnd"/>
      <w:r w:rsidRPr="00491272">
        <w:rPr>
          <w:rFonts w:ascii="Century Schoolbook" w:eastAsia="Times New Roman" w:hAnsi="Century Schoolbook" w:cs="Times New Roman"/>
          <w:i/>
          <w:iCs/>
          <w:sz w:val="26"/>
          <w:szCs w:val="26"/>
        </w:rPr>
        <w:t xml:space="preserve"> v. Superior Court </w:t>
      </w:r>
      <w:r w:rsidRPr="00491272">
        <w:rPr>
          <w:rFonts w:ascii="Century Schoolbook" w:eastAsia="Times New Roman" w:hAnsi="Century Schoolbook" w:cs="Times New Roman"/>
          <w:sz w:val="26"/>
          <w:szCs w:val="26"/>
        </w:rPr>
        <w:t>(2012) 208 Cal.App.4</w:t>
      </w:r>
      <w:r w:rsidR="000A1473">
        <w:rPr>
          <w:rFonts w:ascii="Century Schoolbook" w:eastAsia="Times New Roman" w:hAnsi="Century Schoolbook" w:cs="Times New Roman"/>
          <w:sz w:val="26"/>
          <w:szCs w:val="26"/>
        </w:rPr>
        <w:t>th</w:t>
      </w:r>
      <w:r w:rsidRPr="00491272">
        <w:rPr>
          <w:rFonts w:ascii="Century Schoolbook" w:eastAsia="Times New Roman" w:hAnsi="Century Schoolbook" w:cs="Times New Roman"/>
          <w:sz w:val="26"/>
          <w:szCs w:val="26"/>
        </w:rPr>
        <w:t xml:space="preserve"> 701, 708.)  Although </w:t>
      </w:r>
      <w:r w:rsidRPr="00491272">
        <w:rPr>
          <w:rFonts w:ascii="Century Schoolbook" w:eastAsia="Times New Roman" w:hAnsi="Century Schoolbook" w:cs="Times New Roman"/>
          <w:sz w:val="26"/>
          <w:szCs w:val="26"/>
        </w:rPr>
        <w:lastRenderedPageBreak/>
        <w:t>this authority derives from our state Constitution and is “</w:t>
      </w:r>
      <w:r w:rsidR="000A1473">
        <w:rPr>
          <w:rFonts w:ascii="Century Schoolbook" w:eastAsia="Times New Roman" w:hAnsi="Century Schoolbook" w:cs="Times New Roman"/>
          <w:sz w:val="26"/>
          <w:szCs w:val="26"/>
        </w:rPr>
        <w:t>‘</w:t>
      </w:r>
      <w:r w:rsidRPr="00491272">
        <w:rPr>
          <w:rFonts w:ascii="Century Schoolbook" w:eastAsia="Times New Roman" w:hAnsi="Century Schoolbook" w:cs="Times New Roman"/>
          <w:sz w:val="26"/>
          <w:szCs w:val="26"/>
        </w:rPr>
        <w:t>not dependent on statute</w:t>
      </w:r>
      <w:r w:rsidR="000A1473">
        <w:rPr>
          <w:rFonts w:ascii="Century Schoolbook" w:eastAsia="Times New Roman" w:hAnsi="Century Schoolbook" w:cs="Times New Roman"/>
          <w:sz w:val="26"/>
          <w:szCs w:val="26"/>
        </w:rPr>
        <w:t>’</w:t>
      </w:r>
      <w:r w:rsidRPr="00491272">
        <w:rPr>
          <w:rFonts w:ascii="Century Schoolbook" w:eastAsia="Times New Roman" w:hAnsi="Century Schoolbook" w:cs="Times New Roman"/>
          <w:sz w:val="26"/>
          <w:szCs w:val="26"/>
        </w:rPr>
        <w:t>”</w:t>
      </w:r>
      <w:r w:rsidR="000A1473">
        <w:rPr>
          <w:rFonts w:ascii="Century Schoolbook" w:eastAsia="Times New Roman" w:hAnsi="Century Schoolbook" w:cs="Times New Roman"/>
          <w:sz w:val="26"/>
          <w:szCs w:val="26"/>
        </w:rPr>
        <w:t xml:space="preserve"> (</w:t>
      </w:r>
      <w:proofErr w:type="spellStart"/>
      <w:r w:rsidR="000A1473">
        <w:rPr>
          <w:rFonts w:ascii="Century Schoolbook" w:eastAsia="Times New Roman" w:hAnsi="Century Schoolbook" w:cs="Times New Roman"/>
          <w:i/>
          <w:iCs/>
          <w:sz w:val="26"/>
          <w:szCs w:val="26"/>
        </w:rPr>
        <w:t>Swarthout</w:t>
      </w:r>
      <w:proofErr w:type="spellEnd"/>
      <w:r w:rsidR="000A1473">
        <w:rPr>
          <w:rFonts w:ascii="Century Schoolbook" w:eastAsia="Times New Roman" w:hAnsi="Century Schoolbook" w:cs="Times New Roman"/>
          <w:sz w:val="26"/>
          <w:szCs w:val="26"/>
        </w:rPr>
        <w:t>, at p. 708),</w:t>
      </w:r>
      <w:r w:rsidRPr="00491272">
        <w:rPr>
          <w:rFonts w:ascii="Century Schoolbook" w:eastAsia="Times New Roman" w:hAnsi="Century Schoolbook" w:cs="Times New Roman"/>
          <w:sz w:val="26"/>
          <w:szCs w:val="26"/>
        </w:rPr>
        <w:t xml:space="preserve"> our Legislature has nevertheless reaffirmed the existence of this inherent authority in a variety of statutes, including Code of Civil Procedure section 187 and, for appellate courts, Penal Code section 1260.  (Code Civ. Proc., § 187 [</w:t>
      </w:r>
      <w:r w:rsidR="001976B8">
        <w:rPr>
          <w:rFonts w:ascii="Century Schoolbook" w:eastAsia="Times New Roman" w:hAnsi="Century Schoolbook" w:cs="Times New Roman"/>
          <w:sz w:val="26"/>
          <w:szCs w:val="26"/>
        </w:rPr>
        <w:t xml:space="preserve">a </w:t>
      </w:r>
      <w:r w:rsidRPr="00491272">
        <w:rPr>
          <w:rFonts w:ascii="Century Schoolbook" w:eastAsia="Times New Roman" w:hAnsi="Century Schoolbook" w:cs="Times New Roman"/>
          <w:sz w:val="26"/>
          <w:szCs w:val="26"/>
        </w:rPr>
        <w:t>court with “jurisd</w:t>
      </w:r>
      <w:r w:rsidRPr="00491272">
        <w:rPr>
          <w:rFonts w:ascii="Century Schoolbook" w:eastAsia="Times New Roman" w:hAnsi="Century Schoolbook" w:cs="Times New Roman"/>
          <w:sz w:val="26"/>
          <w:szCs w:val="26"/>
        </w:rPr>
        <w:t xml:space="preserve">iction” may use “all the means necessary to carry it into effect,” including fashioning “any suitable process or mode of proceeding”]; </w:t>
      </w:r>
      <w:r w:rsidRPr="00491272">
        <w:rPr>
          <w:rFonts w:ascii="Century Schoolbook" w:eastAsia="Times New Roman" w:hAnsi="Century Schoolbook" w:cs="Times New Roman"/>
          <w:i/>
          <w:iCs/>
          <w:sz w:val="26"/>
          <w:szCs w:val="26"/>
        </w:rPr>
        <w:t>People v. Walker</w:t>
      </w:r>
      <w:r w:rsidRPr="00491272">
        <w:rPr>
          <w:rFonts w:ascii="Century Schoolbook" w:eastAsia="Times New Roman" w:hAnsi="Century Schoolbook" w:cs="Times New Roman"/>
          <w:sz w:val="26"/>
          <w:szCs w:val="26"/>
        </w:rPr>
        <w:t xml:space="preserve"> (1948) 33 Cal.2d 250, 265-266 [authority under </w:t>
      </w:r>
      <w:r w:rsidR="006D42E0">
        <w:rPr>
          <w:rFonts w:ascii="Century Schoolbook" w:eastAsia="Times New Roman" w:hAnsi="Century Schoolbook" w:cs="Times New Roman"/>
          <w:sz w:val="26"/>
          <w:szCs w:val="26"/>
        </w:rPr>
        <w:t xml:space="preserve">Code of Civil Procedure </w:t>
      </w:r>
      <w:r w:rsidRPr="00491272">
        <w:rPr>
          <w:rFonts w:ascii="Century Schoolbook" w:eastAsia="Times New Roman" w:hAnsi="Century Schoolbook" w:cs="Times New Roman"/>
          <w:sz w:val="26"/>
          <w:szCs w:val="26"/>
        </w:rPr>
        <w:t>section 187 applies in criminal c</w:t>
      </w:r>
      <w:r w:rsidRPr="00491272">
        <w:rPr>
          <w:rFonts w:ascii="Century Schoolbook" w:eastAsia="Times New Roman" w:hAnsi="Century Schoolbook" w:cs="Times New Roman"/>
          <w:sz w:val="26"/>
          <w:szCs w:val="26"/>
        </w:rPr>
        <w:t xml:space="preserve">ases]; </w:t>
      </w:r>
      <w:r w:rsidRPr="00491272">
        <w:rPr>
          <w:rFonts w:ascii="Century Schoolbook" w:eastAsia="Times New Roman" w:hAnsi="Century Schoolbook" w:cs="Times New Roman"/>
          <w:i/>
          <w:iCs/>
          <w:sz w:val="26"/>
          <w:szCs w:val="26"/>
        </w:rPr>
        <w:t xml:space="preserve">People v. Ainsworth </w:t>
      </w:r>
      <w:r w:rsidRPr="00491272">
        <w:rPr>
          <w:rFonts w:ascii="Century Schoolbook" w:eastAsia="Times New Roman" w:hAnsi="Century Schoolbook" w:cs="Times New Roman"/>
          <w:sz w:val="26"/>
          <w:szCs w:val="26"/>
        </w:rPr>
        <w:t xml:space="preserve">(1990) 217 Cal.App.3d 247, 254-255 [same]; </w:t>
      </w:r>
      <w:r w:rsidR="00CB665C">
        <w:rPr>
          <w:rFonts w:ascii="Century Schoolbook" w:eastAsia="Times New Roman" w:hAnsi="Century Schoolbook" w:cs="Times New Roman"/>
          <w:sz w:val="26"/>
          <w:szCs w:val="26"/>
        </w:rPr>
        <w:t xml:space="preserve">Pen. Code, </w:t>
      </w:r>
      <w:bookmarkStart w:id="0" w:name="_Hlk155351370"/>
      <w:r w:rsidRPr="00491272">
        <w:rPr>
          <w:rFonts w:ascii="Century Schoolbook" w:eastAsia="Times New Roman" w:hAnsi="Century Schoolbook" w:cs="Times New Roman"/>
          <w:sz w:val="26"/>
          <w:szCs w:val="26"/>
        </w:rPr>
        <w:t>§</w:t>
      </w:r>
      <w:bookmarkEnd w:id="0"/>
      <w:r w:rsidRPr="00491272">
        <w:rPr>
          <w:rFonts w:ascii="Century Schoolbook" w:eastAsia="Times New Roman" w:hAnsi="Century Schoolbook" w:cs="Times New Roman"/>
          <w:sz w:val="26"/>
          <w:szCs w:val="26"/>
        </w:rPr>
        <w:t xml:space="preserve"> 1260 [granting appellate courts power to “set aside, affirm, or modify any or all of the proceedings”</w:t>
      </w:r>
      <w:r w:rsidR="006D42E0">
        <w:rPr>
          <w:rFonts w:ascii="Century Schoolbook" w:eastAsia="Times New Roman" w:hAnsi="Century Schoolbook" w:cs="Times New Roman"/>
          <w:sz w:val="26"/>
          <w:szCs w:val="26"/>
        </w:rPr>
        <w:t xml:space="preserve"> in criminal case</w:t>
      </w:r>
      <w:r w:rsidR="00A80CF9">
        <w:rPr>
          <w:rFonts w:ascii="Century Schoolbook" w:eastAsia="Times New Roman" w:hAnsi="Century Schoolbook" w:cs="Times New Roman"/>
          <w:sz w:val="26"/>
          <w:szCs w:val="26"/>
        </w:rPr>
        <w:t>s</w:t>
      </w:r>
      <w:r w:rsidRPr="00491272">
        <w:rPr>
          <w:rFonts w:ascii="Century Schoolbook" w:eastAsia="Times New Roman" w:hAnsi="Century Schoolbook" w:cs="Times New Roman"/>
          <w:sz w:val="26"/>
          <w:szCs w:val="26"/>
        </w:rPr>
        <w:t xml:space="preserve"> and “remand . . . to the trial court for such further</w:t>
      </w:r>
      <w:r w:rsidRPr="00491272">
        <w:rPr>
          <w:rFonts w:ascii="Century Schoolbook" w:eastAsia="Times New Roman" w:hAnsi="Century Schoolbook" w:cs="Times New Roman"/>
          <w:sz w:val="26"/>
          <w:szCs w:val="26"/>
        </w:rPr>
        <w:t xml:space="preserve"> proceedings as may be just under the circumstances”].)  The courts’ inherent power includes the power t</w:t>
      </w:r>
      <w:r w:rsidR="00F07E8E">
        <w:rPr>
          <w:rFonts w:ascii="Century Schoolbook" w:eastAsia="Times New Roman" w:hAnsi="Century Schoolbook" w:cs="Times New Roman"/>
          <w:sz w:val="26"/>
          <w:szCs w:val="26"/>
        </w:rPr>
        <w:t>o</w:t>
      </w:r>
      <w:r w:rsidRPr="00491272">
        <w:rPr>
          <w:rFonts w:ascii="Century Schoolbook" w:eastAsia="Times New Roman" w:hAnsi="Century Schoolbook" w:cs="Times New Roman"/>
          <w:sz w:val="26"/>
          <w:szCs w:val="26"/>
        </w:rPr>
        <w:t xml:space="preserve"> “</w:t>
      </w:r>
      <w:proofErr w:type="gramStart"/>
      <w:r w:rsidRPr="00491272">
        <w:rPr>
          <w:rFonts w:ascii="Century Schoolbook" w:eastAsia="Times New Roman" w:hAnsi="Century Schoolbook" w:cs="Times New Roman"/>
          <w:sz w:val="26"/>
          <w:szCs w:val="26"/>
        </w:rPr>
        <w:t>fashion[</w:t>
      </w:r>
      <w:proofErr w:type="gramEnd"/>
      <w:r w:rsidRPr="00491272">
        <w:rPr>
          <w:rFonts w:ascii="Century Schoolbook" w:eastAsia="Times New Roman" w:hAnsi="Century Schoolbook" w:cs="Times New Roman"/>
          <w:sz w:val="26"/>
          <w:szCs w:val="26"/>
        </w:rPr>
        <w:t>] new forms of procedures when required to deal with the rights of the parties.”  (</w:t>
      </w:r>
      <w:r w:rsidRPr="00491272">
        <w:rPr>
          <w:rFonts w:ascii="Century Schoolbook" w:eastAsia="Times New Roman" w:hAnsi="Century Schoolbook" w:cs="Times New Roman"/>
          <w:i/>
          <w:iCs/>
          <w:sz w:val="26"/>
          <w:szCs w:val="26"/>
        </w:rPr>
        <w:t>Cottle v. Superior Court</w:t>
      </w:r>
      <w:r w:rsidRPr="00491272">
        <w:rPr>
          <w:rFonts w:ascii="Century Schoolbook" w:eastAsia="Times New Roman" w:hAnsi="Century Schoolbook" w:cs="Times New Roman"/>
          <w:sz w:val="26"/>
          <w:szCs w:val="26"/>
        </w:rPr>
        <w:t xml:space="preserve"> (1992) 3 Cal.App.4th 1367, 1377</w:t>
      </w:r>
      <w:r w:rsidR="005935C8">
        <w:rPr>
          <w:rFonts w:ascii="Century Schoolbook" w:eastAsia="Times New Roman" w:hAnsi="Century Schoolbook" w:cs="Times New Roman"/>
          <w:sz w:val="26"/>
          <w:szCs w:val="26"/>
        </w:rPr>
        <w:t xml:space="preserve">; </w:t>
      </w:r>
      <w:r w:rsidR="005935C8">
        <w:rPr>
          <w:rFonts w:ascii="Century Schoolbook" w:eastAsia="Times New Roman" w:hAnsi="Century Schoolbook" w:cs="Times New Roman"/>
          <w:i/>
          <w:iCs/>
          <w:sz w:val="26"/>
          <w:szCs w:val="26"/>
        </w:rPr>
        <w:t>Estrada v. Royalty Carpet Mills</w:t>
      </w:r>
      <w:r w:rsidR="00FD6C40">
        <w:rPr>
          <w:rFonts w:ascii="Century Schoolbook" w:eastAsia="Times New Roman" w:hAnsi="Century Schoolbook" w:cs="Times New Roman"/>
          <w:i/>
          <w:iCs/>
          <w:sz w:val="26"/>
          <w:szCs w:val="26"/>
        </w:rPr>
        <w:t>, Inc.</w:t>
      </w:r>
      <w:r w:rsidR="005935C8">
        <w:rPr>
          <w:rFonts w:ascii="Century Schoolbook" w:eastAsia="Times New Roman" w:hAnsi="Century Schoolbook" w:cs="Times New Roman"/>
          <w:i/>
          <w:iCs/>
          <w:sz w:val="26"/>
          <w:szCs w:val="26"/>
        </w:rPr>
        <w:t xml:space="preserve"> </w:t>
      </w:r>
      <w:r w:rsidR="005935C8">
        <w:rPr>
          <w:rFonts w:ascii="Century Schoolbook" w:eastAsia="Times New Roman" w:hAnsi="Century Schoolbook" w:cs="Times New Roman"/>
          <w:sz w:val="26"/>
          <w:szCs w:val="26"/>
        </w:rPr>
        <w:t>(</w:t>
      </w:r>
      <w:r w:rsidR="00E8211F">
        <w:rPr>
          <w:rFonts w:ascii="Century Schoolbook" w:eastAsia="Times New Roman" w:hAnsi="Century Schoolbook" w:cs="Times New Roman"/>
          <w:sz w:val="26"/>
          <w:szCs w:val="26"/>
        </w:rPr>
        <w:t xml:space="preserve">Jan. 18, </w:t>
      </w:r>
      <w:r w:rsidR="005935C8">
        <w:rPr>
          <w:rFonts w:ascii="Century Schoolbook" w:eastAsia="Times New Roman" w:hAnsi="Century Schoolbook" w:cs="Times New Roman"/>
          <w:sz w:val="26"/>
          <w:szCs w:val="26"/>
        </w:rPr>
        <w:t>2024</w:t>
      </w:r>
      <w:r w:rsidR="00E8211F">
        <w:rPr>
          <w:rFonts w:ascii="Century Schoolbook" w:eastAsia="Times New Roman" w:hAnsi="Century Schoolbook" w:cs="Times New Roman"/>
          <w:sz w:val="26"/>
          <w:szCs w:val="26"/>
        </w:rPr>
        <w:t xml:space="preserve">, </w:t>
      </w:r>
      <w:r w:rsidR="00E8211F" w:rsidRPr="00E8211F">
        <w:rPr>
          <w:rFonts w:ascii="Century Schoolbook" w:eastAsia="Times New Roman" w:hAnsi="Century Schoolbook" w:cs="Times New Roman"/>
          <w:sz w:val="26"/>
          <w:szCs w:val="26"/>
        </w:rPr>
        <w:t>S274340</w:t>
      </w:r>
      <w:r w:rsidR="005935C8">
        <w:rPr>
          <w:rFonts w:ascii="Century Schoolbook" w:eastAsia="Times New Roman" w:hAnsi="Century Schoolbook" w:cs="Times New Roman"/>
          <w:sz w:val="26"/>
          <w:szCs w:val="26"/>
        </w:rPr>
        <w:t xml:space="preserve">) </w:t>
      </w:r>
      <w:r w:rsidR="00E8211F" w:rsidRPr="00E8211F">
        <w:rPr>
          <w:rFonts w:ascii="Century Schoolbook" w:eastAsia="Times New Roman" w:hAnsi="Century Schoolbook" w:cs="Times New Roman"/>
          <w:sz w:val="26"/>
          <w:szCs w:val="26"/>
        </w:rPr>
        <w:t xml:space="preserve">__ Cal.5th __ </w:t>
      </w:r>
      <w:r w:rsidR="00E8211F">
        <w:rPr>
          <w:rFonts w:ascii="Century Schoolbook" w:eastAsia="Times New Roman" w:hAnsi="Century Schoolbook" w:cs="Times New Roman"/>
          <w:sz w:val="26"/>
          <w:szCs w:val="26"/>
        </w:rPr>
        <w:t>[</w:t>
      </w:r>
      <w:r w:rsidR="005935C8">
        <w:rPr>
          <w:rFonts w:ascii="Century Schoolbook" w:eastAsia="Times New Roman" w:hAnsi="Century Schoolbook" w:cs="Times New Roman"/>
          <w:sz w:val="26"/>
          <w:szCs w:val="26"/>
        </w:rPr>
        <w:t>2024 Cal.</w:t>
      </w:r>
      <w:r w:rsidR="008251BD">
        <w:rPr>
          <w:rFonts w:ascii="Century Schoolbook" w:eastAsia="Times New Roman" w:hAnsi="Century Schoolbook" w:cs="Times New Roman"/>
          <w:sz w:val="26"/>
          <w:szCs w:val="26"/>
        </w:rPr>
        <w:t xml:space="preserve"> </w:t>
      </w:r>
      <w:r w:rsidR="005935C8">
        <w:rPr>
          <w:rFonts w:ascii="Century Schoolbook" w:eastAsia="Times New Roman" w:hAnsi="Century Schoolbook" w:cs="Times New Roman"/>
          <w:sz w:val="26"/>
          <w:szCs w:val="26"/>
        </w:rPr>
        <w:t>LEXIS 123, *7</w:t>
      </w:r>
      <w:r w:rsidR="0070065E">
        <w:rPr>
          <w:rFonts w:ascii="Century Schoolbook" w:eastAsia="Times New Roman" w:hAnsi="Century Schoolbook" w:cs="Times New Roman"/>
          <w:sz w:val="26"/>
          <w:szCs w:val="26"/>
        </w:rPr>
        <w:t>]</w:t>
      </w:r>
      <w:r w:rsidR="005935C8">
        <w:rPr>
          <w:rFonts w:ascii="Century Schoolbook" w:eastAsia="Times New Roman" w:hAnsi="Century Schoolbook" w:cs="Times New Roman"/>
          <w:sz w:val="26"/>
          <w:szCs w:val="26"/>
        </w:rPr>
        <w:t xml:space="preserve"> (</w:t>
      </w:r>
      <w:r w:rsidR="005935C8">
        <w:rPr>
          <w:rFonts w:ascii="Century Schoolbook" w:eastAsia="Times New Roman" w:hAnsi="Century Schoolbook" w:cs="Times New Roman"/>
          <w:i/>
          <w:iCs/>
          <w:sz w:val="26"/>
          <w:szCs w:val="26"/>
        </w:rPr>
        <w:t>Estrada</w:t>
      </w:r>
      <w:r w:rsidR="00DD2E58">
        <w:rPr>
          <w:rFonts w:ascii="Century Schoolbook" w:eastAsia="Times New Roman" w:hAnsi="Century Schoolbook" w:cs="Times New Roman"/>
          <w:i/>
          <w:iCs/>
          <w:sz w:val="26"/>
          <w:szCs w:val="26"/>
        </w:rPr>
        <w:t xml:space="preserve"> I</w:t>
      </w:r>
      <w:r w:rsidR="005935C8">
        <w:rPr>
          <w:rFonts w:ascii="Century Schoolbook" w:eastAsia="Times New Roman" w:hAnsi="Century Schoolbook" w:cs="Times New Roman"/>
          <w:sz w:val="26"/>
          <w:szCs w:val="26"/>
        </w:rPr>
        <w:t>)</w:t>
      </w:r>
      <w:r w:rsidRPr="00491272">
        <w:rPr>
          <w:rFonts w:ascii="Century Schoolbook" w:eastAsia="Times New Roman" w:hAnsi="Century Schoolbook" w:cs="Times New Roman"/>
          <w:sz w:val="26"/>
          <w:szCs w:val="26"/>
        </w:rPr>
        <w:t xml:space="preserve">.)  However, the courts’ inherent authority is interstitial—that is, existing only where the courts otherwise have subject matter jurisdiction and where there are </w:t>
      </w:r>
      <w:r w:rsidRPr="001976B8">
        <w:rPr>
          <w:rFonts w:ascii="Century Schoolbook" w:eastAsia="Times New Roman" w:hAnsi="Century Schoolbook" w:cs="Times New Roman"/>
          <w:i/>
          <w:iCs/>
          <w:sz w:val="26"/>
          <w:szCs w:val="26"/>
        </w:rPr>
        <w:t>gaps</w:t>
      </w:r>
      <w:r w:rsidR="00A80CF9">
        <w:rPr>
          <w:rFonts w:ascii="Century Schoolbook" w:eastAsia="Times New Roman" w:hAnsi="Century Schoolbook" w:cs="Times New Roman"/>
          <w:i/>
          <w:iCs/>
          <w:sz w:val="26"/>
          <w:szCs w:val="26"/>
        </w:rPr>
        <w:t xml:space="preserve"> </w:t>
      </w:r>
      <w:r w:rsidR="00A80CF9">
        <w:rPr>
          <w:rFonts w:ascii="Century Schoolbook" w:eastAsia="Times New Roman" w:hAnsi="Century Schoolbook" w:cs="Times New Roman"/>
          <w:sz w:val="26"/>
          <w:szCs w:val="26"/>
        </w:rPr>
        <w:t>in the law</w:t>
      </w:r>
      <w:r w:rsidRPr="00491272">
        <w:rPr>
          <w:rFonts w:ascii="Century Schoolbook" w:eastAsia="Times New Roman" w:hAnsi="Century Schoolbook" w:cs="Times New Roman"/>
          <w:sz w:val="26"/>
          <w:szCs w:val="26"/>
        </w:rPr>
        <w:t xml:space="preserve">; thus, </w:t>
      </w:r>
      <w:r w:rsidR="001976B8">
        <w:rPr>
          <w:rFonts w:ascii="Century Schoolbook" w:eastAsia="Times New Roman" w:hAnsi="Century Schoolbook" w:cs="Times New Roman"/>
          <w:sz w:val="26"/>
          <w:szCs w:val="26"/>
        </w:rPr>
        <w:t>the courts’ inherent authority</w:t>
      </w:r>
      <w:r w:rsidRPr="00491272">
        <w:rPr>
          <w:rFonts w:ascii="Century Schoolbook" w:eastAsia="Times New Roman" w:hAnsi="Century Schoolbook" w:cs="Times New Roman"/>
          <w:sz w:val="26"/>
          <w:szCs w:val="26"/>
        </w:rPr>
        <w:t xml:space="preserve"> cannot be exercised in a way that conflicts with constitutional or statutory law.  (</w:t>
      </w:r>
      <w:r w:rsidR="005935C8" w:rsidRPr="0079753B">
        <w:rPr>
          <w:rFonts w:ascii="Century Schoolbook" w:eastAsia="Times New Roman" w:hAnsi="Century Schoolbook" w:cs="Times New Roman"/>
          <w:i/>
          <w:iCs/>
          <w:sz w:val="26"/>
          <w:szCs w:val="26"/>
        </w:rPr>
        <w:t>Estrada</w:t>
      </w:r>
      <w:r w:rsidR="00DD2E58">
        <w:rPr>
          <w:rFonts w:ascii="Century Schoolbook" w:eastAsia="Times New Roman" w:hAnsi="Century Schoolbook" w:cs="Times New Roman"/>
          <w:i/>
          <w:iCs/>
          <w:sz w:val="26"/>
          <w:szCs w:val="26"/>
        </w:rPr>
        <w:t xml:space="preserve"> I</w:t>
      </w:r>
      <w:r w:rsidR="005935C8" w:rsidRPr="0079753B">
        <w:rPr>
          <w:rFonts w:ascii="Century Schoolbook" w:eastAsia="Times New Roman" w:hAnsi="Century Schoolbook" w:cs="Times New Roman"/>
          <w:sz w:val="26"/>
          <w:szCs w:val="26"/>
        </w:rPr>
        <w:t xml:space="preserve">, at </w:t>
      </w:r>
      <w:r w:rsidR="005968D2">
        <w:rPr>
          <w:rFonts w:ascii="Century Schoolbook" w:eastAsia="Times New Roman" w:hAnsi="Century Schoolbook" w:cs="Times New Roman"/>
          <w:sz w:val="26"/>
          <w:szCs w:val="26"/>
        </w:rPr>
        <w:t xml:space="preserve">pp. </w:t>
      </w:r>
      <w:r w:rsidR="005935C8" w:rsidRPr="0079753B">
        <w:rPr>
          <w:rFonts w:ascii="Century Schoolbook" w:eastAsia="Times New Roman" w:hAnsi="Century Schoolbook" w:cs="Times New Roman"/>
          <w:sz w:val="26"/>
          <w:szCs w:val="26"/>
        </w:rPr>
        <w:t xml:space="preserve">*7-*8; </w:t>
      </w:r>
      <w:r w:rsidRPr="005935C8">
        <w:rPr>
          <w:rFonts w:ascii="Century Schoolbook" w:eastAsia="Times New Roman" w:hAnsi="Century Schoolbook" w:cs="Times New Roman"/>
          <w:i/>
          <w:iCs/>
          <w:sz w:val="26"/>
          <w:szCs w:val="26"/>
        </w:rPr>
        <w:t>Weiss</w:t>
      </w:r>
      <w:r w:rsidRPr="00491272">
        <w:rPr>
          <w:rFonts w:ascii="Century Schoolbook" w:eastAsia="Times New Roman" w:hAnsi="Century Schoolbook" w:cs="Times New Roman"/>
          <w:i/>
          <w:iCs/>
          <w:sz w:val="26"/>
          <w:szCs w:val="26"/>
        </w:rPr>
        <w:t xml:space="preserve"> v. People ex rel. Dept. of Transportation </w:t>
      </w:r>
      <w:r w:rsidRPr="00491272">
        <w:rPr>
          <w:rFonts w:ascii="Century Schoolbook" w:eastAsia="Times New Roman" w:hAnsi="Century Schoolbook" w:cs="Times New Roman"/>
          <w:sz w:val="26"/>
          <w:szCs w:val="26"/>
        </w:rPr>
        <w:t xml:space="preserve">(2020) 9 Cal.5th 840, 857; </w:t>
      </w:r>
      <w:r w:rsidRPr="00491272">
        <w:rPr>
          <w:rFonts w:ascii="Century Schoolbook" w:eastAsia="Times New Roman" w:hAnsi="Century Schoolbook" w:cs="Times New Roman"/>
          <w:i/>
          <w:iCs/>
          <w:sz w:val="26"/>
          <w:szCs w:val="26"/>
        </w:rPr>
        <w:t>Citizens Utilities Co. v. Superior Court</w:t>
      </w:r>
      <w:r w:rsidRPr="00491272">
        <w:rPr>
          <w:rFonts w:ascii="Century Schoolbook" w:eastAsia="Times New Roman" w:hAnsi="Century Schoolbook" w:cs="Times New Roman"/>
          <w:sz w:val="26"/>
          <w:szCs w:val="26"/>
        </w:rPr>
        <w:t xml:space="preserve"> (1963) 59 Cal.2d 805, 812-813;</w:t>
      </w:r>
      <w:r w:rsidRPr="00491272">
        <w:rPr>
          <w:rFonts w:ascii="Century Schoolbook" w:eastAsia="Times New Roman" w:hAnsi="Century Schoolbook" w:cs="Times New Roman"/>
          <w:sz w:val="26"/>
          <w:szCs w:val="26"/>
        </w:rPr>
        <w:t xml:space="preserve"> </w:t>
      </w:r>
      <w:r w:rsidRPr="00491272">
        <w:rPr>
          <w:rFonts w:ascii="Century Schoolbook" w:eastAsia="Times New Roman" w:hAnsi="Century Schoolbook" w:cs="Times New Roman"/>
          <w:i/>
          <w:iCs/>
          <w:sz w:val="26"/>
          <w:szCs w:val="26"/>
        </w:rPr>
        <w:t>Britts v. Superior Court</w:t>
      </w:r>
      <w:r w:rsidRPr="00491272">
        <w:rPr>
          <w:rFonts w:ascii="Century Schoolbook" w:eastAsia="Times New Roman" w:hAnsi="Century Schoolbook" w:cs="Times New Roman"/>
          <w:sz w:val="26"/>
          <w:szCs w:val="26"/>
        </w:rPr>
        <w:t xml:space="preserve"> (2006) 145 Cal.App.4th 1112, 1129.)</w:t>
      </w:r>
    </w:p>
    <w:p w14:paraId="2D5AFC1A" w14:textId="77777777" w:rsidR="00864124" w:rsidRDefault="00864124" w:rsidP="00491272">
      <w:pPr>
        <w:spacing w:after="0" w:line="288" w:lineRule="auto"/>
        <w:rPr>
          <w:rFonts w:ascii="Century Schoolbook" w:eastAsia="Times New Roman" w:hAnsi="Century Schoolbook" w:cs="Times New Roman"/>
          <w:sz w:val="26"/>
          <w:szCs w:val="26"/>
        </w:rPr>
      </w:pPr>
    </w:p>
    <w:p w14:paraId="35234DCF" w14:textId="77777777" w:rsidR="00864124" w:rsidRPr="00491272" w:rsidRDefault="00864124" w:rsidP="00491272">
      <w:pPr>
        <w:spacing w:after="0" w:line="288" w:lineRule="auto"/>
        <w:rPr>
          <w:rFonts w:ascii="Century Schoolbook" w:eastAsia="Times New Roman" w:hAnsi="Century Schoolbook" w:cs="Times New Roman"/>
          <w:sz w:val="26"/>
          <w:szCs w:val="26"/>
        </w:rPr>
      </w:pPr>
    </w:p>
    <w:p w14:paraId="7649DB9A" w14:textId="77777777" w:rsidR="00491272" w:rsidRPr="00491272" w:rsidRDefault="00267C6F" w:rsidP="00491272">
      <w:pPr>
        <w:spacing w:after="0" w:line="288" w:lineRule="auto"/>
        <w:rPr>
          <w:rFonts w:ascii="Century Schoolbook" w:eastAsia="Times New Roman" w:hAnsi="Century Schoolbook" w:cs="Times New Roman"/>
          <w:b/>
          <w:bCs/>
          <w:sz w:val="26"/>
          <w:szCs w:val="26"/>
        </w:rPr>
      </w:pPr>
      <w:r w:rsidRPr="00491272">
        <w:rPr>
          <w:rFonts w:ascii="Century Schoolbook" w:eastAsia="Times New Roman" w:hAnsi="Century Schoolbook" w:cs="Times New Roman"/>
          <w:b/>
          <w:bCs/>
          <w:sz w:val="26"/>
          <w:szCs w:val="26"/>
        </w:rPr>
        <w:lastRenderedPageBreak/>
        <w:t>II.</w:t>
      </w:r>
      <w:r w:rsidRPr="00491272">
        <w:rPr>
          <w:rFonts w:ascii="Century Schoolbook" w:eastAsia="Times New Roman" w:hAnsi="Century Schoolbook" w:cs="Times New Roman"/>
          <w:b/>
          <w:bCs/>
          <w:sz w:val="26"/>
          <w:szCs w:val="26"/>
        </w:rPr>
        <w:tab/>
        <w:t>Analysis</w:t>
      </w:r>
    </w:p>
    <w:p w14:paraId="0A7AA579" w14:textId="68E7295C" w:rsidR="00491272" w:rsidRPr="00491272" w:rsidRDefault="00267C6F" w:rsidP="00491272">
      <w:pPr>
        <w:spacing w:after="0" w:line="288" w:lineRule="auto"/>
        <w:rPr>
          <w:rFonts w:ascii="Century Schoolbook" w:eastAsia="Times New Roman" w:hAnsi="Century Schoolbook" w:cs="Times New Roman"/>
          <w:sz w:val="26"/>
          <w:szCs w:val="26"/>
        </w:rPr>
      </w:pPr>
      <w:r w:rsidRPr="00491272">
        <w:rPr>
          <w:rFonts w:ascii="Century Schoolbook" w:eastAsia="Times New Roman" w:hAnsi="Century Schoolbook" w:cs="Times New Roman"/>
          <w:sz w:val="26"/>
          <w:szCs w:val="26"/>
        </w:rPr>
        <w:tab/>
        <w:t xml:space="preserve">We hold that a trial court, in the exercise of its inherent authority, has the power to </w:t>
      </w:r>
      <w:r w:rsidR="001976B8">
        <w:rPr>
          <w:rFonts w:ascii="Century Schoolbook" w:eastAsia="Times New Roman" w:hAnsi="Century Schoolbook" w:cs="Times New Roman"/>
          <w:sz w:val="26"/>
          <w:szCs w:val="26"/>
        </w:rPr>
        <w:t>reserve</w:t>
      </w:r>
      <w:r w:rsidRPr="00491272">
        <w:rPr>
          <w:rFonts w:ascii="Century Schoolbook" w:eastAsia="Times New Roman" w:hAnsi="Century Schoolbook" w:cs="Times New Roman"/>
          <w:sz w:val="26"/>
          <w:szCs w:val="26"/>
        </w:rPr>
        <w:t xml:space="preserve"> ruling on a defendant’s motion to dismiss an indictment and to </w:t>
      </w:r>
      <w:r w:rsidR="00A80CF9">
        <w:rPr>
          <w:rFonts w:ascii="Century Schoolbook" w:eastAsia="Times New Roman" w:hAnsi="Century Schoolbook" w:cs="Times New Roman"/>
          <w:sz w:val="26"/>
          <w:szCs w:val="26"/>
        </w:rPr>
        <w:t xml:space="preserve">resubmit </w:t>
      </w:r>
      <w:r w:rsidR="00EB1655">
        <w:rPr>
          <w:rFonts w:ascii="Century Schoolbook" w:eastAsia="Times New Roman" w:hAnsi="Century Schoolbook" w:cs="Times New Roman"/>
          <w:sz w:val="26"/>
          <w:szCs w:val="26"/>
        </w:rPr>
        <w:t xml:space="preserve">a crime or enhancement </w:t>
      </w:r>
      <w:r w:rsidR="00A80CF9">
        <w:rPr>
          <w:rFonts w:ascii="Century Schoolbook" w:eastAsia="Times New Roman" w:hAnsi="Century Schoolbook" w:cs="Times New Roman"/>
          <w:sz w:val="26"/>
          <w:szCs w:val="26"/>
        </w:rPr>
        <w:t>to the</w:t>
      </w:r>
      <w:r w:rsidR="00A80CF9" w:rsidRPr="00491272">
        <w:rPr>
          <w:rFonts w:ascii="Century Schoolbook" w:eastAsia="Times New Roman" w:hAnsi="Century Schoolbook" w:cs="Times New Roman"/>
          <w:sz w:val="26"/>
          <w:szCs w:val="26"/>
        </w:rPr>
        <w:t xml:space="preserve"> </w:t>
      </w:r>
      <w:r w:rsidRPr="00491272">
        <w:rPr>
          <w:rFonts w:ascii="Century Schoolbook" w:eastAsia="Times New Roman" w:hAnsi="Century Schoolbook" w:cs="Times New Roman"/>
          <w:sz w:val="26"/>
          <w:szCs w:val="26"/>
        </w:rPr>
        <w:t xml:space="preserve">grand jury to permit the People to present evidence relevant to new elements of </w:t>
      </w:r>
      <w:r w:rsidR="00EB1655">
        <w:rPr>
          <w:rFonts w:ascii="Century Schoolbook" w:eastAsia="Times New Roman" w:hAnsi="Century Schoolbook" w:cs="Times New Roman"/>
          <w:sz w:val="26"/>
          <w:szCs w:val="26"/>
        </w:rPr>
        <w:t>the</w:t>
      </w:r>
      <w:r w:rsidR="00EB1655" w:rsidRPr="00491272">
        <w:rPr>
          <w:rFonts w:ascii="Century Schoolbook" w:eastAsia="Times New Roman" w:hAnsi="Century Schoolbook" w:cs="Times New Roman"/>
          <w:sz w:val="26"/>
          <w:szCs w:val="26"/>
        </w:rPr>
        <w:t xml:space="preserve"> </w:t>
      </w:r>
      <w:r w:rsidRPr="00491272">
        <w:rPr>
          <w:rFonts w:ascii="Century Schoolbook" w:eastAsia="Times New Roman" w:hAnsi="Century Schoolbook" w:cs="Times New Roman"/>
          <w:sz w:val="26"/>
          <w:szCs w:val="26"/>
        </w:rPr>
        <w:t>crime or enhancement added by our Legislature after the initial grand</w:t>
      </w:r>
      <w:r w:rsidRPr="00491272">
        <w:rPr>
          <w:rFonts w:ascii="Century Schoolbook" w:eastAsia="Times New Roman" w:hAnsi="Century Schoolbook" w:cs="Times New Roman"/>
          <w:sz w:val="26"/>
          <w:szCs w:val="26"/>
        </w:rPr>
        <w:t xml:space="preserve"> jury </w:t>
      </w:r>
      <w:r w:rsidR="001976B8">
        <w:rPr>
          <w:rFonts w:ascii="Century Schoolbook" w:eastAsia="Times New Roman" w:hAnsi="Century Schoolbook" w:cs="Times New Roman"/>
          <w:sz w:val="26"/>
          <w:szCs w:val="26"/>
        </w:rPr>
        <w:t>proceeding.</w:t>
      </w:r>
    </w:p>
    <w:p w14:paraId="1E2AD69F" w14:textId="196D601B" w:rsidR="00491272" w:rsidRPr="00491272" w:rsidRDefault="00267C6F" w:rsidP="00491272">
      <w:pPr>
        <w:spacing w:after="0" w:line="288" w:lineRule="auto"/>
        <w:rPr>
          <w:rFonts w:ascii="Century Schoolbook" w:eastAsia="Times New Roman" w:hAnsi="Century Schoolbook" w:cs="Times New Roman"/>
          <w:sz w:val="26"/>
          <w:szCs w:val="26"/>
        </w:rPr>
      </w:pPr>
      <w:r w:rsidRPr="00491272">
        <w:rPr>
          <w:rFonts w:ascii="Century Schoolbook" w:eastAsia="Times New Roman" w:hAnsi="Century Schoolbook" w:cs="Times New Roman"/>
          <w:sz w:val="26"/>
          <w:szCs w:val="26"/>
        </w:rPr>
        <w:tab/>
      </w:r>
      <w:r w:rsidR="001976B8">
        <w:rPr>
          <w:rFonts w:ascii="Century Schoolbook" w:eastAsia="Times New Roman" w:hAnsi="Century Schoolbook" w:cs="Times New Roman"/>
          <w:sz w:val="26"/>
          <w:szCs w:val="26"/>
        </w:rPr>
        <w:t>As a threshold matter</w:t>
      </w:r>
      <w:r w:rsidRPr="00491272">
        <w:rPr>
          <w:rFonts w:ascii="Century Schoolbook" w:eastAsia="Times New Roman" w:hAnsi="Century Schoolbook" w:cs="Times New Roman"/>
          <w:sz w:val="26"/>
          <w:szCs w:val="26"/>
        </w:rPr>
        <w:t>, trial court</w:t>
      </w:r>
      <w:r w:rsidR="001976B8">
        <w:rPr>
          <w:rFonts w:ascii="Century Schoolbook" w:eastAsia="Times New Roman" w:hAnsi="Century Schoolbook" w:cs="Times New Roman"/>
          <w:sz w:val="26"/>
          <w:szCs w:val="26"/>
        </w:rPr>
        <w:t>s</w:t>
      </w:r>
      <w:r w:rsidRPr="00491272">
        <w:rPr>
          <w:rFonts w:ascii="Century Schoolbook" w:eastAsia="Times New Roman" w:hAnsi="Century Schoolbook" w:cs="Times New Roman"/>
          <w:sz w:val="26"/>
          <w:szCs w:val="26"/>
        </w:rPr>
        <w:t xml:space="preserve"> certainly ha</w:t>
      </w:r>
      <w:r w:rsidR="001976B8">
        <w:rPr>
          <w:rFonts w:ascii="Century Schoolbook" w:eastAsia="Times New Roman" w:hAnsi="Century Schoolbook" w:cs="Times New Roman"/>
          <w:sz w:val="26"/>
          <w:szCs w:val="26"/>
        </w:rPr>
        <w:t>ve</w:t>
      </w:r>
      <w:r w:rsidRPr="00491272">
        <w:rPr>
          <w:rFonts w:ascii="Century Schoolbook" w:eastAsia="Times New Roman" w:hAnsi="Century Schoolbook" w:cs="Times New Roman"/>
          <w:sz w:val="26"/>
          <w:szCs w:val="26"/>
        </w:rPr>
        <w:t xml:space="preserve"> inherent authority over the grand jury, and subject </w:t>
      </w:r>
      <w:r w:rsidR="001976B8">
        <w:rPr>
          <w:rFonts w:ascii="Century Schoolbook" w:eastAsia="Times New Roman" w:hAnsi="Century Schoolbook" w:cs="Times New Roman"/>
          <w:sz w:val="26"/>
          <w:szCs w:val="26"/>
        </w:rPr>
        <w:t xml:space="preserve">matter </w:t>
      </w:r>
      <w:r w:rsidRPr="00491272">
        <w:rPr>
          <w:rFonts w:ascii="Century Schoolbook" w:eastAsia="Times New Roman" w:hAnsi="Century Schoolbook" w:cs="Times New Roman"/>
          <w:sz w:val="26"/>
          <w:szCs w:val="26"/>
        </w:rPr>
        <w:t xml:space="preserve">jurisdiction over a criminal case arising from an indictment by virtue of the </w:t>
      </w:r>
      <w:r w:rsidR="006D42E0">
        <w:rPr>
          <w:rFonts w:ascii="Century Schoolbook" w:eastAsia="Times New Roman" w:hAnsi="Century Schoolbook" w:cs="Times New Roman"/>
          <w:sz w:val="26"/>
          <w:szCs w:val="26"/>
        </w:rPr>
        <w:t xml:space="preserve">People’s </w:t>
      </w:r>
      <w:r w:rsidRPr="00491272">
        <w:rPr>
          <w:rFonts w:ascii="Century Schoolbook" w:eastAsia="Times New Roman" w:hAnsi="Century Schoolbook" w:cs="Times New Roman"/>
          <w:sz w:val="26"/>
          <w:szCs w:val="26"/>
        </w:rPr>
        <w:t>filing of the indictment with the court.</w:t>
      </w:r>
      <w:r w:rsidRPr="00491272">
        <w:rPr>
          <w:rFonts w:ascii="Century Schoolbook" w:eastAsia="Times New Roman" w:hAnsi="Century Schoolbook" w:cs="Times New Roman"/>
          <w:sz w:val="26"/>
          <w:szCs w:val="26"/>
        </w:rPr>
        <w:t xml:space="preserve">  Although </w:t>
      </w:r>
      <w:r w:rsidR="001976B8">
        <w:rPr>
          <w:rFonts w:ascii="Century Schoolbook" w:eastAsia="Times New Roman" w:hAnsi="Century Schoolbook" w:cs="Times New Roman"/>
          <w:sz w:val="26"/>
          <w:szCs w:val="26"/>
        </w:rPr>
        <w:t>the</w:t>
      </w:r>
      <w:r w:rsidRPr="00491272">
        <w:rPr>
          <w:rFonts w:ascii="Century Schoolbook" w:eastAsia="Times New Roman" w:hAnsi="Century Schoolbook" w:cs="Times New Roman"/>
          <w:sz w:val="26"/>
          <w:szCs w:val="26"/>
        </w:rPr>
        <w:t xml:space="preserve"> grand jury possesses an “independence of judgment” in determining whether evidence supports a particular criminal charge or enhancement (</w:t>
      </w:r>
      <w:r w:rsidR="008B48D1" w:rsidRPr="00491272">
        <w:rPr>
          <w:rFonts w:ascii="Century Schoolbook" w:eastAsia="Times New Roman" w:hAnsi="Century Schoolbook" w:cs="Times New Roman"/>
          <w:i/>
          <w:iCs/>
          <w:sz w:val="26"/>
          <w:szCs w:val="26"/>
        </w:rPr>
        <w:t xml:space="preserve">People v. Superior Court </w:t>
      </w:r>
      <w:r w:rsidR="006D42E0" w:rsidRPr="00AE00C9">
        <w:rPr>
          <w:rFonts w:ascii="Century Schoolbook" w:eastAsia="Times New Roman" w:hAnsi="Century Schoolbook" w:cs="Times New Roman"/>
          <w:i/>
          <w:iCs/>
          <w:sz w:val="26"/>
          <w:szCs w:val="26"/>
        </w:rPr>
        <w:t>(</w:t>
      </w:r>
      <w:r w:rsidR="006D42E0" w:rsidRPr="00491272">
        <w:rPr>
          <w:rFonts w:ascii="Century Schoolbook" w:eastAsia="Times New Roman" w:hAnsi="Century Schoolbook" w:cs="Times New Roman"/>
          <w:i/>
          <w:iCs/>
          <w:sz w:val="26"/>
          <w:szCs w:val="26"/>
        </w:rPr>
        <w:t>1973 Grand Jury</w:t>
      </w:r>
      <w:r w:rsidR="006D42E0" w:rsidRPr="00AE00C9">
        <w:rPr>
          <w:rFonts w:ascii="Century Schoolbook" w:eastAsia="Times New Roman" w:hAnsi="Century Schoolbook" w:cs="Times New Roman"/>
          <w:i/>
          <w:iCs/>
          <w:sz w:val="26"/>
          <w:szCs w:val="26"/>
        </w:rPr>
        <w:t>)</w:t>
      </w:r>
      <w:r w:rsidR="006D42E0" w:rsidRPr="00491272">
        <w:rPr>
          <w:rFonts w:ascii="Century Schoolbook" w:eastAsia="Times New Roman" w:hAnsi="Century Schoolbook" w:cs="Times New Roman"/>
          <w:sz w:val="26"/>
          <w:szCs w:val="26"/>
        </w:rPr>
        <w:t xml:space="preserve"> </w:t>
      </w:r>
      <w:r w:rsidR="008B48D1" w:rsidRPr="00491272">
        <w:rPr>
          <w:rFonts w:ascii="Century Schoolbook" w:eastAsia="Times New Roman" w:hAnsi="Century Schoolbook" w:cs="Times New Roman"/>
          <w:sz w:val="26"/>
          <w:szCs w:val="26"/>
        </w:rPr>
        <w:t>(1975) 13 Cal.3d 430, 4</w:t>
      </w:r>
      <w:r w:rsidR="008B48D1">
        <w:rPr>
          <w:rFonts w:ascii="Century Schoolbook" w:eastAsia="Times New Roman" w:hAnsi="Century Schoolbook" w:cs="Times New Roman"/>
          <w:sz w:val="26"/>
          <w:szCs w:val="26"/>
        </w:rPr>
        <w:t xml:space="preserve">39; </w:t>
      </w:r>
      <w:r w:rsidRPr="00491272">
        <w:rPr>
          <w:rFonts w:ascii="Century Schoolbook" w:eastAsia="Times New Roman" w:hAnsi="Century Schoolbook" w:cs="Times New Roman"/>
          <w:i/>
          <w:iCs/>
          <w:sz w:val="26"/>
          <w:szCs w:val="26"/>
        </w:rPr>
        <w:t>McClatchy</w:t>
      </w:r>
      <w:r w:rsidRPr="00AE00C9">
        <w:rPr>
          <w:rFonts w:ascii="Century Schoolbook" w:eastAsia="Times New Roman" w:hAnsi="Century Schoolbook" w:cs="Times New Roman"/>
          <w:sz w:val="26"/>
          <w:szCs w:val="26"/>
        </w:rPr>
        <w:t xml:space="preserve">, </w:t>
      </w:r>
      <w:r w:rsidRPr="00491272">
        <w:rPr>
          <w:rFonts w:ascii="Century Schoolbook" w:eastAsia="Times New Roman" w:hAnsi="Century Schoolbook" w:cs="Times New Roman"/>
          <w:i/>
          <w:iCs/>
          <w:sz w:val="26"/>
          <w:szCs w:val="26"/>
        </w:rPr>
        <w:t>supra</w:t>
      </w:r>
      <w:r w:rsidRPr="00491272">
        <w:rPr>
          <w:rFonts w:ascii="Century Schoolbook" w:eastAsia="Times New Roman" w:hAnsi="Century Schoolbook" w:cs="Times New Roman"/>
          <w:sz w:val="26"/>
          <w:szCs w:val="26"/>
        </w:rPr>
        <w:t xml:space="preserve">, 44 Cal.3d at pp. 1171-1172; accord, </w:t>
      </w:r>
      <w:r w:rsidRPr="00491272">
        <w:rPr>
          <w:rFonts w:ascii="Century Schoolbook" w:eastAsia="Times New Roman" w:hAnsi="Century Schoolbook" w:cs="Times New Roman"/>
          <w:i/>
          <w:iCs/>
          <w:sz w:val="26"/>
          <w:szCs w:val="26"/>
        </w:rPr>
        <w:t>Daily Journal</w:t>
      </w:r>
      <w:r w:rsidR="00D5355C">
        <w:rPr>
          <w:rFonts w:ascii="Century Schoolbook" w:eastAsia="Times New Roman" w:hAnsi="Century Schoolbook" w:cs="Times New Roman"/>
          <w:i/>
          <w:iCs/>
          <w:sz w:val="26"/>
          <w:szCs w:val="26"/>
        </w:rPr>
        <w:t xml:space="preserve"> </w:t>
      </w:r>
      <w:r w:rsidR="00D5355C" w:rsidRPr="00D5355C">
        <w:rPr>
          <w:rFonts w:ascii="Century Schoolbook" w:eastAsia="Times New Roman" w:hAnsi="Century Schoolbook" w:cs="Times New Roman"/>
          <w:i/>
          <w:iCs/>
          <w:sz w:val="26"/>
          <w:szCs w:val="26"/>
        </w:rPr>
        <w:t xml:space="preserve">Corp. v. Superior Court </w:t>
      </w:r>
      <w:r w:rsidR="00D5355C" w:rsidRPr="00AE00C9">
        <w:rPr>
          <w:rFonts w:ascii="Century Schoolbook" w:eastAsia="Times New Roman" w:hAnsi="Century Schoolbook" w:cs="Times New Roman"/>
          <w:sz w:val="26"/>
          <w:szCs w:val="26"/>
        </w:rPr>
        <w:t>(1999) 20 Cal.4th 1117</w:t>
      </w:r>
      <w:r w:rsidR="00D5355C">
        <w:rPr>
          <w:rFonts w:ascii="Century Schoolbook" w:eastAsia="Times New Roman" w:hAnsi="Century Schoolbook" w:cs="Times New Roman"/>
          <w:sz w:val="26"/>
          <w:szCs w:val="26"/>
        </w:rPr>
        <w:t>,</w:t>
      </w:r>
      <w:r w:rsidRPr="00491272">
        <w:rPr>
          <w:rFonts w:ascii="Century Schoolbook" w:eastAsia="Times New Roman" w:hAnsi="Century Schoolbook" w:cs="Times New Roman"/>
          <w:i/>
          <w:iCs/>
          <w:sz w:val="26"/>
          <w:szCs w:val="26"/>
        </w:rPr>
        <w:t xml:space="preserve"> </w:t>
      </w:r>
      <w:r w:rsidRPr="00491272">
        <w:rPr>
          <w:rFonts w:ascii="Century Schoolbook" w:eastAsia="Times New Roman" w:hAnsi="Century Schoolbook" w:cs="Times New Roman"/>
          <w:sz w:val="26"/>
          <w:szCs w:val="26"/>
        </w:rPr>
        <w:t>1128</w:t>
      </w:r>
      <w:r w:rsidR="00D5355C">
        <w:rPr>
          <w:rFonts w:ascii="Century Schoolbook" w:eastAsia="Times New Roman" w:hAnsi="Century Schoolbook" w:cs="Times New Roman"/>
          <w:sz w:val="26"/>
          <w:szCs w:val="26"/>
        </w:rPr>
        <w:t xml:space="preserve"> </w:t>
      </w:r>
      <w:r w:rsidRPr="00491272">
        <w:rPr>
          <w:rFonts w:ascii="Century Schoolbook" w:eastAsia="Times New Roman" w:hAnsi="Century Schoolbook" w:cs="Times New Roman"/>
          <w:sz w:val="26"/>
          <w:szCs w:val="26"/>
        </w:rPr>
        <w:t xml:space="preserve">[noting that “the supervisory role of the </w:t>
      </w:r>
      <w:r w:rsidR="00A80CF9">
        <w:rPr>
          <w:rFonts w:ascii="Century Schoolbook" w:eastAsia="Times New Roman" w:hAnsi="Century Schoolbook" w:cs="Times New Roman"/>
          <w:sz w:val="26"/>
          <w:szCs w:val="26"/>
        </w:rPr>
        <w:t>[trial]</w:t>
      </w:r>
      <w:r w:rsidR="00A80CF9" w:rsidRPr="00491272">
        <w:rPr>
          <w:rFonts w:ascii="Century Schoolbook" w:eastAsia="Times New Roman" w:hAnsi="Century Schoolbook" w:cs="Times New Roman"/>
          <w:sz w:val="26"/>
          <w:szCs w:val="26"/>
        </w:rPr>
        <w:t xml:space="preserve"> </w:t>
      </w:r>
      <w:r w:rsidRPr="00491272">
        <w:rPr>
          <w:rFonts w:ascii="Century Schoolbook" w:eastAsia="Times New Roman" w:hAnsi="Century Schoolbook" w:cs="Times New Roman"/>
          <w:sz w:val="26"/>
          <w:szCs w:val="26"/>
        </w:rPr>
        <w:t xml:space="preserve">court is sharply restricted” regarding matters entrusted to grand jury’s purview]), cases dating back to our </w:t>
      </w:r>
      <w:r w:rsidR="00C11239">
        <w:rPr>
          <w:rFonts w:ascii="Century Schoolbook" w:eastAsia="Times New Roman" w:hAnsi="Century Schoolbook" w:cs="Times New Roman"/>
          <w:sz w:val="26"/>
          <w:szCs w:val="26"/>
        </w:rPr>
        <w:t>s</w:t>
      </w:r>
      <w:r w:rsidRPr="00491272">
        <w:rPr>
          <w:rFonts w:ascii="Century Schoolbook" w:eastAsia="Times New Roman" w:hAnsi="Century Schoolbook" w:cs="Times New Roman"/>
          <w:sz w:val="26"/>
          <w:szCs w:val="26"/>
        </w:rPr>
        <w:t>tate’s early days confirm that a grand jury is nevertheless “fundamentally a judicial entity” and “</w:t>
      </w:r>
      <w:r w:rsidR="00A80CF9">
        <w:rPr>
          <w:rFonts w:ascii="Century Schoolbook" w:eastAsia="Times New Roman" w:hAnsi="Century Schoolbook" w:cs="Times New Roman"/>
          <w:sz w:val="26"/>
          <w:szCs w:val="26"/>
        </w:rPr>
        <w:t>‘</w:t>
      </w:r>
      <w:r w:rsidRPr="00491272">
        <w:rPr>
          <w:rFonts w:ascii="Century Schoolbook" w:eastAsia="Times New Roman" w:hAnsi="Century Schoolbook" w:cs="Times New Roman"/>
          <w:sz w:val="26"/>
          <w:szCs w:val="26"/>
        </w:rPr>
        <w:t xml:space="preserve">an instrumentality of the courts,’” and hence </w:t>
      </w:r>
      <w:r w:rsidRPr="00491272">
        <w:rPr>
          <w:rFonts w:ascii="Century Schoolbook" w:eastAsia="Times New Roman" w:hAnsi="Century Schoolbook" w:cs="Times New Roman"/>
          <w:sz w:val="26"/>
          <w:szCs w:val="26"/>
        </w:rPr>
        <w:t>“</w:t>
      </w:r>
      <w:r w:rsidR="00A80CF9">
        <w:rPr>
          <w:rFonts w:ascii="Century Schoolbook" w:eastAsia="Times New Roman" w:hAnsi="Century Schoolbook" w:cs="Times New Roman"/>
          <w:sz w:val="26"/>
          <w:szCs w:val="26"/>
        </w:rPr>
        <w:t>‘</w:t>
      </w:r>
      <w:r w:rsidRPr="00491272">
        <w:rPr>
          <w:rFonts w:ascii="Century Schoolbook" w:eastAsia="Times New Roman" w:hAnsi="Century Schoolbook" w:cs="Times New Roman"/>
          <w:sz w:val="26"/>
          <w:szCs w:val="26"/>
        </w:rPr>
        <w:t>under the control of the court[s]</w:t>
      </w:r>
      <w:r w:rsidR="00A80CF9">
        <w:rPr>
          <w:rFonts w:ascii="Century Schoolbook" w:eastAsia="Times New Roman" w:hAnsi="Century Schoolbook" w:cs="Times New Roman"/>
          <w:sz w:val="26"/>
          <w:szCs w:val="26"/>
        </w:rPr>
        <w:t>’</w:t>
      </w:r>
      <w:r w:rsidRPr="00491272">
        <w:rPr>
          <w:rFonts w:ascii="Century Schoolbook" w:eastAsia="Times New Roman" w:hAnsi="Century Schoolbook" w:cs="Times New Roman"/>
          <w:sz w:val="26"/>
          <w:szCs w:val="26"/>
        </w:rPr>
        <w:t>” (</w:t>
      </w:r>
      <w:r w:rsidR="00A80CF9" w:rsidRPr="00491272">
        <w:rPr>
          <w:rFonts w:ascii="Century Schoolbook" w:eastAsia="Times New Roman" w:hAnsi="Century Schoolbook" w:cs="Times New Roman"/>
          <w:i/>
          <w:iCs/>
          <w:sz w:val="26"/>
          <w:szCs w:val="26"/>
        </w:rPr>
        <w:t>McClatchy</w:t>
      </w:r>
      <w:r w:rsidR="00A80CF9" w:rsidRPr="00A4470C">
        <w:rPr>
          <w:rFonts w:ascii="Century Schoolbook" w:eastAsia="Times New Roman" w:hAnsi="Century Schoolbook" w:cs="Times New Roman"/>
          <w:sz w:val="26"/>
          <w:szCs w:val="26"/>
        </w:rPr>
        <w:t>,</w:t>
      </w:r>
      <w:r w:rsidR="00A80CF9" w:rsidRPr="00491272">
        <w:rPr>
          <w:rFonts w:ascii="Century Schoolbook" w:eastAsia="Times New Roman" w:hAnsi="Century Schoolbook" w:cs="Times New Roman"/>
          <w:sz w:val="26"/>
          <w:szCs w:val="26"/>
        </w:rPr>
        <w:t xml:space="preserve"> at p. 1171</w:t>
      </w:r>
      <w:r w:rsidR="00A80CF9">
        <w:rPr>
          <w:rFonts w:ascii="Century Schoolbook" w:eastAsia="Times New Roman" w:hAnsi="Century Schoolbook" w:cs="Times New Roman"/>
          <w:sz w:val="26"/>
          <w:szCs w:val="26"/>
        </w:rPr>
        <w:t xml:space="preserve">; </w:t>
      </w:r>
      <w:r w:rsidR="00A80CF9" w:rsidRPr="00491272">
        <w:rPr>
          <w:rFonts w:ascii="Century Schoolbook" w:eastAsia="Times New Roman" w:hAnsi="Century Schoolbook" w:cs="Times New Roman"/>
          <w:i/>
          <w:iCs/>
          <w:sz w:val="26"/>
          <w:szCs w:val="26"/>
        </w:rPr>
        <w:t>1973 Grand Jury</w:t>
      </w:r>
      <w:r w:rsidR="00A80CF9" w:rsidRPr="00D279F4">
        <w:rPr>
          <w:rFonts w:ascii="Century Schoolbook" w:eastAsia="Times New Roman" w:hAnsi="Century Schoolbook" w:cs="Times New Roman"/>
          <w:sz w:val="26"/>
          <w:szCs w:val="26"/>
        </w:rPr>
        <w:t>,</w:t>
      </w:r>
      <w:r w:rsidR="00A80CF9" w:rsidRPr="00491272">
        <w:rPr>
          <w:rFonts w:ascii="Century Schoolbook" w:eastAsia="Times New Roman" w:hAnsi="Century Schoolbook" w:cs="Times New Roman"/>
          <w:i/>
          <w:iCs/>
          <w:sz w:val="26"/>
          <w:szCs w:val="26"/>
        </w:rPr>
        <w:t xml:space="preserve"> </w:t>
      </w:r>
      <w:r w:rsidR="00A80CF9" w:rsidRPr="00491272">
        <w:rPr>
          <w:rFonts w:ascii="Century Schoolbook" w:eastAsia="Times New Roman" w:hAnsi="Century Schoolbook" w:cs="Times New Roman"/>
          <w:sz w:val="26"/>
          <w:szCs w:val="26"/>
        </w:rPr>
        <w:t>at p.</w:t>
      </w:r>
      <w:r w:rsidR="00A80CF9">
        <w:rPr>
          <w:rFonts w:ascii="Century Schoolbook" w:eastAsia="Times New Roman" w:hAnsi="Century Schoolbook" w:cs="Times New Roman"/>
          <w:sz w:val="26"/>
          <w:szCs w:val="26"/>
        </w:rPr>
        <w:t xml:space="preserve"> </w:t>
      </w:r>
      <w:r w:rsidR="00A80CF9" w:rsidRPr="00491272">
        <w:rPr>
          <w:rFonts w:ascii="Century Schoolbook" w:eastAsia="Times New Roman" w:hAnsi="Century Schoolbook" w:cs="Times New Roman"/>
          <w:sz w:val="26"/>
          <w:szCs w:val="26"/>
        </w:rPr>
        <w:t>438;</w:t>
      </w:r>
      <w:r w:rsidR="00A80CF9">
        <w:rPr>
          <w:rFonts w:ascii="Century Schoolbook" w:eastAsia="Times New Roman" w:hAnsi="Century Schoolbook" w:cs="Times New Roman"/>
          <w:sz w:val="26"/>
          <w:szCs w:val="26"/>
        </w:rPr>
        <w:t xml:space="preserve"> </w:t>
      </w:r>
      <w:r w:rsidRPr="00491272">
        <w:rPr>
          <w:rFonts w:ascii="Century Schoolbook" w:eastAsia="Times New Roman" w:hAnsi="Century Schoolbook" w:cs="Times New Roman"/>
          <w:i/>
          <w:iCs/>
          <w:sz w:val="26"/>
          <w:szCs w:val="26"/>
        </w:rPr>
        <w:t>Guillory</w:t>
      </w:r>
      <w:r w:rsidRPr="00AE00C9">
        <w:rPr>
          <w:rFonts w:ascii="Century Schoolbook" w:eastAsia="Times New Roman" w:hAnsi="Century Schoolbook" w:cs="Times New Roman"/>
          <w:sz w:val="26"/>
          <w:szCs w:val="26"/>
        </w:rPr>
        <w:t xml:space="preserve">, </w:t>
      </w:r>
      <w:r w:rsidRPr="00491272">
        <w:rPr>
          <w:rFonts w:ascii="Century Schoolbook" w:eastAsia="Times New Roman" w:hAnsi="Century Schoolbook" w:cs="Times New Roman"/>
          <w:i/>
          <w:iCs/>
          <w:sz w:val="26"/>
          <w:szCs w:val="26"/>
        </w:rPr>
        <w:t>supra</w:t>
      </w:r>
      <w:r w:rsidRPr="00491272">
        <w:rPr>
          <w:rFonts w:ascii="Century Schoolbook" w:eastAsia="Times New Roman" w:hAnsi="Century Schoolbook" w:cs="Times New Roman"/>
          <w:sz w:val="26"/>
          <w:szCs w:val="26"/>
        </w:rPr>
        <w:t xml:space="preserve">, 31 Cal.4th at p. 174; </w:t>
      </w:r>
      <w:r w:rsidRPr="00491272">
        <w:rPr>
          <w:rFonts w:ascii="Century Schoolbook" w:eastAsia="Times New Roman" w:hAnsi="Century Schoolbook" w:cs="Times New Roman"/>
          <w:i/>
          <w:iCs/>
          <w:sz w:val="26"/>
          <w:szCs w:val="26"/>
        </w:rPr>
        <w:t xml:space="preserve">In re Shuler </w:t>
      </w:r>
      <w:r w:rsidRPr="00491272">
        <w:rPr>
          <w:rFonts w:ascii="Century Schoolbook" w:eastAsia="Times New Roman" w:hAnsi="Century Schoolbook" w:cs="Times New Roman"/>
          <w:sz w:val="26"/>
          <w:szCs w:val="26"/>
        </w:rPr>
        <w:t xml:space="preserve">(1930) 210 Cal. 377, 405; </w:t>
      </w:r>
      <w:r w:rsidRPr="00491272">
        <w:rPr>
          <w:rFonts w:ascii="Century Schoolbook" w:eastAsia="Times New Roman" w:hAnsi="Century Schoolbook" w:cs="Times New Roman"/>
          <w:i/>
          <w:iCs/>
          <w:sz w:val="26"/>
          <w:szCs w:val="26"/>
        </w:rPr>
        <w:t xml:space="preserve">Ex </w:t>
      </w:r>
      <w:proofErr w:type="spellStart"/>
      <w:r w:rsidRPr="00491272">
        <w:rPr>
          <w:rFonts w:ascii="Century Schoolbook" w:eastAsia="Times New Roman" w:hAnsi="Century Schoolbook" w:cs="Times New Roman"/>
          <w:i/>
          <w:iCs/>
          <w:sz w:val="26"/>
          <w:szCs w:val="26"/>
        </w:rPr>
        <w:t>parte</w:t>
      </w:r>
      <w:proofErr w:type="spellEnd"/>
      <w:r w:rsidRPr="00491272">
        <w:rPr>
          <w:rFonts w:ascii="Century Schoolbook" w:eastAsia="Times New Roman" w:hAnsi="Century Schoolbook" w:cs="Times New Roman"/>
          <w:i/>
          <w:iCs/>
          <w:sz w:val="26"/>
          <w:szCs w:val="26"/>
        </w:rPr>
        <w:t xml:space="preserve"> </w:t>
      </w:r>
      <w:proofErr w:type="spellStart"/>
      <w:r w:rsidRPr="00491272">
        <w:rPr>
          <w:rFonts w:ascii="Century Schoolbook" w:eastAsia="Times New Roman" w:hAnsi="Century Schoolbook" w:cs="Times New Roman"/>
          <w:i/>
          <w:iCs/>
          <w:sz w:val="26"/>
          <w:szCs w:val="26"/>
        </w:rPr>
        <w:t>Sternes</w:t>
      </w:r>
      <w:proofErr w:type="spellEnd"/>
      <w:r w:rsidRPr="00491272">
        <w:rPr>
          <w:rFonts w:ascii="Century Schoolbook" w:eastAsia="Times New Roman" w:hAnsi="Century Schoolbook" w:cs="Times New Roman"/>
          <w:i/>
          <w:iCs/>
          <w:sz w:val="26"/>
          <w:szCs w:val="26"/>
        </w:rPr>
        <w:t xml:space="preserve"> </w:t>
      </w:r>
      <w:r w:rsidRPr="00491272">
        <w:rPr>
          <w:rFonts w:ascii="Century Schoolbook" w:eastAsia="Times New Roman" w:hAnsi="Century Schoolbook" w:cs="Times New Roman"/>
          <w:sz w:val="26"/>
          <w:szCs w:val="26"/>
        </w:rPr>
        <w:t xml:space="preserve">(1889) 82 Cal. 245, 247; </w:t>
      </w:r>
      <w:r w:rsidRPr="00491272">
        <w:rPr>
          <w:rFonts w:ascii="Century Schoolbook" w:eastAsia="Times New Roman" w:hAnsi="Century Schoolbook" w:cs="Times New Roman"/>
          <w:i/>
          <w:iCs/>
          <w:sz w:val="26"/>
          <w:szCs w:val="26"/>
        </w:rPr>
        <w:t>In re Gannon</w:t>
      </w:r>
      <w:r w:rsidRPr="00491272">
        <w:rPr>
          <w:rFonts w:ascii="Century Schoolbook" w:eastAsia="Times New Roman" w:hAnsi="Century Schoolbook" w:cs="Times New Roman"/>
          <w:sz w:val="26"/>
          <w:szCs w:val="26"/>
        </w:rPr>
        <w:t xml:space="preserve"> (1886) </w:t>
      </w:r>
      <w:bookmarkStart w:id="1" w:name="_Hlk153178662"/>
      <w:r w:rsidRPr="00491272">
        <w:rPr>
          <w:rFonts w:ascii="Century Schoolbook" w:eastAsia="Times New Roman" w:hAnsi="Century Schoolbook" w:cs="Times New Roman"/>
          <w:sz w:val="26"/>
          <w:szCs w:val="26"/>
        </w:rPr>
        <w:t>69 Cal. 541</w:t>
      </w:r>
      <w:bookmarkEnd w:id="1"/>
      <w:r w:rsidRPr="00491272">
        <w:rPr>
          <w:rFonts w:ascii="Century Schoolbook" w:eastAsia="Times New Roman" w:hAnsi="Century Schoolbook" w:cs="Times New Roman"/>
          <w:sz w:val="26"/>
          <w:szCs w:val="26"/>
        </w:rPr>
        <w:t>, 543)</w:t>
      </w:r>
      <w:r w:rsidR="009C20E4">
        <w:rPr>
          <w:rFonts w:ascii="Century Schoolbook" w:eastAsia="Times New Roman" w:hAnsi="Century Schoolbook" w:cs="Times New Roman"/>
          <w:sz w:val="26"/>
          <w:szCs w:val="26"/>
        </w:rPr>
        <w:t>.</w:t>
      </w:r>
      <w:r>
        <w:rPr>
          <w:rFonts w:ascii="Century Schoolbook" w:eastAsia="Times New Roman" w:hAnsi="Century Schoolbook" w:cs="Times New Roman"/>
          <w:b/>
          <w:bCs/>
          <w:sz w:val="26"/>
          <w:szCs w:val="26"/>
          <w:vertAlign w:val="superscript"/>
        </w:rPr>
        <w:footnoteReference w:id="6"/>
      </w:r>
      <w:r w:rsidRPr="00AE00C9">
        <w:rPr>
          <w:rFonts w:ascii="Century Schoolbook" w:eastAsia="Times New Roman" w:hAnsi="Century Schoolbook" w:cs="Times New Roman"/>
          <w:b/>
          <w:bCs/>
          <w:sz w:val="26"/>
          <w:szCs w:val="26"/>
        </w:rPr>
        <w:t xml:space="preserve"> </w:t>
      </w:r>
      <w:r w:rsidRPr="00491272">
        <w:rPr>
          <w:rFonts w:ascii="Century Schoolbook" w:eastAsia="Times New Roman" w:hAnsi="Century Schoolbook" w:cs="Times New Roman"/>
          <w:sz w:val="26"/>
          <w:szCs w:val="26"/>
        </w:rPr>
        <w:t xml:space="preserve"> This is why courts, apart from having the </w:t>
      </w:r>
      <w:r w:rsidRPr="00491272">
        <w:rPr>
          <w:rFonts w:ascii="Century Schoolbook" w:eastAsia="Times New Roman" w:hAnsi="Century Schoolbook" w:cs="Times New Roman"/>
          <w:sz w:val="26"/>
          <w:szCs w:val="26"/>
        </w:rPr>
        <w:lastRenderedPageBreak/>
        <w:t xml:space="preserve">statutory authority to </w:t>
      </w:r>
      <w:r w:rsidR="009C20E4">
        <w:rPr>
          <w:rFonts w:ascii="Century Schoolbook" w:eastAsia="Times New Roman" w:hAnsi="Century Schoolbook" w:cs="Times New Roman"/>
          <w:sz w:val="26"/>
          <w:szCs w:val="26"/>
        </w:rPr>
        <w:t>re</w:t>
      </w:r>
      <w:r w:rsidRPr="00491272">
        <w:rPr>
          <w:rFonts w:ascii="Century Schoolbook" w:eastAsia="Times New Roman" w:hAnsi="Century Schoolbook" w:cs="Times New Roman"/>
          <w:sz w:val="26"/>
          <w:szCs w:val="26"/>
        </w:rPr>
        <w:t xml:space="preserve">convene </w:t>
      </w:r>
      <w:r w:rsidR="00F07E8E">
        <w:rPr>
          <w:rFonts w:ascii="Century Schoolbook" w:eastAsia="Times New Roman" w:hAnsi="Century Schoolbook" w:cs="Times New Roman"/>
          <w:sz w:val="26"/>
          <w:szCs w:val="26"/>
        </w:rPr>
        <w:t xml:space="preserve">the prior </w:t>
      </w:r>
      <w:r w:rsidRPr="00491272">
        <w:rPr>
          <w:rFonts w:ascii="Century Schoolbook" w:eastAsia="Times New Roman" w:hAnsi="Century Schoolbook" w:cs="Times New Roman"/>
          <w:sz w:val="26"/>
          <w:szCs w:val="26"/>
        </w:rPr>
        <w:t xml:space="preserve">grand jury </w:t>
      </w:r>
      <w:r w:rsidR="00F07E8E">
        <w:rPr>
          <w:rFonts w:ascii="Century Schoolbook" w:eastAsia="Times New Roman" w:hAnsi="Century Schoolbook" w:cs="Times New Roman"/>
          <w:sz w:val="26"/>
          <w:szCs w:val="26"/>
        </w:rPr>
        <w:t xml:space="preserve">or convene a new grand jury </w:t>
      </w:r>
      <w:r w:rsidRPr="00491272">
        <w:rPr>
          <w:rFonts w:ascii="Century Schoolbook" w:eastAsia="Times New Roman" w:hAnsi="Century Schoolbook" w:cs="Times New Roman"/>
          <w:sz w:val="26"/>
          <w:szCs w:val="26"/>
        </w:rPr>
        <w:t>after granting a dismissal motion under section 995 (§ 997), also retain the inherent authority to discharge a grand jury (</w:t>
      </w:r>
      <w:r w:rsidRPr="00491272">
        <w:rPr>
          <w:rFonts w:ascii="Century Schoolbook" w:eastAsia="Times New Roman" w:hAnsi="Century Schoolbook" w:cs="Times New Roman"/>
          <w:i/>
          <w:iCs/>
          <w:sz w:val="26"/>
          <w:szCs w:val="26"/>
        </w:rPr>
        <w:t>1973 Gra</w:t>
      </w:r>
      <w:r w:rsidRPr="00491272">
        <w:rPr>
          <w:rFonts w:ascii="Century Schoolbook" w:eastAsia="Times New Roman" w:hAnsi="Century Schoolbook" w:cs="Times New Roman"/>
          <w:i/>
          <w:iCs/>
          <w:sz w:val="26"/>
          <w:szCs w:val="26"/>
        </w:rPr>
        <w:t>nd Jury</w:t>
      </w:r>
      <w:r w:rsidRPr="00AE00C9">
        <w:rPr>
          <w:rFonts w:ascii="Century Schoolbook" w:eastAsia="Times New Roman" w:hAnsi="Century Schoolbook" w:cs="Times New Roman"/>
          <w:sz w:val="26"/>
          <w:szCs w:val="26"/>
        </w:rPr>
        <w:t>,</w:t>
      </w:r>
      <w:r w:rsidR="009C20E4">
        <w:rPr>
          <w:rFonts w:ascii="Century Schoolbook" w:eastAsia="Times New Roman" w:hAnsi="Century Schoolbook" w:cs="Times New Roman"/>
          <w:i/>
          <w:iCs/>
          <w:sz w:val="26"/>
          <w:szCs w:val="26"/>
        </w:rPr>
        <w:t xml:space="preserve"> </w:t>
      </w:r>
      <w:r w:rsidRPr="00491272">
        <w:rPr>
          <w:rFonts w:ascii="Century Schoolbook" w:eastAsia="Times New Roman" w:hAnsi="Century Schoolbook" w:cs="Times New Roman"/>
          <w:sz w:val="26"/>
          <w:szCs w:val="26"/>
        </w:rPr>
        <w:t xml:space="preserve">at pp. 438-439; </w:t>
      </w:r>
      <w:r w:rsidRPr="00491272">
        <w:rPr>
          <w:rFonts w:ascii="Century Schoolbook" w:eastAsia="Times New Roman" w:hAnsi="Century Schoolbook" w:cs="Times New Roman"/>
          <w:i/>
          <w:iCs/>
          <w:sz w:val="26"/>
          <w:szCs w:val="26"/>
        </w:rPr>
        <w:t>In re Gannon</w:t>
      </w:r>
      <w:r w:rsidRPr="00491272">
        <w:rPr>
          <w:rFonts w:ascii="Century Schoolbook" w:eastAsia="Times New Roman" w:hAnsi="Century Schoolbook" w:cs="Times New Roman"/>
          <w:sz w:val="26"/>
          <w:szCs w:val="26"/>
        </w:rPr>
        <w:t xml:space="preserve">, at p. 547) </w:t>
      </w:r>
      <w:r w:rsidR="008B48D1">
        <w:rPr>
          <w:rFonts w:ascii="Century Schoolbook" w:eastAsia="Times New Roman" w:hAnsi="Century Schoolbook" w:cs="Times New Roman"/>
          <w:sz w:val="26"/>
          <w:szCs w:val="26"/>
        </w:rPr>
        <w:t>as well as</w:t>
      </w:r>
      <w:r w:rsidRPr="00491272">
        <w:rPr>
          <w:rFonts w:ascii="Century Schoolbook" w:eastAsia="Times New Roman" w:hAnsi="Century Schoolbook" w:cs="Times New Roman"/>
          <w:sz w:val="26"/>
          <w:szCs w:val="26"/>
        </w:rPr>
        <w:t xml:space="preserve"> to intervene to prevent the grand jury from taking actions that exceed its statutory authority (</w:t>
      </w:r>
      <w:r w:rsidRPr="00491272">
        <w:rPr>
          <w:rFonts w:ascii="Century Schoolbook" w:eastAsia="Times New Roman" w:hAnsi="Century Schoolbook" w:cs="Times New Roman"/>
          <w:i/>
          <w:iCs/>
          <w:sz w:val="26"/>
          <w:szCs w:val="26"/>
        </w:rPr>
        <w:t>Pierson</w:t>
      </w:r>
      <w:r w:rsidRPr="00AE00C9">
        <w:rPr>
          <w:rFonts w:ascii="Century Schoolbook" w:eastAsia="Times New Roman" w:hAnsi="Century Schoolbook" w:cs="Times New Roman"/>
          <w:sz w:val="26"/>
          <w:szCs w:val="26"/>
        </w:rPr>
        <w:t>,</w:t>
      </w:r>
      <w:r w:rsidR="009C20E4">
        <w:rPr>
          <w:rFonts w:ascii="Century Schoolbook" w:eastAsia="Times New Roman" w:hAnsi="Century Schoolbook" w:cs="Times New Roman"/>
          <w:i/>
          <w:iCs/>
          <w:sz w:val="26"/>
          <w:szCs w:val="26"/>
        </w:rPr>
        <w:t xml:space="preserve"> supra</w:t>
      </w:r>
      <w:r w:rsidR="009C20E4">
        <w:rPr>
          <w:rFonts w:ascii="Century Schoolbook" w:eastAsia="Times New Roman" w:hAnsi="Century Schoolbook" w:cs="Times New Roman"/>
          <w:sz w:val="26"/>
          <w:szCs w:val="26"/>
        </w:rPr>
        <w:t>, 7 Cal.App.5th</w:t>
      </w:r>
      <w:r w:rsidRPr="00491272">
        <w:rPr>
          <w:rFonts w:ascii="Century Schoolbook" w:eastAsia="Times New Roman" w:hAnsi="Century Schoolbook" w:cs="Times New Roman"/>
          <w:i/>
          <w:iCs/>
          <w:sz w:val="26"/>
          <w:szCs w:val="26"/>
        </w:rPr>
        <w:t xml:space="preserve"> </w:t>
      </w:r>
      <w:r w:rsidRPr="00491272">
        <w:rPr>
          <w:rFonts w:ascii="Century Schoolbook" w:eastAsia="Times New Roman" w:hAnsi="Century Schoolbook" w:cs="Times New Roman"/>
          <w:sz w:val="26"/>
          <w:szCs w:val="26"/>
        </w:rPr>
        <w:t>at p. 412), such as barring a watchdog grand jury from filing a repor</w:t>
      </w:r>
      <w:r w:rsidRPr="00491272">
        <w:rPr>
          <w:rFonts w:ascii="Century Schoolbook" w:eastAsia="Times New Roman" w:hAnsi="Century Schoolbook" w:cs="Times New Roman"/>
          <w:sz w:val="26"/>
          <w:szCs w:val="26"/>
        </w:rPr>
        <w:t>t outside of its statutory authority (</w:t>
      </w:r>
      <w:r w:rsidR="008B48D1">
        <w:rPr>
          <w:rFonts w:ascii="Century Schoolbook" w:eastAsia="Times New Roman" w:hAnsi="Century Schoolbook" w:cs="Times New Roman"/>
          <w:i/>
          <w:iCs/>
          <w:sz w:val="26"/>
          <w:szCs w:val="26"/>
        </w:rPr>
        <w:t>1973 Grand Jury</w:t>
      </w:r>
      <w:r w:rsidR="008B48D1" w:rsidRPr="00AE00C9">
        <w:rPr>
          <w:rFonts w:ascii="Century Schoolbook" w:eastAsia="Times New Roman" w:hAnsi="Century Schoolbook" w:cs="Times New Roman"/>
          <w:sz w:val="26"/>
          <w:szCs w:val="26"/>
        </w:rPr>
        <w:t>,</w:t>
      </w:r>
      <w:r w:rsidR="008B48D1">
        <w:rPr>
          <w:rFonts w:ascii="Century Schoolbook" w:eastAsia="Times New Roman" w:hAnsi="Century Schoolbook" w:cs="Times New Roman"/>
          <w:sz w:val="26"/>
          <w:szCs w:val="26"/>
        </w:rPr>
        <w:t xml:space="preserve"> at p. 440</w:t>
      </w:r>
      <w:r w:rsidRPr="00491272">
        <w:rPr>
          <w:rFonts w:ascii="Century Schoolbook" w:eastAsia="Times New Roman" w:hAnsi="Century Schoolbook" w:cs="Times New Roman"/>
          <w:sz w:val="26"/>
          <w:szCs w:val="26"/>
        </w:rPr>
        <w:t xml:space="preserve">) </w:t>
      </w:r>
      <w:r w:rsidR="00EB1655">
        <w:rPr>
          <w:rFonts w:ascii="Century Schoolbook" w:eastAsia="Times New Roman" w:hAnsi="Century Schoolbook" w:cs="Times New Roman"/>
          <w:sz w:val="26"/>
          <w:szCs w:val="26"/>
        </w:rPr>
        <w:t>or</w:t>
      </w:r>
      <w:r w:rsidR="00EB1655" w:rsidRPr="00491272">
        <w:rPr>
          <w:rFonts w:ascii="Century Schoolbook" w:eastAsia="Times New Roman" w:hAnsi="Century Schoolbook" w:cs="Times New Roman"/>
          <w:sz w:val="26"/>
          <w:szCs w:val="26"/>
        </w:rPr>
        <w:t xml:space="preserve"> </w:t>
      </w:r>
      <w:r w:rsidRPr="00491272">
        <w:rPr>
          <w:rFonts w:ascii="Century Schoolbook" w:eastAsia="Times New Roman" w:hAnsi="Century Schoolbook" w:cs="Times New Roman"/>
          <w:sz w:val="26"/>
          <w:szCs w:val="26"/>
        </w:rPr>
        <w:t xml:space="preserve">barring disclosure of grand jury materials when such disclosure is </w:t>
      </w:r>
      <w:r w:rsidR="00313F49">
        <w:rPr>
          <w:rFonts w:ascii="Century Schoolbook" w:eastAsia="Times New Roman" w:hAnsi="Century Schoolbook" w:cs="Times New Roman"/>
          <w:sz w:val="26"/>
          <w:szCs w:val="26"/>
        </w:rPr>
        <w:t>prohibited</w:t>
      </w:r>
      <w:r w:rsidRPr="00491272">
        <w:rPr>
          <w:rFonts w:ascii="Century Schoolbook" w:eastAsia="Times New Roman" w:hAnsi="Century Schoolbook" w:cs="Times New Roman"/>
          <w:sz w:val="26"/>
          <w:szCs w:val="26"/>
        </w:rPr>
        <w:t xml:space="preserve"> by statute (</w:t>
      </w:r>
      <w:r w:rsidRPr="00491272">
        <w:rPr>
          <w:rFonts w:ascii="Century Schoolbook" w:eastAsia="Times New Roman" w:hAnsi="Century Schoolbook" w:cs="Times New Roman"/>
          <w:i/>
          <w:iCs/>
          <w:sz w:val="26"/>
          <w:szCs w:val="26"/>
        </w:rPr>
        <w:t>McClatchy</w:t>
      </w:r>
      <w:r w:rsidRPr="00AE00C9">
        <w:rPr>
          <w:rFonts w:ascii="Century Schoolbook" w:eastAsia="Times New Roman" w:hAnsi="Century Schoolbook" w:cs="Times New Roman"/>
          <w:sz w:val="26"/>
          <w:szCs w:val="26"/>
        </w:rPr>
        <w:t xml:space="preserve">, </w:t>
      </w:r>
      <w:r w:rsidRPr="00491272">
        <w:rPr>
          <w:rFonts w:ascii="Century Schoolbook" w:eastAsia="Times New Roman" w:hAnsi="Century Schoolbook" w:cs="Times New Roman"/>
          <w:sz w:val="26"/>
          <w:szCs w:val="26"/>
        </w:rPr>
        <w:t xml:space="preserve">at p. 1167; </w:t>
      </w:r>
      <w:r w:rsidRPr="00491272">
        <w:rPr>
          <w:rFonts w:ascii="Century Schoolbook" w:eastAsia="Times New Roman" w:hAnsi="Century Schoolbook" w:cs="Times New Roman"/>
          <w:i/>
          <w:iCs/>
          <w:sz w:val="26"/>
          <w:szCs w:val="26"/>
        </w:rPr>
        <w:t>Goldstein</w:t>
      </w:r>
      <w:r w:rsidRPr="00AE00C9">
        <w:rPr>
          <w:rFonts w:ascii="Century Schoolbook" w:eastAsia="Times New Roman" w:hAnsi="Century Schoolbook" w:cs="Times New Roman"/>
          <w:sz w:val="26"/>
          <w:szCs w:val="26"/>
        </w:rPr>
        <w:t>,</w:t>
      </w:r>
      <w:r w:rsidRPr="00491272">
        <w:rPr>
          <w:rFonts w:ascii="Century Schoolbook" w:eastAsia="Times New Roman" w:hAnsi="Century Schoolbook" w:cs="Times New Roman"/>
          <w:i/>
          <w:iCs/>
          <w:sz w:val="26"/>
          <w:szCs w:val="26"/>
        </w:rPr>
        <w:t xml:space="preserve"> supra</w:t>
      </w:r>
      <w:r w:rsidRPr="00491272">
        <w:rPr>
          <w:rFonts w:ascii="Century Schoolbook" w:eastAsia="Times New Roman" w:hAnsi="Century Schoolbook" w:cs="Times New Roman"/>
          <w:sz w:val="26"/>
          <w:szCs w:val="26"/>
        </w:rPr>
        <w:t xml:space="preserve">, 45 Cal.4th at pp. 221-222; </w:t>
      </w:r>
      <w:r w:rsidRPr="00491272">
        <w:rPr>
          <w:rFonts w:ascii="Century Schoolbook" w:eastAsia="Times New Roman" w:hAnsi="Century Schoolbook" w:cs="Times New Roman"/>
          <w:i/>
          <w:iCs/>
          <w:sz w:val="26"/>
          <w:szCs w:val="26"/>
        </w:rPr>
        <w:t>Daily Journal</w:t>
      </w:r>
      <w:r w:rsidR="00D5355C" w:rsidRPr="00AE00C9">
        <w:rPr>
          <w:rFonts w:ascii="Century Schoolbook" w:eastAsia="Times New Roman" w:hAnsi="Century Schoolbook" w:cs="Times New Roman"/>
          <w:sz w:val="26"/>
          <w:szCs w:val="26"/>
        </w:rPr>
        <w:t>,</w:t>
      </w:r>
      <w:r w:rsidR="00D5355C">
        <w:rPr>
          <w:rFonts w:ascii="Century Schoolbook" w:eastAsia="Times New Roman" w:hAnsi="Century Schoolbook" w:cs="Times New Roman"/>
          <w:i/>
          <w:iCs/>
          <w:sz w:val="26"/>
          <w:szCs w:val="26"/>
        </w:rPr>
        <w:t xml:space="preserve"> </w:t>
      </w:r>
      <w:r w:rsidR="00D5355C">
        <w:rPr>
          <w:rFonts w:ascii="Century Schoolbook" w:eastAsia="Times New Roman" w:hAnsi="Century Schoolbook" w:cs="Times New Roman"/>
          <w:sz w:val="26"/>
          <w:szCs w:val="26"/>
        </w:rPr>
        <w:t>at pp.</w:t>
      </w:r>
      <w:r w:rsidRPr="00491272">
        <w:rPr>
          <w:rFonts w:ascii="Century Schoolbook" w:eastAsia="Times New Roman" w:hAnsi="Century Schoolbook" w:cs="Times New Roman"/>
          <w:sz w:val="26"/>
          <w:szCs w:val="26"/>
        </w:rPr>
        <w:t xml:space="preserve"> 1124-1125, 1128-1129).  The expansiveness of the courts</w:t>
      </w:r>
      <w:r w:rsidR="00EB1655">
        <w:rPr>
          <w:rFonts w:ascii="Century Schoolbook" w:eastAsia="Times New Roman" w:hAnsi="Century Schoolbook" w:cs="Times New Roman"/>
          <w:sz w:val="26"/>
          <w:szCs w:val="26"/>
        </w:rPr>
        <w:t>’</w:t>
      </w:r>
      <w:r w:rsidRPr="00491272">
        <w:rPr>
          <w:rFonts w:ascii="Century Schoolbook" w:eastAsia="Times New Roman" w:hAnsi="Century Schoolbook" w:cs="Times New Roman"/>
          <w:sz w:val="26"/>
          <w:szCs w:val="26"/>
        </w:rPr>
        <w:t xml:space="preserve"> authority dovetails neatly with the established “propriety of considering common law principles as supplementary to the applicable California statutes relating to grand juries.” (</w:t>
      </w:r>
      <w:r w:rsidRPr="00491272">
        <w:rPr>
          <w:rFonts w:ascii="Century Schoolbook" w:eastAsia="Times New Roman" w:hAnsi="Century Schoolbook" w:cs="Times New Roman"/>
          <w:i/>
          <w:iCs/>
          <w:sz w:val="26"/>
          <w:szCs w:val="26"/>
        </w:rPr>
        <w:t>1973 Grand Jury</w:t>
      </w:r>
      <w:r w:rsidRPr="00491272">
        <w:rPr>
          <w:rFonts w:ascii="Century Schoolbook" w:eastAsia="Times New Roman" w:hAnsi="Century Schoolbook" w:cs="Times New Roman"/>
          <w:sz w:val="26"/>
          <w:szCs w:val="26"/>
        </w:rPr>
        <w:t>, at</w:t>
      </w:r>
      <w:r w:rsidRPr="00491272">
        <w:rPr>
          <w:rFonts w:ascii="Century Schoolbook" w:eastAsia="Times New Roman" w:hAnsi="Century Schoolbook" w:cs="Times New Roman"/>
          <w:sz w:val="26"/>
          <w:szCs w:val="26"/>
        </w:rPr>
        <w:t xml:space="preserve"> p. 440, fn. 11.)</w:t>
      </w:r>
    </w:p>
    <w:p w14:paraId="6C78460F" w14:textId="2A0CEFB7" w:rsidR="00491272" w:rsidRPr="00491272" w:rsidRDefault="00267C6F" w:rsidP="00491272">
      <w:pPr>
        <w:spacing w:after="0" w:line="288" w:lineRule="auto"/>
        <w:rPr>
          <w:rFonts w:ascii="Century Schoolbook" w:eastAsia="Times New Roman" w:hAnsi="Century Schoolbook" w:cs="Times New Roman"/>
          <w:sz w:val="26"/>
          <w:szCs w:val="26"/>
        </w:rPr>
      </w:pPr>
      <w:r w:rsidRPr="00491272">
        <w:rPr>
          <w:rFonts w:ascii="Century Schoolbook" w:eastAsia="Times New Roman" w:hAnsi="Century Schoolbook" w:cs="Times New Roman"/>
          <w:sz w:val="26"/>
          <w:szCs w:val="26"/>
        </w:rPr>
        <w:tab/>
      </w:r>
      <w:r w:rsidR="000A2E7E">
        <w:rPr>
          <w:rFonts w:ascii="Century Schoolbook" w:eastAsia="Times New Roman" w:hAnsi="Century Schoolbook" w:cs="Times New Roman"/>
          <w:sz w:val="26"/>
          <w:szCs w:val="26"/>
        </w:rPr>
        <w:t>More to the point</w:t>
      </w:r>
      <w:r w:rsidRPr="00491272">
        <w:rPr>
          <w:rFonts w:ascii="Century Schoolbook" w:eastAsia="Times New Roman" w:hAnsi="Century Schoolbook" w:cs="Times New Roman"/>
          <w:sz w:val="26"/>
          <w:szCs w:val="26"/>
        </w:rPr>
        <w:t xml:space="preserve">, we conclude that this inherent authority encompasses a trial court’s power to reconvene the grand jury </w:t>
      </w:r>
      <w:r w:rsidR="00DC7945">
        <w:rPr>
          <w:rFonts w:ascii="Century Schoolbook" w:eastAsia="Times New Roman" w:hAnsi="Century Schoolbook" w:cs="Times New Roman"/>
          <w:sz w:val="26"/>
          <w:szCs w:val="26"/>
        </w:rPr>
        <w:t>proceedings</w:t>
      </w:r>
      <w:r w:rsidR="009C20E4">
        <w:rPr>
          <w:rFonts w:ascii="Century Schoolbook" w:eastAsia="Times New Roman" w:hAnsi="Century Schoolbook" w:cs="Times New Roman"/>
          <w:sz w:val="26"/>
          <w:szCs w:val="26"/>
        </w:rPr>
        <w:t xml:space="preserve"> </w:t>
      </w:r>
      <w:r w:rsidRPr="00491272">
        <w:rPr>
          <w:rFonts w:ascii="Century Schoolbook" w:eastAsia="Times New Roman" w:hAnsi="Century Schoolbook" w:cs="Times New Roman"/>
          <w:sz w:val="26"/>
          <w:szCs w:val="26"/>
        </w:rPr>
        <w:t xml:space="preserve">to give the People an opportunity, when a defendant has been indicted and any resulting conviction has </w:t>
      </w:r>
      <w:r w:rsidRPr="00491272">
        <w:rPr>
          <w:rFonts w:ascii="Century Schoolbook" w:eastAsia="Times New Roman" w:hAnsi="Century Schoolbook" w:cs="Times New Roman"/>
          <w:sz w:val="26"/>
          <w:szCs w:val="26"/>
        </w:rPr>
        <w:t xml:space="preserve">yet to become final, to present evidence pertinent to </w:t>
      </w:r>
      <w:r w:rsidR="000A2E7E">
        <w:rPr>
          <w:rFonts w:ascii="Century Schoolbook" w:eastAsia="Times New Roman" w:hAnsi="Century Schoolbook" w:cs="Times New Roman"/>
          <w:sz w:val="26"/>
          <w:szCs w:val="26"/>
        </w:rPr>
        <w:t xml:space="preserve">new </w:t>
      </w:r>
      <w:r w:rsidRPr="00491272">
        <w:rPr>
          <w:rFonts w:ascii="Century Schoolbook" w:eastAsia="Times New Roman" w:hAnsi="Century Schoolbook" w:cs="Times New Roman"/>
          <w:sz w:val="26"/>
          <w:szCs w:val="26"/>
        </w:rPr>
        <w:t xml:space="preserve">elements that our Legislature has seen fit to add to a </w:t>
      </w:r>
      <w:r w:rsidR="009C20E4">
        <w:rPr>
          <w:rFonts w:ascii="Century Schoolbook" w:eastAsia="Times New Roman" w:hAnsi="Century Schoolbook" w:cs="Times New Roman"/>
          <w:sz w:val="26"/>
          <w:szCs w:val="26"/>
        </w:rPr>
        <w:t xml:space="preserve">charged </w:t>
      </w:r>
      <w:r w:rsidRPr="00491272">
        <w:rPr>
          <w:rFonts w:ascii="Century Schoolbook" w:eastAsia="Times New Roman" w:hAnsi="Century Schoolbook" w:cs="Times New Roman"/>
          <w:sz w:val="26"/>
          <w:szCs w:val="26"/>
        </w:rPr>
        <w:t xml:space="preserve">crime or </w:t>
      </w:r>
      <w:r w:rsidRPr="00491272">
        <w:rPr>
          <w:rFonts w:ascii="Century Schoolbook" w:eastAsia="Times New Roman" w:hAnsi="Century Schoolbook" w:cs="Times New Roman"/>
          <w:sz w:val="26"/>
          <w:szCs w:val="26"/>
        </w:rPr>
        <w:lastRenderedPageBreak/>
        <w:t>enhancement.</w:t>
      </w:r>
      <w:r>
        <w:rPr>
          <w:rFonts w:ascii="Century Schoolbook" w:eastAsia="Times New Roman" w:hAnsi="Century Schoolbook" w:cs="Times New Roman"/>
          <w:b/>
          <w:bCs/>
          <w:sz w:val="26"/>
          <w:szCs w:val="26"/>
          <w:vertAlign w:val="superscript"/>
        </w:rPr>
        <w:footnoteReference w:id="7"/>
      </w:r>
      <w:r w:rsidRPr="00AE00C9">
        <w:rPr>
          <w:rFonts w:ascii="Century Schoolbook" w:eastAsia="Times New Roman" w:hAnsi="Century Schoolbook" w:cs="Times New Roman"/>
          <w:b/>
          <w:bCs/>
          <w:sz w:val="26"/>
          <w:szCs w:val="26"/>
        </w:rPr>
        <w:t xml:space="preserve">  </w:t>
      </w:r>
      <w:r w:rsidRPr="00491272">
        <w:rPr>
          <w:rFonts w:ascii="Century Schoolbook" w:eastAsia="Times New Roman" w:hAnsi="Century Schoolbook" w:cs="Times New Roman"/>
          <w:sz w:val="26"/>
          <w:szCs w:val="26"/>
        </w:rPr>
        <w:t>Recognizing that trial courts have this inherent authority is essential to carrying out the courts</w:t>
      </w:r>
      <w:r w:rsidR="009C20E4">
        <w:rPr>
          <w:rFonts w:ascii="Century Schoolbook" w:eastAsia="Times New Roman" w:hAnsi="Century Schoolbook" w:cs="Times New Roman"/>
          <w:sz w:val="26"/>
          <w:szCs w:val="26"/>
        </w:rPr>
        <w:t>’</w:t>
      </w:r>
      <w:r w:rsidRPr="00491272">
        <w:rPr>
          <w:rFonts w:ascii="Century Schoolbook" w:eastAsia="Times New Roman" w:hAnsi="Century Schoolbook" w:cs="Times New Roman"/>
          <w:sz w:val="26"/>
          <w:szCs w:val="26"/>
        </w:rPr>
        <w:t xml:space="preserve"> duty to gi</w:t>
      </w:r>
      <w:r w:rsidRPr="00491272">
        <w:rPr>
          <w:rFonts w:ascii="Century Schoolbook" w:eastAsia="Times New Roman" w:hAnsi="Century Schoolbook" w:cs="Times New Roman"/>
          <w:sz w:val="26"/>
          <w:szCs w:val="26"/>
        </w:rPr>
        <w:t xml:space="preserve">ve retroactive effect to an ameliorative law to defendants whose convictions are not yet final under </w:t>
      </w:r>
      <w:r w:rsidRPr="00491272">
        <w:rPr>
          <w:rFonts w:ascii="Century Schoolbook" w:eastAsia="Times New Roman" w:hAnsi="Century Schoolbook" w:cs="Times New Roman"/>
          <w:i/>
          <w:iCs/>
          <w:sz w:val="26"/>
          <w:szCs w:val="26"/>
        </w:rPr>
        <w:t>In re Estrada</w:t>
      </w:r>
      <w:r w:rsidRPr="00491272">
        <w:rPr>
          <w:rFonts w:ascii="Century Schoolbook" w:eastAsia="Times New Roman" w:hAnsi="Century Schoolbook" w:cs="Times New Roman"/>
          <w:sz w:val="26"/>
          <w:szCs w:val="26"/>
        </w:rPr>
        <w:t xml:space="preserve"> (1965) 63 Cal.2d 740</w:t>
      </w:r>
      <w:r w:rsidR="009C20E4">
        <w:rPr>
          <w:rFonts w:ascii="Century Schoolbook" w:eastAsia="Times New Roman" w:hAnsi="Century Schoolbook" w:cs="Times New Roman"/>
          <w:sz w:val="26"/>
          <w:szCs w:val="26"/>
        </w:rPr>
        <w:t xml:space="preserve"> (</w:t>
      </w:r>
      <w:r w:rsidR="009C20E4">
        <w:rPr>
          <w:rFonts w:ascii="Century Schoolbook" w:eastAsia="Times New Roman" w:hAnsi="Century Schoolbook" w:cs="Times New Roman"/>
          <w:i/>
          <w:iCs/>
          <w:sz w:val="26"/>
          <w:szCs w:val="26"/>
        </w:rPr>
        <w:t>Estrada</w:t>
      </w:r>
      <w:r w:rsidR="00C53A16">
        <w:rPr>
          <w:rFonts w:ascii="Century Schoolbook" w:eastAsia="Times New Roman" w:hAnsi="Century Schoolbook" w:cs="Times New Roman"/>
          <w:i/>
          <w:iCs/>
          <w:sz w:val="26"/>
          <w:szCs w:val="26"/>
        </w:rPr>
        <w:t xml:space="preserve"> II</w:t>
      </w:r>
      <w:r w:rsidR="009C20E4">
        <w:rPr>
          <w:rFonts w:ascii="Century Schoolbook" w:eastAsia="Times New Roman" w:hAnsi="Century Schoolbook" w:cs="Times New Roman"/>
          <w:sz w:val="26"/>
          <w:szCs w:val="26"/>
        </w:rPr>
        <w:t>)</w:t>
      </w:r>
      <w:r w:rsidRPr="00491272">
        <w:rPr>
          <w:rFonts w:ascii="Century Schoolbook" w:eastAsia="Times New Roman" w:hAnsi="Century Schoolbook" w:cs="Times New Roman"/>
          <w:sz w:val="26"/>
          <w:szCs w:val="26"/>
        </w:rPr>
        <w:t xml:space="preserve">.  </w:t>
      </w:r>
      <w:r w:rsidR="000A2E7E">
        <w:rPr>
          <w:rFonts w:ascii="Century Schoolbook" w:eastAsia="Times New Roman" w:hAnsi="Century Schoolbook" w:cs="Times New Roman"/>
          <w:sz w:val="26"/>
          <w:szCs w:val="26"/>
        </w:rPr>
        <w:t>(</w:t>
      </w:r>
      <w:r w:rsidRPr="00491272">
        <w:rPr>
          <w:rFonts w:ascii="Century Schoolbook" w:eastAsia="Times New Roman" w:hAnsi="Century Schoolbook" w:cs="Times New Roman"/>
          <w:i/>
          <w:iCs/>
          <w:sz w:val="26"/>
          <w:szCs w:val="26"/>
        </w:rPr>
        <w:t>Tran</w:t>
      </w:r>
      <w:r w:rsidR="000A2E7E" w:rsidRPr="00AE00C9">
        <w:rPr>
          <w:rFonts w:ascii="Century Schoolbook" w:eastAsia="Times New Roman" w:hAnsi="Century Schoolbook" w:cs="Times New Roman"/>
          <w:sz w:val="26"/>
          <w:szCs w:val="26"/>
        </w:rPr>
        <w:t>,</w:t>
      </w:r>
      <w:r w:rsidR="000A2E7E">
        <w:rPr>
          <w:rFonts w:ascii="Century Schoolbook" w:eastAsia="Times New Roman" w:hAnsi="Century Schoolbook" w:cs="Times New Roman"/>
          <w:i/>
          <w:iCs/>
          <w:sz w:val="26"/>
          <w:szCs w:val="26"/>
        </w:rPr>
        <w:t xml:space="preserve"> supra</w:t>
      </w:r>
      <w:r w:rsidR="000A2E7E">
        <w:rPr>
          <w:rFonts w:ascii="Century Schoolbook" w:eastAsia="Times New Roman" w:hAnsi="Century Schoolbook" w:cs="Times New Roman"/>
          <w:sz w:val="26"/>
          <w:szCs w:val="26"/>
        </w:rPr>
        <w:t xml:space="preserve">, </w:t>
      </w:r>
      <w:r w:rsidRPr="00491272">
        <w:rPr>
          <w:rFonts w:ascii="Century Schoolbook" w:eastAsia="Times New Roman" w:hAnsi="Century Schoolbook" w:cs="Times New Roman"/>
          <w:sz w:val="26"/>
          <w:szCs w:val="26"/>
        </w:rPr>
        <w:t xml:space="preserve">13 Cal.5th </w:t>
      </w:r>
      <w:r w:rsidR="000A2E7E">
        <w:rPr>
          <w:rFonts w:ascii="Century Schoolbook" w:eastAsia="Times New Roman" w:hAnsi="Century Schoolbook" w:cs="Times New Roman"/>
          <w:sz w:val="26"/>
          <w:szCs w:val="26"/>
        </w:rPr>
        <w:t xml:space="preserve">at pp. </w:t>
      </w:r>
      <w:r w:rsidRPr="00491272">
        <w:rPr>
          <w:rFonts w:ascii="Century Schoolbook" w:eastAsia="Times New Roman" w:hAnsi="Century Schoolbook" w:cs="Times New Roman"/>
          <w:sz w:val="26"/>
          <w:szCs w:val="26"/>
        </w:rPr>
        <w:t xml:space="preserve">1206-1207; </w:t>
      </w:r>
      <w:r w:rsidRPr="00491272">
        <w:rPr>
          <w:rFonts w:ascii="Century Schoolbook" w:eastAsia="Times New Roman" w:hAnsi="Century Schoolbook" w:cs="Times New Roman"/>
          <w:i/>
          <w:iCs/>
          <w:sz w:val="26"/>
          <w:szCs w:val="26"/>
        </w:rPr>
        <w:t xml:space="preserve">People v. Esquivel </w:t>
      </w:r>
      <w:r w:rsidRPr="00491272">
        <w:rPr>
          <w:rFonts w:ascii="Century Schoolbook" w:eastAsia="Times New Roman" w:hAnsi="Century Schoolbook" w:cs="Times New Roman"/>
          <w:sz w:val="26"/>
          <w:szCs w:val="26"/>
        </w:rPr>
        <w:t xml:space="preserve">(2021) 11 Cal.5th 671, 675; </w:t>
      </w:r>
      <w:r w:rsidRPr="00491272">
        <w:rPr>
          <w:rFonts w:ascii="Century Schoolbook" w:eastAsia="Times New Roman" w:hAnsi="Century Schoolbook" w:cs="Times New Roman"/>
          <w:i/>
          <w:iCs/>
          <w:sz w:val="26"/>
          <w:szCs w:val="26"/>
        </w:rPr>
        <w:t xml:space="preserve">Tapia v. Superior Court </w:t>
      </w:r>
      <w:r w:rsidRPr="00491272">
        <w:rPr>
          <w:rFonts w:ascii="Century Schoolbook" w:eastAsia="Times New Roman" w:hAnsi="Century Schoolbook" w:cs="Times New Roman"/>
          <w:sz w:val="26"/>
          <w:szCs w:val="26"/>
        </w:rPr>
        <w:t>(1991) 53 Cal.3d 282, 301</w:t>
      </w:r>
      <w:r w:rsidR="00F07E8E">
        <w:rPr>
          <w:rFonts w:ascii="Century Schoolbook" w:eastAsia="Times New Roman" w:hAnsi="Century Schoolbook" w:cs="Times New Roman"/>
          <w:sz w:val="26"/>
          <w:szCs w:val="26"/>
        </w:rPr>
        <w:t>.</w:t>
      </w:r>
      <w:r w:rsidRPr="00491272">
        <w:rPr>
          <w:rFonts w:ascii="Century Schoolbook" w:eastAsia="Times New Roman" w:hAnsi="Century Schoolbook" w:cs="Times New Roman"/>
          <w:sz w:val="26"/>
          <w:szCs w:val="26"/>
        </w:rPr>
        <w:t>)  It is also essential to carrying out the courts</w:t>
      </w:r>
      <w:r w:rsidR="009C20E4">
        <w:rPr>
          <w:rFonts w:ascii="Century Schoolbook" w:eastAsia="Times New Roman" w:hAnsi="Century Schoolbook" w:cs="Times New Roman"/>
          <w:sz w:val="26"/>
          <w:szCs w:val="26"/>
        </w:rPr>
        <w:t>’</w:t>
      </w:r>
      <w:r w:rsidRPr="00491272">
        <w:rPr>
          <w:rFonts w:ascii="Century Schoolbook" w:eastAsia="Times New Roman" w:hAnsi="Century Schoolbook" w:cs="Times New Roman"/>
          <w:sz w:val="26"/>
          <w:szCs w:val="26"/>
        </w:rPr>
        <w:t xml:space="preserve"> duty to enforce the new, ameliorative law—which </w:t>
      </w:r>
      <w:r w:rsidR="000A2E7E">
        <w:rPr>
          <w:rFonts w:ascii="Century Schoolbook" w:eastAsia="Times New Roman" w:hAnsi="Century Schoolbook" w:cs="Times New Roman"/>
          <w:sz w:val="26"/>
          <w:szCs w:val="26"/>
        </w:rPr>
        <w:t xml:space="preserve">in this context is meant to </w:t>
      </w:r>
      <w:r w:rsidRPr="00491272">
        <w:rPr>
          <w:rFonts w:ascii="Century Schoolbook" w:eastAsia="Times New Roman" w:hAnsi="Century Schoolbook" w:cs="Times New Roman"/>
          <w:sz w:val="26"/>
          <w:szCs w:val="26"/>
        </w:rPr>
        <w:t>prescribe new elements the People must prove,</w:t>
      </w:r>
      <w:r w:rsidR="000A2E7E">
        <w:rPr>
          <w:rFonts w:ascii="Century Schoolbook" w:eastAsia="Times New Roman" w:hAnsi="Century Schoolbook" w:cs="Times New Roman"/>
          <w:sz w:val="26"/>
          <w:szCs w:val="26"/>
        </w:rPr>
        <w:t xml:space="preserve"> not to </w:t>
      </w:r>
      <w:r w:rsidRPr="00491272">
        <w:rPr>
          <w:rFonts w:ascii="Century Schoolbook" w:eastAsia="Times New Roman" w:hAnsi="Century Schoolbook" w:cs="Times New Roman"/>
          <w:sz w:val="26"/>
          <w:szCs w:val="26"/>
        </w:rPr>
        <w:t>give procedurally fortuitous defendants a “get out of jail free card</w:t>
      </w:r>
      <w:r w:rsidR="009C20E4">
        <w:rPr>
          <w:rFonts w:ascii="Century Schoolbook" w:eastAsia="Times New Roman" w:hAnsi="Century Schoolbook" w:cs="Times New Roman"/>
          <w:sz w:val="26"/>
          <w:szCs w:val="26"/>
        </w:rPr>
        <w:t>”</w:t>
      </w:r>
      <w:r w:rsidRPr="00491272">
        <w:rPr>
          <w:rFonts w:ascii="Century Schoolbook" w:eastAsia="Times New Roman" w:hAnsi="Century Schoolbook" w:cs="Times New Roman"/>
          <w:sz w:val="26"/>
          <w:szCs w:val="26"/>
        </w:rPr>
        <w:t xml:space="preserve"> as to the amended crime or enhancement.  Recognizing that trial courts have this inherent authority is also essential to ensuring the orderly administration of justice.  If courts lac</w:t>
      </w:r>
      <w:r w:rsidRPr="00491272">
        <w:rPr>
          <w:rFonts w:ascii="Century Schoolbook" w:eastAsia="Times New Roman" w:hAnsi="Century Schoolbook" w:cs="Times New Roman"/>
          <w:sz w:val="26"/>
          <w:szCs w:val="26"/>
        </w:rPr>
        <w:t xml:space="preserve">ked this authority, a defendant who had been indicted but whose conviction was not yet final would be entitled to a </w:t>
      </w:r>
      <w:r w:rsidRPr="00491272">
        <w:rPr>
          <w:rFonts w:ascii="Century Schoolbook" w:eastAsia="Times New Roman" w:hAnsi="Century Schoolbook" w:cs="Times New Roman"/>
          <w:sz w:val="26"/>
          <w:szCs w:val="26"/>
        </w:rPr>
        <w:lastRenderedPageBreak/>
        <w:t>dismissal of any crimes or enhancements to which our Legislature added new elements.  Yet a defendant who had been held to answer after a pr</w:t>
      </w:r>
      <w:r w:rsidRPr="00491272">
        <w:rPr>
          <w:rFonts w:ascii="Century Schoolbook" w:eastAsia="Times New Roman" w:hAnsi="Century Schoolbook" w:cs="Times New Roman"/>
          <w:sz w:val="26"/>
          <w:szCs w:val="26"/>
        </w:rPr>
        <w:t xml:space="preserve">eliminary </w:t>
      </w:r>
      <w:r w:rsidR="009C20E4">
        <w:rPr>
          <w:rFonts w:ascii="Century Schoolbook" w:eastAsia="Times New Roman" w:hAnsi="Century Schoolbook" w:cs="Times New Roman"/>
          <w:sz w:val="26"/>
          <w:szCs w:val="26"/>
        </w:rPr>
        <w:t>hearing</w:t>
      </w:r>
      <w:r w:rsidR="009C20E4" w:rsidRPr="00491272">
        <w:rPr>
          <w:rFonts w:ascii="Century Schoolbook" w:eastAsia="Times New Roman" w:hAnsi="Century Schoolbook" w:cs="Times New Roman"/>
          <w:sz w:val="26"/>
          <w:szCs w:val="26"/>
        </w:rPr>
        <w:t xml:space="preserve"> </w:t>
      </w:r>
      <w:r w:rsidRPr="00491272">
        <w:rPr>
          <w:rFonts w:ascii="Century Schoolbook" w:eastAsia="Times New Roman" w:hAnsi="Century Schoolbook" w:cs="Times New Roman"/>
          <w:sz w:val="26"/>
          <w:szCs w:val="26"/>
        </w:rPr>
        <w:t xml:space="preserve">but whose conviction was not yet final would </w:t>
      </w:r>
      <w:r w:rsidRPr="00491272">
        <w:rPr>
          <w:rFonts w:ascii="Century Schoolbook" w:eastAsia="Times New Roman" w:hAnsi="Century Schoolbook" w:cs="Times New Roman"/>
          <w:i/>
          <w:iCs/>
          <w:sz w:val="26"/>
          <w:szCs w:val="26"/>
        </w:rPr>
        <w:t>not</w:t>
      </w:r>
      <w:r w:rsidRPr="00491272">
        <w:rPr>
          <w:rFonts w:ascii="Century Schoolbook" w:eastAsia="Times New Roman" w:hAnsi="Century Schoolbook" w:cs="Times New Roman"/>
          <w:sz w:val="26"/>
          <w:szCs w:val="26"/>
        </w:rPr>
        <w:t xml:space="preserve"> be entitled to dismissal when new elements are added to a crime or enhancement (because, as discussed below, courts </w:t>
      </w:r>
      <w:r w:rsidRPr="00491272">
        <w:rPr>
          <w:rFonts w:ascii="Century Schoolbook" w:eastAsia="Times New Roman" w:hAnsi="Century Schoolbook" w:cs="Times New Roman"/>
          <w:i/>
          <w:iCs/>
          <w:sz w:val="26"/>
          <w:szCs w:val="26"/>
        </w:rPr>
        <w:t xml:space="preserve">do </w:t>
      </w:r>
      <w:r w:rsidRPr="00491272">
        <w:rPr>
          <w:rFonts w:ascii="Century Schoolbook" w:eastAsia="Times New Roman" w:hAnsi="Century Schoolbook" w:cs="Times New Roman"/>
          <w:sz w:val="26"/>
          <w:szCs w:val="26"/>
        </w:rPr>
        <w:t xml:space="preserve">have the authority </w:t>
      </w:r>
      <w:r w:rsidR="00F9507D">
        <w:rPr>
          <w:rFonts w:ascii="Century Schoolbook" w:eastAsia="Times New Roman" w:hAnsi="Century Schoolbook" w:cs="Times New Roman"/>
          <w:sz w:val="26"/>
          <w:szCs w:val="26"/>
        </w:rPr>
        <w:t xml:space="preserve">by statute </w:t>
      </w:r>
      <w:r w:rsidRPr="00491272">
        <w:rPr>
          <w:rFonts w:ascii="Century Schoolbook" w:eastAsia="Times New Roman" w:hAnsi="Century Schoolbook" w:cs="Times New Roman"/>
          <w:sz w:val="26"/>
          <w:szCs w:val="26"/>
        </w:rPr>
        <w:t xml:space="preserve">to send the matter back for a </w:t>
      </w:r>
      <w:r w:rsidRPr="00491272">
        <w:rPr>
          <w:rFonts w:ascii="Century Schoolbook" w:eastAsia="Times New Roman" w:hAnsi="Century Schoolbook" w:cs="Times New Roman"/>
          <w:sz w:val="26"/>
          <w:szCs w:val="26"/>
        </w:rPr>
        <w:t>supplemental preliminary hearing).  This seemingly random outcome is neither just nor orderly; it certainly does not ensure the orderly administration of justice.</w:t>
      </w:r>
    </w:p>
    <w:p w14:paraId="5D24A568" w14:textId="1CA895D4" w:rsidR="00491272" w:rsidRPr="00491272" w:rsidRDefault="00267C6F" w:rsidP="00491272">
      <w:pPr>
        <w:spacing w:after="0" w:line="288" w:lineRule="auto"/>
        <w:rPr>
          <w:rFonts w:ascii="Century Schoolbook" w:eastAsia="Times New Roman" w:hAnsi="Century Schoolbook" w:cs="Times New Roman"/>
          <w:sz w:val="26"/>
          <w:szCs w:val="26"/>
        </w:rPr>
      </w:pPr>
      <w:r w:rsidRPr="00491272">
        <w:rPr>
          <w:rFonts w:ascii="Century Schoolbook" w:eastAsia="Times New Roman" w:hAnsi="Century Schoolbook" w:cs="Times New Roman"/>
          <w:sz w:val="26"/>
          <w:szCs w:val="26"/>
        </w:rPr>
        <w:tab/>
      </w:r>
      <w:r w:rsidRPr="00491272">
        <w:rPr>
          <w:rFonts w:ascii="Century Schoolbook" w:eastAsia="Times New Roman" w:hAnsi="Century Schoolbook" w:cs="Times New Roman"/>
          <w:sz w:val="26"/>
          <w:szCs w:val="26"/>
        </w:rPr>
        <w:t xml:space="preserve">Drawing upon the above-noted principle that a court’s inherent authority cannot conflict with statutory limits imposed by our Legislature, defendant argues that section 995a provides the </w:t>
      </w:r>
      <w:r w:rsidRPr="00491272">
        <w:rPr>
          <w:rFonts w:ascii="Century Schoolbook" w:eastAsia="Times New Roman" w:hAnsi="Century Schoolbook" w:cs="Times New Roman"/>
          <w:i/>
          <w:iCs/>
          <w:sz w:val="26"/>
          <w:szCs w:val="26"/>
        </w:rPr>
        <w:t>sole</w:t>
      </w:r>
      <w:r w:rsidRPr="00491272">
        <w:rPr>
          <w:rFonts w:ascii="Century Schoolbook" w:eastAsia="Times New Roman" w:hAnsi="Century Schoolbook" w:cs="Times New Roman"/>
          <w:sz w:val="26"/>
          <w:szCs w:val="26"/>
        </w:rPr>
        <w:t xml:space="preserve"> </w:t>
      </w:r>
      <w:r w:rsidR="000A2E7E">
        <w:rPr>
          <w:rFonts w:ascii="Century Schoolbook" w:eastAsia="Times New Roman" w:hAnsi="Century Schoolbook" w:cs="Times New Roman"/>
          <w:sz w:val="26"/>
          <w:szCs w:val="26"/>
        </w:rPr>
        <w:t xml:space="preserve">circumstance under which </w:t>
      </w:r>
      <w:r w:rsidRPr="00491272">
        <w:rPr>
          <w:rFonts w:ascii="Century Schoolbook" w:eastAsia="Times New Roman" w:hAnsi="Century Schoolbook" w:cs="Times New Roman"/>
          <w:sz w:val="26"/>
          <w:szCs w:val="26"/>
        </w:rPr>
        <w:t xml:space="preserve">a trial court may send a case back for </w:t>
      </w:r>
      <w:r w:rsidRPr="00491272">
        <w:rPr>
          <w:rFonts w:ascii="Century Schoolbook" w:eastAsia="Times New Roman" w:hAnsi="Century Schoolbook" w:cs="Times New Roman"/>
          <w:sz w:val="26"/>
          <w:szCs w:val="26"/>
        </w:rPr>
        <w:t xml:space="preserve">further proceedings while </w:t>
      </w:r>
      <w:r w:rsidR="000A2E7E">
        <w:rPr>
          <w:rFonts w:ascii="Century Schoolbook" w:eastAsia="Times New Roman" w:hAnsi="Century Schoolbook" w:cs="Times New Roman"/>
          <w:sz w:val="26"/>
          <w:szCs w:val="26"/>
        </w:rPr>
        <w:t xml:space="preserve">reserving a ruling </w:t>
      </w:r>
      <w:r w:rsidRPr="00491272">
        <w:rPr>
          <w:rFonts w:ascii="Century Schoolbook" w:eastAsia="Times New Roman" w:hAnsi="Century Schoolbook" w:cs="Times New Roman"/>
          <w:sz w:val="26"/>
          <w:szCs w:val="26"/>
        </w:rPr>
        <w:t>on a motion to dismiss</w:t>
      </w:r>
      <w:r w:rsidR="000A2E7E">
        <w:rPr>
          <w:rFonts w:ascii="Century Schoolbook" w:eastAsia="Times New Roman" w:hAnsi="Century Schoolbook" w:cs="Times New Roman"/>
          <w:sz w:val="26"/>
          <w:szCs w:val="26"/>
        </w:rPr>
        <w:t xml:space="preserve"> an indictment or information</w:t>
      </w:r>
      <w:r w:rsidRPr="00491272">
        <w:rPr>
          <w:rFonts w:ascii="Century Schoolbook" w:eastAsia="Times New Roman" w:hAnsi="Century Schoolbook" w:cs="Times New Roman"/>
          <w:sz w:val="26"/>
          <w:szCs w:val="26"/>
        </w:rPr>
        <w:t xml:space="preserve">.  What is more, defendant continues, section 995a only authorizes sending a case back for a further preliminary hearing and not </w:t>
      </w:r>
      <w:r w:rsidR="00EB1655">
        <w:rPr>
          <w:rFonts w:ascii="Century Schoolbook" w:eastAsia="Times New Roman" w:hAnsi="Century Schoolbook" w:cs="Times New Roman"/>
          <w:sz w:val="26"/>
          <w:szCs w:val="26"/>
        </w:rPr>
        <w:t xml:space="preserve">for </w:t>
      </w:r>
      <w:r w:rsidRPr="00491272">
        <w:rPr>
          <w:rFonts w:ascii="Century Schoolbook" w:eastAsia="Times New Roman" w:hAnsi="Century Schoolbook" w:cs="Times New Roman"/>
          <w:sz w:val="26"/>
          <w:szCs w:val="26"/>
        </w:rPr>
        <w:t>further grand jury proceedi</w:t>
      </w:r>
      <w:r w:rsidRPr="00491272">
        <w:rPr>
          <w:rFonts w:ascii="Century Schoolbook" w:eastAsia="Times New Roman" w:hAnsi="Century Schoolbook" w:cs="Times New Roman"/>
          <w:sz w:val="26"/>
          <w:szCs w:val="26"/>
        </w:rPr>
        <w:t xml:space="preserve">ngs.  Thus, defendant concludes, our Legislature’s silence must be construed as a prohibition that precludes courts </w:t>
      </w:r>
      <w:r w:rsidR="00F07E8E">
        <w:rPr>
          <w:rFonts w:ascii="Century Schoolbook" w:eastAsia="Times New Roman" w:hAnsi="Century Schoolbook" w:cs="Times New Roman"/>
          <w:sz w:val="26"/>
          <w:szCs w:val="26"/>
        </w:rPr>
        <w:t xml:space="preserve">from </w:t>
      </w:r>
      <w:r w:rsidRPr="00491272">
        <w:rPr>
          <w:rFonts w:ascii="Century Schoolbook" w:eastAsia="Times New Roman" w:hAnsi="Century Schoolbook" w:cs="Times New Roman"/>
          <w:sz w:val="26"/>
          <w:szCs w:val="26"/>
        </w:rPr>
        <w:t>using their inherent authority to reconvene grand juries to hear evidence pertaining to newly added elements of crimes and enhancements</w:t>
      </w:r>
      <w:r w:rsidRPr="00491272">
        <w:rPr>
          <w:rFonts w:ascii="Century Schoolbook" w:eastAsia="Times New Roman" w:hAnsi="Century Schoolbook" w:cs="Times New Roman"/>
          <w:sz w:val="26"/>
          <w:szCs w:val="26"/>
        </w:rPr>
        <w:t xml:space="preserve">.  </w:t>
      </w:r>
    </w:p>
    <w:p w14:paraId="61EA7FA4" w14:textId="77777777" w:rsidR="00491272" w:rsidRPr="00491272" w:rsidRDefault="00267C6F" w:rsidP="00491272">
      <w:pPr>
        <w:spacing w:after="0" w:line="288" w:lineRule="auto"/>
        <w:rPr>
          <w:rFonts w:ascii="Century Schoolbook" w:eastAsia="Times New Roman" w:hAnsi="Century Schoolbook" w:cs="Times New Roman"/>
          <w:sz w:val="26"/>
          <w:szCs w:val="26"/>
        </w:rPr>
      </w:pPr>
      <w:r w:rsidRPr="00491272">
        <w:rPr>
          <w:rFonts w:ascii="Century Schoolbook" w:eastAsia="Times New Roman" w:hAnsi="Century Schoolbook" w:cs="Times New Roman"/>
          <w:sz w:val="26"/>
          <w:szCs w:val="26"/>
        </w:rPr>
        <w:tab/>
        <w:t>To be sure, section 995a says what defendant says it says.</w:t>
      </w:r>
    </w:p>
    <w:p w14:paraId="7C2F8FE4" w14:textId="6BAEB685" w:rsidR="00491272" w:rsidRPr="00491272" w:rsidRDefault="00267C6F" w:rsidP="00491272">
      <w:pPr>
        <w:spacing w:after="0" w:line="288" w:lineRule="auto"/>
        <w:rPr>
          <w:rFonts w:ascii="Century Schoolbook" w:eastAsia="Times New Roman" w:hAnsi="Century Schoolbook" w:cs="Times New Roman"/>
          <w:sz w:val="26"/>
          <w:szCs w:val="26"/>
        </w:rPr>
      </w:pPr>
      <w:r w:rsidRPr="00491272">
        <w:rPr>
          <w:rFonts w:ascii="Century Schoolbook" w:eastAsia="Times New Roman" w:hAnsi="Century Schoolbook" w:cs="Times New Roman"/>
          <w:sz w:val="26"/>
          <w:szCs w:val="26"/>
        </w:rPr>
        <w:tab/>
        <w:t>Section 995 not only creates a mechanism by which a criminal defendant can move to dismiss an indictment or information due to the absence of “reasonable or probable cause” to support it (§ 9</w:t>
      </w:r>
      <w:r w:rsidRPr="00491272">
        <w:rPr>
          <w:rFonts w:ascii="Century Schoolbook" w:eastAsia="Times New Roman" w:hAnsi="Century Schoolbook" w:cs="Times New Roman"/>
          <w:sz w:val="26"/>
          <w:szCs w:val="26"/>
        </w:rPr>
        <w:t>95, subds. (a)(1)(B) &amp; (a)(2)(B)), but also empowers a court to “reserve a final ruling on [that] motion” while “order[</w:t>
      </w:r>
      <w:proofErr w:type="spellStart"/>
      <w:r w:rsidRPr="00491272">
        <w:rPr>
          <w:rFonts w:ascii="Century Schoolbook" w:eastAsia="Times New Roman" w:hAnsi="Century Schoolbook" w:cs="Times New Roman"/>
          <w:sz w:val="26"/>
          <w:szCs w:val="26"/>
        </w:rPr>
        <w:t>ing</w:t>
      </w:r>
      <w:proofErr w:type="spellEnd"/>
      <w:r w:rsidRPr="00491272">
        <w:rPr>
          <w:rFonts w:ascii="Century Schoolbook" w:eastAsia="Times New Roman" w:hAnsi="Century Schoolbook" w:cs="Times New Roman"/>
          <w:sz w:val="26"/>
          <w:szCs w:val="26"/>
        </w:rPr>
        <w:t xml:space="preserve">] further proceedings to correct errors alleged by the defendant” </w:t>
      </w:r>
      <w:r w:rsidRPr="000A2E7E">
        <w:rPr>
          <w:rFonts w:ascii="Century Schoolbook" w:eastAsia="Times New Roman" w:hAnsi="Century Schoolbook" w:cs="Times New Roman"/>
          <w:i/>
          <w:iCs/>
          <w:sz w:val="26"/>
          <w:szCs w:val="26"/>
        </w:rPr>
        <w:t>pursuant to section 995a</w:t>
      </w:r>
      <w:r w:rsidRPr="00491272">
        <w:rPr>
          <w:rFonts w:ascii="Century Schoolbook" w:eastAsia="Times New Roman" w:hAnsi="Century Schoolbook" w:cs="Times New Roman"/>
          <w:sz w:val="26"/>
          <w:szCs w:val="26"/>
        </w:rPr>
        <w:t xml:space="preserve"> (§§ 995, subds. (a) &amp; (b), </w:t>
      </w:r>
      <w:r w:rsidRPr="00491272">
        <w:rPr>
          <w:rFonts w:ascii="Century Schoolbook" w:eastAsia="Times New Roman" w:hAnsi="Century Schoolbook" w:cs="Times New Roman"/>
          <w:sz w:val="26"/>
          <w:szCs w:val="26"/>
        </w:rPr>
        <w:lastRenderedPageBreak/>
        <w:t>995a</w:t>
      </w:r>
      <w:r w:rsidR="00A80CF9">
        <w:rPr>
          <w:rFonts w:ascii="Century Schoolbook" w:eastAsia="Times New Roman" w:hAnsi="Century Schoolbook" w:cs="Times New Roman"/>
          <w:sz w:val="26"/>
          <w:szCs w:val="26"/>
        </w:rPr>
        <w:t>, subd. (b)</w:t>
      </w:r>
      <w:r w:rsidRPr="00491272">
        <w:rPr>
          <w:rFonts w:ascii="Century Schoolbook" w:eastAsia="Times New Roman" w:hAnsi="Century Schoolbook" w:cs="Times New Roman"/>
          <w:sz w:val="26"/>
          <w:szCs w:val="26"/>
        </w:rPr>
        <w:t>)</w:t>
      </w:r>
      <w:r w:rsidRPr="00491272">
        <w:rPr>
          <w:rFonts w:ascii="Century Schoolbook" w:eastAsia="Times New Roman" w:hAnsi="Century Schoolbook" w:cs="Times New Roman"/>
          <w:sz w:val="26"/>
          <w:szCs w:val="26"/>
        </w:rPr>
        <w:t xml:space="preserve">.  Section 995a specifies that a court “may,” if the People so request, “order further proceedings to correct errors alleged by the defendant” </w:t>
      </w:r>
      <w:r w:rsidRPr="00491272">
        <w:rPr>
          <w:rFonts w:ascii="Century Schoolbook" w:eastAsia="Times New Roman" w:hAnsi="Century Schoolbook" w:cs="Times New Roman"/>
          <w:i/>
          <w:iCs/>
          <w:sz w:val="26"/>
          <w:szCs w:val="26"/>
        </w:rPr>
        <w:t>in an information</w:t>
      </w:r>
      <w:r w:rsidRPr="00491272">
        <w:rPr>
          <w:rFonts w:ascii="Century Schoolbook" w:eastAsia="Times New Roman" w:hAnsi="Century Schoolbook" w:cs="Times New Roman"/>
          <w:sz w:val="26"/>
          <w:szCs w:val="26"/>
        </w:rPr>
        <w:t xml:space="preserve"> if (1) “the court finds that such errors are minor errors of omission, ambiguity</w:t>
      </w:r>
      <w:r w:rsidR="00A80CF9">
        <w:rPr>
          <w:rFonts w:ascii="Century Schoolbook" w:eastAsia="Times New Roman" w:hAnsi="Century Schoolbook" w:cs="Times New Roman"/>
          <w:sz w:val="26"/>
          <w:szCs w:val="26"/>
        </w:rPr>
        <w:t>,</w:t>
      </w:r>
      <w:r w:rsidRPr="00491272">
        <w:rPr>
          <w:rFonts w:ascii="Century Schoolbook" w:eastAsia="Times New Roman" w:hAnsi="Century Schoolbook" w:cs="Times New Roman"/>
          <w:sz w:val="26"/>
          <w:szCs w:val="26"/>
        </w:rPr>
        <w:t xml:space="preserve"> or technical</w:t>
      </w:r>
      <w:r w:rsidR="00A80CF9">
        <w:rPr>
          <w:rFonts w:ascii="Century Schoolbook" w:eastAsia="Times New Roman" w:hAnsi="Century Schoolbook" w:cs="Times New Roman"/>
          <w:sz w:val="26"/>
          <w:szCs w:val="26"/>
        </w:rPr>
        <w:t xml:space="preserve"> defect</w:t>
      </w:r>
      <w:r w:rsidRPr="00491272">
        <w:rPr>
          <w:rFonts w:ascii="Century Schoolbook" w:eastAsia="Times New Roman" w:hAnsi="Century Schoolbook" w:cs="Times New Roman"/>
          <w:sz w:val="26"/>
          <w:szCs w:val="26"/>
        </w:rPr>
        <w:t>”</w:t>
      </w:r>
      <w:r w:rsidR="00207692">
        <w:rPr>
          <w:rFonts w:ascii="Century Schoolbook" w:eastAsia="Times New Roman" w:hAnsi="Century Schoolbook" w:cs="Times New Roman"/>
          <w:sz w:val="26"/>
          <w:szCs w:val="26"/>
        </w:rPr>
        <w:t>;</w:t>
      </w:r>
      <w:r w:rsidRPr="00491272">
        <w:rPr>
          <w:rFonts w:ascii="Century Schoolbook" w:eastAsia="Times New Roman" w:hAnsi="Century Schoolbook" w:cs="Times New Roman"/>
          <w:sz w:val="26"/>
          <w:szCs w:val="26"/>
        </w:rPr>
        <w:t xml:space="preserve"> and (2) those errors “can be expeditiously cured or corrected without a rehearing of a substantial portion of the evidence.”  (§ 995a, subd. (b)(1); see </w:t>
      </w:r>
      <w:r w:rsidRPr="00491272">
        <w:rPr>
          <w:rFonts w:ascii="Century Schoolbook" w:eastAsia="Times New Roman" w:hAnsi="Century Schoolbook" w:cs="Times New Roman"/>
          <w:i/>
          <w:iCs/>
          <w:sz w:val="26"/>
          <w:szCs w:val="26"/>
        </w:rPr>
        <w:t xml:space="preserve">Garcia v. Superior Court </w:t>
      </w:r>
      <w:r w:rsidRPr="00491272">
        <w:rPr>
          <w:rFonts w:ascii="Century Schoolbook" w:eastAsia="Times New Roman" w:hAnsi="Century Schoolbook" w:cs="Times New Roman"/>
          <w:sz w:val="26"/>
          <w:szCs w:val="26"/>
        </w:rPr>
        <w:t>(2009) 177 Cal.App.4th 803, 814 (</w:t>
      </w:r>
      <w:proofErr w:type="spellStart"/>
      <w:r w:rsidRPr="00491272">
        <w:rPr>
          <w:rFonts w:ascii="Century Schoolbook" w:eastAsia="Times New Roman" w:hAnsi="Century Schoolbook" w:cs="Times New Roman"/>
          <w:i/>
          <w:iCs/>
          <w:sz w:val="26"/>
          <w:szCs w:val="26"/>
        </w:rPr>
        <w:t>Garia</w:t>
      </w:r>
      <w:proofErr w:type="spellEnd"/>
      <w:r w:rsidR="001913ED">
        <w:rPr>
          <w:rFonts w:ascii="Century Schoolbook" w:eastAsia="Times New Roman" w:hAnsi="Century Schoolbook" w:cs="Times New Roman"/>
          <w:i/>
          <w:iCs/>
          <w:sz w:val="26"/>
          <w:szCs w:val="26"/>
        </w:rPr>
        <w:t xml:space="preserve"> </w:t>
      </w:r>
      <w:r w:rsidR="00D17379">
        <w:rPr>
          <w:rFonts w:ascii="Century Schoolbook" w:eastAsia="Times New Roman" w:hAnsi="Century Schoolbook" w:cs="Times New Roman"/>
          <w:i/>
          <w:iCs/>
          <w:sz w:val="26"/>
          <w:szCs w:val="26"/>
        </w:rPr>
        <w:t>II</w:t>
      </w:r>
      <w:r w:rsidRPr="00491272">
        <w:rPr>
          <w:rFonts w:ascii="Century Schoolbook" w:eastAsia="Times New Roman" w:hAnsi="Century Schoolbook" w:cs="Times New Roman"/>
          <w:sz w:val="26"/>
          <w:szCs w:val="26"/>
        </w:rPr>
        <w:t xml:space="preserve">) [listing these elements]; </w:t>
      </w:r>
      <w:r w:rsidRPr="00491272">
        <w:rPr>
          <w:rFonts w:ascii="Century Schoolbook" w:eastAsia="Times New Roman" w:hAnsi="Century Schoolbook" w:cs="Times New Roman"/>
          <w:i/>
          <w:iCs/>
          <w:sz w:val="26"/>
          <w:szCs w:val="26"/>
        </w:rPr>
        <w:t>Caple v. Superior Court</w:t>
      </w:r>
      <w:r w:rsidRPr="00491272">
        <w:rPr>
          <w:rFonts w:ascii="Century Schoolbook" w:eastAsia="Times New Roman" w:hAnsi="Century Schoolbook" w:cs="Times New Roman"/>
          <w:sz w:val="26"/>
          <w:szCs w:val="26"/>
        </w:rPr>
        <w:t xml:space="preserve"> (1987) 195 Cal.App.3d 594, 601.)</w:t>
      </w:r>
      <w:r>
        <w:rPr>
          <w:rFonts w:ascii="Century Schoolbook" w:eastAsia="Times New Roman" w:hAnsi="Century Schoolbook" w:cs="Times New Roman"/>
          <w:b/>
          <w:bCs/>
          <w:sz w:val="26"/>
          <w:szCs w:val="26"/>
          <w:vertAlign w:val="superscript"/>
        </w:rPr>
        <w:footnoteReference w:id="8"/>
      </w:r>
      <w:r w:rsidRPr="00AE00C9">
        <w:rPr>
          <w:rFonts w:ascii="Century Schoolbook" w:eastAsia="Times New Roman" w:hAnsi="Century Schoolbook" w:cs="Times New Roman"/>
          <w:b/>
          <w:bCs/>
          <w:sz w:val="26"/>
          <w:szCs w:val="26"/>
        </w:rPr>
        <w:t xml:space="preserve"> </w:t>
      </w:r>
      <w:r w:rsidRPr="00491272">
        <w:rPr>
          <w:rFonts w:ascii="Century Schoolbook" w:eastAsia="Times New Roman" w:hAnsi="Century Schoolbook" w:cs="Times New Roman"/>
          <w:sz w:val="26"/>
          <w:szCs w:val="26"/>
        </w:rPr>
        <w:t xml:space="preserve"> An “error</w:t>
      </w:r>
      <w:r w:rsidRPr="00AE00C9">
        <w:rPr>
          <w:rFonts w:ascii="Century Schoolbook" w:eastAsia="Times New Roman" w:hAnsi="Century Schoolbook" w:cs="Times New Roman"/>
          <w:sz w:val="26"/>
          <w:szCs w:val="26"/>
          <w:vertAlign w:val="superscript"/>
        </w:rPr>
        <w:t xml:space="preserve">” </w:t>
      </w:r>
      <w:r w:rsidRPr="00491272">
        <w:rPr>
          <w:rFonts w:ascii="Century Schoolbook" w:eastAsia="Times New Roman" w:hAnsi="Century Schoolbook" w:cs="Times New Roman"/>
          <w:sz w:val="26"/>
          <w:szCs w:val="26"/>
        </w:rPr>
        <w:t xml:space="preserve">is “minor” if it </w:t>
      </w:r>
      <w:r w:rsidR="00A80CF9">
        <w:rPr>
          <w:rFonts w:ascii="Century Schoolbook" w:eastAsia="Times New Roman" w:hAnsi="Century Schoolbook" w:cs="Times New Roman"/>
          <w:sz w:val="26"/>
          <w:szCs w:val="26"/>
        </w:rPr>
        <w:t>i</w:t>
      </w:r>
      <w:r w:rsidRPr="00491272">
        <w:rPr>
          <w:rFonts w:ascii="Century Schoolbook" w:eastAsia="Times New Roman" w:hAnsi="Century Schoolbook" w:cs="Times New Roman"/>
          <w:sz w:val="26"/>
          <w:szCs w:val="26"/>
        </w:rPr>
        <w:t>s “</w:t>
      </w:r>
      <w:r w:rsidRPr="00AE00C9">
        <w:rPr>
          <w:rFonts w:ascii="Century Schoolbook" w:eastAsia="Times New Roman" w:hAnsi="Century Schoolbook" w:cs="Times New Roman"/>
          <w:i/>
          <w:iCs/>
          <w:sz w:val="26"/>
          <w:szCs w:val="26"/>
        </w:rPr>
        <w:t>comparatively</w:t>
      </w:r>
      <w:r w:rsidRPr="00491272">
        <w:rPr>
          <w:rFonts w:ascii="Century Schoolbook" w:eastAsia="Times New Roman" w:hAnsi="Century Schoolbook" w:cs="Times New Roman"/>
          <w:sz w:val="26"/>
          <w:szCs w:val="26"/>
        </w:rPr>
        <w:t xml:space="preserve"> unimportant” (</w:t>
      </w:r>
      <w:r w:rsidR="00A80CF9" w:rsidRPr="00491272">
        <w:rPr>
          <w:rFonts w:ascii="Century Schoolbook" w:eastAsia="Times New Roman" w:hAnsi="Century Schoolbook" w:cs="Times New Roman"/>
          <w:i/>
          <w:iCs/>
          <w:sz w:val="26"/>
          <w:szCs w:val="26"/>
        </w:rPr>
        <w:t>Caple</w:t>
      </w:r>
      <w:r w:rsidR="00A80CF9" w:rsidRPr="00491272">
        <w:rPr>
          <w:rFonts w:ascii="Century Schoolbook" w:eastAsia="Times New Roman" w:hAnsi="Century Schoolbook" w:cs="Times New Roman"/>
          <w:sz w:val="26"/>
          <w:szCs w:val="26"/>
        </w:rPr>
        <w:t>, at p. 602</w:t>
      </w:r>
      <w:r w:rsidR="00A80CF9">
        <w:rPr>
          <w:rFonts w:ascii="Century Schoolbook" w:eastAsia="Times New Roman" w:hAnsi="Century Schoolbook" w:cs="Times New Roman"/>
          <w:sz w:val="26"/>
          <w:szCs w:val="26"/>
        </w:rPr>
        <w:t xml:space="preserve">; </w:t>
      </w:r>
      <w:r w:rsidRPr="00491272">
        <w:rPr>
          <w:rFonts w:ascii="Century Schoolbook" w:eastAsia="Times New Roman" w:hAnsi="Century Schoolbook" w:cs="Times New Roman"/>
          <w:i/>
          <w:iCs/>
          <w:sz w:val="26"/>
          <w:szCs w:val="26"/>
        </w:rPr>
        <w:t>Garcia</w:t>
      </w:r>
      <w:r w:rsidR="001913ED">
        <w:rPr>
          <w:rFonts w:ascii="Century Schoolbook" w:eastAsia="Times New Roman" w:hAnsi="Century Schoolbook" w:cs="Times New Roman"/>
          <w:i/>
          <w:iCs/>
          <w:sz w:val="26"/>
          <w:szCs w:val="26"/>
        </w:rPr>
        <w:t xml:space="preserve"> </w:t>
      </w:r>
      <w:r w:rsidR="00D17379">
        <w:rPr>
          <w:rFonts w:ascii="Century Schoolbook" w:eastAsia="Times New Roman" w:hAnsi="Century Schoolbook" w:cs="Times New Roman"/>
          <w:i/>
          <w:iCs/>
          <w:sz w:val="26"/>
          <w:szCs w:val="26"/>
        </w:rPr>
        <w:t>II</w:t>
      </w:r>
      <w:r w:rsidRPr="00491272">
        <w:rPr>
          <w:rFonts w:ascii="Century Schoolbook" w:eastAsia="Times New Roman" w:hAnsi="Century Schoolbook" w:cs="Times New Roman"/>
          <w:sz w:val="26"/>
          <w:szCs w:val="26"/>
        </w:rPr>
        <w:t>, a</w:t>
      </w:r>
      <w:r w:rsidR="00D67FF8">
        <w:rPr>
          <w:rFonts w:ascii="Century Schoolbook" w:eastAsia="Times New Roman" w:hAnsi="Century Schoolbook" w:cs="Times New Roman"/>
          <w:sz w:val="26"/>
          <w:szCs w:val="26"/>
        </w:rPr>
        <w:t>t</w:t>
      </w:r>
      <w:r w:rsidRPr="00491272">
        <w:rPr>
          <w:rFonts w:ascii="Century Schoolbook" w:eastAsia="Times New Roman" w:hAnsi="Century Schoolbook" w:cs="Times New Roman"/>
          <w:sz w:val="26"/>
          <w:szCs w:val="26"/>
        </w:rPr>
        <w:t xml:space="preserve"> pp. 816-817); because this assessment</w:t>
      </w:r>
      <w:r w:rsidR="000A2E7E">
        <w:rPr>
          <w:rFonts w:ascii="Century Schoolbook" w:eastAsia="Times New Roman" w:hAnsi="Century Schoolbook" w:cs="Times New Roman"/>
          <w:sz w:val="26"/>
          <w:szCs w:val="26"/>
        </w:rPr>
        <w:t xml:space="preserve"> as well as </w:t>
      </w:r>
      <w:r w:rsidRPr="00491272">
        <w:rPr>
          <w:rFonts w:ascii="Century Schoolbook" w:eastAsia="Times New Roman" w:hAnsi="Century Schoolbook" w:cs="Times New Roman"/>
          <w:sz w:val="26"/>
          <w:szCs w:val="26"/>
        </w:rPr>
        <w:t xml:space="preserve">the assessment as to whether a “substantial portion” of the evidence would need to be reheard </w:t>
      </w:r>
      <w:r w:rsidR="000A2E7E">
        <w:rPr>
          <w:rFonts w:ascii="Century Schoolbook" w:eastAsia="Times New Roman" w:hAnsi="Century Schoolbook" w:cs="Times New Roman"/>
          <w:sz w:val="26"/>
          <w:szCs w:val="26"/>
        </w:rPr>
        <w:t xml:space="preserve">will vary from case to case, </w:t>
      </w:r>
      <w:r w:rsidRPr="00491272">
        <w:rPr>
          <w:rFonts w:ascii="Century Schoolbook" w:eastAsia="Times New Roman" w:hAnsi="Century Schoolbook" w:cs="Times New Roman"/>
          <w:sz w:val="26"/>
          <w:szCs w:val="26"/>
        </w:rPr>
        <w:t>the applicability of section 995a’s procedure must be assessed on a “case by case basis” (</w:t>
      </w:r>
      <w:r w:rsidRPr="00491272">
        <w:rPr>
          <w:rFonts w:ascii="Century Schoolbook" w:eastAsia="Times New Roman" w:hAnsi="Century Schoolbook" w:cs="Times New Roman"/>
          <w:i/>
          <w:iCs/>
          <w:sz w:val="26"/>
          <w:szCs w:val="26"/>
        </w:rPr>
        <w:t>Caple</w:t>
      </w:r>
      <w:r w:rsidRPr="00491272">
        <w:rPr>
          <w:rFonts w:ascii="Century Schoolbook" w:eastAsia="Times New Roman" w:hAnsi="Century Schoolbook" w:cs="Times New Roman"/>
          <w:sz w:val="26"/>
          <w:szCs w:val="26"/>
        </w:rPr>
        <w:t>, at p. 602).  Applying these definiti</w:t>
      </w:r>
      <w:r w:rsidRPr="00491272">
        <w:rPr>
          <w:rFonts w:ascii="Century Schoolbook" w:eastAsia="Times New Roman" w:hAnsi="Century Schoolbook" w:cs="Times New Roman"/>
          <w:sz w:val="26"/>
          <w:szCs w:val="26"/>
        </w:rPr>
        <w:t>ons, courts have held that section 995a does not permit further preliminary hearing proceedings to correct errors in evidentiary rulings (</w:t>
      </w:r>
      <w:r w:rsidRPr="00491272">
        <w:rPr>
          <w:rFonts w:ascii="Century Schoolbook" w:eastAsia="Times New Roman" w:hAnsi="Century Schoolbook" w:cs="Times New Roman"/>
          <w:i/>
          <w:iCs/>
          <w:sz w:val="26"/>
          <w:szCs w:val="26"/>
        </w:rPr>
        <w:t>Tharp</w:t>
      </w:r>
      <w:r w:rsidRPr="00AE00C9">
        <w:rPr>
          <w:rFonts w:ascii="Century Schoolbook" w:eastAsia="Times New Roman" w:hAnsi="Century Schoolbook" w:cs="Times New Roman"/>
          <w:sz w:val="26"/>
          <w:szCs w:val="26"/>
        </w:rPr>
        <w:t>,</w:t>
      </w:r>
      <w:r w:rsidRPr="00491272">
        <w:rPr>
          <w:rFonts w:ascii="Century Schoolbook" w:eastAsia="Times New Roman" w:hAnsi="Century Schoolbook" w:cs="Times New Roman"/>
          <w:i/>
          <w:iCs/>
          <w:sz w:val="26"/>
          <w:szCs w:val="26"/>
        </w:rPr>
        <w:t xml:space="preserve"> supra</w:t>
      </w:r>
      <w:r w:rsidRPr="00491272">
        <w:rPr>
          <w:rFonts w:ascii="Century Schoolbook" w:eastAsia="Times New Roman" w:hAnsi="Century Schoolbook" w:cs="Times New Roman"/>
          <w:sz w:val="26"/>
          <w:szCs w:val="26"/>
        </w:rPr>
        <w:t>, 151 Cal.App.3d at p. 220 [so holding, because an evidentiary ruling is not an “omission”]), in suppressi</w:t>
      </w:r>
      <w:r w:rsidRPr="00491272">
        <w:rPr>
          <w:rFonts w:ascii="Century Schoolbook" w:eastAsia="Times New Roman" w:hAnsi="Century Schoolbook" w:cs="Times New Roman"/>
          <w:sz w:val="26"/>
          <w:szCs w:val="26"/>
        </w:rPr>
        <w:t>on rulings (</w:t>
      </w:r>
      <w:r w:rsidRPr="00491272">
        <w:rPr>
          <w:rFonts w:ascii="Century Schoolbook" w:eastAsia="Times New Roman" w:hAnsi="Century Schoolbook" w:cs="Times New Roman"/>
          <w:i/>
          <w:iCs/>
          <w:sz w:val="26"/>
          <w:szCs w:val="26"/>
        </w:rPr>
        <w:t xml:space="preserve">Loverde v. Superior Court </w:t>
      </w:r>
      <w:r w:rsidRPr="00491272">
        <w:rPr>
          <w:rFonts w:ascii="Century Schoolbook" w:eastAsia="Times New Roman" w:hAnsi="Century Schoolbook" w:cs="Times New Roman"/>
          <w:sz w:val="26"/>
          <w:szCs w:val="26"/>
        </w:rPr>
        <w:t>(1984) 162 Cal.App.3d 102, 104-105 [so holding, because there was no “ambiguity”]), or to give the People</w:t>
      </w:r>
      <w:r w:rsidR="00F07E8E">
        <w:rPr>
          <w:rFonts w:ascii="Century Schoolbook" w:eastAsia="Times New Roman" w:hAnsi="Century Schoolbook" w:cs="Times New Roman"/>
          <w:sz w:val="26"/>
          <w:szCs w:val="26"/>
        </w:rPr>
        <w:t xml:space="preserve"> the opportunity</w:t>
      </w:r>
      <w:r w:rsidRPr="00491272">
        <w:rPr>
          <w:rFonts w:ascii="Century Schoolbook" w:eastAsia="Times New Roman" w:hAnsi="Century Schoolbook" w:cs="Times New Roman"/>
          <w:sz w:val="26"/>
          <w:szCs w:val="26"/>
        </w:rPr>
        <w:t xml:space="preserve"> </w:t>
      </w:r>
      <w:r w:rsidRPr="00491272">
        <w:rPr>
          <w:rFonts w:ascii="Century Schoolbook" w:eastAsia="Times New Roman" w:hAnsi="Century Schoolbook" w:cs="Times New Roman"/>
          <w:sz w:val="26"/>
          <w:szCs w:val="26"/>
        </w:rPr>
        <w:lastRenderedPageBreak/>
        <w:t>to cure deficiencies that were not “minor” (</w:t>
      </w:r>
      <w:r w:rsidRPr="00491272">
        <w:rPr>
          <w:rFonts w:ascii="Century Schoolbook" w:eastAsia="Times New Roman" w:hAnsi="Century Schoolbook" w:cs="Times New Roman"/>
          <w:i/>
          <w:iCs/>
          <w:sz w:val="26"/>
          <w:szCs w:val="26"/>
        </w:rPr>
        <w:t>Garcia</w:t>
      </w:r>
      <w:r w:rsidR="001913ED">
        <w:rPr>
          <w:rFonts w:ascii="Century Schoolbook" w:eastAsia="Times New Roman" w:hAnsi="Century Schoolbook" w:cs="Times New Roman"/>
          <w:i/>
          <w:iCs/>
          <w:sz w:val="26"/>
          <w:szCs w:val="26"/>
        </w:rPr>
        <w:t xml:space="preserve"> </w:t>
      </w:r>
      <w:r w:rsidR="00D17379">
        <w:rPr>
          <w:rFonts w:ascii="Century Schoolbook" w:eastAsia="Times New Roman" w:hAnsi="Century Schoolbook" w:cs="Times New Roman"/>
          <w:i/>
          <w:iCs/>
          <w:sz w:val="26"/>
          <w:szCs w:val="26"/>
        </w:rPr>
        <w:t>II</w:t>
      </w:r>
      <w:r w:rsidRPr="00491272">
        <w:rPr>
          <w:rFonts w:ascii="Century Schoolbook" w:eastAsia="Times New Roman" w:hAnsi="Century Schoolbook" w:cs="Times New Roman"/>
          <w:sz w:val="26"/>
          <w:szCs w:val="26"/>
        </w:rPr>
        <w:t>, at pp. 806, 818).  Section 995a has no pr</w:t>
      </w:r>
      <w:r w:rsidRPr="00491272">
        <w:rPr>
          <w:rFonts w:ascii="Century Schoolbook" w:eastAsia="Times New Roman" w:hAnsi="Century Schoolbook" w:cs="Times New Roman"/>
          <w:sz w:val="26"/>
          <w:szCs w:val="26"/>
        </w:rPr>
        <w:t xml:space="preserve">ovision whatsoever for ordering further proceedings before a grand jury when </w:t>
      </w:r>
      <w:r w:rsidR="000A2E7E">
        <w:rPr>
          <w:rFonts w:ascii="Century Schoolbook" w:eastAsia="Times New Roman" w:hAnsi="Century Schoolbook" w:cs="Times New Roman"/>
          <w:sz w:val="26"/>
          <w:szCs w:val="26"/>
        </w:rPr>
        <w:t>a</w:t>
      </w:r>
      <w:r w:rsidRPr="00491272">
        <w:rPr>
          <w:rFonts w:ascii="Century Schoolbook" w:eastAsia="Times New Roman" w:hAnsi="Century Schoolbook" w:cs="Times New Roman"/>
          <w:sz w:val="26"/>
          <w:szCs w:val="26"/>
        </w:rPr>
        <w:t xml:space="preserve"> defendant challenges an indictment.</w:t>
      </w:r>
      <w:r>
        <w:rPr>
          <w:rFonts w:ascii="Century Schoolbook" w:eastAsia="Times New Roman" w:hAnsi="Century Schoolbook" w:cs="Times New Roman"/>
          <w:b/>
          <w:bCs/>
          <w:sz w:val="26"/>
          <w:szCs w:val="26"/>
          <w:vertAlign w:val="superscript"/>
        </w:rPr>
        <w:footnoteReference w:id="9"/>
      </w:r>
      <w:r w:rsidRPr="00AE00C9">
        <w:rPr>
          <w:rFonts w:ascii="Century Schoolbook" w:eastAsia="Times New Roman" w:hAnsi="Century Schoolbook" w:cs="Times New Roman"/>
          <w:b/>
          <w:bCs/>
          <w:sz w:val="26"/>
          <w:szCs w:val="26"/>
        </w:rPr>
        <w:t xml:space="preserve">  </w:t>
      </w:r>
      <w:r w:rsidRPr="00491272">
        <w:rPr>
          <w:rFonts w:ascii="Century Schoolbook" w:eastAsia="Times New Roman" w:hAnsi="Century Schoolbook" w:cs="Times New Roman"/>
          <w:sz w:val="26"/>
          <w:szCs w:val="26"/>
        </w:rPr>
        <w:t xml:space="preserve"> </w:t>
      </w:r>
    </w:p>
    <w:p w14:paraId="47B00B73" w14:textId="1BA54D17" w:rsidR="00491272" w:rsidRPr="00491272" w:rsidRDefault="00267C6F" w:rsidP="00491272">
      <w:pPr>
        <w:spacing w:after="0" w:line="288" w:lineRule="auto"/>
        <w:rPr>
          <w:rFonts w:ascii="Century Schoolbook" w:eastAsia="Times New Roman" w:hAnsi="Century Schoolbook" w:cs="Times New Roman"/>
          <w:sz w:val="26"/>
          <w:szCs w:val="26"/>
        </w:rPr>
      </w:pPr>
      <w:r w:rsidRPr="00491272">
        <w:rPr>
          <w:rFonts w:ascii="Century Schoolbook" w:eastAsia="Times New Roman" w:hAnsi="Century Schoolbook" w:cs="Times New Roman"/>
          <w:sz w:val="26"/>
          <w:szCs w:val="26"/>
        </w:rPr>
        <w:tab/>
        <w:t>But section 995a’s language does not preclude a trial court, in the exercise of its inherent authority, from order</w:t>
      </w:r>
      <w:r w:rsidR="000A2E7E">
        <w:rPr>
          <w:rFonts w:ascii="Century Schoolbook" w:eastAsia="Times New Roman" w:hAnsi="Century Schoolbook" w:cs="Times New Roman"/>
          <w:sz w:val="26"/>
          <w:szCs w:val="26"/>
        </w:rPr>
        <w:t>ing</w:t>
      </w:r>
      <w:r w:rsidRPr="00491272">
        <w:rPr>
          <w:rFonts w:ascii="Century Schoolbook" w:eastAsia="Times New Roman" w:hAnsi="Century Schoolbook" w:cs="Times New Roman"/>
          <w:sz w:val="26"/>
          <w:szCs w:val="26"/>
        </w:rPr>
        <w:t xml:space="preserve"> further proceedings before a grand jury in response to the creation of new elements by our Legislature.  We reach this conclusion for three reasons.</w:t>
      </w:r>
    </w:p>
    <w:p w14:paraId="47B40ABA" w14:textId="556EC49D" w:rsidR="00491272" w:rsidRPr="00491272" w:rsidRDefault="00267C6F" w:rsidP="00491272">
      <w:pPr>
        <w:spacing w:after="0" w:line="288" w:lineRule="auto"/>
        <w:rPr>
          <w:rFonts w:ascii="Century Schoolbook" w:eastAsia="Times New Roman" w:hAnsi="Century Schoolbook" w:cs="Times New Roman"/>
          <w:sz w:val="26"/>
          <w:szCs w:val="26"/>
        </w:rPr>
      </w:pPr>
      <w:r w:rsidRPr="00491272">
        <w:rPr>
          <w:rFonts w:ascii="Century Schoolbook" w:eastAsia="Times New Roman" w:hAnsi="Century Schoolbook" w:cs="Times New Roman"/>
          <w:sz w:val="26"/>
          <w:szCs w:val="26"/>
        </w:rPr>
        <w:tab/>
        <w:t>First, and as a general matter, while defendant is correct that there is a “settled principle of statutor</w:t>
      </w:r>
      <w:r w:rsidRPr="00491272">
        <w:rPr>
          <w:rFonts w:ascii="Century Schoolbook" w:eastAsia="Times New Roman" w:hAnsi="Century Schoolbook" w:cs="Times New Roman"/>
          <w:sz w:val="26"/>
          <w:szCs w:val="26"/>
        </w:rPr>
        <w:t>y interpretation that if a statute contains a provision regarding one subject, that provision’s omission in the same or another statute regarding a related subject is evidence of a different legislative intent” (</w:t>
      </w:r>
      <w:r w:rsidRPr="00491272">
        <w:rPr>
          <w:rFonts w:ascii="Century Schoolbook" w:eastAsia="Times New Roman" w:hAnsi="Century Schoolbook" w:cs="Times New Roman"/>
          <w:i/>
          <w:iCs/>
          <w:sz w:val="26"/>
          <w:szCs w:val="26"/>
        </w:rPr>
        <w:t>People v. Arriaga</w:t>
      </w:r>
      <w:r w:rsidRPr="00491272">
        <w:rPr>
          <w:rFonts w:ascii="Century Schoolbook" w:eastAsia="Times New Roman" w:hAnsi="Century Schoolbook" w:cs="Times New Roman"/>
          <w:sz w:val="26"/>
          <w:szCs w:val="26"/>
        </w:rPr>
        <w:t xml:space="preserve"> (2014) 58 Cal.4th 950, 960</w:t>
      </w:r>
      <w:r w:rsidRPr="00491272">
        <w:rPr>
          <w:rFonts w:ascii="Century Schoolbook" w:eastAsia="Times New Roman" w:hAnsi="Century Schoolbook" w:cs="Times New Roman"/>
          <w:sz w:val="26"/>
          <w:szCs w:val="26"/>
        </w:rPr>
        <w:t>), the principle does not—as defendant insists—inevitably or necessarily mean that legislative silence on a topic foreclose</w:t>
      </w:r>
      <w:r w:rsidR="00EB1655">
        <w:rPr>
          <w:rFonts w:ascii="Century Schoolbook" w:eastAsia="Times New Roman" w:hAnsi="Century Schoolbook" w:cs="Times New Roman"/>
          <w:sz w:val="26"/>
          <w:szCs w:val="26"/>
        </w:rPr>
        <w:t>s</w:t>
      </w:r>
      <w:r w:rsidRPr="00491272">
        <w:rPr>
          <w:rFonts w:ascii="Century Schoolbook" w:eastAsia="Times New Roman" w:hAnsi="Century Schoolbook" w:cs="Times New Roman"/>
          <w:sz w:val="26"/>
          <w:szCs w:val="26"/>
        </w:rPr>
        <w:t xml:space="preserve"> the exercise of a court’s inherent authority, particularly given that our Legislature enacts statutes against the backdrop of the e</w:t>
      </w:r>
      <w:r w:rsidRPr="00491272">
        <w:rPr>
          <w:rFonts w:ascii="Century Schoolbook" w:eastAsia="Times New Roman" w:hAnsi="Century Schoolbook" w:cs="Times New Roman"/>
          <w:sz w:val="26"/>
          <w:szCs w:val="26"/>
        </w:rPr>
        <w:t>xistence of that authority.  “[G]aps left unaddressed by statutes”—that is, legislative silence—are still gaps, and may be filled by courts through the exercise of their inherent authority in the absence of a clear legislative intent to the contrary that g</w:t>
      </w:r>
      <w:r w:rsidRPr="00491272">
        <w:rPr>
          <w:rFonts w:ascii="Century Schoolbook" w:eastAsia="Times New Roman" w:hAnsi="Century Schoolbook" w:cs="Times New Roman"/>
          <w:sz w:val="26"/>
          <w:szCs w:val="26"/>
        </w:rPr>
        <w:t>oes beyond the silence itself.  (</w:t>
      </w:r>
      <w:r w:rsidRPr="00491272">
        <w:rPr>
          <w:rFonts w:ascii="Century Schoolbook" w:eastAsia="Times New Roman" w:hAnsi="Century Schoolbook" w:cs="Times New Roman"/>
          <w:i/>
          <w:iCs/>
          <w:sz w:val="26"/>
          <w:szCs w:val="26"/>
        </w:rPr>
        <w:t>Lujan</w:t>
      </w:r>
      <w:r w:rsidR="0023042C">
        <w:rPr>
          <w:rFonts w:ascii="Century Schoolbook" w:eastAsia="Times New Roman" w:hAnsi="Century Schoolbook" w:cs="Times New Roman"/>
          <w:sz w:val="26"/>
          <w:szCs w:val="26"/>
        </w:rPr>
        <w:t xml:space="preserve">, </w:t>
      </w:r>
      <w:r w:rsidR="0023042C">
        <w:rPr>
          <w:rFonts w:ascii="Century Schoolbook" w:eastAsia="Times New Roman" w:hAnsi="Century Schoolbook" w:cs="Times New Roman"/>
          <w:i/>
          <w:iCs/>
          <w:sz w:val="26"/>
          <w:szCs w:val="26"/>
        </w:rPr>
        <w:t>supra</w:t>
      </w:r>
      <w:r w:rsidR="0023042C">
        <w:rPr>
          <w:rFonts w:ascii="Century Schoolbook" w:eastAsia="Times New Roman" w:hAnsi="Century Schoolbook" w:cs="Times New Roman"/>
          <w:sz w:val="26"/>
          <w:szCs w:val="26"/>
        </w:rPr>
        <w:t xml:space="preserve">, </w:t>
      </w:r>
      <w:r w:rsidRPr="00491272">
        <w:rPr>
          <w:rFonts w:ascii="Century Schoolbook" w:eastAsia="Times New Roman" w:hAnsi="Century Schoolbook" w:cs="Times New Roman"/>
          <w:sz w:val="26"/>
          <w:szCs w:val="26"/>
        </w:rPr>
        <w:t xml:space="preserve">11 Cal.App.4th </w:t>
      </w:r>
      <w:r w:rsidR="0023042C">
        <w:rPr>
          <w:rFonts w:ascii="Century Schoolbook" w:eastAsia="Times New Roman" w:hAnsi="Century Schoolbook" w:cs="Times New Roman"/>
          <w:sz w:val="26"/>
          <w:szCs w:val="26"/>
        </w:rPr>
        <w:t>at p.</w:t>
      </w:r>
      <w:r w:rsidRPr="00491272">
        <w:rPr>
          <w:rFonts w:ascii="Century Schoolbook" w:eastAsia="Times New Roman" w:hAnsi="Century Schoolbook" w:cs="Times New Roman"/>
          <w:sz w:val="26"/>
          <w:szCs w:val="26"/>
        </w:rPr>
        <w:t xml:space="preserve"> 1507; </w:t>
      </w:r>
      <w:r w:rsidRPr="00491272">
        <w:rPr>
          <w:rFonts w:ascii="Century Schoolbook" w:eastAsia="Times New Roman" w:hAnsi="Century Schoolbook" w:cs="Times New Roman"/>
          <w:i/>
          <w:iCs/>
          <w:sz w:val="26"/>
          <w:szCs w:val="26"/>
        </w:rPr>
        <w:t xml:space="preserve">People v. </w:t>
      </w:r>
      <w:proofErr w:type="spellStart"/>
      <w:r w:rsidRPr="00491272">
        <w:rPr>
          <w:rFonts w:ascii="Century Schoolbook" w:eastAsia="Times New Roman" w:hAnsi="Century Schoolbook" w:cs="Times New Roman"/>
          <w:i/>
          <w:iCs/>
          <w:sz w:val="26"/>
          <w:szCs w:val="26"/>
        </w:rPr>
        <w:t>Vaesau</w:t>
      </w:r>
      <w:proofErr w:type="spellEnd"/>
      <w:r w:rsidRPr="00491272">
        <w:rPr>
          <w:rFonts w:ascii="Century Schoolbook" w:eastAsia="Times New Roman" w:hAnsi="Century Schoolbook" w:cs="Times New Roman"/>
          <w:sz w:val="26"/>
          <w:szCs w:val="26"/>
        </w:rPr>
        <w:t xml:space="preserve"> (2023) 94 </w:t>
      </w:r>
      <w:r w:rsidRPr="00491272">
        <w:rPr>
          <w:rFonts w:ascii="Century Schoolbook" w:eastAsia="Times New Roman" w:hAnsi="Century Schoolbook" w:cs="Times New Roman"/>
          <w:sz w:val="26"/>
          <w:szCs w:val="26"/>
        </w:rPr>
        <w:lastRenderedPageBreak/>
        <w:t>Cal.App.5th 132, 150-151</w:t>
      </w:r>
      <w:r w:rsidR="005935C8">
        <w:rPr>
          <w:rFonts w:ascii="Century Schoolbook" w:eastAsia="Times New Roman" w:hAnsi="Century Schoolbook" w:cs="Times New Roman"/>
          <w:sz w:val="26"/>
          <w:szCs w:val="26"/>
        </w:rPr>
        <w:t xml:space="preserve">; cf. </w:t>
      </w:r>
      <w:r w:rsidR="005935C8">
        <w:rPr>
          <w:rFonts w:ascii="Century Schoolbook" w:eastAsia="Times New Roman" w:hAnsi="Century Schoolbook" w:cs="Times New Roman"/>
          <w:i/>
          <w:iCs/>
          <w:sz w:val="26"/>
          <w:szCs w:val="26"/>
        </w:rPr>
        <w:t>Estrada I</w:t>
      </w:r>
      <w:r w:rsidR="005935C8" w:rsidRPr="0079753B">
        <w:rPr>
          <w:rFonts w:ascii="Century Schoolbook" w:eastAsia="Times New Roman" w:hAnsi="Century Schoolbook" w:cs="Times New Roman"/>
          <w:sz w:val="26"/>
          <w:szCs w:val="26"/>
        </w:rPr>
        <w:t>,</w:t>
      </w:r>
      <w:r w:rsidR="005935C8">
        <w:rPr>
          <w:rFonts w:ascii="Century Schoolbook" w:eastAsia="Times New Roman" w:hAnsi="Century Schoolbook" w:cs="Times New Roman"/>
          <w:i/>
          <w:iCs/>
          <w:sz w:val="26"/>
          <w:szCs w:val="26"/>
        </w:rPr>
        <w:t xml:space="preserve"> </w:t>
      </w:r>
      <w:r w:rsidR="005935C8" w:rsidRPr="005935C8">
        <w:rPr>
          <w:rFonts w:ascii="Century Schoolbook" w:eastAsia="Times New Roman" w:hAnsi="Century Schoolbook" w:cs="Times New Roman"/>
          <w:i/>
          <w:iCs/>
          <w:sz w:val="26"/>
          <w:szCs w:val="26"/>
        </w:rPr>
        <w:t>supra</w:t>
      </w:r>
      <w:r w:rsidR="005935C8">
        <w:rPr>
          <w:rFonts w:ascii="Century Schoolbook" w:eastAsia="Times New Roman" w:hAnsi="Century Schoolbook" w:cs="Times New Roman"/>
          <w:sz w:val="26"/>
          <w:szCs w:val="26"/>
        </w:rPr>
        <w:t>, 2024 Cal.</w:t>
      </w:r>
      <w:r w:rsidR="00086DE8">
        <w:rPr>
          <w:rFonts w:ascii="Century Schoolbook" w:eastAsia="Times New Roman" w:hAnsi="Century Schoolbook" w:cs="Times New Roman"/>
          <w:sz w:val="26"/>
          <w:szCs w:val="26"/>
        </w:rPr>
        <w:t xml:space="preserve"> </w:t>
      </w:r>
      <w:r w:rsidR="005935C8">
        <w:rPr>
          <w:rFonts w:ascii="Century Schoolbook" w:eastAsia="Times New Roman" w:hAnsi="Century Schoolbook" w:cs="Times New Roman"/>
          <w:sz w:val="26"/>
          <w:szCs w:val="26"/>
        </w:rPr>
        <w:t xml:space="preserve">LEXIS at pp. *8-*9, *12-*18 [courts’ inherent authority to dismiss claims due to manageability considerations in class actions </w:t>
      </w:r>
      <w:r w:rsidR="00BD6319">
        <w:rPr>
          <w:rFonts w:ascii="Century Schoolbook" w:eastAsia="Times New Roman" w:hAnsi="Century Schoolbook" w:cs="Times New Roman"/>
          <w:sz w:val="26"/>
          <w:szCs w:val="26"/>
        </w:rPr>
        <w:t xml:space="preserve">and in other </w:t>
      </w:r>
      <w:r w:rsidR="005935C8">
        <w:rPr>
          <w:rFonts w:ascii="Century Schoolbook" w:eastAsia="Times New Roman" w:hAnsi="Century Schoolbook" w:cs="Times New Roman"/>
          <w:sz w:val="26"/>
          <w:szCs w:val="26"/>
        </w:rPr>
        <w:t xml:space="preserve">certain “limited circumstances” does not confer inherent authority to dismiss claims on that </w:t>
      </w:r>
      <w:r w:rsidR="00BD6319">
        <w:rPr>
          <w:rFonts w:ascii="Century Schoolbook" w:eastAsia="Times New Roman" w:hAnsi="Century Schoolbook" w:cs="Times New Roman"/>
          <w:sz w:val="26"/>
          <w:szCs w:val="26"/>
        </w:rPr>
        <w:t>basis</w:t>
      </w:r>
      <w:r w:rsidR="005935C8">
        <w:rPr>
          <w:rFonts w:ascii="Century Schoolbook" w:eastAsia="Times New Roman" w:hAnsi="Century Schoolbook" w:cs="Times New Roman"/>
          <w:sz w:val="26"/>
          <w:szCs w:val="26"/>
        </w:rPr>
        <w:t xml:space="preserve"> in </w:t>
      </w:r>
      <w:r w:rsidR="008C497D" w:rsidRPr="008C497D">
        <w:rPr>
          <w:rFonts w:ascii="Century Schoolbook" w:eastAsia="Times New Roman" w:hAnsi="Century Schoolbook" w:cs="Times New Roman"/>
          <w:sz w:val="26"/>
          <w:szCs w:val="26"/>
        </w:rPr>
        <w:t>Labor Code Private Attorneys General Act of 2004 (Lab. Code, § 2698 et seq.)</w:t>
      </w:r>
      <w:r w:rsidR="005935C8">
        <w:rPr>
          <w:rFonts w:ascii="Century Schoolbook" w:eastAsia="Times New Roman" w:hAnsi="Century Schoolbook" w:cs="Times New Roman"/>
          <w:sz w:val="26"/>
          <w:szCs w:val="26"/>
        </w:rPr>
        <w:t xml:space="preserve"> cases, which Legislature prescribes are not subject to class action procedures].)</w:t>
      </w:r>
    </w:p>
    <w:p w14:paraId="610C5424" w14:textId="5BAC45D7" w:rsidR="00491272" w:rsidRPr="00491272" w:rsidRDefault="00267C6F" w:rsidP="00491272">
      <w:pPr>
        <w:spacing w:after="0" w:line="288" w:lineRule="auto"/>
        <w:rPr>
          <w:rFonts w:ascii="Century Schoolbook" w:eastAsia="Times New Roman" w:hAnsi="Century Schoolbook" w:cs="Times New Roman"/>
          <w:sz w:val="26"/>
          <w:szCs w:val="26"/>
        </w:rPr>
      </w:pPr>
      <w:r w:rsidRPr="00491272">
        <w:rPr>
          <w:rFonts w:ascii="Century Schoolbook" w:eastAsia="Times New Roman" w:hAnsi="Century Schoolbook" w:cs="Times New Roman"/>
          <w:sz w:val="26"/>
          <w:szCs w:val="26"/>
        </w:rPr>
        <w:tab/>
        <w:t>Second, even if we were to view section 995a’s silence as evincing a legislative intent to allow further preli</w:t>
      </w:r>
      <w:r w:rsidRPr="00491272">
        <w:rPr>
          <w:rFonts w:ascii="Century Schoolbook" w:eastAsia="Times New Roman" w:hAnsi="Century Schoolbook" w:cs="Times New Roman"/>
          <w:sz w:val="26"/>
          <w:szCs w:val="26"/>
        </w:rPr>
        <w:t xml:space="preserve">minary hearing proceedings but not further grand jury proceedings, </w:t>
      </w:r>
      <w:r w:rsidR="00484641">
        <w:rPr>
          <w:rFonts w:ascii="Century Schoolbook" w:eastAsia="Times New Roman" w:hAnsi="Century Schoolbook" w:cs="Times New Roman"/>
          <w:sz w:val="26"/>
          <w:szCs w:val="26"/>
        </w:rPr>
        <w:t xml:space="preserve">that dichotomy is irrelevant to this case because </w:t>
      </w:r>
      <w:r w:rsidRPr="00491272">
        <w:rPr>
          <w:rFonts w:ascii="Century Schoolbook" w:eastAsia="Times New Roman" w:hAnsi="Century Schoolbook" w:cs="Times New Roman"/>
          <w:sz w:val="26"/>
          <w:szCs w:val="26"/>
        </w:rPr>
        <w:t>section 995a does not speak to the issue presented here.  By its plain text, section 995a authorizes a court to reopen a preliminary hearin</w:t>
      </w:r>
      <w:r w:rsidRPr="00491272">
        <w:rPr>
          <w:rFonts w:ascii="Century Schoolbook" w:eastAsia="Times New Roman" w:hAnsi="Century Schoolbook" w:cs="Times New Roman"/>
          <w:sz w:val="26"/>
          <w:szCs w:val="26"/>
        </w:rPr>
        <w:t xml:space="preserve">g proceeding only to “correct </w:t>
      </w:r>
      <w:r w:rsidRPr="00491272">
        <w:rPr>
          <w:rFonts w:ascii="Century Schoolbook" w:eastAsia="Times New Roman" w:hAnsi="Century Schoolbook" w:cs="Times New Roman"/>
          <w:i/>
          <w:iCs/>
          <w:sz w:val="26"/>
          <w:szCs w:val="26"/>
        </w:rPr>
        <w:t>errors</w:t>
      </w:r>
      <w:r w:rsidRPr="00491272">
        <w:rPr>
          <w:rFonts w:ascii="Century Schoolbook" w:eastAsia="Times New Roman" w:hAnsi="Century Schoolbook" w:cs="Times New Roman"/>
          <w:sz w:val="26"/>
          <w:szCs w:val="26"/>
        </w:rPr>
        <w:t>” (if th</w:t>
      </w:r>
      <w:r w:rsidR="00484641">
        <w:rPr>
          <w:rFonts w:ascii="Century Schoolbook" w:eastAsia="Times New Roman" w:hAnsi="Century Schoolbook" w:cs="Times New Roman"/>
          <w:sz w:val="26"/>
          <w:szCs w:val="26"/>
        </w:rPr>
        <w:t>ose errors</w:t>
      </w:r>
      <w:r w:rsidRPr="00491272">
        <w:rPr>
          <w:rFonts w:ascii="Century Schoolbook" w:eastAsia="Times New Roman" w:hAnsi="Century Schoolbook" w:cs="Times New Roman"/>
          <w:sz w:val="26"/>
          <w:szCs w:val="26"/>
        </w:rPr>
        <w:t xml:space="preserve"> meet the statute’s other requirements).  (§ 995a, subd. (b)(1)</w:t>
      </w:r>
      <w:r w:rsidR="00A80CF9">
        <w:rPr>
          <w:rFonts w:ascii="Century Schoolbook" w:eastAsia="Times New Roman" w:hAnsi="Century Schoolbook" w:cs="Times New Roman"/>
          <w:sz w:val="26"/>
          <w:szCs w:val="26"/>
        </w:rPr>
        <w:t>, italics added</w:t>
      </w:r>
      <w:r w:rsidRPr="00491272">
        <w:rPr>
          <w:rFonts w:ascii="Century Schoolbook" w:eastAsia="Times New Roman" w:hAnsi="Century Schoolbook" w:cs="Times New Roman"/>
          <w:sz w:val="26"/>
          <w:szCs w:val="26"/>
        </w:rPr>
        <w:t xml:space="preserve">.)  But where, as here, the issue is solely the absence of evidence relevant to elements of a crime or enhancement </w:t>
      </w:r>
      <w:r w:rsidRPr="00491272">
        <w:rPr>
          <w:rFonts w:ascii="Century Schoolbook" w:eastAsia="Times New Roman" w:hAnsi="Century Schoolbook" w:cs="Times New Roman"/>
          <w:i/>
          <w:iCs/>
          <w:sz w:val="26"/>
          <w:szCs w:val="26"/>
        </w:rPr>
        <w:t xml:space="preserve">that </w:t>
      </w:r>
      <w:r w:rsidRPr="00491272">
        <w:rPr>
          <w:rFonts w:ascii="Century Schoolbook" w:eastAsia="Times New Roman" w:hAnsi="Century Schoolbook" w:cs="Times New Roman"/>
          <w:i/>
          <w:iCs/>
          <w:sz w:val="26"/>
          <w:szCs w:val="26"/>
        </w:rPr>
        <w:t>did not exist at the time of the preliminary hearing</w:t>
      </w:r>
      <w:r w:rsidRPr="00491272">
        <w:rPr>
          <w:rFonts w:ascii="Century Schoolbook" w:eastAsia="Times New Roman" w:hAnsi="Century Schoolbook" w:cs="Times New Roman"/>
          <w:sz w:val="26"/>
          <w:szCs w:val="26"/>
        </w:rPr>
        <w:t xml:space="preserve">, there </w:t>
      </w:r>
      <w:r w:rsidR="00F9507D">
        <w:rPr>
          <w:rFonts w:ascii="Century Schoolbook" w:eastAsia="Times New Roman" w:hAnsi="Century Schoolbook" w:cs="Times New Roman"/>
          <w:sz w:val="26"/>
          <w:szCs w:val="26"/>
        </w:rPr>
        <w:t>was</w:t>
      </w:r>
      <w:r w:rsidR="00F9507D" w:rsidRPr="00491272">
        <w:rPr>
          <w:rFonts w:ascii="Century Schoolbook" w:eastAsia="Times New Roman" w:hAnsi="Century Schoolbook" w:cs="Times New Roman"/>
          <w:sz w:val="26"/>
          <w:szCs w:val="26"/>
        </w:rPr>
        <w:t xml:space="preserve"> </w:t>
      </w:r>
      <w:r w:rsidRPr="00491272">
        <w:rPr>
          <w:rFonts w:ascii="Century Schoolbook" w:eastAsia="Times New Roman" w:hAnsi="Century Schoolbook" w:cs="Times New Roman"/>
          <w:sz w:val="26"/>
          <w:szCs w:val="26"/>
        </w:rPr>
        <w:t>no error in the preliminary hearing proceeding:  On the law and the evidence in existence at the time of the preliminary hearing, the magistrate did not err.  (</w:t>
      </w:r>
      <w:r w:rsidRPr="00491272">
        <w:rPr>
          <w:rFonts w:ascii="Century Schoolbook" w:eastAsia="Times New Roman" w:hAnsi="Century Schoolbook" w:cs="Times New Roman"/>
          <w:i/>
          <w:iCs/>
          <w:sz w:val="26"/>
          <w:szCs w:val="26"/>
        </w:rPr>
        <w:t>Mendoza</w:t>
      </w:r>
      <w:r w:rsidR="0075615C">
        <w:rPr>
          <w:rFonts w:ascii="Century Schoolbook" w:eastAsia="Times New Roman" w:hAnsi="Century Schoolbook" w:cs="Times New Roman"/>
          <w:sz w:val="26"/>
          <w:szCs w:val="26"/>
        </w:rPr>
        <w:t xml:space="preserve">, </w:t>
      </w:r>
      <w:r w:rsidR="0075615C">
        <w:rPr>
          <w:rFonts w:ascii="Century Schoolbook" w:eastAsia="Times New Roman" w:hAnsi="Century Schoolbook" w:cs="Times New Roman"/>
          <w:i/>
          <w:iCs/>
          <w:sz w:val="26"/>
          <w:szCs w:val="26"/>
        </w:rPr>
        <w:t>supra</w:t>
      </w:r>
      <w:r w:rsidR="0075615C">
        <w:rPr>
          <w:rFonts w:ascii="Century Schoolbook" w:eastAsia="Times New Roman" w:hAnsi="Century Schoolbook" w:cs="Times New Roman"/>
          <w:sz w:val="26"/>
          <w:szCs w:val="26"/>
        </w:rPr>
        <w:t xml:space="preserve">, </w:t>
      </w:r>
      <w:r w:rsidRPr="00491272">
        <w:rPr>
          <w:rFonts w:ascii="Century Schoolbook" w:eastAsia="Times New Roman" w:hAnsi="Century Schoolbook" w:cs="Times New Roman"/>
          <w:sz w:val="26"/>
          <w:szCs w:val="26"/>
        </w:rPr>
        <w:t xml:space="preserve">91 Cal.App.5th </w:t>
      </w:r>
      <w:r w:rsidR="0075615C">
        <w:rPr>
          <w:rFonts w:ascii="Century Schoolbook" w:eastAsia="Times New Roman" w:hAnsi="Century Schoolbook" w:cs="Times New Roman"/>
          <w:sz w:val="26"/>
          <w:szCs w:val="26"/>
        </w:rPr>
        <w:t>at pp.</w:t>
      </w:r>
      <w:r w:rsidRPr="00491272">
        <w:rPr>
          <w:rFonts w:ascii="Century Schoolbook" w:eastAsia="Times New Roman" w:hAnsi="Century Schoolbook" w:cs="Times New Roman"/>
          <w:sz w:val="26"/>
          <w:szCs w:val="26"/>
        </w:rPr>
        <w:t xml:space="preserve"> 60-61 [accepting concession of parties that “there was [no] error in the original commitment” when the law changed thereafter]; accord, </w:t>
      </w:r>
      <w:r w:rsidRPr="00491272">
        <w:rPr>
          <w:rFonts w:ascii="Century Schoolbook" w:eastAsia="Times New Roman" w:hAnsi="Century Schoolbook" w:cs="Times New Roman"/>
          <w:i/>
          <w:iCs/>
          <w:sz w:val="26"/>
          <w:szCs w:val="26"/>
        </w:rPr>
        <w:t>Burnett</w:t>
      </w:r>
      <w:r w:rsidRPr="00AE00C9">
        <w:rPr>
          <w:rFonts w:ascii="Century Schoolbook" w:eastAsia="Times New Roman" w:hAnsi="Century Schoolbook" w:cs="Times New Roman"/>
          <w:sz w:val="26"/>
          <w:szCs w:val="26"/>
        </w:rPr>
        <w:t>,</w:t>
      </w:r>
      <w:r w:rsidRPr="00491272">
        <w:rPr>
          <w:rFonts w:ascii="Century Schoolbook" w:eastAsia="Times New Roman" w:hAnsi="Century Schoolbook" w:cs="Times New Roman"/>
          <w:i/>
          <w:iCs/>
          <w:sz w:val="26"/>
          <w:szCs w:val="26"/>
        </w:rPr>
        <w:t xml:space="preserve"> supra</w:t>
      </w:r>
      <w:r w:rsidRPr="00491272">
        <w:rPr>
          <w:rFonts w:ascii="Century Schoolbook" w:eastAsia="Times New Roman" w:hAnsi="Century Schoolbook" w:cs="Times New Roman"/>
          <w:sz w:val="26"/>
          <w:szCs w:val="26"/>
        </w:rPr>
        <w:t>, 12 Cal.3d at p. 873 [review of preliminary hearing looks to “the testimony presented”]</w:t>
      </w:r>
      <w:r w:rsidR="00A80CF9">
        <w:rPr>
          <w:rFonts w:ascii="Century Schoolbook" w:eastAsia="Times New Roman" w:hAnsi="Century Schoolbook" w:cs="Times New Roman"/>
          <w:sz w:val="26"/>
          <w:szCs w:val="26"/>
        </w:rPr>
        <w:t>, italics omitted</w:t>
      </w:r>
      <w:r w:rsidRPr="00491272">
        <w:rPr>
          <w:rFonts w:ascii="Century Schoolbook" w:eastAsia="Times New Roman" w:hAnsi="Century Schoolbook" w:cs="Times New Roman"/>
          <w:sz w:val="26"/>
          <w:szCs w:val="26"/>
        </w:rPr>
        <w:t xml:space="preserve">.)  Thus, in our view, section 995a does not address the situation posed by the addition of new elements that </w:t>
      </w:r>
      <w:r w:rsidRPr="00491272">
        <w:rPr>
          <w:rFonts w:ascii="Century Schoolbook" w:eastAsia="Times New Roman" w:hAnsi="Century Schoolbook" w:cs="Times New Roman"/>
          <w:i/>
          <w:iCs/>
          <w:sz w:val="26"/>
          <w:szCs w:val="26"/>
        </w:rPr>
        <w:t>Estrada</w:t>
      </w:r>
      <w:r w:rsidRPr="00491272">
        <w:rPr>
          <w:rFonts w:ascii="Century Schoolbook" w:eastAsia="Times New Roman" w:hAnsi="Century Schoolbook" w:cs="Times New Roman"/>
          <w:sz w:val="26"/>
          <w:szCs w:val="26"/>
        </w:rPr>
        <w:t xml:space="preserve"> </w:t>
      </w:r>
      <w:r w:rsidR="00DD2E58">
        <w:rPr>
          <w:rFonts w:ascii="Century Schoolbook" w:eastAsia="Times New Roman" w:hAnsi="Century Schoolbook" w:cs="Times New Roman"/>
          <w:sz w:val="26"/>
          <w:szCs w:val="26"/>
        </w:rPr>
        <w:t xml:space="preserve">II </w:t>
      </w:r>
      <w:r w:rsidRPr="00491272">
        <w:rPr>
          <w:rFonts w:ascii="Century Schoolbook" w:eastAsia="Times New Roman" w:hAnsi="Century Schoolbook" w:cs="Times New Roman"/>
          <w:sz w:val="26"/>
          <w:szCs w:val="26"/>
        </w:rPr>
        <w:t xml:space="preserve">renders retroactively applicable, so a trial court’s power to reopen </w:t>
      </w:r>
      <w:r w:rsidR="00484641">
        <w:rPr>
          <w:rFonts w:ascii="Century Schoolbook" w:eastAsia="Times New Roman" w:hAnsi="Century Schoolbook" w:cs="Times New Roman"/>
          <w:i/>
          <w:iCs/>
          <w:sz w:val="26"/>
          <w:szCs w:val="26"/>
        </w:rPr>
        <w:t xml:space="preserve">any </w:t>
      </w:r>
      <w:r w:rsidRPr="00491272">
        <w:rPr>
          <w:rFonts w:ascii="Century Schoolbook" w:eastAsia="Times New Roman" w:hAnsi="Century Schoolbook" w:cs="Times New Roman"/>
          <w:sz w:val="26"/>
          <w:szCs w:val="26"/>
        </w:rPr>
        <w:t>proceedings</w:t>
      </w:r>
      <w:r w:rsidR="00484641">
        <w:rPr>
          <w:rFonts w:ascii="Century Schoolbook" w:eastAsia="Times New Roman" w:hAnsi="Century Schoolbook" w:cs="Times New Roman"/>
          <w:sz w:val="26"/>
          <w:szCs w:val="26"/>
        </w:rPr>
        <w:t>—either preliminary hearing proceedings or grand jury proceedings—</w:t>
      </w:r>
      <w:r w:rsidRPr="00491272">
        <w:rPr>
          <w:rFonts w:ascii="Century Schoolbook" w:eastAsia="Times New Roman" w:hAnsi="Century Schoolbook" w:cs="Times New Roman"/>
          <w:sz w:val="26"/>
          <w:szCs w:val="26"/>
        </w:rPr>
        <w:lastRenderedPageBreak/>
        <w:t>stems not from section 995a, but instead from its inherent authority.</w:t>
      </w:r>
      <w:r>
        <w:rPr>
          <w:rFonts w:ascii="Century Schoolbook" w:eastAsia="Times New Roman" w:hAnsi="Century Schoolbook" w:cs="Times New Roman"/>
          <w:b/>
          <w:bCs/>
          <w:sz w:val="26"/>
          <w:szCs w:val="26"/>
          <w:vertAlign w:val="superscript"/>
        </w:rPr>
        <w:footnoteReference w:id="10"/>
      </w:r>
      <w:r w:rsidRPr="00AE00C9">
        <w:rPr>
          <w:rFonts w:ascii="Century Schoolbook" w:eastAsia="Times New Roman" w:hAnsi="Century Schoolbook" w:cs="Times New Roman"/>
          <w:b/>
          <w:bCs/>
          <w:sz w:val="26"/>
          <w:szCs w:val="26"/>
        </w:rPr>
        <w:t xml:space="preserve"> </w:t>
      </w:r>
      <w:r w:rsidRPr="00491272">
        <w:rPr>
          <w:rFonts w:ascii="Century Schoolbook" w:eastAsia="Times New Roman" w:hAnsi="Century Schoolbook" w:cs="Times New Roman"/>
          <w:sz w:val="26"/>
          <w:szCs w:val="26"/>
        </w:rPr>
        <w:t xml:space="preserve"> </w:t>
      </w:r>
      <w:r w:rsidRPr="005935C8">
        <w:rPr>
          <w:rFonts w:ascii="Century Schoolbook" w:eastAsia="Times New Roman" w:hAnsi="Century Schoolbook" w:cs="Times New Roman"/>
          <w:sz w:val="26"/>
          <w:szCs w:val="26"/>
        </w:rPr>
        <w:t>And</w:t>
      </w:r>
      <w:r w:rsidRPr="00491272">
        <w:rPr>
          <w:rFonts w:ascii="Century Schoolbook" w:eastAsia="Times New Roman" w:hAnsi="Century Schoolbook" w:cs="Times New Roman"/>
          <w:sz w:val="26"/>
          <w:szCs w:val="26"/>
        </w:rPr>
        <w:t xml:space="preserve"> to hold that </w:t>
      </w:r>
      <w:r w:rsidRPr="00491272">
        <w:rPr>
          <w:rFonts w:ascii="Century Schoolbook" w:eastAsia="Times New Roman" w:hAnsi="Century Schoolbook" w:cs="Times New Roman"/>
          <w:i/>
          <w:iCs/>
          <w:sz w:val="26"/>
          <w:szCs w:val="26"/>
        </w:rPr>
        <w:t>no</w:t>
      </w:r>
      <w:r w:rsidRPr="00491272">
        <w:rPr>
          <w:rFonts w:ascii="Century Schoolbook" w:eastAsia="Times New Roman" w:hAnsi="Century Schoolbook" w:cs="Times New Roman"/>
          <w:sz w:val="26"/>
          <w:szCs w:val="26"/>
        </w:rPr>
        <w:t xml:space="preserve"> such inherent authority exists would force us to read </w:t>
      </w:r>
      <w:proofErr w:type="spellStart"/>
      <w:r w:rsidR="00D5449E">
        <w:rPr>
          <w:rFonts w:ascii="Century Schoolbook" w:eastAsia="Times New Roman" w:hAnsi="Century Schoolbook" w:cs="Times New Roman"/>
          <w:sz w:val="26"/>
          <w:szCs w:val="26"/>
        </w:rPr>
        <w:t>Assem</w:t>
      </w:r>
      <w:proofErr w:type="spellEnd"/>
      <w:r w:rsidR="00D5449E">
        <w:rPr>
          <w:rFonts w:ascii="Century Schoolbook" w:eastAsia="Times New Roman" w:hAnsi="Century Schoolbook" w:cs="Times New Roman"/>
          <w:sz w:val="26"/>
          <w:szCs w:val="26"/>
        </w:rPr>
        <w:t>. Bill No.</w:t>
      </w:r>
      <w:r w:rsidRPr="00491272">
        <w:rPr>
          <w:rFonts w:ascii="Century Schoolbook" w:eastAsia="Times New Roman" w:hAnsi="Century Schoolbook" w:cs="Times New Roman"/>
          <w:sz w:val="26"/>
          <w:szCs w:val="26"/>
        </w:rPr>
        <w:t xml:space="preserve"> 333 as immunizing </w:t>
      </w:r>
      <w:r w:rsidR="00A80CF9">
        <w:rPr>
          <w:rFonts w:ascii="Century Schoolbook" w:eastAsia="Times New Roman" w:hAnsi="Century Schoolbook" w:cs="Times New Roman"/>
          <w:sz w:val="26"/>
          <w:szCs w:val="26"/>
        </w:rPr>
        <w:t xml:space="preserve">so-called </w:t>
      </w:r>
      <w:r w:rsidRPr="00491272">
        <w:rPr>
          <w:rFonts w:ascii="Century Schoolbook" w:eastAsia="Times New Roman" w:hAnsi="Century Schoolbook" w:cs="Times New Roman"/>
          <w:sz w:val="26"/>
          <w:szCs w:val="26"/>
        </w:rPr>
        <w:t xml:space="preserve">pipeline defendants—whether charged by indictment or information—from criminal liability for any crimes or enhancements amended </w:t>
      </w:r>
      <w:r w:rsidR="00315F0E">
        <w:rPr>
          <w:rFonts w:ascii="Century Schoolbook" w:eastAsia="Times New Roman" w:hAnsi="Century Schoolbook" w:cs="Times New Roman"/>
          <w:sz w:val="26"/>
          <w:szCs w:val="26"/>
        </w:rPr>
        <w:t>prior to trial</w:t>
      </w:r>
      <w:r w:rsidRPr="00491272">
        <w:rPr>
          <w:rFonts w:ascii="Century Schoolbook" w:eastAsia="Times New Roman" w:hAnsi="Century Schoolbook" w:cs="Times New Roman"/>
          <w:sz w:val="26"/>
          <w:szCs w:val="26"/>
        </w:rPr>
        <w:t>.</w:t>
      </w:r>
      <w:r>
        <w:rPr>
          <w:rStyle w:val="FootnoteReference"/>
          <w:rFonts w:ascii="Century Schoolbook" w:eastAsia="Times New Roman" w:hAnsi="Century Schoolbook" w:cs="Times New Roman"/>
          <w:b/>
          <w:bCs/>
          <w:sz w:val="26"/>
          <w:szCs w:val="26"/>
        </w:rPr>
        <w:footnoteReference w:id="11"/>
      </w:r>
      <w:r w:rsidRPr="00491272">
        <w:rPr>
          <w:rFonts w:ascii="Century Schoolbook" w:eastAsia="Times New Roman" w:hAnsi="Century Schoolbook" w:cs="Times New Roman"/>
          <w:sz w:val="26"/>
          <w:szCs w:val="26"/>
        </w:rPr>
        <w:t xml:space="preserve">  </w:t>
      </w:r>
      <w:proofErr w:type="spellStart"/>
      <w:r w:rsidR="00D5449E">
        <w:rPr>
          <w:rFonts w:ascii="Century Schoolbook" w:eastAsia="Times New Roman" w:hAnsi="Century Schoolbook" w:cs="Times New Roman"/>
          <w:sz w:val="26"/>
          <w:szCs w:val="26"/>
        </w:rPr>
        <w:t>Assem</w:t>
      </w:r>
      <w:proofErr w:type="spellEnd"/>
      <w:r w:rsidR="00D5449E">
        <w:rPr>
          <w:rFonts w:ascii="Century Schoolbook" w:eastAsia="Times New Roman" w:hAnsi="Century Schoolbook" w:cs="Times New Roman"/>
          <w:sz w:val="26"/>
          <w:szCs w:val="26"/>
        </w:rPr>
        <w:t xml:space="preserve">. Bill No. </w:t>
      </w:r>
      <w:r w:rsidRPr="00491272">
        <w:rPr>
          <w:rFonts w:ascii="Century Schoolbook" w:eastAsia="Times New Roman" w:hAnsi="Century Schoolbook" w:cs="Times New Roman"/>
          <w:sz w:val="26"/>
          <w:szCs w:val="26"/>
        </w:rPr>
        <w:t xml:space="preserve">333 </w:t>
      </w:r>
      <w:r w:rsidR="00484641">
        <w:rPr>
          <w:rFonts w:ascii="Century Schoolbook" w:eastAsia="Times New Roman" w:hAnsi="Century Schoolbook" w:cs="Times New Roman"/>
          <w:sz w:val="26"/>
          <w:szCs w:val="26"/>
        </w:rPr>
        <w:t xml:space="preserve">purports to do </w:t>
      </w:r>
      <w:r w:rsidRPr="00491272">
        <w:rPr>
          <w:rFonts w:ascii="Century Schoolbook" w:eastAsia="Times New Roman" w:hAnsi="Century Schoolbook" w:cs="Times New Roman"/>
          <w:sz w:val="26"/>
          <w:szCs w:val="26"/>
        </w:rPr>
        <w:t>many things, but it does not</w:t>
      </w:r>
      <w:r w:rsidR="00484641">
        <w:rPr>
          <w:rFonts w:ascii="Century Schoolbook" w:eastAsia="Times New Roman" w:hAnsi="Century Schoolbook" w:cs="Times New Roman"/>
          <w:sz w:val="26"/>
          <w:szCs w:val="26"/>
        </w:rPr>
        <w:t xml:space="preserve"> purport to</w:t>
      </w:r>
      <w:r w:rsidRPr="00491272">
        <w:rPr>
          <w:rFonts w:ascii="Century Schoolbook" w:eastAsia="Times New Roman" w:hAnsi="Century Schoolbook" w:cs="Times New Roman"/>
          <w:sz w:val="26"/>
          <w:szCs w:val="26"/>
        </w:rPr>
        <w:t xml:space="preserve"> grant such immunity.  A court may </w:t>
      </w:r>
      <w:r w:rsidRPr="00491272">
        <w:rPr>
          <w:rFonts w:ascii="Century Schoolbook" w:eastAsia="Times New Roman" w:hAnsi="Century Schoolbook" w:cs="Times New Roman"/>
          <w:sz w:val="26"/>
          <w:szCs w:val="26"/>
        </w:rPr>
        <w:t xml:space="preserve">therefore exercise its inherent authority to reopen grand jury proceedings in this context.  Defendant resists this conclusion by citing </w:t>
      </w:r>
      <w:r w:rsidRPr="00491272">
        <w:rPr>
          <w:rFonts w:ascii="Century Schoolbook" w:eastAsia="Times New Roman" w:hAnsi="Century Schoolbook" w:cs="Times New Roman"/>
          <w:i/>
          <w:iCs/>
          <w:sz w:val="26"/>
          <w:szCs w:val="26"/>
        </w:rPr>
        <w:t>Currie v. Superior Court</w:t>
      </w:r>
      <w:r w:rsidRPr="00491272">
        <w:rPr>
          <w:rFonts w:ascii="Century Schoolbook" w:eastAsia="Times New Roman" w:hAnsi="Century Schoolbook" w:cs="Times New Roman"/>
          <w:sz w:val="26"/>
          <w:szCs w:val="26"/>
        </w:rPr>
        <w:t xml:space="preserve"> (1991) 230 Cal.App.</w:t>
      </w:r>
      <w:r w:rsidR="00F56D36">
        <w:rPr>
          <w:rFonts w:ascii="Century Schoolbook" w:eastAsia="Times New Roman" w:hAnsi="Century Schoolbook" w:cs="Times New Roman"/>
          <w:sz w:val="26"/>
          <w:szCs w:val="26"/>
        </w:rPr>
        <w:t>3d 83</w:t>
      </w:r>
      <w:r w:rsidRPr="00491272">
        <w:rPr>
          <w:rFonts w:ascii="Century Schoolbook" w:eastAsia="Times New Roman" w:hAnsi="Century Schoolbook" w:cs="Times New Roman"/>
          <w:sz w:val="26"/>
          <w:szCs w:val="26"/>
        </w:rPr>
        <w:t xml:space="preserve">, but </w:t>
      </w:r>
      <w:r w:rsidRPr="00491272">
        <w:rPr>
          <w:rFonts w:ascii="Century Schoolbook" w:eastAsia="Times New Roman" w:hAnsi="Century Schoolbook" w:cs="Times New Roman"/>
          <w:i/>
          <w:iCs/>
          <w:sz w:val="26"/>
          <w:szCs w:val="26"/>
        </w:rPr>
        <w:t xml:space="preserve">Currie </w:t>
      </w:r>
      <w:r w:rsidRPr="00491272">
        <w:rPr>
          <w:rFonts w:ascii="Century Schoolbook" w:eastAsia="Times New Roman" w:hAnsi="Century Schoolbook" w:cs="Times New Roman"/>
          <w:sz w:val="26"/>
          <w:szCs w:val="26"/>
        </w:rPr>
        <w:t xml:space="preserve">merely held a trial court lacked the </w:t>
      </w:r>
      <w:r w:rsidRPr="00491272">
        <w:rPr>
          <w:rFonts w:ascii="Century Schoolbook" w:eastAsia="Times New Roman" w:hAnsi="Century Schoolbook" w:cs="Times New Roman"/>
          <w:sz w:val="26"/>
          <w:szCs w:val="26"/>
        </w:rPr>
        <w:lastRenderedPageBreak/>
        <w:t xml:space="preserve">inherent authority to reopen preliminary hearing proceedings in response to a </w:t>
      </w:r>
      <w:proofErr w:type="spellStart"/>
      <w:r w:rsidRPr="00491272">
        <w:rPr>
          <w:rFonts w:ascii="Century Schoolbook" w:eastAsia="Times New Roman" w:hAnsi="Century Schoolbook" w:cs="Times New Roman"/>
          <w:i/>
          <w:iCs/>
          <w:sz w:val="26"/>
          <w:szCs w:val="26"/>
        </w:rPr>
        <w:t>nonstatutory</w:t>
      </w:r>
      <w:proofErr w:type="spellEnd"/>
      <w:r w:rsidRPr="00491272">
        <w:rPr>
          <w:rFonts w:ascii="Century Schoolbook" w:eastAsia="Times New Roman" w:hAnsi="Century Schoolbook" w:cs="Times New Roman"/>
          <w:sz w:val="26"/>
          <w:szCs w:val="26"/>
        </w:rPr>
        <w:t xml:space="preserve"> motion to dismiss when the defendant </w:t>
      </w:r>
      <w:r w:rsidR="00484641">
        <w:rPr>
          <w:rFonts w:ascii="Century Schoolbook" w:eastAsia="Times New Roman" w:hAnsi="Century Schoolbook" w:cs="Times New Roman"/>
          <w:sz w:val="26"/>
          <w:szCs w:val="26"/>
        </w:rPr>
        <w:t xml:space="preserve">in that case </w:t>
      </w:r>
      <w:r w:rsidRPr="00491272">
        <w:rPr>
          <w:rFonts w:ascii="Century Schoolbook" w:eastAsia="Times New Roman" w:hAnsi="Century Schoolbook" w:cs="Times New Roman"/>
          <w:sz w:val="26"/>
          <w:szCs w:val="26"/>
        </w:rPr>
        <w:t>was not entitled to one under section 995a (</w:t>
      </w:r>
      <w:r w:rsidRPr="00491272">
        <w:rPr>
          <w:rFonts w:ascii="Century Schoolbook" w:eastAsia="Times New Roman" w:hAnsi="Century Schoolbook" w:cs="Times New Roman"/>
          <w:i/>
          <w:iCs/>
          <w:sz w:val="26"/>
          <w:szCs w:val="26"/>
        </w:rPr>
        <w:t>id.</w:t>
      </w:r>
      <w:r w:rsidRPr="00491272">
        <w:rPr>
          <w:rFonts w:ascii="Century Schoolbook" w:eastAsia="Times New Roman" w:hAnsi="Century Schoolbook" w:cs="Times New Roman"/>
          <w:sz w:val="26"/>
          <w:szCs w:val="26"/>
        </w:rPr>
        <w:t xml:space="preserve"> at p</w:t>
      </w:r>
      <w:r w:rsidR="00A80CF9">
        <w:rPr>
          <w:rFonts w:ascii="Century Schoolbook" w:eastAsia="Times New Roman" w:hAnsi="Century Schoolbook" w:cs="Times New Roman"/>
          <w:sz w:val="26"/>
          <w:szCs w:val="26"/>
        </w:rPr>
        <w:t>p</w:t>
      </w:r>
      <w:r w:rsidRPr="00491272">
        <w:rPr>
          <w:rFonts w:ascii="Century Schoolbook" w:eastAsia="Times New Roman" w:hAnsi="Century Schoolbook" w:cs="Times New Roman"/>
          <w:sz w:val="26"/>
          <w:szCs w:val="26"/>
        </w:rPr>
        <w:t>. 88</w:t>
      </w:r>
      <w:r w:rsidR="00A80CF9">
        <w:rPr>
          <w:rFonts w:ascii="Century Schoolbook" w:eastAsia="Times New Roman" w:hAnsi="Century Schoolbook" w:cs="Times New Roman"/>
          <w:sz w:val="26"/>
          <w:szCs w:val="26"/>
        </w:rPr>
        <w:t>, 90-92</w:t>
      </w:r>
      <w:r w:rsidRPr="00491272">
        <w:rPr>
          <w:rFonts w:ascii="Century Schoolbook" w:eastAsia="Times New Roman" w:hAnsi="Century Schoolbook" w:cs="Times New Roman"/>
          <w:sz w:val="26"/>
          <w:szCs w:val="26"/>
        </w:rPr>
        <w:t xml:space="preserve">); </w:t>
      </w:r>
      <w:r w:rsidRPr="00491272">
        <w:rPr>
          <w:rFonts w:ascii="Century Schoolbook" w:eastAsia="Times New Roman" w:hAnsi="Century Schoolbook" w:cs="Times New Roman"/>
          <w:i/>
          <w:iCs/>
          <w:sz w:val="26"/>
          <w:szCs w:val="26"/>
        </w:rPr>
        <w:t>Currie</w:t>
      </w:r>
      <w:r w:rsidRPr="00491272">
        <w:rPr>
          <w:rFonts w:ascii="Century Schoolbook" w:eastAsia="Times New Roman" w:hAnsi="Century Schoolbook" w:cs="Times New Roman"/>
          <w:sz w:val="26"/>
          <w:szCs w:val="26"/>
        </w:rPr>
        <w:t xml:space="preserve"> ther</w:t>
      </w:r>
      <w:r w:rsidRPr="00491272">
        <w:rPr>
          <w:rFonts w:ascii="Century Schoolbook" w:eastAsia="Times New Roman" w:hAnsi="Century Schoolbook" w:cs="Times New Roman"/>
          <w:sz w:val="26"/>
          <w:szCs w:val="26"/>
        </w:rPr>
        <w:t>efore deals with a court’s end run around statutory procedures.  Here, the statutory procedure at issue—section 995a—simply does not apply.</w:t>
      </w:r>
    </w:p>
    <w:p w14:paraId="3104C95D" w14:textId="2A2A30C2" w:rsidR="00491272" w:rsidRDefault="00267C6F" w:rsidP="00491272">
      <w:pPr>
        <w:spacing w:after="0" w:line="288" w:lineRule="auto"/>
        <w:rPr>
          <w:rFonts w:ascii="Century Schoolbook" w:eastAsia="Times New Roman" w:hAnsi="Century Schoolbook" w:cs="Times New Roman"/>
          <w:sz w:val="26"/>
          <w:szCs w:val="26"/>
        </w:rPr>
      </w:pPr>
      <w:r w:rsidRPr="00491272">
        <w:rPr>
          <w:rFonts w:ascii="Century Schoolbook" w:eastAsia="Times New Roman" w:hAnsi="Century Schoolbook" w:cs="Times New Roman"/>
          <w:sz w:val="26"/>
          <w:szCs w:val="26"/>
        </w:rPr>
        <w:tab/>
        <w:t xml:space="preserve">Third and lastly, even if we were to rule that section 995a does apply (as did </w:t>
      </w:r>
      <w:r w:rsidRPr="00491272">
        <w:rPr>
          <w:rFonts w:ascii="Century Schoolbook" w:eastAsia="Times New Roman" w:hAnsi="Century Schoolbook" w:cs="Times New Roman"/>
          <w:i/>
          <w:iCs/>
          <w:sz w:val="26"/>
          <w:szCs w:val="26"/>
        </w:rPr>
        <w:t>Mendoza</w:t>
      </w:r>
      <w:r w:rsidRPr="00AE00C9">
        <w:rPr>
          <w:rFonts w:ascii="Century Schoolbook" w:eastAsia="Times New Roman" w:hAnsi="Century Schoolbook" w:cs="Times New Roman"/>
          <w:sz w:val="26"/>
          <w:szCs w:val="26"/>
        </w:rPr>
        <w:t>,</w:t>
      </w:r>
      <w:r w:rsidRPr="00491272">
        <w:rPr>
          <w:rFonts w:ascii="Century Schoolbook" w:eastAsia="Times New Roman" w:hAnsi="Century Schoolbook" w:cs="Times New Roman"/>
          <w:i/>
          <w:iCs/>
          <w:sz w:val="26"/>
          <w:szCs w:val="26"/>
        </w:rPr>
        <w:t xml:space="preserve"> supra</w:t>
      </w:r>
      <w:r w:rsidRPr="00491272">
        <w:rPr>
          <w:rFonts w:ascii="Century Schoolbook" w:eastAsia="Times New Roman" w:hAnsi="Century Schoolbook" w:cs="Times New Roman"/>
          <w:sz w:val="26"/>
          <w:szCs w:val="26"/>
        </w:rPr>
        <w:t>, 91 Cal.App.5th at pp</w:t>
      </w:r>
      <w:r w:rsidRPr="00491272">
        <w:rPr>
          <w:rFonts w:ascii="Century Schoolbook" w:eastAsia="Times New Roman" w:hAnsi="Century Schoolbook" w:cs="Times New Roman"/>
          <w:sz w:val="26"/>
          <w:szCs w:val="26"/>
        </w:rPr>
        <w:t>. 58-</w:t>
      </w:r>
      <w:r w:rsidR="00A80CF9">
        <w:rPr>
          <w:rFonts w:ascii="Century Schoolbook" w:eastAsia="Times New Roman" w:hAnsi="Century Schoolbook" w:cs="Times New Roman"/>
          <w:sz w:val="26"/>
          <w:szCs w:val="26"/>
        </w:rPr>
        <w:t>62</w:t>
      </w:r>
      <w:r w:rsidRPr="00491272">
        <w:rPr>
          <w:rFonts w:ascii="Century Schoolbook" w:eastAsia="Times New Roman" w:hAnsi="Century Schoolbook" w:cs="Times New Roman"/>
          <w:sz w:val="26"/>
          <w:szCs w:val="26"/>
        </w:rPr>
        <w:t xml:space="preserve"> and </w:t>
      </w:r>
      <w:proofErr w:type="spellStart"/>
      <w:r w:rsidRPr="00491272">
        <w:rPr>
          <w:rFonts w:ascii="Century Schoolbook" w:eastAsia="Times New Roman" w:hAnsi="Century Schoolbook" w:cs="Times New Roman"/>
          <w:i/>
          <w:iCs/>
          <w:sz w:val="26"/>
          <w:szCs w:val="26"/>
        </w:rPr>
        <w:t>Rodas-Gramajo</w:t>
      </w:r>
      <w:proofErr w:type="spellEnd"/>
      <w:r w:rsidRPr="00AE00C9">
        <w:rPr>
          <w:rFonts w:ascii="Century Schoolbook" w:eastAsia="Times New Roman" w:hAnsi="Century Schoolbook" w:cs="Times New Roman"/>
          <w:sz w:val="26"/>
          <w:szCs w:val="26"/>
        </w:rPr>
        <w:t>,</w:t>
      </w:r>
      <w:r w:rsidRPr="00491272">
        <w:rPr>
          <w:rFonts w:ascii="Century Schoolbook" w:eastAsia="Times New Roman" w:hAnsi="Century Schoolbook" w:cs="Times New Roman"/>
          <w:i/>
          <w:iCs/>
          <w:sz w:val="26"/>
          <w:szCs w:val="26"/>
        </w:rPr>
        <w:t xml:space="preserve"> supra</w:t>
      </w:r>
      <w:r w:rsidRPr="00491272">
        <w:rPr>
          <w:rFonts w:ascii="Century Schoolbook" w:eastAsia="Times New Roman" w:hAnsi="Century Schoolbook" w:cs="Times New Roman"/>
          <w:sz w:val="26"/>
          <w:szCs w:val="26"/>
        </w:rPr>
        <w:t xml:space="preserve">, 92 Cal.App.5th at pp. 664-671), we would construe it as not </w:t>
      </w:r>
      <w:r w:rsidR="00484641">
        <w:rPr>
          <w:rFonts w:ascii="Century Schoolbook" w:eastAsia="Times New Roman" w:hAnsi="Century Schoolbook" w:cs="Times New Roman"/>
          <w:sz w:val="26"/>
          <w:szCs w:val="26"/>
        </w:rPr>
        <w:t>precluding</w:t>
      </w:r>
      <w:r w:rsidRPr="00491272">
        <w:rPr>
          <w:rFonts w:ascii="Century Schoolbook" w:eastAsia="Times New Roman" w:hAnsi="Century Schoolbook" w:cs="Times New Roman"/>
          <w:sz w:val="26"/>
          <w:szCs w:val="26"/>
        </w:rPr>
        <w:t xml:space="preserve"> a trial court’s inherent authority to reopen </w:t>
      </w:r>
      <w:r w:rsidR="00484641">
        <w:rPr>
          <w:rFonts w:ascii="Century Schoolbook" w:eastAsia="Times New Roman" w:hAnsi="Century Schoolbook" w:cs="Times New Roman"/>
          <w:sz w:val="26"/>
          <w:szCs w:val="26"/>
        </w:rPr>
        <w:t xml:space="preserve">grand jury </w:t>
      </w:r>
      <w:r w:rsidRPr="00491272">
        <w:rPr>
          <w:rFonts w:ascii="Century Schoolbook" w:eastAsia="Times New Roman" w:hAnsi="Century Schoolbook" w:cs="Times New Roman"/>
          <w:sz w:val="26"/>
          <w:szCs w:val="26"/>
        </w:rPr>
        <w:t xml:space="preserve">proceedings because the contrary </w:t>
      </w:r>
      <w:r w:rsidR="00A80CF9">
        <w:rPr>
          <w:rFonts w:ascii="Century Schoolbook" w:eastAsia="Times New Roman" w:hAnsi="Century Schoolbook" w:cs="Times New Roman"/>
          <w:sz w:val="26"/>
          <w:szCs w:val="26"/>
        </w:rPr>
        <w:t>construction</w:t>
      </w:r>
      <w:r w:rsidR="00A80CF9" w:rsidRPr="00491272">
        <w:rPr>
          <w:rFonts w:ascii="Century Schoolbook" w:eastAsia="Times New Roman" w:hAnsi="Century Schoolbook" w:cs="Times New Roman"/>
          <w:sz w:val="26"/>
          <w:szCs w:val="26"/>
        </w:rPr>
        <w:t xml:space="preserve"> </w:t>
      </w:r>
      <w:r w:rsidRPr="00491272">
        <w:rPr>
          <w:rFonts w:ascii="Century Schoolbook" w:eastAsia="Times New Roman" w:hAnsi="Century Schoolbook" w:cs="Times New Roman"/>
          <w:sz w:val="26"/>
          <w:szCs w:val="26"/>
        </w:rPr>
        <w:t>would lead to what we view as absurd results.  (</w:t>
      </w:r>
      <w:r w:rsidRPr="00491272">
        <w:rPr>
          <w:rFonts w:ascii="Century Schoolbook" w:eastAsia="Times New Roman" w:hAnsi="Century Schoolbook" w:cs="Times New Roman"/>
          <w:i/>
          <w:iCs/>
          <w:sz w:val="26"/>
          <w:szCs w:val="26"/>
        </w:rPr>
        <w:t>P</w:t>
      </w:r>
      <w:r w:rsidRPr="00491272">
        <w:rPr>
          <w:rFonts w:ascii="Century Schoolbook" w:eastAsia="Times New Roman" w:hAnsi="Century Schoolbook" w:cs="Times New Roman"/>
          <w:i/>
          <w:iCs/>
          <w:sz w:val="26"/>
          <w:szCs w:val="26"/>
        </w:rPr>
        <w:t xml:space="preserve">eople v. </w:t>
      </w:r>
      <w:proofErr w:type="spellStart"/>
      <w:r w:rsidRPr="00491272">
        <w:rPr>
          <w:rFonts w:ascii="Century Schoolbook" w:eastAsia="Times New Roman" w:hAnsi="Century Schoolbook" w:cs="Times New Roman"/>
          <w:i/>
          <w:iCs/>
          <w:sz w:val="26"/>
          <w:szCs w:val="26"/>
        </w:rPr>
        <w:t>Leiva</w:t>
      </w:r>
      <w:proofErr w:type="spellEnd"/>
      <w:r w:rsidRPr="00491272">
        <w:rPr>
          <w:rFonts w:ascii="Century Schoolbook" w:eastAsia="Times New Roman" w:hAnsi="Century Schoolbook" w:cs="Times New Roman"/>
          <w:sz w:val="26"/>
          <w:szCs w:val="26"/>
        </w:rPr>
        <w:t xml:space="preserve"> (2013) 56 Cal.4</w:t>
      </w:r>
      <w:r w:rsidR="00EB1655">
        <w:rPr>
          <w:rFonts w:ascii="Century Schoolbook" w:eastAsia="Times New Roman" w:hAnsi="Century Schoolbook" w:cs="Times New Roman"/>
          <w:sz w:val="26"/>
          <w:szCs w:val="26"/>
        </w:rPr>
        <w:t>th</w:t>
      </w:r>
      <w:r w:rsidRPr="00491272">
        <w:rPr>
          <w:rFonts w:ascii="Century Schoolbook" w:eastAsia="Times New Roman" w:hAnsi="Century Schoolbook" w:cs="Times New Roman"/>
          <w:sz w:val="26"/>
          <w:szCs w:val="26"/>
        </w:rPr>
        <w:t xml:space="preserve"> 498, 506 [a court may “</w:t>
      </w:r>
      <w:r w:rsidR="00A80CF9">
        <w:rPr>
          <w:rFonts w:ascii="Century Schoolbook" w:eastAsia="Times New Roman" w:hAnsi="Century Schoolbook" w:cs="Times New Roman"/>
          <w:sz w:val="26"/>
          <w:szCs w:val="26"/>
        </w:rPr>
        <w:t>‘</w:t>
      </w:r>
      <w:r w:rsidRPr="00491272">
        <w:rPr>
          <w:rFonts w:ascii="Century Schoolbook" w:eastAsia="Times New Roman" w:hAnsi="Century Schoolbook" w:cs="Times New Roman"/>
          <w:sz w:val="26"/>
          <w:szCs w:val="26"/>
        </w:rPr>
        <w:t>reject a literal construction</w:t>
      </w:r>
      <w:r w:rsidR="00A80CF9">
        <w:rPr>
          <w:rFonts w:ascii="Century Schoolbook" w:eastAsia="Times New Roman" w:hAnsi="Century Schoolbook" w:cs="Times New Roman"/>
          <w:sz w:val="26"/>
          <w:szCs w:val="26"/>
        </w:rPr>
        <w:t>’</w:t>
      </w:r>
      <w:r w:rsidRPr="00491272">
        <w:rPr>
          <w:rFonts w:ascii="Century Schoolbook" w:eastAsia="Times New Roman" w:hAnsi="Century Schoolbook" w:cs="Times New Roman"/>
          <w:sz w:val="26"/>
          <w:szCs w:val="26"/>
        </w:rPr>
        <w:t>” of a statute “</w:t>
      </w:r>
      <w:r w:rsidR="00A80CF9">
        <w:rPr>
          <w:rFonts w:ascii="Century Schoolbook" w:eastAsia="Times New Roman" w:hAnsi="Century Schoolbook" w:cs="Times New Roman"/>
          <w:sz w:val="26"/>
          <w:szCs w:val="26"/>
        </w:rPr>
        <w:t>‘</w:t>
      </w:r>
      <w:r w:rsidRPr="00491272">
        <w:rPr>
          <w:rFonts w:ascii="Century Schoolbook" w:eastAsia="Times New Roman" w:hAnsi="Century Schoolbook" w:cs="Times New Roman"/>
          <w:sz w:val="26"/>
          <w:szCs w:val="26"/>
        </w:rPr>
        <w:t>that would lead to absurd results</w:t>
      </w:r>
      <w:r w:rsidR="00A80CF9">
        <w:rPr>
          <w:rFonts w:ascii="Century Schoolbook" w:eastAsia="Times New Roman" w:hAnsi="Century Schoolbook" w:cs="Times New Roman"/>
          <w:sz w:val="26"/>
          <w:szCs w:val="26"/>
        </w:rPr>
        <w:t>’</w:t>
      </w:r>
      <w:r w:rsidRPr="00491272">
        <w:rPr>
          <w:rFonts w:ascii="Century Schoolbook" w:eastAsia="Times New Roman" w:hAnsi="Century Schoolbook" w:cs="Times New Roman"/>
          <w:sz w:val="26"/>
          <w:szCs w:val="26"/>
        </w:rPr>
        <w:t xml:space="preserve">”].)  If, as defendant suggests, we were to </w:t>
      </w:r>
      <w:r w:rsidR="00516B3D">
        <w:rPr>
          <w:rFonts w:ascii="Century Schoolbook" w:eastAsia="Times New Roman" w:hAnsi="Century Schoolbook" w:cs="Times New Roman"/>
          <w:sz w:val="26"/>
          <w:szCs w:val="26"/>
        </w:rPr>
        <w:t>construe</w:t>
      </w:r>
      <w:r w:rsidR="00516B3D" w:rsidRPr="00491272">
        <w:rPr>
          <w:rFonts w:ascii="Century Schoolbook" w:eastAsia="Times New Roman" w:hAnsi="Century Schoolbook" w:cs="Times New Roman"/>
          <w:sz w:val="26"/>
          <w:szCs w:val="26"/>
        </w:rPr>
        <w:t xml:space="preserve"> </w:t>
      </w:r>
      <w:r w:rsidRPr="00491272">
        <w:rPr>
          <w:rFonts w:ascii="Century Schoolbook" w:eastAsia="Times New Roman" w:hAnsi="Century Schoolbook" w:cs="Times New Roman"/>
          <w:sz w:val="26"/>
          <w:szCs w:val="26"/>
        </w:rPr>
        <w:t xml:space="preserve">section 995a </w:t>
      </w:r>
      <w:r w:rsidR="00516B3D">
        <w:rPr>
          <w:rFonts w:ascii="Century Schoolbook" w:eastAsia="Times New Roman" w:hAnsi="Century Schoolbook" w:cs="Times New Roman"/>
          <w:sz w:val="26"/>
          <w:szCs w:val="26"/>
        </w:rPr>
        <w:t xml:space="preserve">as a bar to reopening proceedings </w:t>
      </w:r>
      <w:r w:rsidRPr="00491272">
        <w:rPr>
          <w:rFonts w:ascii="Century Schoolbook" w:eastAsia="Times New Roman" w:hAnsi="Century Schoolbook" w:cs="Times New Roman"/>
          <w:sz w:val="26"/>
          <w:szCs w:val="26"/>
        </w:rPr>
        <w:t xml:space="preserve">in the context of this case, then further proceedings would be </w:t>
      </w:r>
      <w:r w:rsidR="00484641">
        <w:rPr>
          <w:rFonts w:ascii="Century Schoolbook" w:eastAsia="Times New Roman" w:hAnsi="Century Schoolbook" w:cs="Times New Roman"/>
          <w:sz w:val="26"/>
          <w:szCs w:val="26"/>
        </w:rPr>
        <w:t xml:space="preserve">available </w:t>
      </w:r>
      <w:r w:rsidRPr="00491272">
        <w:rPr>
          <w:rFonts w:ascii="Century Schoolbook" w:eastAsia="Times New Roman" w:hAnsi="Century Schoolbook" w:cs="Times New Roman"/>
          <w:sz w:val="26"/>
          <w:szCs w:val="26"/>
        </w:rPr>
        <w:t xml:space="preserve">only (1) for those defendants whose prosecutions had been initiated by preliminary hearing, </w:t>
      </w:r>
      <w:r w:rsidR="00484641">
        <w:rPr>
          <w:rFonts w:ascii="Century Schoolbook" w:eastAsia="Times New Roman" w:hAnsi="Century Schoolbook" w:cs="Times New Roman"/>
          <w:sz w:val="26"/>
          <w:szCs w:val="26"/>
        </w:rPr>
        <w:t xml:space="preserve">and </w:t>
      </w:r>
      <w:r w:rsidRPr="00491272">
        <w:rPr>
          <w:rFonts w:ascii="Century Schoolbook" w:eastAsia="Times New Roman" w:hAnsi="Century Schoolbook" w:cs="Times New Roman"/>
          <w:sz w:val="26"/>
          <w:szCs w:val="26"/>
        </w:rPr>
        <w:t>(2) if the statutory amendments were not so extensive</w:t>
      </w:r>
      <w:r w:rsidRPr="00491272">
        <w:rPr>
          <w:rFonts w:ascii="Century Schoolbook" w:eastAsia="Times New Roman" w:hAnsi="Century Schoolbook" w:cs="Times New Roman"/>
          <w:sz w:val="26"/>
          <w:szCs w:val="26"/>
        </w:rPr>
        <w:t xml:space="preserve"> as to make the “error” no longer “minor” in the context of that particular case.  This would mean that a new statute adding elements to a crime or enhancement would render pipeline defendants absolutely immune from liability for that crime or enhancement </w:t>
      </w:r>
      <w:r w:rsidRPr="00491272">
        <w:rPr>
          <w:rFonts w:ascii="Century Schoolbook" w:eastAsia="Times New Roman" w:hAnsi="Century Schoolbook" w:cs="Times New Roman"/>
          <w:sz w:val="26"/>
          <w:szCs w:val="26"/>
        </w:rPr>
        <w:t xml:space="preserve">if (1) their prosecution had been initiated by grand jury, (2) the </w:t>
      </w:r>
      <w:r w:rsidR="00A80CF9">
        <w:rPr>
          <w:rFonts w:ascii="Century Schoolbook" w:eastAsia="Times New Roman" w:hAnsi="Century Schoolbook" w:cs="Times New Roman"/>
          <w:sz w:val="26"/>
          <w:szCs w:val="26"/>
        </w:rPr>
        <w:t>scope</w:t>
      </w:r>
      <w:r w:rsidR="00A80CF9" w:rsidRPr="00491272">
        <w:rPr>
          <w:rFonts w:ascii="Century Schoolbook" w:eastAsia="Times New Roman" w:hAnsi="Century Schoolbook" w:cs="Times New Roman"/>
          <w:sz w:val="26"/>
          <w:szCs w:val="26"/>
        </w:rPr>
        <w:t xml:space="preserve"> </w:t>
      </w:r>
      <w:r w:rsidRPr="00491272">
        <w:rPr>
          <w:rFonts w:ascii="Century Schoolbook" w:eastAsia="Times New Roman" w:hAnsi="Century Schoolbook" w:cs="Times New Roman"/>
          <w:sz w:val="26"/>
          <w:szCs w:val="26"/>
        </w:rPr>
        <w:t>of the amendments was extensive</w:t>
      </w:r>
      <w:r w:rsidR="00516B3D">
        <w:rPr>
          <w:rFonts w:ascii="Century Schoolbook" w:eastAsia="Times New Roman" w:hAnsi="Century Schoolbook" w:cs="Times New Roman"/>
          <w:sz w:val="26"/>
          <w:szCs w:val="26"/>
        </w:rPr>
        <w:t xml:space="preserve"> (rather than “minor”)</w:t>
      </w:r>
      <w:r w:rsidRPr="00491272">
        <w:rPr>
          <w:rFonts w:ascii="Century Schoolbook" w:eastAsia="Times New Roman" w:hAnsi="Century Schoolbook" w:cs="Times New Roman"/>
          <w:sz w:val="26"/>
          <w:szCs w:val="26"/>
        </w:rPr>
        <w:t xml:space="preserve">, </w:t>
      </w:r>
      <w:r w:rsidR="00484641">
        <w:rPr>
          <w:rFonts w:ascii="Century Schoolbook" w:eastAsia="Times New Roman" w:hAnsi="Century Schoolbook" w:cs="Times New Roman"/>
          <w:sz w:val="26"/>
          <w:szCs w:val="26"/>
        </w:rPr>
        <w:t xml:space="preserve">or </w:t>
      </w:r>
      <w:r w:rsidRPr="00491272">
        <w:rPr>
          <w:rFonts w:ascii="Century Schoolbook" w:eastAsia="Times New Roman" w:hAnsi="Century Schoolbook" w:cs="Times New Roman"/>
          <w:sz w:val="26"/>
          <w:szCs w:val="26"/>
        </w:rPr>
        <w:t xml:space="preserve">(3) there had already been a prior reopening of preliminary hearing proceedings due to prior amendments of the same crime or </w:t>
      </w:r>
      <w:r w:rsidRPr="00491272">
        <w:rPr>
          <w:rFonts w:ascii="Century Schoolbook" w:eastAsia="Times New Roman" w:hAnsi="Century Schoolbook" w:cs="Times New Roman"/>
          <w:sz w:val="26"/>
          <w:szCs w:val="26"/>
        </w:rPr>
        <w:t>enhancement</w:t>
      </w:r>
      <w:r w:rsidR="00484641">
        <w:rPr>
          <w:rFonts w:ascii="Century Schoolbook" w:eastAsia="Times New Roman" w:hAnsi="Century Schoolbook" w:cs="Times New Roman"/>
          <w:sz w:val="26"/>
          <w:szCs w:val="26"/>
        </w:rPr>
        <w:t xml:space="preserve"> (thereby implicating the one-refiling rule)</w:t>
      </w:r>
      <w:r w:rsidRPr="00491272">
        <w:rPr>
          <w:rFonts w:ascii="Century Schoolbook" w:eastAsia="Times New Roman" w:hAnsi="Century Schoolbook" w:cs="Times New Roman"/>
          <w:sz w:val="26"/>
          <w:szCs w:val="26"/>
        </w:rPr>
        <w:t xml:space="preserve">.  Although </w:t>
      </w:r>
      <w:r w:rsidR="00484641">
        <w:rPr>
          <w:rFonts w:ascii="Century Schoolbook" w:eastAsia="Times New Roman" w:hAnsi="Century Schoolbook" w:cs="Times New Roman"/>
          <w:sz w:val="26"/>
          <w:szCs w:val="26"/>
        </w:rPr>
        <w:t>law</w:t>
      </w:r>
      <w:r w:rsidR="00F07E8E">
        <w:rPr>
          <w:rFonts w:ascii="Century Schoolbook" w:eastAsia="Times New Roman" w:hAnsi="Century Schoolbook" w:cs="Times New Roman"/>
          <w:sz w:val="26"/>
          <w:szCs w:val="26"/>
        </w:rPr>
        <w:t>s</w:t>
      </w:r>
      <w:r w:rsidR="00484641">
        <w:rPr>
          <w:rFonts w:ascii="Century Schoolbook" w:eastAsia="Times New Roman" w:hAnsi="Century Schoolbook" w:cs="Times New Roman"/>
          <w:sz w:val="26"/>
          <w:szCs w:val="26"/>
        </w:rPr>
        <w:t xml:space="preserve"> </w:t>
      </w:r>
      <w:r w:rsidRPr="00491272">
        <w:rPr>
          <w:rFonts w:ascii="Century Schoolbook" w:eastAsia="Times New Roman" w:hAnsi="Century Schoolbook" w:cs="Times New Roman"/>
          <w:sz w:val="26"/>
          <w:szCs w:val="26"/>
        </w:rPr>
        <w:t>redefining and narrowing crimes and enhancement</w:t>
      </w:r>
      <w:r w:rsidR="00F07E8E">
        <w:rPr>
          <w:rFonts w:ascii="Century Schoolbook" w:eastAsia="Times New Roman" w:hAnsi="Century Schoolbook" w:cs="Times New Roman"/>
          <w:sz w:val="26"/>
          <w:szCs w:val="26"/>
        </w:rPr>
        <w:t>s</w:t>
      </w:r>
      <w:r w:rsidR="00484641">
        <w:rPr>
          <w:rFonts w:ascii="Century Schoolbook" w:eastAsia="Times New Roman" w:hAnsi="Century Schoolbook" w:cs="Times New Roman"/>
          <w:sz w:val="26"/>
          <w:szCs w:val="26"/>
        </w:rPr>
        <w:t xml:space="preserve"> (and rendering them </w:t>
      </w:r>
      <w:r w:rsidR="00484641">
        <w:rPr>
          <w:rFonts w:ascii="Century Schoolbook" w:eastAsia="Times New Roman" w:hAnsi="Century Schoolbook" w:cs="Times New Roman"/>
          <w:sz w:val="26"/>
          <w:szCs w:val="26"/>
        </w:rPr>
        <w:lastRenderedPageBreak/>
        <w:t xml:space="preserve">subject to re-litigation) are a relatively </w:t>
      </w:r>
      <w:proofErr w:type="gramStart"/>
      <w:r w:rsidR="00484641">
        <w:rPr>
          <w:rFonts w:ascii="Century Schoolbook" w:eastAsia="Times New Roman" w:hAnsi="Century Schoolbook" w:cs="Times New Roman"/>
          <w:sz w:val="26"/>
          <w:szCs w:val="26"/>
        </w:rPr>
        <w:t>new innovation</w:t>
      </w:r>
      <w:proofErr w:type="gramEnd"/>
      <w:r w:rsidRPr="00491272">
        <w:rPr>
          <w:rFonts w:ascii="Century Schoolbook" w:eastAsia="Times New Roman" w:hAnsi="Century Schoolbook" w:cs="Times New Roman"/>
          <w:sz w:val="26"/>
          <w:szCs w:val="26"/>
        </w:rPr>
        <w:t>, th</w:t>
      </w:r>
      <w:r w:rsidR="00484641">
        <w:rPr>
          <w:rFonts w:ascii="Century Schoolbook" w:eastAsia="Times New Roman" w:hAnsi="Century Schoolbook" w:cs="Times New Roman"/>
          <w:sz w:val="26"/>
          <w:szCs w:val="26"/>
        </w:rPr>
        <w:t>e</w:t>
      </w:r>
      <w:r w:rsidR="009401BC">
        <w:rPr>
          <w:rFonts w:ascii="Century Schoolbook" w:eastAsia="Times New Roman" w:hAnsi="Century Schoolbook" w:cs="Times New Roman"/>
          <w:sz w:val="26"/>
          <w:szCs w:val="26"/>
        </w:rPr>
        <w:t>y are becoming increasingly commonplace.</w:t>
      </w:r>
      <w:r w:rsidRPr="00491272">
        <w:rPr>
          <w:rFonts w:ascii="Century Schoolbook" w:eastAsia="Times New Roman" w:hAnsi="Century Schoolbook" w:cs="Times New Roman"/>
          <w:sz w:val="26"/>
          <w:szCs w:val="26"/>
        </w:rPr>
        <w:t xml:space="preserve">  Yet conferr</w:t>
      </w:r>
      <w:r w:rsidRPr="00491272">
        <w:rPr>
          <w:rFonts w:ascii="Century Schoolbook" w:eastAsia="Times New Roman" w:hAnsi="Century Schoolbook" w:cs="Times New Roman"/>
          <w:sz w:val="26"/>
          <w:szCs w:val="26"/>
        </w:rPr>
        <w:t>ing immunity to pipeline defendants by default—due to the absence of a procedure to address the new</w:t>
      </w:r>
      <w:r w:rsidR="00A80CF9">
        <w:rPr>
          <w:rFonts w:ascii="Century Schoolbook" w:eastAsia="Times New Roman" w:hAnsi="Century Schoolbook" w:cs="Times New Roman"/>
          <w:sz w:val="26"/>
          <w:szCs w:val="26"/>
        </w:rPr>
        <w:t>ly enacted</w:t>
      </w:r>
      <w:r w:rsidRPr="00491272">
        <w:rPr>
          <w:rFonts w:ascii="Century Schoolbook" w:eastAsia="Times New Roman" w:hAnsi="Century Schoolbook" w:cs="Times New Roman"/>
          <w:sz w:val="26"/>
          <w:szCs w:val="26"/>
        </w:rPr>
        <w:t xml:space="preserve"> elements—is nowhere documented as an intended purpose of these new laws and leads to results that turn on fortuity rather than rationality, thereb</w:t>
      </w:r>
      <w:r w:rsidRPr="00491272">
        <w:rPr>
          <w:rFonts w:ascii="Century Schoolbook" w:eastAsia="Times New Roman" w:hAnsi="Century Schoolbook" w:cs="Times New Roman"/>
          <w:sz w:val="26"/>
          <w:szCs w:val="26"/>
        </w:rPr>
        <w:t xml:space="preserve">y summoning the very real specter of invalidation under equal protection principles.  (See </w:t>
      </w:r>
      <w:r w:rsidRPr="00491272">
        <w:rPr>
          <w:rFonts w:ascii="Century Schoolbook" w:eastAsia="Times New Roman" w:hAnsi="Century Schoolbook" w:cs="Times New Roman"/>
          <w:i/>
          <w:iCs/>
          <w:sz w:val="26"/>
          <w:szCs w:val="26"/>
        </w:rPr>
        <w:t xml:space="preserve">People v. Turnage </w:t>
      </w:r>
      <w:r w:rsidRPr="00491272">
        <w:rPr>
          <w:rFonts w:ascii="Century Schoolbook" w:eastAsia="Times New Roman" w:hAnsi="Century Schoolbook" w:cs="Times New Roman"/>
          <w:sz w:val="26"/>
          <w:szCs w:val="26"/>
        </w:rPr>
        <w:t>(2012) 55 Cal.4th 62, 74-75 [differential treatment of criminal defendants that does not involve a suspect class or fundamental right must be ratio</w:t>
      </w:r>
      <w:r w:rsidRPr="00491272">
        <w:rPr>
          <w:rFonts w:ascii="Century Schoolbook" w:eastAsia="Times New Roman" w:hAnsi="Century Schoolbook" w:cs="Times New Roman"/>
          <w:sz w:val="26"/>
          <w:szCs w:val="26"/>
        </w:rPr>
        <w:t xml:space="preserve">nal]; accord </w:t>
      </w:r>
      <w:proofErr w:type="spellStart"/>
      <w:r w:rsidRPr="00491272">
        <w:rPr>
          <w:rFonts w:ascii="Century Schoolbook" w:eastAsia="Times New Roman" w:hAnsi="Century Schoolbook" w:cs="Times New Roman"/>
          <w:i/>
          <w:iCs/>
          <w:sz w:val="26"/>
          <w:szCs w:val="26"/>
        </w:rPr>
        <w:t>Rodas-Gramajo</w:t>
      </w:r>
      <w:proofErr w:type="spellEnd"/>
      <w:r w:rsidRPr="00491272">
        <w:rPr>
          <w:rFonts w:ascii="Century Schoolbook" w:eastAsia="Times New Roman" w:hAnsi="Century Schoolbook" w:cs="Times New Roman"/>
          <w:sz w:val="26"/>
          <w:szCs w:val="26"/>
        </w:rPr>
        <w:t>, at pp. 678-679 (</w:t>
      </w:r>
      <w:r w:rsidR="00A80CF9">
        <w:rPr>
          <w:rFonts w:ascii="Century Schoolbook" w:eastAsia="Times New Roman" w:hAnsi="Century Schoolbook" w:cs="Times New Roman"/>
          <w:sz w:val="26"/>
          <w:szCs w:val="26"/>
        </w:rPr>
        <w:t xml:space="preserve">conc. </w:t>
      </w:r>
      <w:proofErr w:type="spellStart"/>
      <w:r w:rsidR="00A80CF9">
        <w:rPr>
          <w:rFonts w:ascii="Century Schoolbook" w:eastAsia="Times New Roman" w:hAnsi="Century Schoolbook" w:cs="Times New Roman"/>
          <w:sz w:val="26"/>
          <w:szCs w:val="26"/>
        </w:rPr>
        <w:t>opn</w:t>
      </w:r>
      <w:proofErr w:type="spellEnd"/>
      <w:r w:rsidR="00A80CF9">
        <w:rPr>
          <w:rFonts w:ascii="Century Schoolbook" w:eastAsia="Times New Roman" w:hAnsi="Century Schoolbook" w:cs="Times New Roman"/>
          <w:sz w:val="26"/>
          <w:szCs w:val="26"/>
        </w:rPr>
        <w:t xml:space="preserve">. of </w:t>
      </w:r>
      <w:proofErr w:type="spellStart"/>
      <w:r w:rsidRPr="00491272">
        <w:rPr>
          <w:rFonts w:ascii="Century Schoolbook" w:eastAsia="Times New Roman" w:hAnsi="Century Schoolbook" w:cs="Times New Roman"/>
          <w:sz w:val="26"/>
          <w:szCs w:val="26"/>
        </w:rPr>
        <w:t>Tucher</w:t>
      </w:r>
      <w:proofErr w:type="spellEnd"/>
      <w:r w:rsidRPr="00491272">
        <w:rPr>
          <w:rFonts w:ascii="Century Schoolbook" w:eastAsia="Times New Roman" w:hAnsi="Century Schoolbook" w:cs="Times New Roman"/>
          <w:sz w:val="26"/>
          <w:szCs w:val="26"/>
        </w:rPr>
        <w:t>, J.) [coming to same conclusion in this context].)  We therefore construe section 995</w:t>
      </w:r>
      <w:r w:rsidR="00F07E8E">
        <w:rPr>
          <w:rFonts w:ascii="Century Schoolbook" w:eastAsia="Times New Roman" w:hAnsi="Century Schoolbook" w:cs="Times New Roman"/>
          <w:sz w:val="26"/>
          <w:szCs w:val="26"/>
        </w:rPr>
        <w:t xml:space="preserve">a in this manner </w:t>
      </w:r>
      <w:r w:rsidRPr="00491272">
        <w:rPr>
          <w:rFonts w:ascii="Century Schoolbook" w:eastAsia="Times New Roman" w:hAnsi="Century Schoolbook" w:cs="Times New Roman"/>
          <w:sz w:val="26"/>
          <w:szCs w:val="26"/>
        </w:rPr>
        <w:t>to avoid such potential invalidation.  (</w:t>
      </w:r>
      <w:r w:rsidRPr="00491272">
        <w:rPr>
          <w:rFonts w:ascii="Century Schoolbook" w:eastAsia="Times New Roman" w:hAnsi="Century Schoolbook" w:cs="Times New Roman"/>
          <w:i/>
          <w:iCs/>
          <w:sz w:val="26"/>
          <w:szCs w:val="26"/>
        </w:rPr>
        <w:t>People v. Miracle</w:t>
      </w:r>
      <w:r w:rsidRPr="00491272">
        <w:rPr>
          <w:rFonts w:ascii="Century Schoolbook" w:eastAsia="Times New Roman" w:hAnsi="Century Schoolbook" w:cs="Times New Roman"/>
          <w:sz w:val="26"/>
          <w:szCs w:val="26"/>
        </w:rPr>
        <w:t xml:space="preserve"> (2018) 6 Cal.5th 318, 339 [“</w:t>
      </w:r>
      <w:r w:rsidR="00A80CF9">
        <w:rPr>
          <w:rFonts w:ascii="Century Schoolbook" w:eastAsia="Times New Roman" w:hAnsi="Century Schoolbook" w:cs="Times New Roman"/>
          <w:sz w:val="26"/>
          <w:szCs w:val="26"/>
        </w:rPr>
        <w:t>‘</w:t>
      </w:r>
      <w:r w:rsidRPr="00491272">
        <w:rPr>
          <w:rFonts w:ascii="Century Schoolbook" w:eastAsia="Times New Roman" w:hAnsi="Century Schoolbook" w:cs="Times New Roman"/>
          <w:sz w:val="26"/>
          <w:szCs w:val="26"/>
        </w:rPr>
        <w:t>a statute must be construed, if reasonably possible, in a manner that avoids a serious constitutional question</w:t>
      </w:r>
      <w:r w:rsidR="00A80CF9">
        <w:rPr>
          <w:rFonts w:ascii="Century Schoolbook" w:eastAsia="Times New Roman" w:hAnsi="Century Schoolbook" w:cs="Times New Roman"/>
          <w:sz w:val="26"/>
          <w:szCs w:val="26"/>
        </w:rPr>
        <w:t>’</w:t>
      </w:r>
      <w:r w:rsidRPr="00491272">
        <w:rPr>
          <w:rFonts w:ascii="Century Schoolbook" w:eastAsia="Times New Roman" w:hAnsi="Century Schoolbook" w:cs="Times New Roman"/>
          <w:sz w:val="26"/>
          <w:szCs w:val="26"/>
        </w:rPr>
        <w:t>”].)</w:t>
      </w:r>
    </w:p>
    <w:p w14:paraId="031FE5FF" w14:textId="77777777" w:rsidR="00864124" w:rsidRDefault="00864124" w:rsidP="00491272">
      <w:pPr>
        <w:spacing w:after="0" w:line="288" w:lineRule="auto"/>
        <w:rPr>
          <w:rFonts w:ascii="Century Schoolbook" w:eastAsia="Times New Roman" w:hAnsi="Century Schoolbook" w:cs="Times New Roman"/>
          <w:sz w:val="26"/>
          <w:szCs w:val="26"/>
        </w:rPr>
      </w:pPr>
    </w:p>
    <w:p w14:paraId="6611BD16" w14:textId="77777777" w:rsidR="00864124" w:rsidRDefault="00864124" w:rsidP="00491272">
      <w:pPr>
        <w:spacing w:after="0" w:line="288" w:lineRule="auto"/>
        <w:rPr>
          <w:rFonts w:ascii="Century Schoolbook" w:eastAsia="Times New Roman" w:hAnsi="Century Schoolbook" w:cs="Times New Roman"/>
          <w:sz w:val="26"/>
          <w:szCs w:val="26"/>
        </w:rPr>
      </w:pPr>
    </w:p>
    <w:p w14:paraId="19AA5D41" w14:textId="77777777" w:rsidR="00864124" w:rsidRDefault="00864124" w:rsidP="00491272">
      <w:pPr>
        <w:spacing w:after="0" w:line="288" w:lineRule="auto"/>
        <w:rPr>
          <w:rFonts w:ascii="Century Schoolbook" w:eastAsia="Times New Roman" w:hAnsi="Century Schoolbook" w:cs="Times New Roman"/>
          <w:sz w:val="26"/>
          <w:szCs w:val="26"/>
        </w:rPr>
      </w:pPr>
    </w:p>
    <w:p w14:paraId="1924021D" w14:textId="77777777" w:rsidR="00864124" w:rsidRDefault="00864124" w:rsidP="00491272">
      <w:pPr>
        <w:spacing w:after="0" w:line="288" w:lineRule="auto"/>
        <w:rPr>
          <w:rFonts w:ascii="Century Schoolbook" w:eastAsia="Times New Roman" w:hAnsi="Century Schoolbook" w:cs="Times New Roman"/>
          <w:sz w:val="26"/>
          <w:szCs w:val="26"/>
        </w:rPr>
      </w:pPr>
    </w:p>
    <w:p w14:paraId="4B559546" w14:textId="77777777" w:rsidR="00864124" w:rsidRDefault="00864124" w:rsidP="00491272">
      <w:pPr>
        <w:spacing w:after="0" w:line="288" w:lineRule="auto"/>
        <w:rPr>
          <w:rFonts w:ascii="Century Schoolbook" w:eastAsia="Times New Roman" w:hAnsi="Century Schoolbook" w:cs="Times New Roman"/>
          <w:sz w:val="26"/>
          <w:szCs w:val="26"/>
        </w:rPr>
      </w:pPr>
    </w:p>
    <w:p w14:paraId="6C88DFE3" w14:textId="77777777" w:rsidR="00864124" w:rsidRDefault="00864124" w:rsidP="00491272">
      <w:pPr>
        <w:spacing w:after="0" w:line="288" w:lineRule="auto"/>
        <w:rPr>
          <w:rFonts w:ascii="Century Schoolbook" w:eastAsia="Times New Roman" w:hAnsi="Century Schoolbook" w:cs="Times New Roman"/>
          <w:sz w:val="26"/>
          <w:szCs w:val="26"/>
        </w:rPr>
      </w:pPr>
    </w:p>
    <w:p w14:paraId="19381087" w14:textId="77777777" w:rsidR="00864124" w:rsidRDefault="00864124" w:rsidP="00491272">
      <w:pPr>
        <w:spacing w:after="0" w:line="288" w:lineRule="auto"/>
        <w:rPr>
          <w:rFonts w:ascii="Century Schoolbook" w:eastAsia="Times New Roman" w:hAnsi="Century Schoolbook" w:cs="Times New Roman"/>
          <w:sz w:val="26"/>
          <w:szCs w:val="26"/>
        </w:rPr>
      </w:pPr>
    </w:p>
    <w:p w14:paraId="7D1CC502" w14:textId="77777777" w:rsidR="00864124" w:rsidRDefault="00864124" w:rsidP="00491272">
      <w:pPr>
        <w:spacing w:after="0" w:line="288" w:lineRule="auto"/>
        <w:rPr>
          <w:rFonts w:ascii="Century Schoolbook" w:eastAsia="Times New Roman" w:hAnsi="Century Schoolbook" w:cs="Times New Roman"/>
          <w:sz w:val="26"/>
          <w:szCs w:val="26"/>
        </w:rPr>
      </w:pPr>
    </w:p>
    <w:p w14:paraId="5A01BFE7" w14:textId="77777777" w:rsidR="00864124" w:rsidRDefault="00864124" w:rsidP="00491272">
      <w:pPr>
        <w:spacing w:after="0" w:line="288" w:lineRule="auto"/>
        <w:rPr>
          <w:rFonts w:ascii="Century Schoolbook" w:eastAsia="Times New Roman" w:hAnsi="Century Schoolbook" w:cs="Times New Roman"/>
          <w:sz w:val="26"/>
          <w:szCs w:val="26"/>
        </w:rPr>
      </w:pPr>
    </w:p>
    <w:p w14:paraId="7EBEA746" w14:textId="77777777" w:rsidR="00864124" w:rsidRDefault="00864124" w:rsidP="00491272">
      <w:pPr>
        <w:spacing w:after="0" w:line="288" w:lineRule="auto"/>
        <w:rPr>
          <w:rFonts w:ascii="Century Schoolbook" w:eastAsia="Times New Roman" w:hAnsi="Century Schoolbook" w:cs="Times New Roman"/>
          <w:sz w:val="26"/>
          <w:szCs w:val="26"/>
        </w:rPr>
      </w:pPr>
    </w:p>
    <w:p w14:paraId="4B1E18B5" w14:textId="77777777" w:rsidR="00864124" w:rsidRDefault="00864124" w:rsidP="00491272">
      <w:pPr>
        <w:spacing w:after="0" w:line="288" w:lineRule="auto"/>
        <w:rPr>
          <w:rFonts w:ascii="Century Schoolbook" w:eastAsia="Times New Roman" w:hAnsi="Century Schoolbook" w:cs="Times New Roman"/>
          <w:sz w:val="26"/>
          <w:szCs w:val="26"/>
        </w:rPr>
      </w:pPr>
    </w:p>
    <w:p w14:paraId="026AE0B9" w14:textId="77777777" w:rsidR="00864124" w:rsidRDefault="00864124" w:rsidP="00491272">
      <w:pPr>
        <w:spacing w:after="0" w:line="288" w:lineRule="auto"/>
        <w:rPr>
          <w:rFonts w:ascii="Century Schoolbook" w:eastAsia="Times New Roman" w:hAnsi="Century Schoolbook" w:cs="Times New Roman"/>
          <w:sz w:val="26"/>
          <w:szCs w:val="26"/>
        </w:rPr>
      </w:pPr>
    </w:p>
    <w:p w14:paraId="6461FBAE" w14:textId="77777777" w:rsidR="00864124" w:rsidRDefault="00864124" w:rsidP="00491272">
      <w:pPr>
        <w:spacing w:after="0" w:line="288" w:lineRule="auto"/>
        <w:rPr>
          <w:rFonts w:ascii="Century Schoolbook" w:eastAsia="Times New Roman" w:hAnsi="Century Schoolbook" w:cs="Times New Roman"/>
          <w:sz w:val="26"/>
          <w:szCs w:val="26"/>
        </w:rPr>
      </w:pPr>
    </w:p>
    <w:p w14:paraId="2ED6EB48" w14:textId="77777777" w:rsidR="00864124" w:rsidRPr="00491272" w:rsidRDefault="00864124" w:rsidP="00491272">
      <w:pPr>
        <w:spacing w:after="0" w:line="288" w:lineRule="auto"/>
        <w:rPr>
          <w:rFonts w:ascii="Century Schoolbook" w:eastAsia="Times New Roman" w:hAnsi="Century Schoolbook" w:cs="Times New Roman"/>
          <w:sz w:val="26"/>
          <w:szCs w:val="26"/>
        </w:rPr>
      </w:pPr>
    </w:p>
    <w:p w14:paraId="47F1E80C" w14:textId="77777777" w:rsidR="005735F4" w:rsidRDefault="00267C6F" w:rsidP="00AE00C9">
      <w:pPr>
        <w:spacing w:after="0" w:line="288" w:lineRule="auto"/>
        <w:jc w:val="center"/>
        <w:rPr>
          <w:rFonts w:ascii="Century Schoolbook" w:hAnsi="Century Schoolbook"/>
          <w:b/>
          <w:bCs/>
          <w:sz w:val="26"/>
          <w:szCs w:val="26"/>
        </w:rPr>
      </w:pPr>
      <w:r>
        <w:rPr>
          <w:rFonts w:ascii="Century Schoolbook" w:hAnsi="Century Schoolbook"/>
          <w:b/>
          <w:bCs/>
          <w:sz w:val="26"/>
          <w:szCs w:val="26"/>
        </w:rPr>
        <w:lastRenderedPageBreak/>
        <w:t>DISPOSITION</w:t>
      </w:r>
    </w:p>
    <w:p w14:paraId="030E4DDF" w14:textId="474CB925" w:rsidR="00EC68C3" w:rsidRDefault="00267C6F" w:rsidP="00AE00C9">
      <w:pPr>
        <w:spacing w:after="0" w:line="288" w:lineRule="auto"/>
        <w:rPr>
          <w:rFonts w:ascii="Century Schoolbook" w:hAnsi="Century Schoolbook"/>
          <w:sz w:val="26"/>
          <w:szCs w:val="26"/>
        </w:rPr>
      </w:pPr>
      <w:r>
        <w:rPr>
          <w:rFonts w:ascii="Century Schoolbook" w:hAnsi="Century Schoolbook"/>
          <w:b/>
          <w:bCs/>
          <w:sz w:val="26"/>
          <w:szCs w:val="26"/>
        </w:rPr>
        <w:tab/>
      </w:r>
      <w:r>
        <w:rPr>
          <w:rFonts w:ascii="Century Schoolbook" w:hAnsi="Century Schoolbook"/>
          <w:sz w:val="26"/>
          <w:szCs w:val="26"/>
        </w:rPr>
        <w:t>The petition is denied.</w:t>
      </w:r>
    </w:p>
    <w:p w14:paraId="4AD5AFB2" w14:textId="77777777" w:rsidR="00DF0BE3" w:rsidRPr="00DF0BE3" w:rsidRDefault="00267C6F" w:rsidP="00DF0BE3">
      <w:pPr>
        <w:spacing w:after="0" w:line="288" w:lineRule="auto"/>
        <w:ind w:firstLine="720"/>
        <w:rPr>
          <w:rFonts w:ascii="Century Schoolbook" w:hAnsi="Century Schoolbook"/>
          <w:b/>
          <w:sz w:val="26"/>
        </w:rPr>
      </w:pPr>
      <w:r w:rsidRPr="00DF0BE3">
        <w:rPr>
          <w:rFonts w:ascii="Century Schoolbook" w:hAnsi="Century Schoolbook"/>
          <w:b/>
          <w:sz w:val="26"/>
          <w:u w:val="single"/>
        </w:rPr>
        <w:t>CERTIFIED FOR PUBLICATION.</w:t>
      </w:r>
    </w:p>
    <w:p w14:paraId="6FA83484" w14:textId="77777777" w:rsidR="00610864" w:rsidRPr="001528F1" w:rsidRDefault="00610864" w:rsidP="00610864">
      <w:pPr>
        <w:spacing w:after="0" w:line="288" w:lineRule="auto"/>
        <w:ind w:firstLine="720"/>
        <w:rPr>
          <w:rFonts w:ascii="Century Schoolbook" w:eastAsia="Calibri" w:hAnsi="Century Schoolbook" w:cs="Times New Roman"/>
          <w:sz w:val="26"/>
          <w:szCs w:val="26"/>
        </w:rPr>
      </w:pPr>
    </w:p>
    <w:p w14:paraId="22F3A890" w14:textId="77777777" w:rsidR="00610864" w:rsidRPr="001528F1" w:rsidRDefault="00610864" w:rsidP="00610864">
      <w:pPr>
        <w:spacing w:after="0" w:line="288" w:lineRule="auto"/>
        <w:ind w:firstLine="720"/>
        <w:rPr>
          <w:rFonts w:ascii="Century Schoolbook" w:eastAsia="Calibri" w:hAnsi="Century Schoolbook" w:cs="Times New Roman"/>
          <w:sz w:val="26"/>
          <w:szCs w:val="26"/>
        </w:rPr>
      </w:pPr>
    </w:p>
    <w:p w14:paraId="7896527C" w14:textId="77777777" w:rsidR="00610864" w:rsidRPr="001528F1" w:rsidRDefault="00267C6F" w:rsidP="00610864">
      <w:pPr>
        <w:spacing w:after="0" w:line="288" w:lineRule="auto"/>
        <w:rPr>
          <w:rFonts w:ascii="Century Schoolbook" w:eastAsia="Calibri" w:hAnsi="Century Schoolbook" w:cs="Times New Roman"/>
          <w:sz w:val="26"/>
          <w:szCs w:val="26"/>
        </w:rPr>
      </w:pPr>
      <w:r w:rsidRPr="001528F1">
        <w:rPr>
          <w:rFonts w:ascii="Century Schoolbook" w:eastAsia="Calibri" w:hAnsi="Century Schoolbook" w:cs="Times New Roman"/>
          <w:sz w:val="26"/>
          <w:szCs w:val="26"/>
        </w:rPr>
        <w:tab/>
      </w:r>
      <w:r w:rsidRPr="001528F1">
        <w:rPr>
          <w:rFonts w:ascii="Century Schoolbook" w:eastAsia="Calibri" w:hAnsi="Century Schoolbook" w:cs="Times New Roman"/>
          <w:sz w:val="26"/>
          <w:szCs w:val="26"/>
        </w:rPr>
        <w:tab/>
      </w:r>
      <w:r w:rsidRPr="001528F1">
        <w:rPr>
          <w:rFonts w:ascii="Century Schoolbook" w:eastAsia="Calibri" w:hAnsi="Century Schoolbook" w:cs="Times New Roman"/>
          <w:sz w:val="26"/>
          <w:szCs w:val="26"/>
        </w:rPr>
        <w:tab/>
      </w:r>
      <w:r w:rsidRPr="001528F1">
        <w:rPr>
          <w:rFonts w:ascii="Century Schoolbook" w:eastAsia="Calibri" w:hAnsi="Century Schoolbook" w:cs="Times New Roman"/>
          <w:sz w:val="26"/>
          <w:szCs w:val="26"/>
        </w:rPr>
        <w:tab/>
      </w:r>
      <w:r w:rsidRPr="001528F1">
        <w:rPr>
          <w:rFonts w:ascii="Century Schoolbook" w:eastAsia="Calibri" w:hAnsi="Century Schoolbook" w:cs="Times New Roman"/>
          <w:sz w:val="26"/>
          <w:szCs w:val="26"/>
        </w:rPr>
        <w:tab/>
      </w:r>
      <w:r w:rsidRPr="001528F1">
        <w:rPr>
          <w:rFonts w:ascii="Century Schoolbook" w:eastAsia="Calibri" w:hAnsi="Century Schoolbook" w:cs="Times New Roman"/>
          <w:sz w:val="26"/>
          <w:szCs w:val="26"/>
        </w:rPr>
        <w:tab/>
      </w:r>
      <w:r w:rsidRPr="001528F1">
        <w:rPr>
          <w:rFonts w:ascii="Century Schoolbook" w:eastAsia="Calibri" w:hAnsi="Century Schoolbook" w:cs="Times New Roman"/>
          <w:sz w:val="26"/>
          <w:szCs w:val="26"/>
        </w:rPr>
        <w:t>______________________, J.</w:t>
      </w:r>
    </w:p>
    <w:p w14:paraId="39E74566" w14:textId="77777777" w:rsidR="00610864" w:rsidRPr="001528F1" w:rsidRDefault="00267C6F" w:rsidP="00610864">
      <w:pPr>
        <w:spacing w:after="0" w:line="288" w:lineRule="auto"/>
        <w:rPr>
          <w:rFonts w:ascii="Century Schoolbook" w:eastAsia="Calibri" w:hAnsi="Century Schoolbook" w:cs="Times New Roman"/>
          <w:sz w:val="26"/>
          <w:szCs w:val="26"/>
        </w:rPr>
      </w:pPr>
      <w:r w:rsidRPr="001528F1">
        <w:rPr>
          <w:rFonts w:ascii="Century Schoolbook" w:eastAsia="Calibri" w:hAnsi="Century Schoolbook" w:cs="Times New Roman"/>
          <w:sz w:val="26"/>
          <w:szCs w:val="26"/>
        </w:rPr>
        <w:tab/>
      </w:r>
      <w:r w:rsidRPr="001528F1">
        <w:rPr>
          <w:rFonts w:ascii="Century Schoolbook" w:eastAsia="Calibri" w:hAnsi="Century Schoolbook" w:cs="Times New Roman"/>
          <w:sz w:val="26"/>
          <w:szCs w:val="26"/>
        </w:rPr>
        <w:tab/>
      </w:r>
      <w:r w:rsidRPr="001528F1">
        <w:rPr>
          <w:rFonts w:ascii="Century Schoolbook" w:eastAsia="Calibri" w:hAnsi="Century Schoolbook" w:cs="Times New Roman"/>
          <w:sz w:val="26"/>
          <w:szCs w:val="26"/>
        </w:rPr>
        <w:tab/>
      </w:r>
      <w:r w:rsidRPr="001528F1">
        <w:rPr>
          <w:rFonts w:ascii="Century Schoolbook" w:eastAsia="Calibri" w:hAnsi="Century Schoolbook" w:cs="Times New Roman"/>
          <w:sz w:val="26"/>
          <w:szCs w:val="26"/>
        </w:rPr>
        <w:tab/>
      </w:r>
      <w:r w:rsidRPr="001528F1">
        <w:rPr>
          <w:rFonts w:ascii="Century Schoolbook" w:eastAsia="Calibri" w:hAnsi="Century Schoolbook" w:cs="Times New Roman"/>
          <w:sz w:val="26"/>
          <w:szCs w:val="26"/>
        </w:rPr>
        <w:tab/>
      </w:r>
      <w:r w:rsidRPr="001528F1">
        <w:rPr>
          <w:rFonts w:ascii="Century Schoolbook" w:eastAsia="Calibri" w:hAnsi="Century Schoolbook" w:cs="Times New Roman"/>
          <w:sz w:val="26"/>
          <w:szCs w:val="26"/>
        </w:rPr>
        <w:tab/>
        <w:t>HOFFSTADT</w:t>
      </w:r>
    </w:p>
    <w:p w14:paraId="51B1A196" w14:textId="77777777" w:rsidR="00610864" w:rsidRPr="001528F1" w:rsidRDefault="00267C6F" w:rsidP="00610864">
      <w:pPr>
        <w:widowControl w:val="0"/>
        <w:spacing w:after="0" w:line="288" w:lineRule="auto"/>
        <w:rPr>
          <w:rFonts w:ascii="Century Schoolbook" w:eastAsia="Century Schoolbook" w:hAnsi="Century Schoolbook" w:cs="Century Schoolbook"/>
          <w:color w:val="000000"/>
          <w:sz w:val="26"/>
          <w:szCs w:val="26"/>
        </w:rPr>
      </w:pPr>
      <w:r w:rsidRPr="001528F1">
        <w:rPr>
          <w:rFonts w:ascii="Century Schoolbook" w:eastAsia="Century Schoolbook" w:hAnsi="Century Schoolbook" w:cs="Century Schoolbook"/>
          <w:color w:val="000000"/>
          <w:sz w:val="26"/>
          <w:szCs w:val="26"/>
        </w:rPr>
        <w:t>We concur:</w:t>
      </w:r>
    </w:p>
    <w:p w14:paraId="1D67F3CB" w14:textId="1CD74040" w:rsidR="00610864" w:rsidRDefault="00610864" w:rsidP="00610864">
      <w:pPr>
        <w:widowControl w:val="0"/>
        <w:spacing w:after="0" w:line="288" w:lineRule="auto"/>
        <w:rPr>
          <w:rFonts w:ascii="Century Schoolbook" w:eastAsia="Century Schoolbook" w:hAnsi="Century Schoolbook" w:cs="Century Schoolbook"/>
          <w:color w:val="000000"/>
          <w:sz w:val="26"/>
          <w:szCs w:val="26"/>
        </w:rPr>
      </w:pPr>
    </w:p>
    <w:p w14:paraId="08C89751" w14:textId="77777777" w:rsidR="00706F85" w:rsidRPr="001528F1" w:rsidRDefault="00706F85" w:rsidP="00610864">
      <w:pPr>
        <w:widowControl w:val="0"/>
        <w:spacing w:after="0" w:line="288" w:lineRule="auto"/>
        <w:rPr>
          <w:rFonts w:ascii="Century Schoolbook" w:eastAsia="Century Schoolbook" w:hAnsi="Century Schoolbook" w:cs="Century Schoolbook"/>
          <w:color w:val="000000"/>
          <w:sz w:val="26"/>
          <w:szCs w:val="26"/>
        </w:rPr>
      </w:pPr>
    </w:p>
    <w:p w14:paraId="38007B0D" w14:textId="799D0D6C" w:rsidR="00610864" w:rsidRPr="001528F1" w:rsidRDefault="00267C6F" w:rsidP="00610864">
      <w:pPr>
        <w:widowControl w:val="0"/>
        <w:spacing w:after="0" w:line="288" w:lineRule="auto"/>
        <w:rPr>
          <w:rFonts w:ascii="Century Schoolbook" w:eastAsia="Century Schoolbook" w:hAnsi="Century Schoolbook" w:cs="Century Schoolbook"/>
          <w:color w:val="000000"/>
          <w:sz w:val="26"/>
          <w:szCs w:val="26"/>
        </w:rPr>
      </w:pPr>
      <w:r w:rsidRPr="001528F1">
        <w:rPr>
          <w:rFonts w:ascii="Century Schoolbook" w:eastAsia="Century Schoolbook" w:hAnsi="Century Schoolbook" w:cs="Century Schoolbook"/>
          <w:color w:val="000000"/>
          <w:sz w:val="26"/>
          <w:szCs w:val="26"/>
        </w:rPr>
        <w:t>_________________________,</w:t>
      </w:r>
      <w:r w:rsidR="007125D7">
        <w:rPr>
          <w:rFonts w:ascii="Century Schoolbook" w:eastAsia="Century Schoolbook" w:hAnsi="Century Schoolbook" w:cs="Century Schoolbook"/>
          <w:color w:val="000000"/>
          <w:sz w:val="26"/>
          <w:szCs w:val="26"/>
        </w:rPr>
        <w:t xml:space="preserve"> </w:t>
      </w:r>
      <w:r>
        <w:rPr>
          <w:rFonts w:ascii="Century Schoolbook" w:eastAsia="Century Schoolbook" w:hAnsi="Century Schoolbook" w:cs="Century Schoolbook"/>
          <w:color w:val="000000"/>
          <w:sz w:val="26"/>
          <w:szCs w:val="26"/>
        </w:rPr>
        <w:t xml:space="preserve">P. </w:t>
      </w:r>
      <w:r w:rsidRPr="001528F1">
        <w:rPr>
          <w:rFonts w:ascii="Century Schoolbook" w:eastAsia="Century Schoolbook" w:hAnsi="Century Schoolbook" w:cs="Century Schoolbook"/>
          <w:color w:val="000000"/>
          <w:sz w:val="26"/>
          <w:szCs w:val="26"/>
        </w:rPr>
        <w:t>J.</w:t>
      </w:r>
    </w:p>
    <w:p w14:paraId="057D866E" w14:textId="1918D57C" w:rsidR="00610864" w:rsidRDefault="00267C6F" w:rsidP="00610864">
      <w:pPr>
        <w:widowControl w:val="0"/>
        <w:spacing w:after="0" w:line="288" w:lineRule="auto"/>
        <w:rPr>
          <w:rFonts w:ascii="Century Schoolbook" w:eastAsia="Century Schoolbook" w:hAnsi="Century Schoolbook" w:cs="Century Schoolbook"/>
          <w:color w:val="000000"/>
          <w:sz w:val="26"/>
          <w:szCs w:val="26"/>
        </w:rPr>
      </w:pPr>
      <w:r>
        <w:rPr>
          <w:rFonts w:ascii="Century Schoolbook" w:eastAsia="Century Schoolbook" w:hAnsi="Century Schoolbook" w:cs="Century Schoolbook"/>
          <w:color w:val="000000"/>
          <w:sz w:val="26"/>
          <w:szCs w:val="26"/>
        </w:rPr>
        <w:t>LUI</w:t>
      </w:r>
    </w:p>
    <w:p w14:paraId="45C761D4" w14:textId="77777777" w:rsidR="00706F85" w:rsidRPr="001528F1" w:rsidRDefault="00706F85" w:rsidP="00610864">
      <w:pPr>
        <w:widowControl w:val="0"/>
        <w:spacing w:after="0" w:line="288" w:lineRule="auto"/>
        <w:rPr>
          <w:rFonts w:ascii="Century Schoolbook" w:eastAsia="Century Schoolbook" w:hAnsi="Century Schoolbook" w:cs="Century Schoolbook"/>
          <w:color w:val="000000"/>
          <w:sz w:val="26"/>
          <w:szCs w:val="26"/>
        </w:rPr>
      </w:pPr>
    </w:p>
    <w:p w14:paraId="3B9AE23C" w14:textId="77777777" w:rsidR="00610864" w:rsidRPr="001528F1" w:rsidRDefault="00610864" w:rsidP="00610864">
      <w:pPr>
        <w:widowControl w:val="0"/>
        <w:spacing w:after="0" w:line="288" w:lineRule="auto"/>
        <w:rPr>
          <w:rFonts w:ascii="Century Schoolbook" w:eastAsia="Century Schoolbook" w:hAnsi="Century Schoolbook" w:cs="Century Schoolbook"/>
          <w:color w:val="000000"/>
          <w:sz w:val="26"/>
          <w:szCs w:val="26"/>
        </w:rPr>
      </w:pPr>
    </w:p>
    <w:p w14:paraId="136650F0" w14:textId="68C2A33A" w:rsidR="00DF0BE3" w:rsidRPr="00DF0BE3" w:rsidRDefault="00267C6F" w:rsidP="00DF0BE3">
      <w:pPr>
        <w:spacing w:after="0" w:line="288" w:lineRule="auto"/>
        <w:rPr>
          <w:rFonts w:ascii="Century Schoolbook" w:eastAsia="Calibri" w:hAnsi="Century Schoolbook"/>
          <w:sz w:val="26"/>
          <w:szCs w:val="26"/>
        </w:rPr>
      </w:pPr>
      <w:r w:rsidRPr="00DF0BE3">
        <w:rPr>
          <w:rFonts w:ascii="Century Schoolbook" w:eastAsia="Calibri" w:hAnsi="Century Schoolbook"/>
          <w:sz w:val="26"/>
          <w:szCs w:val="26"/>
        </w:rPr>
        <w:t>_________________________, J.</w:t>
      </w:r>
    </w:p>
    <w:p w14:paraId="496CDABF" w14:textId="0DFCD638" w:rsidR="00A1623E" w:rsidRPr="005735F4" w:rsidRDefault="00267C6F" w:rsidP="00DF0BE3">
      <w:pPr>
        <w:widowControl w:val="0"/>
        <w:spacing w:line="288" w:lineRule="auto"/>
        <w:rPr>
          <w:rFonts w:ascii="Century Schoolbook" w:eastAsia="Century Schoolbook" w:hAnsi="Century Schoolbook" w:cs="Century Schoolbook"/>
          <w:color w:val="000000"/>
          <w:sz w:val="26"/>
          <w:szCs w:val="26"/>
        </w:rPr>
      </w:pPr>
      <w:r>
        <w:rPr>
          <w:rFonts w:ascii="Century Schoolbook" w:eastAsia="Calibri" w:hAnsi="Century Schoolbook"/>
          <w:sz w:val="26"/>
          <w:szCs w:val="26"/>
        </w:rPr>
        <w:t>CHAVEZ</w:t>
      </w:r>
      <w:r w:rsidR="00610864" w:rsidRPr="001528F1">
        <w:rPr>
          <w:rFonts w:ascii="Century Schoolbook" w:eastAsia="Calibri" w:hAnsi="Century Schoolbook" w:cs="Times New Roman"/>
          <w:sz w:val="26"/>
          <w:szCs w:val="26"/>
        </w:rPr>
        <w:tab/>
      </w:r>
    </w:p>
    <w:sectPr w:rsidR="00A1623E" w:rsidRPr="005735F4" w:rsidSect="00D4442B">
      <w:footerReference w:type="default" r:id="rId8"/>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E43B5" w14:textId="77777777" w:rsidR="00267C6F" w:rsidRDefault="00267C6F">
      <w:pPr>
        <w:spacing w:after="0" w:line="240" w:lineRule="auto"/>
      </w:pPr>
      <w:r>
        <w:separator/>
      </w:r>
    </w:p>
  </w:endnote>
  <w:endnote w:type="continuationSeparator" w:id="0">
    <w:p w14:paraId="4CDE5C3F" w14:textId="77777777" w:rsidR="00267C6F" w:rsidRDefault="00267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077613"/>
      <w:docPartObj>
        <w:docPartGallery w:val="Page Numbers (Bottom of Page)"/>
        <w:docPartUnique/>
      </w:docPartObj>
    </w:sdtPr>
    <w:sdtEndPr>
      <w:rPr>
        <w:rFonts w:ascii="Century Schoolbook" w:hAnsi="Century Schoolbook"/>
        <w:noProof/>
        <w:sz w:val="26"/>
        <w:szCs w:val="26"/>
      </w:rPr>
    </w:sdtEndPr>
    <w:sdtContent>
      <w:p w14:paraId="74596096" w14:textId="2F2807F3" w:rsidR="001F0B32" w:rsidRPr="00F560FD" w:rsidRDefault="00267C6F">
        <w:pPr>
          <w:pStyle w:val="Footer"/>
          <w:jc w:val="center"/>
          <w:rPr>
            <w:rFonts w:ascii="Century Schoolbook" w:hAnsi="Century Schoolbook"/>
            <w:sz w:val="26"/>
            <w:szCs w:val="26"/>
          </w:rPr>
        </w:pPr>
        <w:r w:rsidRPr="00F560FD">
          <w:rPr>
            <w:rFonts w:ascii="Century Schoolbook" w:hAnsi="Century Schoolbook"/>
            <w:sz w:val="26"/>
            <w:szCs w:val="26"/>
          </w:rPr>
          <w:fldChar w:fldCharType="begin"/>
        </w:r>
        <w:r w:rsidRPr="00F560FD">
          <w:rPr>
            <w:rFonts w:ascii="Century Schoolbook" w:hAnsi="Century Schoolbook"/>
            <w:sz w:val="26"/>
            <w:szCs w:val="26"/>
          </w:rPr>
          <w:instrText xml:space="preserve"> PAGE   \* MERGEFORMAT </w:instrText>
        </w:r>
        <w:r w:rsidRPr="00F560FD">
          <w:rPr>
            <w:rFonts w:ascii="Century Schoolbook" w:hAnsi="Century Schoolbook"/>
            <w:sz w:val="26"/>
            <w:szCs w:val="26"/>
          </w:rPr>
          <w:fldChar w:fldCharType="separate"/>
        </w:r>
        <w:r w:rsidRPr="00F560FD">
          <w:rPr>
            <w:rFonts w:ascii="Century Schoolbook" w:hAnsi="Century Schoolbook"/>
            <w:noProof/>
            <w:sz w:val="26"/>
            <w:szCs w:val="26"/>
          </w:rPr>
          <w:t>2</w:t>
        </w:r>
        <w:r w:rsidRPr="00F560FD">
          <w:rPr>
            <w:rFonts w:ascii="Century Schoolbook" w:hAnsi="Century Schoolbook"/>
            <w:noProof/>
            <w:sz w:val="26"/>
            <w:szCs w:val="26"/>
          </w:rPr>
          <w:fldChar w:fldCharType="end"/>
        </w:r>
      </w:p>
    </w:sdtContent>
  </w:sdt>
  <w:p w14:paraId="6D857418" w14:textId="77777777" w:rsidR="001F0B32" w:rsidRDefault="001F0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BEEA3" w14:textId="77777777" w:rsidR="00E143D4" w:rsidRDefault="00267C6F" w:rsidP="00DA5C42">
      <w:pPr>
        <w:spacing w:after="0" w:line="240" w:lineRule="auto"/>
      </w:pPr>
      <w:r>
        <w:continuationSeparator/>
      </w:r>
    </w:p>
  </w:footnote>
  <w:footnote w:type="continuationSeparator" w:id="0">
    <w:p w14:paraId="3050186A" w14:textId="77777777" w:rsidR="00E143D4" w:rsidRDefault="00267C6F" w:rsidP="00DA5C42">
      <w:pPr>
        <w:spacing w:after="0" w:line="240" w:lineRule="auto"/>
      </w:pPr>
      <w:r>
        <w:continuationSeparator/>
      </w:r>
    </w:p>
  </w:footnote>
  <w:footnote w:id="1">
    <w:p w14:paraId="36FD7685" w14:textId="77777777" w:rsidR="00491272" w:rsidRPr="009D0143" w:rsidRDefault="00267C6F" w:rsidP="00491272">
      <w:pPr>
        <w:pStyle w:val="FootnoteText"/>
        <w:rPr>
          <w:rFonts w:ascii="Century Schoolbook" w:hAnsi="Century Schoolbook"/>
          <w:sz w:val="26"/>
          <w:szCs w:val="26"/>
        </w:rPr>
      </w:pPr>
      <w:r w:rsidRPr="00AE00C9">
        <w:rPr>
          <w:rStyle w:val="FootnoteReference"/>
          <w:rFonts w:ascii="Century Schoolbook" w:hAnsi="Century Schoolbook"/>
          <w:b/>
          <w:bCs/>
          <w:vertAlign w:val="baseline"/>
        </w:rPr>
        <w:footnoteRef/>
      </w:r>
      <w:r w:rsidRPr="00AE00C9">
        <w:rPr>
          <w:rFonts w:ascii="Century Schoolbook" w:hAnsi="Century Schoolbook"/>
          <w:b/>
          <w:bCs/>
        </w:rPr>
        <w:t xml:space="preserve"> </w:t>
      </w:r>
      <w:r>
        <w:tab/>
      </w:r>
      <w:r w:rsidRPr="009D0143">
        <w:rPr>
          <w:rFonts w:ascii="Century Schoolbook" w:hAnsi="Century Schoolbook"/>
          <w:sz w:val="26"/>
          <w:szCs w:val="26"/>
        </w:rPr>
        <w:t xml:space="preserve">All further statutory references are to the Penal Code unless </w:t>
      </w:r>
      <w:r w:rsidRPr="009D0143">
        <w:rPr>
          <w:rFonts w:ascii="Century Schoolbook" w:hAnsi="Century Schoolbook"/>
          <w:sz w:val="26"/>
          <w:szCs w:val="26"/>
        </w:rPr>
        <w:t>otherwise indicated.</w:t>
      </w:r>
    </w:p>
  </w:footnote>
  <w:footnote w:id="2">
    <w:p w14:paraId="34B88E7B" w14:textId="05388B10" w:rsidR="00491272" w:rsidRPr="00470564" w:rsidRDefault="00267C6F" w:rsidP="00491272">
      <w:pPr>
        <w:pStyle w:val="FootnoteText"/>
        <w:rPr>
          <w:rFonts w:ascii="Century Schoolbook" w:hAnsi="Century Schoolbook"/>
          <w:sz w:val="26"/>
          <w:szCs w:val="26"/>
        </w:rPr>
      </w:pPr>
      <w:r w:rsidRPr="00AE00C9">
        <w:rPr>
          <w:rStyle w:val="FootnoteReference"/>
          <w:rFonts w:ascii="Century Schoolbook" w:hAnsi="Century Schoolbook"/>
          <w:b/>
          <w:bCs/>
          <w:vertAlign w:val="baseline"/>
        </w:rPr>
        <w:footnoteRef/>
      </w:r>
      <w:r w:rsidRPr="00AE00C9">
        <w:rPr>
          <w:rFonts w:ascii="Century Schoolbook" w:hAnsi="Century Schoolbook"/>
          <w:b/>
          <w:bCs/>
        </w:rPr>
        <w:t xml:space="preserve"> </w:t>
      </w:r>
      <w:r>
        <w:tab/>
      </w:r>
      <w:r w:rsidRPr="00470564">
        <w:rPr>
          <w:rFonts w:ascii="Century Schoolbook" w:hAnsi="Century Schoolbook"/>
          <w:sz w:val="26"/>
          <w:szCs w:val="26"/>
        </w:rPr>
        <w:t>The indictment also charges defendant with being a felon in possession of a firearm on a different date</w:t>
      </w:r>
      <w:r w:rsidR="000A1473">
        <w:rPr>
          <w:rFonts w:ascii="Century Schoolbook" w:hAnsi="Century Schoolbook"/>
          <w:sz w:val="26"/>
          <w:szCs w:val="26"/>
        </w:rPr>
        <w:t xml:space="preserve"> </w:t>
      </w:r>
      <w:r>
        <w:rPr>
          <w:rFonts w:ascii="Century Schoolbook" w:hAnsi="Century Schoolbook"/>
          <w:sz w:val="26"/>
          <w:szCs w:val="26"/>
        </w:rPr>
        <w:t>and also alleges firearm enhancements in conjunction with the homicide offenses</w:t>
      </w:r>
      <w:r w:rsidRPr="00470564">
        <w:rPr>
          <w:rFonts w:ascii="Century Schoolbook" w:hAnsi="Century Schoolbook"/>
          <w:sz w:val="26"/>
          <w:szCs w:val="26"/>
        </w:rPr>
        <w:t xml:space="preserve">, but that </w:t>
      </w:r>
      <w:proofErr w:type="gramStart"/>
      <w:r w:rsidRPr="00470564">
        <w:rPr>
          <w:rFonts w:ascii="Century Schoolbook" w:hAnsi="Century Schoolbook"/>
          <w:sz w:val="26"/>
          <w:szCs w:val="26"/>
        </w:rPr>
        <w:t>charge</w:t>
      </w:r>
      <w:proofErr w:type="gramEnd"/>
      <w:r w:rsidRPr="00470564">
        <w:rPr>
          <w:rFonts w:ascii="Century Schoolbook" w:hAnsi="Century Schoolbook"/>
          <w:sz w:val="26"/>
          <w:szCs w:val="26"/>
        </w:rPr>
        <w:t xml:space="preserve"> </w:t>
      </w:r>
      <w:r>
        <w:rPr>
          <w:rFonts w:ascii="Century Schoolbook" w:hAnsi="Century Schoolbook"/>
          <w:sz w:val="26"/>
          <w:szCs w:val="26"/>
        </w:rPr>
        <w:t xml:space="preserve">and those enhancements are </w:t>
      </w:r>
      <w:r w:rsidRPr="00470564">
        <w:rPr>
          <w:rFonts w:ascii="Century Schoolbook" w:hAnsi="Century Schoolbook"/>
          <w:sz w:val="26"/>
          <w:szCs w:val="26"/>
        </w:rPr>
        <w:t xml:space="preserve">not </w:t>
      </w:r>
      <w:r w:rsidRPr="00470564">
        <w:rPr>
          <w:rFonts w:ascii="Century Schoolbook" w:hAnsi="Century Schoolbook"/>
          <w:sz w:val="26"/>
          <w:szCs w:val="26"/>
        </w:rPr>
        <w:t>at issue in this petition.</w:t>
      </w:r>
    </w:p>
  </w:footnote>
  <w:footnote w:id="3">
    <w:p w14:paraId="273EC712" w14:textId="62D2EA2F" w:rsidR="00491272" w:rsidRPr="00314574" w:rsidRDefault="00267C6F" w:rsidP="00491272">
      <w:pPr>
        <w:pStyle w:val="FootnoteText"/>
        <w:rPr>
          <w:rFonts w:ascii="Century Schoolbook" w:hAnsi="Century Schoolbook"/>
          <w:sz w:val="26"/>
          <w:szCs w:val="26"/>
        </w:rPr>
      </w:pPr>
      <w:r w:rsidRPr="00AE00C9">
        <w:rPr>
          <w:rStyle w:val="FootnoteReference"/>
          <w:rFonts w:ascii="Century Schoolbook" w:hAnsi="Century Schoolbook"/>
          <w:b/>
          <w:bCs/>
          <w:vertAlign w:val="baseline"/>
        </w:rPr>
        <w:footnoteRef/>
      </w:r>
      <w:r w:rsidRPr="00AE00C9">
        <w:rPr>
          <w:rFonts w:ascii="Century Schoolbook" w:hAnsi="Century Schoolbook"/>
          <w:b/>
          <w:bCs/>
        </w:rPr>
        <w:t xml:space="preserve"> </w:t>
      </w:r>
      <w:r>
        <w:tab/>
      </w:r>
      <w:r w:rsidRPr="00314574">
        <w:rPr>
          <w:rFonts w:ascii="Century Schoolbook" w:hAnsi="Century Schoolbook"/>
          <w:sz w:val="26"/>
          <w:szCs w:val="26"/>
        </w:rPr>
        <w:t>Even if the People had further retreated from the</w:t>
      </w:r>
      <w:r w:rsidR="006D42E0">
        <w:rPr>
          <w:rFonts w:ascii="Century Schoolbook" w:hAnsi="Century Schoolbook"/>
          <w:sz w:val="26"/>
          <w:szCs w:val="26"/>
        </w:rPr>
        <w:t>ir</w:t>
      </w:r>
      <w:r w:rsidRPr="00314574">
        <w:rPr>
          <w:rFonts w:ascii="Century Schoolbook" w:hAnsi="Century Schoolbook"/>
          <w:sz w:val="26"/>
          <w:szCs w:val="26"/>
        </w:rPr>
        <w:t xml:space="preserve"> position taken before the trial court and indicated a desire not to present evidence to the grand jury, we would still retain jurisdiction to </w:t>
      </w:r>
      <w:r w:rsidR="006D42E0">
        <w:rPr>
          <w:rFonts w:ascii="Century Schoolbook" w:hAnsi="Century Schoolbook"/>
          <w:sz w:val="26"/>
          <w:szCs w:val="26"/>
        </w:rPr>
        <w:t xml:space="preserve">resolve </w:t>
      </w:r>
      <w:r w:rsidRPr="00314574">
        <w:rPr>
          <w:rFonts w:ascii="Century Schoolbook" w:hAnsi="Century Schoolbook"/>
          <w:sz w:val="26"/>
          <w:szCs w:val="26"/>
        </w:rPr>
        <w:t xml:space="preserve">this writ </w:t>
      </w:r>
      <w:r w:rsidR="006D42E0">
        <w:rPr>
          <w:rFonts w:ascii="Century Schoolbook" w:hAnsi="Century Schoolbook"/>
          <w:sz w:val="26"/>
          <w:szCs w:val="26"/>
        </w:rPr>
        <w:t xml:space="preserve">petition </w:t>
      </w:r>
      <w:r w:rsidRPr="00314574">
        <w:rPr>
          <w:rFonts w:ascii="Century Schoolbook" w:hAnsi="Century Schoolbook"/>
          <w:sz w:val="26"/>
          <w:szCs w:val="26"/>
        </w:rPr>
        <w:t>becau</w:t>
      </w:r>
      <w:r w:rsidRPr="00314574">
        <w:rPr>
          <w:rFonts w:ascii="Century Schoolbook" w:hAnsi="Century Schoolbook"/>
          <w:sz w:val="26"/>
          <w:szCs w:val="26"/>
        </w:rPr>
        <w:t>se it presents a question of first impression that is of general importance to the bench and bar (</w:t>
      </w:r>
      <w:r w:rsidRPr="00314574">
        <w:rPr>
          <w:rFonts w:ascii="Century Schoolbook" w:hAnsi="Century Schoolbook"/>
          <w:i/>
          <w:iCs/>
          <w:sz w:val="26"/>
          <w:szCs w:val="26"/>
        </w:rPr>
        <w:t>Amie v. Superior Court</w:t>
      </w:r>
      <w:r w:rsidRPr="00314574">
        <w:rPr>
          <w:rFonts w:ascii="Century Schoolbook" w:hAnsi="Century Schoolbook"/>
          <w:sz w:val="26"/>
          <w:szCs w:val="26"/>
        </w:rPr>
        <w:t xml:space="preserve"> (1979) 99 Cal.App.3d 421, 424) and is likely to recur (</w:t>
      </w:r>
      <w:r w:rsidRPr="00314574">
        <w:rPr>
          <w:rFonts w:ascii="Century Schoolbook" w:hAnsi="Century Schoolbook"/>
          <w:i/>
          <w:iCs/>
          <w:sz w:val="26"/>
          <w:szCs w:val="26"/>
        </w:rPr>
        <w:t>Hiona v. Superior Court</w:t>
      </w:r>
      <w:r w:rsidRPr="00314574">
        <w:rPr>
          <w:rFonts w:ascii="Century Schoolbook" w:hAnsi="Century Schoolbook"/>
          <w:sz w:val="26"/>
          <w:szCs w:val="26"/>
        </w:rPr>
        <w:t xml:space="preserve"> (2020) 48 Cal.App.5th 866, 871).</w:t>
      </w:r>
    </w:p>
  </w:footnote>
  <w:footnote w:id="4">
    <w:p w14:paraId="2E67D4D5" w14:textId="2F9D43AA" w:rsidR="00491272" w:rsidRPr="00C1490E" w:rsidRDefault="00267C6F" w:rsidP="00491272">
      <w:pPr>
        <w:pStyle w:val="FootnoteText"/>
        <w:rPr>
          <w:rFonts w:ascii="Century Schoolbook" w:hAnsi="Century Schoolbook"/>
          <w:sz w:val="26"/>
          <w:szCs w:val="26"/>
        </w:rPr>
      </w:pPr>
      <w:r w:rsidRPr="00AE00C9">
        <w:rPr>
          <w:rStyle w:val="FootnoteReference"/>
          <w:rFonts w:ascii="Century Schoolbook" w:hAnsi="Century Schoolbook"/>
          <w:b/>
          <w:bCs/>
          <w:vertAlign w:val="baseline"/>
        </w:rPr>
        <w:footnoteRef/>
      </w:r>
      <w:r w:rsidRPr="00AE00C9">
        <w:rPr>
          <w:rFonts w:ascii="Century Schoolbook" w:hAnsi="Century Schoolbook"/>
          <w:b/>
          <w:bCs/>
        </w:rPr>
        <w:t xml:space="preserve"> </w:t>
      </w:r>
      <w:r>
        <w:tab/>
      </w:r>
      <w:r w:rsidRPr="00C1490E">
        <w:rPr>
          <w:rFonts w:ascii="Century Schoolbook" w:hAnsi="Century Schoolbook"/>
          <w:sz w:val="26"/>
          <w:szCs w:val="26"/>
        </w:rPr>
        <w:t>Grand juries in Cali</w:t>
      </w:r>
      <w:r w:rsidRPr="00C1490E">
        <w:rPr>
          <w:rFonts w:ascii="Century Schoolbook" w:hAnsi="Century Schoolbook"/>
          <w:sz w:val="26"/>
          <w:szCs w:val="26"/>
        </w:rPr>
        <w:t>fornia have two other functions aside from weighing criminal charges—namely, (1) “evaluating misconduct claims against public officials and deci</w:t>
      </w:r>
      <w:r w:rsidR="000D27DD">
        <w:rPr>
          <w:rFonts w:ascii="Century Schoolbook" w:hAnsi="Century Schoolbook"/>
          <w:sz w:val="26"/>
          <w:szCs w:val="26"/>
        </w:rPr>
        <w:t>ding</w:t>
      </w:r>
      <w:r w:rsidRPr="00C1490E">
        <w:rPr>
          <w:rFonts w:ascii="Century Schoolbook" w:hAnsi="Century Schoolbook"/>
          <w:sz w:val="26"/>
          <w:szCs w:val="26"/>
        </w:rPr>
        <w:t xml:space="preserve"> whether to formally seek their removal from office</w:t>
      </w:r>
      <w:r w:rsidR="00207692">
        <w:rPr>
          <w:rFonts w:ascii="Century Schoolbook" w:hAnsi="Century Schoolbook"/>
          <w:sz w:val="26"/>
          <w:szCs w:val="26"/>
        </w:rPr>
        <w:t>,</w:t>
      </w:r>
      <w:r w:rsidRPr="00C1490E">
        <w:rPr>
          <w:rFonts w:ascii="Century Schoolbook" w:hAnsi="Century Schoolbook"/>
          <w:sz w:val="26"/>
          <w:szCs w:val="26"/>
        </w:rPr>
        <w:t xml:space="preserve">” and (2) “acting as the public’s ‘watchdog’ by </w:t>
      </w:r>
      <w:r w:rsidRPr="00C1490E">
        <w:rPr>
          <w:rFonts w:ascii="Century Schoolbook" w:hAnsi="Century Schoolbook"/>
          <w:sz w:val="26"/>
          <w:szCs w:val="26"/>
        </w:rPr>
        <w:t>investigating an</w:t>
      </w:r>
      <w:r w:rsidR="000D27DD">
        <w:rPr>
          <w:rFonts w:ascii="Century Schoolbook" w:hAnsi="Century Schoolbook"/>
          <w:sz w:val="26"/>
          <w:szCs w:val="26"/>
        </w:rPr>
        <w:t>d</w:t>
      </w:r>
      <w:r w:rsidRPr="00C1490E">
        <w:rPr>
          <w:rFonts w:ascii="Century Schoolbook" w:hAnsi="Century Schoolbook"/>
          <w:sz w:val="26"/>
          <w:szCs w:val="26"/>
        </w:rPr>
        <w:t xml:space="preserve"> reporting upon local government affairs.”  (</w:t>
      </w:r>
      <w:r w:rsidRPr="00C1490E">
        <w:rPr>
          <w:rFonts w:ascii="Century Schoolbook" w:hAnsi="Century Schoolbook"/>
          <w:i/>
          <w:iCs/>
          <w:sz w:val="26"/>
          <w:szCs w:val="26"/>
        </w:rPr>
        <w:t>Garcia</w:t>
      </w:r>
      <w:r w:rsidR="001913ED">
        <w:rPr>
          <w:rFonts w:ascii="Century Schoolbook" w:hAnsi="Century Schoolbook"/>
          <w:i/>
          <w:iCs/>
          <w:sz w:val="26"/>
          <w:szCs w:val="26"/>
        </w:rPr>
        <w:t xml:space="preserve"> </w:t>
      </w:r>
      <w:r w:rsidR="00922587">
        <w:rPr>
          <w:rFonts w:ascii="Century Schoolbook" w:hAnsi="Century Schoolbook"/>
          <w:i/>
          <w:iCs/>
          <w:sz w:val="26"/>
          <w:szCs w:val="26"/>
        </w:rPr>
        <w:t>I</w:t>
      </w:r>
      <w:r w:rsidRPr="00C1490E">
        <w:rPr>
          <w:rFonts w:ascii="Century Schoolbook" w:hAnsi="Century Schoolbook"/>
          <w:sz w:val="26"/>
          <w:szCs w:val="26"/>
        </w:rPr>
        <w:t xml:space="preserve">, </w:t>
      </w:r>
      <w:r w:rsidR="006D42E0" w:rsidRPr="006D42E0">
        <w:rPr>
          <w:rFonts w:ascii="Century Schoolbook" w:hAnsi="Century Schoolbook"/>
          <w:i/>
          <w:iCs/>
          <w:sz w:val="26"/>
          <w:szCs w:val="26"/>
        </w:rPr>
        <w:t>supra</w:t>
      </w:r>
      <w:r w:rsidR="006D42E0">
        <w:rPr>
          <w:rFonts w:ascii="Century Schoolbook" w:hAnsi="Century Schoolbook"/>
          <w:sz w:val="26"/>
          <w:szCs w:val="26"/>
        </w:rPr>
        <w:t xml:space="preserve">, 52 Cal.4th </w:t>
      </w:r>
      <w:r w:rsidRPr="006D42E0">
        <w:rPr>
          <w:rFonts w:ascii="Century Schoolbook" w:hAnsi="Century Schoolbook"/>
          <w:sz w:val="26"/>
          <w:szCs w:val="26"/>
        </w:rPr>
        <w:t>at</w:t>
      </w:r>
      <w:r w:rsidRPr="00C1490E">
        <w:rPr>
          <w:rFonts w:ascii="Century Schoolbook" w:hAnsi="Century Schoolbook"/>
          <w:sz w:val="26"/>
          <w:szCs w:val="26"/>
        </w:rPr>
        <w:t xml:space="preserve"> p. 729; §§ 922, 919-921, 925 </w:t>
      </w:r>
      <w:r w:rsidRPr="00AE00C9">
        <w:rPr>
          <w:rFonts w:ascii="Century Schoolbook" w:hAnsi="Century Schoolbook"/>
          <w:sz w:val="26"/>
          <w:szCs w:val="26"/>
        </w:rPr>
        <w:t>et seq</w:t>
      </w:r>
      <w:r w:rsidRPr="00CB665C">
        <w:rPr>
          <w:rFonts w:ascii="Century Schoolbook" w:hAnsi="Century Schoolbook"/>
          <w:sz w:val="26"/>
          <w:szCs w:val="26"/>
        </w:rPr>
        <w:t>.;</w:t>
      </w:r>
      <w:r w:rsidRPr="00C1490E">
        <w:rPr>
          <w:rFonts w:ascii="Century Schoolbook" w:hAnsi="Century Schoolbook"/>
          <w:sz w:val="26"/>
          <w:szCs w:val="26"/>
        </w:rPr>
        <w:t xml:space="preserve"> </w:t>
      </w:r>
      <w:r w:rsidRPr="00C1490E">
        <w:rPr>
          <w:rFonts w:ascii="Century Schoolbook" w:hAnsi="Century Schoolbook"/>
          <w:i/>
          <w:iCs/>
          <w:sz w:val="26"/>
          <w:szCs w:val="26"/>
        </w:rPr>
        <w:t>McClatchy Newspapers v. Superior Court</w:t>
      </w:r>
      <w:r w:rsidRPr="00C1490E">
        <w:rPr>
          <w:rFonts w:ascii="Century Schoolbook" w:hAnsi="Century Schoolbook"/>
          <w:sz w:val="26"/>
          <w:szCs w:val="26"/>
        </w:rPr>
        <w:t xml:space="preserve"> (1988) 44 Cal.3d 1162, 1170 (</w:t>
      </w:r>
      <w:r w:rsidRPr="00C1490E">
        <w:rPr>
          <w:rFonts w:ascii="Century Schoolbook" w:hAnsi="Century Schoolbook"/>
          <w:i/>
          <w:iCs/>
          <w:sz w:val="26"/>
          <w:szCs w:val="26"/>
        </w:rPr>
        <w:t>McClatchy</w:t>
      </w:r>
      <w:r w:rsidRPr="00C1490E">
        <w:rPr>
          <w:rFonts w:ascii="Century Schoolbook" w:hAnsi="Century Schoolbook"/>
          <w:sz w:val="26"/>
          <w:szCs w:val="26"/>
        </w:rPr>
        <w:t xml:space="preserve">); </w:t>
      </w:r>
      <w:r w:rsidRPr="00C1490E">
        <w:rPr>
          <w:rFonts w:ascii="Century Schoolbook" w:hAnsi="Century Schoolbook"/>
          <w:i/>
          <w:iCs/>
          <w:sz w:val="26"/>
          <w:szCs w:val="26"/>
        </w:rPr>
        <w:t>Goldstein v. Superior Court</w:t>
      </w:r>
      <w:r w:rsidRPr="00C1490E">
        <w:rPr>
          <w:rFonts w:ascii="Century Schoolbook" w:hAnsi="Century Schoolbook"/>
          <w:sz w:val="26"/>
          <w:szCs w:val="26"/>
        </w:rPr>
        <w:t xml:space="preserve"> (2008) 45 Cal.4th</w:t>
      </w:r>
      <w:r w:rsidRPr="00C1490E">
        <w:rPr>
          <w:rFonts w:ascii="Century Schoolbook" w:hAnsi="Century Schoolbook"/>
          <w:sz w:val="26"/>
          <w:szCs w:val="26"/>
        </w:rPr>
        <w:t xml:space="preserve"> 218, 226</w:t>
      </w:r>
      <w:r w:rsidR="000D27DD">
        <w:rPr>
          <w:rFonts w:ascii="Century Schoolbook" w:hAnsi="Century Schoolbook"/>
          <w:sz w:val="26"/>
          <w:szCs w:val="26"/>
        </w:rPr>
        <w:t xml:space="preserve"> (</w:t>
      </w:r>
      <w:r w:rsidR="000D27DD">
        <w:rPr>
          <w:rFonts w:ascii="Century Schoolbook" w:hAnsi="Century Schoolbook"/>
          <w:i/>
          <w:iCs/>
          <w:sz w:val="26"/>
          <w:szCs w:val="26"/>
        </w:rPr>
        <w:t>Goldstein</w:t>
      </w:r>
      <w:r w:rsidR="000D27DD">
        <w:rPr>
          <w:rFonts w:ascii="Century Schoolbook" w:hAnsi="Century Schoolbook"/>
          <w:sz w:val="26"/>
          <w:szCs w:val="26"/>
        </w:rPr>
        <w:t>)</w:t>
      </w:r>
      <w:r w:rsidRPr="00C1490E">
        <w:rPr>
          <w:rFonts w:ascii="Century Schoolbook" w:hAnsi="Century Schoolbook"/>
          <w:sz w:val="26"/>
          <w:szCs w:val="26"/>
        </w:rPr>
        <w:t>.)</w:t>
      </w:r>
    </w:p>
  </w:footnote>
  <w:footnote w:id="5">
    <w:p w14:paraId="605CBA4E" w14:textId="019CE958" w:rsidR="00491272" w:rsidRPr="000776A1" w:rsidRDefault="00267C6F" w:rsidP="00491272">
      <w:pPr>
        <w:pStyle w:val="FootnoteText"/>
        <w:rPr>
          <w:rFonts w:ascii="Century Schoolbook" w:hAnsi="Century Schoolbook"/>
          <w:sz w:val="26"/>
          <w:szCs w:val="26"/>
        </w:rPr>
      </w:pPr>
      <w:r w:rsidRPr="00AE00C9">
        <w:rPr>
          <w:rStyle w:val="FootnoteReference"/>
          <w:rFonts w:ascii="Century Schoolbook" w:hAnsi="Century Schoolbook"/>
          <w:b/>
          <w:bCs/>
          <w:vertAlign w:val="baseline"/>
        </w:rPr>
        <w:footnoteRef/>
      </w:r>
      <w:r w:rsidRPr="00AE00C9">
        <w:rPr>
          <w:rFonts w:ascii="Century Schoolbook" w:hAnsi="Century Schoolbook"/>
          <w:b/>
          <w:bCs/>
        </w:rPr>
        <w:t xml:space="preserve"> </w:t>
      </w:r>
      <w:r>
        <w:tab/>
      </w:r>
      <w:r w:rsidRPr="000776A1">
        <w:rPr>
          <w:rFonts w:ascii="Century Schoolbook" w:hAnsi="Century Schoolbook"/>
          <w:sz w:val="26"/>
          <w:szCs w:val="26"/>
        </w:rPr>
        <w:t xml:space="preserve">For a brief </w:t>
      </w:r>
      <w:proofErr w:type="gramStart"/>
      <w:r w:rsidRPr="000776A1">
        <w:rPr>
          <w:rFonts w:ascii="Century Schoolbook" w:hAnsi="Century Schoolbook"/>
          <w:sz w:val="26"/>
          <w:szCs w:val="26"/>
        </w:rPr>
        <w:t>period of time</w:t>
      </w:r>
      <w:proofErr w:type="gramEnd"/>
      <w:r w:rsidRPr="000776A1">
        <w:rPr>
          <w:rFonts w:ascii="Century Schoolbook" w:hAnsi="Century Schoolbook"/>
          <w:sz w:val="26"/>
          <w:szCs w:val="26"/>
        </w:rPr>
        <w:t xml:space="preserve">, our Supreme Court held that a defendant who was indicted had a constitutional right to a </w:t>
      </w:r>
      <w:r w:rsidR="000D27DD">
        <w:rPr>
          <w:rFonts w:ascii="Century Schoolbook" w:hAnsi="Century Schoolbook"/>
          <w:sz w:val="26"/>
          <w:szCs w:val="26"/>
        </w:rPr>
        <w:t xml:space="preserve">further </w:t>
      </w:r>
      <w:r w:rsidRPr="000776A1">
        <w:rPr>
          <w:rFonts w:ascii="Century Schoolbook" w:hAnsi="Century Schoolbook"/>
          <w:sz w:val="26"/>
          <w:szCs w:val="26"/>
        </w:rPr>
        <w:t>preliminary examination</w:t>
      </w:r>
      <w:r w:rsidR="000D27DD">
        <w:rPr>
          <w:rFonts w:ascii="Century Schoolbook" w:hAnsi="Century Schoolbook"/>
          <w:sz w:val="26"/>
          <w:szCs w:val="26"/>
        </w:rPr>
        <w:t xml:space="preserve"> to test the sufficiency of the charges</w:t>
      </w:r>
      <w:r w:rsidRPr="000776A1">
        <w:rPr>
          <w:rFonts w:ascii="Century Schoolbook" w:hAnsi="Century Schoolbook"/>
          <w:sz w:val="26"/>
          <w:szCs w:val="26"/>
        </w:rPr>
        <w:t>.  (</w:t>
      </w:r>
      <w:r w:rsidRPr="000776A1">
        <w:rPr>
          <w:rFonts w:ascii="Century Schoolbook" w:hAnsi="Century Schoolbook"/>
          <w:i/>
          <w:iCs/>
          <w:sz w:val="26"/>
          <w:szCs w:val="26"/>
        </w:rPr>
        <w:t>Hawkins v. Superior Court</w:t>
      </w:r>
      <w:r w:rsidRPr="000776A1">
        <w:rPr>
          <w:rFonts w:ascii="Century Schoolbook" w:hAnsi="Century Schoolbook"/>
          <w:sz w:val="26"/>
          <w:szCs w:val="26"/>
        </w:rPr>
        <w:t xml:space="preserve"> (1978) 22 Cal.3d 584, 593, </w:t>
      </w:r>
      <w:r w:rsidRPr="00AE00C9">
        <w:rPr>
          <w:rFonts w:ascii="Century Schoolbook" w:hAnsi="Century Schoolbook"/>
          <w:sz w:val="26"/>
          <w:szCs w:val="26"/>
        </w:rPr>
        <w:t>superseded b</w:t>
      </w:r>
      <w:r w:rsidRPr="00AE00C9">
        <w:rPr>
          <w:rFonts w:ascii="Century Schoolbook" w:hAnsi="Century Schoolbook"/>
          <w:sz w:val="26"/>
          <w:szCs w:val="26"/>
        </w:rPr>
        <w:t>y constitutional amendment</w:t>
      </w:r>
      <w:r w:rsidR="00490D54">
        <w:rPr>
          <w:rFonts w:ascii="Century Schoolbook" w:hAnsi="Century Schoolbook"/>
          <w:sz w:val="26"/>
          <w:szCs w:val="26"/>
        </w:rPr>
        <w:t xml:space="preserve"> as stated in </w:t>
      </w:r>
      <w:r w:rsidR="00490D54" w:rsidRPr="000776A1">
        <w:rPr>
          <w:rFonts w:ascii="Century Schoolbook" w:hAnsi="Century Schoolbook"/>
          <w:i/>
          <w:iCs/>
          <w:sz w:val="26"/>
          <w:szCs w:val="26"/>
        </w:rPr>
        <w:t>Bowens</w:t>
      </w:r>
      <w:r w:rsidR="00490D54">
        <w:rPr>
          <w:rFonts w:ascii="Century Schoolbook" w:hAnsi="Century Schoolbook"/>
          <w:i/>
          <w:iCs/>
          <w:sz w:val="26"/>
          <w:szCs w:val="26"/>
        </w:rPr>
        <w:t xml:space="preserve"> v. Superior Court</w:t>
      </w:r>
      <w:r w:rsidR="00490D54" w:rsidRPr="000776A1">
        <w:rPr>
          <w:rFonts w:ascii="Century Schoolbook" w:hAnsi="Century Schoolbook"/>
          <w:sz w:val="26"/>
          <w:szCs w:val="26"/>
        </w:rPr>
        <w:t xml:space="preserve"> (1991) 1 Cal.4th 36 (</w:t>
      </w:r>
      <w:r w:rsidR="00490D54" w:rsidRPr="000776A1">
        <w:rPr>
          <w:rFonts w:ascii="Century Schoolbook" w:hAnsi="Century Schoolbook"/>
          <w:i/>
          <w:iCs/>
          <w:sz w:val="26"/>
          <w:szCs w:val="26"/>
        </w:rPr>
        <w:t>Bowens</w:t>
      </w:r>
      <w:r w:rsidR="00490D54" w:rsidRPr="000776A1">
        <w:rPr>
          <w:rFonts w:ascii="Century Schoolbook" w:hAnsi="Century Schoolbook"/>
          <w:sz w:val="26"/>
          <w:szCs w:val="26"/>
        </w:rPr>
        <w:t>)</w:t>
      </w:r>
      <w:r w:rsidRPr="000776A1">
        <w:rPr>
          <w:rFonts w:ascii="Century Schoolbook" w:hAnsi="Century Schoolbook"/>
          <w:i/>
          <w:iCs/>
          <w:sz w:val="26"/>
          <w:szCs w:val="26"/>
        </w:rPr>
        <w:t>.</w:t>
      </w:r>
      <w:r w:rsidRPr="000776A1">
        <w:rPr>
          <w:rFonts w:ascii="Century Schoolbook" w:hAnsi="Century Schoolbook"/>
          <w:sz w:val="26"/>
          <w:szCs w:val="26"/>
        </w:rPr>
        <w:t xml:space="preserve">)  The voters enacted a constitutional amendment that overruled that decision (Cal. Const., art. I, § 14.1), and that amendment </w:t>
      </w:r>
      <w:r w:rsidR="00F9507D">
        <w:rPr>
          <w:rFonts w:ascii="Century Schoolbook" w:hAnsi="Century Schoolbook"/>
          <w:sz w:val="26"/>
          <w:szCs w:val="26"/>
        </w:rPr>
        <w:t>has been</w:t>
      </w:r>
      <w:r w:rsidR="00F9507D" w:rsidRPr="000776A1">
        <w:rPr>
          <w:rFonts w:ascii="Century Schoolbook" w:hAnsi="Century Schoolbook"/>
          <w:sz w:val="26"/>
          <w:szCs w:val="26"/>
        </w:rPr>
        <w:t xml:space="preserve"> </w:t>
      </w:r>
      <w:r w:rsidRPr="000776A1">
        <w:rPr>
          <w:rFonts w:ascii="Century Schoolbook" w:hAnsi="Century Schoolbook"/>
          <w:sz w:val="26"/>
          <w:szCs w:val="26"/>
        </w:rPr>
        <w:t>subsequently upheld (</w:t>
      </w:r>
      <w:r w:rsidRPr="000776A1">
        <w:rPr>
          <w:rFonts w:ascii="Century Schoolbook" w:hAnsi="Century Schoolbook"/>
          <w:i/>
          <w:iCs/>
          <w:sz w:val="26"/>
          <w:szCs w:val="26"/>
        </w:rPr>
        <w:t>Bowe</w:t>
      </w:r>
      <w:r w:rsidRPr="000776A1">
        <w:rPr>
          <w:rFonts w:ascii="Century Schoolbook" w:hAnsi="Century Schoolbook"/>
          <w:i/>
          <w:iCs/>
          <w:sz w:val="26"/>
          <w:szCs w:val="26"/>
        </w:rPr>
        <w:t>ns</w:t>
      </w:r>
      <w:r w:rsidRPr="000776A1">
        <w:rPr>
          <w:rFonts w:ascii="Century Schoolbook" w:hAnsi="Century Schoolbook"/>
          <w:sz w:val="26"/>
          <w:szCs w:val="26"/>
        </w:rPr>
        <w:t xml:space="preserve">, </w:t>
      </w:r>
      <w:r w:rsidR="00490D54">
        <w:rPr>
          <w:rFonts w:ascii="Century Schoolbook" w:hAnsi="Century Schoolbook"/>
          <w:sz w:val="26"/>
          <w:szCs w:val="26"/>
        </w:rPr>
        <w:t xml:space="preserve">at pp. </w:t>
      </w:r>
      <w:r w:rsidRPr="000776A1">
        <w:rPr>
          <w:rFonts w:ascii="Century Schoolbook" w:hAnsi="Century Schoolbook"/>
          <w:sz w:val="26"/>
          <w:szCs w:val="26"/>
        </w:rPr>
        <w:t>42-45)</w:t>
      </w:r>
      <w:r w:rsidR="000D27DD">
        <w:rPr>
          <w:rFonts w:ascii="Century Schoolbook" w:hAnsi="Century Schoolbook"/>
          <w:sz w:val="26"/>
          <w:szCs w:val="26"/>
        </w:rPr>
        <w:t>.</w:t>
      </w:r>
    </w:p>
  </w:footnote>
  <w:footnote w:id="6">
    <w:p w14:paraId="7F489199" w14:textId="266CD9EA" w:rsidR="00491272" w:rsidRPr="00C72B4D" w:rsidRDefault="00267C6F" w:rsidP="00491272">
      <w:pPr>
        <w:pStyle w:val="FootnoteText"/>
        <w:rPr>
          <w:rFonts w:ascii="Century Schoolbook" w:hAnsi="Century Schoolbook"/>
          <w:sz w:val="26"/>
          <w:szCs w:val="26"/>
        </w:rPr>
      </w:pPr>
      <w:r w:rsidRPr="00AE00C9">
        <w:rPr>
          <w:rStyle w:val="FootnoteReference"/>
          <w:rFonts w:ascii="Century Schoolbook" w:hAnsi="Century Schoolbook"/>
          <w:b/>
          <w:bCs/>
          <w:vertAlign w:val="baseline"/>
        </w:rPr>
        <w:footnoteRef/>
      </w:r>
      <w:r w:rsidRPr="00AE00C9">
        <w:rPr>
          <w:rFonts w:ascii="Century Schoolbook" w:hAnsi="Century Schoolbook"/>
          <w:b/>
          <w:bCs/>
        </w:rPr>
        <w:t xml:space="preserve"> </w:t>
      </w:r>
      <w:r>
        <w:tab/>
      </w:r>
      <w:r w:rsidRPr="00C72B4D">
        <w:rPr>
          <w:rFonts w:ascii="Century Schoolbook" w:hAnsi="Century Schoolbook"/>
          <w:sz w:val="26"/>
          <w:szCs w:val="26"/>
        </w:rPr>
        <w:t xml:space="preserve">Although </w:t>
      </w:r>
      <w:r w:rsidRPr="00C72B4D">
        <w:rPr>
          <w:rFonts w:ascii="Century Schoolbook" w:hAnsi="Century Schoolbook"/>
          <w:i/>
          <w:iCs/>
          <w:sz w:val="26"/>
          <w:szCs w:val="26"/>
        </w:rPr>
        <w:t>People ex rel. Pierson v. Superior Court</w:t>
      </w:r>
      <w:r w:rsidRPr="00C72B4D">
        <w:rPr>
          <w:rFonts w:ascii="Century Schoolbook" w:hAnsi="Century Schoolbook"/>
          <w:sz w:val="26"/>
          <w:szCs w:val="26"/>
        </w:rPr>
        <w:t xml:space="preserve"> (2017) 7 Cal.App.5th 402, 408, fn. 5</w:t>
      </w:r>
      <w:r w:rsidR="009C20E4">
        <w:rPr>
          <w:rFonts w:ascii="Century Schoolbook" w:hAnsi="Century Schoolbook"/>
          <w:sz w:val="26"/>
          <w:szCs w:val="26"/>
        </w:rPr>
        <w:t xml:space="preserve"> (</w:t>
      </w:r>
      <w:r w:rsidR="009C20E4">
        <w:rPr>
          <w:rFonts w:ascii="Century Schoolbook" w:hAnsi="Century Schoolbook"/>
          <w:i/>
          <w:iCs/>
          <w:sz w:val="26"/>
          <w:szCs w:val="26"/>
        </w:rPr>
        <w:t>Pierson</w:t>
      </w:r>
      <w:r w:rsidR="009C20E4">
        <w:rPr>
          <w:rFonts w:ascii="Century Schoolbook" w:hAnsi="Century Schoolbook"/>
          <w:sz w:val="26"/>
          <w:szCs w:val="26"/>
        </w:rPr>
        <w:t>)</w:t>
      </w:r>
      <w:r w:rsidRPr="00C72B4D">
        <w:rPr>
          <w:rFonts w:ascii="Century Schoolbook" w:hAnsi="Century Schoolbook"/>
          <w:sz w:val="26"/>
          <w:szCs w:val="26"/>
        </w:rPr>
        <w:t xml:space="preserve"> suggests that a grand jury is </w:t>
      </w:r>
      <w:r w:rsidRPr="00C72B4D">
        <w:rPr>
          <w:rFonts w:ascii="Century Schoolbook" w:hAnsi="Century Schoolbook"/>
          <w:i/>
          <w:iCs/>
          <w:sz w:val="26"/>
          <w:szCs w:val="26"/>
        </w:rPr>
        <w:t>not</w:t>
      </w:r>
      <w:r w:rsidRPr="00C72B4D">
        <w:rPr>
          <w:rFonts w:ascii="Century Schoolbook" w:hAnsi="Century Schoolbook"/>
          <w:sz w:val="26"/>
          <w:szCs w:val="26"/>
        </w:rPr>
        <w:t xml:space="preserve"> under the “authority” of the courts when act</w:t>
      </w:r>
      <w:r w:rsidR="001976B8">
        <w:rPr>
          <w:rFonts w:ascii="Century Schoolbook" w:hAnsi="Century Schoolbook"/>
          <w:sz w:val="26"/>
          <w:szCs w:val="26"/>
        </w:rPr>
        <w:t>ing</w:t>
      </w:r>
      <w:r w:rsidRPr="00C72B4D">
        <w:rPr>
          <w:rFonts w:ascii="Century Schoolbook" w:hAnsi="Century Schoolbook"/>
          <w:sz w:val="26"/>
          <w:szCs w:val="26"/>
        </w:rPr>
        <w:t xml:space="preserve"> as a “criminal grand jury” rather </w:t>
      </w:r>
      <w:r w:rsidR="00F07E8E">
        <w:rPr>
          <w:rFonts w:ascii="Century Schoolbook" w:hAnsi="Century Schoolbook"/>
          <w:sz w:val="26"/>
          <w:szCs w:val="26"/>
        </w:rPr>
        <w:t xml:space="preserve">than </w:t>
      </w:r>
      <w:r w:rsidR="001976B8">
        <w:rPr>
          <w:rFonts w:ascii="Century Schoolbook" w:hAnsi="Century Schoolbook"/>
          <w:sz w:val="26"/>
          <w:szCs w:val="26"/>
        </w:rPr>
        <w:t xml:space="preserve">acting as a </w:t>
      </w:r>
      <w:r w:rsidRPr="00C72B4D">
        <w:rPr>
          <w:rFonts w:ascii="Century Schoolbook" w:hAnsi="Century Schoolbook"/>
          <w:sz w:val="26"/>
          <w:szCs w:val="26"/>
        </w:rPr>
        <w:t xml:space="preserve">watchdog, we reject that suggestion because those two functions are often intertwined (e.g., </w:t>
      </w:r>
      <w:r w:rsidRPr="00C72B4D">
        <w:rPr>
          <w:rFonts w:ascii="Century Schoolbook" w:hAnsi="Century Schoolbook"/>
          <w:i/>
          <w:iCs/>
          <w:sz w:val="26"/>
          <w:szCs w:val="26"/>
        </w:rPr>
        <w:t xml:space="preserve">City of Woodlake v. Tulare County Grand Jury </w:t>
      </w:r>
      <w:r w:rsidRPr="00C72B4D">
        <w:rPr>
          <w:rFonts w:ascii="Century Schoolbook" w:hAnsi="Century Schoolbook"/>
          <w:sz w:val="26"/>
          <w:szCs w:val="26"/>
        </w:rPr>
        <w:t>(2011) 197 Cal.App.4th 129</w:t>
      </w:r>
      <w:r w:rsidR="00A80CF9">
        <w:rPr>
          <w:rFonts w:ascii="Century Schoolbook" w:hAnsi="Century Schoolbook"/>
          <w:sz w:val="26"/>
          <w:szCs w:val="26"/>
        </w:rPr>
        <w:t>3</w:t>
      </w:r>
      <w:r w:rsidRPr="00C72B4D">
        <w:rPr>
          <w:rFonts w:ascii="Century Schoolbook" w:hAnsi="Century Schoolbook"/>
          <w:sz w:val="26"/>
          <w:szCs w:val="26"/>
        </w:rPr>
        <w:t>, 1300 [so noting]), and, more to the p</w:t>
      </w:r>
      <w:r w:rsidRPr="00C72B4D">
        <w:rPr>
          <w:rFonts w:ascii="Century Schoolbook" w:hAnsi="Century Schoolbook"/>
          <w:sz w:val="26"/>
          <w:szCs w:val="26"/>
        </w:rPr>
        <w:t>oint,</w:t>
      </w:r>
      <w:r w:rsidR="001976B8">
        <w:rPr>
          <w:rFonts w:ascii="Century Schoolbook" w:hAnsi="Century Schoolbook"/>
          <w:sz w:val="26"/>
          <w:szCs w:val="26"/>
        </w:rPr>
        <w:t xml:space="preserve"> because</w:t>
      </w:r>
      <w:r w:rsidRPr="00C72B4D">
        <w:rPr>
          <w:rFonts w:ascii="Century Schoolbook" w:hAnsi="Century Schoolbook"/>
          <w:sz w:val="26"/>
          <w:szCs w:val="26"/>
        </w:rPr>
        <w:t xml:space="preserve"> judicial oversight </w:t>
      </w:r>
      <w:r w:rsidR="001976B8">
        <w:rPr>
          <w:rFonts w:ascii="Century Schoolbook" w:hAnsi="Century Schoolbook"/>
          <w:sz w:val="26"/>
          <w:szCs w:val="26"/>
        </w:rPr>
        <w:t xml:space="preserve">of the grand jury </w:t>
      </w:r>
      <w:r w:rsidRPr="00C72B4D">
        <w:rPr>
          <w:rFonts w:ascii="Century Schoolbook" w:hAnsi="Century Schoolbook"/>
          <w:sz w:val="26"/>
          <w:szCs w:val="26"/>
        </w:rPr>
        <w:t xml:space="preserve">is </w:t>
      </w:r>
      <w:r w:rsidRPr="00C72B4D">
        <w:rPr>
          <w:rFonts w:ascii="Century Schoolbook" w:hAnsi="Century Schoolbook"/>
          <w:i/>
          <w:iCs/>
          <w:sz w:val="26"/>
          <w:szCs w:val="26"/>
        </w:rPr>
        <w:t>more</w:t>
      </w:r>
      <w:r w:rsidR="00C12ED7">
        <w:rPr>
          <w:rFonts w:ascii="Century Schoolbook" w:hAnsi="Century Schoolbook"/>
          <w:i/>
          <w:iCs/>
          <w:sz w:val="26"/>
          <w:szCs w:val="26"/>
        </w:rPr>
        <w:t xml:space="preserve"> </w:t>
      </w:r>
      <w:r w:rsidR="00C12ED7">
        <w:rPr>
          <w:rFonts w:ascii="Century Schoolbook" w:hAnsi="Century Schoolbook"/>
          <w:sz w:val="26"/>
          <w:szCs w:val="26"/>
        </w:rPr>
        <w:t>important</w:t>
      </w:r>
      <w:r w:rsidRPr="00C72B4D">
        <w:rPr>
          <w:rFonts w:ascii="Century Schoolbook" w:hAnsi="Century Schoolbook"/>
          <w:sz w:val="26"/>
          <w:szCs w:val="26"/>
        </w:rPr>
        <w:t xml:space="preserve">—not </w:t>
      </w:r>
      <w:r w:rsidRPr="00C72B4D">
        <w:rPr>
          <w:rFonts w:ascii="Century Schoolbook" w:hAnsi="Century Schoolbook"/>
          <w:i/>
          <w:iCs/>
          <w:sz w:val="26"/>
          <w:szCs w:val="26"/>
        </w:rPr>
        <w:t>less</w:t>
      </w:r>
      <w:r w:rsidR="001976B8">
        <w:rPr>
          <w:rFonts w:ascii="Century Schoolbook" w:hAnsi="Century Schoolbook"/>
          <w:sz w:val="26"/>
          <w:szCs w:val="26"/>
        </w:rPr>
        <w:t>—</w:t>
      </w:r>
      <w:r w:rsidRPr="00C72B4D">
        <w:rPr>
          <w:rFonts w:ascii="Century Schoolbook" w:hAnsi="Century Schoolbook"/>
          <w:sz w:val="26"/>
          <w:szCs w:val="26"/>
        </w:rPr>
        <w:t xml:space="preserve">when a grand jury is functioning as part of the criminal justice system (accord, </w:t>
      </w:r>
      <w:r w:rsidRPr="00C72B4D">
        <w:rPr>
          <w:rFonts w:ascii="Century Schoolbook" w:hAnsi="Century Schoolbook"/>
          <w:i/>
          <w:iCs/>
          <w:sz w:val="26"/>
          <w:szCs w:val="26"/>
        </w:rPr>
        <w:t>Gille</w:t>
      </w:r>
      <w:r w:rsidR="00195C3F">
        <w:rPr>
          <w:rFonts w:ascii="Century Schoolbook" w:hAnsi="Century Schoolbook"/>
          <w:i/>
          <w:iCs/>
          <w:sz w:val="26"/>
          <w:szCs w:val="26"/>
        </w:rPr>
        <w:t>t</w:t>
      </w:r>
      <w:r w:rsidRPr="00C72B4D">
        <w:rPr>
          <w:rFonts w:ascii="Century Schoolbook" w:hAnsi="Century Schoolbook"/>
          <w:i/>
          <w:iCs/>
          <w:sz w:val="26"/>
          <w:szCs w:val="26"/>
        </w:rPr>
        <w:t>t-Harris-Duranceau &amp; Associates, Inc. v. Kemp</w:t>
      </w:r>
      <w:r w:rsidR="005462A6">
        <w:rPr>
          <w:rFonts w:ascii="Century Schoolbook" w:hAnsi="Century Schoolbook"/>
          <w:i/>
          <w:iCs/>
          <w:sz w:val="26"/>
          <w:szCs w:val="26"/>
        </w:rPr>
        <w:t>l</w:t>
      </w:r>
      <w:r w:rsidRPr="00C72B4D">
        <w:rPr>
          <w:rFonts w:ascii="Century Schoolbook" w:hAnsi="Century Schoolbook"/>
          <w:i/>
          <w:iCs/>
          <w:sz w:val="26"/>
          <w:szCs w:val="26"/>
        </w:rPr>
        <w:t>e</w:t>
      </w:r>
      <w:r w:rsidRPr="00C72B4D">
        <w:rPr>
          <w:rFonts w:ascii="Century Schoolbook" w:hAnsi="Century Schoolbook"/>
          <w:sz w:val="26"/>
          <w:szCs w:val="26"/>
        </w:rPr>
        <w:t xml:space="preserve"> (1978) 83 Cal.</w:t>
      </w:r>
      <w:r w:rsidR="00F07E8E">
        <w:rPr>
          <w:rFonts w:ascii="Century Schoolbook" w:hAnsi="Century Schoolbook"/>
          <w:sz w:val="26"/>
          <w:szCs w:val="26"/>
        </w:rPr>
        <w:t>A</w:t>
      </w:r>
      <w:r w:rsidRPr="00C72B4D">
        <w:rPr>
          <w:rFonts w:ascii="Century Schoolbook" w:hAnsi="Century Schoolbook"/>
          <w:sz w:val="26"/>
          <w:szCs w:val="26"/>
        </w:rPr>
        <w:t>pp.3d 214, 222-223).</w:t>
      </w:r>
    </w:p>
  </w:footnote>
  <w:footnote w:id="7">
    <w:p w14:paraId="1E069159" w14:textId="2D4B56B1" w:rsidR="00491272" w:rsidRPr="006C414B" w:rsidRDefault="00267C6F" w:rsidP="00491272">
      <w:pPr>
        <w:pStyle w:val="FootnoteText"/>
        <w:rPr>
          <w:rFonts w:ascii="Century Schoolbook" w:hAnsi="Century Schoolbook"/>
          <w:sz w:val="26"/>
          <w:szCs w:val="26"/>
        </w:rPr>
      </w:pPr>
      <w:r w:rsidRPr="00AE00C9">
        <w:rPr>
          <w:rStyle w:val="FootnoteReference"/>
          <w:rFonts w:ascii="Century Schoolbook" w:hAnsi="Century Schoolbook"/>
          <w:b/>
          <w:bCs/>
          <w:vertAlign w:val="baseline"/>
        </w:rPr>
        <w:footnoteRef/>
      </w:r>
      <w:r w:rsidRPr="00AE00C9">
        <w:rPr>
          <w:rFonts w:ascii="Century Schoolbook" w:hAnsi="Century Schoolbook"/>
          <w:b/>
          <w:bCs/>
        </w:rPr>
        <w:t xml:space="preserve"> </w:t>
      </w:r>
      <w:r>
        <w:tab/>
      </w:r>
      <w:r w:rsidRPr="006C414B">
        <w:rPr>
          <w:rFonts w:ascii="Century Schoolbook" w:hAnsi="Century Schoolbook"/>
          <w:sz w:val="26"/>
          <w:szCs w:val="26"/>
        </w:rPr>
        <w:t xml:space="preserve">Because the trial court in this case </w:t>
      </w:r>
      <w:r w:rsidR="009401BC">
        <w:rPr>
          <w:rFonts w:ascii="Century Schoolbook" w:hAnsi="Century Schoolbook"/>
          <w:sz w:val="26"/>
          <w:szCs w:val="26"/>
        </w:rPr>
        <w:t>reopened</w:t>
      </w:r>
      <w:r w:rsidR="00A80CF9">
        <w:rPr>
          <w:rFonts w:ascii="Century Schoolbook" w:hAnsi="Century Schoolbook"/>
          <w:sz w:val="26"/>
          <w:szCs w:val="26"/>
        </w:rPr>
        <w:t xml:space="preserve"> </w:t>
      </w:r>
      <w:r w:rsidRPr="006C414B">
        <w:rPr>
          <w:rFonts w:ascii="Century Schoolbook" w:hAnsi="Century Schoolbook"/>
          <w:sz w:val="26"/>
          <w:szCs w:val="26"/>
        </w:rPr>
        <w:t>grand jury</w:t>
      </w:r>
      <w:r w:rsidR="009401BC">
        <w:rPr>
          <w:rFonts w:ascii="Century Schoolbook" w:hAnsi="Century Schoolbook"/>
          <w:sz w:val="26"/>
          <w:szCs w:val="26"/>
        </w:rPr>
        <w:t xml:space="preserve"> proceedings (in front of a different grand jury since the grand jury that originally indicted defendant expired several years ago)</w:t>
      </w:r>
      <w:r w:rsidRPr="006C414B">
        <w:rPr>
          <w:rFonts w:ascii="Century Schoolbook" w:hAnsi="Century Schoolbook"/>
          <w:sz w:val="26"/>
          <w:szCs w:val="26"/>
        </w:rPr>
        <w:t>, we need not decide whether a trial court also has the inherent auth</w:t>
      </w:r>
      <w:r w:rsidRPr="006C414B">
        <w:rPr>
          <w:rFonts w:ascii="Century Schoolbook" w:hAnsi="Century Schoolbook"/>
          <w:sz w:val="26"/>
          <w:szCs w:val="26"/>
        </w:rPr>
        <w:t xml:space="preserve">ority to send the matter to a “magistrate” for a preliminary hearing on the newly added elements.  Although our </w:t>
      </w:r>
      <w:r w:rsidR="00C11239">
        <w:rPr>
          <w:rFonts w:ascii="Century Schoolbook" w:hAnsi="Century Schoolbook"/>
          <w:sz w:val="26"/>
          <w:szCs w:val="26"/>
        </w:rPr>
        <w:t>s</w:t>
      </w:r>
      <w:r w:rsidRPr="006C414B">
        <w:rPr>
          <w:rFonts w:ascii="Century Schoolbook" w:hAnsi="Century Schoolbook"/>
          <w:sz w:val="26"/>
          <w:szCs w:val="26"/>
        </w:rPr>
        <w:t xml:space="preserve">tate </w:t>
      </w:r>
      <w:r w:rsidR="004B117B">
        <w:rPr>
          <w:rFonts w:ascii="Century Schoolbook" w:hAnsi="Century Schoolbook"/>
          <w:sz w:val="26"/>
          <w:szCs w:val="26"/>
        </w:rPr>
        <w:t>C</w:t>
      </w:r>
      <w:r w:rsidRPr="006C414B">
        <w:rPr>
          <w:rFonts w:ascii="Century Schoolbook" w:hAnsi="Century Schoolbook"/>
          <w:sz w:val="26"/>
          <w:szCs w:val="26"/>
        </w:rPr>
        <w:t>onstitution now provides that “[i]f a felony is prosecuted by indictment, there shall be no postindictment preliminary hearing” (Cal. Con</w:t>
      </w:r>
      <w:r w:rsidRPr="006C414B">
        <w:rPr>
          <w:rFonts w:ascii="Century Schoolbook" w:hAnsi="Century Schoolbook"/>
          <w:sz w:val="26"/>
          <w:szCs w:val="26"/>
        </w:rPr>
        <w:t>st., art. I, § 14.1), and our Supreme Court has extended this bar to “procedure[s]” “similar” to a preliminary hearing (</w:t>
      </w:r>
      <w:r w:rsidRPr="006C414B">
        <w:rPr>
          <w:rFonts w:ascii="Century Schoolbook" w:hAnsi="Century Schoolbook"/>
          <w:i/>
          <w:iCs/>
          <w:sz w:val="26"/>
          <w:szCs w:val="26"/>
        </w:rPr>
        <w:t>Bowens</w:t>
      </w:r>
      <w:r w:rsidRPr="00AE00C9">
        <w:rPr>
          <w:rFonts w:ascii="Century Schoolbook" w:hAnsi="Century Schoolbook"/>
          <w:sz w:val="26"/>
          <w:szCs w:val="26"/>
        </w:rPr>
        <w:t>,</w:t>
      </w:r>
      <w:r w:rsidRPr="006C414B">
        <w:rPr>
          <w:rFonts w:ascii="Century Schoolbook" w:hAnsi="Century Schoolbook"/>
          <w:i/>
          <w:iCs/>
          <w:sz w:val="26"/>
          <w:szCs w:val="26"/>
        </w:rPr>
        <w:t xml:space="preserve"> supra</w:t>
      </w:r>
      <w:r w:rsidRPr="006C414B">
        <w:rPr>
          <w:rFonts w:ascii="Century Schoolbook" w:hAnsi="Century Schoolbook"/>
          <w:sz w:val="26"/>
          <w:szCs w:val="26"/>
        </w:rPr>
        <w:t>, 1 Cal.4th at pp. 39, 46), this provision is aimed at preventing a criminal defendant from getting a second bite at trying</w:t>
      </w:r>
      <w:r w:rsidRPr="006C414B">
        <w:rPr>
          <w:rFonts w:ascii="Century Schoolbook" w:hAnsi="Century Schoolbook"/>
          <w:sz w:val="26"/>
          <w:szCs w:val="26"/>
        </w:rPr>
        <w:t xml:space="preserve"> to prove that the evidence is insufficient to hold him </w:t>
      </w:r>
      <w:r w:rsidR="009C20E4">
        <w:rPr>
          <w:rFonts w:ascii="Century Schoolbook" w:hAnsi="Century Schoolbook"/>
          <w:sz w:val="26"/>
          <w:szCs w:val="26"/>
        </w:rPr>
        <w:t>to answer</w:t>
      </w:r>
      <w:r w:rsidRPr="006C414B">
        <w:rPr>
          <w:rFonts w:ascii="Century Schoolbook" w:hAnsi="Century Schoolbook"/>
          <w:sz w:val="26"/>
          <w:szCs w:val="26"/>
        </w:rPr>
        <w:t xml:space="preserve"> (</w:t>
      </w:r>
      <w:r w:rsidRPr="006C414B">
        <w:rPr>
          <w:rFonts w:ascii="Century Schoolbook" w:hAnsi="Century Schoolbook"/>
          <w:i/>
          <w:iCs/>
          <w:sz w:val="26"/>
          <w:szCs w:val="26"/>
        </w:rPr>
        <w:t>id.</w:t>
      </w:r>
      <w:r w:rsidRPr="006C414B">
        <w:rPr>
          <w:rFonts w:ascii="Century Schoolbook" w:hAnsi="Century Schoolbook"/>
          <w:sz w:val="26"/>
          <w:szCs w:val="26"/>
        </w:rPr>
        <w:t xml:space="preserve">, at pp. 47-48).  It is unclear whether it applies where, as here, the grand jury had no </w:t>
      </w:r>
      <w:r w:rsidR="000A2E7E">
        <w:rPr>
          <w:rFonts w:ascii="Century Schoolbook" w:hAnsi="Century Schoolbook"/>
          <w:sz w:val="26"/>
          <w:szCs w:val="26"/>
        </w:rPr>
        <w:t xml:space="preserve">prior </w:t>
      </w:r>
      <w:r w:rsidRPr="006C414B">
        <w:rPr>
          <w:rFonts w:ascii="Century Schoolbook" w:hAnsi="Century Schoolbook"/>
          <w:sz w:val="26"/>
          <w:szCs w:val="26"/>
        </w:rPr>
        <w:t>occasion to consider the evidence pertinent to a</w:t>
      </w:r>
      <w:r w:rsidR="000A2E7E">
        <w:rPr>
          <w:rFonts w:ascii="Century Schoolbook" w:hAnsi="Century Schoolbook"/>
          <w:sz w:val="26"/>
          <w:szCs w:val="26"/>
        </w:rPr>
        <w:t xml:space="preserve"> newly added</w:t>
      </w:r>
      <w:r w:rsidRPr="006C414B">
        <w:rPr>
          <w:rFonts w:ascii="Century Schoolbook" w:hAnsi="Century Schoolbook"/>
          <w:sz w:val="26"/>
          <w:szCs w:val="26"/>
        </w:rPr>
        <w:t xml:space="preserve"> element.  We leave this questi</w:t>
      </w:r>
      <w:r w:rsidRPr="006C414B">
        <w:rPr>
          <w:rFonts w:ascii="Century Schoolbook" w:hAnsi="Century Schoolbook"/>
          <w:sz w:val="26"/>
          <w:szCs w:val="26"/>
        </w:rPr>
        <w:t>on for another day.</w:t>
      </w:r>
    </w:p>
  </w:footnote>
  <w:footnote w:id="8">
    <w:p w14:paraId="6B9C3B56" w14:textId="6802CC56" w:rsidR="00491272" w:rsidRPr="001801A2" w:rsidRDefault="00267C6F" w:rsidP="00491272">
      <w:pPr>
        <w:pStyle w:val="FootnoteText"/>
        <w:rPr>
          <w:rFonts w:ascii="Century Schoolbook" w:hAnsi="Century Schoolbook"/>
          <w:sz w:val="26"/>
          <w:szCs w:val="26"/>
        </w:rPr>
      </w:pPr>
      <w:r w:rsidRPr="00AE00C9">
        <w:rPr>
          <w:rStyle w:val="FootnoteReference"/>
          <w:rFonts w:ascii="Century Schoolbook" w:hAnsi="Century Schoolbook"/>
          <w:b/>
          <w:bCs/>
          <w:vertAlign w:val="baseline"/>
        </w:rPr>
        <w:footnoteRef/>
      </w:r>
      <w:r w:rsidRPr="00AE00C9">
        <w:rPr>
          <w:rFonts w:ascii="Century Schoolbook" w:hAnsi="Century Schoolbook"/>
          <w:b/>
          <w:bCs/>
        </w:rPr>
        <w:t xml:space="preserve"> </w:t>
      </w:r>
      <w:r>
        <w:tab/>
      </w:r>
      <w:r w:rsidRPr="001801A2">
        <w:rPr>
          <w:rFonts w:ascii="Century Schoolbook" w:hAnsi="Century Schoolbook"/>
          <w:sz w:val="26"/>
          <w:szCs w:val="26"/>
        </w:rPr>
        <w:t xml:space="preserve">Section 995a abrogated Supreme Court precedent holding that a trial court could not order further proceedings except to remedy “clerical” errors because doing so was, in the Court’s view, an impermissible </w:t>
      </w:r>
      <w:r w:rsidRPr="001801A2">
        <w:rPr>
          <w:rFonts w:ascii="Century Schoolbook" w:hAnsi="Century Schoolbook"/>
          <w:sz w:val="26"/>
          <w:szCs w:val="26"/>
        </w:rPr>
        <w:t>“</w:t>
      </w:r>
      <w:proofErr w:type="gramStart"/>
      <w:r w:rsidRPr="001801A2">
        <w:rPr>
          <w:rFonts w:ascii="Century Schoolbook" w:hAnsi="Century Schoolbook"/>
          <w:sz w:val="26"/>
          <w:szCs w:val="26"/>
        </w:rPr>
        <w:t>circumvent[</w:t>
      </w:r>
      <w:proofErr w:type="gramEnd"/>
      <w:r w:rsidRPr="001801A2">
        <w:rPr>
          <w:rFonts w:ascii="Century Schoolbook" w:hAnsi="Century Schoolbook"/>
          <w:sz w:val="26"/>
          <w:szCs w:val="26"/>
        </w:rPr>
        <w:t>ion of] the long</w:t>
      </w:r>
      <w:r w:rsidR="000A2E7E">
        <w:rPr>
          <w:rFonts w:ascii="Century Schoolbook" w:hAnsi="Century Schoolbook"/>
          <w:sz w:val="26"/>
          <w:szCs w:val="26"/>
        </w:rPr>
        <w:t>er</w:t>
      </w:r>
      <w:r w:rsidRPr="001801A2">
        <w:rPr>
          <w:rFonts w:ascii="Century Schoolbook" w:hAnsi="Century Schoolbook"/>
          <w:sz w:val="26"/>
          <w:szCs w:val="26"/>
        </w:rPr>
        <w:t xml:space="preserve"> route of </w:t>
      </w:r>
      <w:r w:rsidR="000A2E7E">
        <w:rPr>
          <w:rFonts w:ascii="Century Schoolbook" w:hAnsi="Century Schoolbook"/>
          <w:sz w:val="26"/>
          <w:szCs w:val="26"/>
        </w:rPr>
        <w:t>rearresting a</w:t>
      </w:r>
      <w:r w:rsidRPr="001801A2">
        <w:rPr>
          <w:rFonts w:ascii="Century Schoolbook" w:hAnsi="Century Schoolbook"/>
          <w:sz w:val="26"/>
          <w:szCs w:val="26"/>
        </w:rPr>
        <w:t xml:space="preserve"> discharged defendant, refiling the case and beginning prosecution anew.”  (</w:t>
      </w:r>
      <w:r w:rsidRPr="001801A2">
        <w:rPr>
          <w:rFonts w:ascii="Century Schoolbook" w:hAnsi="Century Schoolbook"/>
          <w:i/>
          <w:iCs/>
          <w:sz w:val="26"/>
          <w:szCs w:val="26"/>
        </w:rPr>
        <w:t>Burnett v. Superior Court</w:t>
      </w:r>
      <w:r w:rsidRPr="001801A2">
        <w:rPr>
          <w:rFonts w:ascii="Century Schoolbook" w:hAnsi="Century Schoolbook"/>
          <w:sz w:val="26"/>
          <w:szCs w:val="26"/>
        </w:rPr>
        <w:t xml:space="preserve"> (1974) 12 Cal.3d 865, 871</w:t>
      </w:r>
      <w:r w:rsidR="00A80CF9">
        <w:rPr>
          <w:rFonts w:ascii="Century Schoolbook" w:hAnsi="Century Schoolbook"/>
          <w:sz w:val="26"/>
          <w:szCs w:val="26"/>
        </w:rPr>
        <w:t>-873</w:t>
      </w:r>
      <w:r w:rsidR="00EB1655">
        <w:rPr>
          <w:rFonts w:ascii="Century Schoolbook" w:hAnsi="Century Schoolbook"/>
          <w:sz w:val="26"/>
          <w:szCs w:val="26"/>
        </w:rPr>
        <w:t xml:space="preserve"> (</w:t>
      </w:r>
      <w:r w:rsidR="00EB1655">
        <w:rPr>
          <w:rFonts w:ascii="Century Schoolbook" w:hAnsi="Century Schoolbook"/>
          <w:i/>
          <w:iCs/>
          <w:sz w:val="26"/>
          <w:szCs w:val="26"/>
        </w:rPr>
        <w:t>Burnett</w:t>
      </w:r>
      <w:r w:rsidR="00EB1655">
        <w:rPr>
          <w:rFonts w:ascii="Century Schoolbook" w:hAnsi="Century Schoolbook"/>
          <w:sz w:val="26"/>
          <w:szCs w:val="26"/>
        </w:rPr>
        <w:t>)</w:t>
      </w:r>
      <w:r w:rsidRPr="001801A2">
        <w:rPr>
          <w:rFonts w:ascii="Century Schoolbook" w:hAnsi="Century Schoolbook"/>
          <w:sz w:val="26"/>
          <w:szCs w:val="26"/>
        </w:rPr>
        <w:t xml:space="preserve">; see also </w:t>
      </w:r>
      <w:r w:rsidRPr="001801A2">
        <w:rPr>
          <w:rFonts w:ascii="Century Schoolbook" w:hAnsi="Century Schoolbook"/>
          <w:i/>
          <w:iCs/>
          <w:sz w:val="26"/>
          <w:szCs w:val="26"/>
        </w:rPr>
        <w:t>id.</w:t>
      </w:r>
      <w:r w:rsidRPr="001801A2">
        <w:rPr>
          <w:rFonts w:ascii="Century Schoolbook" w:hAnsi="Century Schoolbook"/>
          <w:sz w:val="26"/>
          <w:szCs w:val="26"/>
        </w:rPr>
        <w:t xml:space="preserve"> at pp. 870-873; see generally </w:t>
      </w:r>
      <w:r w:rsidRPr="001801A2">
        <w:rPr>
          <w:rFonts w:ascii="Century Schoolbook" w:hAnsi="Century Schoolbook"/>
          <w:i/>
          <w:iCs/>
          <w:sz w:val="26"/>
          <w:szCs w:val="26"/>
        </w:rPr>
        <w:t>Tharp v. Superior</w:t>
      </w:r>
      <w:r w:rsidRPr="001801A2">
        <w:rPr>
          <w:rFonts w:ascii="Century Schoolbook" w:hAnsi="Century Schoolbook"/>
          <w:i/>
          <w:iCs/>
          <w:sz w:val="26"/>
          <w:szCs w:val="26"/>
        </w:rPr>
        <w:t xml:space="preserve"> Court</w:t>
      </w:r>
      <w:r w:rsidRPr="001801A2">
        <w:rPr>
          <w:rFonts w:ascii="Century Schoolbook" w:hAnsi="Century Schoolbook"/>
          <w:sz w:val="26"/>
          <w:szCs w:val="26"/>
        </w:rPr>
        <w:t xml:space="preserve"> (1984) 15</w:t>
      </w:r>
      <w:r w:rsidR="00D67FF8">
        <w:rPr>
          <w:rFonts w:ascii="Century Schoolbook" w:hAnsi="Century Schoolbook"/>
          <w:sz w:val="26"/>
          <w:szCs w:val="26"/>
        </w:rPr>
        <w:t>4</w:t>
      </w:r>
      <w:r w:rsidRPr="001801A2">
        <w:rPr>
          <w:rFonts w:ascii="Century Schoolbook" w:hAnsi="Century Schoolbook"/>
          <w:sz w:val="26"/>
          <w:szCs w:val="26"/>
        </w:rPr>
        <w:t xml:space="preserve"> Cal.App.3d 215, 219 (</w:t>
      </w:r>
      <w:r w:rsidRPr="001801A2">
        <w:rPr>
          <w:rFonts w:ascii="Century Schoolbook" w:hAnsi="Century Schoolbook"/>
          <w:i/>
          <w:iCs/>
          <w:sz w:val="26"/>
          <w:szCs w:val="26"/>
        </w:rPr>
        <w:t>Tharp</w:t>
      </w:r>
      <w:r w:rsidRPr="001801A2">
        <w:rPr>
          <w:rFonts w:ascii="Century Schoolbook" w:hAnsi="Century Schoolbook"/>
          <w:sz w:val="26"/>
          <w:szCs w:val="26"/>
        </w:rPr>
        <w:t xml:space="preserve">) [noting how section 995a </w:t>
      </w:r>
      <w:r w:rsidR="00A80CF9">
        <w:rPr>
          <w:rFonts w:ascii="Century Schoolbook" w:hAnsi="Century Schoolbook"/>
          <w:sz w:val="26"/>
          <w:szCs w:val="26"/>
        </w:rPr>
        <w:t>abrogated</w:t>
      </w:r>
      <w:r w:rsidR="00A80CF9" w:rsidRPr="001801A2">
        <w:rPr>
          <w:rFonts w:ascii="Century Schoolbook" w:hAnsi="Century Schoolbook"/>
          <w:sz w:val="26"/>
          <w:szCs w:val="26"/>
        </w:rPr>
        <w:t xml:space="preserve"> </w:t>
      </w:r>
      <w:r w:rsidRPr="001801A2">
        <w:rPr>
          <w:rFonts w:ascii="Century Schoolbook" w:hAnsi="Century Schoolbook"/>
          <w:i/>
          <w:iCs/>
          <w:sz w:val="26"/>
          <w:szCs w:val="26"/>
        </w:rPr>
        <w:t>Burnett</w:t>
      </w:r>
      <w:r w:rsidRPr="001801A2">
        <w:rPr>
          <w:rFonts w:ascii="Century Schoolbook" w:hAnsi="Century Schoolbook"/>
          <w:sz w:val="26"/>
          <w:szCs w:val="26"/>
        </w:rPr>
        <w:t>].)</w:t>
      </w:r>
    </w:p>
  </w:footnote>
  <w:footnote w:id="9">
    <w:p w14:paraId="639D39DE" w14:textId="4DAFB853" w:rsidR="00491272" w:rsidRPr="00FF284B" w:rsidRDefault="00267C6F" w:rsidP="00491272">
      <w:pPr>
        <w:pStyle w:val="FootnoteText"/>
        <w:rPr>
          <w:rFonts w:ascii="Century Schoolbook" w:hAnsi="Century Schoolbook"/>
          <w:sz w:val="26"/>
          <w:szCs w:val="26"/>
        </w:rPr>
      </w:pPr>
      <w:r w:rsidRPr="00AE00C9">
        <w:rPr>
          <w:rStyle w:val="FootnoteReference"/>
          <w:rFonts w:ascii="Century Schoolbook" w:hAnsi="Century Schoolbook"/>
          <w:b/>
          <w:bCs/>
          <w:vertAlign w:val="baseline"/>
        </w:rPr>
        <w:footnoteRef/>
      </w:r>
      <w:r>
        <w:t xml:space="preserve"> </w:t>
      </w:r>
      <w:r>
        <w:tab/>
      </w:r>
      <w:r w:rsidRPr="00FF284B">
        <w:rPr>
          <w:rFonts w:ascii="Century Schoolbook" w:hAnsi="Century Schoolbook"/>
          <w:sz w:val="26"/>
          <w:szCs w:val="26"/>
        </w:rPr>
        <w:t>Section 995a permits a court to “order” that an indictment be amended (1) to list the names of grand jury witnesses omitted from the indictment, and (2) to add t</w:t>
      </w:r>
      <w:r w:rsidRPr="00FF284B">
        <w:rPr>
          <w:rFonts w:ascii="Century Schoolbook" w:hAnsi="Century Schoolbook"/>
          <w:sz w:val="26"/>
          <w:szCs w:val="26"/>
        </w:rPr>
        <w:t>he district attorney’s signature</w:t>
      </w:r>
      <w:r w:rsidR="000A2E7E">
        <w:rPr>
          <w:rFonts w:ascii="Century Schoolbook" w:hAnsi="Century Schoolbook"/>
          <w:sz w:val="26"/>
          <w:szCs w:val="26"/>
        </w:rPr>
        <w:t xml:space="preserve">.  </w:t>
      </w:r>
      <w:r w:rsidR="000A2E7E" w:rsidRPr="00FF284B">
        <w:rPr>
          <w:rFonts w:ascii="Century Schoolbook" w:hAnsi="Century Schoolbook"/>
          <w:sz w:val="26"/>
          <w:szCs w:val="26"/>
        </w:rPr>
        <w:t xml:space="preserve">(§ 995a, subd. (a).) </w:t>
      </w:r>
      <w:r w:rsidR="000A2E7E">
        <w:rPr>
          <w:rFonts w:ascii="Century Schoolbook" w:hAnsi="Century Schoolbook"/>
          <w:sz w:val="26"/>
          <w:szCs w:val="26"/>
        </w:rPr>
        <w:t xml:space="preserve"> Because these interlineations can be made by the trial court itself, </w:t>
      </w:r>
      <w:r w:rsidR="00F07E8E">
        <w:rPr>
          <w:rFonts w:ascii="Century Schoolbook" w:hAnsi="Century Schoolbook"/>
          <w:sz w:val="26"/>
          <w:szCs w:val="26"/>
        </w:rPr>
        <w:t xml:space="preserve">section 995a </w:t>
      </w:r>
      <w:r w:rsidR="000A2E7E">
        <w:rPr>
          <w:rFonts w:ascii="Century Schoolbook" w:hAnsi="Century Schoolbook"/>
          <w:sz w:val="26"/>
          <w:szCs w:val="26"/>
        </w:rPr>
        <w:t>n</w:t>
      </w:r>
      <w:r w:rsidRPr="00FF284B">
        <w:rPr>
          <w:rFonts w:ascii="Century Schoolbook" w:hAnsi="Century Schoolbook"/>
          <w:sz w:val="26"/>
          <w:szCs w:val="26"/>
        </w:rPr>
        <w:t xml:space="preserve">either </w:t>
      </w:r>
      <w:r w:rsidR="000A2E7E">
        <w:rPr>
          <w:rFonts w:ascii="Century Schoolbook" w:hAnsi="Century Schoolbook"/>
          <w:sz w:val="26"/>
          <w:szCs w:val="26"/>
        </w:rPr>
        <w:t xml:space="preserve">requires </w:t>
      </w:r>
      <w:r w:rsidR="00D26C4B">
        <w:rPr>
          <w:rFonts w:ascii="Century Schoolbook" w:hAnsi="Century Schoolbook"/>
          <w:sz w:val="26"/>
          <w:szCs w:val="26"/>
        </w:rPr>
        <w:t>n</w:t>
      </w:r>
      <w:r w:rsidR="000A2E7E">
        <w:rPr>
          <w:rFonts w:ascii="Century Schoolbook" w:hAnsi="Century Schoolbook"/>
          <w:sz w:val="26"/>
          <w:szCs w:val="26"/>
        </w:rPr>
        <w:t xml:space="preserve">or contemplates </w:t>
      </w:r>
      <w:r w:rsidRPr="00FF284B">
        <w:rPr>
          <w:rFonts w:ascii="Century Schoolbook" w:hAnsi="Century Schoolbook"/>
          <w:sz w:val="26"/>
          <w:szCs w:val="26"/>
        </w:rPr>
        <w:t>further proceedings before the grand jury.</w:t>
      </w:r>
    </w:p>
  </w:footnote>
  <w:footnote w:id="10">
    <w:p w14:paraId="21C1DB95" w14:textId="7BB08359" w:rsidR="00491272" w:rsidRDefault="00267C6F" w:rsidP="00491272">
      <w:pPr>
        <w:pStyle w:val="FootnoteText"/>
        <w:rPr>
          <w:rFonts w:ascii="Century Schoolbook" w:hAnsi="Century Schoolbook"/>
          <w:sz w:val="26"/>
          <w:szCs w:val="26"/>
        </w:rPr>
      </w:pPr>
      <w:r w:rsidRPr="00AE00C9">
        <w:rPr>
          <w:rStyle w:val="FootnoteReference"/>
          <w:rFonts w:ascii="Century Schoolbook" w:hAnsi="Century Schoolbook"/>
          <w:b/>
          <w:bCs/>
          <w:vertAlign w:val="baseline"/>
        </w:rPr>
        <w:footnoteRef/>
      </w:r>
      <w:r w:rsidRPr="00AE00C9">
        <w:rPr>
          <w:rFonts w:ascii="Century Schoolbook" w:hAnsi="Century Schoolbook"/>
          <w:b/>
          <w:bCs/>
        </w:rPr>
        <w:t xml:space="preserve"> </w:t>
      </w:r>
      <w:r w:rsidRPr="00AE00C9">
        <w:rPr>
          <w:rFonts w:ascii="Century Schoolbook" w:hAnsi="Century Schoolbook"/>
          <w:b/>
          <w:bCs/>
        </w:rPr>
        <w:tab/>
      </w:r>
      <w:r w:rsidRPr="00BB1B30">
        <w:rPr>
          <w:rFonts w:ascii="Century Schoolbook" w:hAnsi="Century Schoolbook"/>
          <w:sz w:val="26"/>
          <w:szCs w:val="26"/>
        </w:rPr>
        <w:t xml:space="preserve">Indeed, we harbor doubt that section 995 is the proper vehicle for moving to dismiss an indictment or information in </w:t>
      </w:r>
      <w:r w:rsidR="00484641">
        <w:rPr>
          <w:rFonts w:ascii="Century Schoolbook" w:hAnsi="Century Schoolbook"/>
          <w:sz w:val="26"/>
          <w:szCs w:val="26"/>
        </w:rPr>
        <w:t>this</w:t>
      </w:r>
      <w:r w:rsidRPr="00BB1B30">
        <w:rPr>
          <w:rFonts w:ascii="Century Schoolbook" w:hAnsi="Century Schoolbook"/>
          <w:sz w:val="26"/>
          <w:szCs w:val="26"/>
        </w:rPr>
        <w:t xml:space="preserve"> context</w:t>
      </w:r>
      <w:r w:rsidR="00484641">
        <w:rPr>
          <w:rFonts w:ascii="Century Schoolbook" w:hAnsi="Century Schoolbook"/>
          <w:sz w:val="26"/>
          <w:szCs w:val="26"/>
        </w:rPr>
        <w:t xml:space="preserve"> b</w:t>
      </w:r>
      <w:r w:rsidRPr="00BB1B30">
        <w:rPr>
          <w:rFonts w:ascii="Century Schoolbook" w:hAnsi="Century Schoolbook"/>
          <w:sz w:val="26"/>
          <w:szCs w:val="26"/>
        </w:rPr>
        <w:t>ecause, at the time of the</w:t>
      </w:r>
      <w:r w:rsidR="004F5287">
        <w:rPr>
          <w:rFonts w:ascii="Century Schoolbook" w:hAnsi="Century Schoolbook"/>
          <w:sz w:val="26"/>
          <w:szCs w:val="26"/>
        </w:rPr>
        <w:t xml:space="preserve"> </w:t>
      </w:r>
      <w:r w:rsidR="00A80CF9">
        <w:rPr>
          <w:rFonts w:ascii="Century Schoolbook" w:hAnsi="Century Schoolbook"/>
          <w:sz w:val="26"/>
          <w:szCs w:val="26"/>
        </w:rPr>
        <w:t xml:space="preserve">initial </w:t>
      </w:r>
      <w:r w:rsidR="004F5287">
        <w:rPr>
          <w:rFonts w:ascii="Century Schoolbook" w:hAnsi="Century Schoolbook"/>
          <w:sz w:val="26"/>
          <w:szCs w:val="26"/>
        </w:rPr>
        <w:t>grand jury proceedings or</w:t>
      </w:r>
      <w:r w:rsidRPr="00BB1B30">
        <w:rPr>
          <w:rFonts w:ascii="Century Schoolbook" w:hAnsi="Century Schoolbook"/>
          <w:sz w:val="26"/>
          <w:szCs w:val="26"/>
        </w:rPr>
        <w:t xml:space="preserve"> preliminary hearing</w:t>
      </w:r>
      <w:r>
        <w:rPr>
          <w:rFonts w:ascii="Century Schoolbook" w:hAnsi="Century Schoolbook"/>
          <w:sz w:val="26"/>
          <w:szCs w:val="26"/>
        </w:rPr>
        <w:t xml:space="preserve">, </w:t>
      </w:r>
      <w:r w:rsidRPr="00BB1B30">
        <w:rPr>
          <w:rFonts w:ascii="Century Schoolbook" w:hAnsi="Century Schoolbook"/>
          <w:sz w:val="26"/>
          <w:szCs w:val="26"/>
        </w:rPr>
        <w:t xml:space="preserve">there </w:t>
      </w:r>
      <w:r w:rsidRPr="00BB1B30">
        <w:rPr>
          <w:rFonts w:ascii="Century Schoolbook" w:hAnsi="Century Schoolbook"/>
          <w:i/>
          <w:iCs/>
          <w:sz w:val="26"/>
          <w:szCs w:val="26"/>
        </w:rPr>
        <w:t>was</w:t>
      </w:r>
      <w:r w:rsidRPr="00BB1B30">
        <w:rPr>
          <w:rFonts w:ascii="Century Schoolbook" w:hAnsi="Century Schoolbook"/>
          <w:sz w:val="26"/>
          <w:szCs w:val="26"/>
        </w:rPr>
        <w:t xml:space="preserve"> probable or reasonable cause to p</w:t>
      </w:r>
      <w:r w:rsidRPr="00BB1B30">
        <w:rPr>
          <w:rFonts w:ascii="Century Schoolbook" w:hAnsi="Century Schoolbook"/>
          <w:sz w:val="26"/>
          <w:szCs w:val="26"/>
        </w:rPr>
        <w:t xml:space="preserve">roceed, and </w:t>
      </w:r>
      <w:r w:rsidR="00F9507D">
        <w:rPr>
          <w:rFonts w:ascii="Century Schoolbook" w:hAnsi="Century Schoolbook"/>
          <w:sz w:val="26"/>
          <w:szCs w:val="26"/>
        </w:rPr>
        <w:t>the</w:t>
      </w:r>
      <w:r w:rsidR="00F9507D" w:rsidRPr="00BB1B30">
        <w:rPr>
          <w:rFonts w:ascii="Century Schoolbook" w:hAnsi="Century Schoolbook"/>
          <w:sz w:val="26"/>
          <w:szCs w:val="26"/>
        </w:rPr>
        <w:t xml:space="preserve"> </w:t>
      </w:r>
      <w:r w:rsidRPr="00BB1B30">
        <w:rPr>
          <w:rFonts w:ascii="Century Schoolbook" w:hAnsi="Century Schoolbook"/>
          <w:sz w:val="26"/>
          <w:szCs w:val="26"/>
        </w:rPr>
        <w:t xml:space="preserve">deficiency </w:t>
      </w:r>
      <w:r w:rsidR="00F9507D">
        <w:rPr>
          <w:rFonts w:ascii="Century Schoolbook" w:hAnsi="Century Schoolbook"/>
          <w:sz w:val="26"/>
          <w:szCs w:val="26"/>
        </w:rPr>
        <w:t xml:space="preserve">defendant alleges </w:t>
      </w:r>
      <w:r w:rsidRPr="00BB1B30">
        <w:rPr>
          <w:rFonts w:ascii="Century Schoolbook" w:hAnsi="Century Schoolbook"/>
          <w:sz w:val="26"/>
          <w:szCs w:val="26"/>
        </w:rPr>
        <w:t xml:space="preserve">is </w:t>
      </w:r>
      <w:r w:rsidR="00F9507D">
        <w:rPr>
          <w:rFonts w:ascii="Century Schoolbook" w:hAnsi="Century Schoolbook"/>
          <w:sz w:val="26"/>
          <w:szCs w:val="26"/>
        </w:rPr>
        <w:t xml:space="preserve">solely </w:t>
      </w:r>
      <w:r w:rsidRPr="00BB1B30">
        <w:rPr>
          <w:rFonts w:ascii="Century Schoolbook" w:hAnsi="Century Schoolbook"/>
          <w:sz w:val="26"/>
          <w:szCs w:val="26"/>
        </w:rPr>
        <w:t xml:space="preserve">due to the retroactive application of a later-enacted statute.  </w:t>
      </w:r>
      <w:r>
        <w:rPr>
          <w:rFonts w:ascii="Century Schoolbook" w:hAnsi="Century Schoolbook"/>
          <w:sz w:val="26"/>
          <w:szCs w:val="26"/>
        </w:rPr>
        <w:t xml:space="preserve">(Accord </w:t>
      </w:r>
      <w:r>
        <w:rPr>
          <w:rFonts w:ascii="Century Schoolbook" w:hAnsi="Century Schoolbook"/>
          <w:i/>
          <w:iCs/>
          <w:sz w:val="26"/>
          <w:szCs w:val="26"/>
        </w:rPr>
        <w:t>Rodas-Gramajo v. Superior Court</w:t>
      </w:r>
      <w:r>
        <w:rPr>
          <w:rFonts w:ascii="Century Schoolbook" w:hAnsi="Century Schoolbook"/>
          <w:sz w:val="26"/>
          <w:szCs w:val="26"/>
        </w:rPr>
        <w:t xml:space="preserve"> (2023) 92 Cal.App.5th 656, 672, 680 (</w:t>
      </w:r>
      <w:r>
        <w:rPr>
          <w:rFonts w:ascii="Century Schoolbook" w:hAnsi="Century Schoolbook"/>
          <w:i/>
          <w:iCs/>
          <w:sz w:val="26"/>
          <w:szCs w:val="26"/>
        </w:rPr>
        <w:t>Rodas-Gramajo</w:t>
      </w:r>
      <w:r>
        <w:rPr>
          <w:rFonts w:ascii="Century Schoolbook" w:hAnsi="Century Schoolbook"/>
          <w:sz w:val="26"/>
          <w:szCs w:val="26"/>
        </w:rPr>
        <w:t>) (</w:t>
      </w:r>
      <w:r w:rsidR="00A80CF9">
        <w:rPr>
          <w:rFonts w:ascii="Century Schoolbook" w:hAnsi="Century Schoolbook"/>
          <w:sz w:val="26"/>
          <w:szCs w:val="26"/>
        </w:rPr>
        <w:t xml:space="preserve">conc. opn. of </w:t>
      </w:r>
      <w:r>
        <w:rPr>
          <w:rFonts w:ascii="Century Schoolbook" w:hAnsi="Century Schoolbook"/>
          <w:sz w:val="26"/>
          <w:szCs w:val="26"/>
        </w:rPr>
        <w:t xml:space="preserve">Tucher, J.) [expressing similar doubt]; but see </w:t>
      </w:r>
      <w:r>
        <w:rPr>
          <w:rFonts w:ascii="Century Schoolbook" w:hAnsi="Century Schoolbook"/>
          <w:i/>
          <w:iCs/>
          <w:sz w:val="26"/>
          <w:szCs w:val="26"/>
        </w:rPr>
        <w:t>id.</w:t>
      </w:r>
      <w:r>
        <w:rPr>
          <w:rFonts w:ascii="Century Schoolbook" w:hAnsi="Century Schoolbook"/>
          <w:sz w:val="26"/>
          <w:szCs w:val="26"/>
        </w:rPr>
        <w:t xml:space="preserve"> at pp. 663-664 </w:t>
      </w:r>
      <w:r w:rsidR="00A80CF9">
        <w:rPr>
          <w:rFonts w:ascii="Century Schoolbook" w:hAnsi="Century Schoolbook"/>
          <w:sz w:val="26"/>
          <w:szCs w:val="26"/>
        </w:rPr>
        <w:t xml:space="preserve">(maj. opn. of Rodríguez, J.) </w:t>
      </w:r>
      <w:r>
        <w:rPr>
          <w:rFonts w:ascii="Century Schoolbook" w:hAnsi="Century Schoolbook"/>
          <w:sz w:val="26"/>
          <w:szCs w:val="26"/>
        </w:rPr>
        <w:t xml:space="preserve">[validating use of section 995 motion to dismiss when the law has changed].)  </w:t>
      </w:r>
      <w:r w:rsidRPr="00BB1B30">
        <w:rPr>
          <w:rFonts w:ascii="Century Schoolbook" w:hAnsi="Century Schoolbook"/>
          <w:sz w:val="26"/>
          <w:szCs w:val="26"/>
        </w:rPr>
        <w:t xml:space="preserve">However, we </w:t>
      </w:r>
      <w:r w:rsidR="00484641">
        <w:rPr>
          <w:rFonts w:ascii="Century Schoolbook" w:hAnsi="Century Schoolbook"/>
          <w:sz w:val="26"/>
          <w:szCs w:val="26"/>
        </w:rPr>
        <w:t>leave this question for another day.</w:t>
      </w:r>
    </w:p>
    <w:p w14:paraId="1354B704" w14:textId="77777777" w:rsidR="00DD518D" w:rsidRPr="00BB1B30" w:rsidRDefault="00DD518D" w:rsidP="00491272">
      <w:pPr>
        <w:pStyle w:val="FootnoteText"/>
        <w:rPr>
          <w:rFonts w:ascii="Century Schoolbook" w:hAnsi="Century Schoolbook"/>
          <w:sz w:val="26"/>
          <w:szCs w:val="26"/>
        </w:rPr>
      </w:pPr>
    </w:p>
  </w:footnote>
  <w:footnote w:id="11">
    <w:p w14:paraId="0A0438BE" w14:textId="4D819966" w:rsidR="00315F0E" w:rsidRPr="00DD518D" w:rsidRDefault="00267C6F" w:rsidP="00BF6845">
      <w:pPr>
        <w:pStyle w:val="FootnoteText"/>
        <w:rPr>
          <w:rFonts w:ascii="Century Schoolbook" w:hAnsi="Century Schoolbook"/>
          <w:sz w:val="26"/>
          <w:szCs w:val="26"/>
        </w:rPr>
      </w:pPr>
      <w:r w:rsidRPr="00AE00C9">
        <w:rPr>
          <w:rStyle w:val="FootnoteReference"/>
          <w:rFonts w:ascii="Century Schoolbook" w:hAnsi="Century Schoolbook"/>
          <w:b/>
          <w:bCs/>
          <w:vertAlign w:val="baseline"/>
        </w:rPr>
        <w:footnoteRef/>
      </w:r>
      <w:r w:rsidRPr="00AE00C9">
        <w:rPr>
          <w:rFonts w:ascii="Century Schoolbook" w:hAnsi="Century Schoolbook"/>
          <w:b/>
          <w:bCs/>
        </w:rPr>
        <w:t xml:space="preserve"> </w:t>
      </w:r>
      <w:r>
        <w:tab/>
      </w:r>
      <w:r w:rsidR="00DD518D" w:rsidRPr="00DD518D">
        <w:rPr>
          <w:rFonts w:ascii="Century Schoolbook" w:hAnsi="Century Schoolbook"/>
          <w:sz w:val="26"/>
          <w:szCs w:val="26"/>
        </w:rPr>
        <w:t xml:space="preserve">Although </w:t>
      </w:r>
      <w:r w:rsidR="00DD518D" w:rsidRPr="00DD518D">
        <w:rPr>
          <w:rFonts w:ascii="Century Schoolbook" w:hAnsi="Century Schoolbook"/>
          <w:i/>
          <w:iCs/>
          <w:sz w:val="26"/>
          <w:szCs w:val="26"/>
        </w:rPr>
        <w:t>Estrada</w:t>
      </w:r>
      <w:r w:rsidR="00DD2E58">
        <w:rPr>
          <w:rFonts w:ascii="Century Schoolbook" w:hAnsi="Century Schoolbook"/>
          <w:i/>
          <w:iCs/>
          <w:sz w:val="26"/>
          <w:szCs w:val="26"/>
        </w:rPr>
        <w:t xml:space="preserve"> II</w:t>
      </w:r>
      <w:r w:rsidR="00DD518D" w:rsidRPr="00DD518D">
        <w:rPr>
          <w:rFonts w:ascii="Century Schoolbook" w:hAnsi="Century Schoolbook"/>
          <w:sz w:val="26"/>
          <w:szCs w:val="26"/>
        </w:rPr>
        <w:t xml:space="preserve"> gives the benefit of retroactively applicable laws to any defendant</w:t>
      </w:r>
      <w:r w:rsidR="004F5287">
        <w:rPr>
          <w:rFonts w:ascii="Century Schoolbook" w:hAnsi="Century Schoolbook"/>
          <w:sz w:val="26"/>
          <w:szCs w:val="26"/>
        </w:rPr>
        <w:t>s</w:t>
      </w:r>
      <w:r w:rsidR="00DD518D" w:rsidRPr="00DD518D">
        <w:rPr>
          <w:rFonts w:ascii="Century Schoolbook" w:hAnsi="Century Schoolbook"/>
          <w:sz w:val="26"/>
          <w:szCs w:val="26"/>
        </w:rPr>
        <w:t xml:space="preserve"> whose convictions are not yet final on direct appeal, </w:t>
      </w:r>
      <w:r w:rsidR="00BF6845">
        <w:rPr>
          <w:rFonts w:ascii="Century Schoolbook" w:hAnsi="Century Schoolbook"/>
          <w:sz w:val="26"/>
          <w:szCs w:val="26"/>
        </w:rPr>
        <w:t xml:space="preserve">one subset of defendants with nonfinal convictions—namely, those who were found guilty at trial by a jury that was instructed to find the new elements of a crime or enhancement—would not be immune because the jury’s verdict and findings as to the new elements render </w:t>
      </w:r>
      <w:r w:rsidR="00DD518D" w:rsidRPr="00DD518D">
        <w:rPr>
          <w:rFonts w:ascii="Century Schoolbook" w:hAnsi="Century Schoolbook"/>
          <w:sz w:val="26"/>
          <w:szCs w:val="26"/>
        </w:rPr>
        <w:t>harmless any deficiency in the quantum of evidence before the grand jury.  (</w:t>
      </w:r>
      <w:r w:rsidR="00DD518D" w:rsidRPr="00DD518D">
        <w:rPr>
          <w:rFonts w:ascii="Century Schoolbook" w:hAnsi="Century Schoolbook"/>
          <w:i/>
          <w:iCs/>
          <w:sz w:val="26"/>
          <w:szCs w:val="26"/>
        </w:rPr>
        <w:t>People v. Becerra</w:t>
      </w:r>
      <w:r w:rsidR="00DD518D" w:rsidRPr="00DD518D">
        <w:rPr>
          <w:rFonts w:ascii="Century Schoolbook" w:hAnsi="Century Schoolbook"/>
          <w:sz w:val="26"/>
          <w:szCs w:val="26"/>
        </w:rPr>
        <w:t xml:space="preserve"> (2008) 165 Cal.App.4th 1064, 1071 [collecting cases].)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E000A"/>
    <w:multiLevelType w:val="hybridMultilevel"/>
    <w:tmpl w:val="3DE28300"/>
    <w:lvl w:ilvl="0" w:tplc="6D166DF8">
      <w:start w:val="1"/>
      <w:numFmt w:val="bullet"/>
      <w:lvlText w:val=""/>
      <w:lvlJc w:val="left"/>
      <w:pPr>
        <w:ind w:left="720" w:hanging="360"/>
      </w:pPr>
      <w:rPr>
        <w:rFonts w:ascii="Symbol" w:hAnsi="Symbol" w:hint="default"/>
      </w:rPr>
    </w:lvl>
    <w:lvl w:ilvl="1" w:tplc="61429D28" w:tentative="1">
      <w:start w:val="1"/>
      <w:numFmt w:val="bullet"/>
      <w:lvlText w:val="o"/>
      <w:lvlJc w:val="left"/>
      <w:pPr>
        <w:ind w:left="1440" w:hanging="360"/>
      </w:pPr>
      <w:rPr>
        <w:rFonts w:ascii="Courier New" w:hAnsi="Courier New" w:cs="Courier New" w:hint="default"/>
      </w:rPr>
    </w:lvl>
    <w:lvl w:ilvl="2" w:tplc="A9521F60" w:tentative="1">
      <w:start w:val="1"/>
      <w:numFmt w:val="bullet"/>
      <w:lvlText w:val=""/>
      <w:lvlJc w:val="left"/>
      <w:pPr>
        <w:ind w:left="2160" w:hanging="360"/>
      </w:pPr>
      <w:rPr>
        <w:rFonts w:ascii="Wingdings" w:hAnsi="Wingdings" w:hint="default"/>
      </w:rPr>
    </w:lvl>
    <w:lvl w:ilvl="3" w:tplc="06622F2A" w:tentative="1">
      <w:start w:val="1"/>
      <w:numFmt w:val="bullet"/>
      <w:lvlText w:val=""/>
      <w:lvlJc w:val="left"/>
      <w:pPr>
        <w:ind w:left="2880" w:hanging="360"/>
      </w:pPr>
      <w:rPr>
        <w:rFonts w:ascii="Symbol" w:hAnsi="Symbol" w:hint="default"/>
      </w:rPr>
    </w:lvl>
    <w:lvl w:ilvl="4" w:tplc="B462AB0A" w:tentative="1">
      <w:start w:val="1"/>
      <w:numFmt w:val="bullet"/>
      <w:lvlText w:val="o"/>
      <w:lvlJc w:val="left"/>
      <w:pPr>
        <w:ind w:left="3600" w:hanging="360"/>
      </w:pPr>
      <w:rPr>
        <w:rFonts w:ascii="Courier New" w:hAnsi="Courier New" w:cs="Courier New" w:hint="default"/>
      </w:rPr>
    </w:lvl>
    <w:lvl w:ilvl="5" w:tplc="4A5C0174" w:tentative="1">
      <w:start w:val="1"/>
      <w:numFmt w:val="bullet"/>
      <w:lvlText w:val=""/>
      <w:lvlJc w:val="left"/>
      <w:pPr>
        <w:ind w:left="4320" w:hanging="360"/>
      </w:pPr>
      <w:rPr>
        <w:rFonts w:ascii="Wingdings" w:hAnsi="Wingdings" w:hint="default"/>
      </w:rPr>
    </w:lvl>
    <w:lvl w:ilvl="6" w:tplc="F9C49008" w:tentative="1">
      <w:start w:val="1"/>
      <w:numFmt w:val="bullet"/>
      <w:lvlText w:val=""/>
      <w:lvlJc w:val="left"/>
      <w:pPr>
        <w:ind w:left="5040" w:hanging="360"/>
      </w:pPr>
      <w:rPr>
        <w:rFonts w:ascii="Symbol" w:hAnsi="Symbol" w:hint="default"/>
      </w:rPr>
    </w:lvl>
    <w:lvl w:ilvl="7" w:tplc="F2CAE1DA" w:tentative="1">
      <w:start w:val="1"/>
      <w:numFmt w:val="bullet"/>
      <w:lvlText w:val="o"/>
      <w:lvlJc w:val="left"/>
      <w:pPr>
        <w:ind w:left="5760" w:hanging="360"/>
      </w:pPr>
      <w:rPr>
        <w:rFonts w:ascii="Courier New" w:hAnsi="Courier New" w:cs="Courier New" w:hint="default"/>
      </w:rPr>
    </w:lvl>
    <w:lvl w:ilvl="8" w:tplc="062651F4" w:tentative="1">
      <w:start w:val="1"/>
      <w:numFmt w:val="bullet"/>
      <w:lvlText w:val=""/>
      <w:lvlJc w:val="left"/>
      <w:pPr>
        <w:ind w:left="6480" w:hanging="360"/>
      </w:pPr>
      <w:rPr>
        <w:rFonts w:ascii="Wingdings" w:hAnsi="Wingdings" w:hint="default"/>
      </w:rPr>
    </w:lvl>
  </w:abstractNum>
  <w:num w:numId="1" w16cid:durableId="554514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369"/>
    <w:rsid w:val="00025B92"/>
    <w:rsid w:val="000450CA"/>
    <w:rsid w:val="00051B27"/>
    <w:rsid w:val="00072C52"/>
    <w:rsid w:val="00075218"/>
    <w:rsid w:val="000776A1"/>
    <w:rsid w:val="00083872"/>
    <w:rsid w:val="00086DE8"/>
    <w:rsid w:val="0009133F"/>
    <w:rsid w:val="000967A4"/>
    <w:rsid w:val="00096E64"/>
    <w:rsid w:val="000A1473"/>
    <w:rsid w:val="000A2E7E"/>
    <w:rsid w:val="000A3EB2"/>
    <w:rsid w:val="000A49E4"/>
    <w:rsid w:val="000A4EAF"/>
    <w:rsid w:val="000C2660"/>
    <w:rsid w:val="000C3727"/>
    <w:rsid w:val="000D0667"/>
    <w:rsid w:val="000D1369"/>
    <w:rsid w:val="000D27DD"/>
    <w:rsid w:val="000D2A18"/>
    <w:rsid w:val="000D2D56"/>
    <w:rsid w:val="000D387E"/>
    <w:rsid w:val="000D7F98"/>
    <w:rsid w:val="000F0333"/>
    <w:rsid w:val="000F3110"/>
    <w:rsid w:val="000F3D86"/>
    <w:rsid w:val="000F58DE"/>
    <w:rsid w:val="00103407"/>
    <w:rsid w:val="00107BDC"/>
    <w:rsid w:val="00122AF6"/>
    <w:rsid w:val="001239D3"/>
    <w:rsid w:val="001257A8"/>
    <w:rsid w:val="0012646C"/>
    <w:rsid w:val="0013512C"/>
    <w:rsid w:val="0014660D"/>
    <w:rsid w:val="001528F1"/>
    <w:rsid w:val="00152B96"/>
    <w:rsid w:val="00152BF3"/>
    <w:rsid w:val="00153F68"/>
    <w:rsid w:val="0016725E"/>
    <w:rsid w:val="001801A2"/>
    <w:rsid w:val="001913ED"/>
    <w:rsid w:val="00195C3F"/>
    <w:rsid w:val="00196CCF"/>
    <w:rsid w:val="001976B8"/>
    <w:rsid w:val="001A0996"/>
    <w:rsid w:val="001A3306"/>
    <w:rsid w:val="001A63D0"/>
    <w:rsid w:val="001B39DE"/>
    <w:rsid w:val="001D485C"/>
    <w:rsid w:val="001D5E10"/>
    <w:rsid w:val="001E0AD5"/>
    <w:rsid w:val="001F0B32"/>
    <w:rsid w:val="001F1EF7"/>
    <w:rsid w:val="001F4316"/>
    <w:rsid w:val="001F7F9B"/>
    <w:rsid w:val="00207692"/>
    <w:rsid w:val="0021307E"/>
    <w:rsid w:val="00214F5B"/>
    <w:rsid w:val="002208CF"/>
    <w:rsid w:val="00220DFF"/>
    <w:rsid w:val="00225693"/>
    <w:rsid w:val="0022597B"/>
    <w:rsid w:val="00226A03"/>
    <w:rsid w:val="00226D6F"/>
    <w:rsid w:val="00227B2E"/>
    <w:rsid w:val="0023042C"/>
    <w:rsid w:val="00251BCA"/>
    <w:rsid w:val="0026478A"/>
    <w:rsid w:val="00265E2C"/>
    <w:rsid w:val="00267C6F"/>
    <w:rsid w:val="002726BA"/>
    <w:rsid w:val="0027647B"/>
    <w:rsid w:val="002775E3"/>
    <w:rsid w:val="00296D2E"/>
    <w:rsid w:val="002A0A76"/>
    <w:rsid w:val="002A0EE3"/>
    <w:rsid w:val="002B3CB9"/>
    <w:rsid w:val="002C2780"/>
    <w:rsid w:val="002C3B8B"/>
    <w:rsid w:val="002D5DF2"/>
    <w:rsid w:val="002E5797"/>
    <w:rsid w:val="0030457E"/>
    <w:rsid w:val="00306AFE"/>
    <w:rsid w:val="00313F49"/>
    <w:rsid w:val="00314574"/>
    <w:rsid w:val="00315F0E"/>
    <w:rsid w:val="00321266"/>
    <w:rsid w:val="00331C10"/>
    <w:rsid w:val="00334446"/>
    <w:rsid w:val="0035255E"/>
    <w:rsid w:val="0035273A"/>
    <w:rsid w:val="00355149"/>
    <w:rsid w:val="003579DE"/>
    <w:rsid w:val="0036006A"/>
    <w:rsid w:val="00375C38"/>
    <w:rsid w:val="00380536"/>
    <w:rsid w:val="00390E10"/>
    <w:rsid w:val="003A78EA"/>
    <w:rsid w:val="003B09B6"/>
    <w:rsid w:val="003B120C"/>
    <w:rsid w:val="003B146A"/>
    <w:rsid w:val="003B2FEA"/>
    <w:rsid w:val="003B2FF8"/>
    <w:rsid w:val="003B553C"/>
    <w:rsid w:val="003C2878"/>
    <w:rsid w:val="003D24DE"/>
    <w:rsid w:val="003D26CE"/>
    <w:rsid w:val="003D5123"/>
    <w:rsid w:val="003D69A9"/>
    <w:rsid w:val="003E0390"/>
    <w:rsid w:val="003E0736"/>
    <w:rsid w:val="003F777B"/>
    <w:rsid w:val="00410E9B"/>
    <w:rsid w:val="00416318"/>
    <w:rsid w:val="0042730B"/>
    <w:rsid w:val="00427FED"/>
    <w:rsid w:val="004322A1"/>
    <w:rsid w:val="00432837"/>
    <w:rsid w:val="0043401E"/>
    <w:rsid w:val="00435A37"/>
    <w:rsid w:val="00440628"/>
    <w:rsid w:val="00445D74"/>
    <w:rsid w:val="0045400F"/>
    <w:rsid w:val="004553B5"/>
    <w:rsid w:val="00470564"/>
    <w:rsid w:val="00484641"/>
    <w:rsid w:val="0048629E"/>
    <w:rsid w:val="00490D54"/>
    <w:rsid w:val="00491272"/>
    <w:rsid w:val="0049512C"/>
    <w:rsid w:val="0049545E"/>
    <w:rsid w:val="00497489"/>
    <w:rsid w:val="00497739"/>
    <w:rsid w:val="004A1C12"/>
    <w:rsid w:val="004A4B02"/>
    <w:rsid w:val="004A752D"/>
    <w:rsid w:val="004B117B"/>
    <w:rsid w:val="004B127E"/>
    <w:rsid w:val="004B6958"/>
    <w:rsid w:val="004C14B8"/>
    <w:rsid w:val="004C718B"/>
    <w:rsid w:val="004D47CA"/>
    <w:rsid w:val="004E4B32"/>
    <w:rsid w:val="004F285C"/>
    <w:rsid w:val="004F5287"/>
    <w:rsid w:val="00506D3A"/>
    <w:rsid w:val="0051279B"/>
    <w:rsid w:val="00516B3D"/>
    <w:rsid w:val="005247E5"/>
    <w:rsid w:val="00524A11"/>
    <w:rsid w:val="005308F9"/>
    <w:rsid w:val="005462A6"/>
    <w:rsid w:val="005470A1"/>
    <w:rsid w:val="005551C0"/>
    <w:rsid w:val="00555CB6"/>
    <w:rsid w:val="0055686A"/>
    <w:rsid w:val="00556B22"/>
    <w:rsid w:val="00560981"/>
    <w:rsid w:val="00561031"/>
    <w:rsid w:val="00565484"/>
    <w:rsid w:val="005668E5"/>
    <w:rsid w:val="005735F4"/>
    <w:rsid w:val="00575439"/>
    <w:rsid w:val="0057645A"/>
    <w:rsid w:val="00587982"/>
    <w:rsid w:val="00590443"/>
    <w:rsid w:val="005935C8"/>
    <w:rsid w:val="005968D2"/>
    <w:rsid w:val="00596E65"/>
    <w:rsid w:val="005A66CF"/>
    <w:rsid w:val="005B266A"/>
    <w:rsid w:val="005B3E4F"/>
    <w:rsid w:val="005C0D03"/>
    <w:rsid w:val="005C2ACB"/>
    <w:rsid w:val="005C7260"/>
    <w:rsid w:val="005C7FEE"/>
    <w:rsid w:val="005D34C5"/>
    <w:rsid w:val="005E259F"/>
    <w:rsid w:val="005E65C4"/>
    <w:rsid w:val="005F2AFC"/>
    <w:rsid w:val="005F36B2"/>
    <w:rsid w:val="00600FAE"/>
    <w:rsid w:val="00605CBF"/>
    <w:rsid w:val="00610864"/>
    <w:rsid w:val="00620AC5"/>
    <w:rsid w:val="0062354D"/>
    <w:rsid w:val="00624413"/>
    <w:rsid w:val="00633872"/>
    <w:rsid w:val="00635822"/>
    <w:rsid w:val="00641A64"/>
    <w:rsid w:val="00647ED6"/>
    <w:rsid w:val="0065091C"/>
    <w:rsid w:val="00650B1C"/>
    <w:rsid w:val="006701EC"/>
    <w:rsid w:val="00672C6B"/>
    <w:rsid w:val="00675082"/>
    <w:rsid w:val="00677894"/>
    <w:rsid w:val="0068241A"/>
    <w:rsid w:val="0068525B"/>
    <w:rsid w:val="00685D0A"/>
    <w:rsid w:val="00690361"/>
    <w:rsid w:val="00694E1D"/>
    <w:rsid w:val="00695CD9"/>
    <w:rsid w:val="006B6839"/>
    <w:rsid w:val="006C414B"/>
    <w:rsid w:val="006C6907"/>
    <w:rsid w:val="006D138B"/>
    <w:rsid w:val="006D42E0"/>
    <w:rsid w:val="006D4BD5"/>
    <w:rsid w:val="006D74B5"/>
    <w:rsid w:val="006D751F"/>
    <w:rsid w:val="006E6462"/>
    <w:rsid w:val="006F327F"/>
    <w:rsid w:val="0070065E"/>
    <w:rsid w:val="00700F84"/>
    <w:rsid w:val="00700FCB"/>
    <w:rsid w:val="00703806"/>
    <w:rsid w:val="00705CA3"/>
    <w:rsid w:val="00706F85"/>
    <w:rsid w:val="007120EF"/>
    <w:rsid w:val="007125D7"/>
    <w:rsid w:val="00714432"/>
    <w:rsid w:val="0071596E"/>
    <w:rsid w:val="00724685"/>
    <w:rsid w:val="00724E62"/>
    <w:rsid w:val="00725E09"/>
    <w:rsid w:val="00734117"/>
    <w:rsid w:val="00734164"/>
    <w:rsid w:val="007474B6"/>
    <w:rsid w:val="0075615C"/>
    <w:rsid w:val="00756B73"/>
    <w:rsid w:val="007579DE"/>
    <w:rsid w:val="00773039"/>
    <w:rsid w:val="00781316"/>
    <w:rsid w:val="007830FB"/>
    <w:rsid w:val="00783999"/>
    <w:rsid w:val="0079753B"/>
    <w:rsid w:val="007B2047"/>
    <w:rsid w:val="007B5AC2"/>
    <w:rsid w:val="007C21F4"/>
    <w:rsid w:val="007C46F4"/>
    <w:rsid w:val="007C549F"/>
    <w:rsid w:val="007C77FC"/>
    <w:rsid w:val="007D4CD4"/>
    <w:rsid w:val="007D571A"/>
    <w:rsid w:val="007E0F4C"/>
    <w:rsid w:val="007E79D0"/>
    <w:rsid w:val="007F1496"/>
    <w:rsid w:val="007F1787"/>
    <w:rsid w:val="00804A9F"/>
    <w:rsid w:val="0080698F"/>
    <w:rsid w:val="008109AE"/>
    <w:rsid w:val="008114A0"/>
    <w:rsid w:val="0081333E"/>
    <w:rsid w:val="008251BD"/>
    <w:rsid w:val="00830195"/>
    <w:rsid w:val="0085370A"/>
    <w:rsid w:val="00853EFA"/>
    <w:rsid w:val="00854721"/>
    <w:rsid w:val="00855DAF"/>
    <w:rsid w:val="008610A4"/>
    <w:rsid w:val="00864124"/>
    <w:rsid w:val="00866F40"/>
    <w:rsid w:val="00870460"/>
    <w:rsid w:val="00880D8A"/>
    <w:rsid w:val="00884FCC"/>
    <w:rsid w:val="00885868"/>
    <w:rsid w:val="00890FB6"/>
    <w:rsid w:val="00892A55"/>
    <w:rsid w:val="008933BD"/>
    <w:rsid w:val="008A1FF4"/>
    <w:rsid w:val="008A43A5"/>
    <w:rsid w:val="008A6DE3"/>
    <w:rsid w:val="008B48D1"/>
    <w:rsid w:val="008B6831"/>
    <w:rsid w:val="008C1844"/>
    <w:rsid w:val="008C497D"/>
    <w:rsid w:val="008D0639"/>
    <w:rsid w:val="008D11C8"/>
    <w:rsid w:val="008D1FC8"/>
    <w:rsid w:val="008D2018"/>
    <w:rsid w:val="008E2717"/>
    <w:rsid w:val="008F0C1E"/>
    <w:rsid w:val="008F2C18"/>
    <w:rsid w:val="008F2C6E"/>
    <w:rsid w:val="008F4A60"/>
    <w:rsid w:val="008F6F24"/>
    <w:rsid w:val="00900848"/>
    <w:rsid w:val="00905BBC"/>
    <w:rsid w:val="0090625A"/>
    <w:rsid w:val="00906370"/>
    <w:rsid w:val="00910175"/>
    <w:rsid w:val="00911D7C"/>
    <w:rsid w:val="0091731B"/>
    <w:rsid w:val="00921D36"/>
    <w:rsid w:val="00922587"/>
    <w:rsid w:val="009327AE"/>
    <w:rsid w:val="00936BB1"/>
    <w:rsid w:val="009401BC"/>
    <w:rsid w:val="00942E57"/>
    <w:rsid w:val="00946556"/>
    <w:rsid w:val="00947893"/>
    <w:rsid w:val="009609AF"/>
    <w:rsid w:val="009629C8"/>
    <w:rsid w:val="00962DB5"/>
    <w:rsid w:val="00963366"/>
    <w:rsid w:val="00966FAA"/>
    <w:rsid w:val="00967A8A"/>
    <w:rsid w:val="00975589"/>
    <w:rsid w:val="00985D78"/>
    <w:rsid w:val="00991C2B"/>
    <w:rsid w:val="0099292D"/>
    <w:rsid w:val="009A09A7"/>
    <w:rsid w:val="009A2489"/>
    <w:rsid w:val="009A3B12"/>
    <w:rsid w:val="009A7218"/>
    <w:rsid w:val="009A7E31"/>
    <w:rsid w:val="009B1A1D"/>
    <w:rsid w:val="009C1B30"/>
    <w:rsid w:val="009C20E4"/>
    <w:rsid w:val="009D0143"/>
    <w:rsid w:val="009D0AA2"/>
    <w:rsid w:val="009D2EC1"/>
    <w:rsid w:val="009D484C"/>
    <w:rsid w:val="009D525C"/>
    <w:rsid w:val="009E027C"/>
    <w:rsid w:val="009F08F0"/>
    <w:rsid w:val="00A01B4D"/>
    <w:rsid w:val="00A1022F"/>
    <w:rsid w:val="00A1623E"/>
    <w:rsid w:val="00A2326E"/>
    <w:rsid w:val="00A428E0"/>
    <w:rsid w:val="00A4470C"/>
    <w:rsid w:val="00A55653"/>
    <w:rsid w:val="00A624E5"/>
    <w:rsid w:val="00A669AF"/>
    <w:rsid w:val="00A73BD2"/>
    <w:rsid w:val="00A741A1"/>
    <w:rsid w:val="00A80CF9"/>
    <w:rsid w:val="00A81525"/>
    <w:rsid w:val="00A864A5"/>
    <w:rsid w:val="00A90660"/>
    <w:rsid w:val="00A94FE8"/>
    <w:rsid w:val="00A951F1"/>
    <w:rsid w:val="00AA1DC6"/>
    <w:rsid w:val="00AA4ABE"/>
    <w:rsid w:val="00AA58F7"/>
    <w:rsid w:val="00AA6011"/>
    <w:rsid w:val="00AB2A79"/>
    <w:rsid w:val="00AB5F73"/>
    <w:rsid w:val="00AD0E2E"/>
    <w:rsid w:val="00AD2213"/>
    <w:rsid w:val="00AD5D36"/>
    <w:rsid w:val="00AD7168"/>
    <w:rsid w:val="00AE00C9"/>
    <w:rsid w:val="00AE1E1A"/>
    <w:rsid w:val="00AE4227"/>
    <w:rsid w:val="00AE5E1E"/>
    <w:rsid w:val="00AF0A1F"/>
    <w:rsid w:val="00AF5845"/>
    <w:rsid w:val="00AF7849"/>
    <w:rsid w:val="00B00343"/>
    <w:rsid w:val="00B012D3"/>
    <w:rsid w:val="00B15CFA"/>
    <w:rsid w:val="00B33FD8"/>
    <w:rsid w:val="00B55D63"/>
    <w:rsid w:val="00B61F57"/>
    <w:rsid w:val="00B6687F"/>
    <w:rsid w:val="00B71ED6"/>
    <w:rsid w:val="00B7226B"/>
    <w:rsid w:val="00B73172"/>
    <w:rsid w:val="00B82F87"/>
    <w:rsid w:val="00B936B5"/>
    <w:rsid w:val="00B96266"/>
    <w:rsid w:val="00B976BC"/>
    <w:rsid w:val="00BA0A88"/>
    <w:rsid w:val="00BA3043"/>
    <w:rsid w:val="00BA30B9"/>
    <w:rsid w:val="00BB0CB7"/>
    <w:rsid w:val="00BB1B30"/>
    <w:rsid w:val="00BB77E6"/>
    <w:rsid w:val="00BC642C"/>
    <w:rsid w:val="00BD1EC6"/>
    <w:rsid w:val="00BD3754"/>
    <w:rsid w:val="00BD6319"/>
    <w:rsid w:val="00BE0CA1"/>
    <w:rsid w:val="00BE265D"/>
    <w:rsid w:val="00BE2A09"/>
    <w:rsid w:val="00BE3FBE"/>
    <w:rsid w:val="00BE6680"/>
    <w:rsid w:val="00BF6845"/>
    <w:rsid w:val="00BF728F"/>
    <w:rsid w:val="00C00BCC"/>
    <w:rsid w:val="00C01190"/>
    <w:rsid w:val="00C02F69"/>
    <w:rsid w:val="00C042FE"/>
    <w:rsid w:val="00C11239"/>
    <w:rsid w:val="00C12ED7"/>
    <w:rsid w:val="00C1490E"/>
    <w:rsid w:val="00C21CFA"/>
    <w:rsid w:val="00C2682A"/>
    <w:rsid w:val="00C36DA8"/>
    <w:rsid w:val="00C41D43"/>
    <w:rsid w:val="00C447E6"/>
    <w:rsid w:val="00C53A16"/>
    <w:rsid w:val="00C55691"/>
    <w:rsid w:val="00C57D96"/>
    <w:rsid w:val="00C72B4D"/>
    <w:rsid w:val="00C81818"/>
    <w:rsid w:val="00C8565A"/>
    <w:rsid w:val="00C92236"/>
    <w:rsid w:val="00C9375A"/>
    <w:rsid w:val="00CB230A"/>
    <w:rsid w:val="00CB40A4"/>
    <w:rsid w:val="00CB47F4"/>
    <w:rsid w:val="00CB665C"/>
    <w:rsid w:val="00CC210E"/>
    <w:rsid w:val="00CC494F"/>
    <w:rsid w:val="00CD695B"/>
    <w:rsid w:val="00CE4245"/>
    <w:rsid w:val="00CF3132"/>
    <w:rsid w:val="00CF3B5F"/>
    <w:rsid w:val="00D004F9"/>
    <w:rsid w:val="00D06702"/>
    <w:rsid w:val="00D16277"/>
    <w:rsid w:val="00D16F2B"/>
    <w:rsid w:val="00D17379"/>
    <w:rsid w:val="00D17B07"/>
    <w:rsid w:val="00D256C9"/>
    <w:rsid w:val="00D26C4B"/>
    <w:rsid w:val="00D279F4"/>
    <w:rsid w:val="00D27DED"/>
    <w:rsid w:val="00D404C8"/>
    <w:rsid w:val="00D4418B"/>
    <w:rsid w:val="00D4442B"/>
    <w:rsid w:val="00D44976"/>
    <w:rsid w:val="00D4746C"/>
    <w:rsid w:val="00D477DB"/>
    <w:rsid w:val="00D47A46"/>
    <w:rsid w:val="00D5355C"/>
    <w:rsid w:val="00D5449E"/>
    <w:rsid w:val="00D54AE3"/>
    <w:rsid w:val="00D55226"/>
    <w:rsid w:val="00D56CFF"/>
    <w:rsid w:val="00D61B89"/>
    <w:rsid w:val="00D67FF8"/>
    <w:rsid w:val="00D71E8E"/>
    <w:rsid w:val="00D74997"/>
    <w:rsid w:val="00D75750"/>
    <w:rsid w:val="00D91FA5"/>
    <w:rsid w:val="00DA5C42"/>
    <w:rsid w:val="00DB553A"/>
    <w:rsid w:val="00DB7A9A"/>
    <w:rsid w:val="00DC409A"/>
    <w:rsid w:val="00DC7945"/>
    <w:rsid w:val="00DD02D5"/>
    <w:rsid w:val="00DD2E58"/>
    <w:rsid w:val="00DD518D"/>
    <w:rsid w:val="00DD6EBD"/>
    <w:rsid w:val="00DD7BA9"/>
    <w:rsid w:val="00DF0BE3"/>
    <w:rsid w:val="00DF6E5C"/>
    <w:rsid w:val="00DF7154"/>
    <w:rsid w:val="00DF793B"/>
    <w:rsid w:val="00E02A4A"/>
    <w:rsid w:val="00E04287"/>
    <w:rsid w:val="00E13AAE"/>
    <w:rsid w:val="00E14005"/>
    <w:rsid w:val="00E143D4"/>
    <w:rsid w:val="00E317E9"/>
    <w:rsid w:val="00E43AFC"/>
    <w:rsid w:val="00E50C13"/>
    <w:rsid w:val="00E56229"/>
    <w:rsid w:val="00E6015F"/>
    <w:rsid w:val="00E75F9B"/>
    <w:rsid w:val="00E77C44"/>
    <w:rsid w:val="00E81F14"/>
    <w:rsid w:val="00E8211F"/>
    <w:rsid w:val="00E824D3"/>
    <w:rsid w:val="00E832E2"/>
    <w:rsid w:val="00E9001E"/>
    <w:rsid w:val="00E92B8E"/>
    <w:rsid w:val="00EA05CE"/>
    <w:rsid w:val="00EA1525"/>
    <w:rsid w:val="00EA4C4C"/>
    <w:rsid w:val="00EB1655"/>
    <w:rsid w:val="00EB1EAB"/>
    <w:rsid w:val="00EB7BD4"/>
    <w:rsid w:val="00EC2C9A"/>
    <w:rsid w:val="00EC352D"/>
    <w:rsid w:val="00EC3BD7"/>
    <w:rsid w:val="00EC68C3"/>
    <w:rsid w:val="00EC7A58"/>
    <w:rsid w:val="00EE1217"/>
    <w:rsid w:val="00EF38FF"/>
    <w:rsid w:val="00EF7339"/>
    <w:rsid w:val="00F003B2"/>
    <w:rsid w:val="00F07E8E"/>
    <w:rsid w:val="00F12E2D"/>
    <w:rsid w:val="00F16021"/>
    <w:rsid w:val="00F2286E"/>
    <w:rsid w:val="00F4015C"/>
    <w:rsid w:val="00F44329"/>
    <w:rsid w:val="00F46AAC"/>
    <w:rsid w:val="00F560FD"/>
    <w:rsid w:val="00F56D36"/>
    <w:rsid w:val="00F57D5B"/>
    <w:rsid w:val="00F57DB7"/>
    <w:rsid w:val="00F61444"/>
    <w:rsid w:val="00F83C9C"/>
    <w:rsid w:val="00F87FE7"/>
    <w:rsid w:val="00F9507D"/>
    <w:rsid w:val="00FA56C0"/>
    <w:rsid w:val="00FA6403"/>
    <w:rsid w:val="00FA791E"/>
    <w:rsid w:val="00FC6043"/>
    <w:rsid w:val="00FC6301"/>
    <w:rsid w:val="00FD376F"/>
    <w:rsid w:val="00FD6C40"/>
    <w:rsid w:val="00FD7271"/>
    <w:rsid w:val="00FE2D31"/>
    <w:rsid w:val="00FE578B"/>
    <w:rsid w:val="00FE747D"/>
    <w:rsid w:val="00FF284B"/>
    <w:rsid w:val="00FF3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A5C42"/>
    <w:pPr>
      <w:spacing w:after="0" w:line="240" w:lineRule="auto"/>
    </w:pPr>
    <w:rPr>
      <w:sz w:val="20"/>
      <w:szCs w:val="20"/>
    </w:rPr>
  </w:style>
  <w:style w:type="character" w:customStyle="1" w:styleId="FootnoteTextChar">
    <w:name w:val="Footnote Text Char"/>
    <w:basedOn w:val="DefaultParagraphFont"/>
    <w:link w:val="FootnoteText"/>
    <w:uiPriority w:val="99"/>
    <w:rsid w:val="00DA5C42"/>
    <w:rPr>
      <w:sz w:val="20"/>
      <w:szCs w:val="20"/>
    </w:rPr>
  </w:style>
  <w:style w:type="character" w:styleId="FootnoteReference">
    <w:name w:val="footnote reference"/>
    <w:basedOn w:val="DefaultParagraphFont"/>
    <w:uiPriority w:val="99"/>
    <w:semiHidden/>
    <w:unhideWhenUsed/>
    <w:rsid w:val="00DA5C42"/>
    <w:rPr>
      <w:vertAlign w:val="superscript"/>
    </w:rPr>
  </w:style>
  <w:style w:type="paragraph" w:styleId="Revision">
    <w:name w:val="Revision"/>
    <w:hidden/>
    <w:uiPriority w:val="99"/>
    <w:semiHidden/>
    <w:rsid w:val="00783999"/>
    <w:pPr>
      <w:spacing w:after="0" w:line="240" w:lineRule="auto"/>
    </w:pPr>
  </w:style>
  <w:style w:type="paragraph" w:styleId="Header">
    <w:name w:val="header"/>
    <w:basedOn w:val="Normal"/>
    <w:link w:val="HeaderChar"/>
    <w:uiPriority w:val="99"/>
    <w:unhideWhenUsed/>
    <w:rsid w:val="001F0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B32"/>
  </w:style>
  <w:style w:type="paragraph" w:styleId="Footer">
    <w:name w:val="footer"/>
    <w:basedOn w:val="Normal"/>
    <w:link w:val="FooterChar"/>
    <w:uiPriority w:val="99"/>
    <w:unhideWhenUsed/>
    <w:rsid w:val="001F0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B32"/>
  </w:style>
  <w:style w:type="character" w:styleId="CommentReference">
    <w:name w:val="annotation reference"/>
    <w:basedOn w:val="DefaultParagraphFont"/>
    <w:uiPriority w:val="99"/>
    <w:semiHidden/>
    <w:unhideWhenUsed/>
    <w:rsid w:val="009D484C"/>
    <w:rPr>
      <w:sz w:val="16"/>
      <w:szCs w:val="16"/>
    </w:rPr>
  </w:style>
  <w:style w:type="paragraph" w:styleId="CommentText">
    <w:name w:val="annotation text"/>
    <w:basedOn w:val="Normal"/>
    <w:link w:val="CommentTextChar"/>
    <w:uiPriority w:val="99"/>
    <w:unhideWhenUsed/>
    <w:rsid w:val="009D484C"/>
    <w:pPr>
      <w:spacing w:line="240" w:lineRule="auto"/>
    </w:pPr>
    <w:rPr>
      <w:sz w:val="20"/>
      <w:szCs w:val="20"/>
    </w:rPr>
  </w:style>
  <w:style w:type="character" w:customStyle="1" w:styleId="CommentTextChar">
    <w:name w:val="Comment Text Char"/>
    <w:basedOn w:val="DefaultParagraphFont"/>
    <w:link w:val="CommentText"/>
    <w:uiPriority w:val="99"/>
    <w:rsid w:val="009D484C"/>
    <w:rPr>
      <w:sz w:val="20"/>
      <w:szCs w:val="20"/>
    </w:rPr>
  </w:style>
  <w:style w:type="paragraph" w:styleId="CommentSubject">
    <w:name w:val="annotation subject"/>
    <w:basedOn w:val="CommentText"/>
    <w:next w:val="CommentText"/>
    <w:link w:val="CommentSubjectChar"/>
    <w:uiPriority w:val="99"/>
    <w:semiHidden/>
    <w:unhideWhenUsed/>
    <w:rsid w:val="009D484C"/>
    <w:rPr>
      <w:b/>
      <w:bCs/>
    </w:rPr>
  </w:style>
  <w:style w:type="character" w:customStyle="1" w:styleId="CommentSubjectChar">
    <w:name w:val="Comment Subject Char"/>
    <w:basedOn w:val="CommentTextChar"/>
    <w:link w:val="CommentSubject"/>
    <w:uiPriority w:val="99"/>
    <w:semiHidden/>
    <w:rsid w:val="009D484C"/>
    <w:rPr>
      <w:b/>
      <w:bCs/>
      <w:sz w:val="20"/>
      <w:szCs w:val="20"/>
    </w:rPr>
  </w:style>
  <w:style w:type="character" w:styleId="PlaceholderText">
    <w:name w:val="Placeholder Text"/>
    <w:basedOn w:val="DefaultParagraphFont"/>
    <w:uiPriority w:val="99"/>
    <w:semiHidden/>
    <w:rsid w:val="00427FED"/>
    <w:rPr>
      <w:color w:val="808080"/>
    </w:rPr>
  </w:style>
  <w:style w:type="character" w:styleId="Hyperlink">
    <w:name w:val="Hyperlink"/>
    <w:basedOn w:val="DefaultParagraphFont"/>
    <w:uiPriority w:val="99"/>
    <w:unhideWhenUsed/>
    <w:rsid w:val="00884FCC"/>
    <w:rPr>
      <w:color w:val="0563C1" w:themeColor="hyperlink"/>
      <w:u w:val="single"/>
    </w:rPr>
  </w:style>
  <w:style w:type="character" w:customStyle="1" w:styleId="UnresolvedMention1">
    <w:name w:val="Unresolved Mention1"/>
    <w:basedOn w:val="DefaultParagraphFont"/>
    <w:uiPriority w:val="99"/>
    <w:semiHidden/>
    <w:unhideWhenUsed/>
    <w:rsid w:val="00884FCC"/>
    <w:rPr>
      <w:color w:val="605E5C"/>
      <w:shd w:val="clear" w:color="auto" w:fill="E1DFDD"/>
    </w:rPr>
  </w:style>
  <w:style w:type="paragraph" w:styleId="ListParagraph">
    <w:name w:val="List Paragraph"/>
    <w:basedOn w:val="Normal"/>
    <w:uiPriority w:val="34"/>
    <w:qFormat/>
    <w:rsid w:val="00EA4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A1760-C70F-4B04-8C3B-65062BD41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4840</Words>
  <Characters>25453</Characters>
  <Application>Microsoft Office Word</Application>
  <DocSecurity>0</DocSecurity>
  <Lines>561</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30379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2024-01-25T19:33:00Z</dcterms:created>
  <dcterms:modified xsi:type="dcterms:W3CDTF">2024-01-25T19:33:00Z</dcterms:modified>
  <cp:category/>
</cp:coreProperties>
</file>