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B14548" w:rsidRPr="005E6839" w:rsidP="005E6839" w14:paraId="5C647AD6" w14:textId="79EAA4B4">
      <w:pPr>
        <w:spacing w:line="240" w:lineRule="atLeast"/>
        <w:rPr>
          <w:sz w:val="20"/>
          <w:szCs w:val="20"/>
        </w:rPr>
      </w:pPr>
      <w:r w:rsidRPr="005E6839">
        <w:rPr>
          <w:sz w:val="20"/>
          <w:szCs w:val="20"/>
        </w:rPr>
        <w:t>Filed 1/25/24</w:t>
      </w:r>
    </w:p>
    <w:p w:rsidR="00B12B6D" w:rsidRPr="000B521C" w:rsidP="00B12B6D" w14:paraId="7363EC19" w14:textId="20666C85">
      <w:pPr>
        <w:spacing w:line="240" w:lineRule="atLeast"/>
        <w:jc w:val="center"/>
      </w:pPr>
      <w:r w:rsidRPr="000B521C">
        <w:rPr>
          <w:u w:val="words"/>
        </w:rPr>
        <w:t>CERTIFIED FOR PARTIAL PUBLICATION</w:t>
      </w:r>
      <w:r>
        <w:rPr>
          <w:rStyle w:val="FootnoteReference"/>
        </w:rPr>
        <w:footnoteReference w:customMarkFollows="1" w:id="3"/>
        <w:t xml:space="preserve">*</w:t>
      </w:r>
    </w:p>
    <w:p w:rsidR="00B12B6D" w:rsidRPr="000B521C" w:rsidP="00B12B6D" w14:paraId="145DDDB8" w14:textId="700FA68B">
      <w:pPr>
        <w:spacing w:line="240" w:lineRule="atLeast"/>
        <w:jc w:val="center"/>
      </w:pPr>
    </w:p>
    <w:p w:rsidR="00B12B6D" w:rsidRPr="000B521C" w:rsidP="00B12B6D" w14:paraId="2375265F" w14:textId="604DD85C">
      <w:pPr>
        <w:spacing w:line="240" w:lineRule="atLeast"/>
        <w:jc w:val="center"/>
      </w:pPr>
    </w:p>
    <w:p w:rsidR="00B12B6D" w:rsidRPr="000B521C" w:rsidP="00B12B6D" w14:paraId="25723710" w14:textId="29B71B09">
      <w:pPr>
        <w:spacing w:line="240" w:lineRule="atLeast"/>
        <w:jc w:val="center"/>
      </w:pPr>
    </w:p>
    <w:p w:rsidR="00B12B6D" w:rsidRPr="000B521C" w:rsidP="00B12B6D" w14:paraId="7094E0EA" w14:textId="1A855723">
      <w:pPr>
        <w:spacing w:line="240" w:lineRule="atLeast"/>
        <w:jc w:val="center"/>
      </w:pPr>
    </w:p>
    <w:p w:rsidR="00B12B6D" w:rsidRPr="000B521C" w:rsidP="00B12B6D" w14:paraId="086CA360" w14:textId="4AC43C31">
      <w:pPr>
        <w:spacing w:line="240" w:lineRule="atLeast"/>
        <w:jc w:val="center"/>
      </w:pPr>
    </w:p>
    <w:p w:rsidR="00B12B6D" w:rsidRPr="000B521C" w:rsidP="00B12B6D" w14:paraId="654604FB" w14:textId="2E5B4FED">
      <w:pPr>
        <w:jc w:val="center"/>
      </w:pPr>
      <w:r w:rsidRPr="000B521C">
        <w:t>IN THE COURT OF APPEAL OF THE STATE OF CALIFORNIA</w:t>
      </w:r>
    </w:p>
    <w:p w:rsidR="00B12B6D" w:rsidRPr="000B521C" w:rsidP="00B12B6D" w14:paraId="001603AE" w14:textId="4609D2AA">
      <w:pPr>
        <w:jc w:val="center"/>
      </w:pPr>
      <w:r w:rsidRPr="000B521C">
        <w:t>THIRD APPELLATE DISTRICT</w:t>
      </w:r>
    </w:p>
    <w:p w:rsidR="00B12B6D" w:rsidRPr="000B521C" w:rsidP="00B12B6D" w14:paraId="01E3AA0A" w14:textId="70B4E8DA">
      <w:pPr>
        <w:jc w:val="center"/>
      </w:pPr>
      <w:r w:rsidRPr="000B521C">
        <w:t>(El Dorado)</w:t>
      </w:r>
    </w:p>
    <w:p w:rsidR="00B12B6D" w:rsidRPr="000B521C" w:rsidP="00B12B6D" w14:paraId="6755F040" w14:textId="6C92766C">
      <w:pPr>
        <w:jc w:val="center"/>
      </w:pPr>
      <w:r w:rsidRPr="000B521C">
        <w:t>----</w:t>
      </w:r>
    </w:p>
    <w:p w:rsidR="00B12B6D" w:rsidRPr="000B521C" w:rsidP="00B12B6D" w14:paraId="49D5EDF7" w14:textId="2F1709C1">
      <w:pPr>
        <w:jc w:val="center"/>
      </w:pPr>
    </w:p>
    <w:p w:rsidR="00B12B6D" w:rsidRPr="000B521C" w:rsidP="00B12B6D" w14:paraId="21DDEF9B" w14:textId="5A3DD384">
      <w:pPr>
        <w:spacing w:line="240" w:lineRule="atLeast"/>
      </w:pPr>
    </w:p>
    <w:p w:rsidR="00B12B6D" w:rsidRPr="000B521C" w:rsidP="00B12B6D" w14:paraId="10E8505D" w14:textId="3B5FB85B">
      <w:pPr>
        <w:spacing w:line="240" w:lineRule="atLeast"/>
      </w:pPr>
    </w:p>
    <w:p w:rsidR="00B12B6D" w:rsidRPr="000B521C" w:rsidP="00B12B6D" w14:paraId="62305A37" w14:textId="7401E40B">
      <w:pPr>
        <w:spacing w:line="240" w:lineRule="atLeast"/>
      </w:pPr>
    </w:p>
    <w:tbl>
      <w:tblPr>
        <w:tblW w:w="0" w:type="auto"/>
        <w:tblBorders>
          <w:insideH w:val="single" w:sz="4" w:space="0" w:color="auto"/>
          <w:insideV w:val="single" w:sz="4" w:space="0" w:color="auto"/>
        </w:tblBorders>
        <w:tblLayout w:type="fixed"/>
        <w:tblLook w:val="0000"/>
      </w:tblPr>
      <w:tblGrid>
        <w:gridCol w:w="5904"/>
        <w:gridCol w:w="3456"/>
      </w:tblGrid>
      <w:tr w14:paraId="6C7313D0" w14:textId="77777777" w:rsidTr="00B12B6D">
        <w:tblPrEx>
          <w:tblW w:w="0" w:type="auto"/>
          <w:tblBorders>
            <w:insideH w:val="single" w:sz="4" w:space="0" w:color="auto"/>
            <w:insideV w:val="single" w:sz="4" w:space="0" w:color="auto"/>
          </w:tblBorders>
          <w:tblLayout w:type="fixed"/>
          <w:tblLook w:val="0000"/>
        </w:tblPrEx>
        <w:tc>
          <w:tcPr>
            <w:tcW w:w="5904" w:type="dxa"/>
            <w:shd w:val="clear" w:color="auto" w:fill="auto"/>
          </w:tcPr>
          <w:p w:rsidR="00B12B6D" w:rsidRPr="000B521C" w:rsidP="00B12B6D" w14:paraId="34DFDE5A" w14:textId="77777777">
            <w:pPr>
              <w:spacing w:line="240" w:lineRule="atLeast"/>
            </w:pPr>
            <w:r w:rsidRPr="000B521C">
              <w:t>JENNIFER MISZKEWYCZ,</w:t>
            </w:r>
          </w:p>
          <w:p w:rsidR="00B12B6D" w:rsidRPr="000B521C" w:rsidP="00B12B6D" w14:paraId="46A3C227" w14:textId="77777777">
            <w:pPr>
              <w:spacing w:line="240" w:lineRule="atLeast"/>
            </w:pPr>
          </w:p>
          <w:p w:rsidR="00B12B6D" w:rsidRPr="000B521C" w:rsidP="00B12B6D" w14:paraId="01F7569C" w14:textId="77777777">
            <w:pPr>
              <w:spacing w:line="240" w:lineRule="atLeast"/>
            </w:pPr>
            <w:r w:rsidRPr="000B521C">
              <w:tab/>
            </w:r>
            <w:r w:rsidRPr="000B521C">
              <w:tab/>
              <w:t>Plaintiff and Respondent,</w:t>
            </w:r>
          </w:p>
          <w:p w:rsidR="00B12B6D" w:rsidRPr="000B521C" w:rsidP="00B12B6D" w14:paraId="23D036B8" w14:textId="77777777">
            <w:pPr>
              <w:spacing w:line="240" w:lineRule="atLeast"/>
            </w:pPr>
          </w:p>
          <w:p w:rsidR="00B12B6D" w:rsidRPr="000B521C" w:rsidP="00B12B6D" w14:paraId="1D0345D9" w14:textId="77777777">
            <w:pPr>
              <w:spacing w:line="240" w:lineRule="atLeast"/>
            </w:pPr>
            <w:r w:rsidRPr="000B521C">
              <w:tab/>
              <w:t>v.</w:t>
            </w:r>
          </w:p>
          <w:p w:rsidR="00B12B6D" w:rsidRPr="000B521C" w:rsidP="00B12B6D" w14:paraId="6005BE86" w14:textId="77777777">
            <w:pPr>
              <w:spacing w:line="240" w:lineRule="atLeast"/>
            </w:pPr>
          </w:p>
          <w:p w:rsidR="00B12B6D" w:rsidRPr="000B521C" w:rsidP="00B12B6D" w14:paraId="70D126C3" w14:textId="77777777">
            <w:pPr>
              <w:spacing w:line="240" w:lineRule="atLeast"/>
            </w:pPr>
            <w:r w:rsidRPr="000B521C">
              <w:t>COUNTY OF PLACER,</w:t>
            </w:r>
          </w:p>
          <w:p w:rsidR="00B12B6D" w:rsidRPr="000B521C" w:rsidP="00B12B6D" w14:paraId="12C73DDA" w14:textId="77777777">
            <w:pPr>
              <w:spacing w:line="240" w:lineRule="atLeast"/>
            </w:pPr>
          </w:p>
          <w:p w:rsidR="00B12B6D" w:rsidRPr="000B521C" w:rsidP="00B12B6D" w14:paraId="38E2A8FB" w14:textId="77777777">
            <w:pPr>
              <w:spacing w:line="240" w:lineRule="atLeast"/>
            </w:pPr>
            <w:r w:rsidRPr="000B521C">
              <w:tab/>
            </w:r>
            <w:r w:rsidRPr="000B521C">
              <w:tab/>
              <w:t>Defendant and Appellant.</w:t>
            </w:r>
          </w:p>
          <w:p w:rsidR="00B12B6D" w:rsidRPr="000B521C" w:rsidP="00B12B6D" w14:paraId="7124044A" w14:textId="747147F6">
            <w:pPr>
              <w:spacing w:line="240" w:lineRule="atLeast"/>
            </w:pPr>
          </w:p>
        </w:tc>
        <w:tc>
          <w:tcPr>
            <w:tcW w:w="3456" w:type="dxa"/>
            <w:shd w:val="clear" w:color="auto" w:fill="auto"/>
          </w:tcPr>
          <w:p w:rsidR="00B12B6D" w:rsidRPr="000B521C" w:rsidP="00B12B6D" w14:paraId="462FEE67" w14:textId="77777777">
            <w:pPr>
              <w:spacing w:line="240" w:lineRule="atLeast"/>
              <w:jc w:val="center"/>
            </w:pPr>
            <w:r w:rsidRPr="000B521C">
              <w:t>C095426</w:t>
            </w:r>
          </w:p>
          <w:p w:rsidR="00B12B6D" w:rsidRPr="000B521C" w:rsidP="00B12B6D" w14:paraId="385CEF35" w14:textId="77777777">
            <w:pPr>
              <w:spacing w:line="240" w:lineRule="atLeast"/>
              <w:jc w:val="center"/>
            </w:pPr>
          </w:p>
          <w:p w:rsidR="00B12B6D" w:rsidRPr="000B521C" w:rsidP="00B12B6D" w14:paraId="722A6B84" w14:textId="77777777">
            <w:pPr>
              <w:spacing w:line="240" w:lineRule="atLeast"/>
              <w:jc w:val="center"/>
            </w:pPr>
            <w:r w:rsidRPr="000B521C">
              <w:t>(Super. Ct. No. PC20210419)</w:t>
            </w:r>
          </w:p>
          <w:p w:rsidR="00B12B6D" w:rsidRPr="000B521C" w:rsidP="00B12B6D" w14:paraId="19B1210B" w14:textId="77777777">
            <w:pPr>
              <w:spacing w:line="240" w:lineRule="atLeast"/>
              <w:jc w:val="center"/>
            </w:pPr>
          </w:p>
          <w:p w:rsidR="00B12B6D" w:rsidRPr="000B521C" w:rsidP="00B12B6D" w14:paraId="0DC57DAD" w14:textId="606B9146">
            <w:pPr>
              <w:spacing w:line="240" w:lineRule="atLeast"/>
              <w:jc w:val="center"/>
            </w:pPr>
          </w:p>
        </w:tc>
      </w:tr>
    </w:tbl>
    <w:p w:rsidR="00B12B6D" w:rsidRPr="000B521C" w:rsidP="00B12B6D" w14:paraId="079661B3" w14:textId="3B4D6B14">
      <w:pPr>
        <w:spacing w:line="240" w:lineRule="atLeast"/>
      </w:pPr>
    </w:p>
    <w:p w:rsidR="00B12B6D" w:rsidRPr="000B521C" w:rsidP="00B12B6D" w14:paraId="2411AE11" w14:textId="66F39BB9">
      <w:pPr>
        <w:spacing w:line="240" w:lineRule="atLeast"/>
      </w:pPr>
      <w:r w:rsidRPr="000B521C">
        <w:tab/>
        <w:t>APPEAL from a judgment of the Superior Court of El Dorado County, Dylan Sullivan, Judge.  Affirmed.</w:t>
      </w:r>
    </w:p>
    <w:p w:rsidR="00B12B6D" w:rsidRPr="000B521C" w:rsidP="00B12B6D" w14:paraId="2AA9F0F5" w14:textId="548DBE4B">
      <w:pPr>
        <w:spacing w:line="240" w:lineRule="atLeast"/>
      </w:pPr>
    </w:p>
    <w:p w:rsidR="00B12B6D" w:rsidRPr="000B521C" w:rsidP="00032D67" w14:paraId="5CCA3489" w14:textId="715825BD">
      <w:pPr>
        <w:spacing w:line="240" w:lineRule="atLeast"/>
        <w:ind w:firstLine="720"/>
      </w:pPr>
      <w:r w:rsidRPr="000B521C">
        <w:t>Liebert Cassidy Whitmore</w:t>
      </w:r>
      <w:r>
        <w:t>, Jesse J</w:t>
      </w:r>
      <w:r w:rsidR="002515D9">
        <w:t>eremy</w:t>
      </w:r>
      <w:r>
        <w:t xml:space="preserve"> Maddox and Monica M. Espejo</w:t>
      </w:r>
      <w:r w:rsidRPr="000B521C">
        <w:t xml:space="preserve"> for Defendant and Appellant.</w:t>
      </w:r>
    </w:p>
    <w:p w:rsidR="00B12B6D" w:rsidRPr="000B521C" w:rsidP="00B12B6D" w14:paraId="16490C80" w14:textId="0B713A28">
      <w:pPr>
        <w:spacing w:line="240" w:lineRule="atLeast"/>
      </w:pPr>
    </w:p>
    <w:p w:rsidR="00B12B6D" w:rsidRPr="000B521C" w:rsidP="00B12B6D" w14:paraId="11D0D817" w14:textId="551A57D5">
      <w:pPr>
        <w:spacing w:line="240" w:lineRule="atLeast"/>
      </w:pPr>
      <w:r w:rsidRPr="000B521C">
        <w:tab/>
      </w:r>
      <w:r w:rsidRPr="000B521C" w:rsidR="00032D67">
        <w:t>Bohm Law Group</w:t>
      </w:r>
      <w:r w:rsidR="00032D67">
        <w:t>, Lawrance A. Bohm and Zane E. Hilton</w:t>
      </w:r>
      <w:r w:rsidRPr="000B521C" w:rsidR="00032D67">
        <w:t xml:space="preserve"> for Plaintiff and Respondent.</w:t>
      </w:r>
    </w:p>
    <w:p w:rsidR="00B12B6D" w:rsidRPr="000B521C" w:rsidP="00B14548" w14:paraId="56225385" w14:textId="77777777">
      <w:pPr>
        <w:spacing w:line="240" w:lineRule="auto"/>
      </w:pPr>
    </w:p>
    <w:p w:rsidR="00567735" w:rsidRPr="00187DE9" w:rsidP="00307F10" w14:paraId="226C574F" w14:textId="51ECCA14">
      <w:pPr>
        <w:rPr>
          <w:highlight w:val="cyan"/>
        </w:rPr>
      </w:pPr>
      <w:r w:rsidRPr="00187DE9">
        <w:tab/>
      </w:r>
      <w:r w:rsidRPr="00187DE9" w:rsidR="00136B68">
        <w:t xml:space="preserve">Plaintiff </w:t>
      </w:r>
      <w:r w:rsidRPr="00187DE9">
        <w:t xml:space="preserve">Jennifer Miszkewycz </w:t>
      </w:r>
      <w:r w:rsidRPr="004647DF">
        <w:t>sued</w:t>
      </w:r>
      <w:r w:rsidRPr="004647DF" w:rsidR="00877AB4">
        <w:t xml:space="preserve"> her employer,</w:t>
      </w:r>
      <w:r w:rsidRPr="004647DF">
        <w:t xml:space="preserve"> </w:t>
      </w:r>
      <w:r w:rsidRPr="00187DE9" w:rsidR="00A96524">
        <w:t>the County of Placer</w:t>
      </w:r>
      <w:r w:rsidRPr="00187DE9">
        <w:t xml:space="preserve"> (County)</w:t>
      </w:r>
      <w:r w:rsidRPr="00187DE9" w:rsidR="00877AB4">
        <w:t>,</w:t>
      </w:r>
      <w:r w:rsidRPr="00187DE9">
        <w:t xml:space="preserve"> </w:t>
      </w:r>
      <w:r w:rsidRPr="004647DF" w:rsidR="004C6F74">
        <w:t xml:space="preserve">alleging </w:t>
      </w:r>
      <w:r w:rsidRPr="004647DF" w:rsidR="002636B1">
        <w:t xml:space="preserve">a single cause of action </w:t>
      </w:r>
      <w:r w:rsidRPr="004647DF">
        <w:t xml:space="preserve">for </w:t>
      </w:r>
      <w:r w:rsidRPr="004647DF" w:rsidR="00877AB4">
        <w:t>whistleblower</w:t>
      </w:r>
      <w:r w:rsidRPr="004647DF">
        <w:t xml:space="preserve"> retaliation.  The County filed a special motion to strike the complaint </w:t>
      </w:r>
      <w:r w:rsidRPr="004647DF" w:rsidR="00307F10">
        <w:t xml:space="preserve">as a strategic lawsuit against public participation </w:t>
      </w:r>
      <w:r w:rsidRPr="004647DF">
        <w:t>under Code of Civil Procedure</w:t>
      </w:r>
      <w:r>
        <w:rPr>
          <w:rStyle w:val="FootnoteReference"/>
        </w:rPr>
        <w:footnoteReference w:id="4"/>
      </w:r>
      <w:r w:rsidRPr="004647DF">
        <w:t xml:space="preserve"> section 425.16.  </w:t>
      </w:r>
      <w:r w:rsidRPr="009B4D26">
        <w:t>The trial court denied the County’s motion</w:t>
      </w:r>
      <w:r w:rsidRPr="009B4D26" w:rsidR="00CB02D1">
        <w:t>,</w:t>
      </w:r>
      <w:r w:rsidRPr="009B4D26" w:rsidR="00307F10">
        <w:t xml:space="preserve"> finding (1)</w:t>
      </w:r>
      <w:r w:rsidRPr="009B4D26" w:rsidR="00E6398B">
        <w:t xml:space="preserve"> the County did not comply with </w:t>
      </w:r>
      <w:bookmarkStart w:id="0" w:name="dabmci_eedb568a43e2469a929fb4fd3afe88c7"/>
      <w:r w:rsidRPr="009B4D26" w:rsidR="00E6398B">
        <w:t>California Rules of Court, rule 3.1322 (rule 3.1322</w:t>
      </w:r>
      <w:bookmarkEnd w:id="0"/>
      <w:r w:rsidRPr="009B4D26" w:rsidR="00E6398B">
        <w:t>)</w:t>
      </w:r>
      <w:r w:rsidRPr="009B4D26" w:rsidR="00C61BD9">
        <w:t>, governing motions to strike</w:t>
      </w:r>
      <w:r w:rsidRPr="009B4D26" w:rsidR="00B901D5">
        <w:t>; and (2)</w:t>
      </w:r>
      <w:r w:rsidRPr="009B4D26" w:rsidR="00E6398B">
        <w:t xml:space="preserve"> the County </w:t>
      </w:r>
      <w:r w:rsidRPr="009B4D26" w:rsidR="00B901D5">
        <w:t xml:space="preserve">failed to prove </w:t>
      </w:r>
      <w:r w:rsidRPr="00653EAA" w:rsidR="00B901D5">
        <w:t xml:space="preserve">it </w:t>
      </w:r>
      <w:r w:rsidRPr="00653EAA" w:rsidR="00E6398B">
        <w:t xml:space="preserve">engaged in </w:t>
      </w:r>
      <w:r w:rsidRPr="00653EAA" w:rsidR="0084144E">
        <w:t xml:space="preserve">a </w:t>
      </w:r>
      <w:r w:rsidRPr="00653EAA" w:rsidR="00E6398B">
        <w:t>protected activity under section 425.16</w:t>
      </w:r>
      <w:r w:rsidRPr="00653EAA" w:rsidR="00026108">
        <w:t>, subdivision (e)</w:t>
      </w:r>
      <w:r w:rsidRPr="00653EAA" w:rsidR="00E6398B">
        <w:t xml:space="preserve">.  </w:t>
      </w:r>
      <w:r w:rsidRPr="00187DE9" w:rsidR="00E6398B">
        <w:t>T</w:t>
      </w:r>
      <w:r w:rsidRPr="00187DE9" w:rsidR="00006B31">
        <w:t>he County appeals</w:t>
      </w:r>
      <w:r w:rsidRPr="00187DE9">
        <w:t xml:space="preserve">.  </w:t>
      </w:r>
    </w:p>
    <w:p w:rsidR="00B14548" w:rsidRPr="00187DE9" w:rsidP="00046E2A" w14:paraId="72C9AA25" w14:textId="4733DD35">
      <w:pPr>
        <w:ind w:firstLine="720"/>
        <w:rPr>
          <w:highlight w:val="cyan"/>
        </w:rPr>
      </w:pPr>
      <w:r w:rsidRPr="00A11BC5">
        <w:t xml:space="preserve">In the published portion of this opinion, we hold </w:t>
      </w:r>
      <w:r w:rsidRPr="00A11BC5" w:rsidR="002636B1">
        <w:t xml:space="preserve">that the County was not required to follow </w:t>
      </w:r>
      <w:bookmarkStart w:id="1" w:name="dabmci_1394c05febb4428e9ac0c3379af42c72"/>
      <w:r w:rsidRPr="00A11BC5">
        <w:t>rule 3.1322</w:t>
      </w:r>
      <w:bookmarkEnd w:id="1"/>
      <w:r w:rsidRPr="00A11BC5">
        <w:t xml:space="preserve"> </w:t>
      </w:r>
      <w:r w:rsidRPr="00A11BC5" w:rsidR="002636B1">
        <w:t>when bringing its</w:t>
      </w:r>
      <w:r w:rsidRPr="00A11BC5">
        <w:t xml:space="preserve"> special motion to strike</w:t>
      </w:r>
      <w:r w:rsidRPr="00A11BC5" w:rsidR="002636B1">
        <w:t xml:space="preserve"> under section 425.16</w:t>
      </w:r>
      <w:r w:rsidRPr="00A11BC5">
        <w:t xml:space="preserve">.  In the unpublished portion of this opinion, we hold that the County did not meet its burden </w:t>
      </w:r>
      <w:r w:rsidRPr="00A11BC5" w:rsidR="0064077B">
        <w:t xml:space="preserve">of demonstrating plaintiff’s </w:t>
      </w:r>
      <w:r w:rsidRPr="00A11BC5" w:rsidR="002E49E2">
        <w:t xml:space="preserve">claims for </w:t>
      </w:r>
      <w:r w:rsidRPr="00A11BC5" w:rsidR="0064077B">
        <w:t>relief ar</w:t>
      </w:r>
      <w:r w:rsidRPr="00A11BC5" w:rsidR="001F04B5">
        <w:t>ise from</w:t>
      </w:r>
      <w:r w:rsidRPr="00A11BC5" w:rsidR="0064077B">
        <w:t xml:space="preserve"> the County’s protected activity</w:t>
      </w:r>
      <w:r w:rsidRPr="00A11BC5">
        <w:t xml:space="preserve">.  </w:t>
      </w:r>
      <w:r w:rsidRPr="009B4D26">
        <w:t>Accordingly, we affirm.</w:t>
      </w:r>
    </w:p>
    <w:p w:rsidR="00B14548" w:rsidRPr="00187DE9" w:rsidP="00640AB7" w14:paraId="2A2FF805" w14:textId="4EA101EE">
      <w:pPr>
        <w:keepNext/>
        <w:jc w:val="center"/>
      </w:pPr>
      <w:r w:rsidRPr="00187DE9">
        <w:t>FACTUAL AND PROCEDURAL BACKGROUND</w:t>
      </w:r>
    </w:p>
    <w:p w:rsidR="00B14548" w:rsidRPr="008E685D" w:rsidP="0093246D" w14:paraId="404A95FC" w14:textId="7275DAB4">
      <w:pPr>
        <w:ind w:firstLine="720"/>
      </w:pPr>
      <w:r w:rsidRPr="00653EAA">
        <w:t xml:space="preserve">The County hired </w:t>
      </w:r>
      <w:r w:rsidRPr="00653EAA" w:rsidR="00640AB7">
        <w:t>p</w:t>
      </w:r>
      <w:r w:rsidRPr="00653EAA">
        <w:t xml:space="preserve">laintiff as a </w:t>
      </w:r>
      <w:r w:rsidRPr="00653EAA" w:rsidR="00126C2B">
        <w:t>d</w:t>
      </w:r>
      <w:r w:rsidRPr="00653EAA">
        <w:t xml:space="preserve">eputy </w:t>
      </w:r>
      <w:r w:rsidRPr="00653EAA" w:rsidR="00126C2B">
        <w:t>d</w:t>
      </w:r>
      <w:r w:rsidRPr="00653EAA">
        <w:t xml:space="preserve">istrict </w:t>
      </w:r>
      <w:r w:rsidRPr="00653EAA" w:rsidR="00126C2B">
        <w:t>a</w:t>
      </w:r>
      <w:r w:rsidRPr="00653EAA">
        <w:t xml:space="preserve">ttorney in 2006.  By 2018, </w:t>
      </w:r>
      <w:r w:rsidRPr="00653EAA" w:rsidR="00640AB7">
        <w:t>p</w:t>
      </w:r>
      <w:r w:rsidRPr="00653EAA">
        <w:t xml:space="preserve">laintiff had been promoted </w:t>
      </w:r>
      <w:r w:rsidRPr="00653EAA" w:rsidR="00A82A9B">
        <w:t xml:space="preserve">from </w:t>
      </w:r>
      <w:r w:rsidRPr="00073038" w:rsidR="00A82A9B">
        <w:t xml:space="preserve">classified service positions to the unclassified service position </w:t>
      </w:r>
      <w:r w:rsidRPr="00653EAA" w:rsidR="00A82A9B">
        <w:t>of</w:t>
      </w:r>
      <w:r w:rsidRPr="00653EAA">
        <w:t xml:space="preserve"> </w:t>
      </w:r>
      <w:r w:rsidRPr="00653EAA" w:rsidR="00126C2B">
        <w:t>a</w:t>
      </w:r>
      <w:r w:rsidRPr="00653EAA">
        <w:t xml:space="preserve">ssistant </w:t>
      </w:r>
      <w:r w:rsidRPr="00653EAA" w:rsidR="00126C2B">
        <w:t>d</w:t>
      </w:r>
      <w:r w:rsidRPr="00653EAA">
        <w:t xml:space="preserve">istrict </w:t>
      </w:r>
      <w:r w:rsidRPr="00653EAA" w:rsidR="00126C2B">
        <w:t>a</w:t>
      </w:r>
      <w:r w:rsidRPr="00653EAA">
        <w:t xml:space="preserve">ttorney.  In December 2019, the </w:t>
      </w:r>
      <w:r w:rsidRPr="00653EAA" w:rsidR="00126C2B">
        <w:t>d</w:t>
      </w:r>
      <w:r w:rsidRPr="00653EAA">
        <w:t xml:space="preserve">istrict </w:t>
      </w:r>
      <w:r w:rsidRPr="00653EAA" w:rsidR="00126C2B">
        <w:t>a</w:t>
      </w:r>
      <w:r w:rsidRPr="00653EAA">
        <w:t xml:space="preserve">ttorney retired </w:t>
      </w:r>
      <w:r w:rsidRPr="00653EAA" w:rsidR="0064077B">
        <w:t>midterm</w:t>
      </w:r>
      <w:r w:rsidRPr="00653EAA" w:rsidR="002E153B">
        <w:t xml:space="preserve"> and </w:t>
      </w:r>
      <w:r w:rsidRPr="00653EAA" w:rsidR="00006B31">
        <w:t>Charles</w:t>
      </w:r>
      <w:r w:rsidRPr="00653EAA">
        <w:t xml:space="preserve"> Wilson became </w:t>
      </w:r>
      <w:r w:rsidRPr="00653EAA" w:rsidR="00126C2B">
        <w:t xml:space="preserve">the </w:t>
      </w:r>
      <w:r w:rsidRPr="00653EAA">
        <w:t xml:space="preserve">acting </w:t>
      </w:r>
      <w:r w:rsidRPr="00653EAA" w:rsidR="00126C2B">
        <w:t>d</w:t>
      </w:r>
      <w:r w:rsidRPr="00653EAA">
        <w:t xml:space="preserve">istrict </w:t>
      </w:r>
      <w:r w:rsidRPr="00653EAA" w:rsidR="00126C2B">
        <w:t>a</w:t>
      </w:r>
      <w:r w:rsidRPr="00653EAA">
        <w:t xml:space="preserve">ttorney.  </w:t>
      </w:r>
      <w:r w:rsidRPr="00653EAA" w:rsidR="00653EAA">
        <w:t>Approximately o</w:t>
      </w:r>
      <w:r w:rsidRPr="00653EAA" w:rsidR="009D78FE">
        <w:t>ne week later</w:t>
      </w:r>
      <w:r w:rsidRPr="00653EAA" w:rsidR="00C61BD9">
        <w:t>,</w:t>
      </w:r>
      <w:r w:rsidRPr="00653EAA">
        <w:t xml:space="preserve"> Wilson informed </w:t>
      </w:r>
      <w:r w:rsidRPr="00653EAA" w:rsidR="005B11C6">
        <w:t>p</w:t>
      </w:r>
      <w:r w:rsidRPr="00653EAA">
        <w:t xml:space="preserve">laintiff of a text message he had received from the wife of a </w:t>
      </w:r>
      <w:r w:rsidRPr="00653EAA" w:rsidR="0064077B">
        <w:t>s</w:t>
      </w:r>
      <w:r w:rsidRPr="00653EAA">
        <w:t>upervisor</w:t>
      </w:r>
      <w:r w:rsidRPr="00653EAA" w:rsidR="0064077B">
        <w:t xml:space="preserve"> on the County’s </w:t>
      </w:r>
      <w:r w:rsidR="00AD309E">
        <w:t>b</w:t>
      </w:r>
      <w:r w:rsidRPr="00653EAA" w:rsidR="0064077B">
        <w:t xml:space="preserve">oard of </w:t>
      </w:r>
      <w:r w:rsidR="00AD309E">
        <w:t>s</w:t>
      </w:r>
      <w:r w:rsidRPr="00653EAA" w:rsidR="0064077B">
        <w:t>upervisors</w:t>
      </w:r>
      <w:r w:rsidRPr="00653EAA" w:rsidR="0084144E">
        <w:t xml:space="preserve"> (Board)</w:t>
      </w:r>
      <w:r w:rsidRPr="00653EAA">
        <w:t xml:space="preserve"> and read </w:t>
      </w:r>
      <w:r w:rsidRPr="00653EAA" w:rsidR="005B11C6">
        <w:t>p</w:t>
      </w:r>
      <w:r w:rsidRPr="00653EAA" w:rsidR="00877AB4">
        <w:t>laintiff</w:t>
      </w:r>
      <w:r w:rsidRPr="00653EAA">
        <w:t xml:space="preserve"> the message.  </w:t>
      </w:r>
      <w:r w:rsidRPr="00C64F16">
        <w:t>P</w:t>
      </w:r>
      <w:r w:rsidRPr="00653EAA">
        <w:t xml:space="preserve">laintiff believed the text message was an </w:t>
      </w:r>
      <w:r w:rsidRPr="00653EAA" w:rsidR="0093246D">
        <w:t>implied quid pro quo</w:t>
      </w:r>
      <w:r w:rsidR="00222273">
        <w:t>.</w:t>
      </w:r>
      <w:r w:rsidRPr="00222273" w:rsidR="0093246D">
        <w:t xml:space="preserve">  </w:t>
      </w:r>
    </w:p>
    <w:p w:rsidR="00B14548" w:rsidRPr="00187DE9" w:rsidP="007F3702" w14:paraId="754666DB" w14:textId="0B64A0A9">
      <w:pPr>
        <w:ind w:firstLine="720"/>
        <w:rPr>
          <w:highlight w:val="cyan"/>
        </w:rPr>
      </w:pPr>
      <w:r w:rsidRPr="008E685D">
        <w:t xml:space="preserve">In March 2020, Wilson informed </w:t>
      </w:r>
      <w:r w:rsidRPr="008E685D" w:rsidR="005B11C6">
        <w:t>p</w:t>
      </w:r>
      <w:r w:rsidRPr="008E685D">
        <w:t xml:space="preserve">laintiff </w:t>
      </w:r>
      <w:r w:rsidRPr="008E685D" w:rsidR="00126C2B">
        <w:t>a complaint had been made to the Fair Political Practices Commission (Commission) regarding</w:t>
      </w:r>
      <w:r w:rsidRPr="008E685D" w:rsidR="00641A70">
        <w:t xml:space="preserve"> misconduct </w:t>
      </w:r>
      <w:r w:rsidR="00402920">
        <w:t>at the County</w:t>
      </w:r>
      <w:r w:rsidRPr="008E685D" w:rsidR="004A1338">
        <w:t xml:space="preserve"> </w:t>
      </w:r>
      <w:r w:rsidRPr="008E685D" w:rsidR="00126C2B">
        <w:t xml:space="preserve">and the Commission wanted to know whether </w:t>
      </w:r>
      <w:r w:rsidRPr="008E685D" w:rsidR="00077054">
        <w:t>the Commission</w:t>
      </w:r>
      <w:r w:rsidRPr="008E685D" w:rsidR="00126C2B">
        <w:t xml:space="preserve"> or the district attorney</w:t>
      </w:r>
      <w:r w:rsidRPr="008E685D" w:rsidR="00077054">
        <w:t>’s office should investigate the complaint</w:t>
      </w:r>
      <w:r w:rsidRPr="008E685D" w:rsidR="00126C2B">
        <w:t>.</w:t>
      </w:r>
      <w:r w:rsidRPr="008E685D">
        <w:t xml:space="preserve">  Several days later, Wilson was placed on </w:t>
      </w:r>
      <w:r w:rsidRPr="008E685D">
        <w:t xml:space="preserve">administrative leave and </w:t>
      </w:r>
      <w:r w:rsidRPr="008E685D" w:rsidR="005B11C6">
        <w:t>p</w:t>
      </w:r>
      <w:r w:rsidRPr="008E685D">
        <w:t xml:space="preserve">laintiff assumed the role of </w:t>
      </w:r>
      <w:r w:rsidRPr="008E685D" w:rsidR="00077054">
        <w:t>interim d</w:t>
      </w:r>
      <w:r w:rsidRPr="008E685D">
        <w:t xml:space="preserve">istrict </w:t>
      </w:r>
      <w:r w:rsidRPr="008E685D" w:rsidR="00077054">
        <w:t>a</w:t>
      </w:r>
      <w:r w:rsidRPr="008E685D">
        <w:t xml:space="preserve">ttorney.  Plaintiff contacted the California </w:t>
      </w:r>
      <w:r w:rsidRPr="008E685D" w:rsidR="00641A70">
        <w:t>Attorney General’s Office</w:t>
      </w:r>
      <w:r w:rsidRPr="008E685D" w:rsidR="00077054">
        <w:t xml:space="preserve"> </w:t>
      </w:r>
      <w:r w:rsidRPr="008E685D" w:rsidR="002E153B">
        <w:t>regarding the ethics of investigating</w:t>
      </w:r>
      <w:r w:rsidRPr="008E685D">
        <w:t xml:space="preserve"> the </w:t>
      </w:r>
      <w:r w:rsidRPr="008E685D" w:rsidR="00641A70">
        <w:t xml:space="preserve">complaint </w:t>
      </w:r>
      <w:r w:rsidRPr="008E685D">
        <w:t xml:space="preserve">while the County was </w:t>
      </w:r>
      <w:r w:rsidRPr="008E685D" w:rsidR="00641A70">
        <w:t xml:space="preserve">selecting </w:t>
      </w:r>
      <w:r w:rsidRPr="008E685D">
        <w:t xml:space="preserve">a new </w:t>
      </w:r>
      <w:r w:rsidRPr="008E685D" w:rsidR="00077054">
        <w:t>d</w:t>
      </w:r>
      <w:r w:rsidRPr="008E685D">
        <w:t xml:space="preserve">istrict </w:t>
      </w:r>
      <w:r w:rsidRPr="008E685D" w:rsidR="00077054">
        <w:t>a</w:t>
      </w:r>
      <w:r w:rsidRPr="008E685D">
        <w:t xml:space="preserve">ttorney.  </w:t>
      </w:r>
      <w:r w:rsidRPr="00FA0798">
        <w:t xml:space="preserve">Plaintiff </w:t>
      </w:r>
      <w:r w:rsidRPr="00FA0798" w:rsidR="00F6275A">
        <w:t xml:space="preserve">also </w:t>
      </w:r>
      <w:r w:rsidRPr="00FA0798">
        <w:t>met with County</w:t>
      </w:r>
      <w:r w:rsidRPr="00FA0798" w:rsidR="00776D87">
        <w:t xml:space="preserve"> officials</w:t>
      </w:r>
      <w:r w:rsidRPr="00FA0798">
        <w:t xml:space="preserve"> to </w:t>
      </w:r>
      <w:r w:rsidRPr="00FA0798" w:rsidR="00CE0DAC">
        <w:t xml:space="preserve">inform them that a complaint had been made and that she had inquired of the </w:t>
      </w:r>
      <w:r w:rsidRPr="00FA0798" w:rsidR="00641A70">
        <w:t xml:space="preserve">Attorney General’s Office </w:t>
      </w:r>
      <w:r w:rsidRPr="00FA0798" w:rsidR="00CE0DAC">
        <w:t xml:space="preserve">about whether it would </w:t>
      </w:r>
      <w:r w:rsidRPr="00FA0798" w:rsidR="004A38A0">
        <w:t>investigate</w:t>
      </w:r>
      <w:r w:rsidRPr="00FA0798" w:rsidR="00CE0DAC">
        <w:t xml:space="preserve"> the complaint.</w:t>
      </w:r>
      <w:r w:rsidRPr="00FA0798">
        <w:t xml:space="preserve">  The next day, </w:t>
      </w:r>
      <w:r w:rsidR="00402920">
        <w:t>plaintiff</w:t>
      </w:r>
      <w:r w:rsidRPr="00FA0798">
        <w:t xml:space="preserve"> inform</w:t>
      </w:r>
      <w:r w:rsidR="00402920">
        <w:t>ed the County the Attorney General’s Office</w:t>
      </w:r>
      <w:r w:rsidRPr="00FA0798">
        <w:t xml:space="preserve"> had decided to investigate the </w:t>
      </w:r>
      <w:r w:rsidRPr="00FA0798" w:rsidR="00641A70">
        <w:t>complaint</w:t>
      </w:r>
      <w:r w:rsidRPr="00FA0798">
        <w:t xml:space="preserve">.  Plaintiff cooperated with the </w:t>
      </w:r>
      <w:r w:rsidRPr="00FA0798" w:rsidR="00641A70">
        <w:t xml:space="preserve">Attorney General’s </w:t>
      </w:r>
      <w:r w:rsidRPr="00FA0798">
        <w:t>investigation, informing it of the text message</w:t>
      </w:r>
      <w:r w:rsidRPr="00FA0798" w:rsidR="00C61BD9">
        <w:t xml:space="preserve"> that she believed was a quid pro quo</w:t>
      </w:r>
      <w:r w:rsidRPr="00FA0798">
        <w:t xml:space="preserve"> </w:t>
      </w:r>
      <w:r w:rsidRPr="00FA0798" w:rsidR="002E153B">
        <w:t>to</w:t>
      </w:r>
      <w:r w:rsidRPr="00FA0798">
        <w:t xml:space="preserve"> Wilson.</w:t>
      </w:r>
      <w:r w:rsidRPr="00FA0798" w:rsidR="00CE0DAC">
        <w:t xml:space="preserve">  At the same time, the County became aware of plaintiff’s knowledge of the text message.</w:t>
      </w:r>
      <w:r w:rsidRPr="00FA0798">
        <w:t xml:space="preserve">  </w:t>
      </w:r>
    </w:p>
    <w:p w:rsidR="00963FC2" w:rsidRPr="008E685D" w:rsidP="00B14548" w14:paraId="3ADBE9EB" w14:textId="43CC5253">
      <w:pPr>
        <w:ind w:firstLine="720"/>
      </w:pPr>
      <w:r w:rsidRPr="008E685D">
        <w:t xml:space="preserve">In April 2020, </w:t>
      </w:r>
      <w:r w:rsidRPr="008E685D" w:rsidR="005B11C6">
        <w:t>p</w:t>
      </w:r>
      <w:r w:rsidRPr="008E685D">
        <w:t xml:space="preserve">laintiff learned that the County had appointed a new </w:t>
      </w:r>
      <w:r w:rsidRPr="008E685D" w:rsidR="00BC25B1">
        <w:t>d</w:t>
      </w:r>
      <w:r w:rsidRPr="008E685D">
        <w:t xml:space="preserve">istrict </w:t>
      </w:r>
      <w:r w:rsidRPr="008E685D" w:rsidR="00BC25B1">
        <w:t>a</w:t>
      </w:r>
      <w:r w:rsidRPr="008E685D">
        <w:t xml:space="preserve">ttorney.  After the new </w:t>
      </w:r>
      <w:r w:rsidRPr="008E685D" w:rsidR="00BC25B1">
        <w:t>d</w:t>
      </w:r>
      <w:r w:rsidRPr="008E685D">
        <w:t xml:space="preserve">istrict </w:t>
      </w:r>
      <w:r w:rsidRPr="008E685D" w:rsidR="00BC25B1">
        <w:t>a</w:t>
      </w:r>
      <w:r w:rsidRPr="008E685D">
        <w:t xml:space="preserve">ttorney assumed office, </w:t>
      </w:r>
      <w:r w:rsidRPr="008E685D" w:rsidR="005B11C6">
        <w:t>p</w:t>
      </w:r>
      <w:r w:rsidRPr="008E685D">
        <w:t xml:space="preserve">laintiff told him of the </w:t>
      </w:r>
      <w:r w:rsidRPr="008E685D" w:rsidR="00641A70">
        <w:t xml:space="preserve">Attorney General’s </w:t>
      </w:r>
      <w:r w:rsidRPr="008E685D">
        <w:t>investigation</w:t>
      </w:r>
      <w:r w:rsidRPr="008E685D" w:rsidR="00BC25B1">
        <w:t xml:space="preserve"> </w:t>
      </w:r>
      <w:r w:rsidRPr="008E685D" w:rsidR="00574023">
        <w:t>into misconduc</w:t>
      </w:r>
      <w:r w:rsidRPr="008E685D" w:rsidR="00451691">
        <w:t xml:space="preserve">t by a member of the </w:t>
      </w:r>
      <w:r w:rsidRPr="008E685D" w:rsidR="002E2646">
        <w:t>B</w:t>
      </w:r>
      <w:r w:rsidRPr="008E685D" w:rsidR="00451691">
        <w:t>oard</w:t>
      </w:r>
      <w:r w:rsidRPr="008E685D">
        <w:t>, her cooperation with the investigation, and her willingness to cooperate with it again in the future.  She also informed him that</w:t>
      </w:r>
      <w:r w:rsidRPr="008E685D" w:rsidR="00BC25B1">
        <w:t>,</w:t>
      </w:r>
      <w:r w:rsidRPr="008E685D">
        <w:t xml:space="preserve"> although she had supported Wilson for district attorney, she was loyal to the </w:t>
      </w:r>
      <w:r w:rsidRPr="008E685D" w:rsidR="00574023">
        <w:t>Office of the District Attorney of Placer County</w:t>
      </w:r>
      <w:r w:rsidRPr="008E685D">
        <w:t xml:space="preserve">.  </w:t>
      </w:r>
    </w:p>
    <w:p w:rsidR="00B23581" w:rsidRPr="00FA0798" w:rsidP="00B14548" w14:paraId="27CCC507" w14:textId="23E5B715">
      <w:pPr>
        <w:ind w:firstLine="720"/>
      </w:pPr>
      <w:r w:rsidRPr="00FA0798">
        <w:t xml:space="preserve">In July 2020, </w:t>
      </w:r>
      <w:r w:rsidRPr="00FA0798" w:rsidR="005B11C6">
        <w:t>p</w:t>
      </w:r>
      <w:r w:rsidRPr="00FA0798">
        <w:t xml:space="preserve">laintiff was demoted from </w:t>
      </w:r>
      <w:r w:rsidRPr="00FA0798" w:rsidR="00A82A9B">
        <w:t xml:space="preserve">the </w:t>
      </w:r>
      <w:r w:rsidRPr="00073038" w:rsidR="00A82A9B">
        <w:t xml:space="preserve">unclassified service position of </w:t>
      </w:r>
      <w:r w:rsidRPr="00FA0798" w:rsidR="00BC25B1">
        <w:t>a</w:t>
      </w:r>
      <w:r w:rsidRPr="00FA0798">
        <w:t xml:space="preserve">ssistant </w:t>
      </w:r>
      <w:r w:rsidRPr="00FA0798" w:rsidR="00BC25B1">
        <w:t>d</w:t>
      </w:r>
      <w:r w:rsidRPr="00FA0798">
        <w:t xml:space="preserve">istrict </w:t>
      </w:r>
      <w:r w:rsidRPr="00FA0798" w:rsidR="00BC25B1">
        <w:t>a</w:t>
      </w:r>
      <w:r w:rsidRPr="00FA0798">
        <w:t xml:space="preserve">ttorney to </w:t>
      </w:r>
      <w:r w:rsidRPr="00FA0798" w:rsidR="00A82A9B">
        <w:t xml:space="preserve">the </w:t>
      </w:r>
      <w:r w:rsidRPr="00073038" w:rsidR="00A82A9B">
        <w:t xml:space="preserve">classified service position </w:t>
      </w:r>
      <w:r w:rsidRPr="00FA0798" w:rsidR="00A82A9B">
        <w:t xml:space="preserve">of </w:t>
      </w:r>
      <w:r w:rsidRPr="00FA0798" w:rsidR="00BC25B1">
        <w:t>s</w:t>
      </w:r>
      <w:r w:rsidRPr="00FA0798">
        <w:t xml:space="preserve">enior </w:t>
      </w:r>
      <w:r w:rsidRPr="00FA0798" w:rsidR="00BC25B1">
        <w:t>d</w:t>
      </w:r>
      <w:r w:rsidRPr="00FA0798">
        <w:t xml:space="preserve">eputy </w:t>
      </w:r>
      <w:r w:rsidRPr="00FA0798" w:rsidR="00BC25B1">
        <w:t>d</w:t>
      </w:r>
      <w:r w:rsidRPr="00FA0798">
        <w:t xml:space="preserve">istrict </w:t>
      </w:r>
      <w:r w:rsidRPr="00FA0798" w:rsidR="00BC25B1">
        <w:t>a</w:t>
      </w:r>
      <w:r w:rsidRPr="00FA0798">
        <w:t>ttorney</w:t>
      </w:r>
      <w:r w:rsidRPr="00FA0798" w:rsidR="002E49E2">
        <w:t>, and thus</w:t>
      </w:r>
      <w:r w:rsidRPr="00FA0798" w:rsidR="007D46EC">
        <w:t xml:space="preserve"> she was </w:t>
      </w:r>
      <w:r w:rsidRPr="00FA0798" w:rsidR="00963FC2">
        <w:t xml:space="preserve">removed from the management staff of the </w:t>
      </w:r>
      <w:r w:rsidRPr="00FA0798" w:rsidR="00BC25B1">
        <w:t>d</w:t>
      </w:r>
      <w:r w:rsidRPr="00FA0798" w:rsidR="00963FC2">
        <w:t xml:space="preserve">istrict </w:t>
      </w:r>
      <w:r w:rsidRPr="00FA0798" w:rsidR="00BC25B1">
        <w:t>a</w:t>
      </w:r>
      <w:r w:rsidRPr="00FA0798" w:rsidR="00963FC2">
        <w:t>ttorney</w:t>
      </w:r>
      <w:r w:rsidRPr="00FA0798" w:rsidR="00BC25B1">
        <w:t>’s</w:t>
      </w:r>
      <w:r w:rsidRPr="00FA0798" w:rsidR="00963FC2">
        <w:t xml:space="preserve"> office.</w:t>
      </w:r>
      <w:r w:rsidRPr="00FA0798" w:rsidR="007D46EC">
        <w:t xml:space="preserve">  </w:t>
      </w:r>
      <w:r w:rsidRPr="00FA0798" w:rsidR="00A71569">
        <w:t>Plaintiff was told that her demotion was without cause</w:t>
      </w:r>
      <w:r w:rsidRPr="00FA0798" w:rsidR="00BC25B1">
        <w:t xml:space="preserve"> and because the office was going in a different direction</w:t>
      </w:r>
      <w:r w:rsidRPr="00FA0798" w:rsidR="00A71569">
        <w:t xml:space="preserve">.  </w:t>
      </w:r>
      <w:r w:rsidRPr="00FA0798" w:rsidR="00BC25B1">
        <w:t>The demotion</w:t>
      </w:r>
      <w:r w:rsidRPr="00FA0798" w:rsidR="00CF504F">
        <w:t xml:space="preserve"> caused </w:t>
      </w:r>
      <w:r w:rsidRPr="00FA0798" w:rsidR="00BC25B1">
        <w:t xml:space="preserve">plaintiff </w:t>
      </w:r>
      <w:r w:rsidRPr="00FA0798" w:rsidR="00CF504F">
        <w:t>to lose</w:t>
      </w:r>
      <w:r w:rsidRPr="00FA0798" w:rsidR="00A71569">
        <w:t xml:space="preserve"> over</w:t>
      </w:r>
      <w:r w:rsidRPr="00FA0798" w:rsidR="00CF504F">
        <w:t xml:space="preserve"> $40,000 </w:t>
      </w:r>
      <w:r w:rsidRPr="00FA0798" w:rsidR="00A71569">
        <w:t>annually</w:t>
      </w:r>
      <w:r w:rsidRPr="00FA0798" w:rsidR="00BC25B1">
        <w:t xml:space="preserve"> in compensation</w:t>
      </w:r>
      <w:r w:rsidRPr="00FA0798" w:rsidR="00CF504F">
        <w:t xml:space="preserve">.  </w:t>
      </w:r>
      <w:r w:rsidRPr="00073038">
        <w:t xml:space="preserve">After exhausting her administrative remedies with the County, </w:t>
      </w:r>
      <w:r w:rsidRPr="00073038" w:rsidR="005B11C6">
        <w:t>p</w:t>
      </w:r>
      <w:r w:rsidRPr="00073038">
        <w:t xml:space="preserve">laintiff sued the County in the Placer County Superior Court for whistleblower retaliation.  </w:t>
      </w:r>
      <w:r w:rsidRPr="00FA0798">
        <w:t xml:space="preserve">The matter was later transferred to the El Dorado </w:t>
      </w:r>
      <w:r w:rsidRPr="00FA0798" w:rsidR="00641A70">
        <w:t xml:space="preserve">County </w:t>
      </w:r>
      <w:r w:rsidRPr="00FA0798">
        <w:t xml:space="preserve">Superior Court.  </w:t>
      </w:r>
    </w:p>
    <w:p w:rsidR="00B14548" w:rsidRPr="00187DE9" w:rsidP="00B14548" w14:paraId="6938AFAA" w14:textId="0DC1E462">
      <w:pPr>
        <w:ind w:firstLine="720"/>
        <w:rPr>
          <w:highlight w:val="cyan"/>
        </w:rPr>
      </w:pPr>
      <w:r w:rsidRPr="00073038">
        <w:t>In her complaint, p</w:t>
      </w:r>
      <w:r w:rsidRPr="00073038" w:rsidR="00963FC2">
        <w:t xml:space="preserve">laintiff </w:t>
      </w:r>
      <w:r w:rsidRPr="00073038">
        <w:t xml:space="preserve">alleged </w:t>
      </w:r>
      <w:r w:rsidRPr="00073038" w:rsidR="00963FC2">
        <w:t>that the County</w:t>
      </w:r>
      <w:r w:rsidRPr="00073038" w:rsidR="0093246D">
        <w:t xml:space="preserve"> demoted her </w:t>
      </w:r>
      <w:r w:rsidRPr="00073038">
        <w:t xml:space="preserve">and </w:t>
      </w:r>
      <w:r w:rsidRPr="00A11BC5">
        <w:t xml:space="preserve">created a hostile work environment targeted at her </w:t>
      </w:r>
      <w:r w:rsidRPr="00073038" w:rsidR="0093246D">
        <w:t>because she engaged in whistleblowing activities</w:t>
      </w:r>
      <w:r w:rsidRPr="00073038" w:rsidR="00CF504F">
        <w:t>, such as cooperating with the</w:t>
      </w:r>
      <w:r w:rsidRPr="00073038">
        <w:t xml:space="preserve"> </w:t>
      </w:r>
      <w:r w:rsidRPr="00073038" w:rsidR="00CF504F">
        <w:t>investigation</w:t>
      </w:r>
      <w:r w:rsidRPr="00073038" w:rsidR="00613048">
        <w:t xml:space="preserve"> into a </w:t>
      </w:r>
      <w:r w:rsidRPr="00073038" w:rsidR="00451691">
        <w:t xml:space="preserve">member of the </w:t>
      </w:r>
      <w:r w:rsidRPr="00073038" w:rsidR="002E2646">
        <w:t>B</w:t>
      </w:r>
      <w:r w:rsidRPr="00073038" w:rsidR="00613048">
        <w:t xml:space="preserve">oard </w:t>
      </w:r>
      <w:r w:rsidRPr="00073038" w:rsidR="00CF504F">
        <w:t xml:space="preserve">and informing </w:t>
      </w:r>
      <w:r w:rsidRPr="00073038">
        <w:t xml:space="preserve">the County </w:t>
      </w:r>
      <w:r w:rsidRPr="00073038" w:rsidR="00CF504F">
        <w:t>of an attempted quid pro quo</w:t>
      </w:r>
      <w:r w:rsidRPr="00073038" w:rsidR="00963FC2">
        <w:t>.</w:t>
      </w:r>
      <w:r w:rsidRPr="00073038" w:rsidR="00606D2D">
        <w:t xml:space="preserve"> </w:t>
      </w:r>
      <w:r w:rsidRPr="00073038" w:rsidR="00963FC2">
        <w:t xml:space="preserve"> </w:t>
      </w:r>
    </w:p>
    <w:p w:rsidR="00FB13D5" w:rsidRPr="00187DE9" w:rsidP="00B14548" w14:paraId="5CCA0539" w14:textId="2D0E4449">
      <w:pPr>
        <w:ind w:firstLine="720"/>
        <w:rPr>
          <w:highlight w:val="cyan"/>
        </w:rPr>
      </w:pPr>
      <w:r w:rsidRPr="004647DF">
        <w:t>T</w:t>
      </w:r>
      <w:r w:rsidRPr="004647DF" w:rsidR="00B14548">
        <w:t xml:space="preserve">he County filed a special motion to strike </w:t>
      </w:r>
      <w:r w:rsidRPr="004647DF" w:rsidR="005B11C6">
        <w:t>p</w:t>
      </w:r>
      <w:r w:rsidRPr="004647DF" w:rsidR="00B14548">
        <w:t>laintiff’s operative complaint</w:t>
      </w:r>
      <w:r w:rsidRPr="004647DF" w:rsidR="00B23581">
        <w:t xml:space="preserve"> as a strategic lawsuit against public participation</w:t>
      </w:r>
      <w:r w:rsidRPr="004647DF" w:rsidR="00B14548">
        <w:t xml:space="preserve"> pursuant to section 425.16.  </w:t>
      </w:r>
      <w:r w:rsidRPr="00073038" w:rsidR="00B14548">
        <w:t xml:space="preserve">It argued </w:t>
      </w:r>
      <w:r w:rsidRPr="00073038" w:rsidR="00B23581">
        <w:t>that p</w:t>
      </w:r>
      <w:r w:rsidRPr="00073038" w:rsidR="00B14548">
        <w:t>laintiff’s demotion was connected to an official proceeding</w:t>
      </w:r>
      <w:r w:rsidRPr="00073038" w:rsidR="00963FC2">
        <w:t xml:space="preserve"> because a section of the County Code authorized </w:t>
      </w:r>
      <w:r w:rsidRPr="00073038" w:rsidR="00F33C36">
        <w:t>her</w:t>
      </w:r>
      <w:r w:rsidRPr="00073038" w:rsidR="00963FC2">
        <w:t xml:space="preserve"> </w:t>
      </w:r>
      <w:r w:rsidRPr="00073038" w:rsidR="00F33C36">
        <w:t>demotion</w:t>
      </w:r>
      <w:r w:rsidRPr="00073038" w:rsidR="00B14548">
        <w:t xml:space="preserve">.  </w:t>
      </w:r>
      <w:r w:rsidRPr="00073038" w:rsidR="00532D99">
        <w:t>The County also argued that</w:t>
      </w:r>
      <w:r w:rsidRPr="00073038" w:rsidR="00A0185F">
        <w:t xml:space="preserve">, because plaintiff </w:t>
      </w:r>
      <w:r w:rsidRPr="00073038" w:rsidR="009D02F0">
        <w:t xml:space="preserve">failed to </w:t>
      </w:r>
      <w:r w:rsidRPr="00073038" w:rsidR="00A0185F">
        <w:t>ple</w:t>
      </w:r>
      <w:r w:rsidRPr="00073038" w:rsidR="009D02F0">
        <w:t>a</w:t>
      </w:r>
      <w:r w:rsidRPr="00073038" w:rsidR="00A0185F">
        <w:t>d facts regarding the creation of a hostile work environment other than her demotion, this theory was derivative of her demotion theory</w:t>
      </w:r>
      <w:r w:rsidRPr="00073038" w:rsidR="00613048">
        <w:t xml:space="preserve">. </w:t>
      </w:r>
      <w:r w:rsidRPr="00073038">
        <w:t xml:space="preserve"> </w:t>
      </w:r>
      <w:r w:rsidRPr="00073038" w:rsidR="00613048">
        <w:t>Thus, according to the County, plaintiff’s two theories of unlawful retaliation were both protected because a county ordinance authorized her demotion</w:t>
      </w:r>
      <w:r w:rsidRPr="00073038" w:rsidR="00532D99">
        <w:t xml:space="preserve">.  </w:t>
      </w:r>
      <w:r w:rsidRPr="00073038" w:rsidR="00B14548">
        <w:t xml:space="preserve">The County further </w:t>
      </w:r>
      <w:r w:rsidRPr="00073038" w:rsidR="00532D99">
        <w:t>asserted</w:t>
      </w:r>
      <w:r w:rsidRPr="00073038" w:rsidR="00B14548">
        <w:t xml:space="preserve"> that </w:t>
      </w:r>
      <w:r w:rsidRPr="00073038" w:rsidR="005B11C6">
        <w:t>p</w:t>
      </w:r>
      <w:r w:rsidRPr="00073038" w:rsidR="00B14548">
        <w:t>laintiff had not established a reasonable probability her claim</w:t>
      </w:r>
      <w:r w:rsidRPr="00073038" w:rsidR="00532D99">
        <w:t>s</w:t>
      </w:r>
      <w:r w:rsidRPr="00073038" w:rsidR="00B14548">
        <w:t xml:space="preserve"> would be successful.  </w:t>
      </w:r>
    </w:p>
    <w:p w:rsidR="00B14548" w:rsidRPr="00073038" w:rsidP="00B14548" w14:paraId="7034026F" w14:textId="086ACE42">
      <w:pPr>
        <w:ind w:firstLine="720"/>
      </w:pPr>
      <w:r w:rsidRPr="00073038">
        <w:t>The trial court denied the motion</w:t>
      </w:r>
      <w:r w:rsidRPr="00073038" w:rsidR="00FB13D5">
        <w:t xml:space="preserve">.  It </w:t>
      </w:r>
      <w:r w:rsidRPr="00073038" w:rsidR="00532D99">
        <w:t xml:space="preserve">reasoned </w:t>
      </w:r>
      <w:r w:rsidRPr="00073038" w:rsidR="00FB13D5">
        <w:t xml:space="preserve">that it could not strike portions of the complaint because the County had not complied </w:t>
      </w:r>
      <w:r w:rsidRPr="00073038" w:rsidR="009D78FE">
        <w:t>with</w:t>
      </w:r>
      <w:r w:rsidRPr="00073038" w:rsidR="00FB13D5">
        <w:t xml:space="preserve"> </w:t>
      </w:r>
      <w:bookmarkStart w:id="2" w:name="dabmci_4030a88d51814099aacc972a0bed6d2d"/>
      <w:r w:rsidRPr="00073038" w:rsidR="00FB13D5">
        <w:t>rule 3.1322(a)</w:t>
      </w:r>
      <w:bookmarkEnd w:id="2"/>
      <w:r w:rsidR="000C0DE1">
        <w:t>,</w:t>
      </w:r>
      <w:r w:rsidRPr="00073038" w:rsidR="00532D99">
        <w:t xml:space="preserve"> which provides a standard for motions to strike</w:t>
      </w:r>
      <w:r w:rsidRPr="00073038" w:rsidR="00FB13D5">
        <w:t xml:space="preserve">.  </w:t>
      </w:r>
      <w:r w:rsidRPr="00073038" w:rsidR="002B2F39">
        <w:t xml:space="preserve">It also concluded that </w:t>
      </w:r>
      <w:r w:rsidRPr="00073038" w:rsidR="0093246D">
        <w:t xml:space="preserve">the County’s demotion of </w:t>
      </w:r>
      <w:r w:rsidRPr="00073038" w:rsidR="005B11C6">
        <w:t>p</w:t>
      </w:r>
      <w:r w:rsidRPr="00073038" w:rsidR="0093246D">
        <w:t>laintiff</w:t>
      </w:r>
      <w:r w:rsidRPr="00073038" w:rsidR="00F33C36">
        <w:t xml:space="preserve"> </w:t>
      </w:r>
      <w:r w:rsidRPr="00073038" w:rsidR="00532D99">
        <w:t xml:space="preserve">was not protected activity under section 425.16 </w:t>
      </w:r>
      <w:r w:rsidRPr="00073038" w:rsidR="00F33C36">
        <w:t xml:space="preserve">because it was not an official proceeding </w:t>
      </w:r>
      <w:r w:rsidRPr="00073038" w:rsidR="00D75B34">
        <w:t>under</w:t>
      </w:r>
      <w:r w:rsidRPr="00073038" w:rsidR="00F33C36">
        <w:t xml:space="preserve"> subdivision (e)(2)</w:t>
      </w:r>
      <w:r w:rsidRPr="00073038">
        <w:t xml:space="preserve">.  </w:t>
      </w:r>
    </w:p>
    <w:p w:rsidR="00B14548" w:rsidRPr="00187DE9" w:rsidP="00B14548" w14:paraId="306C8960" w14:textId="04776537">
      <w:pPr>
        <w:ind w:firstLine="720"/>
      </w:pPr>
      <w:r w:rsidRPr="00187DE9">
        <w:t xml:space="preserve">The County appeals.  </w:t>
      </w:r>
    </w:p>
    <w:p w:rsidR="00B14548" w:rsidRPr="00187DE9" w:rsidP="003306EF" w14:paraId="1CAF1A7E" w14:textId="76598EEC">
      <w:pPr>
        <w:keepNext/>
        <w:jc w:val="center"/>
      </w:pPr>
      <w:r w:rsidRPr="00187DE9">
        <w:t>DISCUSSION</w:t>
      </w:r>
    </w:p>
    <w:p w:rsidR="008D261F" w:rsidRPr="004647DF" w:rsidP="003306EF" w14:paraId="7E138CC3" w14:textId="3FC665E8">
      <w:pPr>
        <w:keepNext/>
      </w:pPr>
      <w:r w:rsidRPr="004647DF">
        <w:tab/>
      </w:r>
      <w:r w:rsidRPr="004647DF" w:rsidR="00BE7DB9">
        <w:t>The Legislature passed</w:t>
      </w:r>
      <w:r w:rsidRPr="004647DF" w:rsidR="0093246D">
        <w:t xml:space="preserve"> section 425.16—</w:t>
      </w:r>
      <w:r w:rsidRPr="00BE33B8" w:rsidR="0093246D">
        <w:t>also known as</w:t>
      </w:r>
      <w:r w:rsidRPr="00BE33B8" w:rsidR="00BE7DB9">
        <w:t xml:space="preserve"> the anti-SLAPP</w:t>
      </w:r>
      <w:r>
        <w:rPr>
          <w:rStyle w:val="FootnoteReference"/>
        </w:rPr>
        <w:footnoteReference w:id="5"/>
      </w:r>
      <w:r w:rsidRPr="00BE33B8" w:rsidR="00BE7DB9">
        <w:t xml:space="preserve"> statute</w:t>
      </w:r>
      <w:r w:rsidRPr="00BE33B8" w:rsidR="0093246D">
        <w:t>—</w:t>
      </w:r>
      <w:r w:rsidRPr="004647DF" w:rsidR="00BE7DB9">
        <w:t>to protect defendants from meritless litigation designed to chill the exercise of the right</w:t>
      </w:r>
      <w:r w:rsidRPr="004647DF" w:rsidR="00D75B34">
        <w:t>s</w:t>
      </w:r>
      <w:r w:rsidRPr="004647DF" w:rsidR="00BE7DB9">
        <w:t xml:space="preserve"> to speak and petition on matters of public concern</w:t>
      </w:r>
      <w:r w:rsidRPr="000C0DE1" w:rsidR="00BE7DB9">
        <w:t>.  (</w:t>
      </w:r>
      <w:r w:rsidRPr="004647DF" w:rsidR="00086C82">
        <w:t>§ </w:t>
      </w:r>
      <w:r w:rsidRPr="004647DF" w:rsidR="00BE7DB9">
        <w:t>425.16, subd</w:t>
      </w:r>
      <w:r w:rsidR="00C64F16">
        <w:t>s</w:t>
      </w:r>
      <w:r w:rsidRPr="004647DF" w:rsidR="00BE7DB9">
        <w:t xml:space="preserve">. </w:t>
      </w:r>
      <w:r w:rsidR="00402920">
        <w:t>(a)</w:t>
      </w:r>
      <w:r w:rsidR="00C64F16">
        <w:t xml:space="preserve"> &amp; </w:t>
      </w:r>
      <w:r w:rsidRPr="004647DF" w:rsidR="00BE7DB9">
        <w:t xml:space="preserve">(b)(1); </w:t>
      </w:r>
      <w:bookmarkStart w:id="4" w:name="dabmci_2015c929de154b79b9ff956698ecead3"/>
      <w:r w:rsidRPr="00BE33B8" w:rsidR="00BE7DB9">
        <w:rPr>
          <w:i/>
          <w:iCs/>
        </w:rPr>
        <w:t>Cable News</w:t>
      </w:r>
      <w:r w:rsidRPr="00BE33B8" w:rsidR="00640AB7">
        <w:t xml:space="preserve">, </w:t>
      </w:r>
      <w:r w:rsidRPr="00BE33B8" w:rsidR="00640AB7">
        <w:rPr>
          <w:i/>
          <w:iCs/>
        </w:rPr>
        <w:t>supra</w:t>
      </w:r>
      <w:r w:rsidRPr="00BE33B8" w:rsidR="00640AB7">
        <w:t>,</w:t>
      </w:r>
      <w:r w:rsidRPr="00BE33B8" w:rsidR="00BE7DB9">
        <w:t xml:space="preserve"> 7</w:t>
      </w:r>
      <w:r w:rsidRPr="00BE33B8" w:rsidR="00086C82">
        <w:t> Cal.</w:t>
      </w:r>
      <w:r w:rsidRPr="00BE33B8" w:rsidR="00BE7DB9">
        <w:t xml:space="preserve">5th </w:t>
      </w:r>
      <w:r w:rsidRPr="00BE33B8" w:rsidR="00640AB7">
        <w:t>at p</w:t>
      </w:r>
      <w:r w:rsidRPr="00BE33B8" w:rsidR="00086C82">
        <w:t>p. </w:t>
      </w:r>
      <w:r w:rsidRPr="00BE33B8" w:rsidR="00BE7DB9">
        <w:t>883-</w:t>
      </w:r>
      <w:r w:rsidRPr="00BE33B8" w:rsidR="00606D2D">
        <w:t>8</w:t>
      </w:r>
      <w:r w:rsidRPr="00BE33B8" w:rsidR="00BE7DB9">
        <w:t>84</w:t>
      </w:r>
      <w:bookmarkEnd w:id="4"/>
      <w:r w:rsidRPr="00BE33B8" w:rsidR="00BE7DB9">
        <w:t>.)</w:t>
      </w:r>
      <w:r w:rsidRPr="00BE33B8" w:rsidR="00436A15">
        <w:t xml:space="preserve">  </w:t>
      </w:r>
      <w:r w:rsidRPr="0052624F" w:rsidR="00436A15">
        <w:t xml:space="preserve">“The anti-SLAPP statute ‘provides a procedure for weeding out, at an early stage, meritless claims arising from protected activity.’  </w:t>
      </w:r>
      <w:r w:rsidR="00571C4A">
        <w:t>(</w:t>
      </w:r>
      <w:r w:rsidRPr="009C7E9B" w:rsidR="00436A15">
        <w:rPr>
          <w:i/>
          <w:iCs/>
        </w:rPr>
        <w:t>Baral</w:t>
      </w:r>
      <w:r w:rsidR="00571C4A">
        <w:t>[</w:t>
      </w:r>
      <w:r w:rsidRPr="009C7E9B" w:rsidR="00086C82">
        <w:rPr>
          <w:i/>
          <w:iCs/>
        </w:rPr>
        <w:t> </w:t>
      </w:r>
      <w:r w:rsidRPr="009C7E9B" w:rsidR="00436A15">
        <w:rPr>
          <w:i/>
          <w:iCs/>
        </w:rPr>
        <w:t xml:space="preserve">v. </w:t>
      </w:r>
      <w:bookmarkStart w:id="5" w:name="dabmci_d244cb34ce814531aae113f20cb39761"/>
      <w:r w:rsidRPr="009C7E9B" w:rsidR="00436A15">
        <w:rPr>
          <w:i/>
          <w:iCs/>
        </w:rPr>
        <w:t>Schnitt</w:t>
      </w:r>
      <w:r w:rsidRPr="009C7E9B" w:rsidR="00436A15">
        <w:t xml:space="preserve"> (2016)</w:t>
      </w:r>
      <w:r w:rsidR="00571C4A">
        <w:t>]</w:t>
      </w:r>
      <w:r w:rsidRPr="009C7E9B" w:rsidR="00436A15">
        <w:t xml:space="preserve"> 1</w:t>
      </w:r>
      <w:r w:rsidRPr="009C7E9B" w:rsidR="00086C82">
        <w:t> Cal.</w:t>
      </w:r>
      <w:r w:rsidRPr="009C7E9B" w:rsidR="00436A15">
        <w:t xml:space="preserve">5th </w:t>
      </w:r>
      <w:r w:rsidR="00571C4A">
        <w:t>[</w:t>
      </w:r>
      <w:r w:rsidRPr="009C7E9B" w:rsidR="00436A15">
        <w:t>376,</w:t>
      </w:r>
      <w:r w:rsidR="00571C4A">
        <w:t>]</w:t>
      </w:r>
      <w:r w:rsidRPr="009C7E9B" w:rsidR="00436A15">
        <w:t xml:space="preserve"> 384</w:t>
      </w:r>
      <w:bookmarkEnd w:id="5"/>
      <w:r w:rsidRPr="009C7E9B" w:rsidR="00436A15">
        <w:t xml:space="preserve">.)  The statute applies to ‘cause[s] of action against a person </w:t>
      </w:r>
      <w:r w:rsidRPr="009C7E9B" w:rsidR="00436A15">
        <w:rPr>
          <w:i/>
          <w:iCs/>
        </w:rPr>
        <w:t>arising from any act of that person in furtherance of the person’s right of petition or free speech</w:t>
      </w:r>
      <w:r w:rsidRPr="009C7E9B" w:rsidR="00436A15">
        <w:t xml:space="preserve"> under the United States Constitution or the California Constitution in connection with a public issue.’  (</w:t>
      </w:r>
      <w:r w:rsidRPr="004647DF" w:rsidR="00086C82">
        <w:t>§ </w:t>
      </w:r>
      <w:r w:rsidRPr="004647DF" w:rsidR="00436A15">
        <w:t>425.16, subd. (b)(1)</w:t>
      </w:r>
      <w:r w:rsidR="00571C4A">
        <w:t>, italics added</w:t>
      </w:r>
      <w:r w:rsidRPr="004647DF" w:rsidR="00436A15">
        <w:t>.)</w:t>
      </w:r>
      <w:r w:rsidR="00571C4A">
        <w:t>”</w:t>
      </w:r>
      <w:r w:rsidRPr="004647DF">
        <w:t xml:space="preserve">  </w:t>
      </w:r>
      <w:r w:rsidRPr="00736D15" w:rsidR="00571C4A">
        <w:t>(</w:t>
      </w:r>
      <w:bookmarkStart w:id="6" w:name="dabmci_d5a0ded2a6104a0ca125c00a4b5c157c"/>
      <w:r w:rsidRPr="00736D15" w:rsidR="00571C4A">
        <w:rPr>
          <w:i/>
          <w:iCs/>
        </w:rPr>
        <w:t>Sheley v. Harrop</w:t>
      </w:r>
      <w:r w:rsidRPr="00736D15" w:rsidR="00571C4A">
        <w:t xml:space="preserve"> (2017) 9 Cal.App.5th 1147, 1161</w:t>
      </w:r>
      <w:bookmarkEnd w:id="6"/>
      <w:r w:rsidR="00571C4A">
        <w:t xml:space="preserve">, some italics omitted.)  </w:t>
      </w:r>
    </w:p>
    <w:p w:rsidR="008A76CD" w:rsidRPr="00A87C0D" w:rsidP="00A754BD" w14:paraId="58F79140" w14:textId="209007EC">
      <w:pPr>
        <w:ind w:firstLine="720"/>
      </w:pPr>
      <w:r w:rsidRPr="00A87C0D">
        <w:t>The phrase “cause of action” as used in section 425.16 is a term of art</w:t>
      </w:r>
      <w:r w:rsidRPr="00A87C0D" w:rsidR="00E35185">
        <w:t>.  (</w:t>
      </w:r>
      <w:bookmarkStart w:id="7" w:name="dabmci_7163d0aa8cc24ba6add735a81df131c3"/>
      <w:r w:rsidRPr="00A87C0D" w:rsidR="00E35185">
        <w:rPr>
          <w:i/>
          <w:iCs/>
        </w:rPr>
        <w:t>Baral</w:t>
      </w:r>
      <w:r w:rsidRPr="009C7E9B" w:rsidR="00571C4A">
        <w:rPr>
          <w:i/>
          <w:iCs/>
        </w:rPr>
        <w:t> v. Schnitt</w:t>
      </w:r>
      <w:r w:rsidRPr="00A87C0D" w:rsidR="00E35185">
        <w:t xml:space="preserve">, </w:t>
      </w:r>
      <w:r w:rsidRPr="00A87C0D" w:rsidR="00E35185">
        <w:rPr>
          <w:i/>
          <w:iCs/>
        </w:rPr>
        <w:t>supra</w:t>
      </w:r>
      <w:r w:rsidRPr="00A87C0D" w:rsidR="00E35185">
        <w:t>, 1</w:t>
      </w:r>
      <w:r w:rsidRPr="00A87C0D" w:rsidR="00086C82">
        <w:t> Cal.</w:t>
      </w:r>
      <w:r w:rsidRPr="00A87C0D" w:rsidR="00E35185">
        <w:t xml:space="preserve">5th at </w:t>
      </w:r>
      <w:r w:rsidRPr="00A87C0D" w:rsidR="006675EA">
        <w:t>p</w:t>
      </w:r>
      <w:r w:rsidRPr="00A87C0D" w:rsidR="00086C82">
        <w:t>p. </w:t>
      </w:r>
      <w:r w:rsidRPr="00A87C0D" w:rsidR="00E35185">
        <w:t>381-382</w:t>
      </w:r>
      <w:r w:rsidRPr="009C7E9B" w:rsidR="00571C4A">
        <w:t xml:space="preserve"> (</w:t>
      </w:r>
      <w:r w:rsidRPr="009C7E9B" w:rsidR="00571C4A">
        <w:rPr>
          <w:i/>
          <w:iCs/>
        </w:rPr>
        <w:t>Baral</w:t>
      </w:r>
      <w:r w:rsidRPr="009C7E9B" w:rsidR="00571C4A">
        <w:t>)</w:t>
      </w:r>
      <w:bookmarkEnd w:id="7"/>
      <w:r w:rsidRPr="00A87C0D" w:rsidR="00E35185">
        <w:t xml:space="preserve">.) </w:t>
      </w:r>
      <w:r w:rsidRPr="00A87C0D" w:rsidR="009300E1">
        <w:t xml:space="preserve"> </w:t>
      </w:r>
      <w:r w:rsidRPr="00A87C0D" w:rsidR="00E35185">
        <w:t>Specifically, “cause of action” in section 425.16 refers to “allegations of protected activity that are asserted as grounds for relief</w:t>
      </w:r>
      <w:r w:rsidRPr="00A87C0D" w:rsidR="008D261F">
        <w:t>.</w:t>
      </w:r>
      <w:r w:rsidRPr="00A87C0D" w:rsidR="00E35185">
        <w:t>”</w:t>
      </w:r>
      <w:r w:rsidRPr="00A87C0D" w:rsidR="00436A15">
        <w:t xml:space="preserve"> </w:t>
      </w:r>
      <w:r w:rsidRPr="00A87C0D" w:rsidR="00BE7DB9">
        <w:t xml:space="preserve"> </w:t>
      </w:r>
      <w:r w:rsidRPr="00A87C0D">
        <w:t>(</w:t>
      </w:r>
      <w:bookmarkStart w:id="8" w:name="dabmci_99443f03708a4030bb875493d1ae109f"/>
      <w:r w:rsidRPr="00A87C0D" w:rsidR="002E49E2">
        <w:rPr>
          <w:i/>
          <w:iCs/>
        </w:rPr>
        <w:t>Baral</w:t>
      </w:r>
      <w:r w:rsidRPr="00A87C0D" w:rsidR="002E49E2">
        <w:t>,</w:t>
      </w:r>
      <w:r w:rsidRPr="00A87C0D" w:rsidR="008D261F">
        <w:t xml:space="preserve"> </w:t>
      </w:r>
      <w:r w:rsidRPr="00A87C0D">
        <w:t xml:space="preserve">at </w:t>
      </w:r>
      <w:r w:rsidRPr="00A87C0D" w:rsidR="00086C82">
        <w:t>p. </w:t>
      </w:r>
      <w:r w:rsidRPr="00A87C0D" w:rsidR="00E35185">
        <w:t>395</w:t>
      </w:r>
      <w:bookmarkEnd w:id="8"/>
      <w:r w:rsidRPr="00A87C0D" w:rsidR="00A87C0D">
        <w:t>, italics omitted</w:t>
      </w:r>
      <w:r w:rsidRPr="00A87C0D">
        <w:t>.)  “Section 425.16 is not concerned with how a complaint is framed, or how the primary right theory might define a cause of action.  While an anti-SLAPP motion may challenge any claim for relief founded on allegations of protected activity, it does not reach claims based on unprotected activity.”  (</w:t>
      </w:r>
      <w:bookmarkStart w:id="9" w:name="dabmci_acad17f2f1174f789a919fae499b6a82"/>
      <w:r w:rsidR="00A87C0D">
        <w:rPr>
          <w:i/>
          <w:iCs/>
        </w:rPr>
        <w:t>Id</w:t>
      </w:r>
      <w:r w:rsidR="00A87C0D">
        <w:t>.</w:t>
      </w:r>
      <w:r w:rsidRPr="00A87C0D" w:rsidR="00E35185">
        <w:t xml:space="preserve"> at </w:t>
      </w:r>
      <w:r w:rsidRPr="00A87C0D" w:rsidR="00086C82">
        <w:t>p. </w:t>
      </w:r>
      <w:r w:rsidRPr="00A87C0D" w:rsidR="00E35185">
        <w:t>382</w:t>
      </w:r>
      <w:bookmarkEnd w:id="9"/>
      <w:r w:rsidRPr="00B12B6D">
        <w:t>.</w:t>
      </w:r>
      <w:r w:rsidRPr="00A87C0D">
        <w:t xml:space="preserve">)  </w:t>
      </w:r>
      <w:r w:rsidRPr="00B001B9" w:rsidR="008D261F">
        <w:t>Thus, a single cause of action</w:t>
      </w:r>
      <w:r w:rsidRPr="00B001B9" w:rsidR="003707F1">
        <w:t>, as identified in a complaint,</w:t>
      </w:r>
      <w:r w:rsidRPr="00B001B9" w:rsidR="008D261F">
        <w:t xml:space="preserve"> may contain multiple claims (or theories) for relief, some of which arise out of protected activity and some </w:t>
      </w:r>
      <w:r w:rsidRPr="00B001B9" w:rsidR="00CB5B3A">
        <w:t xml:space="preserve">of </w:t>
      </w:r>
      <w:r w:rsidRPr="00B001B9" w:rsidR="008D261F">
        <w:t>which do not.</w:t>
      </w:r>
      <w:r w:rsidRPr="00B001B9" w:rsidR="00402920">
        <w:t xml:space="preserve">  (</w:t>
      </w:r>
      <w:bookmarkStart w:id="10" w:name="dabmci_21833eec5ee349fdaedc4ce26810c671"/>
      <w:r w:rsidRPr="00B001B9" w:rsidR="00402920">
        <w:rPr>
          <w:i/>
          <w:iCs/>
        </w:rPr>
        <w:t>Ibid</w:t>
      </w:r>
      <w:r w:rsidRPr="00B001B9" w:rsidR="00402920">
        <w:t>.</w:t>
      </w:r>
      <w:bookmarkEnd w:id="10"/>
      <w:r w:rsidRPr="00B001B9" w:rsidR="00402920">
        <w:t>)</w:t>
      </w:r>
      <w:r w:rsidRPr="00B001B9" w:rsidR="008D261F">
        <w:t xml:space="preserve">  Section</w:t>
      </w:r>
      <w:r w:rsidRPr="00A87C0D" w:rsidR="008D261F">
        <w:t xml:space="preserve"> 425.16 is </w:t>
      </w:r>
      <w:r w:rsidRPr="00A87C0D" w:rsidR="00CA20FA">
        <w:t xml:space="preserve">only </w:t>
      </w:r>
      <w:r w:rsidRPr="00A87C0D" w:rsidR="008D261F">
        <w:t>concerned with claims that arise out of protected activity.</w:t>
      </w:r>
      <w:r w:rsidRPr="00A87C0D">
        <w:t xml:space="preserve"> </w:t>
      </w:r>
      <w:r w:rsidRPr="00A87C0D" w:rsidR="00743D6F">
        <w:t xml:space="preserve"> </w:t>
      </w:r>
      <w:r w:rsidRPr="00A87C0D">
        <w:t>(</w:t>
      </w:r>
      <w:bookmarkStart w:id="11" w:name="dabmci_47fff52141984fa4a3d8be13a1631c26"/>
      <w:r w:rsidRPr="00A87C0D" w:rsidR="00A87C0D">
        <w:rPr>
          <w:i/>
          <w:iCs/>
        </w:rPr>
        <w:t>B</w:t>
      </w:r>
      <w:r w:rsidR="005D0920">
        <w:rPr>
          <w:i/>
          <w:iCs/>
        </w:rPr>
        <w:t>a</w:t>
      </w:r>
      <w:r w:rsidRPr="00A87C0D" w:rsidR="00A87C0D">
        <w:rPr>
          <w:i/>
          <w:iCs/>
        </w:rPr>
        <w:t>ral</w:t>
      </w:r>
      <w:r w:rsidRPr="00A87C0D" w:rsidR="00A87C0D">
        <w:t>, at p. 382</w:t>
      </w:r>
      <w:bookmarkEnd w:id="11"/>
      <w:r w:rsidRPr="00A87C0D">
        <w:t>.)</w:t>
      </w:r>
      <w:r w:rsidR="009A5A06">
        <w:t xml:space="preserve">  </w:t>
      </w:r>
    </w:p>
    <w:p w:rsidR="00BE7DB9" w:rsidRPr="00187DE9" w:rsidP="00A754BD" w14:paraId="7601F1D3" w14:textId="2D090D95">
      <w:pPr>
        <w:ind w:firstLine="720"/>
        <w:rPr>
          <w:highlight w:val="cyan"/>
        </w:rPr>
      </w:pPr>
      <w:r w:rsidRPr="005C6A06">
        <w:t xml:space="preserve">When considering a </w:t>
      </w:r>
      <w:r w:rsidRPr="005C6A06" w:rsidR="00A52150">
        <w:t xml:space="preserve">special motion to strike under </w:t>
      </w:r>
      <w:r w:rsidRPr="005C6A06" w:rsidR="00D75B34">
        <w:t>section 425.16</w:t>
      </w:r>
      <w:r w:rsidRPr="005C6A06">
        <w:t>, the court engages in a two-step process.  (</w:t>
      </w:r>
      <w:bookmarkStart w:id="12" w:name="dabmci_de9c1c3e56944964a537a8b1b7f9d8d3"/>
      <w:r w:rsidRPr="005C6A06">
        <w:rPr>
          <w:i/>
          <w:iCs/>
        </w:rPr>
        <w:t>Bonni v. St. Joseph Health System</w:t>
      </w:r>
      <w:r w:rsidRPr="005C6A06">
        <w:t xml:space="preserve"> (2021) </w:t>
      </w:r>
      <w:bookmarkStart w:id="13" w:name="_Hlk147926113"/>
      <w:r w:rsidRPr="005C6A06">
        <w:t>11</w:t>
      </w:r>
      <w:r w:rsidRPr="005C6A06" w:rsidR="00086C82">
        <w:t> Cal.</w:t>
      </w:r>
      <w:r w:rsidRPr="005C6A06">
        <w:t>5</w:t>
      </w:r>
      <w:r w:rsidRPr="005C6A06" w:rsidR="008C4E03">
        <w:t>th</w:t>
      </w:r>
      <w:bookmarkEnd w:id="13"/>
      <w:r w:rsidRPr="005C6A06">
        <w:t xml:space="preserve"> 995, 1009</w:t>
      </w:r>
      <w:r w:rsidRPr="005C6A06" w:rsidR="002B2F39">
        <w:t xml:space="preserve"> (</w:t>
      </w:r>
      <w:r w:rsidRPr="005C6A06" w:rsidR="002B2F39">
        <w:rPr>
          <w:i/>
          <w:iCs/>
        </w:rPr>
        <w:t>Bonni</w:t>
      </w:r>
      <w:r w:rsidRPr="00C56A52" w:rsidR="002B2F39">
        <w:t>)</w:t>
      </w:r>
      <w:bookmarkEnd w:id="12"/>
      <w:r w:rsidRPr="00C56A52">
        <w:t xml:space="preserve">.)  First, the court considers whether the defendant has established that the challenged </w:t>
      </w:r>
      <w:r w:rsidRPr="00C56A52" w:rsidR="00136F00">
        <w:t>claim for relief</w:t>
      </w:r>
      <w:r w:rsidRPr="00C56A52">
        <w:t xml:space="preserve"> arise</w:t>
      </w:r>
      <w:r w:rsidRPr="00C56A52" w:rsidR="00D75B34">
        <w:t>s</w:t>
      </w:r>
      <w:r w:rsidRPr="00C56A52">
        <w:t xml:space="preserve"> from </w:t>
      </w:r>
      <w:r w:rsidRPr="00C56A52" w:rsidR="009D78FE">
        <w:t>an activity protected under section 425.16, subdivision (e)</w:t>
      </w:r>
      <w:r w:rsidRPr="00C56A52">
        <w:t>.  (</w:t>
      </w:r>
      <w:bookmarkStart w:id="14" w:name="dabmci_6a6ad9477f2342eaa2303225a5d5196d"/>
      <w:r w:rsidRPr="00C56A52" w:rsidR="00A52150">
        <w:rPr>
          <w:i/>
          <w:iCs/>
        </w:rPr>
        <w:t>Bonni</w:t>
      </w:r>
      <w:r w:rsidRPr="00C56A52" w:rsidR="00A52150">
        <w:t xml:space="preserve">, at </w:t>
      </w:r>
      <w:r w:rsidRPr="00C56A52" w:rsidR="00086C82">
        <w:t>p. </w:t>
      </w:r>
      <w:r w:rsidRPr="00C56A52" w:rsidR="00A52150">
        <w:t>1009</w:t>
      </w:r>
      <w:bookmarkEnd w:id="14"/>
      <w:r w:rsidRPr="00C56A52">
        <w:t xml:space="preserve">.)  Second, the court considers whether the plaintiff has demonstrated </w:t>
      </w:r>
      <w:r w:rsidR="00920EBE">
        <w:t>the claim has minimal merit</w:t>
      </w:r>
      <w:r w:rsidRPr="00C56A52">
        <w:t>.</w:t>
      </w:r>
      <w:r w:rsidRPr="00C56A52" w:rsidR="00E53291">
        <w:t xml:space="preserve">  (</w:t>
      </w:r>
      <w:bookmarkStart w:id="15" w:name="dabmci_60bdd3b209d44d77b8cb010513931736"/>
      <w:r w:rsidRPr="00C56A52" w:rsidR="00E53291">
        <w:rPr>
          <w:i/>
          <w:iCs/>
        </w:rPr>
        <w:t>Ibid</w:t>
      </w:r>
      <w:r w:rsidRPr="00C56A52" w:rsidR="00E53291">
        <w:t>.</w:t>
      </w:r>
      <w:bookmarkEnd w:id="15"/>
      <w:r w:rsidRPr="00C56A52" w:rsidR="00E53291">
        <w:t>)</w:t>
      </w:r>
      <w:r w:rsidRPr="00C56A52">
        <w:t xml:space="preserve">  If the defendant shows that the plaintiff’s </w:t>
      </w:r>
      <w:r w:rsidRPr="00C56A52" w:rsidR="00136F00">
        <w:t>claim for relief</w:t>
      </w:r>
      <w:r w:rsidRPr="00C56A52">
        <w:t xml:space="preserve"> </w:t>
      </w:r>
      <w:r w:rsidRPr="00C56A52" w:rsidR="002B2F39">
        <w:t>arise</w:t>
      </w:r>
      <w:r w:rsidRPr="00C56A52">
        <w:t>s</w:t>
      </w:r>
      <w:r w:rsidRPr="00C56A52" w:rsidR="002B2F39">
        <w:t xml:space="preserve"> from</w:t>
      </w:r>
      <w:r w:rsidRPr="00C56A52">
        <w:t xml:space="preserve"> a protected activity and the plaintiff fails to demonstrate </w:t>
      </w:r>
      <w:r w:rsidR="00920EBE">
        <w:t>minimal merit</w:t>
      </w:r>
      <w:r w:rsidRPr="00C56A52">
        <w:t xml:space="preserve">, the court must strike the </w:t>
      </w:r>
      <w:r w:rsidRPr="00C56A52" w:rsidR="00136F00">
        <w:t>claim for relief</w:t>
      </w:r>
      <w:r w:rsidRPr="00C56A52">
        <w:t>.  (</w:t>
      </w:r>
      <w:bookmarkStart w:id="16" w:name="dabmci_050017921afd42ce947d0b972af57b9d"/>
      <w:r w:rsidRPr="00C56A52">
        <w:rPr>
          <w:i/>
          <w:iCs/>
        </w:rPr>
        <w:t>Ibid</w:t>
      </w:r>
      <w:r w:rsidRPr="00C56A52">
        <w:t>.</w:t>
      </w:r>
      <w:bookmarkEnd w:id="16"/>
      <w:r w:rsidRPr="00C56A52">
        <w:t xml:space="preserve">)  </w:t>
      </w:r>
    </w:p>
    <w:p w:rsidR="00B14548" w:rsidRPr="00187DE9" w:rsidP="003306EF" w14:paraId="4E764F96" w14:textId="068233BF">
      <w:pPr>
        <w:keepNext/>
        <w:jc w:val="center"/>
      </w:pPr>
      <w:r w:rsidRPr="00187DE9">
        <w:t>I</w:t>
      </w:r>
    </w:p>
    <w:p w:rsidR="00B14548" w:rsidRPr="00187DE9" w:rsidP="00CA20FA" w14:paraId="30D932FF" w14:textId="14D2C31E">
      <w:pPr>
        <w:keepNext/>
        <w:jc w:val="center"/>
        <w:rPr>
          <w:i/>
          <w:iCs/>
        </w:rPr>
      </w:pPr>
      <w:r w:rsidRPr="00187DE9">
        <w:rPr>
          <w:i/>
          <w:iCs/>
        </w:rPr>
        <w:t xml:space="preserve">The </w:t>
      </w:r>
      <w:r w:rsidRPr="00187DE9" w:rsidR="006B1AF0">
        <w:rPr>
          <w:i/>
          <w:iCs/>
        </w:rPr>
        <w:t xml:space="preserve">County </w:t>
      </w:r>
      <w:r w:rsidRPr="00187DE9" w:rsidR="008D261F">
        <w:rPr>
          <w:i/>
          <w:iCs/>
        </w:rPr>
        <w:t xml:space="preserve">Was Not Required To Comply With </w:t>
      </w:r>
      <w:bookmarkStart w:id="17" w:name="dabmci_630d74cbe5664ccbac38094a3bf203af"/>
      <w:r w:rsidRPr="00187DE9" w:rsidR="008D261F">
        <w:rPr>
          <w:i/>
          <w:iCs/>
        </w:rPr>
        <w:t>Rule 3.1322</w:t>
      </w:r>
      <w:bookmarkEnd w:id="17"/>
    </w:p>
    <w:p w:rsidR="006B1AF0" w:rsidRPr="00187DE9" w:rsidP="008A6598" w14:paraId="25567D9E" w14:textId="5767A666">
      <w:pPr>
        <w:ind w:firstLine="720"/>
        <w:rPr>
          <w:highlight w:val="cyan"/>
        </w:rPr>
      </w:pPr>
      <w:r w:rsidRPr="00C56A52">
        <w:t>The County contends th</w:t>
      </w:r>
      <w:r w:rsidRPr="00C56A52" w:rsidR="000F747D">
        <w:t xml:space="preserve">e trial court improperly applied </w:t>
      </w:r>
      <w:bookmarkStart w:id="18" w:name="dabmci_34ece9b763864a6e9fb026c07787d22c"/>
      <w:r w:rsidRPr="00C56A52">
        <w:t>rule 3.1322</w:t>
      </w:r>
      <w:bookmarkEnd w:id="18"/>
      <w:r w:rsidRPr="00C56A52" w:rsidR="00905CE1">
        <w:t xml:space="preserve"> to deny its </w:t>
      </w:r>
      <w:r w:rsidRPr="00C56A52" w:rsidR="00F51D67">
        <w:t xml:space="preserve">special </w:t>
      </w:r>
      <w:r w:rsidRPr="00C56A52" w:rsidR="00905CE1">
        <w:t>motion</w:t>
      </w:r>
      <w:r w:rsidRPr="00C56A52" w:rsidR="00F51D67">
        <w:t xml:space="preserve"> to strike</w:t>
      </w:r>
      <w:r w:rsidRPr="00C56A52">
        <w:t>.  We agree.</w:t>
      </w:r>
      <w:r w:rsidRPr="00C56A52" w:rsidR="001F3CD5">
        <w:t xml:space="preserve">  </w:t>
      </w:r>
    </w:p>
    <w:p w:rsidR="00AC2E09" w:rsidRPr="00AF5DCA" w:rsidP="008A6598" w14:paraId="76C3FFBE" w14:textId="1C09771B">
      <w:pPr>
        <w:ind w:firstLine="720"/>
      </w:pPr>
      <w:r w:rsidRPr="00C56A52">
        <w:t xml:space="preserve">We review de novo the trial court’s interpretation of </w:t>
      </w:r>
      <w:bookmarkStart w:id="19" w:name="dabmci_efdae63480c74c2e8b3b66f004ab80d3"/>
      <w:r w:rsidRPr="00C56A52" w:rsidR="009300E1">
        <w:t>rule 3.1322</w:t>
      </w:r>
      <w:bookmarkEnd w:id="19"/>
      <w:r w:rsidRPr="00C56A52" w:rsidR="00D25E73">
        <w:t>.  (</w:t>
      </w:r>
      <w:bookmarkStart w:id="20" w:name="dabmci_09c72295eaef4ae38c76dcf83ae50bd0"/>
      <w:r w:rsidRPr="00C56A52" w:rsidR="00D25E73">
        <w:rPr>
          <w:i/>
          <w:iCs/>
        </w:rPr>
        <w:t xml:space="preserve">Central Delta Water Agency v. </w:t>
      </w:r>
      <w:r w:rsidRPr="00C56A52" w:rsidR="00CA20FA">
        <w:rPr>
          <w:i/>
          <w:iCs/>
        </w:rPr>
        <w:t>Dep</w:t>
      </w:r>
      <w:r w:rsidRPr="00C56A52" w:rsidR="00C56A52">
        <w:rPr>
          <w:i/>
          <w:iCs/>
        </w:rPr>
        <w:t>ar</w:t>
      </w:r>
      <w:r w:rsidRPr="00C56A52" w:rsidR="00CA20FA">
        <w:rPr>
          <w:i/>
          <w:iCs/>
        </w:rPr>
        <w:t>t</w:t>
      </w:r>
      <w:r w:rsidRPr="00C56A52" w:rsidR="00C56A52">
        <w:rPr>
          <w:i/>
          <w:iCs/>
        </w:rPr>
        <w:t>ment</w:t>
      </w:r>
      <w:r w:rsidRPr="00C56A52" w:rsidR="00CA20FA">
        <w:rPr>
          <w:i/>
          <w:iCs/>
        </w:rPr>
        <w:t xml:space="preserve"> </w:t>
      </w:r>
      <w:r w:rsidRPr="00C56A52" w:rsidR="00D25E73">
        <w:rPr>
          <w:i/>
          <w:iCs/>
        </w:rPr>
        <w:t>of Water Resources</w:t>
      </w:r>
      <w:r w:rsidRPr="00C56A52">
        <w:t xml:space="preserve"> (2021) 69</w:t>
      </w:r>
      <w:r w:rsidRPr="00C56A52" w:rsidR="00086C82">
        <w:t> Cal.</w:t>
      </w:r>
      <w:r w:rsidRPr="00C56A52">
        <w:t>App.5th 170, 212</w:t>
      </w:r>
      <w:bookmarkEnd w:id="20"/>
      <w:r w:rsidRPr="00C56A52">
        <w:t xml:space="preserve">.) </w:t>
      </w:r>
      <w:r w:rsidRPr="00C56A52" w:rsidR="00D25E73">
        <w:t xml:space="preserve"> </w:t>
      </w:r>
      <w:bookmarkStart w:id="21" w:name="dabmci_991ef092f45946b1bc7538b00c8c05ed"/>
      <w:r w:rsidRPr="00C56A52" w:rsidR="001F3CD5">
        <w:t>Rule 3.1322</w:t>
      </w:r>
      <w:bookmarkEnd w:id="21"/>
      <w:r w:rsidRPr="00C56A52" w:rsidR="001F3CD5">
        <w:t xml:space="preserve"> provides that a motion to strike “must quote in full the portions sought to be stricken except where the motion is to strike an entire paragraph, cause of action, count, or defense.”  (</w:t>
      </w:r>
      <w:bookmarkStart w:id="22" w:name="dabmci_f1f9b63701124e74852980d7ad577cd7"/>
      <w:r w:rsidRPr="00C56A52" w:rsidR="001F3CD5">
        <w:t>Rule 3.1322(a)</w:t>
      </w:r>
      <w:bookmarkEnd w:id="22"/>
      <w:r w:rsidRPr="00C56A52" w:rsidR="001F3CD5">
        <w:t>.)</w:t>
      </w:r>
      <w:r w:rsidRPr="00C56A52" w:rsidR="005B4CB0">
        <w:t xml:space="preserve">  </w:t>
      </w:r>
      <w:bookmarkStart w:id="23" w:name="dabmci_22644a866bac4738834bc933c16b20e6"/>
      <w:r w:rsidRPr="005A1DB3" w:rsidR="00EF4470">
        <w:t xml:space="preserve">Citing </w:t>
      </w:r>
      <w:r w:rsidRPr="00A87C0D" w:rsidR="00EF4470">
        <w:rPr>
          <w:i/>
          <w:iCs/>
        </w:rPr>
        <w:t>Baral</w:t>
      </w:r>
      <w:r w:rsidRPr="00A87C0D" w:rsidR="008D261F">
        <w:t xml:space="preserve">, </w:t>
      </w:r>
      <w:r w:rsidRPr="00A87C0D" w:rsidR="008D261F">
        <w:rPr>
          <w:i/>
          <w:iCs/>
        </w:rPr>
        <w:t>supra</w:t>
      </w:r>
      <w:r w:rsidRPr="00A87C0D" w:rsidR="008D261F">
        <w:t>,</w:t>
      </w:r>
      <w:r w:rsidRPr="00A87C0D" w:rsidR="00EF4470">
        <w:t xml:space="preserve"> 1</w:t>
      </w:r>
      <w:r w:rsidRPr="00A87C0D" w:rsidR="00086C82">
        <w:t> Cal.</w:t>
      </w:r>
      <w:r w:rsidRPr="00A87C0D" w:rsidR="00EF4470">
        <w:t xml:space="preserve">5th </w:t>
      </w:r>
      <w:r w:rsidRPr="00A87C0D" w:rsidR="008D261F">
        <w:t xml:space="preserve">at </w:t>
      </w:r>
      <w:r w:rsidRPr="00A87C0D" w:rsidR="00086C82">
        <w:t>p</w:t>
      </w:r>
      <w:r w:rsidR="00AF5DCA">
        <w:t>ages</w:t>
      </w:r>
      <w:r w:rsidRPr="00A87C0D" w:rsidR="00086C82">
        <w:t> </w:t>
      </w:r>
      <w:r w:rsidR="00AF5DCA">
        <w:t>393-</w:t>
      </w:r>
      <w:r w:rsidRPr="00A87C0D" w:rsidR="00EF4470">
        <w:t>394</w:t>
      </w:r>
      <w:bookmarkEnd w:id="23"/>
      <w:r w:rsidRPr="00A87C0D" w:rsidR="00EF4470">
        <w:t xml:space="preserve">, </w:t>
      </w:r>
      <w:r w:rsidRPr="005A1DB3" w:rsidR="00EF4470">
        <w:t>p</w:t>
      </w:r>
      <w:r w:rsidRPr="005A1DB3" w:rsidR="005B4CB0">
        <w:t xml:space="preserve">laintiff </w:t>
      </w:r>
      <w:r w:rsidRPr="005A1DB3" w:rsidR="00EF4470">
        <w:t xml:space="preserve">argues a defendant must comply with </w:t>
      </w:r>
      <w:bookmarkStart w:id="24" w:name="dabmci_40c598a11eed4375a1407502b36c0312"/>
      <w:r w:rsidRPr="005A1DB3" w:rsidR="00EF4470">
        <w:t>rule 3.1322</w:t>
      </w:r>
      <w:bookmarkEnd w:id="24"/>
      <w:r w:rsidRPr="005A1DB3" w:rsidR="00EF4470">
        <w:t xml:space="preserve"> when bringing a</w:t>
      </w:r>
      <w:r w:rsidRPr="005A1DB3" w:rsidR="005B4CB0">
        <w:t xml:space="preserve"> special motion to strike</w:t>
      </w:r>
      <w:r w:rsidRPr="005A1DB3" w:rsidR="005926C8">
        <w:t xml:space="preserve"> under section 425.16</w:t>
      </w:r>
      <w:r w:rsidRPr="005A1DB3" w:rsidR="00AB199C">
        <w:t xml:space="preserve">.  </w:t>
      </w:r>
      <w:r w:rsidRPr="00AF5DCA" w:rsidR="00C82303">
        <w:t xml:space="preserve">In </w:t>
      </w:r>
      <w:bookmarkStart w:id="25" w:name="dabmci_c0d7e1e44fda4dac9aa5bc72d10bebc5"/>
      <w:r w:rsidRPr="00AF5DCA" w:rsidR="00C82303">
        <w:rPr>
          <w:i/>
          <w:iCs/>
        </w:rPr>
        <w:t>Baral</w:t>
      </w:r>
      <w:bookmarkEnd w:id="25"/>
      <w:r w:rsidRPr="00AF5DCA" w:rsidR="00C82303">
        <w:t xml:space="preserve">, </w:t>
      </w:r>
      <w:r w:rsidRPr="00AF5DCA" w:rsidR="000F747D">
        <w:t xml:space="preserve">our </w:t>
      </w:r>
      <w:r w:rsidRPr="00AF5DCA" w:rsidR="00C82303">
        <w:t xml:space="preserve">Supreme Court </w:t>
      </w:r>
      <w:r w:rsidRPr="00AF5DCA" w:rsidR="00136F00">
        <w:t xml:space="preserve">held that the term “cause of action” as used in section 425.16 </w:t>
      </w:r>
      <w:r w:rsidRPr="00AF5DCA" w:rsidR="00197278">
        <w:t xml:space="preserve">does </w:t>
      </w:r>
      <w:r w:rsidRPr="00AF5DCA" w:rsidR="00136F00">
        <w:t xml:space="preserve">not have the </w:t>
      </w:r>
      <w:r w:rsidRPr="00AF5DCA" w:rsidR="0053727E">
        <w:t xml:space="preserve">same </w:t>
      </w:r>
      <w:r w:rsidRPr="00AF5DCA" w:rsidR="00136F00">
        <w:t xml:space="preserve">definition of “cause of action” as used in </w:t>
      </w:r>
      <w:r w:rsidRPr="00AF5DCA" w:rsidR="00197278">
        <w:t xml:space="preserve">other </w:t>
      </w:r>
      <w:r w:rsidRPr="00AF5DCA" w:rsidR="00136F00">
        <w:t>context</w:t>
      </w:r>
      <w:r w:rsidRPr="00AF5DCA" w:rsidR="00197278">
        <w:t>s</w:t>
      </w:r>
      <w:r w:rsidRPr="00AF5DCA" w:rsidR="00136F00">
        <w:t>.</w:t>
      </w:r>
      <w:r w:rsidRPr="00AF5DCA" w:rsidR="006675EA">
        <w:t xml:space="preserve">  (</w:t>
      </w:r>
      <w:bookmarkStart w:id="26" w:name="dabmci_aabdc2bbde444cd1b5dacffd2952a355"/>
      <w:r w:rsidRPr="00AF5DCA" w:rsidR="00AF5DCA">
        <w:rPr>
          <w:i/>
          <w:iCs/>
        </w:rPr>
        <w:t>Baral</w:t>
      </w:r>
      <w:r w:rsidRPr="00AF5DCA" w:rsidR="00AF5DCA">
        <w:t>,</w:t>
      </w:r>
      <w:r w:rsidRPr="00AF5DCA" w:rsidR="00AF5DCA">
        <w:rPr>
          <w:i/>
          <w:iCs/>
        </w:rPr>
        <w:t xml:space="preserve"> </w:t>
      </w:r>
      <w:r w:rsidRPr="00AF5DCA" w:rsidR="006675EA">
        <w:t xml:space="preserve">at </w:t>
      </w:r>
      <w:r w:rsidRPr="00AF5DCA" w:rsidR="00086C82">
        <w:t>p. </w:t>
      </w:r>
      <w:r w:rsidRPr="00AF5DCA" w:rsidR="006675EA">
        <w:t>395</w:t>
      </w:r>
      <w:bookmarkEnd w:id="26"/>
      <w:r w:rsidRPr="00AF5DCA" w:rsidR="00153DFE">
        <w:t>.</w:t>
      </w:r>
      <w:r w:rsidRPr="00AF5DCA" w:rsidR="006675EA">
        <w:t>)</w:t>
      </w:r>
      <w:r w:rsidRPr="00AF5DCA" w:rsidR="00136F00">
        <w:t xml:space="preserve">  Instead, the </w:t>
      </w:r>
      <w:r w:rsidRPr="00AF5DCA" w:rsidR="00136F00">
        <w:rPr>
          <w:i/>
          <w:iCs/>
        </w:rPr>
        <w:t xml:space="preserve">Baral </w:t>
      </w:r>
      <w:r w:rsidRPr="00AF5DCA" w:rsidR="00136F00">
        <w:t xml:space="preserve">court </w:t>
      </w:r>
      <w:r w:rsidRPr="00AF5DCA" w:rsidR="00C82303">
        <w:t xml:space="preserve">concluded </w:t>
      </w:r>
      <w:r w:rsidRPr="00AF5DCA" w:rsidR="0053727E">
        <w:t>“cause of action”</w:t>
      </w:r>
      <w:r w:rsidRPr="00AF5DCA" w:rsidR="00304122">
        <w:t xml:space="preserve"> in section 425.16</w:t>
      </w:r>
      <w:r w:rsidRPr="00AF5DCA" w:rsidR="0053727E">
        <w:t xml:space="preserve"> </w:t>
      </w:r>
      <w:r w:rsidRPr="00AF5DCA">
        <w:t>meant</w:t>
      </w:r>
      <w:r w:rsidRPr="00AF5DCA" w:rsidR="0053727E">
        <w:t xml:space="preserve"> </w:t>
      </w:r>
      <w:r w:rsidRPr="00AF5DCA">
        <w:t>“allegations of protected activity that are asserted as grounds for relief”</w:t>
      </w:r>
      <w:r w:rsidRPr="00AF5DCA" w:rsidR="0053727E">
        <w:t xml:space="preserve"> </w:t>
      </w:r>
      <w:r w:rsidRPr="00AF5DCA" w:rsidR="00136F00">
        <w:t xml:space="preserve">within a </w:t>
      </w:r>
      <w:r w:rsidRPr="00AF5DCA" w:rsidR="00BE2262">
        <w:t>cause of action</w:t>
      </w:r>
      <w:r w:rsidRPr="00AF5DCA" w:rsidR="0004491E">
        <w:t xml:space="preserve"> in a complaint</w:t>
      </w:r>
      <w:r w:rsidRPr="00AF5DCA" w:rsidR="00767290">
        <w:t>.  (</w:t>
      </w:r>
      <w:bookmarkStart w:id="27" w:name="dabmci_d7b5b272cb1642b38b41ec0b1a53522b"/>
      <w:r w:rsidRPr="00AF5DCA" w:rsidR="0047653F">
        <w:rPr>
          <w:i/>
          <w:iCs/>
        </w:rPr>
        <w:t>Baral</w:t>
      </w:r>
      <w:r w:rsidRPr="00AF5DCA" w:rsidR="0047653F">
        <w:t>,</w:t>
      </w:r>
      <w:r w:rsidRPr="00AF5DCA" w:rsidR="0047653F">
        <w:rPr>
          <w:i/>
          <w:iCs/>
        </w:rPr>
        <w:t xml:space="preserve"> </w:t>
      </w:r>
      <w:r w:rsidRPr="00AF5DCA" w:rsidR="0047653F">
        <w:t xml:space="preserve">at </w:t>
      </w:r>
      <w:r w:rsidRPr="00AF5DCA" w:rsidR="00086C82">
        <w:t>p. </w:t>
      </w:r>
      <w:r w:rsidRPr="00AF5DCA" w:rsidR="0047653F">
        <w:t>39</w:t>
      </w:r>
      <w:r w:rsidRPr="00AF5DCA" w:rsidR="006675EA">
        <w:t>5</w:t>
      </w:r>
      <w:bookmarkEnd w:id="27"/>
      <w:r w:rsidRPr="00AF5DCA" w:rsidR="00AF5DCA">
        <w:t>, italics omitted</w:t>
      </w:r>
      <w:r w:rsidRPr="00AF5DCA" w:rsidR="00767290">
        <w:t xml:space="preserve">.)  </w:t>
      </w:r>
    </w:p>
    <w:p w:rsidR="009A73B6" w:rsidRPr="00187DE9" w:rsidP="009A73B6" w14:paraId="3444BDCA" w14:textId="6AFB1348">
      <w:pPr>
        <w:ind w:firstLine="720"/>
        <w:rPr>
          <w:highlight w:val="cyan"/>
        </w:rPr>
      </w:pPr>
      <w:r w:rsidRPr="00AF5DCA">
        <w:t>In doing so</w:t>
      </w:r>
      <w:r w:rsidRPr="00AF5DCA" w:rsidR="006826F0">
        <w:t>,</w:t>
      </w:r>
      <w:r w:rsidRPr="00AF5DCA">
        <w:t xml:space="preserve"> our Supreme Court noted the similarities between conventional motions to strike and special motions to strike under section 425.16</w:t>
      </w:r>
      <w:r w:rsidRPr="00AF5DCA" w:rsidR="00E53A25">
        <w:t xml:space="preserve"> </w:t>
      </w:r>
      <w:r w:rsidRPr="00AF5DCA" w:rsidR="00B35365">
        <w:t xml:space="preserve">but did not reference </w:t>
      </w:r>
      <w:bookmarkStart w:id="28" w:name="dabmci_955ca9c55b8049a595ab9112a81bbfc6"/>
      <w:r w:rsidRPr="00AF5DCA" w:rsidR="00B35365">
        <w:t>rule 3.1322</w:t>
      </w:r>
      <w:bookmarkEnd w:id="28"/>
      <w:r w:rsidRPr="00AF5DCA">
        <w:t>.  (</w:t>
      </w:r>
      <w:bookmarkStart w:id="29" w:name="dabmci_60783a9ca5d84204be27b50817b5fe47"/>
      <w:r w:rsidRPr="00AF5DCA">
        <w:rPr>
          <w:i/>
          <w:iCs/>
        </w:rPr>
        <w:t>Baral</w:t>
      </w:r>
      <w:r w:rsidRPr="00AF5DCA" w:rsidR="00AC2E09">
        <w:t xml:space="preserve">, </w:t>
      </w:r>
      <w:r w:rsidRPr="00AF5DCA" w:rsidR="00AC2E09">
        <w:rPr>
          <w:i/>
          <w:iCs/>
        </w:rPr>
        <w:t>supra</w:t>
      </w:r>
      <w:r w:rsidRPr="00AF5DCA" w:rsidR="00AC2E09">
        <w:t>, 1</w:t>
      </w:r>
      <w:r w:rsidRPr="00AF5DCA" w:rsidR="00086C82">
        <w:t> Cal.</w:t>
      </w:r>
      <w:r w:rsidRPr="00AF5DCA" w:rsidR="00AC2E09">
        <w:t>5th</w:t>
      </w:r>
      <w:r w:rsidRPr="00AF5DCA">
        <w:t xml:space="preserve"> at p</w:t>
      </w:r>
      <w:r w:rsidRPr="00AF5DCA" w:rsidR="00086C82">
        <w:t>p. </w:t>
      </w:r>
      <w:r w:rsidRPr="00AF5DCA">
        <w:t>393-394</w:t>
      </w:r>
      <w:bookmarkEnd w:id="29"/>
      <w:r w:rsidRPr="00AF5DCA">
        <w:t xml:space="preserve">.)  </w:t>
      </w:r>
      <w:r w:rsidRPr="00240D6F">
        <w:t>O</w:t>
      </w:r>
      <w:r w:rsidRPr="00240D6F" w:rsidR="002B5C2B">
        <w:t xml:space="preserve">ur Supreme </w:t>
      </w:r>
      <w:r w:rsidRPr="00240D6F">
        <w:t>Court provided guidance to parties and courts, as follows:  “For the benefit of litigants and courts involved in this sometimes difficult area of pretrial procedure, we provide a brief summary of the showings and findings required by section 425.16</w:t>
      </w:r>
      <w:r w:rsidRPr="00240D6F" w:rsidR="0053727E">
        <w:t xml:space="preserve">[, </w:t>
      </w:r>
      <w:r w:rsidRPr="00240D6F" w:rsidR="00E53A25">
        <w:t>subdivision </w:t>
      </w:r>
      <w:r w:rsidRPr="00240D6F" w:rsidR="0053727E">
        <w:t>]</w:t>
      </w:r>
      <w:r w:rsidRPr="00240D6F">
        <w:t xml:space="preserve">(b).  At the first step, the moving defendant bears the burden of identifying all allegations of protected activity, and the claims for relief supported by them. </w:t>
      </w:r>
      <w:r w:rsidRPr="00240D6F" w:rsidR="0053727E">
        <w:t xml:space="preserve"> </w:t>
      </w:r>
      <w:r w:rsidRPr="00240D6F">
        <w:t>When relief is sought based on allegations of both protected and unprotected activity, the unprotected activity is disregarded at this stage.  If the court determines that relief is sought based on allegations arising from activity protected by the statute, the second step is reached.”  (</w:t>
      </w:r>
      <w:bookmarkStart w:id="30" w:name="dabmci_f46c48aae80a46d2923b6102442b4d55"/>
      <w:r w:rsidR="00240D6F">
        <w:rPr>
          <w:i/>
          <w:iCs/>
        </w:rPr>
        <w:t>Id</w:t>
      </w:r>
      <w:r w:rsidR="00240D6F">
        <w:t>.</w:t>
      </w:r>
      <w:r w:rsidRPr="00240D6F">
        <w:t xml:space="preserve"> at </w:t>
      </w:r>
      <w:r w:rsidRPr="00240D6F" w:rsidR="00086C82">
        <w:t>p. </w:t>
      </w:r>
      <w:r w:rsidRPr="00240D6F">
        <w:t>396</w:t>
      </w:r>
      <w:bookmarkEnd w:id="30"/>
      <w:r w:rsidRPr="00240D6F">
        <w:t xml:space="preserve">.)  </w:t>
      </w:r>
    </w:p>
    <w:p w:rsidR="00767290" w:rsidRPr="00187DE9" w:rsidP="0055760C" w14:paraId="15768053" w14:textId="4C4FCF70">
      <w:pPr>
        <w:ind w:firstLine="720"/>
        <w:rPr>
          <w:highlight w:val="cyan"/>
        </w:rPr>
      </w:pPr>
      <w:r w:rsidRPr="00C1551C">
        <w:t xml:space="preserve">Following </w:t>
      </w:r>
      <w:bookmarkStart w:id="31" w:name="dabmci_f6de23b8a94c4586a529909e76322db3"/>
      <w:r w:rsidRPr="00C1551C">
        <w:rPr>
          <w:i/>
          <w:iCs/>
        </w:rPr>
        <w:t>Baral</w:t>
      </w:r>
      <w:bookmarkEnd w:id="31"/>
      <w:r w:rsidRPr="00C1551C">
        <w:t xml:space="preserve">, the Second District Court of Appeal, Division One, </w:t>
      </w:r>
      <w:r w:rsidRPr="00C1551C" w:rsidR="00111E6B">
        <w:t>held</w:t>
      </w:r>
      <w:r w:rsidRPr="00C1551C">
        <w:t xml:space="preserve">, without analysis, that </w:t>
      </w:r>
      <w:bookmarkStart w:id="32" w:name="dabmci_41b5ca883be0477b8ca8e4602503270a"/>
      <w:r w:rsidRPr="00C1551C">
        <w:t>rule 3.1322</w:t>
      </w:r>
      <w:bookmarkEnd w:id="32"/>
      <w:r w:rsidRPr="00C1551C">
        <w:t xml:space="preserve"> does not apply to special motions to strike under section 425.16.  </w:t>
      </w:r>
      <w:r w:rsidRPr="00B001B9">
        <w:t>(</w:t>
      </w:r>
      <w:bookmarkStart w:id="33" w:name="dabmci_64765725586a4a0bb5b80c5f94e8f7dd"/>
      <w:r w:rsidRPr="00B001B9">
        <w:rPr>
          <w:i/>
          <w:iCs/>
        </w:rPr>
        <w:t>Okorie v. Los Angeles Unified School Dist</w:t>
      </w:r>
      <w:r w:rsidRPr="00B001B9">
        <w:t>. (2017) 14</w:t>
      </w:r>
      <w:r w:rsidRPr="00B001B9" w:rsidR="00086C82">
        <w:t> Cal.</w:t>
      </w:r>
      <w:r w:rsidRPr="00B001B9">
        <w:t>App.5</w:t>
      </w:r>
      <w:r w:rsidRPr="00B001B9" w:rsidR="00B64E27">
        <w:t>th</w:t>
      </w:r>
      <w:r w:rsidRPr="00B001B9">
        <w:t xml:space="preserve"> 574, 589</w:t>
      </w:r>
      <w:bookmarkEnd w:id="33"/>
      <w:r w:rsidRPr="00B001B9">
        <w:t>, disapproved</w:t>
      </w:r>
      <w:r w:rsidRPr="00B001B9" w:rsidR="00E53A25">
        <w:t xml:space="preserve"> on another ground</w:t>
      </w:r>
      <w:r w:rsidRPr="00B001B9">
        <w:t xml:space="preserve"> </w:t>
      </w:r>
      <w:r w:rsidRPr="00B001B9" w:rsidR="00E53A25">
        <w:t xml:space="preserve">in </w:t>
      </w:r>
      <w:bookmarkStart w:id="34" w:name="dabmci_ac906770aae84dc9a6d95eb87c6654f8"/>
      <w:r w:rsidRPr="00B001B9">
        <w:rPr>
          <w:i/>
          <w:iCs/>
        </w:rPr>
        <w:t>Bonn</w:t>
      </w:r>
      <w:r w:rsidRPr="00B001B9" w:rsidR="0093339F">
        <w:rPr>
          <w:i/>
          <w:iCs/>
        </w:rPr>
        <w:t>i</w:t>
      </w:r>
      <w:r w:rsidRPr="00B001B9" w:rsidR="0093339F">
        <w:t>,</w:t>
      </w:r>
      <w:r w:rsidRPr="00B001B9" w:rsidR="0093339F">
        <w:rPr>
          <w:i/>
          <w:iCs/>
        </w:rPr>
        <w:t xml:space="preserve"> supra</w:t>
      </w:r>
      <w:r w:rsidRPr="00B001B9" w:rsidR="0093339F">
        <w:t>, 11</w:t>
      </w:r>
      <w:r w:rsidRPr="00B001B9" w:rsidR="00086C82">
        <w:t> Cal.</w:t>
      </w:r>
      <w:r w:rsidRPr="00B001B9" w:rsidR="0093339F">
        <w:t>5</w:t>
      </w:r>
      <w:r w:rsidRPr="00B001B9" w:rsidR="00BC749D">
        <w:t>th</w:t>
      </w:r>
      <w:r w:rsidRPr="00B001B9" w:rsidR="0093339F">
        <w:t xml:space="preserve"> at </w:t>
      </w:r>
      <w:r w:rsidRPr="00B001B9" w:rsidR="00086C82">
        <w:t>p</w:t>
      </w:r>
      <w:r w:rsidRPr="00B001B9" w:rsidR="00920EBE">
        <w:t>p</w:t>
      </w:r>
      <w:r w:rsidRPr="00B001B9" w:rsidR="00086C82">
        <w:t>. </w:t>
      </w:r>
      <w:r w:rsidRPr="00B001B9" w:rsidR="00920EBE">
        <w:t>1010-</w:t>
      </w:r>
      <w:r w:rsidRPr="00B001B9" w:rsidR="0093339F">
        <w:t>1012</w:t>
      </w:r>
      <w:r w:rsidRPr="00B001B9" w:rsidR="00920EBE">
        <w:t xml:space="preserve"> &amp; </w:t>
      </w:r>
      <w:r w:rsidRPr="00B001B9" w:rsidR="0093339F">
        <w:t>fn</w:t>
      </w:r>
      <w:r w:rsidRPr="00B001B9" w:rsidR="00BC749D">
        <w:t>.</w:t>
      </w:r>
      <w:r w:rsidRPr="00B001B9" w:rsidR="00153DFE">
        <w:t> </w:t>
      </w:r>
      <w:r w:rsidRPr="00B001B9" w:rsidR="0093339F">
        <w:t>2</w:t>
      </w:r>
      <w:bookmarkEnd w:id="34"/>
      <w:r w:rsidRPr="00B001B9" w:rsidR="00B31F98">
        <w:t xml:space="preserve"> [rejecting the “gravamen” analysis as </w:t>
      </w:r>
      <w:r w:rsidRPr="00B001B9" w:rsidR="00400112">
        <w:t>applied</w:t>
      </w:r>
      <w:r w:rsidRPr="00B001B9" w:rsidR="00B31F98">
        <w:t xml:space="preserve"> in </w:t>
      </w:r>
      <w:bookmarkStart w:id="35" w:name="dabmci_720fcbc9e2d2481cb08b168223f7bc04"/>
      <w:r w:rsidRPr="00B001B9" w:rsidR="00B31F98">
        <w:rPr>
          <w:i/>
          <w:iCs/>
        </w:rPr>
        <w:t>Okorie</w:t>
      </w:r>
      <w:bookmarkEnd w:id="35"/>
      <w:r w:rsidRPr="00B001B9" w:rsidR="00400112">
        <w:t xml:space="preserve"> and other decisions</w:t>
      </w:r>
      <w:r w:rsidRPr="00B001B9" w:rsidR="00B31F98">
        <w:t>]</w:t>
      </w:r>
      <w:r w:rsidRPr="00B001B9" w:rsidR="0093339F">
        <w:t>.</w:t>
      </w:r>
      <w:r w:rsidRPr="00B001B9">
        <w:t>)</w:t>
      </w:r>
      <w:r w:rsidRPr="00C1551C">
        <w:t xml:space="preserve">  </w:t>
      </w:r>
      <w:r w:rsidRPr="00077FF9" w:rsidR="00400112">
        <w:t xml:space="preserve">In doing so, the </w:t>
      </w:r>
      <w:r w:rsidRPr="00077FF9" w:rsidR="008B69B6">
        <w:rPr>
          <w:i/>
          <w:iCs/>
        </w:rPr>
        <w:t>Okorie</w:t>
      </w:r>
      <w:r w:rsidRPr="00077FF9" w:rsidR="008B69B6">
        <w:t xml:space="preserve"> cour</w:t>
      </w:r>
      <w:r w:rsidRPr="00077FF9" w:rsidR="00400112">
        <w:t xml:space="preserve">t </w:t>
      </w:r>
      <w:r w:rsidRPr="00077FF9" w:rsidR="00DC33EE">
        <w:t xml:space="preserve">stated </w:t>
      </w:r>
      <w:r w:rsidRPr="00077FF9">
        <w:t>that</w:t>
      </w:r>
      <w:r w:rsidRPr="00077FF9" w:rsidR="0055760C">
        <w:t xml:space="preserve"> </w:t>
      </w:r>
      <w:r w:rsidRPr="00077FF9" w:rsidR="0055760C">
        <w:rPr>
          <w:i/>
          <w:iCs/>
        </w:rPr>
        <w:t xml:space="preserve">Baral </w:t>
      </w:r>
      <w:r w:rsidRPr="00077FF9" w:rsidR="0055760C">
        <w:t>did not</w:t>
      </w:r>
      <w:r w:rsidRPr="00077FF9" w:rsidR="000875E1">
        <w:t xml:space="preserve"> </w:t>
      </w:r>
      <w:r w:rsidRPr="00077FF9" w:rsidR="00A3106A">
        <w:t>expressly</w:t>
      </w:r>
      <w:r w:rsidRPr="00077FF9">
        <w:t xml:space="preserve"> articulate a standard for </w:t>
      </w:r>
      <w:r w:rsidRPr="00077FF9" w:rsidR="0051011C">
        <w:t>these motions</w:t>
      </w:r>
      <w:r w:rsidRPr="00077FF9">
        <w:t xml:space="preserve"> when the </w:t>
      </w:r>
      <w:r w:rsidRPr="00077FF9" w:rsidR="004D6E88">
        <w:t>defendant</w:t>
      </w:r>
      <w:r w:rsidRPr="00077FF9">
        <w:t xml:space="preserve"> seeks to strike specific allegations </w:t>
      </w:r>
      <w:r w:rsidRPr="00077FF9" w:rsidR="00EF4470">
        <w:t xml:space="preserve">or </w:t>
      </w:r>
      <w:r w:rsidRPr="00077FF9" w:rsidR="00427A74">
        <w:t>claims for</w:t>
      </w:r>
      <w:r w:rsidRPr="00077FF9" w:rsidR="00EF4470">
        <w:t xml:space="preserve"> relief</w:t>
      </w:r>
      <w:r w:rsidRPr="00077FF9">
        <w:t>.  (</w:t>
      </w:r>
      <w:bookmarkStart w:id="36" w:name="dabmci_affbbf0ff689496a8e4f6f386f96b3e7"/>
      <w:r w:rsidRPr="00077FF9">
        <w:rPr>
          <w:i/>
          <w:iCs/>
        </w:rPr>
        <w:t>Okorie</w:t>
      </w:r>
      <w:r w:rsidRPr="00077FF9" w:rsidR="00C1551C">
        <w:t>, at p. </w:t>
      </w:r>
      <w:r w:rsidRPr="00077FF9">
        <w:t>589</w:t>
      </w:r>
      <w:bookmarkEnd w:id="36"/>
      <w:r w:rsidRPr="00077FF9">
        <w:t xml:space="preserve"> [noting </w:t>
      </w:r>
      <w:r w:rsidRPr="00077FF9">
        <w:rPr>
          <w:i/>
          <w:iCs/>
        </w:rPr>
        <w:t>Baral</w:t>
      </w:r>
      <w:r w:rsidRPr="00077FF9">
        <w:t xml:space="preserve"> “did not address this practical but vital aspect” of </w:t>
      </w:r>
      <w:r w:rsidRPr="00077FF9" w:rsidR="001C2581">
        <w:t>§ </w:t>
      </w:r>
      <w:r w:rsidRPr="00077FF9" w:rsidR="0051011C">
        <w:t>425.16</w:t>
      </w:r>
      <w:r w:rsidRPr="00077FF9">
        <w:t xml:space="preserve"> motions].)</w:t>
      </w:r>
      <w:r w:rsidR="00ED48CC">
        <w:t xml:space="preserve">  </w:t>
      </w:r>
    </w:p>
    <w:p w:rsidR="0055760C" w:rsidRPr="00187DE9" w:rsidP="00C82303" w14:paraId="007A4C6A" w14:textId="7BBCC8D9">
      <w:pPr>
        <w:ind w:firstLine="720"/>
        <w:rPr>
          <w:highlight w:val="cyan"/>
        </w:rPr>
      </w:pPr>
      <w:r w:rsidRPr="000C25FC">
        <w:t xml:space="preserve">Our Supreme Court’s later decision in </w:t>
      </w:r>
      <w:bookmarkStart w:id="37" w:name="dabmci_eb0052288a2c4722b562ae97bdf08ee0"/>
      <w:r w:rsidRPr="000C25FC" w:rsidR="00905CE1">
        <w:rPr>
          <w:i/>
          <w:iCs/>
        </w:rPr>
        <w:t>Bonni</w:t>
      </w:r>
      <w:bookmarkEnd w:id="37"/>
      <w:r w:rsidRPr="000C25FC" w:rsidR="00905CE1">
        <w:t xml:space="preserve"> </w:t>
      </w:r>
      <w:r w:rsidRPr="000C25FC">
        <w:t xml:space="preserve">provided further </w:t>
      </w:r>
      <w:r w:rsidRPr="000C25FC" w:rsidR="00374DC7">
        <w:t>instructi</w:t>
      </w:r>
      <w:r w:rsidRPr="000C25FC">
        <w:t>on regarding a defendant’s burden at the first step of the section 425.16 analysis</w:t>
      </w:r>
      <w:r w:rsidRPr="000C25FC" w:rsidR="00905CE1">
        <w:t>.</w:t>
      </w:r>
      <w:r w:rsidRPr="000C25FC" w:rsidR="006675EA">
        <w:t xml:space="preserve">  (</w:t>
      </w:r>
      <w:bookmarkStart w:id="38" w:name="dabmci_8a5c3e867ce34cafb16a9d4c2b353239"/>
      <w:r w:rsidRPr="000C25FC" w:rsidR="006675EA">
        <w:rPr>
          <w:i/>
          <w:iCs/>
        </w:rPr>
        <w:t>Bonni</w:t>
      </w:r>
      <w:r w:rsidRPr="000C25FC" w:rsidR="006675EA">
        <w:t>,</w:t>
      </w:r>
      <w:r w:rsidRPr="000C25FC" w:rsidR="006675EA">
        <w:rPr>
          <w:i/>
          <w:iCs/>
        </w:rPr>
        <w:t xml:space="preserve"> supra</w:t>
      </w:r>
      <w:r w:rsidRPr="000C25FC" w:rsidR="006675EA">
        <w:t>, 11</w:t>
      </w:r>
      <w:r w:rsidRPr="000C25FC" w:rsidR="00086C82">
        <w:t> Cal.</w:t>
      </w:r>
      <w:r w:rsidRPr="000C25FC" w:rsidR="006675EA">
        <w:t>5</w:t>
      </w:r>
      <w:r w:rsidRPr="000C25FC" w:rsidR="00BC749D">
        <w:t>th</w:t>
      </w:r>
      <w:r w:rsidRPr="000C25FC" w:rsidR="006675EA">
        <w:t xml:space="preserve"> at </w:t>
      </w:r>
      <w:r w:rsidR="008A6598">
        <w:t>p</w:t>
      </w:r>
      <w:r w:rsidRPr="000C25FC" w:rsidR="00086C82">
        <w:t>p. </w:t>
      </w:r>
      <w:r w:rsidRPr="000C25FC" w:rsidR="006675EA">
        <w:t>101</w:t>
      </w:r>
      <w:r w:rsidRPr="000C25FC" w:rsidR="00920EBE">
        <w:t>0-1011</w:t>
      </w:r>
      <w:bookmarkEnd w:id="38"/>
      <w:r w:rsidRPr="000C25FC" w:rsidR="006675EA">
        <w:t>.)</w:t>
      </w:r>
      <w:r w:rsidRPr="00077FF9" w:rsidR="00905CE1">
        <w:t xml:space="preserve">  </w:t>
      </w:r>
      <w:r w:rsidRPr="00077FF9">
        <w:t>Importantly</w:t>
      </w:r>
      <w:r w:rsidRPr="00077FF9" w:rsidR="005926C8">
        <w:t xml:space="preserve">, our Supreme Court </w:t>
      </w:r>
      <w:r w:rsidRPr="00077FF9">
        <w:t xml:space="preserve">did not </w:t>
      </w:r>
      <w:r w:rsidRPr="00077FF9" w:rsidR="005926C8">
        <w:t xml:space="preserve">reference </w:t>
      </w:r>
      <w:bookmarkStart w:id="39" w:name="dabmci_02d965b1da4e436daa0a04bf1dbaaf3f"/>
      <w:r w:rsidRPr="00077FF9" w:rsidR="005926C8">
        <w:t>rule 3.1322</w:t>
      </w:r>
      <w:bookmarkEnd w:id="39"/>
      <w:r w:rsidRPr="00077FF9">
        <w:t xml:space="preserve">, but reiterated the standard in </w:t>
      </w:r>
      <w:bookmarkStart w:id="40" w:name="dabmci_cef6c591569a472aaf41a0ea862e4da0"/>
      <w:r w:rsidRPr="00077FF9">
        <w:rPr>
          <w:i/>
          <w:iCs/>
        </w:rPr>
        <w:t>Baral</w:t>
      </w:r>
      <w:bookmarkEnd w:id="40"/>
      <w:r w:rsidRPr="00077FF9">
        <w:rPr>
          <w:i/>
          <w:iCs/>
        </w:rPr>
        <w:t xml:space="preserve"> </w:t>
      </w:r>
      <w:r w:rsidRPr="00077FF9">
        <w:t>that</w:t>
      </w:r>
      <w:r w:rsidRPr="00077FF9" w:rsidR="005926C8">
        <w:t xml:space="preserve"> </w:t>
      </w:r>
      <w:r w:rsidRPr="00077FF9" w:rsidR="008B097F">
        <w:t xml:space="preserve">the </w:t>
      </w:r>
      <w:r w:rsidRPr="00077FF9" w:rsidR="005926C8">
        <w:t>defendant</w:t>
      </w:r>
      <w:r w:rsidRPr="00077FF9" w:rsidR="008B097F">
        <w:t xml:space="preserve"> carries the</w:t>
      </w:r>
      <w:r w:rsidRPr="00077FF9" w:rsidR="005926C8">
        <w:t xml:space="preserve"> burden to “identify the acts alleged in the complaint that it asserts are protected and what claims for relief are predicated” on those acts.  (</w:t>
      </w:r>
      <w:bookmarkStart w:id="41" w:name="dabmci_9a1d94795acb4660921532fabd6227e8"/>
      <w:r w:rsidRPr="00077FF9" w:rsidR="00E82FD1">
        <w:rPr>
          <w:i/>
          <w:iCs/>
        </w:rPr>
        <w:t>Bonni</w:t>
      </w:r>
      <w:r w:rsidRPr="00077FF9" w:rsidR="00E82FD1">
        <w:t xml:space="preserve">, </w:t>
      </w:r>
      <w:r w:rsidRPr="00077FF9" w:rsidR="005926C8">
        <w:t xml:space="preserve">at </w:t>
      </w:r>
      <w:r w:rsidRPr="00077FF9" w:rsidR="00086C82">
        <w:t>p. </w:t>
      </w:r>
      <w:r w:rsidRPr="00077FF9" w:rsidR="005926C8">
        <w:t>1010</w:t>
      </w:r>
      <w:bookmarkEnd w:id="41"/>
      <w:r w:rsidRPr="0061600E" w:rsidR="005926C8">
        <w:t xml:space="preserve">.)  If a defendant does not make this showing, the </w:t>
      </w:r>
      <w:r w:rsidRPr="0061600E" w:rsidR="009A73B6">
        <w:t xml:space="preserve">special </w:t>
      </w:r>
      <w:r w:rsidRPr="0061600E" w:rsidR="005926C8">
        <w:t xml:space="preserve">motion to strike </w:t>
      </w:r>
      <w:r w:rsidRPr="0061600E" w:rsidR="008C20A4">
        <w:t>must be denied</w:t>
      </w:r>
      <w:r w:rsidRPr="0061600E" w:rsidR="005926C8">
        <w:t>.  (</w:t>
      </w:r>
      <w:bookmarkStart w:id="42" w:name="dabmci_a269b367a18f4683857e80c91c988dbf"/>
      <w:r w:rsidRPr="0061600E" w:rsidR="005926C8">
        <w:rPr>
          <w:i/>
          <w:iCs/>
        </w:rPr>
        <w:t>Id</w:t>
      </w:r>
      <w:r w:rsidRPr="0061600E" w:rsidR="005926C8">
        <w:t xml:space="preserve">. at </w:t>
      </w:r>
      <w:r w:rsidRPr="0061600E" w:rsidR="00086C82">
        <w:t>p. </w:t>
      </w:r>
      <w:r w:rsidRPr="0061600E" w:rsidR="005926C8">
        <w:t>1011</w:t>
      </w:r>
      <w:bookmarkEnd w:id="42"/>
      <w:r w:rsidRPr="0061600E" w:rsidR="005926C8">
        <w:t xml:space="preserve">.)  </w:t>
      </w:r>
    </w:p>
    <w:p w:rsidR="00171846" w:rsidRPr="00187DE9" w:rsidP="00A91E85" w14:paraId="72999D56" w14:textId="56F14856">
      <w:pPr>
        <w:ind w:firstLine="720"/>
        <w:rPr>
          <w:highlight w:val="cyan"/>
        </w:rPr>
      </w:pPr>
      <w:r w:rsidRPr="00077FF9">
        <w:t xml:space="preserve">At no point did the </w:t>
      </w:r>
      <w:r w:rsidRPr="00077FF9" w:rsidR="00737F7A">
        <w:rPr>
          <w:i/>
          <w:iCs/>
        </w:rPr>
        <w:t xml:space="preserve">Bonni </w:t>
      </w:r>
      <w:r w:rsidRPr="00077FF9" w:rsidR="00737F7A">
        <w:t>c</w:t>
      </w:r>
      <w:r w:rsidRPr="00077FF9">
        <w:t>ourt s</w:t>
      </w:r>
      <w:r w:rsidRPr="00077FF9" w:rsidR="001041EE">
        <w:t>u</w:t>
      </w:r>
      <w:r w:rsidRPr="00077FF9">
        <w:t xml:space="preserve">ggest </w:t>
      </w:r>
      <w:r w:rsidRPr="00077FF9" w:rsidR="00737F7A">
        <w:t xml:space="preserve">that defendants must comply with </w:t>
      </w:r>
      <w:bookmarkStart w:id="43" w:name="dabmci_94350868e003449299aee73c5af5d7b6"/>
      <w:r w:rsidRPr="00077FF9">
        <w:t>rule 3.1322</w:t>
      </w:r>
      <w:bookmarkEnd w:id="43"/>
      <w:r w:rsidRPr="00077FF9" w:rsidR="00AB199C">
        <w:t xml:space="preserve">.  </w:t>
      </w:r>
      <w:r w:rsidRPr="0061600E" w:rsidR="001E7A59">
        <w:t>F</w:t>
      </w:r>
      <w:r w:rsidRPr="0061600E" w:rsidR="00737F7A">
        <w:t>urther, f</w:t>
      </w:r>
      <w:r w:rsidRPr="0061600E" w:rsidR="006E6E57">
        <w:t xml:space="preserve">ocusing on paragraph numbers and isolated allegations does not comport with the standard in </w:t>
      </w:r>
      <w:bookmarkStart w:id="44" w:name="dabmci_42291726fc4a49cca5805cc865e7f3b9"/>
      <w:r w:rsidRPr="0061600E" w:rsidR="00E35EA2">
        <w:rPr>
          <w:i/>
          <w:iCs/>
        </w:rPr>
        <w:t>Baral</w:t>
      </w:r>
      <w:bookmarkEnd w:id="44"/>
      <w:r w:rsidRPr="0061600E" w:rsidR="00E35EA2">
        <w:t xml:space="preserve"> </w:t>
      </w:r>
      <w:r w:rsidRPr="0061600E" w:rsidR="001E7A59">
        <w:t xml:space="preserve">and </w:t>
      </w:r>
      <w:r w:rsidRPr="0061600E" w:rsidR="00E35EA2">
        <w:rPr>
          <w:i/>
          <w:iCs/>
        </w:rPr>
        <w:t xml:space="preserve">Bonni </w:t>
      </w:r>
      <w:r w:rsidRPr="0061600E" w:rsidR="006E6E57">
        <w:t xml:space="preserve">that </w:t>
      </w:r>
      <w:r w:rsidRPr="0061600E" w:rsidR="00FD7499">
        <w:t xml:space="preserve">the defendant </w:t>
      </w:r>
      <w:r w:rsidRPr="0061600E" w:rsidR="006E6E57">
        <w:t xml:space="preserve">must delineate the specific </w:t>
      </w:r>
      <w:r w:rsidRPr="0061600E" w:rsidR="00737F7A">
        <w:t xml:space="preserve">claims </w:t>
      </w:r>
      <w:r w:rsidRPr="0061600E" w:rsidR="006E6E57">
        <w:t>of relief it seeks to strike</w:t>
      </w:r>
      <w:r w:rsidRPr="0061600E" w:rsidR="00737F7A">
        <w:t xml:space="preserve"> and demonstrate how the alleged protected activity supports those claims</w:t>
      </w:r>
      <w:r w:rsidRPr="0061600E" w:rsidR="0053727E">
        <w:t xml:space="preserve"> for relief</w:t>
      </w:r>
      <w:r w:rsidRPr="0061600E" w:rsidR="006E6E57">
        <w:t>.  (</w:t>
      </w:r>
      <w:bookmarkStart w:id="45" w:name="dabmci_34c1779f84c847acb7e3f360bbe96f72"/>
      <w:r w:rsidRPr="0061600E" w:rsidR="00FD7499">
        <w:rPr>
          <w:i/>
          <w:iCs/>
        </w:rPr>
        <w:t>Bonni</w:t>
      </w:r>
      <w:r w:rsidRPr="0061600E" w:rsidR="00FD7499">
        <w:t xml:space="preserve">, </w:t>
      </w:r>
      <w:r w:rsidRPr="0061600E" w:rsidR="001E7A59">
        <w:rPr>
          <w:i/>
          <w:iCs/>
        </w:rPr>
        <w:t>supra</w:t>
      </w:r>
      <w:r w:rsidRPr="0061600E" w:rsidR="001E7A59">
        <w:t xml:space="preserve">, </w:t>
      </w:r>
      <w:r w:rsidRPr="0061600E" w:rsidR="00AB199C">
        <w:t>11</w:t>
      </w:r>
      <w:r w:rsidRPr="0061600E" w:rsidR="00086C82">
        <w:t> Cal.</w:t>
      </w:r>
      <w:r w:rsidRPr="0061600E" w:rsidR="00AB199C">
        <w:t>5</w:t>
      </w:r>
      <w:r w:rsidRPr="0061600E" w:rsidR="00BC749D">
        <w:t>th</w:t>
      </w:r>
      <w:r w:rsidRPr="0061600E" w:rsidR="00AB199C">
        <w:t xml:space="preserve"> </w:t>
      </w:r>
      <w:r w:rsidRPr="0061600E" w:rsidR="00FD7499">
        <w:t xml:space="preserve">at </w:t>
      </w:r>
      <w:r w:rsidRPr="0061600E" w:rsidR="00086C82">
        <w:t>p</w:t>
      </w:r>
      <w:r w:rsidR="00920EBE">
        <w:t>p</w:t>
      </w:r>
      <w:r w:rsidRPr="0061600E" w:rsidR="00086C82">
        <w:t>. </w:t>
      </w:r>
      <w:r w:rsidR="00920EBE">
        <w:t>1010-</w:t>
      </w:r>
      <w:r w:rsidRPr="0061600E" w:rsidR="00FD7499">
        <w:t>1011</w:t>
      </w:r>
      <w:bookmarkEnd w:id="45"/>
      <w:r w:rsidRPr="00240D6F" w:rsidR="001E7A59">
        <w:t xml:space="preserve">; </w:t>
      </w:r>
      <w:bookmarkStart w:id="46" w:name="dabmci_bc511a8a6cc64c1ab87665ea09316dfa"/>
      <w:r w:rsidRPr="00240D6F" w:rsidR="001E7A59">
        <w:rPr>
          <w:i/>
          <w:iCs/>
        </w:rPr>
        <w:t>Baral</w:t>
      </w:r>
      <w:r w:rsidRPr="00240D6F" w:rsidR="001E7A59">
        <w:t xml:space="preserve">, </w:t>
      </w:r>
      <w:r w:rsidRPr="00240D6F" w:rsidR="001E7A59">
        <w:rPr>
          <w:i/>
          <w:iCs/>
        </w:rPr>
        <w:t>supra</w:t>
      </w:r>
      <w:r w:rsidRPr="00240D6F" w:rsidR="001E7A59">
        <w:t xml:space="preserve">, </w:t>
      </w:r>
      <w:r w:rsidRPr="00240D6F" w:rsidR="005B11C6">
        <w:t>1</w:t>
      </w:r>
      <w:r w:rsidRPr="00240D6F" w:rsidR="00086C82">
        <w:t> Cal.</w:t>
      </w:r>
      <w:r w:rsidRPr="00240D6F" w:rsidR="005B11C6">
        <w:t>5</w:t>
      </w:r>
      <w:r w:rsidRPr="00240D6F" w:rsidR="00BC749D">
        <w:t>th</w:t>
      </w:r>
      <w:r w:rsidRPr="00240D6F" w:rsidR="005B11C6">
        <w:t xml:space="preserve"> at </w:t>
      </w:r>
      <w:r w:rsidRPr="00240D6F" w:rsidR="00086C82">
        <w:t>p. </w:t>
      </w:r>
      <w:r w:rsidRPr="00240D6F" w:rsidR="005B11C6">
        <w:t>396</w:t>
      </w:r>
      <w:bookmarkEnd w:id="46"/>
      <w:r w:rsidRPr="00D108F4" w:rsidR="005B11C6">
        <w:t xml:space="preserve">.)  </w:t>
      </w:r>
      <w:r w:rsidRPr="00D108F4" w:rsidR="00A91E85">
        <w:t xml:space="preserve">Indeed, under section 425.16 allegations of protected conduct are only stricken to the extent they support a claim for relief.  </w:t>
      </w:r>
      <w:r w:rsidRPr="009C4514" w:rsidR="00A91E85">
        <w:t>(</w:t>
      </w:r>
      <w:r w:rsidR="00C25F2C">
        <w:t xml:space="preserve">See </w:t>
      </w:r>
      <w:bookmarkStart w:id="47" w:name="dabmci_2435a28acc86419bb5d2e95fa4667cba"/>
      <w:r w:rsidRPr="009C4514" w:rsidR="00A91E85">
        <w:rPr>
          <w:i/>
          <w:iCs/>
        </w:rPr>
        <w:t>Bonni</w:t>
      </w:r>
      <w:r w:rsidRPr="009C4514" w:rsidR="00A91E85">
        <w:t xml:space="preserve">, at </w:t>
      </w:r>
      <w:r w:rsidRPr="009C4514" w:rsidR="00086C82">
        <w:t>p</w:t>
      </w:r>
      <w:r w:rsidR="00C25F2C">
        <w:t>p</w:t>
      </w:r>
      <w:r w:rsidRPr="009C4514" w:rsidR="00086C82">
        <w:t>. </w:t>
      </w:r>
      <w:r w:rsidRPr="009C4514" w:rsidR="00A91E85">
        <w:t>1017</w:t>
      </w:r>
      <w:r w:rsidR="00C25F2C">
        <w:t>-1018</w:t>
      </w:r>
      <w:bookmarkEnd w:id="47"/>
      <w:r w:rsidRPr="009C4514" w:rsidR="00A91E85">
        <w:t xml:space="preserve"> [</w:t>
      </w:r>
      <w:r w:rsidR="00C25F2C">
        <w:t>striking claims arising out of protected activity where the protected activity clearly supplies an element of the claims, despite the plaintiff’s argument the allegations of protected activity provided context</w:t>
      </w:r>
      <w:r w:rsidRPr="00ED4834" w:rsidR="00A91E85">
        <w:t>].)  If allegations of protected conduct do not support and merely provide context for the plaintiff’s claim for relief, the allegations are left unaltered.</w:t>
      </w:r>
      <w:r w:rsidR="00C25F2C">
        <w:t xml:space="preserve">  (</w:t>
      </w:r>
      <w:bookmarkStart w:id="48" w:name="dabmci_8a6fe9893aef4394adbb68773e057b19"/>
      <w:r w:rsidRPr="00B12B6D" w:rsidR="00C25F2C">
        <w:rPr>
          <w:i/>
          <w:iCs/>
        </w:rPr>
        <w:t>Baral</w:t>
      </w:r>
      <w:r w:rsidRPr="00C25F2C" w:rsidR="00C25F2C">
        <w:t>, at p. 394</w:t>
      </w:r>
      <w:bookmarkEnd w:id="48"/>
      <w:r w:rsidR="00C25F2C">
        <w:t>.)</w:t>
      </w:r>
      <w:r w:rsidRPr="00ED4834" w:rsidR="00A91E85">
        <w:t xml:space="preserve">  </w:t>
      </w:r>
      <w:r w:rsidRPr="005F438B" w:rsidR="00A91E85">
        <w:t xml:space="preserve">Therefore, applying </w:t>
      </w:r>
      <w:bookmarkStart w:id="49" w:name="dabmci_e3ec3312cea749f28019804e2d665d88"/>
      <w:r w:rsidRPr="005F438B" w:rsidR="00A91E85">
        <w:t>rule 3.1322</w:t>
      </w:r>
      <w:bookmarkEnd w:id="49"/>
      <w:r w:rsidRPr="005F438B" w:rsidR="00A91E85">
        <w:t xml:space="preserve"> and focusing narrowly on the quoted language could allow artful motion practice to target allegations of protected conduct that merely provide context to the plaintiff’s claim for relief, undermining the statute’s purpose in leaving such allegations unaltered.  </w:t>
      </w:r>
    </w:p>
    <w:p w:rsidR="00D5079B" w:rsidRPr="00160FD8" w:rsidP="008C20A4" w14:paraId="2CF54C53" w14:textId="5877ECEB">
      <w:pPr>
        <w:ind w:firstLine="720"/>
      </w:pPr>
      <w:r w:rsidRPr="00240D6F">
        <w:t>Our interpretation of rule 3.1322(a) is bolstered when we consider that rule 3.1322(b) provides:</w:t>
      </w:r>
      <w:r w:rsidRPr="00240D6F" w:rsidR="00A2107E">
        <w:t xml:space="preserve"> </w:t>
      </w:r>
      <w:r w:rsidRPr="00240D6F">
        <w:t xml:space="preserve"> “A notice of motion to strike must be given within the time allowed to plead, and if a demurrer is interposed, concurrently therewith, and must be noticed for hearing and heard at the same time as the demurrer</w:t>
      </w:r>
      <w:r w:rsidRPr="00160FD8">
        <w:t>.”</w:t>
      </w:r>
      <w:r w:rsidRPr="00160FD8" w:rsidR="00A2107E">
        <w:t xml:space="preserve"> </w:t>
      </w:r>
      <w:r w:rsidRPr="00160FD8">
        <w:t xml:space="preserve"> The rule is consistent with section 435, which provides a motion to strike may be filed “within the time allowed to respond to a pleading,” except as provided in subdivision (e), which pertains to a motion for judgment on the pleadings.</w:t>
      </w:r>
      <w:r w:rsidRPr="00160FD8" w:rsidR="00A2107E">
        <w:t xml:space="preserve"> </w:t>
      </w:r>
      <w:r w:rsidRPr="00160FD8">
        <w:t xml:space="preserve"> (</w:t>
      </w:r>
      <w:r w:rsidRPr="00160FD8" w:rsidR="00086C82">
        <w:t>§ </w:t>
      </w:r>
      <w:r w:rsidRPr="00160FD8">
        <w:t>435, subd. (b)</w:t>
      </w:r>
      <w:r w:rsidRPr="00160FD8" w:rsidR="00240D6F">
        <w:t>(1)</w:t>
      </w:r>
      <w:r w:rsidRPr="00160FD8">
        <w:t>.)</w:t>
      </w:r>
      <w:r w:rsidRPr="00160FD8" w:rsidR="00A2107E">
        <w:t xml:space="preserve"> </w:t>
      </w:r>
      <w:r w:rsidRPr="00160FD8">
        <w:t xml:space="preserve"> “The term ‘pleading’ means a demurrer, answer, complaint, or cross-complaint.”</w:t>
      </w:r>
      <w:r w:rsidRPr="00160FD8" w:rsidR="00A2107E">
        <w:t xml:space="preserve"> </w:t>
      </w:r>
      <w:r w:rsidRPr="00160FD8">
        <w:t xml:space="preserve"> (</w:t>
      </w:r>
      <w:r w:rsidRPr="00160FD8" w:rsidR="00A2107E">
        <w:t xml:space="preserve">§ 435, </w:t>
      </w:r>
      <w:r w:rsidRPr="00160FD8">
        <w:t>subd. (a).)</w:t>
      </w:r>
      <w:r w:rsidRPr="00160FD8" w:rsidR="00A2107E">
        <w:t xml:space="preserve"> </w:t>
      </w:r>
      <w:r w:rsidRPr="00160FD8">
        <w:t xml:space="preserve"> </w:t>
      </w:r>
      <w:r w:rsidRPr="008B7F2E" w:rsidR="00C83563">
        <w:t>F</w:t>
      </w:r>
      <w:r w:rsidRPr="008B7F2E">
        <w:t>or example, a motion to strike must in certain instances be filed within 30 days after service of a pleading.</w:t>
      </w:r>
      <w:r w:rsidRPr="008B7F2E" w:rsidR="00A2107E">
        <w:t xml:space="preserve"> </w:t>
      </w:r>
      <w:r w:rsidRPr="008B7F2E">
        <w:t xml:space="preserve"> </w:t>
      </w:r>
      <w:r w:rsidRPr="00160FD8">
        <w:t>(§</w:t>
      </w:r>
      <w:r w:rsidRPr="00160FD8" w:rsidR="00086C82">
        <w:t>§ </w:t>
      </w:r>
      <w:r w:rsidRPr="00160FD8">
        <w:t>430.40, subd. (a) [demurrer to a complaint or cross-complaint], 432.10 [response to a cross-complaint].)</w:t>
      </w:r>
      <w:r w:rsidRPr="00160FD8" w:rsidR="00A2107E">
        <w:t xml:space="preserve"> </w:t>
      </w:r>
      <w:r w:rsidRPr="00160FD8">
        <w:t xml:space="preserve"> </w:t>
      </w:r>
      <w:r w:rsidRPr="001C2581">
        <w:t>In contrast, section 425.16, subdivision (f) provides a special motion to strike “may be filed within 60 days of the service of the complaint or, in the court’s discretion, at any later time upon terms it deems proper</w:t>
      </w:r>
      <w:r w:rsidRPr="00160FD8">
        <w:t>.”</w:t>
      </w:r>
      <w:r w:rsidRPr="00160FD8" w:rsidR="00A2107E">
        <w:t xml:space="preserve"> </w:t>
      </w:r>
      <w:r w:rsidRPr="00160FD8">
        <w:t xml:space="preserve"> Rule 3.1322(b) clearly does not apply to special motions to strike. </w:t>
      </w:r>
      <w:r w:rsidR="00ED48CC">
        <w:t xml:space="preserve"> </w:t>
      </w:r>
    </w:p>
    <w:p w:rsidR="008C20A4" w:rsidRPr="009C4514" w:rsidP="008C20A4" w14:paraId="37FBBA2E" w14:textId="58C95DC7">
      <w:pPr>
        <w:ind w:firstLine="720"/>
      </w:pPr>
      <w:r w:rsidRPr="009C4514">
        <w:t>We interpret California Rules of Court according to the same principles governing statutory interpretation.  (</w:t>
      </w:r>
      <w:bookmarkStart w:id="50" w:name="dabmci_86e16fce7dc14f02a4c9f85310507d6a"/>
      <w:r w:rsidRPr="009C4514">
        <w:rPr>
          <w:i/>
          <w:iCs/>
        </w:rPr>
        <w:t xml:space="preserve">Harris v. Appellate Division of Superior Court </w:t>
      </w:r>
      <w:r w:rsidRPr="009C4514">
        <w:t>(2017) 14</w:t>
      </w:r>
      <w:r w:rsidRPr="009C4514" w:rsidR="00086C82">
        <w:t> Cal.</w:t>
      </w:r>
      <w:r w:rsidRPr="009C4514">
        <w:t>App.5th 142, 148</w:t>
      </w:r>
      <w:bookmarkEnd w:id="50"/>
      <w:r w:rsidRPr="009C4514">
        <w:t>.)  “</w:t>
      </w:r>
      <w:r w:rsidRPr="009C4514" w:rsidR="00A2107E">
        <w:t> </w:t>
      </w:r>
      <w:r w:rsidRPr="009C4514">
        <w:t>‘A statute is passed as a whole and not in parts or section</w:t>
      </w:r>
      <w:r w:rsidRPr="009C4514" w:rsidR="0087006B">
        <w:t>s</w:t>
      </w:r>
      <w:r w:rsidRPr="009C4514">
        <w:t xml:space="preserve"> and is animated by one general purpose and intent.  Consequently, each part or section should be construed in connection with every other part or section so as to produce a harmonious whole.  Thus, it is not proper to confine interpretation to the one section to be construed.’ ”  (</w:t>
      </w:r>
      <w:bookmarkStart w:id="51" w:name="dabmci_2d2aeb0f358346b988ebe4e949732b18"/>
      <w:r w:rsidRPr="009C4514">
        <w:rPr>
          <w:i/>
          <w:iCs/>
        </w:rPr>
        <w:t xml:space="preserve">Rodriguez v. Superior Court </w:t>
      </w:r>
      <w:r w:rsidRPr="009C4514">
        <w:t>(1993) 14</w:t>
      </w:r>
      <w:r w:rsidRPr="009C4514" w:rsidR="00086C82">
        <w:t> Cal.</w:t>
      </w:r>
      <w:r w:rsidRPr="009C4514">
        <w:t>App.4th 1260, 1268</w:t>
      </w:r>
      <w:bookmarkEnd w:id="51"/>
      <w:r w:rsidRPr="009C4514">
        <w:t>.)  Thus, it is axiomatic that if rule 3.1322(b) does not apply to special motions to strike, neither does rule 3.1322(a).  Accordingly, we decline to extend the requirements of rule 3.1322 to special motions to strike under section 425.16.</w:t>
      </w:r>
      <w:r w:rsidR="00ED48CC">
        <w:t xml:space="preserve">  </w:t>
      </w:r>
    </w:p>
    <w:p w:rsidR="003B3B4E" w:rsidRPr="00187DE9" w:rsidP="009D78FE" w14:paraId="7D040CCD" w14:textId="4A9AF0DE">
      <w:pPr>
        <w:ind w:firstLine="720"/>
        <w:rPr>
          <w:highlight w:val="cyan"/>
        </w:rPr>
      </w:pPr>
      <w:r w:rsidRPr="00160FD8">
        <w:t>Applying the</w:t>
      </w:r>
      <w:r w:rsidRPr="00160FD8" w:rsidR="00633A1F">
        <w:t xml:space="preserve"> standard </w:t>
      </w:r>
      <w:r w:rsidRPr="00160FD8" w:rsidR="00737F7A">
        <w:t>articulated</w:t>
      </w:r>
      <w:r w:rsidRPr="00160FD8" w:rsidR="00633A1F">
        <w:t xml:space="preserve"> in</w:t>
      </w:r>
      <w:r w:rsidRPr="00160FD8" w:rsidR="00737F7A">
        <w:t xml:space="preserve"> </w:t>
      </w:r>
      <w:r w:rsidRPr="00160FD8" w:rsidR="00737F7A">
        <w:rPr>
          <w:i/>
          <w:iCs/>
        </w:rPr>
        <w:t xml:space="preserve">Baral </w:t>
      </w:r>
      <w:r w:rsidRPr="00160FD8" w:rsidR="00737F7A">
        <w:t>and</w:t>
      </w:r>
      <w:r w:rsidRPr="00160FD8" w:rsidR="00633A1F">
        <w:t xml:space="preserve"> </w:t>
      </w:r>
      <w:r w:rsidRPr="00160FD8" w:rsidR="00633A1F">
        <w:rPr>
          <w:i/>
          <w:iCs/>
        </w:rPr>
        <w:t>Bonni</w:t>
      </w:r>
      <w:r w:rsidRPr="00160FD8">
        <w:t xml:space="preserve">, </w:t>
      </w:r>
      <w:r w:rsidRPr="00160FD8" w:rsidR="00633A1F">
        <w:t xml:space="preserve">we conclude </w:t>
      </w:r>
      <w:r w:rsidRPr="00160FD8" w:rsidR="005A4CC1">
        <w:t>the</w:t>
      </w:r>
      <w:r w:rsidRPr="00160FD8">
        <w:t xml:space="preserve"> County’s motion</w:t>
      </w:r>
      <w:r w:rsidRPr="00160FD8" w:rsidR="005A4CC1">
        <w:t xml:space="preserve"> </w:t>
      </w:r>
      <w:r w:rsidRPr="00160FD8" w:rsidR="00633A1F">
        <w:t xml:space="preserve">adequately informed the trial court of </w:t>
      </w:r>
      <w:r w:rsidRPr="00160FD8" w:rsidR="00737F7A">
        <w:t>the protected activity</w:t>
      </w:r>
      <w:r w:rsidRPr="00160FD8" w:rsidR="00590011">
        <w:t xml:space="preserve"> it sought to strike</w:t>
      </w:r>
      <w:r w:rsidRPr="00160FD8" w:rsidR="00737F7A">
        <w:t xml:space="preserve"> and </w:t>
      </w:r>
      <w:r w:rsidRPr="00160FD8" w:rsidR="00633A1F">
        <w:t xml:space="preserve">plaintiff’s </w:t>
      </w:r>
      <w:r w:rsidRPr="00160FD8" w:rsidR="00737F7A">
        <w:t>claims for</w:t>
      </w:r>
      <w:r w:rsidRPr="00160FD8" w:rsidR="00633A1F">
        <w:t xml:space="preserve"> relief the County believed arose from </w:t>
      </w:r>
      <w:r w:rsidRPr="00160FD8" w:rsidR="00737F7A">
        <w:t>that</w:t>
      </w:r>
      <w:r w:rsidRPr="00160FD8" w:rsidR="00633A1F">
        <w:t xml:space="preserve"> protected activity</w:t>
      </w:r>
      <w:r w:rsidRPr="00160FD8">
        <w:t xml:space="preserve">.  </w:t>
      </w:r>
      <w:r w:rsidRPr="00160FD8" w:rsidR="000B7800">
        <w:t>The</w:t>
      </w:r>
      <w:r w:rsidRPr="00A11BC5" w:rsidR="000B7800">
        <w:t xml:space="preserve"> County acknowledged </w:t>
      </w:r>
      <w:r w:rsidRPr="00A11BC5" w:rsidR="005B11C6">
        <w:t>p</w:t>
      </w:r>
      <w:r w:rsidRPr="00A11BC5" w:rsidR="000B7800">
        <w:t xml:space="preserve">laintiff had two theories of </w:t>
      </w:r>
      <w:r w:rsidRPr="00A11BC5" w:rsidR="0053727E">
        <w:t xml:space="preserve">adverse employment action related to her </w:t>
      </w:r>
      <w:r w:rsidRPr="00A11BC5" w:rsidR="000B7800">
        <w:t>whistleblower retaliation.  The County</w:t>
      </w:r>
      <w:r w:rsidRPr="00A11BC5" w:rsidR="005A4CC1">
        <w:t xml:space="preserve"> </w:t>
      </w:r>
      <w:r w:rsidRPr="00A11BC5" w:rsidR="00FD7499">
        <w:t xml:space="preserve">then </w:t>
      </w:r>
      <w:r w:rsidRPr="00A11BC5" w:rsidR="005A4CC1">
        <w:t>argue</w:t>
      </w:r>
      <w:r w:rsidRPr="00A11BC5" w:rsidR="000B7800">
        <w:t>d</w:t>
      </w:r>
      <w:r w:rsidRPr="00A11BC5" w:rsidR="005A4CC1">
        <w:t xml:space="preserve"> </w:t>
      </w:r>
      <w:r w:rsidRPr="00A11BC5" w:rsidR="00CD4ED8">
        <w:t>p</w:t>
      </w:r>
      <w:r w:rsidRPr="00A11BC5" w:rsidR="000B7800">
        <w:t>laintiff’s first theory—her demotion—</w:t>
      </w:r>
      <w:r w:rsidRPr="00A11BC5" w:rsidR="0053727E">
        <w:t>arose from</w:t>
      </w:r>
      <w:r w:rsidRPr="00A11BC5" w:rsidR="005A4CC1">
        <w:t xml:space="preserve"> an act </w:t>
      </w:r>
      <w:r w:rsidRPr="00A11BC5" w:rsidR="008C20A4">
        <w:t>protected under section 425.16</w:t>
      </w:r>
      <w:r w:rsidRPr="00A11BC5" w:rsidR="005A4CC1">
        <w:t>.</w:t>
      </w:r>
      <w:r w:rsidRPr="00A11BC5" w:rsidR="00C225F7">
        <w:t xml:space="preserve">  </w:t>
      </w:r>
      <w:r w:rsidRPr="00A11BC5" w:rsidR="005A4CC1">
        <w:t>Specifically, it argue</w:t>
      </w:r>
      <w:r w:rsidRPr="00A11BC5" w:rsidR="00633A1F">
        <w:t>d</w:t>
      </w:r>
      <w:r w:rsidRPr="00A11BC5" w:rsidR="005A4CC1">
        <w:t xml:space="preserve"> </w:t>
      </w:r>
      <w:r w:rsidRPr="00A11BC5" w:rsidR="005B11C6">
        <w:t>p</w:t>
      </w:r>
      <w:r w:rsidRPr="00A11BC5" w:rsidR="000B7800">
        <w:t>laintiff’s</w:t>
      </w:r>
      <w:r w:rsidRPr="00A11BC5" w:rsidR="0002127A">
        <w:t xml:space="preserve"> </w:t>
      </w:r>
      <w:r w:rsidRPr="00A11BC5" w:rsidR="000B7800">
        <w:t>demotion</w:t>
      </w:r>
      <w:r w:rsidRPr="00A11BC5" w:rsidR="001F3CD5">
        <w:t xml:space="preserve"> was connected to an official proceeding</w:t>
      </w:r>
      <w:r w:rsidRPr="00A11BC5" w:rsidR="00481471">
        <w:t xml:space="preserve"> because</w:t>
      </w:r>
      <w:r w:rsidRPr="00A11BC5" w:rsidR="001F3CD5">
        <w:t xml:space="preserve"> </w:t>
      </w:r>
      <w:r w:rsidRPr="00A11BC5" w:rsidR="003C76DE">
        <w:t xml:space="preserve">the County’s </w:t>
      </w:r>
      <w:r w:rsidRPr="00A11BC5" w:rsidR="001F3CD5">
        <w:t xml:space="preserve">ordinance </w:t>
      </w:r>
      <w:r w:rsidRPr="00A11BC5" w:rsidR="00BB6C6E">
        <w:t>authorized</w:t>
      </w:r>
      <w:r w:rsidRPr="00A11BC5" w:rsidR="001F3CD5">
        <w:t xml:space="preserve"> </w:t>
      </w:r>
      <w:r w:rsidRPr="00A11BC5" w:rsidR="009405DB">
        <w:t>her</w:t>
      </w:r>
      <w:r w:rsidRPr="00A11BC5" w:rsidR="001F3CD5">
        <w:t xml:space="preserve"> </w:t>
      </w:r>
      <w:r w:rsidRPr="00A11BC5" w:rsidR="00481471">
        <w:t>demotion</w:t>
      </w:r>
      <w:r w:rsidRPr="00A11BC5" w:rsidR="001F3CD5">
        <w:t>.</w:t>
      </w:r>
      <w:r w:rsidRPr="00A11BC5" w:rsidR="00C225F7">
        <w:t xml:space="preserve">  </w:t>
      </w:r>
      <w:r w:rsidRPr="00A11BC5" w:rsidR="001F3CD5">
        <w:t>The County has thus clearly identified the act—</w:t>
      </w:r>
      <w:r w:rsidRPr="00A11BC5" w:rsidR="005B11C6">
        <w:t>p</w:t>
      </w:r>
      <w:r w:rsidRPr="00A11BC5" w:rsidR="001F3CD5">
        <w:t xml:space="preserve">laintiff’s </w:t>
      </w:r>
      <w:r w:rsidRPr="00A11BC5" w:rsidR="00481471">
        <w:t>demotion</w:t>
      </w:r>
      <w:r w:rsidRPr="00A11BC5" w:rsidR="001F3CD5">
        <w:t xml:space="preserve">—that forms the basis of </w:t>
      </w:r>
      <w:r w:rsidRPr="00A11BC5" w:rsidR="009D78FE">
        <w:t>her</w:t>
      </w:r>
      <w:r w:rsidRPr="00A11BC5" w:rsidR="001F3CD5">
        <w:t xml:space="preserve"> claim for relief</w:t>
      </w:r>
      <w:r w:rsidRPr="00A11BC5" w:rsidR="00BC749D">
        <w:t>—whistleblower retaliation—</w:t>
      </w:r>
      <w:r w:rsidRPr="00A11BC5" w:rsidR="001F3CD5">
        <w:t xml:space="preserve">and </w:t>
      </w:r>
      <w:r w:rsidRPr="00A11BC5" w:rsidR="0053727E">
        <w:t>articulated how it believed</w:t>
      </w:r>
      <w:r w:rsidRPr="00A11BC5" w:rsidR="00CA64C7">
        <w:t xml:space="preserve"> that act was </w:t>
      </w:r>
      <w:r w:rsidRPr="00A11BC5" w:rsidR="001E1435">
        <w:t xml:space="preserve">protected </w:t>
      </w:r>
      <w:r w:rsidRPr="00A11BC5" w:rsidR="00CA64C7">
        <w:t>by</w:t>
      </w:r>
      <w:r w:rsidRPr="00A11BC5" w:rsidR="001F3CD5">
        <w:t xml:space="preserve"> </w:t>
      </w:r>
      <w:r w:rsidRPr="00A11BC5" w:rsidR="0051011C">
        <w:t>section 425.16</w:t>
      </w:r>
      <w:r w:rsidRPr="00A11BC5" w:rsidR="00A3106A">
        <w:t>.</w:t>
      </w:r>
      <w:r w:rsidRPr="00A11BC5" w:rsidR="009D78FE">
        <w:t xml:space="preserve">  </w:t>
      </w:r>
      <w:r w:rsidRPr="00A11BC5" w:rsidR="000B7800">
        <w:t>As for the second theory—creation of a hostile work environment—the County argue</w:t>
      </w:r>
      <w:r w:rsidRPr="00A11BC5" w:rsidR="00633A1F">
        <w:t>d</w:t>
      </w:r>
      <w:r w:rsidRPr="00A11BC5" w:rsidR="000B7800">
        <w:t xml:space="preserve"> </w:t>
      </w:r>
      <w:r w:rsidRPr="00A11BC5" w:rsidR="00633A1F">
        <w:t>the theory wa</w:t>
      </w:r>
      <w:r w:rsidRPr="00A11BC5" w:rsidR="000B7800">
        <w:t xml:space="preserve">s derivative of </w:t>
      </w:r>
      <w:r w:rsidRPr="00A11BC5" w:rsidR="00737F7A">
        <w:t xml:space="preserve">plaintiff’s </w:t>
      </w:r>
      <w:r w:rsidRPr="00A11BC5" w:rsidR="000B7800">
        <w:t xml:space="preserve">first </w:t>
      </w:r>
      <w:r w:rsidRPr="00A11BC5" w:rsidR="00481471">
        <w:t>claim</w:t>
      </w:r>
      <w:r w:rsidRPr="00A11BC5" w:rsidR="0053727E">
        <w:t xml:space="preserve"> for relief</w:t>
      </w:r>
      <w:r w:rsidRPr="00A11BC5" w:rsidR="00481471">
        <w:t xml:space="preserve"> and</w:t>
      </w:r>
      <w:r w:rsidRPr="00A11BC5" w:rsidR="000B7800">
        <w:t xml:space="preserve"> must be stricken for </w:t>
      </w:r>
      <w:r w:rsidRPr="00A11BC5" w:rsidR="0004491E">
        <w:t xml:space="preserve">the same </w:t>
      </w:r>
      <w:r w:rsidRPr="00A11BC5" w:rsidR="000B7800">
        <w:t>reason.</w:t>
      </w:r>
      <w:r w:rsidRPr="00A11BC5" w:rsidR="00C225F7">
        <w:t xml:space="preserve">  </w:t>
      </w:r>
      <w:r w:rsidRPr="00160FD8" w:rsidR="000B7800">
        <w:t xml:space="preserve">This is sufficient under </w:t>
      </w:r>
      <w:r w:rsidRPr="00160FD8" w:rsidR="000B7800">
        <w:rPr>
          <w:i/>
          <w:iCs/>
        </w:rPr>
        <w:t>Bonni</w:t>
      </w:r>
      <w:r w:rsidRPr="00160FD8" w:rsidR="000B7800">
        <w:t>.</w:t>
      </w:r>
    </w:p>
    <w:p w:rsidR="00733946" w:rsidRPr="00187DE9" w:rsidP="003306EF" w14:paraId="2671E774" w14:textId="6A3CDAA0">
      <w:pPr>
        <w:keepNext/>
        <w:jc w:val="center"/>
      </w:pPr>
      <w:r w:rsidRPr="00187DE9">
        <w:t>II</w:t>
      </w:r>
    </w:p>
    <w:p w:rsidR="00633A1F" w:rsidRPr="00187DE9" w:rsidP="003306EF" w14:paraId="72666734" w14:textId="22626D02">
      <w:pPr>
        <w:keepNext/>
        <w:jc w:val="center"/>
        <w:rPr>
          <w:i/>
          <w:iCs/>
        </w:rPr>
      </w:pPr>
      <w:r w:rsidRPr="00187DE9">
        <w:rPr>
          <w:i/>
          <w:iCs/>
        </w:rPr>
        <w:t xml:space="preserve">The County’s Demotion </w:t>
      </w:r>
      <w:r w:rsidRPr="00187DE9" w:rsidR="00A2107E">
        <w:rPr>
          <w:i/>
          <w:iCs/>
        </w:rPr>
        <w:t>O</w:t>
      </w:r>
      <w:r w:rsidRPr="00187DE9">
        <w:rPr>
          <w:i/>
          <w:iCs/>
        </w:rPr>
        <w:t xml:space="preserve">f Plaintiff And Creation Of </w:t>
      </w:r>
    </w:p>
    <w:p w:rsidR="00481471" w:rsidRPr="00187DE9" w:rsidP="00A31CA8" w14:paraId="5EC89A65" w14:textId="43B4BD77">
      <w:pPr>
        <w:keepNext/>
        <w:jc w:val="center"/>
      </w:pPr>
      <w:r w:rsidRPr="00187DE9">
        <w:rPr>
          <w:i/>
          <w:iCs/>
        </w:rPr>
        <w:t>A Hostile Work Environment</w:t>
      </w:r>
      <w:r w:rsidRPr="00187DE9" w:rsidR="000B7800">
        <w:rPr>
          <w:i/>
          <w:iCs/>
        </w:rPr>
        <w:t xml:space="preserve"> </w:t>
      </w:r>
      <w:r w:rsidRPr="00187DE9" w:rsidR="002E3D4D">
        <w:rPr>
          <w:i/>
          <w:iCs/>
        </w:rPr>
        <w:t xml:space="preserve">Did </w:t>
      </w:r>
      <w:r w:rsidRPr="00187DE9" w:rsidR="000B7800">
        <w:rPr>
          <w:i/>
          <w:iCs/>
        </w:rPr>
        <w:t xml:space="preserve">Not </w:t>
      </w:r>
      <w:r w:rsidRPr="00187DE9" w:rsidR="002E3D4D">
        <w:rPr>
          <w:i/>
          <w:iCs/>
        </w:rPr>
        <w:t xml:space="preserve">Arise From </w:t>
      </w:r>
      <w:r w:rsidRPr="00187DE9" w:rsidR="000B7800">
        <w:rPr>
          <w:i/>
          <w:iCs/>
        </w:rPr>
        <w:t>Protected Conduct</w:t>
      </w:r>
    </w:p>
    <w:p w:rsidR="00B76470" w:rsidRPr="00C82F51" w:rsidP="002373B5" w14:paraId="60C4749E" w14:textId="35175F7F">
      <w:pPr>
        <w:ind w:firstLine="720"/>
      </w:pPr>
      <w:r w:rsidRPr="00077FF9">
        <w:t xml:space="preserve">We consider the trial court’s denial of </w:t>
      </w:r>
      <w:r w:rsidRPr="00077FF9" w:rsidR="007A1EEC">
        <w:t>a special motion to strike under section 425.16</w:t>
      </w:r>
      <w:r w:rsidRPr="00077FF9">
        <w:t>, including whether defendant’s conduct constituted protected activity, de novo.  (</w:t>
      </w:r>
      <w:bookmarkStart w:id="52" w:name="dabmci_9a748f06d1c64e278bdd98338a0cf994"/>
      <w:r w:rsidRPr="00077FF9">
        <w:rPr>
          <w:i/>
          <w:iCs/>
        </w:rPr>
        <w:t>Bonni</w:t>
      </w:r>
      <w:r w:rsidRPr="00077FF9">
        <w:t xml:space="preserve">, </w:t>
      </w:r>
      <w:r w:rsidRPr="00077FF9">
        <w:rPr>
          <w:i/>
          <w:iCs/>
        </w:rPr>
        <w:t>supra</w:t>
      </w:r>
      <w:r w:rsidRPr="00077FF9">
        <w:t>, 11</w:t>
      </w:r>
      <w:r w:rsidRPr="00077FF9" w:rsidR="00086C82">
        <w:t> Cal.</w:t>
      </w:r>
      <w:r w:rsidRPr="00077FF9">
        <w:t>5</w:t>
      </w:r>
      <w:r w:rsidRPr="00077FF9" w:rsidR="00BC749D">
        <w:t>th</w:t>
      </w:r>
      <w:r w:rsidRPr="00077FF9">
        <w:t xml:space="preserve"> at </w:t>
      </w:r>
      <w:r w:rsidRPr="00077FF9" w:rsidR="00086C82">
        <w:t>p. </w:t>
      </w:r>
      <w:r w:rsidRPr="00077FF9">
        <w:t>1009</w:t>
      </w:r>
      <w:bookmarkEnd w:id="52"/>
      <w:r w:rsidRPr="00C82F51">
        <w:t xml:space="preserve">.) </w:t>
      </w:r>
      <w:r w:rsidRPr="00C82F51" w:rsidR="007A1EEC">
        <w:t xml:space="preserve"> </w:t>
      </w:r>
      <w:r w:rsidRPr="00C82F51">
        <w:t>A</w:t>
      </w:r>
      <w:r w:rsidRPr="00C82F51" w:rsidR="00816A5F">
        <w:t>t the first prong of the analysis</w:t>
      </w:r>
      <w:r w:rsidRPr="00C82F51" w:rsidR="00B94AA2">
        <w:t xml:space="preserve">, </w:t>
      </w:r>
      <w:r w:rsidRPr="00C82F51" w:rsidR="00272C6D">
        <w:t>we</w:t>
      </w:r>
      <w:r w:rsidRPr="00C82F51" w:rsidR="00B94AA2">
        <w:t xml:space="preserve"> must </w:t>
      </w:r>
      <w:r w:rsidRPr="00C82F51" w:rsidR="007362DA">
        <w:t>consider</w:t>
      </w:r>
      <w:r w:rsidRPr="00C82F51" w:rsidR="00B94AA2">
        <w:t xml:space="preserve"> the elements of </w:t>
      </w:r>
      <w:r w:rsidRPr="00C82F51">
        <w:t>plaintiff</w:t>
      </w:r>
      <w:r w:rsidRPr="00C82F51" w:rsidR="0094244F">
        <w:t>’</w:t>
      </w:r>
      <w:r w:rsidRPr="00C82F51">
        <w:t xml:space="preserve">s </w:t>
      </w:r>
      <w:r w:rsidRPr="00C82F51" w:rsidR="00B94AA2">
        <w:t>cause of action, the act</w:t>
      </w:r>
      <w:r w:rsidRPr="00C82F51" w:rsidR="003E1444">
        <w:t>s</w:t>
      </w:r>
      <w:r w:rsidRPr="00C82F51" w:rsidR="00B94AA2">
        <w:t xml:space="preserve"> </w:t>
      </w:r>
      <w:r w:rsidRPr="00C82F51" w:rsidR="0037284E">
        <w:t xml:space="preserve">of the </w:t>
      </w:r>
      <w:r w:rsidRPr="00C82F51" w:rsidR="00272C6D">
        <w:t>County</w:t>
      </w:r>
      <w:r w:rsidRPr="00C82F51" w:rsidR="00B94AA2">
        <w:t xml:space="preserve"> establish</w:t>
      </w:r>
      <w:r w:rsidRPr="00C82F51" w:rsidR="006826F0">
        <w:t>ing</w:t>
      </w:r>
      <w:r w:rsidRPr="00C82F51" w:rsidR="00B94AA2">
        <w:t xml:space="preserve"> those elements, and whether </w:t>
      </w:r>
      <w:r w:rsidRPr="00C82F51" w:rsidR="0037284E">
        <w:t>section 425.16, subdivision (e)</w:t>
      </w:r>
      <w:r w:rsidRPr="00C82F51" w:rsidR="00B94AA2">
        <w:t xml:space="preserve"> protects those acts.  (</w:t>
      </w:r>
      <w:bookmarkStart w:id="53" w:name="dabmci_86164837e23b4febb926540088467cfa"/>
      <w:r w:rsidR="00D63D99">
        <w:rPr>
          <w:i/>
          <w:iCs/>
        </w:rPr>
        <w:t>Bonni</w:t>
      </w:r>
      <w:r w:rsidR="00D63D99">
        <w:t>, at p. 1009</w:t>
      </w:r>
      <w:bookmarkEnd w:id="53"/>
      <w:r w:rsidRPr="00C82F51" w:rsidR="00B94AA2">
        <w:t>.)</w:t>
      </w:r>
      <w:r w:rsidRPr="00C82F51" w:rsidR="00B16A3B">
        <w:t xml:space="preserve">  </w:t>
      </w:r>
    </w:p>
    <w:p w:rsidR="00C00E74" w:rsidRPr="00187DE9" w:rsidP="002373B5" w14:paraId="78D8B0A2" w14:textId="26B0F463">
      <w:pPr>
        <w:ind w:firstLine="720"/>
        <w:rPr>
          <w:highlight w:val="cyan"/>
        </w:rPr>
      </w:pPr>
      <w:r w:rsidRPr="00736D15">
        <w:t>T</w:t>
      </w:r>
      <w:r w:rsidRPr="00736D15" w:rsidR="00B76470">
        <w:t>o prove her cause of action for whistleblower retaliation, plaintiff must show that the County subjected her to an adverse employment action because “</w:t>
      </w:r>
      <w:r w:rsidRPr="00736D15" w:rsidR="00736D15">
        <w:t>[</w:t>
      </w:r>
      <w:r w:rsidRPr="00736D15" w:rsidR="00B76470">
        <w:t>she</w:t>
      </w:r>
      <w:r w:rsidRPr="00736D15" w:rsidR="00736D15">
        <w:t>]</w:t>
      </w:r>
      <w:r w:rsidRPr="00736D15" w:rsidR="00B76470">
        <w:t xml:space="preserve"> exercised rights guaranteed </w:t>
      </w:r>
      <w:r w:rsidRPr="00736D15" w:rsidR="00736D15">
        <w:t>[</w:t>
      </w:r>
      <w:r w:rsidR="00DD2C3A">
        <w:t xml:space="preserve">to </w:t>
      </w:r>
      <w:r w:rsidRPr="00736D15" w:rsidR="00736D15">
        <w:t xml:space="preserve">her] </w:t>
      </w:r>
      <w:r w:rsidRPr="00736D15" w:rsidR="00B76470">
        <w:t>by law.”  (</w:t>
      </w:r>
      <w:bookmarkStart w:id="54" w:name="dabmci_0622f1953a5248738b4605103a82e2b4"/>
      <w:r w:rsidRPr="00736D15" w:rsidR="00B76470">
        <w:rPr>
          <w:i/>
          <w:iCs/>
        </w:rPr>
        <w:t>Cable News</w:t>
      </w:r>
      <w:r w:rsidRPr="00736D15" w:rsidR="0026664C">
        <w:t xml:space="preserve">, </w:t>
      </w:r>
      <w:r w:rsidRPr="00736D15" w:rsidR="0026664C">
        <w:rPr>
          <w:i/>
          <w:iCs/>
        </w:rPr>
        <w:t>supra</w:t>
      </w:r>
      <w:r w:rsidRPr="00736D15" w:rsidR="0026664C">
        <w:t>,</w:t>
      </w:r>
      <w:r w:rsidR="008A6598">
        <w:t xml:space="preserve"> </w:t>
      </w:r>
      <w:r w:rsidRPr="00736D15" w:rsidR="00B76470">
        <w:t>7</w:t>
      </w:r>
      <w:r w:rsidRPr="00736D15" w:rsidR="00086C82">
        <w:t> Cal.</w:t>
      </w:r>
      <w:r w:rsidRPr="00736D15" w:rsidR="00B76470">
        <w:t xml:space="preserve">5th </w:t>
      </w:r>
      <w:r w:rsidRPr="00736D15" w:rsidR="00B3450B">
        <w:t xml:space="preserve">at </w:t>
      </w:r>
      <w:r w:rsidRPr="00736D15" w:rsidR="00086C82">
        <w:t>p. </w:t>
      </w:r>
      <w:r w:rsidRPr="00736D15" w:rsidR="00B76470">
        <w:t>885</w:t>
      </w:r>
      <w:bookmarkEnd w:id="54"/>
      <w:r w:rsidRPr="00736D15" w:rsidR="00B76470">
        <w:t xml:space="preserve">.)  </w:t>
      </w:r>
      <w:r w:rsidRPr="00A11BC5" w:rsidR="00B76470">
        <w:t>Plaintiff alleged in her complaint that the County took adverse employment action</w:t>
      </w:r>
      <w:r w:rsidRPr="00A11BC5" w:rsidR="00833621">
        <w:t>s</w:t>
      </w:r>
      <w:r w:rsidRPr="00A11BC5" w:rsidR="00B76470">
        <w:t xml:space="preserve"> against her by demoting her and subjecting her to a hostile work environment.</w:t>
      </w:r>
      <w:r w:rsidRPr="00A11BC5">
        <w:t xml:space="preserve">  </w:t>
      </w:r>
      <w:r w:rsidRPr="005A1DB3" w:rsidR="00B76470">
        <w:t>The County argues plaintiff’s demotion</w:t>
      </w:r>
      <w:r w:rsidRPr="005A1DB3" w:rsidR="00833621">
        <w:t xml:space="preserve"> </w:t>
      </w:r>
      <w:r w:rsidRPr="005A1DB3" w:rsidR="00B76470">
        <w:t>was the result of the County’s protected conduct</w:t>
      </w:r>
      <w:r w:rsidRPr="005A1DB3">
        <w:t xml:space="preserve"> under section 425.16, subdivision (e)</w:t>
      </w:r>
      <w:r w:rsidR="005C5CE9">
        <w:t xml:space="preserve">(1) and </w:t>
      </w:r>
      <w:r w:rsidRPr="005A1DB3">
        <w:t>(2)</w:t>
      </w:r>
      <w:r w:rsidRPr="005A1DB3" w:rsidR="00B76470">
        <w:t>.</w:t>
      </w:r>
      <w:r w:rsidRPr="005A1DB3">
        <w:t xml:space="preserve">  </w:t>
      </w:r>
      <w:r w:rsidRPr="005A1DB3" w:rsidR="00833621">
        <w:t>It further argues that</w:t>
      </w:r>
      <w:r w:rsidRPr="005A1DB3" w:rsidR="002E3D4D">
        <w:t>,</w:t>
      </w:r>
      <w:r w:rsidRPr="005A1DB3" w:rsidR="00833621">
        <w:t xml:space="preserve"> </w:t>
      </w:r>
      <w:r w:rsidRPr="005A1DB3" w:rsidR="00205836">
        <w:t xml:space="preserve">because her demotion is the only fact she has pled in support of her claim that the County created a hostile work environment, </w:t>
      </w:r>
      <w:r w:rsidRPr="005A1DB3" w:rsidR="002E3D4D">
        <w:t xml:space="preserve">plaintiff’s hostile work environment theory </w:t>
      </w:r>
      <w:r w:rsidRPr="005A1DB3" w:rsidR="00205836">
        <w:t xml:space="preserve">is derivative of her demotion theory and must therefore be dismissed for the same reason.  </w:t>
      </w:r>
      <w:r w:rsidRPr="00187DE9">
        <w:t>We disagree.</w:t>
      </w:r>
      <w:r w:rsidR="00ED48CC">
        <w:t xml:space="preserve">  </w:t>
      </w:r>
    </w:p>
    <w:p w:rsidR="00B94AA2" w:rsidRPr="00187DE9" w:rsidP="002373B5" w14:paraId="32DB2FA7" w14:textId="74B8235E">
      <w:pPr>
        <w:ind w:firstLine="720"/>
        <w:rPr>
          <w:highlight w:val="cyan"/>
        </w:rPr>
      </w:pPr>
      <w:r w:rsidRPr="00160FD8">
        <w:t xml:space="preserve">Protected conduct </w:t>
      </w:r>
      <w:r w:rsidRPr="00160FD8" w:rsidR="00C00E74">
        <w:t xml:space="preserve">as defined in </w:t>
      </w:r>
      <w:r w:rsidRPr="00160FD8">
        <w:t>s</w:t>
      </w:r>
      <w:r w:rsidRPr="00160FD8" w:rsidR="0037284E">
        <w:t>ubdivision (e)(</w:t>
      </w:r>
      <w:r w:rsidRPr="00160FD8" w:rsidR="00160FD8">
        <w:t>1</w:t>
      </w:r>
      <w:r w:rsidRPr="00160FD8" w:rsidR="0037284E">
        <w:t>)</w:t>
      </w:r>
      <w:r w:rsidRPr="00160FD8">
        <w:t xml:space="preserve"> of section 425.16 </w:t>
      </w:r>
      <w:r w:rsidRPr="00160FD8" w:rsidR="00C00E74">
        <w:t>is</w:t>
      </w:r>
      <w:r w:rsidRPr="00160FD8" w:rsidR="0037284E">
        <w:t xml:space="preserve"> </w:t>
      </w:r>
      <w:r w:rsidRPr="00160FD8" w:rsidR="00742A57">
        <w:t>“any written or oral statement or writing made before a legislative, executive, or judicial proceeding, or any other official proceeding authorized by law</w:t>
      </w:r>
      <w:r w:rsidR="000402D0">
        <w:t>,</w:t>
      </w:r>
      <w:r w:rsidRPr="00160FD8" w:rsidR="00742A57">
        <w:t>”</w:t>
      </w:r>
      <w:r w:rsidR="000402D0">
        <w:t xml:space="preserve"> while subdivision (e)(2) defines protected conduct as “any written or oral statement or writing made in connection with an issue under consideration or review by a legislative, executive, or judicial body, or any other official proceeding authorized by law.”</w:t>
      </w:r>
      <w:r w:rsidRPr="00160FD8" w:rsidR="0037284E">
        <w:t xml:space="preserve"> </w:t>
      </w:r>
      <w:r w:rsidRPr="00160FD8">
        <w:t xml:space="preserve"> </w:t>
      </w:r>
      <w:r w:rsidRPr="000E000E">
        <w:t>Our Supreme Court, however, has held that th</w:t>
      </w:r>
      <w:r w:rsidR="000402D0">
        <w:t>ese</w:t>
      </w:r>
      <w:r w:rsidRPr="000E000E">
        <w:t xml:space="preserve"> subdivision</w:t>
      </w:r>
      <w:r w:rsidR="000402D0">
        <w:t>s</w:t>
      </w:r>
      <w:r w:rsidRPr="000E000E">
        <w:t xml:space="preserve"> do </w:t>
      </w:r>
      <w:r w:rsidRPr="000E000E" w:rsidR="0037284E">
        <w:t>not</w:t>
      </w:r>
      <w:r w:rsidRPr="000E000E">
        <w:t xml:space="preserve"> include</w:t>
      </w:r>
      <w:r w:rsidRPr="000E000E" w:rsidR="0037284E">
        <w:t xml:space="preserve"> the decisions made </w:t>
      </w:r>
      <w:r w:rsidRPr="000E000E" w:rsidR="008D0AF3">
        <w:t>in connection</w:t>
      </w:r>
      <w:r w:rsidRPr="000E000E" w:rsidR="0037284E">
        <w:t xml:space="preserve"> </w:t>
      </w:r>
      <w:r w:rsidRPr="000E000E" w:rsidR="009D78FE">
        <w:t xml:space="preserve">with </w:t>
      </w:r>
      <w:r w:rsidRPr="000E000E" w:rsidR="002A532A">
        <w:t>those</w:t>
      </w:r>
      <w:r w:rsidRPr="000E000E" w:rsidR="0037284E">
        <w:t xml:space="preserve"> proceedings.  (</w:t>
      </w:r>
      <w:bookmarkStart w:id="55" w:name="dabmci_6a589ce63bc2472a8d6c13587da69166"/>
      <w:r w:rsidRPr="000E000E" w:rsidR="0037284E">
        <w:rPr>
          <w:i/>
          <w:iCs/>
        </w:rPr>
        <w:t>Park v. Board of Trustees</w:t>
      </w:r>
      <w:r w:rsidRPr="000E000E" w:rsidR="0037284E">
        <w:t xml:space="preserve"> </w:t>
      </w:r>
      <w:r w:rsidRPr="000E000E" w:rsidR="000E000E">
        <w:rPr>
          <w:i/>
          <w:iCs/>
        </w:rPr>
        <w:t xml:space="preserve">of California State University </w:t>
      </w:r>
      <w:r w:rsidRPr="000E000E" w:rsidR="0037284E">
        <w:t>(2017) 2</w:t>
      </w:r>
      <w:r w:rsidRPr="000E000E" w:rsidR="00086C82">
        <w:t> Cal.</w:t>
      </w:r>
      <w:r w:rsidRPr="000E000E" w:rsidR="0037284E">
        <w:t>5th 1057, 106</w:t>
      </w:r>
      <w:r w:rsidRPr="000E000E" w:rsidR="00155323">
        <w:t>0</w:t>
      </w:r>
      <w:r w:rsidRPr="000E000E" w:rsidR="00550E88">
        <w:t>-1061</w:t>
      </w:r>
      <w:r w:rsidR="000402D0">
        <w:t>, 1064</w:t>
      </w:r>
      <w:bookmarkEnd w:id="55"/>
      <w:r w:rsidRPr="000E000E" w:rsidR="00155323">
        <w:t xml:space="preserve"> [</w:t>
      </w:r>
      <w:r w:rsidRPr="000E000E" w:rsidR="00590C51">
        <w:t xml:space="preserve">distinguishing </w:t>
      </w:r>
      <w:r w:rsidRPr="000E000E" w:rsidR="00F246B3">
        <w:t xml:space="preserve">a </w:t>
      </w:r>
      <w:r w:rsidRPr="000E000E" w:rsidR="00590C51">
        <w:t xml:space="preserve">discriminatory </w:t>
      </w:r>
      <w:r w:rsidRPr="000E000E" w:rsidR="00590C51">
        <w:rPr>
          <w:i/>
          <w:iCs/>
        </w:rPr>
        <w:t>decision</w:t>
      </w:r>
      <w:r w:rsidRPr="000E000E" w:rsidR="00816A5F">
        <w:t xml:space="preserve">, which </w:t>
      </w:r>
      <w:r w:rsidRPr="000E000E" w:rsidR="00086C82">
        <w:t>§ </w:t>
      </w:r>
      <w:r w:rsidRPr="000E000E" w:rsidR="00F246B3">
        <w:t>42</w:t>
      </w:r>
      <w:r w:rsidRPr="000E000E" w:rsidR="0073563F">
        <w:t>5</w:t>
      </w:r>
      <w:r w:rsidRPr="000E000E" w:rsidR="00F246B3">
        <w:t>.16 does not protect</w:t>
      </w:r>
      <w:r w:rsidRPr="000E000E" w:rsidR="00816A5F">
        <w:t>,</w:t>
      </w:r>
      <w:r w:rsidRPr="000E000E" w:rsidR="00590C51">
        <w:t xml:space="preserve"> from</w:t>
      </w:r>
      <w:r w:rsidRPr="000E000E" w:rsidR="00D732CB">
        <w:t xml:space="preserve"> </w:t>
      </w:r>
      <w:r w:rsidRPr="000E000E" w:rsidR="00F246B3">
        <w:t xml:space="preserve">the </w:t>
      </w:r>
      <w:r w:rsidRPr="000E000E" w:rsidR="00590C51">
        <w:rPr>
          <w:i/>
          <w:iCs/>
        </w:rPr>
        <w:t>speech</w:t>
      </w:r>
      <w:r w:rsidRPr="000E000E" w:rsidR="00590C51">
        <w:t xml:space="preserve"> </w:t>
      </w:r>
      <w:r w:rsidRPr="000E000E" w:rsidR="00D732CB">
        <w:t>in connection with the official proceeding</w:t>
      </w:r>
      <w:r w:rsidRPr="000E000E" w:rsidR="00590C51">
        <w:t xml:space="preserve"> </w:t>
      </w:r>
      <w:r w:rsidRPr="000E000E" w:rsidR="00F246B3">
        <w:t xml:space="preserve">that reached the </w:t>
      </w:r>
      <w:r w:rsidRPr="000E000E" w:rsidR="00590C51">
        <w:t>decision</w:t>
      </w:r>
      <w:r w:rsidRPr="000E000E" w:rsidR="00816A5F">
        <w:t xml:space="preserve">, which </w:t>
      </w:r>
      <w:r w:rsidRPr="000E000E" w:rsidR="00D732CB">
        <w:t>is</w:t>
      </w:r>
      <w:r w:rsidRPr="000E000E" w:rsidR="00816A5F">
        <w:t xml:space="preserve"> protected</w:t>
      </w:r>
      <w:r w:rsidRPr="000E000E" w:rsidR="00155323">
        <w:t>]</w:t>
      </w:r>
      <w:r w:rsidRPr="000E000E" w:rsidR="0037284E">
        <w:t>.)</w:t>
      </w:r>
      <w:r w:rsidRPr="00187DE9" w:rsidR="00B16A3B">
        <w:rPr>
          <w:highlight w:val="cyan"/>
        </w:rPr>
        <w:t xml:space="preserve">  </w:t>
      </w:r>
    </w:p>
    <w:p w:rsidR="005E4E62" w:rsidRPr="00310680" w:rsidP="005E4E62" w14:paraId="74DDFE75" w14:textId="337EC31E">
      <w:pPr>
        <w:ind w:firstLine="720"/>
      </w:pPr>
      <w:r w:rsidRPr="00C82F51">
        <w:rPr>
          <w:i/>
          <w:iCs/>
        </w:rPr>
        <w:t>Bonni</w:t>
      </w:r>
      <w:r w:rsidRPr="00C82F51">
        <w:t xml:space="preserve"> is illustrative of the difference between </w:t>
      </w:r>
      <w:r w:rsidRPr="00C82F51" w:rsidR="004E4E50">
        <w:t xml:space="preserve">protected </w:t>
      </w:r>
      <w:r w:rsidRPr="00C82F51" w:rsidR="009B03A2">
        <w:t>speech</w:t>
      </w:r>
      <w:r w:rsidRPr="00C82F51">
        <w:t xml:space="preserve"> </w:t>
      </w:r>
      <w:r w:rsidR="00AB7C6E">
        <w:t xml:space="preserve">made before </w:t>
      </w:r>
      <w:r w:rsidR="005E203B">
        <w:t>and</w:t>
      </w:r>
      <w:r w:rsidR="00AB7C6E">
        <w:t xml:space="preserve"> </w:t>
      </w:r>
      <w:r w:rsidRPr="00C82F51">
        <w:t>connected with</w:t>
      </w:r>
      <w:r w:rsidRPr="00C82F51" w:rsidR="00272C6D">
        <w:t xml:space="preserve"> an</w:t>
      </w:r>
      <w:r w:rsidRPr="00C82F51">
        <w:t xml:space="preserve"> official proceeding and the decision </w:t>
      </w:r>
      <w:r w:rsidRPr="00C82F51" w:rsidR="00272C6D">
        <w:t>ultimately</w:t>
      </w:r>
      <w:r w:rsidRPr="00C82F51" w:rsidR="00742A57">
        <w:t xml:space="preserve"> reach</w:t>
      </w:r>
      <w:r w:rsidRPr="00C82F51" w:rsidR="00272C6D">
        <w:t>e</w:t>
      </w:r>
      <w:r w:rsidRPr="00C82F51" w:rsidR="00B3450B">
        <w:t>d as a result of such a proceeding</w:t>
      </w:r>
      <w:r w:rsidRPr="00C82F51" w:rsidR="00F73F7F">
        <w:t xml:space="preserve">.  The plaintiff in </w:t>
      </w:r>
      <w:bookmarkStart w:id="56" w:name="dabmci_096ae84545fc4349afbe7bdd07824d4b"/>
      <w:r w:rsidRPr="00C82F51" w:rsidR="00F73F7F">
        <w:rPr>
          <w:i/>
          <w:iCs/>
        </w:rPr>
        <w:t>Bonni</w:t>
      </w:r>
      <w:bookmarkEnd w:id="56"/>
      <w:r w:rsidRPr="00C82F51" w:rsidR="00F73F7F">
        <w:t xml:space="preserve"> sued two hospitals and asserted over a dozen theories of unlawful retaliation.  (</w:t>
      </w:r>
      <w:bookmarkStart w:id="57" w:name="dabmci_31382a155f1048d08afe4e6170ebdad0"/>
      <w:r w:rsidRPr="00C82F51" w:rsidR="009D78FE">
        <w:rPr>
          <w:i/>
          <w:iCs/>
        </w:rPr>
        <w:t>Bonni</w:t>
      </w:r>
      <w:r w:rsidRPr="00C82F51" w:rsidR="00940667">
        <w:t>,</w:t>
      </w:r>
      <w:r w:rsidRPr="00C82F51" w:rsidR="00F73F7F">
        <w:t xml:space="preserve"> </w:t>
      </w:r>
      <w:r w:rsidRPr="00C82F51" w:rsidR="00B76470">
        <w:rPr>
          <w:i/>
          <w:iCs/>
        </w:rPr>
        <w:t>supra</w:t>
      </w:r>
      <w:r w:rsidRPr="00C82F51" w:rsidR="00B76470">
        <w:t>, 11</w:t>
      </w:r>
      <w:r w:rsidRPr="00C82F51" w:rsidR="00086C82">
        <w:t> Cal.</w:t>
      </w:r>
      <w:r w:rsidRPr="00C82F51" w:rsidR="00B76470">
        <w:t xml:space="preserve">5th </w:t>
      </w:r>
      <w:r w:rsidRPr="00C82F51" w:rsidR="00F73F7F">
        <w:t xml:space="preserve">at </w:t>
      </w:r>
      <w:r w:rsidRPr="00C82F51" w:rsidR="00086C82">
        <w:t>p. </w:t>
      </w:r>
      <w:r w:rsidRPr="00C82F51" w:rsidR="00F73F7F">
        <w:t>101</w:t>
      </w:r>
      <w:r w:rsidR="00C82F51">
        <w:t>5</w:t>
      </w:r>
      <w:r w:rsidRPr="00C82F51" w:rsidR="00940667">
        <w:t>,</w:t>
      </w:r>
      <w:r w:rsidRPr="00C82F51" w:rsidR="00F73F7F">
        <w:t xml:space="preserve"> fn</w:t>
      </w:r>
      <w:r w:rsidRPr="00C82F51" w:rsidR="00BC749D">
        <w:t>.</w:t>
      </w:r>
      <w:r w:rsidRPr="00C82F51" w:rsidR="00A2107E">
        <w:t> </w:t>
      </w:r>
      <w:r w:rsidRPr="00C82F51" w:rsidR="00F73F7F">
        <w:t>4</w:t>
      </w:r>
      <w:bookmarkEnd w:id="57"/>
      <w:r w:rsidRPr="00310680" w:rsidR="00F73F7F">
        <w:t xml:space="preserve">.)  </w:t>
      </w:r>
      <w:r w:rsidR="005E203B">
        <w:t>A</w:t>
      </w:r>
      <w:r w:rsidR="006D10D6">
        <w:t>mong his</w:t>
      </w:r>
      <w:r w:rsidRPr="00310680" w:rsidR="006D10D6">
        <w:t xml:space="preserve"> </w:t>
      </w:r>
      <w:r w:rsidRPr="00310680" w:rsidR="00816A5F">
        <w:t>theor</w:t>
      </w:r>
      <w:r w:rsidRPr="00310680" w:rsidR="001166AB">
        <w:t>ies were</w:t>
      </w:r>
      <w:r w:rsidRPr="00310680" w:rsidR="00640AB7">
        <w:t xml:space="preserve"> </w:t>
      </w:r>
      <w:r w:rsidRPr="00310680">
        <w:t>that the hospital</w:t>
      </w:r>
      <w:r w:rsidRPr="00310680" w:rsidR="00742A57">
        <w:t>s</w:t>
      </w:r>
      <w:r w:rsidRPr="00310680">
        <w:t xml:space="preserve"> defamed him</w:t>
      </w:r>
      <w:r w:rsidRPr="00310680" w:rsidR="001166AB">
        <w:t xml:space="preserve"> and engaged in character assassination</w:t>
      </w:r>
      <w:r w:rsidRPr="00310680">
        <w:t xml:space="preserve"> in retaliation for his complaints </w:t>
      </w:r>
      <w:r w:rsidRPr="00310680" w:rsidR="00272C6D">
        <w:t>regarding</w:t>
      </w:r>
      <w:r w:rsidRPr="00310680">
        <w:t xml:space="preserve"> patient safety; other</w:t>
      </w:r>
      <w:r w:rsidR="006D10D6">
        <w:t>s</w:t>
      </w:r>
      <w:r w:rsidRPr="00310680">
        <w:t xml:space="preserve"> </w:t>
      </w:r>
      <w:r w:rsidR="006D10D6">
        <w:t>included</w:t>
      </w:r>
      <w:r w:rsidRPr="00310680" w:rsidR="006D10D6">
        <w:t xml:space="preserve"> </w:t>
      </w:r>
      <w:r w:rsidRPr="00310680">
        <w:t>that</w:t>
      </w:r>
      <w:r w:rsidRPr="00310680" w:rsidR="00742A57">
        <w:t xml:space="preserve">, after an official </w:t>
      </w:r>
      <w:r w:rsidRPr="00310680" w:rsidR="00D732CB">
        <w:t xml:space="preserve">peer review </w:t>
      </w:r>
      <w:r w:rsidRPr="00310680" w:rsidR="00742A57">
        <w:t>proceeding,</w:t>
      </w:r>
      <w:r w:rsidRPr="00310680">
        <w:t xml:space="preserve"> the hospital</w:t>
      </w:r>
      <w:r w:rsidRPr="00310680" w:rsidR="00742A57">
        <w:t>s</w:t>
      </w:r>
      <w:r w:rsidRPr="00310680">
        <w:t xml:space="preserve"> suspended his privileges in retaliation for his complaints.  (</w:t>
      </w:r>
      <w:bookmarkStart w:id="58" w:name="dabmci_4afbc9cad94e4003ba2217e28eb715c2"/>
      <w:r w:rsidRPr="00310680">
        <w:rPr>
          <w:i/>
          <w:iCs/>
        </w:rPr>
        <w:t>Id</w:t>
      </w:r>
      <w:r w:rsidRPr="00310680">
        <w:t>.</w:t>
      </w:r>
      <w:r w:rsidRPr="00310680" w:rsidR="00310680">
        <w:t xml:space="preserve"> at p. 1015 &amp; fn. 4</w:t>
      </w:r>
      <w:bookmarkEnd w:id="58"/>
      <w:r w:rsidRPr="00310680" w:rsidR="00310680">
        <w:t>.</w:t>
      </w:r>
      <w:r w:rsidRPr="00310680">
        <w:t xml:space="preserve">)  </w:t>
      </w:r>
      <w:r w:rsidRPr="00310680" w:rsidR="00550E88">
        <w:t xml:space="preserve">Our Supreme </w:t>
      </w:r>
      <w:r w:rsidRPr="00310680" w:rsidR="00F73F7F">
        <w:t xml:space="preserve">Court held the defamation </w:t>
      </w:r>
      <w:r w:rsidRPr="00310680" w:rsidR="00C13AEC">
        <w:t>and character assassination theories</w:t>
      </w:r>
      <w:r w:rsidRPr="00310680" w:rsidR="00F73F7F">
        <w:t xml:space="preserve"> related to speech activity</w:t>
      </w:r>
      <w:r w:rsidRPr="00310680" w:rsidR="000C51FC">
        <w:t xml:space="preserve"> in connection with an official proceeding</w:t>
      </w:r>
      <w:r w:rsidRPr="00310680" w:rsidR="00A049F2">
        <w:t>,</w:t>
      </w:r>
      <w:r w:rsidRPr="00310680" w:rsidR="00F73F7F">
        <w:t xml:space="preserve"> and </w:t>
      </w:r>
      <w:r w:rsidRPr="00310680" w:rsidR="00A049F2">
        <w:t xml:space="preserve">thus </w:t>
      </w:r>
      <w:r w:rsidRPr="00310680" w:rsidR="00D06A39">
        <w:t>arose from</w:t>
      </w:r>
      <w:r w:rsidRPr="00310680" w:rsidR="00F73F7F">
        <w:t xml:space="preserve"> protected </w:t>
      </w:r>
      <w:r w:rsidRPr="00310680" w:rsidR="00D06A39">
        <w:t xml:space="preserve">activity </w:t>
      </w:r>
      <w:r w:rsidRPr="00310680" w:rsidR="00F03FF4">
        <w:t>under subdivision (e)(2)</w:t>
      </w:r>
      <w:r w:rsidRPr="00310680" w:rsidR="002974F2">
        <w:t xml:space="preserve"> of section 425.16</w:t>
      </w:r>
      <w:r w:rsidRPr="00310680" w:rsidR="00742A57">
        <w:t>.</w:t>
      </w:r>
      <w:r w:rsidRPr="00310680" w:rsidR="00F03FF4">
        <w:t xml:space="preserve"> </w:t>
      </w:r>
      <w:r w:rsidRPr="00310680" w:rsidR="00BC749D">
        <w:t xml:space="preserve"> </w:t>
      </w:r>
      <w:r w:rsidRPr="00310680" w:rsidR="00F73F7F">
        <w:t>(</w:t>
      </w:r>
      <w:bookmarkStart w:id="59" w:name="dabmci_4c028052f5da460abd8622997fee0f3c"/>
      <w:r w:rsidRPr="00310680" w:rsidR="00550E88">
        <w:rPr>
          <w:i/>
          <w:iCs/>
        </w:rPr>
        <w:t>Bonni</w:t>
      </w:r>
      <w:r w:rsidRPr="00310680" w:rsidR="00550E88">
        <w:t>,</w:t>
      </w:r>
      <w:r w:rsidRPr="00310680" w:rsidR="00F73F7F">
        <w:t xml:space="preserve"> at </w:t>
      </w:r>
      <w:r w:rsidRPr="00310680" w:rsidR="00086C82">
        <w:t>p. </w:t>
      </w:r>
      <w:r w:rsidRPr="00310680" w:rsidR="00F73F7F">
        <w:t>1016</w:t>
      </w:r>
      <w:bookmarkEnd w:id="59"/>
      <w:r w:rsidRPr="00310680" w:rsidR="00A2107E">
        <w:t>.</w:t>
      </w:r>
      <w:r w:rsidRPr="00310680" w:rsidR="00F73F7F">
        <w:t>)</w:t>
      </w:r>
      <w:r w:rsidRPr="00310680" w:rsidR="00742A57">
        <w:t xml:space="preserve">  </w:t>
      </w:r>
    </w:p>
    <w:p w:rsidR="000A5C10" w:rsidRPr="002E7603" w:rsidP="005E4E62" w14:paraId="71191CE3" w14:textId="358EDCC8">
      <w:pPr>
        <w:ind w:firstLine="720"/>
      </w:pPr>
      <w:r w:rsidRPr="001D111C">
        <w:t xml:space="preserve">The </w:t>
      </w:r>
      <w:r w:rsidRPr="001D111C">
        <w:rPr>
          <w:i/>
          <w:iCs/>
        </w:rPr>
        <w:t>Bonni</w:t>
      </w:r>
      <w:r w:rsidRPr="001D111C">
        <w:t xml:space="preserve"> court </w:t>
      </w:r>
      <w:r w:rsidRPr="001D111C" w:rsidR="00F73F7F">
        <w:t>concluded</w:t>
      </w:r>
      <w:r w:rsidRPr="001D111C" w:rsidR="00072A3E">
        <w:t>, however,</w:t>
      </w:r>
      <w:r w:rsidRPr="001D111C" w:rsidR="00F73F7F">
        <w:t xml:space="preserve"> that </w:t>
      </w:r>
      <w:r w:rsidRPr="001D111C" w:rsidR="009B03A2">
        <w:t>subdivision (e)(2)</w:t>
      </w:r>
      <w:r w:rsidRPr="001D111C" w:rsidR="00550E88">
        <w:t xml:space="preserve"> of section 425.16</w:t>
      </w:r>
      <w:r w:rsidRPr="001D111C" w:rsidR="00F73F7F">
        <w:t xml:space="preserve"> d</w:t>
      </w:r>
      <w:r w:rsidRPr="001D111C" w:rsidR="00967E0A">
        <w:t>i</w:t>
      </w:r>
      <w:r w:rsidRPr="001D111C" w:rsidR="003E4929">
        <w:t>d</w:t>
      </w:r>
      <w:r w:rsidRPr="001D111C" w:rsidR="00F73F7F">
        <w:t xml:space="preserve"> not </w:t>
      </w:r>
      <w:r w:rsidRPr="001D111C" w:rsidR="00866B53">
        <w:t xml:space="preserve">include </w:t>
      </w:r>
      <w:r w:rsidRPr="001D111C" w:rsidR="00D732CB">
        <w:t>a</w:t>
      </w:r>
      <w:r w:rsidRPr="001D111C" w:rsidR="00F73F7F">
        <w:t xml:space="preserve"> disciplinary </w:t>
      </w:r>
      <w:r w:rsidRPr="001D111C" w:rsidR="00E35EA2">
        <w:t>decision</w:t>
      </w:r>
      <w:r w:rsidRPr="001D111C" w:rsidR="002974F2">
        <w:t xml:space="preserve"> </w:t>
      </w:r>
      <w:r w:rsidRPr="001D111C" w:rsidR="00072A3E">
        <w:t>in its definition of</w:t>
      </w:r>
      <w:r w:rsidRPr="001D111C" w:rsidR="002974F2">
        <w:t xml:space="preserve"> protected </w:t>
      </w:r>
      <w:r w:rsidRPr="00345867" w:rsidR="002974F2">
        <w:t>activity</w:t>
      </w:r>
      <w:r w:rsidRPr="00345867" w:rsidR="00F651BC">
        <w:t xml:space="preserve">, even where </w:t>
      </w:r>
      <w:r w:rsidRPr="00345867" w:rsidR="002974F2">
        <w:t xml:space="preserve">the disciplinary </w:t>
      </w:r>
      <w:r w:rsidRPr="00345867" w:rsidR="00E35EA2">
        <w:t xml:space="preserve">decision </w:t>
      </w:r>
      <w:r w:rsidRPr="00345867" w:rsidR="00D732CB">
        <w:t>is</w:t>
      </w:r>
      <w:r w:rsidRPr="00345867" w:rsidR="00F651BC">
        <w:t xml:space="preserve"> communicated orally or in writing</w:t>
      </w:r>
      <w:r w:rsidRPr="00345867" w:rsidR="00742A57">
        <w:t xml:space="preserve">. </w:t>
      </w:r>
      <w:r w:rsidRPr="00345867" w:rsidR="002373B5">
        <w:t xml:space="preserve"> (</w:t>
      </w:r>
      <w:bookmarkStart w:id="60" w:name="dabmci_558bc7cfbb2f4c9aabee1ba2d5089c9f"/>
      <w:r w:rsidRPr="00345867" w:rsidR="00866B53">
        <w:rPr>
          <w:i/>
          <w:iCs/>
        </w:rPr>
        <w:t>Bonni</w:t>
      </w:r>
      <w:r w:rsidRPr="00345867" w:rsidR="00866B53">
        <w:t>,</w:t>
      </w:r>
      <w:r w:rsidRPr="00345867" w:rsidR="002373B5">
        <w:t xml:space="preserve"> </w:t>
      </w:r>
      <w:r w:rsidRPr="00345867" w:rsidR="006C4BCA">
        <w:rPr>
          <w:i/>
          <w:iCs/>
        </w:rPr>
        <w:t>supra</w:t>
      </w:r>
      <w:r w:rsidRPr="00345867" w:rsidR="006C4BCA">
        <w:t>, 11</w:t>
      </w:r>
      <w:r w:rsidRPr="00345867" w:rsidR="00086C82">
        <w:t> Cal.</w:t>
      </w:r>
      <w:r w:rsidRPr="00345867" w:rsidR="006C4BCA">
        <w:t xml:space="preserve">5th </w:t>
      </w:r>
      <w:r w:rsidRPr="00345867" w:rsidR="002373B5">
        <w:t>at p</w:t>
      </w:r>
      <w:r w:rsidRPr="00345867" w:rsidR="00086C82">
        <w:t>p. </w:t>
      </w:r>
      <w:r w:rsidR="006D10D6">
        <w:t xml:space="preserve">1014, </w:t>
      </w:r>
      <w:r w:rsidRPr="00345867" w:rsidR="002373B5">
        <w:t>1019-1020</w:t>
      </w:r>
      <w:bookmarkEnd w:id="60"/>
      <w:r w:rsidRPr="00345867" w:rsidR="00866B53">
        <w:t>.</w:t>
      </w:r>
      <w:r w:rsidRPr="00345867" w:rsidR="002373B5">
        <w:t>)</w:t>
      </w:r>
      <w:r w:rsidRPr="00345867" w:rsidR="00F73F7F">
        <w:t xml:space="preserve">  </w:t>
      </w:r>
      <w:r w:rsidRPr="001D111C" w:rsidR="00F13443">
        <w:t xml:space="preserve">Such disciplinary </w:t>
      </w:r>
      <w:r w:rsidRPr="001D111C" w:rsidR="00312429">
        <w:t>conduct</w:t>
      </w:r>
      <w:r w:rsidRPr="001D111C" w:rsidR="00F13443">
        <w:t xml:space="preserve"> </w:t>
      </w:r>
      <w:r w:rsidRPr="001D111C" w:rsidR="00312429">
        <w:t>is</w:t>
      </w:r>
      <w:r w:rsidRPr="001D111C" w:rsidR="002E3D4D">
        <w:t xml:space="preserve"> potentially</w:t>
      </w:r>
      <w:r w:rsidRPr="001D111C" w:rsidR="00F13443">
        <w:t xml:space="preserve"> protected</w:t>
      </w:r>
      <w:r w:rsidRPr="001D111C" w:rsidR="00F03FF4">
        <w:t xml:space="preserve"> under </w:t>
      </w:r>
      <w:r w:rsidRPr="001D111C" w:rsidR="002974F2">
        <w:t xml:space="preserve">section 425.16, </w:t>
      </w:r>
      <w:r w:rsidRPr="001D111C" w:rsidR="00F03FF4">
        <w:t>subdivision (e)(4</w:t>
      </w:r>
      <w:r w:rsidRPr="0099248A" w:rsidR="00097C38">
        <w:t>)</w:t>
      </w:r>
      <w:r w:rsidRPr="0099248A" w:rsidR="00072A3E">
        <w:t>,</w:t>
      </w:r>
      <w:r>
        <w:rPr>
          <w:rStyle w:val="FootnoteReference"/>
        </w:rPr>
        <w:footnoteReference w:id="6"/>
      </w:r>
      <w:r w:rsidRPr="0099248A" w:rsidR="00F13443">
        <w:t xml:space="preserve"> </w:t>
      </w:r>
      <w:r w:rsidRPr="0099248A">
        <w:t xml:space="preserve">but </w:t>
      </w:r>
      <w:r w:rsidRPr="0099248A" w:rsidR="00072A3E">
        <w:t xml:space="preserve">only </w:t>
      </w:r>
      <w:r w:rsidRPr="0099248A" w:rsidR="00F13443">
        <w:t xml:space="preserve">when the </w:t>
      </w:r>
      <w:r w:rsidRPr="0099248A" w:rsidR="00312429">
        <w:t>conduct</w:t>
      </w:r>
      <w:r w:rsidRPr="0099248A" w:rsidR="00F13443">
        <w:t xml:space="preserve"> directly advances the employer’s ability to speak or petition on matters of public concern.  (</w:t>
      </w:r>
      <w:bookmarkStart w:id="61" w:name="dabmci_b90708e348de4b929b9d3a746845e55e"/>
      <w:r w:rsidRPr="0099248A" w:rsidR="002974F2">
        <w:rPr>
          <w:i/>
          <w:iCs/>
        </w:rPr>
        <w:t>Bonni</w:t>
      </w:r>
      <w:r w:rsidRPr="00B12B6D" w:rsidR="002974F2">
        <w:t>,</w:t>
      </w:r>
      <w:r w:rsidRPr="0099248A" w:rsidR="00F13443">
        <w:t xml:space="preserve"> at </w:t>
      </w:r>
      <w:r w:rsidRPr="0099248A" w:rsidR="00086C82">
        <w:t>p. </w:t>
      </w:r>
      <w:r w:rsidRPr="0099248A" w:rsidR="00F13443">
        <w:t>1022</w:t>
      </w:r>
      <w:bookmarkEnd w:id="61"/>
      <w:r w:rsidRPr="0099248A" w:rsidR="00272C6D">
        <w:t xml:space="preserve">; </w:t>
      </w:r>
      <w:r w:rsidRPr="000E000E" w:rsidR="00F00B05">
        <w:t>see</w:t>
      </w:r>
      <w:r w:rsidRPr="000E000E" w:rsidR="00D732CB">
        <w:t xml:space="preserve"> </w:t>
      </w:r>
      <w:r w:rsidRPr="000E000E" w:rsidR="00F00B05">
        <w:t>also</w:t>
      </w:r>
      <w:r w:rsidRPr="000E000E" w:rsidR="00272C6D">
        <w:t xml:space="preserve"> </w:t>
      </w:r>
      <w:bookmarkStart w:id="62" w:name="dabmci_69023e6b85a5476aa42495cd56718d97"/>
      <w:r w:rsidRPr="000E000E" w:rsidR="00272C6D">
        <w:rPr>
          <w:i/>
          <w:iCs/>
        </w:rPr>
        <w:t>Park</w:t>
      </w:r>
      <w:r w:rsidR="00D63D99">
        <w:rPr>
          <w:i/>
          <w:iCs/>
        </w:rPr>
        <w:t> </w:t>
      </w:r>
      <w:r w:rsidRPr="000E000E" w:rsidR="00272C6D">
        <w:rPr>
          <w:i/>
          <w:iCs/>
        </w:rPr>
        <w:t>v. Board of Trustees</w:t>
      </w:r>
      <w:r w:rsidRPr="000E000E" w:rsidR="000E000E">
        <w:rPr>
          <w:i/>
          <w:iCs/>
        </w:rPr>
        <w:t xml:space="preserve"> of California State University</w:t>
      </w:r>
      <w:r w:rsidRPr="000E000E" w:rsidR="00272C6D">
        <w:t xml:space="preserve">, </w:t>
      </w:r>
      <w:r w:rsidRPr="000E000E" w:rsidR="00272C6D">
        <w:rPr>
          <w:i/>
          <w:iCs/>
        </w:rPr>
        <w:t>supra</w:t>
      </w:r>
      <w:r w:rsidRPr="000E000E" w:rsidR="00272C6D">
        <w:t>, 2</w:t>
      </w:r>
      <w:r w:rsidRPr="000E000E" w:rsidR="00086C82">
        <w:t> Cal.</w:t>
      </w:r>
      <w:r w:rsidRPr="000E000E" w:rsidR="00272C6D">
        <w:t xml:space="preserve">5th at </w:t>
      </w:r>
      <w:r w:rsidRPr="000E000E" w:rsidR="00086C82">
        <w:t>p. </w:t>
      </w:r>
      <w:r w:rsidRPr="000E000E" w:rsidR="00272C6D">
        <w:t>1070</w:t>
      </w:r>
      <w:bookmarkEnd w:id="62"/>
      <w:r w:rsidRPr="000E000E" w:rsidR="00272C6D">
        <w:t xml:space="preserve"> [holding </w:t>
      </w:r>
      <w:r w:rsidR="00AB7C6E">
        <w:t>disciplinary decisions</w:t>
      </w:r>
      <w:r w:rsidRPr="000E000E" w:rsidR="00AB7C6E">
        <w:t xml:space="preserve"> </w:t>
      </w:r>
      <w:r w:rsidRPr="000E000E" w:rsidR="00272C6D">
        <w:t>in connection with official proceedings are not protected activities</w:t>
      </w:r>
      <w:r w:rsidRPr="000E000E" w:rsidR="00312429">
        <w:t xml:space="preserve"> under </w:t>
      </w:r>
      <w:r w:rsidRPr="000E000E" w:rsidR="00086C82">
        <w:t>§ </w:t>
      </w:r>
      <w:r w:rsidRPr="000E000E" w:rsidR="002974F2">
        <w:t xml:space="preserve">425.16, subd. </w:t>
      </w:r>
      <w:r w:rsidRPr="000E000E" w:rsidR="00312429">
        <w:t>(e)(2)</w:t>
      </w:r>
      <w:r w:rsidRPr="000E000E" w:rsidR="00272C6D">
        <w:t>]</w:t>
      </w:r>
      <w:r w:rsidRPr="000E000E" w:rsidR="00F13443">
        <w:t>.)</w:t>
      </w:r>
      <w:r w:rsidRPr="000E000E" w:rsidR="004E4E50">
        <w:t xml:space="preserve"> </w:t>
      </w:r>
      <w:r w:rsidRPr="000E000E" w:rsidR="009B03A2">
        <w:t xml:space="preserve"> </w:t>
      </w:r>
      <w:r w:rsidRPr="002E7603">
        <w:t>Still</w:t>
      </w:r>
      <w:r w:rsidRPr="002E7603" w:rsidR="00E35EA2">
        <w:t xml:space="preserve">, </w:t>
      </w:r>
      <w:r w:rsidRPr="002E7603">
        <w:t xml:space="preserve">asserting </w:t>
      </w:r>
      <w:r w:rsidRPr="002E7603" w:rsidR="00866B53">
        <w:t xml:space="preserve">that conduct, e.g., hiring or disciplining an employee, is </w:t>
      </w:r>
      <w:r w:rsidRPr="002E7603" w:rsidR="00072A3E">
        <w:t xml:space="preserve">merely </w:t>
      </w:r>
      <w:r w:rsidRPr="002E7603" w:rsidR="00866B53">
        <w:t xml:space="preserve">an issue of public </w:t>
      </w:r>
      <w:r w:rsidRPr="002E7603" w:rsidR="0094244F">
        <w:t>concern</w:t>
      </w:r>
      <w:r w:rsidRPr="002E7603" w:rsidR="00866B53">
        <w:t xml:space="preserve"> is not enough to bring a defendant’s conduct under the protection of section 425.16, subdivision (e)(4).  (</w:t>
      </w:r>
      <w:bookmarkStart w:id="63" w:name="dabmci_a9e14495351547638d8fdb266fa1404a"/>
      <w:r w:rsidRPr="002E7603" w:rsidR="00866B53">
        <w:rPr>
          <w:i/>
          <w:iCs/>
        </w:rPr>
        <w:t>Park</w:t>
      </w:r>
      <w:r w:rsidRPr="002E7603" w:rsidR="00866B53">
        <w:t xml:space="preserve">, at </w:t>
      </w:r>
      <w:r w:rsidRPr="002E7603" w:rsidR="00086C82">
        <w:t>p. </w:t>
      </w:r>
      <w:r w:rsidRPr="002E7603" w:rsidR="00866B53">
        <w:t>1072</w:t>
      </w:r>
      <w:bookmarkEnd w:id="63"/>
      <w:r w:rsidRPr="002E7603" w:rsidR="00866B53">
        <w:t>.)</w:t>
      </w:r>
      <w:r w:rsidRPr="002E7603">
        <w:t xml:space="preserve"> </w:t>
      </w:r>
      <w:r w:rsidR="00BB4585">
        <w:t xml:space="preserve"> </w:t>
      </w:r>
    </w:p>
    <w:p w:rsidR="00CE4ABC" w:rsidRPr="00125F29" w:rsidP="00E26242" w14:paraId="61BB2C84" w14:textId="7B9A68B7">
      <w:pPr>
        <w:ind w:firstLine="720"/>
      </w:pPr>
      <w:r w:rsidRPr="005A1DB3">
        <w:t>The County relies on</w:t>
      </w:r>
      <w:r w:rsidRPr="000E000E">
        <w:t xml:space="preserve"> </w:t>
      </w:r>
      <w:bookmarkStart w:id="64" w:name="dabmci_1626ed7c0afe42c99407d9100ac5f5c7"/>
      <w:r w:rsidRPr="000E000E">
        <w:rPr>
          <w:i/>
          <w:iCs/>
        </w:rPr>
        <w:t>Kibler v. Northern Inyo County Local Hospital Dist</w:t>
      </w:r>
      <w:r w:rsidRPr="000E000E">
        <w:t>. (2006) 39</w:t>
      </w:r>
      <w:r w:rsidRPr="000E000E" w:rsidR="00086C82">
        <w:t> Cal.</w:t>
      </w:r>
      <w:r w:rsidRPr="000E000E">
        <w:t>4th 192</w:t>
      </w:r>
      <w:bookmarkEnd w:id="64"/>
      <w:r w:rsidRPr="005A1DB3">
        <w:t xml:space="preserve"> and </w:t>
      </w:r>
      <w:bookmarkStart w:id="65" w:name="dabmci_3add14fa31bd4434a376c5a5899380c1"/>
      <w:r w:rsidRPr="000E000E">
        <w:rPr>
          <w:i/>
          <w:iCs/>
        </w:rPr>
        <w:t>Vergos v. McNeal</w:t>
      </w:r>
      <w:r w:rsidRPr="000E000E">
        <w:t xml:space="preserve"> (2007) </w:t>
      </w:r>
      <w:r w:rsidRPr="005A1DB3">
        <w:t>146</w:t>
      </w:r>
      <w:r w:rsidRPr="005A1DB3" w:rsidR="00086C82">
        <w:t> Cal.</w:t>
      </w:r>
      <w:r w:rsidRPr="005A1DB3">
        <w:t>App.4th 1387</w:t>
      </w:r>
      <w:bookmarkEnd w:id="65"/>
      <w:r w:rsidRPr="005A1DB3">
        <w:t xml:space="preserve"> to bolster its argument that the demotion was </w:t>
      </w:r>
      <w:r w:rsidRPr="005A1DB3" w:rsidR="005E4E62">
        <w:t xml:space="preserve">in connection with </w:t>
      </w:r>
      <w:r w:rsidRPr="005A1DB3" w:rsidR="006C4BCA">
        <w:t xml:space="preserve">an </w:t>
      </w:r>
      <w:r w:rsidRPr="005A1DB3">
        <w:t xml:space="preserve">official proceeding.  </w:t>
      </w:r>
      <w:r w:rsidRPr="00345867" w:rsidR="00250D29">
        <w:t xml:space="preserve">But, even assuming the hiring of the new district attorney’s management team was an official proceeding under </w:t>
      </w:r>
      <w:r w:rsidRPr="00345867" w:rsidR="003C76DE">
        <w:t xml:space="preserve">section 425.16, </w:t>
      </w:r>
      <w:r w:rsidRPr="00345867" w:rsidR="00250D29">
        <w:t xml:space="preserve">subdivision (e)(2), this case is still no different from </w:t>
      </w:r>
      <w:r w:rsidRPr="00345867" w:rsidR="00250D29">
        <w:rPr>
          <w:i/>
          <w:iCs/>
        </w:rPr>
        <w:t>Bonni</w:t>
      </w:r>
      <w:r w:rsidRPr="00345867" w:rsidR="00250D29">
        <w:t xml:space="preserve"> because plaintiff’s demotion was not </w:t>
      </w:r>
      <w:r w:rsidRPr="00345867" w:rsidR="00250D29">
        <w:rPr>
          <w:i/>
          <w:iCs/>
        </w:rPr>
        <w:t>speech</w:t>
      </w:r>
      <w:r w:rsidRPr="00345867" w:rsidR="00250D29">
        <w:t xml:space="preserve"> in connection with that official proceeding.  (</w:t>
      </w:r>
      <w:bookmarkStart w:id="66" w:name="dabmci_7bf3d042c17d403bb3517de4f4779e90"/>
      <w:r w:rsidRPr="00345867" w:rsidR="004328E6">
        <w:rPr>
          <w:i/>
          <w:iCs/>
        </w:rPr>
        <w:t>Bonni</w:t>
      </w:r>
      <w:r w:rsidRPr="00345867" w:rsidR="004328E6">
        <w:t xml:space="preserve">, </w:t>
      </w:r>
      <w:r w:rsidRPr="00345867" w:rsidR="004328E6">
        <w:rPr>
          <w:i/>
          <w:iCs/>
        </w:rPr>
        <w:t>supra</w:t>
      </w:r>
      <w:r w:rsidRPr="00345867" w:rsidR="004328E6">
        <w:t>, 11</w:t>
      </w:r>
      <w:r w:rsidRPr="00345867" w:rsidR="00086C82">
        <w:t> Cal.</w:t>
      </w:r>
      <w:r w:rsidRPr="00345867" w:rsidR="004328E6">
        <w:t>5th</w:t>
      </w:r>
      <w:r w:rsidRPr="00345867" w:rsidR="00250D29">
        <w:t xml:space="preserve"> at </w:t>
      </w:r>
      <w:r w:rsidRPr="00345867" w:rsidR="000D167F">
        <w:t>p</w:t>
      </w:r>
      <w:r w:rsidRPr="00345867" w:rsidR="00086C82">
        <w:t>p. </w:t>
      </w:r>
      <w:r w:rsidRPr="00345867" w:rsidR="00250D29">
        <w:t>1019-1020</w:t>
      </w:r>
      <w:bookmarkEnd w:id="66"/>
      <w:r w:rsidRPr="0099248A" w:rsidR="00250D29">
        <w:t>.)</w:t>
      </w:r>
      <w:r w:rsidRPr="0099248A" w:rsidR="00451104">
        <w:t xml:space="preserve">  </w:t>
      </w:r>
      <w:r w:rsidRPr="0099248A" w:rsidR="00D732CB">
        <w:t xml:space="preserve">As explained in </w:t>
      </w:r>
      <w:bookmarkStart w:id="67" w:name="dabmci_aea13df2eb0d415f958cb796b661c54a"/>
      <w:r w:rsidRPr="0099248A" w:rsidR="00D732CB">
        <w:rPr>
          <w:i/>
          <w:iCs/>
        </w:rPr>
        <w:t>Bonni</w:t>
      </w:r>
      <w:bookmarkEnd w:id="67"/>
      <w:r w:rsidRPr="0099248A" w:rsidR="00D732CB">
        <w:t xml:space="preserve">, </w:t>
      </w:r>
      <w:r w:rsidRPr="0099248A" w:rsidR="0094244F">
        <w:t xml:space="preserve">plaintiff’s </w:t>
      </w:r>
      <w:r w:rsidRPr="0099248A" w:rsidR="00E26242">
        <w:t>demotion</w:t>
      </w:r>
      <w:r w:rsidRPr="0099248A" w:rsidR="009B03A2">
        <w:t xml:space="preserve"> could</w:t>
      </w:r>
      <w:r w:rsidRPr="0099248A" w:rsidR="003306EF">
        <w:t xml:space="preserve"> only</w:t>
      </w:r>
      <w:r w:rsidRPr="0099248A" w:rsidR="009B03A2">
        <w:t xml:space="preserve"> be protected under</w:t>
      </w:r>
      <w:r w:rsidRPr="0099248A" w:rsidR="001E1435">
        <w:t xml:space="preserve"> section 425.16,</w:t>
      </w:r>
      <w:r w:rsidRPr="0099248A" w:rsidR="009B03A2">
        <w:t xml:space="preserve"> subdivision (e)(4) if the </w:t>
      </w:r>
      <w:r w:rsidRPr="0099248A" w:rsidR="00E26242">
        <w:t>County</w:t>
      </w:r>
      <w:r w:rsidRPr="0099248A" w:rsidR="009B03A2">
        <w:t xml:space="preserve"> demonstrate</w:t>
      </w:r>
      <w:r w:rsidRPr="0099248A" w:rsidR="00E26242">
        <w:t>d</w:t>
      </w:r>
      <w:r w:rsidRPr="0099248A" w:rsidR="009B03A2">
        <w:t xml:space="preserve"> </w:t>
      </w:r>
      <w:r w:rsidRPr="0099248A" w:rsidR="00E26242">
        <w:t>her demotion</w:t>
      </w:r>
      <w:r w:rsidRPr="0099248A" w:rsidR="009B03A2">
        <w:t xml:space="preserve"> directly advance</w:t>
      </w:r>
      <w:r w:rsidRPr="0099248A" w:rsidR="003306EF">
        <w:t>d</w:t>
      </w:r>
      <w:r w:rsidRPr="0099248A" w:rsidR="009B03A2">
        <w:t xml:space="preserve"> its ability to speak or petition on a matter of public concern</w:t>
      </w:r>
      <w:r w:rsidRPr="0099248A" w:rsidR="00F13443">
        <w:t>.  (</w:t>
      </w:r>
      <w:bookmarkStart w:id="68" w:name="dabmci_bfdeaa85f5eb4369923d7683091a3ccd"/>
      <w:r w:rsidRPr="0099248A" w:rsidR="00F13443">
        <w:rPr>
          <w:i/>
          <w:iCs/>
        </w:rPr>
        <w:t>Bonni</w:t>
      </w:r>
      <w:r w:rsidRPr="0099248A" w:rsidR="00940667">
        <w:t>,</w:t>
      </w:r>
      <w:r w:rsidRPr="0099248A" w:rsidR="003B33D6">
        <w:t xml:space="preserve"> at </w:t>
      </w:r>
      <w:r w:rsidRPr="0099248A" w:rsidR="00086C82">
        <w:t>p. </w:t>
      </w:r>
      <w:r w:rsidRPr="0099248A" w:rsidR="003B33D6">
        <w:t>1022</w:t>
      </w:r>
      <w:bookmarkEnd w:id="68"/>
      <w:r w:rsidRPr="0099248A" w:rsidR="00804163">
        <w:t>; s</w:t>
      </w:r>
      <w:r w:rsidRPr="00736D15" w:rsidR="00804163">
        <w:t xml:space="preserve">ee also </w:t>
      </w:r>
      <w:bookmarkStart w:id="69" w:name="dabmci_5eb640445ac84376959a0123ee2a1c6f"/>
      <w:r w:rsidRPr="00736D15" w:rsidR="00804163">
        <w:rPr>
          <w:i/>
          <w:iCs/>
        </w:rPr>
        <w:t>Cable News</w:t>
      </w:r>
      <w:r w:rsidRPr="00736D15" w:rsidR="00804163">
        <w:t xml:space="preserve">, </w:t>
      </w:r>
      <w:r w:rsidRPr="00736D15" w:rsidR="00804163">
        <w:rPr>
          <w:i/>
          <w:iCs/>
        </w:rPr>
        <w:t>supra</w:t>
      </w:r>
      <w:r w:rsidRPr="00736D15" w:rsidR="00804163">
        <w:t>, 7</w:t>
      </w:r>
      <w:r w:rsidRPr="00736D15" w:rsidR="00086C82">
        <w:t> Cal.</w:t>
      </w:r>
      <w:r w:rsidRPr="00736D15" w:rsidR="00804163">
        <w:t xml:space="preserve">5th at </w:t>
      </w:r>
      <w:r w:rsidRPr="00736D15" w:rsidR="00086C82">
        <w:t>p. </w:t>
      </w:r>
      <w:r w:rsidRPr="00736D15" w:rsidR="00804163">
        <w:t>898</w:t>
      </w:r>
      <w:bookmarkEnd w:id="69"/>
      <w:r w:rsidRPr="00736D15" w:rsidR="00804163">
        <w:t xml:space="preserve"> [holding termination of a news anchor for plagiarism </w:t>
      </w:r>
      <w:r w:rsidRPr="00736D15" w:rsidR="00736D15">
        <w:t xml:space="preserve">was </w:t>
      </w:r>
      <w:r w:rsidRPr="00736D15" w:rsidR="00804163">
        <w:t>protected under</w:t>
      </w:r>
      <w:r w:rsidRPr="00736D15" w:rsidR="00DC33EE">
        <w:t xml:space="preserve"> </w:t>
      </w:r>
      <w:r w:rsidRPr="00736D15" w:rsidR="00086C82">
        <w:t>§ </w:t>
      </w:r>
      <w:r w:rsidRPr="00736D15" w:rsidR="00DC33EE">
        <w:t>425.16</w:t>
      </w:r>
      <w:r w:rsidRPr="00736D15" w:rsidR="003C76DE">
        <w:t>,</w:t>
      </w:r>
      <w:r w:rsidRPr="00736D15" w:rsidR="00804163">
        <w:t xml:space="preserve"> subd</w:t>
      </w:r>
      <w:r w:rsidRPr="00736D15" w:rsidR="00DC33EE">
        <w:t>.</w:t>
      </w:r>
      <w:r w:rsidRPr="00736D15" w:rsidR="00804163">
        <w:t xml:space="preserve"> (e)(4) as conduct in furtherance of</w:t>
      </w:r>
      <w:r w:rsidRPr="00736D15" w:rsidR="0073563F">
        <w:t xml:space="preserve"> </w:t>
      </w:r>
      <w:r w:rsidRPr="00736D15" w:rsidR="000D167F">
        <w:t xml:space="preserve">an employer’s </w:t>
      </w:r>
      <w:r w:rsidRPr="00736D15" w:rsidR="00804163">
        <w:t>speech</w:t>
      </w:r>
      <w:r w:rsidRPr="00736D15" w:rsidR="001E1435">
        <w:t xml:space="preserve"> </w:t>
      </w:r>
      <w:r w:rsidRPr="00736D15" w:rsidR="0073563F">
        <w:t>rights</w:t>
      </w:r>
      <w:r w:rsidRPr="00125F29" w:rsidR="00804163">
        <w:t>]</w:t>
      </w:r>
      <w:r w:rsidRPr="00125F29" w:rsidR="003B33D6">
        <w:t>.)</w:t>
      </w:r>
      <w:r w:rsidRPr="00125F29" w:rsidR="001E1435">
        <w:t xml:space="preserve">  </w:t>
      </w:r>
      <w:r w:rsidRPr="00125F29" w:rsidR="003B33D6">
        <w:t xml:space="preserve">The County has </w:t>
      </w:r>
      <w:r w:rsidRPr="00125F29" w:rsidR="00A455C3">
        <w:t>no</w:t>
      </w:r>
      <w:r w:rsidRPr="00125F29" w:rsidR="0094244F">
        <w:t>t</w:t>
      </w:r>
      <w:r w:rsidRPr="00125F29" w:rsidR="00A455C3">
        <w:t xml:space="preserve"> attempted to </w:t>
      </w:r>
      <w:r w:rsidRPr="00125F29" w:rsidR="001E1435">
        <w:t xml:space="preserve">show </w:t>
      </w:r>
      <w:r w:rsidRPr="00125F29" w:rsidR="000D167F">
        <w:t>that</w:t>
      </w:r>
      <w:r w:rsidRPr="00125F29" w:rsidR="001E1435">
        <w:t xml:space="preserve"> plaintiff</w:t>
      </w:r>
      <w:r w:rsidRPr="00125F29" w:rsidR="000D167F">
        <w:t>’s demotion</w:t>
      </w:r>
      <w:r w:rsidRPr="00125F29" w:rsidR="001E1435">
        <w:t xml:space="preserve"> advanced its ability to speak or petition on matte</w:t>
      </w:r>
      <w:r w:rsidRPr="00125F29" w:rsidR="001F1506">
        <w:t>r</w:t>
      </w:r>
      <w:r w:rsidRPr="00125F29" w:rsidR="001E1435">
        <w:t>s of public concern</w:t>
      </w:r>
      <w:r w:rsidRPr="00125F29" w:rsidR="003B33D6">
        <w:t>.</w:t>
      </w:r>
      <w:r w:rsidRPr="00125F29" w:rsidR="000B2C38">
        <w:t xml:space="preserve">  </w:t>
      </w:r>
    </w:p>
    <w:p w:rsidR="00F03FF4" w:rsidRPr="00187DE9" w:rsidP="00C90046" w14:paraId="37EF4847" w14:textId="213EE995">
      <w:pPr>
        <w:ind w:firstLine="720"/>
        <w:rPr>
          <w:highlight w:val="cyan"/>
        </w:rPr>
      </w:pPr>
      <w:r w:rsidRPr="002C72E8">
        <w:t xml:space="preserve">Finally, the County argues that </w:t>
      </w:r>
      <w:r w:rsidRPr="002C72E8" w:rsidR="004413F7">
        <w:t xml:space="preserve">our Supreme </w:t>
      </w:r>
      <w:r w:rsidRPr="002C72E8">
        <w:t xml:space="preserve">Court in </w:t>
      </w:r>
      <w:bookmarkStart w:id="70" w:name="dabmci_48d0d5a1a1e248ec803bc43f2f64cab3"/>
      <w:r w:rsidRPr="002C72E8">
        <w:rPr>
          <w:i/>
          <w:iCs/>
        </w:rPr>
        <w:t>Bonni</w:t>
      </w:r>
      <w:bookmarkEnd w:id="70"/>
      <w:r w:rsidRPr="002C72E8">
        <w:t xml:space="preserve"> held that where </w:t>
      </w:r>
      <w:r w:rsidRPr="002C72E8" w:rsidR="00A455C3">
        <w:t xml:space="preserve">a </w:t>
      </w:r>
      <w:r w:rsidRPr="002C72E8">
        <w:t xml:space="preserve">plaintiff alleges an employer’s decision to </w:t>
      </w:r>
      <w:r w:rsidRPr="002C72E8" w:rsidR="002C5D6C">
        <w:t>initiate</w:t>
      </w:r>
      <w:r w:rsidRPr="002C72E8">
        <w:t xml:space="preserve"> an official proceeding causes the plaintiff’s harm, the allegation targets conduct protected by </w:t>
      </w:r>
      <w:r w:rsidRPr="002C72E8" w:rsidR="002C5D6C">
        <w:t xml:space="preserve">section 425.16.  </w:t>
      </w:r>
      <w:r w:rsidRPr="002C72E8" w:rsidR="004413F7">
        <w:t xml:space="preserve">Not so.  </w:t>
      </w:r>
      <w:r w:rsidRPr="002C72E8" w:rsidR="00D55991">
        <w:t>The County</w:t>
      </w:r>
      <w:r w:rsidRPr="002C72E8" w:rsidR="00C90046">
        <w:t xml:space="preserve"> cites to the section of the </w:t>
      </w:r>
      <w:r w:rsidRPr="002C72E8" w:rsidR="00C90046">
        <w:rPr>
          <w:i/>
          <w:iCs/>
        </w:rPr>
        <w:t>Bonni</w:t>
      </w:r>
      <w:r w:rsidRPr="002C72E8" w:rsidR="00C90046">
        <w:t xml:space="preserve"> court’s analysis regarding its holding relat</w:t>
      </w:r>
      <w:r w:rsidRPr="002C72E8" w:rsidR="007E7BBD">
        <w:t>ed</w:t>
      </w:r>
      <w:r w:rsidRPr="002C72E8" w:rsidR="00C90046">
        <w:t xml:space="preserve"> to</w:t>
      </w:r>
      <w:r w:rsidRPr="002C72E8" w:rsidR="00C13AEC">
        <w:t xml:space="preserve"> </w:t>
      </w:r>
      <w:r w:rsidRPr="002C72E8" w:rsidR="00C90046">
        <w:rPr>
          <w:i/>
          <w:iCs/>
        </w:rPr>
        <w:t>statements made</w:t>
      </w:r>
      <w:r w:rsidRPr="002C72E8" w:rsidR="00C90046">
        <w:t xml:space="preserve"> in connection with an official proceeding, i.e., th</w:t>
      </w:r>
      <w:r w:rsidRPr="002C72E8" w:rsidR="007244A3">
        <w:t>e</w:t>
      </w:r>
      <w:r w:rsidRPr="002C72E8" w:rsidR="00C90046">
        <w:t xml:space="preserve"> plaintiff’s defamation and character assassination claims.  (Citing </w:t>
      </w:r>
      <w:bookmarkStart w:id="71" w:name="dabmci_a0b73cf5e6ff452c99e98495fa9ee946"/>
      <w:r w:rsidRPr="002C72E8" w:rsidR="00C90046">
        <w:rPr>
          <w:i/>
          <w:iCs/>
        </w:rPr>
        <w:t>Bonni</w:t>
      </w:r>
      <w:r w:rsidRPr="002C72E8" w:rsidR="00C90046">
        <w:t xml:space="preserve">, </w:t>
      </w:r>
      <w:r w:rsidRPr="002C72E8" w:rsidR="00C90046">
        <w:rPr>
          <w:i/>
          <w:iCs/>
        </w:rPr>
        <w:t>supra</w:t>
      </w:r>
      <w:r w:rsidRPr="002C72E8" w:rsidR="00C90046">
        <w:t>,</w:t>
      </w:r>
      <w:r w:rsidRPr="002C72E8" w:rsidR="00C90046">
        <w:rPr>
          <w:i/>
          <w:iCs/>
        </w:rPr>
        <w:t xml:space="preserve"> </w:t>
      </w:r>
      <w:r w:rsidRPr="002C72E8" w:rsidR="00C90046">
        <w:t>11</w:t>
      </w:r>
      <w:r w:rsidRPr="002C72E8" w:rsidR="00086C82">
        <w:t> Cal.</w:t>
      </w:r>
      <w:r w:rsidRPr="002C72E8" w:rsidR="00C90046">
        <w:t xml:space="preserve">5th at </w:t>
      </w:r>
      <w:r w:rsidRPr="002C72E8" w:rsidR="00086C82">
        <w:t>p. </w:t>
      </w:r>
      <w:r w:rsidRPr="002C72E8" w:rsidR="00C90046">
        <w:t>1019</w:t>
      </w:r>
      <w:bookmarkEnd w:id="71"/>
      <w:r w:rsidRPr="002C72E8" w:rsidR="00C90046">
        <w:t>.)</w:t>
      </w:r>
      <w:r w:rsidRPr="002C72E8" w:rsidR="00D55991">
        <w:t xml:space="preserve"> </w:t>
      </w:r>
      <w:r w:rsidRPr="002C72E8" w:rsidR="00A227FC">
        <w:t xml:space="preserve"> </w:t>
      </w:r>
      <w:r w:rsidRPr="002C72E8" w:rsidR="00C90046">
        <w:t>Not only does the</w:t>
      </w:r>
      <w:r w:rsidRPr="002C72E8" w:rsidR="00A227FC">
        <w:t xml:space="preserve"> County</w:t>
      </w:r>
      <w:r w:rsidRPr="002C72E8" w:rsidR="00C90046">
        <w:t xml:space="preserve"> misstate the holding from that section, but it also</w:t>
      </w:r>
      <w:r w:rsidRPr="002C72E8" w:rsidR="00A227FC">
        <w:t xml:space="preserve"> ignores the </w:t>
      </w:r>
      <w:r w:rsidRPr="002C72E8" w:rsidR="00A227FC">
        <w:rPr>
          <w:i/>
          <w:iCs/>
        </w:rPr>
        <w:t xml:space="preserve">Bonni </w:t>
      </w:r>
      <w:r w:rsidRPr="002C72E8" w:rsidR="00A227FC">
        <w:t>court’</w:t>
      </w:r>
      <w:r w:rsidRPr="002C72E8" w:rsidR="00D55991">
        <w:t xml:space="preserve">s holding related to the plaintiff’s claims for relief arising </w:t>
      </w:r>
      <w:r w:rsidRPr="002C72E8" w:rsidR="00A227FC">
        <w:t>from</w:t>
      </w:r>
      <w:r w:rsidRPr="002C72E8" w:rsidR="00D55991">
        <w:t xml:space="preserve"> </w:t>
      </w:r>
      <w:r w:rsidRPr="002C72E8" w:rsidR="00D55991">
        <w:rPr>
          <w:i/>
          <w:iCs/>
        </w:rPr>
        <w:t xml:space="preserve">adverse employment </w:t>
      </w:r>
      <w:r w:rsidRPr="002C72E8" w:rsidR="004C0176">
        <w:rPr>
          <w:i/>
          <w:iCs/>
        </w:rPr>
        <w:t>decisions</w:t>
      </w:r>
      <w:r w:rsidRPr="00BB4585" w:rsidR="00D55991">
        <w:t xml:space="preserve">.  </w:t>
      </w:r>
      <w:r w:rsidRPr="00BB4585" w:rsidR="00C90046">
        <w:t>(</w:t>
      </w:r>
      <w:bookmarkStart w:id="72" w:name="dabmci_3e64cd2597b444e5909df82d437fed97"/>
      <w:r w:rsidRPr="00BB4585" w:rsidR="00C90046">
        <w:rPr>
          <w:i/>
          <w:iCs/>
        </w:rPr>
        <w:t>Id</w:t>
      </w:r>
      <w:r w:rsidRPr="00BB4585" w:rsidR="00C90046">
        <w:t>. at p</w:t>
      </w:r>
      <w:r w:rsidRPr="00BB4585" w:rsidR="00086C82">
        <w:t>p. </w:t>
      </w:r>
      <w:r w:rsidRPr="00BB4585" w:rsidR="00C90046">
        <w:t>1020-102</w:t>
      </w:r>
      <w:r w:rsidRPr="00BB4585" w:rsidR="006D10D6">
        <w:t>2</w:t>
      </w:r>
      <w:bookmarkEnd w:id="72"/>
      <w:r w:rsidRPr="00BB4585" w:rsidR="00C90046">
        <w:t>.)</w:t>
      </w:r>
      <w:r w:rsidRPr="00BB4585" w:rsidR="00D55991">
        <w:t xml:space="preserve">  As</w:t>
      </w:r>
      <w:r w:rsidRPr="00491283" w:rsidR="00D55991">
        <w:t xml:space="preserve"> it related to the plaintiff’s claims for relief arising from adverse employment </w:t>
      </w:r>
      <w:r w:rsidRPr="00491283" w:rsidR="004C0176">
        <w:t>decisions</w:t>
      </w:r>
      <w:r w:rsidRPr="00491283" w:rsidR="004413F7">
        <w:t xml:space="preserve">, our Supreme </w:t>
      </w:r>
      <w:r w:rsidRPr="00491283" w:rsidR="007D46EC">
        <w:t xml:space="preserve">Court did not strike the </w:t>
      </w:r>
      <w:r w:rsidRPr="00491283" w:rsidR="00A227FC">
        <w:t xml:space="preserve">claims </w:t>
      </w:r>
      <w:r w:rsidRPr="00491283" w:rsidR="007D46EC">
        <w:t xml:space="preserve">because </w:t>
      </w:r>
      <w:r w:rsidRPr="00491283" w:rsidR="00D55991">
        <w:t xml:space="preserve">adverse employment </w:t>
      </w:r>
      <w:r w:rsidRPr="00491283" w:rsidR="004C0176">
        <w:t xml:space="preserve">decisions </w:t>
      </w:r>
      <w:r w:rsidR="006D10D6">
        <w:t>are not considered</w:t>
      </w:r>
      <w:r w:rsidRPr="00491283" w:rsidR="00A227FC">
        <w:t xml:space="preserve"> </w:t>
      </w:r>
      <w:r w:rsidRPr="00491283" w:rsidR="00A227FC">
        <w:rPr>
          <w:i/>
          <w:iCs/>
        </w:rPr>
        <w:t>speech</w:t>
      </w:r>
      <w:r w:rsidRPr="00491283" w:rsidR="00A227FC">
        <w:t xml:space="preserve"> </w:t>
      </w:r>
      <w:r w:rsidRPr="00491283" w:rsidR="007D46EC">
        <w:t xml:space="preserve">under </w:t>
      </w:r>
      <w:r w:rsidRPr="00491283" w:rsidR="000B2C38">
        <w:t xml:space="preserve">section 425.16, </w:t>
      </w:r>
      <w:r w:rsidRPr="00491283" w:rsidR="007D46EC">
        <w:t>subdivision (e)(2)</w:t>
      </w:r>
      <w:r w:rsidR="006D10D6">
        <w:t>, and thus are not protected activity</w:t>
      </w:r>
      <w:r w:rsidRPr="00491283" w:rsidR="002C5D6C">
        <w:t xml:space="preserve">.  </w:t>
      </w:r>
      <w:r w:rsidRPr="002E7603" w:rsidR="002C5D6C">
        <w:t>(</w:t>
      </w:r>
      <w:bookmarkStart w:id="73" w:name="dabmci_64c7e4d22c5a4311afe40b93bcee8670"/>
      <w:r w:rsidRPr="002E7603" w:rsidR="00160FD8">
        <w:rPr>
          <w:i/>
          <w:iCs/>
        </w:rPr>
        <w:t>Bonni</w:t>
      </w:r>
      <w:r w:rsidRPr="002E7603" w:rsidR="00160FD8">
        <w:t>,</w:t>
      </w:r>
      <w:r w:rsidRPr="00B12B6D" w:rsidR="002C5D6C">
        <w:t xml:space="preserve"> at p</w:t>
      </w:r>
      <w:r w:rsidRPr="00B12B6D" w:rsidR="00086C82">
        <w:t>p. </w:t>
      </w:r>
      <w:r w:rsidRPr="00B12B6D" w:rsidR="002C5D6C">
        <w:t>1019-1020</w:t>
      </w:r>
      <w:bookmarkEnd w:id="73"/>
      <w:r w:rsidRPr="00B12B6D" w:rsidR="002C5D6C">
        <w:t xml:space="preserve"> [“</w:t>
      </w:r>
      <w:r w:rsidRPr="00B12B6D" w:rsidR="00387495">
        <w:t>T</w:t>
      </w:r>
      <w:r w:rsidRPr="00B12B6D" w:rsidR="002C5D6C">
        <w:t xml:space="preserve">he </w:t>
      </w:r>
      <w:r w:rsidRPr="00B12B6D" w:rsidR="00387495">
        <w:t>[h]</w:t>
      </w:r>
      <w:r w:rsidRPr="00B12B6D" w:rsidR="002C5D6C">
        <w:t>ospitals acknowledge</w:t>
      </w:r>
      <w:r w:rsidRPr="00B12B6D" w:rsidR="00387495">
        <w:t xml:space="preserve"> . . . </w:t>
      </w:r>
      <w:r w:rsidRPr="00B12B6D" w:rsidR="002C5D6C">
        <w:t xml:space="preserve">the significance of the distinction drawn in </w:t>
      </w:r>
      <w:bookmarkStart w:id="74" w:name="dabmci_c0b84adbdb314902ad033c5340e009bc"/>
      <w:r w:rsidRPr="00B12B6D" w:rsidR="002C5D6C">
        <w:rPr>
          <w:i/>
          <w:iCs/>
        </w:rPr>
        <w:t>Park</w:t>
      </w:r>
      <w:bookmarkEnd w:id="74"/>
      <w:r w:rsidRPr="00B12B6D" w:rsidR="002C5D6C">
        <w:t xml:space="preserve"> between adverse decisions and the communications giving rise to those decisions”</w:t>
      </w:r>
      <w:r w:rsidRPr="00B12B6D" w:rsidR="000A4AA2">
        <w:t>]</w:t>
      </w:r>
      <w:r w:rsidRPr="00B12B6D" w:rsidR="002C5D6C">
        <w:t xml:space="preserve">.) </w:t>
      </w:r>
      <w:r w:rsidRPr="00B12B6D" w:rsidR="007E7BBD">
        <w:t xml:space="preserve"> </w:t>
      </w:r>
      <w:r w:rsidRPr="001D111C" w:rsidR="005E4E62">
        <w:t xml:space="preserve">As in </w:t>
      </w:r>
      <w:bookmarkStart w:id="75" w:name="dabmci_99573b3745374b7daf6c3c3a8c303298"/>
      <w:r w:rsidRPr="001D111C" w:rsidR="005E4E62">
        <w:rPr>
          <w:i/>
          <w:iCs/>
        </w:rPr>
        <w:t>Bonni</w:t>
      </w:r>
      <w:bookmarkEnd w:id="75"/>
      <w:r w:rsidRPr="001D111C" w:rsidR="00DC33EE">
        <w:t>,</w:t>
      </w:r>
      <w:r w:rsidRPr="001D111C" w:rsidR="00A227FC">
        <w:t xml:space="preserve"> </w:t>
      </w:r>
      <w:r w:rsidRPr="001D111C" w:rsidR="00D06A39">
        <w:t>p</w:t>
      </w:r>
      <w:r w:rsidRPr="001D111C" w:rsidR="00B47B3B">
        <w:t>laintiff’s c</w:t>
      </w:r>
      <w:r w:rsidRPr="001D111C" w:rsidR="00D06A39">
        <w:t>laim</w:t>
      </w:r>
      <w:r w:rsidRPr="001D111C" w:rsidR="00DC33EE">
        <w:t xml:space="preserve"> </w:t>
      </w:r>
      <w:r w:rsidRPr="001D111C" w:rsidR="00D06A39">
        <w:t>for relief</w:t>
      </w:r>
      <w:r w:rsidRPr="001D111C" w:rsidR="007244A3">
        <w:t xml:space="preserve"> pertaining to</w:t>
      </w:r>
      <w:r w:rsidRPr="001D111C" w:rsidR="00D06A39">
        <w:t xml:space="preserve"> her</w:t>
      </w:r>
      <w:r w:rsidRPr="001D111C" w:rsidR="00461AA1">
        <w:t xml:space="preserve"> demotion does not </w:t>
      </w:r>
      <w:r w:rsidRPr="001D111C" w:rsidR="007244A3">
        <w:t xml:space="preserve">arise from </w:t>
      </w:r>
      <w:r w:rsidRPr="001D111C" w:rsidR="00461AA1">
        <w:t>protected activit</w:t>
      </w:r>
      <w:r w:rsidRPr="001D111C" w:rsidR="00D06A39">
        <w:t>y pursuant to section 425.16, subdivision (e)(2)</w:t>
      </w:r>
      <w:r w:rsidRPr="001D111C" w:rsidR="00B47B3B">
        <w:t>.</w:t>
      </w:r>
      <w:r w:rsidR="00BB4585">
        <w:t xml:space="preserve">  </w:t>
      </w:r>
    </w:p>
    <w:p w:rsidR="000772E6" w:rsidRPr="00187DE9" w:rsidP="003306EF" w14:paraId="267750D2" w14:textId="367CFA2B">
      <w:pPr>
        <w:ind w:firstLine="720"/>
        <w:rPr>
          <w:highlight w:val="cyan"/>
        </w:rPr>
      </w:pPr>
      <w:r w:rsidRPr="005A1DB3">
        <w:t xml:space="preserve">The County </w:t>
      </w:r>
      <w:r w:rsidRPr="005A1DB3" w:rsidR="00F768AF">
        <w:t xml:space="preserve">does not independently analyze whether </w:t>
      </w:r>
      <w:r w:rsidRPr="005A1DB3" w:rsidR="00A227FC">
        <w:t>plaintiff’s claim for relief pertaining to</w:t>
      </w:r>
      <w:r w:rsidRPr="005A1DB3" w:rsidR="009B03A2">
        <w:t xml:space="preserve"> a hostile work environment</w:t>
      </w:r>
      <w:r w:rsidRPr="005A1DB3" w:rsidR="00F768AF">
        <w:t xml:space="preserve"> implicated protected activity.  Instead, the County argues the claim</w:t>
      </w:r>
      <w:r w:rsidRPr="005A1DB3" w:rsidR="009B03A2">
        <w:t xml:space="preserve"> is derivative of her </w:t>
      </w:r>
      <w:r w:rsidRPr="005A1DB3" w:rsidR="00A227FC">
        <w:t xml:space="preserve">claim </w:t>
      </w:r>
      <w:r w:rsidRPr="005A1DB3" w:rsidR="00161CEB">
        <w:t>arising from</w:t>
      </w:r>
      <w:r w:rsidRPr="005A1DB3" w:rsidR="00A227FC">
        <w:t xml:space="preserve"> her </w:t>
      </w:r>
      <w:r w:rsidRPr="005A1DB3" w:rsidR="009B03A2">
        <w:t xml:space="preserve">demotion.  </w:t>
      </w:r>
      <w:r w:rsidRPr="00160FD8" w:rsidR="009B03A2">
        <w:t xml:space="preserve">Because we </w:t>
      </w:r>
      <w:r w:rsidRPr="00160FD8" w:rsidR="00A227FC">
        <w:t>conclude</w:t>
      </w:r>
      <w:r w:rsidRPr="00160FD8" w:rsidR="00F768AF">
        <w:t>d</w:t>
      </w:r>
      <w:r w:rsidRPr="00160FD8" w:rsidR="00A227FC">
        <w:t xml:space="preserve"> plaintiff’s claim arising from her demotion does not </w:t>
      </w:r>
      <w:r w:rsidRPr="00160FD8" w:rsidR="00F768AF">
        <w:t>implicate</w:t>
      </w:r>
      <w:r w:rsidRPr="00160FD8" w:rsidR="00A227FC">
        <w:t xml:space="preserve"> protected activity, we </w:t>
      </w:r>
      <w:r w:rsidRPr="00160FD8" w:rsidR="00F768AF">
        <w:t xml:space="preserve">further conclude </w:t>
      </w:r>
      <w:r w:rsidRPr="00160FD8" w:rsidR="00A227FC">
        <w:t xml:space="preserve">her theory arising from the County’s creation of a hostile work environment does not </w:t>
      </w:r>
      <w:r w:rsidRPr="00160FD8" w:rsidR="00F768AF">
        <w:t>implicate</w:t>
      </w:r>
      <w:r w:rsidRPr="00160FD8" w:rsidR="00A227FC">
        <w:t xml:space="preserve"> protected activity</w:t>
      </w:r>
      <w:r w:rsidRPr="00160FD8" w:rsidR="009B03A2">
        <w:t>.</w:t>
      </w:r>
      <w:r w:rsidRPr="00160FD8" w:rsidR="003306EF">
        <w:t xml:space="preserve">  </w:t>
      </w:r>
      <w:r w:rsidRPr="005A1DB3" w:rsidR="000962FF">
        <w:t>Given our conclusion</w:t>
      </w:r>
      <w:r w:rsidRPr="005A1DB3" w:rsidR="00F768AF">
        <w:t xml:space="preserve">s </w:t>
      </w:r>
      <w:r w:rsidRPr="005A1DB3" w:rsidR="001F1506">
        <w:t>on the first prong of the analysis</w:t>
      </w:r>
      <w:r w:rsidRPr="005A1DB3" w:rsidR="000962FF">
        <w:t>, we do not</w:t>
      </w:r>
      <w:r w:rsidRPr="005A1DB3" w:rsidR="003306EF">
        <w:t xml:space="preserve"> </w:t>
      </w:r>
      <w:r w:rsidRPr="005A1DB3" w:rsidR="00161CEB">
        <w:t>reach the second prong of the analysis under section 425.16</w:t>
      </w:r>
      <w:r w:rsidRPr="005A1DB3" w:rsidR="00482BAC">
        <w:t xml:space="preserve"> </w:t>
      </w:r>
      <w:r w:rsidRPr="005A1DB3" w:rsidR="001F1506">
        <w:t>regarding</w:t>
      </w:r>
      <w:r w:rsidRPr="005A1DB3" w:rsidR="00482BAC">
        <w:t xml:space="preserve"> </w:t>
      </w:r>
      <w:r w:rsidRPr="005A1DB3" w:rsidR="008F6866">
        <w:t xml:space="preserve">the merits of </w:t>
      </w:r>
      <w:r w:rsidRPr="005A1DB3" w:rsidR="005B11C6">
        <w:t>p</w:t>
      </w:r>
      <w:r w:rsidRPr="005A1DB3" w:rsidR="008F6866">
        <w:t>laintiff’s c</w:t>
      </w:r>
      <w:r w:rsidRPr="005A1DB3" w:rsidR="000962FF">
        <w:t>laims</w:t>
      </w:r>
      <w:r w:rsidRPr="005A1DB3" w:rsidR="00482BAC">
        <w:t>.  We also do not consider p</w:t>
      </w:r>
      <w:r w:rsidRPr="005A1DB3" w:rsidR="008F6866">
        <w:t>laintiff’s contention that the County’s motion was untimely</w:t>
      </w:r>
      <w:r w:rsidRPr="005A1DB3">
        <w:t>.</w:t>
      </w:r>
      <w:r w:rsidRPr="005A1DB3" w:rsidR="00482BAC">
        <w:t xml:space="preserve">  </w:t>
      </w:r>
    </w:p>
    <w:p w:rsidR="00B14548" w:rsidRPr="00187DE9" w:rsidP="003306EF" w14:paraId="3981DB97" w14:textId="0EB0241B">
      <w:pPr>
        <w:keepNext/>
        <w:jc w:val="center"/>
      </w:pPr>
      <w:r w:rsidRPr="00187DE9">
        <w:t>DISPOSITION</w:t>
      </w:r>
      <w:r>
        <w:rPr>
          <w:rStyle w:val="FootnoteReference"/>
        </w:rPr>
        <w:footnoteReference w:id="7"/>
      </w:r>
    </w:p>
    <w:p w:rsidR="00B14548" w:rsidP="001C59B4" w14:paraId="476B5DBF" w14:textId="2D9C5342">
      <w:pPr>
        <w:keepNext/>
      </w:pPr>
      <w:r w:rsidRPr="00A11BC5">
        <w:tab/>
        <w:t xml:space="preserve">The </w:t>
      </w:r>
      <w:r w:rsidRPr="00A11BC5" w:rsidR="007244A3">
        <w:t xml:space="preserve">trial court’s order denying the special motion to strike </w:t>
      </w:r>
      <w:r w:rsidRPr="00A11BC5">
        <w:t xml:space="preserve">is affirmed.  </w:t>
      </w:r>
      <w:r w:rsidRPr="00187DE9">
        <w:t>Plaintiff is awarded her costs on appeal.  (</w:t>
      </w:r>
      <w:bookmarkStart w:id="77" w:name="dabmci_f38a08a58a124be1b75945011c092339"/>
      <w:r w:rsidRPr="00187DE9">
        <w:t xml:space="preserve">Cal. Rules of </w:t>
      </w:r>
      <w:r w:rsidRPr="00187DE9" w:rsidR="00243E7D">
        <w:t>Court</w:t>
      </w:r>
      <w:r w:rsidRPr="00187DE9">
        <w:t>, rule 8.27(a)(1)</w:t>
      </w:r>
      <w:r w:rsidRPr="00187DE9" w:rsidR="00243E7D">
        <w:t>-</w:t>
      </w:r>
      <w:r w:rsidRPr="00187DE9">
        <w:t>(2)</w:t>
      </w:r>
      <w:bookmarkEnd w:id="77"/>
      <w:r w:rsidRPr="00187DE9">
        <w:t>.)</w:t>
      </w:r>
      <w:r>
        <w:t xml:space="preserve"> </w:t>
      </w:r>
      <w:r w:rsidR="00BB4585">
        <w:t xml:space="preserve"> </w:t>
      </w:r>
    </w:p>
    <w:p w:rsidR="00B12B6D" w:rsidP="001C59B4" w14:paraId="6132C857" w14:textId="4C429939">
      <w:pPr>
        <w:keepNext/>
      </w:pPr>
    </w:p>
    <w:p w:rsidR="00B12B6D" w:rsidP="00B12B6D" w14:paraId="31FCEDC9" w14:textId="4F3AF5D6">
      <w:pPr>
        <w:keepNext/>
        <w:spacing w:line="240" w:lineRule="auto"/>
      </w:pPr>
    </w:p>
    <w:p w:rsidR="00B12B6D" w:rsidP="00B12B6D" w14:paraId="23F5E6F7" w14:textId="2BAA4B80">
      <w:pPr>
        <w:keepNext/>
        <w:spacing w:line="240" w:lineRule="auto"/>
      </w:pPr>
    </w:p>
    <w:p w:rsidR="00B12B6D" w:rsidP="00B12B6D" w14:paraId="3F1F4910" w14:textId="2E42C34E">
      <w:pPr>
        <w:keepNext/>
        <w:spacing w:line="240" w:lineRule="auto"/>
      </w:pPr>
    </w:p>
    <w:p w:rsidR="00B12B6D" w:rsidP="00B12B6D" w14:paraId="278A83C6" w14:textId="12066C4A">
      <w:pPr>
        <w:keepNext/>
        <w:tabs>
          <w:tab w:val="left" w:pos="5040"/>
          <w:tab w:val="left" w:pos="7920"/>
        </w:tabs>
        <w:spacing w:line="240" w:lineRule="auto"/>
        <w:rPr>
          <w:u w:val="single"/>
        </w:rPr>
      </w:pPr>
      <w:r>
        <w:tab/>
      </w:r>
      <w:r w:rsidRPr="00B12B6D">
        <w:rPr>
          <w:u w:val="single"/>
        </w:rPr>
        <w:t xml:space="preserve"> </w:t>
      </w:r>
      <w:r w:rsidR="005E6839">
        <w:rPr>
          <w:u w:val="single"/>
        </w:rPr>
        <w:t>/s/</w:t>
      </w:r>
      <w:r w:rsidRPr="00B12B6D">
        <w:rPr>
          <w:u w:val="single"/>
        </w:rPr>
        <w:t xml:space="preserve">         </w:t>
      </w:r>
      <w:r w:rsidRPr="00B12B6D">
        <w:rPr>
          <w:u w:val="single"/>
        </w:rPr>
        <w:tab/>
      </w:r>
    </w:p>
    <w:p w:rsidR="00B12B6D" w:rsidP="00B12B6D" w14:paraId="524B4EAB" w14:textId="7EA68A4D">
      <w:pPr>
        <w:keepNext/>
        <w:tabs>
          <w:tab w:val="left" w:pos="5040"/>
          <w:tab w:val="left" w:pos="7920"/>
        </w:tabs>
        <w:spacing w:line="240" w:lineRule="auto"/>
      </w:pPr>
      <w:r>
        <w:tab/>
        <w:t>ROBIE, Acting P. J.</w:t>
      </w:r>
    </w:p>
    <w:p w:rsidR="00B12B6D" w:rsidP="00B12B6D" w14:paraId="32E7F34C" w14:textId="076D69C7">
      <w:pPr>
        <w:keepNext/>
        <w:tabs>
          <w:tab w:val="left" w:pos="5040"/>
          <w:tab w:val="left" w:pos="7920"/>
        </w:tabs>
        <w:spacing w:line="240" w:lineRule="auto"/>
      </w:pPr>
    </w:p>
    <w:p w:rsidR="00B12B6D" w:rsidP="00B12B6D" w14:paraId="0B7FAF7E" w14:textId="3C7C3117">
      <w:pPr>
        <w:keepNext/>
        <w:tabs>
          <w:tab w:val="left" w:pos="5040"/>
          <w:tab w:val="left" w:pos="7920"/>
        </w:tabs>
        <w:spacing w:line="240" w:lineRule="auto"/>
      </w:pPr>
    </w:p>
    <w:p w:rsidR="00B12B6D" w:rsidP="00B12B6D" w14:paraId="037421AA" w14:textId="193C363A">
      <w:pPr>
        <w:keepNext/>
        <w:tabs>
          <w:tab w:val="left" w:pos="5040"/>
          <w:tab w:val="left" w:pos="7920"/>
        </w:tabs>
        <w:spacing w:line="240" w:lineRule="auto"/>
      </w:pPr>
    </w:p>
    <w:p w:rsidR="00B12B6D" w:rsidP="00B12B6D" w14:paraId="35F8FCC7" w14:textId="047F0F38">
      <w:pPr>
        <w:keepNext/>
        <w:spacing w:line="240" w:lineRule="auto"/>
      </w:pPr>
      <w:r>
        <w:t>We concur:</w:t>
      </w:r>
    </w:p>
    <w:p w:rsidR="00B12B6D" w:rsidP="00B12B6D" w14:paraId="197788B9" w14:textId="19C4EF96">
      <w:pPr>
        <w:keepNext/>
        <w:spacing w:line="240" w:lineRule="auto"/>
      </w:pPr>
    </w:p>
    <w:p w:rsidR="00B12B6D" w:rsidP="00B12B6D" w14:paraId="332800D2" w14:textId="6BFDAAA3">
      <w:pPr>
        <w:keepNext/>
        <w:spacing w:line="240" w:lineRule="auto"/>
      </w:pPr>
    </w:p>
    <w:p w:rsidR="000B521C" w:rsidP="00B12B6D" w14:paraId="7D880E5F" w14:textId="77777777">
      <w:pPr>
        <w:keepNext/>
        <w:spacing w:line="240" w:lineRule="auto"/>
      </w:pPr>
    </w:p>
    <w:p w:rsidR="00B12B6D" w:rsidP="00B12B6D" w14:paraId="3D6F93D0" w14:textId="7C866009">
      <w:pPr>
        <w:keepNext/>
        <w:spacing w:line="240" w:lineRule="auto"/>
      </w:pPr>
    </w:p>
    <w:p w:rsidR="000B521C" w:rsidP="00B12B6D" w14:paraId="5B3A1500" w14:textId="7698BF43">
      <w:pPr>
        <w:keepNext/>
        <w:tabs>
          <w:tab w:val="left" w:pos="2880"/>
        </w:tabs>
        <w:spacing w:line="240" w:lineRule="auto"/>
        <w:rPr>
          <w:u w:val="single"/>
        </w:rPr>
      </w:pPr>
      <w:r w:rsidRPr="00B12B6D">
        <w:rPr>
          <w:u w:val="single"/>
        </w:rPr>
        <w:t xml:space="preserve"> </w:t>
      </w:r>
      <w:r w:rsidR="005E6839">
        <w:rPr>
          <w:u w:val="single"/>
        </w:rPr>
        <w:t>/s/</w:t>
      </w:r>
      <w:r w:rsidRPr="00B12B6D">
        <w:rPr>
          <w:u w:val="single"/>
        </w:rPr>
        <w:t xml:space="preserve">         </w:t>
      </w:r>
      <w:r w:rsidRPr="00B12B6D">
        <w:rPr>
          <w:u w:val="single"/>
        </w:rPr>
        <w:tab/>
      </w:r>
    </w:p>
    <w:p w:rsidR="00B12B6D" w:rsidP="00B12B6D" w14:paraId="4A1F326E" w14:textId="7F2C1EF0">
      <w:pPr>
        <w:keepNext/>
        <w:tabs>
          <w:tab w:val="left" w:pos="2880"/>
        </w:tabs>
        <w:spacing w:line="240" w:lineRule="auto"/>
      </w:pPr>
      <w:r>
        <w:t>MAURO, J.</w:t>
      </w:r>
    </w:p>
    <w:p w:rsidR="00B12B6D" w:rsidP="00B12B6D" w14:paraId="0BCF2501" w14:textId="24CB4C57">
      <w:pPr>
        <w:keepNext/>
        <w:tabs>
          <w:tab w:val="left" w:pos="2880"/>
        </w:tabs>
        <w:spacing w:line="240" w:lineRule="auto"/>
      </w:pPr>
    </w:p>
    <w:p w:rsidR="00B12B6D" w:rsidP="00B12B6D" w14:paraId="263C6931" w14:textId="038FB78D">
      <w:pPr>
        <w:keepNext/>
        <w:tabs>
          <w:tab w:val="left" w:pos="2880"/>
        </w:tabs>
        <w:spacing w:line="240" w:lineRule="auto"/>
      </w:pPr>
    </w:p>
    <w:p w:rsidR="000B521C" w:rsidP="00B12B6D" w14:paraId="3B815744" w14:textId="77777777">
      <w:pPr>
        <w:keepNext/>
        <w:tabs>
          <w:tab w:val="left" w:pos="2880"/>
        </w:tabs>
        <w:spacing w:line="240" w:lineRule="auto"/>
      </w:pPr>
    </w:p>
    <w:p w:rsidR="00B12B6D" w:rsidP="00B12B6D" w14:paraId="65C8EDDA" w14:textId="6859BC9A">
      <w:pPr>
        <w:keepNext/>
        <w:tabs>
          <w:tab w:val="left" w:pos="2880"/>
        </w:tabs>
        <w:spacing w:line="240" w:lineRule="auto"/>
      </w:pPr>
    </w:p>
    <w:p w:rsidR="000B521C" w:rsidP="00B12B6D" w14:paraId="0E3C585F" w14:textId="1701C37F">
      <w:pPr>
        <w:keepNext/>
        <w:tabs>
          <w:tab w:val="left" w:pos="2880"/>
        </w:tabs>
        <w:spacing w:line="240" w:lineRule="auto"/>
        <w:rPr>
          <w:u w:val="single"/>
        </w:rPr>
      </w:pPr>
      <w:r w:rsidRPr="00B12B6D">
        <w:rPr>
          <w:u w:val="single"/>
        </w:rPr>
        <w:t xml:space="preserve"> </w:t>
      </w:r>
      <w:r w:rsidR="005E6839">
        <w:rPr>
          <w:u w:val="single"/>
        </w:rPr>
        <w:t>/s/</w:t>
      </w:r>
      <w:r w:rsidRPr="00B12B6D">
        <w:rPr>
          <w:u w:val="single"/>
        </w:rPr>
        <w:t xml:space="preserve">         </w:t>
      </w:r>
      <w:r w:rsidRPr="00B12B6D">
        <w:rPr>
          <w:u w:val="single"/>
        </w:rPr>
        <w:tab/>
      </w:r>
    </w:p>
    <w:p w:rsidR="00B12B6D" w:rsidRPr="00B12B6D" w:rsidP="000B521C" w14:paraId="5E7A812A" w14:textId="62201342">
      <w:pPr>
        <w:keepNext/>
        <w:tabs>
          <w:tab w:val="left" w:pos="2880"/>
        </w:tabs>
        <w:spacing w:line="240" w:lineRule="auto"/>
      </w:pPr>
      <w:r>
        <w:t>KRAUSE, J.</w:t>
      </w:r>
    </w:p>
    <w:sectPr w:rsidSect="00B12B6D">
      <w:footerReference w:type="default" r:id="rId6"/>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B12B6D" w:rsidP="00B12B6D" w14:paraId="22021C4A" w14:textId="1B9CC70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ABD" w14:paraId="6AD88BA4" w14:textId="77777777">
      <w:r>
        <w:separator/>
      </w:r>
    </w:p>
  </w:footnote>
  <w:footnote w:type="continuationSeparator" w:id="1">
    <w:p w:rsidR="005E4ABD" w14:paraId="01BAA641" w14:textId="77777777">
      <w:r>
        <w:continuationSeparator/>
      </w:r>
    </w:p>
  </w:footnote>
  <w:footnote w:type="continuationNotice" w:id="2">
    <w:p w:rsidR="005E4ABD" w14:paraId="490F076B" w14:textId="77777777">
      <w:pPr>
        <w:spacing w:line="240" w:lineRule="auto"/>
      </w:pPr>
    </w:p>
  </w:footnote>
  <w:footnote w:id="3">
    <w:p w:rsidR="00B12B6D" w14:paraId="67C8E64B" w14:textId="55F91329">
      <w:pPr>
        <w:pStyle w:val="FootnoteText"/>
      </w:pPr>
      <w:r>
        <w:rPr>
          <w:rStyle w:val="FootnoteReference"/>
        </w:rPr>
        <w:t>*</w:t>
      </w:r>
      <w:r w:rsidR="000B521C">
        <w:tab/>
      </w:r>
      <w:r>
        <w:t xml:space="preserve">Pursuant to California Rules of Court, rules 8.1105 and 8.1110, this opinion is certified for publication with the exception of </w:t>
      </w:r>
      <w:r w:rsidR="000B521C">
        <w:t>part II of the Discussion</w:t>
      </w:r>
      <w:r>
        <w:t>.</w:t>
      </w:r>
    </w:p>
  </w:footnote>
  <w:footnote w:id="4">
    <w:p w:rsidR="00187DE9" w:rsidP="00187DE9" w14:paraId="2D56BD81" w14:textId="77777777">
      <w:pPr>
        <w:pStyle w:val="FootnoteText"/>
      </w:pPr>
      <w:r>
        <w:rPr>
          <w:rStyle w:val="FootnoteReference"/>
        </w:rPr>
        <w:footnoteRef/>
      </w:r>
      <w:r>
        <w:tab/>
        <w:t>Undesignated section references are to the Code of Civil Procedure.</w:t>
      </w:r>
    </w:p>
  </w:footnote>
  <w:footnote w:id="5">
    <w:p w:rsidR="00B23581" w:rsidP="00B23581" w14:paraId="0128F673" w14:textId="2052F63E">
      <w:pPr>
        <w:pStyle w:val="FootnoteText"/>
      </w:pPr>
      <w:r>
        <w:rPr>
          <w:rStyle w:val="FootnoteReference"/>
        </w:rPr>
        <w:footnoteRef/>
      </w:r>
      <w:r>
        <w:tab/>
      </w:r>
      <w:r w:rsidRPr="00BE33B8">
        <w:t xml:space="preserve">SLAPP stands for </w:t>
      </w:r>
      <w:r w:rsidRPr="00BE33B8" w:rsidR="00532D99">
        <w:t>s</w:t>
      </w:r>
      <w:r w:rsidRPr="00BE33B8">
        <w:t xml:space="preserve">trategic </w:t>
      </w:r>
      <w:r w:rsidRPr="00BE33B8" w:rsidR="00532D99">
        <w:t>l</w:t>
      </w:r>
      <w:r w:rsidRPr="00BE33B8">
        <w:t xml:space="preserve">awsuit </w:t>
      </w:r>
      <w:r w:rsidRPr="00BE33B8" w:rsidR="00532D99">
        <w:t>a</w:t>
      </w:r>
      <w:r w:rsidRPr="00BE33B8">
        <w:t xml:space="preserve">gainst </w:t>
      </w:r>
      <w:r w:rsidRPr="00BE33B8" w:rsidR="00532D99">
        <w:t>p</w:t>
      </w:r>
      <w:r w:rsidRPr="00BE33B8">
        <w:t xml:space="preserve">ublic </w:t>
      </w:r>
      <w:r w:rsidRPr="00BE33B8" w:rsidR="00532D99">
        <w:t>p</w:t>
      </w:r>
      <w:r w:rsidRPr="00BE33B8">
        <w:t>articipation.</w:t>
      </w:r>
      <w:r w:rsidRPr="00BE33B8" w:rsidR="00640AB7">
        <w:t xml:space="preserve">  (</w:t>
      </w:r>
      <w:bookmarkStart w:id="3" w:name="dabmci_fee1f179c29d4ca8ab1c28ed6c948c8a"/>
      <w:r w:rsidRPr="00BE33B8" w:rsidR="00640AB7">
        <w:rPr>
          <w:i/>
          <w:iCs/>
        </w:rPr>
        <w:t>Wilson v. Cable News Network</w:t>
      </w:r>
      <w:r w:rsidRPr="00BE33B8" w:rsidR="00640AB7">
        <w:t xml:space="preserve"> (2019) 7</w:t>
      </w:r>
      <w:r w:rsidRPr="00BE33B8" w:rsidR="00086C82">
        <w:t> Cal.</w:t>
      </w:r>
      <w:r w:rsidRPr="00BE33B8" w:rsidR="00640AB7">
        <w:t xml:space="preserve">5th 871, </w:t>
      </w:r>
      <w:r w:rsidR="00402920">
        <w:t>822, fn.</w:t>
      </w:r>
      <w:r w:rsidR="00C64F16">
        <w:t> </w:t>
      </w:r>
      <w:r w:rsidR="00402920">
        <w:t>2</w:t>
      </w:r>
      <w:r w:rsidRPr="00BE33B8" w:rsidR="00BE33B8">
        <w:t xml:space="preserve"> (</w:t>
      </w:r>
      <w:r w:rsidRPr="00BE33B8" w:rsidR="00BE33B8">
        <w:rPr>
          <w:i/>
          <w:iCs/>
        </w:rPr>
        <w:t>Cable News</w:t>
      </w:r>
      <w:r w:rsidRPr="00BE33B8" w:rsidR="00BE33B8">
        <w:t>)</w:t>
      </w:r>
      <w:bookmarkEnd w:id="3"/>
      <w:r w:rsidRPr="00BE33B8" w:rsidR="00640AB7">
        <w:t>.)</w:t>
      </w:r>
      <w:r w:rsidR="009A5A06">
        <w:t xml:space="preserve">  </w:t>
      </w:r>
    </w:p>
  </w:footnote>
  <w:footnote w:id="6">
    <w:p w:rsidR="00550E88" w14:paraId="298FDEA9" w14:textId="455476EC">
      <w:pPr>
        <w:pStyle w:val="FootnoteText"/>
      </w:pPr>
      <w:r>
        <w:rPr>
          <w:rStyle w:val="FootnoteReference"/>
        </w:rPr>
        <w:footnoteRef/>
      </w:r>
      <w:r>
        <w:tab/>
      </w:r>
      <w:r w:rsidRPr="001C2581">
        <w:t>Section 425.16, subdivision (e)(4) defines an act in furtherance of a person’s right of petition or free speech in connection with a public issue as including “any other conduct [not defined in subdivisions (e)(1) through (e)(3)] in furtherance of the exercise of the constitutional right of petition or the constitutional right of free speech in connection with a public issue or an issue of public interest.”</w:t>
      </w:r>
      <w:r w:rsidR="00BB4585">
        <w:t xml:space="preserve">  </w:t>
      </w:r>
    </w:p>
  </w:footnote>
  <w:footnote w:id="7">
    <w:p w:rsidR="008F6866" w:rsidP="00C32804" w14:paraId="6B0C5C25" w14:textId="40590A25">
      <w:pPr>
        <w:keepNext/>
        <w:spacing w:line="240" w:lineRule="auto"/>
      </w:pPr>
      <w:r>
        <w:rPr>
          <w:rStyle w:val="FootnoteReference"/>
        </w:rPr>
        <w:footnoteRef/>
      </w:r>
      <w:r w:rsidR="00C32804">
        <w:tab/>
      </w:r>
      <w:r w:rsidRPr="005C6A06" w:rsidR="00C32804">
        <w:t>Plaintiff’s motion for sanctions is denied.  Sanctions are a punishment reserved to deter only the most egregious conduct</w:t>
      </w:r>
      <w:r w:rsidRPr="005C6A06" w:rsidR="000B2C38">
        <w:t>, including</w:t>
      </w:r>
      <w:r w:rsidRPr="005C6A06" w:rsidR="00501B7F">
        <w:t xml:space="preserve"> the bringing of meritless appeals and</w:t>
      </w:r>
      <w:r w:rsidRPr="005C6A06" w:rsidR="000B2C38">
        <w:t xml:space="preserve"> </w:t>
      </w:r>
      <w:r w:rsidRPr="005C6A06" w:rsidR="00F8039B">
        <w:t>con</w:t>
      </w:r>
      <w:r w:rsidRPr="005C6A06" w:rsidR="00501B7F">
        <w:t>duct</w:t>
      </w:r>
      <w:r w:rsidRPr="005C6A06" w:rsidR="00F8039B">
        <w:t xml:space="preserve"> meant to delay an adverse judgment or harass the opposing party</w:t>
      </w:r>
      <w:r w:rsidRPr="005C6A06" w:rsidR="00C32804">
        <w:t>.  (</w:t>
      </w:r>
      <w:bookmarkStart w:id="76" w:name="dabmci_06b4e48467504a329689092acd17aba4"/>
      <w:r w:rsidRPr="005C6A06" w:rsidR="00C32804">
        <w:rPr>
          <w:i/>
          <w:iCs/>
        </w:rPr>
        <w:t>In</w:t>
      </w:r>
      <w:r w:rsidR="00BB4585">
        <w:rPr>
          <w:i/>
          <w:iCs/>
        </w:rPr>
        <w:t> </w:t>
      </w:r>
      <w:r w:rsidRPr="005C6A06" w:rsidR="00C32804">
        <w:rPr>
          <w:i/>
          <w:iCs/>
        </w:rPr>
        <w:t>re</w:t>
      </w:r>
      <w:r w:rsidR="00BB4585">
        <w:rPr>
          <w:i/>
          <w:iCs/>
        </w:rPr>
        <w:t> </w:t>
      </w:r>
      <w:r w:rsidRPr="005C6A06" w:rsidR="00C32804">
        <w:rPr>
          <w:i/>
          <w:iCs/>
        </w:rPr>
        <w:t>Marriage of Flaherty</w:t>
      </w:r>
      <w:r w:rsidRPr="005C6A06" w:rsidR="00C32804">
        <w:t xml:space="preserve"> (1982) 31</w:t>
      </w:r>
      <w:r w:rsidRPr="005C6A06" w:rsidR="00086C82">
        <w:t> Cal.</w:t>
      </w:r>
      <w:r w:rsidRPr="005C6A06" w:rsidR="00C32804">
        <w:t xml:space="preserve">3d 637, </w:t>
      </w:r>
      <w:r w:rsidRPr="005C6A06" w:rsidR="005C6A06">
        <w:t>650-</w:t>
      </w:r>
      <w:r w:rsidRPr="005C6A06" w:rsidR="00C32804">
        <w:t>651</w:t>
      </w:r>
      <w:bookmarkEnd w:id="76"/>
      <w:r w:rsidRPr="005C6A06" w:rsidR="00775375">
        <w:t>.</w:t>
      </w:r>
      <w:r w:rsidRPr="005C6A06" w:rsidR="00C32804">
        <w:t xml:space="preserve">)  </w:t>
      </w:r>
      <w:r w:rsidRPr="00160FD8" w:rsidR="00C32804">
        <w:t xml:space="preserve">The County’s conduct in appealing the </w:t>
      </w:r>
      <w:r w:rsidRPr="00160FD8" w:rsidR="007244A3">
        <w:t xml:space="preserve">order </w:t>
      </w:r>
      <w:r w:rsidRPr="00160FD8" w:rsidR="00C32804">
        <w:t>does not rise to this level.</w:t>
      </w:r>
      <w:r w:rsidR="00BB458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48"/>
    <w:rsid w:val="00006B31"/>
    <w:rsid w:val="0002127A"/>
    <w:rsid w:val="00021CD5"/>
    <w:rsid w:val="00026108"/>
    <w:rsid w:val="0003123B"/>
    <w:rsid w:val="00032D67"/>
    <w:rsid w:val="000402D0"/>
    <w:rsid w:val="0004491E"/>
    <w:rsid w:val="00046E2A"/>
    <w:rsid w:val="00052E59"/>
    <w:rsid w:val="00072A3E"/>
    <w:rsid w:val="00073038"/>
    <w:rsid w:val="00077054"/>
    <w:rsid w:val="000772E6"/>
    <w:rsid w:val="00077FF9"/>
    <w:rsid w:val="00086C82"/>
    <w:rsid w:val="000875E1"/>
    <w:rsid w:val="000962FF"/>
    <w:rsid w:val="00097979"/>
    <w:rsid w:val="00097C38"/>
    <w:rsid w:val="000A4AA2"/>
    <w:rsid w:val="000A58C6"/>
    <w:rsid w:val="000A5C10"/>
    <w:rsid w:val="000B2C38"/>
    <w:rsid w:val="000B521C"/>
    <w:rsid w:val="000B7800"/>
    <w:rsid w:val="000C0DE1"/>
    <w:rsid w:val="000C21C6"/>
    <w:rsid w:val="000C25FC"/>
    <w:rsid w:val="000C51FC"/>
    <w:rsid w:val="000D0437"/>
    <w:rsid w:val="000D167F"/>
    <w:rsid w:val="000E000E"/>
    <w:rsid w:val="000E078A"/>
    <w:rsid w:val="000F747D"/>
    <w:rsid w:val="00101043"/>
    <w:rsid w:val="001041EE"/>
    <w:rsid w:val="00111E6B"/>
    <w:rsid w:val="0011584F"/>
    <w:rsid w:val="001166AB"/>
    <w:rsid w:val="0012022C"/>
    <w:rsid w:val="001223B3"/>
    <w:rsid w:val="00125F29"/>
    <w:rsid w:val="00126C2B"/>
    <w:rsid w:val="0013036D"/>
    <w:rsid w:val="00135E66"/>
    <w:rsid w:val="00136B68"/>
    <w:rsid w:val="00136F00"/>
    <w:rsid w:val="00152B61"/>
    <w:rsid w:val="00153DDB"/>
    <w:rsid w:val="00153DFE"/>
    <w:rsid w:val="00155323"/>
    <w:rsid w:val="00160FD8"/>
    <w:rsid w:val="00161CEB"/>
    <w:rsid w:val="00162498"/>
    <w:rsid w:val="0017056D"/>
    <w:rsid w:val="00171846"/>
    <w:rsid w:val="00174939"/>
    <w:rsid w:val="00176F19"/>
    <w:rsid w:val="00183330"/>
    <w:rsid w:val="00187DE9"/>
    <w:rsid w:val="00197278"/>
    <w:rsid w:val="001A15D8"/>
    <w:rsid w:val="001C2581"/>
    <w:rsid w:val="001C59B4"/>
    <w:rsid w:val="001D111C"/>
    <w:rsid w:val="001E1435"/>
    <w:rsid w:val="001E7A59"/>
    <w:rsid w:val="001F04B5"/>
    <w:rsid w:val="001F1506"/>
    <w:rsid w:val="001F3CD5"/>
    <w:rsid w:val="00205836"/>
    <w:rsid w:val="00222273"/>
    <w:rsid w:val="00234292"/>
    <w:rsid w:val="002373B5"/>
    <w:rsid w:val="002375BE"/>
    <w:rsid w:val="00240D6F"/>
    <w:rsid w:val="0024399B"/>
    <w:rsid w:val="00243E7D"/>
    <w:rsid w:val="002469D7"/>
    <w:rsid w:val="00250D29"/>
    <w:rsid w:val="002515D9"/>
    <w:rsid w:val="00257516"/>
    <w:rsid w:val="002636B1"/>
    <w:rsid w:val="0026664C"/>
    <w:rsid w:val="002704B2"/>
    <w:rsid w:val="00272C6D"/>
    <w:rsid w:val="00281DA8"/>
    <w:rsid w:val="002927F9"/>
    <w:rsid w:val="002939C5"/>
    <w:rsid w:val="00294112"/>
    <w:rsid w:val="002974F2"/>
    <w:rsid w:val="002A532A"/>
    <w:rsid w:val="002B2F39"/>
    <w:rsid w:val="002B5C2B"/>
    <w:rsid w:val="002C4D1C"/>
    <w:rsid w:val="002C5D6C"/>
    <w:rsid w:val="002C72E8"/>
    <w:rsid w:val="002E153B"/>
    <w:rsid w:val="002E2646"/>
    <w:rsid w:val="002E3D4D"/>
    <w:rsid w:val="002E49E2"/>
    <w:rsid w:val="002E7603"/>
    <w:rsid w:val="00304122"/>
    <w:rsid w:val="00307F10"/>
    <w:rsid w:val="00310680"/>
    <w:rsid w:val="00312429"/>
    <w:rsid w:val="00315E0F"/>
    <w:rsid w:val="00317D0B"/>
    <w:rsid w:val="003306EF"/>
    <w:rsid w:val="00331CF6"/>
    <w:rsid w:val="00341E9F"/>
    <w:rsid w:val="00345867"/>
    <w:rsid w:val="00352D31"/>
    <w:rsid w:val="003621A2"/>
    <w:rsid w:val="00362257"/>
    <w:rsid w:val="003707F1"/>
    <w:rsid w:val="00371FB3"/>
    <w:rsid w:val="0037284E"/>
    <w:rsid w:val="00374DC7"/>
    <w:rsid w:val="00377D7C"/>
    <w:rsid w:val="00387495"/>
    <w:rsid w:val="003909D7"/>
    <w:rsid w:val="003B33D6"/>
    <w:rsid w:val="003B3B4E"/>
    <w:rsid w:val="003C39CF"/>
    <w:rsid w:val="003C76DE"/>
    <w:rsid w:val="003D29CF"/>
    <w:rsid w:val="003D497E"/>
    <w:rsid w:val="003E1444"/>
    <w:rsid w:val="003E4929"/>
    <w:rsid w:val="003E6EA2"/>
    <w:rsid w:val="00400112"/>
    <w:rsid w:val="00402920"/>
    <w:rsid w:val="00427A74"/>
    <w:rsid w:val="0043015F"/>
    <w:rsid w:val="004328E6"/>
    <w:rsid w:val="00436A15"/>
    <w:rsid w:val="004413F7"/>
    <w:rsid w:val="00451104"/>
    <w:rsid w:val="00451691"/>
    <w:rsid w:val="00461AA1"/>
    <w:rsid w:val="004647DF"/>
    <w:rsid w:val="0047122D"/>
    <w:rsid w:val="0047653F"/>
    <w:rsid w:val="0048049E"/>
    <w:rsid w:val="00480A45"/>
    <w:rsid w:val="00481471"/>
    <w:rsid w:val="00482BAC"/>
    <w:rsid w:val="004841A9"/>
    <w:rsid w:val="00491283"/>
    <w:rsid w:val="004A1338"/>
    <w:rsid w:val="004A38A0"/>
    <w:rsid w:val="004B1B2C"/>
    <w:rsid w:val="004C0176"/>
    <w:rsid w:val="004C6F74"/>
    <w:rsid w:val="004D6E88"/>
    <w:rsid w:val="004E1640"/>
    <w:rsid w:val="004E4E50"/>
    <w:rsid w:val="00501B7F"/>
    <w:rsid w:val="0051011C"/>
    <w:rsid w:val="0052624F"/>
    <w:rsid w:val="00532D99"/>
    <w:rsid w:val="00532F79"/>
    <w:rsid w:val="00536EF2"/>
    <w:rsid w:val="0053727E"/>
    <w:rsid w:val="00550E88"/>
    <w:rsid w:val="00553A4E"/>
    <w:rsid w:val="0055760C"/>
    <w:rsid w:val="005631A9"/>
    <w:rsid w:val="00567735"/>
    <w:rsid w:val="00571C4A"/>
    <w:rsid w:val="00574023"/>
    <w:rsid w:val="005760F6"/>
    <w:rsid w:val="00580AFB"/>
    <w:rsid w:val="005870A0"/>
    <w:rsid w:val="00590011"/>
    <w:rsid w:val="00590C51"/>
    <w:rsid w:val="005926C8"/>
    <w:rsid w:val="005A1DB3"/>
    <w:rsid w:val="005A4CC1"/>
    <w:rsid w:val="005B11C6"/>
    <w:rsid w:val="005B23C9"/>
    <w:rsid w:val="005B4CB0"/>
    <w:rsid w:val="005C0370"/>
    <w:rsid w:val="005C5CE9"/>
    <w:rsid w:val="005C6A06"/>
    <w:rsid w:val="005D0920"/>
    <w:rsid w:val="005E203B"/>
    <w:rsid w:val="005E4ABD"/>
    <w:rsid w:val="005E4DE5"/>
    <w:rsid w:val="005E4E62"/>
    <w:rsid w:val="005E6839"/>
    <w:rsid w:val="005F438B"/>
    <w:rsid w:val="005F5FF4"/>
    <w:rsid w:val="00606D2D"/>
    <w:rsid w:val="00612644"/>
    <w:rsid w:val="00613048"/>
    <w:rsid w:val="0061600E"/>
    <w:rsid w:val="00633A1F"/>
    <w:rsid w:val="0064077B"/>
    <w:rsid w:val="00640AB7"/>
    <w:rsid w:val="00641A70"/>
    <w:rsid w:val="006441D6"/>
    <w:rsid w:val="00644766"/>
    <w:rsid w:val="00645555"/>
    <w:rsid w:val="00645EC1"/>
    <w:rsid w:val="00653EAA"/>
    <w:rsid w:val="006675EA"/>
    <w:rsid w:val="00670012"/>
    <w:rsid w:val="00671EAD"/>
    <w:rsid w:val="006826F0"/>
    <w:rsid w:val="006966E7"/>
    <w:rsid w:val="006B1568"/>
    <w:rsid w:val="006B164B"/>
    <w:rsid w:val="006B1AF0"/>
    <w:rsid w:val="006B5461"/>
    <w:rsid w:val="006C4BCA"/>
    <w:rsid w:val="006D10D6"/>
    <w:rsid w:val="006D6567"/>
    <w:rsid w:val="006E5FC7"/>
    <w:rsid w:val="006E625D"/>
    <w:rsid w:val="006E65EC"/>
    <w:rsid w:val="006E6E57"/>
    <w:rsid w:val="00705CBA"/>
    <w:rsid w:val="007107AD"/>
    <w:rsid w:val="007128CC"/>
    <w:rsid w:val="007244A3"/>
    <w:rsid w:val="00727CF5"/>
    <w:rsid w:val="00733946"/>
    <w:rsid w:val="0073563F"/>
    <w:rsid w:val="007362DA"/>
    <w:rsid w:val="00736D15"/>
    <w:rsid w:val="00737F7A"/>
    <w:rsid w:val="00742A57"/>
    <w:rsid w:val="00743D6F"/>
    <w:rsid w:val="007444C9"/>
    <w:rsid w:val="00767290"/>
    <w:rsid w:val="00775375"/>
    <w:rsid w:val="00776D87"/>
    <w:rsid w:val="0078677D"/>
    <w:rsid w:val="0079272D"/>
    <w:rsid w:val="00797E42"/>
    <w:rsid w:val="007A1EEC"/>
    <w:rsid w:val="007D3021"/>
    <w:rsid w:val="007D46EC"/>
    <w:rsid w:val="007D663F"/>
    <w:rsid w:val="007E7BBD"/>
    <w:rsid w:val="007F3702"/>
    <w:rsid w:val="00804163"/>
    <w:rsid w:val="008126DB"/>
    <w:rsid w:val="00816A5F"/>
    <w:rsid w:val="00833621"/>
    <w:rsid w:val="0084144E"/>
    <w:rsid w:val="00850808"/>
    <w:rsid w:val="00866B53"/>
    <w:rsid w:val="0087006B"/>
    <w:rsid w:val="00874BEA"/>
    <w:rsid w:val="0087712F"/>
    <w:rsid w:val="00877AB4"/>
    <w:rsid w:val="00887A21"/>
    <w:rsid w:val="00893C97"/>
    <w:rsid w:val="008A0B3B"/>
    <w:rsid w:val="008A6598"/>
    <w:rsid w:val="008A76CD"/>
    <w:rsid w:val="008B097F"/>
    <w:rsid w:val="008B19DE"/>
    <w:rsid w:val="008B4A24"/>
    <w:rsid w:val="008B69B6"/>
    <w:rsid w:val="008B7F2E"/>
    <w:rsid w:val="008C20A4"/>
    <w:rsid w:val="008C4E03"/>
    <w:rsid w:val="008D0AF3"/>
    <w:rsid w:val="008D261F"/>
    <w:rsid w:val="008E2544"/>
    <w:rsid w:val="008E685D"/>
    <w:rsid w:val="008E6ED5"/>
    <w:rsid w:val="008F0651"/>
    <w:rsid w:val="008F6866"/>
    <w:rsid w:val="00900487"/>
    <w:rsid w:val="00905CE1"/>
    <w:rsid w:val="00920EBE"/>
    <w:rsid w:val="0092774D"/>
    <w:rsid w:val="009300E1"/>
    <w:rsid w:val="00931E9E"/>
    <w:rsid w:val="0093246D"/>
    <w:rsid w:val="0093339F"/>
    <w:rsid w:val="009405DB"/>
    <w:rsid w:val="00940667"/>
    <w:rsid w:val="00940DAA"/>
    <w:rsid w:val="0094244F"/>
    <w:rsid w:val="0094315C"/>
    <w:rsid w:val="009545B4"/>
    <w:rsid w:val="00963FC2"/>
    <w:rsid w:val="00964587"/>
    <w:rsid w:val="009662A7"/>
    <w:rsid w:val="00967E0A"/>
    <w:rsid w:val="00972FCE"/>
    <w:rsid w:val="0099248A"/>
    <w:rsid w:val="009966EB"/>
    <w:rsid w:val="009A5A06"/>
    <w:rsid w:val="009A6C0B"/>
    <w:rsid w:val="009A73B6"/>
    <w:rsid w:val="009B03A2"/>
    <w:rsid w:val="009B4D26"/>
    <w:rsid w:val="009C4514"/>
    <w:rsid w:val="009C7E9B"/>
    <w:rsid w:val="009D02F0"/>
    <w:rsid w:val="009D5595"/>
    <w:rsid w:val="009D78FE"/>
    <w:rsid w:val="009F2774"/>
    <w:rsid w:val="009F53EE"/>
    <w:rsid w:val="00A0185F"/>
    <w:rsid w:val="00A049F2"/>
    <w:rsid w:val="00A11BC5"/>
    <w:rsid w:val="00A2107E"/>
    <w:rsid w:val="00A227FC"/>
    <w:rsid w:val="00A3106A"/>
    <w:rsid w:val="00A31CA8"/>
    <w:rsid w:val="00A3590F"/>
    <w:rsid w:val="00A3596D"/>
    <w:rsid w:val="00A3736B"/>
    <w:rsid w:val="00A41624"/>
    <w:rsid w:val="00A455C3"/>
    <w:rsid w:val="00A52150"/>
    <w:rsid w:val="00A71569"/>
    <w:rsid w:val="00A754BD"/>
    <w:rsid w:val="00A82A9B"/>
    <w:rsid w:val="00A87C0D"/>
    <w:rsid w:val="00A91E85"/>
    <w:rsid w:val="00A9255B"/>
    <w:rsid w:val="00A96524"/>
    <w:rsid w:val="00AA4B7A"/>
    <w:rsid w:val="00AB1591"/>
    <w:rsid w:val="00AB199C"/>
    <w:rsid w:val="00AB3C9F"/>
    <w:rsid w:val="00AB7C6E"/>
    <w:rsid w:val="00AC00FB"/>
    <w:rsid w:val="00AC2E09"/>
    <w:rsid w:val="00AD1AB7"/>
    <w:rsid w:val="00AD309E"/>
    <w:rsid w:val="00AE1A14"/>
    <w:rsid w:val="00AF0F1A"/>
    <w:rsid w:val="00AF5DCA"/>
    <w:rsid w:val="00B001B9"/>
    <w:rsid w:val="00B0413B"/>
    <w:rsid w:val="00B12B6D"/>
    <w:rsid w:val="00B14548"/>
    <w:rsid w:val="00B16A3B"/>
    <w:rsid w:val="00B23581"/>
    <w:rsid w:val="00B31F98"/>
    <w:rsid w:val="00B3450B"/>
    <w:rsid w:val="00B35365"/>
    <w:rsid w:val="00B378B5"/>
    <w:rsid w:val="00B47B3B"/>
    <w:rsid w:val="00B63C86"/>
    <w:rsid w:val="00B64E27"/>
    <w:rsid w:val="00B76470"/>
    <w:rsid w:val="00B765CE"/>
    <w:rsid w:val="00B81A6F"/>
    <w:rsid w:val="00B82032"/>
    <w:rsid w:val="00B901D5"/>
    <w:rsid w:val="00B904BD"/>
    <w:rsid w:val="00B90C40"/>
    <w:rsid w:val="00B94AA2"/>
    <w:rsid w:val="00BA4FF3"/>
    <w:rsid w:val="00BB4585"/>
    <w:rsid w:val="00BB6C6E"/>
    <w:rsid w:val="00BC25B1"/>
    <w:rsid w:val="00BC67CE"/>
    <w:rsid w:val="00BC749D"/>
    <w:rsid w:val="00BD0B50"/>
    <w:rsid w:val="00BE2262"/>
    <w:rsid w:val="00BE33B8"/>
    <w:rsid w:val="00BE3DFC"/>
    <w:rsid w:val="00BE7DB9"/>
    <w:rsid w:val="00C00419"/>
    <w:rsid w:val="00C00E74"/>
    <w:rsid w:val="00C13AD0"/>
    <w:rsid w:val="00C13AEC"/>
    <w:rsid w:val="00C1551C"/>
    <w:rsid w:val="00C225F7"/>
    <w:rsid w:val="00C25F2C"/>
    <w:rsid w:val="00C32804"/>
    <w:rsid w:val="00C44B97"/>
    <w:rsid w:val="00C47C82"/>
    <w:rsid w:val="00C56A52"/>
    <w:rsid w:val="00C61BD9"/>
    <w:rsid w:val="00C64F16"/>
    <w:rsid w:val="00C67AAF"/>
    <w:rsid w:val="00C67BB6"/>
    <w:rsid w:val="00C82303"/>
    <w:rsid w:val="00C82F51"/>
    <w:rsid w:val="00C83563"/>
    <w:rsid w:val="00C90046"/>
    <w:rsid w:val="00C933EC"/>
    <w:rsid w:val="00CA20FA"/>
    <w:rsid w:val="00CA64C7"/>
    <w:rsid w:val="00CB02D1"/>
    <w:rsid w:val="00CB5B3A"/>
    <w:rsid w:val="00CB645D"/>
    <w:rsid w:val="00CC3644"/>
    <w:rsid w:val="00CC6FCC"/>
    <w:rsid w:val="00CD4ED8"/>
    <w:rsid w:val="00CD5223"/>
    <w:rsid w:val="00CE0182"/>
    <w:rsid w:val="00CE0DAC"/>
    <w:rsid w:val="00CE4ABC"/>
    <w:rsid w:val="00CF504F"/>
    <w:rsid w:val="00D05E7B"/>
    <w:rsid w:val="00D06A39"/>
    <w:rsid w:val="00D10644"/>
    <w:rsid w:val="00D108F4"/>
    <w:rsid w:val="00D110B7"/>
    <w:rsid w:val="00D25E73"/>
    <w:rsid w:val="00D34F21"/>
    <w:rsid w:val="00D46755"/>
    <w:rsid w:val="00D5079B"/>
    <w:rsid w:val="00D55991"/>
    <w:rsid w:val="00D635F2"/>
    <w:rsid w:val="00D63D99"/>
    <w:rsid w:val="00D66949"/>
    <w:rsid w:val="00D732CB"/>
    <w:rsid w:val="00D75B34"/>
    <w:rsid w:val="00D844CD"/>
    <w:rsid w:val="00D97709"/>
    <w:rsid w:val="00DC1D9A"/>
    <w:rsid w:val="00DC33EE"/>
    <w:rsid w:val="00DD2C3A"/>
    <w:rsid w:val="00DE0FE3"/>
    <w:rsid w:val="00DE47A9"/>
    <w:rsid w:val="00E2206A"/>
    <w:rsid w:val="00E22DCC"/>
    <w:rsid w:val="00E26242"/>
    <w:rsid w:val="00E32B1B"/>
    <w:rsid w:val="00E35185"/>
    <w:rsid w:val="00E35EA2"/>
    <w:rsid w:val="00E36947"/>
    <w:rsid w:val="00E42CA7"/>
    <w:rsid w:val="00E43365"/>
    <w:rsid w:val="00E5196E"/>
    <w:rsid w:val="00E53291"/>
    <w:rsid w:val="00E53A25"/>
    <w:rsid w:val="00E6398B"/>
    <w:rsid w:val="00E828DE"/>
    <w:rsid w:val="00E82FD1"/>
    <w:rsid w:val="00ED4834"/>
    <w:rsid w:val="00ED48CC"/>
    <w:rsid w:val="00EF4470"/>
    <w:rsid w:val="00F00B05"/>
    <w:rsid w:val="00F03FF4"/>
    <w:rsid w:val="00F13443"/>
    <w:rsid w:val="00F20A4F"/>
    <w:rsid w:val="00F246B3"/>
    <w:rsid w:val="00F33A0B"/>
    <w:rsid w:val="00F33C36"/>
    <w:rsid w:val="00F40092"/>
    <w:rsid w:val="00F43282"/>
    <w:rsid w:val="00F51C1F"/>
    <w:rsid w:val="00F51D67"/>
    <w:rsid w:val="00F6275A"/>
    <w:rsid w:val="00F651BC"/>
    <w:rsid w:val="00F73F7F"/>
    <w:rsid w:val="00F74AAA"/>
    <w:rsid w:val="00F768AF"/>
    <w:rsid w:val="00F8039B"/>
    <w:rsid w:val="00F813A4"/>
    <w:rsid w:val="00FA0798"/>
    <w:rsid w:val="00FB13D5"/>
    <w:rsid w:val="00FB3273"/>
    <w:rsid w:val="00FB6999"/>
    <w:rsid w:val="00FC5DCC"/>
    <w:rsid w:val="00FD7499"/>
    <w:rsid w:val="00FE65D1"/>
    <w:rsid w:val="00FF7C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73B6"/>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right">
    <w:name w:val="right"/>
    <w:basedOn w:val="DefaultParagraphFont"/>
    <w:rsid w:val="00B14548"/>
  </w:style>
  <w:style w:type="character" w:styleId="CommentReference">
    <w:name w:val="annotation reference"/>
    <w:basedOn w:val="DefaultParagraphFont"/>
    <w:semiHidden/>
    <w:unhideWhenUsed/>
    <w:rsid w:val="00B14548"/>
    <w:rPr>
      <w:sz w:val="16"/>
      <w:szCs w:val="16"/>
    </w:rPr>
  </w:style>
  <w:style w:type="paragraph" w:styleId="CommentText">
    <w:name w:val="annotation text"/>
    <w:basedOn w:val="Normal"/>
    <w:link w:val="CommentTextChar"/>
    <w:unhideWhenUsed/>
    <w:rsid w:val="00B14548"/>
    <w:pPr>
      <w:spacing w:line="240" w:lineRule="auto"/>
    </w:pPr>
    <w:rPr>
      <w:sz w:val="20"/>
      <w:szCs w:val="20"/>
    </w:rPr>
  </w:style>
  <w:style w:type="character" w:customStyle="1" w:styleId="CommentTextChar">
    <w:name w:val="Comment Text Char"/>
    <w:basedOn w:val="DefaultParagraphFont"/>
    <w:link w:val="CommentText"/>
    <w:rsid w:val="00B14548"/>
    <w:rPr>
      <w:sz w:val="20"/>
      <w:szCs w:val="20"/>
    </w:rPr>
  </w:style>
  <w:style w:type="paragraph" w:styleId="CommentSubject">
    <w:name w:val="annotation subject"/>
    <w:basedOn w:val="CommentText"/>
    <w:next w:val="CommentText"/>
    <w:link w:val="CommentSubjectChar"/>
    <w:semiHidden/>
    <w:unhideWhenUsed/>
    <w:rsid w:val="00B14548"/>
    <w:rPr>
      <w:b/>
      <w:bCs/>
    </w:rPr>
  </w:style>
  <w:style w:type="character" w:customStyle="1" w:styleId="CommentSubjectChar">
    <w:name w:val="Comment Subject Char"/>
    <w:basedOn w:val="CommentTextChar"/>
    <w:link w:val="CommentSubject"/>
    <w:semiHidden/>
    <w:rsid w:val="00B14548"/>
    <w:rPr>
      <w:b/>
      <w:bCs/>
      <w:sz w:val="20"/>
      <w:szCs w:val="20"/>
    </w:rPr>
  </w:style>
  <w:style w:type="paragraph" w:styleId="Revision">
    <w:name w:val="Revision"/>
    <w:hidden/>
    <w:uiPriority w:val="99"/>
    <w:semiHidden/>
    <w:rsid w:val="00243E7D"/>
  </w:style>
  <w:style w:type="character" w:customStyle="1" w:styleId="FootnoteTextChar">
    <w:name w:val="Footnote Text Char"/>
    <w:basedOn w:val="DefaultParagraphFont"/>
    <w:link w:val="FootnoteText"/>
    <w:semiHidden/>
    <w:rsid w:val="00B2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ED28-3C55-472B-B46B-1601E780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2024-01-25T17:35:06Z</dcterms:created>
  <dcterms:modified xsi:type="dcterms:W3CDTF">2024-01-25T17:35:06Z</dcterms:modified>
</cp:coreProperties>
</file>