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D438F1" w:rsidRPr="003F60BA" w:rsidP="003F60BA" w14:paraId="75D3AACD" w14:textId="7349AAD6">
      <w:pPr>
        <w:spacing w:line="240" w:lineRule="atLeast"/>
        <w:rPr>
          <w:sz w:val="20"/>
          <w:szCs w:val="20"/>
        </w:rPr>
      </w:pPr>
      <w:bookmarkStart w:id="0" w:name="_Hlk152075195"/>
      <w:r>
        <w:rPr>
          <w:sz w:val="20"/>
          <w:szCs w:val="20"/>
        </w:rPr>
        <w:t>Filed 3/21/24</w:t>
      </w:r>
    </w:p>
    <w:p w:rsidR="00542604" w:rsidRPr="0014418F" w:rsidP="00542604" w14:paraId="674922C1" w14:textId="22C8324E">
      <w:pPr>
        <w:spacing w:line="240" w:lineRule="atLeast"/>
        <w:jc w:val="center"/>
      </w:pPr>
      <w:r w:rsidRPr="0014418F">
        <w:rPr>
          <w:u w:val="words"/>
        </w:rPr>
        <w:t>CERTIFIED FOR PARTIAL PUBLICATION</w:t>
      </w:r>
      <w:r>
        <w:rPr>
          <w:rStyle w:val="FootnoteReference"/>
        </w:rPr>
        <w:footnoteReference w:customMarkFollows="1" w:id="2"/>
        <w:t xml:space="preserve">*</w:t>
      </w:r>
    </w:p>
    <w:p w:rsidR="00542604" w:rsidRPr="0014418F" w:rsidP="00542604" w14:paraId="52CF1110" w14:textId="77777777">
      <w:pPr>
        <w:spacing w:line="240" w:lineRule="atLeast"/>
        <w:jc w:val="center"/>
      </w:pPr>
    </w:p>
    <w:p w:rsidR="00542604" w:rsidRPr="0014418F" w:rsidP="00542604" w14:paraId="494190C6" w14:textId="77777777">
      <w:pPr>
        <w:spacing w:line="240" w:lineRule="atLeast"/>
        <w:jc w:val="center"/>
      </w:pPr>
    </w:p>
    <w:p w:rsidR="00542604" w:rsidRPr="0014418F" w:rsidP="00542604" w14:paraId="27B9DA7F" w14:textId="77777777">
      <w:pPr>
        <w:spacing w:line="240" w:lineRule="atLeast"/>
        <w:jc w:val="center"/>
      </w:pPr>
    </w:p>
    <w:p w:rsidR="00542604" w:rsidRPr="0014418F" w:rsidP="00542604" w14:paraId="39E95F16" w14:textId="77777777">
      <w:pPr>
        <w:spacing w:line="240" w:lineRule="atLeast"/>
        <w:jc w:val="center"/>
      </w:pPr>
    </w:p>
    <w:p w:rsidR="00542604" w:rsidRPr="0014418F" w:rsidP="00542604" w14:paraId="7723A4DD" w14:textId="77777777">
      <w:pPr>
        <w:spacing w:line="240" w:lineRule="atLeast"/>
        <w:jc w:val="center"/>
      </w:pPr>
    </w:p>
    <w:p w:rsidR="00542604" w:rsidRPr="0014418F" w:rsidP="00542604" w14:paraId="0705DDF5" w14:textId="0720C2B2">
      <w:pPr>
        <w:jc w:val="center"/>
      </w:pPr>
      <w:r w:rsidRPr="0014418F">
        <w:t>IN THE COURT OF APPEAL OF THE STATE OF CALIFORNIA</w:t>
      </w:r>
    </w:p>
    <w:p w:rsidR="00542604" w:rsidRPr="0014418F" w:rsidP="00542604" w14:paraId="549E3F40" w14:textId="55ED6E2A">
      <w:pPr>
        <w:jc w:val="center"/>
      </w:pPr>
      <w:r w:rsidRPr="0014418F">
        <w:t>THIRD APPELLATE DISTRICT</w:t>
      </w:r>
    </w:p>
    <w:p w:rsidR="00542604" w:rsidRPr="0014418F" w:rsidP="00542604" w14:paraId="1C217FE3" w14:textId="4C33DE9D">
      <w:pPr>
        <w:jc w:val="center"/>
      </w:pPr>
      <w:r w:rsidRPr="0014418F">
        <w:t>(Sacramento)</w:t>
      </w:r>
    </w:p>
    <w:p w:rsidR="00542604" w:rsidRPr="0014418F" w:rsidP="00542604" w14:paraId="1D78A5BE" w14:textId="387B2465">
      <w:pPr>
        <w:jc w:val="center"/>
      </w:pPr>
      <w:r w:rsidRPr="0014418F">
        <w:t>----</w:t>
      </w:r>
    </w:p>
    <w:p w:rsidR="00542604" w:rsidRPr="0014418F" w:rsidP="00542604" w14:paraId="37144451" w14:textId="77777777">
      <w:pPr>
        <w:jc w:val="center"/>
      </w:pPr>
    </w:p>
    <w:p w:rsidR="00542604" w:rsidRPr="0014418F" w:rsidP="00542604" w14:paraId="17834A26" w14:textId="77777777">
      <w:pPr>
        <w:spacing w:line="240" w:lineRule="atLeast"/>
      </w:pPr>
    </w:p>
    <w:p w:rsidR="00542604" w:rsidRPr="0014418F" w:rsidP="00542604" w14:paraId="46C5F7F5" w14:textId="77777777">
      <w:pPr>
        <w:spacing w:line="240" w:lineRule="atLeast"/>
      </w:pPr>
    </w:p>
    <w:p w:rsidR="00542604" w:rsidRPr="0014418F" w:rsidP="00542604" w14:paraId="573EE753" w14:textId="77777777">
      <w:pPr>
        <w:spacing w:line="240" w:lineRule="atLeast"/>
      </w:pPr>
    </w:p>
    <w:tbl>
      <w:tblPr>
        <w:tblW w:w="0" w:type="auto"/>
        <w:tblBorders>
          <w:insideH w:val="single" w:sz="4" w:space="0" w:color="auto"/>
          <w:insideV w:val="single" w:sz="4" w:space="0" w:color="auto"/>
        </w:tblBorders>
        <w:tblLayout w:type="fixed"/>
        <w:tblLook w:val="0000"/>
      </w:tblPr>
      <w:tblGrid>
        <w:gridCol w:w="5904"/>
        <w:gridCol w:w="3456"/>
      </w:tblGrid>
      <w:tr w14:paraId="764424E8" w14:textId="77777777" w:rsidTr="00542604">
        <w:tblPrEx>
          <w:tblW w:w="0" w:type="auto"/>
          <w:tblBorders>
            <w:insideH w:val="single" w:sz="4" w:space="0" w:color="auto"/>
            <w:insideV w:val="single" w:sz="4" w:space="0" w:color="auto"/>
          </w:tblBorders>
          <w:tblLayout w:type="fixed"/>
          <w:tblLook w:val="0000"/>
        </w:tblPrEx>
        <w:tc>
          <w:tcPr>
            <w:tcW w:w="5904" w:type="dxa"/>
            <w:shd w:val="clear" w:color="auto" w:fill="auto"/>
          </w:tcPr>
          <w:p w:rsidR="00542604" w:rsidRPr="0014418F" w:rsidP="00542604" w14:paraId="04FADF7C" w14:textId="77777777">
            <w:pPr>
              <w:spacing w:line="240" w:lineRule="atLeast"/>
            </w:pPr>
            <w:r w:rsidRPr="0014418F">
              <w:t>NEPTUNE MANAGEMENT CORP.,</w:t>
            </w:r>
          </w:p>
          <w:p w:rsidR="00542604" w:rsidRPr="0014418F" w:rsidP="00542604" w14:paraId="19C770FE" w14:textId="77777777">
            <w:pPr>
              <w:spacing w:line="240" w:lineRule="atLeast"/>
            </w:pPr>
          </w:p>
          <w:p w:rsidR="00542604" w:rsidRPr="0014418F" w:rsidP="00542604" w14:paraId="7C64C27A" w14:textId="77777777">
            <w:pPr>
              <w:spacing w:line="240" w:lineRule="atLeast"/>
            </w:pPr>
            <w:r w:rsidRPr="0014418F">
              <w:tab/>
            </w:r>
            <w:r w:rsidRPr="0014418F">
              <w:tab/>
              <w:t>Plaintiff and Appellant,</w:t>
            </w:r>
          </w:p>
          <w:p w:rsidR="00542604" w:rsidRPr="0014418F" w:rsidP="00542604" w14:paraId="654DEE64" w14:textId="77777777">
            <w:pPr>
              <w:spacing w:line="240" w:lineRule="atLeast"/>
            </w:pPr>
          </w:p>
          <w:p w:rsidR="00542604" w:rsidRPr="0014418F" w:rsidP="00542604" w14:paraId="79FD7C85" w14:textId="77777777">
            <w:pPr>
              <w:spacing w:line="240" w:lineRule="atLeast"/>
            </w:pPr>
            <w:r w:rsidRPr="0014418F">
              <w:tab/>
              <w:t>v.</w:t>
            </w:r>
          </w:p>
          <w:p w:rsidR="00542604" w:rsidRPr="0014418F" w:rsidP="00542604" w14:paraId="48798372" w14:textId="77777777">
            <w:pPr>
              <w:spacing w:line="240" w:lineRule="atLeast"/>
            </w:pPr>
          </w:p>
          <w:p w:rsidR="00542604" w:rsidRPr="0014418F" w:rsidP="00542604" w14:paraId="7138C58A" w14:textId="77777777">
            <w:pPr>
              <w:spacing w:line="240" w:lineRule="atLeast"/>
            </w:pPr>
            <w:r w:rsidRPr="0014418F">
              <w:t>CEMETERY AND FUNERAL BUREAU,</w:t>
            </w:r>
          </w:p>
          <w:p w:rsidR="00542604" w:rsidRPr="0014418F" w:rsidP="00542604" w14:paraId="3C53A446" w14:textId="77777777">
            <w:pPr>
              <w:spacing w:line="240" w:lineRule="atLeast"/>
            </w:pPr>
          </w:p>
          <w:p w:rsidR="00542604" w:rsidRPr="0014418F" w:rsidP="00542604" w14:paraId="129FFA96" w14:textId="77777777">
            <w:pPr>
              <w:spacing w:line="240" w:lineRule="atLeast"/>
            </w:pPr>
            <w:r w:rsidRPr="0014418F">
              <w:tab/>
            </w:r>
            <w:r w:rsidRPr="0014418F">
              <w:tab/>
              <w:t>Defendant and Respondent.</w:t>
            </w:r>
          </w:p>
          <w:p w:rsidR="00542604" w:rsidRPr="0014418F" w:rsidP="00542604" w14:paraId="76DF9387" w14:textId="624732BB">
            <w:pPr>
              <w:spacing w:line="240" w:lineRule="atLeast"/>
            </w:pPr>
          </w:p>
        </w:tc>
        <w:tc>
          <w:tcPr>
            <w:tcW w:w="3456" w:type="dxa"/>
            <w:shd w:val="clear" w:color="auto" w:fill="auto"/>
          </w:tcPr>
          <w:p w:rsidR="00542604" w:rsidRPr="0014418F" w:rsidP="00542604" w14:paraId="06111C3A" w14:textId="77777777">
            <w:pPr>
              <w:spacing w:line="240" w:lineRule="atLeast"/>
              <w:jc w:val="center"/>
            </w:pPr>
            <w:r w:rsidRPr="0014418F">
              <w:t>C098037</w:t>
            </w:r>
          </w:p>
          <w:p w:rsidR="00542604" w:rsidRPr="0014418F" w:rsidP="00542604" w14:paraId="69CE4607" w14:textId="77777777">
            <w:pPr>
              <w:spacing w:line="240" w:lineRule="atLeast"/>
              <w:jc w:val="center"/>
            </w:pPr>
          </w:p>
          <w:p w:rsidR="00542604" w:rsidRPr="0014418F" w:rsidP="00542604" w14:paraId="07790734" w14:textId="77777777">
            <w:pPr>
              <w:spacing w:line="240" w:lineRule="atLeast"/>
              <w:jc w:val="center"/>
            </w:pPr>
            <w:r w:rsidRPr="0014418F">
              <w:t>(Super. Ct. No. 34-2022-80003882-CU-WM-GDS)</w:t>
            </w:r>
          </w:p>
          <w:p w:rsidR="00542604" w:rsidRPr="0014418F" w:rsidP="00542604" w14:paraId="6E7D80CA" w14:textId="77777777">
            <w:pPr>
              <w:spacing w:line="240" w:lineRule="atLeast"/>
              <w:jc w:val="center"/>
            </w:pPr>
          </w:p>
          <w:p w:rsidR="00542604" w:rsidRPr="0014418F" w:rsidP="00542604" w14:paraId="7A2B9D72" w14:textId="29615FC6">
            <w:pPr>
              <w:spacing w:line="240" w:lineRule="atLeast"/>
              <w:jc w:val="center"/>
            </w:pPr>
          </w:p>
        </w:tc>
      </w:tr>
    </w:tbl>
    <w:p w:rsidR="00542604" w:rsidP="00542604" w14:paraId="7E96E0E6" w14:textId="77777777">
      <w:pPr>
        <w:spacing w:line="240" w:lineRule="atLeast"/>
      </w:pPr>
    </w:p>
    <w:p w:rsidR="0014418F" w:rsidRPr="0014418F" w:rsidP="00542604" w14:paraId="096666B1" w14:textId="77777777">
      <w:pPr>
        <w:spacing w:line="240" w:lineRule="atLeast"/>
      </w:pPr>
    </w:p>
    <w:p w:rsidR="00542604" w:rsidRPr="0014418F" w:rsidP="00542604" w14:paraId="4E1FFD71" w14:textId="3C4AC380">
      <w:pPr>
        <w:spacing w:line="240" w:lineRule="atLeast"/>
      </w:pPr>
      <w:r w:rsidRPr="0014418F">
        <w:tab/>
        <w:t>APPEAL from a judgment of the Superior Court of Sacramento County, Stephen P. Acquisto, Judge.  Affirmed.</w:t>
      </w:r>
    </w:p>
    <w:p w:rsidR="00542604" w:rsidP="00542604" w14:paraId="398EC132" w14:textId="77777777">
      <w:pPr>
        <w:spacing w:line="240" w:lineRule="atLeast"/>
      </w:pPr>
    </w:p>
    <w:p w:rsidR="003A7F62" w:rsidRPr="0014418F" w:rsidP="00542604" w14:paraId="60207B66" w14:textId="77777777">
      <w:pPr>
        <w:spacing w:line="240" w:lineRule="atLeast"/>
      </w:pPr>
    </w:p>
    <w:p w:rsidR="00542604" w:rsidRPr="0014418F" w:rsidP="00542604" w14:paraId="0B07F98E" w14:textId="7499E913">
      <w:pPr>
        <w:spacing w:line="240" w:lineRule="atLeast"/>
      </w:pPr>
      <w:r w:rsidRPr="0014418F">
        <w:tab/>
        <w:t>Gurnee, Mason, Rushford, Bonotto &amp; Forestiere</w:t>
      </w:r>
      <w:r w:rsidR="00254E54">
        <w:t>,</w:t>
      </w:r>
      <w:r w:rsidRPr="0014418F">
        <w:t xml:space="preserve"> Steven </w:t>
      </w:r>
      <w:r w:rsidR="00254E54">
        <w:t xml:space="preserve">H. </w:t>
      </w:r>
      <w:r w:rsidRPr="0014418F">
        <w:t>Gurnee</w:t>
      </w:r>
      <w:r w:rsidR="00EB6B1C">
        <w:t xml:space="preserve">, </w:t>
      </w:r>
      <w:r w:rsidR="00254E54">
        <w:t>Candace H. Shirley</w:t>
      </w:r>
      <w:r w:rsidRPr="0014418F">
        <w:t xml:space="preserve">; Gibson, Dunn &amp; Crutcher, </w:t>
      </w:r>
      <w:r w:rsidRPr="0014418F" w:rsidR="00042EC9">
        <w:t>Elizabeth K</w:t>
      </w:r>
      <w:r w:rsidR="00F033DF">
        <w:t>.</w:t>
      </w:r>
      <w:r w:rsidRPr="0014418F" w:rsidR="00042EC9">
        <w:t xml:space="preserve"> McCloskey </w:t>
      </w:r>
      <w:r w:rsidRPr="0014418F">
        <w:t xml:space="preserve">and </w:t>
      </w:r>
      <w:r w:rsidRPr="0014418F" w:rsidR="00042EC9">
        <w:t xml:space="preserve">Winston Y. Chan </w:t>
      </w:r>
      <w:r w:rsidRPr="0014418F">
        <w:t>for Plaintiff and Appellant.</w:t>
      </w:r>
    </w:p>
    <w:p w:rsidR="00542604" w:rsidRPr="0014418F" w:rsidP="00542604" w14:paraId="3659DE0A" w14:textId="77777777">
      <w:pPr>
        <w:spacing w:line="240" w:lineRule="atLeast"/>
      </w:pPr>
    </w:p>
    <w:p w:rsidR="00542604" w:rsidRPr="0014418F" w:rsidP="00542604" w14:paraId="36C744BA" w14:textId="5A7CFE9A">
      <w:pPr>
        <w:spacing w:line="240" w:lineRule="atLeast"/>
      </w:pPr>
      <w:r w:rsidRPr="0014418F">
        <w:tab/>
        <w:t xml:space="preserve">Rob Bonta, Attorney General, Carl W. Sonne, Assistant Attorney General, Joshua A. Room, Armando Zambrano </w:t>
      </w:r>
      <w:r w:rsidR="00254E54">
        <w:t>and</w:t>
      </w:r>
      <w:r w:rsidRPr="0014418F">
        <w:t xml:space="preserve"> Artin DerOhanian, Deputy Attorney</w:t>
      </w:r>
      <w:r w:rsidR="00EB6B1C">
        <w:t>s</w:t>
      </w:r>
      <w:r w:rsidRPr="0014418F">
        <w:t xml:space="preserve"> General, for Defendant and Respondent.</w:t>
      </w:r>
    </w:p>
    <w:p w:rsidR="00542604" w:rsidP="00542604" w14:paraId="7132DAEF" w14:textId="77777777">
      <w:pPr>
        <w:spacing w:line="240" w:lineRule="atLeast"/>
        <w:rPr>
          <w:highlight w:val="cyan"/>
        </w:rPr>
      </w:pPr>
    </w:p>
    <w:p w:rsidR="00542604" w:rsidP="00542604" w14:paraId="4D8C4B42" w14:textId="77777777">
      <w:pPr>
        <w:spacing w:line="240" w:lineRule="atLeast"/>
        <w:rPr>
          <w:highlight w:val="cyan"/>
        </w:rPr>
      </w:pPr>
    </w:p>
    <w:p w:rsidR="007D03DC" w:rsidRPr="00517FA0" w:rsidP="007D03DC" w14:paraId="3537DA80" w14:textId="441BDE08">
      <w:pPr>
        <w:ind w:firstLine="720"/>
      </w:pPr>
      <w:r w:rsidRPr="00D521AD">
        <w:t xml:space="preserve">The </w:t>
      </w:r>
      <w:r w:rsidRPr="00D521AD" w:rsidR="00DB60DD">
        <w:t>Cemetery and Funeral Bureau</w:t>
      </w:r>
      <w:r w:rsidRPr="00D521AD">
        <w:t xml:space="preserve"> (Bureau) cited </w:t>
      </w:r>
      <w:r w:rsidRPr="00D521AD" w:rsidR="00CF3919">
        <w:t xml:space="preserve">Neptune Management Corp. </w:t>
      </w:r>
      <w:r w:rsidRPr="00D521AD">
        <w:t>(Neptune</w:t>
      </w:r>
      <w:r w:rsidRPr="00517FA0">
        <w:t xml:space="preserve">), a </w:t>
      </w:r>
      <w:r w:rsidRPr="00517FA0" w:rsidR="00CF3919">
        <w:t>cremation services provider,</w:t>
      </w:r>
      <w:r w:rsidRPr="00517FA0">
        <w:t xml:space="preserve"> for failing to hold in trust money </w:t>
      </w:r>
      <w:r w:rsidRPr="00517FA0" w:rsidR="005167A6">
        <w:t xml:space="preserve">Neptune </w:t>
      </w:r>
      <w:r w:rsidRPr="00517FA0">
        <w:t xml:space="preserve">received for </w:t>
      </w:r>
      <w:r w:rsidRPr="00517FA0" w:rsidR="00CF3919">
        <w:t>cremation</w:t>
      </w:r>
      <w:r w:rsidRPr="00517FA0">
        <w:t xml:space="preserve"> merchandise in violation of Business and Professions Code</w:t>
      </w:r>
      <w:r>
        <w:rPr>
          <w:rStyle w:val="FootnoteReference"/>
        </w:rPr>
        <w:footnoteReference w:id="3"/>
      </w:r>
      <w:r w:rsidRPr="00517FA0">
        <w:t xml:space="preserve"> section 7735.  </w:t>
      </w:r>
      <w:r w:rsidRPr="00920316">
        <w:t>Neptune filed a</w:t>
      </w:r>
      <w:r w:rsidRPr="00920316" w:rsidR="00CC7CD6">
        <w:t xml:space="preserve"> petition for</w:t>
      </w:r>
      <w:r w:rsidRPr="00920316">
        <w:t xml:space="preserve"> writ of mandate with the superior court</w:t>
      </w:r>
      <w:r w:rsidRPr="00920316" w:rsidR="00CF3919">
        <w:t xml:space="preserve"> challenging this citation</w:t>
      </w:r>
      <w:r w:rsidRPr="00920316">
        <w:t xml:space="preserve">, which the superior court denied.  </w:t>
      </w:r>
      <w:r w:rsidRPr="006752D4">
        <w:t>On appeal, Neptune argues (1) it satisfied an exception to the trusting requirement because it delivered the merchandise to the purchaser</w:t>
      </w:r>
      <w:r w:rsidRPr="006752D4" w:rsidR="00900437">
        <w:t xml:space="preserve"> at the time of sale</w:t>
      </w:r>
      <w:r w:rsidRPr="006752D4">
        <w:t>, and (2) the Bureau is</w:t>
      </w:r>
      <w:r w:rsidRPr="006752D4" w:rsidR="00DB60DD">
        <w:t xml:space="preserve"> equitably</w:t>
      </w:r>
      <w:r w:rsidRPr="006752D4">
        <w:t xml:space="preserve"> estopped from challenging its practices based on a prior settlement agreement.</w:t>
      </w:r>
      <w:r w:rsidRPr="006752D4" w:rsidR="00BE1A0D">
        <w:t xml:space="preserve">  In the</w:t>
      </w:r>
      <w:r w:rsidRPr="00517FA0" w:rsidR="00BE1A0D">
        <w:t xml:space="preserve"> published portion of this opinion, we conclude Neptune</w:t>
      </w:r>
      <w:r w:rsidRPr="00517FA0" w:rsidR="00D32661">
        <w:t xml:space="preserve"> did not </w:t>
      </w:r>
      <w:r w:rsidRPr="00517FA0" w:rsidR="000F39A1">
        <w:t xml:space="preserve">deliver </w:t>
      </w:r>
      <w:r w:rsidRPr="00517FA0" w:rsidR="00D32661">
        <w:t>the merchandise as required by the</w:t>
      </w:r>
      <w:r w:rsidRPr="00517FA0" w:rsidR="00BE1A0D">
        <w:t xml:space="preserve"> exception.  In the unpublished portion of this opinion, we conclude application of equitable estoppel against the government is unjustified under the circumstances.  </w:t>
      </w:r>
      <w:bookmarkStart w:id="1" w:name="_Hlk161823909"/>
      <w:r w:rsidRPr="00091EEC" w:rsidR="00C63387">
        <w:t xml:space="preserve">Accordingly, we affirm the trial court’s order denying </w:t>
      </w:r>
      <w:r w:rsidR="00C63387">
        <w:t>Neptune’s</w:t>
      </w:r>
      <w:r w:rsidRPr="00091EEC" w:rsidR="00C63387">
        <w:t xml:space="preserve"> petition.  </w:t>
      </w:r>
      <w:bookmarkEnd w:id="1"/>
    </w:p>
    <w:p w:rsidR="00246048" w:rsidRPr="00D521AD" w:rsidP="00ED0BB3" w14:paraId="66B85E6C" w14:textId="5121430D">
      <w:pPr>
        <w:keepNext/>
        <w:jc w:val="center"/>
      </w:pPr>
      <w:r w:rsidRPr="00D521AD">
        <w:t>FACTUAL AND PROCEDURAL BACKGROUND</w:t>
      </w:r>
    </w:p>
    <w:p w:rsidR="00EC7A49" w:rsidRPr="00D521AD" w:rsidP="009256CA" w14:paraId="173563DD" w14:textId="7644DFC3">
      <w:pPr>
        <w:keepNext/>
        <w:jc w:val="center"/>
      </w:pPr>
      <w:r w:rsidRPr="00D521AD">
        <w:t>I</w:t>
      </w:r>
    </w:p>
    <w:p w:rsidR="0089564C" w:rsidRPr="00D521AD" w:rsidP="009256CA" w14:paraId="12C15368" w14:textId="08B74C90">
      <w:pPr>
        <w:keepNext/>
        <w:jc w:val="center"/>
        <w:rPr>
          <w:i/>
          <w:iCs/>
        </w:rPr>
      </w:pPr>
      <w:r w:rsidRPr="00D521AD">
        <w:rPr>
          <w:i/>
          <w:iCs/>
        </w:rPr>
        <w:t>Preneed Agreements</w:t>
      </w:r>
      <w:r w:rsidRPr="00D521AD" w:rsidR="00EC7A49">
        <w:rPr>
          <w:i/>
          <w:iCs/>
        </w:rPr>
        <w:t xml:space="preserve"> Generally</w:t>
      </w:r>
    </w:p>
    <w:p w:rsidR="00B824F4" w:rsidRPr="00E3699B" w:rsidP="00ED0BB3" w14:paraId="4BC1A04D" w14:textId="0CFE2AD0">
      <w:pPr>
        <w:ind w:firstLine="720"/>
      </w:pPr>
      <w:r w:rsidRPr="00D521AD">
        <w:t>This case involves</w:t>
      </w:r>
      <w:r w:rsidRPr="00D521AD" w:rsidR="006A0876">
        <w:t xml:space="preserve"> </w:t>
      </w:r>
      <w:r w:rsidRPr="00D521AD" w:rsidR="00900437">
        <w:t xml:space="preserve">a unique type of contract called </w:t>
      </w:r>
      <w:r w:rsidRPr="00D521AD">
        <w:t>preneed agreements</w:t>
      </w:r>
      <w:r w:rsidRPr="00E36022">
        <w:t>.</w:t>
      </w:r>
      <w:r w:rsidRPr="00E36022" w:rsidR="00D80962">
        <w:t xml:space="preserve">  </w:t>
      </w:r>
      <w:r w:rsidRPr="00E36022" w:rsidR="00CC7CD6">
        <w:t>Governed by t</w:t>
      </w:r>
      <w:r w:rsidRPr="00E36022" w:rsidR="004740CE">
        <w:t>he</w:t>
      </w:r>
      <w:r w:rsidRPr="00E36022">
        <w:t xml:space="preserve"> Short Act of 1965 (</w:t>
      </w:r>
      <w:r w:rsidRPr="00E36022" w:rsidR="00ED0BB3">
        <w:t>§ </w:t>
      </w:r>
      <w:r w:rsidRPr="00E36022">
        <w:t>7735 et seq.</w:t>
      </w:r>
      <w:r w:rsidRPr="00E36022" w:rsidR="00976D07">
        <w:t>)</w:t>
      </w:r>
      <w:r w:rsidRPr="00E36022" w:rsidR="00CC7CD6">
        <w:t xml:space="preserve">, </w:t>
      </w:r>
      <w:r w:rsidRPr="00E36022">
        <w:t>preneed agreements</w:t>
      </w:r>
      <w:r w:rsidRPr="00E36022" w:rsidR="00CC7CD6">
        <w:t xml:space="preserve"> are defined</w:t>
      </w:r>
      <w:r w:rsidRPr="00C82B40" w:rsidR="00CC7CD6">
        <w:t xml:space="preserve"> as </w:t>
      </w:r>
      <w:r w:rsidRPr="00C82B40">
        <w:t>contracts for “funeral services or for the furnishing of personal property or funeral merchandise, wherein the use or delivery of those services, property or merchandise is not immediately required” (</w:t>
      </w:r>
      <w:r w:rsidRPr="00C82B40" w:rsidR="00ED0BB3">
        <w:t>§ </w:t>
      </w:r>
      <w:r w:rsidRPr="00C82B40">
        <w:t>7735)</w:t>
      </w:r>
      <w:r w:rsidR="00F94DCA">
        <w:t>.</w:t>
      </w:r>
      <w:r w:rsidRPr="0030360B" w:rsidR="00D80962">
        <w:t xml:space="preserve">  “[I]t has been observed that the anticipated passage of time between execution of the </w:t>
      </w:r>
      <w:r w:rsidRPr="0030360B" w:rsidR="006A0876">
        <w:t xml:space="preserve">[preneed] </w:t>
      </w:r>
      <w:r w:rsidRPr="0030360B" w:rsidR="00D80962">
        <w:t>agreement and performance establishes a fertile field for fraud, deceit and imposition with the ensuing insolvency imminent.”  (</w:t>
      </w:r>
      <w:bookmarkStart w:id="2" w:name="dabmci_f5f07a00ee35446d914de783e95bf4d7"/>
      <w:r w:rsidRPr="0030360B" w:rsidR="00D80962">
        <w:t>52</w:t>
      </w:r>
      <w:r w:rsidRPr="0030360B" w:rsidR="00ED0BB3">
        <w:t> </w:t>
      </w:r>
      <w:r w:rsidRPr="0030360B" w:rsidR="00D80962">
        <w:t>Ops.Cal.Atty.Gen</w:t>
      </w:r>
      <w:r w:rsidR="0084362D">
        <w:t>.</w:t>
      </w:r>
      <w:r w:rsidRPr="0030360B" w:rsidR="00D80962">
        <w:t xml:space="preserve"> 202, </w:t>
      </w:r>
      <w:r w:rsidRPr="0030360B" w:rsidR="00976D07">
        <w:t>204</w:t>
      </w:r>
      <w:r w:rsidRPr="0030360B" w:rsidR="00D80962">
        <w:t xml:space="preserve"> (1969)</w:t>
      </w:r>
      <w:bookmarkEnd w:id="2"/>
      <w:r w:rsidRPr="0030360B" w:rsidR="00D80962">
        <w:t xml:space="preserve">.)  </w:t>
      </w:r>
      <w:r w:rsidRPr="00CE3E95" w:rsidR="00D80962">
        <w:t xml:space="preserve">Consequently, the Short Act </w:t>
      </w:r>
      <w:r w:rsidRPr="00CE3E95" w:rsidR="005167A6">
        <w:t>provides</w:t>
      </w:r>
      <w:r w:rsidRPr="00C82B40" w:rsidR="005167A6">
        <w:t xml:space="preserve"> </w:t>
      </w:r>
      <w:r w:rsidRPr="00C82B40" w:rsidR="00D80962">
        <w:t>p</w:t>
      </w:r>
      <w:r w:rsidRPr="00C82B40">
        <w:t>ayment received under a preneed agreement “or under any agreement collateral thereto, shall be held in trust for the purpose for which it was paid or delivered until the contract is fulfilled according to its terms</w:t>
      </w:r>
      <w:r w:rsidRPr="00C82B40" w:rsidR="00ED0BB3">
        <w:t>.</w:t>
      </w:r>
      <w:r w:rsidRPr="00C82B40">
        <w:t>”  (</w:t>
      </w:r>
      <w:r w:rsidRPr="00C82B40" w:rsidR="00ED0BB3">
        <w:t>§ </w:t>
      </w:r>
      <w:r w:rsidRPr="00C82B40">
        <w:t xml:space="preserve">7735.)  </w:t>
      </w:r>
      <w:r w:rsidRPr="00E3699B">
        <w:t xml:space="preserve">“The Short Act sets out an elaborate plan for the control of funds accruing under preneed funeral contracts.  Its obvious purpose is to recognize the utility of a prepaid funeral arrangement and at the same time assure its performance by requiring that </w:t>
      </w:r>
      <w:r w:rsidRPr="00E3699B">
        <w:rPr>
          <w:i/>
          <w:iCs/>
        </w:rPr>
        <w:t>all</w:t>
      </w:r>
      <w:r w:rsidRPr="00E3699B">
        <w:t xml:space="preserve"> consideration paid pursuant thereto be held in trust until the need materializes.”  (</w:t>
      </w:r>
      <w:bookmarkStart w:id="3" w:name="dabmci_bbab8a0277c9486b8b8fd4a888b8d05c"/>
      <w:r w:rsidRPr="00E3699B">
        <w:rPr>
          <w:i/>
          <w:iCs/>
        </w:rPr>
        <w:t>Mount Vernon Memorial Park v. Board of Funeral Directors &amp; Embalmers</w:t>
      </w:r>
      <w:r w:rsidRPr="00E3699B">
        <w:t xml:space="preserve"> (1978) 79</w:t>
      </w:r>
      <w:r w:rsidRPr="00E3699B" w:rsidR="00ED0BB3">
        <w:t> Cal.</w:t>
      </w:r>
      <w:r w:rsidRPr="00E3699B">
        <w:t>App.3d 874, 885</w:t>
      </w:r>
      <w:bookmarkEnd w:id="3"/>
      <w:r w:rsidR="00E3699B">
        <w:t>, italics added</w:t>
      </w:r>
      <w:r w:rsidRPr="00E3699B">
        <w:t xml:space="preserve">.)  </w:t>
      </w:r>
      <w:r w:rsidRPr="00E3699B" w:rsidR="00976D07">
        <w:t>But</w:t>
      </w:r>
      <w:r w:rsidRPr="00E3699B" w:rsidR="00DB60DD">
        <w:t xml:space="preserve">, relevant to the resolution of this case, </w:t>
      </w:r>
      <w:r w:rsidRPr="00E3699B">
        <w:t>the Short Act does not apply “to cemetery property; cemetery commodities; cemetery service; or merchandise that is delivered as soon as paid for.”  (</w:t>
      </w:r>
      <w:r w:rsidRPr="00E3699B" w:rsidR="00ED0BB3">
        <w:t>§ </w:t>
      </w:r>
      <w:r w:rsidRPr="00E3699B">
        <w:t xml:space="preserve">7741.)  </w:t>
      </w:r>
    </w:p>
    <w:p w:rsidR="002B5D17" w:rsidRPr="00D5258A" w:rsidP="009256CA" w14:paraId="7DDFE46F" w14:textId="3D917CD5">
      <w:pPr>
        <w:keepNext/>
        <w:keepLines/>
        <w:jc w:val="center"/>
      </w:pPr>
      <w:r w:rsidRPr="00D5258A">
        <w:t>II</w:t>
      </w:r>
    </w:p>
    <w:p w:rsidR="00EC7A49" w:rsidRPr="00D5258A" w:rsidP="009256CA" w14:paraId="116EDF9B" w14:textId="6ECC8F43">
      <w:pPr>
        <w:keepNext/>
        <w:keepLines/>
        <w:jc w:val="center"/>
        <w:rPr>
          <w:i/>
          <w:iCs/>
        </w:rPr>
      </w:pPr>
      <w:r w:rsidRPr="00D5258A">
        <w:rPr>
          <w:i/>
          <w:iCs/>
        </w:rPr>
        <w:t>The Current Dispute</w:t>
      </w:r>
    </w:p>
    <w:p w:rsidR="007F351D" w:rsidRPr="00397F76" w:rsidP="007F351D" w14:paraId="7FB5CCD6" w14:textId="049D2F38">
      <w:pPr>
        <w:keepNext/>
        <w:ind w:firstLine="720"/>
      </w:pPr>
      <w:r w:rsidRPr="00397F76">
        <w:t>T.R. signed an agreement with Neptune on April 23, 1991, titled “Application For Pre-Need Agreement And/</w:t>
      </w:r>
      <w:r w:rsidR="00A9468B">
        <w:t>o</w:t>
      </w:r>
      <w:r w:rsidRPr="00397F76">
        <w:t xml:space="preserve">r Merchandise Or Property.”  </w:t>
      </w:r>
      <w:r w:rsidRPr="00397F76" w:rsidR="00397F76">
        <w:t xml:space="preserve">(Boldface &amp; some capitalization omitted.)  </w:t>
      </w:r>
      <w:r w:rsidRPr="00397F76">
        <w:t>The agreement covered the purchase of both merchandise and services:  (1) a cremation urn, a cremation container, and a memorial plaque for $490 plus $31.85 sales tax</w:t>
      </w:r>
      <w:r w:rsidR="00314A11">
        <w:t>;</w:t>
      </w:r>
      <w:r w:rsidRPr="00397F76">
        <w:t xml:space="preserve"> and (2) future cremation services for $470.  Under the agreement, only the $470 was to be held in trust.  The merchandise was also subject to a delivery provision that stated:  “Purchaser is entitled to delivery and possession at seller’s princip</w:t>
      </w:r>
      <w:r w:rsidR="00397F76">
        <w:t>[al]</w:t>
      </w:r>
      <w:r w:rsidRPr="00397F76">
        <w:t xml:space="preserve"> place of business of each item described as merchandise stored or delivered herein only upon payment in full of the </w:t>
      </w:r>
      <w:r w:rsidRPr="00397F76" w:rsidR="00397F76">
        <w:t>[t]</w:t>
      </w:r>
      <w:r w:rsidRPr="00397F76">
        <w:t xml:space="preserve">otal </w:t>
      </w:r>
      <w:r w:rsidRPr="00397F76" w:rsidR="00397F76">
        <w:t>[s]</w:t>
      </w:r>
      <w:r w:rsidRPr="00397F76">
        <w:t xml:space="preserve">ales </w:t>
      </w:r>
      <w:r w:rsidRPr="00397F76" w:rsidR="00397F76">
        <w:t>[p]</w:t>
      </w:r>
      <w:r w:rsidRPr="00397F76">
        <w:t xml:space="preserve">rice of this </w:t>
      </w:r>
      <w:r w:rsidRPr="00397F76" w:rsidR="00397F76">
        <w:t>[a]</w:t>
      </w:r>
      <w:r w:rsidRPr="00397F76">
        <w:t xml:space="preserve">greement.  Upon such full payment seller will deliver or warehouse for </w:t>
      </w:r>
      <w:r w:rsidR="00314A11">
        <w:t>[p]</w:t>
      </w:r>
      <w:r w:rsidRPr="00397F76">
        <w:t xml:space="preserve">urchaser all such items.”  And the agreement stated if T.R. terminated the agreement, the “portion of each pre-need contract that is fully refundable are the funds held in trust.  The merchandise and sales tax provision of the agreement is non-refundable as this merchandise has already been purchased and stored for your use at time of need.  This merchandise is available for your pick-up at one of our warehouses.”  </w:t>
      </w:r>
    </w:p>
    <w:p w:rsidR="004B2517" w:rsidRPr="00A9468B" w:rsidP="007F351D" w14:paraId="5B617E08" w14:textId="6C045DA6">
      <w:pPr>
        <w:ind w:firstLine="720"/>
      </w:pPr>
      <w:r w:rsidRPr="00A9468B">
        <w:t xml:space="preserve">Neptune formally accepted the agreement on May 1, 1991.  On that same day, Neptune issued a warehouse receipt certifying Neptune received for storage at one of its warehouses the merchandise T.R. </w:t>
      </w:r>
      <w:r w:rsidR="00A9468B">
        <w:t xml:space="preserve">had </w:t>
      </w:r>
      <w:r w:rsidRPr="00A9468B">
        <w:t>purchased.  The receipt had a “</w:t>
      </w:r>
      <w:r w:rsidRPr="00A9468B" w:rsidR="00C77D7B">
        <w:t>Delivery</w:t>
      </w:r>
      <w:r w:rsidRPr="00A9468B">
        <w:t>” term stating:  “</w:t>
      </w:r>
      <w:r w:rsidRPr="00A9468B" w:rsidR="00B72AD7">
        <w:t xml:space="preserve">Upon </w:t>
      </w:r>
      <w:r w:rsidRPr="00A9468B" w:rsidR="00A9468B">
        <w:t>[p]</w:t>
      </w:r>
      <w:r w:rsidRPr="00A9468B" w:rsidR="00B72AD7">
        <w:t xml:space="preserve">urchaser’s written demand, </w:t>
      </w:r>
      <w:r w:rsidRPr="00A9468B" w:rsidR="00A9468B">
        <w:t>[s]</w:t>
      </w:r>
      <w:r w:rsidRPr="00A9468B" w:rsidR="00B72AD7">
        <w:t>eller shall ship to [</w:t>
      </w:r>
      <w:r w:rsidRPr="00A9468B" w:rsidR="00B72AD7">
        <w:rPr>
          <w:i/>
          <w:iCs/>
        </w:rPr>
        <w:t>sic</w:t>
      </w:r>
      <w:r w:rsidRPr="00A9468B" w:rsidR="00B72AD7">
        <w:t xml:space="preserve">] the </w:t>
      </w:r>
      <w:r w:rsidRPr="00A9468B" w:rsidR="00A9468B">
        <w:t>[w]</w:t>
      </w:r>
      <w:r w:rsidRPr="00A9468B" w:rsidR="00B72AD7">
        <w:t xml:space="preserve">arehouse </w:t>
      </w:r>
      <w:r w:rsidRPr="00A9468B" w:rsidR="00A9468B">
        <w:t>[p]</w:t>
      </w:r>
      <w:r w:rsidRPr="00A9468B" w:rsidR="00B72AD7">
        <w:t xml:space="preserve">roperty to </w:t>
      </w:r>
      <w:r w:rsidRPr="00A9468B" w:rsidR="00A9468B">
        <w:t>[p]</w:t>
      </w:r>
      <w:r w:rsidRPr="00A9468B" w:rsidR="00B72AD7">
        <w:t xml:space="preserve">urchaser </w:t>
      </w:r>
      <w:r w:rsidRPr="00A9468B" w:rsidR="007843A9">
        <w:t>[at]</w:t>
      </w:r>
      <w:r w:rsidRPr="00A9468B" w:rsidR="00B72AD7">
        <w:t xml:space="preserve"> any other location pursuant to </w:t>
      </w:r>
      <w:r w:rsidRPr="00A9468B" w:rsidR="00A9468B">
        <w:t>[p]</w:t>
      </w:r>
      <w:r w:rsidRPr="00A9468B" w:rsidR="00B72AD7">
        <w:t>urchaser’s written instructions upon payment in advance of all shipping and handling charges</w:t>
      </w:r>
      <w:r w:rsidRPr="00A9468B">
        <w:t xml:space="preserve">.”  A Neptune employee signed the receipt but T.R. did not.  </w:t>
      </w:r>
    </w:p>
    <w:p w:rsidR="004B2517" w:rsidRPr="00A9468B" w:rsidP="004B2517" w14:paraId="4417B519" w14:textId="26574E32">
      <w:pPr>
        <w:ind w:firstLine="720"/>
      </w:pPr>
      <w:r w:rsidRPr="00A9468B">
        <w:t>On July</w:t>
      </w:r>
      <w:r w:rsidRPr="00A9468B" w:rsidR="00ED0BB3">
        <w:t> </w:t>
      </w:r>
      <w:r w:rsidRPr="00A9468B">
        <w:t xml:space="preserve">31, 2020, </w:t>
      </w:r>
      <w:r w:rsidRPr="00A9468B" w:rsidR="00336D18">
        <w:t>the Bureau</w:t>
      </w:r>
      <w:r w:rsidRPr="00A9468B">
        <w:t xml:space="preserve"> sent a notice of citation to </w:t>
      </w:r>
      <w:r w:rsidRPr="00A9468B" w:rsidR="00336D18">
        <w:t>Neptune</w:t>
      </w:r>
      <w:r w:rsidRPr="00A9468B">
        <w:t xml:space="preserve"> stating an “investigation revealed a violation of [section] 7735 when the establishment sold consumer T.R. a preneed agreement contract, which included merchandise not immediately delivered, then failed to place the funds received for the undelivered merchandise into a trust, as required.”  </w:t>
      </w:r>
      <w:r w:rsidRPr="00A9468B" w:rsidR="00FC57A0">
        <w:t xml:space="preserve">The Bureau stated abatement would be a satisfactory resolution and did not assess any fine.  </w:t>
      </w:r>
    </w:p>
    <w:p w:rsidR="00AE6FBB" w:rsidRPr="00EB61E8" w:rsidP="00AE6FBB" w14:paraId="79DA94E0" w14:textId="4E3A2934">
      <w:pPr>
        <w:ind w:firstLine="720"/>
      </w:pPr>
      <w:r w:rsidRPr="00967209">
        <w:t xml:space="preserve">At the administrative hearing, the agent who investigated the citation testified he relied on the agreement and warehouse receipt to make the determination that no immediate delivery occurred.  But he did not know whether T.R. ever physically received the merchandise prior to Neptune accepting it in its warehouse.  Neptune’s </w:t>
      </w:r>
      <w:r w:rsidRPr="00967209" w:rsidR="00094822">
        <w:t>chief executive officer</w:t>
      </w:r>
      <w:r w:rsidRPr="00967209">
        <w:t xml:space="preserve"> </w:t>
      </w:r>
      <w:r w:rsidRPr="00892345">
        <w:t xml:space="preserve">testified, based on his review of the files, the merchandise was </w:t>
      </w:r>
      <w:r w:rsidRPr="00892345" w:rsidR="00606CAC">
        <w:t>“</w:t>
      </w:r>
      <w:r w:rsidRPr="00892345">
        <w:t>delivered</w:t>
      </w:r>
      <w:r w:rsidRPr="00892345" w:rsidR="00606CAC">
        <w:t>”</w:t>
      </w:r>
      <w:r w:rsidRPr="00892345">
        <w:t xml:space="preserve"> to T.R.</w:t>
      </w:r>
      <w:r w:rsidRPr="00892345" w:rsidR="00D50F5C">
        <w:t xml:space="preserve"> at the time of sale.</w:t>
      </w:r>
      <w:r w:rsidRPr="00892345">
        <w:t xml:space="preserve">  </w:t>
      </w:r>
      <w:r w:rsidRPr="00892345" w:rsidR="00606CAC">
        <w:t xml:space="preserve">He </w:t>
      </w:r>
      <w:r w:rsidRPr="00892345" w:rsidR="00860C5D">
        <w:t xml:space="preserve">explained that delivery </w:t>
      </w:r>
      <w:r w:rsidRPr="00892345" w:rsidR="001A3251">
        <w:t xml:space="preserve">to him meant either the “consumer can take delivery of the merchandise and keep it themselves or they could take delivery and put it in a warehouse.”  </w:t>
      </w:r>
      <w:r w:rsidRPr="00892345" w:rsidR="001E13F8">
        <w:t xml:space="preserve">He further testified </w:t>
      </w:r>
      <w:r w:rsidRPr="00892345" w:rsidR="0089539D">
        <w:t>it was</w:t>
      </w:r>
      <w:r w:rsidRPr="00892345" w:rsidR="00BE364E">
        <w:t xml:space="preserve"> his understanding that</w:t>
      </w:r>
      <w:r w:rsidRPr="00892345" w:rsidR="001E13F8">
        <w:t xml:space="preserve"> Neptune’s policy at the time </w:t>
      </w:r>
      <w:r w:rsidRPr="00892345" w:rsidR="00337A14">
        <w:t xml:space="preserve">was </w:t>
      </w:r>
      <w:r w:rsidRPr="00892345" w:rsidR="0094441D">
        <w:t xml:space="preserve">not to </w:t>
      </w:r>
      <w:r w:rsidRPr="00892345" w:rsidR="00BD3D5D">
        <w:t xml:space="preserve">hold in </w:t>
      </w:r>
      <w:r w:rsidRPr="00892345" w:rsidR="0094441D">
        <w:t>trust funds for merchandise that was delivered to the purchaser</w:t>
      </w:r>
      <w:r w:rsidRPr="00892345" w:rsidR="00F240CA">
        <w:t xml:space="preserve"> under either scenario</w:t>
      </w:r>
      <w:r w:rsidRPr="00892345" w:rsidR="000E5722">
        <w:t>.</w:t>
      </w:r>
      <w:r w:rsidRPr="00892345" w:rsidR="0094441D">
        <w:t xml:space="preserve">  </w:t>
      </w:r>
      <w:r w:rsidRPr="00892345">
        <w:t>After</w:t>
      </w:r>
      <w:r w:rsidRPr="00A9468B">
        <w:t xml:space="preserve"> the hearing, the administrative law judge issued a proposed </w:t>
      </w:r>
      <w:r w:rsidR="00B37450">
        <w:t>decision</w:t>
      </w:r>
      <w:r w:rsidRPr="00A9468B" w:rsidR="00B37450">
        <w:t xml:space="preserve"> </w:t>
      </w:r>
      <w:r w:rsidRPr="00A9468B">
        <w:t xml:space="preserve">affirming the citation.  </w:t>
      </w:r>
      <w:r w:rsidRPr="00EB61E8">
        <w:t xml:space="preserve">The Bureau adopted the decision and affirmed the citation.  </w:t>
      </w:r>
    </w:p>
    <w:p w:rsidR="00AE6FBB" w:rsidRPr="00EB61E8" w:rsidP="00AE6FBB" w14:paraId="564A3EFE" w14:textId="1F3CAAA2">
      <w:pPr>
        <w:ind w:firstLine="720"/>
      </w:pPr>
      <w:r w:rsidRPr="00EB61E8">
        <w:t>Neptune</w:t>
      </w:r>
      <w:r w:rsidRPr="00892345" w:rsidR="003B22B6">
        <w:t xml:space="preserve"> filed a petition for writ of mandate with the superior court </w:t>
      </w:r>
      <w:r w:rsidRPr="00892345" w:rsidR="001B303F">
        <w:t>challenging</w:t>
      </w:r>
      <w:r w:rsidRPr="00892345" w:rsidR="003B22B6">
        <w:t xml:space="preserve"> </w:t>
      </w:r>
      <w:r w:rsidRPr="00892345">
        <w:t>the Bureau</w:t>
      </w:r>
      <w:r w:rsidRPr="00892345" w:rsidR="00F808BF">
        <w:t>’</w:t>
      </w:r>
      <w:r w:rsidRPr="00892345" w:rsidR="003B22B6">
        <w:t xml:space="preserve">s decision </w:t>
      </w:r>
      <w:r w:rsidRPr="00EB61E8" w:rsidR="00EC7A49">
        <w:t>and the trial court denied the petition</w:t>
      </w:r>
      <w:r w:rsidRPr="00EB61E8" w:rsidR="003B22B6">
        <w:t xml:space="preserve">.  </w:t>
      </w:r>
    </w:p>
    <w:p w:rsidR="00EC7A49" w:rsidRPr="00EB61E8" w:rsidP="00AE6FBB" w14:paraId="07CBD0D7" w14:textId="40A1D9C2">
      <w:pPr>
        <w:ind w:firstLine="720"/>
      </w:pPr>
      <w:r w:rsidRPr="00EB61E8">
        <w:t>Neptune appeal</w:t>
      </w:r>
      <w:r w:rsidRPr="00EB61E8" w:rsidR="00CC7CD6">
        <w:t>s</w:t>
      </w:r>
      <w:r w:rsidRPr="00EB61E8">
        <w:t xml:space="preserve">.  </w:t>
      </w:r>
    </w:p>
    <w:p w:rsidR="00246048" w:rsidRPr="00D5258A" w:rsidP="009256CA" w14:paraId="2CEE1CFC" w14:textId="4FF3CE87">
      <w:pPr>
        <w:keepNext/>
        <w:jc w:val="center"/>
      </w:pPr>
      <w:r w:rsidRPr="00D5258A">
        <w:t>DISCUSSION</w:t>
      </w:r>
    </w:p>
    <w:p w:rsidR="00AE6FBB" w:rsidRPr="00D5258A" w:rsidP="009256CA" w14:paraId="5746EE7A" w14:textId="03E59FBC">
      <w:pPr>
        <w:keepNext/>
        <w:jc w:val="center"/>
      </w:pPr>
      <w:r w:rsidRPr="00D5258A">
        <w:t>I</w:t>
      </w:r>
    </w:p>
    <w:p w:rsidR="00AE6FBB" w:rsidRPr="00D5258A" w:rsidP="009256CA" w14:paraId="1B2D9C42" w14:textId="41FFBA37">
      <w:pPr>
        <w:keepNext/>
        <w:jc w:val="center"/>
        <w:rPr>
          <w:i/>
          <w:iCs/>
        </w:rPr>
      </w:pPr>
      <w:r w:rsidRPr="00D5258A">
        <w:rPr>
          <w:i/>
          <w:iCs/>
        </w:rPr>
        <w:t xml:space="preserve">Neptune Did Not </w:t>
      </w:r>
      <w:r w:rsidRPr="00D5258A" w:rsidR="00D6446E">
        <w:rPr>
          <w:i/>
          <w:iCs/>
        </w:rPr>
        <w:t>Satisfy The</w:t>
      </w:r>
      <w:r w:rsidRPr="00D5258A" w:rsidR="0044432A">
        <w:rPr>
          <w:i/>
          <w:iCs/>
        </w:rPr>
        <w:t xml:space="preserve"> Delivery</w:t>
      </w:r>
      <w:r w:rsidRPr="00D5258A" w:rsidR="00D6446E">
        <w:rPr>
          <w:i/>
          <w:iCs/>
        </w:rPr>
        <w:t xml:space="preserve"> Exception To The Short Act</w:t>
      </w:r>
    </w:p>
    <w:p w:rsidR="00336D18" w:rsidRPr="00920316" w:rsidP="009256CA" w14:paraId="00962DA6" w14:textId="52630AD9">
      <w:pPr>
        <w:keepNext/>
        <w:ind w:firstLine="720"/>
      </w:pPr>
      <w:r w:rsidRPr="00517FA0">
        <w:t>Exempted from the Short Act and its</w:t>
      </w:r>
      <w:r w:rsidRPr="00CE3E95">
        <w:t xml:space="preserve"> trusting requirements is “merchandise that is </w:t>
      </w:r>
      <w:r w:rsidRPr="00CE3E95">
        <w:rPr>
          <w:i/>
          <w:iCs/>
        </w:rPr>
        <w:t>delivered</w:t>
      </w:r>
      <w:r w:rsidRPr="00CE3E95">
        <w:t xml:space="preserve"> as soon as paid for.”  (</w:t>
      </w:r>
      <w:r w:rsidRPr="00CE3E95" w:rsidR="00ED0BB3">
        <w:t>§ </w:t>
      </w:r>
      <w:r w:rsidRPr="00CE3E95">
        <w:t>7741, italics added</w:t>
      </w:r>
      <w:r w:rsidRPr="00920316">
        <w:t xml:space="preserve">.)  Neptune contends the citation must be reversed because it </w:t>
      </w:r>
      <w:r w:rsidRPr="00920316" w:rsidR="001B303F">
        <w:t>delivered</w:t>
      </w:r>
      <w:r w:rsidRPr="00920316">
        <w:t xml:space="preserve"> the merchandise at the time of sale, triggering </w:t>
      </w:r>
      <w:r w:rsidRPr="00920316" w:rsidR="00D80962">
        <w:t>the exception</w:t>
      </w:r>
      <w:r w:rsidRPr="00920316">
        <w:t>.</w:t>
      </w:r>
      <w:r w:rsidRPr="00920316" w:rsidR="00EE6A74">
        <w:t xml:space="preserve">  We disagree.</w:t>
      </w:r>
      <w:r>
        <w:rPr>
          <w:rStyle w:val="FootnoteReference"/>
        </w:rPr>
        <w:footnoteReference w:id="4"/>
      </w:r>
    </w:p>
    <w:p w:rsidR="00EE6A74" w:rsidRPr="00CE3E95" w:rsidP="00843E7A" w14:paraId="0D7F6FBF" w14:textId="07118FD4">
      <w:pPr>
        <w:ind w:firstLine="720"/>
      </w:pPr>
      <w:r w:rsidRPr="00CE3E95">
        <w:t xml:space="preserve">To the extent </w:t>
      </w:r>
      <w:r w:rsidRPr="00CE3E95" w:rsidR="0027723F">
        <w:t>an</w:t>
      </w:r>
      <w:r w:rsidRPr="00CE3E95">
        <w:t xml:space="preserve"> administrative decision involves a question of law, including the interpretation of statutes and application of judicial precedent, the reviewing court exercises independent judgment.  (</w:t>
      </w:r>
      <w:bookmarkStart w:id="5" w:name="dabmci_f9d6c9a1747b478cba5a605ec315c468"/>
      <w:r w:rsidRPr="00CE3E95">
        <w:rPr>
          <w:i/>
          <w:iCs/>
        </w:rPr>
        <w:t>Akella v. Regents of University of California</w:t>
      </w:r>
      <w:r w:rsidRPr="00CE3E95">
        <w:t xml:space="preserve"> (2021) 61</w:t>
      </w:r>
      <w:r w:rsidRPr="00CE3E95" w:rsidR="00ED0BB3">
        <w:t> Cal.</w:t>
      </w:r>
      <w:r w:rsidRPr="00CE3E95">
        <w:t>App.5th 801, 815</w:t>
      </w:r>
      <w:bookmarkEnd w:id="5"/>
      <w:r w:rsidRPr="00CE3E95" w:rsidR="004740CE">
        <w:t>.</w:t>
      </w:r>
      <w:r w:rsidRPr="00CE3E95">
        <w:t>)  In applying this standard on appeal, “</w:t>
      </w:r>
      <w:r w:rsidRPr="00CE3E95" w:rsidR="00CE3E95">
        <w:t> </w:t>
      </w:r>
      <w:r w:rsidRPr="00CE3E95" w:rsidR="00F808BF">
        <w:t>‘</w:t>
      </w:r>
      <w:r w:rsidRPr="00CE3E95" w:rsidR="00CE3E95">
        <w:t> </w:t>
      </w:r>
      <w:r w:rsidRPr="00CE3E95">
        <w:t>“we review the matter without reference to the trial court</w:t>
      </w:r>
      <w:r w:rsidRPr="00CE3E95" w:rsidR="00F808BF">
        <w:t>’</w:t>
      </w:r>
      <w:r w:rsidRPr="00CE3E95">
        <w:t>s actions.  In mandamus actions, the trial court and appellate court perform the same function.”</w:t>
      </w:r>
      <w:r w:rsidRPr="00CE3E95" w:rsidR="00CE3E95">
        <w:t> </w:t>
      </w:r>
      <w:r w:rsidRPr="00CE3E95" w:rsidR="00F808BF">
        <w:t>’</w:t>
      </w:r>
      <w:r w:rsidRPr="00CE3E95" w:rsidR="00CE3E95">
        <w:t> </w:t>
      </w:r>
      <w:r w:rsidRPr="00CE3E95">
        <w:t>”</w:t>
      </w:r>
      <w:r w:rsidRPr="00CE3E95" w:rsidR="003F1EE2">
        <w:t xml:space="preserve"> </w:t>
      </w:r>
      <w:r w:rsidRPr="00CE3E95">
        <w:t xml:space="preserve"> (</w:t>
      </w:r>
      <w:bookmarkStart w:id="6" w:name="dabmci_be58b4d3a7f644e69596b941bef9334e"/>
      <w:r w:rsidRPr="00CE3E95">
        <w:rPr>
          <w:i/>
          <w:iCs/>
        </w:rPr>
        <w:t>Jefferson Street Ventures, LLC v. City of Indio</w:t>
      </w:r>
      <w:r w:rsidRPr="00CE3E95">
        <w:t xml:space="preserve"> (2015) 236</w:t>
      </w:r>
      <w:r w:rsidRPr="00CE3E95" w:rsidR="00ED0BB3">
        <w:t> Cal.</w:t>
      </w:r>
      <w:r w:rsidRPr="00CE3E95">
        <w:t>App.4th 1175, 1197</w:t>
      </w:r>
      <w:bookmarkEnd w:id="6"/>
      <w:r w:rsidRPr="00CE3E95">
        <w:t>.)</w:t>
      </w:r>
    </w:p>
    <w:p w:rsidR="0056795E" w:rsidRPr="00D521AD" w:rsidP="0056795E" w14:paraId="65247F8F" w14:textId="4AB6C80A">
      <w:pPr>
        <w:rPr>
          <w:highlight w:val="cyan"/>
        </w:rPr>
      </w:pPr>
      <w:r w:rsidRPr="00CE3E95">
        <w:tab/>
        <w:t>“</w:t>
      </w:r>
      <w:r w:rsidRPr="00CE3E95" w:rsidR="00ED0BB3">
        <w:t> </w:t>
      </w:r>
      <w:r w:rsidRPr="00CE3E95" w:rsidR="00F808BF">
        <w:t>‘</w:t>
      </w:r>
      <w:r w:rsidRPr="00CE3E95" w:rsidR="00ED0BB3">
        <w:t> </w:t>
      </w:r>
      <w:r w:rsidRPr="00CE3E95">
        <w:t>“</w:t>
      </w:r>
      <w:r w:rsidRPr="00CE3E95" w:rsidR="00ED0BB3">
        <w:t> </w:t>
      </w:r>
      <w:r w:rsidRPr="00CE3E95" w:rsidR="00F808BF">
        <w:t>‘</w:t>
      </w:r>
      <w:r w:rsidRPr="00CE3E95" w:rsidR="00ED0BB3">
        <w:t> </w:t>
      </w:r>
      <w:r w:rsidRPr="00CE3E95">
        <w:t>“As in any case involving statutory interpretation, our fundamental task</w:t>
      </w:r>
      <w:r w:rsidRPr="00CE3E95" w:rsidR="00ED0BB3">
        <w:t xml:space="preserve"> . . . </w:t>
      </w:r>
      <w:r w:rsidRPr="00CE3E95">
        <w:t>is to determine the Legislature</w:t>
      </w:r>
      <w:r w:rsidRPr="00CE3E95" w:rsidR="00F808BF">
        <w:t>’</w:t>
      </w:r>
      <w:r w:rsidRPr="00CE3E95">
        <w:t>s intent so as to effectuate the law</w:t>
      </w:r>
      <w:r w:rsidRPr="00CE3E95" w:rsidR="00F808BF">
        <w:t>’</w:t>
      </w:r>
      <w:r w:rsidRPr="00CE3E95">
        <w:t>s purpose.</w:t>
      </w:r>
      <w:r w:rsidRPr="00CE3E95" w:rsidR="00F808BF">
        <w:t xml:space="preserve"> </w:t>
      </w:r>
      <w:r w:rsidRPr="00CE3E95">
        <w:t xml:space="preserve"> [Citation.] </w:t>
      </w:r>
      <w:r w:rsidRPr="00CE3E95" w:rsidR="005101C9">
        <w:t xml:space="preserve"> </w:t>
      </w:r>
      <w:r w:rsidRPr="00CE3E95">
        <w:t>We begin by examining the statute</w:t>
      </w:r>
      <w:r w:rsidRPr="00CE3E95" w:rsidR="00F808BF">
        <w:t>’</w:t>
      </w:r>
      <w:r w:rsidRPr="00CE3E95">
        <w:t>s words, giving them a plain and commonsense meaning.”</w:t>
      </w:r>
      <w:r w:rsidRPr="00CE3E95" w:rsidR="00ED0BB3">
        <w:t> </w:t>
      </w:r>
      <w:r w:rsidRPr="00CE3E95" w:rsidR="00F808BF">
        <w:t>’</w:t>
      </w:r>
      <w:r w:rsidRPr="00CE3E95" w:rsidR="00ED0BB3">
        <w:t> </w:t>
      </w:r>
      <w:r w:rsidRPr="00CE3E95">
        <w:t>”</w:t>
      </w:r>
      <w:r w:rsidRPr="00CE3E95" w:rsidR="006A7C5A">
        <w:t xml:space="preserve"> </w:t>
      </w:r>
      <w:r w:rsidRPr="00CE3E95">
        <w:t xml:space="preserve"> [Citation.] </w:t>
      </w:r>
      <w:r w:rsidRPr="00CE3E95" w:rsidR="006A7C5A">
        <w:t xml:space="preserve"> </w:t>
      </w:r>
      <w:r w:rsidRPr="00CE3E95">
        <w:t>“[W]e consider the language of the entire scheme and related statutes, harmonizing the terms when possible.”</w:t>
      </w:r>
      <w:r w:rsidRPr="00CE3E95" w:rsidR="00ED0BB3">
        <w:t> </w:t>
      </w:r>
      <w:r w:rsidRPr="00CE3E95" w:rsidR="00F808BF">
        <w:t>’</w:t>
      </w:r>
      <w:r w:rsidRPr="00CE3E95">
        <w:t xml:space="preserve">  [Citations.]  If the language of the statute is clear and unambiguous, there is no need for judicial construction and our task is at an end. </w:t>
      </w:r>
      <w:r w:rsidRPr="00CE3E95" w:rsidR="00F808BF">
        <w:t xml:space="preserve"> </w:t>
      </w:r>
      <w:r w:rsidRPr="00CE3E95">
        <w:t xml:space="preserve">If the language is reasonably susceptible of more than one meaning, however, we may examine extrinsic aids such as the apparent purpose of the statute, the legislative history, the canons of statutory construction, and public policy.”  </w:t>
      </w:r>
      <w:r w:rsidRPr="0040484F">
        <w:t>(</w:t>
      </w:r>
      <w:bookmarkStart w:id="7" w:name="dabmci_0a41e1e093af4135aac1233d5d158ff2"/>
      <w:r w:rsidRPr="0040484F">
        <w:rPr>
          <w:i/>
          <w:iCs/>
        </w:rPr>
        <w:t xml:space="preserve">Earnest v. Commission on Teacher Credentialing </w:t>
      </w:r>
      <w:r w:rsidRPr="0040484F">
        <w:t>(2023) 90</w:t>
      </w:r>
      <w:r w:rsidRPr="0040484F" w:rsidR="00ED0BB3">
        <w:t> Cal.</w:t>
      </w:r>
      <w:r w:rsidRPr="0040484F">
        <w:t>App.5th 62, 74</w:t>
      </w:r>
      <w:bookmarkEnd w:id="7"/>
      <w:r w:rsidRPr="0040484F">
        <w:t xml:space="preserve">.)  </w:t>
      </w:r>
    </w:p>
    <w:p w:rsidR="004957AF" w:rsidRPr="00EA7660" w:rsidP="00C82E5A" w14:paraId="71121AF7" w14:textId="35A7FECC">
      <w:pPr>
        <w:ind w:firstLine="720"/>
      </w:pPr>
      <w:r w:rsidRPr="00EA7660">
        <w:t>Neptune contends there is no evidence</w:t>
      </w:r>
      <w:r w:rsidRPr="00EA7660" w:rsidR="00094822">
        <w:t xml:space="preserve"> it </w:t>
      </w:r>
      <w:r w:rsidRPr="00EA7660" w:rsidR="009109D0">
        <w:t>did not</w:t>
      </w:r>
      <w:r w:rsidRPr="00EA7660" w:rsidR="00094822">
        <w:t xml:space="preserve"> deliver the </w:t>
      </w:r>
      <w:r w:rsidRPr="00EA7660" w:rsidR="001E13F8">
        <w:t>merchandise</w:t>
      </w:r>
      <w:r w:rsidRPr="00EA7660" w:rsidR="00094822">
        <w:t xml:space="preserve"> to T.R.</w:t>
      </w:r>
      <w:r w:rsidRPr="00EA7660" w:rsidR="0094595A">
        <w:t xml:space="preserve"> when she signed the contract.</w:t>
      </w:r>
      <w:r w:rsidRPr="00EA7660" w:rsidR="00094822">
        <w:t xml:space="preserve"> </w:t>
      </w:r>
      <w:r w:rsidRPr="00EA7660">
        <w:t xml:space="preserve"> </w:t>
      </w:r>
      <w:r w:rsidRPr="00EA7660" w:rsidR="0094595A">
        <w:t>Neptune</w:t>
      </w:r>
      <w:r w:rsidRPr="00EA7660">
        <w:t xml:space="preserve"> relies on the investigating agent’s testimony he did not interview T.R. and never confirmed whether she physically held the property before providing it to Neptune for warehousing</w:t>
      </w:r>
      <w:r w:rsidRPr="006752D4" w:rsidR="001E13F8">
        <w:t>.</w:t>
      </w:r>
      <w:r w:rsidRPr="006752D4">
        <w:t xml:space="preserve">  Because it is the Bureau’s burden to establish a violation, Neptune contends </w:t>
      </w:r>
      <w:r w:rsidRPr="006752D4" w:rsidR="001E13F8">
        <w:t xml:space="preserve">the administrative law judge’s </w:t>
      </w:r>
      <w:r w:rsidRPr="006752D4">
        <w:t xml:space="preserve">finding </w:t>
      </w:r>
      <w:r w:rsidRPr="006752D4" w:rsidR="001E13F8">
        <w:t xml:space="preserve">that </w:t>
      </w:r>
      <w:r w:rsidRPr="006752D4">
        <w:t xml:space="preserve">delivery did not occur lacked substantial evidence.  </w:t>
      </w:r>
      <w:r w:rsidRPr="001232F8">
        <w:t xml:space="preserve">But even </w:t>
      </w:r>
      <w:r w:rsidRPr="001232F8" w:rsidR="008E42E0">
        <w:t>considering the evidence in the light most favorable to Neptune</w:t>
      </w:r>
      <w:r w:rsidRPr="001232F8" w:rsidR="00FE481B">
        <w:t>’s speculative assertion</w:t>
      </w:r>
      <w:r w:rsidRPr="001232F8" w:rsidR="008E42E0">
        <w:t xml:space="preserve"> that </w:t>
      </w:r>
      <w:r w:rsidRPr="001232F8">
        <w:t xml:space="preserve">T.R. physically received the property </w:t>
      </w:r>
      <w:r w:rsidRPr="001232F8" w:rsidR="00B476CA">
        <w:t xml:space="preserve">when she signed the agreement </w:t>
      </w:r>
      <w:r w:rsidRPr="001232F8" w:rsidR="004410B6">
        <w:t xml:space="preserve">and held it </w:t>
      </w:r>
      <w:r w:rsidRPr="001232F8" w:rsidR="00231444">
        <w:t xml:space="preserve">for </w:t>
      </w:r>
      <w:r w:rsidRPr="001232F8" w:rsidR="008F51FD">
        <w:t>some time</w:t>
      </w:r>
      <w:r w:rsidRPr="00EA7660" w:rsidR="002A0F30">
        <w:t xml:space="preserve">, </w:t>
      </w:r>
      <w:r w:rsidRPr="00EA7660">
        <w:t xml:space="preserve">this would not satisfy the </w:t>
      </w:r>
      <w:r w:rsidRPr="00EA7660" w:rsidR="00231444">
        <w:t xml:space="preserve">delivery </w:t>
      </w:r>
      <w:r w:rsidRPr="00EA7660" w:rsidR="00FE481B">
        <w:t>requirement contained in section 7741</w:t>
      </w:r>
      <w:r w:rsidRPr="00EA7660">
        <w:t>.</w:t>
      </w:r>
    </w:p>
    <w:p w:rsidR="00CE7D8B" w:rsidRPr="00517FA0" w:rsidP="00892A05" w14:paraId="091072DB" w14:textId="16A7190C">
      <w:pPr>
        <w:ind w:firstLine="720"/>
      </w:pPr>
      <w:r w:rsidRPr="00517FA0">
        <w:t xml:space="preserve">The agreement </w:t>
      </w:r>
      <w:r w:rsidRPr="00517FA0" w:rsidR="008F51FD">
        <w:t xml:space="preserve">contemplated that T.R. would </w:t>
      </w:r>
      <w:r w:rsidRPr="00517FA0" w:rsidR="00356186">
        <w:t>choose to either</w:t>
      </w:r>
      <w:r w:rsidRPr="00517FA0">
        <w:t xml:space="preserve"> </w:t>
      </w:r>
      <w:r w:rsidRPr="00517FA0" w:rsidR="001D5D74">
        <w:t>possess</w:t>
      </w:r>
      <w:r w:rsidRPr="00517FA0">
        <w:t xml:space="preserve"> the funeral merchandise or </w:t>
      </w:r>
      <w:r w:rsidRPr="00517FA0" w:rsidR="008F51FD">
        <w:t>have</w:t>
      </w:r>
      <w:r w:rsidRPr="00517FA0">
        <w:t xml:space="preserve"> Neptune </w:t>
      </w:r>
      <w:r w:rsidRPr="00517FA0" w:rsidR="00FC78E1">
        <w:t>possess</w:t>
      </w:r>
      <w:r w:rsidRPr="00517FA0">
        <w:t xml:space="preserve"> it in its warehouse for </w:t>
      </w:r>
      <w:r w:rsidRPr="00517FA0" w:rsidR="008F51FD">
        <w:t>her</w:t>
      </w:r>
      <w:r w:rsidRPr="00517FA0">
        <w:t xml:space="preserve">.  </w:t>
      </w:r>
      <w:r w:rsidRPr="00517FA0" w:rsidR="0011343B">
        <w:t xml:space="preserve">The undisputed evidence here is that </w:t>
      </w:r>
      <w:r w:rsidRPr="00517FA0" w:rsidR="008301BA">
        <w:t xml:space="preserve">T.R. </w:t>
      </w:r>
      <w:r w:rsidRPr="00517FA0" w:rsidR="00B058E5">
        <w:t xml:space="preserve">at some point prior to May 1 </w:t>
      </w:r>
      <w:r w:rsidRPr="00517FA0" w:rsidR="008301BA">
        <w:t>elected</w:t>
      </w:r>
      <w:r w:rsidRPr="00517FA0" w:rsidR="00D22702">
        <w:t xml:space="preserve"> the latter option.  If </w:t>
      </w:r>
      <w:r w:rsidRPr="00517FA0" w:rsidR="00B65FCB">
        <w:t>T.R.</w:t>
      </w:r>
      <w:r w:rsidRPr="00517FA0" w:rsidR="00D22702">
        <w:t xml:space="preserve"> did </w:t>
      </w:r>
      <w:r w:rsidRPr="00517FA0" w:rsidR="00FE481B">
        <w:t xml:space="preserve">take possession of </w:t>
      </w:r>
      <w:r w:rsidRPr="00517FA0" w:rsidR="00D22702">
        <w:t>the merchandise</w:t>
      </w:r>
      <w:r w:rsidRPr="00517FA0" w:rsidR="00524A65">
        <w:t xml:space="preserve"> when she signed the agreement on April</w:t>
      </w:r>
      <w:r w:rsidRPr="00517FA0" w:rsidR="00517FA0">
        <w:t> </w:t>
      </w:r>
      <w:r w:rsidRPr="00517FA0" w:rsidR="00524A65">
        <w:t>23, 1991</w:t>
      </w:r>
      <w:r w:rsidRPr="00517FA0" w:rsidR="00D22702">
        <w:t>,</w:t>
      </w:r>
      <w:r w:rsidRPr="00517FA0" w:rsidR="00181DA2">
        <w:t xml:space="preserve"> the warehouse receipt established</w:t>
      </w:r>
      <w:r w:rsidRPr="00517FA0" w:rsidR="00D22702">
        <w:t xml:space="preserve"> she </w:t>
      </w:r>
      <w:r w:rsidRPr="00517FA0" w:rsidR="00FE481B">
        <w:t>relinquished that possession on May</w:t>
      </w:r>
      <w:r w:rsidRPr="00517FA0" w:rsidR="002F3379">
        <w:t> </w:t>
      </w:r>
      <w:r w:rsidRPr="00517FA0" w:rsidR="00FE481B">
        <w:t xml:space="preserve">1, 1991, at the latest, by </w:t>
      </w:r>
      <w:r w:rsidRPr="00517FA0" w:rsidR="00D22702">
        <w:t>provid</w:t>
      </w:r>
      <w:r w:rsidRPr="00517FA0" w:rsidR="00FE481B">
        <w:t>ing the merchandise</w:t>
      </w:r>
      <w:r w:rsidRPr="00517FA0" w:rsidR="00D22702">
        <w:t xml:space="preserve"> to</w:t>
      </w:r>
      <w:r w:rsidRPr="00517FA0" w:rsidR="00630394">
        <w:t xml:space="preserve"> </w:t>
      </w:r>
      <w:r w:rsidRPr="00517FA0" w:rsidR="0011343B">
        <w:t>Neptune</w:t>
      </w:r>
      <w:r w:rsidRPr="00517FA0" w:rsidR="00630394">
        <w:t xml:space="preserve"> to hold</w:t>
      </w:r>
      <w:r w:rsidRPr="00517FA0" w:rsidR="0011343B">
        <w:t xml:space="preserve"> in its warehouse.</w:t>
      </w:r>
      <w:r w:rsidRPr="00517FA0" w:rsidR="009E5A18">
        <w:t xml:space="preserve">  </w:t>
      </w:r>
      <w:r w:rsidRPr="00517FA0" w:rsidR="00BE769D">
        <w:t>Neptune also executed t</w:t>
      </w:r>
      <w:r w:rsidRPr="00517FA0" w:rsidR="009E5A18">
        <w:t>he agreement on May</w:t>
      </w:r>
      <w:r w:rsidRPr="00517FA0" w:rsidR="002F3379">
        <w:t> </w:t>
      </w:r>
      <w:r w:rsidRPr="00517FA0" w:rsidR="009E5A18">
        <w:t>1, 1991</w:t>
      </w:r>
      <w:r w:rsidRPr="00517FA0" w:rsidR="006D1253">
        <w:t>.</w:t>
      </w:r>
      <w:r w:rsidRPr="00517FA0" w:rsidR="00DA49B8">
        <w:t xml:space="preserve"> </w:t>
      </w:r>
      <w:r w:rsidRPr="00517FA0" w:rsidR="00EE710E">
        <w:t xml:space="preserve"> </w:t>
      </w:r>
      <w:r w:rsidRPr="00517FA0" w:rsidR="00A53D2A">
        <w:t xml:space="preserve">Neptune therefore </w:t>
      </w:r>
      <w:r w:rsidRPr="00517FA0" w:rsidR="00D93B89">
        <w:t>accepted</w:t>
      </w:r>
      <w:r w:rsidRPr="00517FA0" w:rsidR="003C1A05">
        <w:t xml:space="preserve"> responsib</w:t>
      </w:r>
      <w:r w:rsidRPr="00517FA0" w:rsidR="00D93B89">
        <w:t>ility</w:t>
      </w:r>
      <w:r w:rsidRPr="00517FA0" w:rsidR="003C1A05">
        <w:t xml:space="preserve"> for the </w:t>
      </w:r>
      <w:r w:rsidRPr="00517FA0" w:rsidR="00FE481B">
        <w:t xml:space="preserve">actual possession </w:t>
      </w:r>
      <w:r w:rsidRPr="00517FA0" w:rsidR="007B469E">
        <w:t xml:space="preserve">and retention </w:t>
      </w:r>
      <w:r w:rsidRPr="00517FA0" w:rsidR="00FE481B">
        <w:t xml:space="preserve">of the </w:t>
      </w:r>
      <w:r w:rsidRPr="00517FA0" w:rsidR="00D93B89">
        <w:t xml:space="preserve">physical </w:t>
      </w:r>
      <w:r w:rsidRPr="00517FA0" w:rsidR="003C1A05">
        <w:t xml:space="preserve">merchandise </w:t>
      </w:r>
      <w:r w:rsidRPr="00517FA0" w:rsidR="006C7674">
        <w:t>under the parties</w:t>
      </w:r>
      <w:r w:rsidRPr="00517FA0" w:rsidR="00FE481B">
        <w:t>’</w:t>
      </w:r>
      <w:r w:rsidRPr="00517FA0" w:rsidR="006C7674">
        <w:t xml:space="preserve"> agreement</w:t>
      </w:r>
      <w:r w:rsidRPr="00517FA0" w:rsidR="006158CF">
        <w:t>.  This</w:t>
      </w:r>
      <w:r w:rsidRPr="00517FA0" w:rsidR="00976622">
        <w:t xml:space="preserve"> contractual</w:t>
      </w:r>
      <w:r w:rsidRPr="00517FA0" w:rsidR="00D3120A">
        <w:t xml:space="preserve"> delivery</w:t>
      </w:r>
      <w:r w:rsidRPr="00517FA0" w:rsidR="00976622">
        <w:t xml:space="preserve"> scheme</w:t>
      </w:r>
      <w:r w:rsidRPr="00517FA0" w:rsidR="00EE710E">
        <w:t xml:space="preserve"> </w:t>
      </w:r>
      <w:r w:rsidRPr="00517FA0" w:rsidR="00976622">
        <w:t>resulted in at</w:t>
      </w:r>
      <w:r w:rsidRPr="00517FA0" w:rsidR="00A454BD">
        <w:t xml:space="preserve"> </w:t>
      </w:r>
      <w:r w:rsidRPr="00517FA0" w:rsidR="00B23877">
        <w:t>best the</w:t>
      </w:r>
      <w:r w:rsidRPr="00517FA0" w:rsidR="00EE710E">
        <w:t xml:space="preserve"> constructive delivery</w:t>
      </w:r>
      <w:r w:rsidRPr="00517FA0" w:rsidR="00976622">
        <w:t xml:space="preserve"> of the funeral merchandise</w:t>
      </w:r>
      <w:r w:rsidRPr="00517FA0" w:rsidR="00EE710E">
        <w:t>, which</w:t>
      </w:r>
      <w:r w:rsidRPr="00517FA0" w:rsidR="00064745">
        <w:t xml:space="preserve"> does not satisfy section 7741.</w:t>
      </w:r>
      <w:r w:rsidRPr="00517FA0" w:rsidR="00B62167">
        <w:t xml:space="preserve"> </w:t>
      </w:r>
    </w:p>
    <w:p w:rsidR="00C82E5A" w:rsidRPr="006752D4" w:rsidP="00C82E5A" w14:paraId="355257DF" w14:textId="6B72E531">
      <w:pPr>
        <w:ind w:firstLine="720"/>
      </w:pPr>
      <w:r w:rsidRPr="006752D4">
        <w:t>Constructive delivery is delivery of legal title but not the physical item.  (</w:t>
      </w:r>
      <w:r w:rsidRPr="006752D4" w:rsidR="00CA4E21">
        <w:t xml:space="preserve">See </w:t>
      </w:r>
      <w:bookmarkStart w:id="8" w:name="dabmci_132acc1a93c642e6b55bced593969b13"/>
      <w:r w:rsidRPr="006752D4" w:rsidR="00CA4E21">
        <w:rPr>
          <w:i/>
          <w:iCs/>
        </w:rPr>
        <w:t>Gordon v. Barr</w:t>
      </w:r>
      <w:r w:rsidRPr="006752D4" w:rsidR="00CA4E21">
        <w:t xml:space="preserve"> (1939) 13</w:t>
      </w:r>
      <w:r w:rsidRPr="006752D4" w:rsidR="006752D4">
        <w:t> </w:t>
      </w:r>
      <w:r w:rsidRPr="006752D4" w:rsidR="00CA4E21">
        <w:t>Cal.2d 596, 601</w:t>
      </w:r>
      <w:bookmarkEnd w:id="8"/>
      <w:r w:rsidRPr="006752D4" w:rsidR="00CA4E21">
        <w:t xml:space="preserve"> [explaining </w:t>
      </w:r>
      <w:r w:rsidRPr="006752D4" w:rsidR="0087470C">
        <w:t xml:space="preserve">constructive delivery in the context of </w:t>
      </w:r>
      <w:r w:rsidRPr="006752D4" w:rsidR="00032149">
        <w:t>gifts</w:t>
      </w:r>
      <w:r w:rsidRPr="00B37450" w:rsidR="00032149">
        <w:t xml:space="preserve">]; Black’s Law Dict. (11th ed. 2019) </w:t>
      </w:r>
      <w:r w:rsidR="00B37450">
        <w:t xml:space="preserve">p. 541, col. 2 </w:t>
      </w:r>
      <w:r w:rsidRPr="00B37450" w:rsidR="00032149">
        <w:t>[defining</w:t>
      </w:r>
      <w:r w:rsidRPr="00B37450" w:rsidR="00362059">
        <w:t xml:space="preserve"> constructive</w:t>
      </w:r>
      <w:r w:rsidRPr="00B37450" w:rsidR="00032149">
        <w:t xml:space="preserve"> delivery as </w:t>
      </w:r>
      <w:r w:rsidRPr="00B37450" w:rsidR="00362059">
        <w:t>“[a]n act that amounts to a transfer of title by operation of law when actual transfer is impractical or impossible</w:t>
      </w:r>
      <w:r w:rsidRPr="00B37450" w:rsidR="00032149">
        <w:t>”]</w:t>
      </w:r>
      <w:r w:rsidRPr="00B37450" w:rsidR="00362059">
        <w:t>.</w:t>
      </w:r>
      <w:r w:rsidRPr="00B37450">
        <w:t xml:space="preserve">)  </w:t>
      </w:r>
      <w:r w:rsidRPr="006752D4" w:rsidR="00E27511">
        <w:t xml:space="preserve">Neptune insists </w:t>
      </w:r>
      <w:r w:rsidRPr="006752D4" w:rsidR="00762859">
        <w:t>constructive deliver</w:t>
      </w:r>
      <w:r w:rsidRPr="006752D4" w:rsidR="00802A76">
        <w:t>y</w:t>
      </w:r>
      <w:r w:rsidRPr="006752D4" w:rsidR="00E27511">
        <w:t xml:space="preserve"> </w:t>
      </w:r>
      <w:r w:rsidRPr="006752D4" w:rsidR="009607B4">
        <w:t xml:space="preserve">of </w:t>
      </w:r>
      <w:r w:rsidRPr="006752D4" w:rsidR="00762859">
        <w:t>the merchandise</w:t>
      </w:r>
      <w:r w:rsidRPr="006752D4">
        <w:t xml:space="preserve"> </w:t>
      </w:r>
      <w:r w:rsidRPr="006752D4" w:rsidR="00EE3325">
        <w:t>satisfie</w:t>
      </w:r>
      <w:r w:rsidRPr="006752D4" w:rsidR="009607B4">
        <w:t>s</w:t>
      </w:r>
      <w:r w:rsidRPr="006752D4" w:rsidR="00EE3325">
        <w:t xml:space="preserve"> the exception</w:t>
      </w:r>
      <w:r w:rsidRPr="006752D4" w:rsidR="00F808BF">
        <w:t>’</w:t>
      </w:r>
      <w:r w:rsidRPr="006752D4" w:rsidR="00EE3325">
        <w:t>s delivery element</w:t>
      </w:r>
      <w:r w:rsidRPr="006752D4" w:rsidR="000B32AE">
        <w:t xml:space="preserve"> because it is a form of delivery</w:t>
      </w:r>
      <w:r w:rsidRPr="006752D4" w:rsidR="00EE3325">
        <w:t>.</w:t>
      </w:r>
      <w:r w:rsidRPr="006752D4" w:rsidR="00427728">
        <w:t xml:space="preserve">  </w:t>
      </w:r>
      <w:r w:rsidRPr="006D36F5" w:rsidR="00CF3919">
        <w:t>Constructive delivery may be sufficient delivery in some legal contexts, such as</w:t>
      </w:r>
      <w:r w:rsidRPr="006D36F5" w:rsidR="00762859">
        <w:t xml:space="preserve"> </w:t>
      </w:r>
      <w:r w:rsidRPr="006D36F5" w:rsidR="00CF3919">
        <w:t>when</w:t>
      </w:r>
      <w:r w:rsidRPr="006D36F5" w:rsidR="001A3B2B">
        <w:t xml:space="preserve"> contracting parties</w:t>
      </w:r>
      <w:r w:rsidRPr="006D36F5" w:rsidR="00CF3919">
        <w:t xml:space="preserve"> explicitly </w:t>
      </w:r>
      <w:r w:rsidRPr="006D36F5" w:rsidR="001A3B2B">
        <w:t>approve of constructive delivery</w:t>
      </w:r>
      <w:r w:rsidRPr="006D36F5" w:rsidR="00427728">
        <w:t>.  (</w:t>
      </w:r>
      <w:r w:rsidRPr="006D36F5" w:rsidR="00762859">
        <w:t xml:space="preserve">See Civ. Code, </w:t>
      </w:r>
      <w:r w:rsidRPr="006D36F5" w:rsidR="00ED0BB3">
        <w:t>§ </w:t>
      </w:r>
      <w:r w:rsidRPr="006D36F5" w:rsidR="00762859">
        <w:t>1059</w:t>
      </w:r>
      <w:r w:rsidRPr="006D36F5" w:rsidR="00CF3919">
        <w:t xml:space="preserve">; </w:t>
      </w:r>
      <w:bookmarkStart w:id="9" w:name="dabmci_709818652d944777913139287c6622ab"/>
      <w:r w:rsidRPr="002F3379" w:rsidR="00CF3919">
        <w:rPr>
          <w:i/>
          <w:iCs/>
        </w:rPr>
        <w:t xml:space="preserve">Paez v. Mutual Indem. </w:t>
      </w:r>
      <w:r w:rsidRPr="002F3379" w:rsidR="002F3379">
        <w:rPr>
          <w:i/>
          <w:iCs/>
        </w:rPr>
        <w:t>et</w:t>
      </w:r>
      <w:r w:rsidRPr="002F3379" w:rsidR="00CF3919">
        <w:rPr>
          <w:i/>
          <w:iCs/>
        </w:rPr>
        <w:t>c.</w:t>
      </w:r>
      <w:r w:rsidRPr="002F3379" w:rsidR="00CF3919">
        <w:t xml:space="preserve"> (1931) 116</w:t>
      </w:r>
      <w:r w:rsidRPr="002F3379" w:rsidR="00ED0BB3">
        <w:t> Cal.</w:t>
      </w:r>
      <w:r w:rsidRPr="002F3379" w:rsidR="00CF3919">
        <w:t>App. 654, 658</w:t>
      </w:r>
      <w:bookmarkEnd w:id="9"/>
      <w:r w:rsidRPr="002F3379" w:rsidR="00CF3919">
        <w:t xml:space="preserve"> [“It is a matter, therefore, solely of the intention of the parties.  If it was intended that the document should be in force before it was actually handed over, it will be deemed to have been constructively delivered</w:t>
      </w:r>
      <w:r w:rsidRPr="006D36F5" w:rsidR="00CF3919">
        <w:t>”]</w:t>
      </w:r>
      <w:r w:rsidRPr="006D36F5" w:rsidR="00762859">
        <w:t>.</w:t>
      </w:r>
      <w:r w:rsidRPr="006D36F5" w:rsidR="00427728">
        <w:t>)</w:t>
      </w:r>
      <w:r w:rsidRPr="006D36F5" w:rsidR="00E27511">
        <w:t xml:space="preserve">  But </w:t>
      </w:r>
      <w:r w:rsidRPr="006D36F5" w:rsidR="00CC2F51">
        <w:t>the statute simply states “delivered</w:t>
      </w:r>
      <w:r w:rsidRPr="00B37450" w:rsidR="00064745">
        <w:t>.</w:t>
      </w:r>
      <w:r w:rsidRPr="00B37450" w:rsidR="00CC2F51">
        <w:t>”</w:t>
      </w:r>
      <w:r w:rsidRPr="00B37450" w:rsidR="00064745">
        <w:t xml:space="preserve">  </w:t>
      </w:r>
      <w:r w:rsidRPr="00B37450" w:rsidR="003D741B">
        <w:t>The common meaning of “delivered” is a</w:t>
      </w:r>
      <w:r w:rsidRPr="00B37450" w:rsidR="00B23877">
        <w:t>n actual</w:t>
      </w:r>
      <w:r w:rsidRPr="00B37450" w:rsidR="003D741B">
        <w:t xml:space="preserve"> transfer</w:t>
      </w:r>
      <w:r w:rsidRPr="00B37450" w:rsidR="00232F99">
        <w:t>, from one to another,</w:t>
      </w:r>
      <w:r w:rsidRPr="00B37450" w:rsidR="003D741B">
        <w:t xml:space="preserve"> of a physical item.  (See Black’s Law Dict.</w:t>
      </w:r>
      <w:r w:rsidR="00B37450">
        <w:t>, at</w:t>
      </w:r>
      <w:r w:rsidRPr="00B37450" w:rsidR="003D741B">
        <w:t xml:space="preserve"> </w:t>
      </w:r>
      <w:r w:rsidR="00B37450">
        <w:t xml:space="preserve">p. 541, col. 1 </w:t>
      </w:r>
      <w:r w:rsidRPr="00B37450" w:rsidR="003D741B">
        <w:t>[defining delivery as “[t]he formal act of voluntarily transferring something; esp., the act of bringing goods, letters, etc. to a particular person or place”].)</w:t>
      </w:r>
      <w:r w:rsidRPr="00FC1292" w:rsidR="00CC2F51">
        <w:t xml:space="preserve"> </w:t>
      </w:r>
      <w:r w:rsidRPr="00FC1292" w:rsidR="00AE61EF">
        <w:t xml:space="preserve"> </w:t>
      </w:r>
      <w:r w:rsidRPr="00FC1292" w:rsidR="003D741B">
        <w:t>C</w:t>
      </w:r>
      <w:r w:rsidRPr="00FC1292" w:rsidR="00CC2F51">
        <w:t>onstructive delivery</w:t>
      </w:r>
      <w:r w:rsidRPr="00FC1292" w:rsidR="00E27511">
        <w:t xml:space="preserve"> is </w:t>
      </w:r>
      <w:r w:rsidRPr="006752D4" w:rsidR="00E27511">
        <w:t xml:space="preserve">an abstract legal </w:t>
      </w:r>
      <w:r w:rsidRPr="006752D4" w:rsidR="00762859">
        <w:t>concept</w:t>
      </w:r>
      <w:r w:rsidRPr="006752D4" w:rsidR="00E27511">
        <w:t xml:space="preserve"> </w:t>
      </w:r>
      <w:r w:rsidRPr="006752D4" w:rsidR="001C48B2">
        <w:t>not included in</w:t>
      </w:r>
      <w:r w:rsidRPr="006752D4" w:rsidR="00FC57A0">
        <w:t xml:space="preserve"> </w:t>
      </w:r>
      <w:r w:rsidRPr="006752D4" w:rsidR="004019F4">
        <w:t xml:space="preserve">the </w:t>
      </w:r>
      <w:r w:rsidRPr="006752D4" w:rsidR="00FC57A0">
        <w:t>common understanding</w:t>
      </w:r>
      <w:r w:rsidRPr="006752D4" w:rsidR="004019F4">
        <w:t xml:space="preserve"> of</w:t>
      </w:r>
      <w:r w:rsidRPr="006752D4" w:rsidR="0003064E">
        <w:t xml:space="preserve"> delive</w:t>
      </w:r>
      <w:r w:rsidRPr="006752D4" w:rsidR="00CF3919">
        <w:t>ry</w:t>
      </w:r>
      <w:r w:rsidRPr="006752D4" w:rsidR="00E27511">
        <w:t>.</w:t>
      </w:r>
      <w:r w:rsidRPr="006752D4" w:rsidR="00427728">
        <w:t xml:space="preserve">  </w:t>
      </w:r>
      <w:r w:rsidRPr="006752D4" w:rsidR="0003064E">
        <w:t xml:space="preserve">Neptune provides no </w:t>
      </w:r>
      <w:r w:rsidRPr="006752D4" w:rsidR="00762859">
        <w:t xml:space="preserve">compelling argument for </w:t>
      </w:r>
      <w:r w:rsidRPr="006752D4" w:rsidR="0003064E">
        <w:t>how</w:t>
      </w:r>
      <w:r w:rsidRPr="006752D4" w:rsidR="005101C9">
        <w:t xml:space="preserve"> th</w:t>
      </w:r>
      <w:r w:rsidRPr="006752D4" w:rsidR="00632387">
        <w:t>e term</w:t>
      </w:r>
      <w:r w:rsidRPr="006752D4" w:rsidR="0003064E">
        <w:t xml:space="preserve"> </w:t>
      </w:r>
      <w:r w:rsidRPr="006752D4" w:rsidR="00427728">
        <w:t xml:space="preserve">delivered in ordinary, normal usage </w:t>
      </w:r>
      <w:r w:rsidRPr="006752D4" w:rsidR="0003064E">
        <w:t>includes constructive</w:t>
      </w:r>
      <w:r w:rsidRPr="006752D4" w:rsidR="004740CE">
        <w:t>ly</w:t>
      </w:r>
      <w:r w:rsidRPr="006752D4" w:rsidR="0003064E">
        <w:t xml:space="preserve"> deliver</w:t>
      </w:r>
      <w:r w:rsidRPr="006752D4" w:rsidR="004740CE">
        <w:t>ed.</w:t>
      </w:r>
    </w:p>
    <w:p w:rsidR="004F4695" w:rsidRPr="00FC1292" w:rsidP="004F4695" w14:paraId="0431F305" w14:textId="052CC795">
      <w:pPr>
        <w:ind w:firstLine="720"/>
      </w:pPr>
      <w:r w:rsidRPr="00FA5A8B">
        <w:t>E</w:t>
      </w:r>
      <w:r w:rsidRPr="00FA5A8B" w:rsidR="00FC1BE3">
        <w:t xml:space="preserve">ven assuming there is an ambiguity, </w:t>
      </w:r>
      <w:r w:rsidRPr="00FA5A8B" w:rsidR="00F808BF">
        <w:t>aids</w:t>
      </w:r>
      <w:r w:rsidRPr="00FA5A8B" w:rsidR="00FC1BE3">
        <w:t xml:space="preserve"> of statutory construction </w:t>
      </w:r>
      <w:r w:rsidRPr="00FA5A8B" w:rsidR="008E3877">
        <w:t>support this commonsense understanding</w:t>
      </w:r>
      <w:r w:rsidRPr="00831593" w:rsidR="00FC1BE3">
        <w:t>.</w:t>
      </w:r>
      <w:r w:rsidRPr="00831593" w:rsidR="008E3877">
        <w:t xml:space="preserve">  </w:t>
      </w:r>
      <w:r w:rsidRPr="00831593" w:rsidR="009E25F0">
        <w:t>The Short Act was enacted to ensure funds would be</w:t>
      </w:r>
      <w:r w:rsidRPr="00831593" w:rsidR="00B94630">
        <w:t xml:space="preserve"> </w:t>
      </w:r>
      <w:r w:rsidRPr="00D304B5" w:rsidR="009E25F0">
        <w:t>available for future use of services and property when the purchaser needed it, even if the funeral home became insolvent in the interim.</w:t>
      </w:r>
      <w:r w:rsidRPr="00D304B5" w:rsidR="00805794">
        <w:t xml:space="preserve">  (</w:t>
      </w:r>
      <w:bookmarkStart w:id="10" w:name="dabmci_dc8c2d687d97470eae5afbd01426b512"/>
      <w:r w:rsidRPr="00D304B5" w:rsidR="00805794">
        <w:t>52 Ops.Cal.Atty.Gen</w:t>
      </w:r>
      <w:r w:rsidR="0084362D">
        <w:t xml:space="preserve">., </w:t>
      </w:r>
      <w:r w:rsidR="0084362D">
        <w:rPr>
          <w:i/>
          <w:iCs/>
        </w:rPr>
        <w:t>supra</w:t>
      </w:r>
      <w:r w:rsidR="0084362D">
        <w:t>, at p. </w:t>
      </w:r>
      <w:r w:rsidRPr="00D304B5" w:rsidR="00805794">
        <w:t>204</w:t>
      </w:r>
      <w:bookmarkEnd w:id="10"/>
      <w:r w:rsidRPr="00D304B5" w:rsidR="00805794">
        <w:t>.)</w:t>
      </w:r>
      <w:r w:rsidRPr="00D304B5" w:rsidR="009E25F0">
        <w:t xml:space="preserve">  </w:t>
      </w:r>
      <w:r w:rsidRPr="00C663D7" w:rsidR="009E25F0">
        <w:t>This is seen in the Short Act’s requirement for funds</w:t>
      </w:r>
      <w:r w:rsidRPr="00C663D7" w:rsidR="00231444">
        <w:t xml:space="preserve"> </w:t>
      </w:r>
      <w:r w:rsidRPr="00C663D7" w:rsidR="006E1BE4">
        <w:t>subject to the Short Act</w:t>
      </w:r>
      <w:r w:rsidRPr="00C663D7" w:rsidR="009E25F0">
        <w:t xml:space="preserve"> to be held in trust throughout the duration of the contract.  (§</w:t>
      </w:r>
      <w:r w:rsidRPr="00C663D7" w:rsidR="00C82B40">
        <w:t> </w:t>
      </w:r>
      <w:r w:rsidRPr="00C663D7" w:rsidR="009E25F0">
        <w:t>7735 [“shall be held in trust</w:t>
      </w:r>
      <w:r w:rsidRPr="00C663D7" w:rsidR="00C82B40">
        <w:t xml:space="preserve"> . . . </w:t>
      </w:r>
      <w:r w:rsidRPr="00C663D7" w:rsidR="009E25F0">
        <w:t xml:space="preserve">until the contract is fulfilled”].)  And the purchaser’s </w:t>
      </w:r>
      <w:r w:rsidRPr="00C663D7" w:rsidR="00B94630">
        <w:t xml:space="preserve">actual and sustained </w:t>
      </w:r>
      <w:r w:rsidRPr="00C663D7" w:rsidR="009E25F0">
        <w:t xml:space="preserve">physical possession of merchandise addresses this risk.  But </w:t>
      </w:r>
      <w:r w:rsidRPr="00C663D7" w:rsidR="00B94630">
        <w:t xml:space="preserve">the completed </w:t>
      </w:r>
      <w:r w:rsidRPr="00C663D7" w:rsidR="009E25F0">
        <w:t>delivery of only legal title to funeral merchandise does not provide this protection because the purchaser would still be reliant on the funeral home’s future performance in providing the merchandise</w:t>
      </w:r>
      <w:r w:rsidRPr="00C663D7" w:rsidR="00B23877">
        <w:t xml:space="preserve"> for use when needed</w:t>
      </w:r>
      <w:r w:rsidRPr="00C663D7" w:rsidR="009E25F0">
        <w:t>.</w:t>
      </w:r>
      <w:r w:rsidRPr="00C663D7" w:rsidR="002B34D4">
        <w:t xml:space="preserve">  </w:t>
      </w:r>
      <w:r w:rsidRPr="00C663D7" w:rsidR="009E25F0">
        <w:t>We see no reason the illusory protection provided by constructive delivery should be sufficient for the narrow delivery exception to the</w:t>
      </w:r>
      <w:r w:rsidRPr="00C663D7" w:rsidR="001D4B1B">
        <w:t xml:space="preserve"> </w:t>
      </w:r>
      <w:r w:rsidRPr="00C663D7" w:rsidR="00B94630">
        <w:t>otherwise comprehensive</w:t>
      </w:r>
      <w:r w:rsidRPr="00C663D7" w:rsidR="009E25F0">
        <w:t xml:space="preserve"> trusting </w:t>
      </w:r>
      <w:r w:rsidRPr="00FC1292" w:rsidR="009E25F0">
        <w:t>requirements.  Concluding otherwise would contravene the Short Act by endorsing a “cosmetic manipulation of the form of the transaction” that circumvents the purpose and the plain language of the delivery requirement.  (</w:t>
      </w:r>
      <w:bookmarkStart w:id="11" w:name="dabmci_a32740a956df4fd88a8e7105f89d747d"/>
      <w:r w:rsidRPr="00FC1292" w:rsidR="009E25F0">
        <w:rPr>
          <w:i/>
          <w:iCs/>
        </w:rPr>
        <w:t>American Funeral Concepts v. Board of Funeral Directors &amp; Embalmers</w:t>
      </w:r>
      <w:r w:rsidRPr="00FC1292" w:rsidR="009E25F0">
        <w:t xml:space="preserve"> (1982) 136 Cal.App.3d 303, 313</w:t>
      </w:r>
      <w:bookmarkEnd w:id="11"/>
      <w:r w:rsidRPr="00FC1292" w:rsidR="009E25F0">
        <w:t>.)</w:t>
      </w:r>
    </w:p>
    <w:p w:rsidR="009F7DDC" w:rsidRPr="006752D4" w:rsidP="00FC1BE3" w14:paraId="7E13BCFF" w14:textId="657F6DE6">
      <w:pPr>
        <w:ind w:firstLine="720"/>
      </w:pPr>
      <w:r w:rsidRPr="00B167F8">
        <w:t xml:space="preserve">A regulation further supports this conclusion.  In 1995, the Bureau’s predecessor promulgated </w:t>
      </w:r>
      <w:bookmarkStart w:id="12" w:name="dabmci_9118de95967b4d919ca8539a80807243"/>
      <w:r w:rsidRPr="00B167F8">
        <w:t>California Code of Regulations, title 16, section 1262</w:t>
      </w:r>
      <w:bookmarkEnd w:id="12"/>
      <w:r w:rsidRPr="00B167F8">
        <w:t xml:space="preserve"> that states, “Delivery of merchandise within the meaning </w:t>
      </w:r>
      <w:r w:rsidRPr="00B167F8" w:rsidR="00B167F8">
        <w:t xml:space="preserve">of . . . </w:t>
      </w:r>
      <w:r w:rsidRPr="00B167F8">
        <w:t>[s</w:t>
      </w:r>
      <w:r w:rsidRPr="00B167F8" w:rsidR="00B167F8">
        <w:t>]</w:t>
      </w:r>
      <w:r w:rsidRPr="00B167F8">
        <w:t>ection 7741 shall mean actual personal delivery to a purchaser</w:t>
      </w:r>
      <w:r w:rsidRPr="00B167F8" w:rsidR="00B167F8">
        <w:t> . . . .</w:t>
      </w:r>
      <w:r w:rsidRPr="00B167F8">
        <w:t xml:space="preserve">  Any payment or payments received for funeral merchandise, where actual personal delivery of that merchandise will be delayed, shall be held in a trust</w:t>
      </w:r>
      <w:r w:rsidRPr="00B167F8" w:rsidR="00B167F8">
        <w:t xml:space="preserve"> . . . </w:t>
      </w:r>
      <w:r w:rsidRPr="00B167F8">
        <w:t xml:space="preserve">until that merchandise </w:t>
      </w:r>
      <w:r w:rsidRPr="00B167F8">
        <w:rPr>
          <w:i/>
          <w:iCs/>
        </w:rPr>
        <w:t>is actually and personally delivered to, and is in the immediate possession of, the purchaser</w:t>
      </w:r>
      <w:r w:rsidRPr="00B167F8">
        <w:t>.”  (</w:t>
      </w:r>
      <w:bookmarkStart w:id="13" w:name="dabmci_7af40658ed254fd1b0c05dc0d90c53ff"/>
      <w:r w:rsidRPr="00CF6098" w:rsidR="00C63387">
        <w:t>Cal. Code Regs., tit. 16</w:t>
      </w:r>
      <w:r w:rsidR="00C63387">
        <w:t xml:space="preserve">, </w:t>
      </w:r>
      <w:r w:rsidRPr="00B167F8">
        <w:t>§ 1262, subd. (a)</w:t>
      </w:r>
      <w:bookmarkEnd w:id="13"/>
      <w:r w:rsidR="009E7752">
        <w:t>, italics added</w:t>
      </w:r>
      <w:r w:rsidRPr="00B167F8">
        <w:t>.)</w:t>
      </w:r>
      <w:r w:rsidRPr="00B167F8" w:rsidR="00B5179C">
        <w:t xml:space="preserve"> </w:t>
      </w:r>
      <w:r w:rsidRPr="00B167F8" w:rsidR="00F808BF">
        <w:t xml:space="preserve"> </w:t>
      </w:r>
      <w:r w:rsidRPr="00B167F8" w:rsidR="00B5179C">
        <w:t xml:space="preserve">The regulation further clarifies:  “Neither the delivery of a warehouse receipt, nor any other form of constructive delivery shall constitute delivery of funeral merchandise within the meaning of </w:t>
      </w:r>
      <w:r w:rsidRPr="00B167F8" w:rsidR="0059382D">
        <w:t>[s]</w:t>
      </w:r>
      <w:r w:rsidRPr="00B167F8" w:rsidR="00B5179C">
        <w:t>ection 7741.”  (</w:t>
      </w:r>
      <w:bookmarkStart w:id="14" w:name="dabmci_1a89dcc7324145bdb246b78abcb52cbd"/>
      <w:r w:rsidRPr="00CF6098" w:rsidR="00C63387">
        <w:t>Cal. Code Regs., tit. 16</w:t>
      </w:r>
      <w:r w:rsidR="00C63387">
        <w:t xml:space="preserve">, </w:t>
      </w:r>
      <w:r w:rsidRPr="00B167F8" w:rsidR="00ED0BB3">
        <w:t>§ </w:t>
      </w:r>
      <w:r w:rsidRPr="00B167F8" w:rsidR="00F808BF">
        <w:t>1262, subd. (b</w:t>
      </w:r>
      <w:r w:rsidRPr="006752D4" w:rsidR="00F808BF">
        <w:t>)</w:t>
      </w:r>
      <w:bookmarkEnd w:id="14"/>
      <w:r w:rsidRPr="006752D4" w:rsidR="00F808BF">
        <w:t>.</w:t>
      </w:r>
      <w:r w:rsidRPr="006752D4" w:rsidR="00B5179C">
        <w:t xml:space="preserve">)  This </w:t>
      </w:r>
      <w:r w:rsidRPr="006752D4" w:rsidR="00A961B7">
        <w:t xml:space="preserve">explicitly </w:t>
      </w:r>
      <w:r w:rsidRPr="006752D4" w:rsidR="003C163F">
        <w:t>disallows</w:t>
      </w:r>
      <w:r w:rsidRPr="006752D4" w:rsidR="00B5179C">
        <w:t xml:space="preserve"> Neptune</w:t>
      </w:r>
      <w:r w:rsidRPr="006752D4" w:rsidR="00F808BF">
        <w:t>’</w:t>
      </w:r>
      <w:r w:rsidRPr="006752D4" w:rsidR="00B5179C">
        <w:t xml:space="preserve">s </w:t>
      </w:r>
      <w:r w:rsidRPr="006752D4" w:rsidR="003C163F">
        <w:t>interpretation</w:t>
      </w:r>
      <w:r w:rsidRPr="006752D4" w:rsidR="002746C6">
        <w:t xml:space="preserve"> </w:t>
      </w:r>
      <w:r w:rsidRPr="006752D4" w:rsidR="00A91A52">
        <w:t>in favor of constructive delivery</w:t>
      </w:r>
      <w:r w:rsidRPr="006752D4" w:rsidR="00B5179C">
        <w:t>.</w:t>
      </w:r>
      <w:r w:rsidRPr="006752D4" w:rsidR="003C163F">
        <w:t xml:space="preserve">  </w:t>
      </w:r>
    </w:p>
    <w:p w:rsidR="004F4695" w:rsidRPr="00517FA0" w:rsidP="003A54CF" w14:paraId="020CE801" w14:textId="54A61DBE">
      <w:pPr>
        <w:ind w:firstLine="720"/>
      </w:pPr>
      <w:r w:rsidRPr="006752D4">
        <w:t xml:space="preserve">Neptune contends reliance on this regulation would be inappropriate </w:t>
      </w:r>
      <w:r w:rsidRPr="006752D4" w:rsidR="00B5179C">
        <w:t xml:space="preserve">because the agreement at issue here was signed years before this regulation was enacted.  </w:t>
      </w:r>
      <w:r w:rsidRPr="006752D4" w:rsidR="00F808BF">
        <w:t>W</w:t>
      </w:r>
      <w:r w:rsidRPr="006752D4" w:rsidR="00B5179C">
        <w:t>e are not applying the regulation</w:t>
      </w:r>
      <w:r w:rsidRPr="006752D4" w:rsidR="00F808BF">
        <w:t xml:space="preserve"> </w:t>
      </w:r>
      <w:r w:rsidRPr="006752D4" w:rsidR="00B5179C">
        <w:t xml:space="preserve">but </w:t>
      </w:r>
      <w:r w:rsidRPr="006752D4" w:rsidR="00B94630">
        <w:t xml:space="preserve">rather </w:t>
      </w:r>
      <w:r w:rsidR="008214BA">
        <w:t xml:space="preserve">we </w:t>
      </w:r>
      <w:r w:rsidRPr="006752D4" w:rsidR="00B94630">
        <w:t xml:space="preserve">are </w:t>
      </w:r>
      <w:r w:rsidRPr="006752D4" w:rsidR="00B5179C">
        <w:t>using it as a</w:t>
      </w:r>
      <w:r w:rsidRPr="006752D4" w:rsidR="003C163F">
        <w:t xml:space="preserve">n </w:t>
      </w:r>
      <w:r w:rsidRPr="006752D4" w:rsidR="00B5179C">
        <w:t>interpretative aid.  This</w:t>
      </w:r>
      <w:r w:rsidRPr="00517FA0" w:rsidR="00B5179C">
        <w:t xml:space="preserve"> </w:t>
      </w:r>
      <w:r w:rsidRPr="00517FA0" w:rsidR="00F808BF">
        <w:t>regulation clarif</w:t>
      </w:r>
      <w:r w:rsidRPr="00517FA0" w:rsidR="00CF3919">
        <w:t>ies</w:t>
      </w:r>
      <w:r w:rsidRPr="00517FA0" w:rsidR="00F808BF">
        <w:t xml:space="preserve"> the same statutory language in force at the time T.R. signed her agreement</w:t>
      </w:r>
      <w:r w:rsidRPr="00517FA0" w:rsidR="001C48B2">
        <w:t>;</w:t>
      </w:r>
      <w:r w:rsidRPr="00517FA0" w:rsidR="00F808BF">
        <w:t xml:space="preserve"> it</w:t>
      </w:r>
      <w:r w:rsidRPr="00517FA0" w:rsidR="00B5179C">
        <w:t xml:space="preserve"> does not alter or modify the scope of section 7741</w:t>
      </w:r>
      <w:r w:rsidRPr="00517FA0">
        <w:t xml:space="preserve">.  </w:t>
      </w:r>
      <w:r w:rsidRPr="00FC1292" w:rsidR="00B5179C">
        <w:t xml:space="preserve">And </w:t>
      </w:r>
      <w:r w:rsidRPr="00FC1292">
        <w:t xml:space="preserve">an </w:t>
      </w:r>
      <w:r w:rsidRPr="00FC1292" w:rsidR="00B5179C">
        <w:t>agency</w:t>
      </w:r>
      <w:r w:rsidRPr="00FC1292" w:rsidR="00F808BF">
        <w:t>’</w:t>
      </w:r>
      <w:r w:rsidRPr="00FC1292">
        <w:t>s</w:t>
      </w:r>
      <w:r w:rsidRPr="00FC1292" w:rsidR="00B5179C">
        <w:t xml:space="preserve"> interpretation of a statute is due some deference.  (</w:t>
      </w:r>
      <w:bookmarkStart w:id="15" w:name="dabmci_8c02ade3e62b47d2881005ca454b2443"/>
      <w:r w:rsidRPr="00FC1292" w:rsidR="00F808BF">
        <w:rPr>
          <w:i/>
          <w:iCs/>
        </w:rPr>
        <w:t>Yamaha Corp. of America v. State Bd. of Equalization</w:t>
      </w:r>
      <w:r w:rsidRPr="00FC1292" w:rsidR="00F808BF">
        <w:t xml:space="preserve"> (1998) 19</w:t>
      </w:r>
      <w:r w:rsidRPr="00FC1292" w:rsidR="00ED0BB3">
        <w:t> Cal.</w:t>
      </w:r>
      <w:r w:rsidRPr="00FC1292" w:rsidR="00F808BF">
        <w:t>4th 1, 7</w:t>
      </w:r>
      <w:bookmarkEnd w:id="15"/>
      <w:r w:rsidRPr="00FC1292" w:rsidR="00F808BF">
        <w:t xml:space="preserve"> [“</w:t>
      </w:r>
      <w:r w:rsidRPr="00FC1292" w:rsidR="00FC1292">
        <w:t>A</w:t>
      </w:r>
      <w:r w:rsidRPr="00FC1292" w:rsidR="005101C9">
        <w:t>n</w:t>
      </w:r>
      <w:r w:rsidRPr="00FC1292" w:rsidR="00F808BF">
        <w:t xml:space="preserve"> agency interpretation of the meaning and legal effect of a statute is entitled to consideration and respect by the courts”].</w:t>
      </w:r>
      <w:r w:rsidRPr="00FC1292" w:rsidR="00B5179C">
        <w:t xml:space="preserve">)  </w:t>
      </w:r>
      <w:r w:rsidRPr="00FC1292" w:rsidR="003C163F">
        <w:t>This</w:t>
      </w:r>
      <w:r w:rsidRPr="00517FA0">
        <w:t xml:space="preserve"> regulation</w:t>
      </w:r>
      <w:r w:rsidRPr="00517FA0" w:rsidR="003C163F">
        <w:t xml:space="preserve"> therefore</w:t>
      </w:r>
      <w:r w:rsidRPr="00517FA0">
        <w:t xml:space="preserve"> provides </w:t>
      </w:r>
      <w:r w:rsidRPr="00517FA0" w:rsidR="00FB4702">
        <w:t>additional</w:t>
      </w:r>
      <w:r w:rsidRPr="00517FA0">
        <w:t xml:space="preserve"> </w:t>
      </w:r>
      <w:r w:rsidRPr="00517FA0" w:rsidR="00FB4702">
        <w:t>support</w:t>
      </w:r>
      <w:r w:rsidRPr="00517FA0" w:rsidR="00CC2F51">
        <w:t xml:space="preserve"> </w:t>
      </w:r>
      <w:r w:rsidRPr="00517FA0" w:rsidR="0059382D">
        <w:t xml:space="preserve">that </w:t>
      </w:r>
      <w:r w:rsidRPr="00517FA0">
        <w:t xml:space="preserve">section 7741 does not </w:t>
      </w:r>
      <w:r w:rsidRPr="00517FA0" w:rsidR="00CC2F51">
        <w:t>exempt</w:t>
      </w:r>
      <w:r w:rsidRPr="00517FA0">
        <w:t xml:space="preserve"> </w:t>
      </w:r>
      <w:r w:rsidRPr="00517FA0" w:rsidR="003C163F">
        <w:t>Neptune</w:t>
      </w:r>
      <w:r w:rsidRPr="00517FA0" w:rsidR="00F808BF">
        <w:t>’</w:t>
      </w:r>
      <w:r w:rsidRPr="00517FA0" w:rsidR="003C163F">
        <w:t>s</w:t>
      </w:r>
      <w:r w:rsidRPr="00517FA0">
        <w:t xml:space="preserve"> constructive delivery </w:t>
      </w:r>
      <w:r w:rsidRPr="00517FA0" w:rsidR="003C163F">
        <w:t>of</w:t>
      </w:r>
      <w:r w:rsidRPr="00517FA0">
        <w:t xml:space="preserve"> T.R.</w:t>
      </w:r>
      <w:r w:rsidRPr="00517FA0" w:rsidR="00F808BF">
        <w:t>’</w:t>
      </w:r>
      <w:r w:rsidRPr="00517FA0">
        <w:t>s funeral merchandise</w:t>
      </w:r>
      <w:r w:rsidRPr="00517FA0" w:rsidR="00EB743D">
        <w:t xml:space="preserve"> from the trusting requirements</w:t>
      </w:r>
      <w:r w:rsidRPr="00517FA0">
        <w:t>.</w:t>
      </w:r>
      <w:r w:rsidRPr="00517FA0" w:rsidR="003A54CF">
        <w:t xml:space="preserve">  </w:t>
      </w:r>
      <w:r w:rsidRPr="00517FA0">
        <w:t>Neptune</w:t>
      </w:r>
      <w:r w:rsidRPr="00517FA0" w:rsidR="006A7C5A">
        <w:t>, therefore,</w:t>
      </w:r>
      <w:r w:rsidRPr="00517FA0">
        <w:t xml:space="preserve"> did not satisfy the </w:t>
      </w:r>
      <w:r w:rsidRPr="00517FA0" w:rsidR="00CF3919">
        <w:t>deliver</w:t>
      </w:r>
      <w:r w:rsidRPr="00517FA0" w:rsidR="006A7C5A">
        <w:t>y</w:t>
      </w:r>
      <w:r w:rsidRPr="00517FA0" w:rsidR="00CF3919">
        <w:t xml:space="preserve"> </w:t>
      </w:r>
      <w:r w:rsidRPr="00517FA0">
        <w:t>requirement for section 7741.</w:t>
      </w:r>
    </w:p>
    <w:p w:rsidR="004F4695" w:rsidRPr="00D5258A" w:rsidP="00383F46" w14:paraId="78C18882" w14:textId="202EE9D8">
      <w:pPr>
        <w:keepNext/>
        <w:jc w:val="center"/>
      </w:pPr>
      <w:r w:rsidRPr="00D5258A">
        <w:t>II</w:t>
      </w:r>
    </w:p>
    <w:p w:rsidR="00846BD0" w:rsidRPr="00D5258A" w:rsidP="00383F46" w14:paraId="42CDBC57" w14:textId="65456455">
      <w:pPr>
        <w:keepNext/>
        <w:jc w:val="center"/>
        <w:rPr>
          <w:i/>
          <w:iCs/>
        </w:rPr>
      </w:pPr>
      <w:r w:rsidRPr="00D5258A">
        <w:rPr>
          <w:i/>
          <w:iCs/>
        </w:rPr>
        <w:t>The Bureau Is Not Equitably Estopped From Enforcing The Short Ac</w:t>
      </w:r>
      <w:r w:rsidRPr="00D5258A" w:rsidR="00A81690">
        <w:rPr>
          <w:i/>
          <w:iCs/>
        </w:rPr>
        <w:t>t</w:t>
      </w:r>
    </w:p>
    <w:p w:rsidR="004F4695" w:rsidRPr="00C663D7" w:rsidP="004F4695" w14:paraId="6EA7E5D0" w14:textId="03CFE36F">
      <w:pPr>
        <w:ind w:firstLine="720"/>
      </w:pPr>
      <w:r w:rsidRPr="006752D4">
        <w:t xml:space="preserve">Neptune </w:t>
      </w:r>
      <w:r w:rsidRPr="006752D4" w:rsidR="00D2609A">
        <w:t>also</w:t>
      </w:r>
      <w:r w:rsidRPr="006752D4">
        <w:t xml:space="preserve"> argues the Bureau is equitably estopped from challenging its trusting practice</w:t>
      </w:r>
      <w:r w:rsidRPr="006752D4" w:rsidR="000A3BA5">
        <w:t>s</w:t>
      </w:r>
      <w:r w:rsidRPr="006752D4">
        <w:t xml:space="preserve"> because the Bureau</w:t>
      </w:r>
      <w:r w:rsidRPr="006752D4" w:rsidR="00F808BF">
        <w:t>’</w:t>
      </w:r>
      <w:r w:rsidRPr="006752D4">
        <w:t>s predecessor approved of its practices in a 1997 settlement agreement</w:t>
      </w:r>
      <w:r w:rsidRPr="006752D4" w:rsidR="008722A9">
        <w:t xml:space="preserve"> with Neptune</w:t>
      </w:r>
      <w:r w:rsidRPr="006752D4">
        <w:t xml:space="preserve">.  We </w:t>
      </w:r>
      <w:r w:rsidRPr="006752D4" w:rsidR="000A3BA5">
        <w:t>find equitable estoppel unjustified under the</w:t>
      </w:r>
      <w:r w:rsidRPr="00C663D7" w:rsidR="000A3BA5">
        <w:t xml:space="preserve"> circumstances.</w:t>
      </w:r>
    </w:p>
    <w:p w:rsidR="008722A9" w:rsidRPr="00D5258A" w:rsidP="00542604" w14:paraId="0C926313" w14:textId="20F693A6">
      <w:pPr>
        <w:keepNext/>
        <w:jc w:val="center"/>
      </w:pPr>
      <w:r w:rsidRPr="00D5258A">
        <w:t>A</w:t>
      </w:r>
    </w:p>
    <w:p w:rsidR="0004462E" w:rsidRPr="00D5258A" w:rsidP="008214BA" w14:paraId="14F7F22D" w14:textId="005A8A28">
      <w:pPr>
        <w:pStyle w:val="ListParagraph"/>
        <w:keepNext/>
        <w:ind w:left="0"/>
        <w:jc w:val="center"/>
        <w:rPr>
          <w:i/>
          <w:iCs/>
        </w:rPr>
      </w:pPr>
      <w:r w:rsidRPr="00D5258A">
        <w:rPr>
          <w:i/>
          <w:iCs/>
        </w:rPr>
        <w:t>Pertinent Factual Background</w:t>
      </w:r>
    </w:p>
    <w:p w:rsidR="0004462E" w:rsidRPr="00D521AD" w:rsidP="009256CA" w14:paraId="2F67EDE4" w14:textId="38115D1A">
      <w:pPr>
        <w:keepNext/>
        <w:ind w:firstLine="720"/>
        <w:rPr>
          <w:highlight w:val="cyan"/>
        </w:rPr>
      </w:pPr>
      <w:r w:rsidRPr="00874708">
        <w:t xml:space="preserve">In 1994, </w:t>
      </w:r>
      <w:r w:rsidRPr="00874708" w:rsidR="00A81690">
        <w:t>the Bureau’s predecessor</w:t>
      </w:r>
      <w:r w:rsidRPr="00874708">
        <w:t xml:space="preserve"> filed an accusation against </w:t>
      </w:r>
      <w:r w:rsidRPr="00874708" w:rsidR="00CC7CD6">
        <w:t>Neptune</w:t>
      </w:r>
      <w:r w:rsidRPr="00874708">
        <w:t xml:space="preserve"> and related entities alleging they violated section 7735 and others by, inter alia, having far fewer cremation urns, cremation containers, and memorial plaques in storage than were obligated under active preneed agreements.  The parties settled the dispute in 1997.  The settlement agreement required Neptune </w:t>
      </w:r>
      <w:r w:rsidRPr="00874708" w:rsidR="00A81690">
        <w:t xml:space="preserve">to have </w:t>
      </w:r>
      <w:r w:rsidRPr="00874708" w:rsidR="000A3BA5">
        <w:t>enough</w:t>
      </w:r>
      <w:r w:rsidRPr="00874708" w:rsidR="00A81690">
        <w:t xml:space="preserve"> merchandise in storage to match all outstanding purchases.  For future agreements</w:t>
      </w:r>
      <w:r w:rsidRPr="00874708" w:rsidR="008722A9">
        <w:t xml:space="preserve"> Neptune entered with its customers</w:t>
      </w:r>
      <w:r w:rsidRPr="00874708" w:rsidR="00A81690">
        <w:t xml:space="preserve">, the settlement required Neptune </w:t>
      </w:r>
      <w:r w:rsidRPr="00874708">
        <w:t>to trust all monies under section 7735</w:t>
      </w:r>
      <w:r w:rsidRPr="00874708" w:rsidR="004F187C">
        <w:t xml:space="preserve">, and </w:t>
      </w:r>
      <w:r w:rsidRPr="00874708" w:rsidR="00D2609A">
        <w:t>to provide a notice to consumers that stated, in part:</w:t>
      </w:r>
      <w:r w:rsidRPr="00874708" w:rsidR="004F187C">
        <w:t xml:space="preserve"> </w:t>
      </w:r>
      <w:r w:rsidRPr="00874708" w:rsidR="00D2609A">
        <w:t xml:space="preserve"> </w:t>
      </w:r>
      <w:r w:rsidRPr="00874708" w:rsidR="004F187C">
        <w:t>“</w:t>
      </w:r>
      <w:r w:rsidRPr="00874708" w:rsidR="0059382D">
        <w:t> </w:t>
      </w:r>
      <w:r w:rsidRPr="00874708" w:rsidR="00F808BF">
        <w:t>‘</w:t>
      </w:r>
      <w:r w:rsidRPr="00874708">
        <w:t>Funeral merchandise for future use is being delivered to you as part of this transaction.  You have a right to retain this merchandise under your custody or control or you may arrange for Neptune to take custody and control of the merchandise until time of need.  Neptune will then provide you a receipt for said merchandise</w:t>
      </w:r>
      <w:r w:rsidR="00874708">
        <w:t>. . . </w:t>
      </w:r>
      <w:r w:rsidRPr="00874708" w:rsidR="00874708">
        <w:t>.</w:t>
      </w:r>
      <w:r w:rsidRPr="00874708">
        <w:t xml:space="preserve">  The money used to pay for the merchandise will not be refunded to you and is not being placed in trust.</w:t>
      </w:r>
      <w:r w:rsidRPr="00874708" w:rsidR="00F808BF">
        <w:t>’</w:t>
      </w:r>
      <w:r w:rsidRPr="00874708" w:rsidR="0059382D">
        <w:t> </w:t>
      </w:r>
      <w:r w:rsidRPr="00874708">
        <w:t xml:space="preserve">”  </w:t>
      </w:r>
    </w:p>
    <w:p w:rsidR="0004462E" w:rsidRPr="00D521AD" w:rsidP="0004462E" w14:paraId="39B61362" w14:textId="3482B209">
      <w:pPr>
        <w:ind w:firstLine="720"/>
        <w:rPr>
          <w:highlight w:val="cyan"/>
        </w:rPr>
      </w:pPr>
      <w:r w:rsidRPr="00517FA0">
        <w:t>The administrative law judge found Neptune</w:t>
      </w:r>
      <w:r w:rsidRPr="00517FA0" w:rsidR="00F808BF">
        <w:t>’</w:t>
      </w:r>
      <w:r w:rsidRPr="00517FA0">
        <w:t xml:space="preserve">s apparent reliance on the settlement agreement did “raise troubling issues of fairness.  Such reliance, referred to as equitable estoppel, is a potential defense to the citation.  It was not, however, expressly raised by [Neptune] during the hearing and, therefore, is not properly before the tribunal.  [¶] </w:t>
      </w:r>
      <w:r w:rsidR="00517FA0">
        <w:t xml:space="preserve">. . .  </w:t>
      </w:r>
      <w:r w:rsidRPr="00517FA0">
        <w:t>Even if the doctrine of equitable estoppel had been raised” its application to this case “would be in direct contravention of section 7735</w:t>
      </w:r>
      <w:r w:rsidRPr="00517FA0" w:rsidR="00F808BF">
        <w:t>’</w:t>
      </w:r>
      <w:r w:rsidRPr="00517FA0">
        <w:t xml:space="preserve">s protections against the excesses and potential abuses of pre-need arrangements.”  </w:t>
      </w:r>
    </w:p>
    <w:p w:rsidR="001B3ED4" w:rsidRPr="00D5258A" w:rsidP="009256CA" w14:paraId="4EBDA83C" w14:textId="77777777">
      <w:pPr>
        <w:pStyle w:val="ListParagraph"/>
        <w:keepNext/>
        <w:ind w:left="0"/>
        <w:jc w:val="center"/>
      </w:pPr>
      <w:r w:rsidRPr="00D5258A">
        <w:t>B</w:t>
      </w:r>
    </w:p>
    <w:p w:rsidR="008722A9" w:rsidRPr="00D5258A" w:rsidP="009256CA" w14:paraId="64C7C3AB" w14:textId="210EC58E">
      <w:pPr>
        <w:pStyle w:val="ListParagraph"/>
        <w:keepNext/>
        <w:ind w:left="0"/>
        <w:jc w:val="center"/>
        <w:rPr>
          <w:i/>
          <w:iCs/>
        </w:rPr>
      </w:pPr>
      <w:r w:rsidRPr="00D5258A">
        <w:rPr>
          <w:i/>
          <w:iCs/>
        </w:rPr>
        <w:t>Equitable Estoppel Is Not Justified</w:t>
      </w:r>
    </w:p>
    <w:p w:rsidR="0004462E" w:rsidRPr="00D521AD" w:rsidP="009256CA" w14:paraId="7095474B" w14:textId="3737274D">
      <w:pPr>
        <w:keepNext/>
        <w:ind w:firstLine="720"/>
        <w:rPr>
          <w:highlight w:val="cyan"/>
        </w:rPr>
      </w:pPr>
      <w:r w:rsidRPr="00C663D7">
        <w:t xml:space="preserve">“The basic principles of equitable estoppel are well established and easily stated.  </w:t>
      </w:r>
      <w:r w:rsidRPr="00C663D7" w:rsidR="00F808BF">
        <w:t>‘</w:t>
      </w:r>
      <w:r w:rsidRPr="00C663D7">
        <w:t xml:space="preserve">Whenever a party has, by his </w:t>
      </w:r>
      <w:r w:rsidR="003031F2">
        <w:t xml:space="preserve">[or her] </w:t>
      </w:r>
      <w:r w:rsidRPr="00C663D7">
        <w:t xml:space="preserve">own statement or conduct, intentionally and deliberately led another to believe a particular thing true and to act upon such belief, he </w:t>
      </w:r>
      <w:r w:rsidR="003031F2">
        <w:t xml:space="preserve">[or she] </w:t>
      </w:r>
      <w:r w:rsidRPr="00C663D7">
        <w:t>is not, in any litigation arising out of such statement or conduct, permitted to contradict it.</w:t>
      </w:r>
      <w:r w:rsidRPr="00C663D7" w:rsidR="00F808BF">
        <w:t>’</w:t>
      </w:r>
      <w:r w:rsidRPr="00C663D7" w:rsidR="0059382D">
        <w:t> </w:t>
      </w:r>
      <w:r w:rsidRPr="00C663D7" w:rsidR="00AC62FC">
        <w:t xml:space="preserve">”  </w:t>
      </w:r>
      <w:r w:rsidRPr="00C663D7">
        <w:t>(</w:t>
      </w:r>
      <w:bookmarkStart w:id="16" w:name="dabmci_0bebea7971bf47e8a76a6d5e70217bc5"/>
      <w:r w:rsidRPr="00C663D7">
        <w:rPr>
          <w:i/>
          <w:iCs/>
        </w:rPr>
        <w:t>Honeywell v. Workers</w:t>
      </w:r>
      <w:r w:rsidRPr="00C663D7" w:rsidR="00F808BF">
        <w:rPr>
          <w:i/>
          <w:iCs/>
        </w:rPr>
        <w:t>’</w:t>
      </w:r>
      <w:r w:rsidRPr="00C663D7">
        <w:rPr>
          <w:i/>
          <w:iCs/>
        </w:rPr>
        <w:t xml:space="preserve"> Comp. Appeals Bd.</w:t>
      </w:r>
      <w:r w:rsidRPr="00C663D7">
        <w:t xml:space="preserve"> (2005) 35</w:t>
      </w:r>
      <w:r w:rsidRPr="00C663D7" w:rsidR="00ED0BB3">
        <w:t> Cal.</w:t>
      </w:r>
      <w:r w:rsidRPr="00C663D7">
        <w:t>4th 24, 37</w:t>
      </w:r>
      <w:bookmarkEnd w:id="16"/>
      <w:r w:rsidRPr="00C663D7">
        <w:t>.)</w:t>
      </w:r>
      <w:r w:rsidRPr="00C663D7" w:rsidR="00AC62FC">
        <w:t xml:space="preserve">  </w:t>
      </w:r>
      <w:r w:rsidRPr="00FC1292" w:rsidR="00FC1292">
        <w:t>“[</w:t>
      </w:r>
      <w:r w:rsidRPr="00FC1292">
        <w:t>E</w:t>
      </w:r>
      <w:r w:rsidRPr="00FC1292" w:rsidR="00FC1292">
        <w:t>]</w:t>
      </w:r>
      <w:r w:rsidRPr="00FC1292">
        <w:t xml:space="preserve">quitable estoppel may be applied against </w:t>
      </w:r>
      <w:r w:rsidRPr="00FC1292" w:rsidR="00AC62FC">
        <w:t>the government</w:t>
      </w:r>
      <w:r w:rsidRPr="00FC1292">
        <w:t xml:space="preserve"> where justice and right require it,” but “an estoppel will not be applied against the government if to do so would effectively nullify </w:t>
      </w:r>
      <w:r w:rsidRPr="00FC1292" w:rsidR="00F808BF">
        <w:t>‘</w:t>
      </w:r>
      <w:r w:rsidRPr="00FC1292">
        <w:t>a strong rule of policy, adopted for the benefit of the public.</w:t>
      </w:r>
      <w:r w:rsidRPr="00FC1292" w:rsidR="00F808BF">
        <w:t>’</w:t>
      </w:r>
      <w:r w:rsidRPr="00FC1292" w:rsidR="0059382D">
        <w:t> </w:t>
      </w:r>
      <w:r w:rsidRPr="00FC1292">
        <w:t>”  (</w:t>
      </w:r>
      <w:bookmarkStart w:id="17" w:name="dabmci_b061f72b38e24418890eb68741adb695"/>
      <w:r w:rsidRPr="00FC1292">
        <w:rPr>
          <w:i/>
          <w:iCs/>
        </w:rPr>
        <w:t>City of Long Beach v. Mansell</w:t>
      </w:r>
      <w:r w:rsidRPr="00FC1292">
        <w:t xml:space="preserve"> (1970) 3</w:t>
      </w:r>
      <w:r w:rsidRPr="00FC1292" w:rsidR="00ED0BB3">
        <w:t> Cal.</w:t>
      </w:r>
      <w:r w:rsidRPr="00FC1292">
        <w:t>3d 462, 49</w:t>
      </w:r>
      <w:r w:rsidRPr="002B7266">
        <w:t>3</w:t>
      </w:r>
      <w:bookmarkEnd w:id="17"/>
      <w:r w:rsidRPr="002B7266">
        <w:t xml:space="preserve">.)  </w:t>
      </w:r>
      <w:r w:rsidRPr="002B7266" w:rsidR="0086414B">
        <w:t>Thus, it is applied against the government in “</w:t>
      </w:r>
      <w:r w:rsidRPr="002B7266" w:rsidR="009256CA">
        <w:t> </w:t>
      </w:r>
      <w:r w:rsidRPr="002B7266" w:rsidR="00F808BF">
        <w:t>‘</w:t>
      </w:r>
      <w:r w:rsidRPr="002B7266" w:rsidR="0086414B">
        <w:t>exceptional cases</w:t>
      </w:r>
      <w:r w:rsidRPr="002B7266" w:rsidR="00F808BF">
        <w:t>’</w:t>
      </w:r>
      <w:r w:rsidRPr="002B7266" w:rsidR="009256CA">
        <w:t> </w:t>
      </w:r>
      <w:r w:rsidRPr="002B7266" w:rsidR="0086414B">
        <w:t xml:space="preserve">” </w:t>
      </w:r>
      <w:r w:rsidRPr="002B7266" w:rsidR="002B7266">
        <w:t>(</w:t>
      </w:r>
      <w:bookmarkStart w:id="18" w:name="dabmci_1930d2f1c2f441778f40be4839081a87"/>
      <w:r w:rsidRPr="002B7266" w:rsidR="002B7266">
        <w:rPr>
          <w:i/>
          <w:iCs/>
        </w:rPr>
        <w:t>id</w:t>
      </w:r>
      <w:r w:rsidRPr="002B7266" w:rsidR="002B7266">
        <w:t>. at p. 501</w:t>
      </w:r>
      <w:bookmarkEnd w:id="18"/>
      <w:r w:rsidRPr="002B7266" w:rsidR="002B7266">
        <w:t xml:space="preserve">) </w:t>
      </w:r>
      <w:r w:rsidRPr="002B7266" w:rsidR="0086414B">
        <w:t xml:space="preserve">where “the injustice </w:t>
      </w:r>
      <w:r w:rsidRPr="002B7266" w:rsidR="0051510F">
        <w:t>[that]</w:t>
      </w:r>
      <w:r w:rsidRPr="002B7266" w:rsidR="0086414B">
        <w:t xml:space="preserve"> would result from a failure to uphold an estoppel is of sufficient dimension to justify any effect upon public interest or policy </w:t>
      </w:r>
      <w:r w:rsidRPr="002B7266" w:rsidR="0051510F">
        <w:t>[that]</w:t>
      </w:r>
      <w:r w:rsidRPr="002B7266" w:rsidR="0086414B">
        <w:t xml:space="preserve"> would result from the raising of an estoppel” (</w:t>
      </w:r>
      <w:bookmarkStart w:id="19" w:name="dabmci_a794a9c9448546ecbae5daff3f2d3aba"/>
      <w:r w:rsidR="00232098">
        <w:rPr>
          <w:i/>
          <w:iCs/>
        </w:rPr>
        <w:t>i</w:t>
      </w:r>
      <w:r w:rsidRPr="002B7266" w:rsidR="0086414B">
        <w:rPr>
          <w:i/>
          <w:iCs/>
        </w:rPr>
        <w:t>d</w:t>
      </w:r>
      <w:r w:rsidRPr="002B7266" w:rsidR="0086414B">
        <w:t>. at p</w:t>
      </w:r>
      <w:r w:rsidRPr="002B7266" w:rsidR="00ED0BB3">
        <w:t>p. </w:t>
      </w:r>
      <w:r w:rsidRPr="002B7266" w:rsidR="0086414B">
        <w:t>496-497</w:t>
      </w:r>
      <w:bookmarkEnd w:id="19"/>
      <w:r w:rsidRPr="002B7266" w:rsidR="0086414B">
        <w:t>)</w:t>
      </w:r>
      <w:r w:rsidR="00232098">
        <w:t xml:space="preserve">.  </w:t>
      </w:r>
    </w:p>
    <w:p w:rsidR="00A81690" w:rsidRPr="00920316" w:rsidP="00A81690" w14:paraId="07227823" w14:textId="1C0B0BBF">
      <w:pPr>
        <w:ind w:firstLine="720"/>
      </w:pPr>
      <w:r w:rsidRPr="00920316">
        <w:t>“Although estoppel is generally a question of fact, where the facts are undisputed and only one reasonable conclusion can be drawn from them, whether estoppel applies is a question of law.  [Citations.]  Moreover, where estoppel is sought against the government, ‘the weighing of policy concerns’ is, in part, a question of law.”  (</w:t>
      </w:r>
      <w:bookmarkStart w:id="20" w:name="dabmci_0103f2e80362430e805ca174f2906b40"/>
      <w:r w:rsidRPr="00920316">
        <w:rPr>
          <w:i/>
          <w:iCs/>
        </w:rPr>
        <w:t>Feduniak</w:t>
      </w:r>
      <w:r w:rsidRPr="00920316" w:rsidR="009256CA">
        <w:rPr>
          <w:i/>
          <w:iCs/>
        </w:rPr>
        <w:t> </w:t>
      </w:r>
      <w:r w:rsidRPr="00920316">
        <w:rPr>
          <w:i/>
          <w:iCs/>
        </w:rPr>
        <w:t xml:space="preserve">v. California Coastal Com. </w:t>
      </w:r>
      <w:r w:rsidRPr="00920316">
        <w:t>(2007) 148</w:t>
      </w:r>
      <w:r w:rsidRPr="00920316" w:rsidR="00ED0BB3">
        <w:t> Cal.</w:t>
      </w:r>
      <w:r w:rsidRPr="00920316">
        <w:t>App.4th 1346, 1360</w:t>
      </w:r>
      <w:bookmarkEnd w:id="20"/>
      <w:r w:rsidRPr="00920316">
        <w:t>.)</w:t>
      </w:r>
    </w:p>
    <w:p w:rsidR="0086414B" w:rsidRPr="00920316" w:rsidP="0086414B" w14:paraId="3EBECC05" w14:textId="792FAA87">
      <w:pPr>
        <w:ind w:firstLine="720"/>
      </w:pPr>
      <w:r w:rsidRPr="00517FA0">
        <w:t xml:space="preserve">Assuming </w:t>
      </w:r>
      <w:r w:rsidRPr="00517FA0" w:rsidR="00D2609A">
        <w:t xml:space="preserve">Neptune could establish </w:t>
      </w:r>
      <w:r w:rsidRPr="00517FA0" w:rsidR="007540A2">
        <w:t xml:space="preserve">the elements of </w:t>
      </w:r>
      <w:r w:rsidRPr="00517FA0" w:rsidR="00AC62FC">
        <w:t>equitable estoppel</w:t>
      </w:r>
      <w:r w:rsidRPr="00517FA0">
        <w:t>,</w:t>
      </w:r>
      <w:r w:rsidRPr="00517FA0" w:rsidR="00FB72BD">
        <w:t xml:space="preserve"> applying it against the government in this instance </w:t>
      </w:r>
      <w:r w:rsidRPr="00517FA0">
        <w:t xml:space="preserve">would permit Neptune to violate the Short Act.  And not just for T.R., but </w:t>
      </w:r>
      <w:r w:rsidR="008B53ED">
        <w:t xml:space="preserve">for </w:t>
      </w:r>
      <w:r w:rsidRPr="00517FA0">
        <w:t>any agreements</w:t>
      </w:r>
      <w:r w:rsidRPr="00517FA0" w:rsidR="007540A2">
        <w:t xml:space="preserve"> between Neptune and its customers</w:t>
      </w:r>
      <w:r w:rsidRPr="00517FA0" w:rsidR="001A3B2B">
        <w:t xml:space="preserve"> the settlement agreement covers</w:t>
      </w:r>
      <w:r w:rsidRPr="00517FA0">
        <w:t>.  This would fundamentally undermine the Short Act</w:t>
      </w:r>
      <w:r w:rsidRPr="00517FA0" w:rsidR="00A67735">
        <w:t xml:space="preserve"> by</w:t>
      </w:r>
      <w:r w:rsidRPr="00517FA0">
        <w:t xml:space="preserve"> leaving </w:t>
      </w:r>
      <w:r w:rsidRPr="00517FA0" w:rsidR="00DB2B22">
        <w:t>many</w:t>
      </w:r>
      <w:r w:rsidRPr="00517FA0">
        <w:t xml:space="preserve"> consumers</w:t>
      </w:r>
      <w:r w:rsidRPr="00517FA0" w:rsidR="00A67735">
        <w:t xml:space="preserve"> </w:t>
      </w:r>
      <w:r w:rsidRPr="00920316" w:rsidR="00A67735">
        <w:t>unprotected</w:t>
      </w:r>
      <w:r w:rsidRPr="00920316">
        <w:t xml:space="preserve">.  Neptune </w:t>
      </w:r>
      <w:r w:rsidRPr="00920316" w:rsidR="00AC62FC">
        <w:t xml:space="preserve">also </w:t>
      </w:r>
      <w:r w:rsidRPr="00920316">
        <w:t xml:space="preserve">does not provide any convincing argument it would be unduly burdened by </w:t>
      </w:r>
      <w:r w:rsidRPr="00920316" w:rsidR="00AC62FC">
        <w:t>adhering</w:t>
      </w:r>
      <w:r w:rsidRPr="00920316">
        <w:t xml:space="preserve"> </w:t>
      </w:r>
      <w:r w:rsidRPr="00920316" w:rsidR="00FB72BD">
        <w:t xml:space="preserve">to </w:t>
      </w:r>
      <w:r w:rsidRPr="00920316">
        <w:t xml:space="preserve">the Short Act </w:t>
      </w:r>
      <w:r w:rsidRPr="00920316" w:rsidR="00AC62FC">
        <w:t>any more</w:t>
      </w:r>
      <w:r w:rsidRPr="00920316">
        <w:t xml:space="preserve"> than </w:t>
      </w:r>
      <w:r w:rsidRPr="00920316" w:rsidR="00A67735">
        <w:t>every</w:t>
      </w:r>
      <w:r w:rsidRPr="00920316">
        <w:t xml:space="preserve"> other licensed California funeral or cemetery business.</w:t>
      </w:r>
    </w:p>
    <w:p w:rsidR="00C95332" w:rsidRPr="00517FA0" w:rsidP="0086414B" w14:paraId="0DD8DA44" w14:textId="373A0A2D">
      <w:pPr>
        <w:ind w:firstLine="720"/>
      </w:pPr>
      <w:r w:rsidRPr="006D36F5">
        <w:t xml:space="preserve">The bar is high to apply equitable estoppel against a government agency.  For example, </w:t>
      </w:r>
      <w:r w:rsidRPr="006D36F5" w:rsidR="00FB72BD">
        <w:t xml:space="preserve">our Supreme Court found it appropriate in the </w:t>
      </w:r>
      <w:r w:rsidRPr="006D36F5">
        <w:t xml:space="preserve">foundational case </w:t>
      </w:r>
      <w:r w:rsidRPr="006D36F5" w:rsidR="009272A9">
        <w:rPr>
          <w:i/>
          <w:iCs/>
        </w:rPr>
        <w:t>Mansell</w:t>
      </w:r>
      <w:r w:rsidRPr="006D36F5" w:rsidR="009272A9">
        <w:t xml:space="preserve">, </w:t>
      </w:r>
      <w:r w:rsidRPr="006D36F5">
        <w:t xml:space="preserve">where </w:t>
      </w:r>
      <w:r w:rsidRPr="006D36F5" w:rsidR="00E17129">
        <w:t>a city purported to relinquish all claims to certain land and</w:t>
      </w:r>
      <w:r w:rsidRPr="006D36F5" w:rsidR="00061A20">
        <w:t xml:space="preserve"> “exercised full municipal jurisdiction over it—</w:t>
      </w:r>
      <w:r w:rsidRPr="006D36F5" w:rsidR="00E723B6">
        <w:t>granting building permits, approving subdivision maps, constructing and maintaining streets and city services, collecting taxes</w:t>
      </w:r>
      <w:r w:rsidRPr="006D36F5" w:rsidR="00E17129">
        <w:t>.</w:t>
      </w:r>
      <w:r w:rsidRPr="006D36F5" w:rsidR="00E723B6">
        <w:t xml:space="preserve">”  </w:t>
      </w:r>
      <w:r w:rsidRPr="006D36F5" w:rsidR="00061A20">
        <w:t>(</w:t>
      </w:r>
      <w:bookmarkStart w:id="21" w:name="dabmci_7b9669a6bf4c40cb9d76e2197b84eee9"/>
      <w:r w:rsidRPr="006D36F5" w:rsidR="0059382D">
        <w:rPr>
          <w:i/>
          <w:iCs/>
        </w:rPr>
        <w:t xml:space="preserve">City of Long Beach v. </w:t>
      </w:r>
      <w:r w:rsidRPr="006D36F5" w:rsidR="00061A20">
        <w:rPr>
          <w:i/>
          <w:iCs/>
        </w:rPr>
        <w:t>Mansell</w:t>
      </w:r>
      <w:r w:rsidRPr="006D36F5" w:rsidR="00061A20">
        <w:t>,</w:t>
      </w:r>
      <w:r w:rsidRPr="006D36F5" w:rsidR="00061A20">
        <w:rPr>
          <w:i/>
          <w:iCs/>
        </w:rPr>
        <w:t xml:space="preserve"> supra</w:t>
      </w:r>
      <w:r w:rsidRPr="006D36F5" w:rsidR="00061A20">
        <w:t>, 3</w:t>
      </w:r>
      <w:r w:rsidRPr="006D36F5" w:rsidR="00ED0BB3">
        <w:t> Cal.</w:t>
      </w:r>
      <w:r w:rsidRPr="006D36F5" w:rsidR="00061A20">
        <w:t xml:space="preserve">3d at </w:t>
      </w:r>
      <w:r w:rsidRPr="006D36F5" w:rsidR="00ED0BB3">
        <w:t>p. </w:t>
      </w:r>
      <w:r w:rsidRPr="006D36F5" w:rsidR="00061A20">
        <w:t>487</w:t>
      </w:r>
      <w:bookmarkEnd w:id="21"/>
      <w:r w:rsidRPr="006D36F5" w:rsidR="00061A20">
        <w:t>.)</w:t>
      </w:r>
      <w:r w:rsidRPr="006D36F5" w:rsidR="00035323">
        <w:t xml:space="preserve">  </w:t>
      </w:r>
      <w:r w:rsidRPr="002B7266" w:rsidR="00395597">
        <w:t>After t</w:t>
      </w:r>
      <w:r w:rsidRPr="002B7266" w:rsidR="00035323">
        <w:t>itle to the land became clouded</w:t>
      </w:r>
      <w:r w:rsidR="00232098">
        <w:t xml:space="preserve"> (</w:t>
      </w:r>
      <w:bookmarkStart w:id="22" w:name="dabmci_8844e9837fa544e6ae20701f4a592d4f"/>
      <w:r w:rsidR="00232098">
        <w:rPr>
          <w:i/>
          <w:iCs/>
        </w:rPr>
        <w:t>id</w:t>
      </w:r>
      <w:r w:rsidR="00232098">
        <w:t>. at p. 467</w:t>
      </w:r>
      <w:bookmarkEnd w:id="22"/>
      <w:r w:rsidR="00232098">
        <w:t>)</w:t>
      </w:r>
      <w:r w:rsidRPr="002B7266" w:rsidR="00395597">
        <w:t>, o</w:t>
      </w:r>
      <w:r w:rsidRPr="002B7266" w:rsidR="00E17129">
        <w:t>ur Supreme Court found this exhibited “</w:t>
      </w:r>
      <w:r w:rsidRPr="006D36F5" w:rsidR="00E17129">
        <w:t xml:space="preserve">the rare combination of government conduct and extensive reliance” justifying equitable estoppel against the government because </w:t>
      </w:r>
      <w:r w:rsidRPr="006D36F5">
        <w:t>“thousands of homeowners who, through the long continuing conduct of the government entities involved, ha</w:t>
      </w:r>
      <w:r w:rsidR="008B53ED">
        <w:t>[d]</w:t>
      </w:r>
      <w:r w:rsidRPr="006D36F5">
        <w:t xml:space="preserve"> been led to believe and ha</w:t>
      </w:r>
      <w:r w:rsidR="008B53ED">
        <w:t>[d]</w:t>
      </w:r>
      <w:r w:rsidRPr="006D36F5">
        <w:t xml:space="preserve"> acted upon the belief that the lands upon which they reside</w:t>
      </w:r>
      <w:r w:rsidR="008B53ED">
        <w:t>[d] [we]</w:t>
      </w:r>
      <w:r w:rsidRPr="006D36F5">
        <w:t>re their own private properties” (</w:t>
      </w:r>
      <w:bookmarkStart w:id="23" w:name="dabmci_023c1d315a3a4d00985bea4a81016273"/>
      <w:r w:rsidR="003216CB">
        <w:rPr>
          <w:i/>
          <w:iCs/>
        </w:rPr>
        <w:t>id</w:t>
      </w:r>
      <w:r w:rsidR="003216CB">
        <w:t>.</w:t>
      </w:r>
      <w:r w:rsidRPr="006D36F5">
        <w:rPr>
          <w:i/>
          <w:iCs/>
        </w:rPr>
        <w:t xml:space="preserve"> </w:t>
      </w:r>
      <w:r w:rsidRPr="006D36F5">
        <w:t xml:space="preserve">at </w:t>
      </w:r>
      <w:r w:rsidRPr="006D36F5" w:rsidR="00ED0BB3">
        <w:t>p. </w:t>
      </w:r>
      <w:r w:rsidRPr="006D36F5">
        <w:t>500</w:t>
      </w:r>
      <w:bookmarkEnd w:id="23"/>
      <w:r w:rsidRPr="006D36F5">
        <w:t>)</w:t>
      </w:r>
      <w:r w:rsidR="003216CB">
        <w:t>.</w:t>
      </w:r>
      <w:r w:rsidRPr="006D36F5">
        <w:t xml:space="preserve">  </w:t>
      </w:r>
      <w:r w:rsidRPr="006D36F5" w:rsidR="00632387">
        <w:t>Neptune</w:t>
      </w:r>
      <w:r w:rsidRPr="00920316" w:rsidR="00632387">
        <w:t xml:space="preserve"> has not established </w:t>
      </w:r>
      <w:r w:rsidRPr="00920316">
        <w:t xml:space="preserve">such extreme behavior on the part of the </w:t>
      </w:r>
      <w:r w:rsidRPr="00920316" w:rsidR="000A3BA5">
        <w:t>Bureau</w:t>
      </w:r>
      <w:r w:rsidRPr="00920316">
        <w:t xml:space="preserve"> nor such extreme and extensive </w:t>
      </w:r>
      <w:r w:rsidRPr="00920316" w:rsidR="00061A20">
        <w:t>damage</w:t>
      </w:r>
      <w:r w:rsidRPr="00920316">
        <w:t xml:space="preserve"> </w:t>
      </w:r>
      <w:r w:rsidRPr="00920316" w:rsidR="00035323">
        <w:t xml:space="preserve">to </w:t>
      </w:r>
      <w:r w:rsidRPr="00920316" w:rsidR="000A3BA5">
        <w:t>itself</w:t>
      </w:r>
      <w:r w:rsidRPr="00920316" w:rsidR="00061A20">
        <w:t xml:space="preserve"> </w:t>
      </w:r>
      <w:r w:rsidRPr="00920316">
        <w:t>is present here.  We consequently conclude equitable</w:t>
      </w:r>
      <w:r w:rsidRPr="00517FA0">
        <w:t xml:space="preserve"> estoppel </w:t>
      </w:r>
      <w:r w:rsidRPr="00517FA0" w:rsidR="00D2609A">
        <w:t>would</w:t>
      </w:r>
      <w:r w:rsidRPr="00517FA0">
        <w:t xml:space="preserve"> </w:t>
      </w:r>
      <w:r w:rsidRPr="00517FA0" w:rsidR="00A67735">
        <w:t xml:space="preserve">not </w:t>
      </w:r>
      <w:r w:rsidRPr="00517FA0">
        <w:t>justify a reversal.</w:t>
      </w:r>
    </w:p>
    <w:p w:rsidR="0086414B" w:rsidRPr="00D5258A" w:rsidP="009256CA" w14:paraId="4B0B1809" w14:textId="0DBC468F">
      <w:pPr>
        <w:keepNext/>
        <w:jc w:val="center"/>
        <w:rPr>
          <w:bCs/>
        </w:rPr>
      </w:pPr>
      <w:r w:rsidRPr="00D5258A">
        <w:rPr>
          <w:bCs/>
        </w:rPr>
        <w:t>DISPOSITION</w:t>
      </w:r>
    </w:p>
    <w:p w:rsidR="0086414B" w:rsidP="009256CA" w14:paraId="7E405EA6" w14:textId="64014A2B">
      <w:pPr>
        <w:keepNext/>
        <w:rPr>
          <w:bCs/>
        </w:rPr>
      </w:pPr>
      <w:r w:rsidRPr="00C663D7">
        <w:rPr>
          <w:bCs/>
        </w:rPr>
        <w:tab/>
      </w:r>
      <w:r w:rsidRPr="00C663D7" w:rsidR="00E819D7">
        <w:rPr>
          <w:bCs/>
        </w:rPr>
        <w:t>The judgment is affirmed.  The parties shall bear their own costs on appeal.  (</w:t>
      </w:r>
      <w:bookmarkStart w:id="24" w:name="dabmci_e937f13adf90445382e88bdc37538cb3"/>
      <w:r w:rsidRPr="00C663D7" w:rsidR="00E819D7">
        <w:rPr>
          <w:bCs/>
        </w:rPr>
        <w:t>Cal. Rules of Court, rule 8.278(a)(5)</w:t>
      </w:r>
      <w:bookmarkEnd w:id="24"/>
      <w:r w:rsidRPr="00C663D7" w:rsidR="00E819D7">
        <w:rPr>
          <w:bCs/>
        </w:rPr>
        <w:t>.)</w:t>
      </w:r>
      <w:bookmarkEnd w:id="0"/>
    </w:p>
    <w:p w:rsidR="00542604" w:rsidP="009256CA" w14:paraId="736CB124" w14:textId="77777777">
      <w:pPr>
        <w:keepNext/>
        <w:rPr>
          <w:bCs/>
        </w:rPr>
      </w:pPr>
    </w:p>
    <w:p w:rsidR="00542604" w:rsidP="00542604" w14:paraId="17C5BCFB" w14:textId="77777777">
      <w:pPr>
        <w:keepNext/>
        <w:spacing w:line="240" w:lineRule="auto"/>
        <w:rPr>
          <w:bCs/>
        </w:rPr>
      </w:pPr>
    </w:p>
    <w:p w:rsidR="00542604" w:rsidP="00542604" w14:paraId="3C61E25A" w14:textId="77777777">
      <w:pPr>
        <w:keepNext/>
        <w:spacing w:line="240" w:lineRule="auto"/>
        <w:rPr>
          <w:bCs/>
        </w:rPr>
      </w:pPr>
    </w:p>
    <w:p w:rsidR="00542604" w:rsidP="00542604" w14:paraId="24AA0648" w14:textId="77777777">
      <w:pPr>
        <w:keepNext/>
        <w:spacing w:line="240" w:lineRule="auto"/>
        <w:rPr>
          <w:bCs/>
        </w:rPr>
      </w:pPr>
    </w:p>
    <w:p w:rsidR="00542604" w:rsidP="00542604" w14:paraId="3E94990F" w14:textId="77777777">
      <w:pPr>
        <w:keepNext/>
        <w:spacing w:line="240" w:lineRule="auto"/>
        <w:rPr>
          <w:bCs/>
        </w:rPr>
      </w:pPr>
    </w:p>
    <w:p w:rsidR="00542604" w:rsidP="00542604" w14:paraId="0E010F5A" w14:textId="18C8C5A5">
      <w:pPr>
        <w:keepNext/>
        <w:tabs>
          <w:tab w:val="left" w:pos="5040"/>
          <w:tab w:val="left" w:pos="7920"/>
        </w:tabs>
        <w:spacing w:line="240" w:lineRule="auto"/>
        <w:rPr>
          <w:bCs/>
          <w:u w:val="single"/>
        </w:rPr>
      </w:pPr>
      <w:r>
        <w:rPr>
          <w:bCs/>
        </w:rPr>
        <w:tab/>
      </w:r>
      <w:r w:rsidRPr="00542604">
        <w:rPr>
          <w:bCs/>
          <w:u w:val="single"/>
        </w:rPr>
        <w:t xml:space="preserve"> </w:t>
      </w:r>
      <w:r w:rsidR="003F60BA">
        <w:rPr>
          <w:bCs/>
          <w:u w:val="single"/>
        </w:rPr>
        <w:t>/s/</w:t>
      </w:r>
      <w:r w:rsidRPr="00542604">
        <w:rPr>
          <w:bCs/>
          <w:u w:val="single"/>
        </w:rPr>
        <w:t xml:space="preserve">         </w:t>
      </w:r>
      <w:r w:rsidRPr="00542604">
        <w:rPr>
          <w:bCs/>
          <w:u w:val="single"/>
        </w:rPr>
        <w:tab/>
      </w:r>
    </w:p>
    <w:p w:rsidR="00542604" w:rsidP="00542604" w14:paraId="2C8377B4" w14:textId="7EBDB4DC">
      <w:pPr>
        <w:keepNext/>
        <w:tabs>
          <w:tab w:val="left" w:pos="5040"/>
          <w:tab w:val="left" w:pos="7920"/>
        </w:tabs>
        <w:spacing w:line="240" w:lineRule="auto"/>
        <w:rPr>
          <w:bCs/>
        </w:rPr>
      </w:pPr>
      <w:r>
        <w:rPr>
          <w:bCs/>
        </w:rPr>
        <w:tab/>
        <w:t>ROBIE, Acting P. J.</w:t>
      </w:r>
    </w:p>
    <w:p w:rsidR="00542604" w:rsidP="00542604" w14:paraId="4E33818E" w14:textId="77777777">
      <w:pPr>
        <w:keepNext/>
        <w:tabs>
          <w:tab w:val="left" w:pos="5040"/>
          <w:tab w:val="left" w:pos="7920"/>
        </w:tabs>
        <w:spacing w:line="240" w:lineRule="auto"/>
        <w:rPr>
          <w:bCs/>
        </w:rPr>
      </w:pPr>
    </w:p>
    <w:p w:rsidR="00542604" w:rsidP="00542604" w14:paraId="31C8FC46" w14:textId="77777777">
      <w:pPr>
        <w:keepNext/>
        <w:tabs>
          <w:tab w:val="left" w:pos="5040"/>
          <w:tab w:val="left" w:pos="7920"/>
        </w:tabs>
        <w:spacing w:line="240" w:lineRule="auto"/>
        <w:rPr>
          <w:bCs/>
        </w:rPr>
      </w:pPr>
    </w:p>
    <w:p w:rsidR="00542604" w:rsidP="00542604" w14:paraId="632B0435" w14:textId="77777777">
      <w:pPr>
        <w:keepNext/>
        <w:tabs>
          <w:tab w:val="left" w:pos="5040"/>
          <w:tab w:val="left" w:pos="7920"/>
        </w:tabs>
        <w:spacing w:line="240" w:lineRule="auto"/>
        <w:rPr>
          <w:bCs/>
        </w:rPr>
      </w:pPr>
    </w:p>
    <w:p w:rsidR="00542604" w:rsidP="00542604" w14:paraId="24183AC5" w14:textId="50935EF9">
      <w:pPr>
        <w:keepNext/>
        <w:spacing w:line="240" w:lineRule="auto"/>
        <w:rPr>
          <w:bCs/>
        </w:rPr>
      </w:pPr>
      <w:r>
        <w:rPr>
          <w:bCs/>
        </w:rPr>
        <w:t>We concur:</w:t>
      </w:r>
    </w:p>
    <w:p w:rsidR="00542604" w:rsidP="00542604" w14:paraId="21409E6E" w14:textId="77777777">
      <w:pPr>
        <w:keepNext/>
        <w:spacing w:line="240" w:lineRule="auto"/>
        <w:rPr>
          <w:bCs/>
        </w:rPr>
      </w:pPr>
    </w:p>
    <w:p w:rsidR="00C63387" w:rsidP="00542604" w14:paraId="3B21F4B1" w14:textId="77777777">
      <w:pPr>
        <w:keepNext/>
        <w:spacing w:line="240" w:lineRule="auto"/>
        <w:rPr>
          <w:bCs/>
        </w:rPr>
      </w:pPr>
    </w:p>
    <w:p w:rsidR="00542604" w:rsidP="00542604" w14:paraId="7DC5C7D4" w14:textId="77777777">
      <w:pPr>
        <w:keepNext/>
        <w:spacing w:line="240" w:lineRule="auto"/>
        <w:rPr>
          <w:bCs/>
        </w:rPr>
      </w:pPr>
    </w:p>
    <w:p w:rsidR="00542604" w:rsidP="00542604" w14:paraId="5B74F567" w14:textId="77777777">
      <w:pPr>
        <w:keepNext/>
        <w:spacing w:line="240" w:lineRule="auto"/>
        <w:rPr>
          <w:bCs/>
        </w:rPr>
      </w:pPr>
    </w:p>
    <w:p w:rsidR="0014418F" w:rsidP="00542604" w14:paraId="1498E3FC" w14:textId="63FB45BE">
      <w:pPr>
        <w:keepNext/>
        <w:tabs>
          <w:tab w:val="left" w:pos="2880"/>
        </w:tabs>
        <w:spacing w:line="240" w:lineRule="auto"/>
        <w:rPr>
          <w:bCs/>
          <w:u w:val="single"/>
        </w:rPr>
      </w:pPr>
      <w:r w:rsidRPr="00542604">
        <w:rPr>
          <w:bCs/>
          <w:u w:val="single"/>
        </w:rPr>
        <w:t xml:space="preserve"> </w:t>
      </w:r>
      <w:r w:rsidR="003F60BA">
        <w:rPr>
          <w:bCs/>
          <w:u w:val="single"/>
        </w:rPr>
        <w:t>/s/</w:t>
      </w:r>
      <w:r w:rsidRPr="00542604">
        <w:rPr>
          <w:bCs/>
          <w:u w:val="single"/>
        </w:rPr>
        <w:t xml:space="preserve">         </w:t>
      </w:r>
      <w:r w:rsidRPr="00542604">
        <w:rPr>
          <w:bCs/>
          <w:u w:val="single"/>
        </w:rPr>
        <w:tab/>
      </w:r>
    </w:p>
    <w:p w:rsidR="00542604" w:rsidP="00542604" w14:paraId="1E580491" w14:textId="30C25A9F">
      <w:pPr>
        <w:keepNext/>
        <w:tabs>
          <w:tab w:val="left" w:pos="2880"/>
        </w:tabs>
        <w:spacing w:line="240" w:lineRule="auto"/>
        <w:rPr>
          <w:bCs/>
        </w:rPr>
      </w:pPr>
      <w:r>
        <w:rPr>
          <w:bCs/>
        </w:rPr>
        <w:t>DUARTE, J.</w:t>
      </w:r>
    </w:p>
    <w:p w:rsidR="00542604" w:rsidP="00542604" w14:paraId="3D796827" w14:textId="77777777">
      <w:pPr>
        <w:keepNext/>
        <w:tabs>
          <w:tab w:val="left" w:pos="2880"/>
        </w:tabs>
        <w:spacing w:line="240" w:lineRule="auto"/>
        <w:rPr>
          <w:bCs/>
        </w:rPr>
      </w:pPr>
    </w:p>
    <w:p w:rsidR="00542604" w:rsidP="00542604" w14:paraId="32565351" w14:textId="77777777">
      <w:pPr>
        <w:keepNext/>
        <w:tabs>
          <w:tab w:val="left" w:pos="2880"/>
        </w:tabs>
        <w:spacing w:line="240" w:lineRule="auto"/>
        <w:rPr>
          <w:bCs/>
        </w:rPr>
      </w:pPr>
    </w:p>
    <w:p w:rsidR="00C63387" w:rsidP="00542604" w14:paraId="58648DAB" w14:textId="77777777">
      <w:pPr>
        <w:keepNext/>
        <w:tabs>
          <w:tab w:val="left" w:pos="2880"/>
        </w:tabs>
        <w:spacing w:line="240" w:lineRule="auto"/>
        <w:rPr>
          <w:bCs/>
        </w:rPr>
      </w:pPr>
    </w:p>
    <w:p w:rsidR="00542604" w:rsidP="00542604" w14:paraId="56BB96E4" w14:textId="77777777">
      <w:pPr>
        <w:keepNext/>
        <w:tabs>
          <w:tab w:val="left" w:pos="2880"/>
        </w:tabs>
        <w:spacing w:line="240" w:lineRule="auto"/>
        <w:rPr>
          <w:bCs/>
        </w:rPr>
      </w:pPr>
    </w:p>
    <w:p w:rsidR="0014418F" w:rsidP="00542604" w14:paraId="54CEDA70" w14:textId="1AF7A0A8">
      <w:pPr>
        <w:keepNext/>
        <w:tabs>
          <w:tab w:val="left" w:pos="2880"/>
        </w:tabs>
        <w:spacing w:line="240" w:lineRule="auto"/>
        <w:rPr>
          <w:bCs/>
          <w:u w:val="single"/>
        </w:rPr>
      </w:pPr>
      <w:r w:rsidRPr="00542604">
        <w:rPr>
          <w:bCs/>
          <w:u w:val="single"/>
        </w:rPr>
        <w:t xml:space="preserve"> </w:t>
      </w:r>
      <w:r w:rsidR="003F60BA">
        <w:rPr>
          <w:bCs/>
          <w:u w:val="single"/>
        </w:rPr>
        <w:t>/s/</w:t>
      </w:r>
      <w:r w:rsidRPr="00542604">
        <w:rPr>
          <w:bCs/>
          <w:u w:val="single"/>
        </w:rPr>
        <w:t xml:space="preserve">         </w:t>
      </w:r>
      <w:r w:rsidRPr="00542604">
        <w:rPr>
          <w:bCs/>
          <w:u w:val="single"/>
        </w:rPr>
        <w:tab/>
      </w:r>
    </w:p>
    <w:p w:rsidR="00542604" w:rsidRPr="0014418F" w:rsidP="0014418F" w14:paraId="6A7ED92E" w14:textId="4A1EC18B">
      <w:pPr>
        <w:keepNext/>
        <w:tabs>
          <w:tab w:val="left" w:pos="2880"/>
        </w:tabs>
        <w:spacing w:line="240" w:lineRule="auto"/>
        <w:rPr>
          <w:bCs/>
        </w:rPr>
      </w:pPr>
      <w:r>
        <w:rPr>
          <w:bCs/>
        </w:rPr>
        <w:t>BOULWARE EURIE, J.</w:t>
      </w:r>
    </w:p>
    <w:sectPr w:rsidSect="00542604">
      <w:footerReference w:type="default" r:id="rId6"/>
      <w:pgSz w:w="12240" w:h="15840" w:code="1"/>
      <w:pgMar w:top="1440" w:right="1440" w:bottom="1440" w:left="144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7756" w:rsidRPr="00542604" w:rsidP="00542604" w14:paraId="7FDD6C1E" w14:textId="7C6733E4">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045C1" w14:paraId="3A8BC045" w14:textId="77777777">
      <w:r>
        <w:separator/>
      </w:r>
    </w:p>
  </w:footnote>
  <w:footnote w:type="continuationSeparator" w:id="1">
    <w:p w:rsidR="008045C1" w14:paraId="48D0FEF8" w14:textId="77777777">
      <w:r>
        <w:continuationSeparator/>
      </w:r>
    </w:p>
  </w:footnote>
  <w:footnote w:id="2">
    <w:p w:rsidR="00542604" w14:paraId="753E9574" w14:textId="7152FF51">
      <w:pPr>
        <w:pStyle w:val="FootnoteText"/>
      </w:pPr>
      <w:r>
        <w:rPr>
          <w:rStyle w:val="FootnoteReference"/>
        </w:rPr>
        <w:t>*</w:t>
      </w:r>
      <w:r w:rsidR="0014418F">
        <w:tab/>
      </w:r>
      <w:r>
        <w:t xml:space="preserve">Pursuant to California Rules of Court, rules 8.1105 and 8.1110, this opinion is certified for publication with the exception of </w:t>
      </w:r>
      <w:r w:rsidR="0014418F">
        <w:t>part II of the Discussion.</w:t>
      </w:r>
    </w:p>
  </w:footnote>
  <w:footnote w:id="3">
    <w:p w:rsidR="00ED0BB3" w:rsidP="00ED0BB3" w14:paraId="079651A1" w14:textId="77777777">
      <w:pPr>
        <w:pStyle w:val="FootnoteText"/>
      </w:pPr>
      <w:r>
        <w:rPr>
          <w:rStyle w:val="FootnoteReference"/>
        </w:rPr>
        <w:footnoteRef/>
      </w:r>
      <w:r>
        <w:tab/>
      </w:r>
      <w:r w:rsidRPr="007D03DC">
        <w:t xml:space="preserve">Undesignated </w:t>
      </w:r>
      <w:r>
        <w:t>section</w:t>
      </w:r>
      <w:r w:rsidRPr="007D03DC">
        <w:t xml:space="preserve"> references are to the </w:t>
      </w:r>
      <w:r>
        <w:t>Business and Professions Code</w:t>
      </w:r>
      <w:r w:rsidRPr="007D03DC">
        <w:t>.</w:t>
      </w:r>
    </w:p>
  </w:footnote>
  <w:footnote w:id="4">
    <w:p w:rsidR="007A38BA" w:rsidP="005167A6" w14:paraId="7E7E5558" w14:textId="47057D87">
      <w:pPr>
        <w:pStyle w:val="FootnoteText"/>
      </w:pPr>
      <w:r w:rsidRPr="00F808BF">
        <w:rPr>
          <w:rStyle w:val="FootnoteReference"/>
        </w:rPr>
        <w:footnoteRef/>
      </w:r>
      <w:r w:rsidR="005167A6">
        <w:tab/>
      </w:r>
      <w:r w:rsidRPr="00920316">
        <w:t xml:space="preserve">The </w:t>
      </w:r>
      <w:r w:rsidRPr="00920316" w:rsidR="00EE3325">
        <w:t>Bureau</w:t>
      </w:r>
      <w:r w:rsidRPr="00920316">
        <w:t xml:space="preserve"> argue</w:t>
      </w:r>
      <w:r w:rsidRPr="00920316" w:rsidR="00F808BF">
        <w:t>s</w:t>
      </w:r>
      <w:r w:rsidRPr="00920316">
        <w:t xml:space="preserve"> section 7741 need not be addressed at all because</w:t>
      </w:r>
      <w:r w:rsidRPr="00C82B40">
        <w:t xml:space="preserve"> section 7735 requires trusting of all funds paid under preneed agreements and “any agreement collateral thereto</w:t>
      </w:r>
      <w:r w:rsidRPr="00920316">
        <w:t>.”</w:t>
      </w:r>
      <w:r w:rsidRPr="00920316" w:rsidR="00EE3325">
        <w:t xml:space="preserve">  </w:t>
      </w:r>
      <w:r w:rsidRPr="00920316">
        <w:t xml:space="preserve">The </w:t>
      </w:r>
      <w:r w:rsidRPr="00920316" w:rsidR="00EE3325">
        <w:t>Bureau</w:t>
      </w:r>
      <w:r w:rsidRPr="00920316">
        <w:t xml:space="preserve"> </w:t>
      </w:r>
      <w:r w:rsidRPr="00920316" w:rsidR="00EE3325">
        <w:t>reasons</w:t>
      </w:r>
      <w:r w:rsidRPr="00920316">
        <w:t xml:space="preserve"> the merchandise agreement here was collateral to the preneed agreement, </w:t>
      </w:r>
      <w:r w:rsidRPr="00920316" w:rsidR="001C48B2">
        <w:t>requiring</w:t>
      </w:r>
      <w:r w:rsidRPr="00920316">
        <w:t xml:space="preserve"> Neptune to trust all funds</w:t>
      </w:r>
      <w:r w:rsidRPr="00920316" w:rsidR="00F808BF">
        <w:t xml:space="preserve">.  </w:t>
      </w:r>
      <w:r w:rsidRPr="00920316">
        <w:t xml:space="preserve">We do not address this </w:t>
      </w:r>
      <w:r w:rsidRPr="00920316" w:rsidR="00EE3325">
        <w:t>argument</w:t>
      </w:r>
      <w:r w:rsidRPr="00920316">
        <w:t xml:space="preserve"> because</w:t>
      </w:r>
      <w:r w:rsidRPr="00920316" w:rsidR="001A3B2B">
        <w:t xml:space="preserve"> the parties did not address it below</w:t>
      </w:r>
      <w:r w:rsidRPr="00920316">
        <w:t xml:space="preserve">, and consequently neither </w:t>
      </w:r>
      <w:r w:rsidRPr="00920316" w:rsidR="005101C9">
        <w:t xml:space="preserve">the administrative law </w:t>
      </w:r>
      <w:r w:rsidRPr="00920316">
        <w:t>judge</w:t>
      </w:r>
      <w:r w:rsidRPr="00920316" w:rsidR="005101C9">
        <w:t xml:space="preserve"> nor the superior court</w:t>
      </w:r>
      <w:r w:rsidRPr="00920316">
        <w:t xml:space="preserve"> ruled on this </w:t>
      </w:r>
      <w:r w:rsidRPr="001232F8">
        <w:t>issue.  We decline the opportunity to reach</w:t>
      </w:r>
      <w:r w:rsidRPr="001232F8" w:rsidR="001A3B2B">
        <w:t xml:space="preserve"> the</w:t>
      </w:r>
      <w:r w:rsidRPr="001232F8">
        <w:t xml:space="preserve"> issue for the first time.  (</w:t>
      </w:r>
      <w:r w:rsidRPr="001232F8" w:rsidR="00F808BF">
        <w:t xml:space="preserve">See </w:t>
      </w:r>
      <w:bookmarkStart w:id="4" w:name="dabmci_b2af9035128343ab911ba5c81f58dce5"/>
      <w:r w:rsidRPr="001232F8" w:rsidR="00F808BF">
        <w:rPr>
          <w:i/>
          <w:iCs/>
        </w:rPr>
        <w:t>Greenwich S.F., LLC v. Wong</w:t>
      </w:r>
      <w:r w:rsidRPr="001232F8" w:rsidR="00F808BF">
        <w:t xml:space="preserve"> (2010) 190</w:t>
      </w:r>
      <w:r w:rsidRPr="001232F8" w:rsidR="00ED0BB3">
        <w:t> Cal.</w:t>
      </w:r>
      <w:r w:rsidRPr="001232F8" w:rsidR="00F808BF">
        <w:t>App.4th 739, 767</w:t>
      </w:r>
      <w:bookmarkEnd w:id="4"/>
      <w:r w:rsidRPr="001232F8" w:rsidR="00F808BF">
        <w:t xml:space="preserve"> [courts have discretion to </w:t>
      </w:r>
      <w:r w:rsidRPr="001232F8" w:rsidR="0068794C">
        <w:t xml:space="preserve">decline to </w:t>
      </w:r>
      <w:r w:rsidRPr="001232F8" w:rsidR="00F808BF">
        <w:t>consider new theories raised on appeal].</w:t>
      </w:r>
      <w:r w:rsidRPr="001232F8">
        <w:t>)  We therefore address and resolve</w:t>
      </w:r>
      <w:r w:rsidRPr="001232F8" w:rsidR="00EE3325">
        <w:t xml:space="preserve"> only</w:t>
      </w:r>
      <w:r w:rsidRPr="00920316">
        <w:t xml:space="preserve"> the narrow question of whether </w:t>
      </w:r>
      <w:r w:rsidRPr="00920316" w:rsidR="00CC7CD6">
        <w:t>Neptune</w:t>
      </w:r>
      <w:r w:rsidRPr="00920316">
        <w:t xml:space="preserve"> delivered the merchandise </w:t>
      </w:r>
      <w:r w:rsidRPr="00920316" w:rsidR="00F808BF">
        <w:t xml:space="preserve">under </w:t>
      </w:r>
      <w:r w:rsidRPr="00920316">
        <w:t>section 7741.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685509"/>
    <w:multiLevelType w:val="hybridMultilevel"/>
    <w:tmpl w:val="1966C4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DC0F38"/>
    <w:multiLevelType w:val="hybridMultilevel"/>
    <w:tmpl w:val="2FE827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A107C95"/>
    <w:multiLevelType w:val="hybridMultilevel"/>
    <w:tmpl w:val="7D2A14D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E6F47F7"/>
    <w:multiLevelType w:val="hybridMultilevel"/>
    <w:tmpl w:val="2B0848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4504B77"/>
    <w:multiLevelType w:val="hybridMultilevel"/>
    <w:tmpl w:val="AC3C2E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09C1315"/>
    <w:multiLevelType w:val="hybridMultilevel"/>
    <w:tmpl w:val="A3C8A5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887277E"/>
    <w:multiLevelType w:val="hybridMultilevel"/>
    <w:tmpl w:val="82CE7E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5903687"/>
    <w:multiLevelType w:val="hybridMultilevel"/>
    <w:tmpl w:val="54800B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FFA4311"/>
    <w:multiLevelType w:val="hybridMultilevel"/>
    <w:tmpl w:val="58D669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697B6B22"/>
    <w:multiLevelType w:val="hybridMultilevel"/>
    <w:tmpl w:val="C43CC72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B6D06C2"/>
    <w:multiLevelType w:val="hybridMultilevel"/>
    <w:tmpl w:val="E806BE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D0C326F"/>
    <w:multiLevelType w:val="hybridMultilevel"/>
    <w:tmpl w:val="FD9E4FE0"/>
    <w:lvl w:ilvl="0">
      <w:start w:val="1"/>
      <w:numFmt w:val="upperLetter"/>
      <w:lvlText w:val="%1."/>
      <w:lvlJc w:val="left"/>
      <w:pPr>
        <w:ind w:left="72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15E68A4"/>
    <w:multiLevelType w:val="hybridMultilevel"/>
    <w:tmpl w:val="6E4A6A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6DB7AC5"/>
    <w:multiLevelType w:val="hybridMultilevel"/>
    <w:tmpl w:val="437078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75B3181"/>
    <w:multiLevelType w:val="hybridMultilevel"/>
    <w:tmpl w:val="C930F3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B540E1A"/>
    <w:multiLevelType w:val="hybridMultilevel"/>
    <w:tmpl w:val="E3CE1BE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2"/>
  </w:num>
  <w:num w:numId="5">
    <w:abstractNumId w:val="9"/>
  </w:num>
  <w:num w:numId="6">
    <w:abstractNumId w:val="12"/>
  </w:num>
  <w:num w:numId="7">
    <w:abstractNumId w:val="7"/>
  </w:num>
  <w:num w:numId="8">
    <w:abstractNumId w:val="10"/>
  </w:num>
  <w:num w:numId="9">
    <w:abstractNumId w:val="13"/>
  </w:num>
  <w:num w:numId="10">
    <w:abstractNumId w:val="3"/>
  </w:num>
  <w:num w:numId="11">
    <w:abstractNumId w:val="11"/>
  </w:num>
  <w:num w:numId="12">
    <w:abstractNumId w:val="1"/>
  </w:num>
  <w:num w:numId="13">
    <w:abstractNumId w:val="14"/>
  </w:num>
  <w:num w:numId="14">
    <w:abstractNumId w:val="15"/>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E4"/>
    <w:rsid w:val="000022A0"/>
    <w:rsid w:val="0000702D"/>
    <w:rsid w:val="0001216E"/>
    <w:rsid w:val="0003064E"/>
    <w:rsid w:val="00032149"/>
    <w:rsid w:val="00034847"/>
    <w:rsid w:val="00035323"/>
    <w:rsid w:val="00037F4C"/>
    <w:rsid w:val="00042EC9"/>
    <w:rsid w:val="0004462E"/>
    <w:rsid w:val="00061A20"/>
    <w:rsid w:val="00064745"/>
    <w:rsid w:val="00091EEC"/>
    <w:rsid w:val="00094822"/>
    <w:rsid w:val="000A3BA5"/>
    <w:rsid w:val="000A5439"/>
    <w:rsid w:val="000B32AE"/>
    <w:rsid w:val="000E5722"/>
    <w:rsid w:val="000F39A1"/>
    <w:rsid w:val="000F4C25"/>
    <w:rsid w:val="00101043"/>
    <w:rsid w:val="0010106D"/>
    <w:rsid w:val="00103791"/>
    <w:rsid w:val="00105355"/>
    <w:rsid w:val="0011343B"/>
    <w:rsid w:val="00122B4A"/>
    <w:rsid w:val="001232F8"/>
    <w:rsid w:val="00125D61"/>
    <w:rsid w:val="00127262"/>
    <w:rsid w:val="0013324E"/>
    <w:rsid w:val="0014418F"/>
    <w:rsid w:val="00146242"/>
    <w:rsid w:val="00147F30"/>
    <w:rsid w:val="00162498"/>
    <w:rsid w:val="00175C49"/>
    <w:rsid w:val="00181DA2"/>
    <w:rsid w:val="001A3251"/>
    <w:rsid w:val="001A3B2B"/>
    <w:rsid w:val="001B2E15"/>
    <w:rsid w:val="001B303F"/>
    <w:rsid w:val="001B3ED4"/>
    <w:rsid w:val="001C48B2"/>
    <w:rsid w:val="001D4B1B"/>
    <w:rsid w:val="001D5D74"/>
    <w:rsid w:val="001E13F8"/>
    <w:rsid w:val="001E6C27"/>
    <w:rsid w:val="001F4FB1"/>
    <w:rsid w:val="00202D08"/>
    <w:rsid w:val="00204938"/>
    <w:rsid w:val="0021051C"/>
    <w:rsid w:val="00215582"/>
    <w:rsid w:val="002174E6"/>
    <w:rsid w:val="00220844"/>
    <w:rsid w:val="00220F16"/>
    <w:rsid w:val="00230AB6"/>
    <w:rsid w:val="00231444"/>
    <w:rsid w:val="00232098"/>
    <w:rsid w:val="00232F99"/>
    <w:rsid w:val="00236DCB"/>
    <w:rsid w:val="0024044A"/>
    <w:rsid w:val="00246048"/>
    <w:rsid w:val="002515B6"/>
    <w:rsid w:val="00254E54"/>
    <w:rsid w:val="00261345"/>
    <w:rsid w:val="00267AA0"/>
    <w:rsid w:val="00272CF2"/>
    <w:rsid w:val="002746C6"/>
    <w:rsid w:val="0027723F"/>
    <w:rsid w:val="002802B3"/>
    <w:rsid w:val="00294118"/>
    <w:rsid w:val="002A0C77"/>
    <w:rsid w:val="002A0F30"/>
    <w:rsid w:val="002B1B89"/>
    <w:rsid w:val="002B22BA"/>
    <w:rsid w:val="002B34D4"/>
    <w:rsid w:val="002B4F5D"/>
    <w:rsid w:val="002B556D"/>
    <w:rsid w:val="002B5D17"/>
    <w:rsid w:val="002B65C2"/>
    <w:rsid w:val="002B7266"/>
    <w:rsid w:val="002F3379"/>
    <w:rsid w:val="00302597"/>
    <w:rsid w:val="003031F2"/>
    <w:rsid w:val="0030360B"/>
    <w:rsid w:val="00314A11"/>
    <w:rsid w:val="003216CB"/>
    <w:rsid w:val="0032322A"/>
    <w:rsid w:val="00324D32"/>
    <w:rsid w:val="0032709B"/>
    <w:rsid w:val="00336D18"/>
    <w:rsid w:val="00337A14"/>
    <w:rsid w:val="00346588"/>
    <w:rsid w:val="00355836"/>
    <w:rsid w:val="00356186"/>
    <w:rsid w:val="00362059"/>
    <w:rsid w:val="003621A2"/>
    <w:rsid w:val="003744FA"/>
    <w:rsid w:val="00383176"/>
    <w:rsid w:val="00383F46"/>
    <w:rsid w:val="00383F7F"/>
    <w:rsid w:val="00395597"/>
    <w:rsid w:val="00397F76"/>
    <w:rsid w:val="003A14D7"/>
    <w:rsid w:val="003A3A03"/>
    <w:rsid w:val="003A54CF"/>
    <w:rsid w:val="003A7F62"/>
    <w:rsid w:val="003B22B6"/>
    <w:rsid w:val="003B3112"/>
    <w:rsid w:val="003C163F"/>
    <w:rsid w:val="003C1A05"/>
    <w:rsid w:val="003D497E"/>
    <w:rsid w:val="003D741B"/>
    <w:rsid w:val="003E2F11"/>
    <w:rsid w:val="003E30D6"/>
    <w:rsid w:val="003E386B"/>
    <w:rsid w:val="003F1EE2"/>
    <w:rsid w:val="003F60BA"/>
    <w:rsid w:val="004019F4"/>
    <w:rsid w:val="0040484F"/>
    <w:rsid w:val="0041175B"/>
    <w:rsid w:val="004123B7"/>
    <w:rsid w:val="00420C38"/>
    <w:rsid w:val="00426FA5"/>
    <w:rsid w:val="00427728"/>
    <w:rsid w:val="004410B6"/>
    <w:rsid w:val="0044432A"/>
    <w:rsid w:val="00470EEA"/>
    <w:rsid w:val="004740CE"/>
    <w:rsid w:val="0048049E"/>
    <w:rsid w:val="004957AF"/>
    <w:rsid w:val="004A06CE"/>
    <w:rsid w:val="004A69EF"/>
    <w:rsid w:val="004B2517"/>
    <w:rsid w:val="004E2355"/>
    <w:rsid w:val="004F187C"/>
    <w:rsid w:val="004F28E1"/>
    <w:rsid w:val="004F4695"/>
    <w:rsid w:val="00500307"/>
    <w:rsid w:val="005101C9"/>
    <w:rsid w:val="00512176"/>
    <w:rsid w:val="0051510F"/>
    <w:rsid w:val="00516208"/>
    <w:rsid w:val="005167A6"/>
    <w:rsid w:val="00517FA0"/>
    <w:rsid w:val="00520282"/>
    <w:rsid w:val="00524A65"/>
    <w:rsid w:val="0053077C"/>
    <w:rsid w:val="00536FEA"/>
    <w:rsid w:val="005407B4"/>
    <w:rsid w:val="00542604"/>
    <w:rsid w:val="0055549C"/>
    <w:rsid w:val="0056795E"/>
    <w:rsid w:val="00572146"/>
    <w:rsid w:val="00577C36"/>
    <w:rsid w:val="00587572"/>
    <w:rsid w:val="0059382D"/>
    <w:rsid w:val="005A29E4"/>
    <w:rsid w:val="005B643F"/>
    <w:rsid w:val="005C039C"/>
    <w:rsid w:val="005C0B8E"/>
    <w:rsid w:val="005C1CB3"/>
    <w:rsid w:val="005F1713"/>
    <w:rsid w:val="005F485D"/>
    <w:rsid w:val="005F5012"/>
    <w:rsid w:val="00606CAC"/>
    <w:rsid w:val="00607C49"/>
    <w:rsid w:val="006139DF"/>
    <w:rsid w:val="00613C2C"/>
    <w:rsid w:val="006158CF"/>
    <w:rsid w:val="006164FA"/>
    <w:rsid w:val="00621626"/>
    <w:rsid w:val="00622976"/>
    <w:rsid w:val="0062672B"/>
    <w:rsid w:val="00630394"/>
    <w:rsid w:val="00631346"/>
    <w:rsid w:val="00632387"/>
    <w:rsid w:val="00635053"/>
    <w:rsid w:val="00647CD6"/>
    <w:rsid w:val="00654B56"/>
    <w:rsid w:val="006752D4"/>
    <w:rsid w:val="0068485C"/>
    <w:rsid w:val="0068794C"/>
    <w:rsid w:val="006961BF"/>
    <w:rsid w:val="006A0876"/>
    <w:rsid w:val="006A19B2"/>
    <w:rsid w:val="006A7C5A"/>
    <w:rsid w:val="006B1A7C"/>
    <w:rsid w:val="006B5461"/>
    <w:rsid w:val="006C658D"/>
    <w:rsid w:val="006C7674"/>
    <w:rsid w:val="006D1253"/>
    <w:rsid w:val="006D36F5"/>
    <w:rsid w:val="006E1BE4"/>
    <w:rsid w:val="006E51DC"/>
    <w:rsid w:val="006E7044"/>
    <w:rsid w:val="006F537E"/>
    <w:rsid w:val="006F729C"/>
    <w:rsid w:val="00716A6D"/>
    <w:rsid w:val="00724666"/>
    <w:rsid w:val="007308E2"/>
    <w:rsid w:val="0073223F"/>
    <w:rsid w:val="00743E51"/>
    <w:rsid w:val="007466A7"/>
    <w:rsid w:val="007540A2"/>
    <w:rsid w:val="00756F50"/>
    <w:rsid w:val="0075785E"/>
    <w:rsid w:val="00762859"/>
    <w:rsid w:val="00764753"/>
    <w:rsid w:val="00782C1B"/>
    <w:rsid w:val="007843A9"/>
    <w:rsid w:val="00785004"/>
    <w:rsid w:val="00791D9A"/>
    <w:rsid w:val="007A38BA"/>
    <w:rsid w:val="007B1360"/>
    <w:rsid w:val="007B469E"/>
    <w:rsid w:val="007C10A3"/>
    <w:rsid w:val="007D03DC"/>
    <w:rsid w:val="007E2546"/>
    <w:rsid w:val="007E3676"/>
    <w:rsid w:val="007E3729"/>
    <w:rsid w:val="007F351D"/>
    <w:rsid w:val="007F3AEF"/>
    <w:rsid w:val="00802A76"/>
    <w:rsid w:val="0080379E"/>
    <w:rsid w:val="00803DF4"/>
    <w:rsid w:val="008045C1"/>
    <w:rsid w:val="00805794"/>
    <w:rsid w:val="008121A3"/>
    <w:rsid w:val="00821082"/>
    <w:rsid w:val="008214BA"/>
    <w:rsid w:val="00824F5F"/>
    <w:rsid w:val="0082639F"/>
    <w:rsid w:val="008301BA"/>
    <w:rsid w:val="00831593"/>
    <w:rsid w:val="00834685"/>
    <w:rsid w:val="00835A7A"/>
    <w:rsid w:val="00836C75"/>
    <w:rsid w:val="0084362D"/>
    <w:rsid w:val="00843E7A"/>
    <w:rsid w:val="008456AD"/>
    <w:rsid w:val="00846BD0"/>
    <w:rsid w:val="00852791"/>
    <w:rsid w:val="00854E20"/>
    <w:rsid w:val="00860C5D"/>
    <w:rsid w:val="00861FC3"/>
    <w:rsid w:val="0086414B"/>
    <w:rsid w:val="008722A9"/>
    <w:rsid w:val="00874708"/>
    <w:rsid w:val="0087470C"/>
    <w:rsid w:val="00874BEA"/>
    <w:rsid w:val="00876290"/>
    <w:rsid w:val="00881233"/>
    <w:rsid w:val="00891C2D"/>
    <w:rsid w:val="00892345"/>
    <w:rsid w:val="00892839"/>
    <w:rsid w:val="00892A05"/>
    <w:rsid w:val="0089539D"/>
    <w:rsid w:val="0089564C"/>
    <w:rsid w:val="008A23C3"/>
    <w:rsid w:val="008A31F4"/>
    <w:rsid w:val="008A5DCD"/>
    <w:rsid w:val="008B0E51"/>
    <w:rsid w:val="008B53ED"/>
    <w:rsid w:val="008C4008"/>
    <w:rsid w:val="008D66AB"/>
    <w:rsid w:val="008E3877"/>
    <w:rsid w:val="008E42E0"/>
    <w:rsid w:val="008E6D3A"/>
    <w:rsid w:val="008E6E6B"/>
    <w:rsid w:val="008F51FD"/>
    <w:rsid w:val="00900437"/>
    <w:rsid w:val="009109D0"/>
    <w:rsid w:val="00911F06"/>
    <w:rsid w:val="00920316"/>
    <w:rsid w:val="009256CA"/>
    <w:rsid w:val="009272A9"/>
    <w:rsid w:val="00933476"/>
    <w:rsid w:val="009440BD"/>
    <w:rsid w:val="0094413A"/>
    <w:rsid w:val="0094441D"/>
    <w:rsid w:val="0094595A"/>
    <w:rsid w:val="009515CE"/>
    <w:rsid w:val="009519E7"/>
    <w:rsid w:val="009564F8"/>
    <w:rsid w:val="009607B4"/>
    <w:rsid w:val="00967209"/>
    <w:rsid w:val="00976622"/>
    <w:rsid w:val="00976D07"/>
    <w:rsid w:val="009921A3"/>
    <w:rsid w:val="009946DE"/>
    <w:rsid w:val="009A2AF8"/>
    <w:rsid w:val="009A6C0B"/>
    <w:rsid w:val="009B1810"/>
    <w:rsid w:val="009B648C"/>
    <w:rsid w:val="009B6E54"/>
    <w:rsid w:val="009E25F0"/>
    <w:rsid w:val="009E5A18"/>
    <w:rsid w:val="009E7752"/>
    <w:rsid w:val="009F53EE"/>
    <w:rsid w:val="009F7DDC"/>
    <w:rsid w:val="00A1783C"/>
    <w:rsid w:val="00A22A79"/>
    <w:rsid w:val="00A25AAA"/>
    <w:rsid w:val="00A32981"/>
    <w:rsid w:val="00A378CA"/>
    <w:rsid w:val="00A42664"/>
    <w:rsid w:val="00A454BD"/>
    <w:rsid w:val="00A470E8"/>
    <w:rsid w:val="00A50A84"/>
    <w:rsid w:val="00A53D2A"/>
    <w:rsid w:val="00A60884"/>
    <w:rsid w:val="00A65A98"/>
    <w:rsid w:val="00A67735"/>
    <w:rsid w:val="00A719F5"/>
    <w:rsid w:val="00A76A6E"/>
    <w:rsid w:val="00A81690"/>
    <w:rsid w:val="00A91A52"/>
    <w:rsid w:val="00A9468B"/>
    <w:rsid w:val="00A961B7"/>
    <w:rsid w:val="00AA0929"/>
    <w:rsid w:val="00AA4FF0"/>
    <w:rsid w:val="00AB1EA5"/>
    <w:rsid w:val="00AB4C13"/>
    <w:rsid w:val="00AC62FC"/>
    <w:rsid w:val="00AE424B"/>
    <w:rsid w:val="00AE61EF"/>
    <w:rsid w:val="00AE6FBB"/>
    <w:rsid w:val="00B058E5"/>
    <w:rsid w:val="00B14326"/>
    <w:rsid w:val="00B167F8"/>
    <w:rsid w:val="00B23877"/>
    <w:rsid w:val="00B37450"/>
    <w:rsid w:val="00B37F1C"/>
    <w:rsid w:val="00B476CA"/>
    <w:rsid w:val="00B5179C"/>
    <w:rsid w:val="00B5652B"/>
    <w:rsid w:val="00B6079E"/>
    <w:rsid w:val="00B62167"/>
    <w:rsid w:val="00B63773"/>
    <w:rsid w:val="00B65FCB"/>
    <w:rsid w:val="00B66630"/>
    <w:rsid w:val="00B72AD7"/>
    <w:rsid w:val="00B82032"/>
    <w:rsid w:val="00B824F4"/>
    <w:rsid w:val="00B9177E"/>
    <w:rsid w:val="00B94630"/>
    <w:rsid w:val="00BA101C"/>
    <w:rsid w:val="00BD3D5D"/>
    <w:rsid w:val="00BE1A0D"/>
    <w:rsid w:val="00BE364E"/>
    <w:rsid w:val="00BE769D"/>
    <w:rsid w:val="00BF1181"/>
    <w:rsid w:val="00C00419"/>
    <w:rsid w:val="00C04A97"/>
    <w:rsid w:val="00C07B09"/>
    <w:rsid w:val="00C139C9"/>
    <w:rsid w:val="00C2017E"/>
    <w:rsid w:val="00C2020E"/>
    <w:rsid w:val="00C259E3"/>
    <w:rsid w:val="00C25BE9"/>
    <w:rsid w:val="00C63387"/>
    <w:rsid w:val="00C64BCC"/>
    <w:rsid w:val="00C663D7"/>
    <w:rsid w:val="00C73226"/>
    <w:rsid w:val="00C73C56"/>
    <w:rsid w:val="00C7574B"/>
    <w:rsid w:val="00C75D29"/>
    <w:rsid w:val="00C77D7B"/>
    <w:rsid w:val="00C80CCA"/>
    <w:rsid w:val="00C829DF"/>
    <w:rsid w:val="00C82B40"/>
    <w:rsid w:val="00C82E5A"/>
    <w:rsid w:val="00C84003"/>
    <w:rsid w:val="00C84C65"/>
    <w:rsid w:val="00C95332"/>
    <w:rsid w:val="00C97857"/>
    <w:rsid w:val="00CA09B9"/>
    <w:rsid w:val="00CA22A4"/>
    <w:rsid w:val="00CA4E21"/>
    <w:rsid w:val="00CC1042"/>
    <w:rsid w:val="00CC2CEC"/>
    <w:rsid w:val="00CC2F51"/>
    <w:rsid w:val="00CC7CD6"/>
    <w:rsid w:val="00CE3E95"/>
    <w:rsid w:val="00CE7D8B"/>
    <w:rsid w:val="00CF3919"/>
    <w:rsid w:val="00CF6098"/>
    <w:rsid w:val="00D1049C"/>
    <w:rsid w:val="00D22702"/>
    <w:rsid w:val="00D2609A"/>
    <w:rsid w:val="00D304B5"/>
    <w:rsid w:val="00D3120A"/>
    <w:rsid w:val="00D3257B"/>
    <w:rsid w:val="00D32661"/>
    <w:rsid w:val="00D438F1"/>
    <w:rsid w:val="00D44D58"/>
    <w:rsid w:val="00D46C55"/>
    <w:rsid w:val="00D50F5C"/>
    <w:rsid w:val="00D521AD"/>
    <w:rsid w:val="00D5258A"/>
    <w:rsid w:val="00D635F2"/>
    <w:rsid w:val="00D6446E"/>
    <w:rsid w:val="00D64C8E"/>
    <w:rsid w:val="00D80962"/>
    <w:rsid w:val="00D91620"/>
    <w:rsid w:val="00D93B89"/>
    <w:rsid w:val="00DA17A3"/>
    <w:rsid w:val="00DA49B8"/>
    <w:rsid w:val="00DB2B22"/>
    <w:rsid w:val="00DB60DD"/>
    <w:rsid w:val="00DC1D8C"/>
    <w:rsid w:val="00DD062B"/>
    <w:rsid w:val="00DD0C23"/>
    <w:rsid w:val="00DD0F10"/>
    <w:rsid w:val="00DF0620"/>
    <w:rsid w:val="00DF235E"/>
    <w:rsid w:val="00E11FA7"/>
    <w:rsid w:val="00E13B3E"/>
    <w:rsid w:val="00E17129"/>
    <w:rsid w:val="00E22DB3"/>
    <w:rsid w:val="00E26693"/>
    <w:rsid w:val="00E27511"/>
    <w:rsid w:val="00E36022"/>
    <w:rsid w:val="00E3699B"/>
    <w:rsid w:val="00E41AE4"/>
    <w:rsid w:val="00E723B6"/>
    <w:rsid w:val="00E76BC5"/>
    <w:rsid w:val="00E7750A"/>
    <w:rsid w:val="00E819D7"/>
    <w:rsid w:val="00E912F8"/>
    <w:rsid w:val="00EA2B42"/>
    <w:rsid w:val="00EA7660"/>
    <w:rsid w:val="00EB50A7"/>
    <w:rsid w:val="00EB61E8"/>
    <w:rsid w:val="00EB6B1C"/>
    <w:rsid w:val="00EB743D"/>
    <w:rsid w:val="00EC52DC"/>
    <w:rsid w:val="00EC7A49"/>
    <w:rsid w:val="00ED0BB3"/>
    <w:rsid w:val="00ED12F4"/>
    <w:rsid w:val="00EE3325"/>
    <w:rsid w:val="00EE6591"/>
    <w:rsid w:val="00EE6A74"/>
    <w:rsid w:val="00EE710E"/>
    <w:rsid w:val="00F01F59"/>
    <w:rsid w:val="00F02C60"/>
    <w:rsid w:val="00F033DF"/>
    <w:rsid w:val="00F07344"/>
    <w:rsid w:val="00F12C03"/>
    <w:rsid w:val="00F151DE"/>
    <w:rsid w:val="00F240CA"/>
    <w:rsid w:val="00F27756"/>
    <w:rsid w:val="00F413D1"/>
    <w:rsid w:val="00F4267E"/>
    <w:rsid w:val="00F44C3C"/>
    <w:rsid w:val="00F53BB8"/>
    <w:rsid w:val="00F54E93"/>
    <w:rsid w:val="00F7024C"/>
    <w:rsid w:val="00F808BF"/>
    <w:rsid w:val="00F94DCA"/>
    <w:rsid w:val="00F9616D"/>
    <w:rsid w:val="00FA578D"/>
    <w:rsid w:val="00FA5A8B"/>
    <w:rsid w:val="00FB32A7"/>
    <w:rsid w:val="00FB4702"/>
    <w:rsid w:val="00FB72BD"/>
    <w:rsid w:val="00FB7776"/>
    <w:rsid w:val="00FC1292"/>
    <w:rsid w:val="00FC1BE3"/>
    <w:rsid w:val="00FC57A0"/>
    <w:rsid w:val="00FC78E1"/>
    <w:rsid w:val="00FE20A3"/>
    <w:rsid w:val="00FE23F9"/>
    <w:rsid w:val="00FE481B"/>
    <w:rsid w:val="00FF313C"/>
    <w:rsid w:val="00FF58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0419"/>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paragraph" w:styleId="ListParagraph">
    <w:name w:val="List Paragraph"/>
    <w:basedOn w:val="Normal"/>
    <w:uiPriority w:val="34"/>
    <w:qFormat/>
    <w:rsid w:val="00F02C60"/>
    <w:pPr>
      <w:ind w:left="720"/>
      <w:contextualSpacing/>
    </w:pPr>
  </w:style>
  <w:style w:type="character" w:styleId="Hyperlink">
    <w:name w:val="Hyperlink"/>
    <w:basedOn w:val="DefaultParagraphFont"/>
    <w:unhideWhenUsed/>
    <w:rsid w:val="00843E7A"/>
    <w:rPr>
      <w:color w:val="0000FF" w:themeColor="hyperlink"/>
      <w:u w:val="single"/>
    </w:rPr>
  </w:style>
  <w:style w:type="character" w:styleId="FollowedHyperlink">
    <w:name w:val="FollowedHyperlink"/>
    <w:basedOn w:val="DefaultParagraphFont"/>
    <w:semiHidden/>
    <w:unhideWhenUsed/>
    <w:rsid w:val="002B5D17"/>
    <w:rPr>
      <w:color w:val="800080" w:themeColor="followedHyperlink"/>
      <w:u w:val="single"/>
    </w:rPr>
  </w:style>
  <w:style w:type="paragraph" w:styleId="Revision">
    <w:name w:val="Revision"/>
    <w:hidden/>
    <w:uiPriority w:val="99"/>
    <w:semiHidden/>
    <w:rsid w:val="00E22DB3"/>
  </w:style>
  <w:style w:type="character" w:styleId="CommentReference">
    <w:name w:val="annotation reference"/>
    <w:basedOn w:val="DefaultParagraphFont"/>
    <w:semiHidden/>
    <w:unhideWhenUsed/>
    <w:rsid w:val="005167A6"/>
    <w:rPr>
      <w:sz w:val="16"/>
      <w:szCs w:val="16"/>
    </w:rPr>
  </w:style>
  <w:style w:type="paragraph" w:styleId="CommentText">
    <w:name w:val="annotation text"/>
    <w:basedOn w:val="Normal"/>
    <w:link w:val="CommentTextChar"/>
    <w:unhideWhenUsed/>
    <w:rsid w:val="005167A6"/>
    <w:pPr>
      <w:spacing w:line="240" w:lineRule="auto"/>
    </w:pPr>
    <w:rPr>
      <w:sz w:val="20"/>
      <w:szCs w:val="20"/>
    </w:rPr>
  </w:style>
  <w:style w:type="character" w:customStyle="1" w:styleId="CommentTextChar">
    <w:name w:val="Comment Text Char"/>
    <w:basedOn w:val="DefaultParagraphFont"/>
    <w:link w:val="CommentText"/>
    <w:rsid w:val="005167A6"/>
    <w:rPr>
      <w:sz w:val="20"/>
      <w:szCs w:val="20"/>
    </w:rPr>
  </w:style>
  <w:style w:type="paragraph" w:styleId="CommentSubject">
    <w:name w:val="annotation subject"/>
    <w:basedOn w:val="CommentText"/>
    <w:next w:val="CommentText"/>
    <w:link w:val="CommentSubjectChar"/>
    <w:semiHidden/>
    <w:unhideWhenUsed/>
    <w:rsid w:val="005167A6"/>
    <w:rPr>
      <w:b/>
      <w:bCs/>
    </w:rPr>
  </w:style>
  <w:style w:type="character" w:customStyle="1" w:styleId="CommentSubjectChar">
    <w:name w:val="Comment Subject Char"/>
    <w:basedOn w:val="CommentTextChar"/>
    <w:link w:val="CommentSubject"/>
    <w:semiHidden/>
    <w:rsid w:val="005167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2350F-24E5-4006-879B-3EA1D13CE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3084</Words>
  <Characters>17581</Characters>
  <Application>Microsoft Office Word</Application>
  <DocSecurity>0</DocSecurity>
  <Lines>146</Lines>
  <Paragraphs>41</Paragraphs>
  <ScaleCrop>false</ScaleCrop>
  <Company/>
  <LinksUpToDate>false</LinksUpToDate>
  <CharactersWithSpaces>20624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2024-03-21T18:13:28Z</dcterms:created>
  <dcterms:modified xsi:type="dcterms:W3CDTF">2024-03-21T18:13:28Z</dcterms:modified>
</cp:coreProperties>
</file>