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3FC5" w14:textId="77777777" w:rsidR="00C558EA" w:rsidRPr="001F1842" w:rsidRDefault="00C558EA" w:rsidP="00D2457B">
      <w:pPr>
        <w:spacing w:line="240" w:lineRule="atLeast"/>
        <w:rPr>
          <w:sz w:val="20"/>
        </w:rPr>
      </w:pPr>
      <w:r w:rsidRPr="001F1842">
        <w:rPr>
          <w:sz w:val="20"/>
        </w:rPr>
        <w:t>Filed 2/9/24</w:t>
      </w:r>
    </w:p>
    <w:p w14:paraId="75D15163" w14:textId="77777777" w:rsidR="00C558EA" w:rsidRDefault="00C558EA" w:rsidP="00D2457B">
      <w:pPr>
        <w:spacing w:line="240" w:lineRule="atLeast"/>
        <w:jc w:val="center"/>
        <w:rPr>
          <w:u w:val="words"/>
        </w:rPr>
      </w:pPr>
      <w:r w:rsidRPr="00D2457B">
        <w:rPr>
          <w:u w:val="words"/>
        </w:rPr>
        <w:t>CERTIFIED FOR PUBLICATION</w:t>
      </w:r>
    </w:p>
    <w:p w14:paraId="7A2C4796" w14:textId="77777777" w:rsidR="00C558EA" w:rsidRDefault="00C558EA" w:rsidP="00D2457B">
      <w:pPr>
        <w:spacing w:line="240" w:lineRule="atLeast"/>
        <w:jc w:val="center"/>
        <w:rPr>
          <w:u w:val="words"/>
        </w:rPr>
      </w:pPr>
    </w:p>
    <w:p w14:paraId="0FC332D1" w14:textId="77777777" w:rsidR="00C558EA" w:rsidRDefault="00C558EA" w:rsidP="00D2457B">
      <w:pPr>
        <w:spacing w:line="240" w:lineRule="atLeast"/>
        <w:jc w:val="center"/>
        <w:rPr>
          <w:u w:val="words"/>
        </w:rPr>
      </w:pPr>
    </w:p>
    <w:p w14:paraId="4E813000" w14:textId="77777777" w:rsidR="00C558EA" w:rsidRDefault="00C558EA" w:rsidP="00D2457B">
      <w:pPr>
        <w:spacing w:line="240" w:lineRule="atLeast"/>
        <w:jc w:val="center"/>
        <w:rPr>
          <w:u w:val="words"/>
        </w:rPr>
      </w:pPr>
    </w:p>
    <w:p w14:paraId="4D1B530E" w14:textId="77777777" w:rsidR="00C558EA" w:rsidRDefault="00C558EA" w:rsidP="00D2457B">
      <w:pPr>
        <w:spacing w:line="240" w:lineRule="atLeast"/>
        <w:jc w:val="center"/>
        <w:rPr>
          <w:u w:val="words"/>
        </w:rPr>
      </w:pPr>
    </w:p>
    <w:p w14:paraId="2C4E1EDF" w14:textId="77777777" w:rsidR="00C558EA" w:rsidRDefault="00C558EA" w:rsidP="00D2457B">
      <w:pPr>
        <w:spacing w:line="240" w:lineRule="atLeast"/>
        <w:jc w:val="center"/>
        <w:rPr>
          <w:u w:val="words"/>
        </w:rPr>
      </w:pPr>
    </w:p>
    <w:p w14:paraId="4C03223C" w14:textId="77777777" w:rsidR="00C558EA" w:rsidRDefault="00C558EA" w:rsidP="00D2457B">
      <w:pPr>
        <w:jc w:val="center"/>
      </w:pPr>
      <w:r>
        <w:t>IN THE COURT OF APPEAL OF THE STATE OF CALIFORNIA</w:t>
      </w:r>
    </w:p>
    <w:p w14:paraId="2F452DBE" w14:textId="77777777" w:rsidR="00C558EA" w:rsidRDefault="00C558EA" w:rsidP="00D2457B">
      <w:pPr>
        <w:jc w:val="center"/>
      </w:pPr>
    </w:p>
    <w:p w14:paraId="0BF8929D" w14:textId="77777777" w:rsidR="00C558EA" w:rsidRDefault="00C558EA" w:rsidP="00D2457B">
      <w:pPr>
        <w:jc w:val="center"/>
      </w:pPr>
      <w:r>
        <w:t>THIRD APPELLATE DISTRICT</w:t>
      </w:r>
    </w:p>
    <w:p w14:paraId="5A1D5A8A" w14:textId="77777777" w:rsidR="00C558EA" w:rsidRDefault="00C558EA" w:rsidP="00D2457B">
      <w:pPr>
        <w:jc w:val="center"/>
      </w:pPr>
    </w:p>
    <w:p w14:paraId="3327413E" w14:textId="77777777" w:rsidR="00C558EA" w:rsidRDefault="00C558EA" w:rsidP="00D2457B">
      <w:pPr>
        <w:jc w:val="center"/>
      </w:pPr>
      <w:r>
        <w:t>(Sacramento)</w:t>
      </w:r>
    </w:p>
    <w:p w14:paraId="03FEAA97" w14:textId="77777777" w:rsidR="00C558EA" w:rsidRDefault="00C558EA" w:rsidP="00D2457B">
      <w:pPr>
        <w:jc w:val="center"/>
      </w:pPr>
      <w:r>
        <w:t>----</w:t>
      </w:r>
    </w:p>
    <w:p w14:paraId="5BE305C5" w14:textId="77777777" w:rsidR="00C558EA" w:rsidRDefault="00C558EA" w:rsidP="00D2457B">
      <w:pPr>
        <w:jc w:val="center"/>
      </w:pPr>
    </w:p>
    <w:p w14:paraId="2F614922" w14:textId="77777777" w:rsidR="00C558EA" w:rsidRDefault="00C558EA" w:rsidP="00D2457B">
      <w:pPr>
        <w:spacing w:line="240" w:lineRule="atLeast"/>
      </w:pPr>
    </w:p>
    <w:p w14:paraId="423F6CC7" w14:textId="77777777" w:rsidR="00C558EA" w:rsidRDefault="00C558EA" w:rsidP="00D2457B">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B11655" w14:paraId="6CB0E944" w14:textId="77777777" w:rsidTr="00D2457B">
        <w:tc>
          <w:tcPr>
            <w:tcW w:w="5904" w:type="dxa"/>
            <w:shd w:val="clear" w:color="auto" w:fill="auto"/>
          </w:tcPr>
          <w:p w14:paraId="163CD674" w14:textId="77777777" w:rsidR="00C558EA" w:rsidRDefault="00C558EA" w:rsidP="00D2457B">
            <w:pPr>
              <w:spacing w:line="240" w:lineRule="auto"/>
            </w:pPr>
          </w:p>
          <w:p w14:paraId="36FBD08C" w14:textId="77777777" w:rsidR="00C558EA" w:rsidRDefault="00C558EA" w:rsidP="00D2457B">
            <w:pPr>
              <w:spacing w:line="240" w:lineRule="auto"/>
            </w:pPr>
            <w:r>
              <w:t>CALIFORNIA PRIVACY PROTECTION AGENCY et al.,</w:t>
            </w:r>
          </w:p>
          <w:p w14:paraId="757C4B5F" w14:textId="77777777" w:rsidR="00C558EA" w:rsidRDefault="00C558EA" w:rsidP="00D2457B">
            <w:pPr>
              <w:spacing w:line="240" w:lineRule="auto"/>
            </w:pPr>
          </w:p>
          <w:p w14:paraId="3C646469" w14:textId="77777777" w:rsidR="00C558EA" w:rsidRDefault="00C558EA" w:rsidP="00D2457B">
            <w:pPr>
              <w:spacing w:line="240" w:lineRule="auto"/>
            </w:pPr>
            <w:r>
              <w:tab/>
            </w:r>
            <w:r>
              <w:tab/>
              <w:t>Petitioners,</w:t>
            </w:r>
          </w:p>
          <w:p w14:paraId="726CF55F" w14:textId="77777777" w:rsidR="00C558EA" w:rsidRDefault="00C558EA" w:rsidP="00D2457B">
            <w:pPr>
              <w:spacing w:line="240" w:lineRule="auto"/>
            </w:pPr>
          </w:p>
          <w:p w14:paraId="590E268F" w14:textId="77777777" w:rsidR="00C558EA" w:rsidRDefault="00C558EA" w:rsidP="00D2457B">
            <w:pPr>
              <w:spacing w:line="240" w:lineRule="auto"/>
            </w:pPr>
            <w:r>
              <w:tab/>
              <w:t>v.</w:t>
            </w:r>
          </w:p>
          <w:p w14:paraId="0EEA2F44" w14:textId="77777777" w:rsidR="00C558EA" w:rsidRDefault="00C558EA" w:rsidP="00D2457B">
            <w:pPr>
              <w:spacing w:line="240" w:lineRule="auto"/>
            </w:pPr>
          </w:p>
          <w:p w14:paraId="49240C15" w14:textId="77777777" w:rsidR="00C558EA" w:rsidRDefault="00C558EA" w:rsidP="00D2457B">
            <w:pPr>
              <w:spacing w:line="240" w:lineRule="auto"/>
            </w:pPr>
            <w:r>
              <w:t xml:space="preserve">THE SUPERIOR COURT OF SACRAMENTO </w:t>
            </w:r>
            <w:r>
              <w:t>COUNTY,</w:t>
            </w:r>
          </w:p>
          <w:p w14:paraId="06F06D4E" w14:textId="77777777" w:rsidR="00C558EA" w:rsidRDefault="00C558EA" w:rsidP="00D2457B">
            <w:pPr>
              <w:spacing w:line="240" w:lineRule="auto"/>
            </w:pPr>
          </w:p>
          <w:p w14:paraId="509DFD7C" w14:textId="77777777" w:rsidR="00C558EA" w:rsidRDefault="00C558EA" w:rsidP="00D2457B">
            <w:pPr>
              <w:spacing w:line="240" w:lineRule="auto"/>
            </w:pPr>
            <w:r>
              <w:tab/>
            </w:r>
            <w:r>
              <w:tab/>
            </w:r>
            <w:proofErr w:type="gramStart"/>
            <w:r>
              <w:t>Respondent;</w:t>
            </w:r>
            <w:proofErr w:type="gramEnd"/>
          </w:p>
          <w:p w14:paraId="58126812" w14:textId="77777777" w:rsidR="00C558EA" w:rsidRDefault="00C558EA" w:rsidP="00D2457B">
            <w:pPr>
              <w:spacing w:line="240" w:lineRule="auto"/>
            </w:pPr>
          </w:p>
          <w:p w14:paraId="552F5534" w14:textId="77777777" w:rsidR="00C558EA" w:rsidRDefault="00C558EA" w:rsidP="00D2457B">
            <w:pPr>
              <w:spacing w:line="240" w:lineRule="auto"/>
            </w:pPr>
            <w:r>
              <w:t>CALIFORNIA CHAMBER OF COMMERCE,</w:t>
            </w:r>
          </w:p>
          <w:p w14:paraId="13E47D7E" w14:textId="77777777" w:rsidR="00C558EA" w:rsidRDefault="00C558EA" w:rsidP="00D2457B">
            <w:pPr>
              <w:spacing w:line="240" w:lineRule="auto"/>
            </w:pPr>
          </w:p>
          <w:p w14:paraId="3FAEF6D5" w14:textId="77777777" w:rsidR="00C558EA" w:rsidRDefault="00C558EA" w:rsidP="00D2457B">
            <w:pPr>
              <w:spacing w:line="240" w:lineRule="auto"/>
            </w:pPr>
            <w:r>
              <w:tab/>
            </w:r>
            <w:r>
              <w:tab/>
              <w:t>Real Party in Interest.</w:t>
            </w:r>
          </w:p>
          <w:p w14:paraId="36401BBA" w14:textId="77777777" w:rsidR="00C558EA" w:rsidRDefault="00C558EA" w:rsidP="00D2457B">
            <w:pPr>
              <w:spacing w:line="240" w:lineRule="auto"/>
            </w:pPr>
          </w:p>
        </w:tc>
        <w:tc>
          <w:tcPr>
            <w:tcW w:w="3456" w:type="dxa"/>
            <w:shd w:val="clear" w:color="auto" w:fill="auto"/>
          </w:tcPr>
          <w:p w14:paraId="547479F2" w14:textId="77777777" w:rsidR="00C558EA" w:rsidRDefault="00C558EA" w:rsidP="00D2457B">
            <w:pPr>
              <w:spacing w:line="240" w:lineRule="atLeast"/>
              <w:jc w:val="center"/>
            </w:pPr>
          </w:p>
          <w:p w14:paraId="13772EC8" w14:textId="77777777" w:rsidR="00C558EA" w:rsidRDefault="00C558EA" w:rsidP="00D2457B">
            <w:pPr>
              <w:spacing w:line="240" w:lineRule="atLeast"/>
              <w:jc w:val="center"/>
            </w:pPr>
            <w:r>
              <w:t>C099130</w:t>
            </w:r>
          </w:p>
          <w:p w14:paraId="5E4A576A" w14:textId="77777777" w:rsidR="00C558EA" w:rsidRDefault="00C558EA" w:rsidP="00D2457B">
            <w:pPr>
              <w:spacing w:line="240" w:lineRule="atLeast"/>
              <w:jc w:val="center"/>
            </w:pPr>
          </w:p>
          <w:p w14:paraId="65087684" w14:textId="77777777" w:rsidR="00C558EA" w:rsidRDefault="00C558EA" w:rsidP="00D2457B">
            <w:pPr>
              <w:spacing w:line="240" w:lineRule="atLeast"/>
              <w:jc w:val="center"/>
            </w:pPr>
            <w:r>
              <w:t>(Super. Ct. No. 34</w:t>
            </w:r>
            <w:r>
              <w:t>-</w:t>
            </w:r>
            <w:r>
              <w:t>2023</w:t>
            </w:r>
            <w:r>
              <w:t>-</w:t>
            </w:r>
            <w:r>
              <w:t>80004106)</w:t>
            </w:r>
          </w:p>
          <w:p w14:paraId="10B78D35" w14:textId="77777777" w:rsidR="00C558EA" w:rsidRDefault="00C558EA" w:rsidP="00D2457B">
            <w:pPr>
              <w:spacing w:line="240" w:lineRule="atLeast"/>
              <w:jc w:val="center"/>
            </w:pPr>
          </w:p>
        </w:tc>
      </w:tr>
    </w:tbl>
    <w:p w14:paraId="59F1CCB0" w14:textId="77777777" w:rsidR="00C558EA" w:rsidRDefault="00C558EA" w:rsidP="00D2457B"/>
    <w:p w14:paraId="2C4666DD" w14:textId="77777777" w:rsidR="00C558EA" w:rsidRDefault="00C558EA" w:rsidP="00D2457B"/>
    <w:p w14:paraId="23E4E77B" w14:textId="77777777" w:rsidR="00C558EA" w:rsidRDefault="00C558EA" w:rsidP="00D2457B"/>
    <w:p w14:paraId="1F912032" w14:textId="77777777" w:rsidR="00C558EA" w:rsidRDefault="00C558EA" w:rsidP="00D2457B">
      <w:pPr>
        <w:spacing w:line="240" w:lineRule="atLeast"/>
      </w:pPr>
      <w:r>
        <w:lastRenderedPageBreak/>
        <w:tab/>
        <w:t xml:space="preserve">ORIGINAL PROCEEDING in mandate.  Petition </w:t>
      </w:r>
      <w:r>
        <w:t>granted</w:t>
      </w:r>
      <w:r>
        <w:t xml:space="preserve"> with directions</w:t>
      </w:r>
      <w:r>
        <w:t>.  James</w:t>
      </w:r>
      <w:r>
        <w:t> </w:t>
      </w:r>
      <w:r>
        <w:t>P. Arguelles, Judge.</w:t>
      </w:r>
    </w:p>
    <w:p w14:paraId="1D8CCEB8" w14:textId="77777777" w:rsidR="00C558EA" w:rsidRDefault="00C558EA" w:rsidP="00D2457B">
      <w:pPr>
        <w:spacing w:line="240" w:lineRule="atLeast"/>
      </w:pPr>
    </w:p>
    <w:p w14:paraId="3DE3374B" w14:textId="77777777" w:rsidR="00C558EA" w:rsidRDefault="00C558EA" w:rsidP="00D2457B">
      <w:pPr>
        <w:spacing w:line="240" w:lineRule="atLeast"/>
      </w:pPr>
      <w:r>
        <w:tab/>
      </w:r>
      <w:r w:rsidRPr="00040FE3">
        <w:t xml:space="preserve">Rob Bonta, </w:t>
      </w:r>
      <w:r w:rsidRPr="00040FE3">
        <w:t>Attorney General, T</w:t>
      </w:r>
      <w:r>
        <w:t>homas S. Patterson, Senior</w:t>
      </w:r>
      <w:r w:rsidRPr="00040FE3">
        <w:t xml:space="preserve"> Assistant Attorney General, </w:t>
      </w:r>
      <w:r>
        <w:t xml:space="preserve">Paul Stein, Supervising </w:t>
      </w:r>
      <w:r w:rsidRPr="00040FE3">
        <w:t xml:space="preserve">Deputy Attorney General, </w:t>
      </w:r>
      <w:r>
        <w:t>Natasha A. Saggar Sheth</w:t>
      </w:r>
      <w:r>
        <w:t xml:space="preserve">, Deputy Attorney General </w:t>
      </w:r>
      <w:r>
        <w:t>for Petitioner</w:t>
      </w:r>
      <w:r>
        <w:t>s</w:t>
      </w:r>
      <w:r>
        <w:t>.</w:t>
      </w:r>
    </w:p>
    <w:p w14:paraId="50CD18E7" w14:textId="77777777" w:rsidR="00C558EA" w:rsidRDefault="00C558EA" w:rsidP="00D2457B">
      <w:pPr>
        <w:spacing w:line="240" w:lineRule="atLeast"/>
      </w:pPr>
    </w:p>
    <w:p w14:paraId="67413BE5" w14:textId="77777777" w:rsidR="00C558EA" w:rsidRDefault="00C558EA" w:rsidP="00D2457B">
      <w:pPr>
        <w:spacing w:line="240" w:lineRule="atLeast"/>
      </w:pPr>
      <w:r>
        <w:tab/>
        <w:t>No appearance for Respondent.</w:t>
      </w:r>
    </w:p>
    <w:p w14:paraId="4CA3A232" w14:textId="77777777" w:rsidR="00C558EA" w:rsidRDefault="00C558EA" w:rsidP="00D2457B">
      <w:pPr>
        <w:spacing w:line="240" w:lineRule="atLeast"/>
      </w:pPr>
    </w:p>
    <w:p w14:paraId="3C92487B" w14:textId="77777777" w:rsidR="00C558EA" w:rsidRDefault="00C558EA" w:rsidP="00D2457B">
      <w:pPr>
        <w:spacing w:line="240" w:lineRule="atLeast"/>
      </w:pPr>
      <w:r>
        <w:tab/>
      </w:r>
      <w:r>
        <w:t>Nielsen Merksamer Parrinello Gross and Leoni, Sean Patrick Welch</w:t>
      </w:r>
      <w:r>
        <w:t xml:space="preserve">, Kurt R. </w:t>
      </w:r>
      <w:proofErr w:type="gramStart"/>
      <w:r>
        <w:t>Oneto</w:t>
      </w:r>
      <w:proofErr w:type="gramEnd"/>
      <w:r>
        <w:t xml:space="preserve"> and David J. Lazarus</w:t>
      </w:r>
      <w:r>
        <w:t xml:space="preserve"> for Real Party in Interest.</w:t>
      </w:r>
    </w:p>
    <w:p w14:paraId="52F37B3D" w14:textId="77777777" w:rsidR="00C558EA" w:rsidRDefault="00C558EA" w:rsidP="00D2457B">
      <w:pPr>
        <w:spacing w:line="240" w:lineRule="atLeast"/>
      </w:pPr>
    </w:p>
    <w:p w14:paraId="61CBA3DB" w14:textId="77777777" w:rsidR="00C558EA" w:rsidRPr="00F77C41" w:rsidRDefault="00C558EA" w:rsidP="00F77C41">
      <w:pPr>
        <w:spacing w:line="480" w:lineRule="exact"/>
        <w:rPr>
          <w:kern w:val="0"/>
          <w14:ligatures w14:val="none"/>
        </w:rPr>
      </w:pPr>
      <w:r w:rsidRPr="00F77C41">
        <w:rPr>
          <w:kern w:val="0"/>
          <w14:ligatures w14:val="none"/>
        </w:rPr>
        <w:tab/>
        <w:t xml:space="preserve">This case concerns the implementation of Proposition 24, </w:t>
      </w:r>
      <w:bookmarkStart w:id="0" w:name="_Hlk155523469"/>
      <w:r w:rsidRPr="00F77C41">
        <w:rPr>
          <w:kern w:val="0"/>
          <w14:ligatures w14:val="none"/>
        </w:rPr>
        <w:t>the California Privacy Rights Act of 2020 (the Act)</w:t>
      </w:r>
      <w:bookmarkEnd w:id="0"/>
      <w:r w:rsidRPr="00F77C41">
        <w:rPr>
          <w:kern w:val="0"/>
          <w14:ligatures w14:val="none"/>
        </w:rPr>
        <w:t xml:space="preserve">.  The California Privacy Protection Agency and </w:t>
      </w:r>
      <w:r w:rsidRPr="00F77C41">
        <w:rPr>
          <w:kern w:val="0"/>
          <w14:ligatures w14:val="none"/>
        </w:rPr>
        <w:t>others (collectively, the Agency)</w:t>
      </w:r>
      <w:r>
        <w:rPr>
          <w:b/>
          <w:kern w:val="0"/>
          <w:position w:val="8"/>
          <w:sz w:val="20"/>
          <w14:ligatures w14:val="none"/>
        </w:rPr>
        <w:footnoteReference w:id="1"/>
      </w:r>
      <w:r w:rsidRPr="00F77C41">
        <w:rPr>
          <w:kern w:val="0"/>
          <w14:ligatures w14:val="none"/>
        </w:rPr>
        <w:t xml:space="preserve"> have filed a petition for extraordinary writ relief </w:t>
      </w:r>
      <w:proofErr w:type="gramStart"/>
      <w:r w:rsidRPr="00F77C41">
        <w:rPr>
          <w:kern w:val="0"/>
          <w14:ligatures w14:val="none"/>
        </w:rPr>
        <w:t>in the nature of mandamus</w:t>
      </w:r>
      <w:proofErr w:type="gramEnd"/>
      <w:r w:rsidRPr="00F77C41">
        <w:rPr>
          <w:kern w:val="0"/>
          <w14:ligatures w14:val="none"/>
        </w:rPr>
        <w:t xml:space="preserve">, challenging the trial court’s determination that any implementing regulation required by the Act is </w:t>
      </w:r>
      <w:r w:rsidRPr="00F77C41">
        <w:rPr>
          <w:i/>
          <w:iCs/>
          <w:kern w:val="0"/>
          <w14:ligatures w14:val="none"/>
        </w:rPr>
        <w:t>not</w:t>
      </w:r>
      <w:r w:rsidRPr="00F77C41">
        <w:rPr>
          <w:kern w:val="0"/>
          <w14:ligatures w14:val="none"/>
        </w:rPr>
        <w:t xml:space="preserve"> enforceable on the date specified by the Act--July 1, 2023--but instead is enforceable one year after that regulation becomes final.  </w:t>
      </w:r>
    </w:p>
    <w:p w14:paraId="5C59FA73" w14:textId="77777777" w:rsidR="00C558EA" w:rsidRPr="00F77C41" w:rsidRDefault="00C558EA" w:rsidP="00F77C41">
      <w:pPr>
        <w:spacing w:line="480" w:lineRule="exact"/>
        <w:rPr>
          <w:kern w:val="0"/>
          <w14:ligatures w14:val="none"/>
        </w:rPr>
      </w:pPr>
      <w:r w:rsidRPr="00F77C41">
        <w:rPr>
          <w:kern w:val="0"/>
          <w14:ligatures w14:val="none"/>
        </w:rPr>
        <w:tab/>
        <w:t xml:space="preserve">As we next explain, we shall issue a peremptory writ of mandate. </w:t>
      </w:r>
    </w:p>
    <w:p w14:paraId="02E9EB38" w14:textId="77777777" w:rsidR="00C558EA" w:rsidRPr="00F77C41" w:rsidRDefault="00C558EA" w:rsidP="00F77C41">
      <w:pPr>
        <w:spacing w:line="480" w:lineRule="exact"/>
        <w:jc w:val="center"/>
        <w:rPr>
          <w:b/>
          <w:bCs/>
          <w:kern w:val="0"/>
          <w14:ligatures w14:val="none"/>
        </w:rPr>
      </w:pPr>
      <w:r w:rsidRPr="00F77C41">
        <w:rPr>
          <w:b/>
          <w:bCs/>
          <w:kern w:val="0"/>
          <w14:ligatures w14:val="none"/>
        </w:rPr>
        <w:t>FACTUAL AND PROCEDURAL BACKGROUND</w:t>
      </w:r>
    </w:p>
    <w:p w14:paraId="62F163DC" w14:textId="77777777" w:rsidR="00C558EA" w:rsidRPr="00F77C41" w:rsidRDefault="00C558EA" w:rsidP="001511DF">
      <w:pPr>
        <w:spacing w:line="480" w:lineRule="exact"/>
        <w:ind w:firstLine="720"/>
        <w:rPr>
          <w:kern w:val="0"/>
          <w14:ligatures w14:val="none"/>
        </w:rPr>
      </w:pPr>
      <w:r w:rsidRPr="00F77C41">
        <w:rPr>
          <w:kern w:val="0"/>
          <w14:ligatures w14:val="none"/>
        </w:rPr>
        <w:t xml:space="preserve">In view of the limited </w:t>
      </w:r>
      <w:proofErr w:type="gramStart"/>
      <w:r w:rsidRPr="00F77C41">
        <w:rPr>
          <w:kern w:val="0"/>
          <w14:ligatures w14:val="none"/>
        </w:rPr>
        <w:t>issue</w:t>
      </w:r>
      <w:proofErr w:type="gramEnd"/>
      <w:r w:rsidRPr="00F77C41">
        <w:rPr>
          <w:kern w:val="0"/>
          <w14:ligatures w14:val="none"/>
        </w:rPr>
        <w:t xml:space="preserve"> raised here, we dispense with a detailed recitation of the underlying facts and procedure and summarize the pertinent background of this case. </w:t>
      </w:r>
    </w:p>
    <w:p w14:paraId="6190E8AE" w14:textId="77777777" w:rsidR="00C558EA" w:rsidRPr="00F77C41" w:rsidRDefault="00C558EA" w:rsidP="00A96272">
      <w:pPr>
        <w:spacing w:line="480" w:lineRule="exact"/>
        <w:ind w:firstLine="720"/>
        <w:rPr>
          <w:i/>
          <w:iCs/>
          <w:kern w:val="0"/>
          <w14:ligatures w14:val="none"/>
        </w:rPr>
      </w:pPr>
      <w:r w:rsidRPr="00F77C41">
        <w:rPr>
          <w:i/>
          <w:iCs/>
          <w:kern w:val="0"/>
          <w14:ligatures w14:val="none"/>
        </w:rPr>
        <w:t>The Right of Privacy</w:t>
      </w:r>
    </w:p>
    <w:p w14:paraId="0F3B526D" w14:textId="77777777" w:rsidR="00C558EA" w:rsidRPr="00F77C41" w:rsidRDefault="00C558EA" w:rsidP="001511DF">
      <w:pPr>
        <w:spacing w:line="480" w:lineRule="exact"/>
        <w:ind w:firstLine="720"/>
        <w:rPr>
          <w:kern w:val="0"/>
          <w14:ligatures w14:val="none"/>
        </w:rPr>
      </w:pPr>
      <w:r w:rsidRPr="00F77C41">
        <w:rPr>
          <w:kern w:val="0"/>
          <w14:ligatures w14:val="none"/>
        </w:rPr>
        <w:t>In 1972, the electorate amended the California Constitution through an initiative measure to include the right of privacy as an inalienable right.  (</w:t>
      </w:r>
      <w:bookmarkStart w:id="1" w:name="dabmci_8dc07673a2c94007a09b79ee2e156d76"/>
      <w:r w:rsidRPr="00F77C41">
        <w:rPr>
          <w:kern w:val="0"/>
          <w14:ligatures w14:val="none"/>
        </w:rPr>
        <w:t>Cal. Const., art. 1, § 1</w:t>
      </w:r>
      <w:bookmarkEnd w:id="1"/>
      <w:r w:rsidRPr="00F77C41">
        <w:rPr>
          <w:kern w:val="0"/>
          <w14:ligatures w14:val="none"/>
        </w:rPr>
        <w:t xml:space="preserve">; </w:t>
      </w:r>
      <w:bookmarkStart w:id="2" w:name="dabmci_af70f93e0d0d481cacb56b583229b2ed"/>
      <w:r w:rsidRPr="00F77C41">
        <w:rPr>
          <w:i/>
          <w:iCs/>
          <w:kern w:val="0"/>
          <w14:ligatures w14:val="none"/>
        </w:rPr>
        <w:t>Hill v. National Collegiate Athletic Assn</w:t>
      </w:r>
      <w:r w:rsidRPr="00F77C41">
        <w:rPr>
          <w:kern w:val="0"/>
          <w14:ligatures w14:val="none"/>
        </w:rPr>
        <w:t>. (1994) 7 Cal.4th 1, 16</w:t>
      </w:r>
      <w:bookmarkEnd w:id="2"/>
      <w:r w:rsidRPr="00F77C41">
        <w:rPr>
          <w:kern w:val="0"/>
          <w14:ligatures w14:val="none"/>
        </w:rPr>
        <w:t>.)  The central concern of this initiative measure (referred to as the Privacy Initiative) was the protection of informational privacy.  (</w:t>
      </w:r>
      <w:bookmarkStart w:id="3" w:name="dabmci_68a3a34ae3e34683b58078ca552be6e6"/>
      <w:r w:rsidRPr="00F77C41">
        <w:rPr>
          <w:i/>
          <w:iCs/>
          <w:kern w:val="0"/>
          <w14:ligatures w14:val="none"/>
        </w:rPr>
        <w:t>Williams v. Superior Court</w:t>
      </w:r>
      <w:r w:rsidRPr="00F77C41">
        <w:rPr>
          <w:kern w:val="0"/>
          <w14:ligatures w14:val="none"/>
        </w:rPr>
        <w:t xml:space="preserve"> (2017) 3 Cal.5th 531, 552</w:t>
      </w:r>
      <w:bookmarkEnd w:id="3"/>
      <w:r w:rsidRPr="00F77C41">
        <w:rPr>
          <w:kern w:val="0"/>
          <w14:ligatures w14:val="none"/>
        </w:rPr>
        <w:t xml:space="preserve">; </w:t>
      </w:r>
      <w:r w:rsidRPr="00F77C41">
        <w:rPr>
          <w:i/>
          <w:iCs/>
          <w:kern w:val="0"/>
          <w14:ligatures w14:val="none"/>
        </w:rPr>
        <w:t xml:space="preserve">Lewis v. </w:t>
      </w:r>
      <w:r w:rsidRPr="00F77C41">
        <w:rPr>
          <w:i/>
          <w:iCs/>
          <w:kern w:val="0"/>
          <w14:ligatures w14:val="none"/>
        </w:rPr>
        <w:lastRenderedPageBreak/>
        <w:t xml:space="preserve">Superior Court </w:t>
      </w:r>
      <w:r w:rsidRPr="00F77C41">
        <w:rPr>
          <w:kern w:val="0"/>
          <w14:ligatures w14:val="none"/>
        </w:rPr>
        <w:t>(2017)</w:t>
      </w:r>
      <w:r w:rsidRPr="00F77C41">
        <w:rPr>
          <w:i/>
          <w:iCs/>
          <w:kern w:val="0"/>
          <w14:ligatures w14:val="none"/>
        </w:rPr>
        <w:t xml:space="preserve"> </w:t>
      </w:r>
      <w:r w:rsidRPr="00F77C41">
        <w:rPr>
          <w:kern w:val="0"/>
          <w14:ligatures w14:val="none"/>
        </w:rPr>
        <w:t>3 Ca1.5th 561, 569 [“The Privacy Initiative addressed the ‘accelerating encroachment on personal freedom and security caused by increased surveillance and data collection activity in contemporary so</w:t>
      </w:r>
      <w:r w:rsidRPr="00F77C41">
        <w:rPr>
          <w:kern w:val="0"/>
          <w14:ligatures w14:val="none"/>
        </w:rPr>
        <w:t>ciety</w:t>
      </w:r>
      <w:proofErr w:type="gramStart"/>
      <w:r w:rsidRPr="00F77C41">
        <w:rPr>
          <w:kern w:val="0"/>
          <w14:ligatures w14:val="none"/>
        </w:rPr>
        <w:t>’ ”</w:t>
      </w:r>
      <w:proofErr w:type="gramEnd"/>
      <w:r w:rsidRPr="00F77C41">
        <w:rPr>
          <w:kern w:val="0"/>
          <w14:ligatures w14:val="none"/>
        </w:rPr>
        <w:t>].)  “The principal ‘ “mischiefs” ’ that the Privacy Initiative addressed were ‘(1) “government snooping” and the secret gathering of personal information; (2) the overbroad collection and retention of unnecessary personal information by government and business interests; (3) the improper use of information properly obtained for a specific purpose, for example, the use of it for another purpose or the disclosure of it to some third party; and (4) the lack of a reasonable check on the accuracy of exi</w:t>
      </w:r>
      <w:r w:rsidRPr="00F77C41">
        <w:rPr>
          <w:kern w:val="0"/>
          <w14:ligatures w14:val="none"/>
        </w:rPr>
        <w:t>sting records.’ ”  (</w:t>
      </w:r>
      <w:r w:rsidRPr="00F77C41">
        <w:rPr>
          <w:i/>
          <w:iCs/>
          <w:kern w:val="0"/>
          <w14:ligatures w14:val="none"/>
        </w:rPr>
        <w:t>Lewis</w:t>
      </w:r>
      <w:r w:rsidRPr="00F77C41">
        <w:rPr>
          <w:kern w:val="0"/>
          <w14:ligatures w14:val="none"/>
        </w:rPr>
        <w:t xml:space="preserve">, </w:t>
      </w:r>
      <w:bookmarkStart w:id="4" w:name="dabmci_e6e7db670cea496e8d76b95e3aa52fcb"/>
      <w:r w:rsidRPr="00F77C41">
        <w:rPr>
          <w:kern w:val="0"/>
          <w14:ligatures w14:val="none"/>
        </w:rPr>
        <w:t>at p. 569</w:t>
      </w:r>
      <w:bookmarkEnd w:id="4"/>
      <w:r w:rsidRPr="00F77C41">
        <w:rPr>
          <w:kern w:val="0"/>
          <w14:ligatures w14:val="none"/>
        </w:rPr>
        <w:t>.)</w:t>
      </w:r>
    </w:p>
    <w:p w14:paraId="71D5D2B2" w14:textId="77777777" w:rsidR="00C558EA" w:rsidRPr="00F77C41" w:rsidRDefault="00C558EA" w:rsidP="00A96272">
      <w:pPr>
        <w:spacing w:line="480" w:lineRule="exact"/>
        <w:ind w:firstLine="720"/>
        <w:rPr>
          <w:kern w:val="0"/>
          <w14:ligatures w14:val="none"/>
        </w:rPr>
      </w:pPr>
      <w:r w:rsidRPr="00F77C41">
        <w:rPr>
          <w:i/>
          <w:iCs/>
          <w:kern w:val="0"/>
          <w14:ligatures w14:val="none"/>
        </w:rPr>
        <w:t>The California Consumer Privacy Act of 2018</w:t>
      </w:r>
    </w:p>
    <w:p w14:paraId="3300F239" w14:textId="77777777" w:rsidR="00C558EA" w:rsidRPr="00F77C41" w:rsidRDefault="00C558EA" w:rsidP="00A96272">
      <w:pPr>
        <w:spacing w:line="480" w:lineRule="exact"/>
        <w:ind w:firstLine="720"/>
        <w:rPr>
          <w:kern w:val="0"/>
          <w14:ligatures w14:val="none"/>
        </w:rPr>
      </w:pPr>
      <w:r w:rsidRPr="00F77C41">
        <w:rPr>
          <w:kern w:val="0"/>
          <w14:ligatures w14:val="none"/>
        </w:rPr>
        <w:t xml:space="preserve">Since the right of privacy was added to the California Constitution, various laws have been enacted by the Legislature to safeguard the informational privacy of Californians, including the California Consumer Privacy Act of 2018 (CCPA), </w:t>
      </w:r>
      <w:bookmarkStart w:id="5" w:name="dabmci_be16a26f97014f588774aaf58199cea1"/>
      <w:r w:rsidRPr="00F77C41">
        <w:rPr>
          <w:kern w:val="0"/>
          <w14:ligatures w14:val="none"/>
        </w:rPr>
        <w:t>Civil Code section 1798.100</w:t>
      </w:r>
      <w:bookmarkEnd w:id="5"/>
      <w:r w:rsidRPr="00F77C41">
        <w:rPr>
          <w:kern w:val="0"/>
          <w14:ligatures w14:val="none"/>
        </w:rPr>
        <w:t xml:space="preserve"> et seq.</w:t>
      </w:r>
      <w:r>
        <w:rPr>
          <w:b/>
          <w:kern w:val="0"/>
          <w:position w:val="8"/>
          <w:sz w:val="20"/>
          <w14:ligatures w14:val="none"/>
        </w:rPr>
        <w:footnoteReference w:id="2"/>
      </w:r>
      <w:r w:rsidRPr="00F77C41">
        <w:rPr>
          <w:kern w:val="0"/>
          <w14:ligatures w14:val="none"/>
        </w:rPr>
        <w:t xml:space="preserve">  (Stats. 2018, </w:t>
      </w:r>
      <w:proofErr w:type="spellStart"/>
      <w:r w:rsidRPr="00F77C41">
        <w:rPr>
          <w:kern w:val="0"/>
          <w14:ligatures w14:val="none"/>
        </w:rPr>
        <w:t>ch.</w:t>
      </w:r>
      <w:proofErr w:type="spellEnd"/>
      <w:r w:rsidRPr="00F77C41">
        <w:rPr>
          <w:kern w:val="0"/>
          <w14:ligatures w14:val="none"/>
        </w:rPr>
        <w:t xml:space="preserve"> 55, § 3.)  The purpose of the CCPA, which was enacted in June 2018 and became operative on January 1, 2020, was to protect consumers’ privacy rights by providing them meaningful control over how their personal information is collected, used, and disclosed by a covered business.</w:t>
      </w:r>
      <w:r>
        <w:rPr>
          <w:b/>
          <w:kern w:val="0"/>
          <w:position w:val="8"/>
          <w:sz w:val="20"/>
          <w14:ligatures w14:val="none"/>
        </w:rPr>
        <w:footnoteReference w:id="3"/>
      </w:r>
      <w:r w:rsidRPr="00F77C41">
        <w:rPr>
          <w:kern w:val="0"/>
          <w14:ligatures w14:val="none"/>
        </w:rPr>
        <w:t xml:space="preserve">  (Stats. 2018, </w:t>
      </w:r>
      <w:proofErr w:type="spellStart"/>
      <w:r w:rsidRPr="00F77C41">
        <w:rPr>
          <w:kern w:val="0"/>
          <w14:ligatures w14:val="none"/>
        </w:rPr>
        <w:t>ch.</w:t>
      </w:r>
      <w:proofErr w:type="spellEnd"/>
      <w:r w:rsidRPr="00F77C41">
        <w:rPr>
          <w:kern w:val="0"/>
          <w14:ligatures w14:val="none"/>
        </w:rPr>
        <w:t xml:space="preserve"> 55, </w:t>
      </w:r>
      <w:r>
        <w:t>§</w:t>
      </w:r>
      <w:r w:rsidRPr="00F77C41">
        <w:rPr>
          <w:kern w:val="0"/>
          <w14:ligatures w14:val="none"/>
        </w:rPr>
        <w:t xml:space="preserve">§ 2-3; see </w:t>
      </w:r>
      <w:bookmarkStart w:id="6" w:name="dabmci_4096fe553c4b45e98c5b52e30523f4bf"/>
      <w:r w:rsidRPr="00F77C41">
        <w:rPr>
          <w:i/>
          <w:iCs/>
          <w:kern w:val="0"/>
          <w14:ligatures w14:val="none"/>
        </w:rPr>
        <w:t>id</w:t>
      </w:r>
      <w:r w:rsidRPr="00F77C41">
        <w:rPr>
          <w:kern w:val="0"/>
          <w14:ligatures w14:val="none"/>
        </w:rPr>
        <w:t>. § 3</w:t>
      </w:r>
      <w:bookmarkEnd w:id="6"/>
      <w:r w:rsidRPr="00F77C41">
        <w:rPr>
          <w:kern w:val="0"/>
          <w14:ligatures w14:val="none"/>
        </w:rPr>
        <w:t xml:space="preserve"> [defining the term “business” for purposes of the CCPA and granting </w:t>
      </w:r>
      <w:r w:rsidRPr="00F77C41">
        <w:rPr>
          <w:kern w:val="0"/>
          <w14:ligatures w14:val="none"/>
        </w:rPr>
        <w:lastRenderedPageBreak/>
        <w:t xml:space="preserve">consumers certain rights with respect to personal data collected by such businesses]; § 1798.198, subd. (a) [setting forth the operative date].)  </w:t>
      </w:r>
    </w:p>
    <w:p w14:paraId="46593C6A" w14:textId="77777777" w:rsidR="00C558EA" w:rsidRPr="00F77C41" w:rsidRDefault="00C558EA" w:rsidP="0046034E">
      <w:pPr>
        <w:spacing w:line="480" w:lineRule="exact"/>
        <w:ind w:firstLine="720"/>
        <w:rPr>
          <w:kern w:val="0"/>
          <w14:ligatures w14:val="none"/>
        </w:rPr>
      </w:pPr>
      <w:r w:rsidRPr="00F77C41">
        <w:rPr>
          <w:kern w:val="0"/>
          <w14:ligatures w14:val="none"/>
        </w:rPr>
        <w:t>In enacting the CCPA, the Legislature found that the ability of consumers to control the use (including the sale) of their personal information is fundamental to the right of privacy, and that the misuse of personal information (such as unauthorized disclosure) can have devastating effects for consumers (such as financial fraud, identity theft, and reputational damage).  Thus, consumers should have certain rights so that they can effectively control their personal information collected by a covered business</w:t>
      </w:r>
      <w:r w:rsidRPr="00F77C41">
        <w:rPr>
          <w:kern w:val="0"/>
          <w14:ligatures w14:val="none"/>
        </w:rPr>
        <w:t xml:space="preserve">.  Those rights include (but are not limited to) the right to know what personal information is being collected about them and whether that information is sold or disclosed and to whom, the right to prohibit the sale of their personal information, the right to request deletion of their personal information, and the right to nondiscrimination in service and price when they exercise privacy rights.  (Stats. 2018, </w:t>
      </w:r>
      <w:proofErr w:type="spellStart"/>
      <w:r w:rsidRPr="00F77C41">
        <w:rPr>
          <w:kern w:val="0"/>
          <w14:ligatures w14:val="none"/>
        </w:rPr>
        <w:t>ch.</w:t>
      </w:r>
      <w:proofErr w:type="spellEnd"/>
      <w:r w:rsidRPr="00F77C41">
        <w:rPr>
          <w:kern w:val="0"/>
          <w14:ligatures w14:val="none"/>
        </w:rPr>
        <w:t xml:space="preserve"> 55, §§ 2-3; see </w:t>
      </w:r>
      <w:bookmarkStart w:id="7" w:name="dabmci_2a408b630bca426f9a74c0081ee81509"/>
      <w:r w:rsidRPr="00F77C41">
        <w:rPr>
          <w:kern w:val="0"/>
          <w14:ligatures w14:val="none"/>
        </w:rPr>
        <w:t>§ 1798.100, subd. (a)</w:t>
      </w:r>
      <w:bookmarkEnd w:id="7"/>
      <w:r w:rsidRPr="00F77C41">
        <w:rPr>
          <w:kern w:val="0"/>
          <w14:ligatures w14:val="none"/>
        </w:rPr>
        <w:t xml:space="preserve"> [right to know what personal information has been colle</w:t>
      </w:r>
      <w:r w:rsidRPr="00F77C41">
        <w:rPr>
          <w:kern w:val="0"/>
          <w14:ligatures w14:val="none"/>
        </w:rPr>
        <w:t xml:space="preserve">cted]; § 1798.105, subd. (a) [right to delete personal information that has been collected]; § 1798.115, subd. (a) [right to know whether personal information has been sold or shared and to whom]; § 1798.120, subd. (a) [right to prohibit (or opt-out of) the sale or sharing of personal information]; § 1798.125 [right to nondiscrimination for exercising privacy rights].)   </w:t>
      </w:r>
    </w:p>
    <w:p w14:paraId="686F81D3" w14:textId="77777777" w:rsidR="00C558EA" w:rsidRPr="00F77C41" w:rsidRDefault="00C558EA" w:rsidP="0046034E">
      <w:pPr>
        <w:spacing w:line="480" w:lineRule="exact"/>
        <w:ind w:firstLine="720"/>
        <w:rPr>
          <w:kern w:val="0"/>
          <w14:ligatures w14:val="none"/>
        </w:rPr>
      </w:pPr>
      <w:r w:rsidRPr="00F77C41">
        <w:rPr>
          <w:kern w:val="0"/>
          <w14:ligatures w14:val="none"/>
        </w:rPr>
        <w:t xml:space="preserve">The CCPA directed the Attorney General to adopt regulations concerning various delineated subject matter areas (e.g., the sale or sharing of personal information) by January 1, 2020, to carry out the provisions and purposes of the law, with the goal of, among other things, minimizing the administrative burden on consumers and the burden on businesses.  (Stats. 2018, </w:t>
      </w:r>
      <w:proofErr w:type="spellStart"/>
      <w:r w:rsidRPr="00F77C41">
        <w:rPr>
          <w:kern w:val="0"/>
          <w14:ligatures w14:val="none"/>
        </w:rPr>
        <w:t>ch.</w:t>
      </w:r>
      <w:proofErr w:type="spellEnd"/>
      <w:r w:rsidRPr="00F77C41">
        <w:rPr>
          <w:kern w:val="0"/>
          <w14:ligatures w14:val="none"/>
        </w:rPr>
        <w:t xml:space="preserve"> 55, § 3; see former § 1798.185, subd. (a)(1)-(7).)  The CCPA provided consumers a limited private right of action regarding certain unauthorized access and exfiltration (i.e., transfer of data from a computer or other device), theft, or disclosure of nonencrypted or nonredacted personal information by a covered </w:t>
      </w:r>
      <w:proofErr w:type="gramStart"/>
      <w:r w:rsidRPr="00F77C41">
        <w:rPr>
          <w:kern w:val="0"/>
          <w14:ligatures w14:val="none"/>
        </w:rPr>
        <w:t>business, and</w:t>
      </w:r>
      <w:proofErr w:type="gramEnd"/>
      <w:r w:rsidRPr="00F77C41">
        <w:rPr>
          <w:kern w:val="0"/>
          <w14:ligatures w14:val="none"/>
        </w:rPr>
        <w:t xml:space="preserve"> authorized the Attorney General to enforce the law through civil </w:t>
      </w:r>
      <w:r w:rsidRPr="00F77C41">
        <w:rPr>
          <w:kern w:val="0"/>
          <w14:ligatures w14:val="none"/>
        </w:rPr>
        <w:lastRenderedPageBreak/>
        <w:t xml:space="preserve">enforcement actions.  (Stats. 2018, </w:t>
      </w:r>
      <w:proofErr w:type="spellStart"/>
      <w:r w:rsidRPr="00F77C41">
        <w:rPr>
          <w:kern w:val="0"/>
          <w14:ligatures w14:val="none"/>
        </w:rPr>
        <w:t>ch.</w:t>
      </w:r>
      <w:proofErr w:type="spellEnd"/>
      <w:r w:rsidRPr="00F77C41">
        <w:rPr>
          <w:kern w:val="0"/>
          <w14:ligatures w14:val="none"/>
        </w:rPr>
        <w:t xml:space="preserve"> 55, § 3; see former § 1798.150 [private right of action]; former § 1798.155 </w:t>
      </w:r>
      <w:r w:rsidRPr="00F77C41">
        <w:rPr>
          <w:kern w:val="0"/>
          <w14:ligatures w14:val="none"/>
        </w:rPr>
        <w:t xml:space="preserve">[civil enforcement action by the Attorney General].)  Under the CCPA, a covered business that failed to cure an alleged statutory violation within 30 days after being notified of such a violation was subject to civil penalties in an administrative action brought by the Attorney General.  (Stats. 2018, </w:t>
      </w:r>
      <w:proofErr w:type="spellStart"/>
      <w:r w:rsidRPr="00F77C41">
        <w:rPr>
          <w:kern w:val="0"/>
          <w14:ligatures w14:val="none"/>
        </w:rPr>
        <w:t>ch.</w:t>
      </w:r>
      <w:proofErr w:type="spellEnd"/>
      <w:r w:rsidRPr="00F77C41">
        <w:rPr>
          <w:kern w:val="0"/>
          <w14:ligatures w14:val="none"/>
        </w:rPr>
        <w:t xml:space="preserve"> 55, § 3; see former § 1798.155, subd. (a).)</w:t>
      </w:r>
    </w:p>
    <w:p w14:paraId="18D47B42" w14:textId="77777777" w:rsidR="00C558EA" w:rsidRPr="00F77C41" w:rsidRDefault="00C558EA" w:rsidP="0046034E">
      <w:pPr>
        <w:spacing w:line="480" w:lineRule="exact"/>
        <w:ind w:firstLine="720"/>
        <w:rPr>
          <w:kern w:val="0"/>
          <w14:ligatures w14:val="none"/>
        </w:rPr>
      </w:pPr>
      <w:r w:rsidRPr="00F77C41">
        <w:rPr>
          <w:kern w:val="0"/>
          <w14:ligatures w14:val="none"/>
        </w:rPr>
        <w:t>In September 2018, three months after its enaction, the CCPA was amended in part by the Legislature’s extending the deadline for the Attorney General to adopt implementing regulations from January 1, 2020 (i.e., the operative date of the statute)</w:t>
      </w:r>
      <w:r>
        <w:rPr>
          <w:kern w:val="0"/>
          <w14:ligatures w14:val="none"/>
        </w:rPr>
        <w:t>,</w:t>
      </w:r>
      <w:r w:rsidRPr="00F77C41">
        <w:rPr>
          <w:kern w:val="0"/>
          <w14:ligatures w14:val="none"/>
        </w:rPr>
        <w:t xml:space="preserve"> to July 1, 2020.</w:t>
      </w:r>
      <w:r>
        <w:rPr>
          <w:b/>
          <w:kern w:val="0"/>
          <w:position w:val="8"/>
          <w:sz w:val="20"/>
          <w14:ligatures w14:val="none"/>
        </w:rPr>
        <w:footnoteReference w:id="4"/>
      </w:r>
      <w:r w:rsidRPr="00F77C41">
        <w:rPr>
          <w:kern w:val="0"/>
          <w14:ligatures w14:val="none"/>
        </w:rPr>
        <w:t xml:space="preserve">  (Stats. 2018, </w:t>
      </w:r>
      <w:proofErr w:type="spellStart"/>
      <w:r w:rsidRPr="00F77C41">
        <w:rPr>
          <w:kern w:val="0"/>
          <w14:ligatures w14:val="none"/>
        </w:rPr>
        <w:t>ch.</w:t>
      </w:r>
      <w:proofErr w:type="spellEnd"/>
      <w:r w:rsidRPr="00F77C41">
        <w:rPr>
          <w:kern w:val="0"/>
          <w14:ligatures w14:val="none"/>
        </w:rPr>
        <w:t xml:space="preserve"> 735, § 13; see § 1798.185, subd. (a).)  The Legislature also added subdivision (c) to section 1798.185, which prohibited the Attorney General from bringing a civil enforcement action “until six months after the publication of the final regulations issued pursuant to [the statute] or July 1, 2020, whichever [was] sooner.”  (Stats. 2018, </w:t>
      </w:r>
      <w:proofErr w:type="spellStart"/>
      <w:r w:rsidRPr="00F77C41">
        <w:rPr>
          <w:kern w:val="0"/>
          <w14:ligatures w14:val="none"/>
        </w:rPr>
        <w:t>ch.</w:t>
      </w:r>
      <w:proofErr w:type="spellEnd"/>
      <w:r w:rsidRPr="00F77C41">
        <w:rPr>
          <w:kern w:val="0"/>
          <w14:ligatures w14:val="none"/>
        </w:rPr>
        <w:t xml:space="preserve"> 735, § 13; see § 1798.198, subd. (c).)  </w:t>
      </w:r>
    </w:p>
    <w:p w14:paraId="2A895344" w14:textId="77777777" w:rsidR="00C558EA" w:rsidRPr="00F77C41" w:rsidRDefault="00C558EA" w:rsidP="005C0602">
      <w:pPr>
        <w:spacing w:line="480" w:lineRule="exact"/>
        <w:ind w:firstLine="720"/>
        <w:rPr>
          <w:kern w:val="0"/>
          <w14:ligatures w14:val="none"/>
        </w:rPr>
      </w:pPr>
      <w:r w:rsidRPr="00F77C41">
        <w:rPr>
          <w:kern w:val="0"/>
          <w14:ligatures w14:val="none"/>
        </w:rPr>
        <w:t xml:space="preserve">In August 2020, the Office of Administrative Law (OAL) approved the Attorney General’s final implementing regulations, which govern compliance with the CCPA.  (See </w:t>
      </w:r>
      <w:bookmarkStart w:id="8" w:name="dabmci_04d54502c8704654a9423c7ad0cebb0a"/>
      <w:r w:rsidRPr="00F77C41">
        <w:rPr>
          <w:kern w:val="0"/>
          <w14:ligatures w14:val="none"/>
        </w:rPr>
        <w:t>Cal. Code Regs., tit. 11, § 7000</w:t>
      </w:r>
      <w:bookmarkEnd w:id="8"/>
      <w:r w:rsidRPr="00F77C41">
        <w:rPr>
          <w:kern w:val="0"/>
          <w14:ligatures w14:val="none"/>
        </w:rPr>
        <w:t xml:space="preserve"> et seq. [formerly </w:t>
      </w:r>
      <w:bookmarkStart w:id="9" w:name="dabmci_fb88be1330fc41e584ff0e3a59d81d77"/>
      <w:r w:rsidRPr="00F77C41">
        <w:rPr>
          <w:kern w:val="0"/>
          <w14:ligatures w14:val="none"/>
        </w:rPr>
        <w:t>Cal. Code Regs., tit. 11, § 999.300</w:t>
      </w:r>
      <w:bookmarkEnd w:id="9"/>
      <w:r w:rsidRPr="00F77C41">
        <w:rPr>
          <w:kern w:val="0"/>
          <w14:ligatures w14:val="none"/>
        </w:rPr>
        <w:t xml:space="preserve"> et seq].)  A set of amendments to the regulations went into effect in March 2021.  Any violation of the regulations constitutes a violation of the CCPA and is “subject to the remedies provided for therein.”  (</w:t>
      </w:r>
      <w:bookmarkStart w:id="10" w:name="dabmci_0b9a4a0914a84c1fb4c510a0a4c95b00"/>
      <w:r w:rsidRPr="00F77C41">
        <w:rPr>
          <w:kern w:val="0"/>
          <w14:ligatures w14:val="none"/>
        </w:rPr>
        <w:t>Cal. Code Regs., tit. 11, § 7000, subd. (b)</w:t>
      </w:r>
      <w:bookmarkEnd w:id="10"/>
      <w:r w:rsidRPr="00F77C41">
        <w:rPr>
          <w:kern w:val="0"/>
          <w14:ligatures w14:val="none"/>
        </w:rPr>
        <w:t xml:space="preserve">.)  </w:t>
      </w:r>
    </w:p>
    <w:p w14:paraId="714C2BB2" w14:textId="77777777" w:rsidR="00C558EA" w:rsidRPr="00F77C41" w:rsidRDefault="00C558EA" w:rsidP="005C0602">
      <w:pPr>
        <w:spacing w:line="480" w:lineRule="exact"/>
        <w:ind w:firstLine="720"/>
        <w:rPr>
          <w:i/>
          <w:iCs/>
          <w:kern w:val="0"/>
          <w14:ligatures w14:val="none"/>
        </w:rPr>
      </w:pPr>
      <w:r w:rsidRPr="00F77C41">
        <w:rPr>
          <w:i/>
          <w:iCs/>
          <w:kern w:val="0"/>
          <w14:ligatures w14:val="none"/>
        </w:rPr>
        <w:t xml:space="preserve">The Act </w:t>
      </w:r>
    </w:p>
    <w:p w14:paraId="12353D42" w14:textId="77777777" w:rsidR="00C558EA" w:rsidRPr="00F77C41" w:rsidRDefault="00C558EA" w:rsidP="005C0602">
      <w:pPr>
        <w:spacing w:line="480" w:lineRule="exact"/>
        <w:ind w:firstLine="720"/>
        <w:rPr>
          <w:kern w:val="0"/>
          <w14:ligatures w14:val="none"/>
        </w:rPr>
      </w:pPr>
      <w:r w:rsidRPr="00F77C41">
        <w:rPr>
          <w:kern w:val="0"/>
          <w14:ligatures w14:val="none"/>
        </w:rPr>
        <w:t xml:space="preserve">In November 2020, the electorate approved Proposition 24, the California Privacy Rights Act of 2020 (Prop. 24, as approved by voters, Gen. Elec. (Nov. 3, 2020) (Prop. </w:t>
      </w:r>
      <w:r w:rsidRPr="00F77C41">
        <w:rPr>
          <w:kern w:val="0"/>
          <w14:ligatures w14:val="none"/>
        </w:rPr>
        <w:lastRenderedPageBreak/>
        <w:t>24)), to which we refer as the Act.</w:t>
      </w:r>
      <w:r>
        <w:rPr>
          <w:b/>
          <w:kern w:val="0"/>
          <w:position w:val="8"/>
          <w:sz w:val="20"/>
          <w14:ligatures w14:val="none"/>
        </w:rPr>
        <w:footnoteReference w:id="5"/>
      </w:r>
      <w:r w:rsidRPr="00F77C41">
        <w:rPr>
          <w:kern w:val="0"/>
          <w14:ligatures w14:val="none"/>
        </w:rPr>
        <w:t xml:space="preserve">  With a few immaterial exceptions, the Act became operative on January 1, 2023.  (Prop. 24, § 31.)  The Act amended and expanded the CCPA by, among other things, giving consumers the right to correct inaccurate personal information collected by a covered business and to limit a covered business’s use and disclosure of “sensitive personal information” (e.g., social security number, racial or ethnic origin, religious beliefs, genetic data, precise geolocation) to specific identified purposes.  (Prop. 24, §§ </w:t>
      </w:r>
      <w:r w:rsidRPr="00F77C41">
        <w:rPr>
          <w:kern w:val="0"/>
          <w14:ligatures w14:val="none"/>
        </w:rPr>
        <w:t xml:space="preserve">4-24; see § 1798.106 [right to correct inaccurate personal information]; § 1798.121 [right to limit the use and disclosure of sensitive personal information]; § 1798.140, subd. (ae) [defining “sensitive personal information” for purposes of the CCPA]; </w:t>
      </w:r>
      <w:r w:rsidRPr="001912C7">
        <w:rPr>
          <w:kern w:val="0"/>
          <w14:ligatures w14:val="none"/>
        </w:rPr>
        <w:t>Guzzetta</w:t>
      </w:r>
      <w:r w:rsidRPr="008545D6">
        <w:rPr>
          <w:kern w:val="0"/>
          <w14:ligatures w14:val="none"/>
        </w:rPr>
        <w:t>,</w:t>
      </w:r>
      <w:r w:rsidRPr="00F77C41">
        <w:rPr>
          <w:kern w:val="0"/>
          <w14:ligatures w14:val="none"/>
        </w:rPr>
        <w:t xml:space="preserve"> </w:t>
      </w:r>
      <w:r w:rsidRPr="00F77C41">
        <w:rPr>
          <w:i/>
          <w:iCs/>
          <w:kern w:val="0"/>
          <w14:ligatures w14:val="none"/>
        </w:rPr>
        <w:t>supra</w:t>
      </w:r>
      <w:r w:rsidRPr="00F77C41">
        <w:rPr>
          <w:kern w:val="0"/>
          <w14:ligatures w14:val="none"/>
        </w:rPr>
        <w:t xml:space="preserve">, at ¶ 3:2 [explaining that the Act incorporated several provisions of the European Union’s data privacy and security law, the General Data </w:t>
      </w:r>
      <w:r w:rsidRPr="00F77C41">
        <w:rPr>
          <w:kern w:val="0"/>
          <w14:ligatures w14:val="none"/>
        </w:rPr>
        <w:t>Protection Regulation].)</w:t>
      </w:r>
      <w:r>
        <w:rPr>
          <w:b/>
          <w:kern w:val="0"/>
          <w:position w:val="8"/>
          <w:sz w:val="20"/>
          <w14:ligatures w14:val="none"/>
        </w:rPr>
        <w:footnoteReference w:id="6"/>
      </w:r>
      <w:r w:rsidRPr="00F77C41">
        <w:rPr>
          <w:kern w:val="0"/>
          <w14:ligatures w14:val="none"/>
        </w:rPr>
        <w:t xml:space="preserve">  The purpose of the Act was to further protect consumers’ rights regarding the collection and use (including sale) of personal information by a covered business.</w:t>
      </w:r>
      <w:r>
        <w:rPr>
          <w:b/>
          <w:kern w:val="0"/>
          <w:position w:val="8"/>
          <w:sz w:val="20"/>
          <w14:ligatures w14:val="none"/>
        </w:rPr>
        <w:footnoteReference w:id="7"/>
      </w:r>
      <w:r w:rsidRPr="00F77C41">
        <w:rPr>
          <w:kern w:val="0"/>
          <w14:ligatures w14:val="none"/>
        </w:rPr>
        <w:t xml:space="preserve">  (Prop. 24, § 3.)  </w:t>
      </w:r>
    </w:p>
    <w:p w14:paraId="1F7BCE8B" w14:textId="77777777" w:rsidR="00C558EA" w:rsidRPr="00F77C41" w:rsidRDefault="00C558EA" w:rsidP="00A972FF">
      <w:pPr>
        <w:spacing w:line="480" w:lineRule="exact"/>
        <w:ind w:firstLine="720"/>
        <w:rPr>
          <w:kern w:val="0"/>
          <w14:ligatures w14:val="none"/>
        </w:rPr>
      </w:pPr>
      <w:r w:rsidRPr="00F77C41">
        <w:rPr>
          <w:kern w:val="0"/>
          <w14:ligatures w14:val="none"/>
        </w:rPr>
        <w:lastRenderedPageBreak/>
        <w:t>The Act established the Agency and vested it with the authority to administer, implement, and enforce the CCPA through administrative and civil actions for civil penalties.  (Prop. 24, §§ 17, 21, 24; see §§ 1798.155, subd. (a), 1798.199.10, subd. (a), 1798.199.40, subd. (a)</w:t>
      </w:r>
      <w:r>
        <w:rPr>
          <w:kern w:val="0"/>
          <w14:ligatures w14:val="none"/>
        </w:rPr>
        <w:t>,</w:t>
      </w:r>
      <w:r w:rsidRPr="00F77C41">
        <w:rPr>
          <w:kern w:val="0"/>
          <w14:ligatures w14:val="none"/>
        </w:rPr>
        <w:t xml:space="preserve"> 1798.199.75, subd. (a).)  The Act informed the electorate that the Agency would be an “independent watchdog” with a “mission” to protect consumer privacy, ensure that businesses and consumers are well-informed about their rights and obligations, and vigorously enforce the law against businesses that violate consumers’ privacy rights.  (Prop. 24, § 2(L).)  </w:t>
      </w:r>
    </w:p>
    <w:p w14:paraId="6BAF5B7F" w14:textId="77777777" w:rsidR="00C558EA" w:rsidRPr="00F77C41" w:rsidRDefault="00C558EA" w:rsidP="00A972FF">
      <w:pPr>
        <w:spacing w:line="480" w:lineRule="exact"/>
        <w:ind w:firstLine="720"/>
        <w:rPr>
          <w:kern w:val="0"/>
          <w14:ligatures w14:val="none"/>
        </w:rPr>
      </w:pPr>
      <w:r w:rsidRPr="00F77C41">
        <w:rPr>
          <w:kern w:val="0"/>
          <w14:ligatures w14:val="none"/>
        </w:rPr>
        <w:t xml:space="preserve">Of particular relevance here, as we emphasize below, the Act authorized the Agency to adopt, amend, and rescind regulations to carry out the purposes and provisions of the CCPA, directed the Agency to adopt final regulations concerning certain delineated subject matter areas, including 15 new areas (e.g., consumers’ right to request the correction of inaccurate personal information), and </w:t>
      </w:r>
      <w:bookmarkStart w:id="11" w:name="_Hlk155530406"/>
      <w:r w:rsidRPr="00F77C41">
        <w:rPr>
          <w:i/>
          <w:iCs/>
          <w:kern w:val="0"/>
          <w14:ligatures w14:val="none"/>
        </w:rPr>
        <w:t xml:space="preserve">established a deadline of July 1, 2022, for the adoption of final regulations </w:t>
      </w:r>
      <w:r w:rsidRPr="00F77C41">
        <w:rPr>
          <w:kern w:val="0"/>
          <w14:ligatures w14:val="none"/>
        </w:rPr>
        <w:t xml:space="preserve">in those 15 areas.  (Prop. 24, § 21; see §§ 1798.185, subds. (a), (d), 1798.199.40, subd. (b).)  The Act also </w:t>
      </w:r>
      <w:r w:rsidRPr="00F77C41">
        <w:rPr>
          <w:i/>
          <w:iCs/>
          <w:kern w:val="0"/>
          <w14:ligatures w14:val="none"/>
        </w:rPr>
        <w:t>provided that the Agency’s enforcement authority would take effect on July 1, 2023</w:t>
      </w:r>
      <w:r w:rsidRPr="00F77C41">
        <w:rPr>
          <w:kern w:val="0"/>
          <w14:ligatures w14:val="none"/>
        </w:rPr>
        <w:t xml:space="preserve">, and </w:t>
      </w:r>
      <w:bookmarkEnd w:id="11"/>
      <w:r w:rsidRPr="00F77C41">
        <w:rPr>
          <w:kern w:val="0"/>
          <w14:ligatures w14:val="none"/>
        </w:rPr>
        <w:t>that the Agency’s enforcement authority only applied to statutory violations occurring on or after that date.  (Prop. 24, § 21; see § 1798.185, subd. (d).)  As for administrative enforcement, the Act eliminated the provision in the CCPA</w:t>
      </w:r>
      <w:r w:rsidRPr="00F77C41">
        <w:rPr>
          <w:kern w:val="0"/>
          <w14:ligatures w14:val="none"/>
        </w:rPr>
        <w:t xml:space="preserve"> giving a business 30 days to cure an alleged statutory violation to avoid a civil penalty.  (Prop. 24, § 17; see § 1798.155, subd. (a).)  However, it added a provision granting the Agency discretion to allow a covered business “a time period to cure [an] alleged violation.”  (See § 1798.199.45, subd. (a) [in exercising its discretion, the Agency may consider a business’s lack of intent to violate the statute and any voluntary efforts to cure the alleged violation].)</w:t>
      </w:r>
    </w:p>
    <w:p w14:paraId="41560F66" w14:textId="77777777" w:rsidR="00C558EA" w:rsidRPr="00F77C41" w:rsidRDefault="00C558EA" w:rsidP="00A972FF">
      <w:pPr>
        <w:spacing w:line="480" w:lineRule="exact"/>
        <w:ind w:firstLine="720"/>
        <w:rPr>
          <w:kern w:val="0"/>
          <w14:ligatures w14:val="none"/>
        </w:rPr>
      </w:pPr>
      <w:r w:rsidRPr="00F77C41">
        <w:rPr>
          <w:kern w:val="0"/>
          <w14:ligatures w14:val="none"/>
        </w:rPr>
        <w:lastRenderedPageBreak/>
        <w:t xml:space="preserve">In the </w:t>
      </w:r>
      <w:r>
        <w:rPr>
          <w:kern w:val="0"/>
          <w14:ligatures w14:val="none"/>
        </w:rPr>
        <w:t>p</w:t>
      </w:r>
      <w:r w:rsidRPr="00F77C41">
        <w:rPr>
          <w:kern w:val="0"/>
          <w14:ligatures w14:val="none"/>
        </w:rPr>
        <w:t>roposal section of the voter information guide, which was prepared by the Legislative Analyst, the electorate was advised as follows</w:t>
      </w:r>
      <w:proofErr w:type="gramStart"/>
      <w:r w:rsidRPr="00F77C41">
        <w:rPr>
          <w:kern w:val="0"/>
          <w14:ligatures w14:val="none"/>
        </w:rPr>
        <w:t>:  “</w:t>
      </w:r>
      <w:proofErr w:type="gramEnd"/>
      <w:r w:rsidRPr="00F77C41">
        <w:rPr>
          <w:kern w:val="0"/>
          <w14:ligatures w14:val="none"/>
        </w:rPr>
        <w:t>Proposition 24 (1) changes existing consumer data privacy laws, (2) provides new consumer privacy rights, (3)</w:t>
      </w:r>
      <w:r>
        <w:rPr>
          <w:kern w:val="0"/>
          <w14:ligatures w14:val="none"/>
        </w:rPr>
        <w:t> </w:t>
      </w:r>
      <w:r w:rsidRPr="00F77C41">
        <w:rPr>
          <w:kern w:val="0"/>
          <w14:ligatures w14:val="none"/>
        </w:rPr>
        <w:t>changes existing penalties and limits the use of penalty revenues, and (4) creates a new state agency to oversee and enforce consumer data privacy laws.  If approved, most of this proposition would take effect in January 2023.  Some portions of the proposition, suc</w:t>
      </w:r>
      <w:r w:rsidRPr="00F77C41">
        <w:rPr>
          <w:kern w:val="0"/>
          <w14:ligatures w14:val="none"/>
        </w:rPr>
        <w:t>h as the creation of the new state agency and requirements for developing new regulations, would go into effect immediately.”  (Voter Information Guide, Gen. Elec. (Nov. 3, 2020) analysis of Prop. 24 by the Legis. Analyst, p. 67 (Voter Guide).)  The Legislative Analyst explained that the Agency would have “a wide range of responsibilities,” including the investigation of statutory violations, assessment of penalties, and the “development of a wide range of new regulations,” such as “rules for correcting con</w:t>
      </w:r>
      <w:r w:rsidRPr="00F77C41">
        <w:rPr>
          <w:kern w:val="0"/>
          <w14:ligatures w14:val="none"/>
        </w:rPr>
        <w:t>sumer personal data and determining whether businesses must carry out a review of their ability to protect data.”  (Voter Guide, p. 68.)</w:t>
      </w:r>
    </w:p>
    <w:p w14:paraId="1D998410" w14:textId="77777777" w:rsidR="00C558EA" w:rsidRPr="00F77C41" w:rsidRDefault="00C558EA" w:rsidP="00A972FF">
      <w:pPr>
        <w:spacing w:line="480" w:lineRule="exact"/>
        <w:ind w:firstLine="720"/>
        <w:rPr>
          <w:kern w:val="0"/>
          <w14:ligatures w14:val="none"/>
        </w:rPr>
      </w:pPr>
      <w:r w:rsidRPr="00F77C41">
        <w:rPr>
          <w:kern w:val="0"/>
          <w14:ligatures w14:val="none"/>
        </w:rPr>
        <w:t xml:space="preserve">The uncodified purpose and intent section of Proposition 24 identified various principles that </w:t>
      </w:r>
      <w:r w:rsidRPr="00F77C41">
        <w:rPr>
          <w:i/>
          <w:iCs/>
          <w:kern w:val="0"/>
          <w14:ligatures w14:val="none"/>
        </w:rPr>
        <w:t xml:space="preserve">shall </w:t>
      </w:r>
      <w:r w:rsidRPr="00F77C41">
        <w:rPr>
          <w:kern w:val="0"/>
          <w14:ligatures w14:val="none"/>
        </w:rPr>
        <w:t>guide implementation of the Act.  Of significance here, those principles include:  (1) “The rights of consumers and the responsibilities of businesses should be implemented with the goal of strengthening consumer privacy while giving attention to the impact on business and innovation”; (2) “Businesses and consumers should be provided with clear guidance about their responsibilities and rights”; (4) “The law should . . . assist businesses with compliance with the continuing goal of strengthening consum</w:t>
      </w:r>
      <w:r w:rsidRPr="00F77C41">
        <w:rPr>
          <w:kern w:val="0"/>
          <w14:ligatures w14:val="none"/>
        </w:rPr>
        <w:t xml:space="preserve">er privacy”; (5) “The law should . . . promote efficiency of implementation for business provided that the amendments do not compromise or weaken consumer privacy”; and (7) “Businesses should be held accountable for violating the law through vigorous administrative and civil enforcement.”  (Prop. 24, § 3(C).)  </w:t>
      </w:r>
    </w:p>
    <w:p w14:paraId="256C22A5" w14:textId="77777777" w:rsidR="00C558EA" w:rsidRPr="00F77C41" w:rsidRDefault="00C558EA" w:rsidP="0017693A">
      <w:pPr>
        <w:keepNext/>
        <w:keepLines/>
        <w:spacing w:line="480" w:lineRule="exact"/>
        <w:ind w:firstLine="720"/>
        <w:rPr>
          <w:i/>
          <w:iCs/>
          <w:kern w:val="0"/>
          <w14:ligatures w14:val="none"/>
        </w:rPr>
      </w:pPr>
      <w:r w:rsidRPr="00F77C41">
        <w:rPr>
          <w:i/>
          <w:iCs/>
          <w:kern w:val="0"/>
          <w14:ligatures w14:val="none"/>
        </w:rPr>
        <w:lastRenderedPageBreak/>
        <w:t xml:space="preserve">The Agency’s Final Implementing Regulations </w:t>
      </w:r>
    </w:p>
    <w:p w14:paraId="4079DCB2" w14:textId="77777777" w:rsidR="00C558EA" w:rsidRPr="00F77C41" w:rsidRDefault="00C558EA" w:rsidP="00A972FF">
      <w:pPr>
        <w:spacing w:line="480" w:lineRule="exact"/>
        <w:ind w:firstLine="720"/>
        <w:rPr>
          <w:kern w:val="0"/>
          <w14:ligatures w14:val="none"/>
        </w:rPr>
      </w:pPr>
      <w:r w:rsidRPr="00F77C41">
        <w:rPr>
          <w:kern w:val="0"/>
          <w14:ligatures w14:val="none"/>
        </w:rPr>
        <w:t xml:space="preserve">It is undisputed that the Agency did not adopt any final regulations by </w:t>
      </w:r>
      <w:proofErr w:type="gramStart"/>
      <w:r w:rsidRPr="00F77C41">
        <w:rPr>
          <w:kern w:val="0"/>
          <w14:ligatures w14:val="none"/>
        </w:rPr>
        <w:t>the July</w:t>
      </w:r>
      <w:proofErr w:type="gramEnd"/>
      <w:r w:rsidRPr="00F77C41">
        <w:rPr>
          <w:kern w:val="0"/>
          <w14:ligatures w14:val="none"/>
        </w:rPr>
        <w:t xml:space="preserve"> 1, 2022, date mandated by the Act.  </w:t>
      </w:r>
    </w:p>
    <w:p w14:paraId="1E1480D1" w14:textId="77777777" w:rsidR="00C558EA" w:rsidRPr="00F77C41" w:rsidRDefault="00C558EA" w:rsidP="00A972FF">
      <w:pPr>
        <w:spacing w:line="480" w:lineRule="exact"/>
        <w:ind w:firstLine="720"/>
        <w:rPr>
          <w:kern w:val="0"/>
          <w14:ligatures w14:val="none"/>
        </w:rPr>
      </w:pPr>
      <w:r w:rsidRPr="00F77C41">
        <w:rPr>
          <w:kern w:val="0"/>
          <w14:ligatures w14:val="none"/>
        </w:rPr>
        <w:t xml:space="preserve">On July 8, 2022, the Agency published a notice of proposed rulemaking concerning the Act, announcing its intent to amend numerous regulations implementing the CCPA and repealing one of those regulations.  The notice stated that the proposed regulations were “the most effective way to operationalize the [Act’s] amendments to the CCPA,” explaining that the regulations “primarily do three things: </w:t>
      </w:r>
      <w:r>
        <w:rPr>
          <w:kern w:val="0"/>
          <w14:ligatures w14:val="none"/>
        </w:rPr>
        <w:t xml:space="preserve"> </w:t>
      </w:r>
      <w:r w:rsidRPr="00F77C41">
        <w:rPr>
          <w:kern w:val="0"/>
          <w14:ligatures w14:val="none"/>
        </w:rPr>
        <w:t>(1) update existing CCPA regulations to harmonize them with [the Act’s] amendments to the CCPA; (2)</w:t>
      </w:r>
      <w:r>
        <w:rPr>
          <w:kern w:val="0"/>
          <w14:ligatures w14:val="none"/>
        </w:rPr>
        <w:t> </w:t>
      </w:r>
      <w:r w:rsidRPr="00F77C41">
        <w:rPr>
          <w:kern w:val="0"/>
          <w14:ligatures w14:val="none"/>
        </w:rPr>
        <w:t>operationalize new rights and concepts introduced by the [Act] to provide clarity and specificity to implement the law; and (3) reorganize and consolidate requirements set forth in the law to make the regulations easier to follow and understand.”</w:t>
      </w:r>
      <w:r>
        <w:rPr>
          <w:b/>
          <w:kern w:val="0"/>
          <w:position w:val="8"/>
          <w:sz w:val="20"/>
          <w14:ligatures w14:val="none"/>
        </w:rPr>
        <w:footnoteReference w:id="8"/>
      </w:r>
      <w:r w:rsidRPr="00F77C41">
        <w:rPr>
          <w:kern w:val="0"/>
          <w14:ligatures w14:val="none"/>
        </w:rPr>
        <w:t xml:space="preserve">  The notice further explained, among other things, that the proposed regulations set forth clear requirements for how covered businesses are to satisfy their obligations under the Act.  </w:t>
      </w:r>
    </w:p>
    <w:p w14:paraId="139E97D6" w14:textId="77777777" w:rsidR="00C558EA" w:rsidRPr="00F77C41" w:rsidRDefault="00C558EA" w:rsidP="00A972FF">
      <w:pPr>
        <w:spacing w:line="480" w:lineRule="exact"/>
        <w:ind w:firstLine="720"/>
        <w:rPr>
          <w:kern w:val="0"/>
          <w14:ligatures w14:val="none"/>
        </w:rPr>
      </w:pPr>
      <w:r w:rsidRPr="00F77C41">
        <w:rPr>
          <w:kern w:val="0"/>
          <w14:ligatures w14:val="none"/>
        </w:rPr>
        <w:t xml:space="preserve">On March 29, 2023--nine months after the July 1, 2022, statutory deadline had passed--the OAL approved the Agency’s proposed final regulations, including regulations concerning 12 of the 15 required subject matter areas set forth in the Act.  (See </w:t>
      </w:r>
      <w:bookmarkStart w:id="13" w:name="dabmci_61477d5293134b5b83eb71eb2d1cda2f"/>
      <w:r w:rsidRPr="00F77C41">
        <w:rPr>
          <w:kern w:val="0"/>
          <w14:ligatures w14:val="none"/>
        </w:rPr>
        <w:t>Cal. Code Regs., tit. 11, § 7000</w:t>
      </w:r>
      <w:bookmarkEnd w:id="13"/>
      <w:r w:rsidRPr="00F77C41">
        <w:rPr>
          <w:kern w:val="0"/>
          <w14:ligatures w14:val="none"/>
        </w:rPr>
        <w:t xml:space="preserve"> et seq.)</w:t>
      </w:r>
      <w:r>
        <w:rPr>
          <w:b/>
          <w:kern w:val="0"/>
          <w:position w:val="8"/>
          <w:sz w:val="20"/>
          <w14:ligatures w14:val="none"/>
        </w:rPr>
        <w:footnoteReference w:id="9"/>
      </w:r>
      <w:r w:rsidRPr="00F77C41">
        <w:rPr>
          <w:kern w:val="0"/>
          <w14:ligatures w14:val="none"/>
        </w:rPr>
        <w:t xml:space="preserve">  In its notice of approval of regulatory </w:t>
      </w:r>
      <w:r w:rsidRPr="00F77C41">
        <w:rPr>
          <w:kern w:val="0"/>
          <w14:ligatures w14:val="none"/>
        </w:rPr>
        <w:lastRenderedPageBreak/>
        <w:t>action, the OAL explained</w:t>
      </w:r>
      <w:proofErr w:type="gramStart"/>
      <w:r w:rsidRPr="00F77C41">
        <w:rPr>
          <w:kern w:val="0"/>
          <w14:ligatures w14:val="none"/>
        </w:rPr>
        <w:t>:  “</w:t>
      </w:r>
      <w:proofErr w:type="gramEnd"/>
      <w:r w:rsidRPr="00F77C41">
        <w:rPr>
          <w:kern w:val="0"/>
          <w14:ligatures w14:val="none"/>
        </w:rPr>
        <w:t xml:space="preserve">This proposed action provides comprehensive instructions and guidance to consumers, businesses, service providers, contractors, and third parties on how to implement and operationalize new consumer privacy rights endowed by the [Act].”  </w:t>
      </w:r>
    </w:p>
    <w:p w14:paraId="4633B247" w14:textId="77777777" w:rsidR="00C558EA" w:rsidRPr="00F77C41" w:rsidRDefault="00C558EA" w:rsidP="001F49A9">
      <w:pPr>
        <w:spacing w:line="480" w:lineRule="exact"/>
        <w:ind w:firstLine="720"/>
        <w:rPr>
          <w:kern w:val="0"/>
          <w14:ligatures w14:val="none"/>
        </w:rPr>
      </w:pPr>
      <w:r w:rsidRPr="00F77C41">
        <w:rPr>
          <w:kern w:val="0"/>
          <w14:ligatures w14:val="none"/>
        </w:rPr>
        <w:t>Like the final regulations implementing the CCPA, the final regulations implementing the Act govern compliance with the CCPA (as amended and expanded by the Act), and any violation of those regulations constitutes a violation of the CCPA and is “subject to the remedies provided for therein.”  (</w:t>
      </w:r>
      <w:bookmarkStart w:id="14" w:name="dabmci_dcbde98875444baca679ed96600e0c01"/>
      <w:r w:rsidRPr="00F77C41">
        <w:rPr>
          <w:kern w:val="0"/>
          <w14:ligatures w14:val="none"/>
        </w:rPr>
        <w:t>Cal. Code Regs., tit. 11, § 7000, subd. (b)</w:t>
      </w:r>
      <w:bookmarkEnd w:id="14"/>
      <w:r w:rsidRPr="00F77C41">
        <w:rPr>
          <w:kern w:val="0"/>
          <w14:ligatures w14:val="none"/>
        </w:rPr>
        <w:t>.)  As for administrative enforcement, the OAL approved a regulation providing discretion to the Agency:  “As part of the Agency’s decision to pursue investigations of possible or alleged violations of the CCPA, the Agency may consider all facts it determines to be relevant, including the amount of time between the effective date of the statutory or regulatory requirement(s) and the possible or alleged violation(s) of those requirements, and good-faith efforts to c</w:t>
      </w:r>
      <w:r w:rsidRPr="00F77C41">
        <w:rPr>
          <w:kern w:val="0"/>
          <w14:ligatures w14:val="none"/>
        </w:rPr>
        <w:t>omply with those requirements.”  (</w:t>
      </w:r>
      <w:bookmarkStart w:id="15" w:name="dabmci_adbb4c822a6144a1a3cf0a3cfb4e8651"/>
      <w:r w:rsidRPr="00F77C41">
        <w:rPr>
          <w:kern w:val="0"/>
          <w14:ligatures w14:val="none"/>
        </w:rPr>
        <w:t>Cal. Code Regs., tit. 11, § 7301, subd. (b)</w:t>
      </w:r>
      <w:bookmarkEnd w:id="15"/>
      <w:r w:rsidRPr="00F77C41">
        <w:rPr>
          <w:kern w:val="0"/>
          <w14:ligatures w14:val="none"/>
        </w:rPr>
        <w:t xml:space="preserve">.) </w:t>
      </w:r>
    </w:p>
    <w:p w14:paraId="484B16D9" w14:textId="77777777" w:rsidR="00C558EA" w:rsidRPr="00F77C41" w:rsidRDefault="00C558EA" w:rsidP="00F77C41">
      <w:pPr>
        <w:spacing w:line="480" w:lineRule="exact"/>
        <w:rPr>
          <w:kern w:val="0"/>
          <w14:ligatures w14:val="none"/>
        </w:rPr>
      </w:pPr>
      <w:r w:rsidRPr="00F77C41">
        <w:rPr>
          <w:kern w:val="0"/>
          <w14:ligatures w14:val="none"/>
        </w:rPr>
        <w:tab/>
      </w:r>
      <w:r w:rsidRPr="00F77C41">
        <w:rPr>
          <w:i/>
          <w:iCs/>
          <w:kern w:val="0"/>
          <w14:ligatures w14:val="none"/>
        </w:rPr>
        <w:t>Petition for Writ of Mandate</w:t>
      </w:r>
    </w:p>
    <w:p w14:paraId="03B8607F" w14:textId="77777777" w:rsidR="00C558EA" w:rsidRPr="00F77C41" w:rsidRDefault="00C558EA" w:rsidP="001F49A9">
      <w:pPr>
        <w:spacing w:line="480" w:lineRule="exact"/>
        <w:ind w:firstLine="720"/>
        <w:rPr>
          <w:kern w:val="0"/>
          <w14:ligatures w14:val="none"/>
        </w:rPr>
      </w:pPr>
      <w:r w:rsidRPr="00F77C41">
        <w:rPr>
          <w:kern w:val="0"/>
          <w14:ligatures w14:val="none"/>
        </w:rPr>
        <w:t xml:space="preserve">The day after the OAL approved the Agency’s proposed final regulations implementing the Act, real party in interest the California Chamber of Commerce (Chamber) filed a verified petition for writ of mandate and complaint for injunctive and declaratory relief under </w:t>
      </w:r>
      <w:bookmarkStart w:id="16" w:name="dabmci_c41c23cdd5c846129fd703dbfbeee5df"/>
      <w:r w:rsidRPr="00F77C41">
        <w:rPr>
          <w:kern w:val="0"/>
          <w14:ligatures w14:val="none"/>
        </w:rPr>
        <w:t>Code of Civil Procedure section 1085</w:t>
      </w:r>
      <w:bookmarkEnd w:id="16"/>
      <w:r w:rsidRPr="00F77C41">
        <w:rPr>
          <w:kern w:val="0"/>
          <w14:ligatures w14:val="none"/>
        </w:rPr>
        <w:t xml:space="preserve">.  Among other things, the Chamber sought an order requiring the Agency to promptly adopt final regulations concerning the remaining three required subject matter areas set forth in the Act, and an order tolling enforcement of the Act, including all final regulations, until one year after the date the Agency adopts a </w:t>
      </w:r>
      <w:r w:rsidRPr="00F77C41">
        <w:rPr>
          <w:i/>
          <w:iCs/>
          <w:kern w:val="0"/>
          <w14:ligatures w14:val="none"/>
        </w:rPr>
        <w:t>complete</w:t>
      </w:r>
      <w:r w:rsidRPr="00F77C41">
        <w:rPr>
          <w:kern w:val="0"/>
          <w14:ligatures w14:val="none"/>
        </w:rPr>
        <w:t xml:space="preserve"> set of final regulations.  The Chamber claimed that “[s]</w:t>
      </w:r>
      <w:proofErr w:type="spellStart"/>
      <w:r w:rsidRPr="00F77C41">
        <w:rPr>
          <w:kern w:val="0"/>
          <w14:ligatures w14:val="none"/>
        </w:rPr>
        <w:t>uch</w:t>
      </w:r>
      <w:proofErr w:type="spellEnd"/>
      <w:r w:rsidRPr="00F77C41">
        <w:rPr>
          <w:kern w:val="0"/>
          <w14:ligatures w14:val="none"/>
        </w:rPr>
        <w:t xml:space="preserve"> tolling [was] necessary to conform to the statutory requirement and voters’ intent that </w:t>
      </w:r>
      <w:r w:rsidRPr="00F77C41">
        <w:rPr>
          <w:kern w:val="0"/>
          <w14:ligatures w14:val="none"/>
        </w:rPr>
        <w:t xml:space="preserve">businesses receive a one-year grace period to update their systems and processes to comply with the new legal requirements.”  The Chamber provided no explanation for </w:t>
      </w:r>
      <w:r w:rsidRPr="00F77C41">
        <w:rPr>
          <w:kern w:val="0"/>
          <w14:ligatures w14:val="none"/>
        </w:rPr>
        <w:lastRenderedPageBreak/>
        <w:t xml:space="preserve">why it did not seek writ relief earlier, that is, why its writ petition was filed nine months after the Agency failed to meet the July 1, 2022, deadline for adopting final implementing regulations required under the Act.  </w:t>
      </w:r>
    </w:p>
    <w:p w14:paraId="535A9D8F" w14:textId="77777777" w:rsidR="00C558EA" w:rsidRPr="00F77C41" w:rsidRDefault="00C558EA" w:rsidP="001F49A9">
      <w:pPr>
        <w:spacing w:line="480" w:lineRule="exact"/>
        <w:ind w:firstLine="720"/>
        <w:rPr>
          <w:kern w:val="0"/>
          <w14:ligatures w14:val="none"/>
        </w:rPr>
      </w:pPr>
      <w:r w:rsidRPr="00F77C41">
        <w:rPr>
          <w:kern w:val="0"/>
          <w14:ligatures w14:val="none"/>
        </w:rPr>
        <w:t>After a hearing in late June 2023, the trial court granted the Chamber’s writ petition in part and dismissed as moot the Chamber’s related requests for declaratory and injunctive relief.  The court agreed with the Chamber that the Agency was required to adopt final regulations in each of the 15 subject matter areas delineated in the Act by the July 1, 2022, deadline, but had failed to do so.  However, the court made no orders in that regard.  The court also agreed with the Chamber that, in approving Proposi</w:t>
      </w:r>
      <w:r w:rsidRPr="00F77C41">
        <w:rPr>
          <w:kern w:val="0"/>
          <w14:ligatures w14:val="none"/>
        </w:rPr>
        <w:t xml:space="preserve">tion 24, the voters intended for (at least) a one-year delay between the adoption and the enforcement of those regulations (the </w:t>
      </w:r>
      <w:proofErr w:type="gramStart"/>
      <w:r w:rsidRPr="00F77C41">
        <w:rPr>
          <w:kern w:val="0"/>
          <w14:ligatures w14:val="none"/>
        </w:rPr>
        <w:t>period of time</w:t>
      </w:r>
      <w:proofErr w:type="gramEnd"/>
      <w:r w:rsidRPr="00F77C41">
        <w:rPr>
          <w:kern w:val="0"/>
          <w14:ligatures w14:val="none"/>
        </w:rPr>
        <w:t xml:space="preserve"> between the July 1, 2022, deadline for the adoption of final regulations and the July 1, 2023, effective date for enforcement authority).  The court, however, disagreed with the Chamber that the one-year period should commence on the date the Agency adopted a </w:t>
      </w:r>
      <w:r w:rsidRPr="00F77C41">
        <w:rPr>
          <w:i/>
          <w:iCs/>
          <w:kern w:val="0"/>
          <w14:ligatures w14:val="none"/>
        </w:rPr>
        <w:t>complete</w:t>
      </w:r>
      <w:r w:rsidRPr="00F77C41">
        <w:rPr>
          <w:kern w:val="0"/>
          <w14:ligatures w14:val="none"/>
        </w:rPr>
        <w:t xml:space="preserve"> set of final regulations.  Instead, the court concluded that the Agency could begin enforcing any re</w:t>
      </w:r>
      <w:r w:rsidRPr="00F77C41">
        <w:rPr>
          <w:kern w:val="0"/>
          <w14:ligatures w14:val="none"/>
        </w:rPr>
        <w:t>quired regulation one year after it became final.  Thus, under the court’s order, the final implementing regulations approved by the OAL on March 29, 2023, could not be enforced by the Agency until March 29, 2024.  Finally, the court rejected the Agency’s prejudice argument, finding the Chamber was not required to show any prejudice from the Agency’s failure to adopt final implementing regulations by the statutory deadline (July 1, 2022) or from the Agency’s enforcement of those regulations beginning on Jul</w:t>
      </w:r>
      <w:r w:rsidRPr="00F77C41">
        <w:rPr>
          <w:kern w:val="0"/>
          <w14:ligatures w14:val="none"/>
        </w:rPr>
        <w:t>y</w:t>
      </w:r>
      <w:r>
        <w:rPr>
          <w:kern w:val="0"/>
          <w14:ligatures w14:val="none"/>
        </w:rPr>
        <w:t> </w:t>
      </w:r>
      <w:r w:rsidRPr="00F77C41">
        <w:rPr>
          <w:kern w:val="0"/>
          <w14:ligatures w14:val="none"/>
        </w:rPr>
        <w:t>1, 2023.  In rejecting this argument, the court opined</w:t>
      </w:r>
      <w:proofErr w:type="gramStart"/>
      <w:r w:rsidRPr="00F77C41">
        <w:rPr>
          <w:kern w:val="0"/>
          <w14:ligatures w14:val="none"/>
        </w:rPr>
        <w:t xml:space="preserve">: </w:t>
      </w:r>
      <w:bookmarkStart w:id="17" w:name="_Hlk155547430"/>
      <w:r w:rsidRPr="00F77C41">
        <w:rPr>
          <w:kern w:val="0"/>
          <w14:ligatures w14:val="none"/>
        </w:rPr>
        <w:t xml:space="preserve"> “</w:t>
      </w:r>
      <w:proofErr w:type="gramEnd"/>
      <w:r w:rsidRPr="00F77C41">
        <w:rPr>
          <w:kern w:val="0"/>
          <w14:ligatures w14:val="none"/>
        </w:rPr>
        <w:t xml:space="preserve">The Court’s finding that the Agency failed to timely pass final regulations as required by Section 1798.185 is sufficient to grant the Petition.”  </w:t>
      </w:r>
      <w:r w:rsidRPr="00F77C41">
        <w:rPr>
          <w:kern w:val="0"/>
          <w14:ligatures w14:val="none"/>
        </w:rPr>
        <w:cr/>
      </w:r>
      <w:bookmarkEnd w:id="17"/>
      <w:r w:rsidRPr="00F77C41">
        <w:rPr>
          <w:kern w:val="0"/>
          <w14:ligatures w14:val="none"/>
        </w:rPr>
        <w:tab/>
        <w:t xml:space="preserve">In granting the Chamber’s writ petition in part, the trial court “stayed” enforcement of any final implementing regulation required by the Act (§ 1798.185, subd. (a)) “for a period of 12 months from the date that individual regulation becomes final.”  </w:t>
      </w:r>
      <w:r w:rsidRPr="00F77C41">
        <w:rPr>
          <w:kern w:val="0"/>
          <w14:ligatures w14:val="none"/>
        </w:rPr>
        <w:lastRenderedPageBreak/>
        <w:t>The court further ordered that, “[c]</w:t>
      </w:r>
      <w:proofErr w:type="spellStart"/>
      <w:r w:rsidRPr="00F77C41">
        <w:rPr>
          <w:kern w:val="0"/>
          <w14:ligatures w14:val="none"/>
        </w:rPr>
        <w:t>onsistent</w:t>
      </w:r>
      <w:proofErr w:type="spellEnd"/>
      <w:r w:rsidRPr="00F77C41">
        <w:rPr>
          <w:kern w:val="0"/>
          <w14:ligatures w14:val="none"/>
        </w:rPr>
        <w:t xml:space="preserve"> with </w:t>
      </w:r>
      <w:r w:rsidRPr="00F77C41">
        <w:rPr>
          <w:kern w:val="0"/>
          <w14:ligatures w14:val="none"/>
        </w:rPr>
        <w:t>the plain language of Section 1798.185, subdivision (d), regulations previously passed pursuant to the CCPA will remain in full force and effect until superseding regulations passed by the Agency become enforceable in accordance with the Court’s Order.”  The court, however, did not grant the Chamber’s request to compel the Agency to promptly adopt final regulations in the remaining three areas required by the Act.</w:t>
      </w:r>
      <w:r>
        <w:rPr>
          <w:b/>
          <w:kern w:val="0"/>
          <w:position w:val="8"/>
          <w:sz w:val="20"/>
          <w14:ligatures w14:val="none"/>
        </w:rPr>
        <w:footnoteReference w:id="10"/>
      </w:r>
      <w:r w:rsidRPr="00F77C41">
        <w:rPr>
          <w:kern w:val="0"/>
          <w14:ligatures w14:val="none"/>
        </w:rPr>
        <w:t xml:space="preserve"> </w:t>
      </w:r>
    </w:p>
    <w:p w14:paraId="565B6458" w14:textId="77777777" w:rsidR="00C558EA" w:rsidRPr="00F77C41" w:rsidRDefault="00C558EA" w:rsidP="001F49A9">
      <w:pPr>
        <w:spacing w:line="480" w:lineRule="exact"/>
        <w:ind w:firstLine="720"/>
        <w:rPr>
          <w:i/>
          <w:iCs/>
          <w:kern w:val="0"/>
          <w14:ligatures w14:val="none"/>
        </w:rPr>
      </w:pPr>
      <w:r w:rsidRPr="00F77C41">
        <w:rPr>
          <w:i/>
          <w:iCs/>
          <w:kern w:val="0"/>
          <w14:ligatures w14:val="none"/>
        </w:rPr>
        <w:t>Entry of Judgment and Petition for Extraordinary Writ Relief</w:t>
      </w:r>
    </w:p>
    <w:p w14:paraId="0B25654E" w14:textId="77777777" w:rsidR="00C558EA" w:rsidRPr="00F77C41" w:rsidRDefault="00C558EA" w:rsidP="001F49A9">
      <w:pPr>
        <w:spacing w:line="480" w:lineRule="exact"/>
        <w:ind w:firstLine="720"/>
        <w:rPr>
          <w:kern w:val="0"/>
          <w14:ligatures w14:val="none"/>
        </w:rPr>
      </w:pPr>
      <w:r w:rsidRPr="00F77C41">
        <w:rPr>
          <w:kern w:val="0"/>
          <w14:ligatures w14:val="none"/>
        </w:rPr>
        <w:t>In late July 2023, the trial court entered judgment in favor of the Chamber and against the Agency.  In relevant part, the judgment stated</w:t>
      </w:r>
      <w:proofErr w:type="gramStart"/>
      <w:r w:rsidRPr="00F77C41">
        <w:rPr>
          <w:kern w:val="0"/>
          <w14:ligatures w14:val="none"/>
        </w:rPr>
        <w:t xml:space="preserve">: </w:t>
      </w:r>
      <w:r>
        <w:rPr>
          <w:kern w:val="0"/>
          <w14:ligatures w14:val="none"/>
        </w:rPr>
        <w:t xml:space="preserve"> </w:t>
      </w:r>
      <w:r w:rsidRPr="00F77C41">
        <w:rPr>
          <w:kern w:val="0"/>
          <w14:ligatures w14:val="none"/>
        </w:rPr>
        <w:t>“</w:t>
      </w:r>
      <w:proofErr w:type="gramEnd"/>
      <w:r w:rsidRPr="00F77C41">
        <w:rPr>
          <w:kern w:val="0"/>
          <w14:ligatures w14:val="none"/>
        </w:rPr>
        <w:t xml:space="preserve">Any and all final Agency regulations required by </w:t>
      </w:r>
      <w:bookmarkStart w:id="18" w:name="dabmci_f34b998c642b4bdd82374f242f44c9a9"/>
      <w:r w:rsidRPr="00F77C41">
        <w:rPr>
          <w:kern w:val="0"/>
          <w14:ligatures w14:val="none"/>
        </w:rPr>
        <w:t>Civil Code § 1798.185(a)</w:t>
      </w:r>
      <w:bookmarkEnd w:id="18"/>
      <w:r w:rsidRPr="00F77C41">
        <w:rPr>
          <w:kern w:val="0"/>
          <w14:ligatures w14:val="none"/>
        </w:rPr>
        <w:t xml:space="preserve">, pursuant to Proposition 24 (2020), shall not be enforceable for a period of 12 months from the date that the individual regulation has become final through approval by the Office of Administrative Law (“OAL”) . . . .  This stay of enforcement does not apply to regulatory amendments made after the individual regulation has become final through approval by OAL and expiration of the </w:t>
      </w:r>
      <w:proofErr w:type="gramStart"/>
      <w:r w:rsidRPr="00F77C41">
        <w:rPr>
          <w:kern w:val="0"/>
          <w14:ligatures w14:val="none"/>
        </w:rPr>
        <w:t>aforementioned 12-month</w:t>
      </w:r>
      <w:proofErr w:type="gramEnd"/>
      <w:r w:rsidRPr="00F77C41">
        <w:rPr>
          <w:kern w:val="0"/>
          <w14:ligatures w14:val="none"/>
        </w:rPr>
        <w:t xml:space="preserve"> period.  Regulations previ</w:t>
      </w:r>
      <w:r w:rsidRPr="00F77C41">
        <w:rPr>
          <w:kern w:val="0"/>
          <w14:ligatures w14:val="none"/>
        </w:rPr>
        <w:t xml:space="preserve">ously promulgated pursuant to the 2018 California Consumer Privacy Act will remain in full force and effect until superseding regulations promulgated by the Agency become enforceable in accordance with this Judgment.”  </w:t>
      </w:r>
    </w:p>
    <w:p w14:paraId="34AC12F1" w14:textId="77777777" w:rsidR="00C558EA" w:rsidRPr="00F77C41" w:rsidRDefault="00C558EA" w:rsidP="004240CC">
      <w:pPr>
        <w:spacing w:line="480" w:lineRule="exact"/>
        <w:ind w:firstLine="720"/>
        <w:rPr>
          <w:kern w:val="0"/>
          <w14:ligatures w14:val="none"/>
        </w:rPr>
      </w:pPr>
      <w:r w:rsidRPr="00F77C41">
        <w:rPr>
          <w:kern w:val="0"/>
          <w14:ligatures w14:val="none"/>
        </w:rPr>
        <w:t xml:space="preserve">In early August 2023, the Agency filed a petition for extraordinary writ relief </w:t>
      </w:r>
      <w:proofErr w:type="gramStart"/>
      <w:r w:rsidRPr="00F77C41">
        <w:rPr>
          <w:kern w:val="0"/>
          <w14:ligatures w14:val="none"/>
        </w:rPr>
        <w:t>in the nature of mandamus</w:t>
      </w:r>
      <w:proofErr w:type="gramEnd"/>
      <w:r w:rsidRPr="00F77C41">
        <w:rPr>
          <w:kern w:val="0"/>
          <w14:ligatures w14:val="none"/>
        </w:rPr>
        <w:t>, seeking reversal of the trial court’s order.</w:t>
      </w:r>
      <w:r>
        <w:rPr>
          <w:b/>
          <w:kern w:val="0"/>
          <w:position w:val="8"/>
          <w:sz w:val="20"/>
          <w14:ligatures w14:val="none"/>
        </w:rPr>
        <w:footnoteReference w:id="11"/>
      </w:r>
      <w:r w:rsidRPr="00F77C41">
        <w:rPr>
          <w:kern w:val="0"/>
          <w14:ligatures w14:val="none"/>
        </w:rPr>
        <w:t xml:space="preserve">  We issued an order </w:t>
      </w:r>
      <w:r w:rsidRPr="00F77C41">
        <w:rPr>
          <w:kern w:val="0"/>
          <w14:ligatures w14:val="none"/>
        </w:rPr>
        <w:lastRenderedPageBreak/>
        <w:t>to show cause why the relief requested in the petition should not be granted and directed the Chamber to file a written return, which was filed in early October 2023.  A reply brief was filed two weeks later, and the matter was assigned to this panel on October 31, 2023.  The Agency did not request a stay of the trial court’s order after our issuance of the order to show ca</w:t>
      </w:r>
      <w:r>
        <w:rPr>
          <w:kern w:val="0"/>
          <w14:ligatures w14:val="none"/>
        </w:rPr>
        <w:t>u</w:t>
      </w:r>
      <w:r w:rsidRPr="00F77C41">
        <w:rPr>
          <w:kern w:val="0"/>
          <w14:ligatures w14:val="none"/>
        </w:rPr>
        <w:t>se; thus, the order has been in effect while this matter has been pending.</w:t>
      </w:r>
    </w:p>
    <w:p w14:paraId="485F6478" w14:textId="77777777" w:rsidR="00C558EA" w:rsidRPr="00F77C41" w:rsidRDefault="00C558EA" w:rsidP="00F77C41">
      <w:pPr>
        <w:keepNext/>
        <w:keepLines/>
        <w:spacing w:line="480" w:lineRule="exact"/>
        <w:jc w:val="center"/>
        <w:rPr>
          <w:b/>
          <w:bCs/>
          <w:kern w:val="0"/>
          <w14:ligatures w14:val="none"/>
        </w:rPr>
      </w:pPr>
      <w:r w:rsidRPr="00F77C41">
        <w:rPr>
          <w:b/>
          <w:bCs/>
          <w:kern w:val="0"/>
          <w14:ligatures w14:val="none"/>
        </w:rPr>
        <w:t>DISCUSSION</w:t>
      </w:r>
    </w:p>
    <w:p w14:paraId="0E9E1CEC" w14:textId="77777777" w:rsidR="00C558EA" w:rsidRPr="00F77C41" w:rsidRDefault="00C558EA" w:rsidP="00F77C41">
      <w:pPr>
        <w:keepNext/>
        <w:keepLines/>
        <w:spacing w:line="480" w:lineRule="exact"/>
        <w:jc w:val="center"/>
        <w:rPr>
          <w:kern w:val="0"/>
          <w14:ligatures w14:val="none"/>
        </w:rPr>
      </w:pPr>
      <w:r w:rsidRPr="00F77C41">
        <w:rPr>
          <w:kern w:val="0"/>
          <w14:ligatures w14:val="none"/>
        </w:rPr>
        <w:t>I</w:t>
      </w:r>
    </w:p>
    <w:p w14:paraId="62C84E97" w14:textId="77777777" w:rsidR="00C558EA" w:rsidRPr="00F77C41" w:rsidRDefault="00C558EA" w:rsidP="00F77C41">
      <w:pPr>
        <w:keepNext/>
        <w:keepLines/>
        <w:spacing w:line="480" w:lineRule="exact"/>
        <w:jc w:val="center"/>
        <w:rPr>
          <w:kern w:val="0"/>
          <w14:ligatures w14:val="none"/>
        </w:rPr>
      </w:pPr>
      <w:r w:rsidRPr="00F77C41">
        <w:rPr>
          <w:i/>
          <w:iCs/>
          <w:kern w:val="0"/>
          <w14:ligatures w14:val="none"/>
        </w:rPr>
        <w:t>Review by Extraordinary Writ</w:t>
      </w:r>
    </w:p>
    <w:p w14:paraId="397BF449" w14:textId="77777777" w:rsidR="00C558EA" w:rsidRPr="00F77C41" w:rsidRDefault="00C558EA" w:rsidP="00F77C41">
      <w:pPr>
        <w:spacing w:line="480" w:lineRule="exact"/>
        <w:rPr>
          <w:kern w:val="0"/>
          <w14:ligatures w14:val="none"/>
        </w:rPr>
      </w:pPr>
      <w:r w:rsidRPr="00F77C41">
        <w:rPr>
          <w:kern w:val="0"/>
          <w14:ligatures w14:val="none"/>
        </w:rPr>
        <w:tab/>
        <w:t xml:space="preserve">The Agency argues, and we agree, that </w:t>
      </w:r>
      <w:proofErr w:type="gramStart"/>
      <w:r w:rsidRPr="00F77C41">
        <w:rPr>
          <w:kern w:val="0"/>
          <w14:ligatures w14:val="none"/>
        </w:rPr>
        <w:t>extraordinary</w:t>
      </w:r>
      <w:proofErr w:type="gramEnd"/>
      <w:r w:rsidRPr="00F77C41">
        <w:rPr>
          <w:kern w:val="0"/>
          <w14:ligatures w14:val="none"/>
        </w:rPr>
        <w:t xml:space="preserve"> writ review is appropriate. </w:t>
      </w:r>
    </w:p>
    <w:p w14:paraId="635770E7" w14:textId="77777777" w:rsidR="00C558EA" w:rsidRPr="00F77C41" w:rsidRDefault="00C558EA" w:rsidP="004240CC">
      <w:pPr>
        <w:spacing w:line="480" w:lineRule="exact"/>
        <w:ind w:firstLine="720"/>
        <w:rPr>
          <w:kern w:val="0"/>
          <w14:ligatures w14:val="none"/>
        </w:rPr>
      </w:pPr>
      <w:r w:rsidRPr="00F77C41">
        <w:rPr>
          <w:kern w:val="0"/>
          <w14:ligatures w14:val="none"/>
        </w:rPr>
        <w:t>“Extraordinary writ review by way of a petition for writ of mandate is ordinarily available only if the petitioner has no adequate legal remedy.  [Citations.]  An immediate direct appeal is presumed to be an adequate legal remedy.  [Citation.]  Writ review is appropriate, however, if such an appeal would be inadequate or the issues presented are of great public importance and require prompt resolution.”  (</w:t>
      </w:r>
      <w:bookmarkStart w:id="19" w:name="dabmci_a21ceb4aba4a494cb7ce04d23a12e7d8"/>
      <w:r w:rsidRPr="00F77C41">
        <w:rPr>
          <w:i/>
          <w:iCs/>
          <w:kern w:val="0"/>
          <w14:ligatures w14:val="none"/>
        </w:rPr>
        <w:t>Henry M. Lee Law Corp. v. Superior Court</w:t>
      </w:r>
      <w:r w:rsidRPr="00F77C41">
        <w:rPr>
          <w:kern w:val="0"/>
          <w14:ligatures w14:val="none"/>
        </w:rPr>
        <w:t xml:space="preserve"> (2012) 204 Cal.App.4th 1375, 1382-1383</w:t>
      </w:r>
      <w:bookmarkEnd w:id="19"/>
      <w:r w:rsidRPr="00F77C41">
        <w:rPr>
          <w:kern w:val="0"/>
          <w14:ligatures w14:val="none"/>
        </w:rPr>
        <w:t xml:space="preserve">; see also </w:t>
      </w:r>
      <w:bookmarkStart w:id="20" w:name="dabmci_02c1a5960fa24a24810fbde41540e883"/>
      <w:r w:rsidRPr="00F77C41">
        <w:rPr>
          <w:i/>
          <w:iCs/>
          <w:kern w:val="0"/>
          <w14:ligatures w14:val="none"/>
        </w:rPr>
        <w:t>Dhillon v. John Muir Health</w:t>
      </w:r>
      <w:r w:rsidRPr="00F77C41">
        <w:rPr>
          <w:kern w:val="0"/>
          <w14:ligatures w14:val="none"/>
        </w:rPr>
        <w:t xml:space="preserve"> (2017) 2 Cal.5th 1109, 1119</w:t>
      </w:r>
      <w:bookmarkEnd w:id="20"/>
      <w:r w:rsidRPr="00F77C41">
        <w:rPr>
          <w:kern w:val="0"/>
          <w14:ligatures w14:val="none"/>
        </w:rPr>
        <w:t xml:space="preserve">; </w:t>
      </w:r>
      <w:bookmarkStart w:id="21" w:name="dabmci_8970d6395fab49ed97639ef77a06ec5e"/>
      <w:r w:rsidRPr="00F77C41">
        <w:rPr>
          <w:i/>
          <w:iCs/>
          <w:kern w:val="0"/>
          <w14:ligatures w14:val="none"/>
        </w:rPr>
        <w:t>JSM Tuscany, LLC v. Superior Court</w:t>
      </w:r>
      <w:r w:rsidRPr="00F77C41">
        <w:rPr>
          <w:kern w:val="0"/>
          <w14:ligatures w14:val="none"/>
        </w:rPr>
        <w:t xml:space="preserve"> (2011) 193 Cal.App.4th 1222, 1235-1236</w:t>
      </w:r>
      <w:bookmarkEnd w:id="21"/>
      <w:r w:rsidRPr="00F77C41">
        <w:rPr>
          <w:kern w:val="0"/>
          <w14:ligatures w14:val="none"/>
        </w:rPr>
        <w:t xml:space="preserve">; see </w:t>
      </w:r>
      <w:bookmarkStart w:id="22" w:name="dabmci_0d835c4dc36448ffa90c31c1b066cddb"/>
      <w:r w:rsidRPr="00F77C41">
        <w:rPr>
          <w:i/>
          <w:iCs/>
          <w:kern w:val="0"/>
          <w14:ligatures w14:val="none"/>
        </w:rPr>
        <w:t>Los Angeles City Ethics Com. v. Superior Court</w:t>
      </w:r>
      <w:r w:rsidRPr="00F77C41">
        <w:rPr>
          <w:kern w:val="0"/>
          <w14:ligatures w14:val="none"/>
        </w:rPr>
        <w:t xml:space="preserve"> (1992) 8 Cal.App.4th 1287, 1299</w:t>
      </w:r>
      <w:bookmarkEnd w:id="22"/>
      <w:r w:rsidRPr="00F77C41">
        <w:rPr>
          <w:kern w:val="0"/>
          <w14:ligatures w14:val="none"/>
        </w:rPr>
        <w:t xml:space="preserve"> [even though an appeal is available, review by extraordinary writ proper where the issue raised is substantial, the matter is one of widespread interest, and the issue is one </w:t>
      </w:r>
      <w:r>
        <w:rPr>
          <w:kern w:val="0"/>
          <w14:ligatures w14:val="none"/>
        </w:rPr>
        <w:t xml:space="preserve">that </w:t>
      </w:r>
      <w:r w:rsidRPr="00F77C41">
        <w:rPr>
          <w:kern w:val="0"/>
          <w14:ligatures w14:val="none"/>
        </w:rPr>
        <w:t xml:space="preserve">should </w:t>
      </w:r>
      <w:r>
        <w:rPr>
          <w:kern w:val="0"/>
          <w14:ligatures w14:val="none"/>
        </w:rPr>
        <w:t xml:space="preserve">be </w:t>
      </w:r>
      <w:r w:rsidRPr="00F77C41">
        <w:rPr>
          <w:kern w:val="0"/>
          <w14:ligatures w14:val="none"/>
        </w:rPr>
        <w:t>speedily resolved</w:t>
      </w:r>
      <w:r w:rsidRPr="00F77C41">
        <w:rPr>
          <w:kern w:val="0"/>
          <w14:ligatures w14:val="none"/>
        </w:rPr>
        <w:t>].)  Writ review of an appealable order is also appropriate “where it is necessary to resolve an issue of first impression promptly and to set guidelines for bench and bar.”  (</w:t>
      </w:r>
      <w:bookmarkStart w:id="23" w:name="dabmci_b1cfa7e1d5df47ffbf2fcbca95939286"/>
      <w:r w:rsidRPr="00F77C41">
        <w:rPr>
          <w:i/>
          <w:iCs/>
          <w:kern w:val="0"/>
          <w14:ligatures w14:val="none"/>
        </w:rPr>
        <w:t>Rodrigues v. Superior Court</w:t>
      </w:r>
      <w:r w:rsidRPr="00F77C41">
        <w:rPr>
          <w:kern w:val="0"/>
          <w14:ligatures w14:val="none"/>
        </w:rPr>
        <w:t xml:space="preserve"> (2005) 127 Cal.App.4th 1027, 1032</w:t>
      </w:r>
      <w:bookmarkEnd w:id="23"/>
      <w:r w:rsidRPr="00F77C41">
        <w:rPr>
          <w:kern w:val="0"/>
          <w14:ligatures w14:val="none"/>
        </w:rPr>
        <w:t xml:space="preserve">.) </w:t>
      </w:r>
    </w:p>
    <w:p w14:paraId="2C934CB3" w14:textId="77777777" w:rsidR="00C558EA" w:rsidRPr="00F77C41" w:rsidRDefault="00C558EA" w:rsidP="004240CC">
      <w:pPr>
        <w:spacing w:line="480" w:lineRule="exact"/>
        <w:ind w:firstLine="720"/>
        <w:rPr>
          <w:kern w:val="0"/>
          <w14:ligatures w14:val="none"/>
        </w:rPr>
      </w:pPr>
      <w:r w:rsidRPr="00F77C41">
        <w:rPr>
          <w:kern w:val="0"/>
          <w14:ligatures w14:val="none"/>
        </w:rPr>
        <w:t>Here, it is undisputed that the judgment entered below was appealable.  (</w:t>
      </w:r>
      <w:bookmarkStart w:id="24" w:name="dabmci_8975e4fa798c4366be239a22b9e2eb71"/>
      <w:r w:rsidRPr="00F77C41">
        <w:rPr>
          <w:kern w:val="0"/>
          <w14:ligatures w14:val="none"/>
        </w:rPr>
        <w:t>Code Civ. Proc., § 904.1, subd. (a)(1)</w:t>
      </w:r>
      <w:bookmarkEnd w:id="24"/>
      <w:r w:rsidRPr="00F77C41">
        <w:rPr>
          <w:kern w:val="0"/>
          <w14:ligatures w14:val="none"/>
        </w:rPr>
        <w:t xml:space="preserve">.)  Indeed, as noted </w:t>
      </w:r>
      <w:bookmarkStart w:id="25" w:name="dabmci_df2d13ee031b4b6da907c255832fc07c"/>
      <w:r w:rsidRPr="00F77C41">
        <w:rPr>
          <w:i/>
          <w:iCs/>
          <w:kern w:val="0"/>
          <w14:ligatures w14:val="none"/>
        </w:rPr>
        <w:t>ante</w:t>
      </w:r>
      <w:r w:rsidRPr="00F77C41">
        <w:rPr>
          <w:kern w:val="0"/>
          <w14:ligatures w14:val="none"/>
        </w:rPr>
        <w:t>,</w:t>
      </w:r>
      <w:bookmarkEnd w:id="25"/>
      <w:r w:rsidRPr="00F77C41">
        <w:rPr>
          <w:kern w:val="0"/>
          <w14:ligatures w14:val="none"/>
        </w:rPr>
        <w:t xml:space="preserve"> the Agency has appeal</w:t>
      </w:r>
      <w:r>
        <w:rPr>
          <w:kern w:val="0"/>
          <w14:ligatures w14:val="none"/>
        </w:rPr>
        <w:t>ed</w:t>
      </w:r>
      <w:r w:rsidRPr="00F77C41">
        <w:rPr>
          <w:kern w:val="0"/>
          <w14:ligatures w14:val="none"/>
        </w:rPr>
        <w:t xml:space="preserve"> </w:t>
      </w:r>
      <w:proofErr w:type="gramStart"/>
      <w:r w:rsidRPr="00F77C41">
        <w:rPr>
          <w:kern w:val="0"/>
          <w14:ligatures w14:val="none"/>
        </w:rPr>
        <w:t>from</w:t>
      </w:r>
      <w:proofErr w:type="gramEnd"/>
      <w:r w:rsidRPr="00F77C41">
        <w:rPr>
          <w:kern w:val="0"/>
          <w14:ligatures w14:val="none"/>
        </w:rPr>
        <w:t xml:space="preserve"> it.  (See </w:t>
      </w:r>
      <w:r w:rsidRPr="00F77C41">
        <w:rPr>
          <w:i/>
          <w:iCs/>
          <w:kern w:val="0"/>
          <w14:ligatures w14:val="none"/>
        </w:rPr>
        <w:t xml:space="preserve">California Chamber of Commerce v. California Privacy Protection Agency </w:t>
      </w:r>
      <w:r w:rsidRPr="00F77C41">
        <w:rPr>
          <w:kern w:val="0"/>
          <w14:ligatures w14:val="none"/>
        </w:rPr>
        <w:t>(C099326, app. pending).)</w:t>
      </w:r>
      <w:r>
        <w:rPr>
          <w:kern w:val="0"/>
          <w14:ligatures w14:val="none"/>
        </w:rPr>
        <w:t xml:space="preserve">  </w:t>
      </w:r>
      <w:r w:rsidRPr="00F77C41">
        <w:rPr>
          <w:kern w:val="0"/>
          <w14:ligatures w14:val="none"/>
        </w:rPr>
        <w:t xml:space="preserve">However, writ review is appropriate under the circumstances </w:t>
      </w:r>
      <w:r w:rsidRPr="00F77C41">
        <w:rPr>
          <w:kern w:val="0"/>
          <w14:ligatures w14:val="none"/>
        </w:rPr>
        <w:lastRenderedPageBreak/>
        <w:t>presented, as the timing of the Agency’s authority to enforce the changes to consumer privacy rights effected by the Act presents a novel issue of law that is of widespread interest and requires prompt resolution to establish the guidelines for the e</w:t>
      </w:r>
      <w:r w:rsidRPr="00F77C41">
        <w:rPr>
          <w:kern w:val="0"/>
          <w14:ligatures w14:val="none"/>
        </w:rPr>
        <w:t>nforcement of the new consumer privacy rights and the changes to existing consumer privacy rights.  As discussed, the trial court stayed enforcement of any final implementing regulation required by the Act until one year after that regulation becomes final.  Thus, under the court’s order, the regulations adopted by the Agency on March 29, 2023, are not enforceable until March 29, 2024, for statutory violations occurring on or after that date.  Further, the remaining regulations that were still pending at th</w:t>
      </w:r>
      <w:r w:rsidRPr="00F77C41">
        <w:rPr>
          <w:kern w:val="0"/>
          <w14:ligatures w14:val="none"/>
        </w:rPr>
        <w:t xml:space="preserve">e time of the court’s order are facing delayed enforcement of one year beyond their adoption.  According to the Agency, this ruling was incorrect as a matter of law, as the text of the Act provides that all final implementing regulations required by the Act are enforceable beginning on July 1, 2023.  In other words, the Agency claims that it currently has the authority to enforce the final regulations adopted in March 2023.  On this record, </w:t>
      </w:r>
      <w:proofErr w:type="gramStart"/>
      <w:r w:rsidRPr="00F77C41">
        <w:rPr>
          <w:kern w:val="0"/>
          <w14:ligatures w14:val="none"/>
        </w:rPr>
        <w:t>it is clear that review</w:t>
      </w:r>
      <w:proofErr w:type="gramEnd"/>
      <w:r w:rsidRPr="00F77C41">
        <w:rPr>
          <w:kern w:val="0"/>
          <w14:ligatures w14:val="none"/>
        </w:rPr>
        <w:t xml:space="preserve"> by extraordinary writ is proper.  </w:t>
      </w:r>
    </w:p>
    <w:p w14:paraId="29F22F64" w14:textId="77777777" w:rsidR="00C558EA" w:rsidRPr="00F77C41" w:rsidRDefault="00C558EA" w:rsidP="004240CC">
      <w:pPr>
        <w:spacing w:line="480" w:lineRule="exact"/>
        <w:ind w:firstLine="720"/>
        <w:rPr>
          <w:kern w:val="0"/>
          <w14:ligatures w14:val="none"/>
        </w:rPr>
      </w:pPr>
      <w:r w:rsidRPr="00F77C41">
        <w:rPr>
          <w:kern w:val="0"/>
          <w14:ligatures w14:val="none"/>
        </w:rPr>
        <w:t xml:space="preserve">We next address the merits of the writ petition.   </w:t>
      </w:r>
    </w:p>
    <w:p w14:paraId="4B10EA4A" w14:textId="77777777" w:rsidR="00C558EA" w:rsidRPr="00F77C41" w:rsidRDefault="00C558EA" w:rsidP="00F77C41">
      <w:pPr>
        <w:spacing w:line="480" w:lineRule="exact"/>
        <w:jc w:val="center"/>
        <w:rPr>
          <w:kern w:val="0"/>
          <w14:ligatures w14:val="none"/>
        </w:rPr>
      </w:pPr>
      <w:r w:rsidRPr="00F77C41">
        <w:rPr>
          <w:kern w:val="0"/>
          <w14:ligatures w14:val="none"/>
        </w:rPr>
        <w:t>II</w:t>
      </w:r>
    </w:p>
    <w:p w14:paraId="62F9065A" w14:textId="77777777" w:rsidR="00C558EA" w:rsidRPr="00F77C41" w:rsidRDefault="00C558EA" w:rsidP="00F77C41">
      <w:pPr>
        <w:spacing w:line="480" w:lineRule="exact"/>
        <w:jc w:val="center"/>
        <w:rPr>
          <w:i/>
          <w:iCs/>
          <w:kern w:val="0"/>
          <w14:ligatures w14:val="none"/>
        </w:rPr>
      </w:pPr>
      <w:r w:rsidRPr="00F77C41">
        <w:rPr>
          <w:i/>
          <w:iCs/>
          <w:kern w:val="0"/>
          <w14:ligatures w14:val="none"/>
        </w:rPr>
        <w:t>Interpreting the Relevant Provision of the Act</w:t>
      </w:r>
    </w:p>
    <w:p w14:paraId="06759300" w14:textId="77777777" w:rsidR="00C558EA" w:rsidRPr="00F77C41" w:rsidRDefault="00C558EA" w:rsidP="004240CC">
      <w:pPr>
        <w:spacing w:line="480" w:lineRule="exact"/>
        <w:ind w:firstLine="720"/>
        <w:rPr>
          <w:kern w:val="0"/>
          <w14:ligatures w14:val="none"/>
        </w:rPr>
      </w:pPr>
      <w:r w:rsidRPr="00F77C41">
        <w:rPr>
          <w:kern w:val="0"/>
          <w14:ligatures w14:val="none"/>
        </w:rPr>
        <w:t>The Agency argues the trial court erred in interpreting the Act as prohibiting it from enforcing any implementing regulation required by the Act until one year after that regulation becomes final.  The Agency claims the court’s construction of the Act is erroneous in the absence of any clear, express statutory language requiring a one-year delay between its adoption of a required final regulation and its enforcement of that regulation.  In support of its argument, the Agency asserts that the court’s order c</w:t>
      </w:r>
      <w:r w:rsidRPr="00F77C41">
        <w:rPr>
          <w:kern w:val="0"/>
          <w14:ligatures w14:val="none"/>
        </w:rPr>
        <w:t xml:space="preserve">ontravenes the plain language of the Act, which provides that the Act became effective on January 1, 2023, and the Agency was permitted to exercise its enforcement authority as of July 1, 2023.   </w:t>
      </w:r>
    </w:p>
    <w:p w14:paraId="6795147B" w14:textId="77777777" w:rsidR="00C558EA" w:rsidRPr="00F77C41" w:rsidRDefault="00C558EA" w:rsidP="00775918">
      <w:pPr>
        <w:keepNext/>
        <w:keepLines/>
        <w:spacing w:line="480" w:lineRule="exact"/>
        <w:ind w:firstLine="720"/>
        <w:rPr>
          <w:kern w:val="0"/>
          <w14:ligatures w14:val="none"/>
        </w:rPr>
      </w:pPr>
      <w:r w:rsidRPr="00F77C41">
        <w:rPr>
          <w:kern w:val="0"/>
          <w14:ligatures w14:val="none"/>
        </w:rPr>
        <w:lastRenderedPageBreak/>
        <w:t xml:space="preserve">A.  </w:t>
      </w:r>
      <w:r w:rsidRPr="00F77C41">
        <w:rPr>
          <w:i/>
          <w:iCs/>
          <w:kern w:val="0"/>
          <w14:ligatures w14:val="none"/>
        </w:rPr>
        <w:t>Applicable Legal Principles and Standard of Review</w:t>
      </w:r>
      <w:r w:rsidRPr="00F77C41">
        <w:rPr>
          <w:kern w:val="0"/>
          <w14:ligatures w14:val="none"/>
        </w:rPr>
        <w:t xml:space="preserve"> </w:t>
      </w:r>
    </w:p>
    <w:p w14:paraId="5D3F9656" w14:textId="77777777" w:rsidR="00C558EA" w:rsidRPr="00F77C41" w:rsidRDefault="00C558EA" w:rsidP="00F77C41">
      <w:pPr>
        <w:keepNext/>
        <w:keepLines/>
        <w:rPr>
          <w:kern w:val="0"/>
          <w14:ligatures w14:val="none"/>
        </w:rPr>
      </w:pPr>
      <w:r>
        <w:rPr>
          <w:kern w:val="0"/>
          <w14:ligatures w14:val="none"/>
        </w:rPr>
        <w:tab/>
      </w:r>
      <w:r w:rsidRPr="00F77C41">
        <w:rPr>
          <w:kern w:val="0"/>
          <w14:ligatures w14:val="none"/>
        </w:rPr>
        <w:tab/>
        <w:t xml:space="preserve">1.  </w:t>
      </w:r>
      <w:r w:rsidRPr="00F77C41">
        <w:rPr>
          <w:i/>
          <w:iCs/>
          <w:kern w:val="0"/>
          <w14:ligatures w14:val="none"/>
        </w:rPr>
        <w:t>Writ of Mandate</w:t>
      </w:r>
    </w:p>
    <w:p w14:paraId="6B775168" w14:textId="77777777" w:rsidR="00C558EA" w:rsidRPr="00F77C41" w:rsidRDefault="00C558EA" w:rsidP="00F77C41">
      <w:pPr>
        <w:rPr>
          <w:kern w:val="0"/>
          <w14:ligatures w14:val="none"/>
        </w:rPr>
      </w:pPr>
      <w:r w:rsidRPr="00F77C41">
        <w:rPr>
          <w:kern w:val="0"/>
          <w14:ligatures w14:val="none"/>
        </w:rPr>
        <w:tab/>
        <w:t xml:space="preserve">A writ of mandate under </w:t>
      </w:r>
      <w:bookmarkStart w:id="26" w:name="dabmci_28069cf4b0064e97b8984502086d3b4b"/>
      <w:r w:rsidRPr="00F77C41">
        <w:rPr>
          <w:kern w:val="0"/>
          <w14:ligatures w14:val="none"/>
        </w:rPr>
        <w:t>Code of Civil Procedure section 1085</w:t>
      </w:r>
      <w:bookmarkEnd w:id="26"/>
      <w:r>
        <w:rPr>
          <w:b/>
          <w:kern w:val="0"/>
          <w:position w:val="8"/>
          <w:sz w:val="20"/>
          <w14:ligatures w14:val="none"/>
        </w:rPr>
        <w:footnoteReference w:id="12"/>
      </w:r>
      <w:r w:rsidRPr="00F77C41">
        <w:rPr>
          <w:kern w:val="0"/>
          <w14:ligatures w14:val="none"/>
        </w:rPr>
        <w:t xml:space="preserve"> is a legal tool to compel a public agency to perform a legal, typically ministerial, duty.  (</w:t>
      </w:r>
      <w:bookmarkStart w:id="28" w:name="dabmci_845460ca287b45d2abc89dbb5a2c1a0a"/>
      <w:r w:rsidRPr="00F77C41">
        <w:rPr>
          <w:i/>
          <w:iCs/>
          <w:kern w:val="0"/>
          <w14:ligatures w14:val="none"/>
        </w:rPr>
        <w:t xml:space="preserve">Association of Deputy District Attorneys for Los Angeles County v. Gascón </w:t>
      </w:r>
      <w:r w:rsidRPr="00F77C41">
        <w:rPr>
          <w:kern w:val="0"/>
          <w14:ligatures w14:val="none"/>
        </w:rPr>
        <w:t>(2022) 79 Cal.App.5th 503, 528</w:t>
      </w:r>
      <w:bookmarkEnd w:id="28"/>
      <w:r w:rsidRPr="00F77C41">
        <w:rPr>
          <w:kern w:val="0"/>
          <w14:ligatures w14:val="none"/>
        </w:rPr>
        <w:t xml:space="preserve">, review granted Aug. 31, 2022, S275478; </w:t>
      </w:r>
      <w:bookmarkStart w:id="29" w:name="dabmci_10955dc4a2214973bcb2c4e18c0a4e79"/>
      <w:r w:rsidRPr="00F77C41">
        <w:rPr>
          <w:i/>
          <w:iCs/>
          <w:kern w:val="0"/>
          <w14:ligatures w14:val="none"/>
        </w:rPr>
        <w:t>Association of Irritated Residents v. San Joaquin Valley Unified Air Pollution Control Dist.</w:t>
      </w:r>
      <w:r w:rsidRPr="00F77C41">
        <w:rPr>
          <w:kern w:val="0"/>
          <w14:ligatures w14:val="none"/>
        </w:rPr>
        <w:t xml:space="preserve"> (2008) 168 Cal.App.4th 535, 542</w:t>
      </w:r>
      <w:bookmarkEnd w:id="29"/>
      <w:r w:rsidRPr="00F77C41">
        <w:rPr>
          <w:kern w:val="0"/>
          <w14:ligatures w14:val="none"/>
        </w:rPr>
        <w:t xml:space="preserve">.)  A ministerial duty is an act that a public agency is required to perform in a prescribed manner under the mandate of legal authority without the </w:t>
      </w:r>
      <w:r w:rsidRPr="00F77C41">
        <w:rPr>
          <w:kern w:val="0"/>
          <w14:ligatures w14:val="none"/>
        </w:rPr>
        <w:t>exercise of judgment or opinion concerning the propriety of the act.</w:t>
      </w:r>
      <w:r w:rsidRPr="00F77C41">
        <w:rPr>
          <w:i/>
          <w:iCs/>
          <w:kern w:val="0"/>
          <w14:ligatures w14:val="none"/>
        </w:rPr>
        <w:t xml:space="preserve"> </w:t>
      </w:r>
      <w:r w:rsidRPr="00F77C41">
        <w:rPr>
          <w:kern w:val="0"/>
          <w14:ligatures w14:val="none"/>
        </w:rPr>
        <w:t xml:space="preserve"> (</w:t>
      </w:r>
      <w:bookmarkStart w:id="30" w:name="dabmci_eb60550b137740b9a98cf6fc74dc521b"/>
      <w:r w:rsidRPr="00F77C41">
        <w:rPr>
          <w:i/>
          <w:iCs/>
          <w:kern w:val="0"/>
          <w14:ligatures w14:val="none"/>
        </w:rPr>
        <w:t>Los Angeles Waterkeeper v. State Water Resources Control Bd.</w:t>
      </w:r>
      <w:r w:rsidRPr="00F77C41">
        <w:rPr>
          <w:kern w:val="0"/>
          <w14:ligatures w14:val="none"/>
        </w:rPr>
        <w:t xml:space="preserve"> (2023) 92 Cal.App.5th 230, 265-266</w:t>
      </w:r>
      <w:bookmarkEnd w:id="30"/>
      <w:r w:rsidRPr="00F77C41">
        <w:rPr>
          <w:kern w:val="0"/>
          <w14:ligatures w14:val="none"/>
        </w:rPr>
        <w:t xml:space="preserve">.)  “Put another way, a ministerial act is one </w:t>
      </w:r>
      <w:proofErr w:type="gramStart"/>
      <w:r w:rsidRPr="00F77C41">
        <w:rPr>
          <w:kern w:val="0"/>
          <w14:ligatures w14:val="none"/>
        </w:rPr>
        <w:t>‘ “</w:t>
      </w:r>
      <w:proofErr w:type="gramEnd"/>
      <w:r w:rsidRPr="00F77C41">
        <w:rPr>
          <w:kern w:val="0"/>
          <w14:ligatures w14:val="none"/>
        </w:rPr>
        <w:t xml:space="preserve"> ‘[w]here a statute or ordinance clearly defines the specific duties or course of conduct that a governing body must take,’ ” ’ thus ‘ “ ‘</w:t>
      </w:r>
      <w:proofErr w:type="spellStart"/>
      <w:r w:rsidRPr="00F77C41">
        <w:rPr>
          <w:kern w:val="0"/>
          <w14:ligatures w14:val="none"/>
        </w:rPr>
        <w:t>eliminat</w:t>
      </w:r>
      <w:proofErr w:type="spellEnd"/>
      <w:r w:rsidRPr="00F77C41">
        <w:rPr>
          <w:kern w:val="0"/>
          <w14:ligatures w14:val="none"/>
        </w:rPr>
        <w:t>[</w:t>
      </w:r>
      <w:proofErr w:type="spellStart"/>
      <w:r w:rsidRPr="00F77C41">
        <w:rPr>
          <w:kern w:val="0"/>
          <w14:ligatures w14:val="none"/>
        </w:rPr>
        <w:t>ing</w:t>
      </w:r>
      <w:proofErr w:type="spellEnd"/>
      <w:r w:rsidRPr="00F77C41">
        <w:rPr>
          <w:kern w:val="0"/>
          <w14:ligatures w14:val="none"/>
        </w:rPr>
        <w:t>] any element of discretion.’ ” ’ ”  (</w:t>
      </w:r>
      <w:bookmarkStart w:id="31" w:name="dabmci_22d6bb21d200479a8addf581ce4c3c92"/>
      <w:r w:rsidRPr="00F77C41">
        <w:rPr>
          <w:i/>
          <w:iCs/>
          <w:kern w:val="0"/>
          <w14:ligatures w14:val="none"/>
        </w:rPr>
        <w:t>Ibid</w:t>
      </w:r>
      <w:r w:rsidRPr="00F77C41">
        <w:rPr>
          <w:kern w:val="0"/>
          <w14:ligatures w14:val="none"/>
        </w:rPr>
        <w:t>.</w:t>
      </w:r>
      <w:bookmarkEnd w:id="31"/>
      <w:r w:rsidRPr="00F77C41">
        <w:rPr>
          <w:kern w:val="0"/>
          <w14:ligatures w14:val="none"/>
        </w:rPr>
        <w:t xml:space="preserve">)   </w:t>
      </w:r>
    </w:p>
    <w:p w14:paraId="5B7AFFC3" w14:textId="77777777" w:rsidR="00C558EA" w:rsidRPr="00F77C41" w:rsidRDefault="00C558EA" w:rsidP="00775918">
      <w:pPr>
        <w:ind w:firstLine="720"/>
        <w:rPr>
          <w:kern w:val="0"/>
          <w14:ligatures w14:val="none"/>
        </w:rPr>
      </w:pPr>
      <w:r w:rsidRPr="00F77C41">
        <w:rPr>
          <w:kern w:val="0"/>
          <w14:ligatures w14:val="none"/>
        </w:rPr>
        <w:t xml:space="preserve">To obtain a writ of mandate, </w:t>
      </w:r>
      <w:bookmarkStart w:id="32" w:name="_Hlk155548983"/>
      <w:proofErr w:type="gramStart"/>
      <w:r w:rsidRPr="00F77C41">
        <w:rPr>
          <w:kern w:val="0"/>
          <w14:ligatures w14:val="none"/>
        </w:rPr>
        <w:t>“ ‘</w:t>
      </w:r>
      <w:proofErr w:type="gramEnd"/>
      <w:r w:rsidRPr="00F77C41">
        <w:rPr>
          <w:kern w:val="0"/>
          <w14:ligatures w14:val="none"/>
        </w:rPr>
        <w:t xml:space="preserve">the petitioner must show there is no other plain, speedy, and adequate remedy; the respondent has a clear, present, and ministerial duty to act in a particular way; and the petitioner has a clear, present and beneficial right to performance of that duty.’ ” </w:t>
      </w:r>
      <w:bookmarkEnd w:id="32"/>
      <w:r w:rsidRPr="00F77C41">
        <w:rPr>
          <w:kern w:val="0"/>
          <w14:ligatures w14:val="none"/>
        </w:rPr>
        <w:t xml:space="preserve"> </w:t>
      </w:r>
      <w:bookmarkStart w:id="33" w:name="_Hlk155549435"/>
      <w:r w:rsidRPr="00F77C41">
        <w:rPr>
          <w:kern w:val="0"/>
          <w14:ligatures w14:val="none"/>
        </w:rPr>
        <w:t>(</w:t>
      </w:r>
      <w:bookmarkStart w:id="34" w:name="dabmci_0cad797bdb77421aa8bd045512fcee1e"/>
      <w:r w:rsidRPr="00F77C41">
        <w:rPr>
          <w:i/>
          <w:iCs/>
          <w:kern w:val="0"/>
          <w14:ligatures w14:val="none"/>
        </w:rPr>
        <w:t>James v. State of California</w:t>
      </w:r>
      <w:r w:rsidRPr="00F77C41">
        <w:rPr>
          <w:kern w:val="0"/>
          <w14:ligatures w14:val="none"/>
        </w:rPr>
        <w:t xml:space="preserve"> (2014) 229 Cal.App.4th 130, 136 (</w:t>
      </w:r>
      <w:r w:rsidRPr="00F77C41">
        <w:rPr>
          <w:i/>
          <w:iCs/>
          <w:kern w:val="0"/>
          <w14:ligatures w14:val="none"/>
        </w:rPr>
        <w:t>James</w:t>
      </w:r>
      <w:r w:rsidRPr="00F77C41">
        <w:rPr>
          <w:kern w:val="0"/>
          <w14:ligatures w14:val="none"/>
        </w:rPr>
        <w:t>)</w:t>
      </w:r>
      <w:bookmarkEnd w:id="34"/>
      <w:r w:rsidRPr="00F77C41">
        <w:rPr>
          <w:kern w:val="0"/>
          <w14:ligatures w14:val="none"/>
        </w:rPr>
        <w:t>.)</w:t>
      </w:r>
      <w:bookmarkEnd w:id="33"/>
      <w:r w:rsidRPr="00F77C41">
        <w:rPr>
          <w:kern w:val="0"/>
          <w14:ligatures w14:val="none"/>
        </w:rPr>
        <w:t xml:space="preserve">  Where a public agency is required to act within a specified </w:t>
      </w:r>
      <w:proofErr w:type="gramStart"/>
      <w:r w:rsidRPr="00F77C41">
        <w:rPr>
          <w:kern w:val="0"/>
          <w14:ligatures w14:val="none"/>
        </w:rPr>
        <w:t>time period</w:t>
      </w:r>
      <w:proofErr w:type="gramEnd"/>
      <w:r w:rsidRPr="00F77C41">
        <w:rPr>
          <w:kern w:val="0"/>
          <w14:ligatures w14:val="none"/>
        </w:rPr>
        <w:t xml:space="preserve"> and it fails to do so, the time period may be enforced by a petition for writ of mandate.  (</w:t>
      </w:r>
      <w:bookmarkStart w:id="35" w:name="dabmci_87297686f6d14bb3ad27581efbc45dcb"/>
      <w:r w:rsidRPr="00F77C41">
        <w:rPr>
          <w:i/>
          <w:iCs/>
          <w:kern w:val="0"/>
          <w14:ligatures w14:val="none"/>
        </w:rPr>
        <w:t>State Comp. I</w:t>
      </w:r>
      <w:r w:rsidRPr="00F77C41">
        <w:rPr>
          <w:i/>
          <w:iCs/>
          <w:kern w:val="0"/>
          <w14:ligatures w14:val="none"/>
        </w:rPr>
        <w:t>ns. Fund v. Workers’ Comp. Appeals Bd</w:t>
      </w:r>
      <w:r w:rsidRPr="00F77C41">
        <w:rPr>
          <w:kern w:val="0"/>
          <w14:ligatures w14:val="none"/>
        </w:rPr>
        <w:t>. (2016) 248 Cal.App.4th 349, 370</w:t>
      </w:r>
      <w:bookmarkEnd w:id="35"/>
      <w:r w:rsidRPr="00F77C41">
        <w:rPr>
          <w:kern w:val="0"/>
          <w14:ligatures w14:val="none"/>
        </w:rPr>
        <w:t>.)</w:t>
      </w:r>
    </w:p>
    <w:p w14:paraId="18B2B4C8" w14:textId="77777777" w:rsidR="00C558EA" w:rsidRPr="00F77C41" w:rsidRDefault="00C558EA" w:rsidP="00F77C41">
      <w:pPr>
        <w:rPr>
          <w:kern w:val="0"/>
          <w14:ligatures w14:val="none"/>
        </w:rPr>
      </w:pPr>
      <w:r w:rsidRPr="00F77C41">
        <w:rPr>
          <w:kern w:val="0"/>
          <w14:ligatures w14:val="none"/>
        </w:rPr>
        <w:lastRenderedPageBreak/>
        <w:tab/>
      </w:r>
      <w:proofErr w:type="gramStart"/>
      <w:r w:rsidRPr="00F77C41">
        <w:rPr>
          <w:kern w:val="0"/>
          <w14:ligatures w14:val="none"/>
        </w:rPr>
        <w:t>“ ‘</w:t>
      </w:r>
      <w:proofErr w:type="gramEnd"/>
      <w:r w:rsidRPr="00F77C41">
        <w:rPr>
          <w:kern w:val="0"/>
          <w14:ligatures w14:val="none"/>
        </w:rPr>
        <w:t>In reviewing a judgment granting a writ of mandate, we apply the substantial evidence standard of review to the court’s factual findings, but independently review its findings on legal issues.  [Citation.]’  [Citation.]  ‘Where, as here, the facts are undisputed and the issue involves statutory interpretation, we exercise our independent judgment and review the matter de novo.</w:t>
      </w:r>
      <w:proofErr w:type="gramStart"/>
      <w:r w:rsidRPr="00F77C41">
        <w:rPr>
          <w:kern w:val="0"/>
          <w14:ligatures w14:val="none"/>
        </w:rPr>
        <w:t>’ ”</w:t>
      </w:r>
      <w:proofErr w:type="gramEnd"/>
      <w:r w:rsidRPr="00F77C41">
        <w:rPr>
          <w:kern w:val="0"/>
          <w14:ligatures w14:val="none"/>
        </w:rPr>
        <w:t xml:space="preserve">  (</w:t>
      </w:r>
      <w:bookmarkStart w:id="36" w:name="dabmci_8f4c823c59a34f4e8560bcdaf19b86de"/>
      <w:r w:rsidRPr="00F77C41">
        <w:rPr>
          <w:i/>
          <w:iCs/>
          <w:kern w:val="0"/>
          <w14:ligatures w14:val="none"/>
        </w:rPr>
        <w:t>James</w:t>
      </w:r>
      <w:r w:rsidRPr="00F77C41">
        <w:rPr>
          <w:kern w:val="0"/>
          <w14:ligatures w14:val="none"/>
        </w:rPr>
        <w:t xml:space="preserve">, </w:t>
      </w:r>
      <w:r w:rsidRPr="00F77C41">
        <w:rPr>
          <w:i/>
          <w:iCs/>
          <w:kern w:val="0"/>
          <w14:ligatures w14:val="none"/>
        </w:rPr>
        <w:t>supra</w:t>
      </w:r>
      <w:r w:rsidRPr="00F77C41">
        <w:rPr>
          <w:kern w:val="0"/>
          <w14:ligatures w14:val="none"/>
        </w:rPr>
        <w:t>, 229 Cal.App.4th at p. 136</w:t>
      </w:r>
      <w:bookmarkEnd w:id="36"/>
      <w:r w:rsidRPr="00F77C41">
        <w:rPr>
          <w:kern w:val="0"/>
          <w14:ligatures w14:val="none"/>
        </w:rPr>
        <w:t xml:space="preserve">; see also </w:t>
      </w:r>
      <w:bookmarkStart w:id="37" w:name="dabmci_191dc94ff2d64e2c96de80e4657c556d"/>
      <w:r w:rsidRPr="00F77C41">
        <w:rPr>
          <w:i/>
          <w:iCs/>
          <w:kern w:val="0"/>
          <w14:ligatures w14:val="none"/>
        </w:rPr>
        <w:t>CV Amalgamated LLC v. City of Chula Vista</w:t>
      </w:r>
      <w:r w:rsidRPr="00F77C41">
        <w:rPr>
          <w:kern w:val="0"/>
          <w14:ligatures w14:val="none"/>
        </w:rPr>
        <w:t xml:space="preserve"> (2022) 82 Cal.App.5th 265, 280</w:t>
      </w:r>
      <w:bookmarkEnd w:id="37"/>
      <w:r w:rsidRPr="00F77C41">
        <w:rPr>
          <w:kern w:val="0"/>
          <w14:ligatures w14:val="none"/>
        </w:rPr>
        <w:t>.)</w:t>
      </w:r>
    </w:p>
    <w:p w14:paraId="1ACE2770" w14:textId="77777777" w:rsidR="00C558EA" w:rsidRPr="00F77C41" w:rsidRDefault="00C558EA" w:rsidP="00F77C41">
      <w:pPr>
        <w:rPr>
          <w:kern w:val="0"/>
          <w14:ligatures w14:val="none"/>
        </w:rPr>
      </w:pPr>
      <w:r w:rsidRPr="00F77C41">
        <w:rPr>
          <w:kern w:val="0"/>
          <w14:ligatures w14:val="none"/>
        </w:rPr>
        <w:tab/>
      </w:r>
      <w:r w:rsidRPr="00F77C41">
        <w:rPr>
          <w:kern w:val="0"/>
          <w14:ligatures w14:val="none"/>
        </w:rPr>
        <w:tab/>
        <w:t xml:space="preserve">2.  </w:t>
      </w:r>
      <w:r w:rsidRPr="00F77C41">
        <w:rPr>
          <w:i/>
          <w:iCs/>
          <w:kern w:val="0"/>
          <w14:ligatures w14:val="none"/>
        </w:rPr>
        <w:t>Voter-Enacted Statute</w:t>
      </w:r>
      <w:r>
        <w:rPr>
          <w:i/>
          <w:iCs/>
          <w:kern w:val="0"/>
          <w14:ligatures w14:val="none"/>
        </w:rPr>
        <w:t>s</w:t>
      </w:r>
    </w:p>
    <w:p w14:paraId="71CBB1CD" w14:textId="77777777" w:rsidR="00C558EA" w:rsidRPr="00F77C41" w:rsidRDefault="00C558EA" w:rsidP="00775918">
      <w:pPr>
        <w:ind w:firstLine="720"/>
        <w:rPr>
          <w:kern w:val="0"/>
          <w14:ligatures w14:val="none"/>
        </w:rPr>
      </w:pPr>
      <w:r w:rsidRPr="00F77C41">
        <w:rPr>
          <w:kern w:val="0"/>
          <w14:ligatures w14:val="none"/>
        </w:rPr>
        <w:t>Under California law, the Secretary of State must prepare a voter information guide when voters are considering a new statute at the ballot box.  The guide must include, among other things, a complete copy of the proposed measure, the official summary prepared by the Attorney General, arguments and rebuttals for and against, and an analysis prepared by the Legislative Analyst.  (</w:t>
      </w:r>
      <w:bookmarkStart w:id="38" w:name="dabmci_b5aec493cb904622981b605f50eb7086"/>
      <w:r w:rsidRPr="00F77C41">
        <w:rPr>
          <w:kern w:val="0"/>
          <w14:ligatures w14:val="none"/>
        </w:rPr>
        <w:t>Elec. Code, §§ 9081, 9084, subds. (a)-(d), 9086, subds. (a), (b)</w:t>
      </w:r>
      <w:bookmarkEnd w:id="38"/>
      <w:r w:rsidRPr="00F77C41">
        <w:rPr>
          <w:kern w:val="0"/>
          <w14:ligatures w14:val="none"/>
        </w:rPr>
        <w:t>.)  The Legislative Analyst must provide an “impartial analysis of the measure” (</w:t>
      </w:r>
      <w:bookmarkStart w:id="39" w:name="dabmci_4f31bad1755641e6b71414e2da7daffd"/>
      <w:r w:rsidRPr="00B457FE">
        <w:rPr>
          <w:i/>
          <w:iCs/>
          <w:kern w:val="0"/>
          <w14:ligatures w14:val="none"/>
        </w:rPr>
        <w:t>id</w:t>
      </w:r>
      <w:r>
        <w:rPr>
          <w:kern w:val="0"/>
          <w14:ligatures w14:val="none"/>
        </w:rPr>
        <w:t>.</w:t>
      </w:r>
      <w:r w:rsidRPr="00F77C41">
        <w:rPr>
          <w:kern w:val="0"/>
          <w14:ligatures w14:val="none"/>
        </w:rPr>
        <w:t xml:space="preserve"> § 9087, subd. (a)</w:t>
      </w:r>
      <w:bookmarkEnd w:id="39"/>
      <w:r w:rsidRPr="00F77C41">
        <w:rPr>
          <w:kern w:val="0"/>
          <w14:ligatures w14:val="none"/>
        </w:rPr>
        <w:t xml:space="preserve">) that is “easily understood by the average voter” </w:t>
      </w:r>
      <w:r>
        <w:rPr>
          <w:kern w:val="0"/>
          <w14:ligatures w14:val="none"/>
        </w:rPr>
        <w:t>(</w:t>
      </w:r>
      <w:bookmarkStart w:id="40" w:name="dabmci_2bcb6e701c9742b381d6fec0a53c1ee4"/>
      <w:r>
        <w:rPr>
          <w:i/>
          <w:iCs/>
          <w:kern w:val="0"/>
          <w14:ligatures w14:val="none"/>
        </w:rPr>
        <w:t>id.</w:t>
      </w:r>
      <w:bookmarkEnd w:id="40"/>
      <w:r>
        <w:rPr>
          <w:kern w:val="0"/>
          <w14:ligatures w14:val="none"/>
        </w:rPr>
        <w:t>, subd. (</w:t>
      </w:r>
      <w:proofErr w:type="gramStart"/>
      <w:r>
        <w:rPr>
          <w:kern w:val="0"/>
          <w14:ligatures w14:val="none"/>
        </w:rPr>
        <w:t>b))</w:t>
      </w:r>
      <w:proofErr w:type="gramEnd"/>
      <w:r>
        <w:rPr>
          <w:kern w:val="0"/>
          <w14:ligatures w14:val="none"/>
        </w:rPr>
        <w:t xml:space="preserve">.  The analysis </w:t>
      </w:r>
      <w:r w:rsidRPr="00F77C41">
        <w:rPr>
          <w:kern w:val="0"/>
          <w14:ligatures w14:val="none"/>
        </w:rPr>
        <w:t xml:space="preserve">“may contain background information, including the effect of the measure on existing law and the effect of enacted legislation which will become effective if the measure is adopted, and shall generally set forth in an impartial manner the information the average </w:t>
      </w:r>
      <w:r w:rsidRPr="00F77C41">
        <w:rPr>
          <w:kern w:val="0"/>
          <w14:ligatures w14:val="none"/>
        </w:rPr>
        <w:t>voter needs to adequately understand the measure</w:t>
      </w:r>
      <w:r>
        <w:rPr>
          <w:kern w:val="0"/>
          <w14:ligatures w14:val="none"/>
        </w:rPr>
        <w:t>.</w:t>
      </w:r>
      <w:r w:rsidRPr="00F77C41">
        <w:rPr>
          <w:kern w:val="0"/>
          <w14:ligatures w14:val="none"/>
        </w:rPr>
        <w:t xml:space="preserve">” </w:t>
      </w:r>
      <w:r>
        <w:rPr>
          <w:kern w:val="0"/>
          <w14:ligatures w14:val="none"/>
        </w:rPr>
        <w:t xml:space="preserve"> </w:t>
      </w:r>
      <w:r w:rsidRPr="00F77C41">
        <w:rPr>
          <w:kern w:val="0"/>
          <w14:ligatures w14:val="none"/>
        </w:rPr>
        <w:t>(</w:t>
      </w:r>
      <w:bookmarkStart w:id="41" w:name="dabmci_68d5eaa5058b49439131e5bc84795688"/>
      <w:r>
        <w:rPr>
          <w:i/>
          <w:iCs/>
          <w:kern w:val="0"/>
          <w14:ligatures w14:val="none"/>
        </w:rPr>
        <w:t>Ibi</w:t>
      </w:r>
      <w:r w:rsidRPr="00F77C41">
        <w:rPr>
          <w:i/>
          <w:iCs/>
          <w:kern w:val="0"/>
          <w14:ligatures w14:val="none"/>
        </w:rPr>
        <w:t>d</w:t>
      </w:r>
      <w:bookmarkEnd w:id="41"/>
      <w:r w:rsidRPr="00F77C41">
        <w:rPr>
          <w:i/>
          <w:iCs/>
          <w:kern w:val="0"/>
          <w14:ligatures w14:val="none"/>
        </w:rPr>
        <w:t>.</w:t>
      </w:r>
      <w:r w:rsidRPr="00F77C41">
        <w:rPr>
          <w:kern w:val="0"/>
          <w14:ligatures w14:val="none"/>
        </w:rPr>
        <w:t xml:space="preserve">)  The measure’s official proponents and opponents may use their designated space in the voter information guide to supply an argument addressing a perceived failure by the Legislative Analyst as to an effect of the measure.  (See </w:t>
      </w:r>
      <w:bookmarkStart w:id="42" w:name="dabmci_508c9c82f212480581033db4f4164f5d"/>
      <w:r>
        <w:rPr>
          <w:i/>
          <w:iCs/>
          <w:kern w:val="0"/>
          <w14:ligatures w14:val="none"/>
        </w:rPr>
        <w:t>id</w:t>
      </w:r>
      <w:r>
        <w:rPr>
          <w:kern w:val="0"/>
          <w14:ligatures w14:val="none"/>
        </w:rPr>
        <w:t xml:space="preserve">. </w:t>
      </w:r>
      <w:r w:rsidRPr="00F77C41">
        <w:rPr>
          <w:kern w:val="0"/>
          <w14:ligatures w14:val="none"/>
        </w:rPr>
        <w:t>§§ 9064, 9069</w:t>
      </w:r>
      <w:bookmarkEnd w:id="42"/>
      <w:r w:rsidRPr="00F77C41">
        <w:rPr>
          <w:kern w:val="0"/>
          <w14:ligatures w14:val="none"/>
        </w:rPr>
        <w:t>.)</w:t>
      </w:r>
    </w:p>
    <w:p w14:paraId="2E70F591" w14:textId="77777777" w:rsidR="00C558EA" w:rsidRPr="00F77C41" w:rsidRDefault="00C558EA" w:rsidP="00775918">
      <w:pPr>
        <w:ind w:firstLine="720"/>
        <w:rPr>
          <w:kern w:val="0"/>
          <w14:ligatures w14:val="none"/>
        </w:rPr>
      </w:pPr>
      <w:r w:rsidRPr="00F77C41">
        <w:rPr>
          <w:kern w:val="0"/>
          <w14:ligatures w14:val="none"/>
        </w:rPr>
        <w:t xml:space="preserve">When, as here, an appellate court is asked to interpret the meaning of a voter-enacted statute, our fundamental task is to ascertain the voters’ intent </w:t>
      </w:r>
      <w:proofErr w:type="gramStart"/>
      <w:r w:rsidRPr="00F77C41">
        <w:rPr>
          <w:kern w:val="0"/>
          <w14:ligatures w14:val="none"/>
        </w:rPr>
        <w:t>in order to</w:t>
      </w:r>
      <w:proofErr w:type="gramEnd"/>
      <w:r w:rsidRPr="00F77C41">
        <w:rPr>
          <w:kern w:val="0"/>
          <w14:ligatures w14:val="none"/>
        </w:rPr>
        <w:t xml:space="preserve"> effectuate the purpose of the law.  (</w:t>
      </w:r>
      <w:bookmarkStart w:id="43" w:name="dabmci_919762f245f34472b8445904d6ea8e0a"/>
      <w:r w:rsidRPr="00F77C41">
        <w:rPr>
          <w:i/>
          <w:iCs/>
          <w:kern w:val="0"/>
          <w14:ligatures w14:val="none"/>
        </w:rPr>
        <w:t>People v. Johnson</w:t>
      </w:r>
      <w:r w:rsidRPr="00F77C41">
        <w:rPr>
          <w:kern w:val="0"/>
          <w14:ligatures w14:val="none"/>
        </w:rPr>
        <w:t xml:space="preserve"> (2015) 61 Cal.4th 674, 682</w:t>
      </w:r>
      <w:bookmarkEnd w:id="43"/>
      <w:r w:rsidRPr="00F77C41">
        <w:rPr>
          <w:kern w:val="0"/>
          <w14:ligatures w14:val="none"/>
        </w:rPr>
        <w:t xml:space="preserve">.)  “To interpret a statute enacted by initiative, we apply the same principles we apply to interpret statutes enacted by the Legislature.  ‘We first consider the initiative’s language, giving the words their ordinary meaning and construing [them] in the context of the statute and </w:t>
      </w:r>
      <w:proofErr w:type="gramStart"/>
      <w:r w:rsidRPr="00F77C41">
        <w:rPr>
          <w:kern w:val="0"/>
          <w14:ligatures w14:val="none"/>
        </w:rPr>
        <w:lastRenderedPageBreak/>
        <w:t>initiative as a whole</w:t>
      </w:r>
      <w:proofErr w:type="gramEnd"/>
      <w:r w:rsidRPr="00F77C41">
        <w:rPr>
          <w:kern w:val="0"/>
          <w14:ligatures w14:val="none"/>
        </w:rPr>
        <w:t xml:space="preserve">.  If the language is not ambiguous, [then] we presume the voters intended the meaning apparent from that language, </w:t>
      </w:r>
      <w:r w:rsidRPr="00F77C41">
        <w:rPr>
          <w:kern w:val="0"/>
          <w14:ligatures w14:val="none"/>
        </w:rPr>
        <w:t>and we may not add to the statute or rewrite it to conform to some assumed intent not apparent from that language.  If the language is ambiguous, [then we] may consider ballot summaries and arguments in determining the voters’ intent and understanding of [the] ballot measure.</w:t>
      </w:r>
      <w:proofErr w:type="gramStart"/>
      <w:r w:rsidRPr="00F77C41">
        <w:rPr>
          <w:kern w:val="0"/>
          <w14:ligatures w14:val="none"/>
        </w:rPr>
        <w:t>’ ”</w:t>
      </w:r>
      <w:proofErr w:type="gramEnd"/>
      <w:r w:rsidRPr="00F77C41">
        <w:rPr>
          <w:kern w:val="0"/>
          <w14:ligatures w14:val="none"/>
        </w:rPr>
        <w:t xml:space="preserve">  (</w:t>
      </w:r>
      <w:bookmarkStart w:id="44" w:name="dabmci_ac283b8f19e14b00a31ee0188c29cef9"/>
      <w:r w:rsidRPr="00F77C41">
        <w:rPr>
          <w:i/>
          <w:iCs/>
          <w:kern w:val="0"/>
          <w14:ligatures w14:val="none"/>
        </w:rPr>
        <w:t>B.B. v. County of Los Angeles</w:t>
      </w:r>
      <w:r w:rsidRPr="00F77C41">
        <w:rPr>
          <w:kern w:val="0"/>
          <w14:ligatures w14:val="none"/>
        </w:rPr>
        <w:t xml:space="preserve"> (2020) 10 Cal.5th 1, 9</w:t>
      </w:r>
      <w:bookmarkEnd w:id="44"/>
      <w:r w:rsidRPr="00F77C41">
        <w:rPr>
          <w:kern w:val="0"/>
          <w14:ligatures w14:val="none"/>
        </w:rPr>
        <w:t xml:space="preserve">; see </w:t>
      </w:r>
      <w:bookmarkStart w:id="45" w:name="dabmci_b32490d49e9f475da177b32abfebfd16"/>
      <w:r w:rsidRPr="00F77C41">
        <w:rPr>
          <w:i/>
          <w:iCs/>
          <w:kern w:val="0"/>
          <w14:ligatures w14:val="none"/>
        </w:rPr>
        <w:t>People v. Morales</w:t>
      </w:r>
      <w:r w:rsidRPr="00F77C41">
        <w:rPr>
          <w:kern w:val="0"/>
          <w14:ligatures w14:val="none"/>
        </w:rPr>
        <w:t xml:space="preserve"> (2016) 63 Cal.4th 399, 406</w:t>
      </w:r>
      <w:bookmarkEnd w:id="45"/>
      <w:r w:rsidRPr="00F77C41">
        <w:rPr>
          <w:kern w:val="0"/>
          <w14:ligatures w14:val="none"/>
        </w:rPr>
        <w:t xml:space="preserve"> </w:t>
      </w:r>
      <w:proofErr w:type="gramStart"/>
      <w:r w:rsidRPr="00F77C41">
        <w:rPr>
          <w:kern w:val="0"/>
          <w14:ligatures w14:val="none"/>
        </w:rPr>
        <w:t>[“</w:t>
      </w:r>
      <w:r>
        <w:rPr>
          <w:kern w:val="0"/>
          <w14:ligatures w14:val="none"/>
        </w:rPr>
        <w:t> </w:t>
      </w:r>
      <w:r w:rsidRPr="00F77C41">
        <w:rPr>
          <w:kern w:val="0"/>
          <w14:ligatures w14:val="none"/>
        </w:rPr>
        <w:t>‘</w:t>
      </w:r>
      <w:proofErr w:type="gramEnd"/>
      <w:r>
        <w:rPr>
          <w:kern w:val="0"/>
          <w14:ligatures w14:val="none"/>
        </w:rPr>
        <w:t> </w:t>
      </w:r>
      <w:r w:rsidRPr="00F77C41">
        <w:rPr>
          <w:kern w:val="0"/>
          <w14:ligatures w14:val="none"/>
        </w:rPr>
        <w:t>“When the language is ambiguous, ‘we refer to other indicia of the voters’ intent, particularly the analyses and arguments</w:t>
      </w:r>
      <w:r w:rsidRPr="00F77C41">
        <w:rPr>
          <w:kern w:val="0"/>
          <w14:ligatures w14:val="none"/>
        </w:rPr>
        <w:t xml:space="preserve"> contained in the official ballot pamphlet’ ”</w:t>
      </w:r>
      <w:r>
        <w:rPr>
          <w:kern w:val="0"/>
          <w14:ligatures w14:val="none"/>
        </w:rPr>
        <w:t> </w:t>
      </w:r>
      <w:r w:rsidRPr="00F77C41">
        <w:rPr>
          <w:kern w:val="0"/>
          <w14:ligatures w14:val="none"/>
        </w:rPr>
        <w:t>’</w:t>
      </w:r>
      <w:r>
        <w:rPr>
          <w:kern w:val="0"/>
          <w14:ligatures w14:val="none"/>
        </w:rPr>
        <w:t> </w:t>
      </w:r>
      <w:r w:rsidRPr="00F77C41">
        <w:rPr>
          <w:kern w:val="0"/>
          <w14:ligatures w14:val="none"/>
        </w:rPr>
        <w:t>”].)</w:t>
      </w:r>
    </w:p>
    <w:p w14:paraId="3E898B53" w14:textId="77777777" w:rsidR="00C558EA" w:rsidRPr="00F77C41" w:rsidRDefault="00C558EA" w:rsidP="001511DF">
      <w:pPr>
        <w:ind w:firstLine="720"/>
        <w:rPr>
          <w:kern w:val="0"/>
          <w14:ligatures w14:val="none"/>
        </w:rPr>
      </w:pPr>
      <w:r w:rsidRPr="00F77C41">
        <w:rPr>
          <w:kern w:val="0"/>
          <w14:ligatures w14:val="none"/>
        </w:rPr>
        <w:t xml:space="preserve">If the language used in the voter-enacted statute is clear and unambiguous, there is no need for construction, </w:t>
      </w:r>
      <w:r>
        <w:rPr>
          <w:kern w:val="0"/>
          <w14:ligatures w14:val="none"/>
        </w:rPr>
        <w:t>and it is not</w:t>
      </w:r>
      <w:r w:rsidRPr="00F77C41">
        <w:rPr>
          <w:kern w:val="0"/>
          <w14:ligatures w14:val="none"/>
        </w:rPr>
        <w:t xml:space="preserve"> necessary to resort to indicia of the intent of the voters.  (</w:t>
      </w:r>
      <w:bookmarkStart w:id="46" w:name="dabmci_a9255d2d1f614260870cbf427244cde4"/>
      <w:r w:rsidRPr="00F77C41">
        <w:rPr>
          <w:i/>
          <w:iCs/>
          <w:kern w:val="0"/>
          <w14:ligatures w14:val="none"/>
        </w:rPr>
        <w:t>People v. Valencia</w:t>
      </w:r>
      <w:r w:rsidRPr="00F77C41">
        <w:rPr>
          <w:kern w:val="0"/>
          <w14:ligatures w14:val="none"/>
        </w:rPr>
        <w:t xml:space="preserve"> (2017) 3 Cal.5th 347, 357</w:t>
      </w:r>
      <w:bookmarkEnd w:id="46"/>
      <w:r w:rsidRPr="00F77C41">
        <w:rPr>
          <w:kern w:val="0"/>
          <w14:ligatures w14:val="none"/>
        </w:rPr>
        <w:t>.)  In giving the language used in a statute its ordinary meaning, we generally must accord significance, if possible, to every word, phrase, and sentence in pursuance of the law’s purpose, and avoid a construction that makes some words surplusage.  (</w:t>
      </w:r>
      <w:bookmarkStart w:id="47" w:name="dabmci_ce1698b4c5384356820f2977b605d8af"/>
      <w:r w:rsidRPr="00F77C41">
        <w:rPr>
          <w:i/>
          <w:iCs/>
          <w:kern w:val="0"/>
          <w14:ligatures w14:val="none"/>
        </w:rPr>
        <w:t>Ibid</w:t>
      </w:r>
      <w:r w:rsidRPr="00F77C41">
        <w:rPr>
          <w:kern w:val="0"/>
          <w14:ligatures w14:val="none"/>
        </w:rPr>
        <w:t>.</w:t>
      </w:r>
      <w:bookmarkEnd w:id="47"/>
      <w:r w:rsidRPr="00F77C41">
        <w:rPr>
          <w:kern w:val="0"/>
          <w14:ligatures w14:val="none"/>
        </w:rPr>
        <w:t xml:space="preserve">)  </w:t>
      </w:r>
    </w:p>
    <w:p w14:paraId="3DB2CC37" w14:textId="77777777" w:rsidR="00C558EA" w:rsidRPr="00F77C41" w:rsidRDefault="00C558EA" w:rsidP="001511DF">
      <w:pPr>
        <w:ind w:firstLine="720"/>
        <w:rPr>
          <w:kern w:val="0"/>
          <w14:ligatures w14:val="none"/>
        </w:rPr>
      </w:pPr>
      <w:r w:rsidRPr="00F77C41">
        <w:rPr>
          <w:kern w:val="0"/>
          <w14:ligatures w14:val="none"/>
        </w:rPr>
        <w:t xml:space="preserve">To determine the scope and purpose of the provision we are interpreting, we look to the entire substance of the voter-enacted statute, that is, we construe the words in question in context, keeping in mind the nature and purpose of the statute.  We must harmonize the various parts of a statutory enactment by considering the </w:t>
      </w:r>
      <w:proofErr w:type="gramStart"/>
      <w:r w:rsidRPr="00F77C41">
        <w:rPr>
          <w:kern w:val="0"/>
          <w14:ligatures w14:val="none"/>
        </w:rPr>
        <w:t>particular clause</w:t>
      </w:r>
      <w:proofErr w:type="gramEnd"/>
      <w:r w:rsidRPr="00F77C41">
        <w:rPr>
          <w:kern w:val="0"/>
          <w14:ligatures w14:val="none"/>
        </w:rPr>
        <w:t xml:space="preserve"> or section in the context of the statutory framework as a whole.  (</w:t>
      </w:r>
      <w:bookmarkStart w:id="48" w:name="dabmci_ebfefef16eb24a099a2a349ce16f146c"/>
      <w:r w:rsidRPr="00F77C41">
        <w:rPr>
          <w:i/>
          <w:iCs/>
          <w:kern w:val="0"/>
          <w14:ligatures w14:val="none"/>
        </w:rPr>
        <w:t>People v. Lewis</w:t>
      </w:r>
      <w:r w:rsidRPr="00F77C41">
        <w:rPr>
          <w:kern w:val="0"/>
          <w14:ligatures w14:val="none"/>
        </w:rPr>
        <w:t xml:space="preserve"> (2021) 11 Cal.5th 952, 961</w:t>
      </w:r>
      <w:bookmarkEnd w:id="48"/>
      <w:r w:rsidRPr="00F77C41">
        <w:rPr>
          <w:kern w:val="0"/>
          <w14:ligatures w14:val="none"/>
        </w:rPr>
        <w:t>.)  The statements of purpose and intent in an uncodified section of an initiative measure may properly be utilized as an aid in construing the measure, but they do not confer power, determine rights, or enlarge the scope of the measure.  (</w:t>
      </w:r>
      <w:bookmarkStart w:id="49" w:name="dabmci_af967cd79a4a4157a78338c0bbe397c5"/>
      <w:r w:rsidRPr="00F77C41">
        <w:rPr>
          <w:i/>
          <w:iCs/>
          <w:kern w:val="0"/>
          <w14:ligatures w14:val="none"/>
        </w:rPr>
        <w:t>People v. Guzman</w:t>
      </w:r>
      <w:r w:rsidRPr="00F77C41">
        <w:rPr>
          <w:kern w:val="0"/>
          <w14:ligatures w14:val="none"/>
        </w:rPr>
        <w:t xml:space="preserve"> (2005) 35 Cal.4th 577, 588</w:t>
      </w:r>
      <w:bookmarkEnd w:id="49"/>
      <w:r w:rsidRPr="00F77C41">
        <w:rPr>
          <w:kern w:val="0"/>
          <w14:ligatures w14:val="none"/>
        </w:rPr>
        <w:t xml:space="preserve">; </w:t>
      </w:r>
      <w:bookmarkStart w:id="50" w:name="dabmci_b357bcd843924c73b58aa64adf57d907"/>
      <w:r w:rsidRPr="00F77C41">
        <w:rPr>
          <w:i/>
          <w:iCs/>
          <w:kern w:val="0"/>
          <w14:ligatures w14:val="none"/>
        </w:rPr>
        <w:t>People v. Lamoureux</w:t>
      </w:r>
      <w:r w:rsidRPr="00F77C41">
        <w:rPr>
          <w:kern w:val="0"/>
          <w14:ligatures w14:val="none"/>
        </w:rPr>
        <w:t xml:space="preserve"> (2019) 42 Cal.App.5th 241, 266</w:t>
      </w:r>
      <w:bookmarkEnd w:id="50"/>
      <w:r w:rsidRPr="00F77C41">
        <w:rPr>
          <w:kern w:val="0"/>
          <w14:ligatures w14:val="none"/>
        </w:rPr>
        <w:t>.)</w:t>
      </w:r>
    </w:p>
    <w:p w14:paraId="0F512463" w14:textId="77777777" w:rsidR="00C558EA" w:rsidRPr="00F77C41" w:rsidRDefault="00C558EA" w:rsidP="0017693A">
      <w:pPr>
        <w:keepNext/>
        <w:keepLines/>
        <w:ind w:firstLine="720"/>
        <w:rPr>
          <w:kern w:val="0"/>
          <w14:ligatures w14:val="none"/>
        </w:rPr>
      </w:pPr>
      <w:r w:rsidRPr="00F77C41">
        <w:rPr>
          <w:kern w:val="0"/>
          <w14:ligatures w14:val="none"/>
        </w:rPr>
        <w:lastRenderedPageBreak/>
        <w:t xml:space="preserve">B.  </w:t>
      </w:r>
      <w:r w:rsidRPr="00F77C41">
        <w:rPr>
          <w:i/>
          <w:iCs/>
          <w:kern w:val="0"/>
          <w14:ligatures w14:val="none"/>
        </w:rPr>
        <w:t>Analysis</w:t>
      </w:r>
    </w:p>
    <w:p w14:paraId="36EDAB9A" w14:textId="77777777" w:rsidR="00C558EA" w:rsidRPr="00F77C41" w:rsidRDefault="00C558EA" w:rsidP="00F77C41">
      <w:pPr>
        <w:spacing w:after="240"/>
        <w:rPr>
          <w:kern w:val="0"/>
          <w14:ligatures w14:val="none"/>
        </w:rPr>
      </w:pPr>
      <w:r w:rsidRPr="00F77C41">
        <w:rPr>
          <w:kern w:val="0"/>
          <w14:ligatures w14:val="none"/>
        </w:rPr>
        <w:tab/>
        <w:t xml:space="preserve">We begin our analysis by setting forth the relevant language of the Act at the heart of this writ proceeding:  </w:t>
      </w:r>
    </w:p>
    <w:p w14:paraId="56DD1147" w14:textId="77777777" w:rsidR="00C558EA" w:rsidRPr="00F77C41" w:rsidRDefault="00C558EA" w:rsidP="001511DF">
      <w:pPr>
        <w:spacing w:line="240" w:lineRule="atLeast"/>
        <w:ind w:left="720" w:right="720"/>
        <w:rPr>
          <w:kern w:val="0"/>
          <w14:ligatures w14:val="none"/>
        </w:rPr>
      </w:pPr>
      <w:r w:rsidRPr="00F77C41">
        <w:rPr>
          <w:kern w:val="0"/>
          <w14:ligatures w14:val="none"/>
        </w:rPr>
        <w:t>“[T]</w:t>
      </w:r>
      <w:proofErr w:type="gramStart"/>
      <w:r w:rsidRPr="00F77C41">
        <w:rPr>
          <w:kern w:val="0"/>
          <w14:ligatures w14:val="none"/>
        </w:rPr>
        <w:t>he</w:t>
      </w:r>
      <w:proofErr w:type="gramEnd"/>
      <w:r w:rsidRPr="00F77C41">
        <w:rPr>
          <w:kern w:val="0"/>
          <w14:ligatures w14:val="none"/>
        </w:rPr>
        <w:t xml:space="preserve"> timeline for adopting final regulations required by the act adding this subdivision shall be July 1, 2022</w:t>
      </w:r>
      <w:proofErr w:type="gramStart"/>
      <w:r w:rsidRPr="00F77C41">
        <w:rPr>
          <w:kern w:val="0"/>
          <w14:ligatures w14:val="none"/>
        </w:rPr>
        <w:t>. . . .</w:t>
      </w:r>
      <w:proofErr w:type="gramEnd"/>
      <w:r w:rsidRPr="00F77C41">
        <w:rPr>
          <w:kern w:val="0"/>
          <w14:ligatures w14:val="none"/>
        </w:rPr>
        <w:t xml:space="preserve">  Notwithstanding any other law, civil and administrative enforcement of the provisions of law added or amended by this act shall not commence until July 1, 2023, and shall only apply to violations occurring on or after that date.  Enforcement of provisions of law contained in the California Consumer Privacy Act of 2018 amended by this act shall remain in effect and shall be enforceable until t</w:t>
      </w:r>
      <w:r w:rsidRPr="00F77C41">
        <w:rPr>
          <w:kern w:val="0"/>
          <w14:ligatures w14:val="none"/>
        </w:rPr>
        <w:t>he same provisions of this act become enforceable.”  (§ 1798.185, subd. (d).)</w:t>
      </w:r>
    </w:p>
    <w:p w14:paraId="79ECC4EE" w14:textId="77777777" w:rsidR="00C558EA" w:rsidRPr="00F77C41" w:rsidRDefault="00C558EA" w:rsidP="00F77C41">
      <w:pPr>
        <w:rPr>
          <w:kern w:val="0"/>
          <w14:ligatures w14:val="none"/>
        </w:rPr>
      </w:pPr>
      <w:r w:rsidRPr="00F77C41">
        <w:rPr>
          <w:kern w:val="0"/>
          <w14:ligatures w14:val="none"/>
        </w:rPr>
        <w:tab/>
        <w:t xml:space="preserve">There is no dispute that the Agency failed to comply with the express terms of </w:t>
      </w:r>
      <w:proofErr w:type="gramStart"/>
      <w:r w:rsidRPr="00F77C41">
        <w:rPr>
          <w:kern w:val="0"/>
          <w14:ligatures w14:val="none"/>
        </w:rPr>
        <w:t>this  provision</w:t>
      </w:r>
      <w:proofErr w:type="gramEnd"/>
      <w:r w:rsidRPr="00F77C41">
        <w:rPr>
          <w:kern w:val="0"/>
          <w14:ligatures w14:val="none"/>
        </w:rPr>
        <w:t xml:space="preserve">, which clearly and unequivocally imposed a mandatory duty on the Agency to adopt final regulations required by the Act on or before July 1, 2022.  (See </w:t>
      </w:r>
      <w:bookmarkStart w:id="51" w:name="dabmci_3dbd618f5a154109839b32733e253cbf"/>
      <w:r w:rsidRPr="00F77C41">
        <w:rPr>
          <w:i/>
          <w:iCs/>
          <w:kern w:val="0"/>
          <w14:ligatures w14:val="none"/>
        </w:rPr>
        <w:t xml:space="preserve">In re Luis B. </w:t>
      </w:r>
      <w:r w:rsidRPr="00F77C41">
        <w:rPr>
          <w:kern w:val="0"/>
          <w14:ligatures w14:val="none"/>
        </w:rPr>
        <w:t>(2006) 142 Cal.App.4th 1117, 1123</w:t>
      </w:r>
      <w:bookmarkEnd w:id="51"/>
      <w:r w:rsidRPr="00F77C41">
        <w:rPr>
          <w:kern w:val="0"/>
          <w14:ligatures w14:val="none"/>
        </w:rPr>
        <w:t xml:space="preserve"> [use of the mandatory language “shall” </w:t>
      </w:r>
      <w:proofErr w:type="gramStart"/>
      <w:r w:rsidRPr="00F77C41">
        <w:rPr>
          <w:kern w:val="0"/>
          <w14:ligatures w14:val="none"/>
        </w:rPr>
        <w:t>indicates</w:t>
      </w:r>
      <w:proofErr w:type="gramEnd"/>
      <w:r w:rsidRPr="00F77C41">
        <w:rPr>
          <w:kern w:val="0"/>
          <w14:ligatures w14:val="none"/>
        </w:rPr>
        <w:t xml:space="preserve"> an intent to impose a mandatory duty]; </w:t>
      </w:r>
      <w:bookmarkStart w:id="52" w:name="dabmci_2c8bbc8a9bcb464fb435c2f6cd87af87"/>
      <w:r w:rsidRPr="00F77C41">
        <w:rPr>
          <w:i/>
          <w:iCs/>
          <w:kern w:val="0"/>
          <w14:ligatures w14:val="none"/>
        </w:rPr>
        <w:t>County of Los Angeles v. Superior Court</w:t>
      </w:r>
      <w:r w:rsidRPr="00F77C41">
        <w:rPr>
          <w:kern w:val="0"/>
          <w14:ligatures w14:val="none"/>
        </w:rPr>
        <w:t xml:space="preserve"> (2002) 102 Cal.App.4th 627, 639</w:t>
      </w:r>
      <w:bookmarkEnd w:id="52"/>
      <w:r w:rsidRPr="00F77C41">
        <w:rPr>
          <w:kern w:val="0"/>
          <w14:ligatures w14:val="none"/>
        </w:rPr>
        <w:t xml:space="preserve"> [“An enactment creates a mandatory duty if it requires a public agency to take a particular action”].)  But compliance was sought by the</w:t>
      </w:r>
      <w:r w:rsidRPr="00F77C41">
        <w:rPr>
          <w:kern w:val="0"/>
          <w14:ligatures w14:val="none"/>
        </w:rPr>
        <w:t xml:space="preserve"> Chamber only </w:t>
      </w:r>
      <w:r w:rsidRPr="00F77C41">
        <w:rPr>
          <w:i/>
          <w:iCs/>
          <w:kern w:val="0"/>
          <w14:ligatures w14:val="none"/>
        </w:rPr>
        <w:t>after</w:t>
      </w:r>
      <w:r w:rsidRPr="00F77C41">
        <w:rPr>
          <w:kern w:val="0"/>
          <w14:ligatures w14:val="none"/>
        </w:rPr>
        <w:t xml:space="preserve"> the Agency had adopted final regulations in 12 of the required 15 areas, nine months after the deadline had passed.  And the trial court did not make any orders enforcing that provision.  </w:t>
      </w:r>
    </w:p>
    <w:p w14:paraId="0B4BCD22" w14:textId="77777777" w:rsidR="00C558EA" w:rsidRPr="00F77C41" w:rsidRDefault="00C558EA" w:rsidP="00F77C41">
      <w:pPr>
        <w:rPr>
          <w:kern w:val="0"/>
          <w14:ligatures w14:val="none"/>
        </w:rPr>
      </w:pPr>
      <w:r w:rsidRPr="00F77C41">
        <w:rPr>
          <w:kern w:val="0"/>
          <w14:ligatures w14:val="none"/>
        </w:rPr>
        <w:tab/>
        <w:t xml:space="preserve">Instead, the trial court directed its remedy to the Chamber’s challenge to the ongoing validity of the July 1, 2023, enforcement date--a challenge derived from the Agency’s delay in adopting the final regulations.  The Chamber sought an order staying enforcement of the Act and its implementing regulations until one year after the Agency adopted a complete set of final regulations required by the Act.  As we noted </w:t>
      </w:r>
      <w:bookmarkStart w:id="53" w:name="dabmci_afd3d14434f14f97b34ee4573735151e"/>
      <w:r w:rsidRPr="00F77C41">
        <w:rPr>
          <w:i/>
          <w:iCs/>
          <w:kern w:val="0"/>
          <w14:ligatures w14:val="none"/>
        </w:rPr>
        <w:t>ante</w:t>
      </w:r>
      <w:r w:rsidRPr="00F77C41">
        <w:rPr>
          <w:kern w:val="0"/>
          <w14:ligatures w14:val="none"/>
        </w:rPr>
        <w:t>,</w:t>
      </w:r>
      <w:bookmarkEnd w:id="53"/>
      <w:r w:rsidRPr="00F77C41">
        <w:rPr>
          <w:kern w:val="0"/>
          <w14:ligatures w14:val="none"/>
        </w:rPr>
        <w:t xml:space="preserve"> the trial court invalidated the </w:t>
      </w:r>
      <w:bookmarkStart w:id="54" w:name="_Hlk155548320"/>
      <w:r w:rsidRPr="00F77C41">
        <w:rPr>
          <w:kern w:val="0"/>
          <w14:ligatures w14:val="none"/>
        </w:rPr>
        <w:t xml:space="preserve">July 1, 2023, enforcement date </w:t>
      </w:r>
      <w:bookmarkEnd w:id="54"/>
      <w:r w:rsidRPr="00F77C41">
        <w:rPr>
          <w:kern w:val="0"/>
          <w14:ligatures w14:val="none"/>
        </w:rPr>
        <w:t xml:space="preserve">and ruled the Agency could not enforce any required regulation until one year after that regulation became final.  The </w:t>
      </w:r>
      <w:r w:rsidRPr="00F77C41">
        <w:rPr>
          <w:kern w:val="0"/>
          <w14:ligatures w14:val="none"/>
        </w:rPr>
        <w:lastRenderedPageBreak/>
        <w:t xml:space="preserve">court opined that its “finding that the Agency failed to timely pass final regulations as required by Section 1798.185 is sufficient to grant the Petition.”  </w:t>
      </w:r>
    </w:p>
    <w:p w14:paraId="76094FC4" w14:textId="77777777" w:rsidR="00C558EA" w:rsidRPr="00F77C41" w:rsidRDefault="00C558EA" w:rsidP="00F77C41">
      <w:pPr>
        <w:rPr>
          <w:kern w:val="0"/>
          <w14:ligatures w14:val="none"/>
        </w:rPr>
      </w:pPr>
      <w:r w:rsidRPr="00F77C41">
        <w:rPr>
          <w:kern w:val="0"/>
          <w14:ligatures w14:val="none"/>
        </w:rPr>
        <w:tab/>
        <w:t>We are called upon to decide whether the trial court’s remedy for the Agency’s failure to timely adopt final regulations in compliance with the Act was permissible writ relief</w:t>
      </w:r>
      <w:r w:rsidRPr="005635AF">
        <w:rPr>
          <w:kern w:val="0"/>
          <w14:ligatures w14:val="none"/>
        </w:rPr>
        <w:t xml:space="preserve"> and, in so deciding, whether the trial court correctly interpreted the Act.</w:t>
      </w:r>
      <w:r w:rsidRPr="00F77C41">
        <w:rPr>
          <w:kern w:val="0"/>
          <w14:ligatures w14:val="none"/>
        </w:rPr>
        <w:t xml:space="preserve">  The effect of the chosen remedy was to disregard the Act’s unambiguous provision setting forth a July 1, 2023, date for the commencement of enforcement, and to substitute an enforcement schedule (i.e., a one-year gap regardless of the </w:t>
      </w:r>
      <w:proofErr w:type="gramStart"/>
      <w:r w:rsidRPr="00F77C41">
        <w:rPr>
          <w:kern w:val="0"/>
          <w14:ligatures w14:val="none"/>
        </w:rPr>
        <w:t>enforcement  date</w:t>
      </w:r>
      <w:proofErr w:type="gramEnd"/>
      <w:r w:rsidRPr="00F77C41">
        <w:rPr>
          <w:kern w:val="0"/>
          <w14:ligatures w14:val="none"/>
        </w:rPr>
        <w:t xml:space="preserve">) that was </w:t>
      </w:r>
      <w:r w:rsidRPr="00F77C41">
        <w:rPr>
          <w:i/>
          <w:iCs/>
          <w:kern w:val="0"/>
          <w14:ligatures w14:val="none"/>
        </w:rPr>
        <w:t>not</w:t>
      </w:r>
      <w:r w:rsidRPr="00F77C41">
        <w:rPr>
          <w:kern w:val="0"/>
          <w14:ligatures w14:val="none"/>
        </w:rPr>
        <w:t xml:space="preserve"> set forth in the Act.  The Chamber argues that the presence of a one-year gap between adoption (i.e., approval) of final regulations and enforcement is unambiguously d</w:t>
      </w:r>
      <w:r w:rsidRPr="00F77C41">
        <w:rPr>
          <w:kern w:val="0"/>
          <w14:ligatures w14:val="none"/>
        </w:rPr>
        <w:t>ictated by the statutory language at issue here.  The Agency counters that the Act is not properly interpreted as requiring a one-year delay between the Agency’s approval of a final regulation required by the Act and the Agency’s authority to enforce that regulation.  We agree with the latter view.  The statute does not unambiguously require a one-year gap between approval and enforcement regardless of when the approval occurs, and nothing in the relevant material presented for our review signals that the v</w:t>
      </w:r>
      <w:r w:rsidRPr="00F77C41">
        <w:rPr>
          <w:kern w:val="0"/>
          <w14:ligatures w14:val="none"/>
        </w:rPr>
        <w:t xml:space="preserve">oters intended such a gap.  Because the Agency did not have “clear, present, and ministerial duty” to delay enforcement of its final regulations for a year after their approval, and the Chamber did not have “a clear, present and beneficial right” to the delay in enforcement that it sought (and obtained), the writ should not have been issued.  (See </w:t>
      </w:r>
      <w:bookmarkStart w:id="55" w:name="dabmci_0d262a60def74d888b582eb19f5a8e69"/>
      <w:r w:rsidRPr="00F77C41">
        <w:rPr>
          <w:i/>
          <w:iCs/>
          <w:kern w:val="0"/>
          <w14:ligatures w14:val="none"/>
        </w:rPr>
        <w:t xml:space="preserve">James, supra, </w:t>
      </w:r>
      <w:r w:rsidRPr="00F77C41">
        <w:rPr>
          <w:kern w:val="0"/>
          <w14:ligatures w14:val="none"/>
        </w:rPr>
        <w:t>229 Cal.App.4th at p. 136</w:t>
      </w:r>
      <w:bookmarkEnd w:id="55"/>
      <w:r w:rsidRPr="00F77C41">
        <w:rPr>
          <w:kern w:val="0"/>
          <w14:ligatures w14:val="none"/>
        </w:rPr>
        <w:t xml:space="preserve">.) </w:t>
      </w:r>
    </w:p>
    <w:p w14:paraId="5E45F7CE" w14:textId="77777777" w:rsidR="00C558EA" w:rsidRPr="00F77C41" w:rsidRDefault="00C558EA" w:rsidP="00F77C41">
      <w:pPr>
        <w:rPr>
          <w:kern w:val="0"/>
          <w14:ligatures w14:val="none"/>
        </w:rPr>
      </w:pPr>
      <w:r w:rsidRPr="00F77C41">
        <w:rPr>
          <w:kern w:val="0"/>
          <w14:ligatures w14:val="none"/>
        </w:rPr>
        <w:tab/>
        <w:t xml:space="preserve">Although the specific statutory provision at issue here includes what </w:t>
      </w:r>
      <w:r w:rsidRPr="00E23352">
        <w:rPr>
          <w:i/>
          <w:iCs/>
          <w:kern w:val="0"/>
          <w14:ligatures w14:val="none"/>
        </w:rPr>
        <w:t>amounts</w:t>
      </w:r>
      <w:r w:rsidRPr="00F77C41">
        <w:rPr>
          <w:kern w:val="0"/>
          <w14:ligatures w14:val="none"/>
        </w:rPr>
        <w:t xml:space="preserve"> to a one-year delay between the deadline for the Agency to approve final regulations required by the Act (July 1, 2022) and the Agency’s authority to enforce the Act (July 1, 2023), there is no clear, unequivocal language mandating a one-year delay between approval and enforcement.  The Chamber has not pointed to, and we have not found, any language in the Act convincing us that the proper remedy for the Agency’s failure to timely approve  </w:t>
      </w:r>
      <w:r w:rsidRPr="00F77C41">
        <w:rPr>
          <w:kern w:val="0"/>
          <w14:ligatures w14:val="none"/>
        </w:rPr>
        <w:lastRenderedPageBreak/>
        <w:t>final regulations (i.e., comply with the July 1, 2022, deadl</w:t>
      </w:r>
      <w:r w:rsidRPr="00F77C41">
        <w:rPr>
          <w:kern w:val="0"/>
          <w14:ligatures w14:val="none"/>
        </w:rPr>
        <w:t xml:space="preserve">ine) is to disregard the July 1, 2023, enforcement date explicitly set forth in the statute and stay enforcement of any untimely regulation until one year after that regulation becomes final.  There is no express statutory language prescribing such a consequence.  Had the drafters of the measure and </w:t>
      </w:r>
      <w:r>
        <w:rPr>
          <w:kern w:val="0"/>
          <w14:ligatures w14:val="none"/>
        </w:rPr>
        <w:t xml:space="preserve">the </w:t>
      </w:r>
      <w:r w:rsidRPr="00F77C41">
        <w:rPr>
          <w:kern w:val="0"/>
          <w14:ligatures w14:val="none"/>
        </w:rPr>
        <w:t xml:space="preserve">voters intended to achieve the result advocated by the Chamber and adopted by the trial court, they could have easily done so.  At most, the Act is ambiguous on this point.  </w:t>
      </w:r>
    </w:p>
    <w:p w14:paraId="3D407F5D" w14:textId="77777777" w:rsidR="00C558EA" w:rsidRPr="00F77C41" w:rsidRDefault="00C558EA" w:rsidP="00F77C41">
      <w:pPr>
        <w:rPr>
          <w:kern w:val="0"/>
          <w14:ligatures w14:val="none"/>
        </w:rPr>
      </w:pPr>
      <w:r w:rsidRPr="00F77C41">
        <w:rPr>
          <w:kern w:val="0"/>
          <w14:ligatures w14:val="none"/>
        </w:rPr>
        <w:tab/>
        <w:t>As the Agency correctly notes, there is no express language “linking enforcement [of the Act] with the promulgation of regulations</w:t>
      </w:r>
      <w:r w:rsidRPr="00880E0E">
        <w:rPr>
          <w:kern w:val="0"/>
          <w14:ligatures w14:val="none"/>
        </w:rPr>
        <w:t xml:space="preserve">.”  </w:t>
      </w:r>
      <w:r>
        <w:rPr>
          <w:kern w:val="0"/>
          <w14:ligatures w14:val="none"/>
        </w:rPr>
        <w:t>Further,</w:t>
      </w:r>
      <w:r w:rsidRPr="00E23352">
        <w:rPr>
          <w:kern w:val="0"/>
          <w14:ligatures w14:val="none"/>
        </w:rPr>
        <w:t xml:space="preserve"> </w:t>
      </w:r>
      <w:r w:rsidRPr="00880E0E">
        <w:rPr>
          <w:kern w:val="0"/>
          <w14:ligatures w14:val="none"/>
        </w:rPr>
        <w:t>nothing in the Voter Guide support</w:t>
      </w:r>
      <w:r>
        <w:rPr>
          <w:kern w:val="0"/>
          <w14:ligatures w14:val="none"/>
        </w:rPr>
        <w:t>s</w:t>
      </w:r>
      <w:r w:rsidRPr="00880E0E">
        <w:rPr>
          <w:kern w:val="0"/>
          <w14:ligatures w14:val="none"/>
        </w:rPr>
        <w:t xml:space="preserve"> the conclusion that the voters contemplated a one-year delay in enforcement connected to the approval of final regulations.  The guide is silent as to the purpose of the one-year gap between the July 1, 2022, and July 1, 2023, dates.  </w:t>
      </w:r>
      <w:r>
        <w:rPr>
          <w:kern w:val="0"/>
          <w14:ligatures w14:val="none"/>
        </w:rPr>
        <w:t>Thus, w</w:t>
      </w:r>
      <w:r w:rsidRPr="00880E0E">
        <w:rPr>
          <w:kern w:val="0"/>
          <w14:ligatures w14:val="none"/>
        </w:rPr>
        <w:t xml:space="preserve">hile the one-year gap </w:t>
      </w:r>
      <w:r w:rsidRPr="00880E0E">
        <w:rPr>
          <w:i/>
          <w:iCs/>
          <w:kern w:val="0"/>
          <w14:ligatures w14:val="none"/>
        </w:rPr>
        <w:t>could</w:t>
      </w:r>
      <w:r w:rsidRPr="00880E0E">
        <w:rPr>
          <w:kern w:val="0"/>
          <w14:ligatures w14:val="none"/>
        </w:rPr>
        <w:t xml:space="preserve"> have been included to allow covered businesses to adjust to the new rules and to prepare to comply with them, as the Chamber argues, the gap also </w:t>
      </w:r>
      <w:r w:rsidRPr="00880E0E">
        <w:rPr>
          <w:i/>
          <w:iCs/>
          <w:kern w:val="0"/>
          <w14:ligatures w14:val="none"/>
        </w:rPr>
        <w:t>could</w:t>
      </w:r>
      <w:r w:rsidRPr="00880E0E">
        <w:rPr>
          <w:kern w:val="0"/>
          <w14:ligatures w14:val="none"/>
        </w:rPr>
        <w:t xml:space="preserve"> have been included to </w:t>
      </w:r>
      <w:r>
        <w:rPr>
          <w:kern w:val="0"/>
          <w14:ligatures w14:val="none"/>
        </w:rPr>
        <w:t xml:space="preserve">provide </w:t>
      </w:r>
      <w:r w:rsidRPr="00880E0E">
        <w:rPr>
          <w:kern w:val="0"/>
          <w14:ligatures w14:val="none"/>
        </w:rPr>
        <w:t>the newly f</w:t>
      </w:r>
      <w:r w:rsidRPr="00880E0E">
        <w:rPr>
          <w:kern w:val="0"/>
          <w14:ligatures w14:val="none"/>
        </w:rPr>
        <w:t xml:space="preserve">ormed Agency </w:t>
      </w:r>
      <w:r>
        <w:rPr>
          <w:kern w:val="0"/>
          <w14:ligatures w14:val="none"/>
        </w:rPr>
        <w:t xml:space="preserve">with </w:t>
      </w:r>
      <w:r w:rsidRPr="00880E0E">
        <w:rPr>
          <w:kern w:val="0"/>
          <w14:ligatures w14:val="none"/>
        </w:rPr>
        <w:t xml:space="preserve">sufficient time to </w:t>
      </w:r>
      <w:r w:rsidRPr="00880E0E">
        <w:rPr>
          <w:kern w:val="0"/>
          <w14:ligatures w14:val="none"/>
        </w:rPr>
        <w:t>prepar</w:t>
      </w:r>
      <w:r>
        <w:rPr>
          <w:kern w:val="0"/>
          <w14:ligatures w14:val="none"/>
        </w:rPr>
        <w:t>e</w:t>
      </w:r>
      <w:r w:rsidRPr="00880E0E">
        <w:rPr>
          <w:kern w:val="0"/>
          <w14:ligatures w14:val="none"/>
        </w:rPr>
        <w:t xml:space="preserve"> </w:t>
      </w:r>
      <w:r>
        <w:rPr>
          <w:kern w:val="0"/>
          <w14:ligatures w14:val="none"/>
        </w:rPr>
        <w:t xml:space="preserve">to </w:t>
      </w:r>
      <w:r w:rsidRPr="00880E0E">
        <w:rPr>
          <w:kern w:val="0"/>
          <w14:ligatures w14:val="none"/>
        </w:rPr>
        <w:t xml:space="preserve">enforce the new rules, including hiring staff, </w:t>
      </w:r>
      <w:r>
        <w:rPr>
          <w:kern w:val="0"/>
          <w14:ligatures w14:val="none"/>
        </w:rPr>
        <w:t xml:space="preserve">establishing </w:t>
      </w:r>
      <w:r w:rsidRPr="00880E0E">
        <w:rPr>
          <w:kern w:val="0"/>
          <w14:ligatures w14:val="none"/>
        </w:rPr>
        <w:t xml:space="preserve">internal procedures for investigating and processing reported violations, </w:t>
      </w:r>
      <w:r>
        <w:rPr>
          <w:kern w:val="0"/>
          <w14:ligatures w14:val="none"/>
        </w:rPr>
        <w:t xml:space="preserve">and helping </w:t>
      </w:r>
      <w:r w:rsidRPr="00880E0E">
        <w:rPr>
          <w:kern w:val="0"/>
          <w14:ligatures w14:val="none"/>
        </w:rPr>
        <w:t xml:space="preserve">businesses </w:t>
      </w:r>
      <w:r>
        <w:rPr>
          <w:kern w:val="0"/>
          <w14:ligatures w14:val="none"/>
        </w:rPr>
        <w:t>to</w:t>
      </w:r>
      <w:r w:rsidRPr="00880E0E">
        <w:rPr>
          <w:kern w:val="0"/>
          <w14:ligatures w14:val="none"/>
        </w:rPr>
        <w:t xml:space="preserve"> understand their new responsibilities and obligations.  Or there could be other reasons for the gap.  </w:t>
      </w:r>
      <w:r w:rsidRPr="00880E0E">
        <w:rPr>
          <w:kern w:val="0"/>
          <w14:ligatures w14:val="none"/>
        </w:rPr>
        <w:t>F</w:t>
      </w:r>
      <w:r>
        <w:rPr>
          <w:kern w:val="0"/>
          <w14:ligatures w14:val="none"/>
        </w:rPr>
        <w:t>inally</w:t>
      </w:r>
      <w:r w:rsidRPr="00880E0E">
        <w:rPr>
          <w:kern w:val="0"/>
          <w14:ligatures w14:val="none"/>
        </w:rPr>
        <w:t>,</w:t>
      </w:r>
      <w:r w:rsidRPr="00E23352">
        <w:rPr>
          <w:kern w:val="0"/>
          <w14:ligatures w14:val="none"/>
        </w:rPr>
        <w:t xml:space="preserve"> there is</w:t>
      </w:r>
      <w:r w:rsidRPr="00880E0E">
        <w:rPr>
          <w:kern w:val="0"/>
          <w14:ligatures w14:val="none"/>
        </w:rPr>
        <w:t xml:space="preserve"> nothing</w:t>
      </w:r>
      <w:r w:rsidRPr="00F77C41">
        <w:rPr>
          <w:kern w:val="0"/>
          <w14:ligatures w14:val="none"/>
        </w:rPr>
        <w:t xml:space="preserve"> in the relevant materials other than the July dates themselves to indicate that any gap between approval and enforcement was intentionally set at one year for any specific reason, let alone that the gap needed to </w:t>
      </w:r>
      <w:r w:rsidRPr="00F77C41">
        <w:rPr>
          <w:i/>
          <w:iCs/>
          <w:kern w:val="0"/>
          <w14:ligatures w14:val="none"/>
        </w:rPr>
        <w:t>remain</w:t>
      </w:r>
      <w:r w:rsidRPr="00F77C41">
        <w:rPr>
          <w:kern w:val="0"/>
          <w14:ligatures w14:val="none"/>
        </w:rPr>
        <w:t xml:space="preserve"> at one year regardless of when the approval occurred.  </w:t>
      </w:r>
      <w:r>
        <w:rPr>
          <w:kern w:val="0"/>
          <w14:ligatures w14:val="none"/>
        </w:rPr>
        <w:t>T</w:t>
      </w:r>
      <w:r w:rsidRPr="00F77C41">
        <w:rPr>
          <w:kern w:val="0"/>
          <w14:ligatures w14:val="none"/>
        </w:rPr>
        <w:t>he Chamber’s argument that such a gap must be i</w:t>
      </w:r>
      <w:r>
        <w:rPr>
          <w:kern w:val="0"/>
          <w14:ligatures w14:val="none"/>
        </w:rPr>
        <w:t>nferred</w:t>
      </w:r>
      <w:r w:rsidRPr="00F77C41">
        <w:rPr>
          <w:kern w:val="0"/>
          <w14:ligatures w14:val="none"/>
        </w:rPr>
        <w:t xml:space="preserve"> here is belied by the fact there are other tools available to protect the interests it has identified.  </w:t>
      </w:r>
      <w:r>
        <w:rPr>
          <w:kern w:val="0"/>
          <w14:ligatures w14:val="none"/>
        </w:rPr>
        <w:t>As o</w:t>
      </w:r>
      <w:r>
        <w:rPr>
          <w:kern w:val="0"/>
          <w14:ligatures w14:val="none"/>
        </w:rPr>
        <w:t xml:space="preserve">ne example </w:t>
      </w:r>
      <w:r w:rsidRPr="00F77C41">
        <w:rPr>
          <w:kern w:val="0"/>
          <w14:ligatures w14:val="none"/>
        </w:rPr>
        <w:t>noted above, the Agency itself has included a regulation that in deciding whether to pursue an investigation it will consider “all facts it determines to be relevant, including the amount of time between the effective date of the statutory or regulatory requirement(s) and th</w:t>
      </w:r>
      <w:r w:rsidRPr="00F77C41">
        <w:rPr>
          <w:kern w:val="0"/>
          <w14:ligatures w14:val="none"/>
        </w:rPr>
        <w:t>e possible or alleged violation(s) of those requirements, and good-</w:t>
      </w:r>
      <w:r w:rsidRPr="00F77C41">
        <w:rPr>
          <w:kern w:val="0"/>
          <w14:ligatures w14:val="none"/>
        </w:rPr>
        <w:lastRenderedPageBreak/>
        <w:t>faith efforts to comply with those requirements.”  (</w:t>
      </w:r>
      <w:bookmarkStart w:id="56" w:name="dabmci_72f04b331129493fb1e6ed05c58082f7"/>
      <w:r w:rsidRPr="00F77C41">
        <w:rPr>
          <w:kern w:val="0"/>
          <w14:ligatures w14:val="none"/>
        </w:rPr>
        <w:t>Cal. Code Regs., tit. 11, § 7301, subd. (b)</w:t>
      </w:r>
      <w:bookmarkEnd w:id="56"/>
      <w:r w:rsidRPr="00F77C41">
        <w:rPr>
          <w:kern w:val="0"/>
          <w14:ligatures w14:val="none"/>
        </w:rPr>
        <w:t xml:space="preserve">.) </w:t>
      </w:r>
    </w:p>
    <w:p w14:paraId="6E62F158" w14:textId="77777777" w:rsidR="00C558EA" w:rsidRPr="00F77C41" w:rsidRDefault="00C558EA" w:rsidP="00F77C41">
      <w:pPr>
        <w:rPr>
          <w:kern w:val="0"/>
          <w14:ligatures w14:val="none"/>
        </w:rPr>
      </w:pPr>
      <w:r w:rsidRPr="00F77C41">
        <w:rPr>
          <w:kern w:val="0"/>
          <w14:ligatures w14:val="none"/>
        </w:rPr>
        <w:tab/>
        <w:t>The text of Proposition 24 makes clear that, in approving the initiative measure, the voters intended to strengthen and protect consumers’ privacy rights regarding the collection and use (including sale) of their personal information.  (Prop. 24, §§ 2-4.)  It is also evident from the text of the measure that the voters intended for the Agency to “vigorously enforce the law against businesses that violate consumers’ privacy rights.”  (</w:t>
      </w:r>
      <w:bookmarkStart w:id="57" w:name="dabmci_c395e228587a44d2947281a72789994c"/>
      <w:r w:rsidRPr="00F77C41">
        <w:rPr>
          <w:i/>
          <w:iCs/>
          <w:kern w:val="0"/>
          <w14:ligatures w14:val="none"/>
        </w:rPr>
        <w:t>Id</w:t>
      </w:r>
      <w:r w:rsidRPr="00F77C41">
        <w:rPr>
          <w:kern w:val="0"/>
          <w14:ligatures w14:val="none"/>
        </w:rPr>
        <w:t>., § 2(L)</w:t>
      </w:r>
      <w:bookmarkEnd w:id="57"/>
      <w:r w:rsidRPr="00F77C41">
        <w:rPr>
          <w:kern w:val="0"/>
          <w14:ligatures w14:val="none"/>
        </w:rPr>
        <w:t xml:space="preserve">; see also </w:t>
      </w:r>
      <w:bookmarkStart w:id="58" w:name="dabmci_2f9d153712f242a5944901b699dc6ece"/>
      <w:r w:rsidRPr="00F77C41">
        <w:rPr>
          <w:i/>
          <w:iCs/>
          <w:kern w:val="0"/>
          <w14:ligatures w14:val="none"/>
        </w:rPr>
        <w:t>id</w:t>
      </w:r>
      <w:r w:rsidRPr="00F77C41">
        <w:rPr>
          <w:kern w:val="0"/>
          <w14:ligatures w14:val="none"/>
        </w:rPr>
        <w:t>., § 3(C)(7)</w:t>
      </w:r>
      <w:bookmarkEnd w:id="58"/>
      <w:r w:rsidRPr="00F77C41">
        <w:rPr>
          <w:kern w:val="0"/>
          <w14:ligatures w14:val="none"/>
        </w:rPr>
        <w:t xml:space="preserve"> [“Businesses should be held accountable for violating the law through vigorous administrative and civil enforcement”].)  However, it is equally clear from the language of the measure that the voters intended for the Agency to “ensure that businesses and consumers are well-informed about their rights and obligations” (</w:t>
      </w:r>
      <w:bookmarkStart w:id="59" w:name="dabmci_d2ed9ccd592744ab90d7a59471e88840"/>
      <w:r w:rsidRPr="00F77C41">
        <w:rPr>
          <w:i/>
          <w:iCs/>
          <w:kern w:val="0"/>
          <w14:ligatures w14:val="none"/>
        </w:rPr>
        <w:t>id</w:t>
      </w:r>
      <w:r w:rsidRPr="00F77C41">
        <w:rPr>
          <w:kern w:val="0"/>
          <w14:ligatures w14:val="none"/>
        </w:rPr>
        <w:t>., § 2(L)</w:t>
      </w:r>
      <w:bookmarkEnd w:id="59"/>
      <w:r w:rsidRPr="00F77C41">
        <w:rPr>
          <w:kern w:val="0"/>
          <w14:ligatures w14:val="none"/>
        </w:rPr>
        <w:t>), that the responsibilities of businesses should be implemented with the goal of “giving attention to the impact on business and innovation,” th</w:t>
      </w:r>
      <w:r w:rsidRPr="00F77C41">
        <w:rPr>
          <w:kern w:val="0"/>
          <w14:ligatures w14:val="none"/>
        </w:rPr>
        <w:t>at businesses and consumers “should be provided with clear guidance about their responsibilities and rights,” and that the law should “assist businesses with compliance with the continuing goal of strengthening consumer privacy” (</w:t>
      </w:r>
      <w:bookmarkStart w:id="60" w:name="dabmci_37a90267c2624cbb96c91318a864ba20"/>
      <w:r w:rsidRPr="00F77C41">
        <w:rPr>
          <w:i/>
          <w:iCs/>
          <w:kern w:val="0"/>
          <w14:ligatures w14:val="none"/>
        </w:rPr>
        <w:t>id</w:t>
      </w:r>
      <w:r w:rsidRPr="00F77C41">
        <w:rPr>
          <w:kern w:val="0"/>
          <w14:ligatures w14:val="none"/>
        </w:rPr>
        <w:t>., § 3(C)(1), (C)(2) &amp; (C)(4)</w:t>
      </w:r>
      <w:bookmarkEnd w:id="60"/>
      <w:r w:rsidRPr="00F77C41">
        <w:rPr>
          <w:kern w:val="0"/>
          <w14:ligatures w14:val="none"/>
        </w:rPr>
        <w:t xml:space="preserve">).  </w:t>
      </w:r>
    </w:p>
    <w:p w14:paraId="64D19FA6" w14:textId="77777777" w:rsidR="00C558EA" w:rsidRPr="00F77C41" w:rsidRDefault="00C558EA" w:rsidP="00F77C41">
      <w:pPr>
        <w:rPr>
          <w:kern w:val="0"/>
          <w14:ligatures w14:val="none"/>
        </w:rPr>
      </w:pPr>
      <w:r w:rsidRPr="00F77C41">
        <w:rPr>
          <w:kern w:val="0"/>
          <w14:ligatures w14:val="none"/>
        </w:rPr>
        <w:tab/>
        <w:t xml:space="preserve">In any event, because there is no “explicit and forceful language” mandating that the Agency is prohibited from enforcing the Act until (at least) one year after the Agency approves final regulations, the trial court erred in concluding otherwise.  (See </w:t>
      </w:r>
      <w:bookmarkStart w:id="61" w:name="dabmci_e8b8037218ed474287f895993eb86e3b"/>
      <w:r w:rsidRPr="00F77C41">
        <w:rPr>
          <w:i/>
          <w:iCs/>
          <w:kern w:val="0"/>
          <w14:ligatures w14:val="none"/>
        </w:rPr>
        <w:t>In re Dohner</w:t>
      </w:r>
      <w:r w:rsidRPr="00F77C41">
        <w:rPr>
          <w:kern w:val="0"/>
          <w14:ligatures w14:val="none"/>
        </w:rPr>
        <w:t xml:space="preserve"> (2022) 79 Cal.App.5th 590, 598</w:t>
      </w:r>
      <w:bookmarkEnd w:id="61"/>
      <w:r w:rsidRPr="00F77C41">
        <w:rPr>
          <w:kern w:val="0"/>
          <w14:ligatures w14:val="none"/>
        </w:rPr>
        <w:t xml:space="preserve"> </w:t>
      </w:r>
      <w:proofErr w:type="gramStart"/>
      <w:r w:rsidRPr="00F77C41">
        <w:rPr>
          <w:kern w:val="0"/>
          <w14:ligatures w14:val="none"/>
        </w:rPr>
        <w:t>[“ ‘</w:t>
      </w:r>
      <w:proofErr w:type="gramEnd"/>
      <w:r w:rsidRPr="00F77C41">
        <w:rPr>
          <w:kern w:val="0"/>
          <w14:ligatures w14:val="none"/>
        </w:rPr>
        <w:t xml:space="preserve">To construe a statute . . . as imposing a mandatory duty on a public entity, “the mandatory nature of the duty must be phrased in explicit and forceful language” ’ ”].)  The Chamber was simply not entitled to the relief granted by the trial court.  Accordingly, we will grant the Agency’s petition for </w:t>
      </w:r>
      <w:r w:rsidRPr="00F77C41">
        <w:rPr>
          <w:kern w:val="0"/>
          <w14:ligatures w14:val="none"/>
        </w:rPr>
        <w:lastRenderedPageBreak/>
        <w:t>extraordinary writ relief and allow the trial court to consider any remaining issues concerning the propriety of compelling more prompt development of regulations</w:t>
      </w:r>
      <w:r w:rsidRPr="00F77C41">
        <w:rPr>
          <w:kern w:val="0"/>
          <w14:ligatures w14:val="none"/>
        </w:rPr>
        <w:t>.</w:t>
      </w:r>
      <w:r>
        <w:rPr>
          <w:b/>
          <w:kern w:val="0"/>
          <w:position w:val="8"/>
          <w:sz w:val="20"/>
          <w14:ligatures w14:val="none"/>
        </w:rPr>
        <w:footnoteReference w:id="13"/>
      </w:r>
      <w:r w:rsidRPr="00F77C41">
        <w:rPr>
          <w:kern w:val="0"/>
          <w14:ligatures w14:val="none"/>
        </w:rPr>
        <w:t xml:space="preserve">  </w:t>
      </w:r>
    </w:p>
    <w:p w14:paraId="58E685AF" w14:textId="77777777" w:rsidR="00C558EA" w:rsidRPr="00F77C41" w:rsidRDefault="00C558EA" w:rsidP="00F77C41">
      <w:pPr>
        <w:jc w:val="center"/>
        <w:rPr>
          <w:b/>
          <w:bCs/>
          <w:kern w:val="0"/>
          <w14:ligatures w14:val="none"/>
        </w:rPr>
      </w:pPr>
      <w:r w:rsidRPr="00F77C41">
        <w:rPr>
          <w:b/>
          <w:bCs/>
          <w:kern w:val="0"/>
          <w14:ligatures w14:val="none"/>
        </w:rPr>
        <w:t>DISPOSITION</w:t>
      </w:r>
    </w:p>
    <w:p w14:paraId="1EA3775F" w14:textId="77777777" w:rsidR="00C558EA" w:rsidRPr="00F77C41" w:rsidRDefault="00C558EA" w:rsidP="00F77C41">
      <w:pPr>
        <w:rPr>
          <w:kern w:val="0"/>
          <w14:ligatures w14:val="none"/>
        </w:rPr>
      </w:pPr>
      <w:r w:rsidRPr="00F77C41">
        <w:rPr>
          <w:b/>
          <w:bCs/>
          <w:kern w:val="0"/>
          <w14:ligatures w14:val="none"/>
        </w:rPr>
        <w:tab/>
      </w:r>
      <w:r w:rsidRPr="00F77C41">
        <w:rPr>
          <w:kern w:val="0"/>
          <w14:ligatures w14:val="none"/>
        </w:rPr>
        <w:t xml:space="preserve">Let a </w:t>
      </w:r>
      <w:bookmarkStart w:id="64" w:name="_Hlk155459305"/>
      <w:r w:rsidRPr="00F77C41">
        <w:rPr>
          <w:kern w:val="0"/>
          <w14:ligatures w14:val="none"/>
        </w:rPr>
        <w:t>peremptory writ of mandate issue directing the trial court to:  (1) vacate its order and judgment granting the Chamber’s verified petition for writ of mandate in part and staying the Agency’s regulations “for a period of 12 months from the date that [each] individual regulation becomes final”</w:t>
      </w:r>
      <w:r>
        <w:rPr>
          <w:kern w:val="0"/>
          <w14:ligatures w14:val="none"/>
        </w:rPr>
        <w:t>;</w:t>
      </w:r>
      <w:r w:rsidRPr="00F77C41">
        <w:rPr>
          <w:kern w:val="0"/>
          <w14:ligatures w14:val="none"/>
        </w:rPr>
        <w:t xml:space="preserve"> and (2) enter a new order denying such relief and otherwise considering any non-moot issue concerning the propriety of compelling more prompt development of regulations.  Assuming no such issue remains, the superior court shall otherwise enter judgment in favor of the Agency and against the Chamber. </w:t>
      </w:r>
    </w:p>
    <w:bookmarkEnd w:id="64"/>
    <w:p w14:paraId="00274777" w14:textId="77777777" w:rsidR="00C558EA" w:rsidRPr="00F77C41" w:rsidRDefault="00C558EA" w:rsidP="00F77C41">
      <w:pPr>
        <w:ind w:firstLine="720"/>
        <w:rPr>
          <w:kern w:val="0"/>
          <w14:ligatures w14:val="none"/>
        </w:rPr>
      </w:pPr>
      <w:r w:rsidRPr="00F77C41">
        <w:rPr>
          <w:kern w:val="0"/>
          <w14:ligatures w14:val="none"/>
        </w:rPr>
        <w:t xml:space="preserve">This opinion is made final as to this court immediately upon filing.  (See </w:t>
      </w:r>
      <w:bookmarkStart w:id="65" w:name="dabmci_4b8849774a1b49b397a4bc2431c14f98"/>
      <w:r w:rsidRPr="00F77C41">
        <w:rPr>
          <w:kern w:val="0"/>
          <w14:ligatures w14:val="none"/>
        </w:rPr>
        <w:t>Cal. Rules of Court, rule 8.490(b)(2)(A)</w:t>
      </w:r>
      <w:bookmarkEnd w:id="65"/>
      <w:r w:rsidRPr="00F77C41">
        <w:rPr>
          <w:kern w:val="0"/>
          <w14:ligatures w14:val="none"/>
        </w:rPr>
        <w:t>.)  The Agency shall recover its costs in this writ proceeding.  (</w:t>
      </w:r>
      <w:bookmarkStart w:id="66" w:name="dabmci_197ac0f167634838ba6a2da697de70bd"/>
      <w:r w:rsidRPr="00F77C41">
        <w:rPr>
          <w:kern w:val="0"/>
          <w14:ligatures w14:val="none"/>
        </w:rPr>
        <w:t xml:space="preserve">Cal. Rules of Court, </w:t>
      </w:r>
      <w:r w:rsidRPr="00F77C41">
        <w:rPr>
          <w:kern w:val="0"/>
          <w14:ligatures w14:val="none"/>
        </w:rPr>
        <w:t>rule 8.493(a)</w:t>
      </w:r>
      <w:bookmarkEnd w:id="66"/>
      <w:r w:rsidRPr="00F77C41">
        <w:rPr>
          <w:kern w:val="0"/>
          <w14:ligatures w14:val="none"/>
        </w:rPr>
        <w:t>.)</w:t>
      </w:r>
    </w:p>
    <w:p w14:paraId="7DED4C6F" w14:textId="77777777" w:rsidR="00C558EA" w:rsidRDefault="00C558EA" w:rsidP="00D2457B">
      <w:pPr>
        <w:spacing w:line="240" w:lineRule="auto"/>
      </w:pPr>
    </w:p>
    <w:p w14:paraId="139A44FA" w14:textId="77777777" w:rsidR="00C558EA" w:rsidRDefault="00C558EA" w:rsidP="00D2457B">
      <w:pPr>
        <w:spacing w:line="240" w:lineRule="auto"/>
      </w:pPr>
    </w:p>
    <w:p w14:paraId="2054D60E" w14:textId="77777777" w:rsidR="00C558EA" w:rsidRDefault="00C558EA" w:rsidP="00D2457B">
      <w:pPr>
        <w:tabs>
          <w:tab w:val="left" w:pos="5040"/>
          <w:tab w:val="left" w:pos="7920"/>
        </w:tabs>
        <w:spacing w:line="240" w:lineRule="auto"/>
      </w:pPr>
      <w:r>
        <w:tab/>
      </w:r>
      <w:r w:rsidRPr="00D2457B">
        <w:rPr>
          <w:u w:val="single"/>
        </w:rPr>
        <w:t xml:space="preserve">          </w:t>
      </w:r>
      <w:r>
        <w:rPr>
          <w:u w:val="single"/>
        </w:rPr>
        <w:t>/s/</w:t>
      </w:r>
      <w:r w:rsidRPr="00D2457B">
        <w:rPr>
          <w:u w:val="single"/>
        </w:rPr>
        <w:tab/>
      </w:r>
    </w:p>
    <w:p w14:paraId="71A4A981" w14:textId="77777777" w:rsidR="00C558EA" w:rsidRDefault="00C558EA" w:rsidP="00D2457B">
      <w:pPr>
        <w:tabs>
          <w:tab w:val="left" w:pos="5040"/>
          <w:tab w:val="left" w:pos="7920"/>
        </w:tabs>
        <w:spacing w:line="240" w:lineRule="auto"/>
      </w:pPr>
      <w:r>
        <w:tab/>
        <w:t>Duarte, J.</w:t>
      </w:r>
    </w:p>
    <w:p w14:paraId="5507B292" w14:textId="77777777" w:rsidR="00C558EA" w:rsidRDefault="00C558EA" w:rsidP="00D2457B">
      <w:pPr>
        <w:tabs>
          <w:tab w:val="left" w:pos="5040"/>
          <w:tab w:val="left" w:pos="7920"/>
        </w:tabs>
        <w:spacing w:line="240" w:lineRule="auto"/>
      </w:pPr>
    </w:p>
    <w:p w14:paraId="235A7CDB" w14:textId="77777777" w:rsidR="00C558EA" w:rsidRDefault="00C558EA" w:rsidP="00D2457B">
      <w:pPr>
        <w:spacing w:line="240" w:lineRule="auto"/>
      </w:pPr>
      <w:r>
        <w:t>We concur:</w:t>
      </w:r>
    </w:p>
    <w:p w14:paraId="6174B406" w14:textId="77777777" w:rsidR="00C558EA" w:rsidRDefault="00C558EA" w:rsidP="00D2457B">
      <w:pPr>
        <w:spacing w:line="240" w:lineRule="auto"/>
      </w:pPr>
    </w:p>
    <w:p w14:paraId="552B3B8C" w14:textId="77777777" w:rsidR="00C558EA" w:rsidRDefault="00C558EA" w:rsidP="00D2457B">
      <w:pPr>
        <w:spacing w:line="240" w:lineRule="auto"/>
      </w:pPr>
    </w:p>
    <w:p w14:paraId="76983CE0" w14:textId="77777777" w:rsidR="00C558EA" w:rsidRDefault="00C558EA" w:rsidP="00D2457B">
      <w:pPr>
        <w:spacing w:line="240" w:lineRule="auto"/>
      </w:pPr>
    </w:p>
    <w:p w14:paraId="49646778" w14:textId="77777777" w:rsidR="00C558EA" w:rsidRDefault="00C558EA" w:rsidP="00D2457B">
      <w:pPr>
        <w:tabs>
          <w:tab w:val="left" w:pos="2880"/>
        </w:tabs>
        <w:spacing w:line="240" w:lineRule="auto"/>
      </w:pPr>
      <w:r w:rsidRPr="00D2457B">
        <w:rPr>
          <w:u w:val="single"/>
        </w:rPr>
        <w:t xml:space="preserve">          </w:t>
      </w:r>
      <w:r>
        <w:rPr>
          <w:u w:val="single"/>
        </w:rPr>
        <w:t>/s/</w:t>
      </w:r>
      <w:r w:rsidRPr="00D2457B">
        <w:rPr>
          <w:u w:val="single"/>
        </w:rPr>
        <w:tab/>
      </w:r>
    </w:p>
    <w:p w14:paraId="2BE23771" w14:textId="77777777" w:rsidR="00C558EA" w:rsidRDefault="00C558EA" w:rsidP="00D2457B">
      <w:pPr>
        <w:tabs>
          <w:tab w:val="left" w:pos="2880"/>
        </w:tabs>
        <w:spacing w:line="240" w:lineRule="auto"/>
      </w:pPr>
      <w:r>
        <w:t>Robie, Acting P.J.</w:t>
      </w:r>
    </w:p>
    <w:p w14:paraId="2075C384" w14:textId="77777777" w:rsidR="00C558EA" w:rsidRDefault="00C558EA" w:rsidP="00D2457B">
      <w:pPr>
        <w:tabs>
          <w:tab w:val="left" w:pos="2880"/>
        </w:tabs>
        <w:spacing w:line="240" w:lineRule="auto"/>
      </w:pPr>
    </w:p>
    <w:p w14:paraId="60DA7425" w14:textId="77777777" w:rsidR="00C558EA" w:rsidRDefault="00C558EA" w:rsidP="00D2457B">
      <w:pPr>
        <w:tabs>
          <w:tab w:val="left" w:pos="2880"/>
        </w:tabs>
        <w:spacing w:line="240" w:lineRule="auto"/>
      </w:pPr>
    </w:p>
    <w:p w14:paraId="37A69D70" w14:textId="77777777" w:rsidR="00C558EA" w:rsidRDefault="00C558EA" w:rsidP="00D2457B">
      <w:pPr>
        <w:tabs>
          <w:tab w:val="left" w:pos="2880"/>
        </w:tabs>
        <w:spacing w:line="240" w:lineRule="auto"/>
      </w:pPr>
    </w:p>
    <w:p w14:paraId="0DF29E0B" w14:textId="77777777" w:rsidR="00C558EA" w:rsidRDefault="00C558EA" w:rsidP="00D2457B">
      <w:pPr>
        <w:tabs>
          <w:tab w:val="left" w:pos="2880"/>
        </w:tabs>
        <w:spacing w:line="240" w:lineRule="auto"/>
      </w:pPr>
      <w:r w:rsidRPr="00D2457B">
        <w:rPr>
          <w:u w:val="single"/>
        </w:rPr>
        <w:t xml:space="preserve">          </w:t>
      </w:r>
      <w:r>
        <w:rPr>
          <w:u w:val="single"/>
        </w:rPr>
        <w:t>/s/</w:t>
      </w:r>
      <w:r w:rsidRPr="00D2457B">
        <w:rPr>
          <w:u w:val="single"/>
        </w:rPr>
        <w:tab/>
      </w:r>
    </w:p>
    <w:p w14:paraId="2FA5C2FF" w14:textId="77777777" w:rsidR="00C558EA" w:rsidRPr="00D2457B" w:rsidRDefault="00C558EA" w:rsidP="00040FE3">
      <w:pPr>
        <w:tabs>
          <w:tab w:val="left" w:pos="2880"/>
        </w:tabs>
        <w:spacing w:line="240" w:lineRule="auto"/>
      </w:pPr>
      <w:r>
        <w:t>Boulware Eurie, J.</w:t>
      </w:r>
    </w:p>
    <w:sectPr w:rsidR="00D2457B" w:rsidRPr="00D2457B" w:rsidSect="00D2457B">
      <w:footerReference w:type="default" r:id="rId6"/>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E1E9" w14:textId="77777777" w:rsidR="00C558EA" w:rsidRDefault="00C558EA">
      <w:pPr>
        <w:spacing w:line="240" w:lineRule="auto"/>
      </w:pPr>
      <w:r>
        <w:separator/>
      </w:r>
    </w:p>
  </w:endnote>
  <w:endnote w:type="continuationSeparator" w:id="0">
    <w:p w14:paraId="2444DD20" w14:textId="77777777" w:rsidR="00C558EA" w:rsidRDefault="00C5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D5D" w14:textId="77777777" w:rsidR="00C558EA" w:rsidRPr="00D2457B" w:rsidRDefault="00C558EA" w:rsidP="00D2457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D9D3" w14:textId="77777777" w:rsidR="00C558EA" w:rsidRDefault="00C558EA">
      <w:r>
        <w:separator/>
      </w:r>
    </w:p>
  </w:footnote>
  <w:footnote w:type="continuationSeparator" w:id="0">
    <w:p w14:paraId="7D415265" w14:textId="77777777" w:rsidR="00C558EA" w:rsidRDefault="00C558EA">
      <w:r>
        <w:continuationSeparator/>
      </w:r>
    </w:p>
  </w:footnote>
  <w:footnote w:id="1">
    <w:p w14:paraId="43C08198" w14:textId="77777777" w:rsidR="00C558EA" w:rsidRDefault="00C558EA" w:rsidP="00F77C41">
      <w:pPr>
        <w:pStyle w:val="FootnoteText"/>
      </w:pPr>
      <w:r>
        <w:rPr>
          <w:rStyle w:val="FootnoteReference"/>
        </w:rPr>
        <w:footnoteRef/>
      </w:r>
      <w:r>
        <w:t xml:space="preserve">  The other petitioners are members of the Agency’s board and the California Attorney General.  </w:t>
      </w:r>
    </w:p>
  </w:footnote>
  <w:footnote w:id="2">
    <w:p w14:paraId="4B388CAB" w14:textId="77777777" w:rsidR="00C558EA" w:rsidRDefault="00C558EA" w:rsidP="00F77C41">
      <w:pPr>
        <w:pStyle w:val="FootnoteText"/>
      </w:pPr>
      <w:r>
        <w:rPr>
          <w:rStyle w:val="FootnoteReference"/>
        </w:rPr>
        <w:footnoteRef/>
      </w:r>
      <w:r>
        <w:t xml:space="preserve">  Further undesignated statutory references are to the Civil Code.</w:t>
      </w:r>
    </w:p>
  </w:footnote>
  <w:footnote w:id="3">
    <w:p w14:paraId="53795DE7" w14:textId="77777777" w:rsidR="00C558EA" w:rsidRDefault="00C558EA" w:rsidP="00F77C41">
      <w:pPr>
        <w:pStyle w:val="FootnoteText"/>
      </w:pPr>
      <w:r>
        <w:rPr>
          <w:rStyle w:val="FootnoteReference"/>
        </w:rPr>
        <w:footnoteRef/>
      </w:r>
      <w:r>
        <w:t xml:space="preserve">  The CCPA was enacted after </w:t>
      </w:r>
      <w:r w:rsidRPr="00BF7988">
        <w:t>it came to light</w:t>
      </w:r>
      <w:r>
        <w:t xml:space="preserve"> in March 2018</w:t>
      </w:r>
      <w:r w:rsidRPr="00BF7988">
        <w:t xml:space="preserve"> that tens of millions of people had their personal data misused by a data mining firm called Cambridge Analytica. </w:t>
      </w:r>
      <w:r>
        <w:t xml:space="preserve"> (See Stats. 2018, </w:t>
      </w:r>
      <w:proofErr w:type="spellStart"/>
      <w:r>
        <w:t>ch.</w:t>
      </w:r>
      <w:proofErr w:type="spellEnd"/>
      <w:r>
        <w:t xml:space="preserve"> 55, § 2.)  The law was passed</w:t>
      </w:r>
      <w:r w:rsidRPr="00AE4CD5">
        <w:t xml:space="preserve"> in response to a</w:t>
      </w:r>
      <w:r>
        <w:t>n</w:t>
      </w:r>
      <w:r w:rsidRPr="00AE4CD5">
        <w:t xml:space="preserve"> initiative</w:t>
      </w:r>
      <w:r>
        <w:t xml:space="preserve"> measure advocated by various consumer privacy groups.  T</w:t>
      </w:r>
      <w:r w:rsidRPr="00AE4CD5">
        <w:t xml:space="preserve">he Legislature </w:t>
      </w:r>
      <w:r>
        <w:t>enacted</w:t>
      </w:r>
      <w:r w:rsidRPr="00AE4CD5">
        <w:t xml:space="preserve"> the </w:t>
      </w:r>
      <w:r>
        <w:t>law</w:t>
      </w:r>
      <w:r w:rsidRPr="00AE4CD5">
        <w:t xml:space="preserve"> </w:t>
      </w:r>
      <w:r>
        <w:t xml:space="preserve">after the </w:t>
      </w:r>
      <w:r w:rsidRPr="00AE4CD5">
        <w:t>initiative</w:t>
      </w:r>
      <w:r>
        <w:t>’s official proponents withdrew the initiative from the ballot.  (Guzzetta, Cal. Prac</w:t>
      </w:r>
      <w:r>
        <w:t>tice</w:t>
      </w:r>
      <w:r>
        <w:t xml:space="preserve"> Guide: Privacy Law (The Rutter Group 2023) ¶ 3:1 (</w:t>
      </w:r>
      <w:r w:rsidRPr="001912C7">
        <w:t>Guzzetta</w:t>
      </w:r>
      <w:r>
        <w:t>); see §</w:t>
      </w:r>
      <w:r>
        <w:t> </w:t>
      </w:r>
      <w:r>
        <w:t xml:space="preserve">1798.198, subd. (b).)  </w:t>
      </w:r>
    </w:p>
  </w:footnote>
  <w:footnote w:id="4">
    <w:p w14:paraId="72144254" w14:textId="77777777" w:rsidR="00C558EA" w:rsidRDefault="00C558EA" w:rsidP="00F77C41">
      <w:pPr>
        <w:pStyle w:val="FootnoteText"/>
        <w:spacing w:before="0"/>
      </w:pPr>
      <w:r>
        <w:rPr>
          <w:rStyle w:val="FootnoteReference"/>
        </w:rPr>
        <w:footnoteRef/>
      </w:r>
      <w:r>
        <w:t xml:space="preserve">  The September 2018 amendments to the CCPA went into effect immediately.  (Stats. 2018, </w:t>
      </w:r>
      <w:proofErr w:type="spellStart"/>
      <w:r>
        <w:t>ch.</w:t>
      </w:r>
      <w:proofErr w:type="spellEnd"/>
      <w:r>
        <w:t xml:space="preserve"> 735, § 18.)</w:t>
      </w:r>
    </w:p>
  </w:footnote>
  <w:footnote w:id="5">
    <w:p w14:paraId="0E418170" w14:textId="77777777" w:rsidR="00C558EA" w:rsidRDefault="00C558EA" w:rsidP="00F77C41">
      <w:pPr>
        <w:pStyle w:val="FootnoteText"/>
        <w:spacing w:before="0"/>
      </w:pPr>
      <w:r>
        <w:rPr>
          <w:rStyle w:val="FootnoteReference"/>
        </w:rPr>
        <w:footnoteRef/>
      </w:r>
      <w:r>
        <w:t xml:space="preserve">  Proposition 24 was introduced as </w:t>
      </w:r>
      <w:r w:rsidRPr="005F4ACD">
        <w:t>a ballot initiative</w:t>
      </w:r>
      <w:r>
        <w:t xml:space="preserve"> in 2020, in response to the Legislature’s consideration of various bills in 2019 to amend the CCPA, which the proponents of Proposition 24 viewed as an attempt to weaken the CCPA</w:t>
      </w:r>
      <w:r w:rsidRPr="005F4ACD">
        <w:t xml:space="preserve">. </w:t>
      </w:r>
      <w:r>
        <w:t xml:space="preserve"> (</w:t>
      </w:r>
      <w:r w:rsidRPr="005F4ACD">
        <w:t>See Prop. 2</w:t>
      </w:r>
      <w:r>
        <w:t>4, § 2.)  Because t</w:t>
      </w:r>
      <w:r w:rsidRPr="00B81D07">
        <w:t xml:space="preserve">he </w:t>
      </w:r>
      <w:r>
        <w:t>Act</w:t>
      </w:r>
      <w:r w:rsidRPr="00B81D07">
        <w:t xml:space="preserve"> did not </w:t>
      </w:r>
      <w:r w:rsidRPr="003D6A8D">
        <w:rPr>
          <w:i/>
          <w:iCs/>
        </w:rPr>
        <w:t>replace</w:t>
      </w:r>
      <w:r w:rsidRPr="00B81D07">
        <w:t xml:space="preserve"> the CCPA</w:t>
      </w:r>
      <w:r>
        <w:t xml:space="preserve">, </w:t>
      </w:r>
      <w:r w:rsidRPr="00B81D07">
        <w:t xml:space="preserve">the proper name of </w:t>
      </w:r>
      <w:r>
        <w:t xml:space="preserve">the </w:t>
      </w:r>
      <w:r w:rsidRPr="00B81D07">
        <w:t>law remains the California Consumer Privacy Act or CCPA</w:t>
      </w:r>
      <w:r>
        <w:t xml:space="preserve"> for short</w:t>
      </w:r>
      <w:r w:rsidRPr="00B81D07">
        <w:t>.</w:t>
      </w:r>
      <w:r>
        <w:t xml:space="preserve">  (</w:t>
      </w:r>
      <w:r w:rsidRPr="001912C7">
        <w:t>Guzzetta</w:t>
      </w:r>
      <w:r w:rsidRPr="008545D6">
        <w:t>,</w:t>
      </w:r>
      <w:r>
        <w:t xml:space="preserve"> </w:t>
      </w:r>
      <w:r w:rsidRPr="00A1319D">
        <w:rPr>
          <w:i/>
          <w:iCs/>
        </w:rPr>
        <w:t>supra</w:t>
      </w:r>
      <w:r>
        <w:t xml:space="preserve">, at ¶ 3:2.3.)  </w:t>
      </w:r>
    </w:p>
  </w:footnote>
  <w:footnote w:id="6">
    <w:p w14:paraId="020F4EFA" w14:textId="77777777" w:rsidR="00C558EA" w:rsidRDefault="00C558EA" w:rsidP="00F77C41">
      <w:pPr>
        <w:pStyle w:val="FootnoteText"/>
      </w:pPr>
      <w:r>
        <w:rPr>
          <w:rStyle w:val="FootnoteReference"/>
        </w:rPr>
        <w:footnoteRef/>
      </w:r>
      <w:r>
        <w:t xml:space="preserve">  The Act contains various exceptions to the applicability of the CCPA.  (See, e.g., § 1798.140, subd. (v)(2) [personal information d</w:t>
      </w:r>
      <w:r w:rsidRPr="00657D3B">
        <w:t>oes not include publicly available information or lawfully obtained, truthful information that is a matter of public concern</w:t>
      </w:r>
      <w:r>
        <w:t>].)  The Act also contains a set of exceptions for categories of information governed by other privacy-protecting statutes.  (See, e.g., § 1798.145, subd. (c) [the CCPA does not apply to medical information governed by the Confidentiality of Medical Infor</w:t>
      </w:r>
      <w:r>
        <w:t xml:space="preserve">mation Act].)  These exceptions are immaterial to the resolution of this writ proceeding. </w:t>
      </w:r>
    </w:p>
  </w:footnote>
  <w:footnote w:id="7">
    <w:p w14:paraId="20558385" w14:textId="77777777" w:rsidR="00C558EA" w:rsidRDefault="00C558EA" w:rsidP="00F77C41">
      <w:pPr>
        <w:pStyle w:val="FootnoteText"/>
      </w:pPr>
      <w:r>
        <w:rPr>
          <w:rStyle w:val="FootnoteReference"/>
        </w:rPr>
        <w:footnoteRef/>
      </w:r>
      <w:r>
        <w:t xml:space="preserve">  </w:t>
      </w:r>
      <w:r w:rsidRPr="00792286">
        <w:t>The Act defines “personal information” broadly to include “information that identifies, relates to, describes, is reasonably capable of being associated with, or could reasonably be linked, directly or indirectly, with a particular consumer or household.”  (See §</w:t>
      </w:r>
      <w:r>
        <w:t> </w:t>
      </w:r>
      <w:r w:rsidRPr="00792286">
        <w:t>1798.140, subd. (v)(1)</w:t>
      </w:r>
      <w:r>
        <w:t xml:space="preserve">.)  Covered businesses include </w:t>
      </w:r>
      <w:r w:rsidRPr="00053781">
        <w:t>businesses that collect information from California</w:t>
      </w:r>
      <w:r>
        <w:t xml:space="preserve"> consumers</w:t>
      </w:r>
      <w:r w:rsidRPr="00053781">
        <w:t xml:space="preserve"> and either: </w:t>
      </w:r>
      <w:r>
        <w:t xml:space="preserve"> </w:t>
      </w:r>
      <w:r w:rsidRPr="00053781">
        <w:t xml:space="preserve">have </w:t>
      </w:r>
      <w:r>
        <w:t xml:space="preserve">annual </w:t>
      </w:r>
      <w:r w:rsidRPr="00053781">
        <w:t xml:space="preserve">gross revenues exceeding $25 million a year; buy, </w:t>
      </w:r>
      <w:r>
        <w:t>sell</w:t>
      </w:r>
      <w:r w:rsidRPr="00053781">
        <w:t xml:space="preserve">, or share </w:t>
      </w:r>
      <w:r>
        <w:t xml:space="preserve">personal </w:t>
      </w:r>
      <w:r w:rsidRPr="00053781">
        <w:t xml:space="preserve">information of </w:t>
      </w:r>
      <w:r>
        <w:t>10</w:t>
      </w:r>
      <w:r w:rsidRPr="00053781">
        <w:t xml:space="preserve">0,000 or more </w:t>
      </w:r>
      <w:r>
        <w:t>c</w:t>
      </w:r>
      <w:r>
        <w:t>onsumers or households</w:t>
      </w:r>
      <w:r w:rsidRPr="00053781">
        <w:t xml:space="preserve">; or derive 50 percent or more of </w:t>
      </w:r>
      <w:r>
        <w:t>their</w:t>
      </w:r>
      <w:r w:rsidRPr="00053781">
        <w:t xml:space="preserve"> annual revenue</w:t>
      </w:r>
      <w:r>
        <w:t>s</w:t>
      </w:r>
      <w:r w:rsidRPr="00053781">
        <w:t xml:space="preserve"> from selling</w:t>
      </w:r>
      <w:r>
        <w:t xml:space="preserve"> or sharing</w:t>
      </w:r>
      <w:r w:rsidRPr="00053781">
        <w:t xml:space="preserve"> consumers</w:t>
      </w:r>
      <w:r>
        <w:t>’</w:t>
      </w:r>
      <w:r w:rsidRPr="00053781">
        <w:t xml:space="preserve"> personal information.</w:t>
      </w:r>
      <w:r>
        <w:t xml:space="preserve">  (§ 1798.140, subd. (d).)</w:t>
      </w:r>
    </w:p>
  </w:footnote>
  <w:footnote w:id="8">
    <w:p w14:paraId="0BA34FBA" w14:textId="77777777" w:rsidR="00C558EA" w:rsidRDefault="00C558EA" w:rsidP="00F77C41">
      <w:pPr>
        <w:pStyle w:val="FootnoteText"/>
      </w:pPr>
      <w:r>
        <w:rPr>
          <w:rStyle w:val="FootnoteReference"/>
        </w:rPr>
        <w:footnoteRef/>
      </w:r>
      <w:r>
        <w:t xml:space="preserve">  As the Agency recognized during the rulemaking process, it was delegated the authority to </w:t>
      </w:r>
      <w:r w:rsidRPr="00EB05B9">
        <w:t>“</w:t>
      </w:r>
      <w:r w:rsidRPr="00B457FE">
        <w:t>fill up the details</w:t>
      </w:r>
      <w:r w:rsidRPr="00EB05B9">
        <w:t>”</w:t>
      </w:r>
      <w:r>
        <w:t xml:space="preserve"> of the statutory scheme through the promulgation of final regulations.  (See </w:t>
      </w:r>
      <w:bookmarkStart w:id="12" w:name="dabmci_2855642047ad4b9cac26b1e387fd4ec7"/>
      <w:r w:rsidRPr="003A12CF">
        <w:rPr>
          <w:i/>
          <w:iCs/>
        </w:rPr>
        <w:t xml:space="preserve">Batt v. City and County of San Francisco </w:t>
      </w:r>
      <w:r>
        <w:t>(2010) 184 Cal.App.4th 163, 171</w:t>
      </w:r>
      <w:bookmarkEnd w:id="12"/>
      <w:r>
        <w:t xml:space="preserve"> [describing authority of an agency vested with quasi-legislative power to adopt regulations implementing a statutory scheme].)</w:t>
      </w:r>
    </w:p>
  </w:footnote>
  <w:footnote w:id="9">
    <w:p w14:paraId="133644DA" w14:textId="77777777" w:rsidR="00C558EA" w:rsidRDefault="00C558EA" w:rsidP="00F77C41">
      <w:pPr>
        <w:pStyle w:val="FootnoteText"/>
      </w:pPr>
      <w:r>
        <w:rPr>
          <w:rStyle w:val="FootnoteReference"/>
        </w:rPr>
        <w:footnoteRef/>
      </w:r>
      <w:r>
        <w:t xml:space="preserve">  It is undisputed that the Agency’s proposed final regulations did not include regulations concerning the required subject matter areas of cybersecurity audits (§ 1798.185, subd. (a)(15)(A)), risk assessments (§ 1798.185, subd. (a)(15)(B)), and automated </w:t>
      </w:r>
      <w:proofErr w:type="spellStart"/>
      <w:r>
        <w:t>decisionmaking</w:t>
      </w:r>
      <w:proofErr w:type="spellEnd"/>
      <w:r>
        <w:t xml:space="preserve"> technology (§ 1798.185, subd. (a)(16)).  </w:t>
      </w:r>
      <w:r w:rsidRPr="005F1FD0">
        <w:t>The Agency has represented that it will not enforce the law in these areas until final regulations are adopted.</w:t>
      </w:r>
      <w:r>
        <w:t xml:space="preserve">  </w:t>
      </w:r>
    </w:p>
  </w:footnote>
  <w:footnote w:id="10">
    <w:p w14:paraId="23FC0E1A" w14:textId="77777777" w:rsidR="00C558EA" w:rsidRDefault="00C558EA" w:rsidP="00F77C41">
      <w:pPr>
        <w:pStyle w:val="FootnoteText"/>
      </w:pPr>
      <w:r>
        <w:rPr>
          <w:rStyle w:val="FootnoteReference"/>
        </w:rPr>
        <w:footnoteRef/>
      </w:r>
      <w:r>
        <w:t xml:space="preserve">  The issue of whether the trial court erred in failing to grant this relief is not before us.</w:t>
      </w:r>
      <w:r w:rsidRPr="00437855">
        <w:t xml:space="preserve"> </w:t>
      </w:r>
      <w:r>
        <w:t xml:space="preserve">To the extent respondent court previously declined to grant this relief </w:t>
      </w:r>
      <w:proofErr w:type="gramStart"/>
      <w:r>
        <w:t>in light of</w:t>
      </w:r>
      <w:proofErr w:type="gramEnd"/>
      <w:r>
        <w:t xml:space="preserve"> its decision that a delay in implementation must be imposed, nothing in this opinion precludes the court from reconsidering that issue. </w:t>
      </w:r>
    </w:p>
  </w:footnote>
  <w:footnote w:id="11">
    <w:p w14:paraId="17B5CA0C" w14:textId="77777777" w:rsidR="00C558EA" w:rsidRDefault="00C558EA" w:rsidP="00F77C41">
      <w:pPr>
        <w:pStyle w:val="FootnoteText"/>
      </w:pPr>
      <w:r>
        <w:rPr>
          <w:rStyle w:val="FootnoteReference"/>
        </w:rPr>
        <w:footnoteRef/>
      </w:r>
      <w:r>
        <w:t xml:space="preserve">  </w:t>
      </w:r>
      <w:r w:rsidRPr="005937D7">
        <w:t xml:space="preserve">Several weeks later, in late August 2023, the Agency filed an appeal from the judgment issued following the trial court’s order.  </w:t>
      </w:r>
      <w:r w:rsidRPr="00AC6745">
        <w:t>(</w:t>
      </w:r>
      <w:r w:rsidRPr="005937D7">
        <w:t xml:space="preserve">See </w:t>
      </w:r>
      <w:r>
        <w:rPr>
          <w:i/>
          <w:iCs/>
        </w:rPr>
        <w:t xml:space="preserve">California Chamber of Commerce v. California Privacy Protection Agency </w:t>
      </w:r>
      <w:r w:rsidRPr="00897447">
        <w:t>(</w:t>
      </w:r>
      <w:r w:rsidRPr="005937D7">
        <w:t>C099326</w:t>
      </w:r>
      <w:r>
        <w:t>, app. pending).)</w:t>
      </w:r>
    </w:p>
  </w:footnote>
  <w:footnote w:id="12">
    <w:p w14:paraId="3414F697" w14:textId="77777777" w:rsidR="00C558EA" w:rsidRDefault="00C558EA" w:rsidP="00F77C41">
      <w:pPr>
        <w:pStyle w:val="FootnoteText"/>
      </w:pPr>
      <w:r>
        <w:rPr>
          <w:rStyle w:val="FootnoteReference"/>
        </w:rPr>
        <w:footnoteRef/>
      </w:r>
      <w:r>
        <w:t xml:space="preserve">  </w:t>
      </w:r>
      <w:bookmarkStart w:id="27" w:name="dabmci_4029431e8f914bd9acfa545d576ddfec"/>
      <w:r>
        <w:t>Code of Civil Procedure section 1085</w:t>
      </w:r>
      <w:bookmarkEnd w:id="27"/>
      <w:r>
        <w:t xml:space="preserve"> states in pertinent part</w:t>
      </w:r>
      <w:proofErr w:type="gramStart"/>
      <w:r>
        <w:t>:  “</w:t>
      </w:r>
      <w:proofErr w:type="gramEnd"/>
      <w:r w:rsidRPr="009D422D">
        <w:t>A writ of mandate may be issued by any court to any inferior tribunal, corporation, board, or person, to compel the performance of an act which the law specially enjoins, as a duty resulting from an office, trust, or station</w:t>
      </w:r>
      <w:r>
        <w:t>.”</w:t>
      </w:r>
    </w:p>
  </w:footnote>
  <w:footnote w:id="13">
    <w:p w14:paraId="2344DC98" w14:textId="77777777" w:rsidR="00C558EA" w:rsidRDefault="00C558EA" w:rsidP="00F77C41">
      <w:pPr>
        <w:pStyle w:val="FootnoteText"/>
      </w:pPr>
      <w:r>
        <w:rPr>
          <w:rStyle w:val="FootnoteReference"/>
        </w:rPr>
        <w:footnoteRef/>
      </w:r>
      <w:r>
        <w:t xml:space="preserve">  </w:t>
      </w:r>
      <w:bookmarkStart w:id="62" w:name="_Hlk158122365"/>
      <w:proofErr w:type="gramStart"/>
      <w:r>
        <w:t>In light of</w:t>
      </w:r>
      <w:proofErr w:type="gramEnd"/>
      <w:r>
        <w:t xml:space="preserve"> </w:t>
      </w:r>
      <w:r>
        <w:t>our resolution of this matter as set forth above, we need not and do not consider the other arguments raised by the Agency.</w:t>
      </w:r>
      <w:r>
        <w:t xml:space="preserve">  </w:t>
      </w:r>
      <w:bookmarkStart w:id="63" w:name="_Hlk158122321"/>
      <w:r>
        <w:t xml:space="preserve">Given our Disposition of this case, we deny </w:t>
      </w:r>
      <w:r>
        <w:t xml:space="preserve">as moot </w:t>
      </w:r>
      <w:r>
        <w:t>petitioners’ request for finality upon issuance.</w:t>
      </w:r>
      <w:r>
        <w:t xml:space="preserve">  </w:t>
      </w:r>
      <w:bookmarkEnd w:id="62"/>
      <w:bookmarkEnd w:id="6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55"/>
    <w:rsid w:val="001B6C4A"/>
    <w:rsid w:val="001F1842"/>
    <w:rsid w:val="00986AA1"/>
    <w:rsid w:val="00B11655"/>
    <w:rsid w:val="00C5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6"/>
        <w:szCs w:val="26"/>
        <w:lang w:val="en-US"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D37F6"/>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numbering" w:customStyle="1" w:styleId="NoList1">
    <w:name w:val="No List1"/>
    <w:next w:val="NoList"/>
    <w:uiPriority w:val="99"/>
    <w:semiHidden/>
    <w:unhideWhenUsed/>
    <w:rsid w:val="00F77C41"/>
  </w:style>
  <w:style w:type="character" w:styleId="CommentReference">
    <w:name w:val="annotation reference"/>
    <w:basedOn w:val="DefaultParagraphFont"/>
    <w:semiHidden/>
    <w:unhideWhenUsed/>
    <w:rsid w:val="00F77C41"/>
    <w:rPr>
      <w:sz w:val="16"/>
      <w:szCs w:val="16"/>
    </w:rPr>
  </w:style>
  <w:style w:type="paragraph" w:styleId="CommentText">
    <w:name w:val="annotation text"/>
    <w:basedOn w:val="Normal"/>
    <w:link w:val="CommentTextChar"/>
    <w:unhideWhenUsed/>
    <w:rsid w:val="00F77C41"/>
    <w:pPr>
      <w:spacing w:line="240" w:lineRule="auto"/>
    </w:pPr>
    <w:rPr>
      <w:kern w:val="0"/>
      <w:sz w:val="20"/>
      <w:szCs w:val="20"/>
    </w:rPr>
  </w:style>
  <w:style w:type="character" w:customStyle="1" w:styleId="CommentTextChar">
    <w:name w:val="Comment Text Char"/>
    <w:basedOn w:val="DefaultParagraphFont"/>
    <w:link w:val="CommentText"/>
    <w:rsid w:val="00F77C41"/>
    <w:rPr>
      <w:kern w:val="0"/>
      <w:sz w:val="20"/>
      <w:szCs w:val="20"/>
    </w:rPr>
  </w:style>
  <w:style w:type="paragraph" w:styleId="CommentSubject">
    <w:name w:val="annotation subject"/>
    <w:basedOn w:val="CommentText"/>
    <w:next w:val="CommentText"/>
    <w:link w:val="CommentSubjectChar"/>
    <w:semiHidden/>
    <w:unhideWhenUsed/>
    <w:rsid w:val="00F77C41"/>
    <w:rPr>
      <w:b/>
      <w:bCs/>
    </w:rPr>
  </w:style>
  <w:style w:type="character" w:customStyle="1" w:styleId="CommentSubjectChar">
    <w:name w:val="Comment Subject Char"/>
    <w:basedOn w:val="CommentTextChar"/>
    <w:link w:val="CommentSubject"/>
    <w:semiHidden/>
    <w:rsid w:val="00F77C41"/>
    <w:rPr>
      <w:b/>
      <w:bCs/>
      <w:kern w:val="0"/>
      <w:sz w:val="20"/>
      <w:szCs w:val="20"/>
    </w:rPr>
  </w:style>
  <w:style w:type="paragraph" w:styleId="Revision">
    <w:name w:val="Revision"/>
    <w:hidden/>
    <w:uiPriority w:val="99"/>
    <w:semiHidden/>
    <w:rsid w:val="00F77C41"/>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6353</Words>
  <Characters>33466</Characters>
  <Application>Microsoft Office Word</Application>
  <DocSecurity>0</DocSecurity>
  <Lines>556</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2024-02-09T21:33:00Z</dcterms:created>
  <dcterms:modified xsi:type="dcterms:W3CDTF">2024-02-09T21:33:00Z</dcterms:modified>
  <cp:category/>
</cp:coreProperties>
</file>