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8C2B" w14:textId="3A95799E" w:rsidR="00D45E51" w:rsidRPr="00CC1CC0" w:rsidRDefault="00D45E51" w:rsidP="00B804B2">
      <w:pPr>
        <w:spacing w:line="240" w:lineRule="auto"/>
        <w:rPr>
          <w:sz w:val="20"/>
        </w:rPr>
      </w:pPr>
      <w:r w:rsidRPr="00CC1CC0">
        <w:rPr>
          <w:sz w:val="20"/>
        </w:rPr>
        <w:t>Filed 12/18/23</w:t>
      </w:r>
      <w:r w:rsidR="00CC1CC0">
        <w:rPr>
          <w:sz w:val="20"/>
        </w:rPr>
        <w:t xml:space="preserve"> Certified for Publication 12/29/23 (order attached)</w:t>
      </w:r>
    </w:p>
    <w:p w14:paraId="6A6E0850" w14:textId="7A729F84" w:rsidR="00D45E51" w:rsidRDefault="00CC1CC0" w:rsidP="004120DD">
      <w:pPr>
        <w:spacing w:line="240" w:lineRule="auto"/>
        <w:rPr>
          <w:b/>
        </w:rPr>
      </w:pPr>
      <w:r>
        <w:rPr>
          <w:b/>
        </w:rPr>
        <w:t xml:space="preserve"> </w:t>
      </w:r>
    </w:p>
    <w:p w14:paraId="34C8D4D7" w14:textId="77777777" w:rsidR="00CC1CC0" w:rsidRDefault="00CC1CC0" w:rsidP="004120DD">
      <w:pPr>
        <w:spacing w:line="240" w:lineRule="auto"/>
        <w:rPr>
          <w:b/>
        </w:rPr>
      </w:pPr>
    </w:p>
    <w:p w14:paraId="08F60861" w14:textId="77777777" w:rsidR="00CC1CC0" w:rsidRDefault="00CC1CC0" w:rsidP="004120DD">
      <w:pPr>
        <w:spacing w:line="240" w:lineRule="auto"/>
        <w:rPr>
          <w:b/>
        </w:rPr>
      </w:pPr>
    </w:p>
    <w:p w14:paraId="26061B43" w14:textId="77777777" w:rsidR="00CC1CC0" w:rsidRDefault="00CC1CC0" w:rsidP="004120DD">
      <w:pPr>
        <w:spacing w:line="240" w:lineRule="auto"/>
        <w:rPr>
          <w:b/>
        </w:rPr>
      </w:pPr>
    </w:p>
    <w:p w14:paraId="59D15F10" w14:textId="77777777" w:rsidR="00CC1CC0" w:rsidRDefault="00CC1CC0" w:rsidP="004120DD">
      <w:pPr>
        <w:spacing w:line="240" w:lineRule="auto"/>
      </w:pPr>
    </w:p>
    <w:p w14:paraId="1A41D1F0" w14:textId="77777777" w:rsidR="00D45E51" w:rsidRDefault="00D45E51" w:rsidP="004120DD">
      <w:pPr>
        <w:spacing w:line="240" w:lineRule="auto"/>
        <w:jc w:val="center"/>
      </w:pPr>
      <w:r>
        <w:t>COURT OF APPEAL, FOURTH APPELLATE DISTRICT</w:t>
      </w:r>
    </w:p>
    <w:p w14:paraId="6A1F94BD" w14:textId="77777777" w:rsidR="00D45E51" w:rsidRDefault="00D45E51" w:rsidP="004120DD">
      <w:pPr>
        <w:spacing w:line="240" w:lineRule="auto"/>
        <w:jc w:val="center"/>
      </w:pPr>
    </w:p>
    <w:p w14:paraId="589A0B79" w14:textId="77777777" w:rsidR="00D45E51" w:rsidRDefault="00D45E51" w:rsidP="004120DD">
      <w:pPr>
        <w:spacing w:line="240" w:lineRule="auto"/>
        <w:jc w:val="center"/>
      </w:pPr>
      <w:r>
        <w:t>DIVISION ONE</w:t>
      </w:r>
    </w:p>
    <w:p w14:paraId="28B7019E" w14:textId="77777777" w:rsidR="00D45E51" w:rsidRDefault="00D45E51" w:rsidP="004120DD">
      <w:pPr>
        <w:spacing w:line="240" w:lineRule="auto"/>
        <w:jc w:val="center"/>
      </w:pPr>
    </w:p>
    <w:p w14:paraId="0FC5CA04" w14:textId="77777777" w:rsidR="00D45E51" w:rsidRDefault="00D45E51" w:rsidP="004120DD">
      <w:pPr>
        <w:spacing w:line="240" w:lineRule="auto"/>
        <w:jc w:val="center"/>
      </w:pPr>
      <w:r>
        <w:t>STATE OF CALIFORNIA</w:t>
      </w:r>
    </w:p>
    <w:p w14:paraId="31E3B719" w14:textId="77777777" w:rsidR="00D45E51" w:rsidRDefault="00D45E51" w:rsidP="004120DD">
      <w:pPr>
        <w:spacing w:line="240" w:lineRule="auto"/>
        <w:jc w:val="center"/>
      </w:pPr>
    </w:p>
    <w:p w14:paraId="07F4040A" w14:textId="77777777" w:rsidR="00D45E51" w:rsidRDefault="00D45E51" w:rsidP="004120DD">
      <w:pPr>
        <w:spacing w:line="240" w:lineRule="auto"/>
        <w:jc w:val="center"/>
      </w:pPr>
    </w:p>
    <w:p w14:paraId="374BB1D3" w14:textId="77777777" w:rsidR="00D45E51" w:rsidRDefault="00D45E51" w:rsidP="004120DD">
      <w:pPr>
        <w:spacing w:line="240" w:lineRule="auto"/>
        <w:jc w:val="center"/>
      </w:pPr>
    </w:p>
    <w:tbl>
      <w:tblPr>
        <w:tblW w:w="9360" w:type="dxa"/>
        <w:tblLayout w:type="fixed"/>
        <w:tblLook w:val="0000" w:firstRow="0" w:lastRow="0" w:firstColumn="0" w:lastColumn="0" w:noHBand="0" w:noVBand="0"/>
      </w:tblPr>
      <w:tblGrid>
        <w:gridCol w:w="5040"/>
        <w:gridCol w:w="4320"/>
      </w:tblGrid>
      <w:tr w:rsidR="006B4331" w14:paraId="67BE242D" w14:textId="77777777" w:rsidTr="004120DD">
        <w:tc>
          <w:tcPr>
            <w:tcW w:w="5040" w:type="dxa"/>
            <w:tcBorders>
              <w:bottom w:val="single" w:sz="4" w:space="0" w:color="auto"/>
              <w:right w:val="single" w:sz="4" w:space="0" w:color="auto"/>
            </w:tcBorders>
            <w:shd w:val="clear" w:color="auto" w:fill="auto"/>
          </w:tcPr>
          <w:p w14:paraId="6DF1BC59" w14:textId="77777777" w:rsidR="00D45E51" w:rsidRDefault="00D45E51" w:rsidP="004120DD">
            <w:pPr>
              <w:spacing w:line="240" w:lineRule="auto"/>
            </w:pPr>
            <w:r>
              <w:t>GREGORY GARRABRANTS,</w:t>
            </w:r>
          </w:p>
          <w:p w14:paraId="6DD39438" w14:textId="77777777" w:rsidR="00D45E51" w:rsidRDefault="00D45E51" w:rsidP="004120DD">
            <w:pPr>
              <w:spacing w:line="240" w:lineRule="auto"/>
            </w:pPr>
          </w:p>
          <w:p w14:paraId="68EA2C24" w14:textId="77777777" w:rsidR="00D45E51" w:rsidRDefault="00D45E51" w:rsidP="004120DD">
            <w:pPr>
              <w:spacing w:line="240" w:lineRule="auto"/>
            </w:pPr>
            <w:r>
              <w:tab/>
              <w:t>Plaintiff and Respondent,</w:t>
            </w:r>
          </w:p>
          <w:p w14:paraId="7AAC4E65" w14:textId="77777777" w:rsidR="00D45E51" w:rsidRDefault="00D45E51" w:rsidP="004120DD">
            <w:pPr>
              <w:spacing w:line="240" w:lineRule="auto"/>
            </w:pPr>
          </w:p>
          <w:p w14:paraId="3F48796B" w14:textId="77777777" w:rsidR="00D45E51" w:rsidRDefault="00D45E51" w:rsidP="004120DD">
            <w:pPr>
              <w:spacing w:line="240" w:lineRule="auto"/>
            </w:pPr>
            <w:r>
              <w:tab/>
              <w:t>v.</w:t>
            </w:r>
          </w:p>
          <w:p w14:paraId="5A66DA1B" w14:textId="77777777" w:rsidR="00D45E51" w:rsidRDefault="00D45E51" w:rsidP="004120DD">
            <w:pPr>
              <w:spacing w:line="240" w:lineRule="auto"/>
            </w:pPr>
          </w:p>
          <w:p w14:paraId="36CA2EA7" w14:textId="77777777" w:rsidR="00D45E51" w:rsidRDefault="00D45E51" w:rsidP="004120DD">
            <w:pPr>
              <w:spacing w:line="240" w:lineRule="auto"/>
            </w:pPr>
            <w:r>
              <w:t>CHARLES MATTHEW ERHART,</w:t>
            </w:r>
          </w:p>
          <w:p w14:paraId="056C8547" w14:textId="77777777" w:rsidR="00D45E51" w:rsidRDefault="00D45E51" w:rsidP="004120DD">
            <w:pPr>
              <w:spacing w:line="240" w:lineRule="auto"/>
            </w:pPr>
          </w:p>
          <w:p w14:paraId="2F41A8A5" w14:textId="77777777" w:rsidR="00D45E51" w:rsidRDefault="00D45E51" w:rsidP="004120DD">
            <w:pPr>
              <w:spacing w:line="240" w:lineRule="auto"/>
            </w:pPr>
            <w:r>
              <w:tab/>
              <w:t>Defendant and Appellant.</w:t>
            </w:r>
          </w:p>
          <w:p w14:paraId="04EF9018" w14:textId="77777777" w:rsidR="00D45E51" w:rsidRDefault="00D45E51" w:rsidP="004120DD">
            <w:pPr>
              <w:spacing w:line="240" w:lineRule="auto"/>
            </w:pPr>
          </w:p>
        </w:tc>
        <w:tc>
          <w:tcPr>
            <w:tcW w:w="4320" w:type="dxa"/>
            <w:tcBorders>
              <w:left w:val="single" w:sz="4" w:space="0" w:color="auto"/>
            </w:tcBorders>
            <w:shd w:val="clear" w:color="auto" w:fill="auto"/>
          </w:tcPr>
          <w:p w14:paraId="7577AD80" w14:textId="77777777" w:rsidR="00D45E51" w:rsidRDefault="00D45E51" w:rsidP="004120DD">
            <w:pPr>
              <w:tabs>
                <w:tab w:val="left" w:pos="144"/>
              </w:tabs>
              <w:spacing w:line="240" w:lineRule="auto"/>
            </w:pPr>
            <w:r>
              <w:t xml:space="preserve">  </w:t>
            </w:r>
            <w:bookmarkStart w:id="0" w:name="_Hlk153794757"/>
            <w:r>
              <w:t>D080136</w:t>
            </w:r>
            <w:r>
              <w:t xml:space="preserve">, </w:t>
            </w:r>
            <w:r>
              <w:t>D081154</w:t>
            </w:r>
            <w:bookmarkEnd w:id="0"/>
          </w:p>
          <w:p w14:paraId="0B47FDF7" w14:textId="77777777" w:rsidR="00D45E51" w:rsidRDefault="00D45E51" w:rsidP="004120DD">
            <w:pPr>
              <w:tabs>
                <w:tab w:val="left" w:pos="144"/>
              </w:tabs>
              <w:spacing w:line="240" w:lineRule="auto"/>
            </w:pPr>
          </w:p>
          <w:p w14:paraId="63E6A6F3" w14:textId="77777777" w:rsidR="00D45E51" w:rsidRDefault="00D45E51" w:rsidP="004120DD">
            <w:pPr>
              <w:tabs>
                <w:tab w:val="left" w:pos="144"/>
              </w:tabs>
              <w:spacing w:line="240" w:lineRule="auto"/>
            </w:pPr>
          </w:p>
          <w:p w14:paraId="229F974A" w14:textId="77777777" w:rsidR="00D45E51" w:rsidRDefault="00D45E51" w:rsidP="004120DD">
            <w:pPr>
              <w:tabs>
                <w:tab w:val="left" w:pos="144"/>
              </w:tabs>
              <w:spacing w:line="240" w:lineRule="auto"/>
            </w:pPr>
          </w:p>
          <w:p w14:paraId="5F7BB1A5" w14:textId="77777777" w:rsidR="00D45E51" w:rsidRDefault="00D45E51" w:rsidP="004120DD">
            <w:pPr>
              <w:tabs>
                <w:tab w:val="left" w:pos="144"/>
              </w:tabs>
              <w:spacing w:line="240" w:lineRule="auto"/>
            </w:pPr>
            <w:r>
              <w:t xml:space="preserve">  (Super. Ct. No. 37-2017-00039440-CU-NP-CTL)</w:t>
            </w:r>
          </w:p>
          <w:p w14:paraId="275AF6E3" w14:textId="77777777" w:rsidR="00D45E51" w:rsidRDefault="00D45E51" w:rsidP="004120DD">
            <w:pPr>
              <w:tabs>
                <w:tab w:val="left" w:pos="144"/>
              </w:tabs>
              <w:spacing w:line="240" w:lineRule="auto"/>
            </w:pPr>
          </w:p>
        </w:tc>
      </w:tr>
    </w:tbl>
    <w:p w14:paraId="047EB7A8" w14:textId="77777777" w:rsidR="00D45E51" w:rsidRDefault="00D45E51" w:rsidP="004120DD">
      <w:pPr>
        <w:spacing w:line="240" w:lineRule="auto"/>
      </w:pPr>
    </w:p>
    <w:p w14:paraId="0C584B53" w14:textId="77777777" w:rsidR="00D45E51" w:rsidRDefault="00D45E51" w:rsidP="004120DD">
      <w:r>
        <w:tab/>
      </w:r>
      <w:r>
        <w:t xml:space="preserve">CONSOLIDATED </w:t>
      </w:r>
      <w:r>
        <w:t>APPEAL</w:t>
      </w:r>
      <w:r>
        <w:t>S</w:t>
      </w:r>
      <w:r>
        <w:t xml:space="preserve"> from a judgment</w:t>
      </w:r>
      <w:r>
        <w:t xml:space="preserve"> and post-judgment order</w:t>
      </w:r>
      <w:r>
        <w:t xml:space="preserve"> of the Superior Court of San Diego County, Ronald F. Frazier, Judge.  Reversed</w:t>
      </w:r>
      <w:r>
        <w:t xml:space="preserve"> and remanded</w:t>
      </w:r>
      <w:r>
        <w:t>.</w:t>
      </w:r>
    </w:p>
    <w:p w14:paraId="324E77D5" w14:textId="77777777" w:rsidR="00D45E51" w:rsidRDefault="00D45E51" w:rsidP="004120DD">
      <w:r>
        <w:tab/>
      </w:r>
      <w:r>
        <w:t xml:space="preserve">The Gillam Law Firm, </w:t>
      </w:r>
      <w:r>
        <w:t>Carol Gillam,</w:t>
      </w:r>
      <w:r>
        <w:t xml:space="preserve"> </w:t>
      </w:r>
      <w:r>
        <w:t>Sara</w:t>
      </w:r>
      <w:r>
        <w:t xml:space="preserve"> </w:t>
      </w:r>
      <w:proofErr w:type="spellStart"/>
      <w:r>
        <w:t>Heum</w:t>
      </w:r>
      <w:proofErr w:type="spellEnd"/>
      <w:r>
        <w:t>; Pine Tillett, Norman Pine, and Scott Tillett</w:t>
      </w:r>
      <w:r>
        <w:t xml:space="preserve"> for Defendant and Appellant.</w:t>
      </w:r>
    </w:p>
    <w:p w14:paraId="07580791" w14:textId="77777777" w:rsidR="00D45E51" w:rsidRDefault="00D45E51" w:rsidP="004120DD">
      <w:r>
        <w:tab/>
      </w:r>
      <w:r>
        <w:t xml:space="preserve">Sheppard, Mullin, Richter &amp; Hampton, Martin D. Katz, Polly </w:t>
      </w:r>
      <w:proofErr w:type="spellStart"/>
      <w:r>
        <w:t>Towill</w:t>
      </w:r>
      <w:proofErr w:type="spellEnd"/>
      <w:r>
        <w:t xml:space="preserve">, Heather </w:t>
      </w:r>
      <w:proofErr w:type="spellStart"/>
      <w:r>
        <w:t>Plocky</w:t>
      </w:r>
      <w:proofErr w:type="spellEnd"/>
      <w:r>
        <w:t>, and David M. Berger for Plaintiff and Respondent.</w:t>
      </w:r>
    </w:p>
    <w:p w14:paraId="5726E957" w14:textId="77777777" w:rsidR="00D45E51" w:rsidRDefault="00D45E51" w:rsidP="00504771">
      <w:pPr>
        <w:keepNext/>
        <w:jc w:val="center"/>
      </w:pPr>
      <w:r>
        <w:t>INTRODUCTION</w:t>
      </w:r>
    </w:p>
    <w:p w14:paraId="0AD29A22" w14:textId="77777777" w:rsidR="00D45E51" w:rsidRDefault="00D45E51" w:rsidP="004120DD">
      <w:r>
        <w:tab/>
        <w:t xml:space="preserve">Charles Matthew </w:t>
      </w:r>
      <w:r>
        <w:t>Erhart</w:t>
      </w:r>
      <w:r>
        <w:t xml:space="preserve"> was</w:t>
      </w:r>
      <w:r>
        <w:t xml:space="preserve"> an </w:t>
      </w:r>
      <w:r>
        <w:t xml:space="preserve">internal </w:t>
      </w:r>
      <w:r>
        <w:t xml:space="preserve">auditor </w:t>
      </w:r>
      <w:r>
        <w:t xml:space="preserve">at </w:t>
      </w:r>
      <w:proofErr w:type="spellStart"/>
      <w:r>
        <w:t>BofI</w:t>
      </w:r>
      <w:proofErr w:type="spellEnd"/>
      <w:r>
        <w:t xml:space="preserve"> Federal Bank (</w:t>
      </w:r>
      <w:proofErr w:type="spellStart"/>
      <w:r>
        <w:t>BofI</w:t>
      </w:r>
      <w:proofErr w:type="spellEnd"/>
      <w:r>
        <w:t xml:space="preserve">) </w:t>
      </w:r>
      <w:r>
        <w:t xml:space="preserve">who </w:t>
      </w:r>
      <w:r>
        <w:t>“</w:t>
      </w:r>
      <w:r>
        <w:t>blew the whistle</w:t>
      </w:r>
      <w:r>
        <w:t>”</w:t>
      </w:r>
      <w:r>
        <w:t xml:space="preserve"> on his employer</w:t>
      </w:r>
      <w:r>
        <w:t>.</w:t>
      </w:r>
      <w:r>
        <w:t xml:space="preserve"> </w:t>
      </w:r>
      <w:r>
        <w:t xml:space="preserve"> Erhart </w:t>
      </w:r>
      <w:r>
        <w:t>copied</w:t>
      </w:r>
      <w:r>
        <w:t xml:space="preserve">, transmitted to </w:t>
      </w:r>
      <w:r>
        <w:t>multiple</w:t>
      </w:r>
      <w:r>
        <w:t xml:space="preserve"> regulatory authorities,</w:t>
      </w:r>
      <w:r>
        <w:t xml:space="preserve"> and </w:t>
      </w:r>
      <w:r>
        <w:t xml:space="preserve">subsequently </w:t>
      </w:r>
      <w:r>
        <w:t xml:space="preserve">retained various </w:t>
      </w:r>
      <w:r>
        <w:lastRenderedPageBreak/>
        <w:t xml:space="preserve">documents </w:t>
      </w:r>
      <w:proofErr w:type="gramStart"/>
      <w:r>
        <w:t>he</w:t>
      </w:r>
      <w:proofErr w:type="gramEnd"/>
      <w:r>
        <w:t xml:space="preserve"> believed evidenced </w:t>
      </w:r>
      <w:r>
        <w:t xml:space="preserve">possible </w:t>
      </w:r>
      <w:r>
        <w:t xml:space="preserve">wrongdoing, </w:t>
      </w:r>
      <w:r>
        <w:t>some of which contained the personal and confidential information</w:t>
      </w:r>
      <w:r>
        <w:t xml:space="preserve"> of</w:t>
      </w:r>
      <w:r>
        <w:t xml:space="preserve"> </w:t>
      </w:r>
      <w:proofErr w:type="spellStart"/>
      <w:r>
        <w:t>BofI’s</w:t>
      </w:r>
      <w:proofErr w:type="spellEnd"/>
      <w:r>
        <w:t xml:space="preserve"> </w:t>
      </w:r>
      <w:r>
        <w:t>Chief Executive Officer (</w:t>
      </w:r>
      <w:r>
        <w:t>CEO</w:t>
      </w:r>
      <w:r>
        <w:t>)</w:t>
      </w:r>
      <w:r>
        <w:t xml:space="preserve">, </w:t>
      </w:r>
      <w:r>
        <w:t xml:space="preserve">Gregory </w:t>
      </w:r>
      <w:proofErr w:type="spellStart"/>
      <w:r>
        <w:t>Garrabrants</w:t>
      </w:r>
      <w:proofErr w:type="spellEnd"/>
      <w:r>
        <w:t xml:space="preserve">.  </w:t>
      </w:r>
      <w:proofErr w:type="spellStart"/>
      <w:r>
        <w:t>Garrabrants</w:t>
      </w:r>
      <w:proofErr w:type="spellEnd"/>
      <w:r>
        <w:t xml:space="preserve"> sued Erhart for </w:t>
      </w:r>
      <w:r>
        <w:t>accessing, taking, and subsequently retaining</w:t>
      </w:r>
      <w:r>
        <w:t xml:space="preserve"> his personal information.  </w:t>
      </w:r>
      <w:r>
        <w:t>By special verdict, a jury award</w:t>
      </w:r>
      <w:r>
        <w:t xml:space="preserve">ed </w:t>
      </w:r>
      <w:proofErr w:type="spellStart"/>
      <w:r>
        <w:t>Garrabrants</w:t>
      </w:r>
      <w:proofErr w:type="spellEnd"/>
      <w:r>
        <w:t xml:space="preserve"> $1,502 </w:t>
      </w:r>
      <w:r>
        <w:t xml:space="preserve">on claims </w:t>
      </w:r>
      <w:r>
        <w:t>for</w:t>
      </w:r>
      <w:r>
        <w:t xml:space="preserve"> invasion of privacy, </w:t>
      </w:r>
      <w:r>
        <w:t xml:space="preserve">receiving stolen property in </w:t>
      </w:r>
      <w:r>
        <w:t>violation of Penal Code section 496 subdivision</w:t>
      </w:r>
      <w:r>
        <w:t> </w:t>
      </w:r>
      <w:r>
        <w:t>(a), and unauthorized access to computer data in violation of Penal Code section 502 subdivision (c)</w:t>
      </w:r>
      <w:r>
        <w:t xml:space="preserve">.  </w:t>
      </w:r>
      <w:r>
        <w:t xml:space="preserve">Post-judgment, the trial court awarded </w:t>
      </w:r>
      <w:proofErr w:type="spellStart"/>
      <w:r>
        <w:t>Garrabrants</w:t>
      </w:r>
      <w:proofErr w:type="spellEnd"/>
      <w:r>
        <w:t xml:space="preserve"> </w:t>
      </w:r>
      <w:r>
        <w:t xml:space="preserve">(1) </w:t>
      </w:r>
      <w:r>
        <w:t>costs totaling $65,887.34</w:t>
      </w:r>
      <w:r>
        <w:t xml:space="preserve"> as the prevailing party,</w:t>
      </w:r>
      <w:r>
        <w:t xml:space="preserve"> and </w:t>
      </w:r>
      <w:r>
        <w:t xml:space="preserve">(2) </w:t>
      </w:r>
      <w:r>
        <w:t xml:space="preserve">attorney fees </w:t>
      </w:r>
      <w:r>
        <w:t>totaling</w:t>
      </w:r>
      <w:r>
        <w:t xml:space="preserve"> $1,314,260 pursuant to Penal Code sections</w:t>
      </w:r>
      <w:r>
        <w:t> </w:t>
      </w:r>
      <w:r>
        <w:t xml:space="preserve">496, subdivision (c) and 502, subdivision (e)(2). </w:t>
      </w:r>
      <w:r>
        <w:t xml:space="preserve"> </w:t>
      </w:r>
    </w:p>
    <w:p w14:paraId="4C6FB091" w14:textId="77777777" w:rsidR="00D45E51" w:rsidRDefault="00D45E51" w:rsidP="004120DD">
      <w:r>
        <w:tab/>
      </w:r>
      <w:r>
        <w:t xml:space="preserve">In this consolidated appeal, </w:t>
      </w:r>
      <w:r>
        <w:t xml:space="preserve">Erhart </w:t>
      </w:r>
      <w:r>
        <w:t>seeks complete reversal of th</w:t>
      </w:r>
      <w:r>
        <w:t>e</w:t>
      </w:r>
      <w:r>
        <w:t xml:space="preserve"> judgment</w:t>
      </w:r>
      <w:r>
        <w:t xml:space="preserve"> </w:t>
      </w:r>
      <w:r>
        <w:t xml:space="preserve">due to </w:t>
      </w:r>
      <w:r>
        <w:t>(1)</w:t>
      </w:r>
      <w:r>
        <w:t> </w:t>
      </w:r>
      <w:r>
        <w:t xml:space="preserve">purported </w:t>
      </w:r>
      <w:r>
        <w:t>prejudicia</w:t>
      </w:r>
      <w:r>
        <w:t xml:space="preserve">l </w:t>
      </w:r>
      <w:r>
        <w:t>errors</w:t>
      </w:r>
      <w:r>
        <w:t xml:space="preserve"> of law in the jury instructions, </w:t>
      </w:r>
      <w:r>
        <w:t xml:space="preserve">(2) </w:t>
      </w:r>
      <w:r>
        <w:t xml:space="preserve">the </w:t>
      </w:r>
      <w:r>
        <w:t xml:space="preserve">trial </w:t>
      </w:r>
      <w:r>
        <w:t xml:space="preserve">court’s refusal to instruct on </w:t>
      </w:r>
      <w:r>
        <w:t xml:space="preserve">requested </w:t>
      </w:r>
      <w:r>
        <w:t xml:space="preserve">“whistleblower” </w:t>
      </w:r>
      <w:r>
        <w:t xml:space="preserve">affirmative defenses, and </w:t>
      </w:r>
      <w:r>
        <w:t>(3)</w:t>
      </w:r>
      <w:r>
        <w:t> </w:t>
      </w:r>
      <w:r>
        <w:t xml:space="preserve">the court’s </w:t>
      </w:r>
      <w:r>
        <w:t xml:space="preserve">alleged </w:t>
      </w:r>
      <w:r>
        <w:t xml:space="preserve">abuse of discretion in restricting evidence of Erhart’s whistleblowing activities.  </w:t>
      </w:r>
      <w:r>
        <w:t xml:space="preserve">He also requests reversal of </w:t>
      </w:r>
      <w:r>
        <w:t>the award of costs and</w:t>
      </w:r>
      <w:r>
        <w:t xml:space="preserve"> attorney fee</w:t>
      </w:r>
      <w:r>
        <w:t>s</w:t>
      </w:r>
      <w:r>
        <w:t xml:space="preserve"> </w:t>
      </w:r>
      <w:r>
        <w:t xml:space="preserve">to </w:t>
      </w:r>
      <w:proofErr w:type="spellStart"/>
      <w:r>
        <w:t>Garrabrants</w:t>
      </w:r>
      <w:proofErr w:type="spellEnd"/>
      <w:r>
        <w:t xml:space="preserve">. </w:t>
      </w:r>
    </w:p>
    <w:p w14:paraId="73D57693" w14:textId="77777777" w:rsidR="00D45E51" w:rsidRDefault="00D45E51" w:rsidP="004120DD">
      <w:r>
        <w:tab/>
      </w:r>
      <w:r>
        <w:t xml:space="preserve">As to </w:t>
      </w:r>
      <w:r>
        <w:t>his</w:t>
      </w:r>
      <w:r>
        <w:t xml:space="preserve"> appeal of the judgment, w</w:t>
      </w:r>
      <w:r>
        <w:t xml:space="preserve">e </w:t>
      </w:r>
      <w:r>
        <w:t>conclude</w:t>
      </w:r>
      <w:r>
        <w:t xml:space="preserve"> </w:t>
      </w:r>
      <w:r>
        <w:t>Erhart’s</w:t>
      </w:r>
      <w:r>
        <w:t xml:space="preserve"> first a</w:t>
      </w:r>
      <w:r>
        <w:t xml:space="preserve">rgument </w:t>
      </w:r>
      <w:r>
        <w:t>is meritorious</w:t>
      </w:r>
      <w:r>
        <w:t>.</w:t>
      </w:r>
      <w:r>
        <w:t xml:space="preserve">  </w:t>
      </w:r>
      <w:r>
        <w:t>In our view,</w:t>
      </w:r>
      <w:r>
        <w:t xml:space="preserve"> the contested special instructions</w:t>
      </w:r>
      <w:r>
        <w:t xml:space="preserve"> requested by </w:t>
      </w:r>
      <w:proofErr w:type="spellStart"/>
      <w:r>
        <w:t>Garrabrants</w:t>
      </w:r>
      <w:proofErr w:type="spellEnd"/>
      <w:r>
        <w:t xml:space="preserve"> contained erroneous statements of law.  First, the </w:t>
      </w:r>
      <w:r>
        <w:t xml:space="preserve">trial </w:t>
      </w:r>
      <w:r>
        <w:t xml:space="preserve">court erred in instructing the jury that bank customers have an unqualified reasonable expectation of privacy in financial </w:t>
      </w:r>
      <w:r>
        <w:t>documents disclosed to banks</w:t>
      </w:r>
      <w:r>
        <w:t xml:space="preserve">.  While </w:t>
      </w:r>
      <w:r>
        <w:t>California</w:t>
      </w:r>
      <w:r>
        <w:t xml:space="preserve"> recognize</w:t>
      </w:r>
      <w:r>
        <w:t>s a constitutional</w:t>
      </w:r>
      <w:r>
        <w:t xml:space="preserve"> </w:t>
      </w:r>
      <w:r w:rsidRPr="00AA00CC">
        <w:rPr>
          <w:i/>
          <w:iCs/>
        </w:rPr>
        <w:t>right</w:t>
      </w:r>
      <w:r>
        <w:t xml:space="preserve"> </w:t>
      </w:r>
      <w:r w:rsidRPr="00AA00CC">
        <w:rPr>
          <w:i/>
          <w:iCs/>
        </w:rPr>
        <w:t>to</w:t>
      </w:r>
      <w:r>
        <w:t xml:space="preserve"> privacy in financial matters, whether an </w:t>
      </w:r>
      <w:r w:rsidRPr="00AA00CC">
        <w:rPr>
          <w:i/>
          <w:iCs/>
        </w:rPr>
        <w:t>expectation</w:t>
      </w:r>
      <w:r>
        <w:t xml:space="preserve"> </w:t>
      </w:r>
      <w:r w:rsidRPr="00AA00CC">
        <w:rPr>
          <w:i/>
          <w:iCs/>
        </w:rPr>
        <w:t>of</w:t>
      </w:r>
      <w:r>
        <w:t xml:space="preserve"> privacy is reasonable in a</w:t>
      </w:r>
      <w:r>
        <w:t>ny</w:t>
      </w:r>
      <w:r>
        <w:t xml:space="preserve"> given situation is </w:t>
      </w:r>
      <w:r>
        <w:t xml:space="preserve">a </w:t>
      </w:r>
      <w:r>
        <w:t>contextual</w:t>
      </w:r>
      <w:r>
        <w:t xml:space="preserve"> and fact-specific determination</w:t>
      </w:r>
      <w:r>
        <w:t>.</w:t>
      </w:r>
      <w:r>
        <w:t xml:space="preserve"> </w:t>
      </w:r>
      <w:r>
        <w:t xml:space="preserve"> </w:t>
      </w:r>
      <w:r>
        <w:t xml:space="preserve">Second, the trial court erred in instructing the jury that Erhart’s whistleblower justification defense depended on proving at least one legally unsupported element.  </w:t>
      </w:r>
      <w:r>
        <w:lastRenderedPageBreak/>
        <w:t xml:space="preserve">Third, </w:t>
      </w:r>
      <w:r>
        <w:t xml:space="preserve">the </w:t>
      </w:r>
      <w:r>
        <w:t xml:space="preserve">instructions </w:t>
      </w:r>
      <w:r>
        <w:t xml:space="preserve">given </w:t>
      </w:r>
      <w:r>
        <w:t xml:space="preserve">for </w:t>
      </w:r>
      <w:r>
        <w:t xml:space="preserve">Penal Code section 496 </w:t>
      </w:r>
      <w:r>
        <w:t>misstated the law by defining “theft” in a</w:t>
      </w:r>
      <w:r>
        <w:t xml:space="preserve"> manner that </w:t>
      </w:r>
      <w:r>
        <w:t xml:space="preserve">essentially </w:t>
      </w:r>
      <w:r>
        <w:t>render</w:t>
      </w:r>
      <w:r>
        <w:t>s</w:t>
      </w:r>
      <w:r>
        <w:t xml:space="preserve"> </w:t>
      </w:r>
      <w:r>
        <w:t>receiving stolen property</w:t>
      </w:r>
      <w:r>
        <w:t xml:space="preserve"> a strict liability offense</w:t>
      </w:r>
      <w:r>
        <w:t xml:space="preserve">.  </w:t>
      </w:r>
      <w:r>
        <w:t>Fourth</w:t>
      </w:r>
      <w:r>
        <w:t>, the</w:t>
      </w:r>
      <w:r>
        <w:t xml:space="preserve"> special</w:t>
      </w:r>
      <w:r>
        <w:t xml:space="preserve"> instruction </w:t>
      </w:r>
      <w:r>
        <w:t>on</w:t>
      </w:r>
      <w:r>
        <w:t xml:space="preserve"> Penal Code section 502</w:t>
      </w:r>
      <w:r>
        <w:t xml:space="preserve"> erro</w:t>
      </w:r>
      <w:r>
        <w:t xml:space="preserve">neously </w:t>
      </w:r>
      <w:r>
        <w:t xml:space="preserve">removed from the jury’s consideration the </w:t>
      </w:r>
      <w:r>
        <w:t xml:space="preserve">foundational </w:t>
      </w:r>
      <w:r>
        <w:t xml:space="preserve">issue of whether </w:t>
      </w:r>
      <w:proofErr w:type="spellStart"/>
      <w:r>
        <w:t>Garrabrants</w:t>
      </w:r>
      <w:proofErr w:type="spellEnd"/>
      <w:r>
        <w:t xml:space="preserve"> “owned” </w:t>
      </w:r>
      <w:r>
        <w:t xml:space="preserve">the </w:t>
      </w:r>
      <w:r>
        <w:t>data about him</w:t>
      </w:r>
      <w:r>
        <w:t xml:space="preserve"> residing in </w:t>
      </w:r>
      <w:proofErr w:type="spellStart"/>
      <w:r>
        <w:t>BofI’s</w:t>
      </w:r>
      <w:proofErr w:type="spellEnd"/>
      <w:r>
        <w:t xml:space="preserve"> computer systems such that he could pursue a civil action under the statute</w:t>
      </w:r>
      <w:r>
        <w:t>.</w:t>
      </w:r>
      <w:r>
        <w:t xml:space="preserve"> </w:t>
      </w:r>
      <w:r>
        <w:t xml:space="preserve">  </w:t>
      </w:r>
    </w:p>
    <w:p w14:paraId="5F32E5AE" w14:textId="77777777" w:rsidR="00D45E51" w:rsidRDefault="00D45E51" w:rsidP="004120DD">
      <w:r>
        <w:tab/>
      </w:r>
      <w:proofErr w:type="gramStart"/>
      <w:r>
        <w:t>In light of</w:t>
      </w:r>
      <w:proofErr w:type="gramEnd"/>
      <w:r>
        <w:t xml:space="preserve"> the </w:t>
      </w:r>
      <w:proofErr w:type="gramStart"/>
      <w:r>
        <w:t>record</w:t>
      </w:r>
      <w:proofErr w:type="gramEnd"/>
      <w:r>
        <w:t xml:space="preserve"> evidence,</w:t>
      </w:r>
      <w:r>
        <w:t xml:space="preserve"> </w:t>
      </w:r>
      <w:r>
        <w:t xml:space="preserve">we </w:t>
      </w:r>
      <w:r>
        <w:t xml:space="preserve">further </w:t>
      </w:r>
      <w:r>
        <w:t>conclude there</w:t>
      </w:r>
      <w:r>
        <w:t xml:space="preserve"> is a reasonable possibility</w:t>
      </w:r>
      <w:r>
        <w:t xml:space="preserve"> </w:t>
      </w:r>
      <w:r>
        <w:t>a jury could have found in Erhart’s favo</w:t>
      </w:r>
      <w:r>
        <w:t>r on</w:t>
      </w:r>
      <w:r>
        <w:t xml:space="preserve"> each of</w:t>
      </w:r>
      <w:r>
        <w:t xml:space="preserve"> </w:t>
      </w:r>
      <w:proofErr w:type="spellStart"/>
      <w:r>
        <w:t>Garrabrants</w:t>
      </w:r>
      <w:proofErr w:type="spellEnd"/>
      <w:r>
        <w:t>’ claims</w:t>
      </w:r>
      <w:r>
        <w:t xml:space="preserve"> absent the erroneous instructions</w:t>
      </w:r>
      <w:r>
        <w:t>, making them</w:t>
      </w:r>
      <w:r>
        <w:t xml:space="preserve"> </w:t>
      </w:r>
      <w:r>
        <w:t>prejudicial.</w:t>
      </w:r>
      <w:r>
        <w:t xml:space="preserve">  </w:t>
      </w:r>
      <w:r>
        <w:t xml:space="preserve">We thus reverse </w:t>
      </w:r>
      <w:r>
        <w:t xml:space="preserve">the judgment in </w:t>
      </w:r>
      <w:r>
        <w:t xml:space="preserve">all respects, including its award of </w:t>
      </w:r>
      <w:r>
        <w:t xml:space="preserve">costs and fees to </w:t>
      </w:r>
      <w:proofErr w:type="spellStart"/>
      <w:r>
        <w:t>Garrabrants</w:t>
      </w:r>
      <w:proofErr w:type="spellEnd"/>
      <w:r>
        <w:t>,</w:t>
      </w:r>
      <w:r>
        <w:t xml:space="preserve"> </w:t>
      </w:r>
      <w:r>
        <w:t>and remand.</w:t>
      </w:r>
      <w:r>
        <w:t xml:space="preserve">  </w:t>
      </w:r>
      <w:r>
        <w:t>W</w:t>
      </w:r>
      <w:r>
        <w:t xml:space="preserve">e </w:t>
      </w:r>
      <w:r>
        <w:t xml:space="preserve">accordingly </w:t>
      </w:r>
      <w:r>
        <w:t>dismiss as moot Erhart’s appeal to the attendant award of costs and fees.</w:t>
      </w:r>
    </w:p>
    <w:p w14:paraId="3EA21CDA" w14:textId="77777777" w:rsidR="00D45E51" w:rsidRDefault="00D45E51" w:rsidP="00310119">
      <w:pPr>
        <w:keepNext/>
        <w:jc w:val="center"/>
      </w:pPr>
      <w:r>
        <w:t>BACKGROUND</w:t>
      </w:r>
    </w:p>
    <w:p w14:paraId="6C39AC76" w14:textId="77777777" w:rsidR="00D45E51" w:rsidRDefault="00D45E51" w:rsidP="00310119">
      <w:pPr>
        <w:keepNext/>
        <w:jc w:val="center"/>
      </w:pPr>
      <w:r>
        <w:t>I.</w:t>
      </w:r>
    </w:p>
    <w:p w14:paraId="7B9A1FD4" w14:textId="77777777" w:rsidR="00D45E51" w:rsidRDefault="00D45E51" w:rsidP="004120DD">
      <w:r>
        <w:tab/>
      </w:r>
      <w:r>
        <w:t xml:space="preserve">At all </w:t>
      </w:r>
      <w:r>
        <w:t xml:space="preserve">relevant </w:t>
      </w:r>
      <w:r>
        <w:t xml:space="preserve">times, </w:t>
      </w:r>
      <w:proofErr w:type="spellStart"/>
      <w:r>
        <w:t>Garrabrants</w:t>
      </w:r>
      <w:proofErr w:type="spellEnd"/>
      <w:r>
        <w:t xml:space="preserve"> was </w:t>
      </w:r>
      <w:r>
        <w:t>CEO</w:t>
      </w:r>
      <w:r>
        <w:t xml:space="preserve"> of </w:t>
      </w:r>
      <w:proofErr w:type="spellStart"/>
      <w:r>
        <w:t>BofI</w:t>
      </w:r>
      <w:proofErr w:type="spellEnd"/>
      <w:r>
        <w:t>.</w:t>
      </w:r>
      <w:r>
        <w:t xml:space="preserve"> </w:t>
      </w:r>
      <w:r>
        <w:t xml:space="preserve"> </w:t>
      </w:r>
      <w:proofErr w:type="spellStart"/>
      <w:r>
        <w:t>Garrabrants</w:t>
      </w:r>
      <w:proofErr w:type="spellEnd"/>
      <w:r>
        <w:t xml:space="preserve"> </w:t>
      </w:r>
      <w:r>
        <w:t xml:space="preserve">was </w:t>
      </w:r>
      <w:r>
        <w:t xml:space="preserve">also </w:t>
      </w:r>
      <w:r>
        <w:t xml:space="preserve">a </w:t>
      </w:r>
      <w:proofErr w:type="spellStart"/>
      <w:r>
        <w:t>BofI</w:t>
      </w:r>
      <w:proofErr w:type="spellEnd"/>
      <w:r>
        <w:t xml:space="preserve"> </w:t>
      </w:r>
      <w:r>
        <w:t xml:space="preserve">customer. </w:t>
      </w:r>
      <w:r>
        <w:t xml:space="preserve"> </w:t>
      </w:r>
    </w:p>
    <w:p w14:paraId="62C3F6AF" w14:textId="77777777" w:rsidR="00D45E51" w:rsidRDefault="00D45E51" w:rsidP="004120DD">
      <w:r>
        <w:tab/>
      </w:r>
      <w:r>
        <w:t xml:space="preserve">In September 2013, </w:t>
      </w:r>
      <w:r>
        <w:t xml:space="preserve">Erhart </w:t>
      </w:r>
      <w:r>
        <w:t xml:space="preserve">joined </w:t>
      </w:r>
      <w:proofErr w:type="spellStart"/>
      <w:r>
        <w:t>BofI</w:t>
      </w:r>
      <w:proofErr w:type="spellEnd"/>
      <w:r>
        <w:t xml:space="preserve"> as a staff</w:t>
      </w:r>
      <w:r>
        <w:t xml:space="preserve"> auditor.</w:t>
      </w:r>
      <w:r>
        <w:t xml:space="preserve"> </w:t>
      </w:r>
      <w:r>
        <w:t xml:space="preserve"> </w:t>
      </w:r>
      <w:r>
        <w:t>Erhart’s direct supervisor</w:t>
      </w:r>
      <w:r>
        <w:t xml:space="preserve"> was</w:t>
      </w:r>
      <w:r>
        <w:t xml:space="preserve"> Jonathan Ball</w:t>
      </w:r>
      <w:r>
        <w:t xml:space="preserve">. </w:t>
      </w:r>
    </w:p>
    <w:p w14:paraId="12DB7C5B" w14:textId="77777777" w:rsidR="00D45E51" w:rsidRDefault="00D45E51" w:rsidP="004120DD">
      <w:r>
        <w:tab/>
      </w:r>
      <w:r>
        <w:t xml:space="preserve">Ball, </w:t>
      </w:r>
      <w:r>
        <w:t>together</w:t>
      </w:r>
      <w:r>
        <w:t xml:space="preserve"> with </w:t>
      </w:r>
      <w:r>
        <w:t>an</w:t>
      </w:r>
      <w:r>
        <w:t xml:space="preserve"> audit committee, designed internal audit plans</w:t>
      </w:r>
      <w:r>
        <w:t xml:space="preserve"> for </w:t>
      </w:r>
      <w:proofErr w:type="spellStart"/>
      <w:r>
        <w:t>BofI</w:t>
      </w:r>
      <w:proofErr w:type="spellEnd"/>
      <w:r>
        <w:t xml:space="preserve">.  </w:t>
      </w:r>
      <w:r>
        <w:t xml:space="preserve">Ball </w:t>
      </w:r>
      <w:r>
        <w:t xml:space="preserve">assigned Erhart </w:t>
      </w:r>
      <w:r>
        <w:t>a</w:t>
      </w:r>
      <w:r>
        <w:t>udits</w:t>
      </w:r>
      <w:r>
        <w:t xml:space="preserve"> to </w:t>
      </w:r>
      <w:proofErr w:type="gramStart"/>
      <w:r>
        <w:t>perform</w:t>
      </w:r>
      <w:r>
        <w:t xml:space="preserve"> from</w:t>
      </w:r>
      <w:proofErr w:type="gramEnd"/>
      <w:r>
        <w:t xml:space="preserve"> these plans</w:t>
      </w:r>
      <w:r>
        <w:t xml:space="preserve">.  </w:t>
      </w:r>
      <w:r>
        <w:t>The</w:t>
      </w:r>
      <w:r>
        <w:t xml:space="preserve"> audits’</w:t>
      </w:r>
      <w:r>
        <w:t xml:space="preserve"> purpose was to ensure </w:t>
      </w:r>
      <w:proofErr w:type="spellStart"/>
      <w:r>
        <w:t>BofI</w:t>
      </w:r>
      <w:proofErr w:type="spellEnd"/>
      <w:r>
        <w:t xml:space="preserve"> operated within the regulations governing banks.  </w:t>
      </w:r>
    </w:p>
    <w:p w14:paraId="093E6E4D" w14:textId="77777777" w:rsidR="00D45E51" w:rsidRDefault="00D45E51" w:rsidP="004120DD">
      <w:r>
        <w:tab/>
      </w:r>
      <w:r>
        <w:t>To perform</w:t>
      </w:r>
      <w:r>
        <w:t xml:space="preserve"> his assigned</w:t>
      </w:r>
      <w:r>
        <w:t xml:space="preserve"> audits, Erhart had access to </w:t>
      </w:r>
      <w:r>
        <w:t xml:space="preserve">information in </w:t>
      </w:r>
      <w:proofErr w:type="spellStart"/>
      <w:r>
        <w:t>BofI’s</w:t>
      </w:r>
      <w:proofErr w:type="spellEnd"/>
      <w:r>
        <w:t xml:space="preserve"> systems, including customers’ </w:t>
      </w:r>
      <w:r>
        <w:t xml:space="preserve">confidential </w:t>
      </w:r>
      <w:r>
        <w:t xml:space="preserve">financial information. </w:t>
      </w:r>
      <w:r>
        <w:t xml:space="preserve"> </w:t>
      </w:r>
      <w:r>
        <w:t xml:space="preserve">For </w:t>
      </w:r>
      <w:r>
        <w:t>security</w:t>
      </w:r>
      <w:r>
        <w:t xml:space="preserve"> reasons</w:t>
      </w:r>
      <w:r>
        <w:t xml:space="preserve">, </w:t>
      </w:r>
      <w:r>
        <w:t xml:space="preserve">auditors’ </w:t>
      </w:r>
      <w:r>
        <w:t>a</w:t>
      </w:r>
      <w:r>
        <w:t xml:space="preserve">ccess was limited to </w:t>
      </w:r>
      <w:r>
        <w:t xml:space="preserve">the information needed at </w:t>
      </w:r>
      <w:r>
        <w:lastRenderedPageBreak/>
        <w:t xml:space="preserve">any given time to perform </w:t>
      </w:r>
      <w:r>
        <w:t>their</w:t>
      </w:r>
      <w:r>
        <w:t xml:space="preserve"> duties and </w:t>
      </w:r>
      <w:r>
        <w:t>was</w:t>
      </w:r>
      <w:r>
        <w:t xml:space="preserve"> revoked once an audit was complete. </w:t>
      </w:r>
    </w:p>
    <w:p w14:paraId="3B1A3F23" w14:textId="77777777" w:rsidR="00D45E51" w:rsidRDefault="00D45E51" w:rsidP="00922A31">
      <w:pPr>
        <w:keepNext/>
        <w:jc w:val="center"/>
      </w:pPr>
      <w:r>
        <w:t>II.</w:t>
      </w:r>
    </w:p>
    <w:p w14:paraId="78F50045" w14:textId="77777777" w:rsidR="00D45E51" w:rsidRDefault="00D45E51" w:rsidP="008D47BF">
      <w:r>
        <w:tab/>
      </w:r>
      <w:r>
        <w:t xml:space="preserve">Erhart eventually became concerned that </w:t>
      </w:r>
      <w:proofErr w:type="spellStart"/>
      <w:r>
        <w:t>BofI</w:t>
      </w:r>
      <w:proofErr w:type="spellEnd"/>
      <w:r>
        <w:t xml:space="preserve"> was withholding information from its regulators.  </w:t>
      </w:r>
    </w:p>
    <w:p w14:paraId="6A18601C" w14:textId="77777777" w:rsidR="00D45E51" w:rsidRDefault="00D45E51" w:rsidP="00C93BBC">
      <w:r>
        <w:tab/>
      </w:r>
      <w:r w:rsidRPr="00C93BBC">
        <w:t xml:space="preserve">In February and March of 2015, Erhart brought home roughly 500 pages of hardcopy </w:t>
      </w:r>
      <w:proofErr w:type="spellStart"/>
      <w:r w:rsidRPr="00C93BBC">
        <w:t>BofI</w:t>
      </w:r>
      <w:proofErr w:type="spellEnd"/>
      <w:r w:rsidRPr="00C93BBC">
        <w:t xml:space="preserve"> documents evidencing “audit findings [he thought] would be c</w:t>
      </w:r>
      <w:r>
        <w:t xml:space="preserve">oncealed from the regulators.”  Erhart testified that “Ball never said to me directly ‘you need to take this information home,’” but he told Erhart “‘you need to have your files ready, prepared.’”  </w:t>
      </w:r>
    </w:p>
    <w:p w14:paraId="442BF48E" w14:textId="77777777" w:rsidR="00D45E51" w:rsidRDefault="00D45E51" w:rsidP="004120DD">
      <w:r>
        <w:tab/>
        <w:t>The Office of the Comptroller of the Currency (OCC) is the pri</w:t>
      </w:r>
      <w:r>
        <w:t>mary regulator of</w:t>
      </w:r>
      <w:r>
        <w:t xml:space="preserve"> nationally chartered banks like </w:t>
      </w:r>
      <w:proofErr w:type="spellStart"/>
      <w:r>
        <w:t>BofI</w:t>
      </w:r>
      <w:proofErr w:type="spellEnd"/>
      <w:r>
        <w:t xml:space="preserve">.  The OCC conducted onsite examinations of </w:t>
      </w:r>
      <w:proofErr w:type="spellStart"/>
      <w:r>
        <w:t>BofI</w:t>
      </w:r>
      <w:proofErr w:type="spellEnd"/>
      <w:r>
        <w:t xml:space="preserve"> to </w:t>
      </w:r>
      <w:r>
        <w:t xml:space="preserve">verify </w:t>
      </w:r>
      <w:r>
        <w:t xml:space="preserve">its </w:t>
      </w:r>
      <w:r>
        <w:t xml:space="preserve">regulatory </w:t>
      </w:r>
      <w:r>
        <w:t xml:space="preserve">compliance.  </w:t>
      </w:r>
    </w:p>
    <w:p w14:paraId="6551B204" w14:textId="77777777" w:rsidR="00D45E51" w:rsidRDefault="00D45E51" w:rsidP="004120DD">
      <w:r>
        <w:tab/>
      </w:r>
      <w:r>
        <w:t>The morning of</w:t>
      </w:r>
      <w:r>
        <w:t xml:space="preserve"> March</w:t>
      </w:r>
      <w:r>
        <w:t xml:space="preserve"> 5,</w:t>
      </w:r>
      <w:r>
        <w:t xml:space="preserve"> 2015,</w:t>
      </w:r>
      <w:r>
        <w:t xml:space="preserve"> </w:t>
      </w:r>
      <w:r>
        <w:t xml:space="preserve">during </w:t>
      </w:r>
      <w:r>
        <w:t>one such</w:t>
      </w:r>
      <w:r>
        <w:t xml:space="preserve"> onsite </w:t>
      </w:r>
      <w:r>
        <w:t>examination</w:t>
      </w:r>
      <w:r>
        <w:t xml:space="preserve">, </w:t>
      </w:r>
      <w:proofErr w:type="spellStart"/>
      <w:r>
        <w:t>Garrabrants</w:t>
      </w:r>
      <w:proofErr w:type="spellEnd"/>
      <w:r>
        <w:t xml:space="preserve"> and Ball conversed in Ball’s office.  Erhart could not hear the words spoken, but </w:t>
      </w:r>
      <w:r>
        <w:t>the meeting</w:t>
      </w:r>
      <w:r>
        <w:t xml:space="preserve"> was “loud.”  </w:t>
      </w:r>
      <w:r>
        <w:t xml:space="preserve">Soon after, </w:t>
      </w:r>
      <w:r>
        <w:t xml:space="preserve">Erhart learned </w:t>
      </w:r>
      <w:r>
        <w:t>that</w:t>
      </w:r>
      <w:r>
        <w:t xml:space="preserve"> Ball </w:t>
      </w:r>
      <w:r>
        <w:t xml:space="preserve">had </w:t>
      </w:r>
      <w:r>
        <w:t xml:space="preserve">resigned effective immediately.  </w:t>
      </w:r>
    </w:p>
    <w:p w14:paraId="0A2739C5" w14:textId="77777777" w:rsidR="00D45E51" w:rsidRDefault="00D45E51" w:rsidP="004120DD">
      <w:r>
        <w:tab/>
        <w:t xml:space="preserve">Before abruptly leaving, Ball </w:t>
      </w:r>
      <w:r>
        <w:t>gave</w:t>
      </w:r>
      <w:r>
        <w:t xml:space="preserve"> another </w:t>
      </w:r>
      <w:proofErr w:type="spellStart"/>
      <w:r>
        <w:t>BofI</w:t>
      </w:r>
      <w:proofErr w:type="spellEnd"/>
      <w:r>
        <w:t xml:space="preserve"> auditor a USB device containing copies of audits</w:t>
      </w:r>
      <w:r>
        <w:t>, which the auditor</w:t>
      </w:r>
      <w:r>
        <w:t xml:space="preserve"> gave to Erhart.  </w:t>
      </w:r>
      <w:r>
        <w:t xml:space="preserve">When he left </w:t>
      </w:r>
      <w:proofErr w:type="gramStart"/>
      <w:r>
        <w:t>work</w:t>
      </w:r>
      <w:proofErr w:type="gramEnd"/>
      <w:r>
        <w:t xml:space="preserve"> that day, Erhart took th</w:t>
      </w:r>
      <w:r>
        <w:t>e</w:t>
      </w:r>
      <w:r>
        <w:t xml:space="preserve"> USB d</w:t>
      </w:r>
      <w:r>
        <w:t>evice</w:t>
      </w:r>
      <w:r>
        <w:t xml:space="preserve"> and his </w:t>
      </w:r>
      <w:proofErr w:type="spellStart"/>
      <w:r>
        <w:t>BofI</w:t>
      </w:r>
      <w:proofErr w:type="spellEnd"/>
      <w:r>
        <w:t xml:space="preserve"> laptop</w:t>
      </w:r>
      <w:r>
        <w:t xml:space="preserve"> with him</w:t>
      </w:r>
      <w:r>
        <w:t xml:space="preserve">.  </w:t>
      </w:r>
    </w:p>
    <w:p w14:paraId="1DDFE6C7" w14:textId="77777777" w:rsidR="00D45E51" w:rsidRDefault="00D45E51" w:rsidP="004120DD">
      <w:r>
        <w:tab/>
        <w:t>The next morning, Erhart informed a coworker he felt unwell</w:t>
      </w:r>
      <w:r>
        <w:t xml:space="preserve"> and would miss work</w:t>
      </w:r>
      <w:r>
        <w:t xml:space="preserve">.  The following </w:t>
      </w:r>
      <w:r>
        <w:t>workday</w:t>
      </w:r>
      <w:r>
        <w:t xml:space="preserve">, Erhart informed human resources he was “still not feeling well” and would not return to </w:t>
      </w:r>
      <w:r>
        <w:t>work</w:t>
      </w:r>
      <w:r>
        <w:t xml:space="preserve"> until he had met with a doctor to discuss a medical leave of absence</w:t>
      </w:r>
      <w:r>
        <w:t xml:space="preserve">. </w:t>
      </w:r>
      <w:r>
        <w:t xml:space="preserve"> Erhart went on medical leave and never returned to </w:t>
      </w:r>
      <w:proofErr w:type="spellStart"/>
      <w:r>
        <w:t>BofI</w:t>
      </w:r>
      <w:proofErr w:type="spellEnd"/>
      <w:r>
        <w:t xml:space="preserve">. </w:t>
      </w:r>
    </w:p>
    <w:p w14:paraId="31A51A37" w14:textId="77777777" w:rsidR="00D45E51" w:rsidRDefault="00D45E51" w:rsidP="00922A31">
      <w:pPr>
        <w:keepNext/>
        <w:jc w:val="center"/>
      </w:pPr>
      <w:r>
        <w:lastRenderedPageBreak/>
        <w:t>III.</w:t>
      </w:r>
    </w:p>
    <w:p w14:paraId="25EB731E" w14:textId="77777777" w:rsidR="00D45E51" w:rsidRDefault="00D45E51" w:rsidP="00320946">
      <w:r>
        <w:tab/>
      </w:r>
      <w:r w:rsidRPr="003C293E">
        <w:t>Meanwhile,</w:t>
      </w:r>
      <w:r>
        <w:t xml:space="preserve"> the morning after Ball resigned, Erhart called an OCC whistleblower hotline</w:t>
      </w:r>
      <w:r>
        <w:t xml:space="preserve"> and told an OCC attorney about</w:t>
      </w:r>
      <w:r>
        <w:t xml:space="preserve"> </w:t>
      </w:r>
      <w:r>
        <w:t>Ball’s abrupt departure.  They arranged to meet the following week, and the OCC</w:t>
      </w:r>
      <w:r>
        <w:t xml:space="preserve"> attorney</w:t>
      </w:r>
      <w:r>
        <w:t xml:space="preserve"> requested Erhart bring any physical and electronic files he had. </w:t>
      </w:r>
    </w:p>
    <w:p w14:paraId="54AC1625" w14:textId="77777777" w:rsidR="00D45E51" w:rsidRDefault="00D45E51" w:rsidP="004120DD">
      <w:r>
        <w:tab/>
        <w:t xml:space="preserve">Before </w:t>
      </w:r>
      <w:r>
        <w:t>his</w:t>
      </w:r>
      <w:r>
        <w:t xml:space="preserve"> meeting</w:t>
      </w:r>
      <w:r>
        <w:t xml:space="preserve"> with the OCC</w:t>
      </w:r>
      <w:r>
        <w:t xml:space="preserve">, Erhart e-mailed </w:t>
      </w:r>
      <w:r>
        <w:t xml:space="preserve">the documents on the USB </w:t>
      </w:r>
      <w:r>
        <w:t>device</w:t>
      </w:r>
      <w:r>
        <w:t xml:space="preserve"> </w:t>
      </w:r>
      <w:r>
        <w:t>from Ball</w:t>
      </w:r>
      <w:r>
        <w:t xml:space="preserve"> to the OCC. </w:t>
      </w:r>
      <w:r>
        <w:t xml:space="preserve"> </w:t>
      </w:r>
      <w:r>
        <w:t xml:space="preserve">For security reasons, </w:t>
      </w:r>
      <w:r>
        <w:t xml:space="preserve">Erhart’s </w:t>
      </w:r>
      <w:proofErr w:type="spellStart"/>
      <w:r>
        <w:t>BofI</w:t>
      </w:r>
      <w:proofErr w:type="spellEnd"/>
      <w:r>
        <w:t xml:space="preserve"> laptop </w:t>
      </w:r>
      <w:r>
        <w:t>could not</w:t>
      </w:r>
      <w:r>
        <w:t xml:space="preserve"> download</w:t>
      </w:r>
      <w:r>
        <w:t xml:space="preserve"> </w:t>
      </w:r>
      <w:r>
        <w:t xml:space="preserve">the </w:t>
      </w:r>
      <w:r>
        <w:t>data</w:t>
      </w:r>
      <w:r>
        <w:t>, so he used his personal e-mail account and his personal desktop computer to transmit the documents</w:t>
      </w:r>
      <w:r>
        <w:t xml:space="preserve">. </w:t>
      </w:r>
      <w:r>
        <w:t xml:space="preserve"> </w:t>
      </w:r>
    </w:p>
    <w:p w14:paraId="68DA77E2" w14:textId="77777777" w:rsidR="00D45E51" w:rsidRDefault="00D45E51" w:rsidP="004120DD">
      <w:r>
        <w:tab/>
      </w:r>
      <w:r>
        <w:t xml:space="preserve">Erhart also prepared a summary of </w:t>
      </w:r>
      <w:r>
        <w:t>discussion points</w:t>
      </w:r>
      <w:r>
        <w:t xml:space="preserve"> and sent it to the OCC </w:t>
      </w:r>
      <w:r>
        <w:t>before</w:t>
      </w:r>
      <w:r>
        <w:t xml:space="preserve"> the meeting. </w:t>
      </w:r>
      <w:r>
        <w:t xml:space="preserve"> </w:t>
      </w:r>
      <w:r>
        <w:t xml:space="preserve">Erhart used </w:t>
      </w:r>
      <w:r>
        <w:t xml:space="preserve">either his </w:t>
      </w:r>
      <w:proofErr w:type="spellStart"/>
      <w:r>
        <w:t>BofI</w:t>
      </w:r>
      <w:proofErr w:type="spellEnd"/>
      <w:r>
        <w:t xml:space="preserve"> computer or </w:t>
      </w:r>
      <w:r>
        <w:t>his then-partner’s laptop</w:t>
      </w:r>
      <w:r>
        <w:t xml:space="preserve"> to create the notes</w:t>
      </w:r>
      <w:r>
        <w:t>, which</w:t>
      </w:r>
      <w:r w:rsidRPr="008C384F">
        <w:t xml:space="preserve"> </w:t>
      </w:r>
      <w:r>
        <w:t xml:space="preserve">contained confidential </w:t>
      </w:r>
      <w:proofErr w:type="spellStart"/>
      <w:r>
        <w:t>BofI</w:t>
      </w:r>
      <w:proofErr w:type="spellEnd"/>
      <w:r>
        <w:t xml:space="preserve"> information, including information concerning </w:t>
      </w:r>
      <w:proofErr w:type="spellStart"/>
      <w:r>
        <w:t>Garrabrants</w:t>
      </w:r>
      <w:proofErr w:type="spellEnd"/>
      <w:r>
        <w:t xml:space="preserve">. </w:t>
      </w:r>
      <w:r>
        <w:t xml:space="preserve"> </w:t>
      </w:r>
    </w:p>
    <w:p w14:paraId="20360F44" w14:textId="77777777" w:rsidR="00D45E51" w:rsidRDefault="00D45E51" w:rsidP="002C25E1">
      <w:pPr>
        <w:keepNext/>
        <w:jc w:val="center"/>
      </w:pPr>
      <w:r>
        <w:t>IV.</w:t>
      </w:r>
    </w:p>
    <w:p w14:paraId="54F46856" w14:textId="77777777" w:rsidR="00D45E51" w:rsidRDefault="00D45E51" w:rsidP="004120DD">
      <w:r>
        <w:tab/>
      </w:r>
      <w:r>
        <w:t xml:space="preserve">As requested, </w:t>
      </w:r>
      <w:r>
        <w:t xml:space="preserve">Erhart brought the </w:t>
      </w:r>
      <w:r>
        <w:t>hardcopy</w:t>
      </w:r>
      <w:r>
        <w:t xml:space="preserve"> documents in his possession </w:t>
      </w:r>
      <w:r>
        <w:t>and</w:t>
      </w:r>
      <w:r>
        <w:t xml:space="preserve"> his </w:t>
      </w:r>
      <w:proofErr w:type="spellStart"/>
      <w:r>
        <w:t>BofI</w:t>
      </w:r>
      <w:proofErr w:type="spellEnd"/>
      <w:r>
        <w:t xml:space="preserve"> laptop</w:t>
      </w:r>
      <w:r>
        <w:t xml:space="preserve"> to the OCC meeting</w:t>
      </w:r>
      <w:r>
        <w:t xml:space="preserve">. </w:t>
      </w:r>
      <w:r>
        <w:t xml:space="preserve"> </w:t>
      </w:r>
      <w:r>
        <w:t xml:space="preserve">During the meeting, </w:t>
      </w:r>
      <w:r>
        <w:t xml:space="preserve">Erhart </w:t>
      </w:r>
      <w:r>
        <w:t>gave</w:t>
      </w:r>
      <w:r>
        <w:t xml:space="preserve"> the OCC</w:t>
      </w:r>
      <w:r>
        <w:t xml:space="preserve"> </w:t>
      </w:r>
      <w:r>
        <w:t>copies or originals of some of the hardcopy documents</w:t>
      </w:r>
      <w:r>
        <w:t xml:space="preserve"> he had collected in February and March</w:t>
      </w:r>
      <w:r>
        <w:t>.</w:t>
      </w:r>
      <w:r>
        <w:t xml:space="preserve"> </w:t>
      </w:r>
      <w:r>
        <w:t xml:space="preserve"> </w:t>
      </w:r>
    </w:p>
    <w:p w14:paraId="3F5393C4" w14:textId="77777777" w:rsidR="00D45E51" w:rsidRDefault="00D45E51" w:rsidP="004120DD">
      <w:r>
        <w:tab/>
      </w:r>
      <w:r>
        <w:t xml:space="preserve">The OCC asked him to </w:t>
      </w:r>
      <w:r>
        <w:t xml:space="preserve">download </w:t>
      </w:r>
      <w:r>
        <w:t xml:space="preserve">further </w:t>
      </w:r>
      <w:r>
        <w:t xml:space="preserve">documents from his </w:t>
      </w:r>
      <w:proofErr w:type="spellStart"/>
      <w:r>
        <w:t>BofI</w:t>
      </w:r>
      <w:proofErr w:type="spellEnd"/>
      <w:r>
        <w:t xml:space="preserve"> laptop </w:t>
      </w:r>
      <w:r>
        <w:t xml:space="preserve">to a CD-ROM, but </w:t>
      </w:r>
      <w:r>
        <w:t xml:space="preserve">Erhart </w:t>
      </w:r>
      <w:r>
        <w:t xml:space="preserve">could </w:t>
      </w:r>
      <w:proofErr w:type="gramStart"/>
      <w:r>
        <w:t>not</w:t>
      </w:r>
      <w:proofErr w:type="gramEnd"/>
      <w:r>
        <w:t xml:space="preserve"> due to </w:t>
      </w:r>
      <w:r>
        <w:t xml:space="preserve">the laptop’s </w:t>
      </w:r>
      <w:r>
        <w:t xml:space="preserve">security measures. </w:t>
      </w:r>
      <w:r>
        <w:t xml:space="preserve"> </w:t>
      </w:r>
      <w:r>
        <w:t xml:space="preserve">Erhart </w:t>
      </w:r>
      <w:r>
        <w:t xml:space="preserve">also </w:t>
      </w:r>
      <w:r>
        <w:t xml:space="preserve">tried to send the documents from his </w:t>
      </w:r>
      <w:proofErr w:type="spellStart"/>
      <w:r>
        <w:t>BofI</w:t>
      </w:r>
      <w:proofErr w:type="spellEnd"/>
      <w:r>
        <w:t xml:space="preserve"> e-mail address</w:t>
      </w:r>
      <w:r>
        <w:t xml:space="preserve"> on his </w:t>
      </w:r>
      <w:proofErr w:type="spellStart"/>
      <w:r>
        <w:t>BofI</w:t>
      </w:r>
      <w:proofErr w:type="spellEnd"/>
      <w:r>
        <w:t xml:space="preserve"> laptop</w:t>
      </w:r>
      <w:r>
        <w:t xml:space="preserve"> but could not</w:t>
      </w:r>
      <w:r>
        <w:t xml:space="preserve">. </w:t>
      </w:r>
      <w:r>
        <w:t xml:space="preserve"> </w:t>
      </w:r>
      <w:r>
        <w:t xml:space="preserve">So </w:t>
      </w:r>
      <w:r>
        <w:t xml:space="preserve">Erhart </w:t>
      </w:r>
      <w:r>
        <w:t xml:space="preserve">accessed his </w:t>
      </w:r>
      <w:r>
        <w:t xml:space="preserve">personal </w:t>
      </w:r>
      <w:r>
        <w:t>e-mail</w:t>
      </w:r>
      <w:r>
        <w:t xml:space="preserve"> account on his </w:t>
      </w:r>
      <w:proofErr w:type="spellStart"/>
      <w:r>
        <w:t>BofI</w:t>
      </w:r>
      <w:proofErr w:type="spellEnd"/>
      <w:r>
        <w:t xml:space="preserve"> laptop</w:t>
      </w:r>
      <w:r>
        <w:t xml:space="preserve"> and e-mailed the</w:t>
      </w:r>
      <w:r>
        <w:t xml:space="preserve"> documents to the OCC. </w:t>
      </w:r>
      <w:r>
        <w:t xml:space="preserve"> </w:t>
      </w:r>
      <w:r>
        <w:t xml:space="preserve">As relevant to this appeal, these documents included several tax-related documents for </w:t>
      </w:r>
      <w:proofErr w:type="spellStart"/>
      <w:r>
        <w:t>Garrabrants</w:t>
      </w:r>
      <w:proofErr w:type="spellEnd"/>
      <w:r>
        <w:t xml:space="preserve"> and his family, several of </w:t>
      </w:r>
      <w:proofErr w:type="spellStart"/>
      <w:r>
        <w:t>Garrabrants</w:t>
      </w:r>
      <w:proofErr w:type="spellEnd"/>
      <w:r>
        <w:t xml:space="preserve">’ Form W-2s, one of </w:t>
      </w:r>
      <w:proofErr w:type="spellStart"/>
      <w:r>
        <w:t>Garrabrants</w:t>
      </w:r>
      <w:proofErr w:type="spellEnd"/>
      <w:r>
        <w:t xml:space="preserve">’ earnings statements, documents pertaining to a trust associated with </w:t>
      </w:r>
      <w:proofErr w:type="spellStart"/>
      <w:r>
        <w:t>Garrab</w:t>
      </w:r>
      <w:r>
        <w:t>rants</w:t>
      </w:r>
      <w:proofErr w:type="spellEnd"/>
      <w:r>
        <w:t xml:space="preserve">, </w:t>
      </w:r>
      <w:proofErr w:type="spellStart"/>
      <w:r>
        <w:t>Garrabrants</w:t>
      </w:r>
      <w:proofErr w:type="spellEnd"/>
      <w:r>
        <w:t xml:space="preserve">’ account statements from another </w:t>
      </w:r>
      <w:r>
        <w:lastRenderedPageBreak/>
        <w:t xml:space="preserve">financial institution, and several records of copies of checks written on or deposited to accounts belonging to </w:t>
      </w:r>
      <w:proofErr w:type="spellStart"/>
      <w:r>
        <w:t>Garrabrants</w:t>
      </w:r>
      <w:proofErr w:type="spellEnd"/>
      <w:r>
        <w:t xml:space="preserve">. </w:t>
      </w:r>
      <w:r>
        <w:t xml:space="preserve"> </w:t>
      </w:r>
      <w:r>
        <w:t xml:space="preserve">Erhart obtained those documents from </w:t>
      </w:r>
      <w:proofErr w:type="spellStart"/>
      <w:r>
        <w:t>BofI</w:t>
      </w:r>
      <w:proofErr w:type="spellEnd"/>
      <w:r>
        <w:t xml:space="preserve"> systems and not </w:t>
      </w:r>
      <w:proofErr w:type="spellStart"/>
      <w:r>
        <w:t>Garrabrants</w:t>
      </w:r>
      <w:proofErr w:type="spellEnd"/>
      <w:r>
        <w:t xml:space="preserve"> personally.  Erhart took and sent only “the documents that were associated with the issues” he raised with regulators. </w:t>
      </w:r>
    </w:p>
    <w:p w14:paraId="0458AEF5" w14:textId="77777777" w:rsidR="00D45E51" w:rsidRDefault="00D45E51" w:rsidP="00C661BC">
      <w:r>
        <w:tab/>
        <w:t xml:space="preserve">After e-mailing the documents to the OCC, Erhart opened his </w:t>
      </w:r>
      <w:r>
        <w:t>personal e-mail</w:t>
      </w:r>
      <w:r>
        <w:t xml:space="preserve"> account on his desktop computer and downloaded the </w:t>
      </w:r>
      <w:r>
        <w:t>documents to a USB d</w:t>
      </w:r>
      <w:r>
        <w:t>evice</w:t>
      </w:r>
      <w:r>
        <w:t xml:space="preserve">. </w:t>
      </w:r>
      <w:r>
        <w:t xml:space="preserve"> </w:t>
      </w:r>
      <w:r>
        <w:t>His desktop lacked the software</w:t>
      </w:r>
      <w:r>
        <w:t xml:space="preserve"> needed</w:t>
      </w:r>
      <w:r>
        <w:t xml:space="preserve"> to open and view </w:t>
      </w:r>
      <w:r>
        <w:t>some</w:t>
      </w:r>
      <w:r>
        <w:t xml:space="preserve"> of the documents</w:t>
      </w:r>
      <w:r>
        <w:t xml:space="preserve">, so he transferred the data from the USB device to his </w:t>
      </w:r>
      <w:r>
        <w:t>then-</w:t>
      </w:r>
      <w:r>
        <w:t>partner’s laptop</w:t>
      </w:r>
      <w:r>
        <w:t xml:space="preserve">.  </w:t>
      </w:r>
      <w:r>
        <w:t>That way</w:t>
      </w:r>
      <w:r>
        <w:t>,</w:t>
      </w:r>
      <w:r>
        <w:t xml:space="preserve"> h</w:t>
      </w:r>
      <w:r>
        <w:t xml:space="preserve">e </w:t>
      </w:r>
      <w:r>
        <w:t xml:space="preserve">could </w:t>
      </w:r>
      <w:r>
        <w:t>view the documents and</w:t>
      </w:r>
      <w:r>
        <w:t xml:space="preserve"> report</w:t>
      </w:r>
      <w:r>
        <w:t xml:space="preserve"> </w:t>
      </w:r>
      <w:proofErr w:type="spellStart"/>
      <w:r>
        <w:t>BofI’s</w:t>
      </w:r>
      <w:proofErr w:type="spellEnd"/>
      <w:r>
        <w:t xml:space="preserve"> </w:t>
      </w:r>
      <w:r>
        <w:t xml:space="preserve">and </w:t>
      </w:r>
      <w:proofErr w:type="spellStart"/>
      <w:r>
        <w:t>Garrabrants</w:t>
      </w:r>
      <w:proofErr w:type="spellEnd"/>
      <w:r>
        <w:t xml:space="preserve">’ </w:t>
      </w:r>
      <w:r>
        <w:t>alleged wrongdoing</w:t>
      </w:r>
      <w:r>
        <w:t xml:space="preserve"> to other agencies, including the </w:t>
      </w:r>
      <w:r>
        <w:t>S</w:t>
      </w:r>
      <w:r>
        <w:t>ecurities and Exchange Commission (S</w:t>
      </w:r>
      <w:r>
        <w:t>EC</w:t>
      </w:r>
      <w:r>
        <w:t>)</w:t>
      </w:r>
      <w:r>
        <w:t xml:space="preserve"> and the Internal Revenue Service</w:t>
      </w:r>
      <w:r>
        <w:t xml:space="preserve"> (IRS)</w:t>
      </w:r>
      <w:r>
        <w:t xml:space="preserve">. </w:t>
      </w:r>
      <w:r>
        <w:t xml:space="preserve"> </w:t>
      </w:r>
      <w:r>
        <w:t xml:space="preserve">He </w:t>
      </w:r>
      <w:r>
        <w:t>gave</w:t>
      </w:r>
      <w:r>
        <w:t xml:space="preserve"> the USB </w:t>
      </w:r>
      <w:r>
        <w:t>device</w:t>
      </w:r>
      <w:r>
        <w:t xml:space="preserve"> to his counsel</w:t>
      </w:r>
      <w:r>
        <w:t xml:space="preserve">, who </w:t>
      </w:r>
      <w:r>
        <w:t>reported t</w:t>
      </w:r>
      <w:r>
        <w:t>o the SEC</w:t>
      </w:r>
      <w:r>
        <w:t>, the</w:t>
      </w:r>
      <w:r>
        <w:t xml:space="preserve"> </w:t>
      </w:r>
      <w:r>
        <w:t>IRS</w:t>
      </w:r>
      <w:r>
        <w:t xml:space="preserve">, and </w:t>
      </w:r>
      <w:r>
        <w:t xml:space="preserve">the </w:t>
      </w:r>
      <w:r>
        <w:t>O</w:t>
      </w:r>
      <w:r>
        <w:t xml:space="preserve">ccupational </w:t>
      </w:r>
      <w:r>
        <w:t>S</w:t>
      </w:r>
      <w:r>
        <w:t xml:space="preserve">afety and </w:t>
      </w:r>
      <w:r>
        <w:t>H</w:t>
      </w:r>
      <w:r>
        <w:t xml:space="preserve">ealth </w:t>
      </w:r>
      <w:r>
        <w:t>A</w:t>
      </w:r>
      <w:r>
        <w:t>dministration</w:t>
      </w:r>
      <w:r>
        <w:t xml:space="preserve"> on Erhart’s behalf</w:t>
      </w:r>
      <w:r>
        <w:t xml:space="preserve"> </w:t>
      </w:r>
      <w:r>
        <w:t xml:space="preserve">in March </w:t>
      </w:r>
      <w:r>
        <w:t xml:space="preserve">or April of </w:t>
      </w:r>
      <w:r>
        <w:t xml:space="preserve">2015. </w:t>
      </w:r>
      <w:r>
        <w:t xml:space="preserve"> </w:t>
      </w:r>
    </w:p>
    <w:p w14:paraId="593C9DEE" w14:textId="77777777" w:rsidR="00D45E51" w:rsidRDefault="00D45E51" w:rsidP="00AC471D">
      <w:r>
        <w:tab/>
        <w:t>Erhart</w:t>
      </w:r>
      <w:r>
        <w:t xml:space="preserve"> </w:t>
      </w:r>
      <w:r>
        <w:t>retained the documents because he “felt that [he] would be destroying evidence”</w:t>
      </w:r>
      <w:r>
        <w:t xml:space="preserve"> otherwise.</w:t>
      </w:r>
      <w:r>
        <w:t xml:space="preserve">  It was “unclear” what he should do with them</w:t>
      </w:r>
      <w:r>
        <w:t xml:space="preserve"> due to conflicting instructions.</w:t>
      </w:r>
      <w:r>
        <w:t xml:space="preserve">  </w:t>
      </w:r>
      <w:r>
        <w:t>According to Erhart, neither</w:t>
      </w:r>
      <w:r>
        <w:t xml:space="preserve"> </w:t>
      </w:r>
      <w:proofErr w:type="spellStart"/>
      <w:r>
        <w:t>BofI</w:t>
      </w:r>
      <w:proofErr w:type="spellEnd"/>
      <w:r>
        <w:t xml:space="preserve"> </w:t>
      </w:r>
      <w:r>
        <w:t>n</w:t>
      </w:r>
      <w:r>
        <w:t xml:space="preserve">or </w:t>
      </w:r>
      <w:proofErr w:type="spellStart"/>
      <w:r>
        <w:t>Garrabrants</w:t>
      </w:r>
      <w:proofErr w:type="spellEnd"/>
      <w:r>
        <w:t xml:space="preserve"> </w:t>
      </w:r>
      <w:r>
        <w:t>requested the</w:t>
      </w:r>
      <w:r>
        <w:t xml:space="preserve"> data</w:t>
      </w:r>
      <w:r>
        <w:t>’s</w:t>
      </w:r>
      <w:r>
        <w:t xml:space="preserve"> return.  </w:t>
      </w:r>
    </w:p>
    <w:p w14:paraId="0583A4C2" w14:textId="77777777" w:rsidR="00D45E51" w:rsidRDefault="00D45E51" w:rsidP="00AC471D">
      <w:r>
        <w:tab/>
      </w:r>
      <w:r>
        <w:t xml:space="preserve">Erhart </w:t>
      </w:r>
      <w:r>
        <w:t xml:space="preserve">ultimately </w:t>
      </w:r>
      <w:r>
        <w:t>gave</w:t>
      </w:r>
      <w:r>
        <w:t xml:space="preserve"> t</w:t>
      </w:r>
      <w:r>
        <w:t>he hardcopy documents</w:t>
      </w:r>
      <w:r>
        <w:t xml:space="preserve"> to a </w:t>
      </w:r>
      <w:r>
        <w:t xml:space="preserve">digital </w:t>
      </w:r>
      <w:r>
        <w:t>forensic</w:t>
      </w:r>
      <w:r>
        <w:t>s</w:t>
      </w:r>
      <w:r>
        <w:t xml:space="preserve"> </w:t>
      </w:r>
      <w:r>
        <w:t>firm</w:t>
      </w:r>
      <w:r>
        <w:t xml:space="preserve"> hired by </w:t>
      </w:r>
      <w:proofErr w:type="spellStart"/>
      <w:r>
        <w:t>BofI</w:t>
      </w:r>
      <w:proofErr w:type="spellEnd"/>
      <w:r>
        <w:t xml:space="preserve"> in November 2015.</w:t>
      </w:r>
      <w:r>
        <w:t xml:space="preserve">  </w:t>
      </w:r>
      <w:r>
        <w:t>The documents</w:t>
      </w:r>
      <w:r>
        <w:t xml:space="preserve"> he</w:t>
      </w:r>
      <w:r>
        <w:t xml:space="preserve"> e-mailed to the OCC</w:t>
      </w:r>
      <w:r>
        <w:t xml:space="preserve">, including those </w:t>
      </w:r>
      <w:r>
        <w:t xml:space="preserve">about </w:t>
      </w:r>
      <w:proofErr w:type="spellStart"/>
      <w:r>
        <w:t>Garrabrants</w:t>
      </w:r>
      <w:proofErr w:type="spellEnd"/>
      <w:r>
        <w:t>,</w:t>
      </w:r>
      <w:r>
        <w:t xml:space="preserve"> remained in Erhart’s personal e-mail account until roughly </w:t>
      </w:r>
      <w:r>
        <w:t>November 2021</w:t>
      </w:r>
      <w:r>
        <w:t xml:space="preserve">, when </w:t>
      </w:r>
      <w:r>
        <w:t xml:space="preserve">his </w:t>
      </w:r>
      <w:r>
        <w:t xml:space="preserve">counsel instructed him to delete </w:t>
      </w:r>
      <w:r>
        <w:t xml:space="preserve">them.  </w:t>
      </w:r>
      <w:r>
        <w:t>In November 2021</w:t>
      </w:r>
      <w:r>
        <w:t xml:space="preserve">, </w:t>
      </w:r>
      <w:r>
        <w:t xml:space="preserve">Erhart’s </w:t>
      </w:r>
      <w:r>
        <w:t>desktop computer</w:t>
      </w:r>
      <w:r>
        <w:t xml:space="preserve"> and a USB </w:t>
      </w:r>
      <w:r>
        <w:t>device</w:t>
      </w:r>
      <w:r>
        <w:t xml:space="preserve"> </w:t>
      </w:r>
      <w:r>
        <w:t>still</w:t>
      </w:r>
      <w:r>
        <w:t xml:space="preserve"> house</w:t>
      </w:r>
      <w:r>
        <w:t>d</w:t>
      </w:r>
      <w:r>
        <w:t xml:space="preserve"> </w:t>
      </w:r>
      <w:r>
        <w:t xml:space="preserve">recoverable files of </w:t>
      </w:r>
      <w:r>
        <w:t>some of the documents</w:t>
      </w:r>
      <w:r>
        <w:t xml:space="preserve">, including </w:t>
      </w:r>
      <w:r>
        <w:t>documents</w:t>
      </w:r>
      <w:r>
        <w:t xml:space="preserve"> containing </w:t>
      </w:r>
      <w:proofErr w:type="spellStart"/>
      <w:r>
        <w:t>Garrabrants</w:t>
      </w:r>
      <w:proofErr w:type="spellEnd"/>
      <w:r>
        <w:t xml:space="preserve">’ </w:t>
      </w:r>
      <w:r>
        <w:t xml:space="preserve">personal </w:t>
      </w:r>
      <w:r>
        <w:t>data</w:t>
      </w:r>
      <w:r>
        <w:t xml:space="preserve">. </w:t>
      </w:r>
      <w:r>
        <w:t xml:space="preserve"> </w:t>
      </w:r>
    </w:p>
    <w:p w14:paraId="26544C2B" w14:textId="77777777" w:rsidR="00D45E51" w:rsidRDefault="00D45E51" w:rsidP="00922A31">
      <w:pPr>
        <w:keepNext/>
        <w:jc w:val="center"/>
      </w:pPr>
      <w:r>
        <w:lastRenderedPageBreak/>
        <w:t>V.</w:t>
      </w:r>
    </w:p>
    <w:p w14:paraId="0AFACF1D" w14:textId="77777777" w:rsidR="00D45E51" w:rsidRDefault="00D45E51" w:rsidP="001A7295">
      <w:r>
        <w:tab/>
        <w:t xml:space="preserve">Two of the ten to fifteen issues Erhart raised with the OCC concerned </w:t>
      </w:r>
      <w:proofErr w:type="spellStart"/>
      <w:r>
        <w:t>Garrabrants</w:t>
      </w:r>
      <w:proofErr w:type="spellEnd"/>
      <w:r>
        <w:t xml:space="preserve">.  These issues were subsequently </w:t>
      </w:r>
      <w:r>
        <w:t>reported</w:t>
      </w:r>
      <w:r>
        <w:t xml:space="preserve"> to the IRS as well.  </w:t>
      </w:r>
    </w:p>
    <w:p w14:paraId="52E83592" w14:textId="77777777" w:rsidR="00D45E51" w:rsidRDefault="00D45E51" w:rsidP="00922A31">
      <w:pPr>
        <w:keepNext/>
        <w:jc w:val="center"/>
      </w:pPr>
      <w:r>
        <w:t>A.</w:t>
      </w:r>
    </w:p>
    <w:p w14:paraId="315BF80F" w14:textId="77777777" w:rsidR="00D45E51" w:rsidRDefault="00D45E51" w:rsidP="001A7295">
      <w:r>
        <w:tab/>
        <w:t xml:space="preserve">First, Erhart reported </w:t>
      </w:r>
      <w:r>
        <w:t>his</w:t>
      </w:r>
      <w:r>
        <w:t xml:space="preserve"> suspicion that </w:t>
      </w:r>
      <w:proofErr w:type="spellStart"/>
      <w:r>
        <w:t>Garrabrants</w:t>
      </w:r>
      <w:proofErr w:type="spellEnd"/>
      <w:r>
        <w:t xml:space="preserve"> was not paying income tax on third-party checks he was depositing into his personal account at </w:t>
      </w:r>
      <w:proofErr w:type="spellStart"/>
      <w:r>
        <w:t>BofI</w:t>
      </w:r>
      <w:proofErr w:type="spellEnd"/>
      <w:r>
        <w:t xml:space="preserve">.  </w:t>
      </w:r>
    </w:p>
    <w:p w14:paraId="30481F02" w14:textId="77777777" w:rsidR="00D45E51" w:rsidRDefault="00D45E51" w:rsidP="001A7295">
      <w:r>
        <w:tab/>
      </w:r>
      <w:proofErr w:type="spellStart"/>
      <w:r>
        <w:t>BofI</w:t>
      </w:r>
      <w:proofErr w:type="spellEnd"/>
      <w:r>
        <w:t xml:space="preserve"> auditors performed q</w:t>
      </w:r>
      <w:r>
        <w:t>uarterly audits of</w:t>
      </w:r>
      <w:r>
        <w:t xml:space="preserve"> the accounts of</w:t>
      </w:r>
      <w:r>
        <w:t xml:space="preserve"> </w:t>
      </w:r>
      <w:r>
        <w:t xml:space="preserve">randomly selected </w:t>
      </w:r>
      <w:r>
        <w:t xml:space="preserve">employees </w:t>
      </w:r>
      <w:r>
        <w:t xml:space="preserve">who banked with </w:t>
      </w:r>
      <w:proofErr w:type="spellStart"/>
      <w:r>
        <w:t>BofI</w:t>
      </w:r>
      <w:proofErr w:type="spellEnd"/>
      <w:r>
        <w:t xml:space="preserve"> </w:t>
      </w:r>
      <w:r>
        <w:t>for</w:t>
      </w:r>
      <w:r>
        <w:t xml:space="preserve"> “suspicious”</w:t>
      </w:r>
      <w:r>
        <w:t xml:space="preserve"> activity.</w:t>
      </w:r>
      <w:r>
        <w:t xml:space="preserve">  Ball added </w:t>
      </w:r>
      <w:proofErr w:type="spellStart"/>
      <w:r>
        <w:t>Garrabrants</w:t>
      </w:r>
      <w:proofErr w:type="spellEnd"/>
      <w:r>
        <w:t xml:space="preserve">’ name to </w:t>
      </w:r>
      <w:r>
        <w:t>one such audit</w:t>
      </w:r>
      <w:r>
        <w:t xml:space="preserve"> after Erhart told him that checks payable to </w:t>
      </w:r>
      <w:r w:rsidRPr="00D54C2E">
        <w:t>two</w:t>
      </w:r>
      <w:r w:rsidRPr="00D54C2E">
        <w:t xml:space="preserve"> third parties</w:t>
      </w:r>
      <w:r>
        <w:t xml:space="preserve"> were being deposited into </w:t>
      </w:r>
      <w:proofErr w:type="spellStart"/>
      <w:r>
        <w:t>Garrabrants</w:t>
      </w:r>
      <w:proofErr w:type="spellEnd"/>
      <w:r>
        <w:t xml:space="preserve">’ personal </w:t>
      </w:r>
      <w:proofErr w:type="spellStart"/>
      <w:r>
        <w:t>BofI</w:t>
      </w:r>
      <w:proofErr w:type="spellEnd"/>
      <w:r>
        <w:t xml:space="preserve"> account.  </w:t>
      </w:r>
    </w:p>
    <w:p w14:paraId="59DA551C" w14:textId="77777777" w:rsidR="00D45E51" w:rsidRDefault="00D45E51" w:rsidP="001A7295">
      <w:r>
        <w:tab/>
      </w:r>
      <w:r>
        <w:t>As part of</w:t>
      </w:r>
      <w:r>
        <w:t xml:space="preserve"> his </w:t>
      </w:r>
      <w:r>
        <w:t xml:space="preserve">audit </w:t>
      </w:r>
      <w:r>
        <w:t xml:space="preserve">investigation, Erhart </w:t>
      </w:r>
      <w:proofErr w:type="gramStart"/>
      <w:r>
        <w:t>looked into</w:t>
      </w:r>
      <w:proofErr w:type="gramEnd"/>
      <w:r>
        <w:t xml:space="preserve"> </w:t>
      </w:r>
      <w:proofErr w:type="spellStart"/>
      <w:r>
        <w:t>Garrabrants</w:t>
      </w:r>
      <w:proofErr w:type="spellEnd"/>
      <w:r>
        <w:t xml:space="preserve">’ </w:t>
      </w:r>
      <w:proofErr w:type="spellStart"/>
      <w:r>
        <w:t>BofI</w:t>
      </w:r>
      <w:proofErr w:type="spellEnd"/>
      <w:r>
        <w:t xml:space="preserve"> loan file</w:t>
      </w:r>
      <w:r>
        <w:t xml:space="preserve">, </w:t>
      </w:r>
      <w:r>
        <w:t>as</w:t>
      </w:r>
      <w:r>
        <w:t xml:space="preserve"> he knew </w:t>
      </w:r>
      <w:r>
        <w:t>it would contain</w:t>
      </w:r>
      <w:r>
        <w:t xml:space="preserve"> information</w:t>
      </w:r>
      <w:r>
        <w:t xml:space="preserve"> </w:t>
      </w:r>
      <w:r>
        <w:t>that would</w:t>
      </w:r>
      <w:r>
        <w:t xml:space="preserve"> help</w:t>
      </w:r>
      <w:r>
        <w:t xml:space="preserve"> him</w:t>
      </w:r>
      <w:r>
        <w:t xml:space="preserve"> </w:t>
      </w:r>
      <w:r>
        <w:t>assess</w:t>
      </w:r>
      <w:r>
        <w:t xml:space="preserve"> the legitimacy of the</w:t>
      </w:r>
      <w:r>
        <w:t xml:space="preserve"> deposits</w:t>
      </w:r>
      <w:r w:rsidRPr="004A0203">
        <w:t xml:space="preserve">.  He </w:t>
      </w:r>
      <w:r w:rsidRPr="004A0203">
        <w:t>reviewed</w:t>
      </w:r>
      <w:r>
        <w:t xml:space="preserve"> </w:t>
      </w:r>
      <w:proofErr w:type="spellStart"/>
      <w:r>
        <w:t>Garrabrants</w:t>
      </w:r>
      <w:proofErr w:type="spellEnd"/>
      <w:r>
        <w:t xml:space="preserve">’ bank statements from other institutions </w:t>
      </w:r>
      <w:r>
        <w:t>for</w:t>
      </w:r>
      <w:r>
        <w:t xml:space="preserve"> similar activity</w:t>
      </w:r>
      <w:r>
        <w:t xml:space="preserve"> and his tax documents</w:t>
      </w:r>
      <w:r>
        <w:t xml:space="preserve"> to see if he was paying taxes on the </w:t>
      </w:r>
      <w:r>
        <w:t>deposits</w:t>
      </w:r>
      <w:r>
        <w:t xml:space="preserve">. </w:t>
      </w:r>
    </w:p>
    <w:p w14:paraId="27FFF4A8" w14:textId="77777777" w:rsidR="00D45E51" w:rsidRDefault="00D45E51" w:rsidP="00922A31">
      <w:pPr>
        <w:keepNext/>
        <w:jc w:val="center"/>
      </w:pPr>
      <w:r>
        <w:t>B.</w:t>
      </w:r>
    </w:p>
    <w:p w14:paraId="21599093" w14:textId="77777777" w:rsidR="00D45E51" w:rsidRDefault="00D45E51" w:rsidP="001A7295">
      <w:r>
        <w:tab/>
      </w:r>
      <w:r w:rsidRPr="00EF2AF7">
        <w:t>Second,</w:t>
      </w:r>
      <w:r>
        <w:t xml:space="preserve"> Erhart </w:t>
      </w:r>
      <w:r>
        <w:t>reported</w:t>
      </w:r>
      <w:r>
        <w:t xml:space="preserve"> </w:t>
      </w:r>
      <w:r>
        <w:t>his suspicion that</w:t>
      </w:r>
      <w:r>
        <w:t xml:space="preserve"> </w:t>
      </w:r>
      <w:proofErr w:type="spellStart"/>
      <w:r>
        <w:t>Garrabrants</w:t>
      </w:r>
      <w:proofErr w:type="spellEnd"/>
      <w:r>
        <w:t xml:space="preserve"> was </w:t>
      </w:r>
      <w:r>
        <w:t xml:space="preserve">using a trust to </w:t>
      </w:r>
      <w:r>
        <w:t>disguise</w:t>
      </w:r>
      <w:r>
        <w:t xml:space="preserve"> sales of his </w:t>
      </w:r>
      <w:proofErr w:type="spellStart"/>
      <w:r>
        <w:t>BofI</w:t>
      </w:r>
      <w:proofErr w:type="spellEnd"/>
      <w:r>
        <w:t xml:space="preserve"> stock and avoid taxes.  </w:t>
      </w:r>
    </w:p>
    <w:p w14:paraId="040C0C15" w14:textId="77777777" w:rsidR="00D45E51" w:rsidRDefault="00D45E51" w:rsidP="001A7295">
      <w:r>
        <w:tab/>
        <w:t xml:space="preserve">Erhart </w:t>
      </w:r>
      <w:r>
        <w:t>discovered through an audit that</w:t>
      </w:r>
      <w:r>
        <w:t xml:space="preserve"> the Steven </w:t>
      </w:r>
      <w:proofErr w:type="spellStart"/>
      <w:r>
        <w:t>Garrabrants</w:t>
      </w:r>
      <w:proofErr w:type="spellEnd"/>
      <w:r>
        <w:t xml:space="preserve"> Freedom-1 Trust </w:t>
      </w:r>
      <w:r>
        <w:t xml:space="preserve">(Trust) </w:t>
      </w:r>
      <w:r>
        <w:t>w</w:t>
      </w:r>
      <w:r>
        <w:t>as “the number-one largest</w:t>
      </w:r>
      <w:r>
        <w:t>”</w:t>
      </w:r>
      <w:r>
        <w:t xml:space="preserve"> retail customer </w:t>
      </w:r>
      <w:r>
        <w:t xml:space="preserve">account at </w:t>
      </w:r>
      <w:proofErr w:type="spellStart"/>
      <w:r>
        <w:t>BofI</w:t>
      </w:r>
      <w:proofErr w:type="spellEnd"/>
      <w:r>
        <w:t>.</w:t>
      </w:r>
      <w:r>
        <w:t xml:space="preserve">  Erhart told Ball, who </w:t>
      </w:r>
      <w:r>
        <w:t>“had no idea” how</w:t>
      </w:r>
      <w:r>
        <w:t xml:space="preserve"> Steven</w:t>
      </w:r>
      <w:r>
        <w:t>,</w:t>
      </w:r>
      <w:r>
        <w:t xml:space="preserve"> </w:t>
      </w:r>
      <w:proofErr w:type="spellStart"/>
      <w:r>
        <w:t>Garrabrants</w:t>
      </w:r>
      <w:proofErr w:type="spellEnd"/>
      <w:r>
        <w:t xml:space="preserve">’ </w:t>
      </w:r>
      <w:proofErr w:type="gramStart"/>
      <w:r>
        <w:t>brother</w:t>
      </w:r>
      <w:proofErr w:type="gramEnd"/>
      <w:r>
        <w:t xml:space="preserve"> and a</w:t>
      </w:r>
      <w:r>
        <w:t xml:space="preserve"> minor league baseball player</w:t>
      </w:r>
      <w:r>
        <w:t>,</w:t>
      </w:r>
      <w:r>
        <w:t xml:space="preserve"> </w:t>
      </w:r>
      <w:r>
        <w:t xml:space="preserve">“could </w:t>
      </w:r>
      <w:r>
        <w:t xml:space="preserve">possibly have that much money.”  He asked Erhart to investigate, </w:t>
      </w:r>
      <w:r>
        <w:t>leading</w:t>
      </w:r>
      <w:r>
        <w:t xml:space="preserve"> Erhart </w:t>
      </w:r>
      <w:r>
        <w:t xml:space="preserve">to </w:t>
      </w:r>
      <w:r>
        <w:t>pull a transaction history of all</w:t>
      </w:r>
      <w:r>
        <w:t xml:space="preserve"> </w:t>
      </w:r>
      <w:proofErr w:type="spellStart"/>
      <w:r>
        <w:t>BofI</w:t>
      </w:r>
      <w:proofErr w:type="spellEnd"/>
      <w:r>
        <w:t xml:space="preserve"> accounts that transacted with the </w:t>
      </w:r>
      <w:r>
        <w:t>Trust</w:t>
      </w:r>
      <w:r>
        <w:t>’s</w:t>
      </w:r>
      <w:r>
        <w:t xml:space="preserve"> </w:t>
      </w:r>
      <w:r>
        <w:t xml:space="preserve">account.  </w:t>
      </w:r>
    </w:p>
    <w:p w14:paraId="5D382957" w14:textId="77777777" w:rsidR="00D45E51" w:rsidRDefault="00D45E51" w:rsidP="00AC471D">
      <w:r>
        <w:lastRenderedPageBreak/>
        <w:tab/>
      </w:r>
      <w:r>
        <w:t>B</w:t>
      </w:r>
      <w:r>
        <w:t xml:space="preserve">ecause corporations need to </w:t>
      </w:r>
      <w:r>
        <w:t xml:space="preserve">publicly </w:t>
      </w:r>
      <w:r>
        <w:t xml:space="preserve">report via SEC filings insider transactions involving stock and “the investing public has a perception” when a CEO sells stock, </w:t>
      </w:r>
      <w:r>
        <w:t xml:space="preserve">Erhart believed </w:t>
      </w:r>
      <w:r>
        <w:t xml:space="preserve">that </w:t>
      </w:r>
      <w:proofErr w:type="spellStart"/>
      <w:r>
        <w:t>Garrabrants</w:t>
      </w:r>
      <w:proofErr w:type="spellEnd"/>
      <w:r>
        <w:t xml:space="preserve"> was</w:t>
      </w:r>
      <w:r>
        <w:t xml:space="preserve"> using the Trust to</w:t>
      </w:r>
      <w:r>
        <w:t xml:space="preserve"> disguis</w:t>
      </w:r>
      <w:r>
        <w:t>e</w:t>
      </w:r>
      <w:r>
        <w:t xml:space="preserve"> his sales of </w:t>
      </w:r>
      <w:proofErr w:type="spellStart"/>
      <w:r>
        <w:t>BofI</w:t>
      </w:r>
      <w:proofErr w:type="spellEnd"/>
      <w:r>
        <w:t xml:space="preserve"> stock.  Essentially, the proper forms were </w:t>
      </w:r>
      <w:proofErr w:type="gramStart"/>
      <w:r>
        <w:t>filed</w:t>
      </w:r>
      <w:proofErr w:type="gramEnd"/>
      <w:r>
        <w:t xml:space="preserve"> to evidence </w:t>
      </w:r>
      <w:proofErr w:type="spellStart"/>
      <w:r>
        <w:t>Garrabrants</w:t>
      </w:r>
      <w:proofErr w:type="spellEnd"/>
      <w:r>
        <w:t xml:space="preserve">’ gift of shares to the </w:t>
      </w:r>
      <w:r>
        <w:t>T</w:t>
      </w:r>
      <w:r>
        <w:t>rust</w:t>
      </w:r>
      <w:r>
        <w:t>, but the Trust then sold the shares without any reporting</w:t>
      </w:r>
      <w:r>
        <w:t xml:space="preserve">.  Erhart discovered transactions of roughly $300,000 and $100,000 from the </w:t>
      </w:r>
      <w:r>
        <w:t xml:space="preserve">Trust’s </w:t>
      </w:r>
      <w:r>
        <w:t xml:space="preserve">account </w:t>
      </w:r>
      <w:r>
        <w:t>to</w:t>
      </w:r>
      <w:r>
        <w:t xml:space="preserve"> </w:t>
      </w:r>
      <w:proofErr w:type="spellStart"/>
      <w:r>
        <w:t>Garrabrants</w:t>
      </w:r>
      <w:proofErr w:type="spellEnd"/>
      <w:r>
        <w:t xml:space="preserve">’ personal account.  </w:t>
      </w:r>
      <w:r>
        <w:t>Erhart</w:t>
      </w:r>
      <w:r>
        <w:t xml:space="preserve"> believed those transactions </w:t>
      </w:r>
      <w:r>
        <w:t>were</w:t>
      </w:r>
      <w:r>
        <w:t xml:space="preserve"> the</w:t>
      </w:r>
      <w:r>
        <w:t xml:space="preserve"> proceeds from the stock sales</w:t>
      </w:r>
      <w:r>
        <w:t>; thus,</w:t>
      </w:r>
      <w:r>
        <w:t xml:space="preserve"> “the stock was not actually a gift.”  </w:t>
      </w:r>
    </w:p>
    <w:p w14:paraId="4E96D2C9" w14:textId="77777777" w:rsidR="00D45E51" w:rsidRDefault="00D45E51" w:rsidP="00922A31">
      <w:pPr>
        <w:keepNext/>
        <w:jc w:val="center"/>
      </w:pPr>
      <w:r>
        <w:t>V</w:t>
      </w:r>
      <w:r>
        <w:t>I</w:t>
      </w:r>
      <w:r>
        <w:t>.</w:t>
      </w:r>
    </w:p>
    <w:p w14:paraId="0B213D3E" w14:textId="77777777" w:rsidR="00D45E51" w:rsidRDefault="00D45E51" w:rsidP="00AC471D">
      <w:r>
        <w:tab/>
      </w:r>
      <w:r w:rsidRPr="009E1231">
        <w:t>In October 2017</w:t>
      </w:r>
      <w:r w:rsidRPr="0072343C">
        <w:t>,</w:t>
      </w:r>
      <w:r>
        <w:t xml:space="preserve"> </w:t>
      </w:r>
      <w:proofErr w:type="spellStart"/>
      <w:r>
        <w:t>Garrabrants</w:t>
      </w:r>
      <w:proofErr w:type="spellEnd"/>
      <w:r>
        <w:t xml:space="preserve"> initiated the instant action in </w:t>
      </w:r>
      <w:r>
        <w:t xml:space="preserve">the </w:t>
      </w:r>
      <w:r>
        <w:t>Superior Court</w:t>
      </w:r>
      <w:r>
        <w:t xml:space="preserve"> of San Diego County</w:t>
      </w:r>
      <w:r>
        <w:t xml:space="preserve">.  </w:t>
      </w:r>
      <w:r>
        <w:t>He claimed to have</w:t>
      </w:r>
      <w:r>
        <w:t xml:space="preserve"> first learned Erhart </w:t>
      </w:r>
      <w:r>
        <w:t>took</w:t>
      </w:r>
      <w:r>
        <w:t xml:space="preserve"> documents containing his personal information at a December 2015 deposition.  </w:t>
      </w:r>
      <w:r>
        <w:t xml:space="preserve">In November 2021, four of </w:t>
      </w:r>
      <w:proofErr w:type="spellStart"/>
      <w:r>
        <w:t>Garrabrants</w:t>
      </w:r>
      <w:proofErr w:type="spellEnd"/>
      <w:r>
        <w:t>’ claims—</w:t>
      </w:r>
      <w:r>
        <w:t xml:space="preserve">for </w:t>
      </w:r>
      <w:r>
        <w:t xml:space="preserve">invasion of privacy, </w:t>
      </w:r>
      <w:r>
        <w:t>intentional infliction of emotional distress</w:t>
      </w:r>
      <w:r>
        <w:t xml:space="preserve"> (IIED)</w:t>
      </w:r>
      <w:r>
        <w:t xml:space="preserve">, </w:t>
      </w:r>
      <w:r>
        <w:t xml:space="preserve">and </w:t>
      </w:r>
      <w:r>
        <w:t>violation of Penal Code section</w:t>
      </w:r>
      <w:r>
        <w:t>s</w:t>
      </w:r>
      <w:r>
        <w:t xml:space="preserve"> 496 and 502—proceeded to jury trial. </w:t>
      </w:r>
      <w:r>
        <w:t xml:space="preserve"> </w:t>
      </w:r>
    </w:p>
    <w:p w14:paraId="15372D4C" w14:textId="77777777" w:rsidR="00D45E51" w:rsidRDefault="00D45E51" w:rsidP="00AC471D">
      <w:r>
        <w:tab/>
        <w:t xml:space="preserve">The jury </w:t>
      </w:r>
      <w:r>
        <w:t>knew</w:t>
      </w:r>
      <w:r>
        <w:t xml:space="preserve"> that Erhart filed a </w:t>
      </w:r>
      <w:r>
        <w:t xml:space="preserve">whistleblower retaliation </w:t>
      </w:r>
      <w:r>
        <w:t xml:space="preserve">lawsuit in federal court in 2015 that was still pending at the time of trial. </w:t>
      </w:r>
      <w:r>
        <w:t xml:space="preserve"> By</w:t>
      </w:r>
      <w:r>
        <w:t xml:space="preserve"> special verdict, </w:t>
      </w:r>
      <w:r>
        <w:t xml:space="preserve">it </w:t>
      </w:r>
      <w:r>
        <w:t xml:space="preserve">found </w:t>
      </w:r>
      <w:r>
        <w:t xml:space="preserve">Erhart was in good faith involved in whistleblowing activity to which </w:t>
      </w:r>
      <w:proofErr w:type="spellStart"/>
      <w:r>
        <w:t>Garrabrants</w:t>
      </w:r>
      <w:proofErr w:type="spellEnd"/>
      <w:r>
        <w:t>’ information was material</w:t>
      </w:r>
      <w:r>
        <w:t>.  N</w:t>
      </w:r>
      <w:r>
        <w:t>onetheless</w:t>
      </w:r>
      <w:r>
        <w:t>, the jury</w:t>
      </w:r>
      <w:r>
        <w:t xml:space="preserve"> determined </w:t>
      </w:r>
      <w:r>
        <w:t xml:space="preserve">that </w:t>
      </w:r>
      <w:r>
        <w:t xml:space="preserve">Erhart invaded </w:t>
      </w:r>
      <w:proofErr w:type="spellStart"/>
      <w:r>
        <w:t>Garrabrants</w:t>
      </w:r>
      <w:proofErr w:type="spellEnd"/>
      <w:r>
        <w:t xml:space="preserve">’ privacy and awarded $1,500 in damages. </w:t>
      </w:r>
      <w:r>
        <w:t xml:space="preserve"> </w:t>
      </w:r>
      <w:r>
        <w:t xml:space="preserve">The jury </w:t>
      </w:r>
      <w:r>
        <w:t xml:space="preserve">found against </w:t>
      </w:r>
      <w:proofErr w:type="spellStart"/>
      <w:r>
        <w:t>Garrabrants</w:t>
      </w:r>
      <w:proofErr w:type="spellEnd"/>
      <w:r>
        <w:t xml:space="preserve"> </w:t>
      </w:r>
      <w:r>
        <w:t>on his IIED claim for lack of</w:t>
      </w:r>
      <w:r>
        <w:t xml:space="preserve"> severe emotional distress</w:t>
      </w:r>
      <w:r>
        <w:t xml:space="preserve">. </w:t>
      </w:r>
      <w:r>
        <w:t xml:space="preserve"> </w:t>
      </w:r>
      <w:r>
        <w:t>Finally, t</w:t>
      </w:r>
      <w:r>
        <w:t xml:space="preserve">he jury found Erhart violated both Penal Code sections 496 and 502 and awarded nominal damages of $1 for each claim. </w:t>
      </w:r>
    </w:p>
    <w:p w14:paraId="00D171D0" w14:textId="77777777" w:rsidR="00D45E51" w:rsidRDefault="00D45E51" w:rsidP="00701965">
      <w:r>
        <w:tab/>
        <w:t xml:space="preserve">In </w:t>
      </w:r>
      <w:r>
        <w:t>January</w:t>
      </w:r>
      <w:r>
        <w:t xml:space="preserve"> 2022</w:t>
      </w:r>
      <w:r>
        <w:t xml:space="preserve">, the trial court </w:t>
      </w:r>
      <w:r>
        <w:t xml:space="preserve">issued judgment in favor of </w:t>
      </w:r>
      <w:proofErr w:type="spellStart"/>
      <w:r>
        <w:t>Garrabrants</w:t>
      </w:r>
      <w:proofErr w:type="spellEnd"/>
      <w:r>
        <w:t xml:space="preserve"> on the three causes of action on which he prevailed. </w:t>
      </w:r>
      <w:r>
        <w:t xml:space="preserve"> The </w:t>
      </w:r>
      <w:r>
        <w:t xml:space="preserve">court </w:t>
      </w:r>
      <w:r>
        <w:lastRenderedPageBreak/>
        <w:t>issued</w:t>
      </w:r>
      <w:r>
        <w:t xml:space="preserve"> </w:t>
      </w:r>
      <w:r>
        <w:t xml:space="preserve">injunctive relief </w:t>
      </w:r>
      <w:r>
        <w:t>under</w:t>
      </w:r>
      <w:r>
        <w:t xml:space="preserve"> Penal Code section 502</w:t>
      </w:r>
      <w:r>
        <w:t xml:space="preserve"> </w:t>
      </w:r>
      <w:r>
        <w:t>and</w:t>
      </w:r>
      <w:r>
        <w:t xml:space="preserve"> costs and</w:t>
      </w:r>
      <w:r>
        <w:t xml:space="preserve"> attorney fees</w:t>
      </w:r>
      <w:r>
        <w:t xml:space="preserve"> </w:t>
      </w:r>
      <w:r>
        <w:t>under</w:t>
      </w:r>
      <w:r>
        <w:t xml:space="preserve"> Penal Code sections 496 and 502</w:t>
      </w:r>
      <w:r>
        <w:t xml:space="preserve"> in an amount to be determined by post-judgment motion</w:t>
      </w:r>
      <w:r>
        <w:t xml:space="preserve">. </w:t>
      </w:r>
      <w:r>
        <w:t xml:space="preserve"> </w:t>
      </w:r>
    </w:p>
    <w:p w14:paraId="7E07EAB0" w14:textId="77777777" w:rsidR="00D45E51" w:rsidRDefault="00D45E51" w:rsidP="00701965">
      <w:r>
        <w:tab/>
      </w:r>
      <w:r>
        <w:t xml:space="preserve">In June 2022, </w:t>
      </w:r>
      <w:proofErr w:type="spellStart"/>
      <w:r>
        <w:t>Garrabrants</w:t>
      </w:r>
      <w:proofErr w:type="spellEnd"/>
      <w:r>
        <w:t xml:space="preserve">, as the prevailing party, was awarded costs totaling $65,887.34.  </w:t>
      </w:r>
      <w:r>
        <w:t>And i</w:t>
      </w:r>
      <w:r>
        <w:t xml:space="preserve">n August 2022, </w:t>
      </w:r>
      <w:proofErr w:type="spellStart"/>
      <w:r>
        <w:t>Garrabrants</w:t>
      </w:r>
      <w:proofErr w:type="spellEnd"/>
      <w:r>
        <w:t xml:space="preserve"> was awarded attorney fees totaling $1,314,260 pursuant to Penal Code sections 496 and 502. </w:t>
      </w:r>
    </w:p>
    <w:p w14:paraId="10C34FA3" w14:textId="77777777" w:rsidR="00D45E51" w:rsidRDefault="00D45E51" w:rsidP="00922A31">
      <w:pPr>
        <w:keepNext/>
        <w:jc w:val="center"/>
      </w:pPr>
      <w:r>
        <w:t>ANALYSIS</w:t>
      </w:r>
    </w:p>
    <w:p w14:paraId="2FD2DC3C" w14:textId="77777777" w:rsidR="00D45E51" w:rsidRDefault="00D45E51" w:rsidP="00E76E1F">
      <w:r>
        <w:tab/>
        <w:t xml:space="preserve">We first turn to </w:t>
      </w:r>
      <w:r>
        <w:t>Erhart’s alleged instructional errors.</w:t>
      </w:r>
    </w:p>
    <w:p w14:paraId="4757B03B" w14:textId="77777777" w:rsidR="00D45E51" w:rsidRDefault="00D45E51" w:rsidP="00922A31">
      <w:pPr>
        <w:keepNext/>
        <w:jc w:val="center"/>
      </w:pPr>
      <w:r>
        <w:t>I.</w:t>
      </w:r>
    </w:p>
    <w:p w14:paraId="0A109763" w14:textId="77777777" w:rsidR="00D45E51" w:rsidRDefault="00D45E51" w:rsidP="00003A25">
      <w:r>
        <w:tab/>
        <w:t xml:space="preserve">We review </w:t>
      </w:r>
      <w:r>
        <w:t>purported</w:t>
      </w:r>
      <w:r>
        <w:t xml:space="preserve"> </w:t>
      </w:r>
      <w:r>
        <w:t xml:space="preserve">instructional errors de novo.  </w:t>
      </w:r>
      <w:r>
        <w:t>(</w:t>
      </w:r>
      <w:proofErr w:type="spellStart"/>
      <w:r w:rsidRPr="002165F2">
        <w:rPr>
          <w:i/>
          <w:iCs/>
        </w:rPr>
        <w:t>Mattco</w:t>
      </w:r>
      <w:proofErr w:type="spellEnd"/>
      <w:r w:rsidRPr="002165F2">
        <w:rPr>
          <w:i/>
          <w:iCs/>
        </w:rPr>
        <w:t xml:space="preserve"> Forge, Inc. v. Arthur Young &amp; Co.</w:t>
      </w:r>
      <w:r w:rsidRPr="002165F2">
        <w:t xml:space="preserve"> (1997) 52 Cal.App.4th 820, 831</w:t>
      </w:r>
      <w:r>
        <w:t xml:space="preserve">.)  </w:t>
      </w:r>
      <w:r>
        <w:t>Where error exists, “</w:t>
      </w:r>
      <w:r w:rsidRPr="00E5381F">
        <w:t xml:space="preserve">we must determine whether it is reasonably probable that a result more favorable to the </w:t>
      </w:r>
      <w:r w:rsidRPr="00E5381F">
        <w:t>appealing party would have been reached in the absence of error</w:t>
      </w:r>
      <w:r>
        <w:t>.”  (</w:t>
      </w:r>
      <w:r w:rsidRPr="00E5381F">
        <w:rPr>
          <w:i/>
          <w:iCs/>
        </w:rPr>
        <w:t>Weiner v. Fleischman</w:t>
      </w:r>
      <w:r w:rsidRPr="00E5381F">
        <w:t xml:space="preserve"> (1991) 54 Cal.3d 476, 490</w:t>
      </w:r>
      <w:r>
        <w:t>.)</w:t>
      </w:r>
      <w:r>
        <w:t xml:space="preserve">  This assessment is context specific, requiring </w:t>
      </w:r>
      <w:r>
        <w:t>us to</w:t>
      </w:r>
      <w:r>
        <w:t xml:space="preserve"> look at</w:t>
      </w:r>
      <w:r>
        <w:t xml:space="preserve"> the evidence and other instructions.  (</w:t>
      </w:r>
      <w:proofErr w:type="spellStart"/>
      <w:r w:rsidRPr="00D2371A">
        <w:rPr>
          <w:i/>
          <w:iCs/>
        </w:rPr>
        <w:t>LeMons</w:t>
      </w:r>
      <w:proofErr w:type="spellEnd"/>
      <w:r w:rsidRPr="00D2371A">
        <w:rPr>
          <w:i/>
          <w:iCs/>
        </w:rPr>
        <w:t xml:space="preserve"> v. Regents of University of California</w:t>
      </w:r>
      <w:r w:rsidRPr="00D2371A">
        <w:t xml:space="preserve"> (1978) 21 Cal.3d 869, 876</w:t>
      </w:r>
      <w:r>
        <w:t xml:space="preserve"> (</w:t>
      </w:r>
      <w:proofErr w:type="spellStart"/>
      <w:r>
        <w:rPr>
          <w:i/>
          <w:iCs/>
        </w:rPr>
        <w:t>LeMons</w:t>
      </w:r>
      <w:proofErr w:type="spellEnd"/>
      <w:r>
        <w:t>)</w:t>
      </w:r>
      <w:r>
        <w:t>.)  Among the factors we may consider are “the degree of conflict in the evidence on critical issues,” the closeness of the verdict, “the effect of other instructions in remedying the error,” the emphasis given the</w:t>
      </w:r>
      <w:r>
        <w:t xml:space="preserve"> error in argument</w:t>
      </w:r>
      <w:r>
        <w:t>, and whether the jury requested the instruction or related evidence be reread</w:t>
      </w:r>
      <w:r>
        <w:t>.  (</w:t>
      </w:r>
      <w:r>
        <w:rPr>
          <w:i/>
          <w:iCs/>
        </w:rPr>
        <w:t>Ibid.</w:t>
      </w:r>
      <w:r>
        <w:t>)</w:t>
      </w:r>
    </w:p>
    <w:p w14:paraId="398C5D2C" w14:textId="77777777" w:rsidR="00D45E51" w:rsidRPr="007F12B5" w:rsidRDefault="00D45E51" w:rsidP="007F12B5">
      <w:r>
        <w:tab/>
      </w:r>
      <w:r>
        <w:t>W</w:t>
      </w:r>
      <w:r>
        <w:t>e</w:t>
      </w:r>
      <w:r>
        <w:t xml:space="preserve"> </w:t>
      </w:r>
      <w:r>
        <w:t>generally</w:t>
      </w:r>
      <w:r>
        <w:t xml:space="preserve"> presume the correctness of the </w:t>
      </w:r>
      <w:r>
        <w:t xml:space="preserve">trial court’s </w:t>
      </w:r>
      <w:r>
        <w:t>judgment</w:t>
      </w:r>
      <w:r>
        <w:t xml:space="preserve"> on appeal</w:t>
      </w:r>
      <w:r>
        <w:t xml:space="preserve">. </w:t>
      </w:r>
      <w:r>
        <w:t xml:space="preserve"> </w:t>
      </w:r>
      <w:r w:rsidRPr="005B0A09">
        <w:t>(</w:t>
      </w:r>
      <w:r w:rsidRPr="005B0A09">
        <w:rPr>
          <w:i/>
          <w:iCs/>
        </w:rPr>
        <w:t>Jameson v. Desta</w:t>
      </w:r>
      <w:r w:rsidRPr="005B0A09">
        <w:t xml:space="preserve"> (2018) 5 Cal.5th 594, 608</w:t>
      </w:r>
      <w:r w:rsidRPr="00357570">
        <w:t>-609</w:t>
      </w:r>
      <w:r w:rsidRPr="005B0A09">
        <w:t>.)</w:t>
      </w:r>
      <w:r>
        <w:t xml:space="preserve">  </w:t>
      </w:r>
      <w:r>
        <w:t>A</w:t>
      </w:r>
      <w:r>
        <w:t xml:space="preserve">ppellate review of </w:t>
      </w:r>
      <w:r>
        <w:t xml:space="preserve">any </w:t>
      </w:r>
      <w:r>
        <w:t>prejudice resulting from instructional errors</w:t>
      </w:r>
      <w:r>
        <w:t>, however,</w:t>
      </w:r>
      <w:r>
        <w:t xml:space="preserve"> </w:t>
      </w:r>
      <w:r>
        <w:t>is deferential to the appellant</w:t>
      </w:r>
      <w:r>
        <w:t xml:space="preserve">. </w:t>
      </w:r>
      <w:r>
        <w:t xml:space="preserve"> </w:t>
      </w:r>
      <w:r>
        <w:t>(</w:t>
      </w:r>
      <w:r w:rsidRPr="007F12B5">
        <w:rPr>
          <w:i/>
          <w:iCs/>
        </w:rPr>
        <w:t>Morales v. 22nd Dist. Agricultural Assn.</w:t>
      </w:r>
      <w:r w:rsidRPr="007F12B5">
        <w:t xml:space="preserve"> (2016) 1 Cal.App.5th 504, 525</w:t>
      </w:r>
      <w:r>
        <w:t xml:space="preserve">.) </w:t>
      </w:r>
      <w:r w:rsidRPr="007F12B5">
        <w:t xml:space="preserve"> </w:t>
      </w:r>
      <w:r>
        <w:t>In such circumstances</w:t>
      </w:r>
      <w:r>
        <w:t>,</w:t>
      </w:r>
      <w:r>
        <w:t xml:space="preserve"> “</w:t>
      </w:r>
      <w:r w:rsidRPr="007F12B5">
        <w:t xml:space="preserve">we must view the evidence in the light most </w:t>
      </w:r>
      <w:r w:rsidRPr="007F12B5">
        <w:t>favorable to the losing party</w:t>
      </w:r>
      <w:r>
        <w:t>” and</w:t>
      </w:r>
      <w:r w:rsidRPr="007F12B5">
        <w:t xml:space="preserve"> </w:t>
      </w:r>
      <w:r>
        <w:t>“</w:t>
      </w:r>
      <w:r w:rsidRPr="007F12B5">
        <w:t xml:space="preserve">must assume the jury might have </w:t>
      </w:r>
      <w:r w:rsidRPr="007F12B5">
        <w:lastRenderedPageBreak/>
        <w:t>believed the evidence upon which the proposed instruction was predicated and might have rendered a verdict in favor of the losing party had a proper instruction been given</w:t>
      </w:r>
      <w:r>
        <w:t>.”  (</w:t>
      </w:r>
      <w:proofErr w:type="spellStart"/>
      <w:r w:rsidRPr="007F12B5">
        <w:rPr>
          <w:i/>
          <w:iCs/>
        </w:rPr>
        <w:t>Bourgi</w:t>
      </w:r>
      <w:proofErr w:type="spellEnd"/>
      <w:r w:rsidRPr="007F12B5">
        <w:rPr>
          <w:i/>
          <w:iCs/>
        </w:rPr>
        <w:t xml:space="preserve"> v. West Covina Motors, Inc.</w:t>
      </w:r>
      <w:r w:rsidRPr="007F12B5">
        <w:t xml:space="preserve"> (2008) 166</w:t>
      </w:r>
      <w:r>
        <w:t> </w:t>
      </w:r>
      <w:r w:rsidRPr="007F12B5">
        <w:t>Cal.App.4th 1649, 1664</w:t>
      </w:r>
      <w:r>
        <w:t>.)</w:t>
      </w:r>
      <w:r>
        <w:t xml:space="preserve">  </w:t>
      </w:r>
    </w:p>
    <w:p w14:paraId="58DF4144" w14:textId="77777777" w:rsidR="00D45E51" w:rsidRDefault="00D45E51" w:rsidP="00727FEE">
      <w:pPr>
        <w:keepNext/>
        <w:jc w:val="center"/>
      </w:pPr>
      <w:r>
        <w:t>II.</w:t>
      </w:r>
    </w:p>
    <w:p w14:paraId="07D7B735" w14:textId="77777777" w:rsidR="00D45E51" w:rsidRDefault="00D45E51" w:rsidP="004120DD">
      <w:r>
        <w:tab/>
      </w:r>
      <w:r>
        <w:t xml:space="preserve">As an initial matter, </w:t>
      </w:r>
      <w:proofErr w:type="spellStart"/>
      <w:r>
        <w:t>Garrabrants</w:t>
      </w:r>
      <w:proofErr w:type="spellEnd"/>
      <w:r>
        <w:t xml:space="preserve"> argues Erhart </w:t>
      </w:r>
      <w:r>
        <w:t>forfeited</w:t>
      </w:r>
      <w:r>
        <w:t xml:space="preserve"> </w:t>
      </w:r>
      <w:r>
        <w:t>most</w:t>
      </w:r>
      <w:r>
        <w:t xml:space="preserve"> of his asserted instructional errors</w:t>
      </w:r>
      <w:r>
        <w:t xml:space="preserve"> by failing to </w:t>
      </w:r>
      <w:r>
        <w:t xml:space="preserve">(1) </w:t>
      </w:r>
      <w:r>
        <w:t xml:space="preserve">raise them </w:t>
      </w:r>
      <w:r>
        <w:t xml:space="preserve">at trial </w:t>
      </w:r>
      <w:r>
        <w:t xml:space="preserve">or </w:t>
      </w:r>
      <w:r>
        <w:t>(2)</w:t>
      </w:r>
      <w:r>
        <w:t> </w:t>
      </w:r>
      <w:r>
        <w:t>adequately support his claims on appeal with citations to authority or the record</w:t>
      </w:r>
      <w:r>
        <w:t xml:space="preserve">. </w:t>
      </w:r>
      <w:r>
        <w:t xml:space="preserve"> </w:t>
      </w:r>
      <w:r>
        <w:t xml:space="preserve">In response, </w:t>
      </w:r>
      <w:r>
        <w:t xml:space="preserve">Erhart urges </w:t>
      </w:r>
      <w:r>
        <w:t xml:space="preserve">(1) </w:t>
      </w:r>
      <w:r>
        <w:t xml:space="preserve">the </w:t>
      </w:r>
      <w:r>
        <w:t xml:space="preserve">alleged </w:t>
      </w:r>
      <w:r>
        <w:t xml:space="preserve">instructional </w:t>
      </w:r>
      <w:r>
        <w:t xml:space="preserve">errors </w:t>
      </w:r>
      <w:r>
        <w:t xml:space="preserve">presented </w:t>
      </w:r>
      <w:r>
        <w:t>incorrect statements of law</w:t>
      </w:r>
      <w:r>
        <w:t xml:space="preserve">, </w:t>
      </w:r>
      <w:r>
        <w:t>and thus</w:t>
      </w:r>
      <w:r>
        <w:t xml:space="preserve"> are</w:t>
      </w:r>
      <w:r>
        <w:t xml:space="preserve"> preserved </w:t>
      </w:r>
      <w:r>
        <w:t xml:space="preserve">for </w:t>
      </w:r>
      <w:r>
        <w:t>appeal regardless of objection</w:t>
      </w:r>
      <w:r>
        <w:t>;</w:t>
      </w:r>
      <w:r>
        <w:t xml:space="preserve"> and </w:t>
      </w:r>
      <w:r>
        <w:t>(2)</w:t>
      </w:r>
      <w:r>
        <w:t xml:space="preserve"> his opening brief complies with relevant </w:t>
      </w:r>
      <w:r>
        <w:t xml:space="preserve">appellate rules and </w:t>
      </w:r>
      <w:r>
        <w:t>procedure.</w:t>
      </w:r>
      <w:r>
        <w:t xml:space="preserve"> </w:t>
      </w:r>
      <w:r>
        <w:t xml:space="preserve"> We agree with Erhart</w:t>
      </w:r>
      <w:r>
        <w:t xml:space="preserve"> on both counts</w:t>
      </w:r>
      <w:r>
        <w:t>.</w:t>
      </w:r>
    </w:p>
    <w:p w14:paraId="799C1623" w14:textId="77777777" w:rsidR="00D45E51" w:rsidRDefault="00D45E51" w:rsidP="004120DD">
      <w:r>
        <w:tab/>
      </w:r>
      <w:r>
        <w:t>Subject to exceptions not relevant here, i</w:t>
      </w:r>
      <w:r>
        <w:t>f a jury instruction</w:t>
      </w:r>
      <w:r w:rsidRPr="00107309">
        <w:t xml:space="preserve"> </w:t>
      </w:r>
      <w:r>
        <w:t>contains</w:t>
      </w:r>
      <w:r w:rsidRPr="00107309">
        <w:t xml:space="preserve"> </w:t>
      </w:r>
      <w:r>
        <w:t>“</w:t>
      </w:r>
      <w:r w:rsidRPr="00107309">
        <w:t xml:space="preserve">an incorrect statement of law, the party harmed by that instruction need not have objected to the instruction or </w:t>
      </w:r>
      <w:r w:rsidRPr="00107309">
        <w:t>proposed a correct instruction of his</w:t>
      </w:r>
      <w:r>
        <w:t xml:space="preserve"> [or her]</w:t>
      </w:r>
      <w:r w:rsidRPr="00107309">
        <w:t xml:space="preserve"> own in order to preserve the right to complain of the erroneous instruction on appeal</w:t>
      </w:r>
      <w:r>
        <w:t>.”</w:t>
      </w:r>
      <w:r>
        <w:t xml:space="preserve">  (</w:t>
      </w:r>
      <w:r w:rsidRPr="00107309">
        <w:rPr>
          <w:i/>
          <w:iCs/>
        </w:rPr>
        <w:t>Suman v. BMW of North America, Inc.</w:t>
      </w:r>
      <w:r w:rsidRPr="00107309">
        <w:t xml:space="preserve"> (1994) 23</w:t>
      </w:r>
      <w:r>
        <w:t> </w:t>
      </w:r>
      <w:r w:rsidRPr="00107309">
        <w:t>Cal.App.4th 1, 9</w:t>
      </w:r>
      <w:r>
        <w:t xml:space="preserve">.)  </w:t>
      </w:r>
      <w:r>
        <w:t xml:space="preserve">Accordingly, to the extent Erhart contends the given instructions were </w:t>
      </w:r>
      <w:r>
        <w:t>legally unsound,</w:t>
      </w:r>
      <w:r>
        <w:t xml:space="preserve"> we conclude</w:t>
      </w:r>
      <w:r>
        <w:t xml:space="preserve"> </w:t>
      </w:r>
      <w:r>
        <w:t xml:space="preserve">he did not </w:t>
      </w:r>
      <w:r>
        <w:t>forfeit</w:t>
      </w:r>
      <w:r>
        <w:t xml:space="preserve"> these claims</w:t>
      </w:r>
      <w:r>
        <w:t>, at least as to the arguments addressed in this opinion</w:t>
      </w:r>
      <w:r>
        <w:t xml:space="preserve">.  </w:t>
      </w:r>
      <w:r>
        <w:t>Further,</w:t>
      </w:r>
      <w:r>
        <w:t xml:space="preserve"> </w:t>
      </w:r>
      <w:r>
        <w:t xml:space="preserve">Erhart’s opening brief is adequately supported by </w:t>
      </w:r>
      <w:r>
        <w:t xml:space="preserve">citations to </w:t>
      </w:r>
      <w:r>
        <w:t xml:space="preserve">the record and legal </w:t>
      </w:r>
      <w:r>
        <w:t xml:space="preserve">authority; thus, </w:t>
      </w:r>
      <w:r>
        <w:t>we conclu</w:t>
      </w:r>
      <w:r>
        <w:t xml:space="preserve">de </w:t>
      </w:r>
      <w:r>
        <w:t>his arguments</w:t>
      </w:r>
      <w:r>
        <w:t xml:space="preserve"> on appeal</w:t>
      </w:r>
      <w:r>
        <w:t xml:space="preserve"> are </w:t>
      </w:r>
      <w:r>
        <w:t>not forfeited on these grounds</w:t>
      </w:r>
      <w:r>
        <w:t>.</w:t>
      </w:r>
      <w:r>
        <w:t xml:space="preserve">  (</w:t>
      </w:r>
      <w:r w:rsidRPr="00015B9C">
        <w:t>Cf.</w:t>
      </w:r>
      <w:r>
        <w:t xml:space="preserve"> </w:t>
      </w:r>
      <w:r w:rsidRPr="0060578A">
        <w:rPr>
          <w:i/>
          <w:iCs/>
        </w:rPr>
        <w:t>Central Valley Gas Storage, LLC v. Southam</w:t>
      </w:r>
      <w:r w:rsidRPr="0060578A">
        <w:t xml:space="preserve"> (2017) 11</w:t>
      </w:r>
      <w:r>
        <w:t> </w:t>
      </w:r>
      <w:r w:rsidRPr="0060578A">
        <w:t>Cal.App.5th 686, 694</w:t>
      </w:r>
      <w:r>
        <w:t>.)</w:t>
      </w:r>
    </w:p>
    <w:p w14:paraId="740A2B28" w14:textId="77777777" w:rsidR="00D45E51" w:rsidRDefault="00D45E51" w:rsidP="004120DD">
      <w:r>
        <w:tab/>
      </w:r>
      <w:r>
        <w:t>Accordingly, we</w:t>
      </w:r>
      <w:r>
        <w:t xml:space="preserve"> turn to </w:t>
      </w:r>
      <w:r>
        <w:t xml:space="preserve">the merits of Erhart’s </w:t>
      </w:r>
      <w:r>
        <w:t>asserted</w:t>
      </w:r>
      <w:r>
        <w:t xml:space="preserve"> instructional error</w:t>
      </w:r>
      <w:r>
        <w:t>s</w:t>
      </w:r>
      <w:r>
        <w:t>.</w:t>
      </w:r>
    </w:p>
    <w:p w14:paraId="452693D8" w14:textId="77777777" w:rsidR="00D45E51" w:rsidRDefault="00D45E51" w:rsidP="00727FEE">
      <w:pPr>
        <w:keepNext/>
        <w:jc w:val="center"/>
      </w:pPr>
      <w:r>
        <w:lastRenderedPageBreak/>
        <w:t>III.</w:t>
      </w:r>
    </w:p>
    <w:p w14:paraId="7402981D" w14:textId="77777777" w:rsidR="00D45E51" w:rsidRDefault="00D45E51" w:rsidP="004120DD">
      <w:r>
        <w:tab/>
      </w:r>
      <w:r>
        <w:t xml:space="preserve">Erhart </w:t>
      </w:r>
      <w:r>
        <w:t xml:space="preserve">argues the </w:t>
      </w:r>
      <w:r>
        <w:t>trial court</w:t>
      </w:r>
      <w:r>
        <w:t xml:space="preserve">’s instructions </w:t>
      </w:r>
      <w:r>
        <w:t>on</w:t>
      </w:r>
      <w:r>
        <w:t xml:space="preserve"> invasion of privacy were prejudicially erroneous.</w:t>
      </w:r>
      <w:r>
        <w:t xml:space="preserve"> </w:t>
      </w:r>
      <w:r>
        <w:t xml:space="preserve"> </w:t>
      </w:r>
      <w:r>
        <w:t>W</w:t>
      </w:r>
      <w:r>
        <w:t>e agree.</w:t>
      </w:r>
    </w:p>
    <w:p w14:paraId="229277CA" w14:textId="77777777" w:rsidR="00D45E51" w:rsidRDefault="00D45E51" w:rsidP="00430BF0">
      <w:pPr>
        <w:keepNext/>
        <w:jc w:val="center"/>
      </w:pPr>
      <w:r>
        <w:t>A.</w:t>
      </w:r>
    </w:p>
    <w:p w14:paraId="680A3F8C" w14:textId="77777777" w:rsidR="00D45E51" w:rsidRDefault="00D45E51" w:rsidP="00582AEC">
      <w:r>
        <w:tab/>
      </w:r>
      <w:r>
        <w:t>A</w:t>
      </w:r>
      <w:r>
        <w:t>ny state constitutional invasion of privacy</w:t>
      </w:r>
      <w:r>
        <w:t xml:space="preserve"> claim,</w:t>
      </w:r>
      <w:r>
        <w:t xml:space="preserve"> </w:t>
      </w:r>
      <w:r>
        <w:t>including</w:t>
      </w:r>
      <w:r>
        <w:t xml:space="preserve"> a claim for</w:t>
      </w:r>
      <w:r>
        <w:t xml:space="preserve"> intrusion into private affairs, </w:t>
      </w:r>
      <w:r>
        <w:t>includes three elements</w:t>
      </w:r>
      <w:proofErr w:type="gramStart"/>
      <w:r>
        <w:t xml:space="preserve">:  </w:t>
      </w:r>
      <w:r>
        <w:t>“</w:t>
      </w:r>
      <w:proofErr w:type="gramEnd"/>
      <w:r>
        <w:t>(1) a</w:t>
      </w:r>
      <w:r>
        <w:t xml:space="preserve"> legally protected privacy interest; (2) a reasonable expectation of privacy in the circumstances</w:t>
      </w:r>
      <w:r>
        <w:t>; and (3) conduct by defendant constituting a serious invasion of privacy.”</w:t>
      </w:r>
      <w:r>
        <w:t xml:space="preserve"> </w:t>
      </w:r>
      <w:r>
        <w:t xml:space="preserve"> </w:t>
      </w:r>
      <w:r>
        <w:t>(</w:t>
      </w:r>
      <w:r w:rsidRPr="008F2214">
        <w:rPr>
          <w:i/>
          <w:iCs/>
        </w:rPr>
        <w:t>Hill v. National Collegiate Athletic Assn.</w:t>
      </w:r>
      <w:r w:rsidRPr="008F2214">
        <w:t xml:space="preserve"> (1994) 7 Cal.4th 1, 3</w:t>
      </w:r>
      <w:r>
        <w:t>9-40 (</w:t>
      </w:r>
      <w:r>
        <w:rPr>
          <w:i/>
          <w:iCs/>
        </w:rPr>
        <w:t>Hill</w:t>
      </w:r>
      <w:r>
        <w:t>).)</w:t>
      </w:r>
    </w:p>
    <w:p w14:paraId="6C34BC6B" w14:textId="77777777" w:rsidR="00D45E51" w:rsidRDefault="00D45E51" w:rsidP="008A0599">
      <w:r>
        <w:tab/>
      </w:r>
      <w:r>
        <w:t>As relevant here, t</w:t>
      </w:r>
      <w:r>
        <w:t xml:space="preserve">he </w:t>
      </w:r>
      <w:r>
        <w:t xml:space="preserve">Judicial Council of California’s model instruction </w:t>
      </w:r>
      <w:r>
        <w:t>on claim</w:t>
      </w:r>
      <w:r>
        <w:t>s</w:t>
      </w:r>
      <w:r>
        <w:t xml:space="preserve"> for invasion of privacy </w:t>
      </w:r>
      <w:r>
        <w:t>provides that, to prevail, a plaintiff must prove</w:t>
      </w:r>
      <w:r>
        <w:t xml:space="preserve"> “[t]</w:t>
      </w:r>
      <w:r w:rsidRPr="004A7DAE">
        <w:t>hat [</w:t>
      </w:r>
      <w:r w:rsidRPr="004A7DAE">
        <w:rPr>
          <w:i/>
          <w:iCs/>
        </w:rPr>
        <w:t>name of plaintiff</w:t>
      </w:r>
      <w:r w:rsidRPr="004A7DAE">
        <w:t>] had a reasonable expectation of privacy in [</w:t>
      </w:r>
      <w:r w:rsidRPr="004A7DAE">
        <w:rPr>
          <w:i/>
          <w:iCs/>
        </w:rPr>
        <w:t>specify place or other circumstance</w:t>
      </w:r>
      <w:r w:rsidRPr="004A7DAE">
        <w:t>]</w:t>
      </w:r>
      <w:r>
        <w:t xml:space="preserve">.”  (CACI 1800.)  It further states:  </w:t>
      </w:r>
    </w:p>
    <w:p w14:paraId="3E2D378D" w14:textId="77777777" w:rsidR="00D45E51" w:rsidRPr="004A7DAE" w:rsidRDefault="00D45E51" w:rsidP="004A7DAE">
      <w:pPr>
        <w:pStyle w:val="IndentedQuote"/>
      </w:pPr>
    </w:p>
    <w:p w14:paraId="67B8FE9A" w14:textId="77777777" w:rsidR="00D45E51" w:rsidRDefault="00D45E51" w:rsidP="004A7DAE">
      <w:pPr>
        <w:pStyle w:val="IndentedQuote"/>
      </w:pPr>
      <w:r w:rsidRPr="004A7DAE">
        <w:t>In deciding whether [</w:t>
      </w:r>
      <w:r w:rsidRPr="004A7DAE">
        <w:rPr>
          <w:i/>
          <w:iCs/>
        </w:rPr>
        <w:t>name of plaintiff</w:t>
      </w:r>
      <w:r w:rsidRPr="004A7DAE">
        <w:t>] had a reasonable expectation of privacy in [</w:t>
      </w:r>
      <w:r w:rsidRPr="004A7DAE">
        <w:rPr>
          <w:i/>
          <w:iCs/>
        </w:rPr>
        <w:t>specify place or other circumstance</w:t>
      </w:r>
      <w:r w:rsidRPr="004A7DAE">
        <w:t>], you should consider, among other factors, the following:</w:t>
      </w:r>
    </w:p>
    <w:p w14:paraId="3F0C46BE" w14:textId="77777777" w:rsidR="00D45E51" w:rsidRPr="004A7DAE" w:rsidRDefault="00D45E51" w:rsidP="004A7DAE">
      <w:pPr>
        <w:pStyle w:val="IndentedQuote"/>
      </w:pPr>
    </w:p>
    <w:p w14:paraId="5502B6F9" w14:textId="77777777" w:rsidR="00D45E51" w:rsidRDefault="00D45E51" w:rsidP="004A7DAE">
      <w:pPr>
        <w:pStyle w:val="IndentedQuote"/>
      </w:pPr>
      <w:r w:rsidRPr="004A7DAE">
        <w:t xml:space="preserve">(a) </w:t>
      </w:r>
      <w:r>
        <w:t xml:space="preserve"> </w:t>
      </w:r>
      <w:r w:rsidRPr="004A7DAE">
        <w:t>The identity of [</w:t>
      </w:r>
      <w:r w:rsidRPr="004A7DAE">
        <w:rPr>
          <w:i/>
          <w:iCs/>
        </w:rPr>
        <w:t>name of defendant</w:t>
      </w:r>
      <w:proofErr w:type="gramStart"/>
      <w:r w:rsidRPr="004A7DAE">
        <w:t>];</w:t>
      </w:r>
      <w:proofErr w:type="gramEnd"/>
    </w:p>
    <w:p w14:paraId="64324107" w14:textId="77777777" w:rsidR="00D45E51" w:rsidRPr="004A7DAE" w:rsidRDefault="00D45E51" w:rsidP="004A7DAE">
      <w:pPr>
        <w:pStyle w:val="IndentedQuote"/>
      </w:pPr>
    </w:p>
    <w:p w14:paraId="76F589D3" w14:textId="77777777" w:rsidR="00D45E51" w:rsidRDefault="00D45E51" w:rsidP="004A7DAE">
      <w:pPr>
        <w:pStyle w:val="IndentedQuote"/>
      </w:pPr>
      <w:r w:rsidRPr="004A7DAE">
        <w:t>(b)</w:t>
      </w:r>
      <w:r>
        <w:t xml:space="preserve"> </w:t>
      </w:r>
      <w:r w:rsidRPr="004A7DAE">
        <w:t xml:space="preserve"> The extent to which other persons had access to [</w:t>
      </w:r>
      <w:r w:rsidRPr="004A7DAE">
        <w:rPr>
          <w:i/>
          <w:iCs/>
        </w:rPr>
        <w:t>specify place or other circumstance</w:t>
      </w:r>
      <w:r w:rsidRPr="004A7DAE">
        <w:t>] and could see or hear [</w:t>
      </w:r>
      <w:r w:rsidRPr="004A7DAE">
        <w:rPr>
          <w:i/>
          <w:iCs/>
        </w:rPr>
        <w:t>name of plaintiff</w:t>
      </w:r>
      <w:r w:rsidRPr="004A7DAE">
        <w:t>]; and</w:t>
      </w:r>
    </w:p>
    <w:p w14:paraId="44B54D27" w14:textId="77777777" w:rsidR="00D45E51" w:rsidRPr="004A7DAE" w:rsidRDefault="00D45E51" w:rsidP="004A7DAE">
      <w:pPr>
        <w:pStyle w:val="IndentedQuote"/>
      </w:pPr>
    </w:p>
    <w:p w14:paraId="7A5DA16A" w14:textId="77777777" w:rsidR="00D45E51" w:rsidRPr="004A7DAE" w:rsidRDefault="00D45E51" w:rsidP="004A7DAE">
      <w:pPr>
        <w:pStyle w:val="IndentedQuote"/>
      </w:pPr>
      <w:r w:rsidRPr="004A7DAE">
        <w:t xml:space="preserve">(c) </w:t>
      </w:r>
      <w:r>
        <w:t xml:space="preserve"> </w:t>
      </w:r>
      <w:r w:rsidRPr="004A7DAE">
        <w:t>The means by which the intrusion occurred.</w:t>
      </w:r>
    </w:p>
    <w:p w14:paraId="75064DF3" w14:textId="77777777" w:rsidR="00D45E51" w:rsidRDefault="00D45E51" w:rsidP="007103CC">
      <w:pPr>
        <w:spacing w:line="240" w:lineRule="auto"/>
      </w:pPr>
    </w:p>
    <w:p w14:paraId="0DE95998" w14:textId="77777777" w:rsidR="00D45E51" w:rsidRPr="008F2214" w:rsidRDefault="00D45E51" w:rsidP="008F2214">
      <w:r>
        <w:t>(</w:t>
      </w:r>
      <w:r>
        <w:rPr>
          <w:i/>
          <w:iCs/>
        </w:rPr>
        <w:t>Ibid</w:t>
      </w:r>
      <w:r>
        <w:t>.)</w:t>
      </w:r>
      <w:r>
        <w:t xml:space="preserve">  </w:t>
      </w:r>
      <w:r>
        <w:t xml:space="preserve">Justification </w:t>
      </w:r>
      <w:r>
        <w:t>due to a countervailing interest</w:t>
      </w:r>
      <w:r>
        <w:t xml:space="preserve"> </w:t>
      </w:r>
      <w:r>
        <w:t>is a</w:t>
      </w:r>
      <w:r>
        <w:t xml:space="preserve">n affirmative </w:t>
      </w:r>
      <w:r>
        <w:t>defense</w:t>
      </w:r>
      <w:r>
        <w:t xml:space="preserve">.  </w:t>
      </w:r>
      <w:r>
        <w:t>(</w:t>
      </w:r>
      <w:r w:rsidRPr="008F2214">
        <w:rPr>
          <w:i/>
          <w:iCs/>
        </w:rPr>
        <w:t>Hill</w:t>
      </w:r>
      <w:r>
        <w:t xml:space="preserve">, </w:t>
      </w:r>
      <w:r>
        <w:rPr>
          <w:i/>
          <w:iCs/>
        </w:rPr>
        <w:t>supra</w:t>
      </w:r>
      <w:r>
        <w:t>,</w:t>
      </w:r>
      <w:r w:rsidRPr="008F2214">
        <w:t xml:space="preserve"> 7 Cal.4th </w:t>
      </w:r>
      <w:r>
        <w:t>at p.</w:t>
      </w:r>
      <w:r w:rsidRPr="008F2214">
        <w:t xml:space="preserve"> 3</w:t>
      </w:r>
      <w:r>
        <w:t>8</w:t>
      </w:r>
      <w:r>
        <w:t>.)</w:t>
      </w:r>
    </w:p>
    <w:p w14:paraId="4C1EC880" w14:textId="77777777" w:rsidR="00D45E51" w:rsidRPr="00582AEC" w:rsidRDefault="00D45E51" w:rsidP="00CE6DA5">
      <w:pPr>
        <w:keepNext/>
        <w:jc w:val="center"/>
      </w:pPr>
      <w:r>
        <w:lastRenderedPageBreak/>
        <w:t>B</w:t>
      </w:r>
      <w:r>
        <w:t>.</w:t>
      </w:r>
    </w:p>
    <w:p w14:paraId="53FEBDC0" w14:textId="77777777" w:rsidR="00D45E51" w:rsidRPr="0072187B" w:rsidRDefault="00D45E51" w:rsidP="004120DD">
      <w:r>
        <w:tab/>
      </w:r>
      <w:r>
        <w:t>Although Erhart proposed the standard CACI instruction for invasion of privacy, t</w:t>
      </w:r>
      <w:r>
        <w:t xml:space="preserve">he trial court </w:t>
      </w:r>
      <w:r>
        <w:t xml:space="preserve">instead </w:t>
      </w:r>
      <w:r>
        <w:t xml:space="preserve">instructed the jury </w:t>
      </w:r>
      <w:r>
        <w:t>with</w:t>
      </w:r>
      <w:r>
        <w:t xml:space="preserve"> </w:t>
      </w:r>
      <w:r>
        <w:t>a modified version of</w:t>
      </w:r>
      <w:r>
        <w:t xml:space="preserve"> CACI 1800</w:t>
      </w:r>
      <w:r>
        <w:t xml:space="preserve"> requested by </w:t>
      </w:r>
      <w:proofErr w:type="spellStart"/>
      <w:r>
        <w:t>Garrabrants</w:t>
      </w:r>
      <w:proofErr w:type="spellEnd"/>
      <w:r>
        <w:t>.</w:t>
      </w:r>
      <w:r>
        <w:t xml:space="preserve"> </w:t>
      </w:r>
      <w:r>
        <w:t xml:space="preserve"> As relevant </w:t>
      </w:r>
      <w:r>
        <w:t>here</w:t>
      </w:r>
      <w:r>
        <w:t>, the modified instruction</w:t>
      </w:r>
      <w:r>
        <w:t xml:space="preserve"> departed from the standard in </w:t>
      </w:r>
      <w:r>
        <w:t>specif</w:t>
      </w:r>
      <w:r>
        <w:t>ying</w:t>
      </w:r>
      <w:r>
        <w:t xml:space="preserve"> </w:t>
      </w:r>
      <w:r>
        <w:t xml:space="preserve">in its introductory paragraph </w:t>
      </w:r>
      <w:r>
        <w:t xml:space="preserve">the ways in which Erhart purportedly violated </w:t>
      </w:r>
      <w:proofErr w:type="spellStart"/>
      <w:r>
        <w:t>Garrabrants</w:t>
      </w:r>
      <w:proofErr w:type="spellEnd"/>
      <w:r>
        <w:t xml:space="preserve">’ right to privacy.  The </w:t>
      </w:r>
      <w:r>
        <w:t xml:space="preserve">given </w:t>
      </w:r>
      <w:r>
        <w:t xml:space="preserve">instruction </w:t>
      </w:r>
      <w:r>
        <w:t>did</w:t>
      </w:r>
      <w:r>
        <w:t xml:space="preserve">, however, include the standard factors the jury should consider in deciding </w:t>
      </w:r>
      <w:r>
        <w:t>if</w:t>
      </w:r>
      <w:r>
        <w:t xml:space="preserve"> </w:t>
      </w:r>
      <w:proofErr w:type="spellStart"/>
      <w:r>
        <w:t>Garrabrants</w:t>
      </w:r>
      <w:proofErr w:type="spellEnd"/>
      <w:r>
        <w:t xml:space="preserve"> had a reasonable expectation of privacy in </w:t>
      </w:r>
      <w:r>
        <w:t xml:space="preserve">the at-issue data.  </w:t>
      </w:r>
    </w:p>
    <w:p w14:paraId="6EC25420" w14:textId="77777777" w:rsidR="00D45E51" w:rsidRDefault="00D45E51" w:rsidP="004120DD">
      <w:r>
        <w:tab/>
      </w:r>
      <w:r>
        <w:t xml:space="preserve">At </w:t>
      </w:r>
      <w:proofErr w:type="spellStart"/>
      <w:r>
        <w:t>Garrabrants</w:t>
      </w:r>
      <w:proofErr w:type="spellEnd"/>
      <w:r>
        <w:t>’ request and over Erhart’s objection, t</w:t>
      </w:r>
      <w:r>
        <w:t>he trial court</w:t>
      </w:r>
      <w:r>
        <w:t xml:space="preserve"> </w:t>
      </w:r>
      <w:r>
        <w:t>followed the modified CACI 1800</w:t>
      </w:r>
      <w:r>
        <w:t xml:space="preserve"> instruction</w:t>
      </w:r>
      <w:r>
        <w:t xml:space="preserve"> with Special Instruction No. 1</w:t>
      </w:r>
      <w:proofErr w:type="gramStart"/>
      <w:r>
        <w:t>:  “</w:t>
      </w:r>
      <w:proofErr w:type="gramEnd"/>
      <w:r>
        <w:t xml:space="preserve">Bank customers have a reasonable expectation of privacy with respect to financial information disclosed to their bank.” </w:t>
      </w:r>
    </w:p>
    <w:p w14:paraId="3022469D" w14:textId="77777777" w:rsidR="00D45E51" w:rsidRDefault="00D45E51" w:rsidP="004120DD">
      <w:r>
        <w:tab/>
      </w:r>
      <w:r>
        <w:t xml:space="preserve">During closing argument, </w:t>
      </w:r>
      <w:proofErr w:type="spellStart"/>
      <w:r>
        <w:t>Garrabrants</w:t>
      </w:r>
      <w:proofErr w:type="spellEnd"/>
      <w:r>
        <w:t>’ counsel s</w:t>
      </w:r>
      <w:r>
        <w:t xml:space="preserve">tressed the indisputability of </w:t>
      </w:r>
      <w:proofErr w:type="spellStart"/>
      <w:r>
        <w:t>Garrabrants</w:t>
      </w:r>
      <w:proofErr w:type="spellEnd"/>
      <w:r>
        <w:t xml:space="preserve">’ expectation of privacy </w:t>
      </w:r>
      <w:r>
        <w:t>when walking the jury through the special verdict form, saying</w:t>
      </w:r>
      <w:r>
        <w:t xml:space="preserve"> this element was</w:t>
      </w:r>
      <w:r>
        <w:t xml:space="preserve"> “</w:t>
      </w:r>
      <w:r>
        <w:t xml:space="preserve">an easy ‘yes,’ and I don’t even think that the other side will argue the point.”  Indeed, initially, the other side did </w:t>
      </w:r>
      <w:r w:rsidRPr="002B17E8">
        <w:rPr>
          <w:i/>
          <w:iCs/>
        </w:rPr>
        <w:t>not</w:t>
      </w:r>
      <w:r>
        <w:t xml:space="preserve"> argue the point, saying, “[n]o dispute there.”  Later, however, Erhart’s counsel clarified that </w:t>
      </w:r>
      <w:r>
        <w:t xml:space="preserve">she did not believe </w:t>
      </w:r>
      <w:proofErr w:type="spellStart"/>
      <w:r>
        <w:t>Garrabrants</w:t>
      </w:r>
      <w:proofErr w:type="spellEnd"/>
      <w:r>
        <w:t xml:space="preserve"> had a reasonable expectation of privacy given </w:t>
      </w:r>
      <w:r>
        <w:t>the OCC</w:t>
      </w:r>
      <w:r>
        <w:t xml:space="preserve"> and interna</w:t>
      </w:r>
      <w:r>
        <w:t>l auditors</w:t>
      </w:r>
      <w:r>
        <w:t xml:space="preserve"> </w:t>
      </w:r>
      <w:r>
        <w:t xml:space="preserve">had access to the information. </w:t>
      </w:r>
      <w:r>
        <w:t xml:space="preserve"> </w:t>
      </w:r>
    </w:p>
    <w:p w14:paraId="2DFBB999" w14:textId="77777777" w:rsidR="00D45E51" w:rsidRDefault="00D45E51" w:rsidP="004120DD">
      <w:r>
        <w:tab/>
        <w:t>As to this issue, the special verdict form state</w:t>
      </w:r>
      <w:r>
        <w:t>d</w:t>
      </w:r>
      <w:proofErr w:type="gramStart"/>
      <w:r>
        <w:t>:  “</w:t>
      </w:r>
      <w:proofErr w:type="gramEnd"/>
      <w:r>
        <w:t xml:space="preserve">Did Mr. </w:t>
      </w:r>
      <w:proofErr w:type="spellStart"/>
      <w:r>
        <w:t>Garrabrants</w:t>
      </w:r>
      <w:proofErr w:type="spellEnd"/>
      <w:r>
        <w:t xml:space="preserve"> have a reasonable expectation of privacy in his confidential or financial information held in </w:t>
      </w:r>
      <w:proofErr w:type="spellStart"/>
      <w:r>
        <w:t>BofI</w:t>
      </w:r>
      <w:proofErr w:type="spellEnd"/>
      <w:r>
        <w:t xml:space="preserve"> Federal Bank files</w:t>
      </w:r>
      <w:r>
        <w:t xml:space="preserve">?”  The jury checked “Yes.”   </w:t>
      </w:r>
    </w:p>
    <w:p w14:paraId="2D0BDDC7" w14:textId="77777777" w:rsidR="00D45E51" w:rsidRDefault="00D45E51" w:rsidP="004120DD">
      <w:r>
        <w:tab/>
        <w:t xml:space="preserve">The court also instructed the jury </w:t>
      </w:r>
      <w:r>
        <w:t xml:space="preserve">using CACI 1807 </w:t>
      </w:r>
      <w:r>
        <w:t>on justification based on</w:t>
      </w:r>
      <w:r>
        <w:t xml:space="preserve"> </w:t>
      </w:r>
      <w:r>
        <w:t xml:space="preserve">whistleblowing as an affirmative defense.  At </w:t>
      </w:r>
      <w:proofErr w:type="spellStart"/>
      <w:r>
        <w:t>Garrabrants</w:t>
      </w:r>
      <w:proofErr w:type="spellEnd"/>
      <w:r>
        <w:t xml:space="preserve">’ insistence and over Erhart’s objection, the trial court followed that </w:t>
      </w:r>
      <w:r>
        <w:lastRenderedPageBreak/>
        <w:t xml:space="preserve">instruction with Special Instruction No. 6, which set forth six elements Erhart had to prove to establish he was involved in “whistleblowing activity.” </w:t>
      </w:r>
      <w:r>
        <w:t xml:space="preserve"> As relevant here, the elements included that Erhart “reasonably believed that it was necessary to remove [the data] because it would have been lost or destroyed had he not done so.”  </w:t>
      </w:r>
    </w:p>
    <w:p w14:paraId="3B47E1CD" w14:textId="77777777" w:rsidR="00D45E51" w:rsidRPr="005912F6" w:rsidRDefault="00D45E51" w:rsidP="004120DD">
      <w:pPr>
        <w:rPr>
          <w:i/>
          <w:iCs/>
        </w:rPr>
      </w:pPr>
      <w:r>
        <w:tab/>
        <w:t xml:space="preserve">The special verdict form asked the jury to decide whether Erhart was, “in good faith, involved in a whistleblowing activity for which Mr. </w:t>
      </w:r>
      <w:proofErr w:type="spellStart"/>
      <w:r>
        <w:t>Garrabrants</w:t>
      </w:r>
      <w:proofErr w:type="spellEnd"/>
      <w:r>
        <w:t xml:space="preserve">’ confidential or financial information was material.”  The jury checked “Yes.” </w:t>
      </w:r>
    </w:p>
    <w:p w14:paraId="4FAE4C64" w14:textId="77777777" w:rsidR="00D45E51" w:rsidRDefault="00D45E51" w:rsidP="00020F60">
      <w:pPr>
        <w:keepNext/>
        <w:jc w:val="center"/>
      </w:pPr>
      <w:r w:rsidRPr="00864DF4">
        <w:t>C</w:t>
      </w:r>
      <w:r w:rsidRPr="00864DF4">
        <w:t>.</w:t>
      </w:r>
    </w:p>
    <w:p w14:paraId="6CB566C7" w14:textId="77777777" w:rsidR="00D45E51" w:rsidRPr="002211E5" w:rsidRDefault="00D45E51" w:rsidP="002211E5">
      <w:r>
        <w:tab/>
      </w:r>
      <w:r w:rsidRPr="002211E5">
        <w:t>Erhart identifies numerous alleged errors in the trial court</w:t>
      </w:r>
      <w:r>
        <w:t>’</w:t>
      </w:r>
      <w:r w:rsidRPr="002211E5">
        <w:t>s instructions on invasion of privacy.  We conclude Erhart</w:t>
      </w:r>
      <w:r>
        <w:t>’</w:t>
      </w:r>
      <w:r w:rsidRPr="002211E5">
        <w:t>s argument that Special Instruction No. 1</w:t>
      </w:r>
      <w:r>
        <w:t>’s</w:t>
      </w:r>
      <w:r w:rsidRPr="002211E5">
        <w:t xml:space="preserve"> </w:t>
      </w:r>
      <w:r>
        <w:t>erroneous state</w:t>
      </w:r>
      <w:r>
        <w:t>ment</w:t>
      </w:r>
      <w:r w:rsidRPr="002211E5">
        <w:t xml:space="preserve"> that bank customers</w:t>
      </w:r>
      <w:r>
        <w:t xml:space="preserve"> have an unconditional</w:t>
      </w:r>
      <w:r w:rsidRPr="002211E5">
        <w:t xml:space="preserve"> expectation of privacy in the financial information </w:t>
      </w:r>
      <w:r>
        <w:t xml:space="preserve">they provide to banks </w:t>
      </w:r>
      <w:r w:rsidRPr="002211E5">
        <w:t xml:space="preserve">is dispositive. </w:t>
      </w:r>
    </w:p>
    <w:p w14:paraId="0634C0F4" w14:textId="77777777" w:rsidR="00D45E51" w:rsidRDefault="00D45E51" w:rsidP="00B245E3">
      <w:pPr>
        <w:keepNext/>
        <w:jc w:val="center"/>
      </w:pPr>
      <w:r>
        <w:t>1.</w:t>
      </w:r>
    </w:p>
    <w:p w14:paraId="30DB1068" w14:textId="77777777" w:rsidR="00D45E51" w:rsidRDefault="00D45E51" w:rsidP="004120DD">
      <w:r>
        <w:tab/>
      </w:r>
      <w:r>
        <w:t xml:space="preserve">Erhart </w:t>
      </w:r>
      <w:r>
        <w:t>contends</w:t>
      </w:r>
      <w:r>
        <w:t xml:space="preserve"> that a bank customer’s </w:t>
      </w:r>
      <w:r>
        <w:t>expectation of privacy</w:t>
      </w:r>
      <w:r>
        <w:t xml:space="preserve"> in financial information provided to </w:t>
      </w:r>
      <w:r>
        <w:t>a</w:t>
      </w:r>
      <w:r>
        <w:t xml:space="preserve"> bank is “</w:t>
      </w:r>
      <w:r>
        <w:rPr>
          <w:i/>
          <w:iCs/>
        </w:rPr>
        <w:t>not absolute</w:t>
      </w:r>
      <w:r>
        <w:t xml:space="preserve">,” </w:t>
      </w:r>
      <w:r>
        <w:t>yet</w:t>
      </w:r>
      <w:r>
        <w:t xml:space="preserve"> Special Instruction No. 1 “effectively dictated that the jury </w:t>
      </w:r>
      <w:proofErr w:type="gramStart"/>
      <w:r>
        <w:t>find for</w:t>
      </w:r>
      <w:proofErr w:type="gramEnd"/>
      <w:r>
        <w:t xml:space="preserve"> </w:t>
      </w:r>
      <w:proofErr w:type="spellStart"/>
      <w:r>
        <w:t>Garrabrants</w:t>
      </w:r>
      <w:proofErr w:type="spellEnd"/>
      <w:r>
        <w:t xml:space="preserve"> on the first element”</w:t>
      </w:r>
      <w:r>
        <w:t xml:space="preserve"> of </w:t>
      </w:r>
      <w:r>
        <w:t>t</w:t>
      </w:r>
      <w:r>
        <w:t>his claim.</w:t>
      </w:r>
      <w:r>
        <w:t xml:space="preserve"> </w:t>
      </w:r>
      <w:r>
        <w:rPr>
          <w:i/>
          <w:iCs/>
        </w:rPr>
        <w:t xml:space="preserve"> </w:t>
      </w:r>
      <w:proofErr w:type="spellStart"/>
      <w:r>
        <w:t>Garrabrants</w:t>
      </w:r>
      <w:proofErr w:type="spellEnd"/>
      <w:r>
        <w:t xml:space="preserve"> counters that “[b]</w:t>
      </w:r>
      <w:proofErr w:type="spellStart"/>
      <w:r>
        <w:t>ank</w:t>
      </w:r>
      <w:proofErr w:type="spellEnd"/>
      <w:r>
        <w:t xml:space="preserve"> customers unquestionably have a reasonable expectation of privacy in their financial affairs and the information that they provide to banks”</w:t>
      </w:r>
      <w:r>
        <w:t xml:space="preserve"> and </w:t>
      </w:r>
      <w:r>
        <w:t xml:space="preserve">that </w:t>
      </w:r>
      <w:r>
        <w:t>th</w:t>
      </w:r>
      <w:r>
        <w:t>e special instruction’</w:t>
      </w:r>
      <w:r>
        <w:t xml:space="preserve">s </w:t>
      </w:r>
      <w:r>
        <w:t xml:space="preserve">language “was taken almost verbatim from </w:t>
      </w:r>
      <w:r>
        <w:rPr>
          <w:i/>
          <w:iCs/>
        </w:rPr>
        <w:t xml:space="preserve">Valley </w:t>
      </w:r>
      <w:proofErr w:type="gramStart"/>
      <w:r>
        <w:rPr>
          <w:i/>
          <w:iCs/>
        </w:rPr>
        <w:t>Bank</w:t>
      </w:r>
      <w:r>
        <w:t>[</w:t>
      </w:r>
      <w:proofErr w:type="gramEnd"/>
      <w:r>
        <w:t> </w:t>
      </w:r>
      <w:r>
        <w:rPr>
          <w:i/>
          <w:iCs/>
        </w:rPr>
        <w:t xml:space="preserve">of Nev. </w:t>
      </w:r>
      <w:r>
        <w:rPr>
          <w:i/>
          <w:iCs/>
        </w:rPr>
        <w:t xml:space="preserve">v. Superior Court </w:t>
      </w:r>
      <w:r>
        <w:t>(1975) 15 Cal.3d 652 (</w:t>
      </w:r>
      <w:r>
        <w:rPr>
          <w:i/>
          <w:iCs/>
        </w:rPr>
        <w:t>Valley Bank</w:t>
      </w:r>
      <w:r>
        <w:t>)].”</w:t>
      </w:r>
      <w:r>
        <w:t xml:space="preserve"> </w:t>
      </w:r>
      <w:r>
        <w:t xml:space="preserve"> </w:t>
      </w:r>
    </w:p>
    <w:p w14:paraId="5F112F5C" w14:textId="77777777" w:rsidR="00D45E51" w:rsidRPr="00B245E3" w:rsidRDefault="00D45E51" w:rsidP="004120DD">
      <w:pPr>
        <w:rPr>
          <w:i/>
          <w:iCs/>
        </w:rPr>
      </w:pPr>
      <w:r>
        <w:tab/>
      </w:r>
      <w:r>
        <w:t xml:space="preserve">In </w:t>
      </w:r>
      <w:r>
        <w:t>offering Special Instruction No. 1</w:t>
      </w:r>
      <w:r>
        <w:t xml:space="preserve"> at trial</w:t>
      </w:r>
      <w:r>
        <w:t xml:space="preserve">, </w:t>
      </w:r>
      <w:proofErr w:type="spellStart"/>
      <w:r>
        <w:t>Garrabrants</w:t>
      </w:r>
      <w:proofErr w:type="spellEnd"/>
      <w:r>
        <w:t xml:space="preserve"> cited </w:t>
      </w:r>
      <w:r>
        <w:rPr>
          <w:i/>
          <w:iCs/>
        </w:rPr>
        <w:t>Valley Bank</w:t>
      </w:r>
      <w:r>
        <w:t xml:space="preserve">, </w:t>
      </w:r>
      <w:r>
        <w:rPr>
          <w:i/>
          <w:iCs/>
        </w:rPr>
        <w:t>Burrows v. Superior Court</w:t>
      </w:r>
      <w:r>
        <w:t xml:space="preserve"> (1974) 13 Cal.3d</w:t>
      </w:r>
      <w:r>
        <w:t xml:space="preserve"> 238</w:t>
      </w:r>
      <w:r>
        <w:t xml:space="preserve"> (</w:t>
      </w:r>
      <w:r>
        <w:rPr>
          <w:i/>
          <w:iCs/>
        </w:rPr>
        <w:t>Burrows</w:t>
      </w:r>
      <w:r>
        <w:t>)</w:t>
      </w:r>
      <w:r>
        <w:t>,</w:t>
      </w:r>
      <w:r>
        <w:t xml:space="preserve"> and</w:t>
      </w:r>
      <w:r>
        <w:t xml:space="preserve"> </w:t>
      </w:r>
      <w:r>
        <w:rPr>
          <w:i/>
          <w:iCs/>
        </w:rPr>
        <w:t>Fortunato v. Superior Court</w:t>
      </w:r>
      <w:r>
        <w:t xml:space="preserve"> (</w:t>
      </w:r>
      <w:r>
        <w:t>2003</w:t>
      </w:r>
      <w:r>
        <w:t>) 114 Cal.App.4th 475</w:t>
      </w:r>
      <w:r>
        <w:t xml:space="preserve"> (</w:t>
      </w:r>
      <w:r>
        <w:rPr>
          <w:i/>
          <w:iCs/>
        </w:rPr>
        <w:t>Fortunato</w:t>
      </w:r>
      <w:r>
        <w:t>)</w:t>
      </w:r>
      <w:r>
        <w:t xml:space="preserve">.  </w:t>
      </w:r>
      <w:r>
        <w:lastRenderedPageBreak/>
        <w:t>In</w:t>
      </w:r>
      <w:r>
        <w:t> </w:t>
      </w:r>
      <w:r>
        <w:rPr>
          <w:i/>
          <w:iCs/>
        </w:rPr>
        <w:t>Burrows</w:t>
      </w:r>
      <w:r>
        <w:t xml:space="preserve">, </w:t>
      </w:r>
      <w:r>
        <w:t>where</w:t>
      </w:r>
      <w:r>
        <w:t xml:space="preserve"> </w:t>
      </w:r>
      <w:r>
        <w:t>a</w:t>
      </w:r>
      <w:r>
        <w:t xml:space="preserve"> petitioner</w:t>
      </w:r>
      <w:r>
        <w:t xml:space="preserve"> </w:t>
      </w:r>
      <w:r>
        <w:t xml:space="preserve">under investigation for misappropriating client funds </w:t>
      </w:r>
      <w:r>
        <w:t>sought to</w:t>
      </w:r>
      <w:r>
        <w:t xml:space="preserve"> suppress financial records obtained from his bank without a warrant,</w:t>
      </w:r>
      <w:r>
        <w:t xml:space="preserve"> </w:t>
      </w:r>
      <w:r>
        <w:t>our Supreme</w:t>
      </w:r>
      <w:r>
        <w:t xml:space="preserve"> </w:t>
      </w:r>
      <w:r>
        <w:t>C</w:t>
      </w:r>
      <w:r>
        <w:t>ourt held that</w:t>
      </w:r>
      <w:r>
        <w:t xml:space="preserve"> </w:t>
      </w:r>
      <w:r>
        <w:t>“[a]</w:t>
      </w:r>
      <w:r w:rsidRPr="00843065">
        <w:t xml:space="preserve"> bank customer</w:t>
      </w:r>
      <w:r>
        <w:t>’</w:t>
      </w:r>
      <w:r w:rsidRPr="00843065">
        <w:t xml:space="preserve">s </w:t>
      </w:r>
      <w:r w:rsidRPr="00843065">
        <w:t xml:space="preserve">reasonable expectation is </w:t>
      </w:r>
      <w:proofErr w:type="gramStart"/>
      <w:r w:rsidRPr="00843065">
        <w:t>that,</w:t>
      </w:r>
      <w:proofErr w:type="gramEnd"/>
      <w:r w:rsidRPr="00843065">
        <w:t xml:space="preserve"> absent compulsion by legal process, the matters he reveals to the bank will be utilized by the bank only for internal banking purposes.</w:t>
      </w:r>
      <w:r>
        <w:t>”</w:t>
      </w:r>
      <w:r w:rsidRPr="00843065">
        <w:t xml:space="preserve"> </w:t>
      </w:r>
      <w:r>
        <w:t xml:space="preserve"> </w:t>
      </w:r>
      <w:r>
        <w:t>(</w:t>
      </w:r>
      <w:r>
        <w:rPr>
          <w:i/>
          <w:iCs/>
        </w:rPr>
        <w:t>Burrows</w:t>
      </w:r>
      <w:r>
        <w:t>, at p</w:t>
      </w:r>
      <w:r>
        <w:t>. 243.)</w:t>
      </w:r>
      <w:r>
        <w:t xml:space="preserve">  In </w:t>
      </w:r>
      <w:r>
        <w:rPr>
          <w:i/>
          <w:iCs/>
        </w:rPr>
        <w:t>Valley Bank</w:t>
      </w:r>
      <w:r>
        <w:t xml:space="preserve">, </w:t>
      </w:r>
      <w:r>
        <w:t xml:space="preserve">where a bank disputed a discovery order compelling it to turn over third-party </w:t>
      </w:r>
      <w:r>
        <w:t xml:space="preserve">financial statements in a legal proceeding, </w:t>
      </w:r>
      <w:r>
        <w:t>the court of appeal recognized “</w:t>
      </w:r>
      <w:r w:rsidRPr="00CE5206">
        <w:t>the right of bank customers to maintain reasonable privacy regarding their financial affairs</w:t>
      </w:r>
      <w:r>
        <w:t>.”  (</w:t>
      </w:r>
      <w:r>
        <w:rPr>
          <w:i/>
          <w:iCs/>
        </w:rPr>
        <w:t>Valley Bank</w:t>
      </w:r>
      <w:r>
        <w:t xml:space="preserve">, </w:t>
      </w:r>
      <w:r>
        <w:rPr>
          <w:i/>
          <w:iCs/>
        </w:rPr>
        <w:t>supra</w:t>
      </w:r>
      <w:r>
        <w:t>, 15 Cal.3d</w:t>
      </w:r>
      <w:r>
        <w:rPr>
          <w:i/>
          <w:iCs/>
        </w:rPr>
        <w:t xml:space="preserve"> </w:t>
      </w:r>
      <w:r>
        <w:t xml:space="preserve">at p. 657.)  </w:t>
      </w:r>
      <w:r>
        <w:t xml:space="preserve">And in </w:t>
      </w:r>
      <w:r>
        <w:rPr>
          <w:i/>
          <w:iCs/>
        </w:rPr>
        <w:t>F</w:t>
      </w:r>
      <w:r>
        <w:rPr>
          <w:i/>
          <w:iCs/>
        </w:rPr>
        <w:t>ortunato</w:t>
      </w:r>
      <w:r>
        <w:t xml:space="preserve">, a </w:t>
      </w:r>
      <w:r>
        <w:t>probate matter</w:t>
      </w:r>
      <w:r>
        <w:t xml:space="preserve"> where the </w:t>
      </w:r>
      <w:r>
        <w:t xml:space="preserve">possible waiver of the tax-return privilege was at issue, </w:t>
      </w:r>
      <w:r>
        <w:t xml:space="preserve">the court of appeal </w:t>
      </w:r>
      <w:r>
        <w:t xml:space="preserve">stated that </w:t>
      </w:r>
      <w:r>
        <w:t>“</w:t>
      </w:r>
      <w:r w:rsidRPr="00777645">
        <w:t xml:space="preserve">there is a right to privacy in confidential customer information </w:t>
      </w:r>
      <w:r w:rsidRPr="00777645">
        <w:rPr>
          <w:i/>
          <w:iCs/>
        </w:rPr>
        <w:t>whatever</w:t>
      </w:r>
      <w:r w:rsidRPr="00777645">
        <w:t xml:space="preserve"> form it takes, whether that form be tax returns, checks, statements, or other account information.</w:t>
      </w:r>
      <w:r>
        <w:t>”  (</w:t>
      </w:r>
      <w:r>
        <w:rPr>
          <w:i/>
          <w:iCs/>
        </w:rPr>
        <w:t>Fortunato</w:t>
      </w:r>
      <w:r>
        <w:t>, at p. 481.)</w:t>
      </w:r>
      <w:r>
        <w:t xml:space="preserve">  </w:t>
      </w:r>
      <w:proofErr w:type="spellStart"/>
      <w:r>
        <w:t>Garrabrants</w:t>
      </w:r>
      <w:proofErr w:type="spellEnd"/>
      <w:r>
        <w:t xml:space="preserve"> again contends that each of these cases supports Special Instruction No. 1. </w:t>
      </w:r>
      <w:r>
        <w:t xml:space="preserve"> </w:t>
      </w:r>
    </w:p>
    <w:p w14:paraId="3152C480" w14:textId="77777777" w:rsidR="00D45E51" w:rsidRDefault="00D45E51" w:rsidP="004120DD">
      <w:r>
        <w:tab/>
      </w:r>
      <w:r>
        <w:t xml:space="preserve">However, we agree </w:t>
      </w:r>
      <w:r>
        <w:t>with Erhart that, while</w:t>
      </w:r>
      <w:r>
        <w:t xml:space="preserve"> these cases stand for the proposition that</w:t>
      </w:r>
      <w:r>
        <w:t xml:space="preserve"> a bank customer has a constitutionally protected </w:t>
      </w:r>
      <w:r w:rsidRPr="003E7D86">
        <w:rPr>
          <w:i/>
          <w:iCs/>
        </w:rPr>
        <w:t>right</w:t>
      </w:r>
      <w:r>
        <w:t xml:space="preserve"> </w:t>
      </w:r>
      <w:r w:rsidRPr="00660CDE">
        <w:rPr>
          <w:i/>
          <w:iCs/>
        </w:rPr>
        <w:t>to</w:t>
      </w:r>
      <w:r>
        <w:t xml:space="preserve"> privacy in financial information provided to a financial institution for banking purposes, that right does not translate into an </w:t>
      </w:r>
      <w:r>
        <w:t>unqualified</w:t>
      </w:r>
      <w:r>
        <w:t xml:space="preserve"> </w:t>
      </w:r>
      <w:r w:rsidRPr="003E7D86">
        <w:rPr>
          <w:i/>
          <w:iCs/>
        </w:rPr>
        <w:t>reasonable expectation</w:t>
      </w:r>
      <w:r>
        <w:t xml:space="preserve"> </w:t>
      </w:r>
      <w:r w:rsidRPr="00660CDE">
        <w:rPr>
          <w:i/>
          <w:iCs/>
        </w:rPr>
        <w:t>of</w:t>
      </w:r>
      <w:r>
        <w:t xml:space="preserve"> privacy in </w:t>
      </w:r>
      <w:r>
        <w:t>that information</w:t>
      </w:r>
      <w:r>
        <w:t xml:space="preserve"> in all circumstances</w:t>
      </w:r>
      <w:r>
        <w:t>.</w:t>
      </w:r>
      <w:r>
        <w:t xml:space="preserve">  </w:t>
      </w:r>
      <w:r>
        <w:t>As</w:t>
      </w:r>
      <w:r>
        <w:t> </w:t>
      </w:r>
      <w:r>
        <w:t xml:space="preserve">our Supreme Court recognized in </w:t>
      </w:r>
      <w:r>
        <w:rPr>
          <w:i/>
          <w:iCs/>
        </w:rPr>
        <w:t>Hill</w:t>
      </w:r>
      <w:r>
        <w:t xml:space="preserve">, the foundational case on </w:t>
      </w:r>
      <w:r>
        <w:t>c</w:t>
      </w:r>
      <w:r>
        <w:t>laims</w:t>
      </w:r>
      <w:r>
        <w:t xml:space="preserve"> for invasion of privacy, </w:t>
      </w:r>
      <w:r>
        <w:t>“[e]</w:t>
      </w:r>
      <w:proofErr w:type="spellStart"/>
      <w:r w:rsidRPr="0073478F">
        <w:t>ven</w:t>
      </w:r>
      <w:proofErr w:type="spellEnd"/>
      <w:r w:rsidRPr="0073478F">
        <w:t xml:space="preserve"> when a legally cognizable privacy interest is present, other factors may affect a pers</w:t>
      </w:r>
      <w:r w:rsidRPr="0073478F">
        <w:t>on</w:t>
      </w:r>
      <w:r>
        <w:t>’</w:t>
      </w:r>
      <w:r w:rsidRPr="0073478F">
        <w:t>s reasonable expectation of privacy.</w:t>
      </w:r>
      <w:r>
        <w:t>”  (</w:t>
      </w:r>
      <w:r w:rsidRPr="0073478F">
        <w:rPr>
          <w:i/>
          <w:iCs/>
        </w:rPr>
        <w:t>Hill</w:t>
      </w:r>
      <w:r>
        <w:t xml:space="preserve">, </w:t>
      </w:r>
      <w:r>
        <w:rPr>
          <w:i/>
          <w:iCs/>
        </w:rPr>
        <w:t>supra</w:t>
      </w:r>
      <w:r>
        <w:t>,</w:t>
      </w:r>
      <w:r w:rsidRPr="0073478F">
        <w:t xml:space="preserve"> 7 Cal.4th </w:t>
      </w:r>
      <w:r>
        <w:t>at p. 36.)</w:t>
      </w:r>
      <w:r>
        <w:t xml:space="preserve">  </w:t>
      </w:r>
      <w:r>
        <w:t>W</w:t>
      </w:r>
      <w:r>
        <w:t xml:space="preserve">hether an expectation of privacy is reasonable </w:t>
      </w:r>
      <w:r>
        <w:t xml:space="preserve">in any given circumstance </w:t>
      </w:r>
      <w:r>
        <w:t>is</w:t>
      </w:r>
      <w:r>
        <w:t xml:space="preserve"> a</w:t>
      </w:r>
      <w:r>
        <w:t xml:space="preserve"> contex</w:t>
      </w:r>
      <w:r>
        <w:t>t-specific</w:t>
      </w:r>
      <w:r>
        <w:t xml:space="preserve"> </w:t>
      </w:r>
      <w:r>
        <w:t>inquiry</w:t>
      </w:r>
      <w:r>
        <w:t>, and “‘[t]</w:t>
      </w:r>
      <w:r w:rsidRPr="007723DB">
        <w:t>he protection afforded to the plaintiff</w:t>
      </w:r>
      <w:r>
        <w:t>’</w:t>
      </w:r>
      <w:r w:rsidRPr="007723DB">
        <w:t>s interest in his</w:t>
      </w:r>
      <w:r>
        <w:t xml:space="preserve"> [or her]</w:t>
      </w:r>
      <w:r w:rsidRPr="007723DB">
        <w:t xml:space="preserve"> privacy </w:t>
      </w:r>
      <w:r w:rsidRPr="007723DB">
        <w:lastRenderedPageBreak/>
        <w:t xml:space="preserve">must be relative to the customs of the time and place, to the occupation of the </w:t>
      </w:r>
      <w:proofErr w:type="gramStart"/>
      <w:r w:rsidRPr="007723DB">
        <w:t>plaintiff</w:t>
      </w:r>
      <w:r>
        <w:t>[</w:t>
      </w:r>
      <w:proofErr w:type="gramEnd"/>
      <w:r>
        <w:t>,]</w:t>
      </w:r>
      <w:r w:rsidRPr="007723DB">
        <w:t xml:space="preserve"> and to the habits of his</w:t>
      </w:r>
      <w:r>
        <w:t xml:space="preserve"> [or her]</w:t>
      </w:r>
      <w:r w:rsidRPr="007723DB">
        <w:t xml:space="preserve"> neighbors and fellow citizens</w:t>
      </w:r>
      <w:r>
        <w:t>.”  (</w:t>
      </w:r>
      <w:r>
        <w:rPr>
          <w:i/>
          <w:iCs/>
        </w:rPr>
        <w:t>Id.</w:t>
      </w:r>
      <w:r>
        <w:t xml:space="preserve"> at </w:t>
      </w:r>
      <w:r>
        <w:t xml:space="preserve">pp. </w:t>
      </w:r>
      <w:r>
        <w:t>36-37</w:t>
      </w:r>
      <w:r>
        <w:t xml:space="preserve"> </w:t>
      </w:r>
      <w:r w:rsidRPr="0044733B">
        <w:t>(</w:t>
      </w:r>
      <w:r w:rsidRPr="005B10B8">
        <w:t>quoting</w:t>
      </w:r>
      <w:r w:rsidRPr="005B10B8">
        <w:t> Rest.2d Torts, § 652D, com. c</w:t>
      </w:r>
      <w:r w:rsidRPr="0044733B">
        <w:t>)</w:t>
      </w:r>
      <w:r w:rsidRPr="0044733B">
        <w:t>.)</w:t>
      </w:r>
      <w:r>
        <w:t xml:space="preserve">  </w:t>
      </w:r>
      <w:r>
        <w:rPr>
          <w:i/>
          <w:iCs/>
        </w:rPr>
        <w:t>Burrows</w:t>
      </w:r>
      <w:r>
        <w:t xml:space="preserve">, cited by </w:t>
      </w:r>
      <w:proofErr w:type="spellStart"/>
      <w:r>
        <w:t>Garrabrants</w:t>
      </w:r>
      <w:proofErr w:type="spellEnd"/>
      <w:r>
        <w:t>,</w:t>
      </w:r>
      <w:r>
        <w:rPr>
          <w:i/>
          <w:iCs/>
        </w:rPr>
        <w:t xml:space="preserve"> </w:t>
      </w:r>
      <w:r>
        <w:t>recognizes as much in identifying “</w:t>
      </w:r>
      <w:r w:rsidRPr="00843065">
        <w:t>compulsion by legal process</w:t>
      </w:r>
      <w:r>
        <w:t>”</w:t>
      </w:r>
      <w:r w:rsidRPr="00843065">
        <w:t xml:space="preserve"> </w:t>
      </w:r>
      <w:r>
        <w:t>as a factor potentially affecting the expectation of privacy.</w:t>
      </w:r>
      <w:r w:rsidRPr="00843065">
        <w:t xml:space="preserve"> </w:t>
      </w:r>
      <w:r>
        <w:t xml:space="preserve"> (</w:t>
      </w:r>
      <w:r>
        <w:rPr>
          <w:i/>
          <w:iCs/>
        </w:rPr>
        <w:t>Burrows</w:t>
      </w:r>
      <w:r>
        <w:t xml:space="preserve">, </w:t>
      </w:r>
      <w:r>
        <w:rPr>
          <w:i/>
          <w:iCs/>
        </w:rPr>
        <w:t>supra</w:t>
      </w:r>
      <w:r>
        <w:t xml:space="preserve">, 13 Cal.3d. at p. 243.)  </w:t>
      </w:r>
      <w:r>
        <w:t>Ultimately, “</w:t>
      </w:r>
      <w:r w:rsidRPr="00C52466">
        <w:t>whether a legally recognized privacy interest exists is a que</w:t>
      </w:r>
      <w:r w:rsidRPr="00C52466">
        <w:t>stion of law, and whether the circumstances give rise to a reasonable expectation of privacy and a serious invasion thereof are mixed questions of law and fact.</w:t>
      </w:r>
      <w:r>
        <w:t>”  (</w:t>
      </w:r>
      <w:r w:rsidRPr="00C52466">
        <w:rPr>
          <w:i/>
          <w:iCs/>
        </w:rPr>
        <w:t>Pioneer Electronics (USA), Inc. v. Superior Court</w:t>
      </w:r>
      <w:r w:rsidRPr="00C52466">
        <w:t xml:space="preserve"> (2007) 40 Cal.4th 360, 370</w:t>
      </w:r>
      <w:r>
        <w:t>.)</w:t>
      </w:r>
      <w:r>
        <w:t xml:space="preserve">  </w:t>
      </w:r>
    </w:p>
    <w:p w14:paraId="4F492170" w14:textId="77777777" w:rsidR="00D45E51" w:rsidRPr="00790F86" w:rsidRDefault="00D45E51" w:rsidP="004120DD">
      <w:r>
        <w:tab/>
      </w:r>
      <w:r>
        <w:t>Here,</w:t>
      </w:r>
      <w:r>
        <w:t xml:space="preserve"> Special Instruction No. 1 invaded the province of the jury by </w:t>
      </w:r>
      <w:r>
        <w:t>removing from its consideration</w:t>
      </w:r>
      <w:r>
        <w:t xml:space="preserve"> whether</w:t>
      </w:r>
      <w:r>
        <w:t xml:space="preserve">, in the factual context </w:t>
      </w:r>
      <w:r>
        <w:t xml:space="preserve">of this </w:t>
      </w:r>
      <w:proofErr w:type="gramStart"/>
      <w:r>
        <w:t xml:space="preserve">particular </w:t>
      </w:r>
      <w:r>
        <w:t>dispute</w:t>
      </w:r>
      <w:proofErr w:type="gramEnd"/>
      <w:r>
        <w:t xml:space="preserve">, </w:t>
      </w:r>
      <w:proofErr w:type="spellStart"/>
      <w:r>
        <w:t>Garrabrants</w:t>
      </w:r>
      <w:proofErr w:type="spellEnd"/>
      <w:r>
        <w:t xml:space="preserve"> had a reasonable expectation that his financial documents wou</w:t>
      </w:r>
      <w:r>
        <w:t>ld remain private</w:t>
      </w:r>
      <w:r>
        <w:t xml:space="preserve">. </w:t>
      </w:r>
      <w:r>
        <w:t xml:space="preserve"> </w:t>
      </w:r>
      <w:r>
        <w:t>I</w:t>
      </w:r>
      <w:r>
        <w:t>nstead</w:t>
      </w:r>
      <w:r>
        <w:t xml:space="preserve">, </w:t>
      </w:r>
      <w:r>
        <w:t>the instruction</w:t>
      </w:r>
      <w:r>
        <w:t xml:space="preserve"> effectively </w:t>
      </w:r>
      <w:r>
        <w:t>inform</w:t>
      </w:r>
      <w:r>
        <w:t>ed</w:t>
      </w:r>
      <w:r>
        <w:t xml:space="preserve"> the jury </w:t>
      </w:r>
      <w:r>
        <w:t xml:space="preserve">that </w:t>
      </w:r>
      <w:r>
        <w:t xml:space="preserve">this element was satisfied regardless of </w:t>
      </w:r>
      <w:r>
        <w:t>context</w:t>
      </w:r>
      <w:r>
        <w:t>.</w:t>
      </w:r>
      <w:r>
        <w:t xml:space="preserve"> </w:t>
      </w:r>
      <w:r>
        <w:t xml:space="preserve"> </w:t>
      </w:r>
      <w:r>
        <w:t xml:space="preserve">That the instruction was “taken almost verbatim from </w:t>
      </w:r>
      <w:r>
        <w:rPr>
          <w:i/>
          <w:iCs/>
        </w:rPr>
        <w:t>Valley Bank</w:t>
      </w:r>
      <w:r>
        <w:t xml:space="preserve">” </w:t>
      </w:r>
      <w:r>
        <w:t>does not alter our conclusion</w:t>
      </w:r>
      <w:r>
        <w:t xml:space="preserve">. </w:t>
      </w:r>
      <w:r>
        <w:t xml:space="preserve"> </w:t>
      </w:r>
      <w:r>
        <w:t>Indeed, “</w:t>
      </w:r>
      <w:r w:rsidRPr="00DD5378">
        <w:t>it is dangerous to frame an instruction upon isolated extracts from the opinions of the court</w:t>
      </w:r>
      <w:r>
        <w:t>,</w:t>
      </w:r>
      <w:r>
        <w:t>”</w:t>
      </w:r>
      <w:r>
        <w:t xml:space="preserve"> as </w:t>
      </w:r>
      <w:r>
        <w:t>“</w:t>
      </w:r>
      <w:r w:rsidRPr="002A638F">
        <w:t>‘</w:t>
      </w:r>
      <w:r>
        <w:t>[j]</w:t>
      </w:r>
      <w:proofErr w:type="spellStart"/>
      <w:r w:rsidRPr="002A638F">
        <w:t>udicial</w:t>
      </w:r>
      <w:proofErr w:type="spellEnd"/>
      <w:r w:rsidRPr="002A638F">
        <w:t xml:space="preserve"> opinions are not written as jury instructions and are notoriously unreliable as such.’</w:t>
      </w:r>
      <w:r>
        <w:t>”</w:t>
      </w:r>
      <w:r w:rsidRPr="002A638F">
        <w:t xml:space="preserve"> </w:t>
      </w:r>
      <w:r>
        <w:t xml:space="preserve"> (</w:t>
      </w:r>
      <w:r w:rsidRPr="00DD5378">
        <w:rPr>
          <w:i/>
          <w:iCs/>
        </w:rPr>
        <w:t>Francis v. San Francisco</w:t>
      </w:r>
      <w:r w:rsidRPr="00DD5378">
        <w:t xml:space="preserve"> (1955) 44 Cal.2d 335, 341</w:t>
      </w:r>
      <w:r>
        <w:t xml:space="preserve">; </w:t>
      </w:r>
      <w:r w:rsidRPr="002A638F">
        <w:rPr>
          <w:i/>
          <w:iCs/>
        </w:rPr>
        <w:t>Merritt v. Reserve Ins. Co.</w:t>
      </w:r>
      <w:r w:rsidRPr="002A638F">
        <w:t xml:space="preserve"> (1973) 34</w:t>
      </w:r>
      <w:r>
        <w:t> </w:t>
      </w:r>
      <w:r w:rsidRPr="002A638F">
        <w:t xml:space="preserve">Cal.App.3d </w:t>
      </w:r>
      <w:r w:rsidRPr="002A638F">
        <w:t>858, 876</w:t>
      </w:r>
      <w:r>
        <w:t>, fn. 5</w:t>
      </w:r>
      <w:r w:rsidRPr="002A638F">
        <w:t xml:space="preserve"> </w:t>
      </w:r>
      <w:r w:rsidRPr="00D54C2E">
        <w:t>[quoting 1 Stanbury, Cal</w:t>
      </w:r>
      <w:r w:rsidRPr="00D54C2E">
        <w:t>.</w:t>
      </w:r>
      <w:r w:rsidRPr="00D54C2E">
        <w:t xml:space="preserve"> Trial and Appellate Practice, § 630, p. 695].)</w:t>
      </w:r>
    </w:p>
    <w:p w14:paraId="4394B5B5" w14:textId="77777777" w:rsidR="00D45E51" w:rsidRPr="004C15FE" w:rsidRDefault="00D45E51" w:rsidP="004120DD">
      <w:r>
        <w:tab/>
        <w:t xml:space="preserve">Accordingly, we </w:t>
      </w:r>
      <w:r>
        <w:t>conclude</w:t>
      </w:r>
      <w:r>
        <w:t xml:space="preserve"> Special Instruction No. 1 </w:t>
      </w:r>
      <w:r>
        <w:t>wa</w:t>
      </w:r>
      <w:r>
        <w:t>s</w:t>
      </w:r>
      <w:r>
        <w:t xml:space="preserve"> erroneous as a matter of law.</w:t>
      </w:r>
    </w:p>
    <w:p w14:paraId="3B0BA96F" w14:textId="77777777" w:rsidR="00D45E51" w:rsidRDefault="00D45E51" w:rsidP="003A208E">
      <w:pPr>
        <w:keepNext/>
        <w:jc w:val="center"/>
      </w:pPr>
      <w:r>
        <w:t>2.</w:t>
      </w:r>
    </w:p>
    <w:p w14:paraId="496FE882" w14:textId="77777777" w:rsidR="00D45E51" w:rsidRPr="00C8312A" w:rsidRDefault="00D45E51" w:rsidP="004120DD">
      <w:r>
        <w:tab/>
      </w:r>
      <w:r>
        <w:t>We further determine th</w:t>
      </w:r>
      <w:r>
        <w:t>e</w:t>
      </w:r>
      <w:r>
        <w:t xml:space="preserve"> instructional</w:t>
      </w:r>
      <w:r>
        <w:t xml:space="preserve"> error prejudic</w:t>
      </w:r>
      <w:r>
        <w:t>ed Erhart</w:t>
      </w:r>
      <w:r>
        <w:t>.</w:t>
      </w:r>
      <w:r>
        <w:t xml:space="preserve">  (</w:t>
      </w:r>
      <w:r w:rsidRPr="00123418">
        <w:t>See</w:t>
      </w:r>
      <w:r>
        <w:rPr>
          <w:i/>
          <w:iCs/>
        </w:rPr>
        <w:t xml:space="preserve"> </w:t>
      </w:r>
      <w:proofErr w:type="spellStart"/>
      <w:r>
        <w:rPr>
          <w:i/>
          <w:iCs/>
        </w:rPr>
        <w:t>LeMons</w:t>
      </w:r>
      <w:proofErr w:type="spellEnd"/>
      <w:r>
        <w:t xml:space="preserve">, </w:t>
      </w:r>
      <w:r w:rsidRPr="006E2BA0">
        <w:rPr>
          <w:i/>
          <w:iCs/>
        </w:rPr>
        <w:t>supra</w:t>
      </w:r>
      <w:r>
        <w:t xml:space="preserve">, </w:t>
      </w:r>
      <w:r w:rsidRPr="006E2BA0">
        <w:t>21</w:t>
      </w:r>
      <w:r>
        <w:t xml:space="preserve"> </w:t>
      </w:r>
      <w:r w:rsidRPr="003362AF">
        <w:t>Cal.3d</w:t>
      </w:r>
      <w:r>
        <w:t xml:space="preserve"> at p. 876.)</w:t>
      </w:r>
      <w:r>
        <w:t xml:space="preserve">  </w:t>
      </w:r>
      <w:r>
        <w:t>T</w:t>
      </w:r>
      <w:r>
        <w:t xml:space="preserve">he error was not remedied by </w:t>
      </w:r>
      <w:r>
        <w:t xml:space="preserve">other </w:t>
      </w:r>
      <w:r>
        <w:lastRenderedPageBreak/>
        <w:t xml:space="preserve">instructions.  </w:t>
      </w:r>
      <w:r>
        <w:t xml:space="preserve">While the </w:t>
      </w:r>
      <w:r>
        <w:t xml:space="preserve">modified </w:t>
      </w:r>
      <w:r>
        <w:t xml:space="preserve">version of CACI 1800 </w:t>
      </w:r>
      <w:r>
        <w:t xml:space="preserve">given to </w:t>
      </w:r>
      <w:r>
        <w:t xml:space="preserve">the jury </w:t>
      </w:r>
      <w:r>
        <w:t>set forth</w:t>
      </w:r>
      <w:r>
        <w:t xml:space="preserve"> factors to consider </w:t>
      </w:r>
      <w:r>
        <w:t xml:space="preserve">when </w:t>
      </w:r>
      <w:r>
        <w:t xml:space="preserve">deciding whether </w:t>
      </w:r>
      <w:proofErr w:type="spellStart"/>
      <w:r>
        <w:t>Garrabrants</w:t>
      </w:r>
      <w:proofErr w:type="spellEnd"/>
      <w:r>
        <w:t xml:space="preserve"> had a reasonable expectation of privacy</w:t>
      </w:r>
      <w:r>
        <w:t xml:space="preserve"> in the at-issue information</w:t>
      </w:r>
      <w:r>
        <w:t xml:space="preserve">, Special Instruction No. 1, which immediately followed, </w:t>
      </w:r>
      <w:r>
        <w:t xml:space="preserve">informed jurors that </w:t>
      </w:r>
      <w:r>
        <w:t>bank customers</w:t>
      </w:r>
      <w:r>
        <w:t xml:space="preserve"> </w:t>
      </w:r>
      <w:r w:rsidRPr="00123418">
        <w:rPr>
          <w:i/>
          <w:iCs/>
        </w:rPr>
        <w:t>ha</w:t>
      </w:r>
      <w:r w:rsidRPr="00123418">
        <w:rPr>
          <w:i/>
          <w:iCs/>
        </w:rPr>
        <w:t>ve</w:t>
      </w:r>
      <w:r>
        <w:t xml:space="preserve"> a reasonable expectation of privacy in </w:t>
      </w:r>
      <w:r>
        <w:t>such</w:t>
      </w:r>
      <w:r>
        <w:t xml:space="preserve"> information.</w:t>
      </w:r>
      <w:r>
        <w:t xml:space="preserve"> </w:t>
      </w:r>
      <w:r>
        <w:t xml:space="preserve"> </w:t>
      </w:r>
      <w:r>
        <w:t>“[W]</w:t>
      </w:r>
      <w:r w:rsidRPr="001074F8">
        <w:t xml:space="preserve">here two instructions are inconsistent, the more specific charge </w:t>
      </w:r>
      <w:r w:rsidRPr="001074F8">
        <w:t>controls the general charge</w:t>
      </w:r>
      <w:r>
        <w:t>.”  (</w:t>
      </w:r>
      <w:proofErr w:type="spellStart"/>
      <w:r>
        <w:rPr>
          <w:i/>
          <w:iCs/>
        </w:rPr>
        <w:t>LeMons</w:t>
      </w:r>
      <w:proofErr w:type="spellEnd"/>
      <w:r>
        <w:t xml:space="preserve">, </w:t>
      </w:r>
      <w:r>
        <w:rPr>
          <w:i/>
          <w:iCs/>
        </w:rPr>
        <w:t>supra</w:t>
      </w:r>
      <w:r>
        <w:t>, 21 Cal.3d at p. 878.)  Thus, a</w:t>
      </w:r>
      <w:r>
        <w:t xml:space="preserve">s the evidence that </w:t>
      </w:r>
      <w:proofErr w:type="spellStart"/>
      <w:r>
        <w:t>Garrabrants</w:t>
      </w:r>
      <w:proofErr w:type="spellEnd"/>
      <w:r>
        <w:t xml:space="preserve"> was a bank customer</w:t>
      </w:r>
      <w:r>
        <w:t xml:space="preserve"> was undisputed</w:t>
      </w:r>
      <w:r>
        <w:t xml:space="preserve">, it </w:t>
      </w:r>
      <w:r>
        <w:t>i</w:t>
      </w:r>
      <w:r>
        <w:t>s reasonably likely the jury concluded</w:t>
      </w:r>
      <w:r>
        <w:t xml:space="preserve"> </w:t>
      </w:r>
      <w:r>
        <w:t xml:space="preserve">based on Special Instruction No. 1 that </w:t>
      </w:r>
      <w:proofErr w:type="spellStart"/>
      <w:r>
        <w:t>Garrabrants</w:t>
      </w:r>
      <w:proofErr w:type="spellEnd"/>
      <w:r>
        <w:t xml:space="preserve"> had a reasonable expectation of privacy </w:t>
      </w:r>
      <w:r>
        <w:t>here</w:t>
      </w:r>
      <w:r>
        <w:t xml:space="preserve">. </w:t>
      </w:r>
      <w:r>
        <w:t xml:space="preserve"> </w:t>
      </w:r>
      <w:proofErr w:type="spellStart"/>
      <w:r>
        <w:t>Garrabrants</w:t>
      </w:r>
      <w:proofErr w:type="spellEnd"/>
      <w:r>
        <w:t>’ counsel</w:t>
      </w:r>
      <w:r>
        <w:t xml:space="preserve"> compounded the error in</w:t>
      </w:r>
      <w:r>
        <w:t xml:space="preserve"> </w:t>
      </w:r>
      <w:r>
        <w:t>emphasiz</w:t>
      </w:r>
      <w:r>
        <w:t>ing</w:t>
      </w:r>
      <w:r>
        <w:t xml:space="preserve"> </w:t>
      </w:r>
      <w:r>
        <w:t>this point in</w:t>
      </w:r>
      <w:r>
        <w:t xml:space="preserve"> </w:t>
      </w:r>
      <w:r>
        <w:t xml:space="preserve">closing argument.  </w:t>
      </w:r>
    </w:p>
    <w:p w14:paraId="65378D41" w14:textId="77777777" w:rsidR="00D45E51" w:rsidRDefault="00D45E51" w:rsidP="004120DD">
      <w:r>
        <w:tab/>
      </w:r>
      <w:r>
        <w:t>M</w:t>
      </w:r>
      <w:r>
        <w:t xml:space="preserve">eanwhile, </w:t>
      </w:r>
      <w:r>
        <w:t>based on our review of the record</w:t>
      </w:r>
      <w:r>
        <w:t xml:space="preserve">, it is reasonably probable </w:t>
      </w:r>
      <w:r>
        <w:t xml:space="preserve">that the jury </w:t>
      </w:r>
      <w:r>
        <w:t xml:space="preserve">would have </w:t>
      </w:r>
      <w:r>
        <w:t>reached a result more favorable to Erhart</w:t>
      </w:r>
      <w:r>
        <w:t xml:space="preserve"> absent the mis</w:t>
      </w:r>
      <w:r>
        <w:t>-</w:t>
      </w:r>
      <w:r>
        <w:t>instruction</w:t>
      </w:r>
      <w:r>
        <w:t xml:space="preserve">.  </w:t>
      </w:r>
      <w:r>
        <w:t xml:space="preserve">While </w:t>
      </w:r>
      <w:proofErr w:type="spellStart"/>
      <w:r>
        <w:t>Garrabrants</w:t>
      </w:r>
      <w:proofErr w:type="spellEnd"/>
      <w:r>
        <w:t xml:space="preserve"> was a </w:t>
      </w:r>
      <w:proofErr w:type="spellStart"/>
      <w:r>
        <w:t>BofI</w:t>
      </w:r>
      <w:proofErr w:type="spellEnd"/>
      <w:r>
        <w:t xml:space="preserve"> customer, he was also </w:t>
      </w:r>
      <w:proofErr w:type="spellStart"/>
      <w:r>
        <w:t>BofI’s</w:t>
      </w:r>
      <w:proofErr w:type="spellEnd"/>
      <w:r>
        <w:t xml:space="preserve"> CEO.  </w:t>
      </w:r>
      <w:proofErr w:type="spellStart"/>
      <w:r>
        <w:t>B</w:t>
      </w:r>
      <w:r>
        <w:t>ofI</w:t>
      </w:r>
      <w:proofErr w:type="spellEnd"/>
      <w:r>
        <w:t xml:space="preserve"> employees’ accounts were subject to audits to ensure their activities were legal.  </w:t>
      </w:r>
      <w:r>
        <w:t xml:space="preserve">Erhart was an internal auditor at </w:t>
      </w:r>
      <w:proofErr w:type="spellStart"/>
      <w:r>
        <w:t>BofI</w:t>
      </w:r>
      <w:proofErr w:type="spellEnd"/>
      <w:r>
        <w:t xml:space="preserve">.  His job included accessing confidential financial information, including that of </w:t>
      </w:r>
      <w:proofErr w:type="spellStart"/>
      <w:r>
        <w:t>BofI</w:t>
      </w:r>
      <w:proofErr w:type="spellEnd"/>
      <w:r>
        <w:t xml:space="preserve"> customers and employees.  </w:t>
      </w:r>
      <w:r>
        <w:t xml:space="preserve">When </w:t>
      </w:r>
      <w:r>
        <w:t>Erhart raised questions concerning</w:t>
      </w:r>
      <w:r>
        <w:t xml:space="preserve"> the legality of </w:t>
      </w:r>
      <w:proofErr w:type="spellStart"/>
      <w:r>
        <w:t>Garrabrants</w:t>
      </w:r>
      <w:proofErr w:type="spellEnd"/>
      <w:r>
        <w:t xml:space="preserve">’ </w:t>
      </w:r>
      <w:r>
        <w:t xml:space="preserve">transactions at </w:t>
      </w:r>
      <w:proofErr w:type="spellStart"/>
      <w:r>
        <w:t>BofI</w:t>
      </w:r>
      <w:proofErr w:type="spellEnd"/>
      <w:r>
        <w:t xml:space="preserve">, </w:t>
      </w:r>
      <w:r>
        <w:t>his supervisor</w:t>
      </w:r>
      <w:r>
        <w:t xml:space="preserve"> asked him</w:t>
      </w:r>
      <w:r w:rsidRPr="004F5F3F">
        <w:t xml:space="preserve"> </w:t>
      </w:r>
      <w:r>
        <w:t>to investigate further</w:t>
      </w:r>
      <w:r>
        <w:t xml:space="preserve">.  </w:t>
      </w:r>
      <w:r>
        <w:t>A</w:t>
      </w:r>
      <w:r>
        <w:t xml:space="preserve"> jury reasonably could have concluded</w:t>
      </w:r>
      <w:r>
        <w:t xml:space="preserve"> from this evidence</w:t>
      </w:r>
      <w:r>
        <w:t xml:space="preserve"> that</w:t>
      </w:r>
      <w:r>
        <w:t xml:space="preserve"> (1)</w:t>
      </w:r>
      <w:r>
        <w:t xml:space="preserve"> </w:t>
      </w:r>
      <w:proofErr w:type="spellStart"/>
      <w:r>
        <w:t>Garrabrants</w:t>
      </w:r>
      <w:proofErr w:type="spellEnd"/>
      <w:r>
        <w:t xml:space="preserve">, being not just a customer but also the CEO of </w:t>
      </w:r>
      <w:proofErr w:type="spellStart"/>
      <w:r>
        <w:t>BofI</w:t>
      </w:r>
      <w:proofErr w:type="spellEnd"/>
      <w:r>
        <w:t>,</w:t>
      </w:r>
      <w:r>
        <w:t xml:space="preserve"> did not have a reasonable expectation that his financial and confidential information in </w:t>
      </w:r>
      <w:proofErr w:type="spellStart"/>
      <w:r>
        <w:t>BofI’s</w:t>
      </w:r>
      <w:proofErr w:type="spellEnd"/>
      <w:r>
        <w:t xml:space="preserve"> possession would be private</w:t>
      </w:r>
      <w:r>
        <w:t>;</w:t>
      </w:r>
      <w:r>
        <w:t xml:space="preserve"> and</w:t>
      </w:r>
      <w:r>
        <w:t>,</w:t>
      </w:r>
      <w:r>
        <w:t xml:space="preserve"> accordingly</w:t>
      </w:r>
      <w:r>
        <w:t>,</w:t>
      </w:r>
      <w:r>
        <w:t xml:space="preserve"> </w:t>
      </w:r>
      <w:r>
        <w:t>(2)</w:t>
      </w:r>
      <w:r>
        <w:t> </w:t>
      </w:r>
      <w:r>
        <w:t xml:space="preserve">Erhart did not invade </w:t>
      </w:r>
      <w:proofErr w:type="spellStart"/>
      <w:r>
        <w:t>Garrabrants</w:t>
      </w:r>
      <w:proofErr w:type="spellEnd"/>
      <w:r>
        <w:t xml:space="preserve">’ privacy. </w:t>
      </w:r>
      <w:r>
        <w:t xml:space="preserve"> (See </w:t>
      </w:r>
      <w:r w:rsidRPr="00933B62">
        <w:rPr>
          <w:i/>
          <w:iCs/>
        </w:rPr>
        <w:t>Hill</w:t>
      </w:r>
      <w:r>
        <w:t xml:space="preserve">, </w:t>
      </w:r>
      <w:r>
        <w:rPr>
          <w:i/>
          <w:iCs/>
        </w:rPr>
        <w:t>supra</w:t>
      </w:r>
      <w:r>
        <w:t>,</w:t>
      </w:r>
      <w:r>
        <w:t xml:space="preserve"> 7 Cal.4th at </w:t>
      </w:r>
      <w:r>
        <w:t xml:space="preserve">p. </w:t>
      </w:r>
      <w:r>
        <w:t>40</w:t>
      </w:r>
      <w:r>
        <w:t xml:space="preserve"> </w:t>
      </w:r>
      <w:r>
        <w:t>[</w:t>
      </w:r>
      <w:r>
        <w:t>“</w:t>
      </w:r>
      <w:r w:rsidRPr="00933B62">
        <w:t>A defendant may prevail in a state constitutional privacy case by negating any of the three element</w:t>
      </w:r>
      <w:r>
        <w:t>s.”</w:t>
      </w:r>
      <w:r>
        <w:t>].</w:t>
      </w:r>
      <w:r>
        <w:t>)</w:t>
      </w:r>
      <w:r>
        <w:t xml:space="preserve">  </w:t>
      </w:r>
      <w:r>
        <w:t>Thus, the error prejudiced Erhart.</w:t>
      </w:r>
    </w:p>
    <w:p w14:paraId="1F32E223" w14:textId="77777777" w:rsidR="00D45E51" w:rsidRDefault="00D45E51" w:rsidP="00FE2BD8">
      <w:r>
        <w:lastRenderedPageBreak/>
        <w:tab/>
      </w:r>
      <w:r>
        <w:t xml:space="preserve">Accordingly, we reverse the judgment in favor of </w:t>
      </w:r>
      <w:proofErr w:type="spellStart"/>
      <w:r>
        <w:t>Garrabrants</w:t>
      </w:r>
      <w:proofErr w:type="spellEnd"/>
      <w:r>
        <w:t xml:space="preserve"> on his claim </w:t>
      </w:r>
      <w:proofErr w:type="gramStart"/>
      <w:r>
        <w:t>for</w:t>
      </w:r>
      <w:proofErr w:type="gramEnd"/>
      <w:r>
        <w:t xml:space="preserve"> invasion of privacy.  </w:t>
      </w:r>
      <w:r>
        <w:t>Given</w:t>
      </w:r>
      <w:r>
        <w:t xml:space="preserve"> our determination, we need not reach the remaining alleged errors Erhart</w:t>
      </w:r>
      <w:r>
        <w:t xml:space="preserve"> identifies</w:t>
      </w:r>
      <w:r>
        <w:t>.</w:t>
      </w:r>
      <w:r>
        <w:t xml:space="preserve"> </w:t>
      </w:r>
    </w:p>
    <w:p w14:paraId="7E1A254A" w14:textId="77777777" w:rsidR="00D45E51" w:rsidRDefault="00D45E51" w:rsidP="00F32913">
      <w:pPr>
        <w:keepNext/>
        <w:jc w:val="center"/>
      </w:pPr>
      <w:r>
        <w:t>D.</w:t>
      </w:r>
    </w:p>
    <w:p w14:paraId="4C157A26" w14:textId="77777777" w:rsidR="00D45E51" w:rsidRDefault="00D45E51" w:rsidP="00FE2BD8">
      <w:r>
        <w:tab/>
      </w:r>
      <w:r w:rsidRPr="001C4E2E">
        <w:t>As the issue is likely to resurface in any retrial</w:t>
      </w:r>
      <w:r>
        <w:t xml:space="preserve"> following remand</w:t>
      </w:r>
      <w:r w:rsidRPr="001C4E2E">
        <w:t xml:space="preserve">, </w:t>
      </w:r>
      <w:r>
        <w:t xml:space="preserve">however, </w:t>
      </w:r>
      <w:r w:rsidRPr="001C4E2E">
        <w:t>we briefly address Erhart</w:t>
      </w:r>
      <w:r>
        <w:t>’</w:t>
      </w:r>
      <w:r w:rsidRPr="001C4E2E">
        <w:t>s argument that Special Instruction No. 6</w:t>
      </w:r>
      <w:r>
        <w:t xml:space="preserve"> </w:t>
      </w:r>
      <w:r w:rsidRPr="001C4E2E">
        <w:t xml:space="preserve">contained prejudicially erroneous elements unsupported by the law.  </w:t>
      </w:r>
      <w:r>
        <w:t>Because</w:t>
      </w:r>
      <w:r w:rsidRPr="001C4E2E">
        <w:t xml:space="preserve"> the jury found Erhart was in good faith involved in whistleblowing activity, </w:t>
      </w:r>
      <w:r>
        <w:t>there was no prejudice here</w:t>
      </w:r>
      <w:r w:rsidRPr="001C4E2E">
        <w:t xml:space="preserve">.  Nonetheless, we </w:t>
      </w:r>
      <w:r>
        <w:t>agree that</w:t>
      </w:r>
      <w:r w:rsidRPr="001C4E2E">
        <w:t xml:space="preserve"> Special Instruction No. 6 includes </w:t>
      </w:r>
      <w:r w:rsidRPr="005912F6">
        <w:rPr>
          <w:i/>
          <w:iCs/>
        </w:rPr>
        <w:t>at least</w:t>
      </w:r>
      <w:r>
        <w:t xml:space="preserve"> one </w:t>
      </w:r>
      <w:r w:rsidRPr="001C4E2E">
        <w:t>element</w:t>
      </w:r>
      <w:r>
        <w:t>—</w:t>
      </w:r>
      <w:r w:rsidRPr="001C4E2E">
        <w:t>namely, that Erhart needed to believe the documents may have been lost or destroyed had he not removed them</w:t>
      </w:r>
      <w:r>
        <w:t>—</w:t>
      </w:r>
      <w:r w:rsidRPr="001C4E2E">
        <w:t>that ha</w:t>
      </w:r>
      <w:r>
        <w:t>s</w:t>
      </w:r>
      <w:r w:rsidRPr="001C4E2E">
        <w:t xml:space="preserve"> no readily apparent basis in California</w:t>
      </w:r>
      <w:r>
        <w:t xml:space="preserve"> law</w:t>
      </w:r>
      <w:r>
        <w:t>, therefore making the instruction erroneous as a matter of law</w:t>
      </w:r>
      <w:r w:rsidRPr="001C4E2E">
        <w:t xml:space="preserve">.  (See Lab. Code, </w:t>
      </w:r>
      <w:r>
        <w:t>§</w:t>
      </w:r>
      <w:r w:rsidRPr="001C4E2E">
        <w:t xml:space="preserve"> 1102.5, subds. (a) &amp; (b); CACI 4603.) </w:t>
      </w:r>
      <w:r>
        <w:t xml:space="preserve"> </w:t>
      </w:r>
    </w:p>
    <w:p w14:paraId="6EFBDDCB" w14:textId="77777777" w:rsidR="00D45E51" w:rsidRPr="005F3677" w:rsidRDefault="00D45E51" w:rsidP="00FE2BD8">
      <w:r>
        <w:tab/>
      </w:r>
      <w:proofErr w:type="spellStart"/>
      <w:r>
        <w:t>Garrabrants</w:t>
      </w:r>
      <w:proofErr w:type="spellEnd"/>
      <w:r>
        <w:t xml:space="preserve"> purportedly drew this requirement from an</w:t>
      </w:r>
      <w:r>
        <w:t xml:space="preserve"> </w:t>
      </w:r>
      <w:r>
        <w:t xml:space="preserve">order in the related whistleblower action </w:t>
      </w:r>
      <w:r>
        <w:t>pending in federal court a</w:t>
      </w:r>
      <w:r>
        <w:t>s well as</w:t>
      </w:r>
      <w:r>
        <w:t xml:space="preserve"> </w:t>
      </w:r>
      <w:r>
        <w:rPr>
          <w:i/>
        </w:rPr>
        <w:t>JDS Uniphase Corp. v. Jennings</w:t>
      </w:r>
      <w:r>
        <w:rPr>
          <w:iCs/>
        </w:rPr>
        <w:t xml:space="preserve"> </w:t>
      </w:r>
      <w:r w:rsidRPr="002D4D06">
        <w:rPr>
          <w:iCs/>
        </w:rPr>
        <w:t>(E.D. Va. 2007)</w:t>
      </w:r>
      <w:r>
        <w:rPr>
          <w:iCs/>
        </w:rPr>
        <w:t xml:space="preserve"> 473 F.Supp.2d 697</w:t>
      </w:r>
      <w:r>
        <w:rPr>
          <w:iCs/>
        </w:rPr>
        <w:t xml:space="preserve"> (</w:t>
      </w:r>
      <w:r>
        <w:rPr>
          <w:i/>
        </w:rPr>
        <w:t>JDS</w:t>
      </w:r>
      <w:r>
        <w:rPr>
          <w:iCs/>
        </w:rPr>
        <w:t>)</w:t>
      </w:r>
      <w:r>
        <w:t xml:space="preserve">.  However, </w:t>
      </w:r>
      <w:r>
        <w:t>as Erhart notes, neither case concerned a whistleblower justification defense to a California invasion of privacy claim.</w:t>
      </w:r>
      <w:r>
        <w:rPr>
          <w:iCs/>
        </w:rPr>
        <w:t xml:space="preserve">  </w:t>
      </w:r>
      <w:r w:rsidRPr="00DC4333">
        <w:rPr>
          <w:iCs/>
        </w:rPr>
        <w:t xml:space="preserve">(See </w:t>
      </w:r>
      <w:r w:rsidRPr="00DC4333">
        <w:rPr>
          <w:i/>
          <w:iCs/>
        </w:rPr>
        <w:t xml:space="preserve">Erhart v. </w:t>
      </w:r>
      <w:proofErr w:type="spellStart"/>
      <w:r w:rsidRPr="00DC4333">
        <w:rPr>
          <w:i/>
          <w:iCs/>
        </w:rPr>
        <w:t>BofI</w:t>
      </w:r>
      <w:proofErr w:type="spellEnd"/>
      <w:r w:rsidRPr="00DC4333">
        <w:rPr>
          <w:i/>
          <w:iCs/>
        </w:rPr>
        <w:t xml:space="preserve"> Holding, Inc.</w:t>
      </w:r>
      <w:r w:rsidRPr="00DC4333">
        <w:t xml:space="preserve"> (S.D. Cal., Feb. 14, 2017, No. 15-CV-02287-BAS-NLS) 2017</w:t>
      </w:r>
      <w:r w:rsidRPr="00DC4333">
        <w:t> </w:t>
      </w:r>
      <w:r w:rsidRPr="00DC4333">
        <w:t xml:space="preserve">WL 588390, at </w:t>
      </w:r>
      <w:r w:rsidRPr="00DC4333">
        <w:t xml:space="preserve">p. </w:t>
      </w:r>
      <w:r w:rsidRPr="00DC4333">
        <w:t>*3 (</w:t>
      </w:r>
      <w:r w:rsidRPr="00DC4333">
        <w:rPr>
          <w:i/>
          <w:iCs/>
        </w:rPr>
        <w:t>Erhart</w:t>
      </w:r>
      <w:r w:rsidRPr="00DC4333">
        <w:t>)</w:t>
      </w:r>
      <w:r w:rsidRPr="00DC4333">
        <w:rPr>
          <w:iCs/>
        </w:rPr>
        <w:t xml:space="preserve">; </w:t>
      </w:r>
      <w:r w:rsidRPr="00DC4333">
        <w:rPr>
          <w:i/>
        </w:rPr>
        <w:t>JDS</w:t>
      </w:r>
      <w:r w:rsidRPr="00DC4333">
        <w:rPr>
          <w:iCs/>
        </w:rPr>
        <w:t>, at p. 698.)</w:t>
      </w:r>
      <w:r>
        <w:rPr>
          <w:iCs/>
        </w:rPr>
        <w:t xml:space="preserve">  Further, </w:t>
      </w:r>
      <w:r>
        <w:t>the</w:t>
      </w:r>
      <w:r>
        <w:t xml:space="preserve"> order in the </w:t>
      </w:r>
      <w:r>
        <w:t>whistleblow</w:t>
      </w:r>
      <w:r>
        <w:t>er action concern</w:t>
      </w:r>
      <w:r>
        <w:t xml:space="preserve">ed affirmative defenses premised on </w:t>
      </w:r>
      <w:r>
        <w:t xml:space="preserve">“whistleblower protections under federal and state law,” including at least five federal anti-retaliation provisions not </w:t>
      </w:r>
      <w:r>
        <w:t>relevant</w:t>
      </w:r>
      <w:r>
        <w:t xml:space="preserve"> here. </w:t>
      </w:r>
      <w:r>
        <w:t xml:space="preserve"> </w:t>
      </w:r>
      <w:r>
        <w:t>(</w:t>
      </w:r>
      <w:r w:rsidRPr="005912F6">
        <w:rPr>
          <w:i/>
          <w:iCs/>
        </w:rPr>
        <w:t>Erhart</w:t>
      </w:r>
      <w:r w:rsidRPr="00FE2BD8">
        <w:t xml:space="preserve">, at </w:t>
      </w:r>
      <w:r>
        <w:t>pp.</w:t>
      </w:r>
      <w:r>
        <w:t xml:space="preserve"> </w:t>
      </w:r>
      <w:r w:rsidRPr="00FE2BD8">
        <w:t>*1</w:t>
      </w:r>
      <w:r>
        <w:t>,</w:t>
      </w:r>
      <w:r>
        <w:t xml:space="preserve"> </w:t>
      </w:r>
      <w:r w:rsidRPr="00DC4333">
        <w:t>*5</w:t>
      </w:r>
      <w:r w:rsidRPr="00DC4333">
        <w:t>,</w:t>
      </w:r>
      <w:r w:rsidRPr="00DC4333">
        <w:t xml:space="preserve"> fn. 3.)</w:t>
      </w:r>
      <w:r>
        <w:t xml:space="preserve">  </w:t>
      </w:r>
      <w:r>
        <w:t>Indeed, t</w:t>
      </w:r>
      <w:r>
        <w:t xml:space="preserve">he specific portion of the </w:t>
      </w:r>
      <w:r>
        <w:t>order</w:t>
      </w:r>
      <w:r>
        <w:t xml:space="preserve"> on which </w:t>
      </w:r>
      <w:proofErr w:type="spellStart"/>
      <w:r>
        <w:t>Garrabrants</w:t>
      </w:r>
      <w:proofErr w:type="spellEnd"/>
      <w:r>
        <w:t xml:space="preserve"> </w:t>
      </w:r>
      <w:r>
        <w:t>relies concerns</w:t>
      </w:r>
      <w:r>
        <w:t xml:space="preserve"> the </w:t>
      </w:r>
      <w:r w:rsidRPr="00DE326C">
        <w:t>Sarbanes-Oxley Act’s</w:t>
      </w:r>
      <w:r w:rsidRPr="00DE326C">
        <w:t xml:space="preserve"> (SOX)</w:t>
      </w:r>
      <w:r>
        <w:t xml:space="preserve"> whistleblower protection provision.  (</w:t>
      </w:r>
      <w:r>
        <w:rPr>
          <w:i/>
          <w:iCs/>
        </w:rPr>
        <w:t>Id.</w:t>
      </w:r>
      <w:r>
        <w:rPr>
          <w:iCs/>
        </w:rPr>
        <w:t xml:space="preserve"> at </w:t>
      </w:r>
      <w:r>
        <w:rPr>
          <w:iCs/>
        </w:rPr>
        <w:t xml:space="preserve">pp. </w:t>
      </w:r>
      <w:r>
        <w:rPr>
          <w:iCs/>
        </w:rPr>
        <w:t>*</w:t>
      </w:r>
      <w:r>
        <w:rPr>
          <w:iCs/>
        </w:rPr>
        <w:t>13-15</w:t>
      </w:r>
      <w:r>
        <w:rPr>
          <w:iCs/>
        </w:rPr>
        <w:t>.)</w:t>
      </w:r>
      <w:r>
        <w:rPr>
          <w:iCs/>
        </w:rPr>
        <w:t xml:space="preserve">  </w:t>
      </w:r>
      <w:r w:rsidRPr="005912F6">
        <w:t>Similarly,</w:t>
      </w:r>
      <w:r w:rsidRPr="00E902E8">
        <w:t xml:space="preserve"> </w:t>
      </w:r>
      <w:r>
        <w:rPr>
          <w:i/>
        </w:rPr>
        <w:t xml:space="preserve">JDS </w:t>
      </w:r>
      <w:r>
        <w:rPr>
          <w:iCs/>
        </w:rPr>
        <w:t xml:space="preserve">is premised on SOX’s </w:t>
      </w:r>
      <w:r>
        <w:rPr>
          <w:iCs/>
        </w:rPr>
        <w:lastRenderedPageBreak/>
        <w:t>antiretaliatory provision and California</w:t>
      </w:r>
      <w:r>
        <w:rPr>
          <w:iCs/>
        </w:rPr>
        <w:t xml:space="preserve">’s pro-whistleblower </w:t>
      </w:r>
      <w:r>
        <w:rPr>
          <w:iCs/>
        </w:rPr>
        <w:t>public policy</w:t>
      </w:r>
      <w:r>
        <w:rPr>
          <w:iCs/>
        </w:rPr>
        <w:t xml:space="preserve"> generally</w:t>
      </w:r>
      <w:r>
        <w:rPr>
          <w:iCs/>
        </w:rPr>
        <w:t>,</w:t>
      </w:r>
      <w:r>
        <w:rPr>
          <w:iCs/>
        </w:rPr>
        <w:t xml:space="preserve"> rather than </w:t>
      </w:r>
      <w:r>
        <w:rPr>
          <w:iCs/>
        </w:rPr>
        <w:t xml:space="preserve">what </w:t>
      </w:r>
      <w:r>
        <w:rPr>
          <w:iCs/>
        </w:rPr>
        <w:t>California’s whistleblower protection statutes</w:t>
      </w:r>
      <w:r>
        <w:rPr>
          <w:iCs/>
        </w:rPr>
        <w:t xml:space="preserve"> </w:t>
      </w:r>
      <w:r>
        <w:rPr>
          <w:iCs/>
        </w:rPr>
        <w:t>necessitate</w:t>
      </w:r>
      <w:r>
        <w:rPr>
          <w:iCs/>
        </w:rPr>
        <w:t xml:space="preserve"> for whistleblower</w:t>
      </w:r>
      <w:r>
        <w:rPr>
          <w:iCs/>
        </w:rPr>
        <w:t xml:space="preserve"> protection</w:t>
      </w:r>
      <w:r>
        <w:rPr>
          <w:iCs/>
        </w:rPr>
        <w:t>.  (</w:t>
      </w:r>
      <w:r w:rsidRPr="005912F6">
        <w:rPr>
          <w:iCs/>
        </w:rPr>
        <w:t xml:space="preserve">See </w:t>
      </w:r>
      <w:r>
        <w:rPr>
          <w:i/>
        </w:rPr>
        <w:t>JDS</w:t>
      </w:r>
      <w:r>
        <w:rPr>
          <w:iCs/>
        </w:rPr>
        <w:t>, at p</w:t>
      </w:r>
      <w:r>
        <w:rPr>
          <w:iCs/>
        </w:rPr>
        <w:t>p</w:t>
      </w:r>
      <w:r>
        <w:rPr>
          <w:iCs/>
        </w:rPr>
        <w:t xml:space="preserve">. </w:t>
      </w:r>
      <w:r>
        <w:rPr>
          <w:iCs/>
        </w:rPr>
        <w:t>702-703</w:t>
      </w:r>
      <w:r>
        <w:rPr>
          <w:iCs/>
        </w:rPr>
        <w:t xml:space="preserve">; see also </w:t>
      </w:r>
      <w:r w:rsidRPr="001C4E2E">
        <w:t xml:space="preserve">Lab. Code, </w:t>
      </w:r>
      <w:r>
        <w:t>§ </w:t>
      </w:r>
      <w:r w:rsidRPr="001C4E2E">
        <w:t>1102.5, subds.</w:t>
      </w:r>
      <w:r>
        <w:t> </w:t>
      </w:r>
      <w:r w:rsidRPr="001C4E2E">
        <w:t>(a)</w:t>
      </w:r>
      <w:r>
        <w:t> </w:t>
      </w:r>
      <w:r w:rsidRPr="001C4E2E">
        <w:t>&amp;</w:t>
      </w:r>
      <w:r>
        <w:t> </w:t>
      </w:r>
      <w:r w:rsidRPr="001C4E2E">
        <w:t>(b); CACI 4603</w:t>
      </w:r>
      <w:r>
        <w:t>.</w:t>
      </w:r>
      <w:r>
        <w:rPr>
          <w:iCs/>
        </w:rPr>
        <w:t>)</w:t>
      </w:r>
    </w:p>
    <w:p w14:paraId="4F78945B" w14:textId="77777777" w:rsidR="00D45E51" w:rsidRDefault="00D45E51" w:rsidP="001C4E2E">
      <w:r>
        <w:tab/>
      </w:r>
      <w:r>
        <w:t>W</w:t>
      </w:r>
      <w:r w:rsidRPr="001C4E2E">
        <w:t>e</w:t>
      </w:r>
      <w:r>
        <w:t xml:space="preserve"> thus</w:t>
      </w:r>
      <w:r w:rsidRPr="001C4E2E">
        <w:t xml:space="preserve"> </w:t>
      </w:r>
      <w:r>
        <w:t>once more</w:t>
      </w:r>
      <w:r w:rsidRPr="001C4E2E">
        <w:t xml:space="preserve"> caution against proposing language drawn from </w:t>
      </w:r>
      <w:r>
        <w:t xml:space="preserve">potentially inapposite </w:t>
      </w:r>
      <w:r w:rsidRPr="001C4E2E">
        <w:t xml:space="preserve">case law </w:t>
      </w:r>
      <w:r>
        <w:t>as</w:t>
      </w:r>
      <w:r w:rsidRPr="001C4E2E">
        <w:t xml:space="preserve"> jury instructions</w:t>
      </w:r>
      <w:r>
        <w:t>, particularly where, as here, an elements test never articulated</w:t>
      </w:r>
      <w:r>
        <w:t xml:space="preserve"> previously</w:t>
      </w:r>
      <w:r>
        <w:t xml:space="preserve"> is cobbled together from </w:t>
      </w:r>
      <w:r>
        <w:t>multiple</w:t>
      </w:r>
      <w:r>
        <w:t xml:space="preserve"> cases. </w:t>
      </w:r>
      <w:r>
        <w:t xml:space="preserve"> (See </w:t>
      </w:r>
      <w:proofErr w:type="spellStart"/>
      <w:r w:rsidRPr="005912F6">
        <w:rPr>
          <w:i/>
          <w:iCs/>
        </w:rPr>
        <w:t>Fibreboard</w:t>
      </w:r>
      <w:proofErr w:type="spellEnd"/>
      <w:r w:rsidRPr="005912F6">
        <w:rPr>
          <w:i/>
          <w:iCs/>
        </w:rPr>
        <w:t xml:space="preserve"> Paper Prod</w:t>
      </w:r>
      <w:r>
        <w:rPr>
          <w:i/>
          <w:iCs/>
        </w:rPr>
        <w:t>s.</w:t>
      </w:r>
      <w:r w:rsidRPr="005912F6">
        <w:rPr>
          <w:i/>
          <w:iCs/>
        </w:rPr>
        <w:t xml:space="preserve"> Corp. v. East Bay Union of Machinists</w:t>
      </w:r>
      <w:r w:rsidRPr="00783ABC">
        <w:t xml:space="preserve"> (1964) 227 Cal.App.2d 675, 718</w:t>
      </w:r>
      <w:r>
        <w:t>.)</w:t>
      </w:r>
      <w:r>
        <w:t xml:space="preserve"> </w:t>
      </w:r>
    </w:p>
    <w:p w14:paraId="5FE03834" w14:textId="77777777" w:rsidR="00D45E51" w:rsidRDefault="00D45E51" w:rsidP="0072363A">
      <w:pPr>
        <w:keepNext/>
        <w:jc w:val="center"/>
      </w:pPr>
      <w:r>
        <w:t>IV.</w:t>
      </w:r>
    </w:p>
    <w:p w14:paraId="37D9183B" w14:textId="77777777" w:rsidR="00D45E51" w:rsidRDefault="00D45E51" w:rsidP="004120DD">
      <w:r>
        <w:tab/>
      </w:r>
      <w:r>
        <w:t xml:space="preserve">Erhart additionally argues that the trial court’s instructions on </w:t>
      </w:r>
      <w:proofErr w:type="spellStart"/>
      <w:r>
        <w:t>Garrabrants</w:t>
      </w:r>
      <w:proofErr w:type="spellEnd"/>
      <w:r>
        <w:t>’ Penal Code section 496</w:t>
      </w:r>
      <w:r>
        <w:t xml:space="preserve"> claim</w:t>
      </w:r>
      <w:r>
        <w:t xml:space="preserve"> were prejudicially erroneous. </w:t>
      </w:r>
      <w:r>
        <w:t xml:space="preserve"> </w:t>
      </w:r>
      <w:r>
        <w:t>We again agree</w:t>
      </w:r>
      <w:r>
        <w:t>.</w:t>
      </w:r>
    </w:p>
    <w:p w14:paraId="1E835425" w14:textId="77777777" w:rsidR="00D45E51" w:rsidRDefault="00D45E51" w:rsidP="00A27DEF">
      <w:pPr>
        <w:keepNext/>
        <w:jc w:val="center"/>
      </w:pPr>
      <w:r>
        <w:t>A.</w:t>
      </w:r>
    </w:p>
    <w:p w14:paraId="2F3FD893" w14:textId="77777777" w:rsidR="00D45E51" w:rsidRDefault="00D45E51" w:rsidP="00A0656E">
      <w:r>
        <w:tab/>
      </w:r>
      <w:r>
        <w:t xml:space="preserve">Penal Code section 496 criminalizes the </w:t>
      </w:r>
      <w:r>
        <w:t>“</w:t>
      </w:r>
      <w:r w:rsidRPr="00A0656E">
        <w:t>buy</w:t>
      </w:r>
      <w:r>
        <w:t>[</w:t>
      </w:r>
      <w:proofErr w:type="spellStart"/>
      <w:r>
        <w:t>ing</w:t>
      </w:r>
      <w:proofErr w:type="spellEnd"/>
      <w:r>
        <w:t>]</w:t>
      </w:r>
      <w:r w:rsidRPr="00A0656E">
        <w:t xml:space="preserve"> or </w:t>
      </w:r>
      <w:proofErr w:type="spellStart"/>
      <w:proofErr w:type="gramStart"/>
      <w:r w:rsidRPr="00A0656E">
        <w:t>recei</w:t>
      </w:r>
      <w:proofErr w:type="spellEnd"/>
      <w:r>
        <w:t>[</w:t>
      </w:r>
      <w:proofErr w:type="gramEnd"/>
      <w:r>
        <w:t>pt of]</w:t>
      </w:r>
      <w:r w:rsidRPr="00A0656E">
        <w:t xml:space="preserve"> any property that has been stolen or that has been obtained in any manner constituting theft or extortion, knowing the property to be so stolen or obtained,</w:t>
      </w:r>
      <w:r>
        <w:t>”</w:t>
      </w:r>
      <w:r w:rsidRPr="00A0656E">
        <w:t xml:space="preserve"> </w:t>
      </w:r>
      <w:r>
        <w:t>as well as the</w:t>
      </w:r>
      <w:r w:rsidRPr="00A0656E">
        <w:t xml:space="preserve"> </w:t>
      </w:r>
      <w:r>
        <w:t xml:space="preserve">concealing or withholding of </w:t>
      </w:r>
      <w:r>
        <w:t>“</w:t>
      </w:r>
      <w:r w:rsidRPr="00A0656E">
        <w:t>any property from the owner, knowing the property to be so stolen or obtained</w:t>
      </w:r>
      <w:r>
        <w:t>.”  (</w:t>
      </w:r>
      <w:r w:rsidRPr="00A0656E">
        <w:t>Pen. Code, § 496</w:t>
      </w:r>
      <w:r>
        <w:t xml:space="preserve">, subd. (a).)  </w:t>
      </w:r>
      <w:r>
        <w:t xml:space="preserve">A person injured </w:t>
      </w:r>
      <w:r>
        <w:t>under</w:t>
      </w:r>
      <w:r>
        <w:t xml:space="preserve"> this subdivision can bring an action for treble damages and attorney fees.  </w:t>
      </w:r>
      <w:r>
        <w:t>(</w:t>
      </w:r>
      <w:r>
        <w:rPr>
          <w:i/>
          <w:iCs/>
        </w:rPr>
        <w:t>Id.</w:t>
      </w:r>
      <w:r>
        <w:t xml:space="preserve">, </w:t>
      </w:r>
      <w:r>
        <w:t>subd. (c).)</w:t>
      </w:r>
    </w:p>
    <w:p w14:paraId="3F643DAB" w14:textId="77777777" w:rsidR="00D45E51" w:rsidRDefault="00D45E51" w:rsidP="002A417C">
      <w:pPr>
        <w:keepNext/>
        <w:jc w:val="center"/>
      </w:pPr>
      <w:r>
        <w:t>B.</w:t>
      </w:r>
    </w:p>
    <w:p w14:paraId="039EA0CB" w14:textId="77777777" w:rsidR="00D45E51" w:rsidRDefault="00D45E51" w:rsidP="00AB32A7">
      <w:r>
        <w:tab/>
      </w:r>
      <w:r>
        <w:t>T</w:t>
      </w:r>
      <w:r>
        <w:t xml:space="preserve">he trial court largely adopted and gave two </w:t>
      </w:r>
      <w:r>
        <w:t xml:space="preserve">special </w:t>
      </w:r>
      <w:r>
        <w:t xml:space="preserve">instructions proposed by </w:t>
      </w:r>
      <w:proofErr w:type="spellStart"/>
      <w:r>
        <w:t>Garrabrants</w:t>
      </w:r>
      <w:proofErr w:type="spellEnd"/>
      <w:r>
        <w:t xml:space="preserve"> and rejected the special instruction proposed by Erhart</w:t>
      </w:r>
      <w:r>
        <w:t xml:space="preserve"> on Penal Code section 496</w:t>
      </w:r>
      <w:r>
        <w:t>.</w:t>
      </w:r>
      <w:r>
        <w:t xml:space="preserve"> </w:t>
      </w:r>
      <w:r>
        <w:t xml:space="preserve">  </w:t>
      </w:r>
    </w:p>
    <w:p w14:paraId="778B2CC9" w14:textId="77777777" w:rsidR="00D45E51" w:rsidRDefault="00D45E51" w:rsidP="00C40990">
      <w:r>
        <w:tab/>
      </w:r>
      <w:r>
        <w:t xml:space="preserve">As relevant here, </w:t>
      </w:r>
      <w:r>
        <w:t>Special Instruction No. 2</w:t>
      </w:r>
      <w:r>
        <w:t>,</w:t>
      </w:r>
      <w:r>
        <w:t xml:space="preserve"> on receiving stolen property in violation of section 496</w:t>
      </w:r>
      <w:r>
        <w:t>,</w:t>
      </w:r>
      <w:r>
        <w:t xml:space="preserve"> </w:t>
      </w:r>
      <w:r>
        <w:t xml:space="preserve">required </w:t>
      </w:r>
      <w:proofErr w:type="spellStart"/>
      <w:r>
        <w:t>Garrabrants</w:t>
      </w:r>
      <w:proofErr w:type="spellEnd"/>
      <w:r>
        <w:t xml:space="preserve"> to prove </w:t>
      </w:r>
      <w:r>
        <w:t xml:space="preserve">that </w:t>
      </w:r>
      <w:r>
        <w:t xml:space="preserve">the data at </w:t>
      </w:r>
      <w:r>
        <w:lastRenderedPageBreak/>
        <w:t>issue “</w:t>
      </w:r>
      <w:r w:rsidRPr="00AB32A7">
        <w:t>had been obtained by</w:t>
      </w:r>
      <w:r>
        <w:t xml:space="preserve"> </w:t>
      </w:r>
      <w:r w:rsidRPr="00AB32A7">
        <w:t>Mr. Erhart in a manner constituting theft as defined elsewhere in these</w:t>
      </w:r>
      <w:r>
        <w:t xml:space="preserve"> </w:t>
      </w:r>
      <w:r w:rsidRPr="00AB32A7">
        <w:t>instructions</w:t>
      </w:r>
      <w:r>
        <w:t>.</w:t>
      </w:r>
      <w:r>
        <w:t>”</w:t>
      </w:r>
      <w:r>
        <w:t xml:space="preserve"> </w:t>
      </w:r>
      <w:r>
        <w:t xml:space="preserve"> </w:t>
      </w:r>
      <w:proofErr w:type="spellStart"/>
      <w:r>
        <w:t>Garrabrants</w:t>
      </w:r>
      <w:proofErr w:type="spellEnd"/>
      <w:r>
        <w:t xml:space="preserve"> </w:t>
      </w:r>
      <w:r>
        <w:t xml:space="preserve">purportedly </w:t>
      </w:r>
      <w:r>
        <w:t xml:space="preserve">modeled this instruction on both Penal Code </w:t>
      </w:r>
      <w:r>
        <w:t>section 496 and CALCRIM No. 1750</w:t>
      </w:r>
      <w:r>
        <w:t>, the pattern criminal jury instruction on section 496</w:t>
      </w:r>
      <w:r>
        <w:t xml:space="preserve">. </w:t>
      </w:r>
      <w:r>
        <w:t xml:space="preserve"> </w:t>
      </w:r>
      <w:r>
        <w:t>Erhart’s rejected competing special instruction</w:t>
      </w:r>
      <w:r>
        <w:t xml:space="preserve"> specified that the property </w:t>
      </w:r>
      <w:r>
        <w:t xml:space="preserve">in question must have been “stolen or obtained in a manner constituting theft or extortion,” but did not </w:t>
      </w:r>
      <w:r>
        <w:t>further define “theft</w:t>
      </w:r>
      <w:r>
        <w:t>.</w:t>
      </w:r>
      <w:r>
        <w:t>”</w:t>
      </w:r>
      <w:r>
        <w:t xml:space="preserve"> </w:t>
      </w:r>
      <w:r>
        <w:t xml:space="preserve"> </w:t>
      </w:r>
    </w:p>
    <w:p w14:paraId="31421F32" w14:textId="77777777" w:rsidR="00D45E51" w:rsidRDefault="00D45E51" w:rsidP="00C40990">
      <w:r>
        <w:tab/>
      </w:r>
      <w:proofErr w:type="spellStart"/>
      <w:r>
        <w:t>Garrabrants</w:t>
      </w:r>
      <w:proofErr w:type="spellEnd"/>
      <w:r>
        <w:t>, however, proposed, and t</w:t>
      </w:r>
      <w:r>
        <w:t xml:space="preserve">he court </w:t>
      </w:r>
      <w:r>
        <w:t>instructed the jury</w:t>
      </w:r>
      <w:r>
        <w:t xml:space="preserve"> on</w:t>
      </w:r>
      <w:r>
        <w:t>,</w:t>
      </w:r>
      <w:r>
        <w:t xml:space="preserve"> Special Instruction No. 3, which defined “theft” for purposes of </w:t>
      </w:r>
      <w:r>
        <w:t>the claim</w:t>
      </w:r>
      <w:r>
        <w:t xml:space="preserve"> as follows:</w:t>
      </w:r>
      <w:r>
        <w:t xml:space="preserve"> </w:t>
      </w:r>
      <w:r>
        <w:t xml:space="preserve"> </w:t>
      </w:r>
    </w:p>
    <w:p w14:paraId="50B38486" w14:textId="77777777" w:rsidR="00D45E51" w:rsidRDefault="00D45E51" w:rsidP="00C40990">
      <w:pPr>
        <w:pStyle w:val="IndentedQuote"/>
      </w:pPr>
      <w:r w:rsidRPr="00C40990">
        <w:t>Mr. Erhart</w:t>
      </w:r>
      <w:r>
        <w:t xml:space="preserve"> </w:t>
      </w:r>
      <w:r w:rsidRPr="00C40990">
        <w:t>committed theft if he took possession of Mr.</w:t>
      </w:r>
      <w:r>
        <w:t> </w:t>
      </w:r>
      <w:proofErr w:type="spellStart"/>
      <w:r w:rsidRPr="00C40990">
        <w:t>Ga</w:t>
      </w:r>
      <w:r>
        <w:t>rr</w:t>
      </w:r>
      <w:r w:rsidRPr="00C40990">
        <w:t>abrants</w:t>
      </w:r>
      <w:proofErr w:type="spellEnd"/>
      <w:r>
        <w:t>’</w:t>
      </w:r>
      <w:r w:rsidRPr="00C40990">
        <w:t xml:space="preserve"> confidential or</w:t>
      </w:r>
      <w:r>
        <w:t xml:space="preserve"> </w:t>
      </w:r>
      <w:r w:rsidRPr="00C40990">
        <w:t xml:space="preserve">financial information without Mr. </w:t>
      </w:r>
      <w:proofErr w:type="spellStart"/>
      <w:r w:rsidRPr="00C40990">
        <w:t>Garrabrants</w:t>
      </w:r>
      <w:proofErr w:type="spellEnd"/>
      <w:r>
        <w:t>’</w:t>
      </w:r>
      <w:r w:rsidRPr="00C40990">
        <w:t xml:space="preserve"> consent, or if he fraudulently obtained or</w:t>
      </w:r>
      <w:r>
        <w:t xml:space="preserve"> </w:t>
      </w:r>
      <w:r w:rsidRPr="00C40990">
        <w:t xml:space="preserve">appropriated Mr. </w:t>
      </w:r>
      <w:proofErr w:type="spellStart"/>
      <w:r w:rsidRPr="00C40990">
        <w:t>Garrabrants</w:t>
      </w:r>
      <w:proofErr w:type="spellEnd"/>
      <w:r>
        <w:t>’</w:t>
      </w:r>
      <w:r w:rsidRPr="00C40990">
        <w:t xml:space="preserve"> confidential or financial information entrusted to him as an</w:t>
      </w:r>
      <w:r>
        <w:t xml:space="preserve"> </w:t>
      </w:r>
      <w:r w:rsidRPr="00C40990">
        <w:t xml:space="preserve">employee of </w:t>
      </w:r>
      <w:proofErr w:type="spellStart"/>
      <w:r w:rsidRPr="00C40990">
        <w:t>Bo</w:t>
      </w:r>
      <w:r>
        <w:t>fI</w:t>
      </w:r>
      <w:proofErr w:type="spellEnd"/>
      <w:r w:rsidRPr="00C40990">
        <w:t xml:space="preserve"> Federal Bank. </w:t>
      </w:r>
      <w:r>
        <w:t xml:space="preserve"> </w:t>
      </w:r>
      <w:r w:rsidRPr="00C40990">
        <w:t>A person fraudulently obtains or appropriates confidential</w:t>
      </w:r>
      <w:r>
        <w:t xml:space="preserve"> </w:t>
      </w:r>
      <w:r w:rsidRPr="00C40990">
        <w:t>or financial information if he or she</w:t>
      </w:r>
      <w:proofErr w:type="gramStart"/>
      <w:r w:rsidRPr="00C40990">
        <w:t xml:space="preserve">: </w:t>
      </w:r>
      <w:r>
        <w:t xml:space="preserve"> </w:t>
      </w:r>
      <w:r w:rsidRPr="00C40990">
        <w:t>(</w:t>
      </w:r>
      <w:proofErr w:type="gramEnd"/>
      <w:r w:rsidRPr="00C40990">
        <w:t>a) obtains the information by false pretenses; or (b)</w:t>
      </w:r>
      <w:r>
        <w:t> </w:t>
      </w:r>
      <w:r w:rsidRPr="00C40990">
        <w:t>obtains the information by breaching a duty, trust or confidence.</w:t>
      </w:r>
      <w:r>
        <w:t xml:space="preserve"> </w:t>
      </w:r>
    </w:p>
    <w:p w14:paraId="11EFEDD6" w14:textId="77777777" w:rsidR="00D45E51" w:rsidRDefault="00D45E51" w:rsidP="00C40990">
      <w:pPr>
        <w:pStyle w:val="IndentedQuote"/>
      </w:pPr>
    </w:p>
    <w:p w14:paraId="3C83E676" w14:textId="77777777" w:rsidR="00D45E51" w:rsidRDefault="00D45E51" w:rsidP="00C40990">
      <w:proofErr w:type="spellStart"/>
      <w:r w:rsidRPr="00332A35">
        <w:t>Garrabrants</w:t>
      </w:r>
      <w:proofErr w:type="spellEnd"/>
      <w:r>
        <w:t xml:space="preserve"> purportedly</w:t>
      </w:r>
      <w:r>
        <w:t xml:space="preserve"> based this </w:t>
      </w:r>
      <w:r>
        <w:t xml:space="preserve">special </w:t>
      </w:r>
      <w:r>
        <w:t xml:space="preserve">instruction on </w:t>
      </w:r>
      <w:r>
        <w:t>Penal Code section</w:t>
      </w:r>
      <w:r>
        <w:t> </w:t>
      </w:r>
      <w:r>
        <w:t>484, subdivision (a)</w:t>
      </w:r>
      <w:r>
        <w:t>, which defines theft,</w:t>
      </w:r>
      <w:r>
        <w:t xml:space="preserve"> and</w:t>
      </w:r>
      <w:r>
        <w:t xml:space="preserve"> </w:t>
      </w:r>
      <w:r>
        <w:t>the</w:t>
      </w:r>
      <w:r>
        <w:t xml:space="preserve"> pattern instruction</w:t>
      </w:r>
      <w:r>
        <w:t xml:space="preserve"> for larceny</w:t>
      </w:r>
      <w:r>
        <w:t xml:space="preserve">. </w:t>
      </w:r>
      <w:r>
        <w:t xml:space="preserve"> </w:t>
      </w:r>
      <w:r>
        <w:t xml:space="preserve">When discussing jury instructions with the court, </w:t>
      </w:r>
      <w:proofErr w:type="spellStart"/>
      <w:r>
        <w:t>Garrabrants</w:t>
      </w:r>
      <w:proofErr w:type="spellEnd"/>
      <w:r>
        <w:t xml:space="preserve">’ counsel </w:t>
      </w:r>
      <w:r>
        <w:t xml:space="preserve">also </w:t>
      </w:r>
      <w:r>
        <w:t>claimed the proposed instruction</w:t>
      </w:r>
      <w:r>
        <w:t xml:space="preserve"> contained “the definition of fraud from the CALCRIM </w:t>
      </w:r>
      <w:r>
        <w:t>[instructions for theft by embezzlement and</w:t>
      </w:r>
      <w:r>
        <w:t xml:space="preserve"> false pretense</w:t>
      </w:r>
      <w:r>
        <w:t>]</w:t>
      </w:r>
      <w:r>
        <w:t xml:space="preserve">.” </w:t>
      </w:r>
    </w:p>
    <w:p w14:paraId="2B2D0DCB" w14:textId="77777777" w:rsidR="00D45E51" w:rsidRDefault="00D45E51" w:rsidP="00C40990">
      <w:r>
        <w:tab/>
      </w:r>
      <w:r>
        <w:t>T</w:t>
      </w:r>
      <w:r>
        <w:t xml:space="preserve">he </w:t>
      </w:r>
      <w:r>
        <w:t xml:space="preserve">relevant portion of the </w:t>
      </w:r>
      <w:r>
        <w:t>special verdict form simply state</w:t>
      </w:r>
      <w:r>
        <w:t>d</w:t>
      </w:r>
      <w:proofErr w:type="gramStart"/>
      <w:r>
        <w:t>:  “</w:t>
      </w:r>
      <w:proofErr w:type="gramEnd"/>
      <w:r>
        <w:t>Did Mr.</w:t>
      </w:r>
      <w:r>
        <w:t> </w:t>
      </w:r>
      <w:r>
        <w:t xml:space="preserve">Erhart obtain Mr. </w:t>
      </w:r>
      <w:proofErr w:type="spellStart"/>
      <w:r>
        <w:t>Garrabrants</w:t>
      </w:r>
      <w:proofErr w:type="spellEnd"/>
      <w:r>
        <w:t xml:space="preserve">’ confidential or financial information in a manner constituting theft?”  The jury checked “Yes.”   </w:t>
      </w:r>
    </w:p>
    <w:p w14:paraId="7A76DED0" w14:textId="77777777" w:rsidR="00D45E51" w:rsidRDefault="00D45E51" w:rsidP="003066C0">
      <w:pPr>
        <w:keepNext/>
        <w:jc w:val="center"/>
      </w:pPr>
      <w:r>
        <w:lastRenderedPageBreak/>
        <w:t>C</w:t>
      </w:r>
      <w:r>
        <w:t>.</w:t>
      </w:r>
    </w:p>
    <w:p w14:paraId="3D4EC900" w14:textId="77777777" w:rsidR="00D45E51" w:rsidRDefault="00D45E51" w:rsidP="002211E5">
      <w:r>
        <w:tab/>
      </w:r>
      <w:r w:rsidRPr="002211E5">
        <w:t>Erhart challenges the soundness of the trial court</w:t>
      </w:r>
      <w:r>
        <w:t>’</w:t>
      </w:r>
      <w:r w:rsidRPr="002211E5">
        <w:t>s instructions on Penal Code section 496 on several grounds.  We reach only Erhart</w:t>
      </w:r>
      <w:r>
        <w:t>’</w:t>
      </w:r>
      <w:r w:rsidRPr="002211E5">
        <w:t xml:space="preserve">s arguments that </w:t>
      </w:r>
      <w:r>
        <w:t xml:space="preserve">(1) </w:t>
      </w:r>
      <w:r w:rsidRPr="002211E5">
        <w:t>the</w:t>
      </w:r>
      <w:r>
        <w:t xml:space="preserve"> given</w:t>
      </w:r>
      <w:r w:rsidRPr="002211E5">
        <w:t xml:space="preserve"> instructions failed to instruct on </w:t>
      </w:r>
      <w:r>
        <w:t>“</w:t>
      </w:r>
      <w:r w:rsidRPr="002211E5">
        <w:t>the essential element of c</w:t>
      </w:r>
      <w:r>
        <w:t>r</w:t>
      </w:r>
      <w:r w:rsidRPr="002211E5">
        <w:t>iminal intent</w:t>
      </w:r>
      <w:r>
        <w:t>”</w:t>
      </w:r>
      <w:r w:rsidRPr="002211E5">
        <w:t xml:space="preserve"> and </w:t>
      </w:r>
      <w:r>
        <w:t>(2)</w:t>
      </w:r>
      <w:r w:rsidRPr="002211E5">
        <w:t xml:space="preserve"> Special Instruction No. 3 erroneously defined </w:t>
      </w:r>
      <w:r>
        <w:t>“</w:t>
      </w:r>
      <w:r w:rsidRPr="002211E5">
        <w:t>theft,</w:t>
      </w:r>
      <w:r>
        <w:t>”</w:t>
      </w:r>
      <w:r w:rsidRPr="002211E5">
        <w:t xml:space="preserve"> as those contentions are dispositive. </w:t>
      </w:r>
      <w:r>
        <w:t xml:space="preserve"> </w:t>
      </w:r>
    </w:p>
    <w:p w14:paraId="1281CD29" w14:textId="77777777" w:rsidR="00D45E51" w:rsidRDefault="00D45E51" w:rsidP="008C0CB0">
      <w:pPr>
        <w:jc w:val="center"/>
      </w:pPr>
      <w:r>
        <w:t>1.</w:t>
      </w:r>
    </w:p>
    <w:p w14:paraId="18A84E4D" w14:textId="77777777" w:rsidR="00D45E51" w:rsidRDefault="00D45E51" w:rsidP="00C40990">
      <w:r>
        <w:tab/>
      </w:r>
      <w:r>
        <w:t>We conclude Special Instruction</w:t>
      </w:r>
      <w:r>
        <w:t>s</w:t>
      </w:r>
      <w:r>
        <w:t xml:space="preserve"> No</w:t>
      </w:r>
      <w:r>
        <w:t>s</w:t>
      </w:r>
      <w:r>
        <w:t>. 2 and 3</w:t>
      </w:r>
      <w:r>
        <w:t xml:space="preserve"> mis</w:t>
      </w:r>
      <w:r>
        <w:t>stated the law and thus misled the jury</w:t>
      </w:r>
      <w:r>
        <w:t xml:space="preserve"> as to </w:t>
      </w:r>
      <w:r>
        <w:t xml:space="preserve">what </w:t>
      </w:r>
      <w:r>
        <w:t>“obtained in a</w:t>
      </w:r>
      <w:r>
        <w:t>ny</w:t>
      </w:r>
      <w:r>
        <w:t xml:space="preserve"> manner constituting </w:t>
      </w:r>
      <w:r>
        <w:t xml:space="preserve">theft” </w:t>
      </w:r>
      <w:r>
        <w:t xml:space="preserve">means </w:t>
      </w:r>
      <w:r>
        <w:t xml:space="preserve">for purposes of violating Penal Code section 496. </w:t>
      </w:r>
      <w:r>
        <w:t xml:space="preserve"> </w:t>
      </w:r>
      <w:r>
        <w:t>(Pen. Code § 496, subd.</w:t>
      </w:r>
      <w:r>
        <w:t xml:space="preserve"> (a).)  </w:t>
      </w:r>
    </w:p>
    <w:p w14:paraId="0BD0A07D" w14:textId="77777777" w:rsidR="00D45E51" w:rsidRDefault="00D45E51" w:rsidP="00C40990">
      <w:r>
        <w:tab/>
      </w:r>
      <w:r>
        <w:t>As relevant here, t</w:t>
      </w:r>
      <w:r>
        <w:t xml:space="preserve">he Penal Code </w:t>
      </w:r>
      <w:r>
        <w:t xml:space="preserve">provides </w:t>
      </w:r>
      <w:r>
        <w:t>that persons are</w:t>
      </w:r>
      <w:r>
        <w:t xml:space="preserve"> guilty of theft if</w:t>
      </w:r>
      <w:r>
        <w:t xml:space="preserve"> they </w:t>
      </w:r>
      <w:r>
        <w:t xml:space="preserve">(1) </w:t>
      </w:r>
      <w:r>
        <w:t xml:space="preserve">“feloniously </w:t>
      </w:r>
      <w:proofErr w:type="gramStart"/>
      <w:r>
        <w:t>steal</w:t>
      </w:r>
      <w:r>
        <w:t>[</w:t>
      </w:r>
      <w:proofErr w:type="gramEnd"/>
      <w:r>
        <w:t> or]</w:t>
      </w:r>
      <w:r>
        <w:t xml:space="preserve"> take</w:t>
      </w:r>
      <w:r>
        <w:t xml:space="preserve"> . . .</w:t>
      </w:r>
      <w:r>
        <w:t xml:space="preserve"> the personal property of another” </w:t>
      </w:r>
      <w:r>
        <w:t xml:space="preserve">or </w:t>
      </w:r>
      <w:r>
        <w:t xml:space="preserve">(2) </w:t>
      </w:r>
      <w:r>
        <w:t xml:space="preserve">“fraudulently appropriate property which has been entrusted to </w:t>
      </w:r>
      <w:r>
        <w:t>[them]</w:t>
      </w:r>
      <w:r>
        <w:t>.”  (Pen. Code § 484, subd. (a).)</w:t>
      </w:r>
      <w:r>
        <w:t xml:space="preserve">  </w:t>
      </w:r>
      <w:r>
        <w:t>The</w:t>
      </w:r>
      <w:r>
        <w:t xml:space="preserve"> first </w:t>
      </w:r>
      <w:r>
        <w:t xml:space="preserve">of these </w:t>
      </w:r>
      <w:r>
        <w:t xml:space="preserve">definitions </w:t>
      </w:r>
      <w:r>
        <w:t>describes</w:t>
      </w:r>
      <w:r>
        <w:t xml:space="preserve"> </w:t>
      </w:r>
      <w:r>
        <w:t xml:space="preserve">theft by </w:t>
      </w:r>
      <w:r>
        <w:t>larceny</w:t>
      </w:r>
      <w:r>
        <w:t>.</w:t>
      </w:r>
      <w:r>
        <w:t xml:space="preserve"> </w:t>
      </w:r>
      <w:r>
        <w:t xml:space="preserve"> (</w:t>
      </w:r>
      <w:r>
        <w:rPr>
          <w:i/>
          <w:iCs/>
        </w:rPr>
        <w:t>People v. Myles</w:t>
      </w:r>
      <w:r>
        <w:t xml:space="preserve"> (2023) 89 Cal.App.5th 711, 729</w:t>
      </w:r>
      <w:r>
        <w:t>,</w:t>
      </w:r>
      <w:r>
        <w:t xml:space="preserve"> fn. 8</w:t>
      </w:r>
      <w:r>
        <w:t xml:space="preserve"> (</w:t>
      </w:r>
      <w:r>
        <w:rPr>
          <w:i/>
          <w:iCs/>
        </w:rPr>
        <w:t>Myles</w:t>
      </w:r>
      <w:r>
        <w:t>)</w:t>
      </w:r>
      <w:r>
        <w:t xml:space="preserve">.)  The second </w:t>
      </w:r>
      <w:r>
        <w:t xml:space="preserve">defines </w:t>
      </w:r>
      <w:r>
        <w:t>embezzlement</w:t>
      </w:r>
      <w:r>
        <w:t xml:space="preserve">. </w:t>
      </w:r>
      <w:r>
        <w:t xml:space="preserve"> (Pen. Code</w:t>
      </w:r>
      <w:r>
        <w:t>,</w:t>
      </w:r>
      <w:r>
        <w:t xml:space="preserve"> §</w:t>
      </w:r>
      <w:r>
        <w:t> </w:t>
      </w:r>
      <w:r>
        <w:t>503</w:t>
      </w:r>
      <w:r>
        <w:t>.)</w:t>
      </w:r>
    </w:p>
    <w:p w14:paraId="5DA99DF2" w14:textId="77777777" w:rsidR="00D45E51" w:rsidRDefault="00D45E51" w:rsidP="00C40990">
      <w:r>
        <w:tab/>
      </w:r>
      <w:r>
        <w:t xml:space="preserve">The first </w:t>
      </w:r>
      <w:r>
        <w:t>sentence of Special Instruction No. 3 seemingly intended to encompass these two types of theft</w:t>
      </w:r>
      <w:r>
        <w:t xml:space="preserve">.  </w:t>
      </w:r>
      <w:r>
        <w:t xml:space="preserve">Special Instruction No. 3, however, </w:t>
      </w:r>
      <w:r>
        <w:t>erroneously define</w:t>
      </w:r>
      <w:r>
        <w:t>d</w:t>
      </w:r>
      <w:r>
        <w:t xml:space="preserve"> larceny</w:t>
      </w:r>
      <w:r>
        <w:t>.</w:t>
      </w:r>
      <w:r>
        <w:t xml:space="preserve"> </w:t>
      </w:r>
      <w:r>
        <w:t xml:space="preserve"> </w:t>
      </w:r>
      <w:r>
        <w:t xml:space="preserve">Importantly, </w:t>
      </w:r>
      <w:r>
        <w:t>larceny</w:t>
      </w:r>
      <w:r>
        <w:t xml:space="preserve"> requires </w:t>
      </w:r>
      <w:r>
        <w:t>a</w:t>
      </w:r>
      <w:r>
        <w:t>n</w:t>
      </w:r>
      <w:r>
        <w:t xml:space="preserve"> </w:t>
      </w:r>
      <w:r>
        <w:t>“intent to steal”—in other words, “the intent, without a good faith claim of right, to permanently deprive the owner of possession.”  (</w:t>
      </w:r>
      <w:r>
        <w:rPr>
          <w:i/>
          <w:iCs/>
        </w:rPr>
        <w:t>People v. Davis</w:t>
      </w:r>
      <w:r>
        <w:t xml:space="preserve"> (1998) 19</w:t>
      </w:r>
      <w:r>
        <w:t> </w:t>
      </w:r>
      <w:r>
        <w:t xml:space="preserve">Cal.4th 301, </w:t>
      </w:r>
      <w:r>
        <w:t xml:space="preserve">305.)  </w:t>
      </w:r>
      <w:r>
        <w:t>A jury instructi</w:t>
      </w:r>
      <w:r>
        <w:t>on defining theft</w:t>
      </w:r>
      <w:r>
        <w:t xml:space="preserve"> by larceny</w:t>
      </w:r>
      <w:r>
        <w:t xml:space="preserve"> without the requisite specific intent is </w:t>
      </w:r>
      <w:r>
        <w:t>erroneous as a matter of law.  (</w:t>
      </w:r>
      <w:r>
        <w:rPr>
          <w:i/>
          <w:iCs/>
        </w:rPr>
        <w:t>Myles</w:t>
      </w:r>
      <w:r>
        <w:t xml:space="preserve">, </w:t>
      </w:r>
      <w:r>
        <w:rPr>
          <w:i/>
          <w:iCs/>
        </w:rPr>
        <w:t>supra</w:t>
      </w:r>
      <w:r>
        <w:t xml:space="preserve">, </w:t>
      </w:r>
      <w:r>
        <w:t>89</w:t>
      </w:r>
      <w:r>
        <w:t> </w:t>
      </w:r>
      <w:r>
        <w:t>Cal.App.5th at p</w:t>
      </w:r>
      <w:r>
        <w:t xml:space="preserve">. 732.)  For example, in </w:t>
      </w:r>
      <w:r>
        <w:rPr>
          <w:i/>
          <w:iCs/>
        </w:rPr>
        <w:t>Myles</w:t>
      </w:r>
      <w:r>
        <w:t xml:space="preserve">, the trial </w:t>
      </w:r>
      <w:r>
        <w:t xml:space="preserve">court </w:t>
      </w:r>
      <w:r w:rsidRPr="00C35150">
        <w:t>erred</w:t>
      </w:r>
      <w:r w:rsidRPr="00C35150">
        <w:t xml:space="preserve"> when it properly</w:t>
      </w:r>
      <w:r>
        <w:t xml:space="preserve"> instructed </w:t>
      </w:r>
      <w:r>
        <w:t xml:space="preserve">the jury with the four elements set out in </w:t>
      </w:r>
      <w:r>
        <w:t xml:space="preserve">the pattern instruction for theft, </w:t>
      </w:r>
      <w:r>
        <w:t>CALCRIM No. 1800—including the third element</w:t>
      </w:r>
      <w:r>
        <w:t xml:space="preserve"> on </w:t>
      </w:r>
      <w:r>
        <w:lastRenderedPageBreak/>
        <w:t>specific</w:t>
      </w:r>
      <w:r>
        <w:t xml:space="preserve"> intent—</w:t>
      </w:r>
      <w:r>
        <w:t xml:space="preserve">but </w:t>
      </w:r>
      <w:r>
        <w:t>added</w:t>
      </w:r>
      <w:r>
        <w:t xml:space="preserve"> a sentence requested by the prosecution that stated:  </w:t>
      </w:r>
      <w:r>
        <w:t>“‘</w:t>
      </w:r>
      <w:r>
        <w:t xml:space="preserve">The </w:t>
      </w:r>
      <w:r w:rsidRPr="00936728">
        <w:rPr>
          <w:i/>
          <w:iCs/>
        </w:rPr>
        <w:t>unauthorized</w:t>
      </w:r>
      <w:r w:rsidRPr="00936728">
        <w:t xml:space="preserve"> use of utilities in a residence or consumption of property within the home is considered larceny for purposes of Burglary.’”</w:t>
      </w:r>
      <w:r w:rsidRPr="00936728">
        <w:t xml:space="preserve"> </w:t>
      </w:r>
      <w:r w:rsidRPr="00936728">
        <w:t xml:space="preserve"> </w:t>
      </w:r>
      <w:r w:rsidRPr="00936728">
        <w:t>(</w:t>
      </w:r>
      <w:r w:rsidRPr="00936728">
        <w:rPr>
          <w:i/>
          <w:iCs/>
        </w:rPr>
        <w:t>Myles</w:t>
      </w:r>
      <w:r w:rsidRPr="00936728">
        <w:t xml:space="preserve">, at pp. 730-731.)  </w:t>
      </w:r>
      <w:r w:rsidRPr="00936728">
        <w:t xml:space="preserve">That addition rendered the instruction erroneous because </w:t>
      </w:r>
      <w:r w:rsidRPr="00936728">
        <w:t>“</w:t>
      </w:r>
      <w:r w:rsidRPr="00936728">
        <w:t>n</w:t>
      </w:r>
      <w:r w:rsidRPr="00936728">
        <w:t>othing in this</w:t>
      </w:r>
      <w:r>
        <w:t xml:space="preserve"> description of the offense of theft conveyed that the defenda</w:t>
      </w:r>
      <w:r>
        <w:t>nt had to act with the specific intent to permanently deprive the owner of the utilities used, or the property consumed.  By leaving out any description of the defendant’s mental state, the modification effectively turned theft into a strict liability offense.”  (</w:t>
      </w:r>
      <w:r>
        <w:rPr>
          <w:i/>
          <w:iCs/>
        </w:rPr>
        <w:t>Id.</w:t>
      </w:r>
      <w:r>
        <w:t xml:space="preserve"> at p. </w:t>
      </w:r>
      <w:r>
        <w:t>731.)</w:t>
      </w:r>
    </w:p>
    <w:p w14:paraId="4F1D3224" w14:textId="77777777" w:rsidR="00D45E51" w:rsidRDefault="00D45E51" w:rsidP="00C40990">
      <w:r>
        <w:tab/>
      </w:r>
      <w:r>
        <w:t xml:space="preserve">Here, too, the instruction </w:t>
      </w:r>
      <w:r>
        <w:t xml:space="preserve">“gave the jury a truncated definition of theft that left out the required specific intent.”  </w:t>
      </w:r>
      <w:r>
        <w:t>(</w:t>
      </w:r>
      <w:r>
        <w:rPr>
          <w:i/>
          <w:iCs/>
        </w:rPr>
        <w:t>Myles</w:t>
      </w:r>
      <w:r>
        <w:t xml:space="preserve">, </w:t>
      </w:r>
      <w:r>
        <w:rPr>
          <w:i/>
          <w:iCs/>
        </w:rPr>
        <w:t>supra</w:t>
      </w:r>
      <w:r>
        <w:t>, 89 Cal.App.5th at p.</w:t>
      </w:r>
      <w:r>
        <w:t> </w:t>
      </w:r>
      <w:r>
        <w:t xml:space="preserve">732.) </w:t>
      </w:r>
      <w:r>
        <w:t xml:space="preserve"> </w:t>
      </w:r>
      <w:r>
        <w:t xml:space="preserve">But unlike the instruction in </w:t>
      </w:r>
      <w:r>
        <w:rPr>
          <w:i/>
          <w:iCs/>
        </w:rPr>
        <w:t>Myles</w:t>
      </w:r>
      <w:r>
        <w:t xml:space="preserve">, </w:t>
      </w:r>
      <w:r>
        <w:t>an</w:t>
      </w:r>
      <w:r>
        <w:t xml:space="preserve"> accurate</w:t>
      </w:r>
      <w:r>
        <w:t xml:space="preserve"> recitation of the elements of the </w:t>
      </w:r>
      <w:r>
        <w:t>offense</w:t>
      </w:r>
      <w:r>
        <w:t xml:space="preserve"> elsewhere in the charge</w:t>
      </w:r>
      <w:r>
        <w:t xml:space="preserve"> was lacking</w:t>
      </w:r>
      <w:r>
        <w:t>.  (</w:t>
      </w:r>
      <w:r>
        <w:rPr>
          <w:i/>
          <w:iCs/>
        </w:rPr>
        <w:t>Id.</w:t>
      </w:r>
      <w:r>
        <w:t xml:space="preserve"> at p. 730.)  Accordingly, the instruction on theft </w:t>
      </w:r>
      <w:r>
        <w:t xml:space="preserve">here </w:t>
      </w:r>
      <w:r>
        <w:t>was</w:t>
      </w:r>
      <w:r>
        <w:t xml:space="preserve"> more</w:t>
      </w:r>
      <w:r>
        <w:t xml:space="preserve"> fatally deficient </w:t>
      </w:r>
      <w:r>
        <w:t xml:space="preserve">in instructing the jury on </w:t>
      </w:r>
      <w:r>
        <w:t xml:space="preserve">the requisite </w:t>
      </w:r>
      <w:r>
        <w:t>intent element</w:t>
      </w:r>
      <w:r>
        <w:t>.</w:t>
      </w:r>
      <w:r>
        <w:t xml:space="preserve">  </w:t>
      </w:r>
      <w:r>
        <w:t>(</w:t>
      </w:r>
      <w:r>
        <w:rPr>
          <w:i/>
          <w:iCs/>
        </w:rPr>
        <w:t xml:space="preserve">Siry Investment, L.P. v. </w:t>
      </w:r>
      <w:proofErr w:type="spellStart"/>
      <w:r>
        <w:rPr>
          <w:i/>
          <w:iCs/>
        </w:rPr>
        <w:t>Farkhondehpour</w:t>
      </w:r>
      <w:proofErr w:type="spellEnd"/>
      <w:r>
        <w:t xml:space="preserve"> (2022) 13 Cal.5th 333, 361-362.)</w:t>
      </w:r>
    </w:p>
    <w:p w14:paraId="2E197821" w14:textId="77777777" w:rsidR="00D45E51" w:rsidRDefault="00D45E51" w:rsidP="00C40990">
      <w:r>
        <w:tab/>
      </w:r>
      <w:r>
        <w:t>“</w:t>
      </w:r>
      <w:r>
        <w:t>[W]</w:t>
      </w:r>
      <w:r w:rsidRPr="009240F8">
        <w:t xml:space="preserve">here the jury is permitted to choose between two factual theories, is </w:t>
      </w:r>
      <w:proofErr w:type="spellStart"/>
      <w:r w:rsidRPr="009240F8">
        <w:t>misinstructed</w:t>
      </w:r>
      <w:proofErr w:type="spellEnd"/>
      <w:r w:rsidRPr="009240F8">
        <w:t xml:space="preserve"> as to the legal requisites for one of them, and there is no way to eliminate the likelihood that the jury chose the </w:t>
      </w:r>
      <w:r w:rsidRPr="009240F8">
        <w:t>theory affected by the instructional error,</w:t>
      </w:r>
      <w:r>
        <w:t xml:space="preserve">” </w:t>
      </w:r>
      <w:r>
        <w:t>it is likely the jury reached an improper verdict and reversal is required.</w:t>
      </w:r>
      <w:r>
        <w:t xml:space="preserve"> </w:t>
      </w:r>
      <w:r>
        <w:t xml:space="preserve"> (</w:t>
      </w:r>
      <w:r w:rsidRPr="009240F8">
        <w:rPr>
          <w:i/>
          <w:iCs/>
        </w:rPr>
        <w:t>Lundy v. Ford Motor Co.</w:t>
      </w:r>
      <w:r w:rsidRPr="009240F8">
        <w:t xml:space="preserve"> (2001) 87 Cal.App.4th 472, 480</w:t>
      </w:r>
      <w:r>
        <w:t>.)</w:t>
      </w:r>
      <w:r>
        <w:t xml:space="preserve"> </w:t>
      </w:r>
      <w:r>
        <w:t xml:space="preserve"> </w:t>
      </w:r>
      <w:r>
        <w:t>Although</w:t>
      </w:r>
      <w:r>
        <w:t xml:space="preserve"> </w:t>
      </w:r>
      <w:r>
        <w:t>Special Instruction No. 3</w:t>
      </w:r>
      <w:r>
        <w:t xml:space="preserve"> provide</w:t>
      </w:r>
      <w:r>
        <w:t>d</w:t>
      </w:r>
      <w:r>
        <w:t xml:space="preserve"> an alternate definition of theft</w:t>
      </w:r>
      <w:r>
        <w:t xml:space="preserve"> by way of embezzlement</w:t>
      </w:r>
      <w:r>
        <w:t>, w</w:t>
      </w:r>
      <w:r>
        <w:t xml:space="preserve">e are unable to </w:t>
      </w:r>
      <w:r>
        <w:t>surmise from the record</w:t>
      </w:r>
      <w:r>
        <w:t>, which</w:t>
      </w:r>
      <w:r>
        <w:t xml:space="preserve"> </w:t>
      </w:r>
      <w:r>
        <w:t xml:space="preserve">conceivably </w:t>
      </w:r>
      <w:r>
        <w:t xml:space="preserve">contained adequate evidence to support either theory, </w:t>
      </w:r>
      <w:r>
        <w:t xml:space="preserve">whether or to what extent the jury based its decision on </w:t>
      </w:r>
      <w:r>
        <w:t xml:space="preserve">the alternate </w:t>
      </w:r>
      <w:r>
        <w:t>theory</w:t>
      </w:r>
      <w:r>
        <w:t xml:space="preserve"> given the special verdict form’s </w:t>
      </w:r>
      <w:r>
        <w:t>generality</w:t>
      </w:r>
      <w:r>
        <w:t xml:space="preserve"> on th</w:t>
      </w:r>
      <w:r>
        <w:t>e manner of theft.</w:t>
      </w:r>
      <w:r>
        <w:t xml:space="preserve"> </w:t>
      </w:r>
      <w:r>
        <w:t xml:space="preserve"> </w:t>
      </w:r>
      <w:r>
        <w:t>B</w:t>
      </w:r>
      <w:r>
        <w:t xml:space="preserve">ecause we </w:t>
      </w:r>
      <w:r>
        <w:t>conclude</w:t>
      </w:r>
      <w:r>
        <w:t xml:space="preserve"> that one of the two definitions of theft</w:t>
      </w:r>
      <w:r>
        <w:t xml:space="preserve"> </w:t>
      </w:r>
      <w:r>
        <w:t xml:space="preserve">underlying </w:t>
      </w:r>
      <w:r>
        <w:t>the jury’s</w:t>
      </w:r>
      <w:r>
        <w:t xml:space="preserve"> </w:t>
      </w:r>
      <w:r>
        <w:lastRenderedPageBreak/>
        <w:t>finding was an incorrect statement of law</w:t>
      </w:r>
      <w:r>
        <w:t xml:space="preserve"> that vitiated </w:t>
      </w:r>
      <w:r>
        <w:t>Penal Code section</w:t>
      </w:r>
      <w:r>
        <w:t> </w:t>
      </w:r>
      <w:r>
        <w:t>496’s requirement of criminal inten</w:t>
      </w:r>
      <w:r>
        <w:t>t</w:t>
      </w:r>
      <w:r>
        <w:t xml:space="preserve"> and we cannot discern which definition the jury relied on, it is likely that the jury re</w:t>
      </w:r>
      <w:r>
        <w:t>lied on the erroneous instruction in reaching its verdict.</w:t>
      </w:r>
      <w:r>
        <w:t xml:space="preserve">  </w:t>
      </w:r>
      <w:r w:rsidRPr="0029184B">
        <w:t>(</w:t>
      </w:r>
      <w:r w:rsidRPr="0029184B">
        <w:rPr>
          <w:i/>
          <w:iCs/>
        </w:rPr>
        <w:t>Lundy</w:t>
      </w:r>
      <w:r w:rsidRPr="0029184B">
        <w:t>, at p. 480.)</w:t>
      </w:r>
      <w:r>
        <w:t xml:space="preserve">  </w:t>
      </w:r>
      <w:r>
        <w:t xml:space="preserve">We therefore need not </w:t>
      </w:r>
      <w:r>
        <w:t>assess</w:t>
      </w:r>
      <w:r>
        <w:t xml:space="preserve"> the legal soundness of the alternate definition.</w:t>
      </w:r>
    </w:p>
    <w:p w14:paraId="222256CB" w14:textId="77777777" w:rsidR="00D45E51" w:rsidRDefault="00D45E51" w:rsidP="00C40990">
      <w:r>
        <w:tab/>
      </w:r>
      <w:r>
        <w:t>We</w:t>
      </w:r>
      <w:r>
        <w:t xml:space="preserve"> do, however,</w:t>
      </w:r>
      <w:r>
        <w:t xml:space="preserve"> </w:t>
      </w:r>
      <w:r>
        <w:t xml:space="preserve">briefly </w:t>
      </w:r>
      <w:r>
        <w:t xml:space="preserve">address several </w:t>
      </w:r>
      <w:r>
        <w:t xml:space="preserve">additional </w:t>
      </w:r>
      <w:r>
        <w:t xml:space="preserve">arguments raised by </w:t>
      </w:r>
      <w:proofErr w:type="spellStart"/>
      <w:r>
        <w:t>Garrabrant</w:t>
      </w:r>
      <w:r>
        <w:t>s</w:t>
      </w:r>
      <w:proofErr w:type="spellEnd"/>
      <w:r>
        <w:t xml:space="preserve">.  First, </w:t>
      </w:r>
      <w:proofErr w:type="spellStart"/>
      <w:r>
        <w:t>Garrabrants</w:t>
      </w:r>
      <w:proofErr w:type="spellEnd"/>
      <w:r>
        <w:t xml:space="preserve"> contends that Erhart’s challenge</w:t>
      </w:r>
      <w:r>
        <w:t xml:space="preserve"> to the Penal Code section 496 instructions</w:t>
      </w:r>
      <w:r>
        <w:t xml:space="preserve"> is “largely a sufficiency of the evidence challenge.”  </w:t>
      </w:r>
      <w:r>
        <w:t xml:space="preserve">Erhart </w:t>
      </w:r>
      <w:r>
        <w:t xml:space="preserve">does </w:t>
      </w:r>
      <w:r>
        <w:t xml:space="preserve">devote portions of his </w:t>
      </w:r>
      <w:r>
        <w:t>argument to the sufficiency of the evidence for certain elements—</w:t>
      </w:r>
      <w:r>
        <w:t xml:space="preserve">for example, </w:t>
      </w:r>
      <w:proofErr w:type="spellStart"/>
      <w:r>
        <w:t>Garrabrants</w:t>
      </w:r>
      <w:proofErr w:type="spellEnd"/>
      <w:r>
        <w:t>’ property interest</w:t>
      </w:r>
      <w:r>
        <w:t>—</w:t>
      </w:r>
      <w:r>
        <w:t xml:space="preserve">without always identifying a corresponding instructional defect.  </w:t>
      </w:r>
      <w:r>
        <w:t>Nonetheless</w:t>
      </w:r>
      <w:r>
        <w:t xml:space="preserve">, </w:t>
      </w:r>
      <w:r>
        <w:t>Erhart</w:t>
      </w:r>
      <w:r>
        <w:t xml:space="preserve"> </w:t>
      </w:r>
      <w:r>
        <w:t>unambiguously</w:t>
      </w:r>
      <w:r>
        <w:t xml:space="preserve"> challenges the </w:t>
      </w:r>
      <w:r>
        <w:t xml:space="preserve">given </w:t>
      </w:r>
      <w:r>
        <w:t>instructions</w:t>
      </w:r>
      <w:r>
        <w:t>’</w:t>
      </w:r>
      <w:r>
        <w:t xml:space="preserve"> failure to </w:t>
      </w:r>
      <w:r>
        <w:t xml:space="preserve">instruct on the necessary element of intent. </w:t>
      </w:r>
      <w:r>
        <w:t xml:space="preserve"> </w:t>
      </w:r>
      <w:proofErr w:type="spellStart"/>
      <w:r>
        <w:t>Garrabrants</w:t>
      </w:r>
      <w:proofErr w:type="spellEnd"/>
      <w:r>
        <w:t>’ argument is accordingly inapplicable to th</w:t>
      </w:r>
      <w:r>
        <w:t xml:space="preserve">e instant </w:t>
      </w:r>
      <w:r>
        <w:t xml:space="preserve">issue.  </w:t>
      </w:r>
    </w:p>
    <w:p w14:paraId="1A686431" w14:textId="77777777" w:rsidR="00D45E51" w:rsidRPr="00913A41" w:rsidRDefault="00D45E51" w:rsidP="00C40990">
      <w:r>
        <w:tab/>
      </w:r>
      <w:r>
        <w:t xml:space="preserve">Second, </w:t>
      </w:r>
      <w:proofErr w:type="spellStart"/>
      <w:r>
        <w:t>Garrabrants</w:t>
      </w:r>
      <w:proofErr w:type="spellEnd"/>
      <w:r>
        <w:t xml:space="preserve"> argues </w:t>
      </w:r>
      <w:r>
        <w:t xml:space="preserve">that </w:t>
      </w:r>
      <w:r>
        <w:t xml:space="preserve">Erhart’s proposed instruction on Penal Code section 496 </w:t>
      </w:r>
      <w:r>
        <w:t xml:space="preserve">“w[as] not substantively different from the trial court’s </w:t>
      </w:r>
      <w:proofErr w:type="gramStart"/>
      <w:r>
        <w:t>instruction[</w:t>
      </w:r>
      <w:proofErr w:type="gramEnd"/>
      <w:r>
        <w:t> </w:t>
      </w:r>
      <w:r>
        <w:t>]</w:t>
      </w:r>
      <w:r>
        <w:t xml:space="preserve">,” and suggests </w:t>
      </w:r>
      <w:r>
        <w:t xml:space="preserve">that </w:t>
      </w:r>
      <w:r>
        <w:t xml:space="preserve">Erhart </w:t>
      </w:r>
      <w:r>
        <w:t xml:space="preserve">cannot complain of error in instructions he himself requested.  </w:t>
      </w:r>
      <w:r>
        <w:t>But</w:t>
      </w:r>
      <w:r>
        <w:t xml:space="preserve"> </w:t>
      </w:r>
      <w:r>
        <w:t>Erhart’s proposed</w:t>
      </w:r>
      <w:r>
        <w:t xml:space="preserve"> instruction did not erroneously define “theft”</w:t>
      </w:r>
      <w:r>
        <w:t>; rather,</w:t>
      </w:r>
      <w:r>
        <w:t xml:space="preserve"> as </w:t>
      </w:r>
      <w:proofErr w:type="spellStart"/>
      <w:r>
        <w:t>Garrabrants</w:t>
      </w:r>
      <w:proofErr w:type="spellEnd"/>
      <w:r>
        <w:t xml:space="preserve"> </w:t>
      </w:r>
      <w:r>
        <w:t xml:space="preserve">admits, “Erhart did not propose a theft instruction.”  </w:t>
      </w:r>
      <w:r>
        <w:t xml:space="preserve">We thus reject </w:t>
      </w:r>
      <w:r>
        <w:t xml:space="preserve">any contention Erhart </w:t>
      </w:r>
      <w:r>
        <w:t>invited or acquiesced to</w:t>
      </w:r>
      <w:r>
        <w:t xml:space="preserve"> </w:t>
      </w:r>
      <w:r>
        <w:t>the given instructions’ legal error</w:t>
      </w:r>
      <w:r>
        <w:t>.</w:t>
      </w:r>
    </w:p>
    <w:p w14:paraId="31D8795A" w14:textId="77777777" w:rsidR="00D45E51" w:rsidRDefault="00D45E51" w:rsidP="00264F3F">
      <w:pPr>
        <w:keepNext/>
        <w:jc w:val="center"/>
      </w:pPr>
      <w:r>
        <w:t>2.</w:t>
      </w:r>
    </w:p>
    <w:p w14:paraId="58B44B75" w14:textId="77777777" w:rsidR="00D45E51" w:rsidRDefault="00D45E51" w:rsidP="00C40990">
      <w:r>
        <w:tab/>
      </w:r>
      <w:r>
        <w:t xml:space="preserve">We also determine </w:t>
      </w:r>
      <w:r>
        <w:t>this error</w:t>
      </w:r>
      <w:r>
        <w:t xml:space="preserve"> was prejudicial.</w:t>
      </w:r>
      <w:r>
        <w:t xml:space="preserve">  </w:t>
      </w:r>
      <w:r>
        <w:t>(</w:t>
      </w:r>
      <w:r>
        <w:rPr>
          <w:i/>
          <w:iCs/>
        </w:rPr>
        <w:t xml:space="preserve">See </w:t>
      </w:r>
      <w:proofErr w:type="spellStart"/>
      <w:r>
        <w:rPr>
          <w:i/>
          <w:iCs/>
        </w:rPr>
        <w:t>LeMons</w:t>
      </w:r>
      <w:proofErr w:type="spellEnd"/>
      <w:r>
        <w:t xml:space="preserve">, </w:t>
      </w:r>
      <w:r w:rsidRPr="006E2BA0">
        <w:rPr>
          <w:i/>
          <w:iCs/>
        </w:rPr>
        <w:t>supra</w:t>
      </w:r>
      <w:r>
        <w:t xml:space="preserve">, </w:t>
      </w:r>
      <w:r w:rsidRPr="006E2BA0">
        <w:t>21</w:t>
      </w:r>
      <w:r>
        <w:t> </w:t>
      </w:r>
      <w:r>
        <w:t xml:space="preserve">Cal.3d at p. 876.)  </w:t>
      </w:r>
      <w:r>
        <w:t xml:space="preserve">Had the jury found </w:t>
      </w:r>
      <w:r>
        <w:t xml:space="preserve">that </w:t>
      </w:r>
      <w:r>
        <w:t xml:space="preserve">Erhart lacked an intent to steal, </w:t>
      </w:r>
      <w:r>
        <w:t xml:space="preserve">the jury could not have found </w:t>
      </w:r>
      <w:r>
        <w:t xml:space="preserve">that </w:t>
      </w:r>
      <w:proofErr w:type="spellStart"/>
      <w:r>
        <w:t>Garrabrants</w:t>
      </w:r>
      <w:proofErr w:type="spellEnd"/>
      <w:r>
        <w:t xml:space="preserve"> proved Erhart </w:t>
      </w:r>
      <w:r>
        <w:t>obtained</w:t>
      </w:r>
      <w:r>
        <w:t xml:space="preserve"> </w:t>
      </w:r>
      <w:r>
        <w:t>his</w:t>
      </w:r>
      <w:r>
        <w:t xml:space="preserve"> information </w:t>
      </w:r>
      <w:r>
        <w:t>in a manner constituting larceny.</w:t>
      </w:r>
      <w:r>
        <w:t xml:space="preserve"> </w:t>
      </w:r>
      <w:r>
        <w:t xml:space="preserve"> </w:t>
      </w:r>
      <w:r>
        <w:t>H</w:t>
      </w:r>
      <w:r>
        <w:t xml:space="preserve">ere, </w:t>
      </w:r>
      <w:r>
        <w:t xml:space="preserve">no other instructions </w:t>
      </w:r>
      <w:r>
        <w:lastRenderedPageBreak/>
        <w:t xml:space="preserve">remedied the error, and </w:t>
      </w:r>
      <w:r>
        <w:t>the evidence was such that a reasonable jury, properly instructed, could have decided this issue more favorably to Erhart.</w:t>
      </w:r>
    </w:p>
    <w:p w14:paraId="17BFB893" w14:textId="77777777" w:rsidR="00D45E51" w:rsidRDefault="00D45E51" w:rsidP="00C40990">
      <w:r>
        <w:tab/>
      </w:r>
      <w:r>
        <w:t>The</w:t>
      </w:r>
      <w:r>
        <w:t>re was</w:t>
      </w:r>
      <w:r>
        <w:t xml:space="preserve"> evidence </w:t>
      </w:r>
      <w:r>
        <w:t xml:space="preserve">before the jury </w:t>
      </w:r>
      <w:r>
        <w:t xml:space="preserve">that Erhart </w:t>
      </w:r>
      <w:r>
        <w:t xml:space="preserve">had been authorized by Ball to further investigate both the third-party </w:t>
      </w:r>
      <w:r>
        <w:t xml:space="preserve">checks deposited into </w:t>
      </w:r>
      <w:proofErr w:type="spellStart"/>
      <w:r>
        <w:t>Garrabrants</w:t>
      </w:r>
      <w:proofErr w:type="spellEnd"/>
      <w:r>
        <w:t xml:space="preserve">’ account and the </w:t>
      </w:r>
      <w:r>
        <w:t xml:space="preserve">Trust’s </w:t>
      </w:r>
      <w:r>
        <w:t>account</w:t>
      </w:r>
      <w:r>
        <w:t xml:space="preserve"> activity</w:t>
      </w:r>
      <w:r>
        <w:t xml:space="preserve">. </w:t>
      </w:r>
      <w:r>
        <w:t xml:space="preserve"> </w:t>
      </w:r>
      <w:r>
        <w:t>One</w:t>
      </w:r>
      <w:r>
        <w:t xml:space="preserve"> auditor testified</w:t>
      </w:r>
      <w:r>
        <w:t xml:space="preserve"> </w:t>
      </w:r>
      <w:proofErr w:type="spellStart"/>
      <w:r>
        <w:t>BofI</w:t>
      </w:r>
      <w:proofErr w:type="spellEnd"/>
      <w:r>
        <w:t xml:space="preserve"> auditors had access </w:t>
      </w:r>
      <w:r>
        <w:t xml:space="preserve">only </w:t>
      </w:r>
      <w:r>
        <w:t xml:space="preserve">to </w:t>
      </w:r>
      <w:r>
        <w:t xml:space="preserve">information necessary to the scope of </w:t>
      </w:r>
      <w:r>
        <w:t xml:space="preserve">any </w:t>
      </w:r>
      <w:r>
        <w:t>current</w:t>
      </w:r>
      <w:r>
        <w:t xml:space="preserve"> audit</w:t>
      </w:r>
      <w:r>
        <w:t>s</w:t>
      </w:r>
      <w:r>
        <w:t>.</w:t>
      </w:r>
      <w:r>
        <w:t xml:space="preserve"> </w:t>
      </w:r>
      <w:r>
        <w:t xml:space="preserve"> </w:t>
      </w:r>
      <w:r>
        <w:t xml:space="preserve">Erhart testified that he accessed </w:t>
      </w:r>
      <w:proofErr w:type="spellStart"/>
      <w:r>
        <w:t>Garrabrants</w:t>
      </w:r>
      <w:proofErr w:type="spellEnd"/>
      <w:r>
        <w:t xml:space="preserve">’ personal financial information </w:t>
      </w:r>
      <w:r>
        <w:t>to enable him to complete the two audits assigned</w:t>
      </w:r>
      <w:r>
        <w:t xml:space="preserve"> to him</w:t>
      </w:r>
      <w:r>
        <w:t xml:space="preserve">.  </w:t>
      </w:r>
      <w:r>
        <w:t xml:space="preserve">Erhart </w:t>
      </w:r>
      <w:r>
        <w:t xml:space="preserve">was concerned about possible illegal activity at </w:t>
      </w:r>
      <w:proofErr w:type="spellStart"/>
      <w:r>
        <w:t>BofI</w:t>
      </w:r>
      <w:proofErr w:type="spellEnd"/>
      <w:r>
        <w:t>, including</w:t>
      </w:r>
      <w:r>
        <w:t xml:space="preserve"> that of</w:t>
      </w:r>
      <w:r>
        <w:t xml:space="preserve"> </w:t>
      </w:r>
      <w:proofErr w:type="spellStart"/>
      <w:r>
        <w:t>Garrabrants</w:t>
      </w:r>
      <w:proofErr w:type="spellEnd"/>
      <w:r>
        <w:t xml:space="preserve">. </w:t>
      </w:r>
      <w:r>
        <w:t xml:space="preserve"> </w:t>
      </w:r>
      <w:r>
        <w:t>Erhart testified that his supervisor</w:t>
      </w:r>
      <w:r>
        <w:t xml:space="preserve"> had</w:t>
      </w:r>
      <w:r>
        <w:t xml:space="preserve"> told him to “‘have [his] files ready, prepared.’” </w:t>
      </w:r>
      <w:r>
        <w:t xml:space="preserve"> </w:t>
      </w:r>
      <w:r>
        <w:t xml:space="preserve">Erhart </w:t>
      </w:r>
      <w:r>
        <w:t xml:space="preserve">believed </w:t>
      </w:r>
      <w:r>
        <w:t xml:space="preserve">he was acting as a whistleblower </w:t>
      </w:r>
      <w:r>
        <w:t>at the time he took the documents in question and provided them to regulatory agencies.</w:t>
      </w:r>
      <w:r>
        <w:t xml:space="preserve"> </w:t>
      </w:r>
      <w:r>
        <w:t xml:space="preserve"> </w:t>
      </w:r>
      <w:r>
        <w:t xml:space="preserve">He also thought he would be destroying evidence </w:t>
      </w:r>
      <w:r>
        <w:t xml:space="preserve">if </w:t>
      </w:r>
      <w:r>
        <w:t xml:space="preserve">he </w:t>
      </w:r>
      <w:r>
        <w:t>got rid of</w:t>
      </w:r>
      <w:r>
        <w:t xml:space="preserve"> the data, so </w:t>
      </w:r>
      <w:r>
        <w:t xml:space="preserve">Erhart </w:t>
      </w:r>
      <w:r>
        <w:t xml:space="preserve">retained it. </w:t>
      </w:r>
      <w:r>
        <w:t xml:space="preserve"> </w:t>
      </w:r>
      <w:r>
        <w:t>Based on this evidence, a</w:t>
      </w:r>
      <w:r>
        <w:t xml:space="preserve"> reasonable jury could have </w:t>
      </w:r>
      <w:r>
        <w:t xml:space="preserve">found that Erhart had a </w:t>
      </w:r>
      <w:proofErr w:type="gramStart"/>
      <w:r>
        <w:t>good</w:t>
      </w:r>
      <w:r>
        <w:t>-</w:t>
      </w:r>
      <w:r>
        <w:t>faith</w:t>
      </w:r>
      <w:proofErr w:type="gramEnd"/>
      <w:r>
        <w:t xml:space="preserve"> claim of right to the information</w:t>
      </w:r>
      <w:r>
        <w:t>, and thus</w:t>
      </w:r>
      <w:r>
        <w:t xml:space="preserve"> lacked </w:t>
      </w:r>
      <w:r>
        <w:t xml:space="preserve">the necessary </w:t>
      </w:r>
      <w:r>
        <w:t>intent to steal it</w:t>
      </w:r>
      <w:r>
        <w:t xml:space="preserve"> for theft by larceny</w:t>
      </w:r>
      <w:r>
        <w:t>.</w:t>
      </w:r>
    </w:p>
    <w:p w14:paraId="3118968D" w14:textId="77777777" w:rsidR="00D45E51" w:rsidRPr="009113B3" w:rsidRDefault="00D45E51" w:rsidP="00C40990">
      <w:r>
        <w:tab/>
        <w:t xml:space="preserve">Moreover, a jury </w:t>
      </w:r>
      <w:r>
        <w:t xml:space="preserve">reasonably </w:t>
      </w:r>
      <w:r>
        <w:t xml:space="preserve">could have found </w:t>
      </w:r>
      <w:r>
        <w:t xml:space="preserve">on this record </w:t>
      </w:r>
      <w:r>
        <w:t xml:space="preserve">that Erhart </w:t>
      </w:r>
      <w:r>
        <w:t xml:space="preserve">also </w:t>
      </w:r>
      <w:r>
        <w:t xml:space="preserve">did not obtain the </w:t>
      </w:r>
      <w:r>
        <w:t xml:space="preserve">information in </w:t>
      </w:r>
      <w:r w:rsidRPr="004403F7">
        <w:rPr>
          <w:i/>
          <w:iCs/>
        </w:rPr>
        <w:t>a</w:t>
      </w:r>
      <w:r w:rsidRPr="004403F7">
        <w:rPr>
          <w:i/>
          <w:iCs/>
        </w:rPr>
        <w:t>ny other</w:t>
      </w:r>
      <w:r>
        <w:t xml:space="preserve"> </w:t>
      </w:r>
      <w:r>
        <w:t xml:space="preserve">relevant </w:t>
      </w:r>
      <w:r>
        <w:t>manner constituting</w:t>
      </w:r>
      <w:r>
        <w:t xml:space="preserve"> theft.</w:t>
      </w:r>
      <w:r>
        <w:t xml:space="preserve">  </w:t>
      </w:r>
      <w:r>
        <w:t xml:space="preserve">Embezzlement, </w:t>
      </w:r>
      <w:r>
        <w:t>“</w:t>
      </w:r>
      <w:r>
        <w:t>a form of</w:t>
      </w:r>
      <w:r>
        <w:t xml:space="preserve"> larceny,</w:t>
      </w:r>
      <w:r>
        <w:t>”</w:t>
      </w:r>
      <w:r>
        <w:t xml:space="preserve"> </w:t>
      </w:r>
      <w:r>
        <w:t>similarly</w:t>
      </w:r>
      <w:r>
        <w:t xml:space="preserve"> </w:t>
      </w:r>
      <w:r>
        <w:t xml:space="preserve">requires an intent to deprive </w:t>
      </w:r>
      <w:r>
        <w:t>an</w:t>
      </w:r>
      <w:r>
        <w:t xml:space="preserve"> owner of </w:t>
      </w:r>
      <w:r>
        <w:t xml:space="preserve">his or her </w:t>
      </w:r>
      <w:r>
        <w:t>property.</w:t>
      </w:r>
      <w:r>
        <w:t xml:space="preserve">  (</w:t>
      </w:r>
      <w:r>
        <w:rPr>
          <w:i/>
          <w:iCs/>
        </w:rPr>
        <w:t>People v. Casas</w:t>
      </w:r>
      <w:r>
        <w:t xml:space="preserve"> (2010) 184</w:t>
      </w:r>
      <w:r>
        <w:t> </w:t>
      </w:r>
      <w:r>
        <w:t xml:space="preserve">Cal.App.4th 1242, </w:t>
      </w:r>
      <w:r>
        <w:t>1246.)</w:t>
      </w:r>
      <w:r>
        <w:t xml:space="preserve"> </w:t>
      </w:r>
      <w:r>
        <w:t xml:space="preserve"> </w:t>
      </w:r>
      <w:r>
        <w:t xml:space="preserve">A good-faith belief </w:t>
      </w:r>
      <w:r>
        <w:t>that</w:t>
      </w:r>
      <w:r>
        <w:t xml:space="preserve"> one is authorized to take the property in question is </w:t>
      </w:r>
      <w:r>
        <w:t>a defense</w:t>
      </w:r>
      <w:r>
        <w:t xml:space="preserve"> to liability</w:t>
      </w:r>
      <w:r>
        <w:t>.  (</w:t>
      </w:r>
      <w:r>
        <w:rPr>
          <w:i/>
          <w:iCs/>
        </w:rPr>
        <w:t xml:space="preserve">People v. Stewart </w:t>
      </w:r>
      <w:r>
        <w:t xml:space="preserve">(1976) 16 Cal.3d 133, 139; Pen. Code § 511; </w:t>
      </w:r>
      <w:r>
        <w:t>CALCRIM No. 1863</w:t>
      </w:r>
      <w:r>
        <w:t xml:space="preserve">.)  For the reasons provided </w:t>
      </w:r>
      <w:r>
        <w:t>above</w:t>
      </w:r>
      <w:r>
        <w:t>, a reasonable jury could have found Erhart lacked the requisite intent and believed in good faith he was authorized to take</w:t>
      </w:r>
      <w:r>
        <w:t xml:space="preserve"> and retain</w:t>
      </w:r>
      <w:r>
        <w:t xml:space="preserve"> the </w:t>
      </w:r>
      <w:r>
        <w:t>information in question.</w:t>
      </w:r>
      <w:r>
        <w:t xml:space="preserve">  Theft</w:t>
      </w:r>
      <w:r>
        <w:t xml:space="preserve"> by false pretense</w:t>
      </w:r>
      <w:r>
        <w:t xml:space="preserve">s, meanwhile, </w:t>
      </w:r>
      <w:r>
        <w:lastRenderedPageBreak/>
        <w:t>“</w:t>
      </w:r>
      <w:r w:rsidRPr="0096580C">
        <w:t xml:space="preserve">involves the </w:t>
      </w:r>
      <w:r w:rsidRPr="0096580C">
        <w:rPr>
          <w:i/>
          <w:iCs/>
        </w:rPr>
        <w:t>consensual</w:t>
      </w:r>
      <w:r w:rsidRPr="0096580C">
        <w:t xml:space="preserve"> transfer of possession as well as </w:t>
      </w:r>
      <w:r w:rsidRPr="0096580C">
        <w:rPr>
          <w:i/>
          <w:iCs/>
        </w:rPr>
        <w:t>title</w:t>
      </w:r>
      <w:r w:rsidRPr="0096580C">
        <w:t xml:space="preserve"> of property</w:t>
      </w:r>
      <w:r>
        <w:t>.”  (</w:t>
      </w:r>
      <w:r w:rsidRPr="0096580C">
        <w:rPr>
          <w:i/>
          <w:iCs/>
        </w:rPr>
        <w:t>People v. Williams</w:t>
      </w:r>
      <w:r w:rsidRPr="0096580C">
        <w:t xml:space="preserve"> (2013) 57 Cal.4th 776, 788</w:t>
      </w:r>
      <w:r>
        <w:t>.)</w:t>
      </w:r>
      <w:r>
        <w:t xml:space="preserve">  </w:t>
      </w:r>
      <w:r>
        <w:t xml:space="preserve">Because </w:t>
      </w:r>
      <w:proofErr w:type="spellStart"/>
      <w:r>
        <w:t>Garrabrants</w:t>
      </w:r>
      <w:proofErr w:type="spellEnd"/>
      <w:r>
        <w:t xml:space="preserve"> claimed to have not known that </w:t>
      </w:r>
      <w:r>
        <w:t>Erhart took the documents until December 2015</w:t>
      </w:r>
      <w:r>
        <w:t xml:space="preserve"> and subsequently sued Erhart for his actions, </w:t>
      </w:r>
      <w:r>
        <w:t xml:space="preserve">a reasonable jury could </w:t>
      </w:r>
      <w:r>
        <w:t>have found</w:t>
      </w:r>
      <w:r>
        <w:t xml:space="preserve"> </w:t>
      </w:r>
      <w:proofErr w:type="spellStart"/>
      <w:r>
        <w:t>Garrabrants</w:t>
      </w:r>
      <w:proofErr w:type="spellEnd"/>
      <w:r>
        <w:t xml:space="preserve"> did not consent to Erhart’s taking of the documents </w:t>
      </w:r>
      <w:r>
        <w:t>as needed to prove</w:t>
      </w:r>
      <w:r>
        <w:t xml:space="preserve"> </w:t>
      </w:r>
      <w:r>
        <w:t>theft</w:t>
      </w:r>
      <w:r>
        <w:t xml:space="preserve"> by false pretenses.  </w:t>
      </w:r>
      <w:r>
        <w:t xml:space="preserve">And we question whether it is even possible to transfer title to the </w:t>
      </w:r>
      <w:r>
        <w:t>“property”</w:t>
      </w:r>
      <w:r>
        <w:t xml:space="preserve"> at issue.</w:t>
      </w:r>
      <w:r>
        <w:t xml:space="preserve"> </w:t>
      </w:r>
    </w:p>
    <w:p w14:paraId="17546D13" w14:textId="77777777" w:rsidR="00D45E51" w:rsidRPr="005B3AC3" w:rsidRDefault="00D45E51" w:rsidP="00C40990">
      <w:r>
        <w:tab/>
      </w:r>
      <w:r>
        <w:t xml:space="preserve">Given a reasonable jury could have found that Erhart </w:t>
      </w:r>
      <w:r>
        <w:t xml:space="preserve">did not obtain </w:t>
      </w:r>
      <w:proofErr w:type="spellStart"/>
      <w:r>
        <w:t>Garrabrants</w:t>
      </w:r>
      <w:proofErr w:type="spellEnd"/>
      <w:r>
        <w:t>’ information in a</w:t>
      </w:r>
      <w:r>
        <w:t>ny</w:t>
      </w:r>
      <w:r>
        <w:t xml:space="preserve"> manner constituting theft</w:t>
      </w:r>
      <w:r>
        <w:t xml:space="preserve">, there </w:t>
      </w:r>
      <w:r>
        <w:t xml:space="preserve">was “a </w:t>
      </w:r>
      <w:r>
        <w:rPr>
          <w:i/>
          <w:iCs/>
        </w:rPr>
        <w:t>reasonable chance</w:t>
      </w:r>
      <w:r>
        <w:t xml:space="preserve">, more than an </w:t>
      </w:r>
      <w:r>
        <w:rPr>
          <w:i/>
          <w:iCs/>
        </w:rPr>
        <w:t>abstract probability</w:t>
      </w:r>
      <w:r>
        <w:t xml:space="preserve">,” that </w:t>
      </w:r>
      <w:r>
        <w:t>the error affected the verdict</w:t>
      </w:r>
      <w:r>
        <w:t>.</w:t>
      </w:r>
      <w:r>
        <w:t xml:space="preserve"> </w:t>
      </w:r>
      <w:r>
        <w:t xml:space="preserve"> (</w:t>
      </w:r>
      <w:r w:rsidRPr="00464FE0">
        <w:rPr>
          <w:i/>
          <w:iCs/>
        </w:rPr>
        <w:t>College Hospital Inc. v. Superior Court</w:t>
      </w:r>
      <w:r w:rsidRPr="00464FE0">
        <w:t xml:space="preserve"> (1994) 8 Cal.4th 704, 715</w:t>
      </w:r>
      <w:r>
        <w:t>.)</w:t>
      </w:r>
      <w:r>
        <w:t xml:space="preserve">  We accordingly must reverse the judgment in </w:t>
      </w:r>
      <w:proofErr w:type="spellStart"/>
      <w:r>
        <w:t>Garrabrants</w:t>
      </w:r>
      <w:proofErr w:type="spellEnd"/>
      <w:r>
        <w:t xml:space="preserve">’ favor on this claim.  </w:t>
      </w:r>
      <w:proofErr w:type="gramStart"/>
      <w:r>
        <w:t>In light of</w:t>
      </w:r>
      <w:proofErr w:type="gramEnd"/>
      <w:r>
        <w:t xml:space="preserve"> our determination, we need not reach the remaining alleged errors Erhart identifies</w:t>
      </w:r>
      <w:r>
        <w:t xml:space="preserve"> for this claim</w:t>
      </w:r>
      <w:r>
        <w:t>.</w:t>
      </w:r>
      <w:r w:rsidRPr="00661BD7">
        <w:t xml:space="preserve"> </w:t>
      </w:r>
    </w:p>
    <w:p w14:paraId="1CE9412E" w14:textId="77777777" w:rsidR="00D45E51" w:rsidRDefault="00D45E51" w:rsidP="007B2D69">
      <w:pPr>
        <w:keepNext/>
        <w:jc w:val="center"/>
      </w:pPr>
      <w:r>
        <w:t>V.</w:t>
      </w:r>
    </w:p>
    <w:p w14:paraId="3B763BEE" w14:textId="77777777" w:rsidR="00D45E51" w:rsidRDefault="00D45E51" w:rsidP="00C40990">
      <w:r>
        <w:tab/>
        <w:t xml:space="preserve">Erhart </w:t>
      </w:r>
      <w:r>
        <w:t>further</w:t>
      </w:r>
      <w:r>
        <w:t xml:space="preserve"> contends the trial court’s </w:t>
      </w:r>
      <w:r>
        <w:t xml:space="preserve">Penal Code section 502 </w:t>
      </w:r>
      <w:r>
        <w:t>instruction w</w:t>
      </w:r>
      <w:r>
        <w:t>as</w:t>
      </w:r>
      <w:r>
        <w:t xml:space="preserve"> prejudicially erroneous.  </w:t>
      </w:r>
      <w:r>
        <w:t>Once more, w</w:t>
      </w:r>
      <w:r>
        <w:t>e agree</w:t>
      </w:r>
      <w:r>
        <w:t>.</w:t>
      </w:r>
    </w:p>
    <w:p w14:paraId="41E5F878" w14:textId="77777777" w:rsidR="00D45E51" w:rsidRDefault="00D45E51" w:rsidP="007B2D69">
      <w:pPr>
        <w:keepNext/>
        <w:jc w:val="center"/>
      </w:pPr>
      <w:r>
        <w:t>A.</w:t>
      </w:r>
    </w:p>
    <w:p w14:paraId="2E79F9B9" w14:textId="77777777" w:rsidR="00D45E51" w:rsidRDefault="00D45E51" w:rsidP="00C40990">
      <w:r>
        <w:tab/>
      </w:r>
      <w:r w:rsidRPr="00B33F3D">
        <w:t>Under</w:t>
      </w:r>
      <w:r w:rsidRPr="00B33F3D">
        <w:t xml:space="preserve"> </w:t>
      </w:r>
      <w:r w:rsidRPr="00B33F3D">
        <w:t>Penal Code section 502</w:t>
      </w:r>
      <w:r w:rsidRPr="00B33F3D">
        <w:t>,</w:t>
      </w:r>
      <w:r>
        <w:t xml:space="preserve"> a person “is guilty of a public offense” if he or she</w:t>
      </w:r>
      <w:r>
        <w:t xml:space="preserve"> </w:t>
      </w:r>
      <w:r>
        <w:t>“[k]</w:t>
      </w:r>
      <w:proofErr w:type="spellStart"/>
      <w:r>
        <w:t>nowingly</w:t>
      </w:r>
      <w:proofErr w:type="spellEnd"/>
      <w:r>
        <w:t xml:space="preserve"> accesses and without permission takes, copies, or makes use of any data from a compute</w:t>
      </w:r>
      <w:r>
        <w:t>r, computer system, or computer network.”  (Pen. Code § 502, subd. (c)(</w:t>
      </w:r>
      <w:r>
        <w:t>2</w:t>
      </w:r>
      <w:r>
        <w:t>).)</w:t>
      </w:r>
      <w:r>
        <w:t xml:space="preserve"> </w:t>
      </w:r>
      <w:r>
        <w:t xml:space="preserve"> </w:t>
      </w:r>
      <w:r>
        <w:t xml:space="preserve">The statute authorizes “the owner or lessee of the . . . data who suffers damage or loss by reason of a violation of [the statute]” to bring a civil </w:t>
      </w:r>
      <w:r>
        <w:t>suit</w:t>
      </w:r>
      <w:r>
        <w:t>.  (</w:t>
      </w:r>
      <w:r>
        <w:rPr>
          <w:i/>
          <w:iCs/>
        </w:rPr>
        <w:t>Id.</w:t>
      </w:r>
      <w:r>
        <w:t>,</w:t>
      </w:r>
      <w:r>
        <w:t xml:space="preserve"> subd. (e)(1).)  </w:t>
      </w:r>
    </w:p>
    <w:p w14:paraId="186DF7CA" w14:textId="77777777" w:rsidR="00D45E51" w:rsidRPr="00A13BDA" w:rsidRDefault="00D45E51" w:rsidP="00C40990">
      <w:r>
        <w:tab/>
      </w:r>
      <w:r>
        <w:t>T</w:t>
      </w:r>
      <w:r>
        <w:t>here are</w:t>
      </w:r>
      <w:r>
        <w:t xml:space="preserve"> </w:t>
      </w:r>
      <w:r>
        <w:t xml:space="preserve">limited </w:t>
      </w:r>
      <w:r>
        <w:t>exception</w:t>
      </w:r>
      <w:r>
        <w:t>s</w:t>
      </w:r>
      <w:r>
        <w:t xml:space="preserve"> to liability</w:t>
      </w:r>
      <w:r>
        <w:t xml:space="preserve"> </w:t>
      </w:r>
      <w:r>
        <w:t xml:space="preserve">for </w:t>
      </w:r>
      <w:r>
        <w:t xml:space="preserve">certain </w:t>
      </w:r>
      <w:r>
        <w:t xml:space="preserve">“acts which are committed by </w:t>
      </w:r>
      <w:r>
        <w:t xml:space="preserve">a person within the </w:t>
      </w:r>
      <w:r>
        <w:t xml:space="preserve">scope of lawful employment” </w:t>
      </w:r>
      <w:r>
        <w:t>and</w:t>
      </w:r>
      <w:r>
        <w:t xml:space="preserve"> </w:t>
      </w:r>
      <w:r>
        <w:t xml:space="preserve">even </w:t>
      </w:r>
      <w:r>
        <w:lastRenderedPageBreak/>
        <w:t xml:space="preserve">specified </w:t>
      </w:r>
      <w:r>
        <w:t xml:space="preserve">acts committed </w:t>
      </w:r>
      <w:r>
        <w:t xml:space="preserve">outside </w:t>
      </w:r>
      <w:r>
        <w:t>the</w:t>
      </w:r>
      <w:r>
        <w:t xml:space="preserve"> </w:t>
      </w:r>
      <w:r>
        <w:t>scope of</w:t>
      </w:r>
      <w:r>
        <w:t xml:space="preserve"> lawful employment</w:t>
      </w:r>
      <w:r>
        <w:t xml:space="preserve">.  </w:t>
      </w:r>
      <w:r>
        <w:t>(</w:t>
      </w:r>
      <w:r>
        <w:t>Pen. Code § 502,</w:t>
      </w:r>
      <w:r>
        <w:t xml:space="preserve"> subds. (h)</w:t>
      </w:r>
      <w:r>
        <w:t>(1)</w:t>
      </w:r>
      <w:r>
        <w:t>-</w:t>
      </w:r>
      <w:r>
        <w:t>(2), (</w:t>
      </w:r>
      <w:proofErr w:type="spellStart"/>
      <w:r>
        <w:t>i</w:t>
      </w:r>
      <w:proofErr w:type="spellEnd"/>
      <w:r>
        <w:t xml:space="preserve">).)  </w:t>
      </w:r>
    </w:p>
    <w:p w14:paraId="4DC7C218" w14:textId="77777777" w:rsidR="00D45E51" w:rsidRDefault="00D45E51" w:rsidP="00185303">
      <w:pPr>
        <w:keepNext/>
        <w:jc w:val="center"/>
      </w:pPr>
      <w:r>
        <w:t>B.</w:t>
      </w:r>
    </w:p>
    <w:p w14:paraId="036DF807" w14:textId="77777777" w:rsidR="00D45E51" w:rsidRDefault="00D45E51" w:rsidP="00C40990">
      <w:r>
        <w:tab/>
      </w:r>
      <w:r>
        <w:t>A</w:t>
      </w:r>
      <w:r>
        <w:t xml:space="preserve">s relevant </w:t>
      </w:r>
      <w:r>
        <w:t>to this appeal</w:t>
      </w:r>
      <w:r>
        <w:t xml:space="preserve">, </w:t>
      </w:r>
      <w:r>
        <w:t xml:space="preserve">CACI 1812, </w:t>
      </w:r>
      <w:r>
        <w:t>the</w:t>
      </w:r>
      <w:r>
        <w:t xml:space="preserve"> pattern instruction </w:t>
      </w:r>
      <w:r>
        <w:t>on</w:t>
      </w:r>
      <w:r>
        <w:t xml:space="preserve"> Penal Code section 502</w:t>
      </w:r>
      <w:r>
        <w:t xml:space="preserve">, provides that </w:t>
      </w:r>
      <w:r>
        <w:t>one element a</w:t>
      </w:r>
      <w:r>
        <w:t xml:space="preserve"> plaintiff must prove </w:t>
      </w:r>
      <w:r>
        <w:t xml:space="preserve">to prevail on </w:t>
      </w:r>
      <w:r>
        <w:t>such a</w:t>
      </w:r>
      <w:r>
        <w:t xml:space="preserve"> claim is </w:t>
      </w:r>
      <w:r w:rsidRPr="00CD06D4">
        <w:t>“</w:t>
      </w:r>
      <w:r w:rsidRPr="00CD06D4">
        <w:t>that the plaintiff is the owner or lessee of</w:t>
      </w:r>
      <w:r w:rsidRPr="00CD06D4">
        <w:t>”</w:t>
      </w:r>
      <w:r w:rsidRPr="00CD06D4">
        <w:t xml:space="preserve"> the</w:t>
      </w:r>
      <w:r>
        <w:t xml:space="preserve"> </w:t>
      </w:r>
      <w:r>
        <w:t>technology or data accessed</w:t>
      </w:r>
      <w:r>
        <w:t>.  (CACI</w:t>
      </w:r>
      <w:r>
        <w:t xml:space="preserve"> </w:t>
      </w:r>
      <w:r>
        <w:t>1812.)</w:t>
      </w:r>
    </w:p>
    <w:p w14:paraId="2CD0C7D6" w14:textId="77777777" w:rsidR="00D45E51" w:rsidRDefault="00D45E51" w:rsidP="00683316">
      <w:r>
        <w:tab/>
        <w:t>Neither party</w:t>
      </w:r>
      <w:r>
        <w:t>, however,</w:t>
      </w:r>
      <w:r>
        <w:t xml:space="preserve"> requested the CACI instruction.</w:t>
      </w:r>
      <w:r>
        <w:t xml:space="preserve"> </w:t>
      </w:r>
      <w:r>
        <w:t xml:space="preserve"> Rather, </w:t>
      </w:r>
      <w:r>
        <w:t xml:space="preserve">the trial court </w:t>
      </w:r>
      <w:r>
        <w:t>gave</w:t>
      </w:r>
      <w:r>
        <w:t xml:space="preserve"> Special Instruction No. 4</w:t>
      </w:r>
      <w:r>
        <w:t xml:space="preserve">, which, as relevant here, required </w:t>
      </w:r>
      <w:proofErr w:type="spellStart"/>
      <w:r>
        <w:t>Garrabrants</w:t>
      </w:r>
      <w:proofErr w:type="spellEnd"/>
      <w:r>
        <w:t xml:space="preserve"> to prove “[t]</w:t>
      </w:r>
      <w:r>
        <w:t xml:space="preserve">hat Mr. Erhart knowingly accessed and without permission took, copied and/or otherwise made use of Mr. </w:t>
      </w:r>
      <w:proofErr w:type="spellStart"/>
      <w:r>
        <w:t>Garrabrants</w:t>
      </w:r>
      <w:proofErr w:type="spellEnd"/>
      <w:r>
        <w:t xml:space="preserve">’ confidential or financial information from a </w:t>
      </w:r>
      <w:proofErr w:type="spellStart"/>
      <w:r>
        <w:t>BofI</w:t>
      </w:r>
      <w:proofErr w:type="spellEnd"/>
      <w:r>
        <w:t xml:space="preserve"> Federal Bank computer, computer </w:t>
      </w:r>
      <w:proofErr w:type="gramStart"/>
      <w:r>
        <w:t>system</w:t>
      </w:r>
      <w:r>
        <w:t>[</w:t>
      </w:r>
      <w:proofErr w:type="gramEnd"/>
      <w:r>
        <w:t>,]</w:t>
      </w:r>
      <w:r>
        <w:t xml:space="preserve"> or computer network</w:t>
      </w:r>
      <w:r>
        <w:t xml:space="preserve">.” </w:t>
      </w:r>
      <w:r>
        <w:t xml:space="preserve"> </w:t>
      </w:r>
      <w:r>
        <w:t>Th</w:t>
      </w:r>
      <w:r>
        <w:t>is</w:t>
      </w:r>
      <w:r>
        <w:t xml:space="preserve"> instruction was </w:t>
      </w:r>
      <w:r>
        <w:t>substantively identical to</w:t>
      </w:r>
      <w:r>
        <w:t xml:space="preserve"> </w:t>
      </w:r>
      <w:proofErr w:type="spellStart"/>
      <w:r>
        <w:t>Garrabrants</w:t>
      </w:r>
      <w:proofErr w:type="spellEnd"/>
      <w:r>
        <w:t xml:space="preserve">’ proposed instruction. </w:t>
      </w:r>
      <w:r>
        <w:t xml:space="preserve"> </w:t>
      </w:r>
      <w:r>
        <w:t xml:space="preserve">  </w:t>
      </w:r>
    </w:p>
    <w:p w14:paraId="608F256C" w14:textId="77777777" w:rsidR="00D45E51" w:rsidRDefault="00D45E51" w:rsidP="00683316">
      <w:r>
        <w:tab/>
      </w:r>
      <w:r>
        <w:t>Meanwhile, t</w:t>
      </w:r>
      <w:r>
        <w:t xml:space="preserve">he trial court rejected </w:t>
      </w:r>
      <w:r>
        <w:t>Erhart’s proposed instruction</w:t>
      </w:r>
      <w:r>
        <w:t xml:space="preserve">, which, among other differences, </w:t>
      </w:r>
      <w:r>
        <w:t>included the following element</w:t>
      </w:r>
      <w:proofErr w:type="gramStart"/>
      <w:r>
        <w:t xml:space="preserve">:  </w:t>
      </w:r>
      <w:r>
        <w:t>“</w:t>
      </w:r>
      <w:proofErr w:type="gramEnd"/>
      <w:r>
        <w:t>Mr. E</w:t>
      </w:r>
      <w:r>
        <w:t xml:space="preserve">rhart knowingly accessed and altered, damaged, deleted, destroyed, or otherwise used any data, computer, computer system, or computer network owned or leased by </w:t>
      </w:r>
      <w:r>
        <w:t xml:space="preserve">Mr. </w:t>
      </w:r>
      <w:proofErr w:type="spellStart"/>
      <w:r>
        <w:t>Garrabrants</w:t>
      </w:r>
      <w:proofErr w:type="spellEnd"/>
      <w:r>
        <w:t>.”</w:t>
      </w:r>
      <w:r>
        <w:t xml:space="preserve"> </w:t>
      </w:r>
      <w:r>
        <w:t xml:space="preserve"> </w:t>
      </w:r>
    </w:p>
    <w:p w14:paraId="6E9B816A" w14:textId="77777777" w:rsidR="00D45E51" w:rsidRPr="00E268F6" w:rsidRDefault="00D45E51" w:rsidP="00683316">
      <w:r>
        <w:tab/>
        <w:t xml:space="preserve">On this issue, the special verdict form </w:t>
      </w:r>
      <w:r>
        <w:t>asked if</w:t>
      </w:r>
      <w:r>
        <w:t xml:space="preserve"> </w:t>
      </w:r>
      <w:r>
        <w:t>Erhart accessed and took, copied, or used “</w:t>
      </w:r>
      <w:proofErr w:type="spellStart"/>
      <w:r>
        <w:t>Garrabrants</w:t>
      </w:r>
      <w:proofErr w:type="spellEnd"/>
      <w:r>
        <w:t>’ confidential or financial information</w:t>
      </w:r>
      <w:r>
        <w:t>,</w:t>
      </w:r>
      <w:r>
        <w:t>”</w:t>
      </w:r>
      <w:r>
        <w:t xml:space="preserve"> without reference to who owned the technology or data accessed.</w:t>
      </w:r>
      <w:r>
        <w:t xml:space="preserve"> </w:t>
      </w:r>
      <w:r>
        <w:t xml:space="preserve"> The jury checked “Yes.”   </w:t>
      </w:r>
    </w:p>
    <w:p w14:paraId="5EC0AFE6" w14:textId="77777777" w:rsidR="00D45E51" w:rsidRDefault="00D45E51" w:rsidP="00861FFA">
      <w:pPr>
        <w:keepNext/>
        <w:jc w:val="center"/>
      </w:pPr>
      <w:r>
        <w:t>C</w:t>
      </w:r>
      <w:r>
        <w:t>.</w:t>
      </w:r>
    </w:p>
    <w:p w14:paraId="2128F614" w14:textId="77777777" w:rsidR="00D45E51" w:rsidRDefault="00D45E51" w:rsidP="002211E5">
      <w:r>
        <w:tab/>
      </w:r>
      <w:r w:rsidRPr="002211E5">
        <w:t xml:space="preserve">Erhart contends the instruction on Penal Code section 502 was prejudicially erroneous for many reasons.  We </w:t>
      </w:r>
      <w:r>
        <w:t>conclude</w:t>
      </w:r>
      <w:r w:rsidRPr="002211E5">
        <w:t xml:space="preserve"> Erhart</w:t>
      </w:r>
      <w:r>
        <w:t>’</w:t>
      </w:r>
      <w:r w:rsidRPr="002211E5">
        <w:t xml:space="preserve">s argument that the instruction failed to require the jury to decide whether </w:t>
      </w:r>
      <w:proofErr w:type="spellStart"/>
      <w:r w:rsidRPr="002211E5">
        <w:t>Garrabrants</w:t>
      </w:r>
      <w:proofErr w:type="spellEnd"/>
      <w:r w:rsidRPr="002211E5">
        <w:t xml:space="preserve"> </w:t>
      </w:r>
      <w:r w:rsidRPr="002211E5">
        <w:lastRenderedPageBreak/>
        <w:t>owned the at-issue data such that he had standing to bring his claim</w:t>
      </w:r>
      <w:r>
        <w:t xml:space="preserve"> is meritorious</w:t>
      </w:r>
      <w:r w:rsidRPr="002211E5">
        <w:t xml:space="preserve">. </w:t>
      </w:r>
      <w:r>
        <w:t xml:space="preserve"> </w:t>
      </w:r>
    </w:p>
    <w:p w14:paraId="3B7529D8" w14:textId="77777777" w:rsidR="00D45E51" w:rsidRDefault="00D45E51" w:rsidP="00861FFA">
      <w:pPr>
        <w:keepNext/>
        <w:jc w:val="center"/>
      </w:pPr>
      <w:r>
        <w:t>1.</w:t>
      </w:r>
    </w:p>
    <w:p w14:paraId="18D30F60" w14:textId="77777777" w:rsidR="00D45E51" w:rsidRDefault="00D45E51" w:rsidP="00C40990">
      <w:r>
        <w:tab/>
      </w:r>
      <w:r>
        <w:t xml:space="preserve">We agree with Erhart that the given instruction was erroneous as a matter of law on the issue of ownership.  </w:t>
      </w:r>
      <w:r>
        <w:t xml:space="preserve">Erhart contends </w:t>
      </w:r>
      <w:r>
        <w:t>“[t]</w:t>
      </w:r>
      <w:proofErr w:type="gramStart"/>
      <w:r>
        <w:t>he</w:t>
      </w:r>
      <w:proofErr w:type="gramEnd"/>
      <w:r>
        <w:t xml:space="preserve"> jury was never asked whether </w:t>
      </w:r>
      <w:proofErr w:type="spellStart"/>
      <w:r>
        <w:t>Garrabrants</w:t>
      </w:r>
      <w:proofErr w:type="spellEnd"/>
      <w:r>
        <w:t xml:space="preserve"> owned the documents at issue</w:t>
      </w:r>
      <w:r>
        <w:t>—he did not, [</w:t>
      </w:r>
      <w:proofErr w:type="spellStart"/>
      <w:r>
        <w:t>BofI</w:t>
      </w:r>
      <w:proofErr w:type="spellEnd"/>
      <w:r>
        <w:t xml:space="preserve">] did.”  </w:t>
      </w:r>
      <w:r>
        <w:t xml:space="preserve">Because </w:t>
      </w:r>
      <w:proofErr w:type="spellStart"/>
      <w:r>
        <w:t>Garrabrants</w:t>
      </w:r>
      <w:proofErr w:type="spellEnd"/>
      <w:r>
        <w:t xml:space="preserve"> did not </w:t>
      </w:r>
      <w:r>
        <w:t xml:space="preserve">own the data at issue, </w:t>
      </w:r>
      <w:r>
        <w:t xml:space="preserve">Erhart argues </w:t>
      </w:r>
      <w:proofErr w:type="spellStart"/>
      <w:r>
        <w:t>Garrabrants</w:t>
      </w:r>
      <w:proofErr w:type="spellEnd"/>
      <w:r>
        <w:t xml:space="preserve"> did not </w:t>
      </w:r>
      <w:r>
        <w:t xml:space="preserve">have </w:t>
      </w:r>
      <w:r>
        <w:t>standing to bring a private action under Penal Code section 502</w:t>
      </w:r>
      <w:r>
        <w:t>.  A</w:t>
      </w:r>
      <w:r>
        <w:t>ccording</w:t>
      </w:r>
      <w:r>
        <w:t xml:space="preserve"> to Erhart,</w:t>
      </w:r>
      <w:r>
        <w:t xml:space="preserve"> a properly instructed jury </w:t>
      </w:r>
      <w:r>
        <w:t xml:space="preserve">thus </w:t>
      </w:r>
      <w:r>
        <w:t xml:space="preserve">could not have </w:t>
      </w:r>
      <w:proofErr w:type="gramStart"/>
      <w:r>
        <w:t>found</w:t>
      </w:r>
      <w:proofErr w:type="gramEnd"/>
      <w:r>
        <w:t xml:space="preserve"> in </w:t>
      </w:r>
      <w:proofErr w:type="spellStart"/>
      <w:r>
        <w:t>Garrabrants</w:t>
      </w:r>
      <w:proofErr w:type="spellEnd"/>
      <w:r>
        <w:t>’ favor</w:t>
      </w:r>
      <w:r>
        <w:t xml:space="preserve">. </w:t>
      </w:r>
      <w:r>
        <w:t xml:space="preserve"> </w:t>
      </w:r>
      <w:proofErr w:type="spellStart"/>
      <w:r>
        <w:t>Garrabrants</w:t>
      </w:r>
      <w:proofErr w:type="spellEnd"/>
      <w:r>
        <w:t xml:space="preserve"> counters</w:t>
      </w:r>
      <w:r>
        <w:t xml:space="preserve"> that </w:t>
      </w:r>
      <w:r>
        <w:t xml:space="preserve">“the first element of the trial court’s instruction required that </w:t>
      </w:r>
      <w:proofErr w:type="spellStart"/>
      <w:r>
        <w:t>Garrabrants</w:t>
      </w:r>
      <w:proofErr w:type="spellEnd"/>
      <w:r>
        <w:t xml:space="preserve"> be the owner of the confidential information.” </w:t>
      </w:r>
      <w:r>
        <w:t xml:space="preserve"> He</w:t>
      </w:r>
      <w:r>
        <w:t xml:space="preserve"> further</w:t>
      </w:r>
      <w:r>
        <w:t xml:space="preserve"> </w:t>
      </w:r>
      <w:r>
        <w:t>argues “[v]</w:t>
      </w:r>
      <w:proofErr w:type="spellStart"/>
      <w:r>
        <w:t>arious</w:t>
      </w:r>
      <w:proofErr w:type="spellEnd"/>
      <w:r>
        <w:t xml:space="preserve"> courts have held that individuals who store their personal and confidential ‘data’ with </w:t>
      </w:r>
      <w:proofErr w:type="gramStart"/>
      <w:r>
        <w:t>third-parties</w:t>
      </w:r>
      <w:proofErr w:type="gramEnd"/>
      <w:r>
        <w:t xml:space="preserve"> have an ownership interest in the data for purposes of”</w:t>
      </w:r>
      <w:r>
        <w:t xml:space="preserve"> a section</w:t>
      </w:r>
      <w:r>
        <w:t xml:space="preserve"> 502 claim.</w:t>
      </w:r>
      <w:r>
        <w:t xml:space="preserve"> </w:t>
      </w:r>
      <w:r>
        <w:t xml:space="preserve"> </w:t>
      </w:r>
    </w:p>
    <w:p w14:paraId="7401896C" w14:textId="77777777" w:rsidR="00D45E51" w:rsidRDefault="00D45E51" w:rsidP="00C40990">
      <w:r>
        <w:tab/>
      </w:r>
      <w:r>
        <w:t xml:space="preserve">As </w:t>
      </w:r>
      <w:r>
        <w:t>the</w:t>
      </w:r>
      <w:r>
        <w:t xml:space="preserve"> parties </w:t>
      </w:r>
      <w:r>
        <w:t xml:space="preserve">implicitly </w:t>
      </w:r>
      <w:r>
        <w:t>recognize</w:t>
      </w:r>
      <w:r>
        <w:t xml:space="preserve"> in their briefing</w:t>
      </w:r>
      <w:r>
        <w:t xml:space="preserve">, </w:t>
      </w:r>
      <w:r>
        <w:t>the concept of</w:t>
      </w:r>
      <w:r>
        <w:t xml:space="preserve"> </w:t>
      </w:r>
      <w:r>
        <w:t xml:space="preserve">“ownership” </w:t>
      </w:r>
      <w:r>
        <w:t xml:space="preserve">has </w:t>
      </w:r>
      <w:proofErr w:type="gramStart"/>
      <w:r>
        <w:t>particular meaning</w:t>
      </w:r>
      <w:proofErr w:type="gramEnd"/>
      <w:r>
        <w:t xml:space="preserve"> in the law</w:t>
      </w:r>
      <w:r>
        <w:t xml:space="preserve">. </w:t>
      </w:r>
      <w:r>
        <w:t xml:space="preserve"> </w:t>
      </w:r>
      <w:r>
        <w:t xml:space="preserve">The Civil </w:t>
      </w:r>
      <w:r>
        <w:t>Code</w:t>
      </w:r>
      <w:r>
        <w:t xml:space="preserve"> defines “ownership” as </w:t>
      </w:r>
      <w:r>
        <w:t>“the right of one or more persons to possess and use [a thing] to the exclusion of others</w:t>
      </w:r>
      <w:r>
        <w:t>.</w:t>
      </w:r>
      <w:r>
        <w:t>”</w:t>
      </w:r>
      <w:r>
        <w:t xml:space="preserve">  (</w:t>
      </w:r>
      <w:r>
        <w:t>Civ. Code</w:t>
      </w:r>
      <w:r>
        <w:t>,</w:t>
      </w:r>
      <w:r>
        <w:t xml:space="preserve"> § 654.</w:t>
      </w:r>
      <w:r>
        <w:t xml:space="preserve">)  </w:t>
      </w:r>
      <w:r>
        <w:t xml:space="preserve">Black’s Law Dictionary </w:t>
      </w:r>
      <w:r>
        <w:t xml:space="preserve">similarly </w:t>
      </w:r>
      <w:r>
        <w:t>defines an “owner” as “[s]</w:t>
      </w:r>
      <w:proofErr w:type="spellStart"/>
      <w:r w:rsidRPr="00CC71D6">
        <w:t>omeone</w:t>
      </w:r>
      <w:proofErr w:type="spellEnd"/>
      <w:r w:rsidRPr="00CC71D6">
        <w:t xml:space="preserve"> who has the right to possess, use, and convey something; a person in whom one or more interests are vested</w:t>
      </w:r>
      <w:r>
        <w:t>.</w:t>
      </w:r>
      <w:r>
        <w:t>”</w:t>
      </w:r>
      <w:r w:rsidRPr="00CC71D6">
        <w:t xml:space="preserve"> </w:t>
      </w:r>
      <w:r>
        <w:t xml:space="preserve"> (</w:t>
      </w:r>
      <w:r w:rsidRPr="00CC71D6">
        <w:t>Black</w:t>
      </w:r>
      <w:r>
        <w:t>’</w:t>
      </w:r>
      <w:r w:rsidRPr="00CC71D6">
        <w:t>s Law Dictionary (11th ed. 2019)</w:t>
      </w:r>
      <w:r>
        <w:t xml:space="preserve">.)  It </w:t>
      </w:r>
      <w:r>
        <w:t>notes “[a]</w:t>
      </w:r>
      <w:r w:rsidRPr="00CC71D6">
        <w:t xml:space="preserve">n owner may have complete property in the thing or may have parted with some interests in </w:t>
      </w:r>
      <w:r>
        <w:t>it</w:t>
      </w:r>
      <w:r w:rsidRPr="00CC71D6">
        <w:t>.</w:t>
      </w:r>
      <w:r>
        <w:t xml:space="preserve">” </w:t>
      </w:r>
      <w:r>
        <w:t xml:space="preserve"> (</w:t>
      </w:r>
      <w:r>
        <w:rPr>
          <w:i/>
          <w:iCs/>
        </w:rPr>
        <w:t>Ibid.</w:t>
      </w:r>
      <w:r>
        <w:t xml:space="preserve">)  </w:t>
      </w:r>
      <w:r>
        <w:t xml:space="preserve">Ultimately, </w:t>
      </w:r>
      <w:r>
        <w:t>“</w:t>
      </w:r>
      <w:r>
        <w:t>[o]</w:t>
      </w:r>
      <w:proofErr w:type="spellStart"/>
      <w:r w:rsidRPr="0014404C">
        <w:t>wnership</w:t>
      </w:r>
      <w:proofErr w:type="spellEnd"/>
      <w:r w:rsidRPr="0014404C">
        <w:t xml:space="preserve"> is a question of fact to be determined by a jury under appropriate instructions of law.</w:t>
      </w:r>
      <w:r>
        <w:t>”  (</w:t>
      </w:r>
      <w:r w:rsidRPr="0014404C">
        <w:rPr>
          <w:i/>
          <w:iCs/>
        </w:rPr>
        <w:t>Kaley v. Catalina Yachts</w:t>
      </w:r>
      <w:r w:rsidRPr="0014404C">
        <w:t xml:space="preserve"> (1986) 187 Cal.App.3d 1187, 1198</w:t>
      </w:r>
      <w:r>
        <w:t>.)</w:t>
      </w:r>
      <w:r>
        <w:t xml:space="preserve"> </w:t>
      </w:r>
    </w:p>
    <w:p w14:paraId="7A01F33C" w14:textId="77777777" w:rsidR="00D45E51" w:rsidRDefault="00D45E51" w:rsidP="00C40990">
      <w:r>
        <w:lastRenderedPageBreak/>
        <w:tab/>
        <w:t>E</w:t>
      </w:r>
      <w:r>
        <w:t xml:space="preserve">ven accepting </w:t>
      </w:r>
      <w:proofErr w:type="spellStart"/>
      <w:r>
        <w:t>Garrabrants</w:t>
      </w:r>
      <w:proofErr w:type="spellEnd"/>
      <w:r>
        <w:t xml:space="preserve">’ </w:t>
      </w:r>
      <w:r>
        <w:t>contention</w:t>
      </w:r>
      <w:r>
        <w:t xml:space="preserve"> </w:t>
      </w:r>
      <w:r>
        <w:t>that</w:t>
      </w:r>
      <w:r>
        <w:t xml:space="preserve"> the instruction</w:t>
      </w:r>
      <w:r>
        <w:t xml:space="preserve"> implicitly requires the jury to decide whether</w:t>
      </w:r>
      <w:r>
        <w:t>, rather than assumes,</w:t>
      </w:r>
      <w:r>
        <w:t xml:space="preserve"> the data Erhart accessed and took, copied, or used was “</w:t>
      </w:r>
      <w:proofErr w:type="spellStart"/>
      <w:r>
        <w:t>Garrabrants</w:t>
      </w:r>
      <w:proofErr w:type="spellEnd"/>
      <w:r>
        <w:t>’ confidential or financial information,”</w:t>
      </w:r>
      <w:r>
        <w:t xml:space="preserve"> </w:t>
      </w:r>
      <w:r>
        <w:t>it</w:t>
      </w:r>
      <w:r>
        <w:t xml:space="preserve"> </w:t>
      </w:r>
      <w:r>
        <w:t xml:space="preserve">fails to </w:t>
      </w:r>
      <w:r>
        <w:t xml:space="preserve">instruct </w:t>
      </w:r>
      <w:r>
        <w:t>that</w:t>
      </w:r>
      <w:r>
        <w:t xml:space="preserve"> </w:t>
      </w:r>
      <w:proofErr w:type="spellStart"/>
      <w:r>
        <w:t>Garrabrants</w:t>
      </w:r>
      <w:proofErr w:type="spellEnd"/>
      <w:r>
        <w:t>’</w:t>
      </w:r>
      <w:r>
        <w:t xml:space="preserve"> </w:t>
      </w:r>
      <w:r>
        <w:t xml:space="preserve">interest </w:t>
      </w:r>
      <w:r>
        <w:t>in the data</w:t>
      </w:r>
      <w:r>
        <w:t xml:space="preserve"> at issue must</w:t>
      </w:r>
      <w:r>
        <w:t xml:space="preserve"> be an </w:t>
      </w:r>
      <w:r w:rsidRPr="00081421">
        <w:rPr>
          <w:i/>
          <w:iCs/>
        </w:rPr>
        <w:t>ownership</w:t>
      </w:r>
      <w:r>
        <w:t xml:space="preserve"> interest.  </w:t>
      </w:r>
      <w:r>
        <w:t>The</w:t>
      </w:r>
      <w:r>
        <w:t xml:space="preserve"> jury</w:t>
      </w:r>
      <w:r>
        <w:t xml:space="preserve"> </w:t>
      </w:r>
      <w:r>
        <w:t xml:space="preserve">could have understood the instruction </w:t>
      </w:r>
      <w:r>
        <w:t>in that</w:t>
      </w:r>
      <w:r>
        <w:t xml:space="preserve"> way.  However, a reasonable jury </w:t>
      </w:r>
      <w:r>
        <w:t xml:space="preserve">also </w:t>
      </w:r>
      <w:r>
        <w:t xml:space="preserve">could have construed the instruction as simply asking whether Erhart took, copied, or used confidential or financial information </w:t>
      </w:r>
      <w:r w:rsidRPr="000E637F">
        <w:rPr>
          <w:i/>
          <w:iCs/>
        </w:rPr>
        <w:t>concerning</w:t>
      </w:r>
      <w:r>
        <w:t xml:space="preserve"> </w:t>
      </w:r>
      <w:proofErr w:type="spellStart"/>
      <w:r>
        <w:t>Garrabrants</w:t>
      </w:r>
      <w:proofErr w:type="spellEnd"/>
      <w:r>
        <w:t xml:space="preserve"> but belonging to someone else—for example, </w:t>
      </w:r>
      <w:proofErr w:type="spellStart"/>
      <w:r>
        <w:t>BofI</w:t>
      </w:r>
      <w:proofErr w:type="spellEnd"/>
      <w:r>
        <w:t xml:space="preserve">.  </w:t>
      </w:r>
      <w:r>
        <w:t>Alternatively,</w:t>
      </w:r>
      <w:r>
        <w:t xml:space="preserve"> a reasonable jury could have understood the instruction to ask whether Erhart’s actions concerned data in which </w:t>
      </w:r>
      <w:proofErr w:type="spellStart"/>
      <w:r>
        <w:t>Garrabrants</w:t>
      </w:r>
      <w:proofErr w:type="spellEnd"/>
      <w:r>
        <w:t xml:space="preserve"> had </w:t>
      </w:r>
      <w:r w:rsidRPr="00983580">
        <w:rPr>
          <w:i/>
          <w:iCs/>
        </w:rPr>
        <w:t>some form</w:t>
      </w:r>
      <w:r>
        <w:t xml:space="preserve"> of interest—for example, a privacy interest, as in </w:t>
      </w:r>
      <w:proofErr w:type="spellStart"/>
      <w:r>
        <w:t>Garrabrants</w:t>
      </w:r>
      <w:proofErr w:type="spellEnd"/>
      <w:r>
        <w:t>’ first cla</w:t>
      </w:r>
      <w:r>
        <w:t>im</w:t>
      </w:r>
      <w:r>
        <w:t>—</w:t>
      </w:r>
      <w:r>
        <w:t xml:space="preserve">but not necessarily an </w:t>
      </w:r>
      <w:r w:rsidRPr="00983580">
        <w:rPr>
          <w:i/>
          <w:iCs/>
        </w:rPr>
        <w:t>ownership</w:t>
      </w:r>
      <w:r>
        <w:t xml:space="preserve"> interest.  </w:t>
      </w:r>
      <w:r>
        <w:t xml:space="preserve">Thus, </w:t>
      </w:r>
      <w:r>
        <w:t xml:space="preserve">as instructed, </w:t>
      </w:r>
      <w:r>
        <w:t>the</w:t>
      </w:r>
      <w:r>
        <w:t xml:space="preserve"> jury </w:t>
      </w:r>
      <w:r>
        <w:t>was not required to</w:t>
      </w:r>
      <w:r>
        <w:t xml:space="preserve"> </w:t>
      </w:r>
      <w:r>
        <w:t>decide</w:t>
      </w:r>
      <w:r>
        <w:t xml:space="preserve"> the </w:t>
      </w:r>
      <w:r>
        <w:t>foundational and necessary</w:t>
      </w:r>
      <w:r>
        <w:t xml:space="preserve"> question </w:t>
      </w:r>
      <w:r>
        <w:t>of</w:t>
      </w:r>
      <w:r>
        <w:t xml:space="preserve"> whether </w:t>
      </w:r>
      <w:proofErr w:type="spellStart"/>
      <w:r>
        <w:t>Garrabrants</w:t>
      </w:r>
      <w:proofErr w:type="spellEnd"/>
      <w:r>
        <w:t xml:space="preserve"> </w:t>
      </w:r>
      <w:proofErr w:type="gramStart"/>
      <w:r>
        <w:t xml:space="preserve">actually </w:t>
      </w:r>
      <w:r>
        <w:t>“</w:t>
      </w:r>
      <w:r>
        <w:t>owned</w:t>
      </w:r>
      <w:r>
        <w:t>”</w:t>
      </w:r>
      <w:proofErr w:type="gramEnd"/>
      <w:r>
        <w:t xml:space="preserve"> the </w:t>
      </w:r>
      <w:r>
        <w:t>data at issue</w:t>
      </w:r>
      <w:r>
        <w:t xml:space="preserve"> </w:t>
      </w:r>
      <w:r>
        <w:t>as needed for him</w:t>
      </w:r>
      <w:r>
        <w:t xml:space="preserve"> </w:t>
      </w:r>
      <w:r>
        <w:t xml:space="preserve">to </w:t>
      </w:r>
      <w:r>
        <w:t>pursue relief against Erhart at all</w:t>
      </w:r>
      <w:r>
        <w:t xml:space="preserve">.  </w:t>
      </w:r>
    </w:p>
    <w:p w14:paraId="37DD4081" w14:textId="77777777" w:rsidR="00D45E51" w:rsidRDefault="00D45E51" w:rsidP="00C40990">
      <w:r>
        <w:tab/>
      </w:r>
      <w:proofErr w:type="spellStart"/>
      <w:r>
        <w:t>Garrabrants</w:t>
      </w:r>
      <w:proofErr w:type="spellEnd"/>
      <w:r>
        <w:t xml:space="preserve"> cites </w:t>
      </w:r>
      <w:r>
        <w:t xml:space="preserve">several cases for the broad proposition that an individual who stores his </w:t>
      </w:r>
      <w:r>
        <w:t xml:space="preserve">or her </w:t>
      </w:r>
      <w:r>
        <w:t xml:space="preserve">personal and confidential data with a third party has an ownership interest in that data for purposes of a private right of action under Penal Code section 502.  One case on which he relies is </w:t>
      </w:r>
      <w:proofErr w:type="gramStart"/>
      <w:r w:rsidRPr="008E44AE">
        <w:rPr>
          <w:i/>
          <w:iCs/>
        </w:rPr>
        <w:t>In</w:t>
      </w:r>
      <w:proofErr w:type="gramEnd"/>
      <w:r w:rsidRPr="008E44AE">
        <w:rPr>
          <w:i/>
          <w:iCs/>
        </w:rPr>
        <w:t xml:space="preserve"> re Zoom Video </w:t>
      </w:r>
      <w:proofErr w:type="spellStart"/>
      <w:r w:rsidRPr="008E44AE">
        <w:rPr>
          <w:i/>
          <w:iCs/>
        </w:rPr>
        <w:t>Commun</w:t>
      </w:r>
      <w:r>
        <w:rPr>
          <w:i/>
          <w:iCs/>
        </w:rPr>
        <w:t>s</w:t>
      </w:r>
      <w:proofErr w:type="spellEnd"/>
      <w:r>
        <w:rPr>
          <w:i/>
          <w:iCs/>
        </w:rPr>
        <w:t>.</w:t>
      </w:r>
      <w:r w:rsidRPr="008E44AE">
        <w:rPr>
          <w:i/>
          <w:iCs/>
        </w:rPr>
        <w:t xml:space="preserve"> Privacy Litig</w:t>
      </w:r>
      <w:r>
        <w:rPr>
          <w:i/>
          <w:iCs/>
        </w:rPr>
        <w:t>.</w:t>
      </w:r>
      <w:r w:rsidRPr="008E44AE">
        <w:t xml:space="preserve"> (N.D. Cal. 2021) 525 F.Supp.3d 1017</w:t>
      </w:r>
      <w:r>
        <w:t xml:space="preserve"> (</w:t>
      </w:r>
      <w:r>
        <w:rPr>
          <w:i/>
          <w:iCs/>
        </w:rPr>
        <w:t>In re Zoom</w:t>
      </w:r>
      <w:r>
        <w:t>).</w:t>
      </w:r>
      <w:r w:rsidRPr="008E44AE">
        <w:t xml:space="preserve"> </w:t>
      </w:r>
      <w:r>
        <w:t xml:space="preserve"> </w:t>
      </w:r>
      <w:r>
        <w:rPr>
          <w:i/>
          <w:iCs/>
        </w:rPr>
        <w:t>In re Zoom</w:t>
      </w:r>
      <w:r>
        <w:t>, however,</w:t>
      </w:r>
      <w:r>
        <w:t xml:space="preserve"> </w:t>
      </w:r>
      <w:r>
        <w:t xml:space="preserve">is inapposite. </w:t>
      </w:r>
      <w:r>
        <w:t xml:space="preserve"> </w:t>
      </w:r>
      <w:r>
        <w:t>T</w:t>
      </w:r>
      <w:r>
        <w:t>here, t</w:t>
      </w:r>
      <w:r>
        <w:t>he district court merely decided</w:t>
      </w:r>
      <w:r>
        <w:t xml:space="preserve"> on </w:t>
      </w:r>
      <w:r>
        <w:t xml:space="preserve">a </w:t>
      </w:r>
      <w:r>
        <w:t xml:space="preserve">motion to dismiss that </w:t>
      </w:r>
      <w:r>
        <w:t xml:space="preserve">most of </w:t>
      </w:r>
      <w:r>
        <w:t xml:space="preserve">the plaintiffs had failed to </w:t>
      </w:r>
      <w:r>
        <w:t xml:space="preserve">adequately allege that any of “their data” had been shared with any third parties in violation of their constitutional right to privacy. </w:t>
      </w:r>
      <w:r>
        <w:t xml:space="preserve"> (</w:t>
      </w:r>
      <w:r>
        <w:rPr>
          <w:i/>
          <w:iCs/>
        </w:rPr>
        <w:t>I</w:t>
      </w:r>
      <w:r>
        <w:rPr>
          <w:i/>
          <w:iCs/>
        </w:rPr>
        <w:t>d</w:t>
      </w:r>
      <w:r>
        <w:t>.</w:t>
      </w:r>
      <w:r>
        <w:t xml:space="preserve"> at pp. 1036-1038.)</w:t>
      </w:r>
      <w:r>
        <w:t xml:space="preserve">  It </w:t>
      </w:r>
      <w:proofErr w:type="gramStart"/>
      <w:r>
        <w:t>then</w:t>
      </w:r>
      <w:proofErr w:type="gramEnd"/>
      <w:r>
        <w:t xml:space="preserve"> found, as a result, that the plaintiffs had failed to </w:t>
      </w:r>
      <w:r>
        <w:t>adequately allege</w:t>
      </w:r>
      <w:r>
        <w:t xml:space="preserve"> </w:t>
      </w:r>
      <w:r>
        <w:t xml:space="preserve">the </w:t>
      </w:r>
      <w:r>
        <w:t>damage or loss</w:t>
      </w:r>
      <w:r>
        <w:t xml:space="preserve"> </w:t>
      </w:r>
      <w:r>
        <w:t xml:space="preserve">required </w:t>
      </w:r>
      <w:r>
        <w:t>to state a c</w:t>
      </w:r>
      <w:r>
        <w:t xml:space="preserve">ause of action under Penal </w:t>
      </w:r>
      <w:r>
        <w:lastRenderedPageBreak/>
        <w:t>Code section 502</w:t>
      </w:r>
      <w:r>
        <w:t>.  (</w:t>
      </w:r>
      <w:r>
        <w:rPr>
          <w:i/>
          <w:iCs/>
        </w:rPr>
        <w:t>Id.</w:t>
      </w:r>
      <w:r>
        <w:t xml:space="preserve"> at p. 1044.)</w:t>
      </w:r>
      <w:r>
        <w:t xml:space="preserve">  The</w:t>
      </w:r>
      <w:r>
        <w:t xml:space="preserve"> parties did not raise, and the court</w:t>
      </w:r>
      <w:r>
        <w:t xml:space="preserve"> did not </w:t>
      </w:r>
      <w:r>
        <w:t xml:space="preserve">address, whether the plaintiffs were </w:t>
      </w:r>
      <w:r>
        <w:t xml:space="preserve">the </w:t>
      </w:r>
      <w:r>
        <w:t>legal “</w:t>
      </w:r>
      <w:r>
        <w:t>owners</w:t>
      </w:r>
      <w:r>
        <w:t>”</w:t>
      </w:r>
      <w:r>
        <w:t xml:space="preserve"> of the data in question who had </w:t>
      </w:r>
      <w:r>
        <w:t>a</w:t>
      </w:r>
      <w:r>
        <w:t xml:space="preserve"> right to bring a</w:t>
      </w:r>
      <w:r>
        <w:t xml:space="preserve"> civil</w:t>
      </w:r>
      <w:r>
        <w:t xml:space="preserve"> </w:t>
      </w:r>
      <w:r>
        <w:t>action</w:t>
      </w:r>
      <w:r>
        <w:t xml:space="preserve"> in the first place.</w:t>
      </w:r>
    </w:p>
    <w:p w14:paraId="3E006A82" w14:textId="77777777" w:rsidR="00D45E51" w:rsidRDefault="00D45E51" w:rsidP="00C40990">
      <w:r>
        <w:tab/>
      </w:r>
      <w:proofErr w:type="spellStart"/>
      <w:r>
        <w:t>Garrabrants</w:t>
      </w:r>
      <w:proofErr w:type="spellEnd"/>
      <w:r>
        <w:t xml:space="preserve"> also relies on</w:t>
      </w:r>
      <w:r>
        <w:t xml:space="preserve"> </w:t>
      </w:r>
      <w:r w:rsidRPr="008A09E2">
        <w:rPr>
          <w:i/>
          <w:iCs/>
        </w:rPr>
        <w:t xml:space="preserve">Lindsay-Stern v. </w:t>
      </w:r>
      <w:proofErr w:type="spellStart"/>
      <w:r w:rsidRPr="008A09E2">
        <w:rPr>
          <w:i/>
          <w:iCs/>
        </w:rPr>
        <w:t>Garamszegi</w:t>
      </w:r>
      <w:proofErr w:type="spellEnd"/>
      <w:r w:rsidRPr="008A09E2">
        <w:t xml:space="preserve"> (C.D. Cal., Oct.</w:t>
      </w:r>
      <w:r>
        <w:t> </w:t>
      </w:r>
      <w:r w:rsidRPr="008A09E2">
        <w:t>13, 2016, No. SACV1401970CJCDFMX) 2016 WL 11745948</w:t>
      </w:r>
      <w:r>
        <w:t xml:space="preserve"> (</w:t>
      </w:r>
      <w:r>
        <w:rPr>
          <w:i/>
          <w:iCs/>
        </w:rPr>
        <w:t>Lindsay-Stern</w:t>
      </w:r>
      <w:r>
        <w:t>)</w:t>
      </w:r>
      <w:r>
        <w:t xml:space="preserve">, </w:t>
      </w:r>
      <w:r>
        <w:t>which</w:t>
      </w:r>
      <w:r w:rsidRPr="00923427">
        <w:t xml:space="preserve"> </w:t>
      </w:r>
      <w:r>
        <w:t xml:space="preserve">fails to support his </w:t>
      </w:r>
      <w:r>
        <w:t>position</w:t>
      </w:r>
      <w:r>
        <w:t>, too</w:t>
      </w:r>
      <w:r>
        <w:t xml:space="preserve">.  </w:t>
      </w:r>
      <w:r>
        <w:rPr>
          <w:i/>
          <w:iCs/>
        </w:rPr>
        <w:t xml:space="preserve">Lindsay-Stern </w:t>
      </w:r>
      <w:proofErr w:type="gramStart"/>
      <w:r>
        <w:t>involved</w:t>
      </w:r>
      <w:proofErr w:type="gramEnd"/>
      <w:r>
        <w:t xml:space="preserve"> </w:t>
      </w:r>
      <w:r>
        <w:t xml:space="preserve">a lawsuit brought by the employee of a company against a former employee of the same company who had hacked her work e-mail account over several years.  </w:t>
      </w:r>
      <w:r>
        <w:t>(</w:t>
      </w:r>
      <w:r>
        <w:rPr>
          <w:i/>
          <w:iCs/>
        </w:rPr>
        <w:t>Id.</w:t>
      </w:r>
      <w:r>
        <w:t xml:space="preserve"> a</w:t>
      </w:r>
      <w:r>
        <w:t xml:space="preserve">t </w:t>
      </w:r>
      <w:r>
        <w:t>p</w:t>
      </w:r>
      <w:r>
        <w:t xml:space="preserve">p. </w:t>
      </w:r>
      <w:r>
        <w:t xml:space="preserve">*1-3.) </w:t>
      </w:r>
      <w:bookmarkStart w:id="1" w:name="_Hlk150771959"/>
      <w:r>
        <w:t xml:space="preserve"> </w:t>
      </w:r>
      <w:bookmarkEnd w:id="1"/>
      <w:r>
        <w:t>The</w:t>
      </w:r>
      <w:r>
        <w:t xml:space="preserve"> plaintiff argued</w:t>
      </w:r>
      <w:r>
        <w:t xml:space="preserve"> at summary judgment that</w:t>
      </w:r>
      <w:r>
        <w:t xml:space="preserve"> </w:t>
      </w:r>
      <w:r>
        <w:t xml:space="preserve">her Penal Code section 502 claim should proceed because </w:t>
      </w:r>
      <w:r>
        <w:t xml:space="preserve">she had an ownership interest in </w:t>
      </w:r>
      <w:r>
        <w:t xml:space="preserve">certain data contained in her e-mails during the </w:t>
      </w:r>
      <w:r>
        <w:t>relevant period</w:t>
      </w:r>
      <w:r w:rsidRPr="00A62EFF">
        <w:t>.</w:t>
      </w:r>
      <w:r>
        <w:t xml:space="preserve">  (</w:t>
      </w:r>
      <w:r>
        <w:rPr>
          <w:i/>
          <w:iCs/>
        </w:rPr>
        <w:t>Id.</w:t>
      </w:r>
      <w:r>
        <w:t xml:space="preserve"> at </w:t>
      </w:r>
      <w:r>
        <w:t xml:space="preserve">p. </w:t>
      </w:r>
      <w:r>
        <w:t>*5.)  T</w:t>
      </w:r>
      <w:r>
        <w:t>he district court</w:t>
      </w:r>
      <w:r>
        <w:t xml:space="preserve"> agreed, finding the plaintiff had </w:t>
      </w:r>
      <w:r>
        <w:t>“</w:t>
      </w:r>
      <w:r w:rsidRPr="00436EA4">
        <w:t>demonstrated some ownership</w:t>
      </w:r>
      <w:r w:rsidRPr="00436EA4">
        <w:t xml:space="preserve"> interest in at least some of the data transmitted through her email account</w:t>
      </w:r>
      <w:r>
        <w:t>.”</w:t>
      </w:r>
      <w:r>
        <w:t xml:space="preserve"> </w:t>
      </w:r>
      <w:r>
        <w:t xml:space="preserve"> (</w:t>
      </w:r>
      <w:r>
        <w:rPr>
          <w:i/>
          <w:iCs/>
        </w:rPr>
        <w:t>I</w:t>
      </w:r>
      <w:r>
        <w:rPr>
          <w:i/>
          <w:iCs/>
        </w:rPr>
        <w:t>bid</w:t>
      </w:r>
      <w:r>
        <w:t>.)</w:t>
      </w:r>
      <w:r>
        <w:t xml:space="preserve">  </w:t>
      </w:r>
      <w:r>
        <w:t>But</w:t>
      </w:r>
      <w:r>
        <w:t xml:space="preserve"> even the language </w:t>
      </w:r>
      <w:proofErr w:type="spellStart"/>
      <w:r>
        <w:t>Garrabrants</w:t>
      </w:r>
      <w:proofErr w:type="spellEnd"/>
      <w:r>
        <w:t xml:space="preserve"> cites from </w:t>
      </w:r>
      <w:r>
        <w:rPr>
          <w:i/>
          <w:iCs/>
        </w:rPr>
        <w:t>Lindsay-Stern</w:t>
      </w:r>
      <w:r>
        <w:t xml:space="preserve"> makes clear this</w:t>
      </w:r>
      <w:r>
        <w:t xml:space="preserve"> </w:t>
      </w:r>
      <w:r>
        <w:t xml:space="preserve">holding </w:t>
      </w:r>
      <w:r>
        <w:t>is not universal, as it merely states that “[</w:t>
      </w:r>
      <w:proofErr w:type="spellStart"/>
      <w:r>
        <w:t>i</w:t>
      </w:r>
      <w:proofErr w:type="spellEnd"/>
      <w:r>
        <w:t>]</w:t>
      </w:r>
      <w:proofErr w:type="spellStart"/>
      <w:r>
        <w:t>ndividuals</w:t>
      </w:r>
      <w:proofErr w:type="spellEnd"/>
      <w:r>
        <w:t xml:space="preserve"> </w:t>
      </w:r>
      <w:r w:rsidRPr="008B0AA5">
        <w:rPr>
          <w:i/>
          <w:iCs/>
        </w:rPr>
        <w:t>can</w:t>
      </w:r>
      <w:r>
        <w:t xml:space="preserve"> have an ownership interest in the data within </w:t>
      </w:r>
      <w:r>
        <w:t xml:space="preserve">their emails even if the emails are not themselves owned by the individual.” </w:t>
      </w:r>
      <w:r>
        <w:t xml:space="preserve"> (</w:t>
      </w:r>
      <w:r>
        <w:rPr>
          <w:i/>
          <w:iCs/>
        </w:rPr>
        <w:t>Ibid.</w:t>
      </w:r>
      <w:r>
        <w:t>, italics added.</w:t>
      </w:r>
      <w:r>
        <w:t xml:space="preserve">)  </w:t>
      </w:r>
      <w:r>
        <w:t xml:space="preserve"> </w:t>
      </w:r>
    </w:p>
    <w:p w14:paraId="3102C84E" w14:textId="77777777" w:rsidR="00D45E51" w:rsidRPr="00465AD6" w:rsidRDefault="00D45E51" w:rsidP="00C40990">
      <w:r>
        <w:tab/>
        <w:t xml:space="preserve">Whether </w:t>
      </w:r>
      <w:proofErr w:type="spellStart"/>
      <w:r>
        <w:t>Garrabrants</w:t>
      </w:r>
      <w:proofErr w:type="spellEnd"/>
      <w:r>
        <w:t xml:space="preserve"> owned the </w:t>
      </w:r>
      <w:r>
        <w:t>data</w:t>
      </w:r>
      <w:r>
        <w:t xml:space="preserve"> </w:t>
      </w:r>
      <w:r>
        <w:t xml:space="preserve">in Erhart’s possession was a question of fact for the jury to decide. </w:t>
      </w:r>
      <w:r>
        <w:t xml:space="preserve"> </w:t>
      </w:r>
      <w:r>
        <w:t>By assuming</w:t>
      </w:r>
      <w:r>
        <w:t xml:space="preserve"> or asking whether</w:t>
      </w:r>
      <w:r>
        <w:t xml:space="preserve"> </w:t>
      </w:r>
      <w:proofErr w:type="spellStart"/>
      <w:r>
        <w:t>Garrabrants</w:t>
      </w:r>
      <w:proofErr w:type="spellEnd"/>
      <w:r>
        <w:t xml:space="preserve"> </w:t>
      </w:r>
      <w:r>
        <w:t xml:space="preserve">had an </w:t>
      </w:r>
      <w:r w:rsidRPr="00612E3D">
        <w:rPr>
          <w:i/>
          <w:iCs/>
        </w:rPr>
        <w:t>unspecified</w:t>
      </w:r>
      <w:r>
        <w:t xml:space="preserve"> interest in the data in question, the instruction as given removed </w:t>
      </w:r>
      <w:r>
        <w:t xml:space="preserve">from the jury’s consideration </w:t>
      </w:r>
      <w:r>
        <w:t>an</w:t>
      </w:r>
      <w:r>
        <w:t xml:space="preserve"> element</w:t>
      </w:r>
      <w:r>
        <w:t xml:space="preserve"> </w:t>
      </w:r>
      <w:r>
        <w:t xml:space="preserve">that </w:t>
      </w:r>
      <w:proofErr w:type="spellStart"/>
      <w:r>
        <w:t>Garrabrants</w:t>
      </w:r>
      <w:proofErr w:type="spellEnd"/>
      <w:r>
        <w:t xml:space="preserve"> had to prove to prevail on his</w:t>
      </w:r>
      <w:r>
        <w:t xml:space="preserve"> claim</w:t>
      </w:r>
      <w:r>
        <w:t>.  The</w:t>
      </w:r>
      <w:r>
        <w:t>refore, the</w:t>
      </w:r>
      <w:r>
        <w:t xml:space="preserve"> instruction was</w:t>
      </w:r>
      <w:r>
        <w:t xml:space="preserve"> </w:t>
      </w:r>
      <w:r>
        <w:t>erroneous as a matter of law.</w:t>
      </w:r>
    </w:p>
    <w:p w14:paraId="52CB3253" w14:textId="77777777" w:rsidR="00D45E51" w:rsidRDefault="00D45E51" w:rsidP="00861FFA">
      <w:pPr>
        <w:keepNext/>
        <w:jc w:val="center"/>
      </w:pPr>
      <w:r>
        <w:t>2.</w:t>
      </w:r>
    </w:p>
    <w:p w14:paraId="585679C2" w14:textId="77777777" w:rsidR="00D45E51" w:rsidRDefault="00D45E51" w:rsidP="00C40990">
      <w:r>
        <w:tab/>
      </w:r>
      <w:r>
        <w:t>T</w:t>
      </w:r>
      <w:r>
        <w:t xml:space="preserve">his </w:t>
      </w:r>
      <w:r>
        <w:t>error prejudic</w:t>
      </w:r>
      <w:r>
        <w:t>ed</w:t>
      </w:r>
      <w:r>
        <w:t xml:space="preserve"> Erhart.  </w:t>
      </w:r>
      <w:r>
        <w:t>(</w:t>
      </w:r>
      <w:r>
        <w:rPr>
          <w:i/>
          <w:iCs/>
        </w:rPr>
        <w:t xml:space="preserve">See </w:t>
      </w:r>
      <w:proofErr w:type="spellStart"/>
      <w:r>
        <w:rPr>
          <w:i/>
          <w:iCs/>
        </w:rPr>
        <w:t>LeMons</w:t>
      </w:r>
      <w:proofErr w:type="spellEnd"/>
      <w:r>
        <w:t xml:space="preserve">, </w:t>
      </w:r>
      <w:r w:rsidRPr="006E2BA0">
        <w:rPr>
          <w:i/>
          <w:iCs/>
        </w:rPr>
        <w:t>supra</w:t>
      </w:r>
      <w:r>
        <w:t xml:space="preserve">, </w:t>
      </w:r>
      <w:r w:rsidRPr="006E2BA0">
        <w:t>21</w:t>
      </w:r>
      <w:r>
        <w:t xml:space="preserve"> Cal.3d at p. 876.)  Had the jury found </w:t>
      </w:r>
      <w:proofErr w:type="spellStart"/>
      <w:r>
        <w:t>Garrabrants</w:t>
      </w:r>
      <w:proofErr w:type="spellEnd"/>
      <w:r>
        <w:t xml:space="preserve"> did not “own” the data in question, </w:t>
      </w:r>
      <w:proofErr w:type="spellStart"/>
      <w:r>
        <w:lastRenderedPageBreak/>
        <w:t>Garrabrants</w:t>
      </w:r>
      <w:proofErr w:type="spellEnd"/>
      <w:r>
        <w:t xml:space="preserve"> could not have prevailed on his claim.  As with the </w:t>
      </w:r>
      <w:r>
        <w:t>Penal Code section 496 instruction</w:t>
      </w:r>
      <w:r>
        <w:t>s</w:t>
      </w:r>
      <w:r>
        <w:t>, no other instructions remedied th</w:t>
      </w:r>
      <w:r>
        <w:t>is</w:t>
      </w:r>
      <w:r>
        <w:t xml:space="preserve"> error, and the evidence was such that a reasonable jury, properly instructed, could have decided this issue more favorably to Erhart.</w:t>
      </w:r>
    </w:p>
    <w:p w14:paraId="0889FEFE" w14:textId="77777777" w:rsidR="00D45E51" w:rsidRDefault="00D45E51" w:rsidP="00C40990">
      <w:r>
        <w:tab/>
      </w:r>
      <w:r>
        <w:t>The</w:t>
      </w:r>
      <w:r>
        <w:t>re was</w:t>
      </w:r>
      <w:r>
        <w:t xml:space="preserve"> evidence before the jury that Erhart obtained the </w:t>
      </w:r>
      <w:r>
        <w:t>data in question</w:t>
      </w:r>
      <w:r>
        <w:t xml:space="preserve"> from </w:t>
      </w:r>
      <w:proofErr w:type="spellStart"/>
      <w:r>
        <w:t>BofI</w:t>
      </w:r>
      <w:proofErr w:type="spellEnd"/>
      <w:r>
        <w:t xml:space="preserve"> and</w:t>
      </w:r>
      <w:r>
        <w:t xml:space="preserve"> not</w:t>
      </w:r>
      <w:r>
        <w:t xml:space="preserve"> </w:t>
      </w:r>
      <w:proofErr w:type="spellStart"/>
      <w:r>
        <w:t>Garrabrants</w:t>
      </w:r>
      <w:proofErr w:type="spellEnd"/>
      <w:r>
        <w:t xml:space="preserve"> directly.  </w:t>
      </w:r>
      <w:r>
        <w:t xml:space="preserve">Thus, there was evidence in the record from which the jury could have found that </w:t>
      </w:r>
      <w:proofErr w:type="spellStart"/>
      <w:r>
        <w:t>BofI</w:t>
      </w:r>
      <w:proofErr w:type="spellEnd"/>
      <w:r>
        <w:t xml:space="preserve">, not </w:t>
      </w:r>
      <w:proofErr w:type="spellStart"/>
      <w:r>
        <w:t>Garrabrants</w:t>
      </w:r>
      <w:proofErr w:type="spellEnd"/>
      <w:r>
        <w:t>,</w:t>
      </w:r>
      <w:r>
        <w:t xml:space="preserve"> possessed the data, and </w:t>
      </w:r>
      <w:r>
        <w:t xml:space="preserve">that </w:t>
      </w:r>
      <w:proofErr w:type="spellStart"/>
      <w:r>
        <w:t>BofI</w:t>
      </w:r>
      <w:proofErr w:type="spellEnd"/>
      <w:r>
        <w:t xml:space="preserve"> </w:t>
      </w:r>
      <w:r>
        <w:t xml:space="preserve">employees and </w:t>
      </w:r>
      <w:r>
        <w:t xml:space="preserve">auditors had the </w:t>
      </w:r>
      <w:r>
        <w:t>right</w:t>
      </w:r>
      <w:r>
        <w:t xml:space="preserve"> to use that data</w:t>
      </w:r>
      <w:r>
        <w:t xml:space="preserve"> for </w:t>
      </w:r>
      <w:proofErr w:type="spellStart"/>
      <w:r>
        <w:t>BofI’s</w:t>
      </w:r>
      <w:proofErr w:type="spellEnd"/>
      <w:r>
        <w:t xml:space="preserve"> business, including</w:t>
      </w:r>
      <w:r>
        <w:t xml:space="preserve"> </w:t>
      </w:r>
      <w:r>
        <w:t>during</w:t>
      </w:r>
      <w:r>
        <w:t xml:space="preserve"> quarterly audits of employees’ accounts. </w:t>
      </w:r>
      <w:r>
        <w:t xml:space="preserve"> </w:t>
      </w:r>
      <w:r>
        <w:t>Meanwhile, t</w:t>
      </w:r>
      <w:r>
        <w:t>he</w:t>
      </w:r>
      <w:r>
        <w:t xml:space="preserve"> </w:t>
      </w:r>
      <w:r>
        <w:t xml:space="preserve">trial </w:t>
      </w:r>
      <w:r>
        <w:t>r</w:t>
      </w:r>
      <w:r>
        <w:t>ecord was</w:t>
      </w:r>
      <w:r>
        <w:t xml:space="preserve"> devoid of evidence </w:t>
      </w:r>
      <w:r>
        <w:t>showing</w:t>
      </w:r>
      <w:r>
        <w:t xml:space="preserve"> </w:t>
      </w:r>
      <w:proofErr w:type="spellStart"/>
      <w:r>
        <w:t>Garrabrants</w:t>
      </w:r>
      <w:proofErr w:type="spellEnd"/>
      <w:r>
        <w:t xml:space="preserve">’ </w:t>
      </w:r>
      <w:r>
        <w:t xml:space="preserve">continued </w:t>
      </w:r>
      <w:r>
        <w:t>ability to use, possess, or otherwise co</w:t>
      </w:r>
      <w:r>
        <w:t xml:space="preserve">ntrol </w:t>
      </w:r>
      <w:r>
        <w:t>th</w:t>
      </w:r>
      <w:r>
        <w:t>is</w:t>
      </w:r>
      <w:r>
        <w:t xml:space="preserve"> </w:t>
      </w:r>
      <w:r>
        <w:t>data</w:t>
      </w:r>
      <w:r>
        <w:t xml:space="preserve"> </w:t>
      </w:r>
      <w:r>
        <w:t xml:space="preserve">in </w:t>
      </w:r>
      <w:proofErr w:type="spellStart"/>
      <w:r>
        <w:t>BofI’s</w:t>
      </w:r>
      <w:proofErr w:type="spellEnd"/>
      <w:r>
        <w:t xml:space="preserve"> possession</w:t>
      </w:r>
      <w:r>
        <w:t xml:space="preserve">—for example, </w:t>
      </w:r>
      <w:r>
        <w:t xml:space="preserve">customer terms of service </w:t>
      </w:r>
      <w:proofErr w:type="spellStart"/>
      <w:r>
        <w:t>Garrabrants</w:t>
      </w:r>
      <w:proofErr w:type="spellEnd"/>
      <w:r>
        <w:t xml:space="preserve"> may have signed</w:t>
      </w:r>
      <w:r>
        <w:t xml:space="preserve"> </w:t>
      </w:r>
      <w:r>
        <w:t>evidencing</w:t>
      </w:r>
      <w:r>
        <w:t xml:space="preserve"> a continu</w:t>
      </w:r>
      <w:r>
        <w:t>ed</w:t>
      </w:r>
      <w:r>
        <w:t xml:space="preserve"> ownership interest in the records</w:t>
      </w:r>
      <w:r>
        <w:t>.</w:t>
      </w:r>
      <w:r>
        <w:t xml:space="preserve">  </w:t>
      </w:r>
      <w:r>
        <w:t xml:space="preserve">On this </w:t>
      </w:r>
      <w:r>
        <w:t>record</w:t>
      </w:r>
      <w:r>
        <w:t>, a reasonable jury could have concluded that</w:t>
      </w:r>
      <w:r>
        <w:t xml:space="preserve"> </w:t>
      </w:r>
      <w:proofErr w:type="spellStart"/>
      <w:r>
        <w:t>BofI</w:t>
      </w:r>
      <w:proofErr w:type="spellEnd"/>
      <w:r>
        <w:t>, not</w:t>
      </w:r>
      <w:r>
        <w:t xml:space="preserve"> </w:t>
      </w:r>
      <w:proofErr w:type="spellStart"/>
      <w:r>
        <w:t>Garrabrants</w:t>
      </w:r>
      <w:proofErr w:type="spellEnd"/>
      <w:r>
        <w:t>,</w:t>
      </w:r>
      <w:r>
        <w:t xml:space="preserve"> was the “owner” </w:t>
      </w:r>
      <w:r>
        <w:t>o</w:t>
      </w:r>
      <w:r>
        <w:t>f the data in question</w:t>
      </w:r>
      <w:r>
        <w:t>,</w:t>
      </w:r>
      <w:r>
        <w:t xml:space="preserve"> and accordingly could have decided in favor of Erhart.</w:t>
      </w:r>
      <w:r>
        <w:t xml:space="preserve">  </w:t>
      </w:r>
      <w:r>
        <w:t>(See</w:t>
      </w:r>
      <w:r>
        <w:t xml:space="preserve"> </w:t>
      </w:r>
      <w:r>
        <w:rPr>
          <w:i/>
          <w:iCs/>
        </w:rPr>
        <w:t xml:space="preserve">United States v. Miller </w:t>
      </w:r>
      <w:r>
        <w:t>(1976)</w:t>
      </w:r>
      <w:r>
        <w:t xml:space="preserve"> 425</w:t>
      </w:r>
      <w:r>
        <w:t> </w:t>
      </w:r>
      <w:r>
        <w:t>U.S. 435, 440</w:t>
      </w:r>
      <w:r>
        <w:t xml:space="preserve"> </w:t>
      </w:r>
      <w:r>
        <w:t>[</w:t>
      </w:r>
      <w:r>
        <w:t xml:space="preserve">finding </w:t>
      </w:r>
      <w:r>
        <w:t xml:space="preserve">respondent seeking to suppress </w:t>
      </w:r>
      <w:r>
        <w:t xml:space="preserve">financial records subpoenaed from banks </w:t>
      </w:r>
      <w:r>
        <w:t xml:space="preserve">in tax fraud trial could “assert neither ownership nor possession” of </w:t>
      </w:r>
      <w:r>
        <w:t>the documents,</w:t>
      </w:r>
      <w:r>
        <w:t xml:space="preserve"> </w:t>
      </w:r>
      <w:r>
        <w:t xml:space="preserve">which were </w:t>
      </w:r>
      <w:r>
        <w:t>not his “‘private papers’” but rather</w:t>
      </w:r>
      <w:r>
        <w:t xml:space="preserve"> “the business records of th</w:t>
      </w:r>
      <w:r>
        <w:t>e banks</w:t>
      </w:r>
      <w:r>
        <w:t>”</w:t>
      </w:r>
      <w:r>
        <w:t>].</w:t>
      </w:r>
      <w:r>
        <w:t xml:space="preserve">)  </w:t>
      </w:r>
    </w:p>
    <w:p w14:paraId="3107FEE3" w14:textId="77777777" w:rsidR="00D45E51" w:rsidRDefault="00D45E51" w:rsidP="00C40990">
      <w:r>
        <w:tab/>
      </w:r>
      <w:r>
        <w:t xml:space="preserve">We therefore reverse the judgment in </w:t>
      </w:r>
      <w:proofErr w:type="spellStart"/>
      <w:r>
        <w:t>Garrabrants</w:t>
      </w:r>
      <w:proofErr w:type="spellEnd"/>
      <w:r>
        <w:t xml:space="preserve">’ favor on this claim.  </w:t>
      </w:r>
      <w:proofErr w:type="gramStart"/>
      <w:r>
        <w:t>In light of</w:t>
      </w:r>
      <w:proofErr w:type="gramEnd"/>
      <w:r>
        <w:t xml:space="preserve"> our determination, we need not reach the remaining alleged errors Erhart identifies. </w:t>
      </w:r>
    </w:p>
    <w:p w14:paraId="1ACA0F2D" w14:textId="77777777" w:rsidR="00D45E51" w:rsidRDefault="00D45E51" w:rsidP="00C976E5">
      <w:pPr>
        <w:jc w:val="center"/>
      </w:pPr>
      <w:r>
        <w:t xml:space="preserve">*     *    </w:t>
      </w:r>
      <w:r>
        <w:t xml:space="preserve"> </w:t>
      </w:r>
      <w:r>
        <w:t>*</w:t>
      </w:r>
    </w:p>
    <w:p w14:paraId="54B4FA7A" w14:textId="77777777" w:rsidR="00D45E51" w:rsidRDefault="00D45E51" w:rsidP="00C40990">
      <w:r>
        <w:tab/>
      </w:r>
      <w:r>
        <w:t xml:space="preserve">The instructional errors here were understandable, given (1) many involved statements of law for which no fully applicable pattern instruction was available and (2) the paucity of civil case law on the statutory claims.  </w:t>
      </w:r>
      <w:r>
        <w:lastRenderedPageBreak/>
        <w:t xml:space="preserve">Nonetheless, </w:t>
      </w:r>
      <w:r>
        <w:t xml:space="preserve">we determine one or more </w:t>
      </w:r>
      <w:r>
        <w:t xml:space="preserve">of the </w:t>
      </w:r>
      <w:r>
        <w:t xml:space="preserve">jury instructions </w:t>
      </w:r>
      <w:r>
        <w:t>on</w:t>
      </w:r>
      <w:r>
        <w:t xml:space="preserve"> each of the challenged claims </w:t>
      </w:r>
      <w:r>
        <w:t>w</w:t>
      </w:r>
      <w:r>
        <w:t>as</w:t>
      </w:r>
      <w:r>
        <w:t xml:space="preserve"> prejudicially erroneous,</w:t>
      </w:r>
      <w:r>
        <w:t xml:space="preserve"> thus requiring reversal of the judgment in its entirety</w:t>
      </w:r>
      <w:r>
        <w:t>.</w:t>
      </w:r>
      <w:r>
        <w:t xml:space="preserve"> </w:t>
      </w:r>
      <w:r>
        <w:t xml:space="preserve"> W</w:t>
      </w:r>
      <w:r>
        <w:t>e</w:t>
      </w:r>
      <w:r>
        <w:t xml:space="preserve"> therefore</w:t>
      </w:r>
      <w:r>
        <w:t xml:space="preserve"> need not address Erhart’s contention that the trial court abused its discretion in </w:t>
      </w:r>
      <w:r>
        <w:t xml:space="preserve">excluding some of the evidence of Erhart’s whistleblowing activity.  </w:t>
      </w:r>
      <w:r>
        <w:t xml:space="preserve">We also need not address the trial court’s refusal to </w:t>
      </w:r>
      <w:proofErr w:type="gramStart"/>
      <w:r>
        <w:t>instruct on</w:t>
      </w:r>
      <w:proofErr w:type="gramEnd"/>
      <w:r>
        <w:t xml:space="preserve"> Erhart’s requested affirmative defenses to the statutory claims.  </w:t>
      </w:r>
    </w:p>
    <w:p w14:paraId="3DF9FEF3" w14:textId="77777777" w:rsidR="00D45E51" w:rsidRDefault="00D45E51" w:rsidP="00C40990">
      <w:r>
        <w:tab/>
        <w:t xml:space="preserve">Furthermore, </w:t>
      </w:r>
      <w:r>
        <w:t xml:space="preserve">as </w:t>
      </w:r>
      <w:r>
        <w:t>our decision</w:t>
      </w:r>
      <w:r>
        <w:t xml:space="preserve"> necessarily reverses the costs and attorney fees </w:t>
      </w:r>
      <w:proofErr w:type="spellStart"/>
      <w:r>
        <w:t>Garrabrants</w:t>
      </w:r>
      <w:proofErr w:type="spellEnd"/>
      <w:r>
        <w:t xml:space="preserve"> was awarded post-judgment as the prevailing </w:t>
      </w:r>
      <w:r w:rsidRPr="00066980">
        <w:t>party</w:t>
      </w:r>
      <w:r>
        <w:t>, we dismiss as moot Erhart’s appeal challenging the award of costs and fees</w:t>
      </w:r>
      <w:r w:rsidRPr="00066980">
        <w:t xml:space="preserve">.  </w:t>
      </w:r>
      <w:r w:rsidRPr="00F32913">
        <w:t xml:space="preserve">(See </w:t>
      </w:r>
      <w:r w:rsidRPr="00F32913">
        <w:rPr>
          <w:i/>
          <w:iCs/>
        </w:rPr>
        <w:t>Bevis v. Terrace View Partners, LP</w:t>
      </w:r>
      <w:r w:rsidRPr="00F32913">
        <w:t xml:space="preserve"> (2019) 33 Cal.App.5th 230, 263 [“Our reversal of the judgment also necessarily compels the reversal of the award of attorney fees and costs to plaintiffs based on the </w:t>
      </w:r>
      <w:proofErr w:type="gramStart"/>
      <w:r w:rsidRPr="00F32913">
        <w:t>judgment.”</w:t>
      </w:r>
      <w:proofErr w:type="gramEnd"/>
      <w:r w:rsidRPr="00F32913">
        <w:t>]</w:t>
      </w:r>
      <w:r w:rsidRPr="00066980">
        <w:t>.)</w:t>
      </w:r>
    </w:p>
    <w:p w14:paraId="3AB687F2" w14:textId="77777777" w:rsidR="00D45E51" w:rsidRDefault="00D45E51" w:rsidP="00C40990">
      <w:r>
        <w:tab/>
      </w:r>
      <w:r>
        <w:t xml:space="preserve">Finally, </w:t>
      </w:r>
      <w:r>
        <w:t xml:space="preserve">as </w:t>
      </w:r>
      <w:r>
        <w:t>this opinion does</w:t>
      </w:r>
      <w:r>
        <w:t xml:space="preserve"> not rely on the materials </w:t>
      </w:r>
      <w:r>
        <w:t xml:space="preserve">Erhart </w:t>
      </w:r>
      <w:r>
        <w:t>requests we</w:t>
      </w:r>
      <w:r>
        <w:t xml:space="preserve"> judicial</w:t>
      </w:r>
      <w:r>
        <w:t>ly</w:t>
      </w:r>
      <w:r>
        <w:t xml:space="preserve"> notice</w:t>
      </w:r>
      <w:r>
        <w:t xml:space="preserve"> in either appeal</w:t>
      </w:r>
      <w:r>
        <w:t xml:space="preserve">, we deny as moot </w:t>
      </w:r>
      <w:r>
        <w:t>th</w:t>
      </w:r>
      <w:r>
        <w:t>ose</w:t>
      </w:r>
      <w:r>
        <w:t xml:space="preserve"> request</w:t>
      </w:r>
      <w:r>
        <w:t>s</w:t>
      </w:r>
      <w:r>
        <w:t xml:space="preserve">. </w:t>
      </w:r>
      <w:r>
        <w:t xml:space="preserve"> </w:t>
      </w:r>
    </w:p>
    <w:p w14:paraId="078A1653" w14:textId="77777777" w:rsidR="00D45E51" w:rsidRDefault="00D45E51" w:rsidP="00C40990">
      <w:r>
        <w:tab/>
      </w:r>
      <w:r>
        <w:t>This</w:t>
      </w:r>
      <w:r>
        <w:t xml:space="preserve"> disposition </w:t>
      </w:r>
      <w:r>
        <w:t xml:space="preserve">absolves us of the need </w:t>
      </w:r>
      <w:r>
        <w:t xml:space="preserve">to decide </w:t>
      </w:r>
      <w:r>
        <w:t xml:space="preserve">difficult </w:t>
      </w:r>
      <w:r>
        <w:t>questions implicating</w:t>
      </w:r>
      <w:r>
        <w:t xml:space="preserve"> </w:t>
      </w:r>
      <w:r>
        <w:t xml:space="preserve">important </w:t>
      </w:r>
      <w:r>
        <w:t xml:space="preserve">matters of </w:t>
      </w:r>
      <w:r>
        <w:t xml:space="preserve">public </w:t>
      </w:r>
      <w:r>
        <w:t>policy</w:t>
      </w:r>
      <w:r>
        <w:t>.  W</w:t>
      </w:r>
      <w:r>
        <w:t xml:space="preserve">e </w:t>
      </w:r>
      <w:r>
        <w:t xml:space="preserve">neither </w:t>
      </w:r>
      <w:r>
        <w:t>take</w:t>
      </w:r>
      <w:r>
        <w:t xml:space="preserve"> nor express any</w:t>
      </w:r>
      <w:r>
        <w:t xml:space="preserve"> position on the merits of </w:t>
      </w:r>
      <w:r>
        <w:t>the claims</w:t>
      </w:r>
      <w:r>
        <w:t xml:space="preserve"> underlying</w:t>
      </w:r>
      <w:r>
        <w:t xml:space="preserve"> </w:t>
      </w:r>
      <w:r>
        <w:t>this appeal</w:t>
      </w:r>
      <w:r>
        <w:t>.</w:t>
      </w:r>
      <w:r>
        <w:t xml:space="preserve"> </w:t>
      </w:r>
      <w:r>
        <w:t xml:space="preserve"> </w:t>
      </w:r>
      <w:r>
        <w:t>We note, h</w:t>
      </w:r>
      <w:r>
        <w:t>owever,</w:t>
      </w:r>
      <w:r>
        <w:t xml:space="preserve"> that</w:t>
      </w:r>
      <w:r>
        <w:t xml:space="preserve"> </w:t>
      </w:r>
      <w:r>
        <w:t xml:space="preserve">the nature of this case raises </w:t>
      </w:r>
      <w:r>
        <w:t>the</w:t>
      </w:r>
      <w:r>
        <w:t xml:space="preserve"> question </w:t>
      </w:r>
      <w:r>
        <w:t>of</w:t>
      </w:r>
      <w:r>
        <w:t xml:space="preserve"> whether existing law adequately protects purported whistleblowers from the myriad ways in which retaliation may present itself.  Here, we have </w:t>
      </w:r>
      <w:r>
        <w:t xml:space="preserve">litigation brought by </w:t>
      </w:r>
      <w:r>
        <w:t>an</w:t>
      </w:r>
      <w:r>
        <w:t xml:space="preserve"> executive</w:t>
      </w:r>
      <w:r>
        <w:t xml:space="preserve"> officer</w:t>
      </w:r>
      <w:r>
        <w:t xml:space="preserve"> of an entity</w:t>
      </w:r>
      <w:r>
        <w:t xml:space="preserve"> in his</w:t>
      </w:r>
      <w:r>
        <w:t xml:space="preserve"> </w:t>
      </w:r>
      <w:r>
        <w:t>individual</w:t>
      </w:r>
      <w:r>
        <w:t xml:space="preserve"> capacity</w:t>
      </w:r>
      <w:r>
        <w:t xml:space="preserve"> </w:t>
      </w:r>
      <w:r>
        <w:t xml:space="preserve">against </w:t>
      </w:r>
      <w:r>
        <w:t>a</w:t>
      </w:r>
      <w:r>
        <w:t xml:space="preserve"> </w:t>
      </w:r>
      <w:r>
        <w:t>whistleblower</w:t>
      </w:r>
      <w:r>
        <w:t xml:space="preserve"> while a whistleblower retaliation lawsuit was pending against the entity. </w:t>
      </w:r>
      <w:r>
        <w:t xml:space="preserve"> T</w:t>
      </w:r>
      <w:r>
        <w:t>he</w:t>
      </w:r>
      <w:r>
        <w:t xml:space="preserve"> </w:t>
      </w:r>
      <w:r>
        <w:t>claims</w:t>
      </w:r>
      <w:r>
        <w:t xml:space="preserve"> asserted</w:t>
      </w:r>
      <w:r>
        <w:t xml:space="preserve"> </w:t>
      </w:r>
      <w:r>
        <w:t xml:space="preserve">here </w:t>
      </w:r>
      <w:r>
        <w:t>may be at odd</w:t>
      </w:r>
      <w:r>
        <w:t xml:space="preserve">s with </w:t>
      </w:r>
      <w:r>
        <w:t>evidentiary obligations</w:t>
      </w:r>
      <w:r>
        <w:t xml:space="preserve"> arising</w:t>
      </w:r>
      <w:r>
        <w:t xml:space="preserve"> in </w:t>
      </w:r>
      <w:r>
        <w:t>the</w:t>
      </w:r>
      <w:r>
        <w:t xml:space="preserve"> </w:t>
      </w:r>
      <w:r>
        <w:t>litigation</w:t>
      </w:r>
      <w:r>
        <w:t xml:space="preserve"> between the whistleblower and entity</w:t>
      </w:r>
      <w:r>
        <w:t xml:space="preserve">, such as the duty to preserve evidence during and even prior to litigation and </w:t>
      </w:r>
      <w:r>
        <w:lastRenderedPageBreak/>
        <w:t>court-issued protective or discovery orders</w:t>
      </w:r>
      <w:r>
        <w:t>.</w:t>
      </w:r>
      <w:r>
        <w:t xml:space="preserve"> </w:t>
      </w:r>
      <w:r>
        <w:t xml:space="preserve"> Although </w:t>
      </w:r>
      <w:r>
        <w:t>we raise this question, l</w:t>
      </w:r>
      <w:r>
        <w:t xml:space="preserve">uckily for us, </w:t>
      </w:r>
      <w:r>
        <w:t>it</w:t>
      </w:r>
      <w:r>
        <w:t xml:space="preserve"> </w:t>
      </w:r>
      <w:r>
        <w:t xml:space="preserve">is </w:t>
      </w:r>
      <w:r>
        <w:t xml:space="preserve">one </w:t>
      </w:r>
      <w:r>
        <w:t>for the</w:t>
      </w:r>
      <w:r>
        <w:t xml:space="preserve"> Legislature</w:t>
      </w:r>
      <w:r>
        <w:t>, and not the courts, to resolve</w:t>
      </w:r>
      <w:r>
        <w:t>.</w:t>
      </w:r>
    </w:p>
    <w:p w14:paraId="57872599" w14:textId="77777777" w:rsidR="00D45E51" w:rsidRDefault="00D45E51" w:rsidP="00861FFA">
      <w:pPr>
        <w:keepNext/>
        <w:jc w:val="center"/>
      </w:pPr>
      <w:r>
        <w:t>CONCLUSION</w:t>
      </w:r>
    </w:p>
    <w:p w14:paraId="76BA484E" w14:textId="77777777" w:rsidR="00D45E51" w:rsidRDefault="00D45E51" w:rsidP="00C40990">
      <w:r>
        <w:tab/>
        <w:t>For the foregoing reasons, we reverse</w:t>
      </w:r>
      <w:r>
        <w:t xml:space="preserve"> </w:t>
      </w:r>
      <w:r>
        <w:t xml:space="preserve">the judgment in favor of </w:t>
      </w:r>
      <w:proofErr w:type="spellStart"/>
      <w:r>
        <w:t>Garrabrants</w:t>
      </w:r>
      <w:proofErr w:type="spellEnd"/>
      <w:r>
        <w:t xml:space="preserve"> in all respects, including the </w:t>
      </w:r>
      <w:r w:rsidRPr="009F236E">
        <w:t>award</w:t>
      </w:r>
      <w:r>
        <w:t xml:space="preserve"> of costs and attorney fees,</w:t>
      </w:r>
      <w:r w:rsidRPr="0070477D">
        <w:t xml:space="preserve"> </w:t>
      </w:r>
      <w:r>
        <w:t>and remand</w:t>
      </w:r>
      <w:r>
        <w:t xml:space="preserve"> this action</w:t>
      </w:r>
      <w:r>
        <w:t xml:space="preserve">.  </w:t>
      </w:r>
      <w:r w:rsidRPr="007A654C">
        <w:t xml:space="preserve">Should </w:t>
      </w:r>
      <w:proofErr w:type="spellStart"/>
      <w:r>
        <w:t>Garrabrants</w:t>
      </w:r>
      <w:proofErr w:type="spellEnd"/>
      <w:r w:rsidRPr="007A654C">
        <w:t xml:space="preserve"> prevail on retrial, the trial court will need to tak</w:t>
      </w:r>
      <w:r>
        <w:t>e</w:t>
      </w:r>
      <w:r w:rsidRPr="007A654C">
        <w:t xml:space="preserve"> into consideration the outcome of this appeal</w:t>
      </w:r>
      <w:r>
        <w:t xml:space="preserve"> in assessing</w:t>
      </w:r>
      <w:r w:rsidRPr="007A654C">
        <w:t xml:space="preserve"> the appropriate amount of attorney fees. </w:t>
      </w:r>
      <w:r>
        <w:t xml:space="preserve"> </w:t>
      </w:r>
      <w:r w:rsidRPr="007A654C">
        <w:t xml:space="preserve">(See </w:t>
      </w:r>
      <w:r w:rsidRPr="007A654C">
        <w:rPr>
          <w:i/>
          <w:iCs/>
        </w:rPr>
        <w:t>Chavez v. City of Los Angeles</w:t>
      </w:r>
      <w:r w:rsidRPr="007A654C">
        <w:t xml:space="preserve"> (2010) 47 Cal.4th 970, 989</w:t>
      </w:r>
      <w:r>
        <w:t>-</w:t>
      </w:r>
      <w:r w:rsidRPr="007A654C">
        <w:t>990 [degree of success a factor in fee calculation].)</w:t>
      </w:r>
      <w:r>
        <w:t xml:space="preserve"> </w:t>
      </w:r>
      <w:r>
        <w:t xml:space="preserve"> </w:t>
      </w:r>
      <w:proofErr w:type="spellStart"/>
      <w:r>
        <w:t>Garrabrants</w:t>
      </w:r>
      <w:proofErr w:type="spellEnd"/>
      <w:r>
        <w:t xml:space="preserve"> shall bear Erhart’s costs on appeal.</w:t>
      </w:r>
      <w:r>
        <w:t xml:space="preserve">  </w:t>
      </w:r>
      <w:r w:rsidRPr="00C20521">
        <w:t>(Cal. Rules of Court, rule</w:t>
      </w:r>
      <w:r>
        <w:t> </w:t>
      </w:r>
      <w:r w:rsidRPr="00C20521">
        <w:t>8.278(a)(1).)</w:t>
      </w:r>
      <w:r>
        <w:t xml:space="preserve">  </w:t>
      </w:r>
    </w:p>
    <w:p w14:paraId="6374BD7D" w14:textId="77777777" w:rsidR="00D45E51" w:rsidRDefault="00D45E51" w:rsidP="0029184B">
      <w:pPr>
        <w:spacing w:line="240" w:lineRule="auto"/>
        <w:rPr>
          <w:highlight w:val="yellow"/>
        </w:rPr>
      </w:pPr>
    </w:p>
    <w:p w14:paraId="109646A5" w14:textId="77777777" w:rsidR="00D45E51" w:rsidRPr="00357570" w:rsidRDefault="00D45E51" w:rsidP="0029184B">
      <w:pPr>
        <w:keepNext/>
        <w:spacing w:line="240" w:lineRule="auto"/>
        <w:jc w:val="right"/>
      </w:pPr>
      <w:r w:rsidRPr="00357570">
        <w:t>CASTILLO, J.</w:t>
      </w:r>
    </w:p>
    <w:p w14:paraId="7020E06F" w14:textId="77777777" w:rsidR="00D45E51" w:rsidRPr="00357570" w:rsidRDefault="00D45E51" w:rsidP="0029184B">
      <w:pPr>
        <w:keepNext/>
        <w:tabs>
          <w:tab w:val="right" w:pos="3600"/>
        </w:tabs>
        <w:spacing w:line="240" w:lineRule="auto"/>
      </w:pPr>
      <w:r w:rsidRPr="00357570">
        <w:t>WE CONCUR:</w:t>
      </w:r>
    </w:p>
    <w:p w14:paraId="384F00E1" w14:textId="77777777" w:rsidR="00D45E51" w:rsidRPr="00357570" w:rsidRDefault="00D45E51" w:rsidP="0029184B">
      <w:pPr>
        <w:keepNext/>
        <w:tabs>
          <w:tab w:val="right" w:pos="3600"/>
        </w:tabs>
        <w:spacing w:line="240" w:lineRule="auto"/>
      </w:pPr>
    </w:p>
    <w:p w14:paraId="49E189A2" w14:textId="77777777" w:rsidR="00D45E51" w:rsidRPr="00357570" w:rsidRDefault="00D45E51" w:rsidP="0029184B">
      <w:pPr>
        <w:keepNext/>
        <w:tabs>
          <w:tab w:val="right" w:pos="3600"/>
        </w:tabs>
        <w:spacing w:line="240" w:lineRule="auto"/>
      </w:pPr>
    </w:p>
    <w:p w14:paraId="6C69FA25" w14:textId="77777777" w:rsidR="00D45E51" w:rsidRPr="00357570" w:rsidRDefault="00D45E51" w:rsidP="0029184B">
      <w:pPr>
        <w:keepNext/>
        <w:tabs>
          <w:tab w:val="right" w:pos="3600"/>
        </w:tabs>
        <w:spacing w:line="240" w:lineRule="auto"/>
      </w:pPr>
    </w:p>
    <w:p w14:paraId="38AE45AB" w14:textId="77777777" w:rsidR="00D45E51" w:rsidRPr="00357570" w:rsidRDefault="00D45E51" w:rsidP="0029184B">
      <w:pPr>
        <w:keepNext/>
        <w:tabs>
          <w:tab w:val="right" w:pos="3600"/>
        </w:tabs>
        <w:spacing w:line="240" w:lineRule="auto"/>
      </w:pPr>
      <w:r w:rsidRPr="00357570">
        <w:t>HUFFMAN, Acting P. J.</w:t>
      </w:r>
    </w:p>
    <w:p w14:paraId="10B37E13" w14:textId="77777777" w:rsidR="00D45E51" w:rsidRPr="00357570" w:rsidRDefault="00D45E51" w:rsidP="0029184B">
      <w:pPr>
        <w:keepNext/>
        <w:tabs>
          <w:tab w:val="right" w:pos="3600"/>
        </w:tabs>
        <w:spacing w:line="240" w:lineRule="auto"/>
      </w:pPr>
    </w:p>
    <w:p w14:paraId="50F86748" w14:textId="77777777" w:rsidR="00D45E51" w:rsidRPr="00357570" w:rsidRDefault="00D45E51" w:rsidP="0029184B">
      <w:pPr>
        <w:keepNext/>
        <w:tabs>
          <w:tab w:val="right" w:pos="3600"/>
        </w:tabs>
        <w:spacing w:line="240" w:lineRule="auto"/>
      </w:pPr>
    </w:p>
    <w:p w14:paraId="649F20D4" w14:textId="77777777" w:rsidR="00D45E51" w:rsidRPr="00357570" w:rsidRDefault="00D45E51" w:rsidP="0029184B">
      <w:pPr>
        <w:keepNext/>
        <w:tabs>
          <w:tab w:val="right" w:pos="3600"/>
        </w:tabs>
        <w:spacing w:line="240" w:lineRule="auto"/>
      </w:pPr>
    </w:p>
    <w:p w14:paraId="47BB3F87" w14:textId="77777777" w:rsidR="00D45E51" w:rsidRPr="00357570" w:rsidRDefault="00D45E51" w:rsidP="0029184B">
      <w:pPr>
        <w:keepNext/>
        <w:tabs>
          <w:tab w:val="right" w:pos="3600"/>
        </w:tabs>
        <w:spacing w:line="240" w:lineRule="auto"/>
      </w:pPr>
      <w:r w:rsidRPr="00357570">
        <w:t>KELETY, J.</w:t>
      </w:r>
    </w:p>
    <w:p w14:paraId="00A6806A" w14:textId="77777777" w:rsidR="00CC1CC0" w:rsidRDefault="00CC1CC0" w:rsidP="00357570">
      <w:pPr>
        <w:keepNext/>
        <w:tabs>
          <w:tab w:val="right" w:pos="3600"/>
        </w:tabs>
        <w:spacing w:line="240" w:lineRule="auto"/>
        <w:rPr>
          <w:highlight w:val="yellow"/>
        </w:rPr>
        <w:sectPr w:rsidR="00CC1CC0" w:rsidSect="00995705">
          <w:footerReference w:type="default" r:id="rId6"/>
          <w:footerReference w:type="first" r:id="rId7"/>
          <w:pgSz w:w="12240" w:h="15840" w:code="1"/>
          <w:pgMar w:top="1440" w:right="1440" w:bottom="1440" w:left="1440" w:header="720" w:footer="720" w:gutter="0"/>
          <w:cols w:space="720"/>
          <w:titlePg/>
          <w:docGrid w:linePitch="360"/>
        </w:sectPr>
      </w:pPr>
    </w:p>
    <w:p w14:paraId="7673BBB5" w14:textId="77777777" w:rsidR="00CC1CC0" w:rsidRPr="00385555" w:rsidRDefault="00CC1CC0" w:rsidP="00CC1CC0">
      <w:pPr>
        <w:spacing w:line="240" w:lineRule="auto"/>
        <w:rPr>
          <w:sz w:val="20"/>
        </w:rPr>
      </w:pPr>
      <w:r w:rsidRPr="00385555">
        <w:rPr>
          <w:sz w:val="20"/>
        </w:rPr>
        <w:lastRenderedPageBreak/>
        <w:t>Filed 12/29/23</w:t>
      </w:r>
    </w:p>
    <w:p w14:paraId="50F51420" w14:textId="77777777" w:rsidR="00CC1CC0" w:rsidRDefault="00CC1CC0" w:rsidP="00CC1CC0">
      <w:pPr>
        <w:spacing w:line="240" w:lineRule="auto"/>
        <w:jc w:val="center"/>
      </w:pPr>
      <w:r>
        <w:t>CERTIFIED FOR PUBLICATION</w:t>
      </w:r>
    </w:p>
    <w:p w14:paraId="6511F5C0" w14:textId="77777777" w:rsidR="00CC1CC0" w:rsidRDefault="00CC1CC0" w:rsidP="00CC1CC0">
      <w:pPr>
        <w:spacing w:line="240" w:lineRule="auto"/>
        <w:jc w:val="center"/>
      </w:pPr>
    </w:p>
    <w:p w14:paraId="7D0DB6B1" w14:textId="77777777" w:rsidR="00CC1CC0" w:rsidRDefault="00CC1CC0" w:rsidP="00CC1CC0">
      <w:pPr>
        <w:spacing w:line="240" w:lineRule="auto"/>
        <w:jc w:val="center"/>
      </w:pPr>
      <w:r>
        <w:t>COURT OF APPEAL, FOURTH APPELLATE DISTRICT</w:t>
      </w:r>
    </w:p>
    <w:p w14:paraId="12268C61" w14:textId="77777777" w:rsidR="00CC1CC0" w:rsidRDefault="00CC1CC0" w:rsidP="00CC1CC0">
      <w:pPr>
        <w:spacing w:line="240" w:lineRule="auto"/>
        <w:jc w:val="center"/>
      </w:pPr>
    </w:p>
    <w:p w14:paraId="6BE42440" w14:textId="77777777" w:rsidR="00CC1CC0" w:rsidRDefault="00CC1CC0" w:rsidP="00CC1CC0">
      <w:pPr>
        <w:spacing w:line="240" w:lineRule="auto"/>
        <w:jc w:val="center"/>
      </w:pPr>
      <w:r>
        <w:t>DIVISION ONE</w:t>
      </w:r>
    </w:p>
    <w:p w14:paraId="2A4FA23D" w14:textId="77777777" w:rsidR="00CC1CC0" w:rsidRDefault="00CC1CC0" w:rsidP="00CC1CC0">
      <w:pPr>
        <w:spacing w:line="240" w:lineRule="auto"/>
        <w:jc w:val="center"/>
      </w:pPr>
    </w:p>
    <w:p w14:paraId="4C0FC2B8" w14:textId="77777777" w:rsidR="00CC1CC0" w:rsidRDefault="00CC1CC0" w:rsidP="00CC1CC0">
      <w:pPr>
        <w:spacing w:line="240" w:lineRule="auto"/>
        <w:jc w:val="center"/>
      </w:pPr>
      <w:r>
        <w:t>STATE OF CALIFORNIA</w:t>
      </w:r>
    </w:p>
    <w:p w14:paraId="13ADEE67" w14:textId="77777777" w:rsidR="00CC1CC0" w:rsidRDefault="00CC1CC0" w:rsidP="00CC1CC0">
      <w:pPr>
        <w:spacing w:line="240" w:lineRule="auto"/>
        <w:jc w:val="center"/>
      </w:pPr>
    </w:p>
    <w:p w14:paraId="129FABEE" w14:textId="77777777" w:rsidR="00CC1CC0" w:rsidRDefault="00CC1CC0" w:rsidP="00CC1CC0">
      <w:pPr>
        <w:spacing w:line="240" w:lineRule="auto"/>
        <w:jc w:val="center"/>
      </w:pPr>
    </w:p>
    <w:p w14:paraId="12937A04" w14:textId="77777777" w:rsidR="00CC1CC0" w:rsidRDefault="00CC1CC0" w:rsidP="00CC1CC0">
      <w:pPr>
        <w:spacing w:line="240" w:lineRule="auto"/>
        <w:jc w:val="center"/>
      </w:pPr>
    </w:p>
    <w:tbl>
      <w:tblPr>
        <w:tblW w:w="9360" w:type="dxa"/>
        <w:tblLayout w:type="fixed"/>
        <w:tblLook w:val="0000" w:firstRow="0" w:lastRow="0" w:firstColumn="0" w:lastColumn="0" w:noHBand="0" w:noVBand="0"/>
      </w:tblPr>
      <w:tblGrid>
        <w:gridCol w:w="5040"/>
        <w:gridCol w:w="4320"/>
      </w:tblGrid>
      <w:tr w:rsidR="00CC1CC0" w14:paraId="7C4AE9D4" w14:textId="77777777" w:rsidTr="00156335">
        <w:tc>
          <w:tcPr>
            <w:tcW w:w="5040" w:type="dxa"/>
            <w:tcBorders>
              <w:bottom w:val="single" w:sz="4" w:space="0" w:color="auto"/>
              <w:right w:val="single" w:sz="4" w:space="0" w:color="auto"/>
            </w:tcBorders>
            <w:shd w:val="clear" w:color="auto" w:fill="auto"/>
          </w:tcPr>
          <w:p w14:paraId="3EBCB9E7" w14:textId="77777777" w:rsidR="00CC1CC0" w:rsidRDefault="00CC1CC0" w:rsidP="00156335">
            <w:pPr>
              <w:spacing w:line="240" w:lineRule="auto"/>
            </w:pPr>
            <w:r>
              <w:t>GREGORY GARRABRANTS,</w:t>
            </w:r>
          </w:p>
          <w:p w14:paraId="6934B393" w14:textId="77777777" w:rsidR="00CC1CC0" w:rsidRDefault="00CC1CC0" w:rsidP="00156335">
            <w:pPr>
              <w:spacing w:line="240" w:lineRule="auto"/>
            </w:pPr>
          </w:p>
          <w:p w14:paraId="25D9F462" w14:textId="77777777" w:rsidR="00CC1CC0" w:rsidRDefault="00CC1CC0" w:rsidP="00156335">
            <w:pPr>
              <w:spacing w:line="240" w:lineRule="auto"/>
            </w:pPr>
            <w:r>
              <w:tab/>
              <w:t>Plaintiff and Respondent,</w:t>
            </w:r>
          </w:p>
          <w:p w14:paraId="35810F3F" w14:textId="77777777" w:rsidR="00CC1CC0" w:rsidRDefault="00CC1CC0" w:rsidP="00156335">
            <w:pPr>
              <w:spacing w:line="240" w:lineRule="auto"/>
            </w:pPr>
          </w:p>
          <w:p w14:paraId="3332ADD8" w14:textId="77777777" w:rsidR="00CC1CC0" w:rsidRDefault="00CC1CC0" w:rsidP="00156335">
            <w:pPr>
              <w:spacing w:line="240" w:lineRule="auto"/>
            </w:pPr>
            <w:r>
              <w:tab/>
              <w:t>v.</w:t>
            </w:r>
          </w:p>
          <w:p w14:paraId="3A43F5A9" w14:textId="77777777" w:rsidR="00CC1CC0" w:rsidRDefault="00CC1CC0" w:rsidP="00156335">
            <w:pPr>
              <w:spacing w:line="240" w:lineRule="auto"/>
            </w:pPr>
          </w:p>
          <w:p w14:paraId="5C342517" w14:textId="77777777" w:rsidR="00CC1CC0" w:rsidRDefault="00CC1CC0" w:rsidP="00156335">
            <w:pPr>
              <w:spacing w:line="240" w:lineRule="auto"/>
            </w:pPr>
            <w:r>
              <w:t>CHARLES MATTHEW ERHART,</w:t>
            </w:r>
          </w:p>
          <w:p w14:paraId="577FD53F" w14:textId="77777777" w:rsidR="00CC1CC0" w:rsidRDefault="00CC1CC0" w:rsidP="00156335">
            <w:pPr>
              <w:spacing w:line="240" w:lineRule="auto"/>
            </w:pPr>
          </w:p>
          <w:p w14:paraId="5E24AF52" w14:textId="77777777" w:rsidR="00CC1CC0" w:rsidRDefault="00CC1CC0" w:rsidP="00156335">
            <w:pPr>
              <w:spacing w:line="240" w:lineRule="auto"/>
            </w:pPr>
            <w:r>
              <w:tab/>
              <w:t>Defendant and Appellant.</w:t>
            </w:r>
          </w:p>
          <w:p w14:paraId="4066CA09" w14:textId="77777777" w:rsidR="00CC1CC0" w:rsidRDefault="00CC1CC0" w:rsidP="00156335">
            <w:pPr>
              <w:spacing w:line="240" w:lineRule="auto"/>
            </w:pPr>
          </w:p>
        </w:tc>
        <w:tc>
          <w:tcPr>
            <w:tcW w:w="4320" w:type="dxa"/>
            <w:tcBorders>
              <w:left w:val="single" w:sz="4" w:space="0" w:color="auto"/>
            </w:tcBorders>
            <w:shd w:val="clear" w:color="auto" w:fill="auto"/>
          </w:tcPr>
          <w:p w14:paraId="42618EAA" w14:textId="77777777" w:rsidR="00CC1CC0" w:rsidRDefault="00CC1CC0" w:rsidP="00156335">
            <w:pPr>
              <w:tabs>
                <w:tab w:val="left" w:pos="144"/>
              </w:tabs>
              <w:spacing w:line="240" w:lineRule="auto"/>
            </w:pPr>
            <w:r>
              <w:t xml:space="preserve">  D080136, D081154</w:t>
            </w:r>
          </w:p>
          <w:p w14:paraId="33AAEFF8" w14:textId="77777777" w:rsidR="00CC1CC0" w:rsidRDefault="00CC1CC0" w:rsidP="00156335">
            <w:pPr>
              <w:tabs>
                <w:tab w:val="left" w:pos="144"/>
              </w:tabs>
              <w:spacing w:line="240" w:lineRule="auto"/>
            </w:pPr>
          </w:p>
          <w:p w14:paraId="3FC4B943" w14:textId="77777777" w:rsidR="00CC1CC0" w:rsidRDefault="00CC1CC0" w:rsidP="00156335">
            <w:pPr>
              <w:tabs>
                <w:tab w:val="left" w:pos="144"/>
              </w:tabs>
              <w:spacing w:line="240" w:lineRule="auto"/>
            </w:pPr>
          </w:p>
          <w:p w14:paraId="790413B5" w14:textId="77777777" w:rsidR="00CC1CC0" w:rsidRDefault="00CC1CC0" w:rsidP="00156335">
            <w:pPr>
              <w:tabs>
                <w:tab w:val="left" w:pos="144"/>
              </w:tabs>
              <w:spacing w:line="240" w:lineRule="auto"/>
            </w:pPr>
          </w:p>
          <w:p w14:paraId="2C74F4D3" w14:textId="77777777" w:rsidR="00CC1CC0" w:rsidRDefault="00CC1CC0" w:rsidP="00156335">
            <w:pPr>
              <w:tabs>
                <w:tab w:val="left" w:pos="144"/>
              </w:tabs>
              <w:spacing w:line="240" w:lineRule="auto"/>
            </w:pPr>
            <w:r>
              <w:t xml:space="preserve">  (Super. Ct. No. 37-2017-00039440-CU-NP-</w:t>
            </w:r>
            <w:proofErr w:type="gramStart"/>
            <w:r>
              <w:t>CTL )</w:t>
            </w:r>
            <w:proofErr w:type="gramEnd"/>
          </w:p>
          <w:p w14:paraId="1DE1160D" w14:textId="77777777" w:rsidR="00CC1CC0" w:rsidRDefault="00CC1CC0" w:rsidP="00156335">
            <w:pPr>
              <w:tabs>
                <w:tab w:val="left" w:pos="144"/>
              </w:tabs>
              <w:spacing w:line="240" w:lineRule="auto"/>
            </w:pPr>
          </w:p>
          <w:p w14:paraId="5F17AA91" w14:textId="77777777" w:rsidR="00CC1CC0" w:rsidRDefault="00CC1CC0" w:rsidP="00156335">
            <w:pPr>
              <w:tabs>
                <w:tab w:val="left" w:pos="144"/>
              </w:tabs>
              <w:spacing w:line="240" w:lineRule="auto"/>
            </w:pPr>
          </w:p>
          <w:p w14:paraId="29F75F35" w14:textId="77777777" w:rsidR="00CC1CC0" w:rsidRDefault="00CC1CC0" w:rsidP="00156335">
            <w:pPr>
              <w:tabs>
                <w:tab w:val="left" w:pos="144"/>
              </w:tabs>
              <w:spacing w:line="240" w:lineRule="auto"/>
            </w:pPr>
          </w:p>
          <w:p w14:paraId="120C48A0" w14:textId="77777777" w:rsidR="00CC1CC0" w:rsidRDefault="00CC1CC0" w:rsidP="00156335">
            <w:pPr>
              <w:tabs>
                <w:tab w:val="left" w:pos="144"/>
              </w:tabs>
              <w:spacing w:line="240" w:lineRule="auto"/>
            </w:pPr>
            <w:r w:rsidRPr="00A214F3">
              <w:rPr>
                <w:rFonts w:ascii="Times New Roman" w:eastAsia="Times New Roman" w:hAnsi="Times New Roman"/>
                <w:lang w:bidi="ar-SA"/>
              </w:rPr>
              <w:t xml:space="preserve">ORDER CERTIFYING OPINION </w:t>
            </w:r>
            <w:r w:rsidRPr="00A214F3">
              <w:rPr>
                <w:rFonts w:ascii="Times New Roman" w:eastAsia="Times New Roman" w:hAnsi="Times New Roman"/>
                <w:lang w:bidi="ar-SA"/>
              </w:rPr>
              <w:tab/>
              <w:t>FOR PUBLICATION</w:t>
            </w:r>
          </w:p>
        </w:tc>
      </w:tr>
    </w:tbl>
    <w:p w14:paraId="60F963B3" w14:textId="77777777" w:rsidR="00CC1CC0" w:rsidRDefault="00CC1CC0" w:rsidP="00CC1CC0">
      <w:pPr>
        <w:spacing w:line="240" w:lineRule="auto"/>
      </w:pPr>
    </w:p>
    <w:p w14:paraId="5A72A344" w14:textId="77777777" w:rsidR="00CC1CC0" w:rsidRDefault="00CC1CC0" w:rsidP="00CC1CC0">
      <w:pPr>
        <w:pStyle w:val="BodyText"/>
        <w:spacing w:before="101"/>
        <w:ind w:left="120"/>
      </w:pPr>
      <w:r>
        <w:t>THE</w:t>
      </w:r>
      <w:r>
        <w:rPr>
          <w:spacing w:val="-1"/>
        </w:rPr>
        <w:t xml:space="preserve"> </w:t>
      </w:r>
      <w:r>
        <w:rPr>
          <w:spacing w:val="-2"/>
        </w:rPr>
        <w:t>COURT:</w:t>
      </w:r>
    </w:p>
    <w:p w14:paraId="7AEE4E5A" w14:textId="77777777" w:rsidR="00CC1CC0" w:rsidRDefault="00CC1CC0" w:rsidP="00CC1CC0">
      <w:pPr>
        <w:pStyle w:val="BodyText"/>
        <w:spacing w:before="1"/>
      </w:pPr>
    </w:p>
    <w:p w14:paraId="2340CD0E" w14:textId="77777777" w:rsidR="00CC1CC0" w:rsidRPr="00A214F3" w:rsidRDefault="00CC1CC0" w:rsidP="00CC1CC0">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eastAsia="Calibri" w:hAnsi="Times New Roman"/>
          <w:color w:val="000000"/>
          <w:lang w:bidi="ar-SA"/>
        </w:rPr>
      </w:pPr>
      <w:r>
        <w:rPr>
          <w:rFonts w:ascii="Times New Roman" w:eastAsia="Calibri" w:hAnsi="Times New Roman"/>
          <w:color w:val="000000"/>
          <w:lang w:bidi="ar-SA"/>
        </w:rPr>
        <w:tab/>
      </w:r>
      <w:r w:rsidRPr="00A214F3">
        <w:rPr>
          <w:rFonts w:ascii="Times New Roman" w:eastAsia="Calibri" w:hAnsi="Times New Roman"/>
          <w:color w:val="000000"/>
          <w:lang w:bidi="ar-SA"/>
        </w:rPr>
        <w:t xml:space="preserve">The opinion in this case filed </w:t>
      </w:r>
      <w:r>
        <w:rPr>
          <w:rFonts w:ascii="Times New Roman" w:eastAsia="Calibri" w:hAnsi="Times New Roman"/>
          <w:color w:val="000000"/>
          <w:lang w:bidi="ar-SA"/>
        </w:rPr>
        <w:t>December 18, 2023,</w:t>
      </w:r>
      <w:r w:rsidRPr="00A214F3">
        <w:rPr>
          <w:rFonts w:ascii="Times New Roman" w:eastAsia="Calibri" w:hAnsi="Times New Roman"/>
          <w:color w:val="000000"/>
          <w:lang w:bidi="ar-SA"/>
        </w:rPr>
        <w:t xml:space="preserve"> was not certified for publication.  It </w:t>
      </w:r>
      <w:proofErr w:type="gramStart"/>
      <w:r w:rsidRPr="00A214F3">
        <w:rPr>
          <w:rFonts w:ascii="Times New Roman" w:eastAsia="Calibri" w:hAnsi="Times New Roman"/>
          <w:color w:val="000000"/>
          <w:lang w:bidi="ar-SA"/>
        </w:rPr>
        <w:t>appearing</w:t>
      </w:r>
      <w:proofErr w:type="gramEnd"/>
      <w:r w:rsidRPr="00A214F3">
        <w:rPr>
          <w:rFonts w:ascii="Times New Roman" w:eastAsia="Calibri" w:hAnsi="Times New Roman"/>
          <w:color w:val="000000"/>
          <w:lang w:bidi="ar-SA"/>
        </w:rPr>
        <w:t xml:space="preserve"> the opinion meets the standards for publication specified in California Rules of Court, rule 8.1105(c), the request pursuant to rule 8.1120(a) for publication is GRANTED.</w:t>
      </w:r>
    </w:p>
    <w:p w14:paraId="08075D65" w14:textId="77777777" w:rsidR="00CC1CC0" w:rsidRPr="00A214F3" w:rsidRDefault="00CC1CC0" w:rsidP="00CC1CC0">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eastAsia="Calibri" w:hAnsi="Times New Roman"/>
          <w:color w:val="000000"/>
          <w:lang w:bidi="ar-SA"/>
        </w:rPr>
      </w:pPr>
      <w:r w:rsidRPr="00A214F3">
        <w:rPr>
          <w:rFonts w:ascii="Times New Roman" w:eastAsia="Calibri" w:hAnsi="Times New Roman"/>
          <w:color w:val="000000"/>
          <w:lang w:bidi="ar-SA"/>
        </w:rPr>
        <w:tab/>
        <w:t>IT IS HEREBY CERTIFIED that the opinion meets the standards for publication specified in California Rules of Court, rule 8.1105(c); and</w:t>
      </w:r>
    </w:p>
    <w:p w14:paraId="1D968DDC" w14:textId="77777777" w:rsidR="00CC1CC0" w:rsidRPr="00A214F3" w:rsidRDefault="00CC1CC0" w:rsidP="00CC1CC0">
      <w:pPr>
        <w:widowControl w:val="0"/>
        <w:tabs>
          <w:tab w:val="left" w:pos="720"/>
          <w:tab w:val="left" w:pos="1440"/>
          <w:tab w:val="left" w:pos="2160"/>
          <w:tab w:val="left" w:pos="2880"/>
          <w:tab w:val="left" w:pos="3600"/>
          <w:tab w:val="left" w:pos="4320"/>
        </w:tabs>
        <w:autoSpaceDE w:val="0"/>
        <w:autoSpaceDN w:val="0"/>
        <w:adjustRightInd w:val="0"/>
        <w:rPr>
          <w:rFonts w:ascii="Times New Roman" w:eastAsia="Calibri" w:hAnsi="Times New Roman"/>
          <w:color w:val="000000"/>
          <w:lang w:bidi="ar-SA"/>
        </w:rPr>
      </w:pPr>
      <w:r w:rsidRPr="00A214F3">
        <w:rPr>
          <w:rFonts w:ascii="Times New Roman" w:eastAsia="Calibri" w:hAnsi="Times New Roman"/>
          <w:color w:val="000000"/>
          <w:lang w:bidi="ar-SA"/>
        </w:rPr>
        <w:br w:type="page"/>
      </w:r>
      <w:r w:rsidRPr="00A214F3">
        <w:rPr>
          <w:rFonts w:ascii="Times New Roman" w:eastAsia="Calibri" w:hAnsi="Times New Roman"/>
          <w:color w:val="000000"/>
          <w:lang w:bidi="ar-SA"/>
        </w:rPr>
        <w:lastRenderedPageBreak/>
        <w:tab/>
        <w:t xml:space="preserve">ORDERED that the words </w:t>
      </w:r>
      <w:r>
        <w:rPr>
          <w:rFonts w:ascii="Times New Roman" w:eastAsia="Calibri" w:hAnsi="Times New Roman"/>
          <w:color w:val="000000"/>
          <w:lang w:bidi="ar-SA"/>
        </w:rPr>
        <w:t>“</w:t>
      </w:r>
      <w:r w:rsidRPr="00A214F3">
        <w:rPr>
          <w:rFonts w:ascii="Times New Roman" w:eastAsia="Calibri" w:hAnsi="Times New Roman"/>
          <w:color w:val="000000"/>
          <w:lang w:bidi="ar-SA"/>
        </w:rPr>
        <w:t>Not to Be Published in the Official Reports</w:t>
      </w:r>
      <w:r>
        <w:rPr>
          <w:rFonts w:ascii="Times New Roman" w:eastAsia="Calibri" w:hAnsi="Times New Roman"/>
          <w:color w:val="000000"/>
          <w:lang w:bidi="ar-SA"/>
        </w:rPr>
        <w:t>”</w:t>
      </w:r>
      <w:r w:rsidRPr="00A214F3">
        <w:rPr>
          <w:rFonts w:ascii="Times New Roman" w:eastAsia="Calibri" w:hAnsi="Times New Roman"/>
          <w:color w:val="000000"/>
          <w:lang w:bidi="ar-SA"/>
        </w:rPr>
        <w:t xml:space="preserve"> appearing on page one of said opinion be deleted and the opinion herein be published in the Official Reports.</w:t>
      </w:r>
    </w:p>
    <w:p w14:paraId="33CD042B" w14:textId="77777777" w:rsidR="00CC1CC0" w:rsidRDefault="00CC1CC0" w:rsidP="00CC1CC0">
      <w:pPr>
        <w:pStyle w:val="BodyText"/>
        <w:rPr>
          <w:sz w:val="20"/>
        </w:rPr>
      </w:pPr>
    </w:p>
    <w:p w14:paraId="5B25B7E4" w14:textId="77777777" w:rsidR="00CC1CC0" w:rsidRDefault="00CC1CC0" w:rsidP="00CC1CC0">
      <w:pPr>
        <w:pStyle w:val="BodyText"/>
        <w:spacing w:before="5"/>
        <w:rPr>
          <w:sz w:val="27"/>
        </w:rPr>
      </w:pPr>
    </w:p>
    <w:p w14:paraId="510C909A" w14:textId="77777777" w:rsidR="00CC1CC0" w:rsidRDefault="00CC1CC0" w:rsidP="00CC1CC0">
      <w:pPr>
        <w:pStyle w:val="BodyText"/>
        <w:spacing w:before="16"/>
        <w:ind w:right="117"/>
        <w:jc w:val="right"/>
      </w:pPr>
      <w:r>
        <w:t>HUFFMAN,</w:t>
      </w:r>
      <w:r>
        <w:rPr>
          <w:spacing w:val="-4"/>
        </w:rPr>
        <w:t xml:space="preserve"> </w:t>
      </w:r>
      <w:r>
        <w:t>Acting</w:t>
      </w:r>
      <w:r>
        <w:rPr>
          <w:spacing w:val="-2"/>
        </w:rPr>
        <w:t xml:space="preserve"> </w:t>
      </w:r>
      <w:r>
        <w:t>P.</w:t>
      </w:r>
      <w:r>
        <w:rPr>
          <w:spacing w:val="-2"/>
        </w:rPr>
        <w:t xml:space="preserve"> </w:t>
      </w:r>
      <w:r>
        <w:rPr>
          <w:spacing w:val="-5"/>
        </w:rPr>
        <w:t>J.</w:t>
      </w:r>
    </w:p>
    <w:p w14:paraId="6A143790" w14:textId="77777777" w:rsidR="00CC1CC0" w:rsidRDefault="00CC1CC0" w:rsidP="00CC1CC0">
      <w:pPr>
        <w:pStyle w:val="BodyText"/>
      </w:pPr>
    </w:p>
    <w:p w14:paraId="24A4846D" w14:textId="77777777" w:rsidR="00CC1CC0" w:rsidRDefault="00CC1CC0" w:rsidP="00CC1CC0">
      <w:pPr>
        <w:pStyle w:val="BodyText"/>
        <w:ind w:left="119"/>
      </w:pPr>
      <w:r>
        <w:t>Copies</w:t>
      </w:r>
      <w:r>
        <w:rPr>
          <w:spacing w:val="-4"/>
        </w:rPr>
        <w:t xml:space="preserve"> </w:t>
      </w:r>
      <w:r>
        <w:t>to:</w:t>
      </w:r>
      <w:r>
        <w:rPr>
          <w:spacing w:val="67"/>
        </w:rPr>
        <w:t xml:space="preserve"> </w:t>
      </w:r>
      <w:r>
        <w:t>All</w:t>
      </w:r>
      <w:r>
        <w:rPr>
          <w:spacing w:val="-3"/>
        </w:rPr>
        <w:t xml:space="preserve"> </w:t>
      </w:r>
      <w:r>
        <w:rPr>
          <w:spacing w:val="-2"/>
        </w:rPr>
        <w:t>parties</w:t>
      </w:r>
    </w:p>
    <w:p w14:paraId="56791FC4" w14:textId="77777777" w:rsidR="00CC1CC0" w:rsidRDefault="00CC1CC0" w:rsidP="00CC1CC0"/>
    <w:p w14:paraId="75810810" w14:textId="77777777" w:rsidR="00D45E51" w:rsidRPr="0029184B" w:rsidRDefault="00D45E51" w:rsidP="00357570">
      <w:pPr>
        <w:keepNext/>
        <w:tabs>
          <w:tab w:val="right" w:pos="3600"/>
        </w:tabs>
        <w:spacing w:line="240" w:lineRule="auto"/>
        <w:rPr>
          <w:highlight w:val="yellow"/>
        </w:rPr>
      </w:pPr>
    </w:p>
    <w:sectPr w:rsidR="0029184B" w:rsidRPr="0029184B" w:rsidSect="00CC1CC0">
      <w:footerReference w:type="default" r:id="rId8"/>
      <w:foot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011A" w14:textId="77777777" w:rsidR="00D45E51" w:rsidRDefault="00D45E51">
      <w:pPr>
        <w:spacing w:line="240" w:lineRule="auto"/>
      </w:pPr>
      <w:r>
        <w:separator/>
      </w:r>
    </w:p>
  </w:endnote>
  <w:endnote w:type="continuationSeparator" w:id="0">
    <w:p w14:paraId="45210E74" w14:textId="77777777" w:rsidR="00D45E51" w:rsidRDefault="00D45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10C14CCD" w14:textId="77777777" w:rsidR="00D45E51" w:rsidRDefault="00D45E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AC0A45" w14:textId="77777777" w:rsidR="00D45E51" w:rsidRDefault="00D45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0447" w14:textId="77777777" w:rsidR="00D45E51" w:rsidRDefault="00D45E51" w:rsidP="0003284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725130"/>
      <w:docPartObj>
        <w:docPartGallery w:val="Page Numbers (Bottom of Page)"/>
        <w:docPartUnique/>
      </w:docPartObj>
    </w:sdtPr>
    <w:sdtEndPr/>
    <w:sdtContent>
      <w:p w14:paraId="4FDCDFA9" w14:textId="77777777" w:rsidR="00D45E51" w:rsidRDefault="00D45E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77D3A7F" w14:textId="77777777" w:rsidR="00D45E51" w:rsidRDefault="00D45E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6301" w14:textId="77777777" w:rsidR="00D45E51" w:rsidRDefault="00D45E51"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0791" w14:textId="77777777" w:rsidR="00D45E51" w:rsidRDefault="00D45E51">
      <w:pPr>
        <w:spacing w:line="240" w:lineRule="auto"/>
      </w:pPr>
      <w:r>
        <w:separator/>
      </w:r>
    </w:p>
  </w:footnote>
  <w:footnote w:type="continuationSeparator" w:id="0">
    <w:p w14:paraId="394CFD9F" w14:textId="77777777" w:rsidR="00D45E51" w:rsidRDefault="00D45E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SortMethod w:val="00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31"/>
    <w:rsid w:val="00046F30"/>
    <w:rsid w:val="00527D6E"/>
    <w:rsid w:val="006B4331"/>
    <w:rsid w:val="00CC1CC0"/>
    <w:rsid w:val="00D4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semiHidden/>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semiHidden/>
    <w:rsid w:val="0076479E"/>
    <w:rPr>
      <w:szCs w:val="20"/>
    </w:rPr>
  </w:style>
  <w:style w:type="paragraph" w:customStyle="1" w:styleId="IndentedQuote">
    <w:name w:val="IndentedQuote"/>
    <w:basedOn w:val="Normal"/>
    <w:link w:val="IndentedQuoteChar"/>
    <w:rsid w:val="004A7DAE"/>
    <w:pPr>
      <w:spacing w:line="240" w:lineRule="auto"/>
      <w:ind w:left="1080" w:right="1080"/>
    </w:pPr>
  </w:style>
  <w:style w:type="character" w:customStyle="1" w:styleId="IndentedQuoteChar">
    <w:name w:val="IndentedQuote Char"/>
    <w:basedOn w:val="DefaultParagraphFont"/>
    <w:link w:val="IndentedQuote"/>
    <w:rsid w:val="004A7DAE"/>
  </w:style>
  <w:style w:type="character" w:styleId="Hyperlink">
    <w:name w:val="Hyperlink"/>
    <w:basedOn w:val="DefaultParagraphFont"/>
    <w:uiPriority w:val="99"/>
    <w:unhideWhenUsed/>
    <w:rsid w:val="00D32CBF"/>
    <w:rPr>
      <w:color w:val="0000FF" w:themeColor="hyperlink"/>
      <w:u w:val="single"/>
    </w:rPr>
  </w:style>
  <w:style w:type="character" w:customStyle="1" w:styleId="UnresolvedMention1">
    <w:name w:val="Unresolved Mention1"/>
    <w:basedOn w:val="DefaultParagraphFont"/>
    <w:uiPriority w:val="99"/>
    <w:semiHidden/>
    <w:unhideWhenUsed/>
    <w:rsid w:val="00D32CBF"/>
    <w:rPr>
      <w:color w:val="605E5C"/>
      <w:shd w:val="clear" w:color="auto" w:fill="E1DFDD"/>
    </w:rPr>
  </w:style>
  <w:style w:type="character" w:styleId="FollowedHyperlink">
    <w:name w:val="FollowedHyperlink"/>
    <w:basedOn w:val="DefaultParagraphFont"/>
    <w:uiPriority w:val="99"/>
    <w:semiHidden/>
    <w:unhideWhenUsed/>
    <w:rsid w:val="00D32CBF"/>
    <w:rPr>
      <w:color w:val="800080" w:themeColor="followedHyperlink"/>
      <w:u w:val="single"/>
    </w:rPr>
  </w:style>
  <w:style w:type="character" w:styleId="CommentReference">
    <w:name w:val="annotation reference"/>
    <w:basedOn w:val="DefaultParagraphFont"/>
    <w:uiPriority w:val="99"/>
    <w:semiHidden/>
    <w:unhideWhenUsed/>
    <w:rsid w:val="00D97E6E"/>
    <w:rPr>
      <w:sz w:val="16"/>
      <w:szCs w:val="16"/>
    </w:rPr>
  </w:style>
  <w:style w:type="paragraph" w:styleId="CommentText">
    <w:name w:val="annotation text"/>
    <w:basedOn w:val="Normal"/>
    <w:link w:val="CommentTextChar"/>
    <w:uiPriority w:val="99"/>
    <w:unhideWhenUsed/>
    <w:rsid w:val="00D97E6E"/>
    <w:pPr>
      <w:spacing w:line="240" w:lineRule="auto"/>
    </w:pPr>
    <w:rPr>
      <w:sz w:val="20"/>
      <w:szCs w:val="20"/>
    </w:rPr>
  </w:style>
  <w:style w:type="character" w:customStyle="1" w:styleId="CommentTextChar">
    <w:name w:val="Comment Text Char"/>
    <w:basedOn w:val="DefaultParagraphFont"/>
    <w:link w:val="CommentText"/>
    <w:uiPriority w:val="99"/>
    <w:rsid w:val="00D97E6E"/>
    <w:rPr>
      <w:sz w:val="20"/>
      <w:szCs w:val="20"/>
    </w:rPr>
  </w:style>
  <w:style w:type="paragraph" w:styleId="CommentSubject">
    <w:name w:val="annotation subject"/>
    <w:basedOn w:val="CommentText"/>
    <w:next w:val="CommentText"/>
    <w:link w:val="CommentSubjectChar"/>
    <w:uiPriority w:val="99"/>
    <w:semiHidden/>
    <w:unhideWhenUsed/>
    <w:rsid w:val="00D97E6E"/>
    <w:rPr>
      <w:b/>
      <w:bCs/>
    </w:rPr>
  </w:style>
  <w:style w:type="character" w:customStyle="1" w:styleId="CommentSubjectChar">
    <w:name w:val="Comment Subject Char"/>
    <w:basedOn w:val="CommentTextChar"/>
    <w:link w:val="CommentSubject"/>
    <w:uiPriority w:val="99"/>
    <w:semiHidden/>
    <w:rsid w:val="00D97E6E"/>
    <w:rPr>
      <w:b/>
      <w:bCs/>
      <w:sz w:val="20"/>
      <w:szCs w:val="20"/>
    </w:rPr>
  </w:style>
  <w:style w:type="paragraph" w:styleId="Revision">
    <w:name w:val="Revision"/>
    <w:hidden/>
    <w:uiPriority w:val="99"/>
    <w:semiHidden/>
    <w:rsid w:val="003D74F3"/>
    <w:pPr>
      <w:spacing w:line="240" w:lineRule="auto"/>
    </w:pPr>
  </w:style>
  <w:style w:type="paragraph" w:styleId="BodyText">
    <w:name w:val="Body Text"/>
    <w:basedOn w:val="Normal"/>
    <w:link w:val="BodyTextChar"/>
    <w:uiPriority w:val="1"/>
    <w:qFormat/>
    <w:rsid w:val="00CC1CC0"/>
    <w:pPr>
      <w:widowControl w:val="0"/>
      <w:autoSpaceDE w:val="0"/>
      <w:autoSpaceDN w:val="0"/>
      <w:spacing w:line="240" w:lineRule="auto"/>
    </w:pPr>
    <w:rPr>
      <w:rFonts w:eastAsia="Century Schoolbook" w:cs="Century Schoolbook"/>
      <w:lang w:bidi="ar-SA"/>
    </w:rPr>
  </w:style>
  <w:style w:type="character" w:customStyle="1" w:styleId="BodyTextChar">
    <w:name w:val="Body Text Char"/>
    <w:basedOn w:val="DefaultParagraphFont"/>
    <w:link w:val="BodyText"/>
    <w:uiPriority w:val="1"/>
    <w:rsid w:val="00CC1CC0"/>
    <w:rPr>
      <w:rFonts w:eastAsia="Century Schoolbook" w:cs="Century Schoolbook"/>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8293</Words>
  <Characters>45188</Characters>
  <Application>Microsoft Office Word</Application>
  <DocSecurity>0</DocSecurity>
  <Lines>896</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2023-12-29T22:05:00Z</dcterms:created>
  <dcterms:modified xsi:type="dcterms:W3CDTF">2023-12-29T22:05:00Z</dcterms:modified>
  <cp:category/>
</cp:coreProperties>
</file>