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76225" w:rsidP="00875C7C" w14:paraId="418824D1" w14:textId="05B3A08C">
      <w:pPr>
        <w:overflowPunct w:val="0"/>
        <w:autoSpaceDE w:val="0"/>
        <w:autoSpaceDN w:val="0"/>
        <w:adjustRightInd w:val="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Filed 1/8/24</w:t>
      </w:r>
    </w:p>
    <w:p w:rsidR="00875C7C" w:rsidRPr="00875C7C" w:rsidP="00176225" w14:paraId="5722DC0C" w14:textId="77777777">
      <w:pPr>
        <w:overflowPunct w:val="0"/>
        <w:autoSpaceDE w:val="0"/>
        <w:autoSpaceDN w:val="0"/>
        <w:adjustRightInd w:val="0"/>
        <w:textAlignment w:val="baseline"/>
        <w:rPr>
          <w:rFonts w:ascii="Times New Roman" w:eastAsia="Times New Roman" w:hAnsi="Times New Roman" w:cs="Times New Roman"/>
          <w:sz w:val="20"/>
          <w:szCs w:val="20"/>
        </w:rPr>
      </w:pPr>
    </w:p>
    <w:p w:rsidR="00176225" w:rsidP="00176225" w14:paraId="1EF9392C" w14:textId="202D46B1">
      <w:pPr>
        <w:overflowPunct w:val="0"/>
        <w:autoSpaceDE w:val="0"/>
        <w:autoSpaceDN w:val="0"/>
        <w:adjustRightInd w:val="0"/>
        <w:jc w:val="center"/>
        <w:textAlignment w:val="baseline"/>
        <w:rPr>
          <w:rFonts w:ascii="Times New Roman" w:eastAsia="Times New Roman" w:hAnsi="Times New Roman" w:cs="Times New Roman"/>
          <w:b/>
          <w:szCs w:val="20"/>
        </w:rPr>
      </w:pPr>
      <w:r>
        <w:rPr>
          <w:rFonts w:ascii="Times New Roman" w:eastAsia="Times New Roman" w:hAnsi="Times New Roman" w:cs="Times New Roman"/>
          <w:b/>
          <w:szCs w:val="20"/>
        </w:rPr>
        <w:t>CERTIFIED FOR PUBLICATION</w:t>
      </w:r>
    </w:p>
    <w:p w:rsidR="0008111D" w:rsidRPr="00176225" w:rsidP="00176225" w14:paraId="03FDC0F5" w14:textId="77777777">
      <w:pPr>
        <w:overflowPunct w:val="0"/>
        <w:autoSpaceDE w:val="0"/>
        <w:autoSpaceDN w:val="0"/>
        <w:adjustRightInd w:val="0"/>
        <w:jc w:val="center"/>
        <w:textAlignment w:val="baseline"/>
        <w:rPr>
          <w:rFonts w:ascii="Times New Roman" w:eastAsia="Times New Roman" w:hAnsi="Times New Roman" w:cs="Times New Roman"/>
          <w:b/>
          <w:szCs w:val="20"/>
        </w:rPr>
      </w:pPr>
    </w:p>
    <w:p w:rsidR="00176225" w:rsidRPr="00176225" w:rsidP="00176225" w14:paraId="4D00EDB1"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176225">
        <w:rPr>
          <w:rFonts w:ascii="Times New Roman" w:eastAsia="Times New Roman" w:hAnsi="Times New Roman" w:cs="Times New Roman"/>
          <w:b/>
          <w:szCs w:val="20"/>
        </w:rPr>
        <w:t>IN THE COURT OF APPEAL OF THE STATE OF CALIFORNIA</w:t>
      </w:r>
    </w:p>
    <w:p w:rsidR="00176225" w:rsidRPr="00176225" w:rsidP="00176225" w14:paraId="37AB74CB" w14:textId="77777777">
      <w:pPr>
        <w:overflowPunct w:val="0"/>
        <w:autoSpaceDE w:val="0"/>
        <w:autoSpaceDN w:val="0"/>
        <w:adjustRightInd w:val="0"/>
        <w:jc w:val="center"/>
        <w:textAlignment w:val="baseline"/>
        <w:rPr>
          <w:rFonts w:ascii="Times New Roman" w:eastAsia="Times New Roman" w:hAnsi="Times New Roman" w:cs="Times New Roman"/>
          <w:b/>
          <w:szCs w:val="20"/>
        </w:rPr>
      </w:pPr>
    </w:p>
    <w:p w:rsidR="00176225" w:rsidRPr="00176225" w:rsidP="00176225" w14:paraId="47AC7340"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176225">
        <w:rPr>
          <w:rFonts w:ascii="Times New Roman" w:eastAsia="Times New Roman" w:hAnsi="Times New Roman" w:cs="Times New Roman"/>
          <w:b/>
          <w:szCs w:val="20"/>
        </w:rPr>
        <w:t>FOURTH APPELLATE DISTRICT</w:t>
      </w:r>
    </w:p>
    <w:p w:rsidR="00176225" w:rsidRPr="00176225" w:rsidP="00176225" w14:paraId="3DCE407B" w14:textId="77777777">
      <w:pPr>
        <w:overflowPunct w:val="0"/>
        <w:autoSpaceDE w:val="0"/>
        <w:autoSpaceDN w:val="0"/>
        <w:adjustRightInd w:val="0"/>
        <w:jc w:val="center"/>
        <w:textAlignment w:val="baseline"/>
        <w:rPr>
          <w:rFonts w:ascii="Times New Roman" w:eastAsia="Times New Roman" w:hAnsi="Times New Roman" w:cs="Times New Roman"/>
          <w:b/>
          <w:szCs w:val="20"/>
        </w:rPr>
      </w:pPr>
    </w:p>
    <w:p w:rsidR="00176225" w:rsidRPr="00176225" w:rsidP="00176225" w14:paraId="2C8C8D8B" w14:textId="77777777">
      <w:pPr>
        <w:overflowPunct w:val="0"/>
        <w:autoSpaceDE w:val="0"/>
        <w:autoSpaceDN w:val="0"/>
        <w:adjustRightInd w:val="0"/>
        <w:jc w:val="center"/>
        <w:textAlignment w:val="baseline"/>
        <w:rPr>
          <w:rFonts w:ascii="Times New Roman" w:eastAsia="Times New Roman" w:hAnsi="Times New Roman" w:cs="Times New Roman"/>
          <w:b/>
          <w:szCs w:val="20"/>
        </w:rPr>
      </w:pPr>
      <w:r w:rsidRPr="00176225">
        <w:rPr>
          <w:rFonts w:ascii="Times New Roman" w:eastAsia="Times New Roman" w:hAnsi="Times New Roman" w:cs="Times New Roman"/>
          <w:b/>
          <w:szCs w:val="20"/>
        </w:rPr>
        <w:t>DIVISION TWO</w:t>
      </w:r>
    </w:p>
    <w:p w:rsidR="00176225" w:rsidRPr="00176225" w:rsidP="00176225" w14:paraId="271EE5B0" w14:textId="77777777">
      <w:pPr>
        <w:overflowPunct w:val="0"/>
        <w:autoSpaceDE w:val="0"/>
        <w:autoSpaceDN w:val="0"/>
        <w:adjustRightInd w:val="0"/>
        <w:jc w:val="center"/>
        <w:textAlignment w:val="baseline"/>
        <w:rPr>
          <w:rFonts w:ascii="Times New Roman" w:eastAsia="Times New Roman" w:hAnsi="Times New Roman" w:cs="Times New Roman"/>
          <w:szCs w:val="20"/>
        </w:rPr>
      </w:pPr>
    </w:p>
    <w:p w:rsidR="00176225" w:rsidRPr="00176225" w:rsidP="00176225" w14:paraId="675E62C2" w14:textId="77777777">
      <w:pPr>
        <w:overflowPunct w:val="0"/>
        <w:autoSpaceDE w:val="0"/>
        <w:autoSpaceDN w:val="0"/>
        <w:adjustRightInd w:val="0"/>
        <w:jc w:val="center"/>
        <w:textAlignment w:val="baseline"/>
        <w:rPr>
          <w:rFonts w:ascii="Times New Roman" w:eastAsia="Times New Roman" w:hAnsi="Times New Roman" w:cs="Times New Roman"/>
          <w:szCs w:val="20"/>
        </w:rPr>
      </w:pPr>
    </w:p>
    <w:p w:rsidR="00176225" w:rsidRPr="00176225" w:rsidP="00176225" w14:paraId="2AFF93CE" w14:textId="77777777">
      <w:pPr>
        <w:overflowPunct w:val="0"/>
        <w:autoSpaceDE w:val="0"/>
        <w:autoSpaceDN w:val="0"/>
        <w:adjustRightInd w:val="0"/>
        <w:jc w:val="center"/>
        <w:textAlignment w:val="baseline"/>
        <w:rPr>
          <w:rFonts w:ascii="Times New Roman" w:eastAsia="Times New Roman" w:hAnsi="Times New Roman" w:cs="Times New Roman"/>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5980EBB" w14:textId="77777777" w:rsidTr="002B276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176225" w:rsidRPr="00176225" w:rsidP="00176225" w14:paraId="29D60BD2" w14:textId="77777777">
            <w:pPr>
              <w:overflowPunct w:val="0"/>
              <w:autoSpaceDE w:val="0"/>
              <w:autoSpaceDN w:val="0"/>
              <w:adjustRightInd w:val="0"/>
              <w:textAlignment w:val="baseline"/>
            </w:pPr>
            <w:r w:rsidRPr="00176225">
              <w:t>VINCENT GARCIA et al.,</w:t>
            </w:r>
          </w:p>
          <w:p w:rsidR="00176225" w:rsidRPr="00176225" w:rsidP="00176225" w14:paraId="139043CB" w14:textId="77777777">
            <w:pPr>
              <w:overflowPunct w:val="0"/>
              <w:autoSpaceDE w:val="0"/>
              <w:autoSpaceDN w:val="0"/>
              <w:adjustRightInd w:val="0"/>
              <w:textAlignment w:val="baseline"/>
            </w:pPr>
          </w:p>
          <w:p w:rsidR="00176225" w:rsidRPr="00176225" w:rsidP="00176225" w14:paraId="208587AF" w14:textId="77777777">
            <w:pPr>
              <w:overflowPunct w:val="0"/>
              <w:autoSpaceDE w:val="0"/>
              <w:autoSpaceDN w:val="0"/>
              <w:adjustRightInd w:val="0"/>
              <w:textAlignment w:val="baseline"/>
            </w:pPr>
            <w:r w:rsidRPr="00176225">
              <w:tab/>
              <w:t>Plaintiffs and Appellants,</w:t>
            </w:r>
          </w:p>
          <w:p w:rsidR="00176225" w:rsidRPr="00176225" w:rsidP="00176225" w14:paraId="3DB2FC3F" w14:textId="77777777">
            <w:pPr>
              <w:overflowPunct w:val="0"/>
              <w:autoSpaceDE w:val="0"/>
              <w:autoSpaceDN w:val="0"/>
              <w:adjustRightInd w:val="0"/>
              <w:textAlignment w:val="baseline"/>
            </w:pPr>
          </w:p>
          <w:p w:rsidR="00176225" w:rsidRPr="00176225" w:rsidP="00176225" w14:paraId="1683D528" w14:textId="77777777">
            <w:pPr>
              <w:overflowPunct w:val="0"/>
              <w:autoSpaceDE w:val="0"/>
              <w:autoSpaceDN w:val="0"/>
              <w:adjustRightInd w:val="0"/>
              <w:textAlignment w:val="baseline"/>
            </w:pPr>
            <w:r w:rsidRPr="00176225">
              <w:t>v.</w:t>
            </w:r>
          </w:p>
          <w:p w:rsidR="00176225" w:rsidRPr="00176225" w:rsidP="00176225" w14:paraId="5A9511F5" w14:textId="77777777">
            <w:pPr>
              <w:overflowPunct w:val="0"/>
              <w:autoSpaceDE w:val="0"/>
              <w:autoSpaceDN w:val="0"/>
              <w:adjustRightInd w:val="0"/>
              <w:textAlignment w:val="baseline"/>
            </w:pPr>
          </w:p>
          <w:p w:rsidR="00176225" w:rsidRPr="00176225" w:rsidP="00176225" w14:paraId="23DEC736" w14:textId="77777777">
            <w:pPr>
              <w:overflowPunct w:val="0"/>
              <w:autoSpaceDE w:val="0"/>
              <w:autoSpaceDN w:val="0"/>
              <w:adjustRightInd w:val="0"/>
              <w:textAlignment w:val="baseline"/>
            </w:pPr>
            <w:r w:rsidRPr="00176225">
              <w:t>TEMPUR-PEDIC NORTH AMERICA, LLC,</w:t>
            </w:r>
          </w:p>
          <w:p w:rsidR="00176225" w:rsidRPr="00176225" w:rsidP="00176225" w14:paraId="348D28FA" w14:textId="77777777">
            <w:pPr>
              <w:overflowPunct w:val="0"/>
              <w:autoSpaceDE w:val="0"/>
              <w:autoSpaceDN w:val="0"/>
              <w:adjustRightInd w:val="0"/>
              <w:textAlignment w:val="baseline"/>
            </w:pPr>
          </w:p>
          <w:p w:rsidR="00176225" w:rsidRPr="00176225" w:rsidP="00176225" w14:paraId="2669C7CD" w14:textId="77777777">
            <w:pPr>
              <w:overflowPunct w:val="0"/>
              <w:autoSpaceDE w:val="0"/>
              <w:autoSpaceDN w:val="0"/>
              <w:adjustRightInd w:val="0"/>
              <w:textAlignment w:val="baseline"/>
            </w:pPr>
            <w:r w:rsidRPr="00176225">
              <w:tab/>
              <w:t>Defendant and Respondent.</w:t>
            </w:r>
          </w:p>
          <w:p w:rsidR="00176225" w:rsidRPr="00176225" w:rsidP="00176225" w14:paraId="4322DA2A" w14:textId="77777777">
            <w:pPr>
              <w:overflowPunct w:val="0"/>
              <w:autoSpaceDE w:val="0"/>
              <w:autoSpaceDN w:val="0"/>
              <w:adjustRightInd w:val="0"/>
              <w:textAlignment w:val="baseline"/>
            </w:pPr>
          </w:p>
        </w:tc>
        <w:tc>
          <w:tcPr>
            <w:tcW w:w="4675" w:type="dxa"/>
            <w:tcBorders>
              <w:left w:val="single" w:sz="4" w:space="0" w:color="auto"/>
            </w:tcBorders>
            <w:shd w:val="clear" w:color="auto" w:fill="auto"/>
          </w:tcPr>
          <w:p w:rsidR="00176225" w:rsidRPr="00176225" w:rsidP="00176225" w14:paraId="2B185D2B" w14:textId="77777777">
            <w:pPr>
              <w:overflowPunct w:val="0"/>
              <w:autoSpaceDE w:val="0"/>
              <w:autoSpaceDN w:val="0"/>
              <w:adjustRightInd w:val="0"/>
              <w:textAlignment w:val="baseline"/>
            </w:pPr>
          </w:p>
          <w:p w:rsidR="00176225" w:rsidRPr="00176225" w:rsidP="00176225" w14:paraId="60BB0147" w14:textId="77777777">
            <w:pPr>
              <w:overflowPunct w:val="0"/>
              <w:autoSpaceDE w:val="0"/>
              <w:autoSpaceDN w:val="0"/>
              <w:adjustRightInd w:val="0"/>
              <w:textAlignment w:val="baseline"/>
            </w:pPr>
          </w:p>
          <w:p w:rsidR="00176225" w:rsidRPr="00176225" w:rsidP="00176225" w14:paraId="012CE5A7" w14:textId="77777777">
            <w:pPr>
              <w:overflowPunct w:val="0"/>
              <w:autoSpaceDE w:val="0"/>
              <w:autoSpaceDN w:val="0"/>
              <w:adjustRightInd w:val="0"/>
              <w:textAlignment w:val="baseline"/>
            </w:pPr>
            <w:r w:rsidRPr="00176225">
              <w:tab/>
              <w:t>E079859</w:t>
            </w:r>
          </w:p>
          <w:p w:rsidR="00176225" w:rsidRPr="00176225" w:rsidP="00176225" w14:paraId="3272D783" w14:textId="77777777">
            <w:pPr>
              <w:overflowPunct w:val="0"/>
              <w:autoSpaceDE w:val="0"/>
              <w:autoSpaceDN w:val="0"/>
              <w:adjustRightInd w:val="0"/>
              <w:textAlignment w:val="baseline"/>
            </w:pPr>
          </w:p>
          <w:p w:rsidR="00176225" w:rsidRPr="00176225" w:rsidP="00176225" w14:paraId="7AC29DFF" w14:textId="77777777">
            <w:pPr>
              <w:overflowPunct w:val="0"/>
              <w:autoSpaceDE w:val="0"/>
              <w:autoSpaceDN w:val="0"/>
              <w:adjustRightInd w:val="0"/>
              <w:textAlignment w:val="baseline"/>
            </w:pPr>
            <w:r w:rsidRPr="00176225">
              <w:tab/>
              <w:t>(Super.Ct.No. RIC1902570)</w:t>
            </w:r>
          </w:p>
          <w:p w:rsidR="00176225" w:rsidRPr="00176225" w:rsidP="00176225" w14:paraId="17342A13" w14:textId="77777777">
            <w:pPr>
              <w:overflowPunct w:val="0"/>
              <w:autoSpaceDE w:val="0"/>
              <w:autoSpaceDN w:val="0"/>
              <w:adjustRightInd w:val="0"/>
              <w:textAlignment w:val="baseline"/>
            </w:pPr>
          </w:p>
          <w:p w:rsidR="00176225" w:rsidRPr="00176225" w:rsidP="00176225" w14:paraId="473EE275" w14:textId="2239C83F">
            <w:pPr>
              <w:overflowPunct w:val="0"/>
              <w:autoSpaceDE w:val="0"/>
              <w:autoSpaceDN w:val="0"/>
              <w:adjustRightInd w:val="0"/>
              <w:textAlignment w:val="baseline"/>
            </w:pPr>
            <w:r w:rsidRPr="00176225">
              <w:tab/>
              <w:t>OPINION</w:t>
            </w:r>
          </w:p>
          <w:p w:rsidR="00176225" w:rsidRPr="00176225" w:rsidP="00176225" w14:paraId="52828E40" w14:textId="77777777">
            <w:pPr>
              <w:overflowPunct w:val="0"/>
              <w:autoSpaceDE w:val="0"/>
              <w:autoSpaceDN w:val="0"/>
              <w:adjustRightInd w:val="0"/>
              <w:textAlignment w:val="baseline"/>
            </w:pPr>
          </w:p>
        </w:tc>
      </w:tr>
    </w:tbl>
    <w:p w:rsidR="00176225" w:rsidRPr="00176225" w:rsidP="00176225" w14:paraId="657A01D6" w14:textId="77777777">
      <w:pPr>
        <w:overflowPunct w:val="0"/>
        <w:autoSpaceDE w:val="0"/>
        <w:autoSpaceDN w:val="0"/>
        <w:adjustRightInd w:val="0"/>
        <w:spacing w:line="480" w:lineRule="auto"/>
        <w:textAlignment w:val="baseline"/>
        <w:rPr>
          <w:rFonts w:ascii="Times New Roman" w:eastAsia="Times New Roman" w:hAnsi="Times New Roman" w:cs="Times New Roman"/>
          <w:szCs w:val="20"/>
        </w:rPr>
      </w:pPr>
    </w:p>
    <w:p w:rsidR="00176225" w:rsidRPr="00176225" w:rsidP="00F619E7" w14:paraId="14A549C8" w14:textId="53A5202A">
      <w:pPr>
        <w:overflowPunct w:val="0"/>
        <w:autoSpaceDE w:val="0"/>
        <w:autoSpaceDN w:val="0"/>
        <w:adjustRightInd w:val="0"/>
        <w:spacing w:line="600" w:lineRule="atLeast"/>
        <w:textAlignment w:val="baseline"/>
        <w:rPr>
          <w:rFonts w:ascii="Times New Roman" w:eastAsia="Times New Roman" w:hAnsi="Times New Roman" w:cs="Times New Roman"/>
          <w:szCs w:val="20"/>
        </w:rPr>
      </w:pPr>
      <w:r w:rsidRPr="00176225">
        <w:rPr>
          <w:rFonts w:ascii="Times New Roman" w:eastAsia="Times New Roman" w:hAnsi="Times New Roman" w:cs="Times New Roman"/>
          <w:szCs w:val="20"/>
        </w:rPr>
        <w:tab/>
        <w:t>APPEAL from the Superior Court of Riverside County. Godofredo</w:t>
      </w:r>
      <w:r w:rsidR="00AF70D5">
        <w:rPr>
          <w:rFonts w:ascii="Times New Roman" w:eastAsia="Times New Roman" w:hAnsi="Times New Roman" w:cs="Times New Roman"/>
          <w:szCs w:val="20"/>
        </w:rPr>
        <w:t xml:space="preserve"> </w:t>
      </w:r>
      <w:r w:rsidRPr="00176225">
        <w:rPr>
          <w:rFonts w:ascii="Times New Roman" w:eastAsia="Times New Roman" w:hAnsi="Times New Roman" w:cs="Times New Roman"/>
          <w:szCs w:val="20"/>
        </w:rPr>
        <w:t>Magno, Judge. Affirmed.</w:t>
      </w:r>
    </w:p>
    <w:p w:rsidR="00176225" w:rsidRPr="00176225" w:rsidP="00F619E7" w14:paraId="240C4BBC" w14:textId="77777777">
      <w:pPr>
        <w:overflowPunct w:val="0"/>
        <w:autoSpaceDE w:val="0"/>
        <w:autoSpaceDN w:val="0"/>
        <w:adjustRightInd w:val="0"/>
        <w:spacing w:line="600" w:lineRule="atLeast"/>
        <w:textAlignment w:val="baseline"/>
        <w:rPr>
          <w:rFonts w:ascii="Times New Roman" w:eastAsia="Times New Roman" w:hAnsi="Times New Roman" w:cs="Times New Roman"/>
          <w:szCs w:val="20"/>
        </w:rPr>
      </w:pPr>
      <w:r w:rsidRPr="00176225">
        <w:rPr>
          <w:rFonts w:ascii="Times New Roman" w:eastAsia="Times New Roman" w:hAnsi="Times New Roman" w:cs="Times New Roman"/>
          <w:szCs w:val="20"/>
        </w:rPr>
        <w:tab/>
        <w:t>Zeiler Law Group and Kerry P. Zeiler for Plaintiffs and Appellants.</w:t>
      </w:r>
    </w:p>
    <w:p w:rsidR="00176225" w:rsidP="00F619E7" w14:paraId="18FAF05E" w14:textId="38E02383">
      <w:pPr>
        <w:overflowPunct w:val="0"/>
        <w:autoSpaceDE w:val="0"/>
        <w:autoSpaceDN w:val="0"/>
        <w:adjustRightInd w:val="0"/>
        <w:spacing w:line="600" w:lineRule="atLeast"/>
        <w:textAlignment w:val="baseline"/>
        <w:rPr>
          <w:rFonts w:ascii="Times New Roman" w:eastAsia="Times New Roman" w:hAnsi="Times New Roman" w:cs="Times New Roman"/>
          <w:szCs w:val="20"/>
        </w:rPr>
      </w:pPr>
      <w:r w:rsidRPr="00176225">
        <w:rPr>
          <w:rFonts w:ascii="Times New Roman" w:eastAsia="Times New Roman" w:hAnsi="Times New Roman" w:cs="Times New Roman"/>
          <w:szCs w:val="20"/>
        </w:rPr>
        <w:tab/>
        <w:t>O’Hagan Meyer, Clint D. Robison, Vickie V. Grasu, and Angeli C. Aragon, for Defendant and Respondent.</w:t>
      </w:r>
    </w:p>
    <w:p w:rsidR="0008111D" w:rsidP="00F619E7" w14:paraId="09BF2E63" w14:textId="77777777">
      <w:pPr>
        <w:overflowPunct w:val="0"/>
        <w:autoSpaceDE w:val="0"/>
        <w:autoSpaceDN w:val="0"/>
        <w:adjustRightInd w:val="0"/>
        <w:spacing w:line="600" w:lineRule="atLeast"/>
        <w:textAlignment w:val="baseline"/>
        <w:rPr>
          <w:rFonts w:ascii="Times New Roman" w:eastAsia="Times New Roman" w:hAnsi="Times New Roman" w:cs="Times New Roman"/>
          <w:szCs w:val="20"/>
        </w:rPr>
      </w:pPr>
    </w:p>
    <w:p w:rsidR="00061443" w:rsidP="00F619E7" w14:paraId="19DFD104" w14:textId="3268D937">
      <w:pPr>
        <w:spacing w:line="600" w:lineRule="atLeast"/>
        <w:ind w:firstLine="720"/>
        <w:rPr>
          <w:rFonts w:ascii="Times New Roman" w:hAnsi="Times New Roman" w:cs="Times New Roman (Body CS)"/>
        </w:rPr>
      </w:pPr>
      <w:r>
        <w:rPr>
          <w:rFonts w:ascii="Times New Roman" w:hAnsi="Times New Roman" w:cs="Times New Roman (Body CS)"/>
        </w:rPr>
        <w:t>Consumers</w:t>
      </w:r>
      <w:r w:rsidR="00F015B1">
        <w:rPr>
          <w:rFonts w:ascii="Times New Roman" w:hAnsi="Times New Roman" w:cs="Times New Roman (Body CS)"/>
        </w:rPr>
        <w:t xml:space="preserve"> brought </w:t>
      </w:r>
      <w:r>
        <w:rPr>
          <w:rFonts w:ascii="Times New Roman" w:hAnsi="Times New Roman" w:cs="Times New Roman (Body CS)"/>
        </w:rPr>
        <w:t xml:space="preserve">tort </w:t>
      </w:r>
      <w:r w:rsidR="00F015B1">
        <w:rPr>
          <w:rFonts w:ascii="Times New Roman" w:hAnsi="Times New Roman" w:cs="Times New Roman (Body CS)"/>
        </w:rPr>
        <w:t>claim</w:t>
      </w:r>
      <w:r>
        <w:rPr>
          <w:rFonts w:ascii="Times New Roman" w:hAnsi="Times New Roman" w:cs="Times New Roman (Body CS)"/>
        </w:rPr>
        <w:t>s</w:t>
      </w:r>
      <w:r w:rsidR="00952D09">
        <w:rPr>
          <w:rFonts w:ascii="Times New Roman" w:hAnsi="Times New Roman" w:cs="Times New Roman (Body CS)"/>
        </w:rPr>
        <w:t xml:space="preserve"> against </w:t>
      </w:r>
      <w:r>
        <w:rPr>
          <w:rFonts w:ascii="Times New Roman" w:hAnsi="Times New Roman" w:cs="Times New Roman (Body CS)"/>
        </w:rPr>
        <w:t xml:space="preserve">a mattress </w:t>
      </w:r>
      <w:r w:rsidR="007B525D">
        <w:rPr>
          <w:rFonts w:ascii="Times New Roman" w:hAnsi="Times New Roman" w:cs="Times New Roman (Body CS)"/>
        </w:rPr>
        <w:t xml:space="preserve">retailer and </w:t>
      </w:r>
      <w:r>
        <w:rPr>
          <w:rFonts w:ascii="Times New Roman" w:hAnsi="Times New Roman" w:cs="Times New Roman (Body CS)"/>
        </w:rPr>
        <w:t xml:space="preserve">manufacturer for injuries </w:t>
      </w:r>
      <w:r w:rsidR="00DA6131">
        <w:rPr>
          <w:rFonts w:ascii="Times New Roman" w:hAnsi="Times New Roman" w:cs="Times New Roman (Body CS)"/>
        </w:rPr>
        <w:t xml:space="preserve">allegedly </w:t>
      </w:r>
      <w:r>
        <w:rPr>
          <w:rFonts w:ascii="Times New Roman" w:hAnsi="Times New Roman" w:cs="Times New Roman (Body CS)"/>
        </w:rPr>
        <w:t xml:space="preserve">suffered while </w:t>
      </w:r>
      <w:r w:rsidR="00E40519">
        <w:rPr>
          <w:rFonts w:ascii="Times New Roman" w:hAnsi="Times New Roman" w:cs="Times New Roman (Body CS)"/>
        </w:rPr>
        <w:t xml:space="preserve">sleeping on </w:t>
      </w:r>
      <w:r w:rsidR="00AA0BFA">
        <w:rPr>
          <w:rFonts w:ascii="Times New Roman" w:hAnsi="Times New Roman" w:cs="Times New Roman (Body CS)"/>
        </w:rPr>
        <w:t>a</w:t>
      </w:r>
      <w:r w:rsidR="00E40519">
        <w:rPr>
          <w:rFonts w:ascii="Times New Roman" w:hAnsi="Times New Roman" w:cs="Times New Roman (Body CS)"/>
        </w:rPr>
        <w:t xml:space="preserve"> mattress</w:t>
      </w:r>
      <w:r>
        <w:rPr>
          <w:rFonts w:ascii="Times New Roman" w:hAnsi="Times New Roman" w:cs="Times New Roman (Body CS)"/>
        </w:rPr>
        <w:t xml:space="preserve">. </w:t>
      </w:r>
      <w:r w:rsidR="00AA0BFA">
        <w:rPr>
          <w:rFonts w:ascii="Times New Roman" w:hAnsi="Times New Roman" w:cs="Times New Roman (Body CS)"/>
        </w:rPr>
        <w:t>While t</w:t>
      </w:r>
      <w:r>
        <w:rPr>
          <w:rFonts w:ascii="Times New Roman" w:hAnsi="Times New Roman" w:cs="Times New Roman (Body CS)"/>
        </w:rPr>
        <w:t xml:space="preserve">he parties </w:t>
      </w:r>
      <w:r w:rsidR="00E40519">
        <w:rPr>
          <w:rFonts w:ascii="Times New Roman" w:hAnsi="Times New Roman" w:cs="Times New Roman (Body CS)"/>
        </w:rPr>
        <w:t>were conducting</w:t>
      </w:r>
      <w:r>
        <w:rPr>
          <w:rFonts w:ascii="Times New Roman" w:hAnsi="Times New Roman" w:cs="Times New Roman (Body CS)"/>
        </w:rPr>
        <w:t xml:space="preserve"> discovery</w:t>
      </w:r>
      <w:r w:rsidR="00AA0BFA">
        <w:rPr>
          <w:rFonts w:ascii="Times New Roman" w:hAnsi="Times New Roman" w:cs="Times New Roman (Body CS)"/>
        </w:rPr>
        <w:t>,</w:t>
      </w:r>
      <w:r w:rsidR="00E40519">
        <w:rPr>
          <w:rFonts w:ascii="Times New Roman" w:hAnsi="Times New Roman" w:cs="Times New Roman (Body CS)"/>
        </w:rPr>
        <w:t xml:space="preserve"> </w:t>
      </w:r>
      <w:r>
        <w:rPr>
          <w:rFonts w:ascii="Times New Roman" w:hAnsi="Times New Roman" w:cs="Times New Roman (Body CS)"/>
        </w:rPr>
        <w:t xml:space="preserve">the </w:t>
      </w:r>
      <w:r w:rsidRPr="00DB3562">
        <w:rPr>
          <w:rFonts w:ascii="Times New Roman" w:hAnsi="Times New Roman" w:cs="Times New Roman (Body CS)"/>
        </w:rPr>
        <w:t>plaintiffs</w:t>
      </w:r>
      <w:r>
        <w:rPr>
          <w:rFonts w:ascii="Times New Roman" w:hAnsi="Times New Roman" w:cs="Times New Roman (Body CS)"/>
        </w:rPr>
        <w:t xml:space="preserve"> </w:t>
      </w:r>
      <w:r w:rsidR="007B525D">
        <w:rPr>
          <w:rFonts w:ascii="Times New Roman" w:hAnsi="Times New Roman" w:cs="Times New Roman (Body CS)"/>
        </w:rPr>
        <w:t>settled with the retailer. The trial court</w:t>
      </w:r>
      <w:r>
        <w:rPr>
          <w:rFonts w:ascii="Times New Roman" w:hAnsi="Times New Roman" w:cs="Times New Roman (Body CS)"/>
        </w:rPr>
        <w:t xml:space="preserve"> </w:t>
      </w:r>
      <w:r w:rsidR="00E40519">
        <w:rPr>
          <w:rFonts w:ascii="Times New Roman" w:hAnsi="Times New Roman" w:cs="Times New Roman (Body CS)"/>
        </w:rPr>
        <w:t xml:space="preserve">then </w:t>
      </w:r>
      <w:r>
        <w:rPr>
          <w:rFonts w:ascii="Times New Roman" w:hAnsi="Times New Roman" w:cs="Times New Roman (Body CS)"/>
        </w:rPr>
        <w:t xml:space="preserve">denied </w:t>
      </w:r>
      <w:r w:rsidR="007B525D">
        <w:rPr>
          <w:rFonts w:ascii="Times New Roman" w:hAnsi="Times New Roman" w:cs="Times New Roman (Body CS)"/>
        </w:rPr>
        <w:t>them leave</w:t>
      </w:r>
      <w:r>
        <w:rPr>
          <w:rFonts w:ascii="Times New Roman" w:hAnsi="Times New Roman" w:cs="Times New Roman (Body CS)"/>
        </w:rPr>
        <w:t xml:space="preserve"> to amend their complaint </w:t>
      </w:r>
      <w:r w:rsidR="007B525D">
        <w:rPr>
          <w:rFonts w:ascii="Times New Roman" w:hAnsi="Times New Roman" w:cs="Times New Roman (Body CS)"/>
        </w:rPr>
        <w:t xml:space="preserve">against the manufacturer, and they </w:t>
      </w:r>
      <w:r>
        <w:rPr>
          <w:rFonts w:ascii="Times New Roman" w:hAnsi="Times New Roman" w:cs="Times New Roman (Body CS)"/>
        </w:rPr>
        <w:t xml:space="preserve">voluntarily dismissed </w:t>
      </w:r>
      <w:r w:rsidR="007B525D">
        <w:rPr>
          <w:rFonts w:ascii="Times New Roman" w:hAnsi="Times New Roman" w:cs="Times New Roman (Body CS)"/>
        </w:rPr>
        <w:t>those</w:t>
      </w:r>
      <w:r>
        <w:rPr>
          <w:rFonts w:ascii="Times New Roman" w:hAnsi="Times New Roman" w:cs="Times New Roman (Body CS)"/>
        </w:rPr>
        <w:t xml:space="preserve"> claims</w:t>
      </w:r>
      <w:r w:rsidR="007B525D">
        <w:rPr>
          <w:rFonts w:ascii="Times New Roman" w:hAnsi="Times New Roman" w:cs="Times New Roman (Body CS)"/>
        </w:rPr>
        <w:t xml:space="preserve"> before filing a new lawsuit</w:t>
      </w:r>
      <w:r>
        <w:rPr>
          <w:rFonts w:ascii="Times New Roman" w:hAnsi="Times New Roman" w:cs="Times New Roman (Body CS)"/>
        </w:rPr>
        <w:t>.</w:t>
      </w:r>
    </w:p>
    <w:p w:rsidR="001275A0" w:rsidRPr="00952D09" w:rsidP="00F619E7" w14:paraId="3F620FEF" w14:textId="138D9DE0">
      <w:pPr>
        <w:spacing w:line="600" w:lineRule="atLeast"/>
        <w:ind w:firstLine="720"/>
        <w:rPr>
          <w:rFonts w:ascii="Times New Roman" w:hAnsi="Times New Roman" w:cs="Times New Roman (Body CS)"/>
        </w:rPr>
      </w:pPr>
      <w:r>
        <w:rPr>
          <w:rFonts w:ascii="Times New Roman" w:hAnsi="Times New Roman" w:cs="Times New Roman (Body CS)"/>
        </w:rPr>
        <w:t>The manufacturer moved for costs as the prevailing party</w:t>
      </w:r>
      <w:r w:rsidR="007B525D">
        <w:rPr>
          <w:rFonts w:ascii="Times New Roman" w:hAnsi="Times New Roman" w:cs="Times New Roman (Body CS)"/>
        </w:rPr>
        <w:t xml:space="preserve"> in the </w:t>
      </w:r>
      <w:r w:rsidR="00AC01AB">
        <w:rPr>
          <w:rFonts w:ascii="Times New Roman" w:hAnsi="Times New Roman" w:cs="Times New Roman (Body CS)"/>
        </w:rPr>
        <w:t>dismissed</w:t>
      </w:r>
      <w:r w:rsidR="007B525D">
        <w:rPr>
          <w:rFonts w:ascii="Times New Roman" w:hAnsi="Times New Roman" w:cs="Times New Roman (Body CS)"/>
        </w:rPr>
        <w:t xml:space="preserve"> lawsuit</w:t>
      </w:r>
      <w:r w:rsidR="009C2D45">
        <w:rPr>
          <w:rFonts w:ascii="Times New Roman" w:hAnsi="Times New Roman" w:cs="Times New Roman (Body CS)"/>
        </w:rPr>
        <w:t>.</w:t>
      </w:r>
      <w:r>
        <w:rPr>
          <w:rFonts w:ascii="Times New Roman" w:hAnsi="Times New Roman" w:cs="Times New Roman (Body CS)"/>
        </w:rPr>
        <w:t xml:space="preserve"> </w:t>
      </w:r>
      <w:r w:rsidR="009C2D45">
        <w:rPr>
          <w:rFonts w:ascii="Times New Roman" w:hAnsi="Times New Roman" w:cs="Times New Roman (Body CS)"/>
        </w:rPr>
        <w:t>T</w:t>
      </w:r>
      <w:r>
        <w:rPr>
          <w:rFonts w:ascii="Times New Roman" w:hAnsi="Times New Roman" w:cs="Times New Roman (Body CS)"/>
        </w:rPr>
        <w:t xml:space="preserve">he trial court ordered the consumers to pay </w:t>
      </w:r>
      <w:r w:rsidR="007B525D">
        <w:rPr>
          <w:rFonts w:ascii="Times New Roman" w:hAnsi="Times New Roman" w:cs="Times New Roman (Body CS)"/>
        </w:rPr>
        <w:t xml:space="preserve">some of their </w:t>
      </w:r>
      <w:r>
        <w:rPr>
          <w:rFonts w:ascii="Times New Roman" w:hAnsi="Times New Roman" w:cs="Times New Roman (Body CS)"/>
        </w:rPr>
        <w:t>costs</w:t>
      </w:r>
      <w:r w:rsidR="009C2D45">
        <w:rPr>
          <w:rFonts w:ascii="Times New Roman" w:hAnsi="Times New Roman" w:cs="Times New Roman (Body CS)"/>
        </w:rPr>
        <w:t>,</w:t>
      </w:r>
      <w:r w:rsidR="007B525D">
        <w:rPr>
          <w:rFonts w:ascii="Times New Roman" w:hAnsi="Times New Roman" w:cs="Times New Roman (Body CS)"/>
        </w:rPr>
        <w:t xml:space="preserve"> including </w:t>
      </w:r>
      <w:r w:rsidR="009C2D45">
        <w:rPr>
          <w:rFonts w:ascii="Times New Roman" w:hAnsi="Times New Roman" w:cs="Times New Roman (Body CS)"/>
        </w:rPr>
        <w:t xml:space="preserve">the </w:t>
      </w:r>
      <w:r w:rsidR="00E40519">
        <w:rPr>
          <w:rFonts w:ascii="Times New Roman" w:hAnsi="Times New Roman" w:cs="Times New Roman (Body CS)"/>
        </w:rPr>
        <w:t xml:space="preserve">costs </w:t>
      </w:r>
      <w:r w:rsidR="009C2D45">
        <w:rPr>
          <w:rFonts w:ascii="Times New Roman" w:hAnsi="Times New Roman" w:cs="Times New Roman (Body CS)"/>
        </w:rPr>
        <w:t xml:space="preserve">of depositions and </w:t>
      </w:r>
      <w:r w:rsidR="00176225">
        <w:rPr>
          <w:rFonts w:ascii="Times New Roman" w:hAnsi="Times New Roman" w:cs="Times New Roman (Body CS)"/>
        </w:rPr>
        <w:t>service of process</w:t>
      </w:r>
      <w:r>
        <w:rPr>
          <w:rFonts w:ascii="Times New Roman" w:hAnsi="Times New Roman" w:cs="Times New Roman (Body CS)"/>
        </w:rPr>
        <w:t xml:space="preserve">. </w:t>
      </w:r>
      <w:r w:rsidR="00296705">
        <w:rPr>
          <w:rFonts w:ascii="Times New Roman" w:hAnsi="Times New Roman" w:cs="Times New Roman (Body CS)"/>
        </w:rPr>
        <w:t>On appeal, t</w:t>
      </w:r>
      <w:r w:rsidR="00F23BB0">
        <w:rPr>
          <w:rFonts w:ascii="Times New Roman" w:hAnsi="Times New Roman" w:cs="Times New Roman (Body CS)"/>
        </w:rPr>
        <w:t>he c</w:t>
      </w:r>
      <w:r>
        <w:rPr>
          <w:rFonts w:ascii="Times New Roman" w:hAnsi="Times New Roman" w:cs="Times New Roman (Body CS)"/>
        </w:rPr>
        <w:t xml:space="preserve">onsumers </w:t>
      </w:r>
      <w:r w:rsidR="00296705">
        <w:rPr>
          <w:rFonts w:ascii="Times New Roman" w:hAnsi="Times New Roman" w:cs="Times New Roman (Body CS)"/>
        </w:rPr>
        <w:t>argue it was improper to</w:t>
      </w:r>
      <w:r>
        <w:rPr>
          <w:rFonts w:ascii="Times New Roman" w:hAnsi="Times New Roman" w:cs="Times New Roman (Body CS)"/>
        </w:rPr>
        <w:t xml:space="preserve"> award costs </w:t>
      </w:r>
      <w:r w:rsidR="001F1EE0">
        <w:rPr>
          <w:rFonts w:ascii="Times New Roman" w:hAnsi="Times New Roman" w:cs="Times New Roman (Body CS)"/>
        </w:rPr>
        <w:t xml:space="preserve">related to </w:t>
      </w:r>
      <w:r>
        <w:rPr>
          <w:rFonts w:ascii="Times New Roman" w:hAnsi="Times New Roman" w:cs="Times New Roman (Body CS)"/>
        </w:rPr>
        <w:t xml:space="preserve">depositions </w:t>
      </w:r>
      <w:r w:rsidR="007B525D">
        <w:rPr>
          <w:rFonts w:ascii="Times New Roman" w:hAnsi="Times New Roman" w:cs="Times New Roman (Body CS)"/>
        </w:rPr>
        <w:t xml:space="preserve">that were noticed but </w:t>
      </w:r>
      <w:r>
        <w:rPr>
          <w:rFonts w:ascii="Times New Roman" w:hAnsi="Times New Roman" w:cs="Times New Roman (Body CS)"/>
        </w:rPr>
        <w:t xml:space="preserve">did not occur. </w:t>
      </w:r>
      <w:r w:rsidR="00296705">
        <w:rPr>
          <w:rFonts w:ascii="Times New Roman" w:hAnsi="Times New Roman" w:cs="Times New Roman (Body CS)"/>
        </w:rPr>
        <w:t xml:space="preserve">We hold </w:t>
      </w:r>
      <w:r w:rsidR="001F1EE0">
        <w:rPr>
          <w:rFonts w:ascii="Times New Roman" w:hAnsi="Times New Roman" w:cs="Times New Roman (Body CS)"/>
        </w:rPr>
        <w:t xml:space="preserve">there is no </w:t>
      </w:r>
      <w:r w:rsidR="003A1478">
        <w:rPr>
          <w:rFonts w:ascii="Times New Roman" w:hAnsi="Times New Roman" w:cs="Times New Roman (Body CS)"/>
        </w:rPr>
        <w:t xml:space="preserve">such </w:t>
      </w:r>
      <w:r w:rsidR="001F1EE0">
        <w:rPr>
          <w:rFonts w:ascii="Times New Roman" w:hAnsi="Times New Roman" w:cs="Times New Roman (Body CS)"/>
        </w:rPr>
        <w:t>blanket exception</w:t>
      </w:r>
      <w:r w:rsidR="00CB5083">
        <w:rPr>
          <w:rFonts w:ascii="Times New Roman" w:hAnsi="Times New Roman" w:cs="Times New Roman (Body CS)"/>
        </w:rPr>
        <w:t>,</w:t>
      </w:r>
      <w:r w:rsidR="001F1EE0">
        <w:rPr>
          <w:rFonts w:ascii="Times New Roman" w:hAnsi="Times New Roman" w:cs="Times New Roman (Body CS)"/>
        </w:rPr>
        <w:t xml:space="preserve"> and </w:t>
      </w:r>
      <w:r w:rsidR="00296705">
        <w:rPr>
          <w:rFonts w:ascii="Times New Roman" w:hAnsi="Times New Roman" w:cs="Times New Roman (Body CS)"/>
        </w:rPr>
        <w:t xml:space="preserve">the proper analysis focuses on whether costs </w:t>
      </w:r>
      <w:r w:rsidR="00D30480">
        <w:rPr>
          <w:rFonts w:ascii="Times New Roman" w:hAnsi="Times New Roman" w:cs="Times New Roman (Body CS)"/>
        </w:rPr>
        <w:t>were</w:t>
      </w:r>
      <w:r w:rsidR="00296705">
        <w:rPr>
          <w:rFonts w:ascii="Times New Roman" w:hAnsi="Times New Roman" w:cs="Times New Roman (Body CS)"/>
        </w:rPr>
        <w:t xml:space="preserve"> reasonably necessary to litigating </w:t>
      </w:r>
      <w:r w:rsidR="00D30480">
        <w:rPr>
          <w:rFonts w:ascii="Times New Roman" w:hAnsi="Times New Roman" w:cs="Times New Roman (Body CS)"/>
        </w:rPr>
        <w:t>a</w:t>
      </w:r>
      <w:r w:rsidR="00296705">
        <w:rPr>
          <w:rFonts w:ascii="Times New Roman" w:hAnsi="Times New Roman" w:cs="Times New Roman (Body CS)"/>
        </w:rPr>
        <w:t xml:space="preserve"> case </w:t>
      </w:r>
      <w:r w:rsidR="00D30480">
        <w:rPr>
          <w:rFonts w:ascii="Times New Roman" w:hAnsi="Times New Roman" w:cs="Times New Roman (Body CS)"/>
        </w:rPr>
        <w:t>when</w:t>
      </w:r>
      <w:r w:rsidR="00296705">
        <w:rPr>
          <w:rFonts w:ascii="Times New Roman" w:hAnsi="Times New Roman" w:cs="Times New Roman (Body CS)"/>
        </w:rPr>
        <w:t xml:space="preserve"> incurred, not whether the</w:t>
      </w:r>
      <w:r w:rsidR="009F181F">
        <w:rPr>
          <w:rFonts w:ascii="Times New Roman" w:hAnsi="Times New Roman" w:cs="Times New Roman (Body CS)"/>
        </w:rPr>
        <w:t xml:space="preserve"> costs</w:t>
      </w:r>
      <w:r w:rsidR="00296705">
        <w:rPr>
          <w:rFonts w:ascii="Times New Roman" w:hAnsi="Times New Roman" w:cs="Times New Roman (Body CS)"/>
        </w:rPr>
        <w:t xml:space="preserve"> could have been avoided in retrospect. Because the </w:t>
      </w:r>
      <w:r w:rsidR="00A65DE7">
        <w:rPr>
          <w:rFonts w:ascii="Times New Roman" w:hAnsi="Times New Roman" w:cs="Times New Roman (Body CS)"/>
        </w:rPr>
        <w:t xml:space="preserve">trial court did not abuse its discretion in finding the </w:t>
      </w:r>
      <w:r w:rsidR="00296705">
        <w:rPr>
          <w:rFonts w:ascii="Times New Roman" w:hAnsi="Times New Roman" w:cs="Times New Roman (Body CS)"/>
        </w:rPr>
        <w:t>costs were reasonably necessary, we affirm.</w:t>
      </w:r>
    </w:p>
    <w:p w:rsidR="001275A0" w:rsidRPr="001275A0" w:rsidP="00F619E7" w14:paraId="310AE177" w14:textId="5BDE8F45">
      <w:pPr>
        <w:spacing w:line="600" w:lineRule="atLeast"/>
        <w:jc w:val="center"/>
        <w:rPr>
          <w:rFonts w:ascii="Times New Roman" w:hAnsi="Times New Roman" w:cs="Times New Roman (Body CS)"/>
          <w:b/>
          <w:bCs/>
        </w:rPr>
      </w:pPr>
      <w:r w:rsidRPr="001275A0">
        <w:rPr>
          <w:rFonts w:ascii="Times New Roman" w:hAnsi="Times New Roman" w:cs="Times New Roman (Body CS)"/>
          <w:b/>
          <w:bCs/>
        </w:rPr>
        <w:t>I</w:t>
      </w:r>
    </w:p>
    <w:p w:rsidR="001275A0" w:rsidRPr="001275A0" w:rsidP="00F619E7" w14:paraId="07E4B7BF" w14:textId="0209233D">
      <w:pPr>
        <w:spacing w:line="600" w:lineRule="atLeast"/>
        <w:jc w:val="center"/>
        <w:rPr>
          <w:rFonts w:ascii="Times New Roman" w:hAnsi="Times New Roman" w:cs="Times New Roman (Body CS)"/>
          <w:b/>
          <w:bCs/>
        </w:rPr>
      </w:pPr>
      <w:r w:rsidRPr="001275A0">
        <w:rPr>
          <w:rFonts w:ascii="Times New Roman" w:hAnsi="Times New Roman" w:cs="Times New Roman (Body CS)"/>
          <w:b/>
          <w:bCs/>
        </w:rPr>
        <w:t>FACTS</w:t>
      </w:r>
    </w:p>
    <w:p w:rsidR="00470563" w:rsidP="00F619E7" w14:paraId="1ED74742" w14:textId="032F448D">
      <w:pPr>
        <w:spacing w:line="600" w:lineRule="atLeast"/>
        <w:ind w:firstLine="720"/>
        <w:rPr>
          <w:rFonts w:ascii="Times New Roman" w:hAnsi="Times New Roman" w:cs="Times New Roman (Body CS)"/>
        </w:rPr>
      </w:pPr>
      <w:r>
        <w:rPr>
          <w:rFonts w:ascii="Times New Roman" w:hAnsi="Times New Roman" w:cs="Times New Roman (Body CS)"/>
        </w:rPr>
        <w:t>On April 23, 2019, a</w:t>
      </w:r>
      <w:r w:rsidRPr="009241DE" w:rsidR="009241DE">
        <w:rPr>
          <w:rFonts w:ascii="Times New Roman" w:hAnsi="Times New Roman" w:cs="Times New Roman (Body CS)"/>
        </w:rPr>
        <w:t>ppellants</w:t>
      </w:r>
      <w:r w:rsidR="009241DE">
        <w:rPr>
          <w:rFonts w:ascii="Times New Roman" w:hAnsi="Times New Roman" w:cs="Times New Roman (Body CS)"/>
        </w:rPr>
        <w:t xml:space="preserve"> Vincent and Esther Garcia</w:t>
      </w:r>
      <w:r w:rsidRPr="009241DE" w:rsidR="009241DE">
        <w:rPr>
          <w:rFonts w:ascii="Times New Roman" w:hAnsi="Times New Roman" w:cs="Times New Roman (Body CS)"/>
        </w:rPr>
        <w:t xml:space="preserve"> </w:t>
      </w:r>
      <w:r w:rsidR="007D5E47">
        <w:rPr>
          <w:rFonts w:ascii="Times New Roman" w:hAnsi="Times New Roman" w:cs="Times New Roman (Body CS)"/>
        </w:rPr>
        <w:t>sued</w:t>
      </w:r>
      <w:r w:rsidRPr="009241DE" w:rsidR="009241DE">
        <w:rPr>
          <w:rFonts w:ascii="Times New Roman" w:hAnsi="Times New Roman" w:cs="Times New Roman (Body CS)"/>
        </w:rPr>
        <w:t xml:space="preserve"> </w:t>
      </w:r>
      <w:r w:rsidR="004F109D">
        <w:rPr>
          <w:rFonts w:ascii="Times New Roman" w:hAnsi="Times New Roman" w:cs="Times New Roman (Body CS)"/>
        </w:rPr>
        <w:t xml:space="preserve">Mattress Showroom Inc. and </w:t>
      </w:r>
      <w:r w:rsidR="009241DE">
        <w:rPr>
          <w:rFonts w:ascii="Times New Roman" w:hAnsi="Times New Roman" w:cs="Times New Roman (Body CS)"/>
        </w:rPr>
        <w:t>r</w:t>
      </w:r>
      <w:r w:rsidRPr="009241DE" w:rsidR="009241DE">
        <w:rPr>
          <w:rFonts w:ascii="Times New Roman" w:hAnsi="Times New Roman" w:cs="Times New Roman (Body CS)"/>
        </w:rPr>
        <w:t>espondent</w:t>
      </w:r>
      <w:r w:rsidR="009241DE">
        <w:rPr>
          <w:rFonts w:ascii="Times New Roman" w:hAnsi="Times New Roman" w:cs="Times New Roman (Body CS)"/>
        </w:rPr>
        <w:t xml:space="preserve"> </w:t>
      </w:r>
      <w:r w:rsidRPr="009241DE" w:rsidR="009241DE">
        <w:rPr>
          <w:rFonts w:ascii="Times New Roman" w:hAnsi="Times New Roman" w:cs="Times New Roman (Body CS)"/>
        </w:rPr>
        <w:t>T</w:t>
      </w:r>
      <w:r w:rsidR="009241DE">
        <w:rPr>
          <w:rFonts w:ascii="Times New Roman" w:hAnsi="Times New Roman" w:cs="Times New Roman (Body CS)"/>
        </w:rPr>
        <w:t>empur</w:t>
      </w:r>
      <w:r w:rsidR="00500F7F">
        <w:rPr>
          <w:rFonts w:ascii="Times New Roman" w:hAnsi="Times New Roman" w:cs="Times New Roman (Body CS)"/>
        </w:rPr>
        <w:t>-</w:t>
      </w:r>
      <w:r w:rsidR="009241DE">
        <w:rPr>
          <w:rFonts w:ascii="Times New Roman" w:hAnsi="Times New Roman" w:cs="Times New Roman (Body CS)"/>
        </w:rPr>
        <w:t>Pedic North America, LLC</w:t>
      </w:r>
      <w:r w:rsidR="00500F7F">
        <w:rPr>
          <w:rFonts w:ascii="Times New Roman" w:hAnsi="Times New Roman" w:cs="Times New Roman (Body CS)"/>
        </w:rPr>
        <w:t xml:space="preserve"> (Tempur-Pedic)</w:t>
      </w:r>
      <w:r w:rsidR="009B45B5">
        <w:rPr>
          <w:rFonts w:ascii="Times New Roman" w:hAnsi="Times New Roman" w:cs="Times New Roman (Body CS)"/>
        </w:rPr>
        <w:t xml:space="preserve">, alleging </w:t>
      </w:r>
      <w:r w:rsidRPr="009241DE" w:rsidR="009241DE">
        <w:rPr>
          <w:rFonts w:ascii="Times New Roman" w:hAnsi="Times New Roman" w:cs="Times New Roman (Body CS)"/>
        </w:rPr>
        <w:t xml:space="preserve">the </w:t>
      </w:r>
      <w:r w:rsidR="009B45B5">
        <w:rPr>
          <w:rFonts w:ascii="Times New Roman" w:hAnsi="Times New Roman" w:cs="Times New Roman (Body CS)"/>
        </w:rPr>
        <w:t>Tempur</w:t>
      </w:r>
      <w:r w:rsidR="00500F7F">
        <w:rPr>
          <w:rFonts w:ascii="Times New Roman" w:hAnsi="Times New Roman" w:cs="Times New Roman (Body CS)"/>
        </w:rPr>
        <w:t>-</w:t>
      </w:r>
      <w:r w:rsidR="009B45B5">
        <w:rPr>
          <w:rFonts w:ascii="Times New Roman" w:hAnsi="Times New Roman" w:cs="Times New Roman (Body CS)"/>
        </w:rPr>
        <w:t>Pedic Contour Supreme Mattress</w:t>
      </w:r>
      <w:r w:rsidR="009241DE">
        <w:rPr>
          <w:rFonts w:ascii="Times New Roman" w:hAnsi="Times New Roman" w:cs="Times New Roman (Body CS)"/>
        </w:rPr>
        <w:t xml:space="preserve"> they </w:t>
      </w:r>
      <w:r w:rsidR="000229C7">
        <w:rPr>
          <w:rFonts w:ascii="Times New Roman" w:hAnsi="Times New Roman" w:cs="Times New Roman (Body CS)"/>
        </w:rPr>
        <w:t>bought</w:t>
      </w:r>
      <w:r w:rsidR="009B45B5">
        <w:rPr>
          <w:rFonts w:ascii="Times New Roman" w:hAnsi="Times New Roman" w:cs="Times New Roman (Body CS)"/>
        </w:rPr>
        <w:t xml:space="preserve"> </w:t>
      </w:r>
      <w:r w:rsidR="004F109D">
        <w:rPr>
          <w:rFonts w:ascii="Times New Roman" w:hAnsi="Times New Roman" w:cs="Times New Roman (Body CS)"/>
        </w:rPr>
        <w:t xml:space="preserve">at the Mattress Showroom </w:t>
      </w:r>
      <w:r w:rsidR="009B45B5">
        <w:rPr>
          <w:rFonts w:ascii="Times New Roman" w:hAnsi="Times New Roman" w:cs="Times New Roman (Body CS)"/>
        </w:rPr>
        <w:t>on September 17, 2017</w:t>
      </w:r>
      <w:r w:rsidR="009241DE">
        <w:rPr>
          <w:rFonts w:ascii="Times New Roman" w:hAnsi="Times New Roman" w:cs="Times New Roman (Body CS)"/>
        </w:rPr>
        <w:t xml:space="preserve"> </w:t>
      </w:r>
      <w:r w:rsidR="00500F7F">
        <w:rPr>
          <w:rFonts w:ascii="Times New Roman" w:hAnsi="Times New Roman" w:cs="Times New Roman (Body CS)"/>
        </w:rPr>
        <w:t>was defective</w:t>
      </w:r>
      <w:r w:rsidRPr="009241DE" w:rsidR="009241DE">
        <w:rPr>
          <w:rFonts w:ascii="Times New Roman" w:hAnsi="Times New Roman" w:cs="Times New Roman (Body CS)"/>
        </w:rPr>
        <w:t>.</w:t>
      </w:r>
    </w:p>
    <w:p w:rsidR="009B45B5" w:rsidP="003660EE" w14:paraId="7195929B" w14:textId="28F1FEE6">
      <w:pPr>
        <w:keepNext/>
        <w:keepLines/>
        <w:spacing w:line="600" w:lineRule="atLeast"/>
        <w:ind w:firstLine="720"/>
        <w:rPr>
          <w:rFonts w:ascii="Times New Roman" w:hAnsi="Times New Roman" w:cs="Times New Roman (Body CS)"/>
        </w:rPr>
      </w:pPr>
      <w:r>
        <w:rPr>
          <w:rFonts w:ascii="Times New Roman" w:hAnsi="Times New Roman" w:cs="Times New Roman (Body CS)"/>
        </w:rPr>
        <w:t>The Garcias claimed the mattress sagged</w:t>
      </w:r>
      <w:r w:rsidR="005A2C2D">
        <w:rPr>
          <w:rFonts w:ascii="Times New Roman" w:hAnsi="Times New Roman" w:cs="Times New Roman (Body CS)"/>
        </w:rPr>
        <w:t>,</w:t>
      </w:r>
      <w:r>
        <w:rPr>
          <w:rFonts w:ascii="Times New Roman" w:hAnsi="Times New Roman" w:cs="Times New Roman (Body CS)"/>
        </w:rPr>
        <w:t xml:space="preserve"> </w:t>
      </w:r>
      <w:r w:rsidR="00500F7F">
        <w:rPr>
          <w:rFonts w:ascii="Times New Roman" w:hAnsi="Times New Roman" w:cs="Times New Roman (Body CS)"/>
        </w:rPr>
        <w:t xml:space="preserve">and </w:t>
      </w:r>
      <w:r w:rsidR="00CB5083">
        <w:rPr>
          <w:rFonts w:ascii="Times New Roman" w:hAnsi="Times New Roman" w:cs="Times New Roman (Body CS)"/>
        </w:rPr>
        <w:t xml:space="preserve">that </w:t>
      </w:r>
      <w:r w:rsidR="00500F7F">
        <w:rPr>
          <w:rFonts w:ascii="Times New Roman" w:hAnsi="Times New Roman" w:cs="Times New Roman (Body CS)"/>
        </w:rPr>
        <w:t>sleeping on it</w:t>
      </w:r>
      <w:r>
        <w:rPr>
          <w:rFonts w:ascii="Times New Roman" w:hAnsi="Times New Roman" w:cs="Times New Roman (Body CS)"/>
        </w:rPr>
        <w:t xml:space="preserve"> caused or exacerbated Vincent’s spine, back, neck, and jaw injuries. The complaint stated a products liability cause of action for defective design and manufacture of the mattress, violation of the Song-Beverly Consumer Warranty Act (Civ. Code, </w:t>
      </w:r>
      <w:r w:rsidR="00F23BB0">
        <w:rPr>
          <w:rFonts w:ascii="Times New Roman" w:hAnsi="Times New Roman" w:cs="Times New Roman (Body CS)"/>
        </w:rPr>
        <w:t>§ </w:t>
      </w:r>
      <w:r>
        <w:rPr>
          <w:rFonts w:ascii="Times New Roman" w:hAnsi="Times New Roman" w:cs="Times New Roman (Body CS)"/>
        </w:rPr>
        <w:t xml:space="preserve">1790 et seq.), and </w:t>
      </w:r>
      <w:r w:rsidR="003E71F7">
        <w:rPr>
          <w:rFonts w:ascii="Times New Roman" w:hAnsi="Times New Roman" w:cs="Times New Roman (Body CS)"/>
        </w:rPr>
        <w:t xml:space="preserve">claims for </w:t>
      </w:r>
      <w:r>
        <w:rPr>
          <w:rFonts w:ascii="Times New Roman" w:hAnsi="Times New Roman" w:cs="Times New Roman (Body CS)"/>
        </w:rPr>
        <w:t>breach of express and implied warranties.</w:t>
      </w:r>
    </w:p>
    <w:p w:rsidR="00500F7F" w:rsidP="00F619E7" w14:paraId="5950B506" w14:textId="2B950890">
      <w:pPr>
        <w:spacing w:line="600" w:lineRule="atLeast"/>
        <w:ind w:firstLine="720"/>
        <w:rPr>
          <w:rFonts w:ascii="Times New Roman" w:hAnsi="Times New Roman" w:cs="Times New Roman (Body CS)"/>
        </w:rPr>
      </w:pPr>
      <w:r>
        <w:rPr>
          <w:rFonts w:ascii="Times New Roman" w:hAnsi="Times New Roman" w:cs="Times New Roman (Body CS)"/>
        </w:rPr>
        <w:t>After</w:t>
      </w:r>
      <w:r w:rsidR="00470563">
        <w:rPr>
          <w:rFonts w:ascii="Times New Roman" w:hAnsi="Times New Roman" w:cs="Times New Roman (Body CS)"/>
        </w:rPr>
        <w:t xml:space="preserve"> t</w:t>
      </w:r>
      <w:r w:rsidR="007D6EB7">
        <w:rPr>
          <w:rFonts w:ascii="Times New Roman" w:hAnsi="Times New Roman" w:cs="Times New Roman (Body CS)"/>
        </w:rPr>
        <w:t>he trial court</w:t>
      </w:r>
      <w:r w:rsidR="00470563">
        <w:rPr>
          <w:rFonts w:ascii="Times New Roman" w:hAnsi="Times New Roman" w:cs="Times New Roman (Body CS)"/>
        </w:rPr>
        <w:t xml:space="preserve"> denied Tempur</w:t>
      </w:r>
      <w:r w:rsidR="00F329E0">
        <w:rPr>
          <w:rFonts w:ascii="Times New Roman" w:hAnsi="Times New Roman" w:cs="Times New Roman (Body CS)"/>
        </w:rPr>
        <w:t>-</w:t>
      </w:r>
      <w:r w:rsidR="00470563">
        <w:rPr>
          <w:rFonts w:ascii="Times New Roman" w:hAnsi="Times New Roman" w:cs="Times New Roman (Body CS)"/>
        </w:rPr>
        <w:t>Pedic’s motion for summary judgment,</w:t>
      </w:r>
      <w:r w:rsidR="007D6EB7">
        <w:rPr>
          <w:rFonts w:ascii="Times New Roman" w:hAnsi="Times New Roman" w:cs="Times New Roman (Body CS)"/>
        </w:rPr>
        <w:t xml:space="preserve"> </w:t>
      </w:r>
      <w:r w:rsidR="008F3D1A">
        <w:rPr>
          <w:rFonts w:ascii="Times New Roman" w:hAnsi="Times New Roman" w:cs="Times New Roman (Body CS)"/>
        </w:rPr>
        <w:t xml:space="preserve">the court </w:t>
      </w:r>
      <w:r w:rsidR="007D6EB7">
        <w:rPr>
          <w:rFonts w:ascii="Times New Roman" w:hAnsi="Times New Roman" w:cs="Times New Roman (Body CS)"/>
        </w:rPr>
        <w:t>set a trial readiness conference</w:t>
      </w:r>
      <w:r w:rsidR="001305C8">
        <w:rPr>
          <w:rFonts w:ascii="Times New Roman" w:hAnsi="Times New Roman" w:cs="Times New Roman (Body CS)"/>
        </w:rPr>
        <w:t xml:space="preserve"> </w:t>
      </w:r>
      <w:r w:rsidR="007D6EB7">
        <w:rPr>
          <w:rFonts w:ascii="Times New Roman" w:hAnsi="Times New Roman" w:cs="Times New Roman (Body CS)"/>
        </w:rPr>
        <w:t>and</w:t>
      </w:r>
      <w:r w:rsidR="001305C8">
        <w:rPr>
          <w:rFonts w:ascii="Times New Roman" w:hAnsi="Times New Roman" w:cs="Times New Roman (Body CS)"/>
        </w:rPr>
        <w:t xml:space="preserve"> </w:t>
      </w:r>
      <w:r w:rsidR="007D6EB7">
        <w:rPr>
          <w:rFonts w:ascii="Times New Roman" w:hAnsi="Times New Roman" w:cs="Times New Roman (Body CS)"/>
        </w:rPr>
        <w:t>trial</w:t>
      </w:r>
      <w:r w:rsidR="001305C8">
        <w:rPr>
          <w:rFonts w:ascii="Times New Roman" w:hAnsi="Times New Roman" w:cs="Times New Roman (Body CS)"/>
        </w:rPr>
        <w:t xml:space="preserve"> date</w:t>
      </w:r>
      <w:r w:rsidRPr="009241DE" w:rsidR="009241DE">
        <w:rPr>
          <w:rFonts w:ascii="Times New Roman" w:hAnsi="Times New Roman" w:cs="Times New Roman (Body CS)"/>
        </w:rPr>
        <w:t xml:space="preserve">. </w:t>
      </w:r>
      <w:r w:rsidR="00736730">
        <w:rPr>
          <w:rFonts w:ascii="Times New Roman" w:hAnsi="Times New Roman" w:cs="Times New Roman (Body CS)"/>
        </w:rPr>
        <w:t xml:space="preserve">But then </w:t>
      </w:r>
      <w:r w:rsidR="00470563">
        <w:rPr>
          <w:rFonts w:ascii="Times New Roman" w:hAnsi="Times New Roman" w:cs="Times New Roman (Body CS)"/>
        </w:rPr>
        <w:t>the Garcias moved to amend their complaint</w:t>
      </w:r>
      <w:r w:rsidR="00E27205">
        <w:rPr>
          <w:rFonts w:ascii="Times New Roman" w:hAnsi="Times New Roman" w:cs="Times New Roman (Body CS)"/>
        </w:rPr>
        <w:t>.</w:t>
      </w:r>
      <w:r w:rsidR="009D2049">
        <w:rPr>
          <w:rFonts w:ascii="Times New Roman" w:hAnsi="Times New Roman" w:cs="Times New Roman (Body CS)"/>
        </w:rPr>
        <w:t xml:space="preserve"> </w:t>
      </w:r>
      <w:r w:rsidR="00F329E0">
        <w:rPr>
          <w:rFonts w:ascii="Times New Roman" w:hAnsi="Times New Roman" w:cs="Times New Roman (Body CS)"/>
        </w:rPr>
        <w:t>They</w:t>
      </w:r>
      <w:r w:rsidR="009D2049">
        <w:rPr>
          <w:rFonts w:ascii="Times New Roman" w:hAnsi="Times New Roman" w:cs="Times New Roman (Body CS)"/>
        </w:rPr>
        <w:t xml:space="preserve"> sought to add a new cause of action under state unfair competition law or the federal Magnuson-Moss Act, 15 U.S.C. </w:t>
      </w:r>
      <w:r w:rsidR="00F23BB0">
        <w:rPr>
          <w:rFonts w:ascii="Times New Roman" w:hAnsi="Times New Roman" w:cs="Times New Roman (Body CS)"/>
        </w:rPr>
        <w:t>§ </w:t>
      </w:r>
      <w:r w:rsidR="009D2049">
        <w:rPr>
          <w:rFonts w:ascii="Times New Roman" w:hAnsi="Times New Roman" w:cs="Times New Roman (Body CS)"/>
        </w:rPr>
        <w:t>2301 et seq.</w:t>
      </w:r>
      <w:r w:rsidR="00F329E0">
        <w:rPr>
          <w:rFonts w:ascii="Times New Roman" w:hAnsi="Times New Roman" w:cs="Times New Roman (Body CS)"/>
        </w:rPr>
        <w:t xml:space="preserve">, and </w:t>
      </w:r>
      <w:r w:rsidR="00AA2D9A">
        <w:rPr>
          <w:rFonts w:ascii="Times New Roman" w:hAnsi="Times New Roman" w:cs="Times New Roman (Body CS)"/>
        </w:rPr>
        <w:t xml:space="preserve">they </w:t>
      </w:r>
      <w:r w:rsidR="00F329E0">
        <w:rPr>
          <w:rFonts w:ascii="Times New Roman" w:hAnsi="Times New Roman" w:cs="Times New Roman (Body CS)"/>
        </w:rPr>
        <w:t xml:space="preserve">sought an injunction requiring Tempur-Pedic to contact all consumers who </w:t>
      </w:r>
      <w:r w:rsidR="0024629E">
        <w:rPr>
          <w:rFonts w:ascii="Times New Roman" w:hAnsi="Times New Roman" w:cs="Times New Roman (Body CS)"/>
        </w:rPr>
        <w:t>bought</w:t>
      </w:r>
      <w:r w:rsidR="00F329E0">
        <w:rPr>
          <w:rFonts w:ascii="Times New Roman" w:hAnsi="Times New Roman" w:cs="Times New Roman (Body CS)"/>
        </w:rPr>
        <w:t xml:space="preserve"> their products.</w:t>
      </w:r>
      <w:r w:rsidR="009D2049">
        <w:rPr>
          <w:rFonts w:ascii="Times New Roman" w:hAnsi="Times New Roman" w:cs="Times New Roman (Body CS)"/>
        </w:rPr>
        <w:t xml:space="preserve"> </w:t>
      </w:r>
      <w:r w:rsidR="00113D62">
        <w:rPr>
          <w:rFonts w:ascii="Times New Roman" w:hAnsi="Times New Roman" w:cs="Times New Roman (Body CS)"/>
        </w:rPr>
        <w:t>T</w:t>
      </w:r>
      <w:r w:rsidRPr="009241DE" w:rsidR="009241DE">
        <w:rPr>
          <w:rFonts w:ascii="Times New Roman" w:hAnsi="Times New Roman" w:cs="Times New Roman (Body CS)"/>
        </w:rPr>
        <w:t xml:space="preserve">he trial court denied </w:t>
      </w:r>
      <w:r w:rsidR="009D7232">
        <w:rPr>
          <w:rFonts w:ascii="Times New Roman" w:hAnsi="Times New Roman" w:cs="Times New Roman (Body CS)"/>
        </w:rPr>
        <w:t xml:space="preserve">the </w:t>
      </w:r>
      <w:r w:rsidRPr="009241DE" w:rsidR="009241DE">
        <w:rPr>
          <w:rFonts w:ascii="Times New Roman" w:hAnsi="Times New Roman" w:cs="Times New Roman (Body CS)"/>
        </w:rPr>
        <w:t xml:space="preserve">motion </w:t>
      </w:r>
      <w:r w:rsidR="003E71F7">
        <w:rPr>
          <w:rFonts w:ascii="Times New Roman" w:hAnsi="Times New Roman" w:cs="Times New Roman (Body CS)"/>
        </w:rPr>
        <w:t>because</w:t>
      </w:r>
      <w:r w:rsidR="009D2049">
        <w:rPr>
          <w:rFonts w:ascii="Times New Roman" w:hAnsi="Times New Roman" w:cs="Times New Roman (Body CS)"/>
        </w:rPr>
        <w:t xml:space="preserve"> the delay was unjustified</w:t>
      </w:r>
      <w:r w:rsidR="00AC01AB">
        <w:rPr>
          <w:rFonts w:ascii="Times New Roman" w:hAnsi="Times New Roman" w:cs="Times New Roman (Body CS)"/>
        </w:rPr>
        <w:t>,</w:t>
      </w:r>
      <w:r w:rsidR="009D2049">
        <w:rPr>
          <w:rFonts w:ascii="Times New Roman" w:hAnsi="Times New Roman" w:cs="Times New Roman (Body CS)"/>
        </w:rPr>
        <w:t xml:space="preserve"> and </w:t>
      </w:r>
      <w:r w:rsidR="00F329E0">
        <w:rPr>
          <w:rFonts w:ascii="Times New Roman" w:hAnsi="Times New Roman" w:cs="Times New Roman (Body CS)"/>
        </w:rPr>
        <w:t xml:space="preserve">the amendments </w:t>
      </w:r>
      <w:r w:rsidR="009D2049">
        <w:rPr>
          <w:rFonts w:ascii="Times New Roman" w:hAnsi="Times New Roman" w:cs="Times New Roman (Body CS)"/>
        </w:rPr>
        <w:t>would expand the litigation by adding a new cause of action and seeking a new “expansive, almost class action type remedy</w:t>
      </w:r>
      <w:r w:rsidR="00F329E0">
        <w:rPr>
          <w:rFonts w:ascii="Times New Roman" w:hAnsi="Times New Roman" w:cs="Times New Roman (Body CS)"/>
        </w:rPr>
        <w:t>,</w:t>
      </w:r>
      <w:r w:rsidR="009D2049">
        <w:rPr>
          <w:rFonts w:ascii="Times New Roman" w:hAnsi="Times New Roman" w:cs="Times New Roman (Body CS)"/>
        </w:rPr>
        <w:t>”</w:t>
      </w:r>
      <w:r w:rsidR="00F329E0">
        <w:rPr>
          <w:rFonts w:ascii="Times New Roman" w:hAnsi="Times New Roman" w:cs="Times New Roman (Body CS)"/>
        </w:rPr>
        <w:t xml:space="preserve"> both requiring substantial new discover</w:t>
      </w:r>
      <w:r w:rsidR="00F23BB0">
        <w:rPr>
          <w:rFonts w:ascii="Times New Roman" w:hAnsi="Times New Roman" w:cs="Times New Roman (Body CS)"/>
        </w:rPr>
        <w:t>y</w:t>
      </w:r>
      <w:r w:rsidR="00F329E0">
        <w:rPr>
          <w:rFonts w:ascii="Times New Roman" w:hAnsi="Times New Roman" w:cs="Times New Roman (Body CS)"/>
        </w:rPr>
        <w:t>.</w:t>
      </w:r>
      <w:r w:rsidR="009D7232">
        <w:rPr>
          <w:rFonts w:ascii="Times New Roman" w:hAnsi="Times New Roman" w:cs="Times New Roman (Body CS)"/>
        </w:rPr>
        <w:t xml:space="preserve"> Th</w:t>
      </w:r>
      <w:r w:rsidR="00A844F1">
        <w:rPr>
          <w:rFonts w:ascii="Times New Roman" w:hAnsi="Times New Roman" w:cs="Times New Roman (Body CS)"/>
        </w:rPr>
        <w:t>is court denied a writ petition in which the</w:t>
      </w:r>
      <w:r w:rsidR="009D7232">
        <w:rPr>
          <w:rFonts w:ascii="Times New Roman" w:hAnsi="Times New Roman" w:cs="Times New Roman (Body CS)"/>
        </w:rPr>
        <w:t xml:space="preserve"> Garcias challeng</w:t>
      </w:r>
      <w:r w:rsidR="00A844F1">
        <w:rPr>
          <w:rFonts w:ascii="Times New Roman" w:hAnsi="Times New Roman" w:cs="Times New Roman (Body CS)"/>
        </w:rPr>
        <w:t>ed</w:t>
      </w:r>
      <w:r w:rsidR="009D7232">
        <w:rPr>
          <w:rFonts w:ascii="Times New Roman" w:hAnsi="Times New Roman" w:cs="Times New Roman (Body CS)"/>
        </w:rPr>
        <w:t xml:space="preserve"> </w:t>
      </w:r>
      <w:r w:rsidR="009D2049">
        <w:rPr>
          <w:rFonts w:ascii="Times New Roman" w:hAnsi="Times New Roman" w:cs="Times New Roman (Body CS)"/>
        </w:rPr>
        <w:t>the</w:t>
      </w:r>
      <w:r w:rsidR="009D7232">
        <w:rPr>
          <w:rFonts w:ascii="Times New Roman" w:hAnsi="Times New Roman" w:cs="Times New Roman (Body CS)"/>
        </w:rPr>
        <w:t xml:space="preserve"> decision</w:t>
      </w:r>
      <w:r w:rsidR="009D2049">
        <w:rPr>
          <w:rFonts w:ascii="Times New Roman" w:hAnsi="Times New Roman" w:cs="Times New Roman (Body CS)"/>
        </w:rPr>
        <w:t xml:space="preserve"> to deny leave to amend</w:t>
      </w:r>
      <w:r w:rsidRPr="009D7232" w:rsidR="009D7232">
        <w:rPr>
          <w:rFonts w:ascii="Times New Roman" w:hAnsi="Times New Roman" w:cs="Times New Roman (Body CS)"/>
        </w:rPr>
        <w:t>.</w:t>
      </w:r>
    </w:p>
    <w:p w:rsidR="003660EE" w:rsidP="003660EE" w14:paraId="54931037" w14:textId="77777777">
      <w:pPr>
        <w:spacing w:line="600" w:lineRule="atLeast"/>
        <w:ind w:firstLine="720"/>
        <w:rPr>
          <w:rFonts w:ascii="Times New Roman" w:hAnsi="Times New Roman" w:cs="Times New Roman (Body CS)"/>
        </w:rPr>
      </w:pPr>
      <w:r w:rsidRPr="009D7232">
        <w:rPr>
          <w:rFonts w:ascii="Times New Roman" w:hAnsi="Times New Roman" w:cs="Times New Roman (Body CS)"/>
        </w:rPr>
        <w:t xml:space="preserve">After </w:t>
      </w:r>
      <w:r w:rsidR="009D2049">
        <w:rPr>
          <w:rFonts w:ascii="Times New Roman" w:hAnsi="Times New Roman" w:cs="Times New Roman (Body CS)"/>
        </w:rPr>
        <w:t>the</w:t>
      </w:r>
      <w:r w:rsidRPr="009D7232">
        <w:rPr>
          <w:rFonts w:ascii="Times New Roman" w:hAnsi="Times New Roman" w:cs="Times New Roman (Body CS)"/>
        </w:rPr>
        <w:t xml:space="preserve"> </w:t>
      </w:r>
      <w:r>
        <w:rPr>
          <w:rFonts w:ascii="Times New Roman" w:hAnsi="Times New Roman" w:cs="Times New Roman (Body CS)"/>
        </w:rPr>
        <w:t>t</w:t>
      </w:r>
      <w:r w:rsidRPr="009D7232">
        <w:rPr>
          <w:rFonts w:ascii="Times New Roman" w:hAnsi="Times New Roman" w:cs="Times New Roman (Body CS)"/>
        </w:rPr>
        <w:t xml:space="preserve">rial </w:t>
      </w:r>
      <w:r>
        <w:rPr>
          <w:rFonts w:ascii="Times New Roman" w:hAnsi="Times New Roman" w:cs="Times New Roman (Body CS)"/>
        </w:rPr>
        <w:t>r</w:t>
      </w:r>
      <w:r w:rsidRPr="009D7232">
        <w:rPr>
          <w:rFonts w:ascii="Times New Roman" w:hAnsi="Times New Roman" w:cs="Times New Roman (Body CS)"/>
        </w:rPr>
        <w:t xml:space="preserve">eadiness </w:t>
      </w:r>
      <w:r>
        <w:rPr>
          <w:rFonts w:ascii="Times New Roman" w:hAnsi="Times New Roman" w:cs="Times New Roman (Body CS)"/>
        </w:rPr>
        <w:t>c</w:t>
      </w:r>
      <w:r w:rsidRPr="009D7232">
        <w:rPr>
          <w:rFonts w:ascii="Times New Roman" w:hAnsi="Times New Roman" w:cs="Times New Roman (Body CS)"/>
        </w:rPr>
        <w:t xml:space="preserve">onference, </w:t>
      </w:r>
      <w:r>
        <w:rPr>
          <w:rFonts w:ascii="Times New Roman" w:hAnsi="Times New Roman" w:cs="Times New Roman (Body CS)"/>
        </w:rPr>
        <w:t>the Garcias</w:t>
      </w:r>
      <w:r w:rsidRPr="009D7232">
        <w:rPr>
          <w:rFonts w:ascii="Times New Roman" w:hAnsi="Times New Roman" w:cs="Times New Roman (Body CS)"/>
        </w:rPr>
        <w:t xml:space="preserve"> filed </w:t>
      </w:r>
      <w:r>
        <w:rPr>
          <w:rFonts w:ascii="Times New Roman" w:hAnsi="Times New Roman" w:cs="Times New Roman (Body CS)"/>
        </w:rPr>
        <w:t>a</w:t>
      </w:r>
      <w:r w:rsidRPr="009D7232">
        <w:rPr>
          <w:rFonts w:ascii="Times New Roman" w:hAnsi="Times New Roman" w:cs="Times New Roman (Body CS)"/>
        </w:rPr>
        <w:t xml:space="preserve"> </w:t>
      </w:r>
      <w:r>
        <w:rPr>
          <w:rFonts w:ascii="Times New Roman" w:hAnsi="Times New Roman" w:cs="Times New Roman (Body CS)"/>
        </w:rPr>
        <w:t>r</w:t>
      </w:r>
      <w:r w:rsidRPr="009D7232">
        <w:rPr>
          <w:rFonts w:ascii="Times New Roman" w:hAnsi="Times New Roman" w:cs="Times New Roman (Body CS)"/>
        </w:rPr>
        <w:t xml:space="preserve">equest for </w:t>
      </w:r>
      <w:r>
        <w:rPr>
          <w:rFonts w:ascii="Times New Roman" w:hAnsi="Times New Roman" w:cs="Times New Roman (Body CS)"/>
        </w:rPr>
        <w:t>d</w:t>
      </w:r>
      <w:r w:rsidRPr="009D7232">
        <w:rPr>
          <w:rFonts w:ascii="Times New Roman" w:hAnsi="Times New Roman" w:cs="Times New Roman (Body CS)"/>
        </w:rPr>
        <w:t>ismissal.</w:t>
      </w:r>
      <w:r w:rsidR="00500F7F">
        <w:rPr>
          <w:rFonts w:ascii="Times New Roman" w:hAnsi="Times New Roman" w:cs="Times New Roman (Body CS)"/>
        </w:rPr>
        <w:t xml:space="preserve"> The</w:t>
      </w:r>
      <w:r w:rsidR="00FF4128">
        <w:rPr>
          <w:rFonts w:ascii="Times New Roman" w:hAnsi="Times New Roman" w:cs="Times New Roman (Body CS)"/>
        </w:rPr>
        <w:t xml:space="preserve">y sought dismissal with prejudice of their claims against Mattress </w:t>
      </w:r>
      <w:r w:rsidR="006925A0">
        <w:rPr>
          <w:rFonts w:ascii="Times New Roman" w:hAnsi="Times New Roman" w:cs="Times New Roman (Body CS)"/>
        </w:rPr>
        <w:t>S</w:t>
      </w:r>
      <w:r w:rsidR="00FF4128">
        <w:rPr>
          <w:rFonts w:ascii="Times New Roman" w:hAnsi="Times New Roman" w:cs="Times New Roman (Body CS)"/>
        </w:rPr>
        <w:t>howroom</w:t>
      </w:r>
      <w:r w:rsidR="006925A0">
        <w:rPr>
          <w:rFonts w:ascii="Times New Roman" w:hAnsi="Times New Roman" w:cs="Times New Roman (Body CS)"/>
        </w:rPr>
        <w:t xml:space="preserve"> because</w:t>
      </w:r>
      <w:r w:rsidR="00FF4128">
        <w:rPr>
          <w:rFonts w:ascii="Times New Roman" w:hAnsi="Times New Roman" w:cs="Times New Roman (Body CS)"/>
        </w:rPr>
        <w:t xml:space="preserve"> they </w:t>
      </w:r>
      <w:r w:rsidR="00500F7F">
        <w:rPr>
          <w:rFonts w:ascii="Times New Roman" w:hAnsi="Times New Roman" w:cs="Times New Roman (Body CS)"/>
        </w:rPr>
        <w:t>had reached a settlement. They sought dismissal</w:t>
      </w:r>
      <w:r w:rsidR="00FF4128">
        <w:rPr>
          <w:rFonts w:ascii="Times New Roman" w:hAnsi="Times New Roman" w:cs="Times New Roman (Body CS)"/>
        </w:rPr>
        <w:t xml:space="preserve"> without prejudice</w:t>
      </w:r>
      <w:r w:rsidR="00500F7F">
        <w:rPr>
          <w:rFonts w:ascii="Times New Roman" w:hAnsi="Times New Roman" w:cs="Times New Roman (Body CS)"/>
        </w:rPr>
        <w:t xml:space="preserve"> of the claims against Tempur-Pedic.</w:t>
      </w:r>
      <w:r w:rsidR="00A72B3E">
        <w:rPr>
          <w:rFonts w:ascii="Times New Roman" w:hAnsi="Times New Roman" w:cs="Times New Roman (Body CS)"/>
        </w:rPr>
        <w:t xml:space="preserve"> The trial court dismissed the case as requested.</w:t>
      </w:r>
    </w:p>
    <w:p w:rsidR="004F109D" w:rsidP="00FC313B" w14:paraId="78103A15" w14:textId="1679AA9D">
      <w:pPr>
        <w:keepNext/>
        <w:keepLines/>
        <w:spacing w:line="600" w:lineRule="atLeast"/>
        <w:ind w:firstLine="720"/>
        <w:rPr>
          <w:rFonts w:ascii="Times New Roman" w:hAnsi="Times New Roman" w:cs="Times New Roman (Body CS)"/>
        </w:rPr>
      </w:pPr>
      <w:r>
        <w:rPr>
          <w:rFonts w:ascii="Times New Roman" w:hAnsi="Times New Roman" w:cs="Times New Roman (Body CS)"/>
        </w:rPr>
        <w:t>The</w:t>
      </w:r>
      <w:r w:rsidR="00500F7F">
        <w:rPr>
          <w:rFonts w:ascii="Times New Roman" w:hAnsi="Times New Roman" w:cs="Times New Roman (Body CS)"/>
        </w:rPr>
        <w:t xml:space="preserve"> Garcias</w:t>
      </w:r>
      <w:r w:rsidR="009D2049">
        <w:rPr>
          <w:rFonts w:ascii="Times New Roman" w:hAnsi="Times New Roman" w:cs="Times New Roman (Body CS)"/>
        </w:rPr>
        <w:t xml:space="preserve"> </w:t>
      </w:r>
      <w:r w:rsidR="00414A48">
        <w:rPr>
          <w:rFonts w:ascii="Times New Roman" w:hAnsi="Times New Roman" w:cs="Times New Roman (Body CS)"/>
        </w:rPr>
        <w:t xml:space="preserve">next </w:t>
      </w:r>
      <w:r w:rsidR="003714FF">
        <w:rPr>
          <w:rFonts w:ascii="Times New Roman" w:hAnsi="Times New Roman" w:cs="Times New Roman (Body CS)"/>
        </w:rPr>
        <w:t>sued</w:t>
      </w:r>
      <w:r w:rsidR="00500F7F">
        <w:rPr>
          <w:rFonts w:ascii="Times New Roman" w:hAnsi="Times New Roman" w:cs="Times New Roman (Body CS)"/>
        </w:rPr>
        <w:t xml:space="preserve"> Tempur-Pedic</w:t>
      </w:r>
      <w:r w:rsidR="003714FF">
        <w:rPr>
          <w:rFonts w:ascii="Times New Roman" w:hAnsi="Times New Roman" w:cs="Times New Roman (Body CS)"/>
        </w:rPr>
        <w:t xml:space="preserve"> afresh</w:t>
      </w:r>
      <w:r w:rsidR="00500F7F">
        <w:rPr>
          <w:rFonts w:ascii="Times New Roman" w:hAnsi="Times New Roman" w:cs="Times New Roman (Body CS)"/>
        </w:rPr>
        <w:t xml:space="preserve">, </w:t>
      </w:r>
      <w:r w:rsidR="00A14175">
        <w:rPr>
          <w:rFonts w:ascii="Times New Roman" w:hAnsi="Times New Roman" w:cs="Times New Roman (Body CS)"/>
        </w:rPr>
        <w:t xml:space="preserve">including their previous claims and </w:t>
      </w:r>
      <w:r w:rsidR="009D2049">
        <w:rPr>
          <w:rFonts w:ascii="Times New Roman" w:hAnsi="Times New Roman" w:cs="Times New Roman (Body CS)"/>
        </w:rPr>
        <w:t>alleging violations of</w:t>
      </w:r>
      <w:r w:rsidR="008B0805">
        <w:rPr>
          <w:rFonts w:ascii="Times New Roman" w:hAnsi="Times New Roman" w:cs="Times New Roman (Body CS)"/>
        </w:rPr>
        <w:t xml:space="preserve"> </w:t>
      </w:r>
      <w:r w:rsidR="009D2049">
        <w:rPr>
          <w:rFonts w:ascii="Times New Roman" w:hAnsi="Times New Roman" w:cs="Times New Roman (Body CS)"/>
        </w:rPr>
        <w:t xml:space="preserve">the </w:t>
      </w:r>
      <w:r>
        <w:rPr>
          <w:rFonts w:ascii="Times New Roman" w:hAnsi="Times New Roman" w:cs="Times New Roman (Body CS)"/>
        </w:rPr>
        <w:t xml:space="preserve">unlawful, unfair, and deceptive business practices statute (Code Civ. Proc., </w:t>
      </w:r>
      <w:r w:rsidR="00F23BB0">
        <w:rPr>
          <w:rFonts w:ascii="Times New Roman" w:hAnsi="Times New Roman" w:cs="Times New Roman (Body CS)"/>
        </w:rPr>
        <w:t>§ </w:t>
      </w:r>
      <w:r>
        <w:rPr>
          <w:rFonts w:ascii="Times New Roman" w:hAnsi="Times New Roman" w:cs="Times New Roman (Body CS)"/>
        </w:rPr>
        <w:t>17200 et seq.)</w:t>
      </w:r>
      <w:r w:rsidR="00885D7C">
        <w:rPr>
          <w:rFonts w:ascii="Times New Roman" w:hAnsi="Times New Roman" w:cs="Times New Roman (Body CS)"/>
        </w:rPr>
        <w:t xml:space="preserve"> and </w:t>
      </w:r>
      <w:r>
        <w:rPr>
          <w:rFonts w:ascii="Times New Roman" w:hAnsi="Times New Roman" w:cs="Times New Roman (Body CS)"/>
        </w:rPr>
        <w:t xml:space="preserve">the Consumer Legal Remedies Act (Civ. Code, </w:t>
      </w:r>
      <w:r w:rsidR="00F23BB0">
        <w:rPr>
          <w:rFonts w:ascii="Times New Roman" w:hAnsi="Times New Roman" w:cs="Times New Roman (Body CS)"/>
        </w:rPr>
        <w:t>§ </w:t>
      </w:r>
      <w:r>
        <w:rPr>
          <w:rFonts w:ascii="Times New Roman" w:hAnsi="Times New Roman" w:cs="Times New Roman (Body CS)"/>
        </w:rPr>
        <w:t xml:space="preserve">1750 et seq.). </w:t>
      </w:r>
      <w:r w:rsidR="009D2049">
        <w:rPr>
          <w:rFonts w:ascii="Times New Roman" w:hAnsi="Times New Roman" w:cs="Times New Roman (Body CS)"/>
        </w:rPr>
        <w:t>In the new complaint, the</w:t>
      </w:r>
      <w:r>
        <w:rPr>
          <w:rFonts w:ascii="Times New Roman" w:hAnsi="Times New Roman" w:cs="Times New Roman (Body CS)"/>
        </w:rPr>
        <w:t xml:space="preserve"> Garcias sought to represent a class of </w:t>
      </w:r>
      <w:r w:rsidR="00155713">
        <w:rPr>
          <w:rFonts w:ascii="Times New Roman" w:hAnsi="Times New Roman" w:cs="Times New Roman (Body CS)"/>
        </w:rPr>
        <w:t>Californians</w:t>
      </w:r>
      <w:r>
        <w:rPr>
          <w:rFonts w:ascii="Times New Roman" w:hAnsi="Times New Roman" w:cs="Times New Roman (Body CS)"/>
        </w:rPr>
        <w:t xml:space="preserve"> </w:t>
      </w:r>
      <w:r w:rsidR="00155713">
        <w:rPr>
          <w:rFonts w:ascii="Times New Roman" w:hAnsi="Times New Roman" w:cs="Times New Roman (Body CS)"/>
        </w:rPr>
        <w:t xml:space="preserve">who bought or owned </w:t>
      </w:r>
      <w:r w:rsidR="00C756C3">
        <w:rPr>
          <w:rFonts w:ascii="Times New Roman" w:hAnsi="Times New Roman" w:cs="Times New Roman (Body CS)"/>
        </w:rPr>
        <w:t>similar</w:t>
      </w:r>
      <w:r w:rsidR="00155713">
        <w:rPr>
          <w:rFonts w:ascii="Times New Roman" w:hAnsi="Times New Roman" w:cs="Times New Roman (Body CS)"/>
        </w:rPr>
        <w:t xml:space="preserve"> mattress</w:t>
      </w:r>
      <w:r w:rsidR="00C756C3">
        <w:rPr>
          <w:rFonts w:ascii="Times New Roman" w:hAnsi="Times New Roman" w:cs="Times New Roman (Body CS)"/>
        </w:rPr>
        <w:t>es</w:t>
      </w:r>
      <w:r w:rsidR="00155713">
        <w:rPr>
          <w:rFonts w:ascii="Times New Roman" w:hAnsi="Times New Roman" w:cs="Times New Roman (Body CS)"/>
        </w:rPr>
        <w:t xml:space="preserve"> since </w:t>
      </w:r>
      <w:r w:rsidRPr="00885D7C" w:rsidR="00155713">
        <w:rPr>
          <w:rFonts w:ascii="Times New Roman" w:hAnsi="Times New Roman" w:cs="Times New Roman (Body CS)"/>
        </w:rPr>
        <w:t>2017.</w:t>
      </w:r>
    </w:p>
    <w:p w:rsidR="00522BD8" w:rsidP="00F619E7" w14:paraId="27DB84E1" w14:textId="627EDEF1">
      <w:pPr>
        <w:spacing w:line="600" w:lineRule="atLeast"/>
        <w:ind w:firstLine="720"/>
        <w:rPr>
          <w:rFonts w:ascii="Times New Roman" w:hAnsi="Times New Roman" w:cs="Times New Roman (Body CS)"/>
        </w:rPr>
      </w:pPr>
      <w:r>
        <w:rPr>
          <w:rFonts w:ascii="Times New Roman" w:hAnsi="Times New Roman" w:cs="Times New Roman (Body CS)"/>
        </w:rPr>
        <w:t xml:space="preserve">Before us in this appeal is the motion for costs </w:t>
      </w:r>
      <w:r w:rsidR="00500F7F">
        <w:rPr>
          <w:rFonts w:ascii="Times New Roman" w:hAnsi="Times New Roman" w:cs="Times New Roman (Body CS)"/>
        </w:rPr>
        <w:t xml:space="preserve">Tempur-Pedic </w:t>
      </w:r>
      <w:r>
        <w:rPr>
          <w:rFonts w:ascii="Times New Roman" w:hAnsi="Times New Roman" w:cs="Times New Roman (Body CS)"/>
        </w:rPr>
        <w:t xml:space="preserve">filed </w:t>
      </w:r>
      <w:r w:rsidR="00286613">
        <w:rPr>
          <w:rFonts w:ascii="Times New Roman" w:hAnsi="Times New Roman" w:cs="Times New Roman (Body CS)"/>
        </w:rPr>
        <w:t>as a</w:t>
      </w:r>
      <w:r>
        <w:rPr>
          <w:rFonts w:ascii="Times New Roman" w:hAnsi="Times New Roman" w:cs="Times New Roman (Body CS)"/>
        </w:rPr>
        <w:t xml:space="preserve"> prevailing party </w:t>
      </w:r>
      <w:r w:rsidR="00286613">
        <w:rPr>
          <w:rFonts w:ascii="Times New Roman" w:hAnsi="Times New Roman" w:cs="Times New Roman (Body CS)"/>
        </w:rPr>
        <w:t>in the first lawsuit</w:t>
      </w:r>
      <w:r>
        <w:rPr>
          <w:rFonts w:ascii="Times New Roman" w:hAnsi="Times New Roman" w:cs="Times New Roman (Body CS)"/>
        </w:rPr>
        <w:t xml:space="preserve">. Included in the memorandum of costs </w:t>
      </w:r>
      <w:r w:rsidR="00F9094E">
        <w:rPr>
          <w:rFonts w:ascii="Times New Roman" w:hAnsi="Times New Roman" w:cs="Times New Roman (Body CS)"/>
        </w:rPr>
        <w:t>were</w:t>
      </w:r>
      <w:r>
        <w:rPr>
          <w:rFonts w:ascii="Times New Roman" w:hAnsi="Times New Roman" w:cs="Times New Roman (Body CS)"/>
        </w:rPr>
        <w:t xml:space="preserve"> request</w:t>
      </w:r>
      <w:r w:rsidR="00F9094E">
        <w:rPr>
          <w:rFonts w:ascii="Times New Roman" w:hAnsi="Times New Roman" w:cs="Times New Roman (Body CS)"/>
        </w:rPr>
        <w:t>s</w:t>
      </w:r>
      <w:r>
        <w:rPr>
          <w:rFonts w:ascii="Times New Roman" w:hAnsi="Times New Roman" w:cs="Times New Roman (Body CS)"/>
        </w:rPr>
        <w:t xml:space="preserve"> for </w:t>
      </w:r>
      <w:r w:rsidR="00282744">
        <w:rPr>
          <w:rFonts w:ascii="Times New Roman" w:hAnsi="Times New Roman" w:cs="Times New Roman (Body CS)"/>
        </w:rPr>
        <w:t>costs</w:t>
      </w:r>
      <w:r w:rsidR="00B95276">
        <w:rPr>
          <w:rFonts w:ascii="Times New Roman" w:hAnsi="Times New Roman" w:cs="Times New Roman (Body CS)"/>
        </w:rPr>
        <w:t xml:space="preserve"> </w:t>
      </w:r>
      <w:r w:rsidR="00F23BB0">
        <w:rPr>
          <w:rFonts w:ascii="Times New Roman" w:hAnsi="Times New Roman" w:cs="Times New Roman (Body CS)"/>
        </w:rPr>
        <w:t xml:space="preserve">of </w:t>
      </w:r>
      <w:r w:rsidR="00367858">
        <w:rPr>
          <w:rFonts w:ascii="Times New Roman" w:hAnsi="Times New Roman" w:cs="Times New Roman (Body CS)"/>
        </w:rPr>
        <w:t xml:space="preserve">$5,174.34 </w:t>
      </w:r>
      <w:r w:rsidR="000229C7">
        <w:rPr>
          <w:rFonts w:ascii="Times New Roman" w:hAnsi="Times New Roman" w:cs="Times New Roman (Body CS)"/>
        </w:rPr>
        <w:t xml:space="preserve">for depositions </w:t>
      </w:r>
      <w:r w:rsidR="00282744">
        <w:rPr>
          <w:rFonts w:ascii="Times New Roman" w:hAnsi="Times New Roman" w:cs="Times New Roman (Body CS)"/>
        </w:rPr>
        <w:t>and $2,491.24</w:t>
      </w:r>
      <w:r w:rsidR="000229C7">
        <w:rPr>
          <w:rFonts w:ascii="Times New Roman" w:hAnsi="Times New Roman" w:cs="Times New Roman (Body CS)"/>
        </w:rPr>
        <w:t xml:space="preserve"> for service of process</w:t>
      </w:r>
      <w:r w:rsidR="00367858">
        <w:rPr>
          <w:rFonts w:ascii="Times New Roman" w:hAnsi="Times New Roman" w:cs="Times New Roman (Body CS)"/>
        </w:rPr>
        <w:t xml:space="preserve">. </w:t>
      </w:r>
      <w:r w:rsidR="00B667D4">
        <w:rPr>
          <w:rFonts w:ascii="Times New Roman" w:hAnsi="Times New Roman" w:cs="Times New Roman (Body CS)"/>
        </w:rPr>
        <w:t>The depositions involved medical professionals the Garcias had identified as Vincent Garcia</w:t>
      </w:r>
      <w:r w:rsidR="003E71F7">
        <w:rPr>
          <w:rFonts w:ascii="Times New Roman" w:hAnsi="Times New Roman" w:cs="Times New Roman (Body CS)"/>
        </w:rPr>
        <w:t>’s</w:t>
      </w:r>
      <w:r w:rsidR="00B667D4">
        <w:rPr>
          <w:rFonts w:ascii="Times New Roman" w:hAnsi="Times New Roman" w:cs="Times New Roman (Body CS)"/>
        </w:rPr>
        <w:t xml:space="preserve"> </w:t>
      </w:r>
      <w:r w:rsidR="006C0E23">
        <w:rPr>
          <w:rFonts w:ascii="Times New Roman" w:hAnsi="Times New Roman" w:cs="Times New Roman (Body CS)"/>
        </w:rPr>
        <w:t>treating physicians</w:t>
      </w:r>
      <w:r w:rsidR="00B667D4">
        <w:rPr>
          <w:rFonts w:ascii="Times New Roman" w:hAnsi="Times New Roman" w:cs="Times New Roman (Body CS)"/>
        </w:rPr>
        <w:t xml:space="preserve">. </w:t>
      </w:r>
      <w:r w:rsidR="00E328D7">
        <w:rPr>
          <w:rFonts w:ascii="Times New Roman" w:hAnsi="Times New Roman" w:cs="Times New Roman (Body CS)"/>
        </w:rPr>
        <w:t xml:space="preserve">Tempur-Pedic claimed </w:t>
      </w:r>
      <w:r w:rsidR="00B95276">
        <w:rPr>
          <w:rFonts w:ascii="Times New Roman" w:hAnsi="Times New Roman" w:cs="Times New Roman (Body CS)"/>
        </w:rPr>
        <w:t xml:space="preserve">$527.80 for the deposition of </w:t>
      </w:r>
      <w:r w:rsidR="00E328D7">
        <w:rPr>
          <w:rFonts w:ascii="Times New Roman" w:hAnsi="Times New Roman" w:cs="Times New Roman (Body CS)"/>
        </w:rPr>
        <w:t xml:space="preserve">Dr. </w:t>
      </w:r>
      <w:r w:rsidR="00B95276">
        <w:rPr>
          <w:rFonts w:ascii="Times New Roman" w:hAnsi="Times New Roman" w:cs="Times New Roman (Body CS)"/>
        </w:rPr>
        <w:t xml:space="preserve">Daniel McLarty and $818.45 for the deposition of </w:t>
      </w:r>
      <w:r w:rsidR="00E328D7">
        <w:rPr>
          <w:rFonts w:ascii="Times New Roman" w:hAnsi="Times New Roman" w:cs="Times New Roman (Body CS)"/>
        </w:rPr>
        <w:t xml:space="preserve">Dr. </w:t>
      </w:r>
      <w:r w:rsidR="00F9094E">
        <w:rPr>
          <w:rFonts w:ascii="Times New Roman" w:hAnsi="Times New Roman" w:cs="Times New Roman (Body CS)"/>
        </w:rPr>
        <w:t>Carter</w:t>
      </w:r>
      <w:r w:rsidR="007D052A">
        <w:rPr>
          <w:rFonts w:ascii="Times New Roman" w:hAnsi="Times New Roman" w:cs="Times New Roman (Body CS)"/>
        </w:rPr>
        <w:t xml:space="preserve"> Lane</w:t>
      </w:r>
      <w:r w:rsidR="00B95276">
        <w:rPr>
          <w:rFonts w:ascii="Times New Roman" w:hAnsi="Times New Roman" w:cs="Times New Roman (Body CS)"/>
        </w:rPr>
        <w:t xml:space="preserve">. </w:t>
      </w:r>
      <w:r w:rsidR="00B667D4">
        <w:rPr>
          <w:rFonts w:ascii="Times New Roman" w:hAnsi="Times New Roman" w:cs="Times New Roman (Body CS)"/>
        </w:rPr>
        <w:t>Tempur-Pedic</w:t>
      </w:r>
      <w:r w:rsidR="00B95276">
        <w:rPr>
          <w:rFonts w:ascii="Times New Roman" w:hAnsi="Times New Roman" w:cs="Times New Roman (Body CS)"/>
        </w:rPr>
        <w:t xml:space="preserve"> also requested costs for service of process </w:t>
      </w:r>
      <w:r w:rsidR="00F365BA">
        <w:rPr>
          <w:rFonts w:ascii="Times New Roman" w:hAnsi="Times New Roman" w:cs="Times New Roman (Body CS)"/>
        </w:rPr>
        <w:t xml:space="preserve">on </w:t>
      </w:r>
      <w:r w:rsidR="00C6000B">
        <w:rPr>
          <w:rFonts w:ascii="Times New Roman" w:hAnsi="Times New Roman" w:cs="Times New Roman (Body CS)"/>
        </w:rPr>
        <w:t>McLarty ($222.35),</w:t>
      </w:r>
      <w:r w:rsidR="00F9094E">
        <w:rPr>
          <w:rFonts w:ascii="Times New Roman" w:hAnsi="Times New Roman" w:cs="Times New Roman (Body CS)"/>
        </w:rPr>
        <w:t xml:space="preserve"> </w:t>
      </w:r>
      <w:r w:rsidR="00E328D7">
        <w:rPr>
          <w:rFonts w:ascii="Times New Roman" w:hAnsi="Times New Roman" w:cs="Times New Roman (Body CS)"/>
        </w:rPr>
        <w:t xml:space="preserve">Dr. </w:t>
      </w:r>
      <w:r w:rsidR="00F9094E">
        <w:rPr>
          <w:rFonts w:ascii="Times New Roman" w:hAnsi="Times New Roman" w:cs="Times New Roman (Body CS)"/>
        </w:rPr>
        <w:t>Randall Tan</w:t>
      </w:r>
      <w:r w:rsidR="00C6000B">
        <w:rPr>
          <w:rFonts w:ascii="Times New Roman" w:hAnsi="Times New Roman" w:cs="Times New Roman (Body CS)"/>
        </w:rPr>
        <w:t xml:space="preserve"> ($306.82)</w:t>
      </w:r>
      <w:r w:rsidR="00F9094E">
        <w:rPr>
          <w:rFonts w:ascii="Times New Roman" w:hAnsi="Times New Roman" w:cs="Times New Roman (Body CS)"/>
        </w:rPr>
        <w:t xml:space="preserve">, Dr. </w:t>
      </w:r>
      <w:r w:rsidR="002A4BC3">
        <w:rPr>
          <w:rFonts w:ascii="Times New Roman" w:hAnsi="Times New Roman" w:cs="Times New Roman (Body CS)"/>
        </w:rPr>
        <w:t xml:space="preserve">Kathy Lin </w:t>
      </w:r>
      <w:r w:rsidR="00F9094E">
        <w:rPr>
          <w:rFonts w:ascii="Times New Roman" w:hAnsi="Times New Roman" w:cs="Times New Roman (Body CS)"/>
        </w:rPr>
        <w:t>Chuang</w:t>
      </w:r>
      <w:r w:rsidR="00C6000B">
        <w:rPr>
          <w:rFonts w:ascii="Times New Roman" w:hAnsi="Times New Roman" w:cs="Times New Roman (Body CS)"/>
        </w:rPr>
        <w:t xml:space="preserve"> ($222.93)</w:t>
      </w:r>
      <w:r w:rsidR="00F9094E">
        <w:rPr>
          <w:rFonts w:ascii="Times New Roman" w:hAnsi="Times New Roman" w:cs="Times New Roman (Body CS)"/>
        </w:rPr>
        <w:t xml:space="preserve">, and Dr. </w:t>
      </w:r>
      <w:r w:rsidR="002A4BC3">
        <w:rPr>
          <w:rFonts w:ascii="Times New Roman" w:hAnsi="Times New Roman" w:cs="Times New Roman (Body CS)"/>
        </w:rPr>
        <w:t xml:space="preserve">Perry </w:t>
      </w:r>
      <w:r w:rsidR="00F9094E">
        <w:rPr>
          <w:rFonts w:ascii="Times New Roman" w:hAnsi="Times New Roman" w:cs="Times New Roman (Body CS)"/>
        </w:rPr>
        <w:t>Sahagun</w:t>
      </w:r>
      <w:r w:rsidR="00C6000B">
        <w:rPr>
          <w:rFonts w:ascii="Times New Roman" w:hAnsi="Times New Roman" w:cs="Times New Roman (Body CS)"/>
        </w:rPr>
        <w:t xml:space="preserve"> ($222.93), and two </w:t>
      </w:r>
      <w:r w:rsidR="00367858">
        <w:rPr>
          <w:rFonts w:ascii="Times New Roman" w:hAnsi="Times New Roman" w:cs="Times New Roman (Body CS)"/>
        </w:rPr>
        <w:t>service of process fees</w:t>
      </w:r>
      <w:r w:rsidR="00E328D7">
        <w:rPr>
          <w:rFonts w:ascii="Times New Roman" w:hAnsi="Times New Roman" w:cs="Times New Roman (Body CS)"/>
        </w:rPr>
        <w:t xml:space="preserve"> </w:t>
      </w:r>
      <w:r w:rsidR="00B667D4">
        <w:rPr>
          <w:rFonts w:ascii="Times New Roman" w:hAnsi="Times New Roman" w:cs="Times New Roman (Body CS)"/>
        </w:rPr>
        <w:t xml:space="preserve">each </w:t>
      </w:r>
      <w:r w:rsidR="00367858">
        <w:rPr>
          <w:rFonts w:ascii="Times New Roman" w:hAnsi="Times New Roman" w:cs="Times New Roman (Body CS)"/>
        </w:rPr>
        <w:t>for</w:t>
      </w:r>
      <w:r w:rsidR="002A4BC3">
        <w:rPr>
          <w:rFonts w:ascii="Times New Roman" w:hAnsi="Times New Roman" w:cs="Times New Roman (Body CS)"/>
        </w:rPr>
        <w:t xml:space="preserve"> </w:t>
      </w:r>
      <w:r w:rsidR="00367858">
        <w:rPr>
          <w:rFonts w:ascii="Times New Roman" w:hAnsi="Times New Roman" w:cs="Times New Roman (Body CS)"/>
        </w:rPr>
        <w:t>Lane ($227.03 and $363.02)</w:t>
      </w:r>
      <w:r w:rsidR="00B667D4">
        <w:rPr>
          <w:rFonts w:ascii="Times New Roman" w:hAnsi="Times New Roman" w:cs="Times New Roman (Body CS)"/>
        </w:rPr>
        <w:t xml:space="preserve"> and</w:t>
      </w:r>
      <w:r w:rsidR="003B7B6F">
        <w:rPr>
          <w:rFonts w:ascii="Times New Roman" w:hAnsi="Times New Roman" w:cs="Times New Roman (Body CS)"/>
        </w:rPr>
        <w:t xml:space="preserve"> </w:t>
      </w:r>
      <w:r w:rsidR="002A4BC3">
        <w:rPr>
          <w:rFonts w:ascii="Times New Roman" w:hAnsi="Times New Roman" w:cs="Times New Roman (Body CS)"/>
        </w:rPr>
        <w:t xml:space="preserve">Dr. James </w:t>
      </w:r>
      <w:r w:rsidR="00B667D4">
        <w:rPr>
          <w:rFonts w:ascii="Times New Roman" w:hAnsi="Times New Roman" w:cs="Times New Roman (Body CS)"/>
        </w:rPr>
        <w:t>Slepski ($266.33 and $222.87)</w:t>
      </w:r>
      <w:r w:rsidR="009906EE">
        <w:rPr>
          <w:rFonts w:ascii="Times New Roman" w:hAnsi="Times New Roman" w:cs="Times New Roman (Body CS)"/>
        </w:rPr>
        <w:t>.</w:t>
      </w:r>
    </w:p>
    <w:p w:rsidR="00367858" w:rsidP="00F619E7" w14:paraId="246C3114" w14:textId="77EB6B8E">
      <w:pPr>
        <w:spacing w:line="600" w:lineRule="atLeast"/>
        <w:ind w:firstLine="720"/>
        <w:rPr>
          <w:rFonts w:ascii="Times New Roman" w:hAnsi="Times New Roman" w:cs="Times New Roman (Body CS)"/>
        </w:rPr>
      </w:pPr>
      <w:r>
        <w:rPr>
          <w:rFonts w:ascii="Times New Roman" w:hAnsi="Times New Roman" w:cs="Times New Roman (Body CS)"/>
        </w:rPr>
        <w:t>The</w:t>
      </w:r>
      <w:r w:rsidR="00500F7F">
        <w:rPr>
          <w:rFonts w:ascii="Times New Roman" w:hAnsi="Times New Roman" w:cs="Times New Roman (Body CS)"/>
        </w:rPr>
        <w:t xml:space="preserve"> Garcias </w:t>
      </w:r>
      <w:r w:rsidRPr="00885D7C" w:rsidR="00885D7C">
        <w:rPr>
          <w:rFonts w:ascii="Times New Roman" w:hAnsi="Times New Roman" w:cs="Times New Roman (Body CS)"/>
        </w:rPr>
        <w:t>moved</w:t>
      </w:r>
      <w:r w:rsidR="00500F7F">
        <w:rPr>
          <w:rFonts w:ascii="Times New Roman" w:hAnsi="Times New Roman" w:cs="Times New Roman (Body CS)"/>
        </w:rPr>
        <w:t xml:space="preserve"> to tax costs</w:t>
      </w:r>
      <w:r w:rsidR="00F9094E">
        <w:rPr>
          <w:rFonts w:ascii="Times New Roman" w:hAnsi="Times New Roman" w:cs="Times New Roman (Body CS)"/>
        </w:rPr>
        <w:t xml:space="preserve"> or strike Tempur-Pedic’s memorandum of costs</w:t>
      </w:r>
      <w:r w:rsidR="00500F7F">
        <w:rPr>
          <w:rFonts w:ascii="Times New Roman" w:hAnsi="Times New Roman" w:cs="Times New Roman (Body CS)"/>
        </w:rPr>
        <w:t>.</w:t>
      </w:r>
      <w:r w:rsidR="00F9094E">
        <w:rPr>
          <w:rFonts w:ascii="Times New Roman" w:hAnsi="Times New Roman" w:cs="Times New Roman (Body CS)"/>
        </w:rPr>
        <w:t xml:space="preserve"> </w:t>
      </w:r>
      <w:r w:rsidR="003E71F7">
        <w:rPr>
          <w:rFonts w:ascii="Times New Roman" w:hAnsi="Times New Roman" w:cs="Times New Roman (Body CS)"/>
        </w:rPr>
        <w:t xml:space="preserve">They said </w:t>
      </w:r>
      <w:r w:rsidR="00B667D4">
        <w:rPr>
          <w:rFonts w:ascii="Times New Roman" w:hAnsi="Times New Roman" w:cs="Times New Roman (Body CS)"/>
        </w:rPr>
        <w:t xml:space="preserve">Tempur-Pedic </w:t>
      </w:r>
      <w:r w:rsidR="003E71F7">
        <w:rPr>
          <w:rFonts w:ascii="Times New Roman" w:hAnsi="Times New Roman" w:cs="Times New Roman (Body CS)"/>
        </w:rPr>
        <w:t xml:space="preserve">had </w:t>
      </w:r>
      <w:r w:rsidRPr="00D46BF1" w:rsidR="00D46BF1">
        <w:rPr>
          <w:rFonts w:ascii="Times New Roman" w:hAnsi="Times New Roman" w:cs="Times New Roman (Body CS)"/>
        </w:rPr>
        <w:t>deposed</w:t>
      </w:r>
      <w:r w:rsidR="00B667D4">
        <w:rPr>
          <w:rFonts w:ascii="Times New Roman" w:hAnsi="Times New Roman" w:cs="Times New Roman (Body CS)"/>
        </w:rPr>
        <w:t xml:space="preserve"> only three of the eight witnesses. The depositions of McLarty, Lane, Tan, Chuang, and Sahagun did not go forward </w:t>
      </w:r>
      <w:r w:rsidRPr="008F61E7" w:rsidR="00D46BF1">
        <w:rPr>
          <w:rFonts w:ascii="Times New Roman" w:hAnsi="Times New Roman" w:cs="Times New Roman (Body CS)"/>
        </w:rPr>
        <w:t>for</w:t>
      </w:r>
      <w:r w:rsidRPr="00D46BF1" w:rsidR="00D46BF1">
        <w:rPr>
          <w:rFonts w:ascii="Times New Roman" w:hAnsi="Times New Roman" w:cs="Times New Roman (Body CS)"/>
        </w:rPr>
        <w:t xml:space="preserve"> diverse </w:t>
      </w:r>
      <w:r w:rsidRPr="008F61E7" w:rsidR="00D46BF1">
        <w:rPr>
          <w:rFonts w:ascii="Times New Roman" w:hAnsi="Times New Roman" w:cs="Times New Roman (Body CS)"/>
        </w:rPr>
        <w:t>reasons</w:t>
      </w:r>
      <w:r w:rsidR="00B667D4">
        <w:rPr>
          <w:rFonts w:ascii="Times New Roman" w:hAnsi="Times New Roman" w:cs="Times New Roman (Body CS)"/>
        </w:rPr>
        <w:t xml:space="preserve">. </w:t>
      </w:r>
      <w:r w:rsidR="00C6000B">
        <w:rPr>
          <w:rFonts w:ascii="Times New Roman" w:hAnsi="Times New Roman" w:cs="Times New Roman (Body CS)"/>
        </w:rPr>
        <w:t>Lane did not appear for his deposition</w:t>
      </w:r>
      <w:r w:rsidR="00B667D4">
        <w:rPr>
          <w:rFonts w:ascii="Times New Roman" w:hAnsi="Times New Roman" w:cs="Times New Roman (Body CS)"/>
        </w:rPr>
        <w:t xml:space="preserve">, and </w:t>
      </w:r>
      <w:r w:rsidR="00C6000B">
        <w:rPr>
          <w:rFonts w:ascii="Times New Roman" w:hAnsi="Times New Roman" w:cs="Times New Roman (Body CS)"/>
        </w:rPr>
        <w:t xml:space="preserve">Tempur-Pedic later </w:t>
      </w:r>
      <w:r w:rsidR="003E71F7">
        <w:rPr>
          <w:rFonts w:ascii="Times New Roman" w:hAnsi="Times New Roman" w:cs="Times New Roman (Body CS)"/>
        </w:rPr>
        <w:t>identified</w:t>
      </w:r>
      <w:r w:rsidR="00C6000B">
        <w:rPr>
          <w:rFonts w:ascii="Times New Roman" w:hAnsi="Times New Roman" w:cs="Times New Roman (Body CS)"/>
        </w:rPr>
        <w:t xml:space="preserve"> </w:t>
      </w:r>
      <w:r w:rsidR="007D052A">
        <w:rPr>
          <w:rFonts w:ascii="Times New Roman" w:hAnsi="Times New Roman" w:cs="Times New Roman (Body CS)"/>
        </w:rPr>
        <w:t>him</w:t>
      </w:r>
      <w:r w:rsidR="00C6000B">
        <w:rPr>
          <w:rFonts w:ascii="Times New Roman" w:hAnsi="Times New Roman" w:cs="Times New Roman (Body CS)"/>
        </w:rPr>
        <w:t xml:space="preserve"> as a</w:t>
      </w:r>
      <w:r w:rsidR="003E71F7">
        <w:rPr>
          <w:rFonts w:ascii="Times New Roman" w:hAnsi="Times New Roman" w:cs="Times New Roman (Body CS)"/>
        </w:rPr>
        <w:t xml:space="preserve"> nonretained</w:t>
      </w:r>
      <w:r w:rsidR="00C6000B">
        <w:rPr>
          <w:rFonts w:ascii="Times New Roman" w:hAnsi="Times New Roman" w:cs="Times New Roman (Body CS)"/>
        </w:rPr>
        <w:t xml:space="preserve"> expert</w:t>
      </w:r>
      <w:r w:rsidR="003E71F7">
        <w:rPr>
          <w:rFonts w:ascii="Times New Roman" w:hAnsi="Times New Roman" w:cs="Times New Roman (Body CS)"/>
        </w:rPr>
        <w:t xml:space="preserve"> whose testimony may be offered at trial</w:t>
      </w:r>
      <w:r w:rsidR="00C6000B">
        <w:rPr>
          <w:rFonts w:ascii="Times New Roman" w:hAnsi="Times New Roman" w:cs="Times New Roman (Body CS)"/>
        </w:rPr>
        <w:t xml:space="preserve">. Tan died before he was served. Tempur-Pedic </w:t>
      </w:r>
      <w:r w:rsidR="00E328D7">
        <w:rPr>
          <w:rFonts w:ascii="Times New Roman" w:hAnsi="Times New Roman" w:cs="Times New Roman (Body CS)"/>
        </w:rPr>
        <w:t>chose</w:t>
      </w:r>
      <w:r w:rsidR="00C6000B">
        <w:rPr>
          <w:rFonts w:ascii="Times New Roman" w:hAnsi="Times New Roman" w:cs="Times New Roman (Body CS)"/>
        </w:rPr>
        <w:t xml:space="preserve"> to take McLarty’s deposition off the calendar. </w:t>
      </w:r>
      <w:r w:rsidR="00282744">
        <w:rPr>
          <w:rFonts w:ascii="Times New Roman" w:hAnsi="Times New Roman" w:cs="Times New Roman (Body CS)"/>
        </w:rPr>
        <w:t>Chuang and Sahag</w:t>
      </w:r>
      <w:r w:rsidR="00B667D4">
        <w:rPr>
          <w:rFonts w:ascii="Times New Roman" w:hAnsi="Times New Roman" w:cs="Times New Roman (Body CS)"/>
        </w:rPr>
        <w:t>u</w:t>
      </w:r>
      <w:r w:rsidR="00282744">
        <w:rPr>
          <w:rFonts w:ascii="Times New Roman" w:hAnsi="Times New Roman" w:cs="Times New Roman (Body CS)"/>
        </w:rPr>
        <w:t xml:space="preserve">n were not deposed, but the Garcias provide no </w:t>
      </w:r>
      <w:r w:rsidR="00B667D4">
        <w:rPr>
          <w:rFonts w:ascii="Times New Roman" w:hAnsi="Times New Roman" w:cs="Times New Roman (Body CS)"/>
        </w:rPr>
        <w:t>reason</w:t>
      </w:r>
      <w:r w:rsidR="00282744">
        <w:rPr>
          <w:rFonts w:ascii="Times New Roman" w:hAnsi="Times New Roman" w:cs="Times New Roman (Body CS)"/>
        </w:rPr>
        <w:t xml:space="preserve">. </w:t>
      </w:r>
      <w:r w:rsidR="009906EE">
        <w:rPr>
          <w:rFonts w:ascii="Times New Roman" w:hAnsi="Times New Roman" w:cs="Times New Roman (Body CS)"/>
        </w:rPr>
        <w:t>Though the Garcias conceded the deposition of Slepski occurred, they argued Tempur-</w:t>
      </w:r>
      <w:r w:rsidR="00176225">
        <w:rPr>
          <w:rFonts w:ascii="Times New Roman" w:hAnsi="Times New Roman" w:cs="Times New Roman (Body CS)"/>
        </w:rPr>
        <w:t>P</w:t>
      </w:r>
      <w:r w:rsidR="009906EE">
        <w:rPr>
          <w:rFonts w:ascii="Times New Roman" w:hAnsi="Times New Roman" w:cs="Times New Roman (Body CS)"/>
        </w:rPr>
        <w:t>edic could not recover service of process fees for his deposition because they served him twice due to their</w:t>
      </w:r>
      <w:r w:rsidR="00B667D4">
        <w:rPr>
          <w:rFonts w:ascii="Times New Roman" w:hAnsi="Times New Roman" w:cs="Times New Roman (Body CS)"/>
        </w:rPr>
        <w:t xml:space="preserve"> own </w:t>
      </w:r>
      <w:r w:rsidR="009906EE">
        <w:rPr>
          <w:rFonts w:ascii="Times New Roman" w:hAnsi="Times New Roman" w:cs="Times New Roman (Body CS)"/>
        </w:rPr>
        <w:t xml:space="preserve">mistake and did not identify which fee was necessary. </w:t>
      </w:r>
      <w:r>
        <w:rPr>
          <w:rFonts w:ascii="Times New Roman" w:hAnsi="Times New Roman" w:cs="Times New Roman (Body CS)"/>
        </w:rPr>
        <w:t xml:space="preserve">In total, the Garcias contested </w:t>
      </w:r>
      <w:r w:rsidR="00E328D7">
        <w:rPr>
          <w:rFonts w:ascii="Times New Roman" w:hAnsi="Times New Roman" w:cs="Times New Roman (Body CS)"/>
        </w:rPr>
        <w:t>$</w:t>
      </w:r>
      <w:r w:rsidR="00282744">
        <w:rPr>
          <w:rFonts w:ascii="Times New Roman" w:hAnsi="Times New Roman" w:cs="Times New Roman (Body CS)"/>
        </w:rPr>
        <w:t>1,346.25</w:t>
      </w:r>
      <w:r>
        <w:rPr>
          <w:rFonts w:ascii="Times New Roman" w:hAnsi="Times New Roman" w:cs="Times New Roman (Body CS)"/>
        </w:rPr>
        <w:t xml:space="preserve"> of the </w:t>
      </w:r>
      <w:r w:rsidR="00E328D7">
        <w:rPr>
          <w:rFonts w:ascii="Times New Roman" w:hAnsi="Times New Roman" w:cs="Times New Roman (Body CS)"/>
        </w:rPr>
        <w:t xml:space="preserve">claimed costs of </w:t>
      </w:r>
      <w:r>
        <w:rPr>
          <w:rFonts w:ascii="Times New Roman" w:hAnsi="Times New Roman" w:cs="Times New Roman (Body CS)"/>
        </w:rPr>
        <w:t>deposition and $2</w:t>
      </w:r>
      <w:r w:rsidR="00E328D7">
        <w:rPr>
          <w:rFonts w:ascii="Times New Roman" w:hAnsi="Times New Roman" w:cs="Times New Roman (Body CS)"/>
        </w:rPr>
        <w:t>,</w:t>
      </w:r>
      <w:r>
        <w:rPr>
          <w:rFonts w:ascii="Times New Roman" w:hAnsi="Times New Roman" w:cs="Times New Roman (Body CS)"/>
        </w:rPr>
        <w:t xml:space="preserve">054.28 of the </w:t>
      </w:r>
      <w:r w:rsidR="00E328D7">
        <w:rPr>
          <w:rFonts w:ascii="Times New Roman" w:hAnsi="Times New Roman" w:cs="Times New Roman (Body CS)"/>
        </w:rPr>
        <w:t xml:space="preserve">claimed costs of </w:t>
      </w:r>
      <w:r>
        <w:rPr>
          <w:rFonts w:ascii="Times New Roman" w:hAnsi="Times New Roman" w:cs="Times New Roman (Body CS)"/>
        </w:rPr>
        <w:t>service of process.</w:t>
      </w:r>
      <w:r w:rsidR="003660EE">
        <w:rPr>
          <w:rFonts w:ascii="Times New Roman" w:hAnsi="Times New Roman" w:cs="Times New Roman (Body CS)"/>
        </w:rPr>
        <w:t xml:space="preserve"> </w:t>
      </w:r>
    </w:p>
    <w:p w:rsidR="006C0E23" w:rsidP="00F619E7" w14:paraId="3BF2CC81" w14:textId="6DDD3487">
      <w:pPr>
        <w:spacing w:line="600" w:lineRule="atLeast"/>
        <w:ind w:firstLine="720"/>
        <w:rPr>
          <w:rFonts w:ascii="Times New Roman" w:hAnsi="Times New Roman" w:cs="Times New Roman (Body CS)"/>
        </w:rPr>
      </w:pPr>
      <w:r>
        <w:rPr>
          <w:rFonts w:ascii="Times New Roman" w:hAnsi="Times New Roman" w:cs="Times New Roman (Body CS)"/>
        </w:rPr>
        <w:t xml:space="preserve">Tempur-Pedic responded that the costs of McLarty’s and Lane’s depositions were justified. They sought $527.80 for McLarty’s deposition to recover a fee they paid to the court reporter for late cancellation after </w:t>
      </w:r>
      <w:r w:rsidR="00CB5083">
        <w:rPr>
          <w:rFonts w:ascii="Times New Roman" w:hAnsi="Times New Roman" w:cs="Times New Roman (Body CS)"/>
        </w:rPr>
        <w:t xml:space="preserve">the </w:t>
      </w:r>
      <w:r>
        <w:rPr>
          <w:rFonts w:ascii="Times New Roman" w:hAnsi="Times New Roman" w:cs="Times New Roman (Body CS)"/>
        </w:rPr>
        <w:t>Garcia</w:t>
      </w:r>
      <w:r w:rsidR="00CB5083">
        <w:rPr>
          <w:rFonts w:ascii="Times New Roman" w:hAnsi="Times New Roman" w:cs="Times New Roman (Body CS)"/>
        </w:rPr>
        <w:t>s</w:t>
      </w:r>
      <w:r>
        <w:rPr>
          <w:rFonts w:ascii="Times New Roman" w:hAnsi="Times New Roman" w:cs="Times New Roman (Body CS)"/>
        </w:rPr>
        <w:t xml:space="preserve">’ </w:t>
      </w:r>
      <w:r w:rsidRPr="00DB3562">
        <w:rPr>
          <w:rFonts w:ascii="Times New Roman" w:hAnsi="Times New Roman" w:cs="Times New Roman (Body CS)"/>
        </w:rPr>
        <w:t>counsel</w:t>
      </w:r>
      <w:r w:rsidR="008F42E7">
        <w:rPr>
          <w:rFonts w:ascii="Times New Roman" w:hAnsi="Times New Roman" w:cs="Times New Roman (Body CS)"/>
        </w:rPr>
        <w:t xml:space="preserve"> last-minute</w:t>
      </w:r>
      <w:r w:rsidRPr="00DB3562">
        <w:rPr>
          <w:rFonts w:ascii="Times New Roman" w:hAnsi="Times New Roman" w:cs="Times New Roman (Body CS)"/>
        </w:rPr>
        <w:t xml:space="preserve"> indicat</w:t>
      </w:r>
      <w:r w:rsidR="008F42E7">
        <w:rPr>
          <w:rFonts w:ascii="Times New Roman" w:hAnsi="Times New Roman" w:cs="Times New Roman (Body CS)"/>
        </w:rPr>
        <w:t>ion that</w:t>
      </w:r>
      <w:r>
        <w:rPr>
          <w:rFonts w:ascii="Times New Roman" w:hAnsi="Times New Roman" w:cs="Times New Roman (Body CS)"/>
        </w:rPr>
        <w:t xml:space="preserve"> the witness was unavailable. They sought $818.45 </w:t>
      </w:r>
      <w:r w:rsidR="00511AC2">
        <w:rPr>
          <w:rFonts w:ascii="Times New Roman" w:hAnsi="Times New Roman" w:cs="Times New Roman (Body CS)"/>
        </w:rPr>
        <w:t>for</w:t>
      </w:r>
      <w:r>
        <w:rPr>
          <w:rFonts w:ascii="Times New Roman" w:hAnsi="Times New Roman" w:cs="Times New Roman (Body CS)"/>
        </w:rPr>
        <w:t xml:space="preserve"> a certificate of nonappearance after Lane failed to show </w:t>
      </w:r>
      <w:r w:rsidR="00511AC2">
        <w:rPr>
          <w:rFonts w:ascii="Times New Roman" w:hAnsi="Times New Roman" w:cs="Times New Roman (Body CS)"/>
        </w:rPr>
        <w:t>for</w:t>
      </w:r>
      <w:r>
        <w:rPr>
          <w:rFonts w:ascii="Times New Roman" w:hAnsi="Times New Roman" w:cs="Times New Roman (Body CS)"/>
        </w:rPr>
        <w:t xml:space="preserve"> his deposition. The</w:t>
      </w:r>
      <w:r w:rsidR="00310DC7">
        <w:rPr>
          <w:rFonts w:ascii="Times New Roman" w:hAnsi="Times New Roman" w:cs="Times New Roman (Body CS)"/>
        </w:rPr>
        <w:t>y</w:t>
      </w:r>
      <w:r>
        <w:rPr>
          <w:rFonts w:ascii="Times New Roman" w:hAnsi="Times New Roman" w:cs="Times New Roman (Body CS)"/>
        </w:rPr>
        <w:t xml:space="preserve"> argued they were entitled to recover costs for service of process completed by a registered process server </w:t>
      </w:r>
      <w:r w:rsidR="00EB283D">
        <w:rPr>
          <w:rFonts w:ascii="Times New Roman" w:hAnsi="Times New Roman" w:cs="Times New Roman (Body CS)"/>
        </w:rPr>
        <w:t>whether or not</w:t>
      </w:r>
      <w:r>
        <w:rPr>
          <w:rFonts w:ascii="Times New Roman" w:hAnsi="Times New Roman" w:cs="Times New Roman (Body CS)"/>
        </w:rPr>
        <w:t xml:space="preserve"> the witness appeared, and </w:t>
      </w:r>
      <w:r w:rsidR="004C23F8">
        <w:rPr>
          <w:rFonts w:ascii="Times New Roman" w:hAnsi="Times New Roman" w:cs="Times New Roman (Body CS)"/>
        </w:rPr>
        <w:t xml:space="preserve">they </w:t>
      </w:r>
      <w:r w:rsidR="00A96617">
        <w:rPr>
          <w:rFonts w:ascii="Times New Roman" w:hAnsi="Times New Roman" w:cs="Times New Roman (Body CS)"/>
        </w:rPr>
        <w:t>represented</w:t>
      </w:r>
      <w:r>
        <w:rPr>
          <w:rFonts w:ascii="Times New Roman" w:hAnsi="Times New Roman" w:cs="Times New Roman (Body CS)"/>
        </w:rPr>
        <w:t xml:space="preserve"> that Tan was identified as a treating physician and </w:t>
      </w:r>
      <w:r w:rsidR="00D326DE">
        <w:rPr>
          <w:rFonts w:ascii="Times New Roman" w:hAnsi="Times New Roman" w:cs="Times New Roman (Body CS)"/>
        </w:rPr>
        <w:t>served</w:t>
      </w:r>
      <w:r>
        <w:rPr>
          <w:rFonts w:ascii="Times New Roman" w:hAnsi="Times New Roman" w:cs="Times New Roman (Body CS)"/>
        </w:rPr>
        <w:t xml:space="preserve"> before they were aware he had died</w:t>
      </w:r>
      <w:r w:rsidR="00D23C6F">
        <w:rPr>
          <w:rFonts w:ascii="Times New Roman" w:hAnsi="Times New Roman" w:cs="Times New Roman (Body CS)"/>
        </w:rPr>
        <w:t>.</w:t>
      </w:r>
      <w:r w:rsidR="00A96617">
        <w:rPr>
          <w:rFonts w:ascii="Times New Roman" w:hAnsi="Times New Roman" w:cs="Times New Roman (Body CS)"/>
        </w:rPr>
        <w:t xml:space="preserve"> The</w:t>
      </w:r>
      <w:r w:rsidR="00310DC7">
        <w:rPr>
          <w:rFonts w:ascii="Times New Roman" w:hAnsi="Times New Roman" w:cs="Times New Roman (Body CS)"/>
        </w:rPr>
        <w:t>y</w:t>
      </w:r>
      <w:r w:rsidR="00A96617">
        <w:rPr>
          <w:rFonts w:ascii="Times New Roman" w:hAnsi="Times New Roman" w:cs="Times New Roman (Body CS)"/>
        </w:rPr>
        <w:t xml:space="preserve"> argued any duplication of service fees was due to the Garcias changing the witnesses</w:t>
      </w:r>
      <w:r w:rsidR="006839AD">
        <w:rPr>
          <w:rFonts w:ascii="Times New Roman" w:hAnsi="Times New Roman" w:cs="Times New Roman (Body CS)"/>
        </w:rPr>
        <w:t>’</w:t>
      </w:r>
      <w:r w:rsidR="00A96617">
        <w:rPr>
          <w:rFonts w:ascii="Times New Roman" w:hAnsi="Times New Roman" w:cs="Times New Roman (Body CS)"/>
        </w:rPr>
        <w:t xml:space="preserve"> available dates.</w:t>
      </w:r>
    </w:p>
    <w:p w:rsidR="009D7232" w:rsidRPr="00C928A4" w:rsidP="00F619E7" w14:paraId="1192E2CF" w14:textId="5DFE3F22">
      <w:pPr>
        <w:spacing w:line="600" w:lineRule="atLeast"/>
        <w:ind w:firstLine="720"/>
        <w:rPr>
          <w:rFonts w:ascii="Times New Roman" w:hAnsi="Times New Roman" w:cs="Times New Roman (Body CS)"/>
        </w:rPr>
      </w:pPr>
      <w:r>
        <w:rPr>
          <w:rFonts w:ascii="Times New Roman" w:hAnsi="Times New Roman" w:cs="Times New Roman (Body CS)"/>
        </w:rPr>
        <w:t xml:space="preserve">The trial court </w:t>
      </w:r>
      <w:r w:rsidR="00A96617">
        <w:rPr>
          <w:rFonts w:ascii="Times New Roman" w:hAnsi="Times New Roman" w:cs="Times New Roman (Body CS)"/>
        </w:rPr>
        <w:t>awarded</w:t>
      </w:r>
      <w:r w:rsidR="00DB64C1">
        <w:rPr>
          <w:rFonts w:ascii="Times New Roman" w:hAnsi="Times New Roman" w:cs="Times New Roman (Body CS)"/>
        </w:rPr>
        <w:t xml:space="preserve"> all</w:t>
      </w:r>
      <w:r w:rsidR="00A96617">
        <w:rPr>
          <w:rFonts w:ascii="Times New Roman" w:hAnsi="Times New Roman" w:cs="Times New Roman (Body CS)"/>
        </w:rPr>
        <w:t xml:space="preserve"> the </w:t>
      </w:r>
      <w:r w:rsidR="00DB64C1">
        <w:rPr>
          <w:rFonts w:ascii="Times New Roman" w:hAnsi="Times New Roman" w:cs="Times New Roman (Body CS)"/>
        </w:rPr>
        <w:t xml:space="preserve">costs outlined above. The court determined the depositions of all the medical professionals were reasonably necessary because they were Vincent Garcia’s treating physicians. The court </w:t>
      </w:r>
      <w:r w:rsidR="00C20F12">
        <w:rPr>
          <w:rFonts w:ascii="Times New Roman" w:hAnsi="Times New Roman" w:cs="Times New Roman (Body CS)"/>
        </w:rPr>
        <w:t xml:space="preserve">explained </w:t>
      </w:r>
      <w:r w:rsidR="00DB64C1">
        <w:rPr>
          <w:rFonts w:ascii="Times New Roman" w:hAnsi="Times New Roman" w:cs="Times New Roman (Body CS)"/>
        </w:rPr>
        <w:t xml:space="preserve">it did not matter that the depositions were not </w:t>
      </w:r>
      <w:r w:rsidR="00C20F12">
        <w:rPr>
          <w:rFonts w:ascii="Times New Roman" w:hAnsi="Times New Roman" w:cs="Times New Roman (Body CS)"/>
        </w:rPr>
        <w:t>taken</w:t>
      </w:r>
      <w:r w:rsidR="00DB64C1">
        <w:rPr>
          <w:rFonts w:ascii="Times New Roman" w:hAnsi="Times New Roman" w:cs="Times New Roman (Body CS)"/>
        </w:rPr>
        <w:t xml:space="preserve"> before the case was dismissed. As to Tan, the court awarded the costs because there was no indication Tempur-Pedic was aware of his death when they served him.</w:t>
      </w:r>
    </w:p>
    <w:p w:rsidR="001275A0" w:rsidP="003660EE" w14:paraId="2A6D8663" w14:textId="45245779">
      <w:pPr>
        <w:keepNext/>
        <w:keepLines/>
        <w:spacing w:line="600" w:lineRule="atLeast"/>
        <w:jc w:val="center"/>
        <w:rPr>
          <w:rFonts w:ascii="Times New Roman" w:hAnsi="Times New Roman" w:cs="Times New Roman (Body CS)"/>
          <w:b/>
          <w:bCs/>
        </w:rPr>
      </w:pPr>
      <w:r>
        <w:rPr>
          <w:rFonts w:ascii="Times New Roman" w:hAnsi="Times New Roman" w:cs="Times New Roman (Body CS)"/>
          <w:b/>
          <w:bCs/>
        </w:rPr>
        <w:t>II</w:t>
      </w:r>
    </w:p>
    <w:p w:rsidR="001275A0" w:rsidRPr="001275A0" w:rsidP="003660EE" w14:paraId="70B405FE" w14:textId="57F7FC67">
      <w:pPr>
        <w:keepNext/>
        <w:keepLines/>
        <w:spacing w:line="600" w:lineRule="atLeast"/>
        <w:jc w:val="center"/>
        <w:rPr>
          <w:rFonts w:ascii="Times New Roman" w:hAnsi="Times New Roman" w:cs="Times New Roman (Body CS)"/>
          <w:b/>
          <w:bCs/>
        </w:rPr>
      </w:pPr>
      <w:r>
        <w:rPr>
          <w:rFonts w:ascii="Times New Roman" w:hAnsi="Times New Roman" w:cs="Times New Roman (Body CS)"/>
          <w:b/>
          <w:bCs/>
        </w:rPr>
        <w:t>ANALYSIS</w:t>
      </w:r>
    </w:p>
    <w:p w:rsidR="006A1F3A" w:rsidP="00F619E7" w14:paraId="27B814AA" w14:textId="0A90F852">
      <w:pPr>
        <w:spacing w:line="600" w:lineRule="atLeast"/>
        <w:ind w:firstLine="720"/>
        <w:rPr>
          <w:rFonts w:ascii="Times New Roman" w:hAnsi="Times New Roman" w:cs="Times New Roman (Body CS)"/>
        </w:rPr>
      </w:pPr>
      <w:r>
        <w:rPr>
          <w:rFonts w:ascii="Times New Roman" w:hAnsi="Times New Roman" w:cs="Times New Roman (Body CS)"/>
        </w:rPr>
        <w:t>The Garcias</w:t>
      </w:r>
      <w:r w:rsidR="000314FD">
        <w:rPr>
          <w:rFonts w:ascii="Times New Roman" w:hAnsi="Times New Roman" w:cs="Times New Roman (Body CS)"/>
        </w:rPr>
        <w:t xml:space="preserve"> argue the trial court </w:t>
      </w:r>
      <w:r w:rsidR="006C43AD">
        <w:rPr>
          <w:rFonts w:ascii="Times New Roman" w:hAnsi="Times New Roman" w:cs="Times New Roman (Body CS)"/>
        </w:rPr>
        <w:t>erred</w:t>
      </w:r>
      <w:r>
        <w:rPr>
          <w:rFonts w:ascii="Times New Roman" w:hAnsi="Times New Roman" w:cs="Times New Roman (Body CS)"/>
        </w:rPr>
        <w:t xml:space="preserve"> by awarding costs </w:t>
      </w:r>
      <w:r w:rsidR="00E443B2">
        <w:rPr>
          <w:rFonts w:ascii="Times New Roman" w:hAnsi="Times New Roman" w:cs="Times New Roman (Body CS)"/>
        </w:rPr>
        <w:t>for</w:t>
      </w:r>
      <w:r w:rsidR="00DB64C1">
        <w:rPr>
          <w:rFonts w:ascii="Times New Roman" w:hAnsi="Times New Roman" w:cs="Times New Roman (Body CS)"/>
        </w:rPr>
        <w:t xml:space="preserve"> depositions that did not occur</w:t>
      </w:r>
      <w:r w:rsidR="000314FD">
        <w:rPr>
          <w:rFonts w:ascii="Times New Roman" w:hAnsi="Times New Roman" w:cs="Times New Roman (Body CS)"/>
        </w:rPr>
        <w:t>.</w:t>
      </w:r>
      <w:r w:rsidR="00DB64C1">
        <w:rPr>
          <w:rFonts w:ascii="Times New Roman" w:hAnsi="Times New Roman" w:cs="Times New Roman (Body CS)"/>
        </w:rPr>
        <w:t xml:space="preserve"> We disagree</w:t>
      </w:r>
      <w:r w:rsidR="00E443B2">
        <w:rPr>
          <w:rFonts w:ascii="Times New Roman" w:hAnsi="Times New Roman" w:cs="Times New Roman (Body CS)"/>
        </w:rPr>
        <w:t xml:space="preserve"> because there was a</w:t>
      </w:r>
      <w:r w:rsidR="00E145BE">
        <w:rPr>
          <w:rFonts w:ascii="Times New Roman" w:hAnsi="Times New Roman" w:cs="Times New Roman (Body CS)"/>
        </w:rPr>
        <w:t xml:space="preserve"> sound</w:t>
      </w:r>
      <w:r w:rsidR="00E443B2">
        <w:rPr>
          <w:rFonts w:ascii="Times New Roman" w:hAnsi="Times New Roman" w:cs="Times New Roman (Body CS)"/>
        </w:rPr>
        <w:t xml:space="preserve"> basis for finding the costs were reasonably necessary to the litigation when incurred</w:t>
      </w:r>
      <w:r w:rsidR="00DB64C1">
        <w:rPr>
          <w:rFonts w:ascii="Times New Roman" w:hAnsi="Times New Roman" w:cs="Times New Roman (Body CS)"/>
        </w:rPr>
        <w:t>.</w:t>
      </w:r>
    </w:p>
    <w:p w:rsidR="00AD30C8" w:rsidP="00F619E7" w14:paraId="63C1B7F7" w14:textId="6A88D4FE">
      <w:pPr>
        <w:spacing w:line="600" w:lineRule="atLeast"/>
        <w:ind w:firstLine="720"/>
        <w:rPr>
          <w:rFonts w:ascii="Times New Roman" w:hAnsi="Times New Roman" w:cs="Times New Roman (Body CS)"/>
        </w:rPr>
      </w:pPr>
      <w:r w:rsidRPr="00DB64C1">
        <w:rPr>
          <w:rFonts w:ascii="Times New Roman" w:hAnsi="Times New Roman" w:cs="Times New Roman (Body CS)"/>
        </w:rPr>
        <w:t xml:space="preserve">Code </w:t>
      </w:r>
      <w:r>
        <w:rPr>
          <w:rFonts w:ascii="Times New Roman" w:hAnsi="Times New Roman" w:cs="Times New Roman (Body CS)"/>
        </w:rPr>
        <w:t xml:space="preserve">of </w:t>
      </w:r>
      <w:r w:rsidRPr="00DB64C1">
        <w:rPr>
          <w:rFonts w:ascii="Times New Roman" w:hAnsi="Times New Roman" w:cs="Times New Roman (Body CS)"/>
        </w:rPr>
        <w:t>Civ</w:t>
      </w:r>
      <w:r>
        <w:rPr>
          <w:rFonts w:ascii="Times New Roman" w:hAnsi="Times New Roman" w:cs="Times New Roman (Body CS)"/>
        </w:rPr>
        <w:t>il</w:t>
      </w:r>
      <w:r w:rsidRPr="00DB64C1">
        <w:rPr>
          <w:rFonts w:ascii="Times New Roman" w:hAnsi="Times New Roman" w:cs="Times New Roman (Body CS)"/>
        </w:rPr>
        <w:t xml:space="preserve"> Proc</w:t>
      </w:r>
      <w:r>
        <w:rPr>
          <w:rFonts w:ascii="Times New Roman" w:hAnsi="Times New Roman" w:cs="Times New Roman (Body CS)"/>
        </w:rPr>
        <w:t>edure section</w:t>
      </w:r>
      <w:r w:rsidRPr="00DB64C1">
        <w:rPr>
          <w:rFonts w:ascii="Times New Roman" w:hAnsi="Times New Roman" w:cs="Times New Roman (Body CS)"/>
        </w:rPr>
        <w:t xml:space="preserve"> 1033.5 permits the recovery of costs for the </w:t>
      </w:r>
      <w:r>
        <w:rPr>
          <w:rFonts w:ascii="Times New Roman" w:hAnsi="Times New Roman" w:cs="Times New Roman (Body CS)"/>
        </w:rPr>
        <w:t>“</w:t>
      </w:r>
      <w:r w:rsidR="00DA7E26">
        <w:rPr>
          <w:rFonts w:ascii="Times New Roman" w:hAnsi="Times New Roman" w:cs="Times New Roman (Body CS)"/>
        </w:rPr>
        <w:t>[</w:t>
      </w:r>
      <w:r w:rsidRPr="00DB64C1">
        <w:rPr>
          <w:rFonts w:ascii="Times New Roman" w:hAnsi="Times New Roman" w:cs="Times New Roman (Body CS)"/>
        </w:rPr>
        <w:t>t</w:t>
      </w:r>
      <w:r w:rsidR="00DA7E26">
        <w:rPr>
          <w:rFonts w:ascii="Times New Roman" w:hAnsi="Times New Roman" w:cs="Times New Roman (Body CS)"/>
        </w:rPr>
        <w:t>]</w:t>
      </w:r>
      <w:r w:rsidRPr="00DB64C1">
        <w:rPr>
          <w:rFonts w:ascii="Times New Roman" w:hAnsi="Times New Roman" w:cs="Times New Roman (Body CS)"/>
        </w:rPr>
        <w:t>aking, video recording</w:t>
      </w:r>
      <w:r>
        <w:rPr>
          <w:rFonts w:ascii="Times New Roman" w:hAnsi="Times New Roman" w:cs="Times New Roman (Body CS)"/>
        </w:rPr>
        <w:t>,</w:t>
      </w:r>
      <w:r w:rsidRPr="00DB64C1">
        <w:rPr>
          <w:rFonts w:ascii="Times New Roman" w:hAnsi="Times New Roman" w:cs="Times New Roman (Body CS)"/>
        </w:rPr>
        <w:t xml:space="preserve"> and transcribing necessary depositions</w:t>
      </w:r>
      <w:r>
        <w:rPr>
          <w:rFonts w:ascii="Times New Roman" w:hAnsi="Times New Roman" w:cs="Times New Roman (Body CS)"/>
        </w:rPr>
        <w:t>” as well as for “[s]ervice of process by a public officer, registered process server, or other means</w:t>
      </w:r>
      <w:r w:rsidRPr="00DB64C1">
        <w:rPr>
          <w:rFonts w:ascii="Times New Roman" w:hAnsi="Times New Roman" w:cs="Times New Roman (Body CS)"/>
        </w:rPr>
        <w:t>.</w:t>
      </w:r>
      <w:r>
        <w:rPr>
          <w:rFonts w:ascii="Times New Roman" w:hAnsi="Times New Roman" w:cs="Times New Roman (Body CS)"/>
        </w:rPr>
        <w:t>”</w:t>
      </w:r>
      <w:r w:rsidRPr="00DB64C1">
        <w:rPr>
          <w:rFonts w:ascii="Times New Roman" w:hAnsi="Times New Roman" w:cs="Times New Roman (Body CS)"/>
        </w:rPr>
        <w:t xml:space="preserve"> (Code Civ</w:t>
      </w:r>
      <w:r>
        <w:rPr>
          <w:rFonts w:ascii="Times New Roman" w:hAnsi="Times New Roman" w:cs="Times New Roman (Body CS)"/>
        </w:rPr>
        <w:t>.</w:t>
      </w:r>
      <w:r w:rsidRPr="00DB64C1">
        <w:rPr>
          <w:rFonts w:ascii="Times New Roman" w:hAnsi="Times New Roman" w:cs="Times New Roman (Body CS)"/>
        </w:rPr>
        <w:t xml:space="preserve"> Proc</w:t>
      </w:r>
      <w:r>
        <w:rPr>
          <w:rFonts w:ascii="Times New Roman" w:hAnsi="Times New Roman" w:cs="Times New Roman (Body CS)"/>
        </w:rPr>
        <w:t>.,</w:t>
      </w:r>
      <w:r w:rsidRPr="00DB64C1">
        <w:rPr>
          <w:rFonts w:ascii="Times New Roman" w:hAnsi="Times New Roman" w:cs="Times New Roman (Body CS)"/>
        </w:rPr>
        <w:t xml:space="preserve"> </w:t>
      </w:r>
      <w:r w:rsidR="00F23BB0">
        <w:rPr>
          <w:rFonts w:ascii="Times New Roman" w:hAnsi="Times New Roman" w:cs="Times New Roman (Body CS)"/>
        </w:rPr>
        <w:t>§ </w:t>
      </w:r>
      <w:r w:rsidRPr="00DB64C1">
        <w:rPr>
          <w:rFonts w:ascii="Times New Roman" w:hAnsi="Times New Roman" w:cs="Times New Roman (Body CS)"/>
        </w:rPr>
        <w:t>1033.5(a)(3)(A)</w:t>
      </w:r>
      <w:r>
        <w:rPr>
          <w:rFonts w:ascii="Times New Roman" w:hAnsi="Times New Roman" w:cs="Times New Roman (Body CS)"/>
        </w:rPr>
        <w:t xml:space="preserve"> &amp; (a)(4)</w:t>
      </w:r>
      <w:r w:rsidR="00595A15">
        <w:rPr>
          <w:rFonts w:ascii="Times New Roman" w:hAnsi="Times New Roman" w:cs="Times New Roman (Body CS)"/>
        </w:rPr>
        <w:t>)</w:t>
      </w:r>
      <w:r>
        <w:rPr>
          <w:rFonts w:ascii="Times New Roman" w:hAnsi="Times New Roman" w:cs="Times New Roman (Body CS)"/>
        </w:rPr>
        <w:t>, unlabeled statutory citations refer to this code</w:t>
      </w:r>
      <w:r w:rsidRPr="00DB64C1">
        <w:rPr>
          <w:rFonts w:ascii="Times New Roman" w:hAnsi="Times New Roman" w:cs="Times New Roman (Body CS)"/>
        </w:rPr>
        <w:t xml:space="preserve">.) </w:t>
      </w:r>
      <w:r>
        <w:rPr>
          <w:rFonts w:ascii="Times New Roman" w:hAnsi="Times New Roman" w:cs="Times New Roman (Body CS)"/>
        </w:rPr>
        <w:t>Costs are allowable if they are “reasonably necessary to the conduct of the litigation rather than merely convenient or beneficial to its preparation.” (</w:t>
      </w:r>
      <w:r w:rsidR="00F23BB0">
        <w:rPr>
          <w:rFonts w:ascii="Times New Roman" w:hAnsi="Times New Roman" w:cs="Times New Roman (Body CS)"/>
        </w:rPr>
        <w:t>§ </w:t>
      </w:r>
      <w:r>
        <w:rPr>
          <w:rFonts w:ascii="Times New Roman" w:hAnsi="Times New Roman" w:cs="Times New Roman (Body CS)"/>
        </w:rPr>
        <w:t xml:space="preserve">1033.5, subd. (c)(2).) </w:t>
      </w:r>
      <w:r w:rsidR="00DE2747">
        <w:rPr>
          <w:rFonts w:ascii="Times New Roman" w:hAnsi="Times New Roman" w:cs="Times New Roman (Body CS)"/>
        </w:rPr>
        <w:t>“</w:t>
      </w:r>
      <w:r w:rsidRPr="00183401" w:rsidR="00DE2747">
        <w:rPr>
          <w:rFonts w:ascii="Times New Roman" w:hAnsi="Times New Roman" w:cs="Times New Roman (Body CS)"/>
        </w:rPr>
        <w:t>To the extent the</w:t>
      </w:r>
      <w:r w:rsidRPr="00DE2747" w:rsidR="00DE2747">
        <w:rPr>
          <w:rFonts w:ascii="Times New Roman" w:hAnsi="Times New Roman" w:cs="Times New Roman (Body CS)"/>
        </w:rPr>
        <w:t xml:space="preserve"> statute grants the court discretion in allowing or denying costs or in determining amounts, we reverse only if there has been a </w:t>
      </w:r>
      <w:r w:rsidR="00F27CF8">
        <w:rPr>
          <w:rFonts w:ascii="Times New Roman" w:hAnsi="Times New Roman" w:cs="Times New Roman (Body CS)"/>
        </w:rPr>
        <w:t>‘</w:t>
      </w:r>
      <w:r w:rsidRPr="00DE2747" w:rsidR="00DE2747">
        <w:rPr>
          <w:rFonts w:ascii="Times New Roman" w:hAnsi="Times New Roman" w:cs="Times New Roman (Body CS)"/>
        </w:rPr>
        <w:t>clear abuse of discretion</w:t>
      </w:r>
      <w:r w:rsidR="00F27CF8">
        <w:rPr>
          <w:rFonts w:ascii="Times New Roman" w:hAnsi="Times New Roman" w:cs="Times New Roman (Body CS)"/>
        </w:rPr>
        <w:t>’</w:t>
      </w:r>
      <w:r w:rsidRPr="00DE2747" w:rsidR="00DE2747">
        <w:rPr>
          <w:rFonts w:ascii="Times New Roman" w:hAnsi="Times New Roman" w:cs="Times New Roman (Body CS)"/>
        </w:rPr>
        <w:t xml:space="preserve"> and a </w:t>
      </w:r>
      <w:r w:rsidR="00F27CF8">
        <w:rPr>
          <w:rFonts w:ascii="Times New Roman" w:hAnsi="Times New Roman" w:cs="Times New Roman (Body CS)"/>
        </w:rPr>
        <w:t>‘</w:t>
      </w:r>
      <w:r w:rsidRPr="00DE2747" w:rsidR="00DE2747">
        <w:rPr>
          <w:rFonts w:ascii="Times New Roman" w:hAnsi="Times New Roman" w:cs="Times New Roman (Body CS)"/>
        </w:rPr>
        <w:t>miscarriage of justice.</w:t>
      </w:r>
      <w:r w:rsidR="00F27CF8">
        <w:rPr>
          <w:rFonts w:ascii="Times New Roman" w:hAnsi="Times New Roman" w:cs="Times New Roman (Body CS)"/>
        </w:rPr>
        <w:t>’”</w:t>
      </w:r>
      <w:r w:rsidR="00DE2747">
        <w:rPr>
          <w:rFonts w:ascii="Times New Roman" w:hAnsi="Times New Roman" w:cs="Times New Roman (Body CS)"/>
        </w:rPr>
        <w:t xml:space="preserve"> (</w:t>
      </w:r>
      <w:r w:rsidRPr="00DE2747" w:rsidR="00DE2747">
        <w:rPr>
          <w:rFonts w:ascii="Times New Roman" w:hAnsi="Times New Roman" w:cs="Times New Roman (Body CS)"/>
          <w:i/>
          <w:iCs/>
        </w:rPr>
        <w:t>Chaaban v. Wet Seal, Inc.</w:t>
      </w:r>
      <w:r w:rsidR="00DE2747">
        <w:rPr>
          <w:rFonts w:ascii="Times New Roman" w:hAnsi="Times New Roman" w:cs="Times New Roman (Body CS)"/>
        </w:rPr>
        <w:t xml:space="preserve"> (2012)</w:t>
      </w:r>
      <w:r w:rsidRPr="00DE2747" w:rsidR="00DE2747">
        <w:rPr>
          <w:rFonts w:ascii="Times New Roman" w:hAnsi="Times New Roman" w:cs="Times New Roman (Body CS)"/>
        </w:rPr>
        <w:t xml:space="preserve"> 203 Cal.App.4th 49, 52</w:t>
      </w:r>
      <w:r w:rsidR="002D1452">
        <w:rPr>
          <w:rFonts w:ascii="Times New Roman" w:hAnsi="Times New Roman" w:cs="Times New Roman (Body CS)"/>
        </w:rPr>
        <w:t xml:space="preserve"> (</w:t>
      </w:r>
      <w:r w:rsidRPr="00DA7E26" w:rsidR="002D1452">
        <w:rPr>
          <w:rFonts w:ascii="Times New Roman" w:hAnsi="Times New Roman" w:cs="Times New Roman (Body CS)"/>
          <w:i/>
          <w:iCs/>
        </w:rPr>
        <w:t>Chaaban</w:t>
      </w:r>
      <w:r w:rsidR="002D1452">
        <w:rPr>
          <w:rFonts w:ascii="Times New Roman" w:hAnsi="Times New Roman" w:cs="Times New Roman (Body CS)"/>
        </w:rPr>
        <w:t>)</w:t>
      </w:r>
      <w:r w:rsidR="00DE2747">
        <w:rPr>
          <w:rFonts w:ascii="Times New Roman" w:hAnsi="Times New Roman" w:cs="Times New Roman (Body CS)"/>
        </w:rPr>
        <w:t>.</w:t>
      </w:r>
      <w:r w:rsidRPr="00DE2747" w:rsidR="00DE2747">
        <w:rPr>
          <w:rFonts w:ascii="Times New Roman" w:hAnsi="Times New Roman" w:cs="Times New Roman (Body CS)"/>
        </w:rPr>
        <w:t>)</w:t>
      </w:r>
    </w:p>
    <w:p w:rsidR="00AD30C8" w:rsidP="00F619E7" w14:paraId="266E5B8F" w14:textId="1E5FF203">
      <w:pPr>
        <w:spacing w:line="600" w:lineRule="atLeast"/>
        <w:ind w:firstLine="720"/>
        <w:rPr>
          <w:rFonts w:ascii="Times New Roman" w:hAnsi="Times New Roman" w:cs="Times New Roman (Body CS)"/>
        </w:rPr>
      </w:pPr>
      <w:r>
        <w:rPr>
          <w:rFonts w:ascii="Times New Roman" w:hAnsi="Times New Roman" w:cs="Times New Roman (Body CS)"/>
        </w:rPr>
        <w:t>The nature of the case determines the necessity of discovery. (</w:t>
      </w:r>
      <w:r>
        <w:rPr>
          <w:rFonts w:ascii="Times New Roman" w:hAnsi="Times New Roman" w:cs="Times New Roman (Body CS)"/>
          <w:i/>
          <w:iCs/>
        </w:rPr>
        <w:t>Chaaban</w:t>
      </w:r>
      <w:r>
        <w:rPr>
          <w:rFonts w:ascii="Times New Roman" w:hAnsi="Times New Roman" w:cs="Times New Roman (Body CS)"/>
        </w:rPr>
        <w:t xml:space="preserve">, </w:t>
      </w:r>
      <w:r>
        <w:rPr>
          <w:rFonts w:ascii="Times New Roman" w:hAnsi="Times New Roman" w:cs="Times New Roman (Body CS)"/>
          <w:i/>
          <w:iCs/>
        </w:rPr>
        <w:t>supra</w:t>
      </w:r>
      <w:r>
        <w:rPr>
          <w:rFonts w:ascii="Times New Roman" w:hAnsi="Times New Roman" w:cs="Times New Roman (Body CS)"/>
        </w:rPr>
        <w:t xml:space="preserve">, at p. 57.) </w:t>
      </w:r>
      <w:r>
        <w:rPr>
          <w:rFonts w:ascii="Times New Roman" w:hAnsi="Times New Roman" w:cs="Times New Roman (Body CS)"/>
        </w:rPr>
        <w:t xml:space="preserve">The </w:t>
      </w:r>
      <w:r>
        <w:rPr>
          <w:rFonts w:ascii="Times New Roman" w:hAnsi="Times New Roman" w:cs="Times New Roman (Body CS)"/>
        </w:rPr>
        <w:t xml:space="preserve">deponents served for deposition </w:t>
      </w:r>
      <w:r w:rsidR="00DB6AE7">
        <w:rPr>
          <w:rFonts w:ascii="Times New Roman" w:hAnsi="Times New Roman" w:cs="Times New Roman (Body CS)"/>
        </w:rPr>
        <w:t>in this tort case</w:t>
      </w:r>
      <w:r>
        <w:rPr>
          <w:rFonts w:ascii="Times New Roman" w:hAnsi="Times New Roman" w:cs="Times New Roman (Body CS)"/>
        </w:rPr>
        <w:t xml:space="preserve"> were necessary witnesses. The Garcias identified them as medical professionals who would </w:t>
      </w:r>
      <w:r w:rsidRPr="008F61E7" w:rsidR="00290C53">
        <w:rPr>
          <w:rFonts w:ascii="Times New Roman" w:hAnsi="Times New Roman" w:cs="Times New Roman (Body CS)"/>
        </w:rPr>
        <w:t>know</w:t>
      </w:r>
      <w:r w:rsidRPr="00290C53" w:rsidR="00290C53">
        <w:rPr>
          <w:rFonts w:ascii="Times New Roman" w:hAnsi="Times New Roman" w:cs="Times New Roman (Body CS)"/>
        </w:rPr>
        <w:t xml:space="preserve"> about </w:t>
      </w:r>
      <w:r w:rsidRPr="008F61E7" w:rsidR="00290C53">
        <w:rPr>
          <w:rFonts w:ascii="Times New Roman" w:hAnsi="Times New Roman" w:cs="Times New Roman (Body CS)"/>
        </w:rPr>
        <w:t>the</w:t>
      </w:r>
      <w:r>
        <w:rPr>
          <w:rFonts w:ascii="Times New Roman" w:hAnsi="Times New Roman" w:cs="Times New Roman (Body CS)"/>
        </w:rPr>
        <w:t xml:space="preserve"> injuries </w:t>
      </w:r>
      <w:r w:rsidR="006C43AD">
        <w:rPr>
          <w:rFonts w:ascii="Times New Roman" w:hAnsi="Times New Roman" w:cs="Times New Roman (Body CS)"/>
        </w:rPr>
        <w:t xml:space="preserve">to Vincent Garcia, </w:t>
      </w:r>
      <w:r w:rsidR="00AD26AC">
        <w:rPr>
          <w:rFonts w:ascii="Times New Roman" w:hAnsi="Times New Roman" w:cs="Times New Roman (Body CS)"/>
        </w:rPr>
        <w:t>a</w:t>
      </w:r>
      <w:r>
        <w:rPr>
          <w:rFonts w:ascii="Times New Roman" w:hAnsi="Times New Roman" w:cs="Times New Roman (Body CS)"/>
        </w:rPr>
        <w:t xml:space="preserve"> required </w:t>
      </w:r>
      <w:r w:rsidR="00AD26AC">
        <w:rPr>
          <w:rFonts w:ascii="Times New Roman" w:hAnsi="Times New Roman" w:cs="Times New Roman (Body CS)"/>
        </w:rPr>
        <w:t>element of his claims</w:t>
      </w:r>
      <w:r>
        <w:rPr>
          <w:rFonts w:ascii="Times New Roman" w:hAnsi="Times New Roman" w:cs="Times New Roman (Body CS)"/>
        </w:rPr>
        <w:t>. (</w:t>
      </w:r>
      <w:r>
        <w:rPr>
          <w:rFonts w:ascii="Times New Roman" w:hAnsi="Times New Roman" w:cs="Times New Roman (Body CS)"/>
          <w:i/>
          <w:iCs/>
        </w:rPr>
        <w:t>Culbertson v. R.D. Werner Co., Inc.</w:t>
      </w:r>
      <w:r>
        <w:rPr>
          <w:rFonts w:ascii="Times New Roman" w:hAnsi="Times New Roman" w:cs="Times New Roman (Body CS)"/>
        </w:rPr>
        <w:t xml:space="preserve"> (1987) 190 Cal.App.3d 704, 711-712.)</w:t>
      </w:r>
    </w:p>
    <w:p w:rsidR="008306F4" w:rsidP="00F619E7" w14:paraId="26483F15" w14:textId="7DC44F2F">
      <w:pPr>
        <w:spacing w:line="600" w:lineRule="atLeast"/>
        <w:ind w:firstLine="720"/>
        <w:rPr>
          <w:rFonts w:ascii="Times New Roman" w:hAnsi="Times New Roman" w:cs="Times New Roman (Body CS)"/>
        </w:rPr>
      </w:pPr>
      <w:r>
        <w:rPr>
          <w:rFonts w:ascii="Times New Roman" w:hAnsi="Times New Roman" w:cs="Times New Roman (Body CS)"/>
        </w:rPr>
        <w:t xml:space="preserve">The Garcias rightly do not </w:t>
      </w:r>
      <w:r w:rsidR="006C43AD">
        <w:rPr>
          <w:rFonts w:ascii="Times New Roman" w:hAnsi="Times New Roman" w:cs="Times New Roman (Body CS)"/>
        </w:rPr>
        <w:t>argue</w:t>
      </w:r>
      <w:r>
        <w:rPr>
          <w:rFonts w:ascii="Times New Roman" w:hAnsi="Times New Roman" w:cs="Times New Roman (Body CS)"/>
        </w:rPr>
        <w:t xml:space="preserve"> the witnesses themselves were </w:t>
      </w:r>
      <w:r w:rsidR="006C43AD">
        <w:rPr>
          <w:rFonts w:ascii="Times New Roman" w:hAnsi="Times New Roman" w:cs="Times New Roman (Body CS)"/>
        </w:rPr>
        <w:t xml:space="preserve">not </w:t>
      </w:r>
      <w:r>
        <w:rPr>
          <w:rFonts w:ascii="Times New Roman" w:hAnsi="Times New Roman" w:cs="Times New Roman (Body CS)"/>
        </w:rPr>
        <w:t>reasonably necessary</w:t>
      </w:r>
      <w:r w:rsidR="00310DC7">
        <w:rPr>
          <w:rFonts w:ascii="Times New Roman" w:hAnsi="Times New Roman" w:cs="Times New Roman (Body CS)"/>
        </w:rPr>
        <w:t xml:space="preserve"> to litigating the case</w:t>
      </w:r>
      <w:r>
        <w:rPr>
          <w:rFonts w:ascii="Times New Roman" w:hAnsi="Times New Roman" w:cs="Times New Roman (Body CS)"/>
        </w:rPr>
        <w:t xml:space="preserve">. Nor do they challenge the reasonableness of awarding a prevailing party </w:t>
      </w:r>
      <w:r w:rsidR="006C43AD">
        <w:rPr>
          <w:rFonts w:ascii="Times New Roman" w:hAnsi="Times New Roman" w:cs="Times New Roman (Body CS)"/>
        </w:rPr>
        <w:t>amounts they</w:t>
      </w:r>
      <w:r>
        <w:rPr>
          <w:rFonts w:ascii="Times New Roman" w:hAnsi="Times New Roman" w:cs="Times New Roman (Body CS)"/>
        </w:rPr>
        <w:t xml:space="preserve"> paid to court reporters or process servers</w:t>
      </w:r>
      <w:r w:rsidR="00937FAF">
        <w:rPr>
          <w:rFonts w:ascii="Times New Roman" w:hAnsi="Times New Roman" w:cs="Times New Roman (Body CS)"/>
        </w:rPr>
        <w:t>,</w:t>
      </w:r>
      <w:r>
        <w:rPr>
          <w:rFonts w:ascii="Times New Roman" w:hAnsi="Times New Roman" w:cs="Times New Roman (Body CS)"/>
        </w:rPr>
        <w:t xml:space="preserve"> or the reasonableness of the amounts Tempur-Pedic has shown they paid. Instead, they ask us to hold it </w:t>
      </w:r>
      <w:r w:rsidR="006C43AD">
        <w:rPr>
          <w:rFonts w:ascii="Times New Roman" w:hAnsi="Times New Roman" w:cs="Times New Roman (Body CS)"/>
        </w:rPr>
        <w:t xml:space="preserve">is always </w:t>
      </w:r>
      <w:r>
        <w:rPr>
          <w:rFonts w:ascii="Times New Roman" w:hAnsi="Times New Roman" w:cs="Times New Roman (Body CS)"/>
        </w:rPr>
        <w:t xml:space="preserve">improper to award costs </w:t>
      </w:r>
      <w:r w:rsidR="006C43AD">
        <w:rPr>
          <w:rFonts w:ascii="Times New Roman" w:hAnsi="Times New Roman" w:cs="Times New Roman (Body CS)"/>
        </w:rPr>
        <w:t xml:space="preserve">incurred </w:t>
      </w:r>
      <w:r>
        <w:rPr>
          <w:rFonts w:ascii="Times New Roman" w:hAnsi="Times New Roman" w:cs="Times New Roman (Body CS)"/>
        </w:rPr>
        <w:t>for depositions that did not occur. We agree with the trial court</w:t>
      </w:r>
      <w:r>
        <w:rPr>
          <w:rFonts w:ascii="Times New Roman" w:hAnsi="Times New Roman" w:cs="Times New Roman (Body CS)"/>
        </w:rPr>
        <w:t xml:space="preserve"> that it is legally proper to award such costs</w:t>
      </w:r>
      <w:r>
        <w:rPr>
          <w:rFonts w:ascii="Times New Roman" w:hAnsi="Times New Roman" w:cs="Times New Roman (Body CS)"/>
        </w:rPr>
        <w:t>.</w:t>
      </w:r>
    </w:p>
    <w:p w:rsidR="00E9255F" w:rsidP="00F619E7" w14:paraId="77B8B57F" w14:textId="27ECC14C">
      <w:pPr>
        <w:spacing w:line="600" w:lineRule="atLeast"/>
        <w:ind w:firstLine="720"/>
        <w:rPr>
          <w:rFonts w:ascii="Times New Roman" w:hAnsi="Times New Roman" w:cs="Times New Roman (Body CS)"/>
        </w:rPr>
      </w:pPr>
      <w:r w:rsidRPr="00DB3562">
        <w:rPr>
          <w:rFonts w:ascii="Times New Roman" w:hAnsi="Times New Roman" w:cs="Times New Roman (Body CS)"/>
        </w:rPr>
        <w:t>The witnesses in</w:t>
      </w:r>
      <w:r w:rsidR="00937FAF">
        <w:rPr>
          <w:rFonts w:ascii="Times New Roman" w:hAnsi="Times New Roman" w:cs="Times New Roman (Body CS)"/>
        </w:rPr>
        <w:t>volved a</w:t>
      </w:r>
      <w:r w:rsidRPr="00DB3562">
        <w:rPr>
          <w:rFonts w:ascii="Times New Roman" w:hAnsi="Times New Roman" w:cs="Times New Roman (Body CS)"/>
        </w:rPr>
        <w:t>re</w:t>
      </w:r>
      <w:r>
        <w:rPr>
          <w:rFonts w:ascii="Times New Roman" w:hAnsi="Times New Roman" w:cs="Times New Roman (Body CS)"/>
        </w:rPr>
        <w:t xml:space="preserve"> medical professionals</w:t>
      </w:r>
      <w:r w:rsidR="00D47AE2">
        <w:rPr>
          <w:rFonts w:ascii="Times New Roman" w:hAnsi="Times New Roman" w:cs="Times New Roman (Body CS)"/>
        </w:rPr>
        <w:t xml:space="preserve"> </w:t>
      </w:r>
      <w:r>
        <w:rPr>
          <w:rFonts w:ascii="Times New Roman" w:hAnsi="Times New Roman" w:cs="Times New Roman (Body CS)"/>
        </w:rPr>
        <w:t xml:space="preserve">the </w:t>
      </w:r>
      <w:r w:rsidR="00D47AE2">
        <w:rPr>
          <w:rFonts w:ascii="Times New Roman" w:hAnsi="Times New Roman" w:cs="Times New Roman (Body CS)"/>
        </w:rPr>
        <w:t xml:space="preserve">Garcias identified as treating Vincent Garcia for his injuries. </w:t>
      </w:r>
      <w:r w:rsidR="00D30F48">
        <w:rPr>
          <w:rFonts w:ascii="Times New Roman" w:hAnsi="Times New Roman" w:cs="Times New Roman (Body CS)"/>
        </w:rPr>
        <w:t>D</w:t>
      </w:r>
      <w:r>
        <w:rPr>
          <w:rFonts w:ascii="Times New Roman" w:hAnsi="Times New Roman" w:cs="Times New Roman (Body CS)"/>
        </w:rPr>
        <w:t xml:space="preserve">efense </w:t>
      </w:r>
      <w:r w:rsidR="00D47AE2">
        <w:rPr>
          <w:rFonts w:ascii="Times New Roman" w:hAnsi="Times New Roman" w:cs="Times New Roman (Body CS)"/>
        </w:rPr>
        <w:t>counsel</w:t>
      </w:r>
      <w:r w:rsidR="00D30F48">
        <w:rPr>
          <w:rFonts w:ascii="Times New Roman" w:hAnsi="Times New Roman" w:cs="Times New Roman (Body CS)"/>
        </w:rPr>
        <w:t xml:space="preserve"> of course was justified in</w:t>
      </w:r>
      <w:r w:rsidR="00D47AE2">
        <w:rPr>
          <w:rFonts w:ascii="Times New Roman" w:hAnsi="Times New Roman" w:cs="Times New Roman (Body CS)"/>
        </w:rPr>
        <w:t xml:space="preserve"> pursu</w:t>
      </w:r>
      <w:r w:rsidR="00D30F48">
        <w:rPr>
          <w:rFonts w:ascii="Times New Roman" w:hAnsi="Times New Roman" w:cs="Times New Roman (Body CS)"/>
        </w:rPr>
        <w:t>ing</w:t>
      </w:r>
      <w:r w:rsidR="00D47AE2">
        <w:rPr>
          <w:rFonts w:ascii="Times New Roman" w:hAnsi="Times New Roman" w:cs="Times New Roman (Body CS)"/>
        </w:rPr>
        <w:t xml:space="preserve"> the depositions of these </w:t>
      </w:r>
      <w:r>
        <w:rPr>
          <w:rFonts w:ascii="Times New Roman" w:hAnsi="Times New Roman" w:cs="Times New Roman (Body CS)"/>
        </w:rPr>
        <w:t>witnesses</w:t>
      </w:r>
      <w:r w:rsidR="00D47AE2">
        <w:rPr>
          <w:rFonts w:ascii="Times New Roman" w:hAnsi="Times New Roman" w:cs="Times New Roman (Body CS)"/>
        </w:rPr>
        <w:t xml:space="preserve">. Along the way, </w:t>
      </w:r>
      <w:r w:rsidR="00DA2683">
        <w:rPr>
          <w:rFonts w:ascii="Times New Roman" w:hAnsi="Times New Roman" w:cs="Times New Roman (Body CS)"/>
        </w:rPr>
        <w:t>Tempur-Pedic</w:t>
      </w:r>
      <w:r w:rsidR="00D47AE2">
        <w:rPr>
          <w:rFonts w:ascii="Times New Roman" w:hAnsi="Times New Roman" w:cs="Times New Roman (Body CS)"/>
        </w:rPr>
        <w:t xml:space="preserve"> incurred common costs of conducting discovery, including fees for service of process and customary fees charged by court reporters.</w:t>
      </w:r>
    </w:p>
    <w:p w:rsidR="00DA2683" w:rsidP="00F619E7" w14:paraId="2EDB7636" w14:textId="2A8FE3EA">
      <w:pPr>
        <w:spacing w:line="600" w:lineRule="atLeast"/>
        <w:ind w:firstLine="720"/>
        <w:rPr>
          <w:rFonts w:ascii="Times New Roman" w:hAnsi="Times New Roman" w:cs="Times New Roman (Body CS)"/>
        </w:rPr>
      </w:pPr>
      <w:r>
        <w:rPr>
          <w:rFonts w:ascii="Times New Roman" w:hAnsi="Times New Roman" w:cs="Times New Roman (Body CS)"/>
        </w:rPr>
        <w:t xml:space="preserve">When they incurred these </w:t>
      </w:r>
      <w:r>
        <w:rPr>
          <w:rFonts w:ascii="Times New Roman" w:hAnsi="Times New Roman" w:cs="Times New Roman (Body CS)"/>
        </w:rPr>
        <w:t>charges</w:t>
      </w:r>
      <w:r w:rsidR="00D30F48">
        <w:rPr>
          <w:rFonts w:ascii="Times New Roman" w:hAnsi="Times New Roman" w:cs="Times New Roman (Body CS)"/>
        </w:rPr>
        <w:t xml:space="preserve"> in the ongoing case</w:t>
      </w:r>
      <w:r>
        <w:rPr>
          <w:rFonts w:ascii="Times New Roman" w:hAnsi="Times New Roman" w:cs="Times New Roman (Body CS)"/>
        </w:rPr>
        <w:t>, nothing suggest</w:t>
      </w:r>
      <w:r w:rsidR="002C5E56">
        <w:rPr>
          <w:rFonts w:ascii="Times New Roman" w:hAnsi="Times New Roman" w:cs="Times New Roman (Body CS)"/>
        </w:rPr>
        <w:t>s</w:t>
      </w:r>
      <w:r>
        <w:rPr>
          <w:rFonts w:ascii="Times New Roman" w:hAnsi="Times New Roman" w:cs="Times New Roman (Body CS)"/>
        </w:rPr>
        <w:t xml:space="preserve"> </w:t>
      </w:r>
      <w:r>
        <w:rPr>
          <w:rFonts w:ascii="Times New Roman" w:hAnsi="Times New Roman" w:cs="Times New Roman (Body CS)"/>
        </w:rPr>
        <w:t>Tempur-Pedic or their counsel</w:t>
      </w:r>
      <w:r>
        <w:rPr>
          <w:rFonts w:ascii="Times New Roman" w:hAnsi="Times New Roman" w:cs="Times New Roman (Body CS)"/>
        </w:rPr>
        <w:t xml:space="preserve"> knew the case was </w:t>
      </w:r>
      <w:r w:rsidR="00E9255F">
        <w:rPr>
          <w:rFonts w:ascii="Times New Roman" w:hAnsi="Times New Roman" w:cs="Times New Roman (Body CS)"/>
        </w:rPr>
        <w:t xml:space="preserve">especially </w:t>
      </w:r>
      <w:r>
        <w:rPr>
          <w:rFonts w:ascii="Times New Roman" w:hAnsi="Times New Roman" w:cs="Times New Roman (Body CS)"/>
        </w:rPr>
        <w:t xml:space="preserve">likely to terminate </w:t>
      </w:r>
      <w:r w:rsidR="002C5E56">
        <w:rPr>
          <w:rFonts w:ascii="Times New Roman" w:hAnsi="Times New Roman" w:cs="Times New Roman (Body CS)"/>
        </w:rPr>
        <w:t>without the depositions occurring</w:t>
      </w:r>
      <w:r>
        <w:rPr>
          <w:rFonts w:ascii="Times New Roman" w:hAnsi="Times New Roman" w:cs="Times New Roman (Body CS)"/>
        </w:rPr>
        <w:t>.</w:t>
      </w:r>
      <w:r w:rsidR="002C5E56">
        <w:rPr>
          <w:rFonts w:ascii="Times New Roman" w:hAnsi="Times New Roman" w:cs="Times New Roman (Body CS)"/>
        </w:rPr>
        <w:t xml:space="preserve"> Civil cases often settle before trial, at various stages. Depositions themselves, as they occur, can clarify the strength of each parties’ </w:t>
      </w:r>
      <w:r w:rsidR="001C7DF2">
        <w:rPr>
          <w:rFonts w:ascii="Times New Roman" w:hAnsi="Times New Roman" w:cs="Times New Roman (Body CS)"/>
        </w:rPr>
        <w:t>case,</w:t>
      </w:r>
      <w:r w:rsidR="002C5E56">
        <w:rPr>
          <w:rFonts w:ascii="Times New Roman" w:hAnsi="Times New Roman" w:cs="Times New Roman (Body CS)"/>
        </w:rPr>
        <w:t xml:space="preserve"> and can foster a settlement. There is </w:t>
      </w:r>
      <w:r w:rsidR="0003035D">
        <w:rPr>
          <w:rFonts w:ascii="Times New Roman" w:hAnsi="Times New Roman" w:cs="Times New Roman (Body CS)"/>
        </w:rPr>
        <w:t xml:space="preserve">no blanket reason to conclude that the costs for depositions that did not occur were unwarranted </w:t>
      </w:r>
      <w:r w:rsidR="001C2804">
        <w:rPr>
          <w:rFonts w:ascii="Times New Roman" w:hAnsi="Times New Roman" w:cs="Times New Roman (Body CS)"/>
        </w:rPr>
        <w:t>when</w:t>
      </w:r>
      <w:r w:rsidR="0003035D">
        <w:rPr>
          <w:rFonts w:ascii="Times New Roman" w:hAnsi="Times New Roman" w:cs="Times New Roman (Body CS)"/>
        </w:rPr>
        <w:t xml:space="preserve"> </w:t>
      </w:r>
      <w:r w:rsidR="0089759D">
        <w:rPr>
          <w:rFonts w:ascii="Times New Roman" w:hAnsi="Times New Roman" w:cs="Times New Roman (Body CS)"/>
        </w:rPr>
        <w:t xml:space="preserve">they were </w:t>
      </w:r>
      <w:r w:rsidR="0003035D">
        <w:rPr>
          <w:rFonts w:ascii="Times New Roman" w:hAnsi="Times New Roman" w:cs="Times New Roman (Body CS)"/>
        </w:rPr>
        <w:t xml:space="preserve">noticed. It </w:t>
      </w:r>
      <w:r w:rsidR="006C43AD">
        <w:rPr>
          <w:rFonts w:ascii="Times New Roman" w:hAnsi="Times New Roman" w:cs="Times New Roman (Body CS)"/>
        </w:rPr>
        <w:t xml:space="preserve">is no importance to the award of costs that the litigation terminated in Tempur-Pedic’s favor </w:t>
      </w:r>
      <w:r w:rsidRPr="00DA2683" w:rsidR="006C43AD">
        <w:rPr>
          <w:rFonts w:ascii="Times New Roman" w:hAnsi="Times New Roman" w:cs="Times New Roman (Body CS)"/>
          <w:i/>
          <w:iCs/>
        </w:rPr>
        <w:t>before</w:t>
      </w:r>
      <w:r w:rsidR="006C43AD">
        <w:rPr>
          <w:rFonts w:ascii="Times New Roman" w:hAnsi="Times New Roman" w:cs="Times New Roman (Body CS)"/>
        </w:rPr>
        <w:t xml:space="preserve"> the depositions </w:t>
      </w:r>
      <w:r w:rsidR="00310DC7">
        <w:rPr>
          <w:rFonts w:ascii="Times New Roman" w:hAnsi="Times New Roman" w:cs="Times New Roman (Body CS)"/>
        </w:rPr>
        <w:t>were</w:t>
      </w:r>
      <w:r w:rsidR="006C43AD">
        <w:rPr>
          <w:rFonts w:ascii="Times New Roman" w:hAnsi="Times New Roman" w:cs="Times New Roman (Body CS)"/>
        </w:rPr>
        <w:t xml:space="preserve"> completed.</w:t>
      </w:r>
      <w:r>
        <w:rPr>
          <w:rFonts w:ascii="Times New Roman" w:hAnsi="Times New Roman" w:cs="Times New Roman (Body CS)"/>
        </w:rPr>
        <w:t xml:space="preserve"> </w:t>
      </w:r>
      <w:r w:rsidR="0089759D">
        <w:rPr>
          <w:rFonts w:ascii="Times New Roman" w:hAnsi="Times New Roman" w:cs="Times New Roman (Body CS)"/>
        </w:rPr>
        <w:t>In this case, the Garcias’ dismissal of their claims against Tempur-Pedic does not even appear as something that Temp</w:t>
      </w:r>
      <w:r w:rsidR="002D1452">
        <w:rPr>
          <w:rFonts w:ascii="Times New Roman" w:hAnsi="Times New Roman" w:cs="Times New Roman (Body CS)"/>
        </w:rPr>
        <w:t>u</w:t>
      </w:r>
      <w:r w:rsidR="0089759D">
        <w:rPr>
          <w:rFonts w:ascii="Times New Roman" w:hAnsi="Times New Roman" w:cs="Times New Roman (Body CS)"/>
        </w:rPr>
        <w:t>r-Pedic should have predicted at any point, much less at the time of noticing the depositions.</w:t>
      </w:r>
    </w:p>
    <w:p w:rsidR="00DA2683" w:rsidRPr="00BF7839" w:rsidP="00F619E7" w14:paraId="09CB64B5" w14:textId="20E26CF6">
      <w:pPr>
        <w:spacing w:line="600" w:lineRule="atLeast"/>
        <w:ind w:firstLine="720"/>
        <w:rPr>
          <w:rFonts w:ascii="Times New Roman" w:hAnsi="Times New Roman" w:cs="Times New Roman (Body CS)"/>
        </w:rPr>
      </w:pPr>
      <w:r>
        <w:rPr>
          <w:rFonts w:ascii="Times New Roman" w:hAnsi="Times New Roman" w:cs="Times New Roman (Body CS)"/>
        </w:rPr>
        <w:t xml:space="preserve">The trial court </w:t>
      </w:r>
      <w:r w:rsidR="0089759D">
        <w:rPr>
          <w:rFonts w:ascii="Times New Roman" w:hAnsi="Times New Roman" w:cs="Times New Roman (Body CS)"/>
        </w:rPr>
        <w:t>properly considered</w:t>
      </w:r>
      <w:r>
        <w:rPr>
          <w:rFonts w:ascii="Times New Roman" w:hAnsi="Times New Roman" w:cs="Times New Roman (Body CS)"/>
        </w:rPr>
        <w:t xml:space="preserve"> whether the costs were reasonably necessary to litigating the case at the time they were incurred. Hindsight is no guide here. That is why courts routinely refuse to tax costs on the ground that a deponent did no</w:t>
      </w:r>
      <w:r w:rsidR="00BF7839">
        <w:rPr>
          <w:rFonts w:ascii="Times New Roman" w:hAnsi="Times New Roman" w:cs="Times New Roman (Body CS)"/>
        </w:rPr>
        <w:t>t</w:t>
      </w:r>
      <w:r>
        <w:rPr>
          <w:rFonts w:ascii="Times New Roman" w:hAnsi="Times New Roman" w:cs="Times New Roman (Body CS)"/>
        </w:rPr>
        <w:t xml:space="preserve"> end up testifying or providing useful testimony at trial. (E.g., </w:t>
      </w:r>
      <w:r>
        <w:rPr>
          <w:rFonts w:ascii="Times New Roman" w:hAnsi="Times New Roman" w:cs="Times New Roman (Body CS)"/>
          <w:i/>
          <w:iCs/>
        </w:rPr>
        <w:t>Chaaban</w:t>
      </w:r>
      <w:r>
        <w:rPr>
          <w:rFonts w:ascii="Times New Roman" w:hAnsi="Times New Roman" w:cs="Times New Roman (Body CS)"/>
        </w:rPr>
        <w:t xml:space="preserve">, </w:t>
      </w:r>
      <w:r>
        <w:rPr>
          <w:rFonts w:ascii="Times New Roman" w:hAnsi="Times New Roman" w:cs="Times New Roman (Body CS)"/>
          <w:i/>
          <w:iCs/>
        </w:rPr>
        <w:t>supra</w:t>
      </w:r>
      <w:r>
        <w:rPr>
          <w:rFonts w:ascii="Times New Roman" w:hAnsi="Times New Roman" w:cs="Times New Roman (Body CS)"/>
        </w:rPr>
        <w:t>, 203 Cal.App.4th at p. 57 [</w:t>
      </w:r>
      <w:r w:rsidR="00BF7839">
        <w:rPr>
          <w:rFonts w:ascii="Times New Roman" w:hAnsi="Times New Roman" w:cs="Times New Roman (Body CS)"/>
        </w:rPr>
        <w:t>affirming award of deposition costs as reasonably necessary even though counsel was unable at trial to introduce exhibits into evidence through the witness</w:t>
      </w:r>
      <w:r>
        <w:rPr>
          <w:rFonts w:ascii="Times New Roman" w:hAnsi="Times New Roman" w:cs="Times New Roman (Body CS)"/>
        </w:rPr>
        <w:t>].)</w:t>
      </w:r>
      <w:r w:rsidR="00BF7839">
        <w:rPr>
          <w:rFonts w:ascii="Times New Roman" w:hAnsi="Times New Roman" w:cs="Times New Roman (Body CS)"/>
        </w:rPr>
        <w:t xml:space="preserve"> </w:t>
      </w:r>
      <w:r w:rsidR="00310DC7">
        <w:rPr>
          <w:rFonts w:ascii="Times New Roman" w:hAnsi="Times New Roman" w:cs="Times New Roman (Body CS)"/>
        </w:rPr>
        <w:t>It</w:t>
      </w:r>
      <w:r w:rsidR="00BF7839">
        <w:rPr>
          <w:rFonts w:ascii="Times New Roman" w:hAnsi="Times New Roman" w:cs="Times New Roman (Body CS)"/>
        </w:rPr>
        <w:t xml:space="preserve"> is enough that the Garcias identified the professionals as potential witnesses about a core </w:t>
      </w:r>
      <w:r w:rsidR="00176225">
        <w:rPr>
          <w:rFonts w:ascii="Times New Roman" w:hAnsi="Times New Roman" w:cs="Times New Roman (Body CS)"/>
        </w:rPr>
        <w:t>litigation</w:t>
      </w:r>
      <w:r w:rsidR="0057747C">
        <w:rPr>
          <w:rFonts w:ascii="Times New Roman" w:hAnsi="Times New Roman" w:cs="Times New Roman (Body CS)"/>
        </w:rPr>
        <w:t xml:space="preserve"> topic</w:t>
      </w:r>
      <w:r w:rsidR="00176225">
        <w:rPr>
          <w:rFonts w:ascii="Times New Roman" w:hAnsi="Times New Roman" w:cs="Times New Roman (Body CS)"/>
        </w:rPr>
        <w:t>,</w:t>
      </w:r>
      <w:r w:rsidR="00310DC7">
        <w:rPr>
          <w:rFonts w:ascii="Times New Roman" w:hAnsi="Times New Roman" w:cs="Times New Roman (Body CS)"/>
        </w:rPr>
        <w:t xml:space="preserve"> and nothing had occurred to make it appear they were not reasonably necessary when Tempur-Pedic incurred the costs</w:t>
      </w:r>
      <w:r w:rsidR="00BF7839">
        <w:rPr>
          <w:rFonts w:ascii="Times New Roman" w:hAnsi="Times New Roman" w:cs="Times New Roman (Body CS)"/>
        </w:rPr>
        <w:t>. (</w:t>
      </w:r>
      <w:r w:rsidR="00BF7839">
        <w:rPr>
          <w:rFonts w:ascii="Times New Roman" w:hAnsi="Times New Roman" w:cs="Times New Roman (Body CS)"/>
          <w:i/>
          <w:iCs/>
        </w:rPr>
        <w:t>Ibid.</w:t>
      </w:r>
      <w:r w:rsidR="00BF7839">
        <w:rPr>
          <w:rFonts w:ascii="Times New Roman" w:hAnsi="Times New Roman" w:cs="Times New Roman (Body CS)"/>
        </w:rPr>
        <w:t>)</w:t>
      </w:r>
    </w:p>
    <w:p w:rsidR="00EB611E" w:rsidP="00F619E7" w14:paraId="110A8CEC" w14:textId="72601E58">
      <w:pPr>
        <w:spacing w:line="600" w:lineRule="atLeast"/>
        <w:ind w:firstLine="720"/>
        <w:rPr>
          <w:rFonts w:ascii="Times New Roman" w:hAnsi="Times New Roman" w:cs="Times New Roman (Body CS)"/>
        </w:rPr>
      </w:pPr>
      <w:r>
        <w:rPr>
          <w:rFonts w:ascii="Times New Roman" w:hAnsi="Times New Roman" w:cs="Times New Roman (Body CS)"/>
        </w:rPr>
        <w:t>S</w:t>
      </w:r>
      <w:r w:rsidRPr="00DB3562" w:rsidR="00DA2683">
        <w:rPr>
          <w:rFonts w:ascii="Times New Roman" w:hAnsi="Times New Roman" w:cs="Times New Roman (Body CS)"/>
        </w:rPr>
        <w:t>ome</w:t>
      </w:r>
      <w:r w:rsidR="00DA2683">
        <w:rPr>
          <w:rFonts w:ascii="Times New Roman" w:hAnsi="Times New Roman" w:cs="Times New Roman (Body CS)"/>
        </w:rPr>
        <w:t xml:space="preserve"> of the challenged costs</w:t>
      </w:r>
      <w:r w:rsidR="00BF7839">
        <w:rPr>
          <w:rFonts w:ascii="Times New Roman" w:hAnsi="Times New Roman" w:cs="Times New Roman (Body CS)"/>
        </w:rPr>
        <w:t xml:space="preserve"> arose because </w:t>
      </w:r>
      <w:r w:rsidR="000A0684">
        <w:rPr>
          <w:rFonts w:ascii="Times New Roman" w:hAnsi="Times New Roman" w:cs="Times New Roman (Body CS)"/>
        </w:rPr>
        <w:t>witnesses failed to appear for</w:t>
      </w:r>
      <w:r w:rsidR="00BF7839">
        <w:rPr>
          <w:rFonts w:ascii="Times New Roman" w:hAnsi="Times New Roman" w:cs="Times New Roman (Body CS)"/>
        </w:rPr>
        <w:t xml:space="preserve"> their </w:t>
      </w:r>
      <w:r w:rsidR="000A0684">
        <w:rPr>
          <w:rFonts w:ascii="Times New Roman" w:hAnsi="Times New Roman" w:cs="Times New Roman (Body CS)"/>
        </w:rPr>
        <w:t>depositions</w:t>
      </w:r>
      <w:r>
        <w:rPr>
          <w:rFonts w:ascii="Times New Roman" w:hAnsi="Times New Roman" w:cs="Times New Roman (Body CS)"/>
        </w:rPr>
        <w:t>, which is not a reason to deny Tempur-Pedic costs</w:t>
      </w:r>
      <w:r w:rsidR="00BF7839">
        <w:rPr>
          <w:rFonts w:ascii="Times New Roman" w:hAnsi="Times New Roman" w:cs="Times New Roman (Body CS)"/>
        </w:rPr>
        <w:t>. McLarty’s deposition</w:t>
      </w:r>
      <w:r>
        <w:rPr>
          <w:rFonts w:ascii="Times New Roman" w:hAnsi="Times New Roman" w:cs="Times New Roman (Body CS)"/>
        </w:rPr>
        <w:t xml:space="preserve"> cost</w:t>
      </w:r>
      <w:r w:rsidR="00BF7839">
        <w:rPr>
          <w:rFonts w:ascii="Times New Roman" w:hAnsi="Times New Roman" w:cs="Times New Roman (Body CS)"/>
        </w:rPr>
        <w:t xml:space="preserve"> was a fee paid to the court reporter for a late cancellation. Lane’s deposition </w:t>
      </w:r>
      <w:r>
        <w:rPr>
          <w:rFonts w:ascii="Times New Roman" w:hAnsi="Times New Roman" w:cs="Times New Roman (Body CS)"/>
        </w:rPr>
        <w:t xml:space="preserve">cost </w:t>
      </w:r>
      <w:r w:rsidR="00BF7839">
        <w:rPr>
          <w:rFonts w:ascii="Times New Roman" w:hAnsi="Times New Roman" w:cs="Times New Roman (Body CS)"/>
        </w:rPr>
        <w:t xml:space="preserve">was a fee for a certificate of nonappearance when the witness failed to appear. The trial court did not abuse its discretion by holding them responsible for </w:t>
      </w:r>
      <w:r w:rsidR="00E40519">
        <w:rPr>
          <w:rFonts w:ascii="Times New Roman" w:hAnsi="Times New Roman" w:cs="Times New Roman (Body CS)"/>
        </w:rPr>
        <w:t>the</w:t>
      </w:r>
      <w:r w:rsidR="000829AA">
        <w:rPr>
          <w:rFonts w:ascii="Times New Roman" w:hAnsi="Times New Roman" w:cs="Times New Roman (Body CS)"/>
        </w:rPr>
        <w:t>se</w:t>
      </w:r>
      <w:r w:rsidR="00E40519">
        <w:rPr>
          <w:rFonts w:ascii="Times New Roman" w:hAnsi="Times New Roman" w:cs="Times New Roman (Body CS)"/>
        </w:rPr>
        <w:t xml:space="preserve"> costs.</w:t>
      </w:r>
    </w:p>
    <w:p w:rsidR="00D039A3" w:rsidP="003A1478" w14:paraId="133ACCBF" w14:textId="52FAF49A">
      <w:pPr>
        <w:spacing w:line="600" w:lineRule="atLeast"/>
        <w:ind w:firstLine="720"/>
        <w:rPr>
          <w:rFonts w:ascii="Times New Roman" w:hAnsi="Times New Roman" w:cs="Times New Roman (Body CS)"/>
        </w:rPr>
      </w:pPr>
      <w:r w:rsidRPr="00A5109F">
        <w:rPr>
          <w:rFonts w:ascii="Times New Roman" w:hAnsi="Times New Roman" w:cs="Times New Roman (Body CS)"/>
        </w:rPr>
        <w:t xml:space="preserve">The Garcias argue </w:t>
      </w:r>
      <w:r w:rsidRPr="00A5109F" w:rsidR="00EB283D">
        <w:rPr>
          <w:rFonts w:ascii="Times New Roman" w:hAnsi="Times New Roman" w:cs="Times New Roman (Body CS)"/>
        </w:rPr>
        <w:t>it does not matter</w:t>
      </w:r>
      <w:r w:rsidRPr="00A5109F" w:rsidR="001F1EE0">
        <w:rPr>
          <w:rFonts w:ascii="Times New Roman" w:hAnsi="Times New Roman" w:cs="Times New Roman (Body CS)"/>
        </w:rPr>
        <w:t xml:space="preserve"> whether the noticed depositions were reasonably necessary because </w:t>
      </w:r>
      <w:r w:rsidRPr="00A5109F" w:rsidR="007D052A">
        <w:rPr>
          <w:rFonts w:ascii="Times New Roman" w:hAnsi="Times New Roman" w:cs="Times New Roman (Body CS)"/>
        </w:rPr>
        <w:t xml:space="preserve">they read </w:t>
      </w:r>
      <w:r w:rsidRPr="00A5109F" w:rsidR="00206723">
        <w:rPr>
          <w:rFonts w:ascii="Times New Roman" w:hAnsi="Times New Roman" w:cs="Times New Roman (Body CS)"/>
        </w:rPr>
        <w:t>section 1033.5</w:t>
      </w:r>
      <w:r w:rsidRPr="00A5109F">
        <w:rPr>
          <w:rFonts w:ascii="Times New Roman" w:hAnsi="Times New Roman" w:cs="Times New Roman (Body CS)"/>
        </w:rPr>
        <w:t xml:space="preserve"> </w:t>
      </w:r>
      <w:r w:rsidRPr="00A5109F" w:rsidR="007D052A">
        <w:rPr>
          <w:rFonts w:ascii="Times New Roman" w:hAnsi="Times New Roman" w:cs="Times New Roman (Body CS)"/>
        </w:rPr>
        <w:t xml:space="preserve">as </w:t>
      </w:r>
      <w:r w:rsidRPr="00A5109F">
        <w:rPr>
          <w:rFonts w:ascii="Times New Roman" w:hAnsi="Times New Roman" w:cs="Times New Roman (Body CS)"/>
        </w:rPr>
        <w:t xml:space="preserve">expressly </w:t>
      </w:r>
      <w:r w:rsidRPr="00A5109F" w:rsidR="001F1EE0">
        <w:rPr>
          <w:rFonts w:ascii="Times New Roman" w:hAnsi="Times New Roman" w:cs="Times New Roman (Body CS)"/>
        </w:rPr>
        <w:t>limi</w:t>
      </w:r>
      <w:r w:rsidRPr="00A5109F" w:rsidR="007D052A">
        <w:rPr>
          <w:rFonts w:ascii="Times New Roman" w:hAnsi="Times New Roman" w:cs="Times New Roman (Body CS)"/>
        </w:rPr>
        <w:t>ting</w:t>
      </w:r>
      <w:r w:rsidRPr="00A5109F">
        <w:rPr>
          <w:rFonts w:ascii="Times New Roman" w:hAnsi="Times New Roman" w:cs="Times New Roman (Body CS)"/>
        </w:rPr>
        <w:t xml:space="preserve"> </w:t>
      </w:r>
      <w:r w:rsidRPr="00A5109F" w:rsidR="001F1EE0">
        <w:rPr>
          <w:rFonts w:ascii="Times New Roman" w:hAnsi="Times New Roman" w:cs="Times New Roman (Body CS)"/>
        </w:rPr>
        <w:t>awards to costs of</w:t>
      </w:r>
      <w:r w:rsidRPr="00A5109F" w:rsidR="003C6988">
        <w:rPr>
          <w:rFonts w:ascii="Times New Roman" w:hAnsi="Times New Roman" w:cs="Times New Roman (Body CS)"/>
        </w:rPr>
        <w:t xml:space="preserve"> </w:t>
      </w:r>
      <w:r w:rsidRPr="00A5109F">
        <w:rPr>
          <w:rFonts w:ascii="Times New Roman" w:hAnsi="Times New Roman" w:cs="Times New Roman (Body CS)"/>
        </w:rPr>
        <w:t>depositions</w:t>
      </w:r>
      <w:r w:rsidRPr="00A5109F" w:rsidR="003C6988">
        <w:rPr>
          <w:rFonts w:ascii="Times New Roman" w:hAnsi="Times New Roman" w:cs="Times New Roman (Body CS)"/>
        </w:rPr>
        <w:t xml:space="preserve"> that </w:t>
      </w:r>
      <w:r w:rsidRPr="00A5109F" w:rsidR="00206723">
        <w:rPr>
          <w:rFonts w:ascii="Times New Roman" w:hAnsi="Times New Roman" w:cs="Times New Roman (Body CS)"/>
        </w:rPr>
        <w:t>were completed</w:t>
      </w:r>
      <w:r w:rsidRPr="00A5109F" w:rsidR="003C6988">
        <w:rPr>
          <w:rFonts w:ascii="Times New Roman" w:hAnsi="Times New Roman" w:cs="Times New Roman (Body CS)"/>
        </w:rPr>
        <w:t xml:space="preserve">. Section 1033.5 subdivision (a) lists several categories of allowable costs. </w:t>
      </w:r>
      <w:r w:rsidRPr="00A5109F" w:rsidR="00206723">
        <w:rPr>
          <w:rFonts w:ascii="Times New Roman" w:hAnsi="Times New Roman" w:cs="Times New Roman (Body CS)"/>
        </w:rPr>
        <w:t>Among those, s</w:t>
      </w:r>
      <w:r w:rsidRPr="00A5109F" w:rsidR="003C6988">
        <w:rPr>
          <w:rFonts w:ascii="Times New Roman" w:hAnsi="Times New Roman" w:cs="Times New Roman (Body CS)"/>
        </w:rPr>
        <w:t>ubdivision (a)(3)(A) allows costs related to “[t]aking, video recording, and transcribing necessary depositions, including an original an</w:t>
      </w:r>
      <w:r w:rsidRPr="00A5109F" w:rsidR="006B7CFC">
        <w:rPr>
          <w:rFonts w:ascii="Times New Roman" w:hAnsi="Times New Roman" w:cs="Times New Roman (Body CS)"/>
        </w:rPr>
        <w:t xml:space="preserve">d </w:t>
      </w:r>
      <w:r w:rsidRPr="00A5109F" w:rsidR="003C6988">
        <w:rPr>
          <w:rFonts w:ascii="Times New Roman" w:hAnsi="Times New Roman" w:cs="Times New Roman (Body CS)"/>
        </w:rPr>
        <w:t>one copy of those taken by the claimant and one copy of depositions taken by the party against whom costs are allowed.”</w:t>
      </w:r>
      <w:r w:rsidRPr="00A5109F" w:rsidR="006B7CFC">
        <w:rPr>
          <w:rFonts w:ascii="Times New Roman" w:hAnsi="Times New Roman" w:cs="Times New Roman (Body CS)"/>
        </w:rPr>
        <w:t xml:space="preserve"> </w:t>
      </w:r>
      <w:r w:rsidRPr="00A5109F" w:rsidR="007D052A">
        <w:rPr>
          <w:rFonts w:ascii="Times New Roman" w:hAnsi="Times New Roman" w:cs="Times New Roman (Body CS)"/>
        </w:rPr>
        <w:t>While</w:t>
      </w:r>
      <w:r w:rsidRPr="00A5109F" w:rsidR="00206723">
        <w:rPr>
          <w:rFonts w:ascii="Times New Roman" w:hAnsi="Times New Roman" w:cs="Times New Roman (Body CS)"/>
        </w:rPr>
        <w:t xml:space="preserve"> that provision </w:t>
      </w:r>
      <w:r w:rsidRPr="00A5109F" w:rsidR="006B7CFC">
        <w:rPr>
          <w:rFonts w:ascii="Times New Roman" w:hAnsi="Times New Roman" w:cs="Times New Roman (Body CS)"/>
        </w:rPr>
        <w:t>envision</w:t>
      </w:r>
      <w:r w:rsidRPr="00A5109F" w:rsidR="00206723">
        <w:rPr>
          <w:rFonts w:ascii="Times New Roman" w:hAnsi="Times New Roman" w:cs="Times New Roman (Body CS)"/>
        </w:rPr>
        <w:t>s</w:t>
      </w:r>
      <w:r w:rsidRPr="00A5109F" w:rsidR="006B7CFC">
        <w:rPr>
          <w:rFonts w:ascii="Times New Roman" w:hAnsi="Times New Roman" w:cs="Times New Roman (Body CS)"/>
        </w:rPr>
        <w:t xml:space="preserve"> the award of costs related to </w:t>
      </w:r>
      <w:r w:rsidRPr="00A5109F" w:rsidR="00206723">
        <w:rPr>
          <w:rFonts w:ascii="Times New Roman" w:hAnsi="Times New Roman" w:cs="Times New Roman (Body CS)"/>
        </w:rPr>
        <w:t xml:space="preserve">completed </w:t>
      </w:r>
      <w:r w:rsidRPr="00A5109F" w:rsidR="006B7CFC">
        <w:rPr>
          <w:rFonts w:ascii="Times New Roman" w:hAnsi="Times New Roman" w:cs="Times New Roman (Body CS)"/>
        </w:rPr>
        <w:t xml:space="preserve">depositions, </w:t>
      </w:r>
      <w:r w:rsidRPr="00A5109F" w:rsidR="00206723">
        <w:rPr>
          <w:rFonts w:ascii="Times New Roman" w:hAnsi="Times New Roman" w:cs="Times New Roman (Body CS)"/>
        </w:rPr>
        <w:t>that is because its focus is on reimbursing the parties for the costs of recording</w:t>
      </w:r>
      <w:r w:rsidRPr="00A5109F" w:rsidR="001F1EE0">
        <w:rPr>
          <w:rFonts w:ascii="Times New Roman" w:hAnsi="Times New Roman" w:cs="Times New Roman (Body CS)"/>
        </w:rPr>
        <w:t xml:space="preserve"> them</w:t>
      </w:r>
      <w:r w:rsidRPr="00A5109F" w:rsidR="00206723">
        <w:rPr>
          <w:rFonts w:ascii="Times New Roman" w:hAnsi="Times New Roman" w:cs="Times New Roman (Body CS)"/>
        </w:rPr>
        <w:t xml:space="preserve">. </w:t>
      </w:r>
      <w:r w:rsidRPr="00A5109F" w:rsidR="001F1EE0">
        <w:rPr>
          <w:rFonts w:ascii="Times New Roman" w:hAnsi="Times New Roman" w:cs="Times New Roman (Body CS)"/>
        </w:rPr>
        <w:t>Subdivision</w:t>
      </w:r>
      <w:r w:rsidRPr="00A5109F" w:rsidR="00206723">
        <w:rPr>
          <w:rFonts w:ascii="Times New Roman" w:hAnsi="Times New Roman" w:cs="Times New Roman (Body CS)"/>
        </w:rPr>
        <w:t xml:space="preserve"> (a)(4), by contrast, says nothing about </w:t>
      </w:r>
      <w:r w:rsidRPr="00A5109F" w:rsidR="007D052A">
        <w:rPr>
          <w:rFonts w:ascii="Times New Roman" w:hAnsi="Times New Roman" w:cs="Times New Roman (Body CS)"/>
        </w:rPr>
        <w:t>“taken”</w:t>
      </w:r>
      <w:r w:rsidRPr="00A5109F" w:rsidR="00206723">
        <w:rPr>
          <w:rFonts w:ascii="Times New Roman" w:hAnsi="Times New Roman" w:cs="Times New Roman (Body CS)"/>
        </w:rPr>
        <w:t xml:space="preserve"> depositions; it allows costs for “[s]ervice of process by a public officer, registered process server, or other means.” </w:t>
      </w:r>
      <w:r w:rsidRPr="00A5109F" w:rsidR="006B7CFC">
        <w:rPr>
          <w:rFonts w:ascii="Times New Roman" w:hAnsi="Times New Roman" w:cs="Times New Roman (Body CS)"/>
        </w:rPr>
        <w:t xml:space="preserve">Thus, </w:t>
      </w:r>
      <w:r w:rsidRPr="00A5109F" w:rsidR="007D052A">
        <w:rPr>
          <w:rFonts w:ascii="Times New Roman" w:hAnsi="Times New Roman" w:cs="Times New Roman (Body CS)"/>
        </w:rPr>
        <w:t>the statute does not limit the</w:t>
      </w:r>
      <w:r w:rsidRPr="00A5109F" w:rsidR="006B7CFC">
        <w:rPr>
          <w:rFonts w:ascii="Times New Roman" w:hAnsi="Times New Roman" w:cs="Times New Roman (Body CS)"/>
        </w:rPr>
        <w:t xml:space="preserve"> award </w:t>
      </w:r>
      <w:r w:rsidRPr="00A5109F" w:rsidR="007D052A">
        <w:rPr>
          <w:rFonts w:ascii="Times New Roman" w:hAnsi="Times New Roman" w:cs="Times New Roman (Body CS)"/>
        </w:rPr>
        <w:t xml:space="preserve">of </w:t>
      </w:r>
      <w:r w:rsidRPr="00A5109F" w:rsidR="006B7CFC">
        <w:rPr>
          <w:rFonts w:ascii="Times New Roman" w:hAnsi="Times New Roman" w:cs="Times New Roman (Body CS)"/>
        </w:rPr>
        <w:t>costs</w:t>
      </w:r>
      <w:r w:rsidRPr="00A5109F" w:rsidR="007D052A">
        <w:rPr>
          <w:rFonts w:ascii="Times New Roman" w:hAnsi="Times New Roman" w:cs="Times New Roman (Body CS)"/>
        </w:rPr>
        <w:t xml:space="preserve"> of service</w:t>
      </w:r>
      <w:r w:rsidRPr="00A5109F" w:rsidR="006B7CFC">
        <w:rPr>
          <w:rFonts w:ascii="Times New Roman" w:hAnsi="Times New Roman" w:cs="Times New Roman (Body CS)"/>
        </w:rPr>
        <w:t xml:space="preserve"> </w:t>
      </w:r>
      <w:r w:rsidRPr="00A5109F" w:rsidR="007D052A">
        <w:rPr>
          <w:rFonts w:ascii="Times New Roman" w:hAnsi="Times New Roman" w:cs="Times New Roman (Body CS)"/>
        </w:rPr>
        <w:t xml:space="preserve">to completed </w:t>
      </w:r>
      <w:r w:rsidRPr="00A5109F" w:rsidR="006B7CFC">
        <w:rPr>
          <w:rFonts w:ascii="Times New Roman" w:hAnsi="Times New Roman" w:cs="Times New Roman (Body CS)"/>
        </w:rPr>
        <w:t>depositions</w:t>
      </w:r>
      <w:r w:rsidRPr="00A5109F" w:rsidR="00206723">
        <w:rPr>
          <w:rFonts w:ascii="Times New Roman" w:hAnsi="Times New Roman" w:cs="Times New Roman (Body CS)"/>
        </w:rPr>
        <w:t xml:space="preserve"> </w:t>
      </w:r>
      <w:r w:rsidRPr="00A5109F" w:rsidR="007D052A">
        <w:rPr>
          <w:rFonts w:ascii="Times New Roman" w:hAnsi="Times New Roman" w:cs="Times New Roman (Body CS)"/>
        </w:rPr>
        <w:t>as the Garcias claim</w:t>
      </w:r>
      <w:r w:rsidRPr="00A5109F" w:rsidR="00206723">
        <w:rPr>
          <w:rFonts w:ascii="Times New Roman" w:hAnsi="Times New Roman" w:cs="Times New Roman (Body CS)"/>
        </w:rPr>
        <w:t>.</w:t>
      </w:r>
      <w:r w:rsidR="00206723">
        <w:rPr>
          <w:rFonts w:ascii="Times New Roman" w:hAnsi="Times New Roman" w:cs="Times New Roman (Body CS)"/>
        </w:rPr>
        <w:t xml:space="preserve"> </w:t>
      </w:r>
    </w:p>
    <w:p w:rsidR="00A348A1" w:rsidP="003A1478" w14:paraId="7E167655" w14:textId="7298788D">
      <w:pPr>
        <w:spacing w:line="600" w:lineRule="atLeast"/>
        <w:ind w:firstLine="720"/>
        <w:rPr>
          <w:rFonts w:ascii="Times New Roman" w:hAnsi="Times New Roman" w:cs="Times New Roman (Body CS)"/>
        </w:rPr>
      </w:pPr>
      <w:r>
        <w:rPr>
          <w:rFonts w:ascii="Times New Roman" w:hAnsi="Times New Roman" w:cs="Times New Roman (Body CS)"/>
        </w:rPr>
        <w:t xml:space="preserve">The only </w:t>
      </w:r>
      <w:r w:rsidR="007D052A">
        <w:rPr>
          <w:rFonts w:ascii="Times New Roman" w:hAnsi="Times New Roman" w:cs="Times New Roman (Body CS)"/>
        </w:rPr>
        <w:t>non-service</w:t>
      </w:r>
      <w:r>
        <w:rPr>
          <w:rFonts w:ascii="Times New Roman" w:hAnsi="Times New Roman" w:cs="Times New Roman (Body CS)"/>
        </w:rPr>
        <w:t xml:space="preserve"> cost</w:t>
      </w:r>
      <w:r w:rsidR="003A1478">
        <w:rPr>
          <w:rFonts w:ascii="Times New Roman" w:hAnsi="Times New Roman" w:cs="Times New Roman (Body CS)"/>
        </w:rPr>
        <w:t>s</w:t>
      </w:r>
      <w:r>
        <w:rPr>
          <w:rFonts w:ascii="Times New Roman" w:hAnsi="Times New Roman" w:cs="Times New Roman (Body CS)"/>
        </w:rPr>
        <w:t xml:space="preserve"> the</w:t>
      </w:r>
      <w:r w:rsidR="00D039A3">
        <w:rPr>
          <w:rFonts w:ascii="Times New Roman" w:hAnsi="Times New Roman" w:cs="Times New Roman (Body CS)"/>
        </w:rPr>
        <w:t xml:space="preserve"> Garcias</w:t>
      </w:r>
      <w:r>
        <w:rPr>
          <w:rFonts w:ascii="Times New Roman" w:hAnsi="Times New Roman" w:cs="Times New Roman (Body CS)"/>
        </w:rPr>
        <w:t xml:space="preserve"> challenge </w:t>
      </w:r>
      <w:r w:rsidR="003A1478">
        <w:rPr>
          <w:rFonts w:ascii="Times New Roman" w:hAnsi="Times New Roman" w:cs="Times New Roman (Body CS)"/>
        </w:rPr>
        <w:t>are</w:t>
      </w:r>
      <w:r>
        <w:rPr>
          <w:rFonts w:ascii="Times New Roman" w:hAnsi="Times New Roman" w:cs="Times New Roman (Body CS)"/>
        </w:rPr>
        <w:t xml:space="preserve"> the expense</w:t>
      </w:r>
      <w:r w:rsidR="003A1478">
        <w:rPr>
          <w:rFonts w:ascii="Times New Roman" w:hAnsi="Times New Roman" w:cs="Times New Roman (Body CS)"/>
        </w:rPr>
        <w:t>s</w:t>
      </w:r>
      <w:r>
        <w:rPr>
          <w:rFonts w:ascii="Times New Roman" w:hAnsi="Times New Roman" w:cs="Times New Roman (Body CS)"/>
        </w:rPr>
        <w:t xml:space="preserve"> related to obtaining the certificate of nonappearance related to Lane’s deposition</w:t>
      </w:r>
      <w:r w:rsidR="003A1478">
        <w:rPr>
          <w:rFonts w:ascii="Times New Roman" w:hAnsi="Times New Roman" w:cs="Times New Roman (Body CS)"/>
        </w:rPr>
        <w:t xml:space="preserve"> and the late cancellation fee related to Mc</w:t>
      </w:r>
      <w:r w:rsidR="007D052A">
        <w:rPr>
          <w:rFonts w:ascii="Times New Roman" w:hAnsi="Times New Roman" w:cs="Times New Roman (Body CS)"/>
        </w:rPr>
        <w:t>Lart</w:t>
      </w:r>
      <w:r w:rsidR="003A1478">
        <w:rPr>
          <w:rFonts w:ascii="Times New Roman" w:hAnsi="Times New Roman" w:cs="Times New Roman (Body CS)"/>
        </w:rPr>
        <w:t>y’s deposition</w:t>
      </w:r>
      <w:r>
        <w:rPr>
          <w:rFonts w:ascii="Times New Roman" w:hAnsi="Times New Roman" w:cs="Times New Roman (Body CS)"/>
        </w:rPr>
        <w:t>.</w:t>
      </w:r>
      <w:r w:rsidR="006B7CFC">
        <w:rPr>
          <w:rFonts w:ascii="Times New Roman" w:hAnsi="Times New Roman" w:cs="Times New Roman (Body CS)"/>
        </w:rPr>
        <w:t xml:space="preserve">  </w:t>
      </w:r>
      <w:r>
        <w:rPr>
          <w:rFonts w:ascii="Times New Roman" w:hAnsi="Times New Roman" w:cs="Times New Roman (Body CS)"/>
        </w:rPr>
        <w:t xml:space="preserve">At oral argument, the Garcias conceded the cost of the certificate of nonappearance is recoverable under subdivision </w:t>
      </w:r>
      <w:r w:rsidR="001F1EE0">
        <w:rPr>
          <w:rFonts w:ascii="Times New Roman" w:hAnsi="Times New Roman" w:cs="Times New Roman (Body CS)"/>
        </w:rPr>
        <w:t>(a)</w:t>
      </w:r>
      <w:r w:rsidRPr="00DB64C1">
        <w:rPr>
          <w:rFonts w:ascii="Times New Roman" w:hAnsi="Times New Roman" w:cs="Times New Roman (Body CS)"/>
        </w:rPr>
        <w:t>(3)</w:t>
      </w:r>
      <w:r>
        <w:rPr>
          <w:rFonts w:ascii="Times New Roman" w:hAnsi="Times New Roman" w:cs="Times New Roman (Body CS)"/>
        </w:rPr>
        <w:t xml:space="preserve"> because such a certificate is the equivalent of a deposition transcript where a witness fails to appear.</w:t>
      </w:r>
      <w:r w:rsidR="003A1478">
        <w:rPr>
          <w:rFonts w:ascii="Times New Roman" w:hAnsi="Times New Roman" w:cs="Times New Roman (Body CS)"/>
        </w:rPr>
        <w:t xml:space="preserve"> We conclude a late cancellation fee paid to a reporter may </w:t>
      </w:r>
      <w:r w:rsidR="00EB283D">
        <w:rPr>
          <w:rFonts w:ascii="Times New Roman" w:hAnsi="Times New Roman" w:cs="Times New Roman (Body CS)"/>
        </w:rPr>
        <w:t>likewise</w:t>
      </w:r>
      <w:r w:rsidR="003A1478">
        <w:rPr>
          <w:rFonts w:ascii="Times New Roman" w:hAnsi="Times New Roman" w:cs="Times New Roman (Body CS)"/>
        </w:rPr>
        <w:t xml:space="preserve"> be recovered as an expense related to taking a deposition.</w:t>
      </w:r>
    </w:p>
    <w:p w:rsidR="00DB64C1" w:rsidP="00F619E7" w14:paraId="2E451C7F" w14:textId="3D050AC7">
      <w:pPr>
        <w:spacing w:line="600" w:lineRule="atLeast"/>
        <w:ind w:firstLine="720"/>
        <w:rPr>
          <w:rFonts w:ascii="Times New Roman" w:hAnsi="Times New Roman" w:cs="Times New Roman (Body CS)"/>
        </w:rPr>
      </w:pPr>
      <w:r>
        <w:rPr>
          <w:rFonts w:ascii="Times New Roman" w:hAnsi="Times New Roman" w:cs="Times New Roman (Body CS)"/>
        </w:rPr>
        <w:t xml:space="preserve">The Garcias </w:t>
      </w:r>
      <w:r w:rsidR="001F1EE0">
        <w:rPr>
          <w:rFonts w:ascii="Times New Roman" w:hAnsi="Times New Roman" w:cs="Times New Roman (Body CS)"/>
        </w:rPr>
        <w:t xml:space="preserve">also </w:t>
      </w:r>
      <w:r>
        <w:rPr>
          <w:rFonts w:ascii="Times New Roman" w:hAnsi="Times New Roman" w:cs="Times New Roman (Body CS)"/>
        </w:rPr>
        <w:t xml:space="preserve">object to paying the costs of Lane’s notice of nonappearance </w:t>
      </w:r>
      <w:r w:rsidR="001F1EE0">
        <w:rPr>
          <w:rFonts w:ascii="Times New Roman" w:hAnsi="Times New Roman" w:cs="Times New Roman (Body CS)"/>
        </w:rPr>
        <w:t xml:space="preserve">on the ground that </w:t>
      </w:r>
      <w:r>
        <w:rPr>
          <w:rFonts w:ascii="Times New Roman" w:hAnsi="Times New Roman" w:cs="Times New Roman (Body CS)"/>
        </w:rPr>
        <w:t xml:space="preserve">Tempur-Pedic </w:t>
      </w:r>
      <w:r w:rsidR="00310DC7">
        <w:rPr>
          <w:rFonts w:ascii="Times New Roman" w:hAnsi="Times New Roman" w:cs="Times New Roman (Body CS)"/>
        </w:rPr>
        <w:t>identified</w:t>
      </w:r>
      <w:r>
        <w:rPr>
          <w:rFonts w:ascii="Times New Roman" w:hAnsi="Times New Roman" w:cs="Times New Roman (Body CS)"/>
        </w:rPr>
        <w:t xml:space="preserve"> </w:t>
      </w:r>
      <w:r w:rsidR="007D052A">
        <w:rPr>
          <w:rFonts w:ascii="Times New Roman" w:hAnsi="Times New Roman" w:cs="Times New Roman (Body CS)"/>
        </w:rPr>
        <w:t>him</w:t>
      </w:r>
      <w:r>
        <w:rPr>
          <w:rFonts w:ascii="Times New Roman" w:hAnsi="Times New Roman" w:cs="Times New Roman (Body CS)"/>
        </w:rPr>
        <w:t xml:space="preserve"> as a</w:t>
      </w:r>
      <w:r w:rsidR="00310DC7">
        <w:rPr>
          <w:rFonts w:ascii="Times New Roman" w:hAnsi="Times New Roman" w:cs="Times New Roman (Body CS)"/>
        </w:rPr>
        <w:t xml:space="preserve"> nonretained</w:t>
      </w:r>
      <w:r>
        <w:rPr>
          <w:rFonts w:ascii="Times New Roman" w:hAnsi="Times New Roman" w:cs="Times New Roman (Body CS)"/>
        </w:rPr>
        <w:t xml:space="preserve"> expert witness.</w:t>
      </w:r>
      <w:r w:rsidR="0074208F">
        <w:rPr>
          <w:rFonts w:ascii="Times New Roman" w:hAnsi="Times New Roman" w:cs="Times New Roman (Body CS)"/>
        </w:rPr>
        <w:t xml:space="preserve"> Fees of expert witnesses are not automatically recoverable.  (Section 1033.5, subds. (a)(8), (b)(1). </w:t>
      </w:r>
      <w:r w:rsidR="00D324A8">
        <w:rPr>
          <w:rFonts w:ascii="Times New Roman" w:hAnsi="Times New Roman" w:cs="Times New Roman (Body CS)"/>
        </w:rPr>
        <w:t>Tempur-Pedic</w:t>
      </w:r>
      <w:r w:rsidR="006D347B">
        <w:rPr>
          <w:rFonts w:ascii="Times New Roman" w:hAnsi="Times New Roman" w:cs="Times New Roman (Body CS)"/>
        </w:rPr>
        <w:t>, though,</w:t>
      </w:r>
      <w:r w:rsidR="00D324A8">
        <w:rPr>
          <w:rFonts w:ascii="Times New Roman" w:hAnsi="Times New Roman" w:cs="Times New Roman (Body CS)"/>
        </w:rPr>
        <w:t xml:space="preserve"> did not </w:t>
      </w:r>
      <w:r w:rsidR="00C84C29">
        <w:rPr>
          <w:rFonts w:ascii="Times New Roman" w:hAnsi="Times New Roman" w:cs="Times New Roman (Body CS)"/>
        </w:rPr>
        <w:t>name</w:t>
      </w:r>
      <w:r w:rsidR="00D324A8">
        <w:rPr>
          <w:rFonts w:ascii="Times New Roman" w:hAnsi="Times New Roman" w:cs="Times New Roman (Body CS)"/>
        </w:rPr>
        <w:t xml:space="preserve"> Lane </w:t>
      </w:r>
      <w:r w:rsidR="00C84C29">
        <w:rPr>
          <w:rFonts w:ascii="Times New Roman" w:hAnsi="Times New Roman" w:cs="Times New Roman (Body CS)"/>
        </w:rPr>
        <w:t>as a retained expert</w:t>
      </w:r>
      <w:r w:rsidR="00EB611E">
        <w:rPr>
          <w:rFonts w:ascii="Times New Roman" w:hAnsi="Times New Roman" w:cs="Times New Roman (Body CS)"/>
        </w:rPr>
        <w:t>, which it would do by naming him</w:t>
      </w:r>
      <w:r w:rsidR="00C84C29">
        <w:rPr>
          <w:rFonts w:ascii="Times New Roman" w:hAnsi="Times New Roman" w:cs="Times New Roman (Body CS)"/>
        </w:rPr>
        <w:t xml:space="preserve"> “for the purpose of forming and expressing an opinion in anticipation of the litigation or in preparation for the trial of the action.’” (</w:t>
      </w:r>
      <w:r w:rsidR="00C84C29">
        <w:rPr>
          <w:rFonts w:ascii="Times New Roman" w:hAnsi="Times New Roman" w:cs="Times New Roman (Body CS)"/>
          <w:i/>
          <w:iCs/>
        </w:rPr>
        <w:t xml:space="preserve">Schreiber v. </w:t>
      </w:r>
      <w:r w:rsidRPr="00183401" w:rsidR="00C84C29">
        <w:rPr>
          <w:rFonts w:ascii="Times New Roman" w:hAnsi="Times New Roman" w:cs="Times New Roman (Body CS)"/>
          <w:i/>
          <w:iCs/>
        </w:rPr>
        <w:t>Estate</w:t>
      </w:r>
      <w:r w:rsidR="00C84C29">
        <w:rPr>
          <w:rFonts w:ascii="Times New Roman" w:hAnsi="Times New Roman" w:cs="Times New Roman (Body CS)"/>
          <w:i/>
          <w:iCs/>
        </w:rPr>
        <w:t xml:space="preserve"> of Kiser </w:t>
      </w:r>
      <w:r w:rsidR="00C84C29">
        <w:rPr>
          <w:rFonts w:ascii="Times New Roman" w:hAnsi="Times New Roman" w:cs="Times New Roman (Body CS)"/>
        </w:rPr>
        <w:t>(1999) 22 Cal.4th 32, 36, quoting former Code Civ. Proc.</w:t>
      </w:r>
      <w:r w:rsidR="002D1452">
        <w:rPr>
          <w:rFonts w:ascii="Times New Roman" w:hAnsi="Times New Roman" w:cs="Times New Roman (Body CS)"/>
        </w:rPr>
        <w:t>,</w:t>
      </w:r>
      <w:r w:rsidR="00C84C29">
        <w:rPr>
          <w:rFonts w:ascii="Times New Roman" w:hAnsi="Times New Roman" w:cs="Times New Roman (Body CS)"/>
        </w:rPr>
        <w:t xml:space="preserve"> § 2034, subd. (a)(2).) </w:t>
      </w:r>
      <w:r w:rsidR="00EB611E">
        <w:rPr>
          <w:rFonts w:ascii="Times New Roman" w:hAnsi="Times New Roman" w:cs="Times New Roman (Body CS)"/>
        </w:rPr>
        <w:t>Instead, t</w:t>
      </w:r>
      <w:r w:rsidR="00C84C29">
        <w:rPr>
          <w:rFonts w:ascii="Times New Roman" w:hAnsi="Times New Roman" w:cs="Times New Roman (Body CS)"/>
        </w:rPr>
        <w:t>hey named him as a</w:t>
      </w:r>
      <w:r w:rsidR="00EB611E">
        <w:rPr>
          <w:rFonts w:ascii="Times New Roman" w:hAnsi="Times New Roman" w:cs="Times New Roman (Body CS)"/>
        </w:rPr>
        <w:t xml:space="preserve"> fact witness, a</w:t>
      </w:r>
      <w:r w:rsidR="00C84C29">
        <w:rPr>
          <w:rFonts w:ascii="Times New Roman" w:hAnsi="Times New Roman" w:cs="Times New Roman (Body CS)"/>
        </w:rPr>
        <w:t xml:space="preserve"> “treating physician . . . [who] learns of the plaintiff’s injuries and medical history because of the underlying physician-patient relationship.” (</w:t>
      </w:r>
      <w:r w:rsidR="00C84C29">
        <w:rPr>
          <w:rFonts w:ascii="Times New Roman" w:hAnsi="Times New Roman" w:cs="Times New Roman (Body CS)"/>
          <w:i/>
          <w:iCs/>
        </w:rPr>
        <w:t>Ibid.</w:t>
      </w:r>
      <w:r w:rsidR="00C84C29">
        <w:rPr>
          <w:rFonts w:ascii="Times New Roman" w:hAnsi="Times New Roman" w:cs="Times New Roman (Body CS)"/>
        </w:rPr>
        <w:t>)</w:t>
      </w:r>
      <w:r w:rsidR="00ED1E2A">
        <w:rPr>
          <w:rFonts w:ascii="Times New Roman" w:hAnsi="Times New Roman" w:cs="Times New Roman (Body CS)"/>
        </w:rPr>
        <w:t xml:space="preserve"> </w:t>
      </w:r>
      <w:r w:rsidRPr="00ED1E2A" w:rsidR="00B3578E">
        <w:rPr>
          <w:rFonts w:ascii="Times New Roman" w:hAnsi="Times New Roman" w:cs="Times New Roman (Body CS)"/>
          <w:iCs/>
        </w:rPr>
        <w:t>The</w:t>
      </w:r>
      <w:r w:rsidRPr="00B3578E" w:rsidR="00B3578E">
        <w:rPr>
          <w:rFonts w:ascii="Times New Roman" w:hAnsi="Times New Roman" w:cs="Times New Roman (Body CS)"/>
          <w:i/>
          <w:iCs/>
        </w:rPr>
        <w:t xml:space="preserve"> </w:t>
      </w:r>
      <w:r w:rsidRPr="00ED1E2A" w:rsidR="00B3578E">
        <w:rPr>
          <w:rFonts w:ascii="Times New Roman" w:hAnsi="Times New Roman" w:cs="Times New Roman (Body CS)"/>
          <w:iCs/>
        </w:rPr>
        <w:t>trial</w:t>
      </w:r>
      <w:r w:rsidRPr="00B3578E" w:rsidR="00B3578E">
        <w:rPr>
          <w:rFonts w:ascii="Times New Roman" w:hAnsi="Times New Roman" w:cs="Times New Roman (Body CS)"/>
          <w:i/>
          <w:iCs/>
        </w:rPr>
        <w:t xml:space="preserve"> </w:t>
      </w:r>
      <w:r w:rsidRPr="00ED1E2A" w:rsidR="00B3578E">
        <w:rPr>
          <w:rFonts w:ascii="Times New Roman" w:hAnsi="Times New Roman" w:cs="Times New Roman (Body CS)"/>
          <w:iCs/>
        </w:rPr>
        <w:t>court</w:t>
      </w:r>
      <w:r w:rsidRPr="00B3578E" w:rsidR="00B3578E">
        <w:rPr>
          <w:rFonts w:ascii="Times New Roman" w:hAnsi="Times New Roman" w:cs="Times New Roman (Body CS)"/>
          <w:i/>
          <w:iCs/>
        </w:rPr>
        <w:t xml:space="preserve"> </w:t>
      </w:r>
      <w:r w:rsidRPr="00ED1E2A" w:rsidR="00B3578E">
        <w:rPr>
          <w:rFonts w:ascii="Times New Roman" w:hAnsi="Times New Roman" w:cs="Times New Roman (Body CS)"/>
        </w:rPr>
        <w:t>thus</w:t>
      </w:r>
      <w:r w:rsidRPr="00B3578E" w:rsidR="00B3578E">
        <w:rPr>
          <w:rFonts w:ascii="Times New Roman" w:hAnsi="Times New Roman" w:cs="Times New Roman (Body CS)"/>
          <w:i/>
          <w:iCs/>
        </w:rPr>
        <w:t xml:space="preserve"> </w:t>
      </w:r>
      <w:r w:rsidRPr="00ED1E2A" w:rsidR="00B3578E">
        <w:rPr>
          <w:rFonts w:ascii="Times New Roman" w:hAnsi="Times New Roman" w:cs="Times New Roman (Body CS)"/>
          <w:iCs/>
        </w:rPr>
        <w:t>did</w:t>
      </w:r>
      <w:r w:rsidR="00176225">
        <w:rPr>
          <w:rFonts w:ascii="Times New Roman" w:hAnsi="Times New Roman" w:cs="Times New Roman (Body CS)"/>
        </w:rPr>
        <w:t xml:space="preserve"> not abuse its discretion by concluding</w:t>
      </w:r>
      <w:r>
        <w:rPr>
          <w:rFonts w:ascii="Times New Roman" w:hAnsi="Times New Roman" w:cs="Times New Roman (Body CS)"/>
        </w:rPr>
        <w:t xml:space="preserve"> </w:t>
      </w:r>
      <w:r w:rsidR="0065581F">
        <w:rPr>
          <w:rFonts w:ascii="Times New Roman" w:hAnsi="Times New Roman" w:cs="Times New Roman (Body CS)"/>
        </w:rPr>
        <w:t xml:space="preserve">Tempur-Pedic deposed him </w:t>
      </w:r>
      <w:r>
        <w:rPr>
          <w:rFonts w:ascii="Times New Roman" w:hAnsi="Times New Roman" w:cs="Times New Roman (Body CS)"/>
        </w:rPr>
        <w:t xml:space="preserve">as a </w:t>
      </w:r>
      <w:r w:rsidR="0065581F">
        <w:rPr>
          <w:rFonts w:ascii="Times New Roman" w:hAnsi="Times New Roman" w:cs="Times New Roman (Body CS)"/>
        </w:rPr>
        <w:t xml:space="preserve">fact </w:t>
      </w:r>
      <w:r>
        <w:rPr>
          <w:rFonts w:ascii="Times New Roman" w:hAnsi="Times New Roman" w:cs="Times New Roman (Body CS)"/>
        </w:rPr>
        <w:t>witness reasonably necessary to the litigation.</w:t>
      </w:r>
      <w:r w:rsidR="00C84C29">
        <w:rPr>
          <w:rFonts w:ascii="Times New Roman" w:hAnsi="Times New Roman" w:cs="Times New Roman (Body CS)"/>
        </w:rPr>
        <w:t xml:space="preserve"> </w:t>
      </w:r>
      <w:r w:rsidR="00D61D69">
        <w:rPr>
          <w:rFonts w:ascii="Times New Roman" w:hAnsi="Times New Roman" w:cs="Times New Roman (Body CS)"/>
        </w:rPr>
        <w:t>Tempur-Pedic also identified Slepski,</w:t>
      </w:r>
      <w:r w:rsidR="007D052A">
        <w:rPr>
          <w:rFonts w:ascii="Times New Roman" w:hAnsi="Times New Roman" w:cs="Times New Roman (Body CS)"/>
        </w:rPr>
        <w:t xml:space="preserve"> </w:t>
      </w:r>
      <w:r w:rsidR="00D61D69">
        <w:rPr>
          <w:rFonts w:ascii="Times New Roman" w:hAnsi="Times New Roman" w:cs="Times New Roman (Body CS)"/>
        </w:rPr>
        <w:t>Chuang, and Sahagun as nonretained experts, and allowing recovery of costs related to serving them with process was reasonable for the same reasons.</w:t>
      </w:r>
    </w:p>
    <w:p w:rsidR="00751824" w:rsidRPr="00F438D5" w:rsidP="00F619E7" w14:paraId="2F5A2E93" w14:textId="5523E347">
      <w:pPr>
        <w:spacing w:line="600" w:lineRule="atLeast"/>
        <w:ind w:firstLine="720"/>
        <w:rPr>
          <w:rFonts w:ascii="Times New Roman" w:hAnsi="Times New Roman" w:cs="Times New Roman (Body CS)"/>
        </w:rPr>
      </w:pPr>
      <w:r>
        <w:rPr>
          <w:rFonts w:ascii="Times New Roman" w:hAnsi="Times New Roman" w:cs="Times New Roman (Body CS)"/>
        </w:rPr>
        <w:t xml:space="preserve">The Garcias find </w:t>
      </w:r>
      <w:r w:rsidR="00AC01AB">
        <w:rPr>
          <w:rFonts w:ascii="Times New Roman" w:hAnsi="Times New Roman" w:cs="Times New Roman (Body CS)"/>
        </w:rPr>
        <w:t>fault</w:t>
      </w:r>
      <w:r>
        <w:rPr>
          <w:rFonts w:ascii="Times New Roman" w:hAnsi="Times New Roman" w:cs="Times New Roman (Body CS)"/>
        </w:rPr>
        <w:t xml:space="preserve"> with Tempur-Pedic for seeking to recover the costs of serving Tan because he had died </w:t>
      </w:r>
      <w:r w:rsidR="00E81D1C">
        <w:rPr>
          <w:rFonts w:ascii="Times New Roman" w:hAnsi="Times New Roman" w:cs="Times New Roman (Body CS)"/>
        </w:rPr>
        <w:t xml:space="preserve">before </w:t>
      </w:r>
      <w:r>
        <w:rPr>
          <w:rFonts w:ascii="Times New Roman" w:hAnsi="Times New Roman" w:cs="Times New Roman (Body CS)"/>
        </w:rPr>
        <w:t xml:space="preserve">being served. </w:t>
      </w:r>
      <w:r w:rsidRPr="00A83599" w:rsidR="00C8319D">
        <w:rPr>
          <w:rFonts w:ascii="Times New Roman" w:hAnsi="Times New Roman" w:cs="Times New Roman (Body CS)"/>
        </w:rPr>
        <w:t xml:space="preserve">Yet </w:t>
      </w:r>
      <w:r w:rsidRPr="00DB3562">
        <w:rPr>
          <w:rFonts w:ascii="Times New Roman" w:hAnsi="Times New Roman" w:cs="Times New Roman (Body CS)"/>
        </w:rPr>
        <w:t>the Garcias</w:t>
      </w:r>
      <w:r w:rsidR="00E81D1C">
        <w:rPr>
          <w:rFonts w:ascii="Times New Roman" w:hAnsi="Times New Roman" w:cs="Times New Roman (Body CS)"/>
        </w:rPr>
        <w:t xml:space="preserve"> had</w:t>
      </w:r>
      <w:r>
        <w:rPr>
          <w:rFonts w:ascii="Times New Roman" w:hAnsi="Times New Roman" w:cs="Times New Roman (Body CS)"/>
        </w:rPr>
        <w:t xml:space="preserve"> identified him as a person with knowledge, and Tempur-Pedic represented they did not know of his death until he had been served. </w:t>
      </w:r>
      <w:r w:rsidR="00E81D1C">
        <w:rPr>
          <w:rFonts w:ascii="Times New Roman" w:hAnsi="Times New Roman" w:cs="Times New Roman (Body CS)"/>
        </w:rPr>
        <w:t>Had the Garcias informed Tempur-Pedic of Tan’s death, it would be unreasonable to serve him for a deposition. But until</w:t>
      </w:r>
      <w:r>
        <w:rPr>
          <w:rFonts w:ascii="Times New Roman" w:hAnsi="Times New Roman" w:cs="Times New Roman (Body CS)"/>
        </w:rPr>
        <w:t xml:space="preserve"> </w:t>
      </w:r>
      <w:r w:rsidR="00E81D1C">
        <w:rPr>
          <w:rFonts w:ascii="Times New Roman" w:hAnsi="Times New Roman" w:cs="Times New Roman (Body CS)"/>
        </w:rPr>
        <w:t>Tempur-Pedic had reason to know of the death</w:t>
      </w:r>
      <w:r>
        <w:rPr>
          <w:rFonts w:ascii="Times New Roman" w:hAnsi="Times New Roman" w:cs="Times New Roman (Body CS)"/>
        </w:rPr>
        <w:t xml:space="preserve">, </w:t>
      </w:r>
      <w:r w:rsidR="0062189E">
        <w:rPr>
          <w:rFonts w:ascii="Times New Roman" w:hAnsi="Times New Roman" w:cs="Times New Roman (Body CS)"/>
        </w:rPr>
        <w:t xml:space="preserve">it was </w:t>
      </w:r>
      <w:r>
        <w:rPr>
          <w:rFonts w:ascii="Times New Roman" w:hAnsi="Times New Roman" w:cs="Times New Roman (Body CS)"/>
        </w:rPr>
        <w:t xml:space="preserve">reasonable </w:t>
      </w:r>
      <w:r w:rsidR="0062189E">
        <w:rPr>
          <w:rFonts w:ascii="Times New Roman" w:hAnsi="Times New Roman" w:cs="Times New Roman (Body CS)"/>
        </w:rPr>
        <w:t xml:space="preserve">for them </w:t>
      </w:r>
      <w:r>
        <w:rPr>
          <w:rFonts w:ascii="Times New Roman" w:hAnsi="Times New Roman" w:cs="Times New Roman (Body CS)"/>
        </w:rPr>
        <w:t>to treat Tan as a necessary witness, and the trial court did not abuse its discretion by awarding the costs of serv</w:t>
      </w:r>
      <w:r w:rsidR="00176225">
        <w:rPr>
          <w:rFonts w:ascii="Times New Roman" w:hAnsi="Times New Roman" w:cs="Times New Roman (Body CS)"/>
        </w:rPr>
        <w:t>ing</w:t>
      </w:r>
      <w:r>
        <w:rPr>
          <w:rFonts w:ascii="Times New Roman" w:hAnsi="Times New Roman" w:cs="Times New Roman (Body CS)"/>
        </w:rPr>
        <w:t xml:space="preserve"> him as prevailing party costs.</w:t>
      </w:r>
    </w:p>
    <w:p w:rsidR="00887B9D" w:rsidP="00B731BF" w14:paraId="6D68BACC" w14:textId="578F2E48">
      <w:pPr>
        <w:keepNext/>
        <w:spacing w:line="600" w:lineRule="atLeast"/>
        <w:jc w:val="center"/>
        <w:rPr>
          <w:rFonts w:ascii="Times New Roman" w:hAnsi="Times New Roman" w:cs="Times New Roman (Body CS)"/>
          <w:b/>
          <w:bCs/>
        </w:rPr>
      </w:pPr>
      <w:r>
        <w:rPr>
          <w:rFonts w:ascii="Times New Roman" w:hAnsi="Times New Roman" w:cs="Times New Roman (Body CS)"/>
          <w:b/>
          <w:bCs/>
        </w:rPr>
        <w:t>III</w:t>
      </w:r>
    </w:p>
    <w:p w:rsidR="00887B9D" w:rsidRPr="00887B9D" w:rsidP="00B731BF" w14:paraId="3B791C04" w14:textId="5BC9D2A8">
      <w:pPr>
        <w:keepNext/>
        <w:spacing w:line="600" w:lineRule="atLeast"/>
        <w:jc w:val="center"/>
        <w:rPr>
          <w:rFonts w:ascii="Times New Roman" w:hAnsi="Times New Roman" w:cs="Times New Roman (Body CS)"/>
          <w:b/>
          <w:bCs/>
        </w:rPr>
      </w:pPr>
      <w:r>
        <w:rPr>
          <w:rFonts w:ascii="Times New Roman" w:hAnsi="Times New Roman" w:cs="Times New Roman (Body CS)"/>
          <w:b/>
          <w:bCs/>
        </w:rPr>
        <w:t>DISPOSITION</w:t>
      </w:r>
    </w:p>
    <w:p w:rsidR="00887B9D" w:rsidP="00F619E7" w14:paraId="7024E2CF" w14:textId="683D78F2">
      <w:pPr>
        <w:spacing w:line="600" w:lineRule="atLeast"/>
        <w:ind w:firstLine="720"/>
        <w:rPr>
          <w:rFonts w:ascii="Times New Roman" w:hAnsi="Times New Roman" w:cs="Times New Roman (Body CS)"/>
        </w:rPr>
      </w:pPr>
      <w:r>
        <w:rPr>
          <w:rFonts w:ascii="Times New Roman" w:hAnsi="Times New Roman" w:cs="Times New Roman (Body CS)"/>
        </w:rPr>
        <w:t xml:space="preserve">We affirm the </w:t>
      </w:r>
      <w:r w:rsidR="00E16CA2">
        <w:rPr>
          <w:rFonts w:ascii="Times New Roman" w:hAnsi="Times New Roman" w:cs="Times New Roman (Body CS)"/>
        </w:rPr>
        <w:t>order awarding costs</w:t>
      </w:r>
      <w:r>
        <w:rPr>
          <w:rFonts w:ascii="Times New Roman" w:hAnsi="Times New Roman" w:cs="Times New Roman (Body CS)"/>
        </w:rPr>
        <w:t>.</w:t>
      </w:r>
      <w:r w:rsidR="00666954">
        <w:rPr>
          <w:rFonts w:ascii="Times New Roman" w:hAnsi="Times New Roman" w:cs="Times New Roman (Body CS)"/>
        </w:rPr>
        <w:t xml:space="preserve"> Respondents are entitled to their costs on appeal.</w:t>
      </w:r>
    </w:p>
    <w:p w:rsidR="00AF70D5" w:rsidP="00F619E7" w14:paraId="597090B3" w14:textId="1DC3DEF2">
      <w:pPr>
        <w:spacing w:line="600" w:lineRule="atLeast"/>
        <w:ind w:firstLine="720"/>
        <w:rPr>
          <w:rFonts w:ascii="Times New Roman" w:hAnsi="Times New Roman" w:cs="Times New Roman (Body CS)"/>
        </w:rPr>
      </w:pPr>
      <w:r>
        <w:rPr>
          <w:rFonts w:ascii="Times New Roman" w:hAnsi="Times New Roman" w:cs="Times New Roman (Body CS)"/>
        </w:rPr>
        <w:t>CERTIFIED FOR PUBLICATION</w:t>
      </w:r>
    </w:p>
    <w:p w:rsidR="003660EE" w:rsidRPr="003660EE" w:rsidP="003660EE" w14:paraId="22991188" w14:textId="492545AC">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Pr>
          <w:rFonts w:ascii="Times New Roman" w:eastAsia="Times New Roman" w:hAnsi="Times New Roman" w:cs="Times New Roman"/>
          <w:szCs w:val="20"/>
          <w:u w:val="single"/>
        </w:rPr>
        <w:t>RAPHAEL</w:t>
      </w:r>
      <w:r w:rsidRPr="003660EE">
        <w:rPr>
          <w:rFonts w:ascii="Times New Roman" w:eastAsia="Times New Roman" w:hAnsi="Times New Roman" w:cs="Times New Roman"/>
          <w:szCs w:val="20"/>
          <w:u w:val="single"/>
        </w:rPr>
        <w:tab/>
      </w:r>
    </w:p>
    <w:p w:rsidR="003660EE" w:rsidRPr="003660EE" w:rsidP="003660EE" w14:paraId="65424F24" w14:textId="77777777">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sidRPr="003660EE">
        <w:rPr>
          <w:rFonts w:ascii="Times New Roman" w:eastAsia="Times New Roman" w:hAnsi="Times New Roman" w:cs="Times New Roman"/>
          <w:szCs w:val="20"/>
        </w:rPr>
        <w:tab/>
        <w:t>J.</w:t>
      </w:r>
    </w:p>
    <w:p w:rsidR="003660EE" w:rsidRPr="003660EE" w:rsidP="003660EE" w14:paraId="3BE315E2"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rsidR="003660EE" w:rsidRPr="003660EE" w:rsidP="003660EE" w14:paraId="11CB57F8"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3660EE">
        <w:rPr>
          <w:rFonts w:ascii="Times New Roman" w:eastAsia="Times New Roman" w:hAnsi="Times New Roman" w:cs="Times New Roman"/>
          <w:szCs w:val="20"/>
        </w:rPr>
        <w:t>We concur:</w:t>
      </w:r>
    </w:p>
    <w:p w:rsidR="003660EE" w:rsidRPr="003660EE" w:rsidP="003660EE" w14:paraId="6662EE84"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rsidR="003660EE" w:rsidRPr="003660EE" w:rsidP="003660EE" w14:paraId="7C652DAB"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3660EE">
        <w:rPr>
          <w:rFonts w:ascii="Times New Roman" w:eastAsia="Times New Roman" w:hAnsi="Times New Roman" w:cs="Times New Roman"/>
          <w:szCs w:val="20"/>
          <w:u w:val="single"/>
        </w:rPr>
        <w:t>RAMIREZ</w:t>
      </w:r>
      <w:r w:rsidRPr="003660EE">
        <w:rPr>
          <w:rFonts w:ascii="Times New Roman" w:eastAsia="Times New Roman" w:hAnsi="Times New Roman" w:cs="Times New Roman"/>
          <w:szCs w:val="20"/>
          <w:u w:val="single"/>
        </w:rPr>
        <w:tab/>
      </w:r>
    </w:p>
    <w:p w:rsidR="003660EE" w:rsidRPr="003660EE" w:rsidP="003660EE" w14:paraId="5095F2A7"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3660EE">
        <w:rPr>
          <w:rFonts w:ascii="Times New Roman" w:eastAsia="Times New Roman" w:hAnsi="Times New Roman" w:cs="Times New Roman"/>
          <w:szCs w:val="20"/>
        </w:rPr>
        <w:tab/>
        <w:t>P. J.</w:t>
      </w:r>
    </w:p>
    <w:p w:rsidR="003660EE" w:rsidRPr="003660EE" w:rsidP="003660EE" w14:paraId="2E51E3F5" w14:textId="2A0EC4B3">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Pr>
          <w:rFonts w:ascii="Times New Roman" w:eastAsia="Times New Roman" w:hAnsi="Times New Roman" w:cs="Times New Roman"/>
          <w:szCs w:val="20"/>
          <w:u w:val="single"/>
        </w:rPr>
        <w:t>MILLER</w:t>
      </w:r>
      <w:r w:rsidRPr="003660EE">
        <w:rPr>
          <w:rFonts w:ascii="Times New Roman" w:eastAsia="Times New Roman" w:hAnsi="Times New Roman" w:cs="Times New Roman"/>
          <w:szCs w:val="20"/>
          <w:u w:val="single"/>
        </w:rPr>
        <w:tab/>
      </w:r>
    </w:p>
    <w:p w:rsidR="003660EE" w:rsidRPr="003660EE" w:rsidP="003660EE" w14:paraId="16A30107" w14:textId="77777777">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3660EE">
        <w:rPr>
          <w:rFonts w:ascii="Times New Roman" w:eastAsia="Times New Roman" w:hAnsi="Times New Roman" w:cs="Times New Roman"/>
          <w:szCs w:val="20"/>
        </w:rPr>
        <w:tab/>
        <w:t>J.</w:t>
      </w:r>
    </w:p>
    <w:sectPr w:rsidSect="007B1988">
      <w:footerReference w:type="even"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2120910046"/>
      <w:docPartObj>
        <w:docPartGallery w:val="Page Numbers (Bottom of Page)"/>
        <w:docPartUnique/>
      </w:docPartObj>
    </w:sdtPr>
    <w:sdtEndPr>
      <w:rPr>
        <w:rStyle w:val="PageNumber"/>
      </w:rPr>
    </w:sdtEndPr>
    <w:sdtContent>
      <w:p w:rsidR="00DB245F" w:rsidP="00DA6CDF" w14:paraId="2531C522" w14:textId="1419C1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76D7">
          <w:rPr>
            <w:rStyle w:val="PageNumber"/>
            <w:noProof/>
          </w:rPr>
          <w:t>2</w:t>
        </w:r>
        <w:r>
          <w:rPr>
            <w:rStyle w:val="PageNumber"/>
          </w:rPr>
          <w:fldChar w:fldCharType="end"/>
        </w:r>
      </w:p>
    </w:sdtContent>
  </w:sdt>
  <w:p w:rsidR="00DB245F" w14:paraId="0CAEB3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Fonts w:ascii="Times New Roman" w:hAnsi="Times New Roman" w:cs="Times New Roman"/>
        <w:szCs w:val="26"/>
      </w:rPr>
      <w:id w:val="756249666"/>
      <w:docPartObj>
        <w:docPartGallery w:val="Page Numbers (Bottom of Page)"/>
        <w:docPartUnique/>
      </w:docPartObj>
    </w:sdtPr>
    <w:sdtEndPr>
      <w:rPr>
        <w:rStyle w:val="PageNumber"/>
      </w:rPr>
    </w:sdtEndPr>
    <w:sdtContent>
      <w:p w:rsidR="00DB245F" w:rsidRPr="00DB245F" w:rsidP="00DA6CDF" w14:paraId="34443E61" w14:textId="1B3675C4">
        <w:pPr>
          <w:pStyle w:val="Footer"/>
          <w:framePr w:wrap="around" w:vAnchor="text" w:hAnchor="margin" w:xAlign="center" w:y="1"/>
          <w:rPr>
            <w:rStyle w:val="PageNumber"/>
            <w:rFonts w:ascii="Times New Roman" w:hAnsi="Times New Roman" w:cs="Times New Roman"/>
            <w:szCs w:val="26"/>
          </w:rPr>
        </w:pPr>
        <w:r w:rsidRPr="00DB245F">
          <w:rPr>
            <w:rStyle w:val="PageNumber"/>
            <w:rFonts w:ascii="Times New Roman" w:hAnsi="Times New Roman" w:cs="Times New Roman"/>
            <w:szCs w:val="26"/>
          </w:rPr>
          <w:fldChar w:fldCharType="begin"/>
        </w:r>
        <w:r w:rsidRPr="00DB245F">
          <w:rPr>
            <w:rStyle w:val="PageNumber"/>
            <w:rFonts w:ascii="Times New Roman" w:hAnsi="Times New Roman" w:cs="Times New Roman"/>
            <w:szCs w:val="26"/>
          </w:rPr>
          <w:instrText xml:space="preserve"> PAGE </w:instrText>
        </w:r>
        <w:r w:rsidRPr="00DB245F">
          <w:rPr>
            <w:rStyle w:val="PageNumber"/>
            <w:rFonts w:ascii="Times New Roman" w:hAnsi="Times New Roman" w:cs="Times New Roman"/>
            <w:szCs w:val="26"/>
          </w:rPr>
          <w:fldChar w:fldCharType="separate"/>
        </w:r>
        <w:r w:rsidRPr="00DB245F">
          <w:rPr>
            <w:rStyle w:val="PageNumber"/>
            <w:rFonts w:ascii="Times New Roman" w:hAnsi="Times New Roman" w:cs="Times New Roman"/>
            <w:noProof/>
            <w:szCs w:val="26"/>
          </w:rPr>
          <w:t>1</w:t>
        </w:r>
        <w:r w:rsidRPr="00DB245F">
          <w:rPr>
            <w:rStyle w:val="PageNumber"/>
            <w:rFonts w:ascii="Times New Roman" w:hAnsi="Times New Roman" w:cs="Times New Roman"/>
            <w:szCs w:val="26"/>
          </w:rPr>
          <w:fldChar w:fldCharType="end"/>
        </w:r>
      </w:p>
    </w:sdtContent>
  </w:sdt>
  <w:p w:rsidR="00DB245F" w14:paraId="3F0169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0D5" w:rsidP="00AF70D5" w14:paraId="410B4396" w14:textId="77777777">
    <w:pPr>
      <w:pStyle w:val="Footer"/>
      <w:jc w:val="right"/>
      <w:rPr>
        <w:rFonts w:ascii="Times New Roman" w:hAnsi="Times New Roman" w:cs="Times New Roman"/>
      </w:rPr>
    </w:pPr>
  </w:p>
  <w:p w:rsidR="00AF70D5" w:rsidP="00AF70D5" w14:paraId="7E3ED6E3" w14:textId="5C9441B6">
    <w:pPr>
      <w:pStyle w:val="Footer"/>
      <w:jc w:val="right"/>
      <w:rPr>
        <w:rFonts w:ascii="Times New Roman" w:hAnsi="Times New Roman" w:cs="Times New Roman"/>
      </w:rPr>
    </w:pPr>
  </w:p>
  <w:p w:rsidR="00B06A4A" w:rsidP="00AF70D5" w14:paraId="3EA9BB9C" w14:textId="108F1702">
    <w:pPr>
      <w:pStyle w:val="Footer"/>
      <w:jc w:val="right"/>
      <w:rPr>
        <w:rFonts w:ascii="Times New Roman" w:hAnsi="Times New Roman" w:cs="Times New Roman"/>
      </w:rPr>
    </w:pPr>
  </w:p>
  <w:p w:rsidR="00B06A4A" w:rsidP="00AF70D5" w14:paraId="5C725834" w14:textId="29AEB0BD">
    <w:pPr>
      <w:pStyle w:val="Footer"/>
      <w:jc w:val="right"/>
      <w:rPr>
        <w:rFonts w:ascii="Times New Roman" w:hAnsi="Times New Roman" w:cs="Times New Roman"/>
      </w:rPr>
    </w:pPr>
  </w:p>
  <w:p w:rsidR="00B06A4A" w:rsidP="00AF70D5" w14:paraId="2DBF0114" w14:textId="77777777">
    <w:pPr>
      <w:pStyle w:val="Footer"/>
      <w:jc w:val="right"/>
      <w:rPr>
        <w:rFonts w:ascii="Times New Roman" w:hAnsi="Times New Roman" w:cs="Times New Roman"/>
      </w:rPr>
    </w:pPr>
  </w:p>
  <w:p w:rsidR="00AF70D5" w:rsidRPr="00F876D7" w:rsidP="00AF70D5" w14:paraId="1E0005AC" w14:textId="01E64771">
    <w:pPr>
      <w:pStyle w:val="Footer"/>
      <w:jc w:val="center"/>
      <w:rPr>
        <w:rFonts w:ascii="Times New Roman" w:hAnsi="Times New Roman" w:cs="Times New Roman"/>
      </w:rPr>
    </w:pPr>
    <w:r>
      <w:rPr>
        <w:rFonts w:ascii="Times New Roman" w:hAnsi="Times New Roman" w:cs="Times New Roman"/>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A0"/>
    <w:rsid w:val="000025B8"/>
    <w:rsid w:val="00004AD9"/>
    <w:rsid w:val="00005CC1"/>
    <w:rsid w:val="000066A8"/>
    <w:rsid w:val="000066E3"/>
    <w:rsid w:val="00011C50"/>
    <w:rsid w:val="00012102"/>
    <w:rsid w:val="00012614"/>
    <w:rsid w:val="00012686"/>
    <w:rsid w:val="00015B5E"/>
    <w:rsid w:val="00016A0D"/>
    <w:rsid w:val="00017A4B"/>
    <w:rsid w:val="0002064F"/>
    <w:rsid w:val="000211F4"/>
    <w:rsid w:val="000229C7"/>
    <w:rsid w:val="00022AA1"/>
    <w:rsid w:val="000232FA"/>
    <w:rsid w:val="000233B1"/>
    <w:rsid w:val="000256B8"/>
    <w:rsid w:val="0003035D"/>
    <w:rsid w:val="0003070D"/>
    <w:rsid w:val="00030951"/>
    <w:rsid w:val="000314FD"/>
    <w:rsid w:val="00031F58"/>
    <w:rsid w:val="00032C72"/>
    <w:rsid w:val="0003622F"/>
    <w:rsid w:val="0003710A"/>
    <w:rsid w:val="0003736F"/>
    <w:rsid w:val="00037BE8"/>
    <w:rsid w:val="000404AB"/>
    <w:rsid w:val="000407FA"/>
    <w:rsid w:val="00040F27"/>
    <w:rsid w:val="000426C9"/>
    <w:rsid w:val="00043D5C"/>
    <w:rsid w:val="0004441F"/>
    <w:rsid w:val="00046CA5"/>
    <w:rsid w:val="00046FEC"/>
    <w:rsid w:val="000529E5"/>
    <w:rsid w:val="000529E6"/>
    <w:rsid w:val="00055970"/>
    <w:rsid w:val="00056249"/>
    <w:rsid w:val="000567B9"/>
    <w:rsid w:val="00060A43"/>
    <w:rsid w:val="00061443"/>
    <w:rsid w:val="000622ED"/>
    <w:rsid w:val="000668BF"/>
    <w:rsid w:val="000670A9"/>
    <w:rsid w:val="00071AAB"/>
    <w:rsid w:val="00071CD2"/>
    <w:rsid w:val="00072257"/>
    <w:rsid w:val="00072603"/>
    <w:rsid w:val="00074611"/>
    <w:rsid w:val="0008111D"/>
    <w:rsid w:val="000829AA"/>
    <w:rsid w:val="00082F27"/>
    <w:rsid w:val="000831D8"/>
    <w:rsid w:val="000839A2"/>
    <w:rsid w:val="00083D12"/>
    <w:rsid w:val="000842D4"/>
    <w:rsid w:val="00086C67"/>
    <w:rsid w:val="00087FD2"/>
    <w:rsid w:val="0009272F"/>
    <w:rsid w:val="00094544"/>
    <w:rsid w:val="00097209"/>
    <w:rsid w:val="00097DD7"/>
    <w:rsid w:val="00097ECD"/>
    <w:rsid w:val="000A0684"/>
    <w:rsid w:val="000A0FA5"/>
    <w:rsid w:val="000A1558"/>
    <w:rsid w:val="000A3115"/>
    <w:rsid w:val="000A360C"/>
    <w:rsid w:val="000A599A"/>
    <w:rsid w:val="000B251D"/>
    <w:rsid w:val="000B3F9E"/>
    <w:rsid w:val="000B4D99"/>
    <w:rsid w:val="000B53D8"/>
    <w:rsid w:val="000B67C9"/>
    <w:rsid w:val="000C0423"/>
    <w:rsid w:val="000C1671"/>
    <w:rsid w:val="000C1D5B"/>
    <w:rsid w:val="000C57C7"/>
    <w:rsid w:val="000C688E"/>
    <w:rsid w:val="000C6F65"/>
    <w:rsid w:val="000C7B84"/>
    <w:rsid w:val="000D171A"/>
    <w:rsid w:val="000D26AF"/>
    <w:rsid w:val="000D5CCB"/>
    <w:rsid w:val="000D768C"/>
    <w:rsid w:val="000D7C86"/>
    <w:rsid w:val="000E0672"/>
    <w:rsid w:val="000E0CCA"/>
    <w:rsid w:val="000E13EF"/>
    <w:rsid w:val="000E3844"/>
    <w:rsid w:val="000E5019"/>
    <w:rsid w:val="000E7E08"/>
    <w:rsid w:val="000F16F9"/>
    <w:rsid w:val="000F192B"/>
    <w:rsid w:val="0010004D"/>
    <w:rsid w:val="00100D6C"/>
    <w:rsid w:val="001042C3"/>
    <w:rsid w:val="001049F6"/>
    <w:rsid w:val="00104E3D"/>
    <w:rsid w:val="00105536"/>
    <w:rsid w:val="00106814"/>
    <w:rsid w:val="00106E35"/>
    <w:rsid w:val="001072F9"/>
    <w:rsid w:val="001074F1"/>
    <w:rsid w:val="00111FF7"/>
    <w:rsid w:val="0011333B"/>
    <w:rsid w:val="00113D62"/>
    <w:rsid w:val="001143CC"/>
    <w:rsid w:val="001144DB"/>
    <w:rsid w:val="00114848"/>
    <w:rsid w:val="00116A64"/>
    <w:rsid w:val="00121E9F"/>
    <w:rsid w:val="001223BB"/>
    <w:rsid w:val="0012264A"/>
    <w:rsid w:val="00126B95"/>
    <w:rsid w:val="001275A0"/>
    <w:rsid w:val="001305A7"/>
    <w:rsid w:val="001305C8"/>
    <w:rsid w:val="00134107"/>
    <w:rsid w:val="00134169"/>
    <w:rsid w:val="001341B6"/>
    <w:rsid w:val="001361AF"/>
    <w:rsid w:val="00136672"/>
    <w:rsid w:val="00137C51"/>
    <w:rsid w:val="00137E2F"/>
    <w:rsid w:val="00140D2C"/>
    <w:rsid w:val="00140E47"/>
    <w:rsid w:val="00142361"/>
    <w:rsid w:val="00142F4F"/>
    <w:rsid w:val="00146633"/>
    <w:rsid w:val="0015353D"/>
    <w:rsid w:val="00153EB0"/>
    <w:rsid w:val="00153F50"/>
    <w:rsid w:val="001543B9"/>
    <w:rsid w:val="00154A21"/>
    <w:rsid w:val="00154E49"/>
    <w:rsid w:val="0015510F"/>
    <w:rsid w:val="00155713"/>
    <w:rsid w:val="00155CF0"/>
    <w:rsid w:val="00160ED7"/>
    <w:rsid w:val="0016298C"/>
    <w:rsid w:val="00162FC0"/>
    <w:rsid w:val="00163F29"/>
    <w:rsid w:val="00167411"/>
    <w:rsid w:val="00167C17"/>
    <w:rsid w:val="001735AF"/>
    <w:rsid w:val="00176225"/>
    <w:rsid w:val="00176E80"/>
    <w:rsid w:val="00183401"/>
    <w:rsid w:val="0018474E"/>
    <w:rsid w:val="001864BC"/>
    <w:rsid w:val="00191D38"/>
    <w:rsid w:val="00193190"/>
    <w:rsid w:val="00194EA5"/>
    <w:rsid w:val="001956D5"/>
    <w:rsid w:val="0019718C"/>
    <w:rsid w:val="0019779D"/>
    <w:rsid w:val="001A11E5"/>
    <w:rsid w:val="001A17D4"/>
    <w:rsid w:val="001A19E2"/>
    <w:rsid w:val="001A21C2"/>
    <w:rsid w:val="001A4DFA"/>
    <w:rsid w:val="001A4E15"/>
    <w:rsid w:val="001A661A"/>
    <w:rsid w:val="001A67BB"/>
    <w:rsid w:val="001B0A2A"/>
    <w:rsid w:val="001B50F5"/>
    <w:rsid w:val="001C2804"/>
    <w:rsid w:val="001C2FD4"/>
    <w:rsid w:val="001C3B3A"/>
    <w:rsid w:val="001C3EBA"/>
    <w:rsid w:val="001C5BC8"/>
    <w:rsid w:val="001C799D"/>
    <w:rsid w:val="001C7DF2"/>
    <w:rsid w:val="001D1D06"/>
    <w:rsid w:val="001D4FA3"/>
    <w:rsid w:val="001D6ABD"/>
    <w:rsid w:val="001E1142"/>
    <w:rsid w:val="001E30A4"/>
    <w:rsid w:val="001E42A1"/>
    <w:rsid w:val="001E52A1"/>
    <w:rsid w:val="001E6990"/>
    <w:rsid w:val="001E7A08"/>
    <w:rsid w:val="001F0143"/>
    <w:rsid w:val="001F1EE0"/>
    <w:rsid w:val="001F2E6E"/>
    <w:rsid w:val="001F3935"/>
    <w:rsid w:val="001F3EA2"/>
    <w:rsid w:val="002005F6"/>
    <w:rsid w:val="00200822"/>
    <w:rsid w:val="00202C75"/>
    <w:rsid w:val="00203172"/>
    <w:rsid w:val="00203383"/>
    <w:rsid w:val="002053D5"/>
    <w:rsid w:val="00206723"/>
    <w:rsid w:val="00206929"/>
    <w:rsid w:val="0020736E"/>
    <w:rsid w:val="00207824"/>
    <w:rsid w:val="002078B1"/>
    <w:rsid w:val="00207E37"/>
    <w:rsid w:val="0021045D"/>
    <w:rsid w:val="002108C5"/>
    <w:rsid w:val="002115A2"/>
    <w:rsid w:val="00211BB7"/>
    <w:rsid w:val="002121B0"/>
    <w:rsid w:val="00212377"/>
    <w:rsid w:val="00213DBE"/>
    <w:rsid w:val="00214D0D"/>
    <w:rsid w:val="00215606"/>
    <w:rsid w:val="00215DA0"/>
    <w:rsid w:val="0021704E"/>
    <w:rsid w:val="0021719F"/>
    <w:rsid w:val="00221DA6"/>
    <w:rsid w:val="00223639"/>
    <w:rsid w:val="00226CF2"/>
    <w:rsid w:val="00227689"/>
    <w:rsid w:val="002278DD"/>
    <w:rsid w:val="002305E8"/>
    <w:rsid w:val="00234B3A"/>
    <w:rsid w:val="00237737"/>
    <w:rsid w:val="00245FEB"/>
    <w:rsid w:val="0024629E"/>
    <w:rsid w:val="002472E5"/>
    <w:rsid w:val="0025301A"/>
    <w:rsid w:val="00253590"/>
    <w:rsid w:val="0025453A"/>
    <w:rsid w:val="00255773"/>
    <w:rsid w:val="00256C94"/>
    <w:rsid w:val="00257E6A"/>
    <w:rsid w:val="00260719"/>
    <w:rsid w:val="00260FD8"/>
    <w:rsid w:val="0026408D"/>
    <w:rsid w:val="00264758"/>
    <w:rsid w:val="002662B5"/>
    <w:rsid w:val="002670AE"/>
    <w:rsid w:val="00267607"/>
    <w:rsid w:val="0027087E"/>
    <w:rsid w:val="00270D7F"/>
    <w:rsid w:val="00270E96"/>
    <w:rsid w:val="0027152A"/>
    <w:rsid w:val="0027193B"/>
    <w:rsid w:val="00271AB5"/>
    <w:rsid w:val="002736D6"/>
    <w:rsid w:val="00274647"/>
    <w:rsid w:val="00276F5D"/>
    <w:rsid w:val="0027715D"/>
    <w:rsid w:val="00281268"/>
    <w:rsid w:val="00282744"/>
    <w:rsid w:val="002828E1"/>
    <w:rsid w:val="00283047"/>
    <w:rsid w:val="002835EA"/>
    <w:rsid w:val="00283FA6"/>
    <w:rsid w:val="00286613"/>
    <w:rsid w:val="00290C53"/>
    <w:rsid w:val="00292F8B"/>
    <w:rsid w:val="00293020"/>
    <w:rsid w:val="0029369F"/>
    <w:rsid w:val="00293915"/>
    <w:rsid w:val="00294C8C"/>
    <w:rsid w:val="002952A4"/>
    <w:rsid w:val="00296705"/>
    <w:rsid w:val="002A18E3"/>
    <w:rsid w:val="002A1E11"/>
    <w:rsid w:val="002A2B4F"/>
    <w:rsid w:val="002A3772"/>
    <w:rsid w:val="002A4BC3"/>
    <w:rsid w:val="002A6701"/>
    <w:rsid w:val="002A722B"/>
    <w:rsid w:val="002B1BC9"/>
    <w:rsid w:val="002B1D62"/>
    <w:rsid w:val="002B278E"/>
    <w:rsid w:val="002B2F87"/>
    <w:rsid w:val="002B3546"/>
    <w:rsid w:val="002B442A"/>
    <w:rsid w:val="002B4EC4"/>
    <w:rsid w:val="002B6CC7"/>
    <w:rsid w:val="002C457A"/>
    <w:rsid w:val="002C5E56"/>
    <w:rsid w:val="002C6DE9"/>
    <w:rsid w:val="002D02EC"/>
    <w:rsid w:val="002D1452"/>
    <w:rsid w:val="002D38B5"/>
    <w:rsid w:val="002D3F08"/>
    <w:rsid w:val="002D487C"/>
    <w:rsid w:val="002D6C67"/>
    <w:rsid w:val="002E5014"/>
    <w:rsid w:val="002E777F"/>
    <w:rsid w:val="002E7946"/>
    <w:rsid w:val="002F0F2A"/>
    <w:rsid w:val="002F1EE1"/>
    <w:rsid w:val="002F2C24"/>
    <w:rsid w:val="002F5B0C"/>
    <w:rsid w:val="002F7ED6"/>
    <w:rsid w:val="00303187"/>
    <w:rsid w:val="00303188"/>
    <w:rsid w:val="003031EA"/>
    <w:rsid w:val="00310DC7"/>
    <w:rsid w:val="003115B6"/>
    <w:rsid w:val="003171A1"/>
    <w:rsid w:val="00317376"/>
    <w:rsid w:val="003200ED"/>
    <w:rsid w:val="003233C8"/>
    <w:rsid w:val="00323958"/>
    <w:rsid w:val="0032415F"/>
    <w:rsid w:val="00326ADF"/>
    <w:rsid w:val="00326BFD"/>
    <w:rsid w:val="00330B1E"/>
    <w:rsid w:val="00331282"/>
    <w:rsid w:val="00332F8F"/>
    <w:rsid w:val="00333108"/>
    <w:rsid w:val="0033572D"/>
    <w:rsid w:val="00336B54"/>
    <w:rsid w:val="00341EC9"/>
    <w:rsid w:val="0034507C"/>
    <w:rsid w:val="0034638D"/>
    <w:rsid w:val="00351289"/>
    <w:rsid w:val="003528BD"/>
    <w:rsid w:val="00353ED1"/>
    <w:rsid w:val="0035530E"/>
    <w:rsid w:val="00355B53"/>
    <w:rsid w:val="0036361F"/>
    <w:rsid w:val="003646C8"/>
    <w:rsid w:val="0036497C"/>
    <w:rsid w:val="003660EE"/>
    <w:rsid w:val="0036730C"/>
    <w:rsid w:val="00367858"/>
    <w:rsid w:val="00370430"/>
    <w:rsid w:val="003713DB"/>
    <w:rsid w:val="003714FF"/>
    <w:rsid w:val="00373311"/>
    <w:rsid w:val="00374E0A"/>
    <w:rsid w:val="003757A2"/>
    <w:rsid w:val="00376E75"/>
    <w:rsid w:val="003804D3"/>
    <w:rsid w:val="00380DFF"/>
    <w:rsid w:val="00381805"/>
    <w:rsid w:val="00383AE1"/>
    <w:rsid w:val="00384BB2"/>
    <w:rsid w:val="00385E61"/>
    <w:rsid w:val="00386E7D"/>
    <w:rsid w:val="00387467"/>
    <w:rsid w:val="00390009"/>
    <w:rsid w:val="00390800"/>
    <w:rsid w:val="00394C3E"/>
    <w:rsid w:val="00396CA8"/>
    <w:rsid w:val="003A1249"/>
    <w:rsid w:val="003A1478"/>
    <w:rsid w:val="003A150C"/>
    <w:rsid w:val="003A17ED"/>
    <w:rsid w:val="003A2CD3"/>
    <w:rsid w:val="003A6ADD"/>
    <w:rsid w:val="003B08C7"/>
    <w:rsid w:val="003B2AF5"/>
    <w:rsid w:val="003B315C"/>
    <w:rsid w:val="003B3456"/>
    <w:rsid w:val="003B4BB9"/>
    <w:rsid w:val="003B5136"/>
    <w:rsid w:val="003B529B"/>
    <w:rsid w:val="003B60C9"/>
    <w:rsid w:val="003B7305"/>
    <w:rsid w:val="003B7B6F"/>
    <w:rsid w:val="003C0098"/>
    <w:rsid w:val="003C18EA"/>
    <w:rsid w:val="003C29C1"/>
    <w:rsid w:val="003C3AA6"/>
    <w:rsid w:val="003C48B6"/>
    <w:rsid w:val="003C4F24"/>
    <w:rsid w:val="003C51E9"/>
    <w:rsid w:val="003C61A8"/>
    <w:rsid w:val="003C6988"/>
    <w:rsid w:val="003C7799"/>
    <w:rsid w:val="003D01A8"/>
    <w:rsid w:val="003D0A87"/>
    <w:rsid w:val="003D0B0B"/>
    <w:rsid w:val="003D1639"/>
    <w:rsid w:val="003D2530"/>
    <w:rsid w:val="003D4EB2"/>
    <w:rsid w:val="003D6839"/>
    <w:rsid w:val="003E0AC9"/>
    <w:rsid w:val="003E10D1"/>
    <w:rsid w:val="003E1AF8"/>
    <w:rsid w:val="003E1D6F"/>
    <w:rsid w:val="003E2157"/>
    <w:rsid w:val="003E2D21"/>
    <w:rsid w:val="003E4630"/>
    <w:rsid w:val="003E5F1D"/>
    <w:rsid w:val="003E659E"/>
    <w:rsid w:val="003E71F7"/>
    <w:rsid w:val="003E7A7A"/>
    <w:rsid w:val="003F0A10"/>
    <w:rsid w:val="003F2B7B"/>
    <w:rsid w:val="003F6ABF"/>
    <w:rsid w:val="003F6AF8"/>
    <w:rsid w:val="003F7BD3"/>
    <w:rsid w:val="004025C4"/>
    <w:rsid w:val="00403AA6"/>
    <w:rsid w:val="00403D30"/>
    <w:rsid w:val="00403D8A"/>
    <w:rsid w:val="00404242"/>
    <w:rsid w:val="00405992"/>
    <w:rsid w:val="00405A12"/>
    <w:rsid w:val="00405AE2"/>
    <w:rsid w:val="00411683"/>
    <w:rsid w:val="00412296"/>
    <w:rsid w:val="0041261F"/>
    <w:rsid w:val="00414A48"/>
    <w:rsid w:val="00417F9D"/>
    <w:rsid w:val="00420DDA"/>
    <w:rsid w:val="00422AE7"/>
    <w:rsid w:val="0042645B"/>
    <w:rsid w:val="00426564"/>
    <w:rsid w:val="004265B5"/>
    <w:rsid w:val="00427752"/>
    <w:rsid w:val="00433ECA"/>
    <w:rsid w:val="0044149F"/>
    <w:rsid w:val="00441870"/>
    <w:rsid w:val="00441A87"/>
    <w:rsid w:val="004447B7"/>
    <w:rsid w:val="00445555"/>
    <w:rsid w:val="0044576B"/>
    <w:rsid w:val="004604D1"/>
    <w:rsid w:val="00463BB6"/>
    <w:rsid w:val="0046619F"/>
    <w:rsid w:val="00466892"/>
    <w:rsid w:val="00470563"/>
    <w:rsid w:val="00470E18"/>
    <w:rsid w:val="00470F3D"/>
    <w:rsid w:val="004710B0"/>
    <w:rsid w:val="004711E8"/>
    <w:rsid w:val="00471630"/>
    <w:rsid w:val="00472B5C"/>
    <w:rsid w:val="0047737B"/>
    <w:rsid w:val="00480A3F"/>
    <w:rsid w:val="00482D45"/>
    <w:rsid w:val="00484126"/>
    <w:rsid w:val="0048431C"/>
    <w:rsid w:val="004849C1"/>
    <w:rsid w:val="00485A7B"/>
    <w:rsid w:val="00487A72"/>
    <w:rsid w:val="00490CCF"/>
    <w:rsid w:val="00491170"/>
    <w:rsid w:val="004912D3"/>
    <w:rsid w:val="00491756"/>
    <w:rsid w:val="0049235D"/>
    <w:rsid w:val="00493768"/>
    <w:rsid w:val="00494DE8"/>
    <w:rsid w:val="004957A4"/>
    <w:rsid w:val="00495B41"/>
    <w:rsid w:val="00496B02"/>
    <w:rsid w:val="004A07DF"/>
    <w:rsid w:val="004A292B"/>
    <w:rsid w:val="004A55F2"/>
    <w:rsid w:val="004A58AE"/>
    <w:rsid w:val="004A6301"/>
    <w:rsid w:val="004A72F8"/>
    <w:rsid w:val="004B2CCB"/>
    <w:rsid w:val="004B4872"/>
    <w:rsid w:val="004B5866"/>
    <w:rsid w:val="004B65CD"/>
    <w:rsid w:val="004B7768"/>
    <w:rsid w:val="004C2247"/>
    <w:rsid w:val="004C23F8"/>
    <w:rsid w:val="004C2864"/>
    <w:rsid w:val="004C2928"/>
    <w:rsid w:val="004C3601"/>
    <w:rsid w:val="004C397B"/>
    <w:rsid w:val="004C4907"/>
    <w:rsid w:val="004C4A62"/>
    <w:rsid w:val="004C4C00"/>
    <w:rsid w:val="004C5419"/>
    <w:rsid w:val="004C5C5C"/>
    <w:rsid w:val="004C5FE2"/>
    <w:rsid w:val="004C6246"/>
    <w:rsid w:val="004C64A9"/>
    <w:rsid w:val="004C7A40"/>
    <w:rsid w:val="004C7BF3"/>
    <w:rsid w:val="004D5B55"/>
    <w:rsid w:val="004D6034"/>
    <w:rsid w:val="004D69A1"/>
    <w:rsid w:val="004D6F01"/>
    <w:rsid w:val="004D79FE"/>
    <w:rsid w:val="004D7C5E"/>
    <w:rsid w:val="004E17EA"/>
    <w:rsid w:val="004E188A"/>
    <w:rsid w:val="004E1953"/>
    <w:rsid w:val="004E1E26"/>
    <w:rsid w:val="004E329B"/>
    <w:rsid w:val="004E412E"/>
    <w:rsid w:val="004E46C1"/>
    <w:rsid w:val="004E4C4E"/>
    <w:rsid w:val="004E6375"/>
    <w:rsid w:val="004E716E"/>
    <w:rsid w:val="004E74D2"/>
    <w:rsid w:val="004E7715"/>
    <w:rsid w:val="004F109D"/>
    <w:rsid w:val="004F1BFE"/>
    <w:rsid w:val="004F34F8"/>
    <w:rsid w:val="004F43A3"/>
    <w:rsid w:val="004F495A"/>
    <w:rsid w:val="004F6E13"/>
    <w:rsid w:val="00500F7F"/>
    <w:rsid w:val="005032CE"/>
    <w:rsid w:val="005044AD"/>
    <w:rsid w:val="00504848"/>
    <w:rsid w:val="00506AEB"/>
    <w:rsid w:val="00507E88"/>
    <w:rsid w:val="00510ED3"/>
    <w:rsid w:val="00511AC2"/>
    <w:rsid w:val="00511CEB"/>
    <w:rsid w:val="005138AE"/>
    <w:rsid w:val="005138D2"/>
    <w:rsid w:val="00513D5B"/>
    <w:rsid w:val="005156AB"/>
    <w:rsid w:val="00515DE3"/>
    <w:rsid w:val="00516496"/>
    <w:rsid w:val="00516577"/>
    <w:rsid w:val="00520016"/>
    <w:rsid w:val="005204EF"/>
    <w:rsid w:val="0052293B"/>
    <w:rsid w:val="00522BD8"/>
    <w:rsid w:val="00530837"/>
    <w:rsid w:val="005345F8"/>
    <w:rsid w:val="005348F0"/>
    <w:rsid w:val="00536748"/>
    <w:rsid w:val="00537F7F"/>
    <w:rsid w:val="005405E3"/>
    <w:rsid w:val="005416B2"/>
    <w:rsid w:val="005430C9"/>
    <w:rsid w:val="0054437D"/>
    <w:rsid w:val="005451FC"/>
    <w:rsid w:val="00547748"/>
    <w:rsid w:val="00551168"/>
    <w:rsid w:val="00553E5C"/>
    <w:rsid w:val="00555BC5"/>
    <w:rsid w:val="0055672D"/>
    <w:rsid w:val="00556D63"/>
    <w:rsid w:val="00561D95"/>
    <w:rsid w:val="005631EE"/>
    <w:rsid w:val="00564045"/>
    <w:rsid w:val="0056416F"/>
    <w:rsid w:val="00566DD3"/>
    <w:rsid w:val="0057059B"/>
    <w:rsid w:val="0057078F"/>
    <w:rsid w:val="005707B5"/>
    <w:rsid w:val="0057655F"/>
    <w:rsid w:val="00576D69"/>
    <w:rsid w:val="0057747C"/>
    <w:rsid w:val="00577487"/>
    <w:rsid w:val="0057764E"/>
    <w:rsid w:val="00580231"/>
    <w:rsid w:val="0058042E"/>
    <w:rsid w:val="005837EB"/>
    <w:rsid w:val="00586546"/>
    <w:rsid w:val="005870FE"/>
    <w:rsid w:val="00587391"/>
    <w:rsid w:val="00590BA8"/>
    <w:rsid w:val="00590DD6"/>
    <w:rsid w:val="00590F9A"/>
    <w:rsid w:val="00591929"/>
    <w:rsid w:val="00592C3C"/>
    <w:rsid w:val="00595A15"/>
    <w:rsid w:val="0059671A"/>
    <w:rsid w:val="0059762B"/>
    <w:rsid w:val="00597D53"/>
    <w:rsid w:val="005A0EE9"/>
    <w:rsid w:val="005A1036"/>
    <w:rsid w:val="005A1553"/>
    <w:rsid w:val="005A15AC"/>
    <w:rsid w:val="005A1810"/>
    <w:rsid w:val="005A2C2D"/>
    <w:rsid w:val="005A2DBD"/>
    <w:rsid w:val="005A345E"/>
    <w:rsid w:val="005A3C87"/>
    <w:rsid w:val="005A521A"/>
    <w:rsid w:val="005A582F"/>
    <w:rsid w:val="005A6283"/>
    <w:rsid w:val="005A6C7C"/>
    <w:rsid w:val="005B22F5"/>
    <w:rsid w:val="005B38A1"/>
    <w:rsid w:val="005B528B"/>
    <w:rsid w:val="005B5996"/>
    <w:rsid w:val="005B5C67"/>
    <w:rsid w:val="005B7049"/>
    <w:rsid w:val="005B7E7F"/>
    <w:rsid w:val="005C48FA"/>
    <w:rsid w:val="005C4A1C"/>
    <w:rsid w:val="005C4C74"/>
    <w:rsid w:val="005C529F"/>
    <w:rsid w:val="005C6968"/>
    <w:rsid w:val="005C6EE2"/>
    <w:rsid w:val="005C78E8"/>
    <w:rsid w:val="005D01A4"/>
    <w:rsid w:val="005D04D7"/>
    <w:rsid w:val="005D0A12"/>
    <w:rsid w:val="005D2C3B"/>
    <w:rsid w:val="005D36A4"/>
    <w:rsid w:val="005D4CC1"/>
    <w:rsid w:val="005D50C2"/>
    <w:rsid w:val="005D5F80"/>
    <w:rsid w:val="005D6404"/>
    <w:rsid w:val="005D7C53"/>
    <w:rsid w:val="005E1D23"/>
    <w:rsid w:val="005E2130"/>
    <w:rsid w:val="005E291F"/>
    <w:rsid w:val="005E4CB8"/>
    <w:rsid w:val="005E4D06"/>
    <w:rsid w:val="005E5895"/>
    <w:rsid w:val="005E67C7"/>
    <w:rsid w:val="005E6BEF"/>
    <w:rsid w:val="005E72BC"/>
    <w:rsid w:val="005E776A"/>
    <w:rsid w:val="005F0B1D"/>
    <w:rsid w:val="005F207C"/>
    <w:rsid w:val="005F3537"/>
    <w:rsid w:val="005F3DF0"/>
    <w:rsid w:val="005F497B"/>
    <w:rsid w:val="005F5EED"/>
    <w:rsid w:val="005F677A"/>
    <w:rsid w:val="005F6803"/>
    <w:rsid w:val="005F7D33"/>
    <w:rsid w:val="00601297"/>
    <w:rsid w:val="00601642"/>
    <w:rsid w:val="00602CD5"/>
    <w:rsid w:val="006033F1"/>
    <w:rsid w:val="00604C70"/>
    <w:rsid w:val="00604D0A"/>
    <w:rsid w:val="00605189"/>
    <w:rsid w:val="00610300"/>
    <w:rsid w:val="0061334C"/>
    <w:rsid w:val="0061687B"/>
    <w:rsid w:val="00620C7C"/>
    <w:rsid w:val="0062189E"/>
    <w:rsid w:val="006221DF"/>
    <w:rsid w:val="00622B01"/>
    <w:rsid w:val="00624C5D"/>
    <w:rsid w:val="006251B5"/>
    <w:rsid w:val="00626AA3"/>
    <w:rsid w:val="006306C5"/>
    <w:rsid w:val="00631601"/>
    <w:rsid w:val="006320FC"/>
    <w:rsid w:val="00635793"/>
    <w:rsid w:val="00635A7C"/>
    <w:rsid w:val="00636757"/>
    <w:rsid w:val="00644372"/>
    <w:rsid w:val="00645A37"/>
    <w:rsid w:val="006503D2"/>
    <w:rsid w:val="00650981"/>
    <w:rsid w:val="00650EED"/>
    <w:rsid w:val="00651403"/>
    <w:rsid w:val="006517EF"/>
    <w:rsid w:val="00652329"/>
    <w:rsid w:val="00652372"/>
    <w:rsid w:val="00652502"/>
    <w:rsid w:val="00653C2E"/>
    <w:rsid w:val="00653E68"/>
    <w:rsid w:val="0065467F"/>
    <w:rsid w:val="00654B54"/>
    <w:rsid w:val="0065581F"/>
    <w:rsid w:val="00660014"/>
    <w:rsid w:val="00661422"/>
    <w:rsid w:val="00661AA8"/>
    <w:rsid w:val="00662BA2"/>
    <w:rsid w:val="00663B34"/>
    <w:rsid w:val="00664496"/>
    <w:rsid w:val="0066514A"/>
    <w:rsid w:val="00666954"/>
    <w:rsid w:val="00666A15"/>
    <w:rsid w:val="00670728"/>
    <w:rsid w:val="006715B1"/>
    <w:rsid w:val="006726F1"/>
    <w:rsid w:val="00672A94"/>
    <w:rsid w:val="00672A9D"/>
    <w:rsid w:val="00673360"/>
    <w:rsid w:val="00674FF9"/>
    <w:rsid w:val="006767B0"/>
    <w:rsid w:val="00682B56"/>
    <w:rsid w:val="006839AD"/>
    <w:rsid w:val="00685E3D"/>
    <w:rsid w:val="00686F6C"/>
    <w:rsid w:val="00687C38"/>
    <w:rsid w:val="00687C5D"/>
    <w:rsid w:val="00687EB7"/>
    <w:rsid w:val="00690577"/>
    <w:rsid w:val="00690C71"/>
    <w:rsid w:val="006925A0"/>
    <w:rsid w:val="00692D60"/>
    <w:rsid w:val="0069449F"/>
    <w:rsid w:val="00694CD9"/>
    <w:rsid w:val="00696930"/>
    <w:rsid w:val="006973A3"/>
    <w:rsid w:val="00697CB4"/>
    <w:rsid w:val="006A09E7"/>
    <w:rsid w:val="006A120A"/>
    <w:rsid w:val="006A13D2"/>
    <w:rsid w:val="006A1DE6"/>
    <w:rsid w:val="006A1F3A"/>
    <w:rsid w:val="006A402C"/>
    <w:rsid w:val="006A51CD"/>
    <w:rsid w:val="006A675C"/>
    <w:rsid w:val="006A6931"/>
    <w:rsid w:val="006A7A8E"/>
    <w:rsid w:val="006B0195"/>
    <w:rsid w:val="006B5124"/>
    <w:rsid w:val="006B599F"/>
    <w:rsid w:val="006B5D02"/>
    <w:rsid w:val="006B7CFC"/>
    <w:rsid w:val="006B7DE1"/>
    <w:rsid w:val="006C0E23"/>
    <w:rsid w:val="006C2E79"/>
    <w:rsid w:val="006C2FDF"/>
    <w:rsid w:val="006C3812"/>
    <w:rsid w:val="006C43AD"/>
    <w:rsid w:val="006C4532"/>
    <w:rsid w:val="006C55F2"/>
    <w:rsid w:val="006C7199"/>
    <w:rsid w:val="006D0A22"/>
    <w:rsid w:val="006D1EF6"/>
    <w:rsid w:val="006D2387"/>
    <w:rsid w:val="006D3172"/>
    <w:rsid w:val="006D347B"/>
    <w:rsid w:val="006D4B47"/>
    <w:rsid w:val="006D747B"/>
    <w:rsid w:val="006E0E5F"/>
    <w:rsid w:val="006E1598"/>
    <w:rsid w:val="006E3111"/>
    <w:rsid w:val="006E3A93"/>
    <w:rsid w:val="006E3AA9"/>
    <w:rsid w:val="006E4161"/>
    <w:rsid w:val="006E4618"/>
    <w:rsid w:val="006E58C5"/>
    <w:rsid w:val="006F0EBD"/>
    <w:rsid w:val="006F3BF0"/>
    <w:rsid w:val="006F3ED0"/>
    <w:rsid w:val="006F60A4"/>
    <w:rsid w:val="006F6E4E"/>
    <w:rsid w:val="0070061A"/>
    <w:rsid w:val="007006BD"/>
    <w:rsid w:val="00701A92"/>
    <w:rsid w:val="007034FF"/>
    <w:rsid w:val="00705956"/>
    <w:rsid w:val="00705E4B"/>
    <w:rsid w:val="00711354"/>
    <w:rsid w:val="0071210B"/>
    <w:rsid w:val="00713C76"/>
    <w:rsid w:val="0071543A"/>
    <w:rsid w:val="00715C60"/>
    <w:rsid w:val="00717E3F"/>
    <w:rsid w:val="0072086D"/>
    <w:rsid w:val="00722AC9"/>
    <w:rsid w:val="00724F3F"/>
    <w:rsid w:val="00725987"/>
    <w:rsid w:val="00725ACF"/>
    <w:rsid w:val="00725F59"/>
    <w:rsid w:val="00726964"/>
    <w:rsid w:val="007273D5"/>
    <w:rsid w:val="0072783C"/>
    <w:rsid w:val="00730C69"/>
    <w:rsid w:val="00731062"/>
    <w:rsid w:val="00732DDF"/>
    <w:rsid w:val="00735A48"/>
    <w:rsid w:val="00736730"/>
    <w:rsid w:val="00737527"/>
    <w:rsid w:val="00740CFC"/>
    <w:rsid w:val="0074152F"/>
    <w:rsid w:val="0074208F"/>
    <w:rsid w:val="0074294F"/>
    <w:rsid w:val="007439C4"/>
    <w:rsid w:val="00743B03"/>
    <w:rsid w:val="0074400D"/>
    <w:rsid w:val="00746ADA"/>
    <w:rsid w:val="00746C49"/>
    <w:rsid w:val="007470E5"/>
    <w:rsid w:val="0074768A"/>
    <w:rsid w:val="00747C14"/>
    <w:rsid w:val="00747FFC"/>
    <w:rsid w:val="00751824"/>
    <w:rsid w:val="00751DC4"/>
    <w:rsid w:val="0075223A"/>
    <w:rsid w:val="00753E8E"/>
    <w:rsid w:val="00754B7B"/>
    <w:rsid w:val="00756196"/>
    <w:rsid w:val="00757E6E"/>
    <w:rsid w:val="0076109D"/>
    <w:rsid w:val="00763621"/>
    <w:rsid w:val="007637EA"/>
    <w:rsid w:val="00763881"/>
    <w:rsid w:val="00763E03"/>
    <w:rsid w:val="00765565"/>
    <w:rsid w:val="00765987"/>
    <w:rsid w:val="007707A7"/>
    <w:rsid w:val="00770B0C"/>
    <w:rsid w:val="00771809"/>
    <w:rsid w:val="00774CC8"/>
    <w:rsid w:val="00776812"/>
    <w:rsid w:val="00777701"/>
    <w:rsid w:val="00777703"/>
    <w:rsid w:val="00777F5D"/>
    <w:rsid w:val="00783CDE"/>
    <w:rsid w:val="00787076"/>
    <w:rsid w:val="007879FC"/>
    <w:rsid w:val="00787AE1"/>
    <w:rsid w:val="007922E3"/>
    <w:rsid w:val="00792CB1"/>
    <w:rsid w:val="007950D6"/>
    <w:rsid w:val="00796C4A"/>
    <w:rsid w:val="00796DCF"/>
    <w:rsid w:val="007A1B7C"/>
    <w:rsid w:val="007A2176"/>
    <w:rsid w:val="007A2A86"/>
    <w:rsid w:val="007A30B6"/>
    <w:rsid w:val="007A5D96"/>
    <w:rsid w:val="007A5FED"/>
    <w:rsid w:val="007B041C"/>
    <w:rsid w:val="007B0966"/>
    <w:rsid w:val="007B1988"/>
    <w:rsid w:val="007B2FE9"/>
    <w:rsid w:val="007B326A"/>
    <w:rsid w:val="007B3E45"/>
    <w:rsid w:val="007B525D"/>
    <w:rsid w:val="007C1A02"/>
    <w:rsid w:val="007C1BA4"/>
    <w:rsid w:val="007C3177"/>
    <w:rsid w:val="007C46D5"/>
    <w:rsid w:val="007C52ED"/>
    <w:rsid w:val="007C698B"/>
    <w:rsid w:val="007D052A"/>
    <w:rsid w:val="007D081C"/>
    <w:rsid w:val="007D4083"/>
    <w:rsid w:val="007D5303"/>
    <w:rsid w:val="007D5E47"/>
    <w:rsid w:val="007D6381"/>
    <w:rsid w:val="007D68AF"/>
    <w:rsid w:val="007D6EB7"/>
    <w:rsid w:val="007D7982"/>
    <w:rsid w:val="007E0E7B"/>
    <w:rsid w:val="007E1026"/>
    <w:rsid w:val="007E60CF"/>
    <w:rsid w:val="007E6673"/>
    <w:rsid w:val="007E6DDB"/>
    <w:rsid w:val="007F3002"/>
    <w:rsid w:val="007F3581"/>
    <w:rsid w:val="007F4C99"/>
    <w:rsid w:val="007F5A0D"/>
    <w:rsid w:val="007F62B9"/>
    <w:rsid w:val="007F659A"/>
    <w:rsid w:val="00802107"/>
    <w:rsid w:val="00805A09"/>
    <w:rsid w:val="008061CF"/>
    <w:rsid w:val="008113F4"/>
    <w:rsid w:val="008137E5"/>
    <w:rsid w:val="00814038"/>
    <w:rsid w:val="00815A47"/>
    <w:rsid w:val="00816D55"/>
    <w:rsid w:val="0081709C"/>
    <w:rsid w:val="00817232"/>
    <w:rsid w:val="00817B4A"/>
    <w:rsid w:val="00817D0A"/>
    <w:rsid w:val="00820AE2"/>
    <w:rsid w:val="008220DF"/>
    <w:rsid w:val="0082352D"/>
    <w:rsid w:val="00824EDB"/>
    <w:rsid w:val="0082605A"/>
    <w:rsid w:val="00826D59"/>
    <w:rsid w:val="008306F4"/>
    <w:rsid w:val="00830F33"/>
    <w:rsid w:val="008342FB"/>
    <w:rsid w:val="008352F9"/>
    <w:rsid w:val="008377D7"/>
    <w:rsid w:val="00840C12"/>
    <w:rsid w:val="00841E03"/>
    <w:rsid w:val="00842298"/>
    <w:rsid w:val="00844512"/>
    <w:rsid w:val="00847432"/>
    <w:rsid w:val="00847EFB"/>
    <w:rsid w:val="00850432"/>
    <w:rsid w:val="00850D07"/>
    <w:rsid w:val="00851862"/>
    <w:rsid w:val="00853E03"/>
    <w:rsid w:val="00854019"/>
    <w:rsid w:val="00855230"/>
    <w:rsid w:val="0085583C"/>
    <w:rsid w:val="00855E0A"/>
    <w:rsid w:val="00864241"/>
    <w:rsid w:val="00864E8E"/>
    <w:rsid w:val="00870868"/>
    <w:rsid w:val="00871664"/>
    <w:rsid w:val="00872407"/>
    <w:rsid w:val="00875A08"/>
    <w:rsid w:val="00875C7C"/>
    <w:rsid w:val="008766AA"/>
    <w:rsid w:val="0087695E"/>
    <w:rsid w:val="00880CE3"/>
    <w:rsid w:val="008813EB"/>
    <w:rsid w:val="00881865"/>
    <w:rsid w:val="00882DE2"/>
    <w:rsid w:val="00882E3A"/>
    <w:rsid w:val="00884D0C"/>
    <w:rsid w:val="00885D7C"/>
    <w:rsid w:val="00886C58"/>
    <w:rsid w:val="00887B9D"/>
    <w:rsid w:val="00890DBA"/>
    <w:rsid w:val="0089200B"/>
    <w:rsid w:val="00893E77"/>
    <w:rsid w:val="0089440A"/>
    <w:rsid w:val="0089522A"/>
    <w:rsid w:val="0089759D"/>
    <w:rsid w:val="008A1460"/>
    <w:rsid w:val="008A3E10"/>
    <w:rsid w:val="008B054B"/>
    <w:rsid w:val="008B0805"/>
    <w:rsid w:val="008B2CDE"/>
    <w:rsid w:val="008B3696"/>
    <w:rsid w:val="008B5BFE"/>
    <w:rsid w:val="008C0276"/>
    <w:rsid w:val="008C14A7"/>
    <w:rsid w:val="008C18C5"/>
    <w:rsid w:val="008C1B9E"/>
    <w:rsid w:val="008C5032"/>
    <w:rsid w:val="008C5BBA"/>
    <w:rsid w:val="008C660A"/>
    <w:rsid w:val="008D08C8"/>
    <w:rsid w:val="008D2133"/>
    <w:rsid w:val="008D3B87"/>
    <w:rsid w:val="008D54EE"/>
    <w:rsid w:val="008D5785"/>
    <w:rsid w:val="008E2C15"/>
    <w:rsid w:val="008E6053"/>
    <w:rsid w:val="008E6866"/>
    <w:rsid w:val="008E69DF"/>
    <w:rsid w:val="008F173A"/>
    <w:rsid w:val="008F2C28"/>
    <w:rsid w:val="008F388E"/>
    <w:rsid w:val="008F3D1A"/>
    <w:rsid w:val="008F42E7"/>
    <w:rsid w:val="008F61E7"/>
    <w:rsid w:val="009019E8"/>
    <w:rsid w:val="0090448D"/>
    <w:rsid w:val="00905C45"/>
    <w:rsid w:val="009063D0"/>
    <w:rsid w:val="009069EC"/>
    <w:rsid w:val="00907461"/>
    <w:rsid w:val="00910183"/>
    <w:rsid w:val="0091180B"/>
    <w:rsid w:val="0091740E"/>
    <w:rsid w:val="00917547"/>
    <w:rsid w:val="00922D0B"/>
    <w:rsid w:val="009241DE"/>
    <w:rsid w:val="00924233"/>
    <w:rsid w:val="00924CB2"/>
    <w:rsid w:val="009274D4"/>
    <w:rsid w:val="009339A2"/>
    <w:rsid w:val="0093685D"/>
    <w:rsid w:val="00937D3E"/>
    <w:rsid w:val="00937FAF"/>
    <w:rsid w:val="009404F9"/>
    <w:rsid w:val="00940538"/>
    <w:rsid w:val="009407A5"/>
    <w:rsid w:val="00943584"/>
    <w:rsid w:val="0094393C"/>
    <w:rsid w:val="00944E35"/>
    <w:rsid w:val="00950279"/>
    <w:rsid w:val="00951B2D"/>
    <w:rsid w:val="0095285B"/>
    <w:rsid w:val="00952D09"/>
    <w:rsid w:val="0095328B"/>
    <w:rsid w:val="009545F9"/>
    <w:rsid w:val="00954E08"/>
    <w:rsid w:val="00954F65"/>
    <w:rsid w:val="00955E12"/>
    <w:rsid w:val="009564CB"/>
    <w:rsid w:val="00957882"/>
    <w:rsid w:val="00962A61"/>
    <w:rsid w:val="009641E5"/>
    <w:rsid w:val="00964AA3"/>
    <w:rsid w:val="00964F10"/>
    <w:rsid w:val="009651C6"/>
    <w:rsid w:val="00971155"/>
    <w:rsid w:val="0097209F"/>
    <w:rsid w:val="0097535A"/>
    <w:rsid w:val="0097664E"/>
    <w:rsid w:val="009839A6"/>
    <w:rsid w:val="00983F7C"/>
    <w:rsid w:val="00984F50"/>
    <w:rsid w:val="00985071"/>
    <w:rsid w:val="00985FED"/>
    <w:rsid w:val="00986127"/>
    <w:rsid w:val="00987205"/>
    <w:rsid w:val="009906EE"/>
    <w:rsid w:val="009916A8"/>
    <w:rsid w:val="00991DAC"/>
    <w:rsid w:val="009940F2"/>
    <w:rsid w:val="0099551E"/>
    <w:rsid w:val="00997C32"/>
    <w:rsid w:val="009A0F69"/>
    <w:rsid w:val="009A1A6C"/>
    <w:rsid w:val="009A2923"/>
    <w:rsid w:val="009A2E59"/>
    <w:rsid w:val="009A3310"/>
    <w:rsid w:val="009A3599"/>
    <w:rsid w:val="009A4711"/>
    <w:rsid w:val="009A49FA"/>
    <w:rsid w:val="009A655A"/>
    <w:rsid w:val="009A6FEF"/>
    <w:rsid w:val="009A73B9"/>
    <w:rsid w:val="009B0C11"/>
    <w:rsid w:val="009B1A7D"/>
    <w:rsid w:val="009B1AE1"/>
    <w:rsid w:val="009B3601"/>
    <w:rsid w:val="009B449B"/>
    <w:rsid w:val="009B45B5"/>
    <w:rsid w:val="009B7DF7"/>
    <w:rsid w:val="009C2084"/>
    <w:rsid w:val="009C24EA"/>
    <w:rsid w:val="009C292B"/>
    <w:rsid w:val="009C297B"/>
    <w:rsid w:val="009C2D45"/>
    <w:rsid w:val="009C43D8"/>
    <w:rsid w:val="009C594F"/>
    <w:rsid w:val="009C70FC"/>
    <w:rsid w:val="009C7EED"/>
    <w:rsid w:val="009D01AE"/>
    <w:rsid w:val="009D1A14"/>
    <w:rsid w:val="009D2049"/>
    <w:rsid w:val="009D514B"/>
    <w:rsid w:val="009D5C22"/>
    <w:rsid w:val="009D6A6F"/>
    <w:rsid w:val="009D7232"/>
    <w:rsid w:val="009D7784"/>
    <w:rsid w:val="009D7995"/>
    <w:rsid w:val="009E10C7"/>
    <w:rsid w:val="009E2C25"/>
    <w:rsid w:val="009E2FD0"/>
    <w:rsid w:val="009E361D"/>
    <w:rsid w:val="009E5BE5"/>
    <w:rsid w:val="009E5CDC"/>
    <w:rsid w:val="009E75C2"/>
    <w:rsid w:val="009E7852"/>
    <w:rsid w:val="009F038F"/>
    <w:rsid w:val="009F08A1"/>
    <w:rsid w:val="009F094D"/>
    <w:rsid w:val="009F181F"/>
    <w:rsid w:val="009F2B86"/>
    <w:rsid w:val="009F2FCC"/>
    <w:rsid w:val="009F4907"/>
    <w:rsid w:val="009F54F5"/>
    <w:rsid w:val="00A0072D"/>
    <w:rsid w:val="00A00DDB"/>
    <w:rsid w:val="00A015E2"/>
    <w:rsid w:val="00A0165A"/>
    <w:rsid w:val="00A0177E"/>
    <w:rsid w:val="00A03A1D"/>
    <w:rsid w:val="00A0658B"/>
    <w:rsid w:val="00A10660"/>
    <w:rsid w:val="00A121C7"/>
    <w:rsid w:val="00A1253B"/>
    <w:rsid w:val="00A126C5"/>
    <w:rsid w:val="00A13D41"/>
    <w:rsid w:val="00A14175"/>
    <w:rsid w:val="00A1738E"/>
    <w:rsid w:val="00A17EB7"/>
    <w:rsid w:val="00A205CD"/>
    <w:rsid w:val="00A21E59"/>
    <w:rsid w:val="00A24E83"/>
    <w:rsid w:val="00A25E21"/>
    <w:rsid w:val="00A261A0"/>
    <w:rsid w:val="00A263A4"/>
    <w:rsid w:val="00A32B00"/>
    <w:rsid w:val="00A33179"/>
    <w:rsid w:val="00A348A1"/>
    <w:rsid w:val="00A348F7"/>
    <w:rsid w:val="00A34E09"/>
    <w:rsid w:val="00A34EC6"/>
    <w:rsid w:val="00A35295"/>
    <w:rsid w:val="00A36F9E"/>
    <w:rsid w:val="00A37322"/>
    <w:rsid w:val="00A4048E"/>
    <w:rsid w:val="00A4121D"/>
    <w:rsid w:val="00A42719"/>
    <w:rsid w:val="00A44F1E"/>
    <w:rsid w:val="00A50AC2"/>
    <w:rsid w:val="00A5109F"/>
    <w:rsid w:val="00A53FD1"/>
    <w:rsid w:val="00A565DC"/>
    <w:rsid w:val="00A57AE9"/>
    <w:rsid w:val="00A60523"/>
    <w:rsid w:val="00A61C66"/>
    <w:rsid w:val="00A62971"/>
    <w:rsid w:val="00A62CDB"/>
    <w:rsid w:val="00A638CD"/>
    <w:rsid w:val="00A63931"/>
    <w:rsid w:val="00A64214"/>
    <w:rsid w:val="00A643AC"/>
    <w:rsid w:val="00A65A10"/>
    <w:rsid w:val="00A65DE7"/>
    <w:rsid w:val="00A661AB"/>
    <w:rsid w:val="00A6664A"/>
    <w:rsid w:val="00A67F29"/>
    <w:rsid w:val="00A702D5"/>
    <w:rsid w:val="00A7086D"/>
    <w:rsid w:val="00A72B3E"/>
    <w:rsid w:val="00A772A2"/>
    <w:rsid w:val="00A77F23"/>
    <w:rsid w:val="00A8281F"/>
    <w:rsid w:val="00A82C53"/>
    <w:rsid w:val="00A83599"/>
    <w:rsid w:val="00A83D4C"/>
    <w:rsid w:val="00A844F1"/>
    <w:rsid w:val="00A84709"/>
    <w:rsid w:val="00A8511F"/>
    <w:rsid w:val="00A85727"/>
    <w:rsid w:val="00A86000"/>
    <w:rsid w:val="00A8631E"/>
    <w:rsid w:val="00A87A1A"/>
    <w:rsid w:val="00A87A7F"/>
    <w:rsid w:val="00A90D8B"/>
    <w:rsid w:val="00A91674"/>
    <w:rsid w:val="00A95281"/>
    <w:rsid w:val="00A95317"/>
    <w:rsid w:val="00A95BEE"/>
    <w:rsid w:val="00A96131"/>
    <w:rsid w:val="00A9615C"/>
    <w:rsid w:val="00A96419"/>
    <w:rsid w:val="00A96617"/>
    <w:rsid w:val="00A96899"/>
    <w:rsid w:val="00AA0799"/>
    <w:rsid w:val="00AA0BFA"/>
    <w:rsid w:val="00AA2D9A"/>
    <w:rsid w:val="00AA3045"/>
    <w:rsid w:val="00AA6C60"/>
    <w:rsid w:val="00AA77E9"/>
    <w:rsid w:val="00AB1525"/>
    <w:rsid w:val="00AB2C1C"/>
    <w:rsid w:val="00AB32D7"/>
    <w:rsid w:val="00AB3CC1"/>
    <w:rsid w:val="00AB4672"/>
    <w:rsid w:val="00AB48ED"/>
    <w:rsid w:val="00AB5FA9"/>
    <w:rsid w:val="00AB603D"/>
    <w:rsid w:val="00AC01AB"/>
    <w:rsid w:val="00AC1355"/>
    <w:rsid w:val="00AC32C5"/>
    <w:rsid w:val="00AC4D4B"/>
    <w:rsid w:val="00AC5180"/>
    <w:rsid w:val="00AC6DF0"/>
    <w:rsid w:val="00AC7FA7"/>
    <w:rsid w:val="00AD02C7"/>
    <w:rsid w:val="00AD26AC"/>
    <w:rsid w:val="00AD30C8"/>
    <w:rsid w:val="00AD6DB9"/>
    <w:rsid w:val="00AD75B9"/>
    <w:rsid w:val="00AE435F"/>
    <w:rsid w:val="00AE47A2"/>
    <w:rsid w:val="00AF08DA"/>
    <w:rsid w:val="00AF0AA2"/>
    <w:rsid w:val="00AF0D37"/>
    <w:rsid w:val="00AF0E55"/>
    <w:rsid w:val="00AF1511"/>
    <w:rsid w:val="00AF1646"/>
    <w:rsid w:val="00AF5268"/>
    <w:rsid w:val="00AF6FD0"/>
    <w:rsid w:val="00AF70D5"/>
    <w:rsid w:val="00B00A55"/>
    <w:rsid w:val="00B01093"/>
    <w:rsid w:val="00B0123A"/>
    <w:rsid w:val="00B0129F"/>
    <w:rsid w:val="00B060CF"/>
    <w:rsid w:val="00B06A4A"/>
    <w:rsid w:val="00B06AB4"/>
    <w:rsid w:val="00B06D0F"/>
    <w:rsid w:val="00B072EA"/>
    <w:rsid w:val="00B1188A"/>
    <w:rsid w:val="00B14BA8"/>
    <w:rsid w:val="00B1561C"/>
    <w:rsid w:val="00B16F90"/>
    <w:rsid w:val="00B17693"/>
    <w:rsid w:val="00B21451"/>
    <w:rsid w:val="00B24942"/>
    <w:rsid w:val="00B26D0C"/>
    <w:rsid w:val="00B27623"/>
    <w:rsid w:val="00B27BFA"/>
    <w:rsid w:val="00B27C22"/>
    <w:rsid w:val="00B27FEB"/>
    <w:rsid w:val="00B314F6"/>
    <w:rsid w:val="00B3185B"/>
    <w:rsid w:val="00B32620"/>
    <w:rsid w:val="00B32904"/>
    <w:rsid w:val="00B329A0"/>
    <w:rsid w:val="00B32E17"/>
    <w:rsid w:val="00B32F73"/>
    <w:rsid w:val="00B330B5"/>
    <w:rsid w:val="00B34517"/>
    <w:rsid w:val="00B3578E"/>
    <w:rsid w:val="00B35C6D"/>
    <w:rsid w:val="00B44826"/>
    <w:rsid w:val="00B51644"/>
    <w:rsid w:val="00B51E5E"/>
    <w:rsid w:val="00B52262"/>
    <w:rsid w:val="00B5296B"/>
    <w:rsid w:val="00B53AA0"/>
    <w:rsid w:val="00B545E8"/>
    <w:rsid w:val="00B56892"/>
    <w:rsid w:val="00B56EA9"/>
    <w:rsid w:val="00B609A6"/>
    <w:rsid w:val="00B61151"/>
    <w:rsid w:val="00B61958"/>
    <w:rsid w:val="00B62E1B"/>
    <w:rsid w:val="00B63AA9"/>
    <w:rsid w:val="00B64BA0"/>
    <w:rsid w:val="00B657F4"/>
    <w:rsid w:val="00B667D4"/>
    <w:rsid w:val="00B6771D"/>
    <w:rsid w:val="00B678E7"/>
    <w:rsid w:val="00B731BF"/>
    <w:rsid w:val="00B7389B"/>
    <w:rsid w:val="00B75624"/>
    <w:rsid w:val="00B75697"/>
    <w:rsid w:val="00B756AE"/>
    <w:rsid w:val="00B76F97"/>
    <w:rsid w:val="00B7794D"/>
    <w:rsid w:val="00B77BAB"/>
    <w:rsid w:val="00B802D2"/>
    <w:rsid w:val="00B80832"/>
    <w:rsid w:val="00B8198E"/>
    <w:rsid w:val="00B84033"/>
    <w:rsid w:val="00B8573D"/>
    <w:rsid w:val="00B87B5A"/>
    <w:rsid w:val="00B920AF"/>
    <w:rsid w:val="00B9229E"/>
    <w:rsid w:val="00B926B9"/>
    <w:rsid w:val="00B934F5"/>
    <w:rsid w:val="00B95276"/>
    <w:rsid w:val="00BA16AD"/>
    <w:rsid w:val="00BA2DDD"/>
    <w:rsid w:val="00BA4E7C"/>
    <w:rsid w:val="00BA51DC"/>
    <w:rsid w:val="00BA58C2"/>
    <w:rsid w:val="00BA5B1F"/>
    <w:rsid w:val="00BB075C"/>
    <w:rsid w:val="00BB1468"/>
    <w:rsid w:val="00BB181D"/>
    <w:rsid w:val="00BB2E2B"/>
    <w:rsid w:val="00BB3571"/>
    <w:rsid w:val="00BB78F0"/>
    <w:rsid w:val="00BC05DD"/>
    <w:rsid w:val="00BC0EA7"/>
    <w:rsid w:val="00BC1FB9"/>
    <w:rsid w:val="00BC34BD"/>
    <w:rsid w:val="00BC6312"/>
    <w:rsid w:val="00BC7A0D"/>
    <w:rsid w:val="00BC7BC8"/>
    <w:rsid w:val="00BD2F98"/>
    <w:rsid w:val="00BD399C"/>
    <w:rsid w:val="00BD40CE"/>
    <w:rsid w:val="00BD446D"/>
    <w:rsid w:val="00BD6573"/>
    <w:rsid w:val="00BD75F8"/>
    <w:rsid w:val="00BD7EC1"/>
    <w:rsid w:val="00BE1391"/>
    <w:rsid w:val="00BE250B"/>
    <w:rsid w:val="00BE7149"/>
    <w:rsid w:val="00BF0711"/>
    <w:rsid w:val="00BF20E5"/>
    <w:rsid w:val="00BF304A"/>
    <w:rsid w:val="00BF3C4D"/>
    <w:rsid w:val="00BF406A"/>
    <w:rsid w:val="00BF4FFF"/>
    <w:rsid w:val="00BF6EBE"/>
    <w:rsid w:val="00BF7839"/>
    <w:rsid w:val="00BF7FD6"/>
    <w:rsid w:val="00C008BD"/>
    <w:rsid w:val="00C02375"/>
    <w:rsid w:val="00C035DF"/>
    <w:rsid w:val="00C045E8"/>
    <w:rsid w:val="00C04CDD"/>
    <w:rsid w:val="00C06199"/>
    <w:rsid w:val="00C06D7E"/>
    <w:rsid w:val="00C06DB5"/>
    <w:rsid w:val="00C10EF8"/>
    <w:rsid w:val="00C14CEB"/>
    <w:rsid w:val="00C156A1"/>
    <w:rsid w:val="00C15BBF"/>
    <w:rsid w:val="00C16E82"/>
    <w:rsid w:val="00C20821"/>
    <w:rsid w:val="00C20BF7"/>
    <w:rsid w:val="00C20F12"/>
    <w:rsid w:val="00C23592"/>
    <w:rsid w:val="00C2559E"/>
    <w:rsid w:val="00C25A0A"/>
    <w:rsid w:val="00C26A6D"/>
    <w:rsid w:val="00C27BC5"/>
    <w:rsid w:val="00C32AAE"/>
    <w:rsid w:val="00C32D68"/>
    <w:rsid w:val="00C409CC"/>
    <w:rsid w:val="00C417F8"/>
    <w:rsid w:val="00C419D6"/>
    <w:rsid w:val="00C425E6"/>
    <w:rsid w:val="00C43940"/>
    <w:rsid w:val="00C43D0D"/>
    <w:rsid w:val="00C44989"/>
    <w:rsid w:val="00C503E2"/>
    <w:rsid w:val="00C51393"/>
    <w:rsid w:val="00C51A62"/>
    <w:rsid w:val="00C51DAA"/>
    <w:rsid w:val="00C530C7"/>
    <w:rsid w:val="00C53BAC"/>
    <w:rsid w:val="00C53FB3"/>
    <w:rsid w:val="00C5496F"/>
    <w:rsid w:val="00C55B1C"/>
    <w:rsid w:val="00C55C71"/>
    <w:rsid w:val="00C6000B"/>
    <w:rsid w:val="00C60643"/>
    <w:rsid w:val="00C62E6C"/>
    <w:rsid w:val="00C66487"/>
    <w:rsid w:val="00C66560"/>
    <w:rsid w:val="00C6679D"/>
    <w:rsid w:val="00C756C3"/>
    <w:rsid w:val="00C8319D"/>
    <w:rsid w:val="00C83A1A"/>
    <w:rsid w:val="00C84C29"/>
    <w:rsid w:val="00C85103"/>
    <w:rsid w:val="00C8520C"/>
    <w:rsid w:val="00C870E0"/>
    <w:rsid w:val="00C874A3"/>
    <w:rsid w:val="00C90B92"/>
    <w:rsid w:val="00C90B9F"/>
    <w:rsid w:val="00C90D64"/>
    <w:rsid w:val="00C928A4"/>
    <w:rsid w:val="00C94989"/>
    <w:rsid w:val="00C94F7F"/>
    <w:rsid w:val="00C95106"/>
    <w:rsid w:val="00CA1687"/>
    <w:rsid w:val="00CA5D84"/>
    <w:rsid w:val="00CA6112"/>
    <w:rsid w:val="00CA6563"/>
    <w:rsid w:val="00CA67F3"/>
    <w:rsid w:val="00CA6949"/>
    <w:rsid w:val="00CA6CB9"/>
    <w:rsid w:val="00CB0072"/>
    <w:rsid w:val="00CB1670"/>
    <w:rsid w:val="00CB2AFE"/>
    <w:rsid w:val="00CB3F91"/>
    <w:rsid w:val="00CB4799"/>
    <w:rsid w:val="00CB4E34"/>
    <w:rsid w:val="00CB5083"/>
    <w:rsid w:val="00CB77C2"/>
    <w:rsid w:val="00CC08BC"/>
    <w:rsid w:val="00CC11FF"/>
    <w:rsid w:val="00CC1549"/>
    <w:rsid w:val="00CC2735"/>
    <w:rsid w:val="00CC2768"/>
    <w:rsid w:val="00CC5B75"/>
    <w:rsid w:val="00CC7A0B"/>
    <w:rsid w:val="00CC7DC8"/>
    <w:rsid w:val="00CD057F"/>
    <w:rsid w:val="00CD3F8D"/>
    <w:rsid w:val="00CD3FFF"/>
    <w:rsid w:val="00CD61AC"/>
    <w:rsid w:val="00CD77A5"/>
    <w:rsid w:val="00CE1727"/>
    <w:rsid w:val="00CE2AFC"/>
    <w:rsid w:val="00CE5B2E"/>
    <w:rsid w:val="00CE65E0"/>
    <w:rsid w:val="00CF0105"/>
    <w:rsid w:val="00CF027D"/>
    <w:rsid w:val="00CF04BB"/>
    <w:rsid w:val="00CF10F6"/>
    <w:rsid w:val="00CF3D74"/>
    <w:rsid w:val="00CF4A14"/>
    <w:rsid w:val="00CF5023"/>
    <w:rsid w:val="00CF6279"/>
    <w:rsid w:val="00CF7C9F"/>
    <w:rsid w:val="00D001BF"/>
    <w:rsid w:val="00D00208"/>
    <w:rsid w:val="00D002AD"/>
    <w:rsid w:val="00D00F09"/>
    <w:rsid w:val="00D01285"/>
    <w:rsid w:val="00D016C8"/>
    <w:rsid w:val="00D01D99"/>
    <w:rsid w:val="00D02119"/>
    <w:rsid w:val="00D0274F"/>
    <w:rsid w:val="00D02DFF"/>
    <w:rsid w:val="00D038E2"/>
    <w:rsid w:val="00D039A3"/>
    <w:rsid w:val="00D05343"/>
    <w:rsid w:val="00D0737D"/>
    <w:rsid w:val="00D07523"/>
    <w:rsid w:val="00D10628"/>
    <w:rsid w:val="00D10AA1"/>
    <w:rsid w:val="00D11EB5"/>
    <w:rsid w:val="00D13EB8"/>
    <w:rsid w:val="00D1795E"/>
    <w:rsid w:val="00D211D5"/>
    <w:rsid w:val="00D21AC9"/>
    <w:rsid w:val="00D23C6F"/>
    <w:rsid w:val="00D23F6F"/>
    <w:rsid w:val="00D24A39"/>
    <w:rsid w:val="00D258F7"/>
    <w:rsid w:val="00D25C36"/>
    <w:rsid w:val="00D2644B"/>
    <w:rsid w:val="00D2747B"/>
    <w:rsid w:val="00D3000E"/>
    <w:rsid w:val="00D3046B"/>
    <w:rsid w:val="00D30480"/>
    <w:rsid w:val="00D30F48"/>
    <w:rsid w:val="00D324A8"/>
    <w:rsid w:val="00D326DE"/>
    <w:rsid w:val="00D34F79"/>
    <w:rsid w:val="00D35A21"/>
    <w:rsid w:val="00D36AD5"/>
    <w:rsid w:val="00D37DB7"/>
    <w:rsid w:val="00D4034E"/>
    <w:rsid w:val="00D4060B"/>
    <w:rsid w:val="00D45A1E"/>
    <w:rsid w:val="00D45CB4"/>
    <w:rsid w:val="00D46BF1"/>
    <w:rsid w:val="00D47AE2"/>
    <w:rsid w:val="00D513EF"/>
    <w:rsid w:val="00D52197"/>
    <w:rsid w:val="00D52628"/>
    <w:rsid w:val="00D53D26"/>
    <w:rsid w:val="00D53D27"/>
    <w:rsid w:val="00D55FCF"/>
    <w:rsid w:val="00D57587"/>
    <w:rsid w:val="00D60FBC"/>
    <w:rsid w:val="00D619B4"/>
    <w:rsid w:val="00D61D69"/>
    <w:rsid w:val="00D6319B"/>
    <w:rsid w:val="00D7296D"/>
    <w:rsid w:val="00D75177"/>
    <w:rsid w:val="00D760ED"/>
    <w:rsid w:val="00D77A77"/>
    <w:rsid w:val="00D77FF5"/>
    <w:rsid w:val="00D83DEE"/>
    <w:rsid w:val="00D87735"/>
    <w:rsid w:val="00D87F94"/>
    <w:rsid w:val="00D90B9E"/>
    <w:rsid w:val="00D913FF"/>
    <w:rsid w:val="00D91584"/>
    <w:rsid w:val="00D9260A"/>
    <w:rsid w:val="00D93C84"/>
    <w:rsid w:val="00D94C1F"/>
    <w:rsid w:val="00D9770F"/>
    <w:rsid w:val="00DA02DD"/>
    <w:rsid w:val="00DA055A"/>
    <w:rsid w:val="00DA2683"/>
    <w:rsid w:val="00DA3CDB"/>
    <w:rsid w:val="00DA513D"/>
    <w:rsid w:val="00DA6131"/>
    <w:rsid w:val="00DA6CDF"/>
    <w:rsid w:val="00DA7E26"/>
    <w:rsid w:val="00DB151D"/>
    <w:rsid w:val="00DB1BED"/>
    <w:rsid w:val="00DB245F"/>
    <w:rsid w:val="00DB3562"/>
    <w:rsid w:val="00DB3D2E"/>
    <w:rsid w:val="00DB4678"/>
    <w:rsid w:val="00DB64C1"/>
    <w:rsid w:val="00DB6AE7"/>
    <w:rsid w:val="00DB7708"/>
    <w:rsid w:val="00DC045C"/>
    <w:rsid w:val="00DC07AC"/>
    <w:rsid w:val="00DC105B"/>
    <w:rsid w:val="00DC17EA"/>
    <w:rsid w:val="00DC1D46"/>
    <w:rsid w:val="00DC310F"/>
    <w:rsid w:val="00DC3F3E"/>
    <w:rsid w:val="00DC4617"/>
    <w:rsid w:val="00DC5B3B"/>
    <w:rsid w:val="00DD16BC"/>
    <w:rsid w:val="00DD1C02"/>
    <w:rsid w:val="00DD2E26"/>
    <w:rsid w:val="00DD36E8"/>
    <w:rsid w:val="00DD3904"/>
    <w:rsid w:val="00DD5B17"/>
    <w:rsid w:val="00DD7C04"/>
    <w:rsid w:val="00DE2747"/>
    <w:rsid w:val="00DE4CE4"/>
    <w:rsid w:val="00DE4DAA"/>
    <w:rsid w:val="00DE51ED"/>
    <w:rsid w:val="00DE6DED"/>
    <w:rsid w:val="00DF0448"/>
    <w:rsid w:val="00DF1B32"/>
    <w:rsid w:val="00DF4AB7"/>
    <w:rsid w:val="00DF5257"/>
    <w:rsid w:val="00E0064C"/>
    <w:rsid w:val="00E00DFF"/>
    <w:rsid w:val="00E0299A"/>
    <w:rsid w:val="00E0380D"/>
    <w:rsid w:val="00E04590"/>
    <w:rsid w:val="00E0523A"/>
    <w:rsid w:val="00E13AF6"/>
    <w:rsid w:val="00E145BE"/>
    <w:rsid w:val="00E156AF"/>
    <w:rsid w:val="00E16CA2"/>
    <w:rsid w:val="00E20C91"/>
    <w:rsid w:val="00E21021"/>
    <w:rsid w:val="00E233CA"/>
    <w:rsid w:val="00E24BF4"/>
    <w:rsid w:val="00E27205"/>
    <w:rsid w:val="00E305FC"/>
    <w:rsid w:val="00E30C62"/>
    <w:rsid w:val="00E3121A"/>
    <w:rsid w:val="00E31E84"/>
    <w:rsid w:val="00E328D7"/>
    <w:rsid w:val="00E32A10"/>
    <w:rsid w:val="00E3688F"/>
    <w:rsid w:val="00E36E41"/>
    <w:rsid w:val="00E37008"/>
    <w:rsid w:val="00E37F41"/>
    <w:rsid w:val="00E40519"/>
    <w:rsid w:val="00E42252"/>
    <w:rsid w:val="00E42470"/>
    <w:rsid w:val="00E42CB9"/>
    <w:rsid w:val="00E443B2"/>
    <w:rsid w:val="00E4509F"/>
    <w:rsid w:val="00E459FF"/>
    <w:rsid w:val="00E47C68"/>
    <w:rsid w:val="00E51CCC"/>
    <w:rsid w:val="00E51E7E"/>
    <w:rsid w:val="00E553EE"/>
    <w:rsid w:val="00E56C7A"/>
    <w:rsid w:val="00E606AF"/>
    <w:rsid w:val="00E61335"/>
    <w:rsid w:val="00E61CEF"/>
    <w:rsid w:val="00E6301C"/>
    <w:rsid w:val="00E63FDA"/>
    <w:rsid w:val="00E661B8"/>
    <w:rsid w:val="00E70705"/>
    <w:rsid w:val="00E7174B"/>
    <w:rsid w:val="00E724BE"/>
    <w:rsid w:val="00E72AB0"/>
    <w:rsid w:val="00E73742"/>
    <w:rsid w:val="00E76401"/>
    <w:rsid w:val="00E76611"/>
    <w:rsid w:val="00E7763D"/>
    <w:rsid w:val="00E8186C"/>
    <w:rsid w:val="00E8188C"/>
    <w:rsid w:val="00E81D1C"/>
    <w:rsid w:val="00E82569"/>
    <w:rsid w:val="00E82D45"/>
    <w:rsid w:val="00E82F94"/>
    <w:rsid w:val="00E838C2"/>
    <w:rsid w:val="00E84308"/>
    <w:rsid w:val="00E846EE"/>
    <w:rsid w:val="00E84742"/>
    <w:rsid w:val="00E851A2"/>
    <w:rsid w:val="00E865D8"/>
    <w:rsid w:val="00E872BE"/>
    <w:rsid w:val="00E908F0"/>
    <w:rsid w:val="00E9255F"/>
    <w:rsid w:val="00E94A3B"/>
    <w:rsid w:val="00E94BF2"/>
    <w:rsid w:val="00E95EA8"/>
    <w:rsid w:val="00E96601"/>
    <w:rsid w:val="00E97E2E"/>
    <w:rsid w:val="00E97F2C"/>
    <w:rsid w:val="00EA00BF"/>
    <w:rsid w:val="00EA10E4"/>
    <w:rsid w:val="00EA2786"/>
    <w:rsid w:val="00EA3FEB"/>
    <w:rsid w:val="00EA480B"/>
    <w:rsid w:val="00EA4825"/>
    <w:rsid w:val="00EA5577"/>
    <w:rsid w:val="00EA5AA2"/>
    <w:rsid w:val="00EB010C"/>
    <w:rsid w:val="00EB2650"/>
    <w:rsid w:val="00EB283D"/>
    <w:rsid w:val="00EB5C15"/>
    <w:rsid w:val="00EB611E"/>
    <w:rsid w:val="00EB6EC9"/>
    <w:rsid w:val="00EB7012"/>
    <w:rsid w:val="00EB7BDC"/>
    <w:rsid w:val="00EC25A7"/>
    <w:rsid w:val="00EC26AE"/>
    <w:rsid w:val="00EC2AC2"/>
    <w:rsid w:val="00EC2EAC"/>
    <w:rsid w:val="00EC42B1"/>
    <w:rsid w:val="00EC4EF5"/>
    <w:rsid w:val="00EC5325"/>
    <w:rsid w:val="00EC7D66"/>
    <w:rsid w:val="00ED0A08"/>
    <w:rsid w:val="00ED147F"/>
    <w:rsid w:val="00ED1E2A"/>
    <w:rsid w:val="00EE05F4"/>
    <w:rsid w:val="00EE307F"/>
    <w:rsid w:val="00EE42F0"/>
    <w:rsid w:val="00EE5D35"/>
    <w:rsid w:val="00EE5D4F"/>
    <w:rsid w:val="00EE6045"/>
    <w:rsid w:val="00EF1A62"/>
    <w:rsid w:val="00EF2785"/>
    <w:rsid w:val="00EF2B25"/>
    <w:rsid w:val="00EF413C"/>
    <w:rsid w:val="00EF5CEB"/>
    <w:rsid w:val="00EF5FF4"/>
    <w:rsid w:val="00EF68A0"/>
    <w:rsid w:val="00F000C8"/>
    <w:rsid w:val="00F00227"/>
    <w:rsid w:val="00F015B1"/>
    <w:rsid w:val="00F01DD4"/>
    <w:rsid w:val="00F03A31"/>
    <w:rsid w:val="00F05B98"/>
    <w:rsid w:val="00F07397"/>
    <w:rsid w:val="00F10F85"/>
    <w:rsid w:val="00F12723"/>
    <w:rsid w:val="00F13318"/>
    <w:rsid w:val="00F139E4"/>
    <w:rsid w:val="00F151FA"/>
    <w:rsid w:val="00F166B7"/>
    <w:rsid w:val="00F203D5"/>
    <w:rsid w:val="00F214C2"/>
    <w:rsid w:val="00F23100"/>
    <w:rsid w:val="00F236F1"/>
    <w:rsid w:val="00F23BB0"/>
    <w:rsid w:val="00F256AD"/>
    <w:rsid w:val="00F25F09"/>
    <w:rsid w:val="00F26D30"/>
    <w:rsid w:val="00F2709C"/>
    <w:rsid w:val="00F27CF8"/>
    <w:rsid w:val="00F30671"/>
    <w:rsid w:val="00F312BE"/>
    <w:rsid w:val="00F329E0"/>
    <w:rsid w:val="00F3307F"/>
    <w:rsid w:val="00F358F4"/>
    <w:rsid w:val="00F3638F"/>
    <w:rsid w:val="00F365BA"/>
    <w:rsid w:val="00F370F4"/>
    <w:rsid w:val="00F37EFB"/>
    <w:rsid w:val="00F41008"/>
    <w:rsid w:val="00F41851"/>
    <w:rsid w:val="00F422D6"/>
    <w:rsid w:val="00F438D5"/>
    <w:rsid w:val="00F45689"/>
    <w:rsid w:val="00F47648"/>
    <w:rsid w:val="00F47BA8"/>
    <w:rsid w:val="00F47F71"/>
    <w:rsid w:val="00F50627"/>
    <w:rsid w:val="00F50A4A"/>
    <w:rsid w:val="00F51817"/>
    <w:rsid w:val="00F539CB"/>
    <w:rsid w:val="00F53BAB"/>
    <w:rsid w:val="00F56D9F"/>
    <w:rsid w:val="00F57D7D"/>
    <w:rsid w:val="00F57F3E"/>
    <w:rsid w:val="00F619E7"/>
    <w:rsid w:val="00F657C8"/>
    <w:rsid w:val="00F65BB4"/>
    <w:rsid w:val="00F65E9D"/>
    <w:rsid w:val="00F66BD7"/>
    <w:rsid w:val="00F66BDA"/>
    <w:rsid w:val="00F67387"/>
    <w:rsid w:val="00F737A7"/>
    <w:rsid w:val="00F73AB0"/>
    <w:rsid w:val="00F7499D"/>
    <w:rsid w:val="00F7558D"/>
    <w:rsid w:val="00F762D8"/>
    <w:rsid w:val="00F76A2C"/>
    <w:rsid w:val="00F7701B"/>
    <w:rsid w:val="00F813A8"/>
    <w:rsid w:val="00F81AD7"/>
    <w:rsid w:val="00F844AA"/>
    <w:rsid w:val="00F845E9"/>
    <w:rsid w:val="00F848BD"/>
    <w:rsid w:val="00F84BAB"/>
    <w:rsid w:val="00F854E1"/>
    <w:rsid w:val="00F86195"/>
    <w:rsid w:val="00F86F68"/>
    <w:rsid w:val="00F876D7"/>
    <w:rsid w:val="00F9094E"/>
    <w:rsid w:val="00F9295C"/>
    <w:rsid w:val="00F93402"/>
    <w:rsid w:val="00F9368E"/>
    <w:rsid w:val="00F941CD"/>
    <w:rsid w:val="00F9504A"/>
    <w:rsid w:val="00FA1551"/>
    <w:rsid w:val="00FA1976"/>
    <w:rsid w:val="00FA39D6"/>
    <w:rsid w:val="00FA52B7"/>
    <w:rsid w:val="00FA76FE"/>
    <w:rsid w:val="00FA7CC4"/>
    <w:rsid w:val="00FB0E30"/>
    <w:rsid w:val="00FB15DB"/>
    <w:rsid w:val="00FB386A"/>
    <w:rsid w:val="00FB4278"/>
    <w:rsid w:val="00FB5CEC"/>
    <w:rsid w:val="00FB6959"/>
    <w:rsid w:val="00FB6AF9"/>
    <w:rsid w:val="00FC313B"/>
    <w:rsid w:val="00FC560C"/>
    <w:rsid w:val="00FC6099"/>
    <w:rsid w:val="00FC7761"/>
    <w:rsid w:val="00FD1D9A"/>
    <w:rsid w:val="00FD28F7"/>
    <w:rsid w:val="00FD3788"/>
    <w:rsid w:val="00FD5FB8"/>
    <w:rsid w:val="00FD78DA"/>
    <w:rsid w:val="00FD7D62"/>
    <w:rsid w:val="00FE0497"/>
    <w:rsid w:val="00FE06C8"/>
    <w:rsid w:val="00FE0E0A"/>
    <w:rsid w:val="00FE228E"/>
    <w:rsid w:val="00FE2D85"/>
    <w:rsid w:val="00FE439C"/>
    <w:rsid w:val="00FE4818"/>
    <w:rsid w:val="00FE6F3C"/>
    <w:rsid w:val="00FF0305"/>
    <w:rsid w:val="00FF07F3"/>
    <w:rsid w:val="00FF1C31"/>
    <w:rsid w:val="00FF1EF5"/>
    <w:rsid w:val="00FF202A"/>
    <w:rsid w:val="00FF4128"/>
    <w:rsid w:val="00FF6F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45F"/>
    <w:pPr>
      <w:tabs>
        <w:tab w:val="center" w:pos="4680"/>
        <w:tab w:val="right" w:pos="9360"/>
      </w:tabs>
    </w:pPr>
  </w:style>
  <w:style w:type="character" w:customStyle="1" w:styleId="FooterChar">
    <w:name w:val="Footer Char"/>
    <w:basedOn w:val="DefaultParagraphFont"/>
    <w:link w:val="Footer"/>
    <w:uiPriority w:val="99"/>
    <w:rsid w:val="00DB245F"/>
  </w:style>
  <w:style w:type="character" w:styleId="PageNumber">
    <w:name w:val="page number"/>
    <w:basedOn w:val="DefaultParagraphFont"/>
    <w:uiPriority w:val="99"/>
    <w:semiHidden/>
    <w:unhideWhenUsed/>
    <w:rsid w:val="00DB245F"/>
  </w:style>
  <w:style w:type="paragraph" w:styleId="Header">
    <w:name w:val="header"/>
    <w:basedOn w:val="Normal"/>
    <w:link w:val="HeaderChar"/>
    <w:uiPriority w:val="99"/>
    <w:unhideWhenUsed/>
    <w:rsid w:val="00DB245F"/>
    <w:pPr>
      <w:tabs>
        <w:tab w:val="center" w:pos="4680"/>
        <w:tab w:val="right" w:pos="9360"/>
      </w:tabs>
    </w:pPr>
  </w:style>
  <w:style w:type="character" w:customStyle="1" w:styleId="HeaderChar">
    <w:name w:val="Header Char"/>
    <w:basedOn w:val="DefaultParagraphFont"/>
    <w:link w:val="Header"/>
    <w:uiPriority w:val="99"/>
    <w:rsid w:val="00DB245F"/>
  </w:style>
  <w:style w:type="paragraph" w:styleId="FootnoteText">
    <w:name w:val="footnote text"/>
    <w:basedOn w:val="Normal"/>
    <w:link w:val="FootnoteTextChar"/>
    <w:uiPriority w:val="99"/>
    <w:semiHidden/>
    <w:unhideWhenUsed/>
    <w:rsid w:val="00DA6CDF"/>
    <w:rPr>
      <w:rFonts w:ascii="Times New Roman" w:hAnsi="Times New Roman" w:cs="Times New Roman"/>
      <w:szCs w:val="20"/>
    </w:rPr>
  </w:style>
  <w:style w:type="character" w:customStyle="1" w:styleId="FootnoteTextChar">
    <w:name w:val="Footnote Text Char"/>
    <w:basedOn w:val="DefaultParagraphFont"/>
    <w:link w:val="FootnoteText"/>
    <w:uiPriority w:val="99"/>
    <w:semiHidden/>
    <w:rsid w:val="00DA6CDF"/>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DA6CDF"/>
    <w:rPr>
      <w:b/>
      <w:position w:val="8"/>
      <w:sz w:val="20"/>
      <w:vertAlign w:val="baseline"/>
    </w:rPr>
  </w:style>
  <w:style w:type="table" w:styleId="TableGrid">
    <w:name w:val="Table Grid"/>
    <w:basedOn w:val="TableNormal"/>
    <w:uiPriority w:val="39"/>
    <w:rsid w:val="00DA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04AB"/>
    <w:rPr>
      <w:sz w:val="26"/>
    </w:rPr>
  </w:style>
  <w:style w:type="character" w:styleId="Hyperlink">
    <w:name w:val="Hyperlink"/>
    <w:basedOn w:val="DefaultParagraphFont"/>
    <w:uiPriority w:val="99"/>
    <w:unhideWhenUsed/>
    <w:rsid w:val="00A36F9E"/>
    <w:rPr>
      <w:color w:val="0563C1" w:themeColor="hyperlink"/>
      <w:u w:val="single"/>
    </w:rPr>
  </w:style>
  <w:style w:type="character" w:customStyle="1" w:styleId="UnresolvedMention">
    <w:name w:val="Unresolved Mention"/>
    <w:basedOn w:val="DefaultParagraphFont"/>
    <w:uiPriority w:val="99"/>
    <w:semiHidden/>
    <w:unhideWhenUsed/>
    <w:rsid w:val="00A36F9E"/>
    <w:rPr>
      <w:color w:val="605E5C"/>
      <w:shd w:val="clear" w:color="auto" w:fill="E1DFDD"/>
    </w:rPr>
  </w:style>
  <w:style w:type="character" w:styleId="FollowedHyperlink">
    <w:name w:val="FollowedHyperlink"/>
    <w:basedOn w:val="DefaultParagraphFont"/>
    <w:uiPriority w:val="99"/>
    <w:semiHidden/>
    <w:unhideWhenUsed/>
    <w:rsid w:val="00245FEB"/>
    <w:rPr>
      <w:color w:val="954F72" w:themeColor="followedHyperlink"/>
      <w:u w:val="single"/>
    </w:rPr>
  </w:style>
  <w:style w:type="table" w:customStyle="1" w:styleId="TableGrid1">
    <w:name w:val="Table Grid1"/>
    <w:basedOn w:val="TableNormal"/>
    <w:next w:val="TableGrid"/>
    <w:rsid w:val="00D24A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5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5B1"/>
    <w:rPr>
      <w:sz w:val="16"/>
      <w:szCs w:val="16"/>
    </w:rPr>
  </w:style>
  <w:style w:type="paragraph" w:styleId="CommentText">
    <w:name w:val="annotation text"/>
    <w:basedOn w:val="Normal"/>
    <w:link w:val="CommentTextChar"/>
    <w:uiPriority w:val="99"/>
    <w:unhideWhenUsed/>
    <w:rsid w:val="00F015B1"/>
    <w:rPr>
      <w:sz w:val="20"/>
      <w:szCs w:val="20"/>
    </w:rPr>
  </w:style>
  <w:style w:type="character" w:customStyle="1" w:styleId="CommentTextChar">
    <w:name w:val="Comment Text Char"/>
    <w:basedOn w:val="DefaultParagraphFont"/>
    <w:link w:val="CommentText"/>
    <w:uiPriority w:val="99"/>
    <w:rsid w:val="00F015B1"/>
    <w:rPr>
      <w:sz w:val="20"/>
      <w:szCs w:val="20"/>
    </w:rPr>
  </w:style>
  <w:style w:type="paragraph" w:styleId="CommentSubject">
    <w:name w:val="annotation subject"/>
    <w:basedOn w:val="CommentText"/>
    <w:next w:val="CommentText"/>
    <w:link w:val="CommentSubjectChar"/>
    <w:uiPriority w:val="99"/>
    <w:semiHidden/>
    <w:unhideWhenUsed/>
    <w:rsid w:val="00F015B1"/>
    <w:rPr>
      <w:b/>
      <w:bCs/>
    </w:rPr>
  </w:style>
  <w:style w:type="character" w:customStyle="1" w:styleId="CommentSubjectChar">
    <w:name w:val="Comment Subject Char"/>
    <w:basedOn w:val="CommentTextChar"/>
    <w:link w:val="CommentSubject"/>
    <w:uiPriority w:val="99"/>
    <w:semiHidden/>
    <w:rsid w:val="00F015B1"/>
    <w:rPr>
      <w:b/>
      <w:bCs/>
      <w:sz w:val="20"/>
      <w:szCs w:val="20"/>
    </w:rPr>
  </w:style>
  <w:style w:type="table" w:customStyle="1" w:styleId="TableGrid3">
    <w:name w:val="Table Grid3"/>
    <w:basedOn w:val="TableNormal"/>
    <w:next w:val="TableGrid"/>
    <w:rsid w:val="00176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9C466-5D56-418A-B65B-792E9CF53DB3}">
  <we:reference id="wa200003725" version="3.1.4.0" store="en-US" storeType="OMEX"/>
  <we:alternateReferences>
    <we:reference id="WA200003725" version="3.1.4.0" store="en-US" storeType="OMEX"/>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1AFB-99AD-8E48-81D2-C9102071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2024-01-08T20:43:49Z</dcterms:created>
  <dcterms:modified xsi:type="dcterms:W3CDTF">2024-01-08T20:43:49Z</dcterms:modified>
</cp:coreProperties>
</file>