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521173" w:rsidRPr="00FD6C47" w:rsidP="000B1148" w14:paraId="77BC2604" w14:textId="480E0453">
      <w:pPr>
        <w:rPr>
          <w:rFonts w:ascii="Times New Roman" w:hAnsi="Times New Roman" w:cs="Times New Roman"/>
          <w:sz w:val="20"/>
          <w:szCs w:val="20"/>
        </w:rPr>
      </w:pPr>
      <w:r w:rsidRPr="00FD6C47">
        <w:rPr>
          <w:rFonts w:ascii="Times New Roman" w:hAnsi="Times New Roman" w:cs="Times New Roman"/>
          <w:sz w:val="20"/>
          <w:szCs w:val="20"/>
        </w:rPr>
        <w:t>Filed 2</w:t>
      </w:r>
      <w:r w:rsidRPr="00FD6C47" w:rsidR="00FD6C47">
        <w:rPr>
          <w:rFonts w:ascii="Times New Roman" w:hAnsi="Times New Roman" w:cs="Times New Roman"/>
          <w:sz w:val="20"/>
          <w:szCs w:val="20"/>
        </w:rPr>
        <w:t>/8/</w:t>
      </w:r>
      <w:r w:rsidRPr="00FD6C47">
        <w:rPr>
          <w:rFonts w:ascii="Times New Roman" w:hAnsi="Times New Roman" w:cs="Times New Roman"/>
          <w:sz w:val="20"/>
          <w:szCs w:val="20"/>
        </w:rPr>
        <w:t>24</w:t>
      </w:r>
    </w:p>
    <w:p w:rsidR="00521173" w:rsidP="000B1148" w14:paraId="35B48AE3" w14:textId="77777777">
      <w:pPr>
        <w:rPr>
          <w:rFonts w:ascii="Times New Roman" w:hAnsi="Times New Roman" w:cs="Times New Roman"/>
          <w:sz w:val="26"/>
          <w:szCs w:val="26"/>
        </w:rPr>
      </w:pPr>
    </w:p>
    <w:p w:rsidR="00985F7D" w:rsidP="000B1148" w14:paraId="1D7ECABE" w14:textId="77777777">
      <w:pPr>
        <w:rPr>
          <w:rFonts w:ascii="Times New Roman" w:hAnsi="Times New Roman" w:cs="Times New Roman"/>
          <w:sz w:val="26"/>
          <w:szCs w:val="26"/>
        </w:rPr>
      </w:pPr>
    </w:p>
    <w:p w:rsidR="00985F7D" w:rsidRPr="00871A8C" w:rsidP="000B1148" w14:paraId="1073A8DB" w14:textId="77777777">
      <w:pPr>
        <w:rPr>
          <w:rFonts w:ascii="Times New Roman" w:hAnsi="Times New Roman" w:cs="Times New Roman"/>
          <w:sz w:val="26"/>
          <w:szCs w:val="26"/>
        </w:rPr>
      </w:pPr>
    </w:p>
    <w:p w:rsidR="000B1148" w:rsidRPr="00871A8C" w:rsidP="000B1148" w14:paraId="36D59FCB" w14:textId="77777777">
      <w:pPr>
        <w:rPr>
          <w:rFonts w:ascii="Times New Roman" w:hAnsi="Times New Roman" w:cs="Times New Roman"/>
          <w:sz w:val="26"/>
          <w:szCs w:val="26"/>
        </w:rPr>
      </w:pPr>
    </w:p>
    <w:p w:rsidR="000B1148" w:rsidRPr="00871A8C" w:rsidP="000B1148" w14:paraId="3C5FFACD" w14:textId="77777777">
      <w:pPr>
        <w:rPr>
          <w:rFonts w:ascii="Times New Roman" w:hAnsi="Times New Roman" w:cs="Times New Roman"/>
          <w:sz w:val="26"/>
          <w:szCs w:val="26"/>
        </w:rPr>
      </w:pPr>
      <w:bookmarkStart w:id="0" w:name="_Hlk146102144"/>
    </w:p>
    <w:p w:rsidR="000B1148" w:rsidRPr="00871A8C" w:rsidP="000B1148" w14:paraId="49254BF6" w14:textId="77777777">
      <w:pPr>
        <w:rPr>
          <w:rFonts w:ascii="Times New Roman" w:hAnsi="Times New Roman" w:cs="Times New Roman"/>
          <w:sz w:val="26"/>
          <w:szCs w:val="26"/>
        </w:rPr>
      </w:pPr>
    </w:p>
    <w:p w:rsidR="00985F7D" w:rsidP="00521173" w14:paraId="61BC48FC" w14:textId="77777777">
      <w:pPr>
        <w:jc w:val="center"/>
        <w:rPr>
          <w:rFonts w:ascii="Times New Roman" w:hAnsi="Times New Roman" w:cs="Times New Roman"/>
          <w:b/>
          <w:bCs/>
          <w:sz w:val="26"/>
          <w:szCs w:val="26"/>
        </w:rPr>
      </w:pPr>
    </w:p>
    <w:p w:rsidR="000B1148" w:rsidRPr="00521173" w:rsidP="00521173" w14:paraId="36DFECC4" w14:textId="40218A1D">
      <w:pPr>
        <w:jc w:val="center"/>
        <w:rPr>
          <w:rFonts w:ascii="Times New Roman" w:hAnsi="Times New Roman" w:cs="Times New Roman"/>
          <w:b/>
          <w:bCs/>
          <w:sz w:val="26"/>
          <w:szCs w:val="26"/>
        </w:rPr>
      </w:pPr>
      <w:r>
        <w:rPr>
          <w:rFonts w:ascii="Times New Roman" w:hAnsi="Times New Roman" w:cs="Times New Roman"/>
          <w:b/>
          <w:bCs/>
          <w:sz w:val="26"/>
          <w:szCs w:val="26"/>
        </w:rPr>
        <w:t>CERTIFIED FOR PUBLICATION</w:t>
      </w:r>
    </w:p>
    <w:p w:rsidR="00521173" w:rsidRPr="00871A8C" w:rsidP="00521173" w14:paraId="3E029436" w14:textId="77777777">
      <w:pPr>
        <w:jc w:val="center"/>
        <w:rPr>
          <w:rFonts w:ascii="Times New Roman" w:hAnsi="Times New Roman" w:cs="Times New Roman"/>
          <w:sz w:val="26"/>
          <w:szCs w:val="26"/>
        </w:rPr>
      </w:pPr>
    </w:p>
    <w:p w:rsidR="00521173" w:rsidP="000B1148" w14:paraId="52EA2C67" w14:textId="57A5B984">
      <w:pPr>
        <w:spacing w:line="480" w:lineRule="auto"/>
        <w:jc w:val="center"/>
        <w:rPr>
          <w:rFonts w:ascii="Times New Roman" w:hAnsi="Times New Roman" w:cs="Times New Roman"/>
          <w:sz w:val="26"/>
          <w:szCs w:val="26"/>
        </w:rPr>
      </w:pPr>
      <w:r>
        <w:rPr>
          <w:rFonts w:ascii="Times New Roman" w:hAnsi="Times New Roman" w:cs="Times New Roman"/>
          <w:sz w:val="26"/>
          <w:szCs w:val="26"/>
        </w:rPr>
        <w:t>IN THE COURT OF APPEAL OF THE STATE OF CALIFORNIA</w:t>
      </w:r>
    </w:p>
    <w:p w:rsidR="000B1148" w:rsidRPr="00F20F55" w:rsidP="000B1148" w14:paraId="4E32E1DC" w14:textId="5169623A">
      <w:pPr>
        <w:spacing w:line="480" w:lineRule="auto"/>
        <w:jc w:val="center"/>
        <w:rPr>
          <w:rFonts w:ascii="Times New Roman" w:hAnsi="Times New Roman" w:cs="Times New Roman"/>
          <w:sz w:val="26"/>
          <w:szCs w:val="26"/>
        </w:rPr>
      </w:pPr>
      <w:r w:rsidRPr="00F20F55">
        <w:rPr>
          <w:rFonts w:ascii="Times New Roman" w:hAnsi="Times New Roman" w:cs="Times New Roman"/>
          <w:sz w:val="26"/>
          <w:szCs w:val="26"/>
        </w:rPr>
        <w:t>FOURTH APPELLATE DISTRICT</w:t>
      </w:r>
    </w:p>
    <w:p w:rsidR="000B1148" w:rsidRPr="00F20F55" w:rsidP="000B1148" w14:paraId="110F8FF7" w14:textId="77777777">
      <w:pPr>
        <w:spacing w:line="480" w:lineRule="auto"/>
        <w:jc w:val="center"/>
        <w:rPr>
          <w:rFonts w:ascii="Times New Roman" w:hAnsi="Times New Roman" w:cs="Times New Roman"/>
          <w:sz w:val="26"/>
          <w:szCs w:val="26"/>
        </w:rPr>
      </w:pPr>
      <w:r w:rsidRPr="00F20F55">
        <w:rPr>
          <w:rFonts w:ascii="Times New Roman" w:hAnsi="Times New Roman" w:cs="Times New Roman"/>
          <w:sz w:val="26"/>
          <w:szCs w:val="26"/>
        </w:rPr>
        <w:t>DIVISION THREE</w:t>
      </w:r>
    </w:p>
    <w:tbl>
      <w:tblPr>
        <w:tblW w:w="0" w:type="auto"/>
        <w:tblLayout w:type="fixed"/>
        <w:tblLook w:val="0000"/>
      </w:tblPr>
      <w:tblGrid>
        <w:gridCol w:w="4680"/>
        <w:gridCol w:w="4680"/>
      </w:tblGrid>
      <w:tr w14:paraId="568160A7" w14:textId="77777777" w:rsidTr="00293E07">
        <w:tblPrEx>
          <w:tblW w:w="0" w:type="auto"/>
          <w:tblLayout w:type="fixed"/>
          <w:tblLook w:val="0000"/>
        </w:tblPrEx>
        <w:trPr>
          <w:trHeight w:val="300"/>
        </w:trPr>
        <w:tc>
          <w:tcPr>
            <w:tcW w:w="4680" w:type="dxa"/>
            <w:tcBorders>
              <w:bottom w:val="single" w:sz="6" w:space="0" w:color="auto"/>
              <w:right w:val="single" w:sz="6" w:space="0" w:color="auto"/>
            </w:tcBorders>
            <w:tcMar>
              <w:left w:w="105" w:type="dxa"/>
              <w:right w:w="105" w:type="dxa"/>
            </w:tcMar>
          </w:tcPr>
          <w:p w:rsidR="000B1148" w:rsidRPr="00F20F55" w:rsidP="00293E07" w14:paraId="1D129E72" w14:textId="71EC5CE1">
            <w:pPr>
              <w:tabs>
                <w:tab w:val="left" w:pos="1483"/>
              </w:tabs>
              <w:rPr>
                <w:rFonts w:ascii="Times New Roman" w:eastAsia="Times New Roman" w:hAnsi="Times New Roman" w:cs="Times New Roman"/>
                <w:color w:val="000000" w:themeColor="text1"/>
                <w:sz w:val="26"/>
                <w:szCs w:val="26"/>
              </w:rPr>
            </w:pPr>
            <w:r w:rsidRPr="00F20F55">
              <w:rPr>
                <w:rFonts w:ascii="Times New Roman" w:eastAsia="Times New Roman" w:hAnsi="Times New Roman" w:cs="Times New Roman"/>
                <w:color w:val="000000" w:themeColor="text1"/>
                <w:sz w:val="26"/>
                <w:szCs w:val="26"/>
              </w:rPr>
              <w:t xml:space="preserve">In re </w:t>
            </w:r>
            <w:r w:rsidR="00985F7D">
              <w:rPr>
                <w:rFonts w:ascii="Times New Roman" w:eastAsia="Times New Roman" w:hAnsi="Times New Roman" w:cs="Times New Roman"/>
                <w:color w:val="000000" w:themeColor="text1"/>
                <w:sz w:val="26"/>
                <w:szCs w:val="26"/>
              </w:rPr>
              <w:t xml:space="preserve">the </w:t>
            </w:r>
            <w:r w:rsidRPr="00F20F55">
              <w:rPr>
                <w:rFonts w:ascii="Times New Roman" w:eastAsia="Times New Roman" w:hAnsi="Times New Roman" w:cs="Times New Roman"/>
                <w:color w:val="000000" w:themeColor="text1"/>
                <w:sz w:val="26"/>
                <w:szCs w:val="26"/>
              </w:rPr>
              <w:t xml:space="preserve">Marriage of </w:t>
            </w:r>
            <w:r>
              <w:rPr>
                <w:rFonts w:ascii="Times New Roman" w:eastAsia="Times New Roman" w:hAnsi="Times New Roman" w:cs="Times New Roman"/>
                <w:color w:val="000000" w:themeColor="text1"/>
                <w:sz w:val="26"/>
                <w:szCs w:val="26"/>
              </w:rPr>
              <w:t xml:space="preserve">DIANA </w:t>
            </w:r>
            <w:r w:rsidRPr="00F20F55">
              <w:rPr>
                <w:rFonts w:ascii="Times New Roman" w:eastAsia="Times New Roman" w:hAnsi="Times New Roman" w:cs="Times New Roman"/>
                <w:color w:val="000000" w:themeColor="text1"/>
                <w:sz w:val="26"/>
                <w:szCs w:val="26"/>
              </w:rPr>
              <w:t xml:space="preserve">and </w:t>
            </w:r>
            <w:r>
              <w:rPr>
                <w:rFonts w:ascii="Times New Roman" w:eastAsia="Times New Roman" w:hAnsi="Times New Roman" w:cs="Times New Roman"/>
                <w:color w:val="000000" w:themeColor="text1"/>
                <w:sz w:val="26"/>
                <w:szCs w:val="26"/>
              </w:rPr>
              <w:t>ANDREAS LIETZ</w:t>
            </w:r>
          </w:p>
        </w:tc>
        <w:tc>
          <w:tcPr>
            <w:tcW w:w="4680" w:type="dxa"/>
            <w:tcBorders>
              <w:left w:val="single" w:sz="6" w:space="0" w:color="auto"/>
            </w:tcBorders>
            <w:tcMar>
              <w:left w:w="105" w:type="dxa"/>
              <w:right w:w="105" w:type="dxa"/>
            </w:tcMar>
          </w:tcPr>
          <w:p w:rsidR="000B1148" w:rsidRPr="00F20F55" w:rsidP="00293E07" w14:paraId="6E55393A" w14:textId="77777777">
            <w:pPr>
              <w:tabs>
                <w:tab w:val="left" w:pos="1483"/>
              </w:tabs>
              <w:rPr>
                <w:rFonts w:ascii="Times New Roman" w:eastAsia="Times New Roman" w:hAnsi="Times New Roman" w:cs="Times New Roman"/>
                <w:color w:val="000000" w:themeColor="text1"/>
                <w:sz w:val="26"/>
                <w:szCs w:val="26"/>
              </w:rPr>
            </w:pPr>
          </w:p>
        </w:tc>
      </w:tr>
      <w:tr w14:paraId="4C7E0087" w14:textId="77777777" w:rsidTr="00293E07">
        <w:tblPrEx>
          <w:tblW w:w="0" w:type="auto"/>
          <w:tblLayout w:type="fixed"/>
          <w:tblLook w:val="0000"/>
        </w:tblPrEx>
        <w:trPr>
          <w:trHeight w:val="300"/>
        </w:trPr>
        <w:tc>
          <w:tcPr>
            <w:tcW w:w="4680" w:type="dxa"/>
            <w:tcBorders>
              <w:top w:val="single" w:sz="6" w:space="0" w:color="auto"/>
              <w:bottom w:val="single" w:sz="6" w:space="0" w:color="auto"/>
              <w:right w:val="single" w:sz="6" w:space="0" w:color="auto"/>
            </w:tcBorders>
            <w:tcMar>
              <w:left w:w="105" w:type="dxa"/>
              <w:right w:w="105" w:type="dxa"/>
            </w:tcMar>
          </w:tcPr>
          <w:p w:rsidR="000B1148" w:rsidRPr="00F20F55" w:rsidP="00293E07" w14:paraId="3C65C6CD" w14:textId="77777777">
            <w:pPr>
              <w:tabs>
                <w:tab w:val="left" w:pos="1483"/>
              </w:tabs>
              <w:rPr>
                <w:rFonts w:ascii="Times New Roman" w:eastAsia="Times New Roman" w:hAnsi="Times New Roman" w:cs="Times New Roman"/>
                <w:color w:val="000000" w:themeColor="text1"/>
                <w:sz w:val="26"/>
                <w:szCs w:val="26"/>
              </w:rPr>
            </w:pPr>
          </w:p>
          <w:p w:rsidR="000B1148" w:rsidRPr="00F20F55" w:rsidP="00293E07" w14:paraId="27888209" w14:textId="77777777">
            <w:pPr>
              <w:tabs>
                <w:tab w:val="left" w:pos="1483"/>
              </w:tabs>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DIANA LIETZ</w:t>
            </w:r>
            <w:r w:rsidRPr="00F20F55">
              <w:rPr>
                <w:rFonts w:ascii="Times New Roman" w:eastAsia="Times New Roman" w:hAnsi="Times New Roman" w:cs="Times New Roman"/>
                <w:color w:val="000000" w:themeColor="text1"/>
                <w:sz w:val="26"/>
                <w:szCs w:val="26"/>
              </w:rPr>
              <w:t>,</w:t>
            </w:r>
          </w:p>
          <w:p w:rsidR="000B1148" w:rsidRPr="00F20F55" w:rsidP="00293E07" w14:paraId="3AF16BC3" w14:textId="77777777">
            <w:pPr>
              <w:tabs>
                <w:tab w:val="left" w:pos="1483"/>
              </w:tabs>
              <w:rPr>
                <w:rFonts w:ascii="Times New Roman" w:eastAsia="Times New Roman" w:hAnsi="Times New Roman" w:cs="Times New Roman"/>
                <w:color w:val="000000" w:themeColor="text1"/>
                <w:sz w:val="26"/>
                <w:szCs w:val="26"/>
              </w:rPr>
            </w:pPr>
          </w:p>
          <w:p w:rsidR="000B1148" w:rsidRPr="00F20F55" w:rsidP="00293E07" w14:paraId="5ABFDF2C" w14:textId="77777777">
            <w:pPr>
              <w:tabs>
                <w:tab w:val="left" w:pos="1483"/>
              </w:tabs>
              <w:rPr>
                <w:rFonts w:ascii="Times New Roman" w:eastAsia="Times New Roman" w:hAnsi="Times New Roman" w:cs="Times New Roman"/>
                <w:color w:val="000000" w:themeColor="text1"/>
                <w:sz w:val="26"/>
                <w:szCs w:val="26"/>
              </w:rPr>
            </w:pPr>
            <w:r w:rsidRPr="00F20F55">
              <w:rPr>
                <w:rFonts w:ascii="Times New Roman" w:eastAsia="Times New Roman" w:hAnsi="Times New Roman" w:cs="Times New Roman"/>
                <w:color w:val="000000" w:themeColor="text1"/>
                <w:sz w:val="26"/>
                <w:szCs w:val="26"/>
              </w:rPr>
              <w:t xml:space="preserve">      Appellant,</w:t>
            </w:r>
          </w:p>
          <w:p w:rsidR="000B1148" w:rsidRPr="00F20F55" w:rsidP="00293E07" w14:paraId="0DE171D4" w14:textId="77777777">
            <w:pPr>
              <w:tabs>
                <w:tab w:val="left" w:pos="1483"/>
              </w:tabs>
              <w:rPr>
                <w:rFonts w:ascii="Times New Roman" w:eastAsia="Times New Roman" w:hAnsi="Times New Roman" w:cs="Times New Roman"/>
                <w:color w:val="000000" w:themeColor="text1"/>
                <w:sz w:val="26"/>
                <w:szCs w:val="26"/>
              </w:rPr>
            </w:pPr>
          </w:p>
          <w:p w:rsidR="000B1148" w:rsidRPr="00F20F55" w:rsidP="00293E07" w14:paraId="1CD89980" w14:textId="77777777">
            <w:pPr>
              <w:tabs>
                <w:tab w:val="left" w:pos="1483"/>
              </w:tabs>
              <w:rPr>
                <w:rFonts w:ascii="Times New Roman" w:eastAsia="Times New Roman" w:hAnsi="Times New Roman" w:cs="Times New Roman"/>
                <w:color w:val="000000" w:themeColor="text1"/>
                <w:sz w:val="26"/>
                <w:szCs w:val="26"/>
              </w:rPr>
            </w:pPr>
            <w:r w:rsidRPr="00F20F55">
              <w:rPr>
                <w:rFonts w:ascii="Times New Roman" w:eastAsia="Times New Roman" w:hAnsi="Times New Roman" w:cs="Times New Roman"/>
                <w:color w:val="000000" w:themeColor="text1"/>
                <w:sz w:val="26"/>
                <w:szCs w:val="26"/>
              </w:rPr>
              <w:t>v.</w:t>
            </w:r>
          </w:p>
          <w:p w:rsidR="000B1148" w:rsidRPr="00F20F55" w:rsidP="00293E07" w14:paraId="3C8581EA" w14:textId="77777777">
            <w:pPr>
              <w:tabs>
                <w:tab w:val="left" w:pos="1483"/>
              </w:tabs>
              <w:rPr>
                <w:rFonts w:ascii="Times New Roman" w:eastAsia="Times New Roman" w:hAnsi="Times New Roman" w:cs="Times New Roman"/>
                <w:color w:val="000000" w:themeColor="text1"/>
                <w:sz w:val="26"/>
                <w:szCs w:val="26"/>
              </w:rPr>
            </w:pPr>
          </w:p>
          <w:p w:rsidR="000B1148" w:rsidRPr="00F20F55" w:rsidP="00293E07" w14:paraId="68D5D39C" w14:textId="77777777">
            <w:pPr>
              <w:tabs>
                <w:tab w:val="left" w:pos="1483"/>
              </w:tabs>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ANDREAS LIETZ</w:t>
            </w:r>
            <w:r w:rsidRPr="00F20F55">
              <w:rPr>
                <w:rFonts w:ascii="Times New Roman" w:eastAsia="Times New Roman" w:hAnsi="Times New Roman" w:cs="Times New Roman"/>
                <w:color w:val="000000" w:themeColor="text1"/>
                <w:sz w:val="26"/>
                <w:szCs w:val="26"/>
              </w:rPr>
              <w:t>,</w:t>
            </w:r>
          </w:p>
          <w:p w:rsidR="000B1148" w:rsidRPr="00F20F55" w:rsidP="00293E07" w14:paraId="6E23ED32" w14:textId="77777777">
            <w:pPr>
              <w:tabs>
                <w:tab w:val="left" w:pos="1483"/>
              </w:tabs>
              <w:rPr>
                <w:rFonts w:ascii="Times New Roman" w:eastAsia="Times New Roman" w:hAnsi="Times New Roman" w:cs="Times New Roman"/>
                <w:color w:val="000000" w:themeColor="text1"/>
                <w:sz w:val="26"/>
                <w:szCs w:val="26"/>
              </w:rPr>
            </w:pPr>
          </w:p>
          <w:p w:rsidR="000B1148" w:rsidRPr="00F20F55" w:rsidP="00293E07" w14:paraId="734F9C16" w14:textId="77777777">
            <w:pPr>
              <w:tabs>
                <w:tab w:val="left" w:pos="1483"/>
              </w:tabs>
              <w:rPr>
                <w:rFonts w:ascii="Times New Roman" w:eastAsia="Times New Roman" w:hAnsi="Times New Roman" w:cs="Times New Roman"/>
                <w:color w:val="000000" w:themeColor="text1"/>
                <w:sz w:val="26"/>
                <w:szCs w:val="26"/>
              </w:rPr>
            </w:pPr>
            <w:r w:rsidRPr="00F20F55">
              <w:rPr>
                <w:rFonts w:ascii="Times New Roman" w:eastAsia="Times New Roman" w:hAnsi="Times New Roman" w:cs="Times New Roman"/>
                <w:color w:val="000000" w:themeColor="text1"/>
                <w:sz w:val="26"/>
                <w:szCs w:val="26"/>
              </w:rPr>
              <w:t xml:space="preserve">      Respondent.</w:t>
            </w:r>
          </w:p>
          <w:p w:rsidR="000B1148" w:rsidRPr="00F20F55" w:rsidP="00293E07" w14:paraId="5023DAD2" w14:textId="77777777">
            <w:pPr>
              <w:tabs>
                <w:tab w:val="left" w:pos="1483"/>
              </w:tabs>
              <w:rPr>
                <w:rFonts w:ascii="Times New Roman" w:eastAsia="Times New Roman" w:hAnsi="Times New Roman" w:cs="Times New Roman"/>
                <w:color w:val="000000" w:themeColor="text1"/>
                <w:sz w:val="26"/>
                <w:szCs w:val="26"/>
              </w:rPr>
            </w:pPr>
          </w:p>
        </w:tc>
        <w:tc>
          <w:tcPr>
            <w:tcW w:w="4680" w:type="dxa"/>
            <w:tcBorders>
              <w:left w:val="single" w:sz="6" w:space="0" w:color="auto"/>
            </w:tcBorders>
            <w:tcMar>
              <w:left w:w="105" w:type="dxa"/>
              <w:right w:w="105" w:type="dxa"/>
            </w:tcMar>
          </w:tcPr>
          <w:p w:rsidR="000B1148" w:rsidRPr="00F20F55" w:rsidP="00293E07" w14:paraId="0A8E9A9C" w14:textId="77777777">
            <w:pPr>
              <w:tabs>
                <w:tab w:val="left" w:pos="1483"/>
              </w:tabs>
              <w:rPr>
                <w:rFonts w:ascii="Times New Roman" w:eastAsia="Times New Roman" w:hAnsi="Times New Roman" w:cs="Times New Roman"/>
                <w:color w:val="000000" w:themeColor="text1"/>
                <w:sz w:val="26"/>
                <w:szCs w:val="26"/>
              </w:rPr>
            </w:pPr>
          </w:p>
          <w:p w:rsidR="000B1148" w:rsidRPr="00F20F55" w:rsidP="00293E07" w14:paraId="1BCE10DD" w14:textId="77777777">
            <w:pPr>
              <w:tabs>
                <w:tab w:val="left" w:pos="1483"/>
              </w:tabs>
              <w:rPr>
                <w:rFonts w:ascii="Times New Roman" w:eastAsia="Times New Roman" w:hAnsi="Times New Roman" w:cs="Times New Roman"/>
                <w:color w:val="000000" w:themeColor="text1"/>
                <w:sz w:val="26"/>
                <w:szCs w:val="26"/>
              </w:rPr>
            </w:pPr>
          </w:p>
          <w:p w:rsidR="000B1148" w:rsidRPr="00F20F55" w:rsidP="00293E07" w14:paraId="4B69BEFC" w14:textId="77777777">
            <w:pPr>
              <w:tabs>
                <w:tab w:val="left" w:pos="1483"/>
              </w:tabs>
              <w:rPr>
                <w:rFonts w:ascii="Times New Roman" w:eastAsia="Times New Roman" w:hAnsi="Times New Roman" w:cs="Times New Roman"/>
                <w:color w:val="000000" w:themeColor="text1"/>
                <w:sz w:val="26"/>
                <w:szCs w:val="26"/>
              </w:rPr>
            </w:pPr>
            <w:r w:rsidRPr="00F20F55">
              <w:rPr>
                <w:rFonts w:ascii="Times New Roman" w:eastAsia="Times New Roman" w:hAnsi="Times New Roman" w:cs="Times New Roman"/>
                <w:color w:val="000000" w:themeColor="text1"/>
                <w:sz w:val="26"/>
                <w:szCs w:val="26"/>
              </w:rPr>
              <w:t xml:space="preserve">         G0</w:t>
            </w:r>
            <w:r>
              <w:rPr>
                <w:rFonts w:ascii="Times New Roman" w:eastAsia="Times New Roman" w:hAnsi="Times New Roman" w:cs="Times New Roman"/>
                <w:color w:val="000000" w:themeColor="text1"/>
                <w:sz w:val="26"/>
                <w:szCs w:val="26"/>
              </w:rPr>
              <w:t>61866</w:t>
            </w:r>
          </w:p>
          <w:p w:rsidR="000B1148" w:rsidRPr="00F20F55" w:rsidP="00293E07" w14:paraId="32D09513" w14:textId="77777777">
            <w:pPr>
              <w:tabs>
                <w:tab w:val="left" w:pos="1483"/>
              </w:tabs>
              <w:rPr>
                <w:rFonts w:ascii="Times New Roman" w:eastAsia="Times New Roman" w:hAnsi="Times New Roman" w:cs="Times New Roman"/>
                <w:color w:val="000000" w:themeColor="text1"/>
                <w:sz w:val="26"/>
                <w:szCs w:val="26"/>
              </w:rPr>
            </w:pPr>
          </w:p>
          <w:p w:rsidR="000B1148" w:rsidRPr="00F20F55" w:rsidP="00293E07" w14:paraId="06F3D757" w14:textId="77777777">
            <w:pPr>
              <w:tabs>
                <w:tab w:val="left" w:pos="1483"/>
              </w:tabs>
              <w:rPr>
                <w:rFonts w:ascii="Times New Roman" w:eastAsia="Times New Roman" w:hAnsi="Times New Roman" w:cs="Times New Roman"/>
                <w:color w:val="000000" w:themeColor="text1"/>
                <w:sz w:val="26"/>
                <w:szCs w:val="26"/>
              </w:rPr>
            </w:pPr>
            <w:r w:rsidRPr="00F20F55">
              <w:rPr>
                <w:rFonts w:ascii="Times New Roman" w:eastAsia="Times New Roman" w:hAnsi="Times New Roman" w:cs="Times New Roman"/>
                <w:color w:val="000000" w:themeColor="text1"/>
                <w:sz w:val="26"/>
                <w:szCs w:val="26"/>
              </w:rPr>
              <w:t xml:space="preserve">         (Super. Ct. No. </w:t>
            </w:r>
            <w:r>
              <w:rPr>
                <w:rFonts w:ascii="Times New Roman" w:eastAsia="Times New Roman" w:hAnsi="Times New Roman" w:cs="Times New Roman"/>
                <w:color w:val="000000" w:themeColor="text1"/>
                <w:sz w:val="26"/>
                <w:szCs w:val="26"/>
              </w:rPr>
              <w:t>19</w:t>
            </w:r>
            <w:r w:rsidRPr="00F20F55">
              <w:rPr>
                <w:rFonts w:ascii="Times New Roman" w:eastAsia="Times New Roman" w:hAnsi="Times New Roman" w:cs="Times New Roman"/>
                <w:color w:val="000000" w:themeColor="text1"/>
                <w:sz w:val="26"/>
                <w:szCs w:val="26"/>
              </w:rPr>
              <w:t>D003</w:t>
            </w:r>
            <w:r>
              <w:rPr>
                <w:rFonts w:ascii="Times New Roman" w:eastAsia="Times New Roman" w:hAnsi="Times New Roman" w:cs="Times New Roman"/>
                <w:color w:val="000000" w:themeColor="text1"/>
                <w:sz w:val="26"/>
                <w:szCs w:val="26"/>
              </w:rPr>
              <w:t>709</w:t>
            </w:r>
            <w:r w:rsidRPr="00F20F55">
              <w:rPr>
                <w:rFonts w:ascii="Times New Roman" w:eastAsia="Times New Roman" w:hAnsi="Times New Roman" w:cs="Times New Roman"/>
                <w:color w:val="000000" w:themeColor="text1"/>
                <w:sz w:val="26"/>
                <w:szCs w:val="26"/>
              </w:rPr>
              <w:t>)</w:t>
            </w:r>
          </w:p>
          <w:p w:rsidR="000B1148" w:rsidRPr="00F20F55" w:rsidP="00293E07" w14:paraId="5398EB7D" w14:textId="77777777">
            <w:pPr>
              <w:tabs>
                <w:tab w:val="left" w:pos="1483"/>
              </w:tabs>
              <w:rPr>
                <w:rFonts w:ascii="Times New Roman" w:eastAsia="Times New Roman" w:hAnsi="Times New Roman" w:cs="Times New Roman"/>
                <w:color w:val="000000" w:themeColor="text1"/>
                <w:sz w:val="26"/>
                <w:szCs w:val="26"/>
              </w:rPr>
            </w:pPr>
          </w:p>
          <w:p w:rsidR="000B1148" w:rsidRPr="00F20F55" w:rsidP="00293E07" w14:paraId="2C8EEDCF" w14:textId="05EFD19D">
            <w:pPr>
              <w:tabs>
                <w:tab w:val="left" w:pos="1483"/>
              </w:tabs>
              <w:rPr>
                <w:rFonts w:ascii="Times New Roman" w:eastAsia="Times New Roman" w:hAnsi="Times New Roman" w:cs="Times New Roman"/>
                <w:color w:val="000000" w:themeColor="text1"/>
                <w:sz w:val="26"/>
                <w:szCs w:val="26"/>
              </w:rPr>
            </w:pPr>
            <w:r w:rsidRPr="7BCE821D">
              <w:rPr>
                <w:rFonts w:ascii="Times New Roman" w:eastAsia="Times New Roman" w:hAnsi="Times New Roman" w:cs="Times New Roman"/>
                <w:color w:val="000000" w:themeColor="text1"/>
                <w:sz w:val="26"/>
                <w:szCs w:val="26"/>
              </w:rPr>
              <w:t xml:space="preserve">         </w:t>
            </w:r>
            <w:r w:rsidR="00985F7D">
              <w:rPr>
                <w:rFonts w:ascii="Times New Roman" w:eastAsia="Times New Roman" w:hAnsi="Times New Roman" w:cs="Times New Roman"/>
                <w:color w:val="000000" w:themeColor="text1"/>
                <w:sz w:val="26"/>
                <w:szCs w:val="26"/>
              </w:rPr>
              <w:t xml:space="preserve">O P I N I O N </w:t>
            </w:r>
          </w:p>
          <w:p w:rsidR="000B1148" w:rsidRPr="00F20F55" w:rsidP="00293E07" w14:paraId="0245D80C" w14:textId="77777777">
            <w:pPr>
              <w:tabs>
                <w:tab w:val="left" w:pos="1483"/>
              </w:tabs>
              <w:rPr>
                <w:rFonts w:ascii="Times New Roman" w:eastAsia="Times New Roman" w:hAnsi="Times New Roman" w:cs="Times New Roman"/>
                <w:color w:val="000000" w:themeColor="text1"/>
                <w:sz w:val="26"/>
                <w:szCs w:val="26"/>
              </w:rPr>
            </w:pPr>
          </w:p>
        </w:tc>
      </w:tr>
    </w:tbl>
    <w:p w:rsidR="000B1148" w:rsidP="000B1148" w14:paraId="18E70F6B" w14:textId="3920AED7">
      <w:pPr>
        <w:tabs>
          <w:tab w:val="left" w:pos="1440"/>
          <w:tab w:val="left" w:pos="2880"/>
          <w:tab w:val="left" w:pos="4320"/>
          <w:tab w:val="left" w:pos="5760"/>
          <w:tab w:val="left" w:pos="7200"/>
          <w:tab w:val="left" w:pos="8640"/>
        </w:tabs>
        <w:spacing w:before="240" w:line="480" w:lineRule="atLeast"/>
        <w:ind w:firstLine="1440"/>
        <w:rPr>
          <w:rFonts w:ascii="Times New Roman" w:eastAsia="Times New Roman" w:hAnsi="Times New Roman" w:cs="Times New Roman"/>
          <w:color w:val="000000" w:themeColor="text1"/>
          <w:sz w:val="26"/>
          <w:szCs w:val="26"/>
        </w:rPr>
      </w:pPr>
      <w:r w:rsidRPr="00F20F55">
        <w:rPr>
          <w:rFonts w:ascii="Times New Roman" w:eastAsia="Times New Roman" w:hAnsi="Times New Roman" w:cs="Times New Roman"/>
          <w:color w:val="000000" w:themeColor="text1"/>
          <w:sz w:val="26"/>
          <w:szCs w:val="26"/>
        </w:rPr>
        <w:t>Appeal from a</w:t>
      </w:r>
      <w:r>
        <w:rPr>
          <w:rFonts w:ascii="Times New Roman" w:eastAsia="Times New Roman" w:hAnsi="Times New Roman" w:cs="Times New Roman"/>
          <w:color w:val="000000" w:themeColor="text1"/>
          <w:sz w:val="26"/>
          <w:szCs w:val="26"/>
        </w:rPr>
        <w:t xml:space="preserve"> judgment</w:t>
      </w:r>
      <w:r w:rsidRPr="00F20F55">
        <w:rPr>
          <w:rFonts w:ascii="Times New Roman" w:eastAsia="Times New Roman" w:hAnsi="Times New Roman" w:cs="Times New Roman"/>
          <w:color w:val="000000" w:themeColor="text1"/>
          <w:sz w:val="26"/>
          <w:szCs w:val="26"/>
        </w:rPr>
        <w:t xml:space="preserve"> of the Superior Court of Orange County, S</w:t>
      </w:r>
      <w:r>
        <w:rPr>
          <w:rFonts w:ascii="Times New Roman" w:eastAsia="Times New Roman" w:hAnsi="Times New Roman" w:cs="Times New Roman"/>
          <w:color w:val="000000" w:themeColor="text1"/>
          <w:sz w:val="26"/>
          <w:szCs w:val="26"/>
        </w:rPr>
        <w:t xml:space="preserve">andy </w:t>
      </w:r>
      <w:r w:rsidR="00521173">
        <w:rPr>
          <w:rFonts w:ascii="Times New Roman" w:eastAsia="Times New Roman" w:hAnsi="Times New Roman" w:cs="Times New Roman"/>
          <w:color w:val="000000" w:themeColor="text1"/>
          <w:sz w:val="26"/>
          <w:szCs w:val="26"/>
        </w:rPr>
        <w:t>N</w:t>
      </w:r>
      <w:r>
        <w:rPr>
          <w:rFonts w:ascii="Times New Roman" w:eastAsia="Times New Roman" w:hAnsi="Times New Roman" w:cs="Times New Roman"/>
          <w:color w:val="000000" w:themeColor="text1"/>
          <w:sz w:val="26"/>
          <w:szCs w:val="26"/>
        </w:rPr>
        <w:t>. Leal</w:t>
      </w:r>
      <w:r w:rsidRPr="00F20F55">
        <w:rPr>
          <w:rFonts w:ascii="Times New Roman" w:eastAsia="Times New Roman" w:hAnsi="Times New Roman" w:cs="Times New Roman"/>
          <w:color w:val="000000" w:themeColor="text1"/>
          <w:sz w:val="26"/>
          <w:szCs w:val="26"/>
        </w:rPr>
        <w:t>, Judge.  Affirmed.</w:t>
      </w:r>
    </w:p>
    <w:p w:rsidR="000B1148" w:rsidRPr="00F20F55" w:rsidP="000B1148" w14:paraId="73473437" w14:textId="77777777">
      <w:pPr>
        <w:tabs>
          <w:tab w:val="left" w:pos="1440"/>
          <w:tab w:val="left" w:pos="2880"/>
          <w:tab w:val="left" w:pos="4320"/>
          <w:tab w:val="left" w:pos="5760"/>
          <w:tab w:val="left" w:pos="7200"/>
          <w:tab w:val="left" w:pos="8640"/>
        </w:tabs>
        <w:spacing w:line="480" w:lineRule="atLeas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b/>
        <w:t>Christensen Law and Robert J. Christensen</w:t>
      </w:r>
      <w:r w:rsidRPr="00F20F55">
        <w:rPr>
          <w:rFonts w:ascii="Times New Roman" w:eastAsia="Times New Roman" w:hAnsi="Times New Roman" w:cs="Times New Roman"/>
          <w:color w:val="000000" w:themeColor="text1"/>
          <w:sz w:val="26"/>
          <w:szCs w:val="26"/>
        </w:rPr>
        <w:t xml:space="preserve"> for Appellant.</w:t>
      </w:r>
    </w:p>
    <w:p w:rsidR="00985F7D" w:rsidP="00985F7D" w14:paraId="5FC31A06" w14:textId="77777777">
      <w:pPr>
        <w:tabs>
          <w:tab w:val="left" w:pos="1440"/>
          <w:tab w:val="left" w:pos="2880"/>
          <w:tab w:val="left" w:pos="4320"/>
          <w:tab w:val="left" w:pos="5760"/>
          <w:tab w:val="left" w:pos="7200"/>
          <w:tab w:val="left" w:pos="8640"/>
        </w:tabs>
        <w:spacing w:line="480" w:lineRule="atLeas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b/>
      </w:r>
      <w:r w:rsidRPr="00F20F55">
        <w:rPr>
          <w:rFonts w:ascii="Times New Roman" w:eastAsia="Times New Roman" w:hAnsi="Times New Roman" w:cs="Times New Roman"/>
          <w:color w:val="000000" w:themeColor="text1"/>
          <w:sz w:val="26"/>
          <w:szCs w:val="26"/>
        </w:rPr>
        <w:t xml:space="preserve">Law Offices of Lisa R. McCall, Lisa R. McCall </w:t>
      </w:r>
      <w:r>
        <w:rPr>
          <w:rFonts w:ascii="Times New Roman" w:eastAsia="Times New Roman" w:hAnsi="Times New Roman" w:cs="Times New Roman"/>
          <w:color w:val="000000" w:themeColor="text1"/>
          <w:sz w:val="26"/>
          <w:szCs w:val="26"/>
        </w:rPr>
        <w:t xml:space="preserve">and </w:t>
      </w:r>
      <w:r w:rsidRPr="00F20F55">
        <w:rPr>
          <w:rFonts w:ascii="Times New Roman" w:eastAsia="Times New Roman" w:hAnsi="Times New Roman" w:cs="Times New Roman"/>
          <w:color w:val="000000" w:themeColor="text1"/>
          <w:sz w:val="26"/>
          <w:szCs w:val="26"/>
        </w:rPr>
        <w:t>Erica M. B</w:t>
      </w:r>
      <w:r>
        <w:rPr>
          <w:rFonts w:ascii="Times New Roman" w:eastAsia="Times New Roman" w:hAnsi="Times New Roman" w:cs="Times New Roman"/>
          <w:color w:val="000000" w:themeColor="text1"/>
          <w:sz w:val="26"/>
          <w:szCs w:val="26"/>
        </w:rPr>
        <w:t>arbero</w:t>
      </w:r>
      <w:r w:rsidRPr="00F20F55">
        <w:rPr>
          <w:rFonts w:ascii="Times New Roman" w:eastAsia="Times New Roman" w:hAnsi="Times New Roman" w:cs="Times New Roman"/>
          <w:color w:val="000000" w:themeColor="text1"/>
          <w:sz w:val="26"/>
          <w:szCs w:val="26"/>
        </w:rPr>
        <w:t xml:space="preserve"> for Respondent</w:t>
      </w:r>
      <w:bookmarkEnd w:id="0"/>
      <w:r>
        <w:rPr>
          <w:rFonts w:ascii="Times New Roman" w:eastAsia="Times New Roman" w:hAnsi="Times New Roman" w:cs="Times New Roman"/>
          <w:color w:val="000000" w:themeColor="text1"/>
          <w:sz w:val="26"/>
          <w:szCs w:val="26"/>
        </w:rPr>
        <w:t>.</w:t>
      </w:r>
    </w:p>
    <w:p w:rsidR="00985F7D" w:rsidP="00985F7D" w14:paraId="3D04DF6A" w14:textId="69B80198">
      <w:pPr>
        <w:tabs>
          <w:tab w:val="left" w:pos="1440"/>
          <w:tab w:val="left" w:pos="2880"/>
          <w:tab w:val="left" w:pos="4320"/>
          <w:tab w:val="left" w:pos="5760"/>
          <w:tab w:val="left" w:pos="7200"/>
          <w:tab w:val="left" w:pos="8640"/>
        </w:tabs>
        <w:spacing w:line="480" w:lineRule="atLeas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b/>
      </w:r>
    </w:p>
    <w:p w:rsidR="00985F7D" w14:paraId="204A120A" w14:textId="77777777">
      <w:pPr>
        <w:tabs>
          <w:tab w:val="left" w:pos="1440"/>
          <w:tab w:val="left" w:leader="underscore" w:pos="5040"/>
        </w:tabs>
        <w:spacing w:line="480" w:lineRule="atLeast"/>
        <w:jc w:val="center"/>
      </w:pPr>
      <w:r>
        <w:t>*                *                *</w:t>
      </w:r>
    </w:p>
    <w:p w:rsidR="00985F7D" w:rsidP="00985F7D" w14:paraId="5C77FBF6" w14:textId="060C489B">
      <w:pPr>
        <w:tabs>
          <w:tab w:val="left" w:pos="1440"/>
          <w:tab w:val="left" w:pos="2880"/>
          <w:tab w:val="left" w:pos="4320"/>
          <w:tab w:val="left" w:pos="5760"/>
          <w:tab w:val="left" w:pos="7200"/>
          <w:tab w:val="left" w:pos="8640"/>
        </w:tabs>
        <w:spacing w:line="480" w:lineRule="atLeast"/>
        <w:rPr>
          <w:rFonts w:ascii="Times New Roman" w:eastAsia="Times New Roman" w:hAnsi="Times New Roman" w:cs="Times New Roman"/>
          <w:color w:val="000000" w:themeColor="text1"/>
          <w:sz w:val="26"/>
          <w:szCs w:val="26"/>
        </w:rPr>
      </w:pPr>
    </w:p>
    <w:p w:rsidR="00985F7D" w:rsidP="00985F7D" w14:paraId="1C6C998C" w14:textId="75184282">
      <w:pPr>
        <w:tabs>
          <w:tab w:val="left" w:pos="1440"/>
          <w:tab w:val="left" w:pos="2880"/>
          <w:tab w:val="left" w:pos="4320"/>
          <w:tab w:val="left" w:pos="5760"/>
          <w:tab w:val="left" w:pos="7200"/>
          <w:tab w:val="left" w:pos="8640"/>
        </w:tabs>
        <w:spacing w:line="480" w:lineRule="atLeast"/>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INTRODUCTION</w:t>
      </w:r>
    </w:p>
    <w:p w:rsidR="000B1148" w:rsidP="00985F7D" w14:paraId="09CF3344" w14:textId="17C412EB">
      <w:pPr>
        <w:tabs>
          <w:tab w:val="left" w:pos="1440"/>
          <w:tab w:val="left" w:pos="2880"/>
          <w:tab w:val="left" w:pos="4320"/>
          <w:tab w:val="left" w:pos="5760"/>
          <w:tab w:val="left" w:pos="7200"/>
          <w:tab w:val="left" w:pos="8640"/>
        </w:tabs>
        <w:spacing w:line="480" w:lineRule="atLeas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b/>
        <w:t>In 2019, Diana Lietz petitioned for dissolution of her marriage to Andreas Lietz.  Dian</w:t>
      </w:r>
      <w:r w:rsidR="00A66B4E">
        <w:rPr>
          <w:rFonts w:ascii="Times New Roman" w:eastAsia="Times New Roman" w:hAnsi="Times New Roman" w:cs="Times New Roman"/>
          <w:color w:val="000000" w:themeColor="text1"/>
          <w:sz w:val="26"/>
          <w:szCs w:val="26"/>
        </w:rPr>
        <w:t>a</w:t>
      </w:r>
      <w:r>
        <w:rPr>
          <w:rFonts w:ascii="Times New Roman" w:eastAsia="Times New Roman" w:hAnsi="Times New Roman" w:cs="Times New Roman"/>
          <w:color w:val="000000" w:themeColor="text1"/>
          <w:sz w:val="26"/>
          <w:szCs w:val="26"/>
        </w:rPr>
        <w:t xml:space="preserve"> and Andreas disputed the value of the family home.</w:t>
      </w:r>
      <w:r>
        <w:rPr>
          <w:rStyle w:val="FootnoteReference"/>
          <w:color w:val="000000" w:themeColor="text1"/>
          <w:sz w:val="26"/>
          <w:szCs w:val="26"/>
        </w:rPr>
        <w:footnoteReference w:id="2"/>
      </w:r>
      <w:r>
        <w:rPr>
          <w:rFonts w:ascii="Times New Roman" w:eastAsia="Times New Roman" w:hAnsi="Times New Roman" w:cs="Times New Roman"/>
          <w:color w:val="000000" w:themeColor="text1"/>
          <w:sz w:val="26"/>
          <w:szCs w:val="26"/>
        </w:rPr>
        <w:t xml:space="preserve">  At trial, Diana presented a report appraising the home at $1.1 million, </w:t>
      </w:r>
      <w:r w:rsidR="00C833F1">
        <w:rPr>
          <w:rFonts w:ascii="Times New Roman" w:eastAsia="Times New Roman" w:hAnsi="Times New Roman" w:cs="Times New Roman"/>
          <w:color w:val="000000" w:themeColor="text1"/>
          <w:sz w:val="26"/>
          <w:szCs w:val="26"/>
        </w:rPr>
        <w:t xml:space="preserve">while </w:t>
      </w:r>
      <w:r>
        <w:rPr>
          <w:rFonts w:ascii="Times New Roman" w:eastAsia="Times New Roman" w:hAnsi="Times New Roman" w:cs="Times New Roman"/>
          <w:color w:val="000000" w:themeColor="text1"/>
          <w:sz w:val="26"/>
          <w:szCs w:val="26"/>
        </w:rPr>
        <w:t xml:space="preserve">Andreas presented a report appraising the home at $1,020,000.  Both reports stated the home was on a lot with an area of 9,000 square feet.  Both appraisers testified.  The trial court found Andreas’s appraiser to be more credible and found the home to be valued at $1,020,000. </w:t>
      </w:r>
    </w:p>
    <w:p w:rsidR="000B1148" w:rsidP="003E408D" w14:paraId="42FA9C55" w14:textId="737F2194">
      <w:pPr>
        <w:spacing w:line="480" w:lineRule="atLeast"/>
        <w:ind w:firstLine="1440"/>
        <w:rPr>
          <w:rFonts w:ascii="Times New Roman" w:hAnsi="Times New Roman" w:cs="Times New Roman"/>
          <w:sz w:val="26"/>
          <w:szCs w:val="26"/>
        </w:rPr>
      </w:pPr>
      <w:r>
        <w:rPr>
          <w:rFonts w:ascii="Times New Roman" w:eastAsia="Times New Roman" w:hAnsi="Times New Roman" w:cs="Times New Roman"/>
          <w:color w:val="000000" w:themeColor="text1"/>
          <w:sz w:val="26"/>
          <w:szCs w:val="26"/>
        </w:rPr>
        <w:t xml:space="preserve">In this appeal, Diana contends </w:t>
      </w:r>
      <w:r w:rsidRPr="00B90841">
        <w:rPr>
          <w:rFonts w:ascii="Times New Roman" w:eastAsia="Times New Roman" w:hAnsi="Times New Roman" w:cs="Times New Roman"/>
          <w:color w:val="000000" w:themeColor="text1"/>
          <w:sz w:val="26"/>
          <w:szCs w:val="26"/>
        </w:rPr>
        <w:t xml:space="preserve">the trial court erred by precluding her from </w:t>
      </w:r>
      <w:r>
        <w:rPr>
          <w:rFonts w:ascii="Times New Roman" w:eastAsia="Times New Roman" w:hAnsi="Times New Roman" w:cs="Times New Roman"/>
          <w:color w:val="000000" w:themeColor="text1"/>
          <w:sz w:val="26"/>
          <w:szCs w:val="26"/>
        </w:rPr>
        <w:t>eliciting</w:t>
      </w:r>
      <w:r w:rsidRPr="00B90841">
        <w:rPr>
          <w:rFonts w:ascii="Times New Roman" w:eastAsia="Times New Roman" w:hAnsi="Times New Roman" w:cs="Times New Roman"/>
          <w:color w:val="000000" w:themeColor="text1"/>
          <w:sz w:val="26"/>
          <w:szCs w:val="26"/>
        </w:rPr>
        <w:t xml:space="preserve"> testimony</w:t>
      </w:r>
      <w:r>
        <w:rPr>
          <w:rFonts w:ascii="Times New Roman" w:eastAsia="Times New Roman" w:hAnsi="Times New Roman" w:cs="Times New Roman"/>
          <w:color w:val="000000" w:themeColor="text1"/>
          <w:sz w:val="26"/>
          <w:szCs w:val="26"/>
        </w:rPr>
        <w:t xml:space="preserve"> from her appraiser that </w:t>
      </w:r>
      <w:r w:rsidRPr="00B90841">
        <w:rPr>
          <w:rFonts w:ascii="Times New Roman" w:eastAsia="Times New Roman" w:hAnsi="Times New Roman" w:cs="Times New Roman"/>
          <w:color w:val="000000" w:themeColor="text1"/>
          <w:sz w:val="26"/>
          <w:szCs w:val="26"/>
        </w:rPr>
        <w:t xml:space="preserve">the </w:t>
      </w:r>
      <w:r>
        <w:rPr>
          <w:rFonts w:ascii="Times New Roman" w:eastAsia="Times New Roman" w:hAnsi="Times New Roman" w:cs="Times New Roman"/>
          <w:color w:val="000000" w:themeColor="text1"/>
          <w:sz w:val="26"/>
          <w:szCs w:val="26"/>
        </w:rPr>
        <w:t>h</w:t>
      </w:r>
      <w:r w:rsidRPr="00B90841">
        <w:rPr>
          <w:rFonts w:ascii="Times New Roman" w:eastAsia="Times New Roman" w:hAnsi="Times New Roman" w:cs="Times New Roman"/>
          <w:color w:val="000000" w:themeColor="text1"/>
          <w:sz w:val="26"/>
          <w:szCs w:val="26"/>
        </w:rPr>
        <w:t>ome</w:t>
      </w:r>
      <w:r>
        <w:rPr>
          <w:rFonts w:ascii="Times New Roman" w:eastAsia="Times New Roman" w:hAnsi="Times New Roman" w:cs="Times New Roman"/>
          <w:color w:val="000000" w:themeColor="text1"/>
          <w:sz w:val="26"/>
          <w:szCs w:val="26"/>
        </w:rPr>
        <w:t>’</w:t>
      </w:r>
      <w:r w:rsidRPr="00B90841">
        <w:rPr>
          <w:rFonts w:ascii="Times New Roman" w:eastAsia="Times New Roman" w:hAnsi="Times New Roman" w:cs="Times New Roman"/>
          <w:color w:val="000000" w:themeColor="text1"/>
          <w:sz w:val="26"/>
          <w:szCs w:val="26"/>
        </w:rPr>
        <w:t>s lot size exceeded 9,000 square</w:t>
      </w:r>
      <w:r>
        <w:rPr>
          <w:rFonts w:ascii="Times New Roman" w:eastAsia="Times New Roman" w:hAnsi="Times New Roman" w:cs="Times New Roman"/>
          <w:color w:val="000000" w:themeColor="text1"/>
          <w:sz w:val="26"/>
          <w:szCs w:val="26"/>
        </w:rPr>
        <w:t xml:space="preserve"> feet and from cross</w:t>
      </w:r>
      <w:r>
        <w:rPr>
          <w:rFonts w:ascii="Times New Roman" w:eastAsia="Times New Roman" w:hAnsi="Times New Roman" w:cs="Times New Roman"/>
          <w:color w:val="000000" w:themeColor="text1"/>
          <w:sz w:val="26"/>
          <w:szCs w:val="26"/>
        </w:rPr>
        <w:noBreakHyphen/>
        <w:t>examining Andreas’s appraiser with evidence which, she claims, show</w:t>
      </w:r>
      <w:r w:rsidR="00C833F1">
        <w:rPr>
          <w:rFonts w:ascii="Times New Roman" w:eastAsia="Times New Roman" w:hAnsi="Times New Roman" w:cs="Times New Roman"/>
          <w:color w:val="000000" w:themeColor="text1"/>
          <w:sz w:val="26"/>
          <w:szCs w:val="26"/>
        </w:rPr>
        <w:t xml:space="preserve">ed </w:t>
      </w:r>
      <w:r>
        <w:rPr>
          <w:rFonts w:ascii="Times New Roman" w:eastAsia="Times New Roman" w:hAnsi="Times New Roman" w:cs="Times New Roman"/>
          <w:color w:val="000000" w:themeColor="text1"/>
          <w:sz w:val="26"/>
          <w:szCs w:val="26"/>
        </w:rPr>
        <w:t xml:space="preserve">the appraisers used an incorrect lot size.  We affirm.  The trial court did not err because Diana failed to present competent evidence independently proving her assertion that the </w:t>
      </w:r>
      <w:r w:rsidRPr="00521173">
        <w:rPr>
          <w:rFonts w:ascii="Times New Roman" w:eastAsia="Times New Roman" w:hAnsi="Times New Roman" w:cs="Times New Roman"/>
          <w:color w:val="000000" w:themeColor="text1"/>
          <w:sz w:val="26"/>
          <w:szCs w:val="26"/>
        </w:rPr>
        <w:t xml:space="preserve">lot size exceeded 9,000 square feet.  Without such evidence, testimony from her </w:t>
      </w:r>
      <w:r w:rsidRPr="00521173">
        <w:rPr>
          <w:rFonts w:ascii="Times New Roman" w:hAnsi="Times New Roman" w:cs="Times New Roman"/>
          <w:sz w:val="26"/>
          <w:szCs w:val="26"/>
        </w:rPr>
        <w:t>appraiser on that topic was inadmissible hearsay.</w:t>
      </w:r>
    </w:p>
    <w:p w:rsidR="00521173" w:rsidRPr="00521173" w:rsidP="00521173" w14:paraId="50C495C1" w14:textId="77777777">
      <w:pPr>
        <w:spacing w:line="480" w:lineRule="atLeast"/>
        <w:rPr>
          <w:rFonts w:ascii="Times New Roman" w:hAnsi="Times New Roman" w:cs="Times New Roman"/>
          <w:sz w:val="26"/>
          <w:szCs w:val="26"/>
        </w:rPr>
      </w:pPr>
    </w:p>
    <w:p w:rsidR="000B1148" w:rsidRPr="00985F7D" w:rsidP="00985F7D" w14:paraId="234C2EDD" w14:textId="77777777">
      <w:pPr>
        <w:spacing w:line="480" w:lineRule="atLeast"/>
        <w:jc w:val="center"/>
        <w:rPr>
          <w:rFonts w:ascii="Times New Roman" w:hAnsi="Times New Roman" w:cs="Times New Roman"/>
          <w:sz w:val="26"/>
          <w:szCs w:val="26"/>
        </w:rPr>
      </w:pPr>
      <w:r w:rsidRPr="00985F7D">
        <w:rPr>
          <w:rFonts w:ascii="Times New Roman" w:hAnsi="Times New Roman" w:cs="Times New Roman"/>
          <w:sz w:val="26"/>
          <w:szCs w:val="26"/>
        </w:rPr>
        <w:t>FACTS AND PROCEDURAL HISTORY</w:t>
      </w:r>
    </w:p>
    <w:p w:rsidR="00985F7D" w:rsidP="00985F7D" w14:paraId="70A37377" w14:textId="77777777">
      <w:pPr>
        <w:spacing w:line="480" w:lineRule="atLeast"/>
        <w:rPr>
          <w:rFonts w:ascii="Times New Roman" w:hAnsi="Times New Roman" w:cs="Times New Roman"/>
          <w:i/>
          <w:iCs/>
          <w:sz w:val="26"/>
          <w:szCs w:val="26"/>
        </w:rPr>
      </w:pPr>
      <w:r w:rsidRPr="00985F7D">
        <w:rPr>
          <w:rFonts w:ascii="Times New Roman" w:hAnsi="Times New Roman" w:cs="Times New Roman"/>
          <w:sz w:val="26"/>
          <w:szCs w:val="26"/>
        </w:rPr>
        <w:t xml:space="preserve">I.  </w:t>
      </w:r>
      <w:r w:rsidRPr="00985F7D">
        <w:rPr>
          <w:rFonts w:ascii="Times New Roman" w:hAnsi="Times New Roman" w:cs="Times New Roman"/>
          <w:i/>
          <w:iCs/>
          <w:sz w:val="26"/>
          <w:szCs w:val="26"/>
        </w:rPr>
        <w:t>Appraisals of the Family Home</w:t>
      </w:r>
    </w:p>
    <w:p w:rsidR="000B1148" w:rsidP="00985F7D" w14:paraId="125B2A52" w14:textId="35764D6B">
      <w:pPr>
        <w:spacing w:line="480" w:lineRule="atLeast"/>
        <w:rPr>
          <w:rFonts w:ascii="Times New Roman" w:hAnsi="Times New Roman" w:cs="Times New Roman"/>
          <w:sz w:val="26"/>
          <w:szCs w:val="26"/>
        </w:rPr>
      </w:pPr>
      <w:r>
        <w:rPr>
          <w:rFonts w:ascii="Times New Roman" w:hAnsi="Times New Roman" w:cs="Times New Roman"/>
          <w:i/>
          <w:iCs/>
          <w:sz w:val="26"/>
          <w:szCs w:val="26"/>
        </w:rPr>
        <w:tab/>
      </w:r>
      <w:r>
        <w:rPr>
          <w:rFonts w:ascii="Times New Roman" w:hAnsi="Times New Roman" w:cs="Times New Roman"/>
          <w:i/>
          <w:iCs/>
          <w:sz w:val="26"/>
          <w:szCs w:val="26"/>
        </w:rPr>
        <w:tab/>
      </w:r>
      <w:r w:rsidRPr="007E2A2B">
        <w:rPr>
          <w:rFonts w:ascii="Times New Roman" w:hAnsi="Times New Roman" w:cs="Times New Roman"/>
          <w:sz w:val="26"/>
          <w:szCs w:val="26"/>
        </w:rPr>
        <w:t xml:space="preserve">Andreas and Diana wed in September 1997.  In May 2019, Diana petitioned for dissolution of the marriage.  Andreas responded to the petition in July 2019.  </w:t>
      </w:r>
    </w:p>
    <w:p w:rsidR="000B1148" w:rsidP="001038B5" w14:paraId="4E734376" w14:textId="6A6A9032">
      <w:pPr>
        <w:spacing w:line="480" w:lineRule="atLeast"/>
        <w:ind w:firstLine="1440"/>
        <w:rPr>
          <w:rFonts w:ascii="Times New Roman" w:hAnsi="Times New Roman" w:cs="Times New Roman"/>
          <w:sz w:val="26"/>
          <w:szCs w:val="26"/>
        </w:rPr>
      </w:pPr>
      <w:r w:rsidRPr="007E2A2B">
        <w:rPr>
          <w:rFonts w:ascii="Times New Roman" w:hAnsi="Times New Roman" w:cs="Times New Roman"/>
          <w:sz w:val="26"/>
          <w:szCs w:val="26"/>
        </w:rPr>
        <w:t xml:space="preserve">Andreas and Diana disputed the value of the family home.  Each obtained an appraiser, and appraisals were conducted on November 16, 2021.  </w:t>
      </w:r>
      <w:r>
        <w:rPr>
          <w:rFonts w:ascii="Times New Roman" w:hAnsi="Times New Roman" w:cs="Times New Roman"/>
          <w:sz w:val="26"/>
          <w:szCs w:val="26"/>
        </w:rPr>
        <w:t>Andreas’s</w:t>
      </w:r>
      <w:r w:rsidRPr="007E2A2B">
        <w:rPr>
          <w:rFonts w:ascii="Times New Roman" w:hAnsi="Times New Roman" w:cs="Times New Roman"/>
          <w:sz w:val="26"/>
          <w:szCs w:val="26"/>
        </w:rPr>
        <w:t xml:space="preserve"> appraiser, Neal Johnson, appraised the value of the home at $1,020,000.  Diana’s appraiser, Kristina L. Burke, appraised the value of the home at $1.1 million.  Both appraisals recite the area of the property a</w:t>
      </w:r>
      <w:r w:rsidR="00A66B4E">
        <w:rPr>
          <w:rFonts w:ascii="Times New Roman" w:hAnsi="Times New Roman" w:cs="Times New Roman"/>
          <w:sz w:val="26"/>
          <w:szCs w:val="26"/>
        </w:rPr>
        <w:t>s</w:t>
      </w:r>
      <w:r w:rsidRPr="007E2A2B">
        <w:rPr>
          <w:rFonts w:ascii="Times New Roman" w:hAnsi="Times New Roman" w:cs="Times New Roman"/>
          <w:sz w:val="26"/>
          <w:szCs w:val="26"/>
        </w:rPr>
        <w:t xml:space="preserve"> 9,000 square feet and describe the shape of the lot as “irregular.”  Johnson’s appraisal describes the home as being in “fair to average </w:t>
      </w:r>
      <w:r w:rsidRPr="007E2A2B">
        <w:rPr>
          <w:rFonts w:ascii="Times New Roman" w:hAnsi="Times New Roman" w:cs="Times New Roman"/>
          <w:sz w:val="26"/>
          <w:szCs w:val="26"/>
        </w:rPr>
        <w:t>condition” and needing “some major repairs</w:t>
      </w:r>
      <w:r w:rsidR="00985F7D">
        <w:rPr>
          <w:rFonts w:ascii="Times New Roman" w:hAnsi="Times New Roman" w:cs="Times New Roman"/>
          <w:sz w:val="26"/>
          <w:szCs w:val="26"/>
        </w:rPr>
        <w:t> . . . .</w:t>
      </w:r>
      <w:r w:rsidRPr="007E2A2B">
        <w:rPr>
          <w:rFonts w:ascii="Times New Roman" w:hAnsi="Times New Roman" w:cs="Times New Roman"/>
          <w:sz w:val="26"/>
          <w:szCs w:val="26"/>
        </w:rPr>
        <w:t>”  Burke’s appraisal describes the home as being in “average condition” and “situated on an oversized lot</w:t>
      </w:r>
      <w:r w:rsidR="009F5F83">
        <w:rPr>
          <w:rFonts w:ascii="Times New Roman" w:hAnsi="Times New Roman" w:cs="Times New Roman"/>
          <w:sz w:val="26"/>
          <w:szCs w:val="26"/>
        </w:rPr>
        <w:t> . . . .</w:t>
      </w:r>
      <w:r w:rsidRPr="007E2A2B">
        <w:rPr>
          <w:rFonts w:ascii="Times New Roman" w:hAnsi="Times New Roman" w:cs="Times New Roman"/>
          <w:sz w:val="26"/>
          <w:szCs w:val="26"/>
        </w:rPr>
        <w:t xml:space="preserve">”  </w:t>
      </w:r>
      <w:r w:rsidRPr="00521173">
        <w:rPr>
          <w:rFonts w:ascii="Times New Roman" w:hAnsi="Times New Roman" w:cs="Times New Roman"/>
          <w:sz w:val="26"/>
          <w:szCs w:val="26"/>
        </w:rPr>
        <w:t xml:space="preserve">Andreas and Diana exchanged appraisal reports on November 18, 2021.  </w:t>
      </w:r>
    </w:p>
    <w:p w:rsidR="00521173" w:rsidRPr="00521173" w:rsidP="00521173" w14:paraId="43BACC69" w14:textId="77777777">
      <w:pPr>
        <w:spacing w:line="480" w:lineRule="atLeast"/>
        <w:rPr>
          <w:rFonts w:ascii="Times New Roman" w:hAnsi="Times New Roman" w:cs="Times New Roman"/>
          <w:sz w:val="26"/>
          <w:szCs w:val="26"/>
        </w:rPr>
      </w:pPr>
    </w:p>
    <w:p w:rsidR="000B1148" w:rsidRPr="003C05B8" w:rsidP="00521173" w14:paraId="36EFDE22" w14:textId="77777777">
      <w:pPr>
        <w:spacing w:line="480" w:lineRule="atLeast"/>
        <w:rPr>
          <w:rFonts w:ascii="Times New Roman" w:hAnsi="Times New Roman" w:cs="Times New Roman"/>
          <w:i/>
          <w:iCs/>
          <w:sz w:val="26"/>
          <w:szCs w:val="26"/>
        </w:rPr>
      </w:pPr>
      <w:r w:rsidRPr="00521173">
        <w:rPr>
          <w:rFonts w:ascii="Times New Roman" w:hAnsi="Times New Roman" w:cs="Times New Roman"/>
          <w:sz w:val="26"/>
          <w:szCs w:val="26"/>
        </w:rPr>
        <w:t xml:space="preserve">II.  </w:t>
      </w:r>
      <w:r w:rsidRPr="00521173">
        <w:rPr>
          <w:rFonts w:ascii="Times New Roman" w:hAnsi="Times New Roman" w:cs="Times New Roman"/>
          <w:i/>
          <w:iCs/>
          <w:sz w:val="26"/>
          <w:szCs w:val="26"/>
        </w:rPr>
        <w:t>Testimony and Cross</w:t>
      </w:r>
      <w:r w:rsidRPr="00521173">
        <w:rPr>
          <w:rFonts w:ascii="Times New Roman" w:hAnsi="Times New Roman" w:cs="Times New Roman"/>
          <w:i/>
          <w:iCs/>
          <w:sz w:val="26"/>
          <w:szCs w:val="26"/>
        </w:rPr>
        <w:noBreakHyphen/>
        <w:t>examination of</w:t>
      </w:r>
      <w:r>
        <w:rPr>
          <w:rFonts w:ascii="Times New Roman" w:hAnsi="Times New Roman" w:cs="Times New Roman"/>
          <w:i/>
          <w:iCs/>
          <w:sz w:val="26"/>
          <w:szCs w:val="26"/>
        </w:rPr>
        <w:t xml:space="preserve"> Diana’s Appraiser</w:t>
      </w:r>
    </w:p>
    <w:p w:rsidR="000B1148" w:rsidP="00D245BB" w14:paraId="2B299725" w14:textId="1C4665B3">
      <w:pPr>
        <w:tabs>
          <w:tab w:val="left" w:pos="1440"/>
          <w:tab w:val="left" w:pos="2880"/>
          <w:tab w:val="left" w:pos="4320"/>
          <w:tab w:val="left" w:pos="5760"/>
          <w:tab w:val="left" w:pos="7200"/>
          <w:tab w:val="left" w:pos="8640"/>
        </w:tabs>
        <w:spacing w:line="480" w:lineRule="atLeast"/>
        <w:ind w:firstLine="1440"/>
        <w:rPr>
          <w:rFonts w:ascii="Times New Roman" w:hAnsi="Times New Roman" w:cs="Times New Roman"/>
          <w:sz w:val="26"/>
          <w:szCs w:val="26"/>
        </w:rPr>
      </w:pPr>
      <w:r w:rsidRPr="007E2A2B">
        <w:rPr>
          <w:rFonts w:ascii="Times New Roman" w:hAnsi="Times New Roman" w:cs="Times New Roman"/>
          <w:sz w:val="26"/>
          <w:szCs w:val="26"/>
        </w:rPr>
        <w:t>Trial, which commenced on November 19, 2021, addressed the value of the home</w:t>
      </w:r>
      <w:r w:rsidR="009F5F83">
        <w:rPr>
          <w:rFonts w:ascii="Times New Roman" w:hAnsi="Times New Roman" w:cs="Times New Roman"/>
          <w:sz w:val="26"/>
          <w:szCs w:val="26"/>
        </w:rPr>
        <w:t>,</w:t>
      </w:r>
      <w:r>
        <w:rPr>
          <w:rFonts w:ascii="Times New Roman" w:hAnsi="Times New Roman" w:cs="Times New Roman"/>
          <w:sz w:val="26"/>
          <w:szCs w:val="26"/>
        </w:rPr>
        <w:t xml:space="preserve"> among other issues</w:t>
      </w:r>
      <w:r w:rsidRPr="007E2A2B">
        <w:rPr>
          <w:rFonts w:ascii="Times New Roman" w:hAnsi="Times New Roman" w:cs="Times New Roman"/>
          <w:sz w:val="26"/>
          <w:szCs w:val="26"/>
        </w:rPr>
        <w:t>.  Burke testified first.  She testified from her car and did not have either appraisal report in front of her.  She testified the appraised value of the home was $1.1 million</w:t>
      </w:r>
      <w:r w:rsidR="00B9701C">
        <w:rPr>
          <w:rFonts w:ascii="Times New Roman" w:hAnsi="Times New Roman" w:cs="Times New Roman"/>
          <w:sz w:val="26"/>
          <w:szCs w:val="26"/>
        </w:rPr>
        <w:t xml:space="preserve"> and that s</w:t>
      </w:r>
      <w:r w:rsidRPr="007E2A2B">
        <w:rPr>
          <w:rFonts w:ascii="Times New Roman" w:hAnsi="Times New Roman" w:cs="Times New Roman"/>
          <w:sz w:val="26"/>
          <w:szCs w:val="26"/>
        </w:rPr>
        <w:t xml:space="preserve">he had only glanced at Johnson’s appraisal. </w:t>
      </w:r>
    </w:p>
    <w:p w:rsidR="000B1148" w:rsidP="00D245BB" w14:paraId="75982348" w14:textId="69B52803">
      <w:pPr>
        <w:tabs>
          <w:tab w:val="left" w:pos="1440"/>
          <w:tab w:val="left" w:pos="2880"/>
          <w:tab w:val="left" w:pos="4320"/>
          <w:tab w:val="left" w:pos="5760"/>
          <w:tab w:val="left" w:pos="7200"/>
          <w:tab w:val="left" w:pos="8640"/>
        </w:tabs>
        <w:spacing w:line="480" w:lineRule="atLeast"/>
        <w:ind w:firstLine="1440"/>
        <w:rPr>
          <w:rFonts w:ascii="Times New Roman" w:hAnsi="Times New Roman" w:cs="Times New Roman"/>
          <w:sz w:val="26"/>
          <w:szCs w:val="26"/>
        </w:rPr>
      </w:pPr>
      <w:r w:rsidRPr="007E2A2B">
        <w:rPr>
          <w:rFonts w:ascii="Times New Roman" w:hAnsi="Times New Roman" w:cs="Times New Roman"/>
          <w:sz w:val="26"/>
          <w:szCs w:val="26"/>
        </w:rPr>
        <w:t>During cross</w:t>
      </w:r>
      <w:r w:rsidRPr="007E2A2B">
        <w:rPr>
          <w:rFonts w:ascii="Times New Roman" w:hAnsi="Times New Roman" w:cs="Times New Roman"/>
          <w:sz w:val="26"/>
          <w:szCs w:val="26"/>
        </w:rPr>
        <w:noBreakHyphen/>
        <w:t xml:space="preserve">examination, </w:t>
      </w:r>
      <w:r>
        <w:rPr>
          <w:rFonts w:ascii="Times New Roman" w:hAnsi="Times New Roman" w:cs="Times New Roman"/>
          <w:sz w:val="26"/>
          <w:szCs w:val="26"/>
        </w:rPr>
        <w:t>Andreas’s</w:t>
      </w:r>
      <w:r w:rsidRPr="007E2A2B">
        <w:rPr>
          <w:rFonts w:ascii="Times New Roman" w:hAnsi="Times New Roman" w:cs="Times New Roman"/>
          <w:sz w:val="26"/>
          <w:szCs w:val="26"/>
        </w:rPr>
        <w:t xml:space="preserve"> counsel moved to exclude or strike Burke’s testimony and appraisal report “due to lack of preparation and lack of ability to testify in this matter.”  </w:t>
      </w:r>
      <w:r w:rsidR="009F5F83">
        <w:rPr>
          <w:rFonts w:ascii="Times New Roman" w:hAnsi="Times New Roman" w:cs="Times New Roman"/>
          <w:sz w:val="26"/>
          <w:szCs w:val="26"/>
        </w:rPr>
        <w:t>In response, t</w:t>
      </w:r>
      <w:r w:rsidRPr="007E2A2B">
        <w:rPr>
          <w:rFonts w:ascii="Times New Roman" w:hAnsi="Times New Roman" w:cs="Times New Roman"/>
          <w:sz w:val="26"/>
          <w:szCs w:val="26"/>
        </w:rPr>
        <w:t>he court stated</w:t>
      </w:r>
      <w:r w:rsidR="009F5F83">
        <w:rPr>
          <w:rFonts w:ascii="Times New Roman" w:hAnsi="Times New Roman" w:cs="Times New Roman"/>
          <w:sz w:val="26"/>
          <w:szCs w:val="26"/>
        </w:rPr>
        <w:t>,</w:t>
      </w:r>
      <w:r w:rsidRPr="007E2A2B">
        <w:rPr>
          <w:rFonts w:ascii="Times New Roman" w:hAnsi="Times New Roman" w:cs="Times New Roman"/>
          <w:sz w:val="26"/>
          <w:szCs w:val="26"/>
        </w:rPr>
        <w:t xml:space="preserve"> “Essentially</w:t>
      </w:r>
      <w:r w:rsidR="006F024E">
        <w:rPr>
          <w:rFonts w:ascii="Times New Roman" w:hAnsi="Times New Roman" w:cs="Times New Roman"/>
          <w:sz w:val="26"/>
          <w:szCs w:val="26"/>
        </w:rPr>
        <w:t>,</w:t>
      </w:r>
      <w:r w:rsidRPr="007E2A2B">
        <w:rPr>
          <w:rFonts w:ascii="Times New Roman" w:hAnsi="Times New Roman" w:cs="Times New Roman"/>
          <w:sz w:val="26"/>
          <w:szCs w:val="26"/>
        </w:rPr>
        <w:t xml:space="preserve"> you’re doing it from a phone in a car, and you can’t use your phone to look at documents and appear in a hearing</w:t>
      </w:r>
      <w:r w:rsidR="00C833F1">
        <w:rPr>
          <w:rFonts w:ascii="Times New Roman" w:hAnsi="Times New Roman" w:cs="Times New Roman"/>
          <w:sz w:val="26"/>
          <w:szCs w:val="26"/>
        </w:rPr>
        <w:t>.”  The court declared that</w:t>
      </w:r>
      <w:r w:rsidR="00255F82">
        <w:rPr>
          <w:rFonts w:ascii="Times New Roman" w:hAnsi="Times New Roman" w:cs="Times New Roman"/>
          <w:sz w:val="26"/>
          <w:szCs w:val="26"/>
        </w:rPr>
        <w:t xml:space="preserve"> Burke’s </w:t>
      </w:r>
      <w:r w:rsidR="00C833F1">
        <w:rPr>
          <w:rFonts w:ascii="Times New Roman" w:hAnsi="Times New Roman" w:cs="Times New Roman"/>
          <w:sz w:val="26"/>
          <w:szCs w:val="26"/>
        </w:rPr>
        <w:t>manner of testifying created a problem in an evidentiary hearing.</w:t>
      </w:r>
      <w:r w:rsidRPr="007E2A2B">
        <w:rPr>
          <w:rFonts w:ascii="Times New Roman" w:hAnsi="Times New Roman" w:cs="Times New Roman"/>
          <w:sz w:val="26"/>
          <w:szCs w:val="26"/>
        </w:rPr>
        <w:t xml:space="preserve">  The court continued the trial to November 22, with the admonition, “Ms. Burke, I’m hoping that you will be in a different situation, not on a phone.”  Burke said she would be at her desk. </w:t>
      </w:r>
    </w:p>
    <w:p w:rsidR="000B1148" w:rsidP="00D245BB" w14:paraId="688E6DE0" w14:textId="74B3F666">
      <w:pPr>
        <w:tabs>
          <w:tab w:val="left" w:pos="1440"/>
          <w:tab w:val="left" w:pos="2880"/>
          <w:tab w:val="left" w:pos="4320"/>
          <w:tab w:val="left" w:pos="5760"/>
          <w:tab w:val="left" w:pos="7200"/>
          <w:tab w:val="left" w:pos="8640"/>
        </w:tabs>
        <w:spacing w:line="480" w:lineRule="atLeast"/>
        <w:ind w:firstLine="1440"/>
        <w:rPr>
          <w:rFonts w:ascii="Times New Roman" w:hAnsi="Times New Roman" w:cs="Times New Roman"/>
          <w:sz w:val="26"/>
          <w:szCs w:val="26"/>
        </w:rPr>
      </w:pPr>
      <w:r w:rsidRPr="007E2A2B">
        <w:rPr>
          <w:rFonts w:ascii="Times New Roman" w:hAnsi="Times New Roman" w:cs="Times New Roman"/>
          <w:sz w:val="26"/>
          <w:szCs w:val="26"/>
        </w:rPr>
        <w:t>When cross</w:t>
      </w:r>
      <w:r w:rsidRPr="007E2A2B">
        <w:rPr>
          <w:rFonts w:ascii="Times New Roman" w:hAnsi="Times New Roman" w:cs="Times New Roman"/>
          <w:sz w:val="26"/>
          <w:szCs w:val="26"/>
        </w:rPr>
        <w:noBreakHyphen/>
        <w:t xml:space="preserve">examination of Burke resumed on November 22, Diana’s counsel asked to reopen direct examination because counsel had not had the chance to “discuss anything with Ms. Burke.”  The court told counsel she could ask further questions on redirect examination.  </w:t>
      </w:r>
    </w:p>
    <w:p w:rsidR="000B1148" w:rsidP="00D245BB" w14:paraId="3B1A19CB" w14:textId="0E8B09E0">
      <w:pPr>
        <w:tabs>
          <w:tab w:val="left" w:pos="1440"/>
          <w:tab w:val="left" w:pos="2880"/>
          <w:tab w:val="left" w:pos="4320"/>
          <w:tab w:val="left" w:pos="5760"/>
          <w:tab w:val="left" w:pos="7200"/>
          <w:tab w:val="left" w:pos="8640"/>
        </w:tabs>
        <w:spacing w:line="480" w:lineRule="atLeast"/>
        <w:ind w:firstLine="1440"/>
        <w:rPr>
          <w:rFonts w:ascii="Times New Roman" w:hAnsi="Times New Roman" w:cs="Times New Roman"/>
          <w:sz w:val="26"/>
          <w:szCs w:val="26"/>
        </w:rPr>
      </w:pPr>
      <w:r w:rsidRPr="007E2A2B">
        <w:rPr>
          <w:rFonts w:ascii="Times New Roman" w:hAnsi="Times New Roman" w:cs="Times New Roman"/>
          <w:sz w:val="26"/>
          <w:szCs w:val="26"/>
        </w:rPr>
        <w:t xml:space="preserve">On November 22, </w:t>
      </w:r>
      <w:r>
        <w:rPr>
          <w:rFonts w:ascii="Times New Roman" w:hAnsi="Times New Roman" w:cs="Times New Roman"/>
          <w:sz w:val="26"/>
          <w:szCs w:val="26"/>
        </w:rPr>
        <w:t>Andreas’s</w:t>
      </w:r>
      <w:r w:rsidRPr="007E2A2B">
        <w:rPr>
          <w:rFonts w:ascii="Times New Roman" w:hAnsi="Times New Roman" w:cs="Times New Roman"/>
          <w:sz w:val="26"/>
          <w:szCs w:val="26"/>
        </w:rPr>
        <w:t xml:space="preserve"> counsel completed her cross</w:t>
      </w:r>
      <w:r w:rsidRPr="007E2A2B">
        <w:rPr>
          <w:rFonts w:ascii="Times New Roman" w:hAnsi="Times New Roman" w:cs="Times New Roman"/>
          <w:sz w:val="26"/>
          <w:szCs w:val="26"/>
        </w:rPr>
        <w:noBreakHyphen/>
        <w:t>examination of Burke.  Before starting redirect examination, Diana’s counsel announced, “</w:t>
      </w:r>
      <w:r w:rsidR="00BC770D">
        <w:rPr>
          <w:rFonts w:ascii="Times New Roman" w:hAnsi="Times New Roman" w:cs="Times New Roman"/>
          <w:sz w:val="26"/>
          <w:szCs w:val="26"/>
        </w:rPr>
        <w:t>T</w:t>
      </w:r>
      <w:r w:rsidRPr="007E2A2B">
        <w:rPr>
          <w:rFonts w:ascii="Times New Roman" w:hAnsi="Times New Roman" w:cs="Times New Roman"/>
          <w:sz w:val="26"/>
          <w:szCs w:val="26"/>
        </w:rPr>
        <w:t xml:space="preserve">here were some things that were discovered over the weekend regarding the property.”  Those “things” had to do with </w:t>
      </w:r>
      <w:r w:rsidR="009F5F83">
        <w:rPr>
          <w:rFonts w:ascii="Times New Roman" w:hAnsi="Times New Roman" w:cs="Times New Roman"/>
          <w:sz w:val="26"/>
          <w:szCs w:val="26"/>
        </w:rPr>
        <w:t xml:space="preserve">the </w:t>
      </w:r>
      <w:r w:rsidRPr="007E2A2B">
        <w:rPr>
          <w:rFonts w:ascii="Times New Roman" w:hAnsi="Times New Roman" w:cs="Times New Roman"/>
          <w:sz w:val="26"/>
          <w:szCs w:val="26"/>
        </w:rPr>
        <w:t>lot size.  During redirect examination, Burke testified that both appraisal reports used a lot size of 9,000 square feet, a figure which she had obtained from a coun</w:t>
      </w:r>
      <w:r w:rsidR="009F5F83">
        <w:rPr>
          <w:rFonts w:ascii="Times New Roman" w:hAnsi="Times New Roman" w:cs="Times New Roman"/>
          <w:sz w:val="26"/>
          <w:szCs w:val="26"/>
        </w:rPr>
        <w:t>ty</w:t>
      </w:r>
      <w:r w:rsidRPr="007E2A2B">
        <w:rPr>
          <w:rFonts w:ascii="Times New Roman" w:hAnsi="Times New Roman" w:cs="Times New Roman"/>
          <w:sz w:val="26"/>
          <w:szCs w:val="26"/>
        </w:rPr>
        <w:t xml:space="preserve"> records portal.  </w:t>
      </w:r>
      <w:r w:rsidR="009F5F83">
        <w:rPr>
          <w:rFonts w:ascii="Times New Roman" w:hAnsi="Times New Roman" w:cs="Times New Roman"/>
          <w:sz w:val="26"/>
          <w:szCs w:val="26"/>
        </w:rPr>
        <w:t>A</w:t>
      </w:r>
      <w:r w:rsidRPr="007E2A2B">
        <w:rPr>
          <w:rFonts w:ascii="Times New Roman" w:hAnsi="Times New Roman" w:cs="Times New Roman"/>
          <w:sz w:val="26"/>
          <w:szCs w:val="26"/>
        </w:rPr>
        <w:t>fter writing her appraisal report, Burke had conducted an</w:t>
      </w:r>
      <w:r w:rsidR="009F5F83">
        <w:rPr>
          <w:rFonts w:ascii="Times New Roman" w:hAnsi="Times New Roman" w:cs="Times New Roman"/>
          <w:sz w:val="26"/>
          <w:szCs w:val="26"/>
        </w:rPr>
        <w:t>other</w:t>
      </w:r>
      <w:r w:rsidRPr="007E2A2B">
        <w:rPr>
          <w:rFonts w:ascii="Times New Roman" w:hAnsi="Times New Roman" w:cs="Times New Roman"/>
          <w:sz w:val="26"/>
          <w:szCs w:val="26"/>
        </w:rPr>
        <w:t xml:space="preserve"> investigation into the size of the lot.  </w:t>
      </w:r>
    </w:p>
    <w:p w:rsidR="000B1148" w:rsidP="00D245BB" w14:paraId="735C5E67" w14:textId="65780887">
      <w:pPr>
        <w:tabs>
          <w:tab w:val="left" w:pos="1440"/>
          <w:tab w:val="left" w:pos="2880"/>
          <w:tab w:val="left" w:pos="4320"/>
          <w:tab w:val="left" w:pos="5760"/>
          <w:tab w:val="left" w:pos="7200"/>
          <w:tab w:val="left" w:pos="8640"/>
        </w:tabs>
        <w:spacing w:line="480" w:lineRule="atLeast"/>
        <w:ind w:firstLine="1440"/>
        <w:rPr>
          <w:rFonts w:ascii="Times New Roman" w:hAnsi="Times New Roman" w:cs="Times New Roman"/>
          <w:sz w:val="26"/>
          <w:szCs w:val="26"/>
        </w:rPr>
      </w:pPr>
      <w:r w:rsidRPr="007E2A2B">
        <w:rPr>
          <w:rFonts w:ascii="Times New Roman" w:hAnsi="Times New Roman" w:cs="Times New Roman"/>
          <w:sz w:val="26"/>
          <w:szCs w:val="26"/>
        </w:rPr>
        <w:t xml:space="preserve">Diana’s counsel asked Burke if the lot size was larger than 9,000 square feet.  </w:t>
      </w:r>
      <w:r>
        <w:rPr>
          <w:rFonts w:ascii="Times New Roman" w:hAnsi="Times New Roman" w:cs="Times New Roman"/>
          <w:sz w:val="26"/>
          <w:szCs w:val="26"/>
        </w:rPr>
        <w:t>Andreas’s</w:t>
      </w:r>
      <w:r w:rsidRPr="007E2A2B">
        <w:rPr>
          <w:rFonts w:ascii="Times New Roman" w:hAnsi="Times New Roman" w:cs="Times New Roman"/>
          <w:sz w:val="26"/>
          <w:szCs w:val="26"/>
        </w:rPr>
        <w:t xml:space="preserve"> counsel objected.  The court asked Diana’s counsel if there was an amended report.  Counsel responded</w:t>
      </w:r>
      <w:r w:rsidR="006F024E">
        <w:rPr>
          <w:rFonts w:ascii="Times New Roman" w:hAnsi="Times New Roman" w:cs="Times New Roman"/>
          <w:sz w:val="26"/>
          <w:szCs w:val="26"/>
        </w:rPr>
        <w:t>,</w:t>
      </w:r>
      <w:r w:rsidRPr="007E2A2B">
        <w:rPr>
          <w:rFonts w:ascii="Times New Roman" w:hAnsi="Times New Roman" w:cs="Times New Roman"/>
          <w:sz w:val="26"/>
          <w:szCs w:val="26"/>
        </w:rPr>
        <w:t xml:space="preserve"> “No.  We didn’t amend it.  [Burke</w:t>
      </w:r>
      <w:r w:rsidR="00133467">
        <w:rPr>
          <w:rFonts w:ascii="Times New Roman" w:hAnsi="Times New Roman" w:cs="Times New Roman"/>
          <w:sz w:val="26"/>
          <w:szCs w:val="26"/>
        </w:rPr>
        <w:t xml:space="preserve"> is]</w:t>
      </w:r>
      <w:r w:rsidRPr="007E2A2B">
        <w:rPr>
          <w:rFonts w:ascii="Times New Roman" w:hAnsi="Times New Roman" w:cs="Times New Roman"/>
          <w:sz w:val="26"/>
          <w:szCs w:val="26"/>
        </w:rPr>
        <w:t xml:space="preserve"> just going to comment only [on] the fact that they</w:t>
      </w:r>
      <w:r w:rsidR="009F5F83">
        <w:rPr>
          <w:rFonts w:ascii="Times New Roman" w:hAnsi="Times New Roman" w:cs="Times New Roman"/>
          <w:sz w:val="26"/>
          <w:szCs w:val="26"/>
        </w:rPr>
        <w:t>—</w:t>
      </w:r>
      <w:r w:rsidRPr="007E2A2B">
        <w:rPr>
          <w:rFonts w:ascii="Times New Roman" w:hAnsi="Times New Roman" w:cs="Times New Roman"/>
          <w:sz w:val="26"/>
          <w:szCs w:val="26"/>
        </w:rPr>
        <w:t>it’s basically my client did some investigation, and they concurred that the</w:t>
      </w:r>
      <w:r w:rsidR="009F5F83">
        <w:rPr>
          <w:rFonts w:ascii="Times New Roman" w:hAnsi="Times New Roman" w:cs="Times New Roman"/>
          <w:sz w:val="26"/>
          <w:szCs w:val="26"/>
        </w:rPr>
        <w:t>—</w:t>
      </w:r>
      <w:r w:rsidRPr="007E2A2B">
        <w:rPr>
          <w:rFonts w:ascii="Times New Roman" w:hAnsi="Times New Roman" w:cs="Times New Roman"/>
          <w:sz w:val="26"/>
          <w:szCs w:val="26"/>
        </w:rPr>
        <w:t xml:space="preserve">the information contained in the </w:t>
      </w:r>
      <w:r w:rsidR="00FF43FE">
        <w:rPr>
          <w:rFonts w:ascii="Times New Roman" w:hAnsi="Times New Roman" w:cs="Times New Roman"/>
          <w:sz w:val="26"/>
          <w:szCs w:val="26"/>
        </w:rPr>
        <w:t>c</w:t>
      </w:r>
      <w:r w:rsidRPr="007E2A2B">
        <w:rPr>
          <w:rFonts w:ascii="Times New Roman" w:hAnsi="Times New Roman" w:cs="Times New Roman"/>
          <w:sz w:val="26"/>
          <w:szCs w:val="26"/>
        </w:rPr>
        <w:t>ounty portal is incorrect, and I could have her speak to that.”  The court stated, “</w:t>
      </w:r>
      <w:r w:rsidR="00133467">
        <w:rPr>
          <w:rFonts w:ascii="Times New Roman" w:hAnsi="Times New Roman" w:cs="Times New Roman"/>
          <w:sz w:val="26"/>
          <w:szCs w:val="26"/>
        </w:rPr>
        <w:t>T</w:t>
      </w:r>
      <w:r w:rsidRPr="007E2A2B">
        <w:rPr>
          <w:rFonts w:ascii="Times New Roman" w:hAnsi="Times New Roman" w:cs="Times New Roman"/>
          <w:sz w:val="26"/>
          <w:szCs w:val="26"/>
        </w:rPr>
        <w:t>hat’s going to be hearsay.”  Diana’s counsel responded, “It’s in public records.”</w:t>
      </w:r>
    </w:p>
    <w:p w:rsidR="000B1148" w:rsidP="00D245BB" w14:paraId="399E9792" w14:textId="738CD100">
      <w:pPr>
        <w:tabs>
          <w:tab w:val="left" w:pos="1440"/>
          <w:tab w:val="left" w:pos="2880"/>
          <w:tab w:val="left" w:pos="4320"/>
          <w:tab w:val="left" w:pos="5760"/>
          <w:tab w:val="left" w:pos="7200"/>
          <w:tab w:val="left" w:pos="8640"/>
        </w:tabs>
        <w:spacing w:line="480" w:lineRule="atLeast"/>
        <w:ind w:firstLine="1440"/>
        <w:rPr>
          <w:rFonts w:ascii="Times New Roman" w:hAnsi="Times New Roman" w:cs="Times New Roman"/>
          <w:sz w:val="26"/>
          <w:szCs w:val="26"/>
        </w:rPr>
      </w:pPr>
      <w:r w:rsidRPr="007E2A2B">
        <w:rPr>
          <w:rFonts w:ascii="Times New Roman" w:hAnsi="Times New Roman" w:cs="Times New Roman"/>
          <w:sz w:val="26"/>
          <w:szCs w:val="26"/>
        </w:rPr>
        <w:t>The court stated, “Yes, it’s with the city, but it’s not in some type of public record that you’re presenting to the court.  So you want Ms. Burke to basically tell the court that she or someone else has discovered that the records were incorrect.  But how am I to rely on that as trustworthy, and how is [</w:t>
      </w:r>
      <w:r>
        <w:rPr>
          <w:rFonts w:ascii="Times New Roman" w:hAnsi="Times New Roman" w:cs="Times New Roman"/>
          <w:sz w:val="26"/>
          <w:szCs w:val="26"/>
        </w:rPr>
        <w:t>Andreas’s</w:t>
      </w:r>
      <w:r w:rsidRPr="007E2A2B">
        <w:rPr>
          <w:rFonts w:ascii="Times New Roman" w:hAnsi="Times New Roman" w:cs="Times New Roman"/>
          <w:sz w:val="26"/>
          <w:szCs w:val="26"/>
        </w:rPr>
        <w:t xml:space="preserve"> counsel</w:t>
      </w:r>
      <w:r w:rsidR="007210A7">
        <w:rPr>
          <w:rFonts w:ascii="Times New Roman" w:hAnsi="Times New Roman" w:cs="Times New Roman"/>
          <w:sz w:val="26"/>
          <w:szCs w:val="26"/>
        </w:rPr>
        <w:t xml:space="preserve"> going</w:t>
      </w:r>
      <w:r w:rsidRPr="007E2A2B">
        <w:rPr>
          <w:rFonts w:ascii="Times New Roman" w:hAnsi="Times New Roman" w:cs="Times New Roman"/>
          <w:sz w:val="26"/>
          <w:szCs w:val="26"/>
        </w:rPr>
        <w:t>] to have an opportunity to effectively cross-examine anyone with that information if they don’t actually have a public record or a County official who is going to provide that information?”  In response, Diana’s counsel stated</w:t>
      </w:r>
      <w:r w:rsidR="00FF43FE">
        <w:rPr>
          <w:rFonts w:ascii="Times New Roman" w:hAnsi="Times New Roman" w:cs="Times New Roman"/>
          <w:sz w:val="26"/>
          <w:szCs w:val="26"/>
        </w:rPr>
        <w:t>,</w:t>
      </w:r>
      <w:r w:rsidRPr="007E2A2B">
        <w:rPr>
          <w:rFonts w:ascii="Times New Roman" w:hAnsi="Times New Roman" w:cs="Times New Roman"/>
          <w:sz w:val="26"/>
          <w:szCs w:val="26"/>
        </w:rPr>
        <w:t xml:space="preserve"> “I could ask her if she reviewed the record, and, if she did, she’s an expert, and she can testify as to what she reviewed, the same way that both put in their </w:t>
      </w:r>
      <w:r w:rsidR="00F932B5">
        <w:rPr>
          <w:rFonts w:ascii="Times New Roman" w:hAnsi="Times New Roman" w:cs="Times New Roman"/>
          <w:sz w:val="26"/>
          <w:szCs w:val="26"/>
        </w:rPr>
        <w:t>[</w:t>
      </w:r>
      <w:r w:rsidR="00CE55B3">
        <w:rPr>
          <w:rFonts w:ascii="Times New Roman" w:hAnsi="Times New Roman" w:cs="Times New Roman"/>
          <w:sz w:val="26"/>
          <w:szCs w:val="26"/>
        </w:rPr>
        <w:t>app</w:t>
      </w:r>
      <w:r w:rsidR="00DC66FC">
        <w:rPr>
          <w:rFonts w:ascii="Times New Roman" w:hAnsi="Times New Roman" w:cs="Times New Roman"/>
          <w:sz w:val="26"/>
          <w:szCs w:val="26"/>
        </w:rPr>
        <w:t>raisal reports</w:t>
      </w:r>
      <w:r w:rsidR="00F932B5">
        <w:rPr>
          <w:rFonts w:ascii="Times New Roman" w:hAnsi="Times New Roman" w:cs="Times New Roman"/>
          <w:sz w:val="26"/>
          <w:szCs w:val="26"/>
        </w:rPr>
        <w:t xml:space="preserve">] </w:t>
      </w:r>
      <w:r w:rsidRPr="007E2A2B">
        <w:rPr>
          <w:rFonts w:ascii="Times New Roman" w:hAnsi="Times New Roman" w:cs="Times New Roman"/>
          <w:sz w:val="26"/>
          <w:szCs w:val="26"/>
        </w:rPr>
        <w:t xml:space="preserve">9,000 </w:t>
      </w:r>
      <w:r w:rsidR="006F024E">
        <w:rPr>
          <w:rFonts w:ascii="Times New Roman" w:hAnsi="Times New Roman" w:cs="Times New Roman"/>
          <w:sz w:val="26"/>
          <w:szCs w:val="26"/>
        </w:rPr>
        <w:t>[feet]</w:t>
      </w:r>
      <w:r w:rsidRPr="007E2A2B">
        <w:rPr>
          <w:rFonts w:ascii="Times New Roman" w:hAnsi="Times New Roman" w:cs="Times New Roman"/>
          <w:sz w:val="26"/>
          <w:szCs w:val="26"/>
        </w:rPr>
        <w:t>.”  Counsel stated</w:t>
      </w:r>
      <w:r w:rsidR="00FF43FE">
        <w:rPr>
          <w:rFonts w:ascii="Times New Roman" w:hAnsi="Times New Roman" w:cs="Times New Roman"/>
          <w:sz w:val="26"/>
          <w:szCs w:val="26"/>
        </w:rPr>
        <w:t xml:space="preserve"> that</w:t>
      </w:r>
      <w:r w:rsidRPr="007E2A2B">
        <w:rPr>
          <w:rFonts w:ascii="Times New Roman" w:hAnsi="Times New Roman" w:cs="Times New Roman"/>
          <w:sz w:val="26"/>
          <w:szCs w:val="26"/>
        </w:rPr>
        <w:t xml:space="preserve"> the lot was actually 10,400 feet, and both appraisal reports were incorrect in using 9,000 square feet.   </w:t>
      </w:r>
    </w:p>
    <w:p w:rsidR="000B1148" w:rsidP="00D245BB" w14:paraId="14298326" w14:textId="43479021">
      <w:pPr>
        <w:tabs>
          <w:tab w:val="left" w:pos="1440"/>
          <w:tab w:val="left" w:pos="2880"/>
          <w:tab w:val="left" w:pos="4320"/>
          <w:tab w:val="left" w:pos="5760"/>
          <w:tab w:val="left" w:pos="7200"/>
          <w:tab w:val="left" w:pos="8640"/>
        </w:tabs>
        <w:spacing w:line="480" w:lineRule="atLeast"/>
        <w:ind w:firstLine="1440"/>
        <w:rPr>
          <w:rFonts w:ascii="Times New Roman" w:hAnsi="Times New Roman" w:cs="Times New Roman"/>
          <w:sz w:val="26"/>
          <w:szCs w:val="26"/>
        </w:rPr>
      </w:pPr>
      <w:r>
        <w:rPr>
          <w:rFonts w:ascii="Times New Roman" w:hAnsi="Times New Roman" w:cs="Times New Roman"/>
          <w:sz w:val="26"/>
          <w:szCs w:val="26"/>
        </w:rPr>
        <w:t>Andreas’s</w:t>
      </w:r>
      <w:r w:rsidRPr="007E2A2B">
        <w:rPr>
          <w:rFonts w:ascii="Times New Roman" w:hAnsi="Times New Roman" w:cs="Times New Roman"/>
          <w:sz w:val="26"/>
          <w:szCs w:val="26"/>
        </w:rPr>
        <w:t xml:space="preserve"> counsel objected on the grounds of hearsay and the information was outside the scope of prior testimony and of Burke’s appraisal report.  Counsel stated</w:t>
      </w:r>
      <w:r w:rsidR="006F024E">
        <w:rPr>
          <w:rFonts w:ascii="Times New Roman" w:hAnsi="Times New Roman" w:cs="Times New Roman"/>
          <w:sz w:val="26"/>
          <w:szCs w:val="26"/>
        </w:rPr>
        <w:t>,</w:t>
      </w:r>
      <w:r w:rsidRPr="007E2A2B">
        <w:rPr>
          <w:rFonts w:ascii="Times New Roman" w:hAnsi="Times New Roman" w:cs="Times New Roman"/>
          <w:sz w:val="26"/>
          <w:szCs w:val="26"/>
        </w:rPr>
        <w:t xml:space="preserve"> “My expert hasn’t had a chance to review any new information.</w:t>
      </w:r>
      <w:r w:rsidR="006A4DEF">
        <w:rPr>
          <w:rFonts w:ascii="Times New Roman" w:hAnsi="Times New Roman" w:cs="Times New Roman"/>
          <w:sz w:val="26"/>
          <w:szCs w:val="26"/>
        </w:rPr>
        <w:t>”</w:t>
      </w:r>
      <w:r w:rsidRPr="007E2A2B">
        <w:rPr>
          <w:rFonts w:ascii="Times New Roman" w:hAnsi="Times New Roman" w:cs="Times New Roman"/>
          <w:sz w:val="26"/>
          <w:szCs w:val="26"/>
        </w:rPr>
        <w:t xml:space="preserve">  </w:t>
      </w:r>
    </w:p>
    <w:p w:rsidR="000B1148" w:rsidP="00D245BB" w14:paraId="17990ABF" w14:textId="7C9D7050">
      <w:pPr>
        <w:tabs>
          <w:tab w:val="left" w:pos="1440"/>
          <w:tab w:val="left" w:pos="2880"/>
          <w:tab w:val="left" w:pos="4320"/>
          <w:tab w:val="left" w:pos="5760"/>
          <w:tab w:val="left" w:pos="7200"/>
          <w:tab w:val="left" w:pos="8640"/>
        </w:tabs>
        <w:spacing w:line="480" w:lineRule="atLeast"/>
        <w:ind w:firstLine="1440"/>
        <w:rPr>
          <w:rFonts w:ascii="Times New Roman" w:hAnsi="Times New Roman" w:cs="Times New Roman"/>
          <w:b/>
          <w:bCs/>
          <w:sz w:val="26"/>
          <w:szCs w:val="26"/>
        </w:rPr>
      </w:pPr>
      <w:r w:rsidRPr="007E2A2B">
        <w:rPr>
          <w:rFonts w:ascii="Times New Roman" w:hAnsi="Times New Roman" w:cs="Times New Roman"/>
          <w:sz w:val="26"/>
          <w:szCs w:val="26"/>
        </w:rPr>
        <w:t>The court sustained the objection on the ground that Diana had not produced the public record that Burke had reviewed and was going to testify about.  The court stated</w:t>
      </w:r>
      <w:r w:rsidR="006F024E">
        <w:rPr>
          <w:rFonts w:ascii="Times New Roman" w:hAnsi="Times New Roman" w:cs="Times New Roman"/>
          <w:sz w:val="26"/>
          <w:szCs w:val="26"/>
        </w:rPr>
        <w:t>,</w:t>
      </w:r>
      <w:r w:rsidRPr="007E2A2B">
        <w:rPr>
          <w:rFonts w:ascii="Times New Roman" w:hAnsi="Times New Roman" w:cs="Times New Roman"/>
          <w:sz w:val="26"/>
          <w:szCs w:val="26"/>
        </w:rPr>
        <w:t xml:space="preserve"> “I’m going to sustain the objection.  Either present the record or some—it doesn’t sound like it’s even Ms. Burke talking to a county official; it sounds like it’s your client.”  </w:t>
      </w:r>
    </w:p>
    <w:p w:rsidR="000B1148" w:rsidP="00D245BB" w14:paraId="653DEEDE" w14:textId="291EDEF9">
      <w:pPr>
        <w:tabs>
          <w:tab w:val="left" w:pos="1440"/>
          <w:tab w:val="left" w:pos="2880"/>
          <w:tab w:val="left" w:pos="4320"/>
          <w:tab w:val="left" w:pos="5760"/>
          <w:tab w:val="left" w:pos="7200"/>
          <w:tab w:val="left" w:pos="8640"/>
        </w:tabs>
        <w:spacing w:line="480" w:lineRule="atLeast"/>
        <w:ind w:firstLine="1440"/>
        <w:rPr>
          <w:rFonts w:ascii="Times New Roman" w:hAnsi="Times New Roman" w:cs="Times New Roman"/>
          <w:b/>
          <w:bCs/>
          <w:sz w:val="26"/>
          <w:szCs w:val="26"/>
        </w:rPr>
      </w:pPr>
      <w:r w:rsidRPr="007E2A2B">
        <w:rPr>
          <w:rFonts w:ascii="Times New Roman" w:hAnsi="Times New Roman" w:cs="Times New Roman"/>
          <w:sz w:val="26"/>
          <w:szCs w:val="26"/>
        </w:rPr>
        <w:t xml:space="preserve">Diana’s counsel stated </w:t>
      </w:r>
      <w:r w:rsidR="00FF43FE">
        <w:rPr>
          <w:rFonts w:ascii="Times New Roman" w:hAnsi="Times New Roman" w:cs="Times New Roman"/>
          <w:sz w:val="26"/>
          <w:szCs w:val="26"/>
        </w:rPr>
        <w:t xml:space="preserve">that </w:t>
      </w:r>
      <w:r w:rsidRPr="007E2A2B">
        <w:rPr>
          <w:rFonts w:ascii="Times New Roman" w:hAnsi="Times New Roman" w:cs="Times New Roman"/>
          <w:sz w:val="26"/>
          <w:szCs w:val="26"/>
        </w:rPr>
        <w:t xml:space="preserve">she was “just trying to clarify” and asked, </w:t>
      </w:r>
      <w:bookmarkStart w:id="2" w:name="_Hlk146802835"/>
      <w:r w:rsidRPr="007E2A2B">
        <w:rPr>
          <w:rFonts w:ascii="Times New Roman" w:hAnsi="Times New Roman" w:cs="Times New Roman"/>
          <w:sz w:val="26"/>
          <w:szCs w:val="26"/>
        </w:rPr>
        <w:t xml:space="preserve">“I’m not allowed to ask her if </w:t>
      </w:r>
      <w:r w:rsidR="00F30393">
        <w:rPr>
          <w:rFonts w:ascii="Times New Roman" w:hAnsi="Times New Roman" w:cs="Times New Roman"/>
          <w:sz w:val="26"/>
          <w:szCs w:val="26"/>
        </w:rPr>
        <w:t>she</w:t>
      </w:r>
      <w:r w:rsidRPr="007E2A2B">
        <w:rPr>
          <w:rFonts w:ascii="Times New Roman" w:hAnsi="Times New Roman" w:cs="Times New Roman"/>
          <w:sz w:val="26"/>
          <w:szCs w:val="26"/>
        </w:rPr>
        <w:t xml:space="preserve"> reviewed the records?”</w:t>
      </w:r>
      <w:bookmarkEnd w:id="2"/>
      <w:r w:rsidRPr="007E2A2B">
        <w:rPr>
          <w:rFonts w:ascii="Times New Roman" w:hAnsi="Times New Roman" w:cs="Times New Roman"/>
          <w:sz w:val="26"/>
          <w:szCs w:val="26"/>
        </w:rPr>
        <w:t xml:space="preserve">  The trial court stated in response</w:t>
      </w:r>
      <w:r w:rsidR="006F024E">
        <w:rPr>
          <w:rFonts w:ascii="Times New Roman" w:hAnsi="Times New Roman" w:cs="Times New Roman"/>
          <w:sz w:val="26"/>
          <w:szCs w:val="26"/>
        </w:rPr>
        <w:t xml:space="preserve">, </w:t>
      </w:r>
      <w:r w:rsidRPr="007E2A2B">
        <w:rPr>
          <w:rFonts w:ascii="Times New Roman" w:hAnsi="Times New Roman" w:cs="Times New Roman"/>
          <w:sz w:val="26"/>
          <w:szCs w:val="26"/>
        </w:rPr>
        <w:t>“If you’re saying that it’s now not 9,000 square feet as placed in the report that your client presented to the court based upon some work this weekend, I want to see a document.</w:t>
      </w:r>
      <w:r w:rsidR="00F30393">
        <w:rPr>
          <w:rFonts w:ascii="Times New Roman" w:hAnsi="Times New Roman" w:cs="Times New Roman"/>
          <w:sz w:val="26"/>
          <w:szCs w:val="26"/>
        </w:rPr>
        <w:t xml:space="preserve">”  </w:t>
      </w:r>
      <w:r w:rsidR="00255F82">
        <w:rPr>
          <w:rFonts w:ascii="Times New Roman" w:hAnsi="Times New Roman" w:cs="Times New Roman"/>
          <w:sz w:val="26"/>
          <w:szCs w:val="26"/>
        </w:rPr>
        <w:t xml:space="preserve">The court explained, </w:t>
      </w:r>
      <w:r w:rsidR="00F30393">
        <w:rPr>
          <w:rFonts w:ascii="Times New Roman" w:hAnsi="Times New Roman" w:cs="Times New Roman"/>
          <w:sz w:val="26"/>
          <w:szCs w:val="26"/>
        </w:rPr>
        <w:t>“</w:t>
      </w:r>
      <w:r w:rsidRPr="007E2A2B">
        <w:rPr>
          <w:rFonts w:ascii="Times New Roman" w:hAnsi="Times New Roman" w:cs="Times New Roman"/>
          <w:sz w:val="26"/>
          <w:szCs w:val="26"/>
        </w:rPr>
        <w:t>I don’t think this is fair for [</w:t>
      </w:r>
      <w:r>
        <w:rPr>
          <w:rFonts w:ascii="Times New Roman" w:hAnsi="Times New Roman" w:cs="Times New Roman"/>
          <w:sz w:val="26"/>
          <w:szCs w:val="26"/>
        </w:rPr>
        <w:t>Andreas’s</w:t>
      </w:r>
      <w:r w:rsidRPr="007E2A2B">
        <w:rPr>
          <w:rFonts w:ascii="Times New Roman" w:hAnsi="Times New Roman" w:cs="Times New Roman"/>
          <w:sz w:val="26"/>
          <w:szCs w:val="26"/>
        </w:rPr>
        <w:t xml:space="preserve"> counsel] that I’m going to hear just hearsay testimony that there is a new record in the county portal or there is someone who provided a different statement about the lot size.  [¶]</w:t>
      </w:r>
      <w:r w:rsidR="006F024E">
        <w:rPr>
          <w:rFonts w:ascii="Times New Roman" w:hAnsi="Times New Roman" w:cs="Times New Roman"/>
          <w:sz w:val="26"/>
          <w:szCs w:val="26"/>
        </w:rPr>
        <w:t xml:space="preserve"> </w:t>
      </w:r>
      <w:r w:rsidR="00486367">
        <w:rPr>
          <w:rFonts w:ascii="Times New Roman" w:hAnsi="Times New Roman" w:cs="Times New Roman"/>
          <w:sz w:val="26"/>
          <w:szCs w:val="26"/>
        </w:rPr>
        <w:t xml:space="preserve"> </w:t>
      </w:r>
      <w:r w:rsidRPr="007E2A2B">
        <w:rPr>
          <w:rFonts w:ascii="Times New Roman" w:hAnsi="Times New Roman" w:cs="Times New Roman"/>
          <w:sz w:val="26"/>
          <w:szCs w:val="26"/>
        </w:rPr>
        <w:t>I’m presuming that both of these experts, when they put in the dimensions, they pulled up records when they wrote that, saying it was an irregular lot; it was R1; it was 9,000 square feet.  [¶]</w:t>
      </w:r>
      <w:r w:rsidR="00486367">
        <w:rPr>
          <w:rFonts w:ascii="Times New Roman" w:hAnsi="Times New Roman" w:cs="Times New Roman"/>
          <w:sz w:val="26"/>
          <w:szCs w:val="26"/>
        </w:rPr>
        <w:t xml:space="preserve"> </w:t>
      </w:r>
      <w:r w:rsidRPr="007E2A2B">
        <w:rPr>
          <w:rFonts w:ascii="Times New Roman" w:hAnsi="Times New Roman" w:cs="Times New Roman"/>
          <w:sz w:val="26"/>
          <w:szCs w:val="26"/>
        </w:rPr>
        <w:t xml:space="preserve"> I’m going to need a little bit more. . . .</w:t>
      </w:r>
      <w:r w:rsidR="00F30393">
        <w:rPr>
          <w:rFonts w:ascii="Times New Roman" w:hAnsi="Times New Roman" w:cs="Times New Roman"/>
          <w:sz w:val="26"/>
          <w:szCs w:val="26"/>
        </w:rPr>
        <w:t xml:space="preserve">”  </w:t>
      </w:r>
      <w:r w:rsidR="00255F82">
        <w:rPr>
          <w:rFonts w:ascii="Times New Roman" w:hAnsi="Times New Roman" w:cs="Times New Roman"/>
          <w:sz w:val="26"/>
          <w:szCs w:val="26"/>
        </w:rPr>
        <w:t xml:space="preserve">The court emphasized, </w:t>
      </w:r>
      <w:r w:rsidR="00F30393">
        <w:rPr>
          <w:rFonts w:ascii="Times New Roman" w:hAnsi="Times New Roman" w:cs="Times New Roman"/>
          <w:sz w:val="26"/>
          <w:szCs w:val="26"/>
        </w:rPr>
        <w:t>“</w:t>
      </w:r>
      <w:r w:rsidRPr="007E2A2B">
        <w:rPr>
          <w:rFonts w:ascii="Times New Roman" w:hAnsi="Times New Roman" w:cs="Times New Roman"/>
          <w:sz w:val="26"/>
          <w:szCs w:val="26"/>
        </w:rPr>
        <w:t>I want a record then if this is going to be disputed.</w:t>
      </w:r>
      <w:r w:rsidR="00255F82">
        <w:rPr>
          <w:rFonts w:ascii="Times New Roman" w:hAnsi="Times New Roman" w:cs="Times New Roman"/>
          <w:sz w:val="26"/>
          <w:szCs w:val="26"/>
        </w:rPr>
        <w:t>”</w:t>
      </w:r>
    </w:p>
    <w:p w:rsidR="000B1148" w:rsidRPr="00320C65" w:rsidP="00320C65" w14:paraId="1D22E025" w14:textId="205CBC38">
      <w:pPr>
        <w:tabs>
          <w:tab w:val="left" w:pos="1440"/>
          <w:tab w:val="left" w:pos="2880"/>
          <w:tab w:val="left" w:pos="4320"/>
          <w:tab w:val="left" w:pos="5760"/>
          <w:tab w:val="left" w:pos="7200"/>
          <w:tab w:val="left" w:pos="8640"/>
        </w:tabs>
        <w:spacing w:line="480" w:lineRule="atLeast"/>
        <w:ind w:firstLine="1440"/>
        <w:rPr>
          <w:rFonts w:ascii="Times New Roman" w:hAnsi="Times New Roman" w:cs="Times New Roman"/>
          <w:sz w:val="26"/>
          <w:szCs w:val="26"/>
        </w:rPr>
      </w:pPr>
      <w:r w:rsidRPr="007E2A2B">
        <w:rPr>
          <w:rFonts w:ascii="Times New Roman" w:hAnsi="Times New Roman" w:cs="Times New Roman"/>
          <w:sz w:val="26"/>
          <w:szCs w:val="26"/>
        </w:rPr>
        <w:t xml:space="preserve">Diana’s counsel stated that she could present “the record from the City,” to which </w:t>
      </w:r>
      <w:r>
        <w:rPr>
          <w:rFonts w:ascii="Times New Roman" w:hAnsi="Times New Roman" w:cs="Times New Roman"/>
          <w:sz w:val="26"/>
          <w:szCs w:val="26"/>
        </w:rPr>
        <w:t>Andreas’s</w:t>
      </w:r>
      <w:r w:rsidRPr="007E2A2B">
        <w:rPr>
          <w:rFonts w:ascii="Times New Roman" w:hAnsi="Times New Roman" w:cs="Times New Roman"/>
          <w:sz w:val="26"/>
          <w:szCs w:val="26"/>
        </w:rPr>
        <w:t xml:space="preserve"> counsel posed an objecti</w:t>
      </w:r>
      <w:r>
        <w:rPr>
          <w:rFonts w:ascii="Times New Roman" w:hAnsi="Times New Roman" w:cs="Times New Roman"/>
          <w:sz w:val="26"/>
          <w:szCs w:val="26"/>
        </w:rPr>
        <w:t>on</w:t>
      </w:r>
      <w:r w:rsidRPr="007E2A2B">
        <w:rPr>
          <w:rFonts w:ascii="Times New Roman" w:hAnsi="Times New Roman" w:cs="Times New Roman"/>
          <w:sz w:val="26"/>
          <w:szCs w:val="26"/>
        </w:rPr>
        <w:t xml:space="preserve"> pursuant to </w:t>
      </w:r>
      <w:r w:rsidRPr="007E2A2B">
        <w:rPr>
          <w:rFonts w:ascii="Times New Roman" w:hAnsi="Times New Roman" w:cs="Times New Roman"/>
          <w:i/>
          <w:iCs/>
          <w:sz w:val="26"/>
          <w:szCs w:val="26"/>
        </w:rPr>
        <w:t xml:space="preserve">People v. Sanchez </w:t>
      </w:r>
      <w:r w:rsidRPr="007E2A2B">
        <w:rPr>
          <w:rFonts w:ascii="Times New Roman" w:hAnsi="Times New Roman" w:cs="Times New Roman"/>
          <w:sz w:val="26"/>
          <w:szCs w:val="26"/>
        </w:rPr>
        <w:t>(2016) 63 Cal.4th 665.</w:t>
      </w:r>
      <w:r w:rsidR="006F024E">
        <w:rPr>
          <w:rFonts w:ascii="Times New Roman" w:hAnsi="Times New Roman" w:cs="Times New Roman"/>
          <w:sz w:val="26"/>
          <w:szCs w:val="26"/>
        </w:rPr>
        <w:t xml:space="preserve"> </w:t>
      </w:r>
      <w:r w:rsidRPr="007E2A2B">
        <w:rPr>
          <w:rFonts w:ascii="Times New Roman" w:hAnsi="Times New Roman" w:cs="Times New Roman"/>
          <w:sz w:val="26"/>
          <w:szCs w:val="26"/>
        </w:rPr>
        <w:t xml:space="preserve"> After a break Diana’s counsel asked Burke whether a 9,000 square foot or 10,425 square foot lot is considered “a larger lot.”  The trial court told counsel she could proceed with numbers from Burke’s appraisal report, but she could not “introduce a number that isn’t supported by any evidence </w:t>
      </w:r>
      <w:r w:rsidR="00F30393">
        <w:rPr>
          <w:rFonts w:ascii="Times New Roman" w:hAnsi="Times New Roman" w:cs="Times New Roman"/>
          <w:sz w:val="26"/>
          <w:szCs w:val="26"/>
        </w:rPr>
        <w:t xml:space="preserve">before </w:t>
      </w:r>
      <w:r w:rsidRPr="007E2A2B">
        <w:rPr>
          <w:rFonts w:ascii="Times New Roman" w:hAnsi="Times New Roman" w:cs="Times New Roman"/>
          <w:sz w:val="26"/>
          <w:szCs w:val="26"/>
        </w:rPr>
        <w:t>the court.”  The court stated</w:t>
      </w:r>
      <w:r w:rsidR="006F024E">
        <w:rPr>
          <w:rFonts w:ascii="Times New Roman" w:hAnsi="Times New Roman" w:cs="Times New Roman"/>
          <w:sz w:val="26"/>
          <w:szCs w:val="26"/>
        </w:rPr>
        <w:t>,</w:t>
      </w:r>
      <w:r w:rsidRPr="007E2A2B">
        <w:rPr>
          <w:rFonts w:ascii="Times New Roman" w:hAnsi="Times New Roman" w:cs="Times New Roman"/>
          <w:sz w:val="26"/>
          <w:szCs w:val="26"/>
        </w:rPr>
        <w:t xml:space="preserve"> “Everyone had time to hire appraisers, hire experts to prepare reports, and I’ve already continued this from Friday to Monday because of Ms. Burke’s audio and </w:t>
      </w:r>
      <w:r w:rsidR="00EF5BAA">
        <w:rPr>
          <w:rFonts w:ascii="Times New Roman" w:hAnsi="Times New Roman" w:cs="Times New Roman"/>
          <w:sz w:val="26"/>
          <w:szCs w:val="26"/>
        </w:rPr>
        <w:t xml:space="preserve">[being] </w:t>
      </w:r>
      <w:r w:rsidRPr="007E2A2B">
        <w:rPr>
          <w:rFonts w:ascii="Times New Roman" w:hAnsi="Times New Roman" w:cs="Times New Roman"/>
          <w:sz w:val="26"/>
          <w:szCs w:val="26"/>
        </w:rPr>
        <w:t>in her vehicle without her report.  [¶]</w:t>
      </w:r>
      <w:r w:rsidR="00486367">
        <w:rPr>
          <w:rFonts w:ascii="Times New Roman" w:hAnsi="Times New Roman" w:cs="Times New Roman"/>
          <w:sz w:val="26"/>
          <w:szCs w:val="26"/>
        </w:rPr>
        <w:t xml:space="preserve"> </w:t>
      </w:r>
      <w:r w:rsidRPr="007E2A2B">
        <w:rPr>
          <w:rFonts w:ascii="Times New Roman" w:hAnsi="Times New Roman" w:cs="Times New Roman"/>
          <w:sz w:val="26"/>
          <w:szCs w:val="26"/>
        </w:rPr>
        <w:t xml:space="preserve"> I’m proceeding today and with the numbers in evidence that the court has today.” </w:t>
      </w:r>
      <w:r w:rsidR="006F024E">
        <w:rPr>
          <w:rFonts w:ascii="Times New Roman" w:hAnsi="Times New Roman" w:cs="Times New Roman"/>
          <w:sz w:val="26"/>
          <w:szCs w:val="26"/>
        </w:rPr>
        <w:t xml:space="preserve"> </w:t>
      </w:r>
      <w:r w:rsidRPr="007E2A2B">
        <w:rPr>
          <w:rFonts w:ascii="Times New Roman" w:hAnsi="Times New Roman" w:cs="Times New Roman"/>
          <w:sz w:val="26"/>
          <w:szCs w:val="26"/>
        </w:rPr>
        <w:t xml:space="preserve">Burke testified, based on her research, </w:t>
      </w:r>
      <w:r w:rsidR="00320C65">
        <w:rPr>
          <w:rFonts w:ascii="Times New Roman" w:hAnsi="Times New Roman" w:cs="Times New Roman"/>
          <w:sz w:val="26"/>
          <w:szCs w:val="26"/>
        </w:rPr>
        <w:t>the 9,000 square foot lot of the family home exceeded the size of 98 percent of the properties in the area by 50 percent.</w:t>
      </w:r>
      <w:r w:rsidRPr="007E2A2B">
        <w:rPr>
          <w:rFonts w:ascii="Times New Roman" w:hAnsi="Times New Roman" w:cs="Times New Roman"/>
          <w:sz w:val="26"/>
          <w:szCs w:val="26"/>
        </w:rPr>
        <w:t xml:space="preserve">  She believed a </w:t>
      </w:r>
      <w:r w:rsidRPr="00521173">
        <w:rPr>
          <w:rFonts w:ascii="Times New Roman" w:hAnsi="Times New Roman" w:cs="Times New Roman"/>
          <w:sz w:val="26"/>
          <w:szCs w:val="26"/>
        </w:rPr>
        <w:t xml:space="preserve">larger lot size generally brings a higher value. </w:t>
      </w:r>
    </w:p>
    <w:p w:rsidR="00521173" w:rsidRPr="00521173" w:rsidP="00521173" w14:paraId="1468A856" w14:textId="77777777">
      <w:pPr>
        <w:spacing w:line="480" w:lineRule="atLeast"/>
        <w:rPr>
          <w:rFonts w:ascii="Times New Roman" w:hAnsi="Times New Roman" w:cs="Times New Roman"/>
          <w:b/>
          <w:bCs/>
          <w:sz w:val="26"/>
          <w:szCs w:val="26"/>
        </w:rPr>
      </w:pPr>
    </w:p>
    <w:p w:rsidR="000B1148" w:rsidRPr="00521173" w:rsidP="00FD294A" w14:paraId="5DFD9BB2" w14:textId="77777777">
      <w:pPr>
        <w:keepNext/>
        <w:keepLines/>
        <w:spacing w:line="480" w:lineRule="atLeast"/>
        <w:rPr>
          <w:rFonts w:ascii="Times New Roman" w:hAnsi="Times New Roman" w:cs="Times New Roman"/>
          <w:sz w:val="26"/>
          <w:szCs w:val="26"/>
        </w:rPr>
      </w:pPr>
      <w:r w:rsidRPr="00521173">
        <w:rPr>
          <w:rFonts w:ascii="Times New Roman" w:hAnsi="Times New Roman" w:cs="Times New Roman"/>
          <w:sz w:val="26"/>
          <w:szCs w:val="26"/>
        </w:rPr>
        <w:t xml:space="preserve">III.  </w:t>
      </w:r>
      <w:r w:rsidRPr="00521173">
        <w:rPr>
          <w:rFonts w:ascii="Times New Roman" w:hAnsi="Times New Roman" w:cs="Times New Roman"/>
          <w:i/>
          <w:iCs/>
          <w:sz w:val="26"/>
          <w:szCs w:val="26"/>
        </w:rPr>
        <w:t>Testimony and Cross</w:t>
      </w:r>
      <w:r w:rsidRPr="00521173">
        <w:rPr>
          <w:rFonts w:ascii="Times New Roman" w:hAnsi="Times New Roman" w:cs="Times New Roman"/>
          <w:i/>
          <w:iCs/>
          <w:sz w:val="26"/>
          <w:szCs w:val="26"/>
        </w:rPr>
        <w:noBreakHyphen/>
        <w:t>examination of Andreas’s Appraiser</w:t>
      </w:r>
    </w:p>
    <w:p w:rsidR="000B1148" w:rsidP="00521173" w14:paraId="654AD49A" w14:textId="71CE77B8">
      <w:pPr>
        <w:spacing w:line="480" w:lineRule="atLeast"/>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521173">
        <w:rPr>
          <w:rFonts w:ascii="Times New Roman" w:hAnsi="Times New Roman" w:cs="Times New Roman"/>
          <w:sz w:val="26"/>
          <w:szCs w:val="26"/>
        </w:rPr>
        <w:t>After Burke finished her testimony, Andreas’s appraiser, Johnson</w:t>
      </w:r>
      <w:r w:rsidRPr="00521173" w:rsidR="00D245BB">
        <w:rPr>
          <w:rFonts w:ascii="Times New Roman" w:hAnsi="Times New Roman" w:cs="Times New Roman"/>
          <w:sz w:val="26"/>
          <w:szCs w:val="26"/>
        </w:rPr>
        <w:t>,</w:t>
      </w:r>
      <w:r w:rsidRPr="00521173">
        <w:rPr>
          <w:rFonts w:ascii="Times New Roman" w:hAnsi="Times New Roman" w:cs="Times New Roman"/>
          <w:sz w:val="26"/>
          <w:szCs w:val="26"/>
        </w:rPr>
        <w:t xml:space="preserve"> testified.  Johnson confirmed he had reached an appraised value of $1,020,000 for the </w:t>
      </w:r>
      <w:r w:rsidR="00320C65">
        <w:rPr>
          <w:rFonts w:ascii="Times New Roman" w:hAnsi="Times New Roman" w:cs="Times New Roman"/>
          <w:sz w:val="26"/>
          <w:szCs w:val="26"/>
        </w:rPr>
        <w:t>h</w:t>
      </w:r>
      <w:r w:rsidRPr="00521173">
        <w:rPr>
          <w:rFonts w:ascii="Times New Roman" w:hAnsi="Times New Roman" w:cs="Times New Roman"/>
          <w:sz w:val="26"/>
          <w:szCs w:val="26"/>
        </w:rPr>
        <w:t>ome.  During cross</w:t>
      </w:r>
      <w:r w:rsidRPr="00521173">
        <w:rPr>
          <w:rFonts w:ascii="Times New Roman" w:hAnsi="Times New Roman" w:cs="Times New Roman"/>
          <w:sz w:val="26"/>
          <w:szCs w:val="26"/>
        </w:rPr>
        <w:noBreakHyphen/>
        <w:t>examination, he testified he had not</w:t>
      </w:r>
      <w:r w:rsidRPr="007E2A2B">
        <w:rPr>
          <w:rFonts w:ascii="Times New Roman" w:hAnsi="Times New Roman" w:cs="Times New Roman"/>
          <w:sz w:val="26"/>
          <w:szCs w:val="26"/>
        </w:rPr>
        <w:t xml:space="preserve"> measured the “plat size” of</w:t>
      </w:r>
      <w:r w:rsidR="003F284C">
        <w:rPr>
          <w:rFonts w:ascii="Times New Roman" w:hAnsi="Times New Roman" w:cs="Times New Roman"/>
          <w:sz w:val="26"/>
          <w:szCs w:val="26"/>
        </w:rPr>
        <w:t xml:space="preserve"> the</w:t>
      </w:r>
      <w:r w:rsidRPr="007E2A2B">
        <w:rPr>
          <w:rFonts w:ascii="Times New Roman" w:hAnsi="Times New Roman" w:cs="Times New Roman"/>
          <w:sz w:val="26"/>
          <w:szCs w:val="26"/>
        </w:rPr>
        <w:t xml:space="preserve"> lot and there was no means of doing so with </w:t>
      </w:r>
      <w:r w:rsidR="00D245BB">
        <w:rPr>
          <w:rFonts w:ascii="Times New Roman" w:hAnsi="Times New Roman" w:cs="Times New Roman"/>
          <w:sz w:val="26"/>
          <w:szCs w:val="26"/>
        </w:rPr>
        <w:t xml:space="preserve">the </w:t>
      </w:r>
      <w:r w:rsidRPr="007E2A2B">
        <w:rPr>
          <w:rFonts w:ascii="Times New Roman" w:hAnsi="Times New Roman" w:cs="Times New Roman"/>
          <w:sz w:val="26"/>
          <w:szCs w:val="26"/>
        </w:rPr>
        <w:t>online resources</w:t>
      </w:r>
      <w:r w:rsidR="00D245BB">
        <w:rPr>
          <w:rFonts w:ascii="Times New Roman" w:hAnsi="Times New Roman" w:cs="Times New Roman"/>
          <w:sz w:val="26"/>
          <w:szCs w:val="26"/>
        </w:rPr>
        <w:t xml:space="preserve"> available</w:t>
      </w:r>
      <w:r w:rsidRPr="007E2A2B">
        <w:rPr>
          <w:rFonts w:ascii="Times New Roman" w:hAnsi="Times New Roman" w:cs="Times New Roman"/>
          <w:sz w:val="26"/>
          <w:szCs w:val="26"/>
        </w:rPr>
        <w:t xml:space="preserve">.  </w:t>
      </w:r>
    </w:p>
    <w:p w:rsidR="000B1148" w:rsidP="00521173" w14:paraId="02CB0917" w14:textId="0C2644D4">
      <w:pPr>
        <w:tabs>
          <w:tab w:val="left" w:pos="1440"/>
          <w:tab w:val="left" w:pos="2880"/>
          <w:tab w:val="left" w:pos="4320"/>
          <w:tab w:val="left" w:pos="5760"/>
          <w:tab w:val="left" w:pos="7200"/>
          <w:tab w:val="left" w:pos="8640"/>
        </w:tabs>
        <w:spacing w:line="480" w:lineRule="atLeast"/>
        <w:ind w:firstLine="1440"/>
        <w:rPr>
          <w:rFonts w:ascii="Times New Roman" w:hAnsi="Times New Roman" w:cs="Times New Roman"/>
          <w:sz w:val="26"/>
          <w:szCs w:val="26"/>
        </w:rPr>
      </w:pPr>
      <w:r w:rsidRPr="007E2A2B">
        <w:rPr>
          <w:rFonts w:ascii="Times New Roman" w:hAnsi="Times New Roman" w:cs="Times New Roman"/>
          <w:sz w:val="26"/>
          <w:szCs w:val="26"/>
        </w:rPr>
        <w:t>Diana’s counsel stated she had just sent Andreas’</w:t>
      </w:r>
      <w:r>
        <w:rPr>
          <w:rFonts w:ascii="Times New Roman" w:hAnsi="Times New Roman" w:cs="Times New Roman"/>
          <w:sz w:val="26"/>
          <w:szCs w:val="26"/>
        </w:rPr>
        <w:t>s</w:t>
      </w:r>
      <w:r w:rsidRPr="007E2A2B">
        <w:rPr>
          <w:rFonts w:ascii="Times New Roman" w:hAnsi="Times New Roman" w:cs="Times New Roman"/>
          <w:sz w:val="26"/>
          <w:szCs w:val="26"/>
        </w:rPr>
        <w:t xml:space="preserve"> attorney a measurement based on the plat map that Johnson had provided.  Andreas’</w:t>
      </w:r>
      <w:r>
        <w:rPr>
          <w:rFonts w:ascii="Times New Roman" w:hAnsi="Times New Roman" w:cs="Times New Roman"/>
          <w:sz w:val="26"/>
          <w:szCs w:val="26"/>
        </w:rPr>
        <w:t>s</w:t>
      </w:r>
      <w:r w:rsidRPr="007E2A2B">
        <w:rPr>
          <w:rFonts w:ascii="Times New Roman" w:hAnsi="Times New Roman" w:cs="Times New Roman"/>
          <w:sz w:val="26"/>
          <w:szCs w:val="26"/>
        </w:rPr>
        <w:t xml:space="preserve"> attorney objected on the ground the questioning exceeded the scope of direct examination.  The trial </w:t>
      </w:r>
      <w:r w:rsidR="00105265">
        <w:rPr>
          <w:rFonts w:ascii="Times New Roman" w:hAnsi="Times New Roman" w:cs="Times New Roman"/>
          <w:sz w:val="26"/>
          <w:szCs w:val="26"/>
        </w:rPr>
        <w:t xml:space="preserve">court </w:t>
      </w:r>
      <w:r w:rsidRPr="007E2A2B">
        <w:rPr>
          <w:rFonts w:ascii="Times New Roman" w:hAnsi="Times New Roman" w:cs="Times New Roman"/>
          <w:sz w:val="26"/>
          <w:szCs w:val="26"/>
        </w:rPr>
        <w:t xml:space="preserve">sustained the objection.  On redirect </w:t>
      </w:r>
      <w:r>
        <w:rPr>
          <w:rFonts w:ascii="Times New Roman" w:hAnsi="Times New Roman" w:cs="Times New Roman"/>
          <w:sz w:val="26"/>
          <w:szCs w:val="26"/>
        </w:rPr>
        <w:t>Andreas’s</w:t>
      </w:r>
      <w:r w:rsidRPr="007E2A2B">
        <w:rPr>
          <w:rFonts w:ascii="Times New Roman" w:hAnsi="Times New Roman" w:cs="Times New Roman"/>
          <w:sz w:val="26"/>
          <w:szCs w:val="26"/>
        </w:rPr>
        <w:t xml:space="preserve"> counsel asked Johnson whether Burke used the same plat map that Johnson had use</w:t>
      </w:r>
      <w:r w:rsidR="00320C65">
        <w:rPr>
          <w:rFonts w:ascii="Times New Roman" w:hAnsi="Times New Roman" w:cs="Times New Roman"/>
          <w:sz w:val="26"/>
          <w:szCs w:val="26"/>
        </w:rPr>
        <w:t>d</w:t>
      </w:r>
      <w:r w:rsidRPr="007E2A2B">
        <w:rPr>
          <w:rFonts w:ascii="Times New Roman" w:hAnsi="Times New Roman" w:cs="Times New Roman"/>
          <w:sz w:val="26"/>
          <w:szCs w:val="26"/>
        </w:rPr>
        <w:t xml:space="preserve"> in determining </w:t>
      </w:r>
      <w:r w:rsidR="00D915C6">
        <w:rPr>
          <w:rFonts w:ascii="Times New Roman" w:hAnsi="Times New Roman" w:cs="Times New Roman"/>
          <w:sz w:val="26"/>
          <w:szCs w:val="26"/>
        </w:rPr>
        <w:t xml:space="preserve">the </w:t>
      </w:r>
      <w:r w:rsidRPr="007E2A2B">
        <w:rPr>
          <w:rFonts w:ascii="Times New Roman" w:hAnsi="Times New Roman" w:cs="Times New Roman"/>
          <w:sz w:val="26"/>
          <w:szCs w:val="26"/>
        </w:rPr>
        <w:t xml:space="preserve">lot size.  The court </w:t>
      </w:r>
      <w:r w:rsidR="00323A6A">
        <w:rPr>
          <w:rFonts w:ascii="Times New Roman" w:hAnsi="Times New Roman" w:cs="Times New Roman"/>
          <w:sz w:val="26"/>
          <w:szCs w:val="26"/>
        </w:rPr>
        <w:t>interjected</w:t>
      </w:r>
      <w:r w:rsidR="002326F6">
        <w:rPr>
          <w:rFonts w:ascii="Times New Roman" w:hAnsi="Times New Roman" w:cs="Times New Roman"/>
          <w:sz w:val="26"/>
          <w:szCs w:val="26"/>
        </w:rPr>
        <w:t>,</w:t>
      </w:r>
      <w:r w:rsidRPr="007E2A2B">
        <w:rPr>
          <w:rFonts w:ascii="Times New Roman" w:hAnsi="Times New Roman" w:cs="Times New Roman"/>
          <w:sz w:val="26"/>
          <w:szCs w:val="26"/>
        </w:rPr>
        <w:t xml:space="preserve"> “I can compare the two maps.  They are the same.”  </w:t>
      </w:r>
    </w:p>
    <w:p w:rsidR="00521173" w:rsidP="00521173" w14:paraId="1C6B9568" w14:textId="77777777">
      <w:pPr>
        <w:spacing w:line="480" w:lineRule="atLeast"/>
        <w:rPr>
          <w:rFonts w:ascii="Times New Roman" w:hAnsi="Times New Roman" w:cs="Times New Roman"/>
          <w:sz w:val="26"/>
          <w:szCs w:val="26"/>
        </w:rPr>
      </w:pPr>
    </w:p>
    <w:p w:rsidR="000B1148" w:rsidRPr="00521173" w:rsidP="00521173" w14:paraId="42287579" w14:textId="7FF58997">
      <w:pPr>
        <w:spacing w:line="480" w:lineRule="atLeast"/>
        <w:rPr>
          <w:rFonts w:ascii="Times New Roman" w:hAnsi="Times New Roman" w:cs="Times New Roman"/>
          <w:sz w:val="26"/>
          <w:szCs w:val="26"/>
        </w:rPr>
      </w:pPr>
      <w:r w:rsidRPr="00521173">
        <w:rPr>
          <w:rFonts w:ascii="Times New Roman" w:hAnsi="Times New Roman" w:cs="Times New Roman"/>
          <w:sz w:val="26"/>
          <w:szCs w:val="26"/>
        </w:rPr>
        <w:t>IV</w:t>
      </w:r>
      <w:r w:rsidR="00521173">
        <w:rPr>
          <w:rFonts w:ascii="Times New Roman" w:hAnsi="Times New Roman" w:cs="Times New Roman"/>
          <w:sz w:val="26"/>
          <w:szCs w:val="26"/>
        </w:rPr>
        <w:t>.</w:t>
      </w:r>
      <w:r w:rsidRPr="00521173">
        <w:rPr>
          <w:rFonts w:ascii="Times New Roman" w:hAnsi="Times New Roman" w:cs="Times New Roman"/>
          <w:sz w:val="26"/>
          <w:szCs w:val="26"/>
        </w:rPr>
        <w:t xml:space="preserve">  </w:t>
      </w:r>
      <w:r w:rsidRPr="00521173">
        <w:rPr>
          <w:rFonts w:ascii="Times New Roman" w:hAnsi="Times New Roman" w:cs="Times New Roman"/>
          <w:i/>
          <w:iCs/>
          <w:sz w:val="26"/>
          <w:szCs w:val="26"/>
        </w:rPr>
        <w:t>The Trial Court’s Decision</w:t>
      </w:r>
    </w:p>
    <w:p w:rsidR="000B1148" w:rsidP="00521173" w14:paraId="252F6CB1" w14:textId="0A146DC4">
      <w:pPr>
        <w:spacing w:line="480" w:lineRule="atLeast"/>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521173">
        <w:rPr>
          <w:rFonts w:ascii="Times New Roman" w:hAnsi="Times New Roman" w:cs="Times New Roman"/>
          <w:sz w:val="26"/>
          <w:szCs w:val="26"/>
        </w:rPr>
        <w:t>The parties stipulated</w:t>
      </w:r>
      <w:r w:rsidRPr="007E2A2B">
        <w:rPr>
          <w:rFonts w:ascii="Times New Roman" w:hAnsi="Times New Roman" w:cs="Times New Roman"/>
          <w:sz w:val="26"/>
          <w:szCs w:val="26"/>
        </w:rPr>
        <w:t xml:space="preserve"> to receive both appraisal reports into evidence.  The remaining contested issues were tried on November 23 and 29, 2001.  Diana’s </w:t>
      </w:r>
      <w:r w:rsidR="00BF2853">
        <w:rPr>
          <w:rFonts w:ascii="Times New Roman" w:hAnsi="Times New Roman" w:cs="Times New Roman"/>
          <w:sz w:val="26"/>
          <w:szCs w:val="26"/>
        </w:rPr>
        <w:t xml:space="preserve">counsel </w:t>
      </w:r>
      <w:r w:rsidR="00320C65">
        <w:rPr>
          <w:rFonts w:ascii="Times New Roman" w:hAnsi="Times New Roman" w:cs="Times New Roman"/>
          <w:sz w:val="26"/>
          <w:szCs w:val="26"/>
        </w:rPr>
        <w:t>did not</w:t>
      </w:r>
      <w:r w:rsidRPr="007E2A2B">
        <w:rPr>
          <w:rFonts w:ascii="Times New Roman" w:hAnsi="Times New Roman" w:cs="Times New Roman"/>
          <w:sz w:val="26"/>
          <w:szCs w:val="26"/>
        </w:rPr>
        <w:t xml:space="preserve"> produce or attempt to admit into evidence the public record which she asserted supported a lot size of over 10,000 square </w:t>
      </w:r>
      <w:r w:rsidR="00320C65">
        <w:rPr>
          <w:rFonts w:ascii="Times New Roman" w:hAnsi="Times New Roman" w:cs="Times New Roman"/>
          <w:sz w:val="26"/>
          <w:szCs w:val="26"/>
        </w:rPr>
        <w:t xml:space="preserve">feet </w:t>
      </w:r>
      <w:r w:rsidRPr="007E2A2B">
        <w:rPr>
          <w:rFonts w:ascii="Times New Roman" w:hAnsi="Times New Roman" w:cs="Times New Roman"/>
          <w:sz w:val="26"/>
          <w:szCs w:val="26"/>
        </w:rPr>
        <w:t xml:space="preserve">for the home.  </w:t>
      </w:r>
    </w:p>
    <w:p w:rsidR="000B1148" w:rsidP="00D245BB" w14:paraId="27698297" w14:textId="2E4D9455">
      <w:pPr>
        <w:tabs>
          <w:tab w:val="left" w:pos="1440"/>
          <w:tab w:val="left" w:pos="2880"/>
          <w:tab w:val="left" w:pos="4320"/>
          <w:tab w:val="left" w:pos="5760"/>
          <w:tab w:val="left" w:pos="7200"/>
          <w:tab w:val="left" w:pos="8640"/>
        </w:tabs>
        <w:spacing w:line="480" w:lineRule="atLeast"/>
        <w:ind w:firstLine="1440"/>
        <w:rPr>
          <w:rFonts w:ascii="Times New Roman" w:hAnsi="Times New Roman" w:cs="Times New Roman"/>
          <w:sz w:val="26"/>
          <w:szCs w:val="26"/>
        </w:rPr>
      </w:pPr>
      <w:r w:rsidRPr="007E2A2B">
        <w:rPr>
          <w:rFonts w:ascii="Times New Roman" w:hAnsi="Times New Roman" w:cs="Times New Roman"/>
          <w:sz w:val="26"/>
          <w:szCs w:val="26"/>
        </w:rPr>
        <w:t xml:space="preserve">The trial court issued a decision at the conclusion of the trial on November 29, 2021.  The court found Johnson to be more credible than Burke and accepted Johnson’s valuation of the home.  The court stated it “had quite a few issues with Ms. Burke’s credibility.”  Neither party requested a statement of decision.  </w:t>
      </w:r>
    </w:p>
    <w:p w:rsidR="000B1148" w:rsidP="00D245BB" w14:paraId="15C3AEDA" w14:textId="449CE8E2">
      <w:pPr>
        <w:tabs>
          <w:tab w:val="left" w:pos="1440"/>
          <w:tab w:val="left" w:pos="2880"/>
          <w:tab w:val="left" w:pos="4320"/>
          <w:tab w:val="left" w:pos="5760"/>
          <w:tab w:val="left" w:pos="7200"/>
          <w:tab w:val="left" w:pos="8640"/>
        </w:tabs>
        <w:spacing w:line="480" w:lineRule="atLeast"/>
        <w:ind w:firstLine="1440"/>
        <w:rPr>
          <w:rFonts w:ascii="Times New Roman" w:hAnsi="Times New Roman" w:cs="Times New Roman"/>
          <w:sz w:val="26"/>
          <w:szCs w:val="26"/>
        </w:rPr>
      </w:pPr>
      <w:r w:rsidRPr="007E2A2B">
        <w:rPr>
          <w:rFonts w:ascii="Times New Roman" w:hAnsi="Times New Roman" w:cs="Times New Roman"/>
          <w:sz w:val="26"/>
          <w:szCs w:val="26"/>
        </w:rPr>
        <w:t>The judgment of dissolution, which was entered on August 5, 2022, stated, in relevant part, “</w:t>
      </w:r>
      <w:r w:rsidR="00320C65">
        <w:rPr>
          <w:rFonts w:ascii="Times New Roman" w:hAnsi="Times New Roman" w:cs="Times New Roman"/>
          <w:sz w:val="26"/>
          <w:szCs w:val="26"/>
        </w:rPr>
        <w:t>A</w:t>
      </w:r>
      <w:r w:rsidRPr="007E2A2B">
        <w:rPr>
          <w:rFonts w:ascii="Times New Roman" w:hAnsi="Times New Roman" w:cs="Times New Roman"/>
          <w:sz w:val="26"/>
          <w:szCs w:val="26"/>
        </w:rPr>
        <w:t>fter hearing testimony from both parties’ experts, the Court finds [</w:t>
      </w:r>
      <w:r>
        <w:rPr>
          <w:rFonts w:ascii="Times New Roman" w:hAnsi="Times New Roman" w:cs="Times New Roman"/>
          <w:sz w:val="26"/>
          <w:szCs w:val="26"/>
        </w:rPr>
        <w:t>Andreas’s</w:t>
      </w:r>
      <w:r w:rsidRPr="007E2A2B">
        <w:rPr>
          <w:rFonts w:ascii="Times New Roman" w:hAnsi="Times New Roman" w:cs="Times New Roman"/>
          <w:sz w:val="26"/>
          <w:szCs w:val="26"/>
        </w:rPr>
        <w:t>] expert, Mr. Johnson, to be more credible than [Diana’s] expert, Ms. Burke, and will use Mr. Johnson’s valuation of the proper</w:t>
      </w:r>
      <w:r w:rsidR="00320C65">
        <w:rPr>
          <w:rFonts w:ascii="Times New Roman" w:hAnsi="Times New Roman" w:cs="Times New Roman"/>
          <w:sz w:val="26"/>
          <w:szCs w:val="26"/>
        </w:rPr>
        <w:t>ty</w:t>
      </w:r>
      <w:r w:rsidRPr="007E2A2B">
        <w:rPr>
          <w:rFonts w:ascii="Times New Roman" w:hAnsi="Times New Roman" w:cs="Times New Roman"/>
          <w:sz w:val="26"/>
          <w:szCs w:val="26"/>
        </w:rPr>
        <w:t xml:space="preserve"> ($1,020,000).” </w:t>
      </w:r>
    </w:p>
    <w:p w:rsidR="00521173" w:rsidP="00521173" w14:paraId="42896492" w14:textId="77777777">
      <w:pPr>
        <w:spacing w:line="480" w:lineRule="atLeast"/>
        <w:rPr>
          <w:rFonts w:ascii="Times New Roman" w:hAnsi="Times New Roman" w:cs="Times New Roman"/>
          <w:sz w:val="26"/>
          <w:szCs w:val="26"/>
        </w:rPr>
      </w:pPr>
    </w:p>
    <w:p w:rsidR="000B1148" w:rsidRPr="00521173" w:rsidP="00FD294A" w14:paraId="0F17AC6D" w14:textId="4AC6AA8B">
      <w:pPr>
        <w:keepNext/>
        <w:keepLines/>
        <w:spacing w:line="480" w:lineRule="atLeast"/>
        <w:rPr>
          <w:rFonts w:ascii="Times New Roman" w:hAnsi="Times New Roman" w:cs="Times New Roman"/>
          <w:sz w:val="26"/>
          <w:szCs w:val="26"/>
        </w:rPr>
      </w:pPr>
      <w:r w:rsidRPr="00521173">
        <w:rPr>
          <w:rFonts w:ascii="Times New Roman" w:hAnsi="Times New Roman" w:cs="Times New Roman"/>
          <w:sz w:val="26"/>
          <w:szCs w:val="26"/>
        </w:rPr>
        <w:t xml:space="preserve">V.  </w:t>
      </w:r>
      <w:r w:rsidRPr="00521173">
        <w:rPr>
          <w:rFonts w:ascii="Times New Roman" w:hAnsi="Times New Roman" w:cs="Times New Roman"/>
          <w:i/>
          <w:iCs/>
          <w:sz w:val="26"/>
          <w:szCs w:val="26"/>
        </w:rPr>
        <w:t>Posttrial Survey and Appraisal of the Family Home</w:t>
      </w:r>
    </w:p>
    <w:p w:rsidR="000B1148" w:rsidP="00D245BB" w14:paraId="1A3E932A" w14:textId="5BAED712">
      <w:pPr>
        <w:tabs>
          <w:tab w:val="left" w:pos="1440"/>
          <w:tab w:val="left" w:pos="2880"/>
          <w:tab w:val="left" w:pos="4320"/>
          <w:tab w:val="left" w:pos="5760"/>
          <w:tab w:val="left" w:pos="7200"/>
          <w:tab w:val="left" w:pos="8640"/>
        </w:tabs>
        <w:spacing w:line="480" w:lineRule="atLeast"/>
        <w:ind w:firstLine="1440"/>
        <w:rPr>
          <w:rFonts w:ascii="Times New Roman" w:hAnsi="Times New Roman" w:cs="Times New Roman"/>
          <w:sz w:val="26"/>
          <w:szCs w:val="26"/>
        </w:rPr>
      </w:pPr>
      <w:r w:rsidRPr="007E2A2B">
        <w:rPr>
          <w:rFonts w:ascii="Times New Roman" w:hAnsi="Times New Roman" w:cs="Times New Roman"/>
          <w:sz w:val="26"/>
          <w:szCs w:val="26"/>
        </w:rPr>
        <w:t xml:space="preserve">After the trial court </w:t>
      </w:r>
      <w:r w:rsidR="00323A6A">
        <w:rPr>
          <w:rFonts w:ascii="Times New Roman" w:hAnsi="Times New Roman" w:cs="Times New Roman"/>
          <w:sz w:val="26"/>
          <w:szCs w:val="26"/>
        </w:rPr>
        <w:t>recited</w:t>
      </w:r>
      <w:r w:rsidRPr="007E2A2B">
        <w:rPr>
          <w:rFonts w:ascii="Times New Roman" w:hAnsi="Times New Roman" w:cs="Times New Roman"/>
          <w:sz w:val="26"/>
          <w:szCs w:val="26"/>
        </w:rPr>
        <w:t xml:space="preserve"> its oral statement of decision </w:t>
      </w:r>
      <w:r w:rsidRPr="007E2A2B" w:rsidR="002326F6">
        <w:rPr>
          <w:rFonts w:ascii="Times New Roman" w:hAnsi="Times New Roman" w:cs="Times New Roman"/>
          <w:sz w:val="26"/>
          <w:szCs w:val="26"/>
        </w:rPr>
        <w:t>on</w:t>
      </w:r>
      <w:r w:rsidRPr="007E2A2B">
        <w:rPr>
          <w:rFonts w:ascii="Times New Roman" w:hAnsi="Times New Roman" w:cs="Times New Roman"/>
          <w:sz w:val="26"/>
          <w:szCs w:val="26"/>
        </w:rPr>
        <w:t xml:space="preserve"> November 29, 2021, Diana retained a licensed land surveyor, Bruce Hall, to survey the </w:t>
      </w:r>
      <w:r w:rsidR="00320C65">
        <w:rPr>
          <w:rFonts w:ascii="Times New Roman" w:hAnsi="Times New Roman" w:cs="Times New Roman"/>
          <w:sz w:val="26"/>
          <w:szCs w:val="26"/>
        </w:rPr>
        <w:t>h</w:t>
      </w:r>
      <w:r w:rsidRPr="007E2A2B">
        <w:rPr>
          <w:rFonts w:ascii="Times New Roman" w:hAnsi="Times New Roman" w:cs="Times New Roman"/>
          <w:sz w:val="26"/>
          <w:szCs w:val="26"/>
        </w:rPr>
        <w:t>ome.</w:t>
      </w:r>
      <w:r w:rsidR="002326F6">
        <w:rPr>
          <w:rFonts w:ascii="Times New Roman" w:hAnsi="Times New Roman" w:cs="Times New Roman"/>
          <w:sz w:val="26"/>
          <w:szCs w:val="26"/>
        </w:rPr>
        <w:t xml:space="preserve"> </w:t>
      </w:r>
      <w:r w:rsidRPr="007E2A2B">
        <w:rPr>
          <w:rFonts w:ascii="Times New Roman" w:hAnsi="Times New Roman" w:cs="Times New Roman"/>
          <w:sz w:val="26"/>
          <w:szCs w:val="26"/>
        </w:rPr>
        <w:t xml:space="preserve"> Hall concluded the </w:t>
      </w:r>
      <w:r w:rsidR="00323A6A">
        <w:rPr>
          <w:rFonts w:ascii="Times New Roman" w:hAnsi="Times New Roman" w:cs="Times New Roman"/>
          <w:sz w:val="26"/>
          <w:szCs w:val="26"/>
        </w:rPr>
        <w:t xml:space="preserve">home was on a lot that was </w:t>
      </w:r>
      <w:r w:rsidRPr="007E2A2B">
        <w:rPr>
          <w:rFonts w:ascii="Times New Roman" w:hAnsi="Times New Roman" w:cs="Times New Roman"/>
          <w:sz w:val="26"/>
          <w:szCs w:val="26"/>
        </w:rPr>
        <w:t>10,445.29 square feet</w:t>
      </w:r>
      <w:r w:rsidR="00323A6A">
        <w:rPr>
          <w:rFonts w:ascii="Times New Roman" w:hAnsi="Times New Roman" w:cs="Times New Roman"/>
          <w:sz w:val="26"/>
          <w:szCs w:val="26"/>
        </w:rPr>
        <w:t xml:space="preserve"> in size. To his report, Hall attached copies of the assessor’s parcel map that was </w:t>
      </w:r>
      <w:r w:rsidRPr="007E2A2B">
        <w:rPr>
          <w:rFonts w:ascii="Times New Roman" w:hAnsi="Times New Roman" w:cs="Times New Roman"/>
          <w:sz w:val="26"/>
          <w:szCs w:val="26"/>
        </w:rPr>
        <w:t xml:space="preserve">included in both Burke’s and Johnson’s appraisal report and the original subdivision map for the tract in which the </w:t>
      </w:r>
      <w:r w:rsidR="00320C65">
        <w:rPr>
          <w:rFonts w:ascii="Times New Roman" w:hAnsi="Times New Roman" w:cs="Times New Roman"/>
          <w:sz w:val="26"/>
          <w:szCs w:val="26"/>
        </w:rPr>
        <w:t>h</w:t>
      </w:r>
      <w:r w:rsidRPr="007E2A2B">
        <w:rPr>
          <w:rFonts w:ascii="Times New Roman" w:hAnsi="Times New Roman" w:cs="Times New Roman"/>
          <w:sz w:val="26"/>
          <w:szCs w:val="26"/>
        </w:rPr>
        <w:t>ome was situated.  Diana later obtained a certified copy of the subdivision map that was included in Hall’s survey documents.</w:t>
      </w:r>
      <w:r w:rsidR="002326F6">
        <w:rPr>
          <w:rFonts w:ascii="Times New Roman" w:hAnsi="Times New Roman" w:cs="Times New Roman"/>
          <w:sz w:val="26"/>
          <w:szCs w:val="26"/>
        </w:rPr>
        <w:t xml:space="preserve">  </w:t>
      </w:r>
      <w:r w:rsidR="00BF04CB">
        <w:rPr>
          <w:rFonts w:ascii="Times New Roman" w:hAnsi="Times New Roman" w:cs="Times New Roman"/>
          <w:sz w:val="26"/>
          <w:szCs w:val="26"/>
        </w:rPr>
        <w:t xml:space="preserve">Diana commissioned two appraisals of the home.  </w:t>
      </w:r>
      <w:r w:rsidRPr="007E2A2B">
        <w:rPr>
          <w:rFonts w:ascii="Times New Roman" w:hAnsi="Times New Roman" w:cs="Times New Roman"/>
          <w:sz w:val="26"/>
          <w:szCs w:val="26"/>
        </w:rPr>
        <w:t xml:space="preserve">Both appraisals </w:t>
      </w:r>
      <w:r w:rsidR="00BF04CB">
        <w:rPr>
          <w:rFonts w:ascii="Times New Roman" w:hAnsi="Times New Roman" w:cs="Times New Roman"/>
          <w:sz w:val="26"/>
          <w:szCs w:val="26"/>
        </w:rPr>
        <w:t>were base</w:t>
      </w:r>
      <w:r w:rsidR="00856B7D">
        <w:rPr>
          <w:rFonts w:ascii="Times New Roman" w:hAnsi="Times New Roman" w:cs="Times New Roman"/>
          <w:sz w:val="26"/>
          <w:szCs w:val="26"/>
        </w:rPr>
        <w:t>d</w:t>
      </w:r>
      <w:r w:rsidR="00BF04CB">
        <w:rPr>
          <w:rFonts w:ascii="Times New Roman" w:hAnsi="Times New Roman" w:cs="Times New Roman"/>
          <w:sz w:val="26"/>
          <w:szCs w:val="26"/>
        </w:rPr>
        <w:t xml:space="preserve"> on a </w:t>
      </w:r>
      <w:r w:rsidR="00856B7D">
        <w:rPr>
          <w:rFonts w:ascii="Times New Roman" w:hAnsi="Times New Roman" w:cs="Times New Roman"/>
          <w:sz w:val="26"/>
          <w:szCs w:val="26"/>
        </w:rPr>
        <w:t xml:space="preserve">lot size of </w:t>
      </w:r>
      <w:r w:rsidR="00BF04CB">
        <w:rPr>
          <w:rFonts w:ascii="Times New Roman" w:hAnsi="Times New Roman" w:cs="Times New Roman"/>
          <w:sz w:val="26"/>
          <w:szCs w:val="26"/>
        </w:rPr>
        <w:t>10,445.29 and both appraisals reached values exceeding those of the appraisal reports</w:t>
      </w:r>
      <w:r w:rsidRPr="007E2A2B">
        <w:rPr>
          <w:rFonts w:ascii="Times New Roman" w:hAnsi="Times New Roman" w:cs="Times New Roman"/>
          <w:sz w:val="26"/>
          <w:szCs w:val="26"/>
        </w:rPr>
        <w:t xml:space="preserve"> received into evidence at trial.</w:t>
      </w:r>
    </w:p>
    <w:p w:rsidR="000B1148" w:rsidP="00D245BB" w14:paraId="6DA06342" w14:textId="6153891A">
      <w:pPr>
        <w:tabs>
          <w:tab w:val="left" w:pos="1440"/>
          <w:tab w:val="left" w:pos="2880"/>
          <w:tab w:val="left" w:pos="4320"/>
          <w:tab w:val="left" w:pos="5760"/>
          <w:tab w:val="left" w:pos="7200"/>
          <w:tab w:val="left" w:pos="8640"/>
        </w:tabs>
        <w:spacing w:line="480" w:lineRule="atLeast"/>
        <w:ind w:firstLine="1440"/>
        <w:rPr>
          <w:rFonts w:ascii="Times New Roman" w:hAnsi="Times New Roman" w:cs="Times New Roman"/>
          <w:sz w:val="26"/>
          <w:szCs w:val="26"/>
        </w:rPr>
      </w:pPr>
      <w:r w:rsidRPr="007E2A2B">
        <w:rPr>
          <w:rFonts w:ascii="Times New Roman" w:hAnsi="Times New Roman" w:cs="Times New Roman"/>
          <w:sz w:val="26"/>
          <w:szCs w:val="26"/>
        </w:rPr>
        <w:t>On August 19, 2022, Diana filed a notice of intention to move for a new trial and motion for new trial, along with a memorandum of points and</w:t>
      </w:r>
      <w:r w:rsidR="00DD2485">
        <w:rPr>
          <w:rFonts w:ascii="Times New Roman" w:hAnsi="Times New Roman" w:cs="Times New Roman"/>
          <w:sz w:val="26"/>
          <w:szCs w:val="26"/>
        </w:rPr>
        <w:t xml:space="preserve"> authorities and a </w:t>
      </w:r>
      <w:r w:rsidRPr="007E2A2B">
        <w:rPr>
          <w:rFonts w:ascii="Times New Roman" w:hAnsi="Times New Roman" w:cs="Times New Roman"/>
          <w:sz w:val="26"/>
          <w:szCs w:val="26"/>
        </w:rPr>
        <w:t xml:space="preserve">declaration </w:t>
      </w:r>
      <w:r w:rsidR="00760951">
        <w:rPr>
          <w:rFonts w:ascii="Times New Roman" w:hAnsi="Times New Roman" w:cs="Times New Roman"/>
          <w:sz w:val="26"/>
          <w:szCs w:val="26"/>
        </w:rPr>
        <w:t>from</w:t>
      </w:r>
      <w:r w:rsidR="00DD2485">
        <w:rPr>
          <w:rFonts w:ascii="Times New Roman" w:hAnsi="Times New Roman" w:cs="Times New Roman"/>
          <w:sz w:val="26"/>
          <w:szCs w:val="26"/>
        </w:rPr>
        <w:t xml:space="preserve"> </w:t>
      </w:r>
      <w:r w:rsidRPr="007E2A2B">
        <w:rPr>
          <w:rFonts w:ascii="Times New Roman" w:hAnsi="Times New Roman" w:cs="Times New Roman"/>
          <w:sz w:val="26"/>
          <w:szCs w:val="26"/>
        </w:rPr>
        <w:t>Diana.</w:t>
      </w:r>
      <w:r>
        <w:rPr>
          <w:rStyle w:val="FootnoteReference"/>
          <w:rFonts w:cs="Times New Roman"/>
          <w:sz w:val="26"/>
          <w:szCs w:val="26"/>
        </w:rPr>
        <w:footnoteReference w:id="3"/>
      </w:r>
      <w:r w:rsidRPr="007E2A2B">
        <w:rPr>
          <w:rFonts w:ascii="Times New Roman" w:hAnsi="Times New Roman" w:cs="Times New Roman"/>
          <w:sz w:val="26"/>
          <w:szCs w:val="26"/>
        </w:rPr>
        <w:t xml:space="preserve">  The register of actions does not reflect that a motion for new trial had been filed; the register</w:t>
      </w:r>
      <w:r w:rsidR="00320C65">
        <w:rPr>
          <w:rFonts w:ascii="Times New Roman" w:hAnsi="Times New Roman" w:cs="Times New Roman"/>
          <w:sz w:val="26"/>
          <w:szCs w:val="26"/>
        </w:rPr>
        <w:t xml:space="preserve"> of actions</w:t>
      </w:r>
      <w:r w:rsidRPr="007E2A2B">
        <w:rPr>
          <w:rFonts w:ascii="Times New Roman" w:hAnsi="Times New Roman" w:cs="Times New Roman"/>
          <w:sz w:val="26"/>
          <w:szCs w:val="26"/>
        </w:rPr>
        <w:t xml:space="preserve"> reflects a “NOTICE—Other” was filed by Diana on August 19, 2022.  That notice was pointed out by Andreas in his responding declaration. </w:t>
      </w:r>
    </w:p>
    <w:p w:rsidR="000B1148" w:rsidP="00521173" w14:paraId="3D0CD33D" w14:textId="14F0B8F7">
      <w:pPr>
        <w:spacing w:line="480" w:lineRule="atLeast"/>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7E2A2B">
        <w:rPr>
          <w:rFonts w:ascii="Times New Roman" w:hAnsi="Times New Roman" w:cs="Times New Roman"/>
          <w:sz w:val="26"/>
          <w:szCs w:val="26"/>
        </w:rPr>
        <w:t>Diana filed her notice of appeal on October 3, 2022.  The motion for new trial was never heard</w:t>
      </w:r>
      <w:r>
        <w:rPr>
          <w:rFonts w:ascii="Times New Roman" w:hAnsi="Times New Roman" w:cs="Times New Roman"/>
          <w:sz w:val="26"/>
          <w:szCs w:val="26"/>
        </w:rPr>
        <w:t xml:space="preserve"> and</w:t>
      </w:r>
      <w:r w:rsidRPr="007E2A2B">
        <w:rPr>
          <w:rFonts w:ascii="Times New Roman" w:hAnsi="Times New Roman" w:cs="Times New Roman"/>
          <w:sz w:val="26"/>
          <w:szCs w:val="26"/>
        </w:rPr>
        <w:t xml:space="preserve"> was deemed to have been denied by operation of law on October 1</w:t>
      </w:r>
      <w:r w:rsidR="00320C65">
        <w:rPr>
          <w:rFonts w:ascii="Times New Roman" w:hAnsi="Times New Roman" w:cs="Times New Roman"/>
          <w:sz w:val="26"/>
          <w:szCs w:val="26"/>
        </w:rPr>
        <w:t>8</w:t>
      </w:r>
      <w:r w:rsidRPr="007E2A2B">
        <w:rPr>
          <w:rFonts w:ascii="Times New Roman" w:hAnsi="Times New Roman" w:cs="Times New Roman"/>
          <w:sz w:val="26"/>
          <w:szCs w:val="26"/>
        </w:rPr>
        <w:t>, 2022.  (Code Civ. Proc. §§ 657, 660.)</w:t>
      </w:r>
      <w:r>
        <w:rPr>
          <w:rFonts w:ascii="Times New Roman" w:hAnsi="Times New Roman" w:cs="Times New Roman"/>
          <w:sz w:val="26"/>
          <w:szCs w:val="26"/>
        </w:rPr>
        <w:t xml:space="preserve">  Diana does not </w:t>
      </w:r>
      <w:r w:rsidRPr="00521173">
        <w:rPr>
          <w:rFonts w:ascii="Times New Roman" w:hAnsi="Times New Roman" w:cs="Times New Roman"/>
          <w:sz w:val="26"/>
          <w:szCs w:val="26"/>
        </w:rPr>
        <w:t>challenge the denial of her motion for new trial.</w:t>
      </w:r>
    </w:p>
    <w:p w:rsidR="000B1148" w:rsidRPr="00521173" w:rsidP="00521173" w14:paraId="36576C1E" w14:textId="77777777">
      <w:pPr>
        <w:spacing w:line="480" w:lineRule="atLeast"/>
        <w:jc w:val="center"/>
        <w:rPr>
          <w:rFonts w:ascii="Times New Roman" w:hAnsi="Times New Roman" w:cs="Times New Roman"/>
          <w:sz w:val="26"/>
          <w:szCs w:val="26"/>
        </w:rPr>
      </w:pPr>
      <w:r w:rsidRPr="00521173">
        <w:rPr>
          <w:rFonts w:ascii="Times New Roman" w:hAnsi="Times New Roman" w:cs="Times New Roman"/>
          <w:sz w:val="26"/>
          <w:szCs w:val="26"/>
        </w:rPr>
        <w:t>DISCUSSION</w:t>
      </w:r>
    </w:p>
    <w:p w:rsidR="000B1148" w:rsidP="0065016D" w14:paraId="52DB8E25" w14:textId="47ADD6C3">
      <w:pPr>
        <w:spacing w:line="480" w:lineRule="atLeast"/>
        <w:rPr>
          <w:rFonts w:ascii="Times New Roman" w:hAnsi="Times New Roman" w:cs="Times New Roman"/>
          <w:sz w:val="26"/>
          <w:szCs w:val="26"/>
        </w:rPr>
      </w:pPr>
      <w:bookmarkStart w:id="3" w:name="_Hlk147139354"/>
      <w:r>
        <w:rPr>
          <w:rFonts w:ascii="Times New Roman" w:hAnsi="Times New Roman" w:cs="Times New Roman"/>
          <w:sz w:val="26"/>
          <w:szCs w:val="26"/>
        </w:rPr>
        <w:tab/>
      </w:r>
      <w:r>
        <w:rPr>
          <w:rFonts w:ascii="Times New Roman" w:hAnsi="Times New Roman" w:cs="Times New Roman"/>
          <w:sz w:val="26"/>
          <w:szCs w:val="26"/>
        </w:rPr>
        <w:tab/>
      </w:r>
      <w:r w:rsidRPr="00521173">
        <w:rPr>
          <w:rFonts w:ascii="Times New Roman" w:hAnsi="Times New Roman" w:cs="Times New Roman"/>
          <w:sz w:val="26"/>
          <w:szCs w:val="26"/>
        </w:rPr>
        <w:t xml:space="preserve">Diana contends the trial court erred by precluding her from </w:t>
      </w:r>
      <w:r w:rsidRPr="00521173" w:rsidR="00D50A11">
        <w:rPr>
          <w:rFonts w:ascii="Times New Roman" w:hAnsi="Times New Roman" w:cs="Times New Roman"/>
          <w:sz w:val="26"/>
          <w:szCs w:val="26"/>
        </w:rPr>
        <w:t>eliciting</w:t>
      </w:r>
      <w:r w:rsidR="00D50A11">
        <w:rPr>
          <w:rFonts w:ascii="Times New Roman" w:hAnsi="Times New Roman" w:cs="Times New Roman"/>
          <w:sz w:val="26"/>
          <w:szCs w:val="26"/>
        </w:rPr>
        <w:t xml:space="preserve"> </w:t>
      </w:r>
      <w:r w:rsidRPr="00FD301A">
        <w:rPr>
          <w:rFonts w:ascii="Times New Roman" w:hAnsi="Times New Roman" w:cs="Times New Roman"/>
          <w:sz w:val="26"/>
          <w:szCs w:val="26"/>
        </w:rPr>
        <w:t xml:space="preserve">testimony </w:t>
      </w:r>
      <w:r w:rsidR="00D50A11">
        <w:rPr>
          <w:rFonts w:ascii="Times New Roman" w:hAnsi="Times New Roman" w:cs="Times New Roman"/>
          <w:sz w:val="26"/>
          <w:szCs w:val="26"/>
        </w:rPr>
        <w:t xml:space="preserve">from Burke </w:t>
      </w:r>
      <w:r w:rsidRPr="00FD301A">
        <w:rPr>
          <w:rFonts w:ascii="Times New Roman" w:hAnsi="Times New Roman" w:cs="Times New Roman"/>
          <w:sz w:val="26"/>
          <w:szCs w:val="26"/>
        </w:rPr>
        <w:t xml:space="preserve">to show that the </w:t>
      </w:r>
      <w:r w:rsidR="00320C65">
        <w:rPr>
          <w:rFonts w:ascii="Times New Roman" w:hAnsi="Times New Roman" w:cs="Times New Roman"/>
          <w:sz w:val="26"/>
          <w:szCs w:val="26"/>
        </w:rPr>
        <w:t>h</w:t>
      </w:r>
      <w:r w:rsidRPr="00FD301A">
        <w:rPr>
          <w:rFonts w:ascii="Times New Roman" w:hAnsi="Times New Roman" w:cs="Times New Roman"/>
          <w:sz w:val="26"/>
          <w:szCs w:val="26"/>
        </w:rPr>
        <w:t>ome’s lot size exceeded 9,000 square feet and from cross</w:t>
      </w:r>
      <w:r w:rsidRPr="00FD301A">
        <w:rPr>
          <w:rFonts w:ascii="Times New Roman" w:hAnsi="Times New Roman" w:cs="Times New Roman"/>
          <w:sz w:val="26"/>
          <w:szCs w:val="26"/>
        </w:rPr>
        <w:noBreakHyphen/>
        <w:t>examining Johnson with evidence purporting to show the lot size exceeded 9,000 square feet.  She parses her claim into five arguments</w:t>
      </w:r>
      <w:r>
        <w:rPr>
          <w:rStyle w:val="FootnoteReference"/>
          <w:rFonts w:cs="Times New Roman"/>
          <w:sz w:val="26"/>
          <w:szCs w:val="26"/>
        </w:rPr>
        <w:footnoteReference w:id="4"/>
      </w:r>
      <w:r w:rsidRPr="00FD301A">
        <w:rPr>
          <w:rFonts w:ascii="Times New Roman" w:hAnsi="Times New Roman" w:cs="Times New Roman"/>
          <w:sz w:val="26"/>
          <w:szCs w:val="26"/>
        </w:rPr>
        <w:t xml:space="preserve"> addressing several evidentiary rulings made by the trial court.</w:t>
      </w:r>
      <w:r w:rsidR="00760951">
        <w:rPr>
          <w:rFonts w:ascii="Times New Roman" w:hAnsi="Times New Roman" w:cs="Times New Roman"/>
          <w:sz w:val="26"/>
          <w:szCs w:val="26"/>
        </w:rPr>
        <w:t xml:space="preserve"> </w:t>
      </w:r>
      <w:r w:rsidR="002326F6">
        <w:rPr>
          <w:rFonts w:ascii="Times New Roman" w:hAnsi="Times New Roman" w:cs="Times New Roman"/>
          <w:sz w:val="26"/>
          <w:szCs w:val="26"/>
        </w:rPr>
        <w:t xml:space="preserve"> </w:t>
      </w:r>
      <w:r w:rsidRPr="00760951" w:rsidR="00760951">
        <w:rPr>
          <w:rFonts w:ascii="Times New Roman" w:hAnsi="Times New Roman" w:cs="Times New Roman"/>
          <w:sz w:val="26"/>
          <w:szCs w:val="26"/>
        </w:rPr>
        <w:t>A trial court’s decision to exclude evidence is reviewed for an abuse of discretion.  (</w:t>
      </w:r>
      <w:r w:rsidRPr="00760951" w:rsidR="00760951">
        <w:rPr>
          <w:rFonts w:ascii="Times New Roman" w:hAnsi="Times New Roman" w:cs="Times New Roman"/>
          <w:i/>
          <w:iCs/>
          <w:sz w:val="26"/>
          <w:szCs w:val="26"/>
        </w:rPr>
        <w:t>Litinsky v. Kaplan</w:t>
      </w:r>
      <w:r w:rsidRPr="00760951" w:rsidR="00760951">
        <w:rPr>
          <w:rFonts w:ascii="Times New Roman" w:hAnsi="Times New Roman" w:cs="Times New Roman"/>
          <w:sz w:val="26"/>
          <w:szCs w:val="26"/>
        </w:rPr>
        <w:t xml:space="preserve"> (2019) 40 Cal.App.5th 970, 988.)</w:t>
      </w:r>
      <w:r w:rsidR="00760951">
        <w:t xml:space="preserve">  </w:t>
      </w:r>
      <w:r w:rsidR="002326F6">
        <w:rPr>
          <w:rFonts w:ascii="Times New Roman" w:hAnsi="Times New Roman" w:cs="Times New Roman"/>
          <w:sz w:val="26"/>
          <w:szCs w:val="26"/>
        </w:rPr>
        <w:t>T</w:t>
      </w:r>
      <w:r w:rsidRPr="00FD301A">
        <w:rPr>
          <w:rFonts w:ascii="Times New Roman" w:hAnsi="Times New Roman" w:cs="Times New Roman"/>
          <w:sz w:val="26"/>
          <w:szCs w:val="26"/>
        </w:rPr>
        <w:t xml:space="preserve">he first three arguments overlap and can be resolved through </w:t>
      </w:r>
      <w:r w:rsidR="005B7442">
        <w:rPr>
          <w:rFonts w:ascii="Times New Roman" w:hAnsi="Times New Roman" w:cs="Times New Roman"/>
          <w:sz w:val="26"/>
          <w:szCs w:val="26"/>
        </w:rPr>
        <w:t xml:space="preserve">the </w:t>
      </w:r>
      <w:r w:rsidRPr="00FD301A">
        <w:rPr>
          <w:rFonts w:ascii="Times New Roman" w:hAnsi="Times New Roman" w:cs="Times New Roman"/>
          <w:sz w:val="26"/>
          <w:szCs w:val="26"/>
        </w:rPr>
        <w:t xml:space="preserve">application of </w:t>
      </w:r>
      <w:r w:rsidRPr="00FD301A">
        <w:rPr>
          <w:rFonts w:ascii="Times New Roman" w:hAnsi="Times New Roman" w:cs="Times New Roman"/>
          <w:i/>
          <w:iCs/>
          <w:sz w:val="26"/>
          <w:szCs w:val="26"/>
        </w:rPr>
        <w:t xml:space="preserve">People v. Sanchez </w:t>
      </w:r>
      <w:r w:rsidRPr="00FD301A">
        <w:rPr>
          <w:rFonts w:ascii="Times New Roman" w:hAnsi="Times New Roman" w:cs="Times New Roman"/>
          <w:sz w:val="26"/>
          <w:szCs w:val="26"/>
        </w:rPr>
        <w:t xml:space="preserve">(2016) 63 Cal.4th </w:t>
      </w:r>
      <w:r w:rsidRPr="0065016D">
        <w:rPr>
          <w:rFonts w:ascii="Times New Roman" w:hAnsi="Times New Roman" w:cs="Times New Roman"/>
          <w:sz w:val="26"/>
          <w:szCs w:val="26"/>
        </w:rPr>
        <w:t>665 (</w:t>
      </w:r>
      <w:r w:rsidRPr="0065016D">
        <w:rPr>
          <w:rFonts w:ascii="Times New Roman" w:hAnsi="Times New Roman" w:cs="Times New Roman"/>
          <w:i/>
          <w:iCs/>
          <w:sz w:val="26"/>
          <w:szCs w:val="26"/>
        </w:rPr>
        <w:t>Sanchez</w:t>
      </w:r>
      <w:r w:rsidRPr="0065016D">
        <w:rPr>
          <w:rFonts w:ascii="Times New Roman" w:hAnsi="Times New Roman" w:cs="Times New Roman"/>
          <w:sz w:val="26"/>
          <w:szCs w:val="26"/>
        </w:rPr>
        <w:t>).</w:t>
      </w:r>
    </w:p>
    <w:p w:rsidR="0065016D" w:rsidRPr="0065016D" w:rsidP="0065016D" w14:paraId="24E24F31" w14:textId="77777777">
      <w:pPr>
        <w:spacing w:line="480" w:lineRule="atLeast"/>
        <w:rPr>
          <w:rFonts w:ascii="Times New Roman" w:hAnsi="Times New Roman" w:cs="Times New Roman"/>
          <w:sz w:val="26"/>
          <w:szCs w:val="26"/>
        </w:rPr>
      </w:pPr>
    </w:p>
    <w:p w:rsidR="000B1148" w:rsidRPr="0065016D" w:rsidP="0065016D" w14:paraId="5C603275" w14:textId="228892DD">
      <w:pPr>
        <w:spacing w:line="480" w:lineRule="atLeast"/>
        <w:rPr>
          <w:rFonts w:ascii="Times New Roman" w:hAnsi="Times New Roman" w:cs="Times New Roman"/>
          <w:sz w:val="26"/>
          <w:szCs w:val="26"/>
        </w:rPr>
      </w:pPr>
      <w:r w:rsidRPr="0065016D">
        <w:rPr>
          <w:rFonts w:ascii="Times New Roman" w:hAnsi="Times New Roman" w:cs="Times New Roman"/>
          <w:sz w:val="26"/>
          <w:szCs w:val="26"/>
        </w:rPr>
        <w:t xml:space="preserve">I.  </w:t>
      </w:r>
      <w:r w:rsidRPr="0065016D">
        <w:rPr>
          <w:rFonts w:ascii="Times New Roman" w:hAnsi="Times New Roman" w:cs="Times New Roman"/>
          <w:i/>
          <w:iCs/>
          <w:sz w:val="26"/>
          <w:szCs w:val="26"/>
        </w:rPr>
        <w:t>Sanchez</w:t>
      </w:r>
    </w:p>
    <w:p w:rsidR="009700F3" w:rsidRPr="0065016D" w:rsidP="0065016D" w14:paraId="69719F96" w14:textId="2B6CF2D9">
      <w:pPr>
        <w:spacing w:line="480" w:lineRule="atLeast"/>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65016D">
        <w:rPr>
          <w:rFonts w:ascii="Times New Roman" w:hAnsi="Times New Roman" w:cs="Times New Roman"/>
          <w:sz w:val="26"/>
          <w:szCs w:val="26"/>
        </w:rPr>
        <w:t>Evidence Code section 801 allows an expert to render an opinion “[b]ased on matter (including his special knowledge, skill, experience, training, and education) perceived by or personally known to the witness or made known to him at or before the hearing, whether or not admissible, that is of a type that reasonably may be relied upon by an expert in forming an opinion upon the subject to which his testimony relates, unless an expert is precluded by law from using such matter as a basis for his opinion.”  (</w:t>
      </w:r>
      <w:r w:rsidRPr="00320C65" w:rsidR="00320C65">
        <w:rPr>
          <w:rFonts w:ascii="Times New Roman" w:hAnsi="Times New Roman" w:cs="Times New Roman"/>
          <w:i/>
          <w:iCs/>
          <w:sz w:val="26"/>
          <w:szCs w:val="26"/>
        </w:rPr>
        <w:t>Id</w:t>
      </w:r>
      <w:r w:rsidR="00320C65">
        <w:rPr>
          <w:rFonts w:ascii="Times New Roman" w:hAnsi="Times New Roman" w:cs="Times New Roman"/>
          <w:sz w:val="26"/>
          <w:szCs w:val="26"/>
        </w:rPr>
        <w:t>.</w:t>
      </w:r>
      <w:r w:rsidRPr="0065016D">
        <w:rPr>
          <w:rFonts w:ascii="Times New Roman" w:hAnsi="Times New Roman" w:cs="Times New Roman"/>
          <w:sz w:val="26"/>
          <w:szCs w:val="26"/>
        </w:rPr>
        <w:t>,</w:t>
      </w:r>
      <w:r w:rsidR="00320C65">
        <w:rPr>
          <w:rFonts w:ascii="Times New Roman" w:hAnsi="Times New Roman" w:cs="Times New Roman"/>
          <w:sz w:val="26"/>
          <w:szCs w:val="26"/>
        </w:rPr>
        <w:t> </w:t>
      </w:r>
      <w:r w:rsidRPr="0065016D">
        <w:rPr>
          <w:rFonts w:ascii="Times New Roman" w:hAnsi="Times New Roman" w:cs="Times New Roman"/>
          <w:sz w:val="26"/>
          <w:szCs w:val="26"/>
        </w:rPr>
        <w:t>subd. (b).)  Evidence Code section 802 states that an expert may “state on direct examination the reasons for his opinion and the matter (including, in the case of an expert, his special knowledge, skill, experience, training, and education) upon which it is based, unless he is precluded by law from using such reasons or matter as a basis for his opinion.”</w:t>
      </w:r>
    </w:p>
    <w:p w:rsidR="009700F3" w:rsidP="00D245BB" w14:paraId="4CD90E76" w14:textId="3C517B85">
      <w:pPr>
        <w:tabs>
          <w:tab w:val="left" w:pos="1440"/>
          <w:tab w:val="left" w:pos="2880"/>
          <w:tab w:val="left" w:pos="4320"/>
          <w:tab w:val="left" w:pos="5760"/>
          <w:tab w:val="left" w:pos="7200"/>
          <w:tab w:val="left" w:pos="8640"/>
        </w:tabs>
        <w:spacing w:line="480" w:lineRule="atLeast"/>
        <w:ind w:firstLine="1440"/>
        <w:rPr>
          <w:rFonts w:ascii="Times New Roman" w:hAnsi="Times New Roman" w:cs="Times New Roman"/>
          <w:sz w:val="26"/>
          <w:szCs w:val="26"/>
        </w:rPr>
      </w:pPr>
      <w:r w:rsidRPr="009700F3">
        <w:rPr>
          <w:rFonts w:ascii="Times New Roman" w:hAnsi="Times New Roman" w:cs="Times New Roman"/>
          <w:sz w:val="26"/>
          <w:szCs w:val="26"/>
        </w:rPr>
        <w:t xml:space="preserve">In </w:t>
      </w:r>
      <w:r w:rsidRPr="009700F3">
        <w:rPr>
          <w:rFonts w:ascii="Times New Roman" w:hAnsi="Times New Roman" w:cs="Times New Roman"/>
          <w:i/>
          <w:iCs/>
          <w:sz w:val="26"/>
          <w:szCs w:val="26"/>
        </w:rPr>
        <w:t>Sanchez</w:t>
      </w:r>
      <w:r>
        <w:rPr>
          <w:rFonts w:ascii="Times New Roman" w:hAnsi="Times New Roman" w:cs="Times New Roman"/>
          <w:i/>
          <w:iCs/>
          <w:sz w:val="26"/>
          <w:szCs w:val="26"/>
        </w:rPr>
        <w:t>, supra</w:t>
      </w:r>
      <w:r>
        <w:rPr>
          <w:rFonts w:ascii="Times New Roman" w:hAnsi="Times New Roman" w:cs="Times New Roman"/>
          <w:sz w:val="26"/>
          <w:szCs w:val="26"/>
        </w:rPr>
        <w:t>,</w:t>
      </w:r>
      <w:r w:rsidRPr="009700F3">
        <w:rPr>
          <w:rFonts w:ascii="Times New Roman" w:hAnsi="Times New Roman" w:cs="Times New Roman"/>
          <w:sz w:val="26"/>
          <w:szCs w:val="26"/>
        </w:rPr>
        <w:t xml:space="preserve"> </w:t>
      </w:r>
      <w:bookmarkStart w:id="4" w:name="_Hlk147138853"/>
      <w:r w:rsidRPr="009700F3">
        <w:rPr>
          <w:rFonts w:ascii="Times New Roman" w:hAnsi="Times New Roman" w:cs="Times New Roman"/>
          <w:sz w:val="26"/>
          <w:szCs w:val="26"/>
        </w:rPr>
        <w:t>63 Cal.4th 665</w:t>
      </w:r>
      <w:bookmarkEnd w:id="4"/>
      <w:r w:rsidRPr="009700F3">
        <w:rPr>
          <w:rFonts w:ascii="Times New Roman" w:hAnsi="Times New Roman" w:cs="Times New Roman"/>
          <w:sz w:val="26"/>
          <w:szCs w:val="26"/>
        </w:rPr>
        <w:t xml:space="preserve">, the California Supreme Court explained—and limited—the situations in which an expert witness may relate hearsay evidence.  The court confirmed that an expert may rely on hearsay in forming an opinion but concluded an expert may not relate case-specific facts asserted in hearsay statements “unless they are independently proven by competent evidence or are covered by a hearsay exception.” </w:t>
      </w:r>
      <w:r>
        <w:rPr>
          <w:rFonts w:ascii="Times New Roman" w:hAnsi="Times New Roman" w:cs="Times New Roman"/>
          <w:sz w:val="26"/>
          <w:szCs w:val="26"/>
        </w:rPr>
        <w:t xml:space="preserve"> </w:t>
      </w:r>
      <w:r w:rsidRPr="009700F3">
        <w:rPr>
          <w:rFonts w:ascii="Times New Roman" w:hAnsi="Times New Roman" w:cs="Times New Roman"/>
          <w:sz w:val="26"/>
          <w:szCs w:val="26"/>
        </w:rPr>
        <w:t>(</w:t>
      </w:r>
      <w:r w:rsidRPr="009700F3">
        <w:rPr>
          <w:rFonts w:ascii="Times New Roman" w:hAnsi="Times New Roman" w:cs="Times New Roman"/>
          <w:i/>
          <w:iCs/>
          <w:sz w:val="26"/>
          <w:szCs w:val="26"/>
        </w:rPr>
        <w:t>Id</w:t>
      </w:r>
      <w:r w:rsidRPr="009700F3">
        <w:rPr>
          <w:rFonts w:ascii="Times New Roman" w:hAnsi="Times New Roman" w:cs="Times New Roman"/>
          <w:sz w:val="26"/>
          <w:szCs w:val="26"/>
        </w:rPr>
        <w:t xml:space="preserve">. at p. 686.)  The court explained that the hearsay </w:t>
      </w:r>
      <w:r w:rsidR="00F775F8">
        <w:rPr>
          <w:rFonts w:ascii="Times New Roman" w:hAnsi="Times New Roman" w:cs="Times New Roman"/>
          <w:sz w:val="26"/>
          <w:szCs w:val="26"/>
        </w:rPr>
        <w:t xml:space="preserve">rule </w:t>
      </w:r>
      <w:r w:rsidRPr="009700F3">
        <w:rPr>
          <w:rFonts w:ascii="Times New Roman" w:hAnsi="Times New Roman" w:cs="Times New Roman"/>
          <w:sz w:val="26"/>
          <w:szCs w:val="26"/>
        </w:rPr>
        <w:t xml:space="preserve">traditionally had not barred an expert from testifying about the expert’s general </w:t>
      </w:r>
      <w:r w:rsidR="00320C65">
        <w:rPr>
          <w:rFonts w:ascii="Times New Roman" w:hAnsi="Times New Roman" w:cs="Times New Roman"/>
          <w:sz w:val="26"/>
          <w:szCs w:val="26"/>
        </w:rPr>
        <w:t xml:space="preserve">knowledge </w:t>
      </w:r>
      <w:r w:rsidRPr="009700F3">
        <w:rPr>
          <w:rFonts w:ascii="Times New Roman" w:hAnsi="Times New Roman" w:cs="Times New Roman"/>
          <w:sz w:val="26"/>
          <w:szCs w:val="26"/>
        </w:rPr>
        <w:t>in the expert’s field of expertise.  (</w:t>
      </w:r>
      <w:r w:rsidRPr="009700F3">
        <w:rPr>
          <w:rFonts w:ascii="Times New Roman" w:hAnsi="Times New Roman" w:cs="Times New Roman"/>
          <w:i/>
          <w:iCs/>
          <w:sz w:val="26"/>
          <w:szCs w:val="26"/>
        </w:rPr>
        <w:t>Id</w:t>
      </w:r>
      <w:r w:rsidRPr="009700F3">
        <w:rPr>
          <w:rFonts w:ascii="Times New Roman" w:hAnsi="Times New Roman" w:cs="Times New Roman"/>
          <w:sz w:val="26"/>
          <w:szCs w:val="26"/>
        </w:rPr>
        <w:t>. at p. 676.)  “As such, an expert’s testimony concerning his general knowledge, even if technically hearsay, has not been subject to exclusion on hearsay grounds.”  (</w:t>
      </w:r>
      <w:r w:rsidRPr="009700F3">
        <w:rPr>
          <w:rFonts w:ascii="Times New Roman" w:hAnsi="Times New Roman" w:cs="Times New Roman"/>
          <w:i/>
          <w:iCs/>
          <w:sz w:val="26"/>
          <w:szCs w:val="26"/>
        </w:rPr>
        <w:t>Ibid.</w:t>
      </w:r>
      <w:r w:rsidRPr="009700F3">
        <w:rPr>
          <w:rFonts w:ascii="Times New Roman" w:hAnsi="Times New Roman" w:cs="Times New Roman"/>
          <w:sz w:val="26"/>
          <w:szCs w:val="26"/>
        </w:rPr>
        <w:t xml:space="preserve">)  “By contrast, an expert has traditionally been precluded from relating </w:t>
      </w:r>
      <w:r w:rsidRPr="00320C65">
        <w:rPr>
          <w:rFonts w:ascii="Times New Roman" w:hAnsi="Times New Roman" w:cs="Times New Roman"/>
          <w:i/>
          <w:iCs/>
          <w:sz w:val="26"/>
          <w:szCs w:val="26"/>
        </w:rPr>
        <w:t>case-specific</w:t>
      </w:r>
      <w:r w:rsidRPr="009700F3">
        <w:rPr>
          <w:rFonts w:ascii="Times New Roman" w:hAnsi="Times New Roman" w:cs="Times New Roman"/>
          <w:sz w:val="26"/>
          <w:szCs w:val="26"/>
        </w:rPr>
        <w:t xml:space="preserve"> facts about which the expert has no independent knowledge.  Case-specific facts are those relating to the particular events and participants alleged to have been involved in the case being tried.  Generally, parties try to establish the facts on which their theory of the case depends by calling witnesses with personal knowledge of those case-specific facts.  An expert may then testify about more generalized information to help jurors understand the significance of those case-specific facts.  An expert is also allowed to give an opinion about what those facts may mean.  </w:t>
      </w:r>
      <w:r w:rsidRPr="009700F3">
        <w:rPr>
          <w:rFonts w:ascii="Times New Roman" w:hAnsi="Times New Roman" w:cs="Times New Roman"/>
          <w:i/>
          <w:iCs/>
          <w:sz w:val="26"/>
          <w:szCs w:val="26"/>
        </w:rPr>
        <w:t>The expert is generally not permitted, however, to supply case-specific facts about which he has no personal knowledge</w:t>
      </w:r>
      <w:r w:rsidRPr="009700F3">
        <w:rPr>
          <w:rFonts w:ascii="Times New Roman" w:hAnsi="Times New Roman" w:cs="Times New Roman"/>
          <w:sz w:val="26"/>
          <w:szCs w:val="26"/>
        </w:rPr>
        <w:t>.”  (</w:t>
      </w:r>
      <w:r w:rsidRPr="009700F3">
        <w:rPr>
          <w:rFonts w:ascii="Times New Roman" w:hAnsi="Times New Roman" w:cs="Times New Roman"/>
          <w:i/>
          <w:iCs/>
          <w:sz w:val="26"/>
          <w:szCs w:val="26"/>
        </w:rPr>
        <w:t>Ibid</w:t>
      </w:r>
      <w:r w:rsidRPr="009700F3">
        <w:rPr>
          <w:rFonts w:ascii="Times New Roman" w:hAnsi="Times New Roman" w:cs="Times New Roman"/>
          <w:sz w:val="26"/>
          <w:szCs w:val="26"/>
        </w:rPr>
        <w:t xml:space="preserve">., </w:t>
      </w:r>
      <w:r w:rsidR="00320C65">
        <w:rPr>
          <w:rFonts w:ascii="Times New Roman" w:hAnsi="Times New Roman" w:cs="Times New Roman"/>
          <w:sz w:val="26"/>
          <w:szCs w:val="26"/>
        </w:rPr>
        <w:t xml:space="preserve">second set of </w:t>
      </w:r>
      <w:r w:rsidRPr="009700F3">
        <w:rPr>
          <w:rFonts w:ascii="Times New Roman" w:hAnsi="Times New Roman" w:cs="Times New Roman"/>
          <w:sz w:val="26"/>
          <w:szCs w:val="26"/>
        </w:rPr>
        <w:t>italics added.)</w:t>
      </w:r>
      <w:r>
        <w:rPr>
          <w:rFonts w:ascii="Times New Roman" w:hAnsi="Times New Roman" w:cs="Times New Roman"/>
          <w:sz w:val="26"/>
          <w:szCs w:val="26"/>
        </w:rPr>
        <w:t xml:space="preserve"> </w:t>
      </w:r>
    </w:p>
    <w:p w:rsidR="009700F3" w:rsidP="00D245BB" w14:paraId="7E3E3A50" w14:textId="2408D27D">
      <w:pPr>
        <w:tabs>
          <w:tab w:val="left" w:pos="1440"/>
          <w:tab w:val="left" w:pos="2880"/>
          <w:tab w:val="left" w:pos="4320"/>
          <w:tab w:val="left" w:pos="5760"/>
          <w:tab w:val="left" w:pos="7200"/>
          <w:tab w:val="left" w:pos="8640"/>
        </w:tabs>
        <w:spacing w:line="480" w:lineRule="atLeast"/>
        <w:ind w:firstLine="1440"/>
        <w:rPr>
          <w:rFonts w:ascii="Times New Roman" w:hAnsi="Times New Roman" w:cs="Times New Roman"/>
          <w:sz w:val="26"/>
          <w:szCs w:val="26"/>
        </w:rPr>
      </w:pPr>
      <w:r w:rsidRPr="009700F3">
        <w:rPr>
          <w:rFonts w:ascii="Times New Roman" w:hAnsi="Times New Roman" w:cs="Times New Roman"/>
          <w:sz w:val="26"/>
          <w:szCs w:val="26"/>
        </w:rPr>
        <w:t xml:space="preserve">The </w:t>
      </w:r>
      <w:r w:rsidRPr="009700F3">
        <w:rPr>
          <w:rFonts w:ascii="Times New Roman" w:hAnsi="Times New Roman" w:cs="Times New Roman"/>
          <w:i/>
          <w:iCs/>
          <w:sz w:val="26"/>
          <w:szCs w:val="26"/>
        </w:rPr>
        <w:t xml:space="preserve">Sanchez </w:t>
      </w:r>
      <w:r w:rsidRPr="009700F3">
        <w:rPr>
          <w:rFonts w:ascii="Times New Roman" w:hAnsi="Times New Roman" w:cs="Times New Roman"/>
          <w:sz w:val="26"/>
          <w:szCs w:val="26"/>
        </w:rPr>
        <w:t>court rejected the premise that expert testimony on case</w:t>
      </w:r>
      <w:r w:rsidRPr="009700F3">
        <w:rPr>
          <w:rFonts w:ascii="Times New Roman" w:hAnsi="Times New Roman" w:cs="Times New Roman"/>
          <w:sz w:val="26"/>
          <w:szCs w:val="26"/>
        </w:rPr>
        <w:noBreakHyphen/>
        <w:t>specific information does not relate hearsay.  (</w:t>
      </w:r>
      <w:r w:rsidRPr="009700F3">
        <w:rPr>
          <w:rFonts w:ascii="Times New Roman" w:hAnsi="Times New Roman" w:cs="Times New Roman"/>
          <w:i/>
          <w:iCs/>
          <w:sz w:val="26"/>
          <w:szCs w:val="26"/>
        </w:rPr>
        <w:t>Sanchez, supra</w:t>
      </w:r>
      <w:r w:rsidRPr="009700F3">
        <w:rPr>
          <w:rFonts w:ascii="Times New Roman" w:hAnsi="Times New Roman" w:cs="Times New Roman"/>
          <w:sz w:val="26"/>
          <w:szCs w:val="26"/>
        </w:rPr>
        <w:t>, 63 Cal.</w:t>
      </w:r>
      <w:r w:rsidR="00320C65">
        <w:rPr>
          <w:rFonts w:ascii="Times New Roman" w:hAnsi="Times New Roman" w:cs="Times New Roman"/>
          <w:sz w:val="26"/>
          <w:szCs w:val="26"/>
        </w:rPr>
        <w:t>4</w:t>
      </w:r>
      <w:r w:rsidRPr="009700F3">
        <w:rPr>
          <w:rFonts w:ascii="Times New Roman" w:hAnsi="Times New Roman" w:cs="Times New Roman"/>
          <w:sz w:val="26"/>
          <w:szCs w:val="26"/>
        </w:rPr>
        <w:t>th at p. 683.)  “If an expert testifies to case-specific out-of-court statements to explain the bases for his opinion, those statements are necessarily considered by the jury for their truth, thus rendering them hearsay.  Like any other hearsay evidence, it must be properly admitted through an applicable hearsay exception.  Alternatively, the evidence can be admitted through an appropriate witness and the expert may assume its truth in a properly worded hypothetical question in the traditional manner.”  (</w:t>
      </w:r>
      <w:r w:rsidRPr="009700F3">
        <w:rPr>
          <w:rFonts w:ascii="Times New Roman" w:hAnsi="Times New Roman" w:cs="Times New Roman"/>
          <w:i/>
          <w:iCs/>
          <w:sz w:val="26"/>
          <w:szCs w:val="26"/>
        </w:rPr>
        <w:t>Id</w:t>
      </w:r>
      <w:r w:rsidRPr="009700F3">
        <w:rPr>
          <w:rFonts w:ascii="Times New Roman" w:hAnsi="Times New Roman" w:cs="Times New Roman"/>
          <w:sz w:val="26"/>
          <w:szCs w:val="26"/>
        </w:rPr>
        <w:t>. at p. 684, fn. omitted.)  “What an expert cannot do,” the court concluded, “is relate as true case</w:t>
      </w:r>
      <w:r w:rsidRPr="009700F3">
        <w:rPr>
          <w:rFonts w:ascii="Times New Roman" w:hAnsi="Times New Roman" w:cs="Times New Roman"/>
          <w:sz w:val="26"/>
          <w:szCs w:val="26"/>
        </w:rPr>
        <w:noBreakHyphen/>
        <w:t>specific fact</w:t>
      </w:r>
      <w:r w:rsidR="00320C65">
        <w:rPr>
          <w:rFonts w:ascii="Times New Roman" w:hAnsi="Times New Roman" w:cs="Times New Roman"/>
          <w:sz w:val="26"/>
          <w:szCs w:val="26"/>
        </w:rPr>
        <w:t>s</w:t>
      </w:r>
      <w:r w:rsidRPr="009700F3">
        <w:rPr>
          <w:rFonts w:ascii="Times New Roman" w:hAnsi="Times New Roman" w:cs="Times New Roman"/>
          <w:sz w:val="26"/>
          <w:szCs w:val="26"/>
        </w:rPr>
        <w:t xml:space="preserve"> asserted in hearsay statements, unless they are independently proven by competent evidence or are covered by a hearsay exception.”  (</w:t>
      </w:r>
      <w:r w:rsidRPr="009700F3">
        <w:rPr>
          <w:rFonts w:ascii="Times New Roman" w:hAnsi="Times New Roman" w:cs="Times New Roman"/>
          <w:i/>
          <w:iCs/>
          <w:sz w:val="26"/>
          <w:szCs w:val="26"/>
        </w:rPr>
        <w:t>Id.</w:t>
      </w:r>
      <w:r w:rsidRPr="009700F3">
        <w:rPr>
          <w:rFonts w:ascii="Times New Roman" w:hAnsi="Times New Roman" w:cs="Times New Roman"/>
          <w:sz w:val="26"/>
          <w:szCs w:val="26"/>
        </w:rPr>
        <w:t xml:space="preserve"> at p. 686.)  </w:t>
      </w:r>
    </w:p>
    <w:p w:rsidR="009700F3" w:rsidP="00D245BB" w14:paraId="7A4F0AD5" w14:textId="4024235A">
      <w:pPr>
        <w:tabs>
          <w:tab w:val="left" w:pos="1440"/>
          <w:tab w:val="left" w:pos="2880"/>
          <w:tab w:val="left" w:pos="4320"/>
          <w:tab w:val="left" w:pos="5760"/>
          <w:tab w:val="left" w:pos="7200"/>
          <w:tab w:val="left" w:pos="8640"/>
        </w:tabs>
        <w:spacing w:line="480" w:lineRule="atLeast"/>
        <w:ind w:firstLine="1440"/>
        <w:rPr>
          <w:rFonts w:ascii="Times New Roman" w:hAnsi="Times New Roman" w:cs="Times New Roman"/>
          <w:sz w:val="26"/>
          <w:szCs w:val="26"/>
        </w:rPr>
      </w:pPr>
      <w:r w:rsidRPr="009700F3">
        <w:rPr>
          <w:rFonts w:ascii="Times New Roman" w:hAnsi="Times New Roman" w:cs="Times New Roman"/>
          <w:sz w:val="26"/>
          <w:szCs w:val="26"/>
        </w:rPr>
        <w:t>The court adopted this rule:  “When any expert relates to the jury case</w:t>
      </w:r>
      <w:r w:rsidRPr="009700F3">
        <w:rPr>
          <w:rFonts w:ascii="Times New Roman" w:hAnsi="Times New Roman" w:cs="Times New Roman"/>
          <w:sz w:val="26"/>
          <w:szCs w:val="26"/>
        </w:rPr>
        <w:noBreakHyphen/>
        <w:t>specific out</w:t>
      </w:r>
      <w:r w:rsidRPr="009700F3">
        <w:rPr>
          <w:rFonts w:ascii="Times New Roman" w:hAnsi="Times New Roman" w:cs="Times New Roman"/>
          <w:sz w:val="26"/>
          <w:szCs w:val="26"/>
        </w:rPr>
        <w:noBreakHyphen/>
        <w:t>of</w:t>
      </w:r>
      <w:r w:rsidRPr="009700F3">
        <w:rPr>
          <w:rFonts w:ascii="Times New Roman" w:hAnsi="Times New Roman" w:cs="Times New Roman"/>
          <w:sz w:val="26"/>
          <w:szCs w:val="26"/>
        </w:rPr>
        <w:noBreakHyphen/>
        <w:t>court statements, and treats the content of those statements as true and accurate to support the expert’s opinion, the statements are hearsay.  It cannot logically be maintained that the statements are not being admitted for their truth.  If the case is one in which a prosecution expert seeks to relate testimonial hearsay, there is a confrontation clause violation unless (1) there is a showing of unavailability and (2) the defendant had a prior opportunity for cross-examination, or forfeited that right by wrongdoing.”  (</w:t>
      </w:r>
      <w:r w:rsidRPr="009700F3">
        <w:rPr>
          <w:rFonts w:ascii="Times New Roman" w:hAnsi="Times New Roman" w:cs="Times New Roman"/>
          <w:i/>
          <w:iCs/>
          <w:sz w:val="26"/>
          <w:szCs w:val="26"/>
        </w:rPr>
        <w:t>Sanchez, supra</w:t>
      </w:r>
      <w:r w:rsidRPr="009700F3">
        <w:rPr>
          <w:rFonts w:ascii="Times New Roman" w:hAnsi="Times New Roman" w:cs="Times New Roman"/>
          <w:sz w:val="26"/>
          <w:szCs w:val="26"/>
        </w:rPr>
        <w:t>, 63 Cal.</w:t>
      </w:r>
      <w:r w:rsidR="00320C65">
        <w:rPr>
          <w:rFonts w:ascii="Times New Roman" w:hAnsi="Times New Roman" w:cs="Times New Roman"/>
          <w:sz w:val="26"/>
          <w:szCs w:val="26"/>
        </w:rPr>
        <w:t>4</w:t>
      </w:r>
      <w:r w:rsidRPr="009700F3">
        <w:rPr>
          <w:rFonts w:ascii="Times New Roman" w:hAnsi="Times New Roman" w:cs="Times New Roman"/>
          <w:sz w:val="26"/>
          <w:szCs w:val="26"/>
        </w:rPr>
        <w:t>th at p. 68</w:t>
      </w:r>
      <w:r w:rsidR="00320C65">
        <w:rPr>
          <w:rFonts w:ascii="Times New Roman" w:hAnsi="Times New Roman" w:cs="Times New Roman"/>
          <w:sz w:val="26"/>
          <w:szCs w:val="26"/>
        </w:rPr>
        <w:t>6, fn. omitted</w:t>
      </w:r>
      <w:r w:rsidRPr="009700F3">
        <w:rPr>
          <w:rFonts w:ascii="Times New Roman" w:hAnsi="Times New Roman" w:cs="Times New Roman"/>
          <w:sz w:val="26"/>
          <w:szCs w:val="26"/>
        </w:rPr>
        <w:t xml:space="preserve">.)  </w:t>
      </w:r>
    </w:p>
    <w:p w:rsidR="009700F3" w:rsidP="00D245BB" w14:paraId="2D461C4D" w14:textId="6741FB11">
      <w:pPr>
        <w:tabs>
          <w:tab w:val="left" w:pos="1440"/>
          <w:tab w:val="left" w:pos="2880"/>
          <w:tab w:val="left" w:pos="4320"/>
          <w:tab w:val="left" w:pos="5760"/>
          <w:tab w:val="left" w:pos="7200"/>
          <w:tab w:val="left" w:pos="8640"/>
        </w:tabs>
        <w:spacing w:line="480" w:lineRule="atLeast"/>
        <w:ind w:firstLine="1440"/>
        <w:rPr>
          <w:rFonts w:ascii="Times New Roman" w:hAnsi="Times New Roman" w:cs="Times New Roman"/>
          <w:sz w:val="26"/>
          <w:szCs w:val="26"/>
        </w:rPr>
      </w:pPr>
      <w:r w:rsidRPr="009700F3">
        <w:rPr>
          <w:rFonts w:ascii="Times New Roman" w:hAnsi="Times New Roman" w:cs="Times New Roman"/>
          <w:sz w:val="26"/>
          <w:szCs w:val="26"/>
        </w:rPr>
        <w:t xml:space="preserve">Although </w:t>
      </w:r>
      <w:r w:rsidRPr="009700F3">
        <w:rPr>
          <w:rFonts w:ascii="Times New Roman" w:hAnsi="Times New Roman" w:cs="Times New Roman"/>
          <w:i/>
          <w:iCs/>
          <w:sz w:val="26"/>
          <w:szCs w:val="26"/>
        </w:rPr>
        <w:t>Sanchez</w:t>
      </w:r>
      <w:r w:rsidRPr="009700F3">
        <w:rPr>
          <w:rFonts w:ascii="Times New Roman" w:hAnsi="Times New Roman" w:cs="Times New Roman"/>
          <w:sz w:val="26"/>
          <w:szCs w:val="26"/>
        </w:rPr>
        <w:t xml:space="preserve"> was a criminal case, its intention was to </w:t>
      </w:r>
      <w:r w:rsidR="00320C65">
        <w:rPr>
          <w:rFonts w:ascii="Times New Roman" w:hAnsi="Times New Roman" w:cs="Times New Roman"/>
          <w:sz w:val="26"/>
          <w:szCs w:val="26"/>
        </w:rPr>
        <w:t>“</w:t>
      </w:r>
      <w:r w:rsidRPr="009700F3">
        <w:rPr>
          <w:rFonts w:ascii="Times New Roman" w:hAnsi="Times New Roman" w:cs="Times New Roman"/>
          <w:sz w:val="26"/>
          <w:szCs w:val="26"/>
        </w:rPr>
        <w:t>clarify the proper application of Evidence Code sections 801 and 802, relating to the scope of expert testimony.</w:t>
      </w:r>
      <w:r w:rsidR="00320C65">
        <w:rPr>
          <w:rFonts w:ascii="Times New Roman" w:hAnsi="Times New Roman" w:cs="Times New Roman"/>
          <w:sz w:val="26"/>
          <w:szCs w:val="26"/>
        </w:rPr>
        <w:t>”</w:t>
      </w:r>
      <w:r w:rsidRPr="009700F3">
        <w:rPr>
          <w:rFonts w:ascii="Times New Roman" w:hAnsi="Times New Roman" w:cs="Times New Roman"/>
          <w:sz w:val="26"/>
          <w:szCs w:val="26"/>
        </w:rPr>
        <w:t xml:space="preserve">  (</w:t>
      </w:r>
      <w:r w:rsidRPr="009700F3">
        <w:rPr>
          <w:rFonts w:ascii="Times New Roman" w:hAnsi="Times New Roman" w:cs="Times New Roman"/>
          <w:i/>
          <w:iCs/>
          <w:sz w:val="26"/>
          <w:szCs w:val="26"/>
        </w:rPr>
        <w:t>Sanchez, supra</w:t>
      </w:r>
      <w:r w:rsidRPr="009700F3">
        <w:rPr>
          <w:rFonts w:ascii="Times New Roman" w:hAnsi="Times New Roman" w:cs="Times New Roman"/>
          <w:sz w:val="26"/>
          <w:szCs w:val="26"/>
        </w:rPr>
        <w:t>, 63 Ca</w:t>
      </w:r>
      <w:r w:rsidR="00A667C3">
        <w:rPr>
          <w:rFonts w:ascii="Times New Roman" w:hAnsi="Times New Roman" w:cs="Times New Roman"/>
          <w:sz w:val="26"/>
          <w:szCs w:val="26"/>
        </w:rPr>
        <w:t>l</w:t>
      </w:r>
      <w:r w:rsidRPr="009700F3">
        <w:rPr>
          <w:rFonts w:ascii="Times New Roman" w:hAnsi="Times New Roman" w:cs="Times New Roman"/>
          <w:sz w:val="26"/>
          <w:szCs w:val="26"/>
        </w:rPr>
        <w:t xml:space="preserve">.4th at p. 670.)  Thus, the </w:t>
      </w:r>
      <w:r w:rsidRPr="009700F3">
        <w:rPr>
          <w:rFonts w:ascii="Times New Roman" w:hAnsi="Times New Roman" w:cs="Times New Roman"/>
          <w:i/>
          <w:iCs/>
          <w:sz w:val="26"/>
          <w:szCs w:val="26"/>
        </w:rPr>
        <w:t>Sanchez</w:t>
      </w:r>
      <w:r w:rsidRPr="009700F3">
        <w:rPr>
          <w:rFonts w:ascii="Times New Roman" w:hAnsi="Times New Roman" w:cs="Times New Roman"/>
          <w:sz w:val="26"/>
          <w:szCs w:val="26"/>
        </w:rPr>
        <w:t xml:space="preserve"> rule concerning state evidentiary rules for expert testimony appl</w:t>
      </w:r>
      <w:r w:rsidR="00F775F8">
        <w:rPr>
          <w:rFonts w:ascii="Times New Roman" w:hAnsi="Times New Roman" w:cs="Times New Roman"/>
          <w:sz w:val="26"/>
          <w:szCs w:val="26"/>
        </w:rPr>
        <w:t>ies</w:t>
      </w:r>
      <w:r w:rsidRPr="009700F3">
        <w:rPr>
          <w:rFonts w:ascii="Times New Roman" w:hAnsi="Times New Roman" w:cs="Times New Roman"/>
          <w:sz w:val="26"/>
          <w:szCs w:val="26"/>
        </w:rPr>
        <w:t xml:space="preserve"> in civil cases.  (</w:t>
      </w:r>
      <w:r w:rsidRPr="009700F3">
        <w:rPr>
          <w:rFonts w:ascii="Times New Roman" w:hAnsi="Times New Roman" w:cs="Times New Roman"/>
          <w:i/>
          <w:iCs/>
          <w:sz w:val="26"/>
          <w:szCs w:val="26"/>
        </w:rPr>
        <w:t xml:space="preserve">People ex rel. Reisig v. Acuna </w:t>
      </w:r>
      <w:r w:rsidRPr="009700F3">
        <w:rPr>
          <w:rFonts w:ascii="Times New Roman" w:hAnsi="Times New Roman" w:cs="Times New Roman"/>
          <w:sz w:val="26"/>
          <w:szCs w:val="26"/>
        </w:rPr>
        <w:t>(2017) 9 Cal.App.5th 1, 10.)</w:t>
      </w:r>
      <w:r>
        <w:rPr>
          <w:rStyle w:val="FootnoteReference"/>
          <w:rFonts w:cs="Times New Roman"/>
          <w:sz w:val="26"/>
          <w:szCs w:val="26"/>
        </w:rPr>
        <w:footnoteReference w:id="5"/>
      </w:r>
    </w:p>
    <w:p w:rsidR="00FD294A" w:rsidRPr="009700F3" w:rsidP="00D245BB" w14:paraId="202ACD17" w14:textId="77777777">
      <w:pPr>
        <w:tabs>
          <w:tab w:val="left" w:pos="1440"/>
          <w:tab w:val="left" w:pos="2880"/>
          <w:tab w:val="left" w:pos="4320"/>
          <w:tab w:val="left" w:pos="5760"/>
          <w:tab w:val="left" w:pos="7200"/>
          <w:tab w:val="left" w:pos="8640"/>
        </w:tabs>
        <w:spacing w:line="480" w:lineRule="atLeast"/>
        <w:ind w:firstLine="1440"/>
        <w:rPr>
          <w:rFonts w:ascii="Times New Roman" w:hAnsi="Times New Roman" w:cs="Times New Roman"/>
          <w:sz w:val="26"/>
          <w:szCs w:val="26"/>
        </w:rPr>
      </w:pPr>
    </w:p>
    <w:p w:rsidR="009700F3" w:rsidRPr="00E96425" w:rsidP="00D245BB" w14:paraId="4DD088AE" w14:textId="647EA55E">
      <w:pPr>
        <w:keepNext/>
        <w:tabs>
          <w:tab w:val="left" w:pos="1440"/>
          <w:tab w:val="left" w:pos="2880"/>
          <w:tab w:val="left" w:pos="4320"/>
          <w:tab w:val="left" w:pos="5760"/>
          <w:tab w:val="left" w:pos="7200"/>
          <w:tab w:val="left" w:pos="8640"/>
        </w:tabs>
        <w:ind w:left="450" w:hanging="450"/>
        <w:rPr>
          <w:rFonts w:ascii="Times New Roman" w:hAnsi="Times New Roman" w:cs="Times New Roman"/>
          <w:i/>
          <w:iCs/>
          <w:sz w:val="26"/>
          <w:szCs w:val="26"/>
        </w:rPr>
      </w:pPr>
      <w:r>
        <w:rPr>
          <w:rFonts w:ascii="Times New Roman" w:hAnsi="Times New Roman" w:cs="Times New Roman"/>
          <w:sz w:val="26"/>
          <w:szCs w:val="26"/>
        </w:rPr>
        <w:t xml:space="preserve">II.  </w:t>
      </w:r>
      <w:r w:rsidR="00E96425">
        <w:rPr>
          <w:rFonts w:ascii="Times New Roman" w:hAnsi="Times New Roman" w:cs="Times New Roman"/>
          <w:i/>
          <w:iCs/>
          <w:sz w:val="26"/>
          <w:szCs w:val="26"/>
        </w:rPr>
        <w:t xml:space="preserve">The Trial Court Correctly Applied </w:t>
      </w:r>
      <w:r w:rsidR="00E96425">
        <w:rPr>
          <w:rFonts w:ascii="Times New Roman" w:hAnsi="Times New Roman" w:cs="Times New Roman"/>
          <w:sz w:val="26"/>
          <w:szCs w:val="26"/>
        </w:rPr>
        <w:t xml:space="preserve">Sanchez </w:t>
      </w:r>
      <w:r w:rsidR="00E96425">
        <w:rPr>
          <w:rFonts w:ascii="Times New Roman" w:hAnsi="Times New Roman" w:cs="Times New Roman"/>
          <w:i/>
          <w:iCs/>
          <w:sz w:val="26"/>
          <w:szCs w:val="26"/>
        </w:rPr>
        <w:t>in Sustaining Objections</w:t>
      </w:r>
      <w:r w:rsidR="000D43F4">
        <w:rPr>
          <w:rFonts w:ascii="Times New Roman" w:hAnsi="Times New Roman" w:cs="Times New Roman"/>
          <w:i/>
          <w:iCs/>
          <w:sz w:val="26"/>
          <w:szCs w:val="26"/>
        </w:rPr>
        <w:t xml:space="preserve"> to Questions Seeking </w:t>
      </w:r>
      <w:r w:rsidR="002326F6">
        <w:rPr>
          <w:rFonts w:ascii="Times New Roman" w:hAnsi="Times New Roman" w:cs="Times New Roman"/>
          <w:i/>
          <w:iCs/>
          <w:sz w:val="26"/>
          <w:szCs w:val="26"/>
        </w:rPr>
        <w:t>t</w:t>
      </w:r>
      <w:r w:rsidR="000D43F4">
        <w:rPr>
          <w:rFonts w:ascii="Times New Roman" w:hAnsi="Times New Roman" w:cs="Times New Roman"/>
          <w:i/>
          <w:iCs/>
          <w:sz w:val="26"/>
          <w:szCs w:val="26"/>
        </w:rPr>
        <w:t>o Elic</w:t>
      </w:r>
      <w:r w:rsidR="00D245BB">
        <w:rPr>
          <w:rFonts w:ascii="Times New Roman" w:hAnsi="Times New Roman" w:cs="Times New Roman"/>
          <w:i/>
          <w:iCs/>
          <w:sz w:val="26"/>
          <w:szCs w:val="26"/>
        </w:rPr>
        <w:t>i</w:t>
      </w:r>
      <w:r w:rsidR="000D43F4">
        <w:rPr>
          <w:rFonts w:ascii="Times New Roman" w:hAnsi="Times New Roman" w:cs="Times New Roman"/>
          <w:i/>
          <w:iCs/>
          <w:sz w:val="26"/>
          <w:szCs w:val="26"/>
        </w:rPr>
        <w:t>t Testimony About the Lot Size</w:t>
      </w:r>
    </w:p>
    <w:p w:rsidR="001C56C1" w:rsidP="00D245BB" w14:paraId="19BF0087" w14:textId="03F90143">
      <w:pPr>
        <w:tabs>
          <w:tab w:val="left" w:pos="1440"/>
          <w:tab w:val="left" w:pos="2880"/>
          <w:tab w:val="left" w:pos="4320"/>
          <w:tab w:val="left" w:pos="5760"/>
          <w:tab w:val="left" w:pos="7200"/>
          <w:tab w:val="left" w:pos="8640"/>
        </w:tabs>
        <w:spacing w:line="480" w:lineRule="atLeast"/>
        <w:ind w:firstLine="1440"/>
        <w:rPr>
          <w:rFonts w:ascii="Times New Roman" w:hAnsi="Times New Roman" w:cs="Times New Roman"/>
          <w:sz w:val="26"/>
          <w:szCs w:val="26"/>
        </w:rPr>
      </w:pPr>
      <w:r w:rsidRPr="001C56C1">
        <w:rPr>
          <w:rFonts w:ascii="Times New Roman" w:hAnsi="Times New Roman" w:cs="Times New Roman"/>
          <w:sz w:val="26"/>
          <w:szCs w:val="26"/>
        </w:rPr>
        <w:t xml:space="preserve">The square footage of the lot on which the </w:t>
      </w:r>
      <w:r w:rsidR="00A667C3">
        <w:rPr>
          <w:rFonts w:ascii="Times New Roman" w:hAnsi="Times New Roman" w:cs="Times New Roman"/>
          <w:sz w:val="26"/>
          <w:szCs w:val="26"/>
        </w:rPr>
        <w:t>h</w:t>
      </w:r>
      <w:r w:rsidRPr="001C56C1">
        <w:rPr>
          <w:rFonts w:ascii="Times New Roman" w:hAnsi="Times New Roman" w:cs="Times New Roman"/>
          <w:sz w:val="26"/>
          <w:szCs w:val="26"/>
        </w:rPr>
        <w:t>ome is situated was without doubt a case</w:t>
      </w:r>
      <w:r w:rsidRPr="001C56C1">
        <w:rPr>
          <w:rFonts w:ascii="Times New Roman" w:hAnsi="Times New Roman" w:cs="Times New Roman"/>
          <w:sz w:val="26"/>
          <w:szCs w:val="26"/>
        </w:rPr>
        <w:noBreakHyphen/>
        <w:t xml:space="preserve">specific fact.  </w:t>
      </w:r>
      <w:r w:rsidR="00D50A11">
        <w:rPr>
          <w:rFonts w:ascii="Times New Roman" w:hAnsi="Times New Roman" w:cs="Times New Roman"/>
          <w:sz w:val="26"/>
          <w:szCs w:val="26"/>
        </w:rPr>
        <w:t xml:space="preserve">Thus, </w:t>
      </w:r>
      <w:r w:rsidRPr="001C56C1">
        <w:rPr>
          <w:rFonts w:ascii="Times New Roman" w:hAnsi="Times New Roman" w:cs="Times New Roman"/>
          <w:sz w:val="26"/>
          <w:szCs w:val="26"/>
        </w:rPr>
        <w:t>during redirect examination</w:t>
      </w:r>
      <w:r w:rsidR="00A667C3">
        <w:rPr>
          <w:rFonts w:ascii="Times New Roman" w:hAnsi="Times New Roman" w:cs="Times New Roman"/>
          <w:sz w:val="26"/>
          <w:szCs w:val="26"/>
        </w:rPr>
        <w:t xml:space="preserve"> when</w:t>
      </w:r>
      <w:r w:rsidRPr="001C56C1">
        <w:rPr>
          <w:rFonts w:ascii="Times New Roman" w:hAnsi="Times New Roman" w:cs="Times New Roman"/>
          <w:sz w:val="26"/>
          <w:szCs w:val="26"/>
        </w:rPr>
        <w:t xml:space="preserve"> Diana’s counsel asked Burke if the lot size was larger than 9,000 </w:t>
      </w:r>
      <w:r w:rsidR="00A667C3">
        <w:rPr>
          <w:rFonts w:ascii="Times New Roman" w:hAnsi="Times New Roman" w:cs="Times New Roman"/>
          <w:sz w:val="26"/>
          <w:szCs w:val="26"/>
        </w:rPr>
        <w:t xml:space="preserve">square </w:t>
      </w:r>
      <w:r w:rsidRPr="001C56C1">
        <w:rPr>
          <w:rFonts w:ascii="Times New Roman" w:hAnsi="Times New Roman" w:cs="Times New Roman"/>
          <w:sz w:val="26"/>
          <w:szCs w:val="26"/>
        </w:rPr>
        <w:t>feet, counsel was eliciting case</w:t>
      </w:r>
      <w:r w:rsidRPr="001C56C1">
        <w:rPr>
          <w:rFonts w:ascii="Times New Roman" w:hAnsi="Times New Roman" w:cs="Times New Roman"/>
          <w:sz w:val="26"/>
          <w:szCs w:val="26"/>
        </w:rPr>
        <w:noBreakHyphen/>
        <w:t>specific facts.  The trial court pointed out that Burke’s testimony would relate</w:t>
      </w:r>
      <w:r w:rsidR="00A667C3">
        <w:rPr>
          <w:rFonts w:ascii="Times New Roman" w:hAnsi="Times New Roman" w:cs="Times New Roman"/>
          <w:sz w:val="26"/>
          <w:szCs w:val="26"/>
        </w:rPr>
        <w:t xml:space="preserve"> to</w:t>
      </w:r>
      <w:r w:rsidRPr="001C56C1">
        <w:rPr>
          <w:rFonts w:ascii="Times New Roman" w:hAnsi="Times New Roman" w:cs="Times New Roman"/>
          <w:sz w:val="26"/>
          <w:szCs w:val="26"/>
        </w:rPr>
        <w:t xml:space="preserve"> hearsay statements.  Counsel did not disagree, but claimed the information was in public records.  Under </w:t>
      </w:r>
      <w:r w:rsidRPr="001C56C1">
        <w:rPr>
          <w:rFonts w:ascii="Times New Roman" w:hAnsi="Times New Roman" w:cs="Times New Roman"/>
          <w:i/>
          <w:iCs/>
          <w:sz w:val="26"/>
          <w:szCs w:val="26"/>
        </w:rPr>
        <w:t>Sanchez</w:t>
      </w:r>
      <w:r w:rsidRPr="001C56C1">
        <w:rPr>
          <w:rFonts w:ascii="Times New Roman" w:hAnsi="Times New Roman" w:cs="Times New Roman"/>
          <w:sz w:val="26"/>
          <w:szCs w:val="26"/>
        </w:rPr>
        <w:t xml:space="preserve">, Burke could not be permitted to testify that the lot size was larger than 9,000 square feet unless counsel produced and was able to admit into evidence the public record </w:t>
      </w:r>
      <w:r w:rsidR="00D50A11">
        <w:rPr>
          <w:rFonts w:ascii="Times New Roman" w:hAnsi="Times New Roman" w:cs="Times New Roman"/>
          <w:sz w:val="26"/>
          <w:szCs w:val="26"/>
        </w:rPr>
        <w:t xml:space="preserve">or other evidence that </w:t>
      </w:r>
      <w:r w:rsidRPr="001C56C1">
        <w:rPr>
          <w:rFonts w:ascii="Times New Roman" w:hAnsi="Times New Roman" w:cs="Times New Roman"/>
          <w:sz w:val="26"/>
          <w:szCs w:val="26"/>
        </w:rPr>
        <w:t>would have independently proven that fact.</w:t>
      </w:r>
      <w:r>
        <w:rPr>
          <w:rFonts w:ascii="Times New Roman" w:hAnsi="Times New Roman" w:cs="Times New Roman"/>
          <w:sz w:val="26"/>
          <w:szCs w:val="26"/>
        </w:rPr>
        <w:t xml:space="preserve"> </w:t>
      </w:r>
    </w:p>
    <w:p w:rsidR="001C56C1" w:rsidP="00D245BB" w14:paraId="25DF4FEA" w14:textId="77777777">
      <w:pPr>
        <w:tabs>
          <w:tab w:val="left" w:pos="1440"/>
          <w:tab w:val="left" w:pos="2880"/>
          <w:tab w:val="left" w:pos="4320"/>
          <w:tab w:val="left" w:pos="5760"/>
          <w:tab w:val="left" w:pos="7200"/>
          <w:tab w:val="left" w:pos="8640"/>
        </w:tabs>
        <w:spacing w:line="480" w:lineRule="atLeast"/>
        <w:ind w:firstLine="1440"/>
        <w:rPr>
          <w:rFonts w:ascii="Times New Roman" w:hAnsi="Times New Roman" w:cs="Times New Roman"/>
          <w:sz w:val="26"/>
          <w:szCs w:val="26"/>
        </w:rPr>
      </w:pPr>
      <w:r w:rsidRPr="001C56C1">
        <w:rPr>
          <w:rFonts w:ascii="Times New Roman" w:hAnsi="Times New Roman" w:cs="Times New Roman"/>
          <w:sz w:val="26"/>
          <w:szCs w:val="26"/>
        </w:rPr>
        <w:t xml:space="preserve">Counsel did not identify or produce the public record.  Counsel argued she should be able to ask Burke if she had reviewed the public record.  That question would have violated </w:t>
      </w:r>
      <w:r w:rsidRPr="001C56C1">
        <w:rPr>
          <w:rFonts w:ascii="Times New Roman" w:hAnsi="Times New Roman" w:cs="Times New Roman"/>
          <w:i/>
          <w:iCs/>
          <w:sz w:val="26"/>
          <w:szCs w:val="26"/>
        </w:rPr>
        <w:t>Sanchez</w:t>
      </w:r>
      <w:r w:rsidRPr="001C56C1">
        <w:rPr>
          <w:rFonts w:ascii="Times New Roman" w:hAnsi="Times New Roman" w:cs="Times New Roman"/>
          <w:sz w:val="26"/>
          <w:szCs w:val="26"/>
        </w:rPr>
        <w:t xml:space="preserve">.  The trial court correctly applied </w:t>
      </w:r>
      <w:r w:rsidRPr="001C56C1">
        <w:rPr>
          <w:rFonts w:ascii="Times New Roman" w:hAnsi="Times New Roman" w:cs="Times New Roman"/>
          <w:i/>
          <w:iCs/>
          <w:sz w:val="26"/>
          <w:szCs w:val="26"/>
        </w:rPr>
        <w:t xml:space="preserve">Sanchez </w:t>
      </w:r>
      <w:r w:rsidRPr="001C56C1">
        <w:rPr>
          <w:rFonts w:ascii="Times New Roman" w:hAnsi="Times New Roman" w:cs="Times New Roman"/>
          <w:sz w:val="26"/>
          <w:szCs w:val="26"/>
        </w:rPr>
        <w:t xml:space="preserve">by sustaining an objection on the ground Diana had not produced the public record. </w:t>
      </w:r>
    </w:p>
    <w:p w:rsidR="001C56C1" w:rsidP="00D245BB" w14:paraId="302EF849" w14:textId="7E5F03AB">
      <w:pPr>
        <w:tabs>
          <w:tab w:val="left" w:pos="1440"/>
          <w:tab w:val="left" w:pos="2880"/>
          <w:tab w:val="left" w:pos="4320"/>
          <w:tab w:val="left" w:pos="5760"/>
          <w:tab w:val="left" w:pos="7200"/>
          <w:tab w:val="left" w:pos="8640"/>
        </w:tabs>
        <w:spacing w:line="480" w:lineRule="atLeast"/>
        <w:ind w:firstLine="1440"/>
        <w:rPr>
          <w:rFonts w:ascii="Times New Roman" w:hAnsi="Times New Roman" w:cs="Times New Roman"/>
          <w:sz w:val="26"/>
          <w:szCs w:val="26"/>
        </w:rPr>
      </w:pPr>
      <w:r w:rsidRPr="001C56C1">
        <w:rPr>
          <w:rFonts w:ascii="Times New Roman" w:hAnsi="Times New Roman" w:cs="Times New Roman"/>
          <w:sz w:val="26"/>
          <w:szCs w:val="26"/>
        </w:rPr>
        <w:t xml:space="preserve">After the court sustained that objection, Diana’s counsel asked, “I’m not allowed to ask her if </w:t>
      </w:r>
      <w:r w:rsidR="00A667C3">
        <w:rPr>
          <w:rFonts w:ascii="Times New Roman" w:hAnsi="Times New Roman" w:cs="Times New Roman"/>
          <w:sz w:val="26"/>
          <w:szCs w:val="26"/>
        </w:rPr>
        <w:t xml:space="preserve">she </w:t>
      </w:r>
      <w:r w:rsidRPr="001C56C1">
        <w:rPr>
          <w:rFonts w:ascii="Times New Roman" w:hAnsi="Times New Roman" w:cs="Times New Roman"/>
          <w:sz w:val="26"/>
          <w:szCs w:val="26"/>
        </w:rPr>
        <w:t xml:space="preserve">reviewed the records?”  The trial court responded by again telling counsel that if she wanted to prove </w:t>
      </w:r>
      <w:r w:rsidR="00A667C3">
        <w:rPr>
          <w:rFonts w:ascii="Times New Roman" w:hAnsi="Times New Roman" w:cs="Times New Roman"/>
          <w:sz w:val="26"/>
          <w:szCs w:val="26"/>
        </w:rPr>
        <w:t xml:space="preserve">the </w:t>
      </w:r>
      <w:r w:rsidRPr="001C56C1">
        <w:rPr>
          <w:rFonts w:ascii="Times New Roman" w:hAnsi="Times New Roman" w:cs="Times New Roman"/>
          <w:sz w:val="26"/>
          <w:szCs w:val="26"/>
        </w:rPr>
        <w:t xml:space="preserve">lot size was not 9,000 square feet (the number set forth in Burke’s appraisal report) the court wanted to see the document proving that fact and was not going to permit hearsay testimony.  The court’s response was a correct application of </w:t>
      </w:r>
      <w:r w:rsidRPr="001C56C1">
        <w:rPr>
          <w:rFonts w:ascii="Times New Roman" w:hAnsi="Times New Roman" w:cs="Times New Roman"/>
          <w:i/>
          <w:iCs/>
          <w:sz w:val="26"/>
          <w:szCs w:val="26"/>
        </w:rPr>
        <w:t>Sanchez</w:t>
      </w:r>
      <w:r w:rsidRPr="001C56C1">
        <w:rPr>
          <w:rFonts w:ascii="Times New Roman" w:hAnsi="Times New Roman" w:cs="Times New Roman"/>
          <w:sz w:val="26"/>
          <w:szCs w:val="26"/>
        </w:rPr>
        <w:t xml:space="preserve">.  </w:t>
      </w:r>
      <w:r w:rsidR="00A667C3">
        <w:rPr>
          <w:rFonts w:ascii="Times New Roman" w:hAnsi="Times New Roman" w:cs="Times New Roman"/>
          <w:sz w:val="26"/>
          <w:szCs w:val="26"/>
        </w:rPr>
        <w:t>C</w:t>
      </w:r>
      <w:r w:rsidRPr="001C56C1">
        <w:rPr>
          <w:rFonts w:ascii="Times New Roman" w:hAnsi="Times New Roman" w:cs="Times New Roman"/>
          <w:sz w:val="26"/>
          <w:szCs w:val="26"/>
        </w:rPr>
        <w:t xml:space="preserve">ounsel stated she could present “the record </w:t>
      </w:r>
      <w:r w:rsidR="00A667C3">
        <w:rPr>
          <w:rFonts w:ascii="Times New Roman" w:hAnsi="Times New Roman" w:cs="Times New Roman"/>
          <w:sz w:val="26"/>
          <w:szCs w:val="26"/>
        </w:rPr>
        <w:t>from</w:t>
      </w:r>
      <w:r w:rsidRPr="001C56C1">
        <w:rPr>
          <w:rFonts w:ascii="Times New Roman" w:hAnsi="Times New Roman" w:cs="Times New Roman"/>
          <w:sz w:val="26"/>
          <w:szCs w:val="26"/>
        </w:rPr>
        <w:t xml:space="preserve"> the City.”  But counsel did not identify that record or produce a copy of it.  The court told counsel she could proceed with redirect examination of Burke using the lot size from her appraisal report.  </w:t>
      </w:r>
      <w:r w:rsidR="00B53760">
        <w:rPr>
          <w:rFonts w:ascii="Times New Roman" w:hAnsi="Times New Roman" w:cs="Times New Roman"/>
          <w:sz w:val="26"/>
          <w:szCs w:val="26"/>
        </w:rPr>
        <w:t xml:space="preserve">It was Diana’s responsibility, not the trial court’s, to present competent evidence supporting her claim that the lot exceeded 9,000 square feet in size.  </w:t>
      </w:r>
    </w:p>
    <w:p w:rsidR="0065016D" w:rsidP="00D245BB" w14:paraId="4076F506" w14:textId="77777777">
      <w:pPr>
        <w:tabs>
          <w:tab w:val="left" w:pos="1440"/>
          <w:tab w:val="left" w:pos="2880"/>
          <w:tab w:val="left" w:pos="4320"/>
          <w:tab w:val="left" w:pos="5760"/>
          <w:tab w:val="left" w:pos="7200"/>
          <w:tab w:val="left" w:pos="8640"/>
        </w:tabs>
        <w:spacing w:line="480" w:lineRule="atLeast"/>
        <w:ind w:firstLine="1440"/>
        <w:rPr>
          <w:rFonts w:ascii="Times New Roman" w:hAnsi="Times New Roman" w:cs="Times New Roman"/>
          <w:sz w:val="26"/>
          <w:szCs w:val="26"/>
        </w:rPr>
      </w:pPr>
    </w:p>
    <w:p w:rsidR="001C56C1" w:rsidRPr="0065016D" w:rsidP="002326F6" w14:paraId="7E02EBC1" w14:textId="4711B96E">
      <w:pPr>
        <w:keepNext/>
        <w:keepLines/>
        <w:spacing w:line="480" w:lineRule="atLeast"/>
        <w:rPr>
          <w:rFonts w:ascii="Times New Roman" w:hAnsi="Times New Roman" w:cs="Times New Roman"/>
          <w:i/>
          <w:iCs/>
          <w:sz w:val="26"/>
          <w:szCs w:val="26"/>
        </w:rPr>
      </w:pPr>
      <w:r w:rsidRPr="0065016D">
        <w:rPr>
          <w:rFonts w:ascii="Times New Roman" w:hAnsi="Times New Roman" w:cs="Times New Roman"/>
          <w:sz w:val="26"/>
          <w:szCs w:val="26"/>
        </w:rPr>
        <w:t xml:space="preserve">III.  </w:t>
      </w:r>
      <w:r w:rsidRPr="0065016D" w:rsidR="000D43F4">
        <w:rPr>
          <w:rFonts w:ascii="Times New Roman" w:hAnsi="Times New Roman" w:cs="Times New Roman"/>
          <w:i/>
          <w:iCs/>
          <w:sz w:val="26"/>
          <w:szCs w:val="26"/>
        </w:rPr>
        <w:t>The Plat Map Does Not Reveal the Lot Size as a Matter of Simple Geometry</w:t>
      </w:r>
    </w:p>
    <w:p w:rsidR="001C56C1" w:rsidP="0065016D" w14:paraId="29C4B9E8" w14:textId="3073DA65">
      <w:pPr>
        <w:spacing w:line="480" w:lineRule="atLeast"/>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Pr="0065016D">
        <w:rPr>
          <w:rFonts w:ascii="Times New Roman" w:hAnsi="Times New Roman" w:cs="Times New Roman"/>
          <w:sz w:val="26"/>
          <w:szCs w:val="26"/>
        </w:rPr>
        <w:t>Diana contends the plat map, which was attached to both appraisal reports</w:t>
      </w:r>
      <w:r w:rsidRPr="001C56C1">
        <w:rPr>
          <w:rFonts w:ascii="Times New Roman" w:hAnsi="Times New Roman" w:cs="Times New Roman"/>
          <w:sz w:val="26"/>
          <w:szCs w:val="26"/>
        </w:rPr>
        <w:t xml:space="preserve">, demonstrates based on </w:t>
      </w:r>
      <w:r w:rsidR="000D43F4">
        <w:rPr>
          <w:rFonts w:ascii="Times New Roman" w:hAnsi="Times New Roman" w:cs="Times New Roman"/>
          <w:sz w:val="26"/>
          <w:szCs w:val="26"/>
        </w:rPr>
        <w:t xml:space="preserve">“basic arithmetic” and </w:t>
      </w:r>
      <w:r w:rsidRPr="001C56C1">
        <w:rPr>
          <w:rFonts w:ascii="Times New Roman" w:hAnsi="Times New Roman" w:cs="Times New Roman"/>
          <w:sz w:val="26"/>
          <w:szCs w:val="26"/>
        </w:rPr>
        <w:t xml:space="preserve">“[s]imple geometry” that the </w:t>
      </w:r>
      <w:r w:rsidR="00A667C3">
        <w:rPr>
          <w:rFonts w:ascii="Times New Roman" w:hAnsi="Times New Roman" w:cs="Times New Roman"/>
          <w:sz w:val="26"/>
          <w:szCs w:val="26"/>
        </w:rPr>
        <w:t>h</w:t>
      </w:r>
      <w:r w:rsidRPr="001C56C1">
        <w:rPr>
          <w:rFonts w:ascii="Times New Roman" w:hAnsi="Times New Roman" w:cs="Times New Roman"/>
          <w:sz w:val="26"/>
          <w:szCs w:val="26"/>
        </w:rPr>
        <w:t>ome is on a lot that is greater than 9,000 square feet in size.  At trial, Diana’s counsel announced</w:t>
      </w:r>
      <w:r w:rsidR="00A667C3">
        <w:rPr>
          <w:rFonts w:ascii="Times New Roman" w:hAnsi="Times New Roman" w:cs="Times New Roman"/>
          <w:sz w:val="26"/>
          <w:szCs w:val="26"/>
        </w:rPr>
        <w:t>,</w:t>
      </w:r>
      <w:r w:rsidRPr="001C56C1">
        <w:rPr>
          <w:rFonts w:ascii="Times New Roman" w:hAnsi="Times New Roman" w:cs="Times New Roman"/>
          <w:sz w:val="26"/>
          <w:szCs w:val="26"/>
        </w:rPr>
        <w:t xml:space="preserve"> during cross</w:t>
      </w:r>
      <w:r w:rsidRPr="001C56C1">
        <w:rPr>
          <w:rFonts w:ascii="Times New Roman" w:hAnsi="Times New Roman" w:cs="Times New Roman"/>
          <w:sz w:val="26"/>
          <w:szCs w:val="26"/>
        </w:rPr>
        <w:noBreakHyphen/>
        <w:t>examination of Johnson</w:t>
      </w:r>
      <w:r w:rsidR="00A667C3">
        <w:rPr>
          <w:rFonts w:ascii="Times New Roman" w:hAnsi="Times New Roman" w:cs="Times New Roman"/>
          <w:sz w:val="26"/>
          <w:szCs w:val="26"/>
        </w:rPr>
        <w:t>,</w:t>
      </w:r>
      <w:r w:rsidRPr="001C56C1">
        <w:rPr>
          <w:rFonts w:ascii="Times New Roman" w:hAnsi="Times New Roman" w:cs="Times New Roman"/>
          <w:sz w:val="26"/>
          <w:szCs w:val="26"/>
        </w:rPr>
        <w:t xml:space="preserve"> that she had “just sent your attorney a measurement based on the plat map that you’ve provided.”  The trial court sustained an objection.  The court did not err in doing so.  Diana’s counsel had not presented any testimony or other evidence to explain and support the computation of square footage based on the plat map alone.</w:t>
      </w:r>
    </w:p>
    <w:p w:rsidR="001C56C1" w:rsidRPr="001C56C1" w:rsidP="00B358CD" w14:paraId="60565DAD" w14:textId="0FC61FC7">
      <w:pPr>
        <w:tabs>
          <w:tab w:val="left" w:pos="1440"/>
          <w:tab w:val="left" w:pos="2880"/>
          <w:tab w:val="left" w:pos="4320"/>
          <w:tab w:val="left" w:pos="5760"/>
          <w:tab w:val="left" w:pos="7200"/>
          <w:tab w:val="left" w:pos="8640"/>
        </w:tabs>
        <w:spacing w:line="480" w:lineRule="atLeast"/>
        <w:ind w:firstLine="1440"/>
        <w:rPr>
          <w:rFonts w:ascii="Times New Roman" w:hAnsi="Times New Roman" w:cs="Times New Roman"/>
          <w:sz w:val="26"/>
          <w:szCs w:val="26"/>
        </w:rPr>
      </w:pPr>
      <w:r w:rsidRPr="001C56C1">
        <w:rPr>
          <w:rFonts w:ascii="Times New Roman" w:hAnsi="Times New Roman" w:cs="Times New Roman"/>
          <w:sz w:val="26"/>
          <w:szCs w:val="26"/>
        </w:rPr>
        <w:t>On appeal, Diana includes</w:t>
      </w:r>
      <w:r w:rsidR="000A6CC7">
        <w:rPr>
          <w:rFonts w:ascii="Times New Roman" w:hAnsi="Times New Roman" w:cs="Times New Roman"/>
          <w:sz w:val="26"/>
          <w:szCs w:val="26"/>
        </w:rPr>
        <w:t>,</w:t>
      </w:r>
      <w:r w:rsidRPr="001C56C1">
        <w:rPr>
          <w:rFonts w:ascii="Times New Roman" w:hAnsi="Times New Roman" w:cs="Times New Roman"/>
          <w:sz w:val="26"/>
          <w:szCs w:val="26"/>
        </w:rPr>
        <w:t xml:space="preserve"> in both her opening brief and reply brief</w:t>
      </w:r>
      <w:r w:rsidR="000A6CC7">
        <w:rPr>
          <w:rFonts w:ascii="Times New Roman" w:hAnsi="Times New Roman" w:cs="Times New Roman"/>
          <w:sz w:val="26"/>
          <w:szCs w:val="26"/>
        </w:rPr>
        <w:t>,</w:t>
      </w:r>
      <w:r w:rsidRPr="001C56C1">
        <w:rPr>
          <w:rFonts w:ascii="Times New Roman" w:hAnsi="Times New Roman" w:cs="Times New Roman"/>
          <w:sz w:val="26"/>
          <w:szCs w:val="26"/>
        </w:rPr>
        <w:t xml:space="preserve"> a depiction of the lot on the plat map with calculations purporting to show the lot’s square footage. </w:t>
      </w:r>
      <w:r w:rsidR="00A667C3">
        <w:rPr>
          <w:rFonts w:ascii="Times New Roman" w:hAnsi="Times New Roman" w:cs="Times New Roman"/>
          <w:sz w:val="26"/>
          <w:szCs w:val="26"/>
        </w:rPr>
        <w:t xml:space="preserve"> </w:t>
      </w:r>
      <w:r w:rsidRPr="001C56C1">
        <w:rPr>
          <w:rFonts w:ascii="Times New Roman" w:hAnsi="Times New Roman" w:cs="Times New Roman"/>
          <w:sz w:val="26"/>
          <w:szCs w:val="26"/>
        </w:rPr>
        <w:t xml:space="preserve">Those calculations are based on the area of a parallelogram and the size of </w:t>
      </w:r>
      <w:r w:rsidR="00A667C3">
        <w:rPr>
          <w:rFonts w:ascii="Times New Roman" w:hAnsi="Times New Roman" w:cs="Times New Roman"/>
          <w:sz w:val="26"/>
          <w:szCs w:val="26"/>
        </w:rPr>
        <w:t xml:space="preserve">the </w:t>
      </w:r>
      <w:r w:rsidRPr="001C56C1">
        <w:rPr>
          <w:rFonts w:ascii="Times New Roman" w:hAnsi="Times New Roman" w:cs="Times New Roman"/>
          <w:sz w:val="26"/>
          <w:szCs w:val="26"/>
        </w:rPr>
        <w:t>triangle constituting the lot</w:t>
      </w:r>
      <w:r w:rsidR="00696FE3">
        <w:rPr>
          <w:rFonts w:ascii="Times New Roman" w:hAnsi="Times New Roman" w:cs="Times New Roman"/>
          <w:sz w:val="26"/>
          <w:szCs w:val="26"/>
        </w:rPr>
        <w:t>.</w:t>
      </w:r>
    </w:p>
    <w:p w:rsidR="00D012BF" w:rsidP="00B358CD" w14:paraId="245A09E3" w14:textId="46277A2B">
      <w:pPr>
        <w:tabs>
          <w:tab w:val="left" w:pos="1440"/>
          <w:tab w:val="left" w:pos="2880"/>
          <w:tab w:val="left" w:pos="4320"/>
          <w:tab w:val="left" w:pos="5760"/>
          <w:tab w:val="left" w:pos="7200"/>
          <w:tab w:val="left" w:pos="8640"/>
        </w:tabs>
        <w:spacing w:line="480" w:lineRule="atLeast"/>
        <w:ind w:firstLine="1440"/>
        <w:rPr>
          <w:rFonts w:ascii="Times New Roman" w:hAnsi="Times New Roman" w:cs="Times New Roman"/>
          <w:color w:val="000000" w:themeColor="text1"/>
          <w:sz w:val="26"/>
          <w:szCs w:val="26"/>
        </w:rPr>
      </w:pPr>
      <w:r>
        <w:rPr>
          <w:rFonts w:ascii="Times New Roman" w:hAnsi="Times New Roman" w:cs="Times New Roman"/>
          <w:sz w:val="26"/>
          <w:szCs w:val="26"/>
        </w:rPr>
        <w:t>Although the area of the lot might be greater than 9,000 square feet, Diana’s calculations do not show that because she used incorrect equations for</w:t>
      </w:r>
      <w:r w:rsidRPr="00D012BF">
        <w:rPr>
          <w:rFonts w:ascii="Times New Roman" w:hAnsi="Times New Roman" w:cs="Times New Roman"/>
          <w:sz w:val="26"/>
          <w:szCs w:val="26"/>
        </w:rPr>
        <w:t xml:space="preserve"> calculating the areas of those shapes.  She calculate</w:t>
      </w:r>
      <w:r>
        <w:rPr>
          <w:rFonts w:ascii="Times New Roman" w:hAnsi="Times New Roman" w:cs="Times New Roman"/>
          <w:sz w:val="26"/>
          <w:szCs w:val="26"/>
        </w:rPr>
        <w:t>d</w:t>
      </w:r>
      <w:r w:rsidRPr="00D012BF">
        <w:rPr>
          <w:rFonts w:ascii="Times New Roman" w:hAnsi="Times New Roman" w:cs="Times New Roman"/>
          <w:sz w:val="26"/>
          <w:szCs w:val="26"/>
        </w:rPr>
        <w:t xml:space="preserve"> the area of </w:t>
      </w:r>
      <w:r w:rsidR="00F775F8">
        <w:rPr>
          <w:rFonts w:ascii="Times New Roman" w:hAnsi="Times New Roman" w:cs="Times New Roman"/>
          <w:sz w:val="26"/>
          <w:szCs w:val="26"/>
        </w:rPr>
        <w:t xml:space="preserve">the </w:t>
      </w:r>
      <w:r w:rsidRPr="00D012BF">
        <w:rPr>
          <w:rFonts w:ascii="Times New Roman" w:hAnsi="Times New Roman" w:cs="Times New Roman"/>
          <w:sz w:val="26"/>
          <w:szCs w:val="26"/>
        </w:rPr>
        <w:t>parallelogram as base multiplied by side (base x side), and the area of the triangle as one side multiplied by another side times</w:t>
      </w:r>
      <w:r w:rsidR="00974468">
        <w:rPr>
          <w:rFonts w:ascii="Times New Roman" w:hAnsi="Times New Roman" w:cs="Times New Roman"/>
          <w:sz w:val="26"/>
          <w:szCs w:val="26"/>
        </w:rPr>
        <w:t xml:space="preserve"> one-half </w:t>
      </w:r>
      <w:r w:rsidRPr="00D012BF">
        <w:rPr>
          <w:rFonts w:ascii="Times New Roman" w:hAnsi="Times New Roman" w:cs="Times New Roman"/>
          <w:sz w:val="26"/>
          <w:szCs w:val="26"/>
        </w:rPr>
        <w:t>(</w:t>
      </w:r>
      <w:r w:rsidR="00974468">
        <w:rPr>
          <w:rFonts w:ascii="Times New Roman" w:hAnsi="Times New Roman" w:cs="Times New Roman"/>
          <w:sz w:val="26"/>
          <w:szCs w:val="26"/>
        </w:rPr>
        <w:t xml:space="preserve">one-half </w:t>
      </w:r>
      <w:r w:rsidRPr="00D012BF">
        <w:rPr>
          <w:rFonts w:ascii="Times New Roman" w:hAnsi="Times New Roman" w:cs="Times New Roman"/>
          <w:sz w:val="26"/>
          <w:szCs w:val="26"/>
        </w:rPr>
        <w:t xml:space="preserve">(base x side)).  We issued an order notifying the parties of our intent to take judicial notice of the proposition that the equation for </w:t>
      </w:r>
      <w:r>
        <w:rPr>
          <w:rFonts w:ascii="Times New Roman" w:hAnsi="Times New Roman" w:cs="Times New Roman"/>
          <w:sz w:val="26"/>
          <w:szCs w:val="26"/>
        </w:rPr>
        <w:t>calculating</w:t>
      </w:r>
      <w:r w:rsidRPr="00D012BF">
        <w:rPr>
          <w:rFonts w:ascii="Times New Roman" w:hAnsi="Times New Roman" w:cs="Times New Roman"/>
          <w:sz w:val="26"/>
          <w:szCs w:val="26"/>
        </w:rPr>
        <w:t xml:space="preserve"> the area of a parallelogram is base multiplied by </w:t>
      </w:r>
      <w:r w:rsidRPr="00A667C3">
        <w:rPr>
          <w:rFonts w:ascii="Times New Roman" w:hAnsi="Times New Roman" w:cs="Times New Roman"/>
          <w:i/>
          <w:iCs/>
          <w:sz w:val="26"/>
          <w:szCs w:val="26"/>
        </w:rPr>
        <w:t>height</w:t>
      </w:r>
      <w:r w:rsidRPr="00A667C3">
        <w:rPr>
          <w:rFonts w:ascii="Times New Roman" w:hAnsi="Times New Roman" w:cs="Times New Roman"/>
          <w:sz w:val="26"/>
          <w:szCs w:val="26"/>
        </w:rPr>
        <w:t xml:space="preserve"> (A = (base x height))</w:t>
      </w:r>
      <w:r w:rsidRPr="00D012BF">
        <w:rPr>
          <w:rFonts w:ascii="Times New Roman" w:hAnsi="Times New Roman" w:cs="Times New Roman"/>
          <w:b/>
          <w:bCs/>
          <w:sz w:val="26"/>
          <w:szCs w:val="26"/>
        </w:rPr>
        <w:t xml:space="preserve"> </w:t>
      </w:r>
      <w:r w:rsidRPr="00D012BF">
        <w:rPr>
          <w:rFonts w:ascii="Times New Roman" w:hAnsi="Times New Roman" w:cs="Times New Roman"/>
          <w:sz w:val="26"/>
          <w:szCs w:val="26"/>
        </w:rPr>
        <w:t xml:space="preserve">and the equation for </w:t>
      </w:r>
      <w:r>
        <w:rPr>
          <w:rFonts w:ascii="Times New Roman" w:hAnsi="Times New Roman" w:cs="Times New Roman"/>
          <w:sz w:val="26"/>
          <w:szCs w:val="26"/>
        </w:rPr>
        <w:t>calculat</w:t>
      </w:r>
      <w:r w:rsidRPr="00D012BF">
        <w:rPr>
          <w:rFonts w:ascii="Times New Roman" w:hAnsi="Times New Roman" w:cs="Times New Roman"/>
          <w:sz w:val="26"/>
          <w:szCs w:val="26"/>
        </w:rPr>
        <w:t>ing the area of triangle is one</w:t>
      </w:r>
      <w:r>
        <w:rPr>
          <w:rFonts w:ascii="Times New Roman" w:hAnsi="Times New Roman" w:cs="Times New Roman"/>
          <w:sz w:val="26"/>
          <w:szCs w:val="26"/>
        </w:rPr>
        <w:t>-</w:t>
      </w:r>
      <w:r w:rsidRPr="00D012BF">
        <w:rPr>
          <w:rFonts w:ascii="Times New Roman" w:hAnsi="Times New Roman" w:cs="Times New Roman"/>
          <w:sz w:val="26"/>
          <w:szCs w:val="26"/>
        </w:rPr>
        <w:t xml:space="preserve">half base multiplied by </w:t>
      </w:r>
      <w:r w:rsidRPr="00A667C3">
        <w:rPr>
          <w:rFonts w:ascii="Times New Roman" w:hAnsi="Times New Roman" w:cs="Times New Roman"/>
          <w:i/>
          <w:iCs/>
          <w:sz w:val="26"/>
          <w:szCs w:val="26"/>
        </w:rPr>
        <w:t xml:space="preserve">height </w:t>
      </w:r>
      <w:r w:rsidRPr="00A667C3">
        <w:rPr>
          <w:rFonts w:ascii="Times New Roman" w:hAnsi="Times New Roman" w:cs="Times New Roman"/>
          <w:sz w:val="26"/>
          <w:szCs w:val="26"/>
        </w:rPr>
        <w:t xml:space="preserve">(A = </w:t>
      </w:r>
      <w:r w:rsidR="00974468">
        <w:rPr>
          <w:rFonts w:ascii="Times New Roman" w:hAnsi="Times New Roman" w:cs="Times New Roman"/>
          <w:sz w:val="26"/>
          <w:szCs w:val="26"/>
        </w:rPr>
        <w:t xml:space="preserve">one-half </w:t>
      </w:r>
      <w:r w:rsidRPr="00A667C3">
        <w:rPr>
          <w:rFonts w:ascii="Times New Roman" w:hAnsi="Times New Roman" w:cs="Times New Roman"/>
          <w:sz w:val="26"/>
          <w:szCs w:val="26"/>
        </w:rPr>
        <w:t>(base x height)).</w:t>
      </w:r>
      <w:r w:rsidRPr="00D012BF">
        <w:rPr>
          <w:rFonts w:ascii="Times New Roman" w:hAnsi="Times New Roman" w:cs="Times New Roman"/>
          <w:sz w:val="26"/>
          <w:szCs w:val="26"/>
        </w:rPr>
        <w:t xml:space="preserve">  </w:t>
      </w:r>
      <w:r w:rsidRPr="00D012BF" w:rsidR="00A667C3">
        <w:rPr>
          <w:rFonts w:ascii="Times New Roman" w:hAnsi="Times New Roman" w:cs="Times New Roman"/>
          <w:sz w:val="26"/>
          <w:szCs w:val="26"/>
        </w:rPr>
        <w:t>We take judicial notice of those propositions.  (</w:t>
      </w:r>
      <w:r w:rsidRPr="00D012BF" w:rsidR="00A667C3">
        <w:rPr>
          <w:rFonts w:ascii="Times New Roman" w:hAnsi="Times New Roman" w:cs="Times New Roman"/>
          <w:color w:val="000000" w:themeColor="text1"/>
          <w:sz w:val="26"/>
          <w:szCs w:val="26"/>
        </w:rPr>
        <w:t>Evid. Code</w:t>
      </w:r>
      <w:r w:rsidR="00A667C3">
        <w:rPr>
          <w:rFonts w:ascii="Times New Roman" w:hAnsi="Times New Roman" w:cs="Times New Roman"/>
          <w:color w:val="000000" w:themeColor="text1"/>
          <w:sz w:val="26"/>
          <w:szCs w:val="26"/>
        </w:rPr>
        <w:t>,</w:t>
      </w:r>
      <w:r w:rsidRPr="00D012BF" w:rsidR="00A667C3">
        <w:rPr>
          <w:rFonts w:ascii="Times New Roman" w:hAnsi="Times New Roman" w:cs="Times New Roman"/>
          <w:color w:val="000000" w:themeColor="text1"/>
          <w:sz w:val="26"/>
          <w:szCs w:val="26"/>
        </w:rPr>
        <w:t xml:space="preserve"> §§ 451, subd</w:t>
      </w:r>
      <w:r w:rsidR="00A667C3">
        <w:rPr>
          <w:rFonts w:ascii="Times New Roman" w:hAnsi="Times New Roman" w:cs="Times New Roman"/>
          <w:color w:val="000000" w:themeColor="text1"/>
          <w:sz w:val="26"/>
          <w:szCs w:val="26"/>
        </w:rPr>
        <w:t xml:space="preserve">. </w:t>
      </w:r>
      <w:r w:rsidRPr="00D012BF" w:rsidR="00A667C3">
        <w:rPr>
          <w:rFonts w:ascii="Times New Roman" w:hAnsi="Times New Roman" w:cs="Times New Roman"/>
          <w:color w:val="000000" w:themeColor="text1"/>
          <w:sz w:val="26"/>
          <w:szCs w:val="26"/>
        </w:rPr>
        <w:t>(f), 459.)</w:t>
      </w:r>
      <w:r w:rsidR="00A667C3">
        <w:rPr>
          <w:rFonts w:ascii="Times New Roman" w:hAnsi="Times New Roman" w:cs="Times New Roman"/>
          <w:color w:val="000000" w:themeColor="text1"/>
          <w:sz w:val="26"/>
          <w:szCs w:val="26"/>
        </w:rPr>
        <w:t xml:space="preserve">  </w:t>
      </w:r>
      <w:r w:rsidRPr="00D012BF">
        <w:rPr>
          <w:rFonts w:ascii="Times New Roman" w:hAnsi="Times New Roman" w:cs="Times New Roman"/>
          <w:sz w:val="26"/>
          <w:szCs w:val="26"/>
        </w:rPr>
        <w:t>Mathematical equations and theorems are a proper subject of judicial notice.  (</w:t>
      </w:r>
      <w:r w:rsidRPr="00D012BF">
        <w:rPr>
          <w:rFonts w:ascii="Times New Roman" w:hAnsi="Times New Roman" w:cs="Times New Roman"/>
          <w:i/>
          <w:iCs/>
          <w:sz w:val="26"/>
          <w:szCs w:val="26"/>
        </w:rPr>
        <w:t xml:space="preserve">People v. Bradley </w:t>
      </w:r>
      <w:r w:rsidRPr="00D012BF">
        <w:rPr>
          <w:rFonts w:ascii="Times New Roman" w:hAnsi="Times New Roman" w:cs="Times New Roman"/>
          <w:sz w:val="26"/>
          <w:szCs w:val="26"/>
        </w:rPr>
        <w:t xml:space="preserve">(1982) 132 Cal.App.3d 737, 743, fn. 6.)  </w:t>
      </w:r>
    </w:p>
    <w:p w:rsidR="00D012BF" w:rsidRPr="00C26E43" w:rsidP="00696FE3" w14:paraId="23E1F965" w14:textId="302F7759">
      <w:pPr>
        <w:tabs>
          <w:tab w:val="left" w:pos="1440"/>
          <w:tab w:val="left" w:pos="2880"/>
          <w:tab w:val="left" w:pos="4320"/>
          <w:tab w:val="left" w:pos="5760"/>
          <w:tab w:val="left" w:pos="7200"/>
          <w:tab w:val="left" w:pos="8640"/>
        </w:tabs>
        <w:spacing w:line="480" w:lineRule="atLeast"/>
        <w:ind w:firstLine="1440"/>
        <w:rPr>
          <w:rFonts w:ascii="Times New Roman" w:hAnsi="Times New Roman" w:cs="Times New Roman"/>
          <w:sz w:val="26"/>
          <w:szCs w:val="26"/>
        </w:rPr>
      </w:pPr>
      <w:r w:rsidRPr="00D012BF">
        <w:rPr>
          <w:rFonts w:ascii="Times New Roman" w:hAnsi="Times New Roman" w:cs="Times New Roman"/>
          <w:sz w:val="26"/>
          <w:szCs w:val="26"/>
        </w:rPr>
        <w:t xml:space="preserve">Andreas submitted a response to our notice of intent to take </w:t>
      </w:r>
      <w:r w:rsidR="0020582F">
        <w:rPr>
          <w:rFonts w:ascii="Times New Roman" w:hAnsi="Times New Roman" w:cs="Times New Roman"/>
          <w:sz w:val="26"/>
          <w:szCs w:val="26"/>
        </w:rPr>
        <w:t>judicial notice</w:t>
      </w:r>
      <w:r w:rsidRPr="00D012BF">
        <w:rPr>
          <w:rFonts w:ascii="Times New Roman" w:hAnsi="Times New Roman" w:cs="Times New Roman"/>
          <w:sz w:val="26"/>
          <w:szCs w:val="26"/>
        </w:rPr>
        <w:t xml:space="preserve"> in which he asserts the equation A = </w:t>
      </w:r>
      <w:r w:rsidR="00B71D28">
        <w:rPr>
          <w:rFonts w:ascii="Times New Roman" w:hAnsi="Times New Roman" w:cs="Times New Roman"/>
          <w:sz w:val="26"/>
          <w:szCs w:val="26"/>
        </w:rPr>
        <w:t>one-half</w:t>
      </w:r>
      <w:r w:rsidR="00A667C3">
        <w:rPr>
          <w:rFonts w:ascii="Times New Roman" w:hAnsi="Times New Roman" w:cs="Times New Roman"/>
          <w:sz w:val="26"/>
          <w:szCs w:val="26"/>
        </w:rPr>
        <w:t xml:space="preserve"> </w:t>
      </w:r>
      <w:r w:rsidRPr="00D012BF">
        <w:rPr>
          <w:rFonts w:ascii="Times New Roman" w:hAnsi="Times New Roman" w:cs="Times New Roman"/>
          <w:sz w:val="26"/>
          <w:szCs w:val="26"/>
        </w:rPr>
        <w:t xml:space="preserve">(base x height) is accurate only for determining the </w:t>
      </w:r>
      <w:r w:rsidR="00E20F93">
        <w:rPr>
          <w:rFonts w:ascii="Times New Roman" w:hAnsi="Times New Roman" w:cs="Times New Roman"/>
          <w:sz w:val="26"/>
          <w:szCs w:val="26"/>
        </w:rPr>
        <w:t xml:space="preserve">area </w:t>
      </w:r>
      <w:r w:rsidRPr="00D012BF">
        <w:rPr>
          <w:rFonts w:ascii="Times New Roman" w:hAnsi="Times New Roman" w:cs="Times New Roman"/>
          <w:sz w:val="26"/>
          <w:szCs w:val="26"/>
        </w:rPr>
        <w:t xml:space="preserve">of an equilateral triangle or a right triangle.  The equation of A = </w:t>
      </w:r>
      <w:r w:rsidR="00B71D28">
        <w:rPr>
          <w:rFonts w:ascii="Times New Roman" w:hAnsi="Times New Roman" w:cs="Times New Roman"/>
          <w:sz w:val="26"/>
          <w:szCs w:val="26"/>
        </w:rPr>
        <w:t>one-half</w:t>
      </w:r>
      <w:r w:rsidR="00A667C3">
        <w:rPr>
          <w:rFonts w:ascii="Times New Roman" w:hAnsi="Times New Roman" w:cs="Times New Roman"/>
          <w:sz w:val="26"/>
          <w:szCs w:val="26"/>
        </w:rPr>
        <w:t xml:space="preserve"> </w:t>
      </w:r>
      <w:r w:rsidRPr="00D012BF">
        <w:rPr>
          <w:rFonts w:ascii="Times New Roman" w:hAnsi="Times New Roman" w:cs="Times New Roman"/>
          <w:sz w:val="26"/>
          <w:szCs w:val="26"/>
        </w:rPr>
        <w:t>(base x height) can</w:t>
      </w:r>
      <w:r w:rsidR="00E20F93">
        <w:rPr>
          <w:rFonts w:ascii="Times New Roman" w:hAnsi="Times New Roman" w:cs="Times New Roman"/>
          <w:sz w:val="26"/>
          <w:szCs w:val="26"/>
        </w:rPr>
        <w:t xml:space="preserve"> be</w:t>
      </w:r>
      <w:r w:rsidRPr="00D012BF">
        <w:rPr>
          <w:rFonts w:ascii="Times New Roman" w:hAnsi="Times New Roman" w:cs="Times New Roman"/>
          <w:sz w:val="26"/>
          <w:szCs w:val="26"/>
        </w:rPr>
        <w:t xml:space="preserve"> used to determine the </w:t>
      </w:r>
      <w:r w:rsidRPr="00C26E43">
        <w:rPr>
          <w:rFonts w:ascii="Times New Roman" w:hAnsi="Times New Roman" w:cs="Times New Roman"/>
          <w:sz w:val="26"/>
          <w:szCs w:val="26"/>
        </w:rPr>
        <w:t xml:space="preserve">area of </w:t>
      </w:r>
      <w:r w:rsidRPr="00C26E43">
        <w:rPr>
          <w:rFonts w:ascii="Times New Roman" w:hAnsi="Times New Roman" w:cs="Times New Roman"/>
          <w:i/>
          <w:iCs/>
          <w:sz w:val="26"/>
          <w:szCs w:val="26"/>
        </w:rPr>
        <w:t>any</w:t>
      </w:r>
      <w:r w:rsidRPr="00C26E43">
        <w:rPr>
          <w:rFonts w:ascii="Times New Roman" w:hAnsi="Times New Roman" w:cs="Times New Roman"/>
          <w:sz w:val="26"/>
          <w:szCs w:val="26"/>
        </w:rPr>
        <w:t xml:space="preserve"> triangle.  (See </w:t>
      </w:r>
      <w:r w:rsidRPr="00C26E43" w:rsidR="00C26E43">
        <w:rPr>
          <w:rFonts w:ascii="Times New Roman" w:hAnsi="Times New Roman" w:cs="Times New Roman"/>
          <w:sz w:val="26"/>
          <w:szCs w:val="26"/>
        </w:rPr>
        <w:t>&lt;https://www.mathematicalway.com/mathematics/geometry/area-triangle/&gt; [as of Jan.</w:t>
      </w:r>
      <w:r w:rsidR="00C26E43">
        <w:rPr>
          <w:rFonts w:ascii="Times New Roman" w:hAnsi="Times New Roman" w:cs="Times New Roman"/>
          <w:sz w:val="26"/>
          <w:szCs w:val="26"/>
        </w:rPr>
        <w:t> </w:t>
      </w:r>
      <w:r w:rsidRPr="00C26E43" w:rsidR="00C26E43">
        <w:rPr>
          <w:rFonts w:ascii="Times New Roman" w:hAnsi="Times New Roman" w:cs="Times New Roman"/>
          <w:sz w:val="26"/>
          <w:szCs w:val="26"/>
        </w:rPr>
        <w:t>31, 2024], archived at: &lt;https://perma.cc/HW48-MZW4&gt;</w:t>
      </w:r>
      <w:r w:rsidRPr="00C26E43">
        <w:rPr>
          <w:rFonts w:ascii="Times New Roman" w:hAnsi="Times New Roman" w:cs="Times New Roman"/>
          <w:sz w:val="26"/>
          <w:szCs w:val="26"/>
        </w:rPr>
        <w:t>.)</w:t>
      </w:r>
    </w:p>
    <w:p w:rsidR="00B47283" w:rsidP="00696FE3" w14:paraId="3737EB60" w14:textId="7DBD44D0">
      <w:pPr>
        <w:tabs>
          <w:tab w:val="left" w:pos="1440"/>
          <w:tab w:val="left" w:pos="2880"/>
          <w:tab w:val="left" w:pos="4320"/>
          <w:tab w:val="left" w:pos="5760"/>
          <w:tab w:val="left" w:pos="7200"/>
          <w:tab w:val="left" w:pos="8640"/>
        </w:tabs>
        <w:spacing w:line="480" w:lineRule="atLeast"/>
        <w:ind w:firstLine="1440"/>
        <w:rPr>
          <w:rFonts w:ascii="Times New Roman" w:hAnsi="Times New Roman" w:cs="Times New Roman"/>
          <w:color w:val="000000" w:themeColor="text1"/>
          <w:sz w:val="26"/>
          <w:szCs w:val="26"/>
        </w:rPr>
      </w:pPr>
      <w:r w:rsidRPr="00D012BF">
        <w:rPr>
          <w:rFonts w:ascii="Times New Roman" w:hAnsi="Times New Roman" w:cs="Times New Roman"/>
          <w:color w:val="000000" w:themeColor="text1"/>
          <w:sz w:val="26"/>
          <w:szCs w:val="26"/>
        </w:rPr>
        <w:t>In her response to our notice of intent to take judicial notice, Diana identifie</w:t>
      </w:r>
      <w:r w:rsidR="00CB792E">
        <w:rPr>
          <w:rFonts w:ascii="Times New Roman" w:hAnsi="Times New Roman" w:cs="Times New Roman"/>
          <w:color w:val="000000" w:themeColor="text1"/>
          <w:sz w:val="26"/>
          <w:szCs w:val="26"/>
        </w:rPr>
        <w:t>d</w:t>
      </w:r>
      <w:r w:rsidRPr="00D012BF">
        <w:rPr>
          <w:rFonts w:ascii="Times New Roman" w:hAnsi="Times New Roman" w:cs="Times New Roman"/>
          <w:color w:val="000000" w:themeColor="text1"/>
          <w:sz w:val="26"/>
          <w:szCs w:val="26"/>
        </w:rPr>
        <w:t xml:space="preserve"> other formulas for measuring the area of a parallelogram which she claim</w:t>
      </w:r>
      <w:r w:rsidR="00CB792E">
        <w:rPr>
          <w:rFonts w:ascii="Times New Roman" w:hAnsi="Times New Roman" w:cs="Times New Roman"/>
          <w:color w:val="000000" w:themeColor="text1"/>
          <w:sz w:val="26"/>
          <w:szCs w:val="26"/>
        </w:rPr>
        <w:t>ed</w:t>
      </w:r>
      <w:r>
        <w:rPr>
          <w:rFonts w:ascii="Times New Roman" w:hAnsi="Times New Roman" w:cs="Times New Roman"/>
          <w:color w:val="000000" w:themeColor="text1"/>
          <w:sz w:val="26"/>
          <w:szCs w:val="26"/>
        </w:rPr>
        <w:t xml:space="preserve"> </w:t>
      </w:r>
      <w:r w:rsidRPr="00D012BF">
        <w:rPr>
          <w:rFonts w:ascii="Times New Roman" w:hAnsi="Times New Roman" w:cs="Times New Roman"/>
          <w:color w:val="000000" w:themeColor="text1"/>
          <w:sz w:val="26"/>
          <w:szCs w:val="26"/>
        </w:rPr>
        <w:t>demonstrate</w:t>
      </w:r>
      <w:r>
        <w:rPr>
          <w:rFonts w:ascii="Times New Roman" w:hAnsi="Times New Roman" w:cs="Times New Roman"/>
          <w:color w:val="000000" w:themeColor="text1"/>
          <w:sz w:val="26"/>
          <w:szCs w:val="26"/>
        </w:rPr>
        <w:t>d</w:t>
      </w:r>
      <w:r w:rsidRPr="00D012BF">
        <w:rPr>
          <w:rFonts w:ascii="Times New Roman" w:hAnsi="Times New Roman" w:cs="Times New Roman"/>
          <w:color w:val="000000" w:themeColor="text1"/>
          <w:sz w:val="26"/>
          <w:szCs w:val="26"/>
        </w:rPr>
        <w:t xml:space="preserve"> the area of the lot exceeds 9,000 square feet.</w:t>
      </w:r>
      <w:r>
        <w:rPr>
          <w:rStyle w:val="FootnoteReference"/>
          <w:rFonts w:cs="Times New Roman"/>
          <w:color w:val="000000" w:themeColor="text1"/>
          <w:sz w:val="26"/>
          <w:szCs w:val="26"/>
        </w:rPr>
        <w:footnoteReference w:id="6"/>
      </w:r>
      <w:r w:rsidRPr="00D012BF">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Her claim </w:t>
      </w:r>
      <w:r w:rsidRPr="00D012BF">
        <w:rPr>
          <w:rFonts w:ascii="Times New Roman" w:hAnsi="Times New Roman" w:cs="Times New Roman"/>
          <w:color w:val="000000" w:themeColor="text1"/>
          <w:sz w:val="26"/>
          <w:szCs w:val="26"/>
        </w:rPr>
        <w:t xml:space="preserve">merely proves our point.  Measuring the area of the lot based on the plat map alone is not a matter of </w:t>
      </w:r>
      <w:r w:rsidRPr="00D012BF">
        <w:rPr>
          <w:rFonts w:ascii="Times New Roman" w:hAnsi="Times New Roman" w:cs="Times New Roman"/>
          <w:i/>
          <w:iCs/>
          <w:color w:val="000000" w:themeColor="text1"/>
          <w:sz w:val="26"/>
          <w:szCs w:val="26"/>
        </w:rPr>
        <w:t>simple</w:t>
      </w:r>
      <w:r w:rsidRPr="00D012BF">
        <w:rPr>
          <w:rFonts w:ascii="Times New Roman" w:hAnsi="Times New Roman" w:cs="Times New Roman"/>
          <w:color w:val="000000" w:themeColor="text1"/>
          <w:sz w:val="26"/>
          <w:szCs w:val="26"/>
        </w:rPr>
        <w:t xml:space="preserve"> geometry, as Diana asserted in her appellate brief</w:t>
      </w:r>
      <w:r w:rsidR="00BB64BF">
        <w:rPr>
          <w:rFonts w:ascii="Times New Roman" w:hAnsi="Times New Roman" w:cs="Times New Roman"/>
          <w:color w:val="000000" w:themeColor="text1"/>
          <w:sz w:val="26"/>
          <w:szCs w:val="26"/>
        </w:rPr>
        <w:t>s</w:t>
      </w:r>
      <w:r w:rsidRPr="00D012BF">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Testimony</w:t>
      </w:r>
      <w:r w:rsidR="00B53760">
        <w:rPr>
          <w:rFonts w:ascii="Times New Roman" w:hAnsi="Times New Roman" w:cs="Times New Roman"/>
          <w:color w:val="000000" w:themeColor="text1"/>
          <w:sz w:val="26"/>
          <w:szCs w:val="26"/>
        </w:rPr>
        <w:t>—probably expert testimony—w</w:t>
      </w:r>
      <w:r>
        <w:rPr>
          <w:rFonts w:ascii="Times New Roman" w:hAnsi="Times New Roman" w:cs="Times New Roman"/>
          <w:color w:val="000000" w:themeColor="text1"/>
          <w:sz w:val="26"/>
          <w:szCs w:val="26"/>
        </w:rPr>
        <w:t xml:space="preserve">ould </w:t>
      </w:r>
      <w:r w:rsidR="00B53760">
        <w:rPr>
          <w:rFonts w:ascii="Times New Roman" w:hAnsi="Times New Roman" w:cs="Times New Roman"/>
          <w:color w:val="000000" w:themeColor="text1"/>
          <w:sz w:val="26"/>
          <w:szCs w:val="26"/>
        </w:rPr>
        <w:t xml:space="preserve">have </w:t>
      </w:r>
      <w:r w:rsidR="0020582F">
        <w:rPr>
          <w:rFonts w:ascii="Times New Roman" w:hAnsi="Times New Roman" w:cs="Times New Roman"/>
          <w:color w:val="000000" w:themeColor="text1"/>
          <w:sz w:val="26"/>
          <w:szCs w:val="26"/>
        </w:rPr>
        <w:t xml:space="preserve">been </w:t>
      </w:r>
      <w:r>
        <w:rPr>
          <w:rFonts w:ascii="Times New Roman" w:hAnsi="Times New Roman" w:cs="Times New Roman"/>
          <w:color w:val="000000" w:themeColor="text1"/>
          <w:sz w:val="26"/>
          <w:szCs w:val="26"/>
        </w:rPr>
        <w:t xml:space="preserve">necessary to explain and substantiate calculations of the lot size using the equations that Diana presented in her response.  Diana did not present or offer to present such testimony at </w:t>
      </w:r>
      <w:r w:rsidR="00B53760">
        <w:rPr>
          <w:rFonts w:ascii="Times New Roman" w:hAnsi="Times New Roman" w:cs="Times New Roman"/>
          <w:color w:val="000000" w:themeColor="text1"/>
          <w:sz w:val="26"/>
          <w:szCs w:val="26"/>
        </w:rPr>
        <w:t xml:space="preserve">trial.  </w:t>
      </w:r>
    </w:p>
    <w:p w:rsidR="00D012BF" w:rsidRPr="00B47283" w:rsidP="00B47283" w14:paraId="607062DE" w14:textId="23C6EBDD">
      <w:pPr>
        <w:tabs>
          <w:tab w:val="left" w:pos="1440"/>
          <w:tab w:val="left" w:pos="2880"/>
          <w:tab w:val="left" w:pos="4320"/>
          <w:tab w:val="left" w:pos="5760"/>
          <w:tab w:val="left" w:pos="7200"/>
          <w:tab w:val="left" w:pos="8640"/>
        </w:tabs>
        <w:spacing w:line="480" w:lineRule="atLeast"/>
        <w:ind w:firstLine="144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Also attached to </w:t>
      </w:r>
      <w:r w:rsidRPr="00D012BF">
        <w:rPr>
          <w:rFonts w:ascii="Times New Roman" w:hAnsi="Times New Roman" w:cs="Times New Roman"/>
          <w:color w:val="000000" w:themeColor="text1"/>
          <w:sz w:val="26"/>
          <w:szCs w:val="26"/>
        </w:rPr>
        <w:t>Diana</w:t>
      </w:r>
      <w:r>
        <w:rPr>
          <w:rFonts w:ascii="Times New Roman" w:hAnsi="Times New Roman" w:cs="Times New Roman"/>
          <w:color w:val="000000" w:themeColor="text1"/>
          <w:sz w:val="26"/>
          <w:szCs w:val="26"/>
        </w:rPr>
        <w:t>’s response to our notice of intent to take judicial notice was a document which she</w:t>
      </w:r>
      <w:r w:rsidRPr="00D012BF">
        <w:rPr>
          <w:rFonts w:ascii="Times New Roman" w:hAnsi="Times New Roman" w:cs="Times New Roman"/>
          <w:color w:val="000000" w:themeColor="text1"/>
          <w:sz w:val="26"/>
          <w:szCs w:val="26"/>
        </w:rPr>
        <w:t xml:space="preserve"> describe</w:t>
      </w:r>
      <w:r w:rsidR="006651FF">
        <w:rPr>
          <w:rFonts w:ascii="Times New Roman" w:hAnsi="Times New Roman" w:cs="Times New Roman"/>
          <w:color w:val="000000" w:themeColor="text1"/>
          <w:sz w:val="26"/>
          <w:szCs w:val="26"/>
        </w:rPr>
        <w:t>d</w:t>
      </w:r>
      <w:r w:rsidRPr="00D012BF">
        <w:rPr>
          <w:rFonts w:ascii="Times New Roman" w:hAnsi="Times New Roman" w:cs="Times New Roman"/>
          <w:color w:val="000000" w:themeColor="text1"/>
          <w:sz w:val="26"/>
          <w:szCs w:val="26"/>
        </w:rPr>
        <w:t xml:space="preserve"> as a “high resolution image of the plat map” </w:t>
      </w:r>
      <w:r>
        <w:rPr>
          <w:rFonts w:ascii="Times New Roman" w:hAnsi="Times New Roman" w:cs="Times New Roman"/>
          <w:color w:val="000000" w:themeColor="text1"/>
          <w:sz w:val="26"/>
          <w:szCs w:val="26"/>
        </w:rPr>
        <w:t xml:space="preserve">and </w:t>
      </w:r>
      <w:r w:rsidRPr="00D012BF">
        <w:rPr>
          <w:rFonts w:ascii="Times New Roman" w:hAnsi="Times New Roman" w:cs="Times New Roman"/>
          <w:color w:val="000000" w:themeColor="text1"/>
          <w:sz w:val="26"/>
          <w:szCs w:val="26"/>
        </w:rPr>
        <w:t xml:space="preserve">which, she says, was attached to her motion for new trial.  </w:t>
      </w:r>
      <w:r>
        <w:rPr>
          <w:rFonts w:ascii="Times New Roman" w:hAnsi="Times New Roman" w:cs="Times New Roman"/>
          <w:color w:val="000000" w:themeColor="text1"/>
          <w:sz w:val="26"/>
          <w:szCs w:val="26"/>
        </w:rPr>
        <w:t xml:space="preserve">As we explain below, </w:t>
      </w:r>
      <w:r w:rsidRPr="00D012BF">
        <w:rPr>
          <w:rFonts w:ascii="Times New Roman" w:hAnsi="Times New Roman" w:cs="Times New Roman"/>
          <w:color w:val="000000" w:themeColor="text1"/>
          <w:sz w:val="26"/>
          <w:szCs w:val="26"/>
        </w:rPr>
        <w:t xml:space="preserve">Diana has not challenged the denial </w:t>
      </w:r>
      <w:r>
        <w:rPr>
          <w:rFonts w:ascii="Times New Roman" w:hAnsi="Times New Roman" w:cs="Times New Roman"/>
          <w:color w:val="000000" w:themeColor="text1"/>
          <w:sz w:val="26"/>
          <w:szCs w:val="26"/>
        </w:rPr>
        <w:t>o</w:t>
      </w:r>
      <w:r w:rsidRPr="00D012BF">
        <w:rPr>
          <w:rFonts w:ascii="Times New Roman" w:hAnsi="Times New Roman" w:cs="Times New Roman"/>
          <w:color w:val="000000" w:themeColor="text1"/>
          <w:sz w:val="26"/>
          <w:szCs w:val="26"/>
        </w:rPr>
        <w:t xml:space="preserve">f her motion for new trial.  </w:t>
      </w:r>
      <w:r>
        <w:rPr>
          <w:rFonts w:ascii="Times New Roman" w:hAnsi="Times New Roman" w:cs="Times New Roman"/>
          <w:color w:val="000000" w:themeColor="text1"/>
          <w:sz w:val="26"/>
          <w:szCs w:val="26"/>
        </w:rPr>
        <w:t>She</w:t>
      </w:r>
      <w:r w:rsidR="00B53760">
        <w:rPr>
          <w:rFonts w:ascii="Times New Roman" w:hAnsi="Times New Roman" w:cs="Times New Roman"/>
          <w:color w:val="000000" w:themeColor="text1"/>
          <w:sz w:val="26"/>
          <w:szCs w:val="26"/>
        </w:rPr>
        <w:t xml:space="preserve"> has presented no evidence that the plat </w:t>
      </w:r>
      <w:r w:rsidR="00A667C3">
        <w:rPr>
          <w:rFonts w:ascii="Times New Roman" w:hAnsi="Times New Roman" w:cs="Times New Roman"/>
          <w:color w:val="000000" w:themeColor="text1"/>
          <w:sz w:val="26"/>
          <w:szCs w:val="26"/>
        </w:rPr>
        <w:t xml:space="preserve">map </w:t>
      </w:r>
      <w:r w:rsidR="00B53760">
        <w:rPr>
          <w:rFonts w:ascii="Times New Roman" w:hAnsi="Times New Roman" w:cs="Times New Roman"/>
          <w:color w:val="000000" w:themeColor="text1"/>
          <w:sz w:val="26"/>
          <w:szCs w:val="26"/>
        </w:rPr>
        <w:t xml:space="preserve">is to scale </w:t>
      </w:r>
      <w:r w:rsidR="00623285">
        <w:rPr>
          <w:rFonts w:ascii="Times New Roman" w:hAnsi="Times New Roman" w:cs="Times New Roman"/>
          <w:color w:val="000000" w:themeColor="text1"/>
          <w:sz w:val="26"/>
          <w:szCs w:val="26"/>
        </w:rPr>
        <w:t xml:space="preserve">and would accurately show the size of the angles which might be necessary to </w:t>
      </w:r>
      <w:r w:rsidR="00696FE3">
        <w:rPr>
          <w:rFonts w:ascii="Times New Roman" w:hAnsi="Times New Roman" w:cs="Times New Roman"/>
          <w:color w:val="000000" w:themeColor="text1"/>
          <w:sz w:val="26"/>
          <w:szCs w:val="26"/>
        </w:rPr>
        <w:t xml:space="preserve">accurately </w:t>
      </w:r>
      <w:r w:rsidR="00623285">
        <w:rPr>
          <w:rFonts w:ascii="Times New Roman" w:hAnsi="Times New Roman" w:cs="Times New Roman"/>
          <w:color w:val="000000" w:themeColor="text1"/>
          <w:sz w:val="26"/>
          <w:szCs w:val="26"/>
        </w:rPr>
        <w:t xml:space="preserve">calculate </w:t>
      </w:r>
      <w:r w:rsidR="00FD294A">
        <w:rPr>
          <w:rFonts w:ascii="Times New Roman" w:hAnsi="Times New Roman" w:cs="Times New Roman"/>
          <w:color w:val="000000" w:themeColor="text1"/>
          <w:sz w:val="26"/>
          <w:szCs w:val="26"/>
        </w:rPr>
        <w:t xml:space="preserve">the </w:t>
      </w:r>
      <w:r w:rsidR="00623285">
        <w:rPr>
          <w:rFonts w:ascii="Times New Roman" w:hAnsi="Times New Roman" w:cs="Times New Roman"/>
          <w:color w:val="000000" w:themeColor="text1"/>
          <w:sz w:val="26"/>
          <w:szCs w:val="26"/>
        </w:rPr>
        <w:t>lot size.</w:t>
      </w:r>
      <w:r>
        <w:rPr>
          <w:rFonts w:ascii="Times New Roman" w:hAnsi="Times New Roman" w:cs="Times New Roman"/>
          <w:color w:val="000000" w:themeColor="text1"/>
          <w:sz w:val="26"/>
          <w:szCs w:val="26"/>
        </w:rPr>
        <w:t xml:space="preserve">  </w:t>
      </w:r>
      <w:r w:rsidRPr="00D012BF">
        <w:rPr>
          <w:rFonts w:ascii="Times New Roman" w:hAnsi="Times New Roman" w:cs="Times New Roman"/>
          <w:sz w:val="26"/>
          <w:szCs w:val="26"/>
        </w:rPr>
        <w:t xml:space="preserve">As Andreas argued in his response to our notice of intent to take judicial notice, we do not know whether the diagram presented in Diana’s appellate briefs </w:t>
      </w:r>
      <w:r>
        <w:rPr>
          <w:rFonts w:ascii="Times New Roman" w:hAnsi="Times New Roman" w:cs="Times New Roman"/>
          <w:sz w:val="26"/>
          <w:szCs w:val="26"/>
        </w:rPr>
        <w:t>was</w:t>
      </w:r>
      <w:r w:rsidRPr="00D012BF">
        <w:rPr>
          <w:rFonts w:ascii="Times New Roman" w:hAnsi="Times New Roman" w:cs="Times New Roman"/>
          <w:sz w:val="26"/>
          <w:szCs w:val="26"/>
        </w:rPr>
        <w:t xml:space="preserve"> to scale or otherwise reliable.  “The probative value of maps and plats in establishing facts relating to common-law dedications depends on the circumstances surrounding their preparation, recording, or use.” </w:t>
      </w:r>
      <w:r w:rsidR="00A667C3">
        <w:rPr>
          <w:rFonts w:ascii="Times New Roman" w:hAnsi="Times New Roman" w:cs="Times New Roman"/>
          <w:sz w:val="26"/>
          <w:szCs w:val="26"/>
        </w:rPr>
        <w:t xml:space="preserve"> (26 </w:t>
      </w:r>
      <w:r w:rsidRPr="00D012BF">
        <w:rPr>
          <w:rFonts w:ascii="Times New Roman" w:hAnsi="Times New Roman" w:cs="Times New Roman"/>
          <w:sz w:val="26"/>
          <w:szCs w:val="26"/>
        </w:rPr>
        <w:t>Cal.Jur.3d</w:t>
      </w:r>
      <w:r w:rsidR="00A667C3">
        <w:rPr>
          <w:rFonts w:ascii="Times New Roman" w:hAnsi="Times New Roman" w:cs="Times New Roman"/>
          <w:sz w:val="26"/>
          <w:szCs w:val="26"/>
        </w:rPr>
        <w:t xml:space="preserve"> (2024) Maps and Plats,</w:t>
      </w:r>
      <w:r w:rsidRPr="00D012BF">
        <w:rPr>
          <w:rFonts w:ascii="Times New Roman" w:hAnsi="Times New Roman" w:cs="Times New Roman"/>
          <w:sz w:val="26"/>
          <w:szCs w:val="26"/>
        </w:rPr>
        <w:t xml:space="preserve"> § 74, citing </w:t>
      </w:r>
      <w:r w:rsidRPr="00D012BF">
        <w:rPr>
          <w:rFonts w:ascii="Times New Roman" w:hAnsi="Times New Roman" w:cs="Times New Roman"/>
          <w:i/>
          <w:iCs/>
          <w:sz w:val="26"/>
          <w:szCs w:val="26"/>
        </w:rPr>
        <w:t>City of Manhattan Beach v. Cortelyou</w:t>
      </w:r>
      <w:r w:rsidRPr="00D012BF">
        <w:rPr>
          <w:rFonts w:ascii="Times New Roman" w:hAnsi="Times New Roman" w:cs="Times New Roman"/>
          <w:sz w:val="26"/>
          <w:szCs w:val="26"/>
        </w:rPr>
        <w:t xml:space="preserve"> (1938) 10 Cal.2d 653.)  Further, as Andreas points out</w:t>
      </w:r>
      <w:r w:rsidRPr="00D012BF">
        <w:rPr>
          <w:rFonts w:ascii="Times New Roman" w:hAnsi="Times New Roman" w:cs="Times New Roman"/>
          <w:szCs w:val="26"/>
        </w:rPr>
        <w:t>,</w:t>
      </w:r>
      <w:r w:rsidRPr="00D012BF">
        <w:rPr>
          <w:rFonts w:ascii="Times New Roman" w:hAnsi="Times New Roman" w:cs="Times New Roman"/>
          <w:sz w:val="26"/>
          <w:szCs w:val="26"/>
        </w:rPr>
        <w:t xml:space="preserve"> the parallelogram overlaps the triangle, meaning the overlapping area was double</w:t>
      </w:r>
      <w:r w:rsidRPr="00D012BF">
        <w:rPr>
          <w:rFonts w:ascii="Times New Roman" w:hAnsi="Times New Roman" w:cs="Times New Roman"/>
          <w:sz w:val="26"/>
          <w:szCs w:val="26"/>
        </w:rPr>
        <w:noBreakHyphen/>
        <w:t xml:space="preserve">counted.  </w:t>
      </w:r>
    </w:p>
    <w:p w:rsidR="00D012BF" w:rsidRPr="00D012BF" w:rsidP="00696FE3" w14:paraId="69EF2990" w14:textId="445DE03D">
      <w:pPr>
        <w:tabs>
          <w:tab w:val="left" w:pos="1440"/>
          <w:tab w:val="left" w:pos="2880"/>
          <w:tab w:val="left" w:pos="4320"/>
          <w:tab w:val="left" w:pos="5760"/>
          <w:tab w:val="left" w:pos="7200"/>
          <w:tab w:val="left" w:pos="8640"/>
        </w:tabs>
        <w:spacing w:line="480" w:lineRule="atLeast"/>
        <w:ind w:firstLine="1440"/>
        <w:rPr>
          <w:rFonts w:ascii="Times New Roman" w:hAnsi="Times New Roman" w:cs="Times New Roman"/>
          <w:sz w:val="26"/>
          <w:szCs w:val="26"/>
        </w:rPr>
      </w:pPr>
      <w:r w:rsidRPr="00D012BF">
        <w:rPr>
          <w:rFonts w:ascii="Times New Roman" w:hAnsi="Times New Roman" w:cs="Times New Roman"/>
          <w:sz w:val="26"/>
          <w:szCs w:val="26"/>
        </w:rPr>
        <w:t xml:space="preserve">The best way to measure the area of the lot would be to hire a surveyor, which is what Diana did </w:t>
      </w:r>
      <w:r w:rsidRPr="00D012BF">
        <w:rPr>
          <w:rFonts w:ascii="Times New Roman" w:hAnsi="Times New Roman" w:cs="Times New Roman"/>
          <w:i/>
          <w:iCs/>
          <w:sz w:val="26"/>
          <w:szCs w:val="26"/>
        </w:rPr>
        <w:t xml:space="preserve">after </w:t>
      </w:r>
      <w:r w:rsidRPr="00D012BF">
        <w:rPr>
          <w:rFonts w:ascii="Times New Roman" w:hAnsi="Times New Roman" w:cs="Times New Roman"/>
          <w:sz w:val="26"/>
          <w:szCs w:val="26"/>
        </w:rPr>
        <w:t xml:space="preserve">the trial court rendered a decision.  Diana moved for a new trial based on the surveyor’s report and new appraisals; however, as we shall explain, Diana does not challenge the denial of her new trial motion, which was accomplished by operation of law. </w:t>
      </w:r>
    </w:p>
    <w:p w:rsidR="001C56C1" w:rsidRPr="00D012BF" w:rsidP="00A419B1" w14:paraId="030F2868" w14:textId="0B94F344">
      <w:pPr>
        <w:keepNext/>
        <w:tabs>
          <w:tab w:val="left" w:pos="1440"/>
          <w:tab w:val="left" w:pos="2880"/>
          <w:tab w:val="left" w:pos="4320"/>
          <w:tab w:val="left" w:pos="5760"/>
          <w:tab w:val="left" w:pos="7200"/>
          <w:tab w:val="left" w:pos="8640"/>
        </w:tabs>
        <w:spacing w:before="240" w:line="480" w:lineRule="atLeast"/>
        <w:jc w:val="both"/>
        <w:rPr>
          <w:rFonts w:ascii="Times New Roman" w:hAnsi="Times New Roman" w:cs="Times New Roman"/>
          <w:i/>
          <w:iCs/>
          <w:sz w:val="26"/>
          <w:szCs w:val="26"/>
        </w:rPr>
      </w:pPr>
      <w:r>
        <w:rPr>
          <w:rFonts w:ascii="Times New Roman" w:hAnsi="Times New Roman" w:cs="Times New Roman"/>
          <w:sz w:val="26"/>
          <w:szCs w:val="26"/>
        </w:rPr>
        <w:t xml:space="preserve">IV.  </w:t>
      </w:r>
      <w:r>
        <w:rPr>
          <w:rFonts w:ascii="Times New Roman" w:hAnsi="Times New Roman" w:cs="Times New Roman"/>
          <w:i/>
          <w:iCs/>
          <w:sz w:val="26"/>
          <w:szCs w:val="26"/>
        </w:rPr>
        <w:t>Diana’s Motion for a New Trial</w:t>
      </w:r>
    </w:p>
    <w:p w:rsidR="00A419B1" w:rsidP="00696FE3" w14:paraId="0FFA275E" w14:textId="761BA46C">
      <w:pPr>
        <w:tabs>
          <w:tab w:val="left" w:pos="1440"/>
          <w:tab w:val="left" w:pos="2880"/>
          <w:tab w:val="left" w:pos="4320"/>
          <w:tab w:val="left" w:pos="5760"/>
          <w:tab w:val="left" w:pos="7200"/>
          <w:tab w:val="left" w:pos="8640"/>
        </w:tabs>
        <w:spacing w:line="480" w:lineRule="atLeast"/>
        <w:ind w:firstLine="1440"/>
        <w:rPr>
          <w:rFonts w:ascii="Times New Roman" w:hAnsi="Times New Roman" w:cs="Times New Roman"/>
          <w:sz w:val="26"/>
          <w:szCs w:val="26"/>
        </w:rPr>
      </w:pPr>
      <w:r w:rsidRPr="00A419B1">
        <w:rPr>
          <w:rFonts w:ascii="Times New Roman" w:hAnsi="Times New Roman" w:cs="Times New Roman"/>
          <w:sz w:val="26"/>
          <w:szCs w:val="26"/>
        </w:rPr>
        <w:t xml:space="preserve">In </w:t>
      </w:r>
      <w:r w:rsidR="00A667C3">
        <w:rPr>
          <w:rFonts w:ascii="Times New Roman" w:hAnsi="Times New Roman" w:cs="Times New Roman"/>
          <w:sz w:val="26"/>
          <w:szCs w:val="26"/>
        </w:rPr>
        <w:t xml:space="preserve">Diana’s appellate opening </w:t>
      </w:r>
      <w:r w:rsidRPr="00A419B1">
        <w:rPr>
          <w:rFonts w:ascii="Times New Roman" w:hAnsi="Times New Roman" w:cs="Times New Roman"/>
          <w:sz w:val="26"/>
          <w:szCs w:val="26"/>
        </w:rPr>
        <w:t xml:space="preserve">brief, Diana describes her motion for new trial and explains how it was denied by operation of law after she filed her notice of appeal.  In </w:t>
      </w:r>
      <w:r w:rsidR="00DB027F">
        <w:rPr>
          <w:rFonts w:ascii="Times New Roman" w:hAnsi="Times New Roman" w:cs="Times New Roman"/>
          <w:sz w:val="26"/>
          <w:szCs w:val="26"/>
        </w:rPr>
        <w:t xml:space="preserve">her </w:t>
      </w:r>
      <w:r w:rsidRPr="00A419B1">
        <w:rPr>
          <w:rFonts w:ascii="Times New Roman" w:hAnsi="Times New Roman" w:cs="Times New Roman"/>
          <w:sz w:val="26"/>
          <w:szCs w:val="26"/>
        </w:rPr>
        <w:t>reply</w:t>
      </w:r>
      <w:r w:rsidR="00DB027F">
        <w:rPr>
          <w:rFonts w:ascii="Times New Roman" w:hAnsi="Times New Roman" w:cs="Times New Roman"/>
          <w:sz w:val="26"/>
          <w:szCs w:val="26"/>
        </w:rPr>
        <w:t xml:space="preserve"> brief, she</w:t>
      </w:r>
      <w:r w:rsidRPr="00A419B1">
        <w:rPr>
          <w:rFonts w:ascii="Times New Roman" w:hAnsi="Times New Roman" w:cs="Times New Roman"/>
          <w:sz w:val="26"/>
          <w:szCs w:val="26"/>
        </w:rPr>
        <w:t xml:space="preserve"> responds to what she characterizes as “inaccuracies” in the respondent’s brief regarding her motion for new trial.  </w:t>
      </w:r>
      <w:r w:rsidR="00696FE3">
        <w:rPr>
          <w:rFonts w:ascii="Times New Roman" w:hAnsi="Times New Roman" w:cs="Times New Roman"/>
          <w:sz w:val="26"/>
          <w:szCs w:val="26"/>
        </w:rPr>
        <w:t xml:space="preserve">Despite the many references to the motion for new trial, </w:t>
      </w:r>
      <w:r w:rsidRPr="00A419B1">
        <w:rPr>
          <w:rFonts w:ascii="Times New Roman" w:hAnsi="Times New Roman" w:cs="Times New Roman"/>
          <w:sz w:val="26"/>
          <w:szCs w:val="26"/>
        </w:rPr>
        <w:t xml:space="preserve">in neither </w:t>
      </w:r>
      <w:r w:rsidR="00DB027F">
        <w:rPr>
          <w:rFonts w:ascii="Times New Roman" w:hAnsi="Times New Roman" w:cs="Times New Roman"/>
          <w:sz w:val="26"/>
          <w:szCs w:val="26"/>
        </w:rPr>
        <w:t>her</w:t>
      </w:r>
      <w:r w:rsidRPr="00A419B1">
        <w:rPr>
          <w:rFonts w:ascii="Times New Roman" w:hAnsi="Times New Roman" w:cs="Times New Roman"/>
          <w:sz w:val="26"/>
          <w:szCs w:val="26"/>
        </w:rPr>
        <w:t xml:space="preserve"> opening brief nor </w:t>
      </w:r>
      <w:r w:rsidR="00DB027F">
        <w:rPr>
          <w:rFonts w:ascii="Times New Roman" w:hAnsi="Times New Roman" w:cs="Times New Roman"/>
          <w:sz w:val="26"/>
          <w:szCs w:val="26"/>
        </w:rPr>
        <w:t>her</w:t>
      </w:r>
      <w:r w:rsidRPr="00A419B1">
        <w:rPr>
          <w:rFonts w:ascii="Times New Roman" w:hAnsi="Times New Roman" w:cs="Times New Roman"/>
          <w:sz w:val="26"/>
          <w:szCs w:val="26"/>
        </w:rPr>
        <w:t xml:space="preserve"> reply brief does Diana argue the denial of her motion for new trial by operation of law should be reversed and the new trial motion set for hearing.  The issues presented, argument headings, legal authorities, and arguments </w:t>
      </w:r>
      <w:r w:rsidR="00D30EE0">
        <w:rPr>
          <w:rFonts w:ascii="Times New Roman" w:hAnsi="Times New Roman" w:cs="Times New Roman"/>
          <w:sz w:val="26"/>
          <w:szCs w:val="26"/>
        </w:rPr>
        <w:t xml:space="preserve">made </w:t>
      </w:r>
      <w:r w:rsidRPr="00A419B1">
        <w:rPr>
          <w:rFonts w:ascii="Times New Roman" w:hAnsi="Times New Roman" w:cs="Times New Roman"/>
          <w:sz w:val="26"/>
          <w:szCs w:val="26"/>
        </w:rPr>
        <w:t xml:space="preserve">in Diana’s appellate briefs all concern the trial court’s evidentiary rulings made during trial. </w:t>
      </w:r>
      <w:r>
        <w:rPr>
          <w:rFonts w:ascii="Times New Roman" w:hAnsi="Times New Roman" w:cs="Times New Roman"/>
          <w:sz w:val="26"/>
          <w:szCs w:val="26"/>
        </w:rPr>
        <w:t xml:space="preserve"> </w:t>
      </w:r>
    </w:p>
    <w:p w:rsidR="00A419B1" w:rsidP="00696FE3" w14:paraId="4442A9FE" w14:textId="382453EE">
      <w:pPr>
        <w:tabs>
          <w:tab w:val="left" w:pos="1440"/>
          <w:tab w:val="left" w:pos="2880"/>
          <w:tab w:val="left" w:pos="4320"/>
          <w:tab w:val="left" w:pos="5760"/>
          <w:tab w:val="left" w:pos="7200"/>
          <w:tab w:val="left" w:pos="8640"/>
        </w:tabs>
        <w:spacing w:line="480" w:lineRule="atLeast"/>
        <w:ind w:firstLine="1440"/>
        <w:rPr>
          <w:rFonts w:ascii="Times New Roman" w:hAnsi="Times New Roman" w:cs="Times New Roman"/>
          <w:sz w:val="26"/>
          <w:szCs w:val="26"/>
        </w:rPr>
      </w:pPr>
      <w:r>
        <w:rPr>
          <w:rFonts w:ascii="Times New Roman" w:hAnsi="Times New Roman" w:cs="Times New Roman"/>
          <w:sz w:val="26"/>
          <w:szCs w:val="26"/>
        </w:rPr>
        <w:t>W</w:t>
      </w:r>
      <w:r w:rsidRPr="00A419B1">
        <w:rPr>
          <w:rFonts w:ascii="Times New Roman" w:hAnsi="Times New Roman" w:cs="Times New Roman"/>
          <w:sz w:val="26"/>
          <w:szCs w:val="26"/>
        </w:rPr>
        <w:t xml:space="preserve">e conclude Diana is not challenging the denial of </w:t>
      </w:r>
      <w:r w:rsidR="00DB027F">
        <w:rPr>
          <w:rFonts w:ascii="Times New Roman" w:hAnsi="Times New Roman" w:cs="Times New Roman"/>
          <w:sz w:val="26"/>
          <w:szCs w:val="26"/>
        </w:rPr>
        <w:t xml:space="preserve">her </w:t>
      </w:r>
      <w:r w:rsidRPr="00A419B1">
        <w:rPr>
          <w:rFonts w:ascii="Times New Roman" w:hAnsi="Times New Roman" w:cs="Times New Roman"/>
          <w:sz w:val="26"/>
          <w:szCs w:val="26"/>
        </w:rPr>
        <w:t>motion</w:t>
      </w:r>
      <w:r w:rsidR="00DB027F">
        <w:rPr>
          <w:rFonts w:ascii="Times New Roman" w:hAnsi="Times New Roman" w:cs="Times New Roman"/>
          <w:sz w:val="26"/>
          <w:szCs w:val="26"/>
        </w:rPr>
        <w:t xml:space="preserve"> for new trial</w:t>
      </w:r>
      <w:r w:rsidRPr="00A419B1">
        <w:rPr>
          <w:rFonts w:ascii="Times New Roman" w:hAnsi="Times New Roman" w:cs="Times New Roman"/>
          <w:sz w:val="26"/>
          <w:szCs w:val="26"/>
        </w:rPr>
        <w:t xml:space="preserve"> by operation of law or, if she</w:t>
      </w:r>
      <w:r>
        <w:rPr>
          <w:rFonts w:ascii="Times New Roman" w:hAnsi="Times New Roman" w:cs="Times New Roman"/>
          <w:sz w:val="26"/>
          <w:szCs w:val="26"/>
        </w:rPr>
        <w:t xml:space="preserve"> is</w:t>
      </w:r>
      <w:r w:rsidRPr="00A419B1">
        <w:rPr>
          <w:rFonts w:ascii="Times New Roman" w:hAnsi="Times New Roman" w:cs="Times New Roman"/>
          <w:sz w:val="26"/>
          <w:szCs w:val="26"/>
        </w:rPr>
        <w:t>, the challenge is forfeited.  (</w:t>
      </w:r>
      <w:r w:rsidRPr="00A419B1">
        <w:rPr>
          <w:rFonts w:ascii="Times New Roman" w:hAnsi="Times New Roman" w:cs="Times New Roman"/>
          <w:i/>
          <w:iCs/>
          <w:szCs w:val="26"/>
        </w:rPr>
        <w:t>P</w:t>
      </w:r>
      <w:r w:rsidRPr="00A419B1">
        <w:rPr>
          <w:rFonts w:ascii="Times New Roman" w:hAnsi="Times New Roman" w:cs="Times New Roman"/>
          <w:i/>
          <w:iCs/>
          <w:sz w:val="26"/>
          <w:szCs w:val="26"/>
        </w:rPr>
        <w:t>izarro v. Reynoso</w:t>
      </w:r>
      <w:r w:rsidRPr="00A419B1">
        <w:rPr>
          <w:rFonts w:ascii="Times New Roman" w:hAnsi="Times New Roman" w:cs="Times New Roman"/>
          <w:sz w:val="26"/>
          <w:szCs w:val="26"/>
        </w:rPr>
        <w:t xml:space="preserve"> (2017) 10 Cal.App.5th 172, 179 [argument forfeited because it was neither presented in a separate heading nor developed with reasoned argument and citation to authority]; </w:t>
      </w:r>
      <w:r w:rsidRPr="00A419B1">
        <w:rPr>
          <w:rFonts w:ascii="Times New Roman" w:hAnsi="Times New Roman" w:cs="Times New Roman"/>
          <w:i/>
          <w:iCs/>
          <w:sz w:val="26"/>
          <w:szCs w:val="26"/>
        </w:rPr>
        <w:t>Sweetwater Union High School Dist. v. Julian Union Elementary School Dist.</w:t>
      </w:r>
      <w:r w:rsidRPr="00A419B1">
        <w:rPr>
          <w:rFonts w:ascii="Times New Roman" w:hAnsi="Times New Roman" w:cs="Times New Roman"/>
          <w:sz w:val="26"/>
          <w:szCs w:val="26"/>
        </w:rPr>
        <w:t xml:space="preserve"> (2019) 36 Cal.App.5th 970, 987 [arguments raised for the first time in a reply brief usually are deemed forfeited].)</w:t>
      </w:r>
    </w:p>
    <w:p w:rsidR="0065016D" w:rsidRPr="00A419B1" w:rsidP="00696FE3" w14:paraId="4F6DDAAB" w14:textId="77777777">
      <w:pPr>
        <w:tabs>
          <w:tab w:val="left" w:pos="1440"/>
          <w:tab w:val="left" w:pos="2880"/>
          <w:tab w:val="left" w:pos="4320"/>
          <w:tab w:val="left" w:pos="5760"/>
          <w:tab w:val="left" w:pos="7200"/>
          <w:tab w:val="left" w:pos="8640"/>
        </w:tabs>
        <w:spacing w:line="480" w:lineRule="atLeast"/>
        <w:ind w:firstLine="1440"/>
        <w:rPr>
          <w:rFonts w:ascii="Times New Roman" w:hAnsi="Times New Roman" w:cs="Times New Roman"/>
          <w:sz w:val="26"/>
          <w:szCs w:val="26"/>
        </w:rPr>
      </w:pPr>
    </w:p>
    <w:bookmarkEnd w:id="3"/>
    <w:p w:rsidR="003C622A" w:rsidRPr="0065016D" w:rsidP="002326F6" w14:paraId="7B17091C" w14:textId="77777777">
      <w:pPr>
        <w:keepNext/>
        <w:keepLines/>
        <w:jc w:val="center"/>
        <w:rPr>
          <w:rFonts w:ascii="Times New Roman" w:hAnsi="Times New Roman" w:cs="Times New Roman"/>
          <w:sz w:val="26"/>
          <w:szCs w:val="26"/>
        </w:rPr>
      </w:pPr>
      <w:r w:rsidRPr="0065016D">
        <w:rPr>
          <w:rFonts w:ascii="Times New Roman" w:hAnsi="Times New Roman" w:cs="Times New Roman"/>
          <w:sz w:val="26"/>
          <w:szCs w:val="26"/>
        </w:rPr>
        <w:t>DISPOSITION</w:t>
      </w:r>
    </w:p>
    <w:p w:rsidR="003C622A" w:rsidP="003C622A" w14:paraId="3DC577D3" w14:textId="27001167">
      <w:pPr>
        <w:tabs>
          <w:tab w:val="left" w:pos="1440"/>
          <w:tab w:val="left" w:pos="2880"/>
          <w:tab w:val="left" w:pos="4320"/>
          <w:tab w:val="left" w:pos="5760"/>
          <w:tab w:val="left" w:pos="7200"/>
          <w:tab w:val="left" w:pos="8640"/>
        </w:tabs>
        <w:spacing w:line="480" w:lineRule="atLeast"/>
        <w:ind w:firstLine="144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The judgment is affirmed.  </w:t>
      </w:r>
      <w:r w:rsidR="00DB027F">
        <w:rPr>
          <w:rFonts w:ascii="Times New Roman" w:eastAsia="Times New Roman" w:hAnsi="Times New Roman" w:cs="Times New Roman"/>
          <w:color w:val="000000" w:themeColor="text1"/>
          <w:sz w:val="26"/>
          <w:szCs w:val="26"/>
        </w:rPr>
        <w:t xml:space="preserve">Andreas shall </w:t>
      </w:r>
      <w:r>
        <w:rPr>
          <w:rFonts w:ascii="Times New Roman" w:eastAsia="Times New Roman" w:hAnsi="Times New Roman" w:cs="Times New Roman"/>
          <w:color w:val="000000" w:themeColor="text1"/>
          <w:sz w:val="26"/>
          <w:szCs w:val="26"/>
        </w:rPr>
        <w:t>recover costs on appeal.</w:t>
      </w:r>
    </w:p>
    <w:p w:rsidR="003C622A" w:rsidP="003C622A" w14:paraId="5B92AED8" w14:textId="77777777">
      <w:pPr>
        <w:tabs>
          <w:tab w:val="left" w:pos="1440"/>
          <w:tab w:val="left" w:pos="2880"/>
          <w:tab w:val="left" w:pos="4320"/>
          <w:tab w:val="left" w:pos="5760"/>
          <w:tab w:val="left" w:pos="7200"/>
          <w:tab w:val="left" w:pos="8640"/>
        </w:tabs>
        <w:spacing w:line="480" w:lineRule="atLeast"/>
        <w:jc w:val="both"/>
        <w:rPr>
          <w:rFonts w:ascii="Times New Roman" w:eastAsia="Times New Roman" w:hAnsi="Times New Roman" w:cs="Times New Roman"/>
          <w:color w:val="000000" w:themeColor="text1"/>
          <w:sz w:val="26"/>
          <w:szCs w:val="26"/>
        </w:rPr>
      </w:pPr>
    </w:p>
    <w:p w:rsidR="003C622A" w:rsidP="003C622A" w14:paraId="254A8277" w14:textId="77777777">
      <w:pPr>
        <w:keepNext/>
        <w:tabs>
          <w:tab w:val="left" w:pos="5040"/>
        </w:tabs>
        <w:jc w:val="both"/>
        <w:rPr>
          <w:rFonts w:ascii="Times New Roman" w:eastAsia="Times New Roman" w:hAnsi="Times New Roman" w:cs="Times New Roman"/>
          <w:color w:val="000000" w:themeColor="text1"/>
          <w:sz w:val="26"/>
          <w:szCs w:val="26"/>
        </w:rPr>
      </w:pPr>
    </w:p>
    <w:p w:rsidR="003C622A" w:rsidP="003C622A" w14:paraId="367BDB95" w14:textId="5555D265">
      <w:pPr>
        <w:keepNext/>
        <w:tabs>
          <w:tab w:val="left" w:pos="5040"/>
        </w:tabs>
        <w:jc w:val="both"/>
        <w:rPr>
          <w:rFonts w:ascii="Times New Roman" w:eastAsia="Times New Roman" w:hAnsi="Times New Roman" w:cs="Times New Roman"/>
          <w:color w:val="000000" w:themeColor="text1"/>
          <w:sz w:val="26"/>
          <w:szCs w:val="26"/>
        </w:rPr>
      </w:pPr>
    </w:p>
    <w:p w:rsidR="003C622A" w:rsidP="003C622A" w14:paraId="48A3C07D" w14:textId="77777777">
      <w:pPr>
        <w:keepNext/>
        <w:tabs>
          <w:tab w:val="left" w:pos="5040"/>
        </w:tabs>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b/>
        <w:t>SANCHEZ, J.</w:t>
      </w:r>
    </w:p>
    <w:p w:rsidR="003C622A" w:rsidP="003C622A" w14:paraId="4D1C61B0" w14:textId="77777777">
      <w:pPr>
        <w:keepNext/>
        <w:tabs>
          <w:tab w:val="left" w:pos="5040"/>
        </w:tabs>
        <w:jc w:val="both"/>
        <w:rPr>
          <w:rFonts w:ascii="Times New Roman" w:eastAsia="Times New Roman" w:hAnsi="Times New Roman" w:cs="Times New Roman"/>
          <w:color w:val="000000" w:themeColor="text1"/>
          <w:sz w:val="26"/>
          <w:szCs w:val="26"/>
        </w:rPr>
      </w:pPr>
    </w:p>
    <w:p w:rsidR="003C622A" w:rsidP="003C622A" w14:paraId="54DC7474" w14:textId="77777777">
      <w:pPr>
        <w:keepNext/>
        <w:tabs>
          <w:tab w:val="left" w:pos="5040"/>
        </w:tabs>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WE CONCUR:</w:t>
      </w:r>
    </w:p>
    <w:p w:rsidR="003C622A" w:rsidP="003C622A" w14:paraId="286C65FA" w14:textId="77777777">
      <w:pPr>
        <w:keepNext/>
        <w:tabs>
          <w:tab w:val="left" w:pos="5040"/>
        </w:tabs>
        <w:jc w:val="both"/>
        <w:rPr>
          <w:rFonts w:ascii="Times New Roman" w:eastAsia="Times New Roman" w:hAnsi="Times New Roman" w:cs="Times New Roman"/>
          <w:color w:val="000000" w:themeColor="text1"/>
          <w:sz w:val="26"/>
          <w:szCs w:val="26"/>
        </w:rPr>
      </w:pPr>
    </w:p>
    <w:p w:rsidR="003C622A" w:rsidP="003C622A" w14:paraId="6190E782" w14:textId="77777777">
      <w:pPr>
        <w:keepNext/>
        <w:tabs>
          <w:tab w:val="left" w:pos="5040"/>
        </w:tabs>
        <w:jc w:val="both"/>
        <w:rPr>
          <w:rFonts w:ascii="Times New Roman" w:eastAsia="Times New Roman" w:hAnsi="Times New Roman" w:cs="Times New Roman"/>
          <w:color w:val="000000" w:themeColor="text1"/>
          <w:sz w:val="26"/>
          <w:szCs w:val="26"/>
        </w:rPr>
      </w:pPr>
    </w:p>
    <w:p w:rsidR="003C622A" w:rsidP="003C622A" w14:paraId="0F0E4F34" w14:textId="499B336E">
      <w:pPr>
        <w:keepNext/>
        <w:tabs>
          <w:tab w:val="left" w:pos="5040"/>
        </w:tabs>
        <w:jc w:val="both"/>
        <w:rPr>
          <w:rFonts w:ascii="Times New Roman" w:eastAsia="Times New Roman" w:hAnsi="Times New Roman" w:cs="Times New Roman"/>
          <w:color w:val="000000" w:themeColor="text1"/>
          <w:sz w:val="26"/>
          <w:szCs w:val="26"/>
        </w:rPr>
      </w:pPr>
    </w:p>
    <w:p w:rsidR="003C622A" w:rsidP="003C622A" w14:paraId="330143BA" w14:textId="77777777">
      <w:pPr>
        <w:keepNext/>
        <w:tabs>
          <w:tab w:val="left" w:pos="5040"/>
        </w:tabs>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BEDSWORTH, ACTING P. J.</w:t>
      </w:r>
    </w:p>
    <w:p w:rsidR="003C622A" w:rsidP="003C622A" w14:paraId="528FF522" w14:textId="77777777">
      <w:pPr>
        <w:keepNext/>
        <w:tabs>
          <w:tab w:val="left" w:pos="5040"/>
        </w:tabs>
        <w:jc w:val="both"/>
        <w:rPr>
          <w:rFonts w:ascii="Times New Roman" w:eastAsia="Times New Roman" w:hAnsi="Times New Roman" w:cs="Times New Roman"/>
          <w:color w:val="000000" w:themeColor="text1"/>
          <w:sz w:val="26"/>
          <w:szCs w:val="26"/>
        </w:rPr>
      </w:pPr>
    </w:p>
    <w:p w:rsidR="003C622A" w:rsidP="003C622A" w14:paraId="77BC0CE3" w14:textId="77777777">
      <w:pPr>
        <w:keepNext/>
        <w:tabs>
          <w:tab w:val="left" w:pos="5040"/>
        </w:tabs>
        <w:jc w:val="both"/>
        <w:rPr>
          <w:rFonts w:ascii="Times New Roman" w:eastAsia="Times New Roman" w:hAnsi="Times New Roman" w:cs="Times New Roman"/>
          <w:color w:val="000000" w:themeColor="text1"/>
          <w:sz w:val="26"/>
          <w:szCs w:val="26"/>
        </w:rPr>
      </w:pPr>
    </w:p>
    <w:p w:rsidR="003C622A" w:rsidP="003C622A" w14:paraId="0447641E" w14:textId="1ADD082F">
      <w:pPr>
        <w:keepNext/>
        <w:tabs>
          <w:tab w:val="left" w:pos="5040"/>
        </w:tabs>
        <w:jc w:val="both"/>
        <w:rPr>
          <w:rFonts w:ascii="Times New Roman" w:eastAsia="Times New Roman" w:hAnsi="Times New Roman" w:cs="Times New Roman"/>
          <w:color w:val="000000" w:themeColor="text1"/>
          <w:sz w:val="26"/>
          <w:szCs w:val="26"/>
        </w:rPr>
      </w:pPr>
    </w:p>
    <w:p w:rsidR="00A8664E" w:rsidP="003C622A" w14:paraId="41D88BEB" w14:textId="2150A235">
      <w:pPr>
        <w:keepNext/>
        <w:tabs>
          <w:tab w:val="left" w:pos="5040"/>
        </w:tabs>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MOTOIKE, J.</w:t>
      </w:r>
    </w:p>
    <w:sectPr w:rsidSect="000B1148">
      <w:footerReference w:type="even" r:id="rId6"/>
      <w:footerReference w:type="default" r:id="rId7"/>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1148" w:rsidP="00815BF6" w14:paraId="2E35E872"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D729DB">
      <w:rPr>
        <w:rStyle w:val="PageNumber"/>
      </w:rPr>
      <w:fldChar w:fldCharType="separate"/>
    </w:r>
    <w:r>
      <w:rPr>
        <w:rStyle w:val="PageNumber"/>
      </w:rPr>
      <w:fldChar w:fldCharType="end"/>
    </w:r>
  </w:p>
  <w:p w:rsidR="000B1148" w14:paraId="65232CD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1148" w:rsidP="00815BF6" w14:paraId="5C896D1B"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15</w:t>
    </w:r>
    <w:r>
      <w:rPr>
        <w:rStyle w:val="PageNumber"/>
      </w:rPr>
      <w:fldChar w:fldCharType="end"/>
    </w:r>
  </w:p>
  <w:p w:rsidR="000B1148" w14:paraId="1F2B8BB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B1148" w:rsidP="000B1148" w14:paraId="79B0C880" w14:textId="77777777">
      <w:r>
        <w:separator/>
      </w:r>
    </w:p>
  </w:footnote>
  <w:footnote w:type="continuationSeparator" w:id="1">
    <w:p w:rsidR="000B1148" w:rsidP="000B1148" w14:paraId="02DF97A0" w14:textId="77777777">
      <w:r>
        <w:continuationSeparator/>
      </w:r>
    </w:p>
  </w:footnote>
  <w:footnote w:id="2">
    <w:p w:rsidR="00985F7D" w:rsidP="00985F7D" w14:paraId="0CABB8FB" w14:textId="77777777">
      <w:pPr>
        <w:pStyle w:val="FootnoteText"/>
      </w:pPr>
      <w:r>
        <w:tab/>
      </w:r>
      <w:r w:rsidRPr="00AB79DB">
        <w:rPr>
          <w:rStyle w:val="FootnoteReference"/>
          <w:sz w:val="26"/>
          <w:szCs w:val="26"/>
        </w:rPr>
        <w:footnoteRef/>
      </w:r>
      <w:bookmarkStart w:id="1" w:name="_Hlk131414960"/>
      <w:r w:rsidRPr="00AB79DB">
        <w:rPr>
          <w:szCs w:val="26"/>
        </w:rPr>
        <w:t xml:space="preserve"> </w:t>
      </w:r>
      <w:r>
        <w:t xml:space="preserve"> As is customary in family law cases, we refer to the parties by first name to avoid confusion, and not out of disrespect.</w:t>
      </w:r>
      <w:bookmarkEnd w:id="1"/>
    </w:p>
  </w:footnote>
  <w:footnote w:id="3">
    <w:p w:rsidR="000B1148" w:rsidRPr="002326F6" w:rsidP="00D245BB" w14:paraId="3010932B" w14:textId="10A247C3">
      <w:pPr>
        <w:rPr>
          <w:rFonts w:ascii="Times New Roman" w:hAnsi="Times New Roman" w:cs="Times New Roman"/>
          <w:sz w:val="26"/>
          <w:szCs w:val="26"/>
        </w:rPr>
      </w:pPr>
      <w:r>
        <w:tab/>
      </w:r>
      <w:r w:rsidR="00521173">
        <w:tab/>
      </w:r>
      <w:r w:rsidRPr="006302BD">
        <w:rPr>
          <w:rStyle w:val="FootnoteReference"/>
          <w:sz w:val="26"/>
          <w:szCs w:val="26"/>
        </w:rPr>
        <w:footnoteRef/>
      </w:r>
      <w:r w:rsidRPr="006302BD">
        <w:rPr>
          <w:szCs w:val="26"/>
        </w:rPr>
        <w:t xml:space="preserve"> </w:t>
      </w:r>
      <w:r>
        <w:rPr>
          <w:szCs w:val="26"/>
        </w:rPr>
        <w:t xml:space="preserve"> </w:t>
      </w:r>
      <w:r w:rsidRPr="007E2A2B">
        <w:rPr>
          <w:rFonts w:ascii="Times New Roman" w:hAnsi="Times New Roman" w:cs="Times New Roman"/>
          <w:sz w:val="26"/>
          <w:szCs w:val="26"/>
        </w:rPr>
        <w:t xml:space="preserve">Diana’s </w:t>
      </w:r>
      <w:r>
        <w:rPr>
          <w:rFonts w:ascii="Times New Roman" w:hAnsi="Times New Roman" w:cs="Times New Roman"/>
          <w:sz w:val="26"/>
          <w:szCs w:val="26"/>
        </w:rPr>
        <w:t xml:space="preserve">counsel </w:t>
      </w:r>
      <w:r w:rsidRPr="007E2A2B">
        <w:rPr>
          <w:rFonts w:ascii="Times New Roman" w:hAnsi="Times New Roman" w:cs="Times New Roman"/>
          <w:sz w:val="26"/>
          <w:szCs w:val="26"/>
        </w:rPr>
        <w:t xml:space="preserve">moved for </w:t>
      </w:r>
      <w:r w:rsidR="00320C65">
        <w:rPr>
          <w:rFonts w:ascii="Times New Roman" w:hAnsi="Times New Roman" w:cs="Times New Roman"/>
          <w:sz w:val="26"/>
          <w:szCs w:val="26"/>
        </w:rPr>
        <w:t xml:space="preserve">a </w:t>
      </w:r>
      <w:r w:rsidRPr="007E2A2B">
        <w:rPr>
          <w:rFonts w:ascii="Times New Roman" w:hAnsi="Times New Roman" w:cs="Times New Roman"/>
          <w:sz w:val="26"/>
          <w:szCs w:val="26"/>
        </w:rPr>
        <w:t xml:space="preserve">new trial on the grounds of irregularity in proceedings and unfair surprise.  (Code Civ. Proc. § 657, subds. (1), (3).)  As to irregularity in proceedings, </w:t>
      </w:r>
      <w:r w:rsidR="00320C65">
        <w:rPr>
          <w:rFonts w:ascii="Times New Roman" w:hAnsi="Times New Roman" w:cs="Times New Roman"/>
          <w:sz w:val="26"/>
          <w:szCs w:val="26"/>
        </w:rPr>
        <w:t>Counsel</w:t>
      </w:r>
      <w:r w:rsidRPr="007E2A2B">
        <w:rPr>
          <w:rFonts w:ascii="Times New Roman" w:hAnsi="Times New Roman" w:cs="Times New Roman"/>
          <w:sz w:val="26"/>
          <w:szCs w:val="26"/>
        </w:rPr>
        <w:t xml:space="preserve"> argued</w:t>
      </w:r>
      <w:r w:rsidR="00320C65">
        <w:rPr>
          <w:rFonts w:ascii="Times New Roman" w:hAnsi="Times New Roman" w:cs="Times New Roman"/>
          <w:sz w:val="26"/>
          <w:szCs w:val="26"/>
        </w:rPr>
        <w:t>,</w:t>
      </w:r>
      <w:r w:rsidRPr="007E2A2B">
        <w:rPr>
          <w:rFonts w:ascii="Times New Roman" w:hAnsi="Times New Roman" w:cs="Times New Roman"/>
          <w:sz w:val="26"/>
          <w:szCs w:val="26"/>
        </w:rPr>
        <w:t xml:space="preserve"> “Diana and her expert, Kristina L. Burke . . . were deprived of the opportunity to present full testimony regarding the lot size of the Family Residence, even though the plat maps attached to both appraisal reports admitted into evidence demonstrated the area for the lot exceeded 9,000 square feet.”  As to surprise, </w:t>
      </w:r>
      <w:r w:rsidR="00320C65">
        <w:rPr>
          <w:rFonts w:ascii="Times New Roman" w:hAnsi="Times New Roman" w:cs="Times New Roman"/>
          <w:sz w:val="26"/>
          <w:szCs w:val="26"/>
        </w:rPr>
        <w:t>counsel argued,</w:t>
      </w:r>
      <w:r w:rsidRPr="007E2A2B">
        <w:rPr>
          <w:rFonts w:ascii="Times New Roman" w:hAnsi="Times New Roman" w:cs="Times New Roman"/>
          <w:sz w:val="26"/>
          <w:szCs w:val="26"/>
        </w:rPr>
        <w:t xml:space="preserve"> “The normally</w:t>
      </w:r>
      <w:r w:rsidRPr="007E2A2B">
        <w:rPr>
          <w:rFonts w:ascii="Times New Roman" w:hAnsi="Times New Roman" w:cs="Times New Roman"/>
          <w:sz w:val="26"/>
          <w:szCs w:val="26"/>
        </w:rPr>
        <w:noBreakHyphen/>
        <w:t>accurate [</w:t>
      </w:r>
      <w:r w:rsidRPr="007E2A2B">
        <w:rPr>
          <w:rFonts w:ascii="Times New Roman" w:hAnsi="Times New Roman" w:cs="Times New Roman"/>
          <w:i/>
          <w:iCs/>
          <w:sz w:val="26"/>
          <w:szCs w:val="26"/>
        </w:rPr>
        <w:t>sic</w:t>
      </w:r>
      <w:r w:rsidRPr="007E2A2B">
        <w:rPr>
          <w:rFonts w:ascii="Times New Roman" w:hAnsi="Times New Roman" w:cs="Times New Roman"/>
          <w:sz w:val="26"/>
          <w:szCs w:val="26"/>
        </w:rPr>
        <w:t xml:space="preserve">] databases used by real estate professionals for property information—CRMSL, Realist, and Datatree—had the incorrect lot size for the Family residence.”  Diana submitted as </w:t>
      </w:r>
      <w:r>
        <w:rPr>
          <w:rFonts w:ascii="Times New Roman" w:hAnsi="Times New Roman" w:cs="Times New Roman"/>
          <w:sz w:val="26"/>
          <w:szCs w:val="26"/>
        </w:rPr>
        <w:t xml:space="preserve">an </w:t>
      </w:r>
      <w:r w:rsidRPr="007E2A2B">
        <w:rPr>
          <w:rFonts w:ascii="Times New Roman" w:hAnsi="Times New Roman" w:cs="Times New Roman"/>
          <w:sz w:val="26"/>
          <w:szCs w:val="26"/>
        </w:rPr>
        <w:t>exhibit to her motion for new trial the two new appraisal reports based on a 10,455.29 square f</w:t>
      </w:r>
      <w:r w:rsidR="00486367">
        <w:rPr>
          <w:rFonts w:ascii="Times New Roman" w:hAnsi="Times New Roman" w:cs="Times New Roman"/>
          <w:sz w:val="26"/>
          <w:szCs w:val="26"/>
        </w:rPr>
        <w:t>oot lot</w:t>
      </w:r>
      <w:r w:rsidRPr="007E2A2B">
        <w:rPr>
          <w:rFonts w:ascii="Times New Roman" w:hAnsi="Times New Roman" w:cs="Times New Roman"/>
          <w:sz w:val="26"/>
          <w:szCs w:val="26"/>
        </w:rPr>
        <w:t xml:space="preserve">.  </w:t>
      </w:r>
    </w:p>
  </w:footnote>
  <w:footnote w:id="4">
    <w:p w:rsidR="000B1148" w:rsidP="002326F6" w14:paraId="2ABEE13B" w14:textId="77777777">
      <w:pPr>
        <w:ind w:firstLine="1440"/>
        <w:jc w:val="both"/>
        <w:rPr>
          <w:rFonts w:ascii="Times New Roman" w:hAnsi="Times New Roman" w:cs="Times New Roman"/>
          <w:sz w:val="26"/>
          <w:szCs w:val="26"/>
        </w:rPr>
      </w:pPr>
      <w:r w:rsidRPr="0085328B">
        <w:rPr>
          <w:rStyle w:val="FootnoteReference"/>
          <w:sz w:val="26"/>
          <w:szCs w:val="26"/>
        </w:rPr>
        <w:footnoteRef/>
      </w:r>
      <w:r w:rsidRPr="0085328B">
        <w:rPr>
          <w:szCs w:val="26"/>
        </w:rPr>
        <w:t xml:space="preserve"> </w:t>
      </w:r>
      <w:r w:rsidRPr="00FD301A">
        <w:rPr>
          <w:rFonts w:ascii="Times New Roman" w:hAnsi="Times New Roman" w:cs="Times New Roman"/>
          <w:sz w:val="26"/>
          <w:szCs w:val="26"/>
        </w:rPr>
        <w:t xml:space="preserve"> Diana’s five arguments are:</w:t>
      </w:r>
    </w:p>
    <w:p w:rsidR="000B1148" w:rsidP="00D245BB" w14:paraId="2784DCF6" w14:textId="7E292E0F">
      <w:pPr>
        <w:ind w:firstLine="1440"/>
        <w:rPr>
          <w:rFonts w:ascii="Times New Roman" w:hAnsi="Times New Roman" w:cs="Times New Roman"/>
          <w:sz w:val="26"/>
          <w:szCs w:val="26"/>
        </w:rPr>
      </w:pPr>
      <w:r w:rsidRPr="00FD301A">
        <w:rPr>
          <w:rFonts w:ascii="Times New Roman" w:hAnsi="Times New Roman" w:cs="Times New Roman"/>
          <w:sz w:val="26"/>
          <w:szCs w:val="26"/>
        </w:rPr>
        <w:t>1.  “The trial court abused its discretion on the second day of trial when it refused to allow testimony that the Family Residence’s lot exceeded 9,000 square feet.”  The trial court’s ruling being challenged is at reporter’s transcript 57:19-58:3</w:t>
      </w:r>
      <w:r>
        <w:rPr>
          <w:rFonts w:ascii="Times New Roman" w:hAnsi="Times New Roman" w:cs="Times New Roman"/>
          <w:sz w:val="26"/>
          <w:szCs w:val="26"/>
        </w:rPr>
        <w:t>.</w:t>
      </w:r>
    </w:p>
    <w:p w:rsidR="000B1148" w:rsidP="00D245BB" w14:paraId="0DEF7F4A" w14:textId="32AEB2F4">
      <w:pPr>
        <w:ind w:firstLine="1440"/>
        <w:rPr>
          <w:rFonts w:ascii="Times New Roman" w:hAnsi="Times New Roman" w:cs="Times New Roman"/>
          <w:sz w:val="26"/>
          <w:szCs w:val="26"/>
        </w:rPr>
      </w:pPr>
      <w:r w:rsidRPr="00FD301A">
        <w:rPr>
          <w:rFonts w:ascii="Times New Roman" w:hAnsi="Times New Roman" w:cs="Times New Roman"/>
          <w:sz w:val="26"/>
          <w:szCs w:val="26"/>
        </w:rPr>
        <w:t>2.  “The trial court abused its discretion in preventing appellant’s expert from offering testimony that the square footage of the family residence’s lot exceeded the amount listed in her report.”  The trial court’s ruling being challenged is at reporter’s transcript 59:2-60:5.</w:t>
      </w:r>
    </w:p>
    <w:p w:rsidR="000B1148" w:rsidP="00D245BB" w14:paraId="22DD94BB" w14:textId="57337EFA">
      <w:pPr>
        <w:ind w:firstLine="1440"/>
        <w:rPr>
          <w:rFonts w:ascii="Times New Roman" w:hAnsi="Times New Roman" w:cs="Times New Roman"/>
          <w:sz w:val="26"/>
          <w:szCs w:val="26"/>
        </w:rPr>
      </w:pPr>
      <w:r w:rsidRPr="00FD301A">
        <w:rPr>
          <w:rFonts w:ascii="Times New Roman" w:hAnsi="Times New Roman" w:cs="Times New Roman"/>
          <w:sz w:val="26"/>
          <w:szCs w:val="26"/>
        </w:rPr>
        <w:t>3.  “The trial court failed to conduct a circumscribed inquiry into the basis for Appellant’s Expert’s conclusion that the Family Residence’s lot exceeded 9,000 square feet and wrongfully pr</w:t>
      </w:r>
      <w:r w:rsidR="008827D1">
        <w:rPr>
          <w:rFonts w:ascii="Times New Roman" w:hAnsi="Times New Roman" w:cs="Times New Roman"/>
          <w:sz w:val="26"/>
          <w:szCs w:val="26"/>
        </w:rPr>
        <w:t>evented</w:t>
      </w:r>
      <w:r w:rsidRPr="00FD301A">
        <w:rPr>
          <w:rFonts w:ascii="Times New Roman" w:hAnsi="Times New Roman" w:cs="Times New Roman"/>
          <w:sz w:val="26"/>
          <w:szCs w:val="26"/>
        </w:rPr>
        <w:t xml:space="preserve"> Appellant from pre</w:t>
      </w:r>
      <w:r w:rsidR="008827D1">
        <w:rPr>
          <w:rFonts w:ascii="Times New Roman" w:hAnsi="Times New Roman" w:cs="Times New Roman"/>
          <w:sz w:val="26"/>
          <w:szCs w:val="26"/>
        </w:rPr>
        <w:t>senting</w:t>
      </w:r>
      <w:r w:rsidRPr="00FD301A">
        <w:rPr>
          <w:rFonts w:ascii="Times New Roman" w:hAnsi="Times New Roman" w:cs="Times New Roman"/>
          <w:sz w:val="26"/>
          <w:szCs w:val="26"/>
        </w:rPr>
        <w:t xml:space="preserve"> evidence that [the] basis for the conclusion of Appellant’s expert was reasonable. ”  The trial court’s ruling being challenged is at reporter’s transcript 59:2-6 (partly the same as issue 2)</w:t>
      </w:r>
      <w:r>
        <w:rPr>
          <w:rFonts w:ascii="Times New Roman" w:hAnsi="Times New Roman" w:cs="Times New Roman"/>
          <w:sz w:val="26"/>
          <w:szCs w:val="26"/>
        </w:rPr>
        <w:t>.</w:t>
      </w:r>
    </w:p>
    <w:p w:rsidR="000B1148" w:rsidP="00D245BB" w14:paraId="461758DD" w14:textId="6F4423A9">
      <w:pPr>
        <w:ind w:firstLine="1440"/>
        <w:rPr>
          <w:rFonts w:ascii="Times New Roman" w:hAnsi="Times New Roman" w:cs="Times New Roman"/>
          <w:sz w:val="26"/>
          <w:szCs w:val="26"/>
        </w:rPr>
      </w:pPr>
      <w:r w:rsidRPr="00FD301A">
        <w:rPr>
          <w:rFonts w:ascii="Times New Roman" w:hAnsi="Times New Roman" w:cs="Times New Roman"/>
          <w:sz w:val="26"/>
          <w:szCs w:val="26"/>
        </w:rPr>
        <w:t>4.  “The trial court erred by excluding evidence . . . regard[ing] the size of the Family Residence lot that showed an error in the data relied upon by Respondent’s Expert and by preventing Appellant from using such evidence to challenge the opinion of Respondent’s Expert.”  The trial court’s ruling being challenged is at reporter’s transcript 98:19-21.</w:t>
      </w:r>
    </w:p>
    <w:p w:rsidR="000B1148" w:rsidRPr="00B0703B" w:rsidP="00D245BB" w14:paraId="3F2D111C" w14:textId="4CAE7705">
      <w:pPr>
        <w:ind w:firstLine="1440"/>
      </w:pPr>
      <w:r w:rsidRPr="00FD301A">
        <w:rPr>
          <w:rFonts w:ascii="Times New Roman" w:hAnsi="Times New Roman" w:cs="Times New Roman"/>
          <w:sz w:val="26"/>
          <w:szCs w:val="26"/>
        </w:rPr>
        <w:t xml:space="preserve">5.  “Whether the exclusion of evidence that the Family Residence’s lot exceeded 9,000 square feet prejudiced [Diana].”   </w:t>
      </w:r>
    </w:p>
  </w:footnote>
  <w:footnote w:id="5">
    <w:p w:rsidR="009700F3" w:rsidRPr="001C56C1" w:rsidP="00D245BB" w14:paraId="75B886BE" w14:textId="799F0586">
      <w:pPr>
        <w:tabs>
          <w:tab w:val="left" w:pos="1440"/>
        </w:tabs>
        <w:rPr>
          <w:rFonts w:ascii="Times New Roman" w:hAnsi="Times New Roman" w:cs="Times New Roman"/>
          <w:sz w:val="26"/>
          <w:szCs w:val="26"/>
        </w:rPr>
      </w:pPr>
      <w:r>
        <w:tab/>
      </w:r>
      <w:r w:rsidRPr="00443297">
        <w:rPr>
          <w:rStyle w:val="FootnoteReference"/>
          <w:sz w:val="26"/>
          <w:szCs w:val="26"/>
        </w:rPr>
        <w:footnoteRef/>
      </w:r>
      <w:r>
        <w:t xml:space="preserve">  </w:t>
      </w:r>
      <w:r w:rsidRPr="001C56C1">
        <w:rPr>
          <w:rFonts w:ascii="Times New Roman" w:hAnsi="Times New Roman" w:cs="Times New Roman"/>
          <w:sz w:val="26"/>
          <w:szCs w:val="26"/>
        </w:rPr>
        <w:t xml:space="preserve">The portion of </w:t>
      </w:r>
      <w:r w:rsidRPr="001C56C1">
        <w:rPr>
          <w:rFonts w:ascii="Times New Roman" w:hAnsi="Times New Roman" w:cs="Times New Roman"/>
          <w:i/>
          <w:iCs/>
          <w:sz w:val="26"/>
          <w:szCs w:val="26"/>
        </w:rPr>
        <w:t xml:space="preserve">Sanchez </w:t>
      </w:r>
      <w:r w:rsidRPr="001C56C1">
        <w:rPr>
          <w:rFonts w:ascii="Times New Roman" w:hAnsi="Times New Roman" w:cs="Times New Roman"/>
          <w:sz w:val="26"/>
          <w:szCs w:val="26"/>
        </w:rPr>
        <w:t xml:space="preserve">addressing the </w:t>
      </w:r>
      <w:r w:rsidR="00F775F8">
        <w:rPr>
          <w:rFonts w:ascii="Times New Roman" w:hAnsi="Times New Roman" w:cs="Times New Roman"/>
          <w:sz w:val="26"/>
          <w:szCs w:val="26"/>
        </w:rPr>
        <w:t>S</w:t>
      </w:r>
      <w:r w:rsidRPr="001C56C1">
        <w:rPr>
          <w:rFonts w:ascii="Times New Roman" w:hAnsi="Times New Roman" w:cs="Times New Roman"/>
          <w:sz w:val="26"/>
          <w:szCs w:val="26"/>
        </w:rPr>
        <w:t xml:space="preserve">ixth </w:t>
      </w:r>
      <w:r w:rsidR="00F775F8">
        <w:rPr>
          <w:rFonts w:ascii="Times New Roman" w:hAnsi="Times New Roman" w:cs="Times New Roman"/>
          <w:sz w:val="26"/>
          <w:szCs w:val="26"/>
        </w:rPr>
        <w:t>A</w:t>
      </w:r>
      <w:r w:rsidRPr="001C56C1">
        <w:rPr>
          <w:rFonts w:ascii="Times New Roman" w:hAnsi="Times New Roman" w:cs="Times New Roman"/>
          <w:sz w:val="26"/>
          <w:szCs w:val="26"/>
        </w:rPr>
        <w:t>mendment right to confront witnesses does not apply to civil proceedings because “[t]here is no right to confrontation under the state and federal confrontation clause in civil proceedings.”  (</w:t>
      </w:r>
      <w:r w:rsidRPr="001C56C1">
        <w:rPr>
          <w:rFonts w:ascii="Times New Roman" w:hAnsi="Times New Roman" w:cs="Times New Roman"/>
          <w:i/>
          <w:iCs/>
          <w:sz w:val="26"/>
          <w:szCs w:val="26"/>
        </w:rPr>
        <w:t>People v. Otto</w:t>
      </w:r>
      <w:r w:rsidRPr="001C56C1">
        <w:rPr>
          <w:rFonts w:ascii="Times New Roman" w:hAnsi="Times New Roman" w:cs="Times New Roman"/>
          <w:sz w:val="26"/>
          <w:szCs w:val="26"/>
        </w:rPr>
        <w:t xml:space="preserve"> (2001) 26 Cal.4th 200, 214.)</w:t>
      </w:r>
    </w:p>
  </w:footnote>
  <w:footnote w:id="6">
    <w:p w:rsidR="00D012BF" w:rsidRPr="00524FB2" w:rsidP="00696FE3" w14:paraId="35579232" w14:textId="7FFEAB88">
      <w:pPr>
        <w:pStyle w:val="FootnoteText"/>
        <w:rPr>
          <w:szCs w:val="26"/>
        </w:rPr>
      </w:pPr>
      <w:r>
        <w:rPr>
          <w:sz w:val="28"/>
          <w:szCs w:val="28"/>
        </w:rPr>
        <w:tab/>
      </w:r>
      <w:r w:rsidRPr="00A0050E">
        <w:rPr>
          <w:rStyle w:val="FootnoteReference"/>
          <w:sz w:val="28"/>
          <w:szCs w:val="28"/>
        </w:rPr>
        <w:footnoteRef/>
      </w:r>
      <w:r w:rsidRPr="00A0050E">
        <w:rPr>
          <w:sz w:val="28"/>
          <w:szCs w:val="28"/>
        </w:rPr>
        <w:t xml:space="preserve">  </w:t>
      </w:r>
      <w:r w:rsidRPr="00524FB2">
        <w:rPr>
          <w:szCs w:val="26"/>
        </w:rPr>
        <w:t xml:space="preserve">Our notice invited the parties to submit responses in support of or opposition to the proposed action within </w:t>
      </w:r>
      <w:r w:rsidR="00A667C3">
        <w:rPr>
          <w:szCs w:val="26"/>
        </w:rPr>
        <w:t>10</w:t>
      </w:r>
      <w:r w:rsidRPr="00524FB2">
        <w:rPr>
          <w:szCs w:val="26"/>
        </w:rPr>
        <w:t xml:space="preserve"> days of the date of the order.  Diana did not file her response within </w:t>
      </w:r>
      <w:r w:rsidR="00A667C3">
        <w:rPr>
          <w:szCs w:val="26"/>
        </w:rPr>
        <w:t>10</w:t>
      </w:r>
      <w:r w:rsidRPr="00524FB2">
        <w:rPr>
          <w:szCs w:val="26"/>
        </w:rPr>
        <w:t xml:space="preserve"> days but waited until after Andreas had filed his response.  We permitted Diana to late</w:t>
      </w:r>
      <w:r w:rsidRPr="00524FB2">
        <w:rPr>
          <w:szCs w:val="26"/>
        </w:rPr>
        <w:noBreakHyphen/>
        <w:t>file her response</w:t>
      </w:r>
      <w:r w:rsidR="00A667C3">
        <w:rPr>
          <w:szCs w:val="26"/>
        </w:rPr>
        <w:t>; however,</w:t>
      </w:r>
      <w:r w:rsidRPr="00524FB2">
        <w:rPr>
          <w:szCs w:val="26"/>
        </w:rPr>
        <w:t xml:space="preserve"> we decline to address any argument or proposition she makes in opposition or response to Andreas’s </w:t>
      </w:r>
      <w:r>
        <w:rPr>
          <w:szCs w:val="26"/>
        </w:rPr>
        <w:t>timely</w:t>
      </w:r>
      <w:r>
        <w:rPr>
          <w:szCs w:val="26"/>
        </w:rPr>
        <w:noBreakHyphen/>
        <w:t xml:space="preserve">filed </w:t>
      </w:r>
      <w:r w:rsidRPr="00524FB2">
        <w:rPr>
          <w:szCs w:val="26"/>
        </w:rPr>
        <w:t xml:space="preserve">response.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30"/>
  <w:displayHorizontalDrawingGridEvery w:val="2"/>
  <w:displayVerticalDrawingGridEvery w:val="2"/>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148"/>
    <w:rsid w:val="000342E3"/>
    <w:rsid w:val="0006711A"/>
    <w:rsid w:val="000A6CC7"/>
    <w:rsid w:val="000B1148"/>
    <w:rsid w:val="000D43F4"/>
    <w:rsid w:val="001038B5"/>
    <w:rsid w:val="00105265"/>
    <w:rsid w:val="0012618D"/>
    <w:rsid w:val="00133467"/>
    <w:rsid w:val="001C54C7"/>
    <w:rsid w:val="001C56C1"/>
    <w:rsid w:val="0020582F"/>
    <w:rsid w:val="002326F6"/>
    <w:rsid w:val="00255F82"/>
    <w:rsid w:val="00293E07"/>
    <w:rsid w:val="002C737D"/>
    <w:rsid w:val="002D7695"/>
    <w:rsid w:val="002F13AE"/>
    <w:rsid w:val="00320C65"/>
    <w:rsid w:val="00323A6A"/>
    <w:rsid w:val="00327C09"/>
    <w:rsid w:val="003C05B8"/>
    <w:rsid w:val="003C622A"/>
    <w:rsid w:val="003E408D"/>
    <w:rsid w:val="003F284C"/>
    <w:rsid w:val="0041776A"/>
    <w:rsid w:val="00486367"/>
    <w:rsid w:val="004F6E99"/>
    <w:rsid w:val="00512C47"/>
    <w:rsid w:val="00521173"/>
    <w:rsid w:val="00524FB2"/>
    <w:rsid w:val="005622FC"/>
    <w:rsid w:val="00564A10"/>
    <w:rsid w:val="0056647E"/>
    <w:rsid w:val="00573503"/>
    <w:rsid w:val="005A257D"/>
    <w:rsid w:val="005B7442"/>
    <w:rsid w:val="005C62FD"/>
    <w:rsid w:val="00623285"/>
    <w:rsid w:val="006302BD"/>
    <w:rsid w:val="0065016D"/>
    <w:rsid w:val="006651FF"/>
    <w:rsid w:val="00696FE3"/>
    <w:rsid w:val="006A4DEF"/>
    <w:rsid w:val="006B3585"/>
    <w:rsid w:val="006F024E"/>
    <w:rsid w:val="007210A7"/>
    <w:rsid w:val="00736E57"/>
    <w:rsid w:val="00760951"/>
    <w:rsid w:val="00792348"/>
    <w:rsid w:val="00796F1F"/>
    <w:rsid w:val="007E2A2B"/>
    <w:rsid w:val="00815BF6"/>
    <w:rsid w:val="0085328B"/>
    <w:rsid w:val="00856B7D"/>
    <w:rsid w:val="00871A8C"/>
    <w:rsid w:val="008827D1"/>
    <w:rsid w:val="008A43EB"/>
    <w:rsid w:val="008D1DCC"/>
    <w:rsid w:val="009064AE"/>
    <w:rsid w:val="009700F3"/>
    <w:rsid w:val="00974468"/>
    <w:rsid w:val="00985F7D"/>
    <w:rsid w:val="00996CFE"/>
    <w:rsid w:val="009D5EE5"/>
    <w:rsid w:val="009F5F83"/>
    <w:rsid w:val="00A0050E"/>
    <w:rsid w:val="00A419B1"/>
    <w:rsid w:val="00A43DFC"/>
    <w:rsid w:val="00A667C3"/>
    <w:rsid w:val="00A66B4E"/>
    <w:rsid w:val="00A8664E"/>
    <w:rsid w:val="00AB79DB"/>
    <w:rsid w:val="00B0703B"/>
    <w:rsid w:val="00B358CD"/>
    <w:rsid w:val="00B45AEB"/>
    <w:rsid w:val="00B47283"/>
    <w:rsid w:val="00B53760"/>
    <w:rsid w:val="00B71D28"/>
    <w:rsid w:val="00B87D8B"/>
    <w:rsid w:val="00B90841"/>
    <w:rsid w:val="00B9701C"/>
    <w:rsid w:val="00BB64BF"/>
    <w:rsid w:val="00BC770D"/>
    <w:rsid w:val="00BF04CB"/>
    <w:rsid w:val="00BF2853"/>
    <w:rsid w:val="00C26E43"/>
    <w:rsid w:val="00C31936"/>
    <w:rsid w:val="00C833F1"/>
    <w:rsid w:val="00CB6C32"/>
    <w:rsid w:val="00CB792E"/>
    <w:rsid w:val="00CE55B3"/>
    <w:rsid w:val="00D012BF"/>
    <w:rsid w:val="00D245BB"/>
    <w:rsid w:val="00D30EE0"/>
    <w:rsid w:val="00D337FB"/>
    <w:rsid w:val="00D50A11"/>
    <w:rsid w:val="00D729DB"/>
    <w:rsid w:val="00D915C6"/>
    <w:rsid w:val="00DB027F"/>
    <w:rsid w:val="00DC66FC"/>
    <w:rsid w:val="00DD2485"/>
    <w:rsid w:val="00E20F93"/>
    <w:rsid w:val="00E96425"/>
    <w:rsid w:val="00EF5BAA"/>
    <w:rsid w:val="00F20F55"/>
    <w:rsid w:val="00F30393"/>
    <w:rsid w:val="00F623BF"/>
    <w:rsid w:val="00F775F8"/>
    <w:rsid w:val="00F932B5"/>
    <w:rsid w:val="00F9714C"/>
    <w:rsid w:val="00FD294A"/>
    <w:rsid w:val="00FD301A"/>
    <w:rsid w:val="00FD6C47"/>
    <w:rsid w:val="00FF43FE"/>
    <w:rsid w:val="7BCE821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148"/>
    <w:rPr>
      <w:rFonts w:asciiTheme="minorHAnsi" w:eastAsiaTheme="minorHAnsi" w:hAnsiTheme="minorHAnsi"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0342E3"/>
    <w:rPr>
      <w:rFonts w:ascii="Times New Roman" w:hAnsi="Times New Roman"/>
      <w:b w:val="0"/>
      <w:i w:val="0"/>
      <w:caps w:val="0"/>
      <w:smallCaps w:val="0"/>
      <w:strike w:val="0"/>
      <w:dstrike w:val="0"/>
      <w:vanish w:val="0"/>
      <w:position w:val="6"/>
      <w:sz w:val="20"/>
      <w:vertAlign w:val="superscript"/>
    </w:rPr>
  </w:style>
  <w:style w:type="paragraph" w:styleId="FootnoteText">
    <w:name w:val="footnote text"/>
    <w:basedOn w:val="Normal"/>
    <w:link w:val="FootnoteTextChar"/>
    <w:rsid w:val="000342E3"/>
    <w:pPr>
      <w:tabs>
        <w:tab w:val="left" w:pos="1483"/>
      </w:tabs>
    </w:pPr>
    <w:rPr>
      <w:rFonts w:ascii="Times New Roman" w:eastAsia="Times New Roman" w:hAnsi="Times New Roman" w:cs="Times New Roman"/>
      <w:sz w:val="26"/>
      <w:szCs w:val="20"/>
    </w:rPr>
  </w:style>
  <w:style w:type="character" w:customStyle="1" w:styleId="FootnoteTextChar">
    <w:name w:val="Footnote Text Char"/>
    <w:basedOn w:val="DefaultParagraphFont"/>
    <w:link w:val="FootnoteText"/>
    <w:rsid w:val="000342E3"/>
    <w:rPr>
      <w:sz w:val="26"/>
    </w:rPr>
  </w:style>
  <w:style w:type="paragraph" w:styleId="Header">
    <w:name w:val="header"/>
    <w:basedOn w:val="Normal"/>
    <w:link w:val="HeaderChar"/>
    <w:rsid w:val="000B1148"/>
    <w:pPr>
      <w:tabs>
        <w:tab w:val="center" w:pos="4680"/>
        <w:tab w:val="right" w:pos="9360"/>
      </w:tabs>
    </w:pPr>
    <w:rPr>
      <w:rFonts w:ascii="Times New Roman" w:eastAsia="Times New Roman" w:hAnsi="Times New Roman" w:cs="Times New Roman"/>
      <w:sz w:val="26"/>
    </w:rPr>
  </w:style>
  <w:style w:type="character" w:customStyle="1" w:styleId="HeaderChar">
    <w:name w:val="Header Char"/>
    <w:basedOn w:val="DefaultParagraphFont"/>
    <w:link w:val="Header"/>
    <w:rsid w:val="000B1148"/>
  </w:style>
  <w:style w:type="paragraph" w:styleId="Footer">
    <w:name w:val="footer"/>
    <w:basedOn w:val="Normal"/>
    <w:link w:val="FooterChar"/>
    <w:rsid w:val="000B1148"/>
    <w:pPr>
      <w:tabs>
        <w:tab w:val="center" w:pos="4680"/>
        <w:tab w:val="right" w:pos="9360"/>
      </w:tabs>
    </w:pPr>
    <w:rPr>
      <w:rFonts w:ascii="Times New Roman" w:eastAsia="Times New Roman" w:hAnsi="Times New Roman" w:cs="Times New Roman"/>
      <w:sz w:val="26"/>
    </w:rPr>
  </w:style>
  <w:style w:type="character" w:customStyle="1" w:styleId="FooterChar">
    <w:name w:val="Footer Char"/>
    <w:basedOn w:val="DefaultParagraphFont"/>
    <w:link w:val="Footer"/>
    <w:rsid w:val="000B1148"/>
  </w:style>
  <w:style w:type="character" w:styleId="PageNumber">
    <w:name w:val="page number"/>
    <w:basedOn w:val="DefaultParagraphFont"/>
    <w:rsid w:val="000B1148"/>
  </w:style>
  <w:style w:type="character" w:styleId="Hyperlink">
    <w:name w:val="Hyperlink"/>
    <w:basedOn w:val="DefaultParagraphFont"/>
    <w:rsid w:val="00D012BF"/>
    <w:rPr>
      <w:color w:val="0563C1" w:themeColor="hyperlink"/>
      <w:u w:val="single"/>
    </w:rPr>
  </w:style>
  <w:style w:type="character" w:customStyle="1" w:styleId="UnresolvedMention1">
    <w:name w:val="Unresolved Mention1"/>
    <w:basedOn w:val="DefaultParagraphFont"/>
    <w:uiPriority w:val="99"/>
    <w:semiHidden/>
    <w:unhideWhenUsed/>
    <w:rsid w:val="00C26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31A6E-2BCB-4085-8DDF-B2ECADC6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3708</Words>
  <Characters>21142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2024-02-08T18:02:38Z</dcterms:created>
  <dcterms:modified xsi:type="dcterms:W3CDTF">2024-02-08T18:02:38Z</dcterms:modified>
</cp:coreProperties>
</file>