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B0A82" w14:textId="336F2D29" w:rsidR="005F680F" w:rsidRPr="001A7B40" w:rsidRDefault="005F680F" w:rsidP="00B27E9E">
      <w:pPr>
        <w:spacing w:line="240" w:lineRule="auto"/>
        <w:jc w:val="center"/>
        <w:rPr>
          <w:sz w:val="20"/>
        </w:rPr>
      </w:pPr>
      <w:r w:rsidRPr="001A7B40">
        <w:rPr>
          <w:sz w:val="20"/>
        </w:rPr>
        <w:t>Filed 2/28/22</w:t>
      </w:r>
      <w:bookmarkStart w:id="0" w:name="_Hlk91684443"/>
      <w:r w:rsidR="00B27E9E" w:rsidRPr="00EF0148">
        <w:rPr>
          <w:sz w:val="20"/>
        </w:rPr>
        <w:t>; REVIEW GRANTED.  See Cal. Rules of Court, rules 8.1105 and 8.1115 (and corresponding Comment, par. 2, concerning rule 8.1115(e)(3)).</w:t>
      </w:r>
      <w:bookmarkEnd w:id="0"/>
    </w:p>
    <w:p w14:paraId="35688919" w14:textId="77777777" w:rsidR="005F680F" w:rsidRPr="005F680F" w:rsidRDefault="005F680F" w:rsidP="005F680F">
      <w:pPr>
        <w:spacing w:line="240" w:lineRule="auto"/>
        <w:rPr>
          <w:b/>
          <w:bCs/>
          <w:sz w:val="20"/>
        </w:rPr>
      </w:pPr>
    </w:p>
    <w:p w14:paraId="68378A37" w14:textId="145B9C62" w:rsidR="00B121D3" w:rsidRDefault="00B121D3" w:rsidP="00B121D3">
      <w:pPr>
        <w:spacing w:line="240" w:lineRule="auto"/>
        <w:jc w:val="center"/>
        <w:rPr>
          <w:rStyle w:val="FootnoteReference"/>
          <w:b/>
          <w:color w:val="000000" w:themeColor="text1"/>
        </w:rPr>
      </w:pPr>
      <w:r w:rsidRPr="008E5587">
        <w:rPr>
          <w:b/>
          <w:bCs/>
        </w:rPr>
        <w:t>CERTIFIED FOR PARTIAL PUBLICATION</w:t>
      </w:r>
      <w:r>
        <w:rPr>
          <w:rStyle w:val="FootnoteReference"/>
          <w:b/>
          <w:color w:val="000000" w:themeColor="text1"/>
        </w:rPr>
        <w:footnoteReference w:customMarkFollows="1" w:id="1"/>
        <w:t>*</w:t>
      </w:r>
    </w:p>
    <w:p w14:paraId="30AF9767" w14:textId="35BE5B8A" w:rsidR="00B121D3" w:rsidRPr="008E5587" w:rsidRDefault="00B121D3">
      <w:pPr>
        <w:spacing w:line="240" w:lineRule="auto"/>
        <w:jc w:val="center"/>
        <w:rPr>
          <w:b/>
          <w:bCs/>
        </w:rPr>
      </w:pPr>
    </w:p>
    <w:p w14:paraId="46CA538E" w14:textId="5B502647" w:rsidR="006E385D" w:rsidRDefault="00B277FE">
      <w:pPr>
        <w:spacing w:line="240" w:lineRule="auto"/>
        <w:jc w:val="center"/>
      </w:pPr>
      <w:r>
        <w:t>IN THE COURT OF APPEAL OF THE STATE OF CALIFORNIA</w:t>
      </w:r>
    </w:p>
    <w:p w14:paraId="5AF45B9B" w14:textId="77777777" w:rsidR="006E385D" w:rsidRDefault="006E385D">
      <w:pPr>
        <w:spacing w:line="240" w:lineRule="auto"/>
        <w:jc w:val="center"/>
      </w:pPr>
    </w:p>
    <w:p w14:paraId="6B6B2E29" w14:textId="77777777" w:rsidR="006E385D" w:rsidRDefault="00B277FE">
      <w:pPr>
        <w:spacing w:line="240" w:lineRule="auto"/>
        <w:jc w:val="center"/>
      </w:pPr>
      <w:r>
        <w:t>FIRST APPELLATE DISTRICT</w:t>
      </w:r>
    </w:p>
    <w:p w14:paraId="09D6C778" w14:textId="77777777" w:rsidR="006E385D" w:rsidRDefault="006E385D">
      <w:pPr>
        <w:spacing w:line="240" w:lineRule="auto"/>
        <w:jc w:val="center"/>
      </w:pPr>
    </w:p>
    <w:p w14:paraId="0FAF01B7" w14:textId="77777777" w:rsidR="006E385D" w:rsidRDefault="00B277FE">
      <w:pPr>
        <w:spacing w:line="240" w:lineRule="auto"/>
        <w:jc w:val="center"/>
      </w:pPr>
      <w:r>
        <w:t>DIVISION THREE</w:t>
      </w:r>
    </w:p>
    <w:p w14:paraId="47E18905" w14:textId="77777777" w:rsidR="006E385D" w:rsidRDefault="006E385D">
      <w:pPr>
        <w:spacing w:line="240" w:lineRule="auto"/>
        <w:jc w:val="center"/>
      </w:pPr>
    </w:p>
    <w:p w14:paraId="32525FDB" w14:textId="77777777" w:rsidR="006E385D" w:rsidRDefault="006E385D">
      <w:pPr>
        <w:spacing w:line="240" w:lineRule="auto"/>
        <w:jc w:val="center"/>
      </w:pPr>
    </w:p>
    <w:tbl>
      <w:tblPr>
        <w:tblW w:w="88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90"/>
        <w:gridCol w:w="4275"/>
      </w:tblGrid>
      <w:tr w:rsidR="006E385D" w14:paraId="14D2DF34" w14:textId="77777777" w:rsidTr="0060555D">
        <w:trPr>
          <w:trHeight w:val="2519"/>
        </w:trPr>
        <w:tc>
          <w:tcPr>
            <w:tcW w:w="45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3422A3" w14:textId="0436369B" w:rsidR="006E385D" w:rsidRDefault="00A36C53">
            <w:pPr>
              <w:spacing w:after="120" w:line="240" w:lineRule="auto"/>
            </w:pPr>
            <w:r>
              <w:t>THE PEOPLE</w:t>
            </w:r>
            <w:r w:rsidR="00B277FE">
              <w:t>,</w:t>
            </w:r>
          </w:p>
          <w:p w14:paraId="74218507" w14:textId="481C5891" w:rsidR="006E385D" w:rsidRDefault="00B277FE">
            <w:pPr>
              <w:spacing w:after="120" w:line="240" w:lineRule="auto"/>
            </w:pPr>
            <w:r>
              <w:tab/>
              <w:t xml:space="preserve">Plaintiff and </w:t>
            </w:r>
            <w:r w:rsidR="00A36C53">
              <w:t>Respondent</w:t>
            </w:r>
            <w:r>
              <w:t>,</w:t>
            </w:r>
          </w:p>
          <w:p w14:paraId="44F95820" w14:textId="77777777" w:rsidR="006E385D" w:rsidRDefault="00B277FE">
            <w:pPr>
              <w:spacing w:after="120" w:line="240" w:lineRule="auto"/>
            </w:pPr>
            <w:r>
              <w:t>v.</w:t>
            </w:r>
          </w:p>
          <w:p w14:paraId="2CB6A3C2" w14:textId="55CF95E0" w:rsidR="006E385D" w:rsidRDefault="0000289E">
            <w:pPr>
              <w:spacing w:after="120" w:line="240" w:lineRule="auto"/>
            </w:pPr>
            <w:r>
              <w:t>JERRY ANTHONY FAIAL</w:t>
            </w:r>
            <w:r w:rsidR="00B277FE">
              <w:t>,</w:t>
            </w:r>
          </w:p>
          <w:p w14:paraId="75B52509" w14:textId="4D00E8B1" w:rsidR="006E385D" w:rsidRDefault="00B277FE">
            <w:pPr>
              <w:spacing w:after="120" w:line="240" w:lineRule="auto"/>
            </w:pPr>
            <w:r>
              <w:tab/>
              <w:t>Defendant and</w:t>
            </w:r>
            <w:r w:rsidR="00A36C53">
              <w:t xml:space="preserve"> Appellant</w:t>
            </w:r>
            <w:r>
              <w:t>.</w:t>
            </w:r>
          </w:p>
        </w:tc>
        <w:tc>
          <w:tcPr>
            <w:tcW w:w="4275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5AC920" w14:textId="77777777" w:rsidR="006E385D" w:rsidRDefault="006E385D">
            <w:pPr>
              <w:spacing w:line="240" w:lineRule="auto"/>
            </w:pPr>
          </w:p>
          <w:p w14:paraId="52E29808" w14:textId="77777777" w:rsidR="006E385D" w:rsidRDefault="006E385D">
            <w:pPr>
              <w:spacing w:line="240" w:lineRule="auto"/>
            </w:pPr>
          </w:p>
          <w:p w14:paraId="59EF48B7" w14:textId="73008392" w:rsidR="006E385D" w:rsidRDefault="00B277FE">
            <w:pPr>
              <w:spacing w:line="240" w:lineRule="auto"/>
            </w:pPr>
            <w:r>
              <w:t xml:space="preserve">      A1</w:t>
            </w:r>
            <w:r w:rsidR="00A36C53">
              <w:t>59026</w:t>
            </w:r>
          </w:p>
          <w:p w14:paraId="4BC57E34" w14:textId="77777777" w:rsidR="006E385D" w:rsidRDefault="006E385D">
            <w:pPr>
              <w:spacing w:line="240" w:lineRule="auto"/>
            </w:pPr>
          </w:p>
          <w:p w14:paraId="51C86614" w14:textId="70CCE47A" w:rsidR="00D3600B" w:rsidRDefault="00B277FE">
            <w:pPr>
              <w:spacing w:line="240" w:lineRule="auto"/>
            </w:pPr>
            <w:r>
              <w:t xml:space="preserve">      (</w:t>
            </w:r>
            <w:r w:rsidR="00A36C53">
              <w:t>San Mateo</w:t>
            </w:r>
            <w:r>
              <w:t xml:space="preserve"> County</w:t>
            </w:r>
            <w:r w:rsidR="00D3600B">
              <w:t xml:space="preserve"> </w:t>
            </w:r>
            <w:r>
              <w:t xml:space="preserve">Super. Ct. </w:t>
            </w:r>
          </w:p>
          <w:p w14:paraId="0C5B97BF" w14:textId="0453427E" w:rsidR="006E385D" w:rsidRDefault="00D3600B">
            <w:pPr>
              <w:spacing w:line="240" w:lineRule="auto"/>
            </w:pPr>
            <w:r>
              <w:t xml:space="preserve">       </w:t>
            </w:r>
            <w:r w:rsidR="00B277FE">
              <w:t>No.</w:t>
            </w:r>
            <w:r w:rsidR="00886F16">
              <w:t> </w:t>
            </w:r>
            <w:r w:rsidR="00A36C53">
              <w:t>SC</w:t>
            </w:r>
            <w:r w:rsidR="0000289E">
              <w:t>083808</w:t>
            </w:r>
            <w:r w:rsidR="00B277FE">
              <w:t>)</w:t>
            </w:r>
          </w:p>
          <w:p w14:paraId="30D920FA" w14:textId="77777777" w:rsidR="006E385D" w:rsidRDefault="006E385D">
            <w:pPr>
              <w:spacing w:line="240" w:lineRule="auto"/>
            </w:pPr>
          </w:p>
        </w:tc>
      </w:tr>
    </w:tbl>
    <w:p w14:paraId="78C99332" w14:textId="77777777" w:rsidR="006E385D" w:rsidRDefault="006E385D" w:rsidP="006620D9">
      <w:pPr>
        <w:spacing w:line="360" w:lineRule="auto"/>
      </w:pPr>
    </w:p>
    <w:p w14:paraId="07DD6344" w14:textId="77777777" w:rsidR="00527EEB" w:rsidRDefault="00B277FE" w:rsidP="00591A27">
      <w:pPr>
        <w:spacing w:line="360" w:lineRule="auto"/>
      </w:pPr>
      <w:r>
        <w:tab/>
      </w:r>
      <w:r w:rsidR="00624CC5">
        <w:t xml:space="preserve">Defendant Jerry Anthony Faial appeals </w:t>
      </w:r>
      <w:r w:rsidR="00513081">
        <w:t xml:space="preserve">after the trial court revoked his probation and </w:t>
      </w:r>
      <w:r w:rsidR="00513081" w:rsidRPr="00DA2570">
        <w:t xml:space="preserve">ordered execution of his previously </w:t>
      </w:r>
      <w:r w:rsidR="0030420A" w:rsidRPr="00DA2570">
        <w:t xml:space="preserve">imposed but </w:t>
      </w:r>
      <w:r w:rsidR="00513081" w:rsidRPr="00DA2570">
        <w:t>suspended sentence.  Defendant argues: (1)</w:t>
      </w:r>
      <w:r w:rsidR="006A51E1" w:rsidRPr="00DA2570">
        <w:t> </w:t>
      </w:r>
      <w:r w:rsidR="00FE2DA2" w:rsidRPr="00DA2570">
        <w:t xml:space="preserve">due to </w:t>
      </w:r>
      <w:r w:rsidR="00853FCA" w:rsidRPr="00DA2570">
        <w:t xml:space="preserve">the passage of Assembly Bill </w:t>
      </w:r>
      <w:r w:rsidR="008231AF" w:rsidRPr="00DA2570">
        <w:t>No.</w:t>
      </w:r>
      <w:r w:rsidR="00D56900" w:rsidRPr="00DA2570">
        <w:t> </w:t>
      </w:r>
      <w:r w:rsidR="00853FCA" w:rsidRPr="00DA2570">
        <w:t>1950</w:t>
      </w:r>
      <w:r w:rsidR="008231AF" w:rsidRPr="00DA2570">
        <w:t xml:space="preserve"> </w:t>
      </w:r>
      <w:r w:rsidR="0019298B" w:rsidRPr="00DA2570">
        <w:t>(2019–2020 Reg. Sess.)</w:t>
      </w:r>
      <w:r w:rsidR="00BF417E" w:rsidRPr="00DA2570">
        <w:t xml:space="preserve"> </w:t>
      </w:r>
      <w:r w:rsidR="00BF417E" w:rsidRPr="00DA2570">
        <w:rPr>
          <w:color w:val="000000"/>
        </w:rPr>
        <w:t>(A</w:t>
      </w:r>
      <w:r w:rsidR="00BC2AC8">
        <w:rPr>
          <w:color w:val="000000"/>
        </w:rPr>
        <w:t xml:space="preserve">ssembly </w:t>
      </w:r>
      <w:r w:rsidR="00BF417E" w:rsidRPr="00DA2570">
        <w:rPr>
          <w:color w:val="000000"/>
        </w:rPr>
        <w:t>B</w:t>
      </w:r>
      <w:r w:rsidR="00BC2AC8">
        <w:rPr>
          <w:color w:val="000000"/>
        </w:rPr>
        <w:t>ill</w:t>
      </w:r>
      <w:r w:rsidR="006A51E1" w:rsidRPr="00DA2570">
        <w:rPr>
          <w:color w:val="000000"/>
        </w:rPr>
        <w:t> </w:t>
      </w:r>
      <w:r w:rsidR="00BF417E" w:rsidRPr="00DA2570">
        <w:rPr>
          <w:color w:val="000000"/>
        </w:rPr>
        <w:t>1950</w:t>
      </w:r>
      <w:r w:rsidR="00BF417E" w:rsidRPr="00DA2570">
        <w:t>)</w:t>
      </w:r>
      <w:r w:rsidR="00FE2DA2" w:rsidRPr="00DA2570">
        <w:t>, his probation</w:t>
      </w:r>
      <w:r w:rsidR="006D379A" w:rsidRPr="00DA2570">
        <w:t xml:space="preserve"> retroactively</w:t>
      </w:r>
      <w:r w:rsidR="00FE2DA2" w:rsidRPr="00DA2570">
        <w:t xml:space="preserve"> terminated </w:t>
      </w:r>
      <w:r w:rsidR="0088152F" w:rsidRPr="00DA2570">
        <w:t>before</w:t>
      </w:r>
      <w:r w:rsidR="00853FCA" w:rsidRPr="00DA2570">
        <w:t xml:space="preserve"> </w:t>
      </w:r>
      <w:r w:rsidR="00591A27" w:rsidRPr="00DA2570">
        <w:t>it was</w:t>
      </w:r>
      <w:r w:rsidR="00FE2DA2" w:rsidRPr="00DA2570">
        <w:t xml:space="preserve"> revoke</w:t>
      </w:r>
      <w:r w:rsidR="0088152F" w:rsidRPr="00DA2570">
        <w:t>d</w:t>
      </w:r>
      <w:r w:rsidR="003D5492">
        <w:t xml:space="preserve"> and he is entitled to </w:t>
      </w:r>
      <w:r w:rsidR="005D1A78">
        <w:t>discharge from confinement</w:t>
      </w:r>
      <w:r w:rsidR="0088152F" w:rsidRPr="00DA2570">
        <w:t>; (2)</w:t>
      </w:r>
      <w:r w:rsidR="006A51E1" w:rsidRPr="00DA2570">
        <w:t> </w:t>
      </w:r>
      <w:r w:rsidR="0088152F" w:rsidRPr="00DA2570">
        <w:t>his prior prison term enhancements under Penal Code section</w:t>
      </w:r>
      <w:r w:rsidR="006A51E1" w:rsidRPr="00DA2570">
        <w:t> </w:t>
      </w:r>
      <w:r w:rsidR="0088152F" w:rsidRPr="00DA2570">
        <w:t>667.5, subdivision</w:t>
      </w:r>
      <w:r w:rsidR="006A51E1" w:rsidRPr="00DA2570">
        <w:t> </w:t>
      </w:r>
      <w:r w:rsidR="0088152F" w:rsidRPr="00DA2570">
        <w:t xml:space="preserve">(b) </w:t>
      </w:r>
      <w:r w:rsidR="000D0B66">
        <w:t>are invalid</w:t>
      </w:r>
      <w:r w:rsidR="00591A27" w:rsidRPr="00DA2570">
        <w:t xml:space="preserve"> because they were not based on sexually violent offenses</w:t>
      </w:r>
      <w:r w:rsidR="0030757C" w:rsidRPr="00DA2570">
        <w:t>; and (3)</w:t>
      </w:r>
      <w:r w:rsidR="006A51E1" w:rsidRPr="00DA2570">
        <w:t> </w:t>
      </w:r>
      <w:r w:rsidR="0030757C" w:rsidRPr="00DA2570">
        <w:t>he is entitled to additional credit</w:t>
      </w:r>
      <w:r w:rsidR="006D379A" w:rsidRPr="00DA2570">
        <w:t>s</w:t>
      </w:r>
      <w:r w:rsidR="0030757C" w:rsidRPr="00DA2570">
        <w:t>.</w:t>
      </w:r>
      <w:r w:rsidR="001662FE" w:rsidRPr="00DA2570">
        <w:rPr>
          <w:rStyle w:val="FootnoteReference"/>
        </w:rPr>
        <w:footnoteReference w:id="2"/>
      </w:r>
      <w:r w:rsidR="005A3BF3" w:rsidRPr="00DA2570">
        <w:t xml:space="preserve">  </w:t>
      </w:r>
    </w:p>
    <w:p w14:paraId="6820E60A" w14:textId="2339DB0E" w:rsidR="006E385D" w:rsidRDefault="00527EEB" w:rsidP="00591A27">
      <w:pPr>
        <w:spacing w:line="360" w:lineRule="auto"/>
      </w:pPr>
      <w:r>
        <w:lastRenderedPageBreak/>
        <w:tab/>
      </w:r>
      <w:r w:rsidR="005A3A96" w:rsidRPr="005A3A96">
        <w:t xml:space="preserve">In the published portion of this opinion, </w:t>
      </w:r>
      <w:r w:rsidR="00C47EA9">
        <w:rPr>
          <w:color w:val="000000"/>
        </w:rPr>
        <w:t xml:space="preserve">we conclude the passage of </w:t>
      </w:r>
      <w:r w:rsidR="00C47EA9">
        <w:t xml:space="preserve">Assembly Bill </w:t>
      </w:r>
      <w:r w:rsidR="00C47EA9">
        <w:rPr>
          <w:color w:val="000000"/>
        </w:rPr>
        <w:t>1950 did not invalidate the trial court’s orders revoking and terminating defendant’s probation and executing the previously imposed 12-year sentence</w:t>
      </w:r>
      <w:r w:rsidR="00BC2AC8">
        <w:rPr>
          <w:color w:val="000000"/>
        </w:rPr>
        <w:t>.</w:t>
      </w:r>
      <w:r w:rsidR="00BC2AC8" w:rsidRPr="000722E7">
        <w:t xml:space="preserve"> </w:t>
      </w:r>
      <w:r w:rsidR="00BC2AC8">
        <w:t xml:space="preserve"> </w:t>
      </w:r>
      <w:r w:rsidR="000722E7" w:rsidRPr="000722E7">
        <w:t xml:space="preserve">In the unpublished portion of this opinion, </w:t>
      </w:r>
      <w:r w:rsidR="000722E7">
        <w:t>w</w:t>
      </w:r>
      <w:r w:rsidR="005A3BF3" w:rsidRPr="00DA2570">
        <w:t xml:space="preserve">e agree that </w:t>
      </w:r>
      <w:r w:rsidR="00535DFF" w:rsidRPr="00DA2570">
        <w:t>defendant’s</w:t>
      </w:r>
      <w:r w:rsidR="005A3BF3" w:rsidRPr="00DA2570">
        <w:t xml:space="preserve"> section</w:t>
      </w:r>
      <w:r w:rsidR="006A51E1" w:rsidRPr="00DA2570">
        <w:t> </w:t>
      </w:r>
      <w:r w:rsidR="005A3BF3" w:rsidRPr="00DA2570">
        <w:t>667.5, subdivision (b) enhancements must</w:t>
      </w:r>
      <w:r w:rsidR="00535DFF" w:rsidRPr="00DA2570">
        <w:t xml:space="preserve"> </w:t>
      </w:r>
      <w:r w:rsidR="005A3BF3" w:rsidRPr="00DA2570">
        <w:t>be</w:t>
      </w:r>
      <w:r w:rsidR="00535DFF" w:rsidRPr="00DA2570">
        <w:t xml:space="preserve"> stricken</w:t>
      </w:r>
      <w:r w:rsidR="006D379A" w:rsidRPr="00DA2570">
        <w:t xml:space="preserve"> and </w:t>
      </w:r>
      <w:r w:rsidR="000A2491">
        <w:t xml:space="preserve">that </w:t>
      </w:r>
      <w:r w:rsidR="00461AEE">
        <w:t xml:space="preserve">he is entitled to additional credits, so we </w:t>
      </w:r>
      <w:r w:rsidR="006D379A" w:rsidRPr="00DA2570">
        <w:t xml:space="preserve">will remand to the </w:t>
      </w:r>
      <w:r w:rsidR="000A2491">
        <w:t xml:space="preserve">trial </w:t>
      </w:r>
      <w:r w:rsidR="006D379A" w:rsidRPr="00DA2570">
        <w:t>court for resentencing</w:t>
      </w:r>
      <w:r w:rsidR="00535DFF">
        <w:t>.</w:t>
      </w:r>
    </w:p>
    <w:p w14:paraId="5125F7A8" w14:textId="55B4A029" w:rsidR="006E385D" w:rsidRDefault="00B277FE" w:rsidP="007034DA">
      <w:pPr>
        <w:keepNext/>
        <w:spacing w:line="360" w:lineRule="auto"/>
        <w:jc w:val="center"/>
      </w:pPr>
      <w:r>
        <w:rPr>
          <w:b/>
          <w:bCs/>
          <w:smallCaps/>
        </w:rPr>
        <w:t>Factual and Procedural Background</w:t>
      </w:r>
    </w:p>
    <w:p w14:paraId="5EAACF1A" w14:textId="4CF491F8" w:rsidR="006474A9" w:rsidRPr="00DA2570" w:rsidRDefault="00B277FE" w:rsidP="006474A9">
      <w:pPr>
        <w:spacing w:line="360" w:lineRule="auto"/>
      </w:pPr>
      <w:r>
        <w:tab/>
      </w:r>
      <w:r w:rsidR="00341D96">
        <w:t xml:space="preserve">In September 2015, </w:t>
      </w:r>
      <w:r w:rsidR="00623ECF">
        <w:t>the People</w:t>
      </w:r>
      <w:r w:rsidR="00341D96">
        <w:t xml:space="preserve"> charged </w:t>
      </w:r>
      <w:r w:rsidR="00623ECF">
        <w:t xml:space="preserve">defendant </w:t>
      </w:r>
      <w:r w:rsidR="00341D96">
        <w:t>by information with first degree burglary (§ 460, subd. (a)</w:t>
      </w:r>
      <w:r w:rsidR="00536442">
        <w:t>, count</w:t>
      </w:r>
      <w:r w:rsidR="00D61696">
        <w:t> </w:t>
      </w:r>
      <w:r w:rsidR="00536442">
        <w:t>1</w:t>
      </w:r>
      <w:r w:rsidR="00341D96">
        <w:t>),</w:t>
      </w:r>
      <w:r w:rsidR="005B4266">
        <w:t xml:space="preserve"> </w:t>
      </w:r>
      <w:r w:rsidR="003A63A3">
        <w:t>petty theft with a prior theft</w:t>
      </w:r>
      <w:r w:rsidR="000A2491">
        <w:t>-</w:t>
      </w:r>
      <w:r w:rsidR="003A63A3">
        <w:t>related conviction (§ </w:t>
      </w:r>
      <w:r w:rsidR="003A63A3" w:rsidRPr="00DA2570">
        <w:t>666, subd. (a)</w:t>
      </w:r>
      <w:r w:rsidR="00536442" w:rsidRPr="00DA2570">
        <w:t>, count</w:t>
      </w:r>
      <w:r w:rsidR="00D61696" w:rsidRPr="00DA2570">
        <w:t> </w:t>
      </w:r>
      <w:r w:rsidR="00536442" w:rsidRPr="00DA2570">
        <w:t>4</w:t>
      </w:r>
      <w:r w:rsidR="003A63A3" w:rsidRPr="00DA2570">
        <w:t>), and two counts of criminal threats (§ 422</w:t>
      </w:r>
      <w:r w:rsidR="006F2CE7" w:rsidRPr="00DA2570">
        <w:t>, counts</w:t>
      </w:r>
      <w:r w:rsidR="00D61696" w:rsidRPr="00DA2570">
        <w:t> </w:t>
      </w:r>
      <w:r w:rsidR="006F2CE7" w:rsidRPr="00DA2570">
        <w:t>5 and 6</w:t>
      </w:r>
      <w:r w:rsidR="003A63A3" w:rsidRPr="00DA2570">
        <w:t xml:space="preserve">).  </w:t>
      </w:r>
      <w:r w:rsidR="006474A9" w:rsidRPr="00DA2570">
        <w:t xml:space="preserve">The burglary charge stemmed from his entering his father’s home in violation of a stay away order and taking tools.  The remaining counts </w:t>
      </w:r>
      <w:r w:rsidR="000A2491">
        <w:t>involved his</w:t>
      </w:r>
      <w:r w:rsidR="006474A9" w:rsidRPr="00DA2570">
        <w:t xml:space="preserve"> stealing from a department store and threatening loss prevention officers.</w:t>
      </w:r>
    </w:p>
    <w:p w14:paraId="3A55831B" w14:textId="11760C48" w:rsidR="00C754D2" w:rsidRPr="00DA2570" w:rsidRDefault="006474A9" w:rsidP="00C754D2">
      <w:pPr>
        <w:spacing w:line="360" w:lineRule="auto"/>
      </w:pPr>
      <w:r w:rsidRPr="00DA2570">
        <w:tab/>
      </w:r>
      <w:r w:rsidR="00C754D2" w:rsidRPr="00DA2570">
        <w:t>As to the burglary count, the People alleged that defendant was released on bail or on his own recognizance at the time of the offense (§</w:t>
      </w:r>
      <w:r w:rsidR="004E66BC" w:rsidRPr="00DA2570">
        <w:t> </w:t>
      </w:r>
      <w:r w:rsidR="00C754D2" w:rsidRPr="00DA2570">
        <w:t>12022.1).  The People also alleged defendant suffered two prior strike offenses (§§ 667, subds. (b)–(i), 1170.12, subds. (a)–(d)), two prior serious felony convictions (§ 667, subd. (a)(1)</w:t>
      </w:r>
      <w:r w:rsidR="008E56E6">
        <w:t>), and two prior prison terms (§</w:t>
      </w:r>
      <w:r w:rsidR="00C754D2" w:rsidRPr="00DA2570">
        <w:t xml:space="preserve"> 667.5, subd. (b)).  </w:t>
      </w:r>
      <w:r w:rsidR="00BE71B9" w:rsidRPr="00DA2570">
        <w:t>D</w:t>
      </w:r>
      <w:r w:rsidR="00C754D2" w:rsidRPr="00DA2570">
        <w:t xml:space="preserve">efendant was convicted of </w:t>
      </w:r>
      <w:r w:rsidR="008E56E6">
        <w:t>all</w:t>
      </w:r>
      <w:r w:rsidR="00C754D2" w:rsidRPr="00DA2570">
        <w:t xml:space="preserve"> </w:t>
      </w:r>
      <w:r w:rsidR="008E56E6">
        <w:t xml:space="preserve">four </w:t>
      </w:r>
      <w:r w:rsidR="00C754D2" w:rsidRPr="00DA2570">
        <w:t>count</w:t>
      </w:r>
      <w:r w:rsidR="008E56E6">
        <w:t>s,</w:t>
      </w:r>
      <w:r w:rsidR="000A2491">
        <w:t xml:space="preserve"> and </w:t>
      </w:r>
      <w:r w:rsidR="008E56E6">
        <w:t xml:space="preserve">all </w:t>
      </w:r>
      <w:r w:rsidR="00B842A9">
        <w:t xml:space="preserve">special and </w:t>
      </w:r>
      <w:r w:rsidR="008E56E6">
        <w:t>enhancement</w:t>
      </w:r>
      <w:r w:rsidR="000A2491">
        <w:t xml:space="preserve"> allegation</w:t>
      </w:r>
      <w:r w:rsidR="00C754D2" w:rsidRPr="00DA2570">
        <w:t>s</w:t>
      </w:r>
      <w:r w:rsidR="00BE71B9" w:rsidRPr="00DA2570">
        <w:t xml:space="preserve"> </w:t>
      </w:r>
      <w:r w:rsidR="008E56E6">
        <w:t>were either found true or admitted</w:t>
      </w:r>
      <w:r w:rsidR="00C754D2" w:rsidRPr="00DA2570">
        <w:t>.</w:t>
      </w:r>
    </w:p>
    <w:p w14:paraId="61D509CC" w14:textId="094F24E8" w:rsidR="00856ED7" w:rsidRPr="00DA2570" w:rsidRDefault="002B397A" w:rsidP="00A36C53">
      <w:pPr>
        <w:spacing w:line="360" w:lineRule="auto"/>
      </w:pPr>
      <w:r w:rsidRPr="00DA2570">
        <w:tab/>
      </w:r>
      <w:r w:rsidR="00D71D75" w:rsidRPr="00DA2570">
        <w:t xml:space="preserve">Prior to sentencing, </w:t>
      </w:r>
      <w:r w:rsidR="001662FE">
        <w:t>San Mateo County Superior Court</w:t>
      </w:r>
      <w:r w:rsidR="00A7073F">
        <w:t xml:space="preserve"> </w:t>
      </w:r>
      <w:r w:rsidR="0048189F">
        <w:t>Judge Donald Ayoob</w:t>
      </w:r>
      <w:r w:rsidR="00D71D75" w:rsidRPr="00DA2570">
        <w:t xml:space="preserve"> granted defendant’s motion to strike both of his strike priors</w:t>
      </w:r>
      <w:r w:rsidR="00ED522D" w:rsidRPr="00DA2570">
        <w:t>.  The court indicated</w:t>
      </w:r>
      <w:r w:rsidR="004E1CD4" w:rsidRPr="00DA2570">
        <w:t xml:space="preserve"> </w:t>
      </w:r>
      <w:r w:rsidR="000D0B66">
        <w:t>it was</w:t>
      </w:r>
      <w:r w:rsidR="001F1672">
        <w:t xml:space="preserve"> </w:t>
      </w:r>
      <w:r w:rsidR="00ED522D" w:rsidRPr="00DA2570">
        <w:t>doing so</w:t>
      </w:r>
      <w:r w:rsidR="00ED7C8D" w:rsidRPr="00DA2570">
        <w:t xml:space="preserve"> </w:t>
      </w:r>
      <w:r w:rsidR="00591A27" w:rsidRPr="00DA2570">
        <w:t>in the interests of justice</w:t>
      </w:r>
      <w:r w:rsidR="001F1672">
        <w:t>,</w:t>
      </w:r>
      <w:r w:rsidR="004E1CD4" w:rsidRPr="00DA2570">
        <w:t xml:space="preserve"> in part because the specific circumstances of the presently charged offenses rendered them less serious</w:t>
      </w:r>
      <w:r w:rsidR="00D71D75" w:rsidRPr="00DA2570">
        <w:t xml:space="preserve">. </w:t>
      </w:r>
      <w:r w:rsidR="00B842A9">
        <w:t xml:space="preserve"> </w:t>
      </w:r>
      <w:r w:rsidR="007B5A06">
        <w:t>On</w:t>
      </w:r>
      <w:r w:rsidR="00A31F50">
        <w:t xml:space="preserve"> </w:t>
      </w:r>
      <w:r w:rsidR="00A31F50" w:rsidRPr="004C2CE7">
        <w:t xml:space="preserve">May </w:t>
      </w:r>
      <w:r w:rsidR="007B5A06" w:rsidRPr="004C2CE7">
        <w:t xml:space="preserve">4, </w:t>
      </w:r>
      <w:r w:rsidR="00A31F50" w:rsidRPr="004C2CE7">
        <w:t>2017</w:t>
      </w:r>
      <w:r w:rsidR="00A31F50">
        <w:t>, t</w:t>
      </w:r>
      <w:r w:rsidR="00856ED7">
        <w:t xml:space="preserve">he court imposed a </w:t>
      </w:r>
      <w:r w:rsidR="00067731">
        <w:t xml:space="preserve">total </w:t>
      </w:r>
      <w:r w:rsidR="00856ED7">
        <w:t xml:space="preserve">sentence </w:t>
      </w:r>
      <w:r w:rsidR="003D5492">
        <w:t xml:space="preserve">of 12 years </w:t>
      </w:r>
      <w:r w:rsidR="00856ED7">
        <w:t xml:space="preserve">on </w:t>
      </w:r>
      <w:r w:rsidR="00856ED7">
        <w:lastRenderedPageBreak/>
        <w:t>defendant</w:t>
      </w:r>
      <w:r w:rsidR="008E56E6">
        <w:t>, consisting of</w:t>
      </w:r>
      <w:r w:rsidR="004C2CE7">
        <w:t xml:space="preserve"> </w:t>
      </w:r>
      <w:r w:rsidR="004C2CE7" w:rsidRPr="004C2CE7">
        <w:t xml:space="preserve">the low term of </w:t>
      </w:r>
      <w:r w:rsidR="004C2CE7">
        <w:t>two</w:t>
      </w:r>
      <w:r w:rsidR="004C2CE7" w:rsidRPr="004C2CE7">
        <w:t xml:space="preserve"> year</w:t>
      </w:r>
      <w:r w:rsidR="004C2CE7">
        <w:t>s</w:t>
      </w:r>
      <w:r w:rsidR="004C2CE7" w:rsidRPr="004C2CE7">
        <w:t xml:space="preserve"> for the first degree burglary count, plus two consecutive </w:t>
      </w:r>
      <w:r w:rsidR="004C2CE7">
        <w:t>five</w:t>
      </w:r>
      <w:r w:rsidR="0000490D">
        <w:t>-</w:t>
      </w:r>
      <w:r w:rsidR="004C2CE7" w:rsidRPr="004C2CE7">
        <w:t>year terms for the section</w:t>
      </w:r>
      <w:r w:rsidR="004E66BC">
        <w:t> </w:t>
      </w:r>
      <w:r w:rsidR="004C2CE7" w:rsidRPr="004C2CE7">
        <w:t xml:space="preserve">667, </w:t>
      </w:r>
      <w:r w:rsidR="004C2CE7" w:rsidRPr="00DA2570">
        <w:t>subdivision</w:t>
      </w:r>
      <w:r w:rsidR="004E66BC" w:rsidRPr="00DA2570">
        <w:t> </w:t>
      </w:r>
      <w:r w:rsidR="004C2CE7" w:rsidRPr="00DA2570">
        <w:t xml:space="preserve">(a)(1) priors, and concurrent terms for the petty theft with a prior count and the criminal threats counts. </w:t>
      </w:r>
      <w:r w:rsidR="00293800">
        <w:t xml:space="preserve"> </w:t>
      </w:r>
      <w:r w:rsidR="00A31F50" w:rsidRPr="00DA2570">
        <w:t>D</w:t>
      </w:r>
      <w:r w:rsidR="007C02B9" w:rsidRPr="00DA2570">
        <w:t>efendant waive</w:t>
      </w:r>
      <w:r w:rsidR="00A31F50" w:rsidRPr="00DA2570">
        <w:t>d</w:t>
      </w:r>
      <w:r w:rsidR="007C02B9" w:rsidRPr="00DA2570">
        <w:t xml:space="preserve"> all credits. </w:t>
      </w:r>
      <w:r w:rsidR="00293800">
        <w:t xml:space="preserve"> </w:t>
      </w:r>
      <w:r w:rsidR="00A95EA4" w:rsidRPr="00DA2570">
        <w:t>The court suspended execution of the sentence</w:t>
      </w:r>
      <w:r w:rsidR="00D67130" w:rsidRPr="00DA2570">
        <w:t xml:space="preserve"> </w:t>
      </w:r>
      <w:r w:rsidR="00A95EA4" w:rsidRPr="00DA2570">
        <w:t>and placed defendant on four years</w:t>
      </w:r>
      <w:r w:rsidR="00B842A9">
        <w:t xml:space="preserve"> of</w:t>
      </w:r>
      <w:r w:rsidR="001662FE">
        <w:t xml:space="preserve"> </w:t>
      </w:r>
      <w:r w:rsidR="00A95EA4" w:rsidRPr="00DA2570">
        <w:t xml:space="preserve">probation. </w:t>
      </w:r>
      <w:r w:rsidR="007D7A3D" w:rsidRPr="00DA2570">
        <w:t xml:space="preserve"> Among the terms of defendant’s probation was that</w:t>
      </w:r>
      <w:r w:rsidR="004211DC">
        <w:t xml:space="preserve"> in lieu of one year in jail,</w:t>
      </w:r>
      <w:r w:rsidR="007D7A3D" w:rsidRPr="00DA2570">
        <w:t xml:space="preserve"> he was to complete a</w:t>
      </w:r>
      <w:r w:rsidR="004F49F6" w:rsidRPr="00DA2570">
        <w:t xml:space="preserve"> particular</w:t>
      </w:r>
      <w:r w:rsidR="007D7A3D" w:rsidRPr="00DA2570">
        <w:t xml:space="preserve"> residential treatment program</w:t>
      </w:r>
      <w:r w:rsidR="004F49F6" w:rsidRPr="00DA2570">
        <w:t xml:space="preserve"> </w:t>
      </w:r>
      <w:r w:rsidR="001662FE">
        <w:t xml:space="preserve">from which he could </w:t>
      </w:r>
      <w:r w:rsidR="004F49F6" w:rsidRPr="00DA2570">
        <w:t>not leave until approved to do so by the program director and his probation officer</w:t>
      </w:r>
      <w:r w:rsidR="007D7A3D" w:rsidRPr="00DA2570">
        <w:t>.</w:t>
      </w:r>
    </w:p>
    <w:p w14:paraId="6AD9DDA0" w14:textId="6FC91AE5" w:rsidR="004F5F86" w:rsidRDefault="00315CA0">
      <w:pPr>
        <w:spacing w:line="360" w:lineRule="auto"/>
      </w:pPr>
      <w:r w:rsidRPr="00DA2570">
        <w:tab/>
        <w:t xml:space="preserve">In </w:t>
      </w:r>
      <w:r w:rsidR="00A80336" w:rsidRPr="00DA2570">
        <w:t>November 2017</w:t>
      </w:r>
      <w:r w:rsidRPr="00DA2570">
        <w:t>, defendant admitted violating the terms of his probation</w:t>
      </w:r>
      <w:r w:rsidR="000908FD" w:rsidRPr="00DA2570">
        <w:t xml:space="preserve"> by not completing the program</w:t>
      </w:r>
      <w:r w:rsidRPr="00DA2570">
        <w:t xml:space="preserve">. </w:t>
      </w:r>
      <w:r w:rsidR="00293800">
        <w:t xml:space="preserve"> </w:t>
      </w:r>
      <w:r w:rsidR="00D00539">
        <w:t>Five weeks after it revoked defendant’s probation, t</w:t>
      </w:r>
      <w:r w:rsidRPr="00DA2570">
        <w:t xml:space="preserve">he trial court reinstated </w:t>
      </w:r>
      <w:r w:rsidR="00D00539">
        <w:t xml:space="preserve">it and </w:t>
      </w:r>
      <w:r w:rsidR="00345A74" w:rsidRPr="00DA2570">
        <w:t>order</w:t>
      </w:r>
      <w:r w:rsidR="00D00539">
        <w:t>ed</w:t>
      </w:r>
      <w:r w:rsidR="00345A74" w:rsidRPr="00DA2570">
        <w:t xml:space="preserve"> defendant to complete a different program</w:t>
      </w:r>
      <w:r w:rsidRPr="00DA2570">
        <w:t xml:space="preserve">. </w:t>
      </w:r>
      <w:r w:rsidR="00293800">
        <w:t xml:space="preserve"> </w:t>
      </w:r>
      <w:r w:rsidR="004F5F86">
        <w:t xml:space="preserve">The court indicated defendant would not receive credit for the </w:t>
      </w:r>
      <w:r w:rsidR="00663B32">
        <w:t>time he spent in his first program</w:t>
      </w:r>
      <w:r w:rsidR="004F5F86">
        <w:t>,</w:t>
      </w:r>
      <w:r w:rsidR="00663B32">
        <w:t xml:space="preserve"> but would earn credit from the day he surrendered himself to the day of the probation violation hearing</w:t>
      </w:r>
    </w:p>
    <w:p w14:paraId="4238AAFF" w14:textId="5967817C" w:rsidR="00124929" w:rsidRPr="00DA2570" w:rsidRDefault="00A31F50">
      <w:pPr>
        <w:spacing w:line="360" w:lineRule="auto"/>
      </w:pPr>
      <w:r w:rsidRPr="00DA2570">
        <w:tab/>
      </w:r>
      <w:r w:rsidR="008046D2" w:rsidRPr="00DA2570">
        <w:t>On May 14, 2019,</w:t>
      </w:r>
      <w:r w:rsidR="007626F5" w:rsidRPr="00DA2570">
        <w:t xml:space="preserve"> </w:t>
      </w:r>
      <w:r w:rsidR="00C824DF" w:rsidRPr="00DA2570">
        <w:t xml:space="preserve">defendant’s probation officer filed an affidavit indicating defendant </w:t>
      </w:r>
      <w:r w:rsidR="009C4D10">
        <w:t xml:space="preserve">had again </w:t>
      </w:r>
      <w:r w:rsidR="00C824DF" w:rsidRPr="00DA2570">
        <w:t>violated the terms of his probation</w:t>
      </w:r>
      <w:r w:rsidR="009C4D10">
        <w:t>, this time</w:t>
      </w:r>
      <w:r w:rsidR="00392BC4" w:rsidRPr="00DA2570">
        <w:t xml:space="preserve"> by failing to abstain from use and possession of alcohol on different occasions, resisting arrest, possessing a knife, and possessing drug paraphernalia</w:t>
      </w:r>
      <w:r w:rsidR="00C824DF" w:rsidRPr="00DA2570">
        <w:t xml:space="preserve">. </w:t>
      </w:r>
      <w:r w:rsidR="00293800">
        <w:t xml:space="preserve"> </w:t>
      </w:r>
      <w:r w:rsidR="00AE52A8">
        <w:t xml:space="preserve">The two alleged violations </w:t>
      </w:r>
      <w:r w:rsidR="00B842A9">
        <w:t>for</w:t>
      </w:r>
      <w:r w:rsidR="00AE52A8">
        <w:t xml:space="preserve"> failure</w:t>
      </w:r>
      <w:r w:rsidR="00AE52A8" w:rsidRPr="00DA2570">
        <w:t xml:space="preserve"> to abstain from </w:t>
      </w:r>
      <w:r w:rsidR="003D5492">
        <w:t xml:space="preserve">alcohol </w:t>
      </w:r>
      <w:r w:rsidR="00AE52A8" w:rsidRPr="00DA2570">
        <w:t>use and possession</w:t>
      </w:r>
      <w:r w:rsidR="00AE52A8">
        <w:t xml:space="preserve"> occurred on January </w:t>
      </w:r>
      <w:r w:rsidR="009A2670">
        <w:t xml:space="preserve">14, 2019 and around late March 2019.  The remaining alleged violations occurred on May 9, 2019.  </w:t>
      </w:r>
      <w:r w:rsidR="00BC720D">
        <w:t xml:space="preserve">A minute order dated May 15, 2019 indicates probation was revoked as of that date.  </w:t>
      </w:r>
      <w:r w:rsidR="00F407E9">
        <w:t>In July 2019, t</w:t>
      </w:r>
      <w:r w:rsidR="00AA42AC" w:rsidRPr="00DA2570">
        <w:t>he probation officer filed an amended affidavit with the same allegations</w:t>
      </w:r>
      <w:r w:rsidR="009A2670">
        <w:t xml:space="preserve">, </w:t>
      </w:r>
      <w:r w:rsidR="003D5492">
        <w:t>and added a</w:t>
      </w:r>
      <w:r w:rsidR="009A2670">
        <w:t xml:space="preserve"> seventh alleged violation </w:t>
      </w:r>
      <w:r w:rsidR="00C85091">
        <w:t xml:space="preserve">for a </w:t>
      </w:r>
      <w:r w:rsidR="009C6E57">
        <w:t>urine analysis</w:t>
      </w:r>
      <w:r w:rsidR="00C85091">
        <w:t xml:space="preserve"> with positive results for alcohol </w:t>
      </w:r>
      <w:r w:rsidR="009C6E57">
        <w:t>confirmed</w:t>
      </w:r>
      <w:r w:rsidR="00C85091">
        <w:t xml:space="preserve"> on May 23, 2019</w:t>
      </w:r>
      <w:r w:rsidR="00AA42AC" w:rsidRPr="00DA2570">
        <w:t>.</w:t>
      </w:r>
    </w:p>
    <w:p w14:paraId="71BBAE37" w14:textId="72DF58EC" w:rsidR="006E385D" w:rsidRPr="00DA2570" w:rsidRDefault="00124929">
      <w:pPr>
        <w:spacing w:line="360" w:lineRule="auto"/>
      </w:pPr>
      <w:r w:rsidRPr="00DA2570">
        <w:lastRenderedPageBreak/>
        <w:tab/>
      </w:r>
      <w:r w:rsidR="000F52A8" w:rsidRPr="00DA2570">
        <w:t>O</w:t>
      </w:r>
      <w:r w:rsidR="0028069B" w:rsidRPr="00DA2570">
        <w:t xml:space="preserve">n November 7, 2019, </w:t>
      </w:r>
      <w:r w:rsidR="001662FE">
        <w:t>San Mateo Superior Court</w:t>
      </w:r>
      <w:r w:rsidR="00A7073F">
        <w:t xml:space="preserve"> </w:t>
      </w:r>
      <w:r w:rsidR="00A2502E" w:rsidRPr="00DA2570">
        <w:t>Judge Robert Foiles</w:t>
      </w:r>
      <w:r w:rsidR="005D7E57">
        <w:t xml:space="preserve"> held a revocation hearing, </w:t>
      </w:r>
      <w:r w:rsidR="001050FA" w:rsidRPr="00DA2570">
        <w:t xml:space="preserve">found all but </w:t>
      </w:r>
      <w:r w:rsidR="00933902">
        <w:t>the seventh</w:t>
      </w:r>
      <w:r w:rsidR="00933902" w:rsidRPr="00DA2570">
        <w:t xml:space="preserve"> </w:t>
      </w:r>
      <w:r w:rsidR="001050FA" w:rsidRPr="00DA2570">
        <w:t>of the</w:t>
      </w:r>
      <w:r w:rsidR="00CD7C3D">
        <w:t xml:space="preserve"> </w:t>
      </w:r>
      <w:r w:rsidR="00933902">
        <w:t>alleged</w:t>
      </w:r>
      <w:r w:rsidR="001050FA" w:rsidRPr="00DA2570">
        <w:t xml:space="preserve"> </w:t>
      </w:r>
      <w:r w:rsidR="00650740">
        <w:t>probation violation</w:t>
      </w:r>
      <w:r w:rsidR="009C6E57">
        <w:t>s</w:t>
      </w:r>
      <w:r w:rsidR="00650740">
        <w:t xml:space="preserve"> </w:t>
      </w:r>
      <w:r w:rsidR="001050FA" w:rsidRPr="00DA2570">
        <w:t>true</w:t>
      </w:r>
      <w:r w:rsidR="00B842A9">
        <w:t>,</w:t>
      </w:r>
      <w:r w:rsidR="001050FA" w:rsidRPr="00DA2570">
        <w:t xml:space="preserve"> and ordered execution of the previously </w:t>
      </w:r>
      <w:r w:rsidR="00B842A9">
        <w:t xml:space="preserve">imposed but </w:t>
      </w:r>
      <w:r w:rsidR="001050FA" w:rsidRPr="00DA2570">
        <w:t xml:space="preserve">suspended </w:t>
      </w:r>
      <w:r w:rsidR="00F407E9">
        <w:t xml:space="preserve">12-year </w:t>
      </w:r>
      <w:r w:rsidR="001050FA" w:rsidRPr="00DA2570">
        <w:t xml:space="preserve">sentence. </w:t>
      </w:r>
      <w:r w:rsidR="00293800">
        <w:t xml:space="preserve"> </w:t>
      </w:r>
      <w:r w:rsidR="00B842A9">
        <w:t>Judge Foiles</w:t>
      </w:r>
      <w:r w:rsidR="00A2502E" w:rsidRPr="00DA2570">
        <w:t xml:space="preserve"> indicated the sentence was structured </w:t>
      </w:r>
      <w:r w:rsidR="00814AF8">
        <w:t xml:space="preserve">as follows: </w:t>
      </w:r>
      <w:r w:rsidR="007275D8">
        <w:t xml:space="preserve"> </w:t>
      </w:r>
      <w:r w:rsidR="00A01FE7" w:rsidRPr="00DA2570">
        <w:t>an aggravated six</w:t>
      </w:r>
      <w:r w:rsidR="007275D8">
        <w:t>-</w:t>
      </w:r>
      <w:r w:rsidR="00A01FE7" w:rsidRPr="00DA2570">
        <w:t>year term for the first degree burglary count</w:t>
      </w:r>
      <w:r w:rsidR="001662FE">
        <w:t>;</w:t>
      </w:r>
      <w:r w:rsidR="00A01FE7" w:rsidRPr="00DA2570">
        <w:t xml:space="preserve"> </w:t>
      </w:r>
      <w:r w:rsidR="00814AF8">
        <w:t xml:space="preserve">a </w:t>
      </w:r>
      <w:r w:rsidR="00A01FE7" w:rsidRPr="00DA2570">
        <w:t>two</w:t>
      </w:r>
      <w:r w:rsidR="007275D8">
        <w:t>-</w:t>
      </w:r>
      <w:r w:rsidR="00A01FE7" w:rsidRPr="00DA2570">
        <w:t>yea</w:t>
      </w:r>
      <w:r w:rsidR="00814AF8">
        <w:t>r</w:t>
      </w:r>
      <w:r w:rsidR="00A01FE7" w:rsidRPr="00DA2570">
        <w:t xml:space="preserve"> consecutive</w:t>
      </w:r>
      <w:r w:rsidR="00814AF8">
        <w:t xml:space="preserve"> term</w:t>
      </w:r>
      <w:r w:rsidR="00A01FE7" w:rsidRPr="00DA2570">
        <w:t xml:space="preserve"> for the on-bail enhancement</w:t>
      </w:r>
      <w:r w:rsidR="001662FE">
        <w:t>;</w:t>
      </w:r>
      <w:r w:rsidR="00A01FE7" w:rsidRPr="00DA2570">
        <w:t xml:space="preserve"> eight</w:t>
      </w:r>
      <w:r w:rsidR="007275D8">
        <w:t>-</w:t>
      </w:r>
      <w:r w:rsidR="00A01FE7" w:rsidRPr="00DA2570">
        <w:t>month consecutive terms for each of the remaining counts</w:t>
      </w:r>
      <w:r w:rsidR="001662FE">
        <w:t>;</w:t>
      </w:r>
      <w:r w:rsidR="00A01FE7" w:rsidRPr="00DA2570">
        <w:t xml:space="preserve"> two years total for the two section</w:t>
      </w:r>
      <w:r w:rsidR="00797E4F" w:rsidRPr="00DA2570">
        <w:t> </w:t>
      </w:r>
      <w:r w:rsidR="00A01FE7" w:rsidRPr="00DA2570">
        <w:t>667.5</w:t>
      </w:r>
      <w:r w:rsidR="00797E4F" w:rsidRPr="00DA2570">
        <w:t>,</w:t>
      </w:r>
      <w:r w:rsidR="00A01FE7" w:rsidRPr="00DA2570">
        <w:t xml:space="preserve"> subdivision</w:t>
      </w:r>
      <w:r w:rsidR="00797E4F" w:rsidRPr="00DA2570">
        <w:t> </w:t>
      </w:r>
      <w:r w:rsidR="00A01FE7" w:rsidRPr="00DA2570">
        <w:t>(b)</w:t>
      </w:r>
      <w:r w:rsidR="003D5492">
        <w:t>,</w:t>
      </w:r>
      <w:r w:rsidR="00A01FE7" w:rsidRPr="00DA2570">
        <w:t xml:space="preserve"> enhancements</w:t>
      </w:r>
      <w:r w:rsidR="001662FE">
        <w:t>;</w:t>
      </w:r>
      <w:r w:rsidR="00A01FE7" w:rsidRPr="00DA2570">
        <w:t xml:space="preserve"> and </w:t>
      </w:r>
      <w:r w:rsidR="007275D8">
        <w:t>striking of</w:t>
      </w:r>
      <w:r w:rsidR="00A01FE7" w:rsidRPr="00DA2570">
        <w:t xml:space="preserve"> the section</w:t>
      </w:r>
      <w:r w:rsidR="00797E4F" w:rsidRPr="00DA2570">
        <w:t> </w:t>
      </w:r>
      <w:r w:rsidR="00A01FE7" w:rsidRPr="00DA2570">
        <w:t>667, subdivision</w:t>
      </w:r>
      <w:r w:rsidR="00797E4F" w:rsidRPr="00DA2570">
        <w:t> </w:t>
      </w:r>
      <w:r w:rsidR="00A01FE7" w:rsidRPr="00DA2570">
        <w:t>(a)</w:t>
      </w:r>
      <w:r w:rsidR="003D5492">
        <w:t>,</w:t>
      </w:r>
      <w:r w:rsidR="00A01FE7" w:rsidRPr="00DA2570">
        <w:t xml:space="preserve"> enhancements</w:t>
      </w:r>
      <w:r w:rsidR="003626BE">
        <w:t xml:space="preserve"> in the interests of justice</w:t>
      </w:r>
      <w:r w:rsidR="00A01FE7" w:rsidRPr="00DA2570">
        <w:t xml:space="preserve">. </w:t>
      </w:r>
      <w:r w:rsidR="009915BC" w:rsidRPr="00DA2570">
        <w:t xml:space="preserve"> </w:t>
      </w:r>
      <w:r w:rsidR="00F21C45" w:rsidRPr="00DA2570">
        <w:t xml:space="preserve">The court awarded defendant </w:t>
      </w:r>
      <w:r w:rsidR="003D5492">
        <w:t xml:space="preserve">a total of </w:t>
      </w:r>
      <w:r w:rsidR="00F21C45" w:rsidRPr="00DA2570">
        <w:t xml:space="preserve">547 </w:t>
      </w:r>
      <w:r w:rsidR="00F407E9">
        <w:t xml:space="preserve">days of custody </w:t>
      </w:r>
      <w:r w:rsidR="00F21C45" w:rsidRPr="00DA2570">
        <w:t xml:space="preserve">credit. </w:t>
      </w:r>
      <w:r w:rsidR="00293800">
        <w:t xml:space="preserve"> </w:t>
      </w:r>
      <w:r w:rsidR="00A80336" w:rsidRPr="00DA2570">
        <w:t xml:space="preserve">Defendant </w:t>
      </w:r>
      <w:r w:rsidR="00F60517" w:rsidRPr="00DA2570">
        <w:t>appeal</w:t>
      </w:r>
      <w:r w:rsidR="00814AF8">
        <w:t>ed</w:t>
      </w:r>
      <w:r w:rsidR="00A80336" w:rsidRPr="00DA2570">
        <w:t xml:space="preserve">. </w:t>
      </w:r>
    </w:p>
    <w:p w14:paraId="4817650C" w14:textId="77777777" w:rsidR="006E385D" w:rsidRPr="00DA2570" w:rsidRDefault="00B277FE" w:rsidP="007034DA">
      <w:pPr>
        <w:keepNext/>
        <w:spacing w:line="360" w:lineRule="auto"/>
        <w:jc w:val="center"/>
        <w:rPr>
          <w:b/>
          <w:smallCaps/>
        </w:rPr>
      </w:pPr>
      <w:r w:rsidRPr="00DA2570">
        <w:rPr>
          <w:b/>
          <w:smallCaps/>
        </w:rPr>
        <w:t>Discussion</w:t>
      </w:r>
    </w:p>
    <w:p w14:paraId="69CF0F1E" w14:textId="14768946" w:rsidR="00D2066E" w:rsidRPr="005D703E" w:rsidRDefault="005D703E" w:rsidP="007034DA">
      <w:pPr>
        <w:pStyle w:val="ListParagraph"/>
        <w:keepNext/>
        <w:numPr>
          <w:ilvl w:val="0"/>
          <w:numId w:val="6"/>
        </w:numPr>
        <w:spacing w:line="360" w:lineRule="auto"/>
        <w:rPr>
          <w:b/>
          <w:bCs/>
          <w:color w:val="000000" w:themeColor="text1"/>
        </w:rPr>
      </w:pPr>
      <w:r w:rsidRPr="005D703E">
        <w:rPr>
          <w:b/>
          <w:bCs/>
          <w:color w:val="000000" w:themeColor="text1"/>
        </w:rPr>
        <w:t xml:space="preserve"> </w:t>
      </w:r>
      <w:r>
        <w:rPr>
          <w:b/>
          <w:bCs/>
          <w:color w:val="000000" w:themeColor="text1"/>
        </w:rPr>
        <w:t>A</w:t>
      </w:r>
      <w:r w:rsidR="001662FE">
        <w:rPr>
          <w:b/>
          <w:bCs/>
          <w:color w:val="000000" w:themeColor="text1"/>
        </w:rPr>
        <w:t xml:space="preserve">ssembly </w:t>
      </w:r>
      <w:r>
        <w:rPr>
          <w:b/>
          <w:bCs/>
          <w:color w:val="000000" w:themeColor="text1"/>
        </w:rPr>
        <w:t>B</w:t>
      </w:r>
      <w:r w:rsidR="001662FE">
        <w:rPr>
          <w:b/>
          <w:bCs/>
          <w:color w:val="000000" w:themeColor="text1"/>
        </w:rPr>
        <w:t>ill No.</w:t>
      </w:r>
      <w:r w:rsidRPr="005D703E">
        <w:rPr>
          <w:b/>
          <w:bCs/>
          <w:color w:val="000000" w:themeColor="text1"/>
        </w:rPr>
        <w:t xml:space="preserve"> 1950</w:t>
      </w:r>
    </w:p>
    <w:p w14:paraId="16C988B0" w14:textId="65129127" w:rsidR="00B842A9" w:rsidRDefault="00D2066E" w:rsidP="00A36C53">
      <w:pPr>
        <w:spacing w:line="360" w:lineRule="auto"/>
        <w:rPr>
          <w:color w:val="000000" w:themeColor="text1"/>
        </w:rPr>
      </w:pPr>
      <w:r>
        <w:rPr>
          <w:color w:val="FF0000"/>
        </w:rPr>
        <w:tab/>
      </w:r>
      <w:r w:rsidR="00350ED4" w:rsidRPr="002F5739">
        <w:rPr>
          <w:color w:val="000000" w:themeColor="text1"/>
        </w:rPr>
        <w:t xml:space="preserve">As indicated, </w:t>
      </w:r>
      <w:r w:rsidR="009D46E8">
        <w:rPr>
          <w:color w:val="000000" w:themeColor="text1"/>
        </w:rPr>
        <w:t xml:space="preserve">on May 4, 2017 </w:t>
      </w:r>
      <w:r w:rsidR="00FB7041">
        <w:rPr>
          <w:color w:val="000000" w:themeColor="text1"/>
        </w:rPr>
        <w:t xml:space="preserve">the trial court imposed a sentence of 12 years but suspended its execution and </w:t>
      </w:r>
      <w:r w:rsidR="00FB7041" w:rsidRPr="00DA2570">
        <w:t>placed defendant on four years</w:t>
      </w:r>
      <w:r w:rsidR="00FB7041">
        <w:t xml:space="preserve"> of </w:t>
      </w:r>
      <w:r w:rsidR="00FB7041" w:rsidRPr="00DA2570">
        <w:t>probation.</w:t>
      </w:r>
      <w:r w:rsidR="00350ED4" w:rsidRPr="002F5739">
        <w:rPr>
          <w:color w:val="000000" w:themeColor="text1"/>
        </w:rPr>
        <w:t xml:space="preserve">  </w:t>
      </w:r>
      <w:r w:rsidR="00B25DFE" w:rsidRPr="002F5739">
        <w:rPr>
          <w:color w:val="000000" w:themeColor="text1"/>
        </w:rPr>
        <w:t>A little over</w:t>
      </w:r>
      <w:r w:rsidR="00350ED4" w:rsidRPr="002F5739">
        <w:rPr>
          <w:color w:val="000000" w:themeColor="text1"/>
        </w:rPr>
        <w:t xml:space="preserve"> two years later, on May 15, 2019, the trial court summarily revoked defendant’s probation based on </w:t>
      </w:r>
      <w:r w:rsidR="008D3A01">
        <w:rPr>
          <w:color w:val="000000" w:themeColor="text1"/>
        </w:rPr>
        <w:t>two</w:t>
      </w:r>
      <w:r w:rsidR="00555153">
        <w:rPr>
          <w:color w:val="000000" w:themeColor="text1"/>
        </w:rPr>
        <w:t xml:space="preserve"> </w:t>
      </w:r>
      <w:r w:rsidR="008D3A01">
        <w:rPr>
          <w:color w:val="000000" w:themeColor="text1"/>
        </w:rPr>
        <w:t xml:space="preserve">alleged probation </w:t>
      </w:r>
      <w:r w:rsidR="00555153">
        <w:rPr>
          <w:color w:val="000000" w:themeColor="text1"/>
        </w:rPr>
        <w:t>violations</w:t>
      </w:r>
      <w:r w:rsidR="008D3A01">
        <w:rPr>
          <w:color w:val="000000" w:themeColor="text1"/>
        </w:rPr>
        <w:t xml:space="preserve"> </w:t>
      </w:r>
      <w:r w:rsidR="00555153">
        <w:rPr>
          <w:color w:val="000000" w:themeColor="text1"/>
        </w:rPr>
        <w:t>occurr</w:t>
      </w:r>
      <w:r w:rsidR="008D3A01">
        <w:rPr>
          <w:color w:val="000000" w:themeColor="text1"/>
        </w:rPr>
        <w:t>ing</w:t>
      </w:r>
      <w:r w:rsidR="00555153">
        <w:rPr>
          <w:color w:val="000000" w:themeColor="text1"/>
        </w:rPr>
        <w:t xml:space="preserve"> in January and March </w:t>
      </w:r>
      <w:r w:rsidR="008D3A01">
        <w:rPr>
          <w:color w:val="000000" w:themeColor="text1"/>
        </w:rPr>
        <w:t xml:space="preserve">of </w:t>
      </w:r>
      <w:r w:rsidR="00555153">
        <w:rPr>
          <w:color w:val="000000" w:themeColor="text1"/>
        </w:rPr>
        <w:t>2019</w:t>
      </w:r>
      <w:r w:rsidR="008D3A01">
        <w:rPr>
          <w:color w:val="000000" w:themeColor="text1"/>
        </w:rPr>
        <w:t xml:space="preserve"> and four alleged violations occurring</w:t>
      </w:r>
      <w:r w:rsidR="00555153">
        <w:rPr>
          <w:color w:val="000000" w:themeColor="text1"/>
        </w:rPr>
        <w:t xml:space="preserve"> on May 9, 2019.</w:t>
      </w:r>
      <w:r w:rsidR="00C5321A">
        <w:rPr>
          <w:color w:val="000000" w:themeColor="text1"/>
        </w:rPr>
        <w:t xml:space="preserve"> </w:t>
      </w:r>
      <w:r w:rsidR="00914A95">
        <w:rPr>
          <w:color w:val="000000" w:themeColor="text1"/>
        </w:rPr>
        <w:t xml:space="preserve"> </w:t>
      </w:r>
      <w:r w:rsidR="00BD66DD">
        <w:rPr>
          <w:color w:val="000000" w:themeColor="text1"/>
        </w:rPr>
        <w:t>In November 2019, t</w:t>
      </w:r>
      <w:r w:rsidR="00EF5DDC">
        <w:rPr>
          <w:color w:val="000000" w:themeColor="text1"/>
        </w:rPr>
        <w:t>he court</w:t>
      </w:r>
      <w:r w:rsidR="00B25DFE" w:rsidRPr="002F5739">
        <w:rPr>
          <w:color w:val="000000" w:themeColor="text1"/>
        </w:rPr>
        <w:t xml:space="preserve"> </w:t>
      </w:r>
      <w:r w:rsidR="00555153">
        <w:rPr>
          <w:color w:val="000000" w:themeColor="text1"/>
        </w:rPr>
        <w:t xml:space="preserve">found the six alleged violations true, </w:t>
      </w:r>
      <w:r w:rsidR="009D46E8">
        <w:rPr>
          <w:color w:val="000000" w:themeColor="text1"/>
        </w:rPr>
        <w:t>terminated defendant’s probation</w:t>
      </w:r>
      <w:r w:rsidR="00555153">
        <w:rPr>
          <w:color w:val="000000" w:themeColor="text1"/>
        </w:rPr>
        <w:t>,</w:t>
      </w:r>
      <w:r w:rsidR="009D46E8">
        <w:rPr>
          <w:color w:val="000000" w:themeColor="text1"/>
        </w:rPr>
        <w:t xml:space="preserve"> and </w:t>
      </w:r>
      <w:r w:rsidR="00B25DFE" w:rsidRPr="002F5739">
        <w:rPr>
          <w:color w:val="000000" w:themeColor="text1"/>
        </w:rPr>
        <w:t xml:space="preserve">ordered execution of </w:t>
      </w:r>
      <w:r w:rsidR="009D46E8">
        <w:rPr>
          <w:color w:val="000000" w:themeColor="text1"/>
        </w:rPr>
        <w:t>his</w:t>
      </w:r>
      <w:r w:rsidR="00B25DFE" w:rsidRPr="002F5739">
        <w:rPr>
          <w:color w:val="000000" w:themeColor="text1"/>
        </w:rPr>
        <w:t xml:space="preserve"> 12-year sentence.</w:t>
      </w:r>
    </w:p>
    <w:p w14:paraId="4539C4DE" w14:textId="7C89CEC3" w:rsidR="00CF4B4C" w:rsidRPr="00CF4B4C" w:rsidRDefault="00B842A9" w:rsidP="00A36C53">
      <w:pPr>
        <w:spacing w:line="360" w:lineRule="auto"/>
        <w:rPr>
          <w:color w:val="000000"/>
        </w:rPr>
      </w:pPr>
      <w:r>
        <w:rPr>
          <w:color w:val="000000" w:themeColor="text1"/>
        </w:rPr>
        <w:tab/>
      </w:r>
      <w:r w:rsidR="008231AF" w:rsidRPr="00DA2570">
        <w:rPr>
          <w:color w:val="000000" w:themeColor="text1"/>
        </w:rPr>
        <w:t xml:space="preserve">On appeal, </w:t>
      </w:r>
      <w:r w:rsidR="008231AF" w:rsidRPr="00DA2570">
        <w:rPr>
          <w:color w:val="000000"/>
        </w:rPr>
        <w:t>defendant</w:t>
      </w:r>
      <w:r w:rsidR="000F52A8" w:rsidRPr="00DA2570">
        <w:rPr>
          <w:color w:val="000000"/>
        </w:rPr>
        <w:t xml:space="preserve"> does not </w:t>
      </w:r>
      <w:r w:rsidR="008231AF" w:rsidRPr="00DA2570">
        <w:rPr>
          <w:color w:val="000000"/>
        </w:rPr>
        <w:t xml:space="preserve">challenge the sufficiency of the evidence </w:t>
      </w:r>
      <w:r w:rsidR="00BD66DD">
        <w:rPr>
          <w:color w:val="000000"/>
        </w:rPr>
        <w:t>support</w:t>
      </w:r>
      <w:r w:rsidR="007275D8">
        <w:rPr>
          <w:color w:val="000000"/>
        </w:rPr>
        <w:t xml:space="preserve">ing </w:t>
      </w:r>
      <w:r w:rsidR="009D46E8">
        <w:rPr>
          <w:color w:val="000000"/>
        </w:rPr>
        <w:t>the six probation violations</w:t>
      </w:r>
      <w:r w:rsidR="008231AF" w:rsidRPr="00DA2570">
        <w:rPr>
          <w:color w:val="000000"/>
        </w:rPr>
        <w:t xml:space="preserve">. </w:t>
      </w:r>
      <w:r w:rsidR="00914A95">
        <w:rPr>
          <w:color w:val="000000"/>
        </w:rPr>
        <w:t xml:space="preserve"> </w:t>
      </w:r>
      <w:r w:rsidR="008231AF" w:rsidRPr="00DA2570">
        <w:rPr>
          <w:color w:val="000000"/>
        </w:rPr>
        <w:t xml:space="preserve">Instead, he argues </w:t>
      </w:r>
      <w:r w:rsidR="00DA27A0" w:rsidRPr="00DA2570">
        <w:rPr>
          <w:color w:val="000000"/>
        </w:rPr>
        <w:t xml:space="preserve">that </w:t>
      </w:r>
      <w:r w:rsidR="0060790C">
        <w:t xml:space="preserve">Assembly Bill </w:t>
      </w:r>
      <w:r w:rsidR="00BF417E" w:rsidRPr="00DA2570">
        <w:rPr>
          <w:color w:val="000000"/>
        </w:rPr>
        <w:t>1950</w:t>
      </w:r>
      <w:r w:rsidR="00AD02BB" w:rsidRPr="00DA2570">
        <w:rPr>
          <w:color w:val="000000"/>
        </w:rPr>
        <w:t>—</w:t>
      </w:r>
      <w:r w:rsidR="00EA0788" w:rsidRPr="00DA2570">
        <w:rPr>
          <w:color w:val="000000"/>
        </w:rPr>
        <w:t>which</w:t>
      </w:r>
      <w:r w:rsidR="00BF417E" w:rsidRPr="00DA2570">
        <w:rPr>
          <w:color w:val="000000"/>
        </w:rPr>
        <w:t xml:space="preserve"> </w:t>
      </w:r>
      <w:r w:rsidR="00EA0788" w:rsidRPr="00DA2570">
        <w:rPr>
          <w:color w:val="000000"/>
        </w:rPr>
        <w:t>limit</w:t>
      </w:r>
      <w:r w:rsidR="0019687A" w:rsidRPr="00DA2570">
        <w:rPr>
          <w:color w:val="000000"/>
        </w:rPr>
        <w:t>s</w:t>
      </w:r>
      <w:r w:rsidR="00EA0788" w:rsidRPr="00DA2570">
        <w:rPr>
          <w:color w:val="000000"/>
        </w:rPr>
        <w:t xml:space="preserve"> probation terms to two years</w:t>
      </w:r>
      <w:r w:rsidR="00D16FFD" w:rsidRPr="00DA2570">
        <w:rPr>
          <w:color w:val="000000"/>
        </w:rPr>
        <w:t xml:space="preserve"> for most felonies</w:t>
      </w:r>
      <w:r w:rsidR="00843B63" w:rsidRPr="00DA2570">
        <w:rPr>
          <w:color w:val="000000"/>
        </w:rPr>
        <w:t>—</w:t>
      </w:r>
      <w:r w:rsidR="004520F0">
        <w:rPr>
          <w:color w:val="000000"/>
        </w:rPr>
        <w:t xml:space="preserve">applies to his case and divested the trial court of jurisdiction to revoke </w:t>
      </w:r>
      <w:r w:rsidR="00EE2330">
        <w:rPr>
          <w:color w:val="000000"/>
        </w:rPr>
        <w:t xml:space="preserve">and terminate </w:t>
      </w:r>
      <w:r w:rsidR="004520F0">
        <w:rPr>
          <w:color w:val="000000"/>
        </w:rPr>
        <w:t>his probation after he</w:t>
      </w:r>
      <w:r w:rsidR="00304291">
        <w:rPr>
          <w:color w:val="000000"/>
        </w:rPr>
        <w:t xml:space="preserve"> ha</w:t>
      </w:r>
      <w:r w:rsidR="004520F0">
        <w:rPr>
          <w:color w:val="000000"/>
        </w:rPr>
        <w:t xml:space="preserve">d been on probation for two years.  Put another way, he contends that </w:t>
      </w:r>
      <w:r w:rsidR="0060790C">
        <w:t xml:space="preserve">Assembly Bill </w:t>
      </w:r>
      <w:r w:rsidR="004520F0">
        <w:rPr>
          <w:color w:val="000000"/>
        </w:rPr>
        <w:t>1950 applie</w:t>
      </w:r>
      <w:r w:rsidR="008D3A01">
        <w:rPr>
          <w:color w:val="000000"/>
        </w:rPr>
        <w:t>s</w:t>
      </w:r>
      <w:r w:rsidR="004520F0">
        <w:rPr>
          <w:color w:val="000000"/>
        </w:rPr>
        <w:t xml:space="preserve"> retroactively to </w:t>
      </w:r>
      <w:r w:rsidR="004520F0">
        <w:rPr>
          <w:color w:val="000000"/>
        </w:rPr>
        <w:lastRenderedPageBreak/>
        <w:t>shorten his probation term from four years to two years</w:t>
      </w:r>
      <w:r w:rsidR="001254C1">
        <w:rPr>
          <w:color w:val="000000"/>
        </w:rPr>
        <w:t xml:space="preserve">, thereby </w:t>
      </w:r>
      <w:r w:rsidR="00CE69E2">
        <w:rPr>
          <w:color w:val="000000"/>
        </w:rPr>
        <w:t xml:space="preserve">retroactively </w:t>
      </w:r>
      <w:r w:rsidR="001254C1">
        <w:rPr>
          <w:color w:val="000000"/>
        </w:rPr>
        <w:t>depriving</w:t>
      </w:r>
      <w:r w:rsidR="00DA27A0" w:rsidRPr="00DA2570">
        <w:rPr>
          <w:color w:val="000000"/>
        </w:rPr>
        <w:t xml:space="preserve"> the trial court </w:t>
      </w:r>
      <w:r w:rsidR="00843B63" w:rsidRPr="00DA2570">
        <w:rPr>
          <w:color w:val="000000"/>
        </w:rPr>
        <w:t>of</w:t>
      </w:r>
      <w:r w:rsidR="00DA27A0" w:rsidRPr="00DA2570">
        <w:rPr>
          <w:color w:val="000000"/>
        </w:rPr>
        <w:t xml:space="preserve"> </w:t>
      </w:r>
      <w:r w:rsidR="007F5062">
        <w:rPr>
          <w:color w:val="000000"/>
        </w:rPr>
        <w:t>jurisdiction</w:t>
      </w:r>
      <w:r w:rsidR="00DA27A0" w:rsidRPr="00DA2570">
        <w:rPr>
          <w:color w:val="000000"/>
        </w:rPr>
        <w:t xml:space="preserve"> to revoke his probation</w:t>
      </w:r>
      <w:r w:rsidR="0098069E">
        <w:rPr>
          <w:color w:val="000000"/>
        </w:rPr>
        <w:t xml:space="preserve"> after </w:t>
      </w:r>
      <w:r w:rsidR="0098069E" w:rsidRPr="00CF4B4C">
        <w:rPr>
          <w:color w:val="000000"/>
        </w:rPr>
        <w:t>passage of the two-year mark</w:t>
      </w:r>
      <w:r w:rsidR="009D46E8" w:rsidRPr="00CF4B4C">
        <w:rPr>
          <w:color w:val="000000"/>
        </w:rPr>
        <w:t xml:space="preserve"> and rendering the revocation and termination of his probation invalid</w:t>
      </w:r>
      <w:r w:rsidR="00EA0788" w:rsidRPr="00CF4B4C">
        <w:rPr>
          <w:color w:val="000000"/>
        </w:rPr>
        <w:t xml:space="preserve">. </w:t>
      </w:r>
      <w:r w:rsidR="00914A95" w:rsidRPr="00CF4B4C">
        <w:rPr>
          <w:color w:val="000000"/>
        </w:rPr>
        <w:t xml:space="preserve"> </w:t>
      </w:r>
      <w:r w:rsidR="001254C1" w:rsidRPr="00CF4B4C">
        <w:rPr>
          <w:color w:val="000000"/>
        </w:rPr>
        <w:t>We cannot agree.</w:t>
      </w:r>
    </w:p>
    <w:p w14:paraId="4B285E34" w14:textId="5D9EB9A3" w:rsidR="00D750FF" w:rsidRDefault="00CF4B4C" w:rsidP="000F504B">
      <w:pPr>
        <w:spacing w:line="360" w:lineRule="auto"/>
        <w:rPr>
          <w:color w:val="000000"/>
        </w:rPr>
      </w:pPr>
      <w:r>
        <w:rPr>
          <w:color w:val="000000"/>
        </w:rPr>
        <w:tab/>
      </w:r>
      <w:r w:rsidR="00B31B5C" w:rsidRPr="00CF4B4C">
        <w:rPr>
          <w:color w:val="000000"/>
        </w:rPr>
        <w:t xml:space="preserve">Effective January 1, 2021, </w:t>
      </w:r>
      <w:r w:rsidR="0060790C">
        <w:t xml:space="preserve">Assembly Bill </w:t>
      </w:r>
      <w:r w:rsidR="00B31B5C" w:rsidRPr="00CF4B4C">
        <w:rPr>
          <w:color w:val="000000"/>
        </w:rPr>
        <w:t>1950 amended section</w:t>
      </w:r>
      <w:r w:rsidR="004E66BC" w:rsidRPr="00CF4B4C">
        <w:rPr>
          <w:color w:val="000000"/>
        </w:rPr>
        <w:t> </w:t>
      </w:r>
      <w:r w:rsidR="00B31B5C" w:rsidRPr="00CF4B4C">
        <w:rPr>
          <w:color w:val="000000"/>
        </w:rPr>
        <w:t>1203.1</w:t>
      </w:r>
      <w:r>
        <w:rPr>
          <w:color w:val="000000"/>
        </w:rPr>
        <w:t xml:space="preserve"> </w:t>
      </w:r>
      <w:r w:rsidRPr="00CF4B4C">
        <w:rPr>
          <w:color w:val="000000"/>
        </w:rPr>
        <w:t xml:space="preserve">to </w:t>
      </w:r>
      <w:r>
        <w:rPr>
          <w:color w:val="000000"/>
        </w:rPr>
        <w:t xml:space="preserve">shorten the period of probation for </w:t>
      </w:r>
      <w:r w:rsidR="00CE69E2">
        <w:rPr>
          <w:color w:val="000000"/>
        </w:rPr>
        <w:t xml:space="preserve">most </w:t>
      </w:r>
      <w:r>
        <w:rPr>
          <w:color w:val="000000"/>
        </w:rPr>
        <w:t xml:space="preserve">misdemeanors and felonies.  </w:t>
      </w:r>
      <w:r w:rsidR="00B614B2">
        <w:rPr>
          <w:color w:val="000000"/>
        </w:rPr>
        <w:t>For purposes of this case, s</w:t>
      </w:r>
      <w:r>
        <w:rPr>
          <w:color w:val="000000"/>
        </w:rPr>
        <w:t>ection 1203.1, subdivision (a), states</w:t>
      </w:r>
      <w:r w:rsidR="00D750FF">
        <w:rPr>
          <w:color w:val="000000"/>
        </w:rPr>
        <w:t xml:space="preserve"> in relevant part</w:t>
      </w:r>
      <w:r w:rsidRPr="00CF4B4C">
        <w:rPr>
          <w:color w:val="000000"/>
        </w:rPr>
        <w:t xml:space="preserve">:  </w:t>
      </w:r>
      <w:r>
        <w:rPr>
          <w:color w:val="000000"/>
        </w:rPr>
        <w:t>“</w:t>
      </w:r>
      <w:r w:rsidRPr="00CE69E2">
        <w:rPr>
          <w:rFonts w:eastAsia="Times New Roman"/>
        </w:rPr>
        <w:t>The court, or judge thereof, in the order granting probation, may suspend the imposing or the execution of the sentence and may direct that the suspension may continue for a period of time not exceeding two years, and upon those terms and conditions as it shall determine.</w:t>
      </w:r>
      <w:r>
        <w:rPr>
          <w:rFonts w:eastAsia="Times New Roman"/>
        </w:rPr>
        <w:t xml:space="preserve">”  </w:t>
      </w:r>
      <w:r w:rsidR="00D750FF">
        <w:rPr>
          <w:rFonts w:eastAsia="Times New Roman"/>
        </w:rPr>
        <w:t xml:space="preserve">(§ 1203.1, subd. (a).)  As explained </w:t>
      </w:r>
      <w:r w:rsidR="009C4D10">
        <w:rPr>
          <w:rFonts w:eastAsia="Times New Roman"/>
        </w:rPr>
        <w:t>in</w:t>
      </w:r>
      <w:r w:rsidR="00D750FF">
        <w:rPr>
          <w:rFonts w:eastAsia="Times New Roman"/>
        </w:rPr>
        <w:t xml:space="preserve"> the Legislative Counsel’s Digest, whereas</w:t>
      </w:r>
      <w:r>
        <w:rPr>
          <w:rFonts w:eastAsia="Times New Roman"/>
        </w:rPr>
        <w:t xml:space="preserve"> </w:t>
      </w:r>
      <w:r w:rsidR="00D750FF">
        <w:rPr>
          <w:rFonts w:eastAsia="Times New Roman"/>
        </w:rPr>
        <w:t xml:space="preserve">previous law had authorized courts to grant a period of probation “not exceeding the maximum term for which the person could be imprisoned,” </w:t>
      </w:r>
      <w:r w:rsidR="0060790C">
        <w:t xml:space="preserve">Assembly Bill </w:t>
      </w:r>
      <w:r w:rsidR="00D750FF">
        <w:rPr>
          <w:rFonts w:eastAsia="Times New Roman"/>
        </w:rPr>
        <w:t>1950 instead</w:t>
      </w:r>
      <w:r w:rsidR="00D750FF">
        <w:rPr>
          <w:color w:val="000000"/>
        </w:rPr>
        <w:t xml:space="preserve"> “</w:t>
      </w:r>
      <w:r w:rsidR="005C2FDA" w:rsidRPr="00CF4B4C">
        <w:rPr>
          <w:color w:val="000000"/>
        </w:rPr>
        <w:t>authorize</w:t>
      </w:r>
      <w:r w:rsidR="00D750FF">
        <w:rPr>
          <w:color w:val="000000"/>
        </w:rPr>
        <w:t>[s]</w:t>
      </w:r>
      <w:r w:rsidR="005C2FDA" w:rsidRPr="00CF4B4C">
        <w:rPr>
          <w:color w:val="000000"/>
        </w:rPr>
        <w:t xml:space="preserve"> a court to</w:t>
      </w:r>
      <w:r w:rsidR="005C2FDA">
        <w:rPr>
          <w:color w:val="000000"/>
        </w:rPr>
        <w:t xml:space="preserve"> </w:t>
      </w:r>
      <w:r w:rsidR="005C2FDA" w:rsidRPr="00CE69E2">
        <w:rPr>
          <w:color w:val="000000"/>
        </w:rPr>
        <w:t>impose</w:t>
      </w:r>
      <w:r w:rsidR="005C2FDA">
        <w:rPr>
          <w:color w:val="000000"/>
        </w:rPr>
        <w:t xml:space="preserve"> a term of probation not longer than 2 years, except as </w:t>
      </w:r>
      <w:r w:rsidR="003A43AF">
        <w:rPr>
          <w:color w:val="000000"/>
        </w:rPr>
        <w:t xml:space="preserve">[otherwise] </w:t>
      </w:r>
      <w:r w:rsidR="00BB2C3D">
        <w:rPr>
          <w:color w:val="000000"/>
        </w:rPr>
        <w:t>specified</w:t>
      </w:r>
      <w:r w:rsidR="005C2FDA">
        <w:rPr>
          <w:color w:val="000000"/>
        </w:rPr>
        <w:t>.”  (Legis. Counsel’s Dig., Assem. Bill No.</w:t>
      </w:r>
      <w:r w:rsidR="00D750FF">
        <w:rPr>
          <w:color w:val="000000"/>
        </w:rPr>
        <w:t> </w:t>
      </w:r>
      <w:r w:rsidR="005C2FDA">
        <w:rPr>
          <w:color w:val="000000"/>
        </w:rPr>
        <w:t xml:space="preserve">1950 (2019—2020 Reg. Sess.) Stats. 2020, ch. 328; see </w:t>
      </w:r>
      <w:r w:rsidR="00B31B5C" w:rsidRPr="00DA2570">
        <w:rPr>
          <w:i/>
          <w:iCs/>
          <w:color w:val="000000"/>
        </w:rPr>
        <w:t>People v. Sims</w:t>
      </w:r>
      <w:r w:rsidR="00B31B5C" w:rsidRPr="00DA2570">
        <w:rPr>
          <w:color w:val="000000"/>
        </w:rPr>
        <w:t xml:space="preserve"> (2021) 59 Cal.App.5th 943, 947.)  </w:t>
      </w:r>
      <w:r w:rsidR="00D750FF">
        <w:rPr>
          <w:color w:val="000000"/>
        </w:rPr>
        <w:t>T</w:t>
      </w:r>
      <w:r w:rsidR="00B479C7">
        <w:rPr>
          <w:color w:val="000000"/>
        </w:rPr>
        <w:t xml:space="preserve">his change in the law </w:t>
      </w:r>
      <w:r w:rsidR="00D750FF">
        <w:rPr>
          <w:color w:val="000000"/>
        </w:rPr>
        <w:t>bars the imposition of</w:t>
      </w:r>
      <w:r w:rsidR="007F5062">
        <w:rPr>
          <w:color w:val="000000"/>
        </w:rPr>
        <w:t xml:space="preserve"> more than two years</w:t>
      </w:r>
      <w:r w:rsidR="006571A7">
        <w:rPr>
          <w:color w:val="000000"/>
        </w:rPr>
        <w:t xml:space="preserve"> of</w:t>
      </w:r>
      <w:r w:rsidR="007F5062">
        <w:rPr>
          <w:color w:val="000000"/>
        </w:rPr>
        <w:t xml:space="preserve"> probation for a felony offense </w:t>
      </w:r>
      <w:r w:rsidR="00B479C7">
        <w:rPr>
          <w:color w:val="000000"/>
        </w:rPr>
        <w:t xml:space="preserve">unless </w:t>
      </w:r>
      <w:r w:rsidR="007F5062">
        <w:rPr>
          <w:color w:val="000000"/>
        </w:rPr>
        <w:t>the</w:t>
      </w:r>
      <w:r w:rsidR="00B479C7">
        <w:rPr>
          <w:color w:val="000000"/>
        </w:rPr>
        <w:t xml:space="preserve"> offense </w:t>
      </w:r>
      <w:r w:rsidR="009172B3">
        <w:rPr>
          <w:color w:val="000000"/>
        </w:rPr>
        <w:t>is a violent felony listed in section 667.5, subdivision (c)</w:t>
      </w:r>
      <w:r w:rsidR="001662FE">
        <w:rPr>
          <w:color w:val="000000"/>
        </w:rPr>
        <w:t xml:space="preserve">, </w:t>
      </w:r>
      <w:r w:rsidR="006571A7">
        <w:rPr>
          <w:color w:val="000000"/>
        </w:rPr>
        <w:t>or is subject to</w:t>
      </w:r>
      <w:r w:rsidR="00B479C7">
        <w:rPr>
          <w:color w:val="000000"/>
        </w:rPr>
        <w:t xml:space="preserve"> a specific probation length,</w:t>
      </w:r>
      <w:r w:rsidR="008605B8">
        <w:rPr>
          <w:color w:val="000000"/>
        </w:rPr>
        <w:t xml:space="preserve"> or is specifically excluded from the statute’s two</w:t>
      </w:r>
      <w:r w:rsidR="002F5739">
        <w:rPr>
          <w:color w:val="000000"/>
        </w:rPr>
        <w:t>-</w:t>
      </w:r>
      <w:r w:rsidR="008605B8">
        <w:rPr>
          <w:color w:val="000000"/>
        </w:rPr>
        <w:t xml:space="preserve">year </w:t>
      </w:r>
      <w:r w:rsidR="005B6409">
        <w:rPr>
          <w:color w:val="000000"/>
        </w:rPr>
        <w:t>limit</w:t>
      </w:r>
      <w:r w:rsidR="00B479C7">
        <w:rPr>
          <w:color w:val="000000"/>
        </w:rPr>
        <w:t>.  (</w:t>
      </w:r>
      <w:r w:rsidR="000F504B">
        <w:rPr>
          <w:color w:val="000000"/>
        </w:rPr>
        <w:t xml:space="preserve">§ 1203.1, </w:t>
      </w:r>
      <w:r w:rsidR="001C291E">
        <w:rPr>
          <w:color w:val="000000"/>
        </w:rPr>
        <w:t xml:space="preserve">former </w:t>
      </w:r>
      <w:r w:rsidR="000F504B">
        <w:rPr>
          <w:color w:val="000000"/>
        </w:rPr>
        <w:t>subd</w:t>
      </w:r>
      <w:r w:rsidR="001C291E">
        <w:rPr>
          <w:color w:val="000000"/>
        </w:rPr>
        <w:t>s</w:t>
      </w:r>
      <w:r w:rsidR="000F504B">
        <w:rPr>
          <w:color w:val="000000"/>
        </w:rPr>
        <w:t>.</w:t>
      </w:r>
      <w:r w:rsidR="007F5062">
        <w:rPr>
          <w:color w:val="000000"/>
        </w:rPr>
        <w:t> </w:t>
      </w:r>
      <w:r w:rsidR="001C291E">
        <w:rPr>
          <w:color w:val="000000"/>
        </w:rPr>
        <w:t>(a),</w:t>
      </w:r>
      <w:r w:rsidR="000F504B">
        <w:rPr>
          <w:color w:val="000000"/>
        </w:rPr>
        <w:t> </w:t>
      </w:r>
      <w:r w:rsidR="00B479C7">
        <w:rPr>
          <w:color w:val="000000"/>
        </w:rPr>
        <w:t>(m)</w:t>
      </w:r>
      <w:r w:rsidR="009305FC">
        <w:rPr>
          <w:color w:val="000000"/>
        </w:rPr>
        <w:t>, added by</w:t>
      </w:r>
      <w:r w:rsidR="0079364E">
        <w:rPr>
          <w:color w:val="000000"/>
        </w:rPr>
        <w:t xml:space="preserve"> </w:t>
      </w:r>
      <w:r w:rsidR="0079364E" w:rsidRPr="00DA2570">
        <w:rPr>
          <w:color w:val="000000"/>
        </w:rPr>
        <w:t>Stats. 2020, ch.</w:t>
      </w:r>
      <w:r w:rsidR="0079364E">
        <w:rPr>
          <w:color w:val="000000"/>
        </w:rPr>
        <w:t> </w:t>
      </w:r>
      <w:r w:rsidR="0079364E" w:rsidRPr="00DA2570">
        <w:rPr>
          <w:color w:val="000000"/>
        </w:rPr>
        <w:t>328, §</w:t>
      </w:r>
      <w:r w:rsidR="0079364E">
        <w:rPr>
          <w:color w:val="000000"/>
        </w:rPr>
        <w:t> 2</w:t>
      </w:r>
      <w:r w:rsidR="001C291E">
        <w:rPr>
          <w:color w:val="000000"/>
        </w:rPr>
        <w:t>, now</w:t>
      </w:r>
      <w:r w:rsidR="005D1A78">
        <w:rPr>
          <w:color w:val="000000"/>
        </w:rPr>
        <w:t xml:space="preserve"> subds. (a), (</w:t>
      </w:r>
      <w:r w:rsidR="005D1A78" w:rsidRPr="0093249C">
        <w:rPr>
          <w:color w:val="000000"/>
        </w:rPr>
        <w:t>l</w:t>
      </w:r>
      <w:r w:rsidR="005D1A78">
        <w:rPr>
          <w:color w:val="000000"/>
        </w:rPr>
        <w:t>)</w:t>
      </w:r>
      <w:r w:rsidR="00B479C7">
        <w:rPr>
          <w:color w:val="000000"/>
        </w:rPr>
        <w:t>.)</w:t>
      </w:r>
      <w:r w:rsidR="001662FE">
        <w:rPr>
          <w:rStyle w:val="FootnoteReference"/>
          <w:color w:val="000000"/>
        </w:rPr>
        <w:footnoteReference w:id="3"/>
      </w:r>
    </w:p>
    <w:p w14:paraId="14DE6761" w14:textId="6FDFADC2" w:rsidR="00B31B5C" w:rsidRPr="00DA2570" w:rsidRDefault="00D750FF" w:rsidP="000F504B">
      <w:pPr>
        <w:spacing w:line="360" w:lineRule="auto"/>
        <w:rPr>
          <w:color w:val="000000"/>
        </w:rPr>
      </w:pPr>
      <w:r>
        <w:rPr>
          <w:color w:val="000000"/>
        </w:rPr>
        <w:lastRenderedPageBreak/>
        <w:tab/>
      </w:r>
      <w:r w:rsidR="00B31B5C" w:rsidRPr="00DA2570">
        <w:rPr>
          <w:color w:val="000000"/>
        </w:rPr>
        <w:t xml:space="preserve">Appellate courts </w:t>
      </w:r>
      <w:r w:rsidR="008A1E3D">
        <w:rPr>
          <w:color w:val="000000"/>
        </w:rPr>
        <w:t>are so far unanimous in holding</w:t>
      </w:r>
      <w:r w:rsidR="00B31B5C" w:rsidRPr="00DA2570">
        <w:rPr>
          <w:color w:val="000000"/>
        </w:rPr>
        <w:t xml:space="preserve"> that </w:t>
      </w:r>
      <w:r w:rsidR="0060790C">
        <w:t xml:space="preserve">Assembly Bill </w:t>
      </w:r>
      <w:r w:rsidR="00B31B5C" w:rsidRPr="00DA2570">
        <w:rPr>
          <w:color w:val="000000"/>
        </w:rPr>
        <w:t xml:space="preserve">1950 </w:t>
      </w:r>
      <w:r w:rsidR="009C4D10">
        <w:rPr>
          <w:color w:val="000000"/>
        </w:rPr>
        <w:t xml:space="preserve">applies </w:t>
      </w:r>
      <w:r w:rsidR="00B31B5C" w:rsidRPr="00DA2570">
        <w:rPr>
          <w:color w:val="000000"/>
        </w:rPr>
        <w:t xml:space="preserve">retroactively to </w:t>
      </w:r>
      <w:r w:rsidR="009C4D10">
        <w:rPr>
          <w:color w:val="000000"/>
        </w:rPr>
        <w:t xml:space="preserve">defendants </w:t>
      </w:r>
      <w:r w:rsidR="003F55B5">
        <w:rPr>
          <w:color w:val="000000"/>
        </w:rPr>
        <w:t xml:space="preserve">who were </w:t>
      </w:r>
      <w:r w:rsidR="009C4D10">
        <w:rPr>
          <w:color w:val="000000"/>
        </w:rPr>
        <w:t>serving a term of</w:t>
      </w:r>
      <w:r w:rsidR="00E15D0A">
        <w:rPr>
          <w:color w:val="000000"/>
        </w:rPr>
        <w:t xml:space="preserve"> probation when</w:t>
      </w:r>
      <w:r w:rsidR="00AB23ED">
        <w:rPr>
          <w:color w:val="000000"/>
        </w:rPr>
        <w:t xml:space="preserve"> </w:t>
      </w:r>
      <w:r w:rsidR="00E15D0A">
        <w:rPr>
          <w:color w:val="000000"/>
        </w:rPr>
        <w:t>the legislation became effective</w:t>
      </w:r>
      <w:r w:rsidR="009C4D10">
        <w:rPr>
          <w:color w:val="000000"/>
        </w:rPr>
        <w:t xml:space="preserve"> on January 1, 2021</w:t>
      </w:r>
      <w:r>
        <w:rPr>
          <w:color w:val="000000"/>
        </w:rPr>
        <w:t>; i</w:t>
      </w:r>
      <w:r w:rsidR="00E15D0A">
        <w:rPr>
          <w:color w:val="000000"/>
        </w:rPr>
        <w:t>n such cases, the courts</w:t>
      </w:r>
      <w:r w:rsidR="00350ED4">
        <w:rPr>
          <w:color w:val="000000"/>
        </w:rPr>
        <w:t xml:space="preserve"> have </w:t>
      </w:r>
      <w:r w:rsidR="0065669C">
        <w:rPr>
          <w:color w:val="000000"/>
        </w:rPr>
        <w:t xml:space="preserve">acted to </w:t>
      </w:r>
      <w:r w:rsidR="00350ED4">
        <w:rPr>
          <w:color w:val="000000"/>
        </w:rPr>
        <w:t>reduce the length o</w:t>
      </w:r>
      <w:r w:rsidR="0065669C">
        <w:rPr>
          <w:color w:val="000000"/>
        </w:rPr>
        <w:t>f</w:t>
      </w:r>
      <w:r w:rsidR="00350ED4">
        <w:rPr>
          <w:color w:val="000000"/>
        </w:rPr>
        <w:t xml:space="preserve"> </w:t>
      </w:r>
      <w:r w:rsidR="009C4D10">
        <w:rPr>
          <w:color w:val="000000"/>
        </w:rPr>
        <w:t xml:space="preserve">their </w:t>
      </w:r>
      <w:r w:rsidR="00350ED4">
        <w:rPr>
          <w:color w:val="000000"/>
        </w:rPr>
        <w:t>probation terms</w:t>
      </w:r>
      <w:r w:rsidR="00B31B5C" w:rsidRPr="00DA2570">
        <w:rPr>
          <w:color w:val="000000"/>
        </w:rPr>
        <w:t>.  (</w:t>
      </w:r>
      <w:r w:rsidR="0015294D" w:rsidRPr="00DA2570">
        <w:rPr>
          <w:color w:val="000000"/>
        </w:rPr>
        <w:t xml:space="preserve">E.g., </w:t>
      </w:r>
      <w:r w:rsidR="00C16687" w:rsidRPr="00AC5305">
        <w:rPr>
          <w:i/>
          <w:iCs/>
        </w:rPr>
        <w:t>People v. Greeley</w:t>
      </w:r>
      <w:r w:rsidR="00C16687" w:rsidRPr="00AC5305">
        <w:t xml:space="preserve"> (2021)</w:t>
      </w:r>
      <w:r w:rsidR="00C16687">
        <w:t xml:space="preserve"> 70 Cal.App.5th 609, 627</w:t>
      </w:r>
      <w:r w:rsidR="00C16687" w:rsidRPr="00AC5305">
        <w:t xml:space="preserve">; </w:t>
      </w:r>
      <w:r w:rsidR="00C16687" w:rsidRPr="00AC5305">
        <w:rPr>
          <w:i/>
          <w:iCs/>
        </w:rPr>
        <w:t>People v. Czirban</w:t>
      </w:r>
      <w:r w:rsidR="00C16687" w:rsidRPr="00AC5305">
        <w:t xml:space="preserve"> (2021) 67 Cal.App.5th 1073, 1095; </w:t>
      </w:r>
      <w:r w:rsidR="00C16687" w:rsidRPr="00AC5305">
        <w:rPr>
          <w:i/>
          <w:iCs/>
        </w:rPr>
        <w:t>People v. Schultz</w:t>
      </w:r>
      <w:r w:rsidR="00C16687" w:rsidRPr="00AC5305">
        <w:t xml:space="preserve"> (2021) 66 Cal.App.5th 887, 894</w:t>
      </w:r>
      <w:r w:rsidR="00670DA9">
        <w:t>–</w:t>
      </w:r>
      <w:r w:rsidR="00C16687" w:rsidRPr="00AC5305">
        <w:t>895</w:t>
      </w:r>
      <w:r w:rsidR="00C16687">
        <w:t xml:space="preserve">; </w:t>
      </w:r>
      <w:r w:rsidR="00E01A7D" w:rsidRPr="00DA2570">
        <w:rPr>
          <w:i/>
          <w:iCs/>
          <w:color w:val="000000"/>
        </w:rPr>
        <w:t>People v. Lord</w:t>
      </w:r>
      <w:r w:rsidR="00E01A7D" w:rsidRPr="00DA2570">
        <w:rPr>
          <w:color w:val="000000"/>
        </w:rPr>
        <w:t xml:space="preserve"> (2021) 64 Cal.App.5th 241, 244–246</w:t>
      </w:r>
      <w:r w:rsidR="00E01A7D">
        <w:rPr>
          <w:color w:val="000000"/>
        </w:rPr>
        <w:t xml:space="preserve">; </w:t>
      </w:r>
      <w:r w:rsidR="00C16687" w:rsidRPr="00AC5305">
        <w:rPr>
          <w:i/>
          <w:iCs/>
        </w:rPr>
        <w:t>People v. Stewart</w:t>
      </w:r>
      <w:r w:rsidR="00C16687" w:rsidRPr="00AC5305">
        <w:t xml:space="preserve"> (2021) 62 Cal.App.5th 1065, 1071</w:t>
      </w:r>
      <w:r w:rsidR="00670DA9">
        <w:t>–</w:t>
      </w:r>
      <w:r w:rsidR="00C16687" w:rsidRPr="00AC5305">
        <w:t>1074, rev</w:t>
      </w:r>
      <w:r w:rsidR="00670DA9">
        <w:t>iew</w:t>
      </w:r>
      <w:r w:rsidR="00C16687" w:rsidRPr="00AC5305">
        <w:t xml:space="preserve"> granted June 30, 2021</w:t>
      </w:r>
      <w:r w:rsidR="00670DA9">
        <w:t xml:space="preserve">, </w:t>
      </w:r>
      <w:r w:rsidR="00C16687" w:rsidRPr="00AC5305">
        <w:t>S268787</w:t>
      </w:r>
      <w:r w:rsidR="00C16687">
        <w:t xml:space="preserve">; </w:t>
      </w:r>
      <w:r w:rsidR="00BB036D">
        <w:rPr>
          <w:i/>
          <w:iCs/>
        </w:rPr>
        <w:t xml:space="preserve">People v. </w:t>
      </w:r>
      <w:r w:rsidR="00B31B5C" w:rsidRPr="00DA2570">
        <w:rPr>
          <w:i/>
          <w:iCs/>
          <w:color w:val="000000"/>
        </w:rPr>
        <w:t>Sims</w:t>
      </w:r>
      <w:r w:rsidR="00B31B5C" w:rsidRPr="00DA2570">
        <w:rPr>
          <w:color w:val="000000"/>
        </w:rPr>
        <w:t>,</w:t>
      </w:r>
      <w:r w:rsidR="007553F0">
        <w:rPr>
          <w:color w:val="000000"/>
        </w:rPr>
        <w:t xml:space="preserve"> </w:t>
      </w:r>
      <w:r w:rsidR="007553F0" w:rsidRPr="007553F0">
        <w:rPr>
          <w:i/>
          <w:iCs/>
          <w:color w:val="000000"/>
        </w:rPr>
        <w:t>supra</w:t>
      </w:r>
      <w:r w:rsidR="007553F0">
        <w:rPr>
          <w:color w:val="000000"/>
        </w:rPr>
        <w:t>,</w:t>
      </w:r>
      <w:r w:rsidR="007553F0" w:rsidRPr="007553F0">
        <w:rPr>
          <w:color w:val="000000"/>
        </w:rPr>
        <w:t xml:space="preserve"> </w:t>
      </w:r>
      <w:r w:rsidR="007553F0" w:rsidRPr="00DA2570">
        <w:rPr>
          <w:color w:val="000000"/>
        </w:rPr>
        <w:t>59 Cal.App.5th</w:t>
      </w:r>
      <w:r w:rsidR="00B31B5C" w:rsidRPr="00DA2570">
        <w:rPr>
          <w:color w:val="000000"/>
        </w:rPr>
        <w:t xml:space="preserve"> at p.</w:t>
      </w:r>
      <w:r w:rsidR="004E66BC" w:rsidRPr="00DA2570">
        <w:rPr>
          <w:color w:val="000000"/>
        </w:rPr>
        <w:t> </w:t>
      </w:r>
      <w:r w:rsidR="00B31B5C" w:rsidRPr="00DA2570">
        <w:rPr>
          <w:color w:val="000000"/>
        </w:rPr>
        <w:t xml:space="preserve">964; </w:t>
      </w:r>
      <w:r w:rsidR="00350ED4" w:rsidRPr="00995944">
        <w:rPr>
          <w:i/>
          <w:iCs/>
          <w:color w:val="000000"/>
        </w:rPr>
        <w:t>People v. Quinn</w:t>
      </w:r>
      <w:r w:rsidR="00350ED4">
        <w:rPr>
          <w:color w:val="000000"/>
        </w:rPr>
        <w:t xml:space="preserve"> (2021) 59 Cal.App.5</w:t>
      </w:r>
      <w:r w:rsidR="00350ED4" w:rsidRPr="0098069E">
        <w:rPr>
          <w:color w:val="000000"/>
        </w:rPr>
        <w:t>th</w:t>
      </w:r>
      <w:r w:rsidR="00350ED4">
        <w:rPr>
          <w:color w:val="000000"/>
        </w:rPr>
        <w:t xml:space="preserve"> 874</w:t>
      </w:r>
      <w:r w:rsidR="0065669C">
        <w:rPr>
          <w:color w:val="000000"/>
        </w:rPr>
        <w:t>,</w:t>
      </w:r>
      <w:r w:rsidR="00995944">
        <w:rPr>
          <w:color w:val="000000"/>
        </w:rPr>
        <w:t xml:space="preserve"> 881–885</w:t>
      </w:r>
      <w:r w:rsidR="00B31B5C" w:rsidRPr="00DA2570">
        <w:rPr>
          <w:color w:val="000000"/>
        </w:rPr>
        <w:t>.)</w:t>
      </w:r>
      <w:r w:rsidR="00AB23ED">
        <w:rPr>
          <w:color w:val="000000"/>
        </w:rPr>
        <w:t xml:space="preserve">  </w:t>
      </w:r>
      <w:r w:rsidR="0065669C">
        <w:rPr>
          <w:color w:val="000000"/>
        </w:rPr>
        <w:t xml:space="preserve">While we have no quarrel with those decisions, </w:t>
      </w:r>
      <w:r w:rsidR="00AB23ED">
        <w:rPr>
          <w:color w:val="000000"/>
        </w:rPr>
        <w:t xml:space="preserve">we are not persuaded that </w:t>
      </w:r>
      <w:r w:rsidR="0060790C">
        <w:t xml:space="preserve">Assembly Bill </w:t>
      </w:r>
      <w:r w:rsidR="002D2865">
        <w:rPr>
          <w:color w:val="000000"/>
        </w:rPr>
        <w:t xml:space="preserve">1950 </w:t>
      </w:r>
      <w:r w:rsidR="0009453C">
        <w:rPr>
          <w:color w:val="000000"/>
        </w:rPr>
        <w:t>invalidates a trial court’s revocation</w:t>
      </w:r>
      <w:r w:rsidR="002D6A63">
        <w:rPr>
          <w:color w:val="000000"/>
        </w:rPr>
        <w:t xml:space="preserve"> and</w:t>
      </w:r>
      <w:r w:rsidR="0009453C">
        <w:rPr>
          <w:color w:val="000000"/>
        </w:rPr>
        <w:t xml:space="preserve"> termination of </w:t>
      </w:r>
      <w:r w:rsidR="001254C1">
        <w:rPr>
          <w:color w:val="000000"/>
        </w:rPr>
        <w:t xml:space="preserve">a </w:t>
      </w:r>
      <w:r w:rsidR="002D2865">
        <w:rPr>
          <w:color w:val="000000"/>
        </w:rPr>
        <w:t>defendant’s probation</w:t>
      </w:r>
      <w:r w:rsidR="001254C1">
        <w:rPr>
          <w:color w:val="000000"/>
        </w:rPr>
        <w:t xml:space="preserve"> where, as here, </w:t>
      </w:r>
      <w:r w:rsidR="0009453C">
        <w:rPr>
          <w:color w:val="000000"/>
        </w:rPr>
        <w:t>such actions were properly taken</w:t>
      </w:r>
      <w:r w:rsidR="0085090D">
        <w:rPr>
          <w:color w:val="000000"/>
        </w:rPr>
        <w:t xml:space="preserve"> before</w:t>
      </w:r>
      <w:r w:rsidR="00E15D0A">
        <w:rPr>
          <w:color w:val="000000"/>
        </w:rPr>
        <w:t xml:space="preserve"> </w:t>
      </w:r>
      <w:r w:rsidR="0060790C">
        <w:t xml:space="preserve">Assembly Bill </w:t>
      </w:r>
      <w:r w:rsidR="001254C1">
        <w:rPr>
          <w:color w:val="000000"/>
        </w:rPr>
        <w:t>1950</w:t>
      </w:r>
      <w:r w:rsidR="0085090D">
        <w:rPr>
          <w:color w:val="000000"/>
        </w:rPr>
        <w:t>’s e</w:t>
      </w:r>
      <w:r w:rsidR="00B57F5E">
        <w:rPr>
          <w:color w:val="000000"/>
        </w:rPr>
        <w:t>ffective date</w:t>
      </w:r>
      <w:r w:rsidR="001254C1">
        <w:rPr>
          <w:color w:val="000000"/>
        </w:rPr>
        <w:t>.</w:t>
      </w:r>
    </w:p>
    <w:p w14:paraId="7A59D132" w14:textId="09E36A42" w:rsidR="00AE11CE" w:rsidRDefault="00B31B5C" w:rsidP="00ED3E79">
      <w:pPr>
        <w:spacing w:line="360" w:lineRule="auto"/>
        <w:rPr>
          <w:color w:val="000000"/>
        </w:rPr>
      </w:pPr>
      <w:r w:rsidRPr="00DA2570">
        <w:rPr>
          <w:color w:val="000000"/>
        </w:rPr>
        <w:tab/>
      </w:r>
      <w:r w:rsidR="00B614B2">
        <w:rPr>
          <w:color w:val="000000"/>
        </w:rPr>
        <w:t xml:space="preserve">In assessing whether </w:t>
      </w:r>
      <w:r w:rsidR="0060790C">
        <w:t xml:space="preserve">Assembly Bill </w:t>
      </w:r>
      <w:r w:rsidR="00B614B2">
        <w:rPr>
          <w:color w:val="000000"/>
        </w:rPr>
        <w:t>1950’s amendment of</w:t>
      </w:r>
      <w:r w:rsidR="00EA134C">
        <w:rPr>
          <w:color w:val="000000"/>
        </w:rPr>
        <w:t xml:space="preserve"> section 1203.1</w:t>
      </w:r>
      <w:r w:rsidR="00B614B2">
        <w:rPr>
          <w:color w:val="000000"/>
        </w:rPr>
        <w:t xml:space="preserve"> was intended to have the </w:t>
      </w:r>
      <w:r w:rsidR="009C4D10">
        <w:rPr>
          <w:color w:val="000000"/>
        </w:rPr>
        <w:t>application</w:t>
      </w:r>
      <w:r w:rsidR="00B614B2">
        <w:rPr>
          <w:color w:val="000000"/>
        </w:rPr>
        <w:t xml:space="preserve"> urged by defendant</w:t>
      </w:r>
      <w:r w:rsidR="0093331B">
        <w:rPr>
          <w:color w:val="000000"/>
        </w:rPr>
        <w:t xml:space="preserve">, we </w:t>
      </w:r>
      <w:r w:rsidR="00B614B2">
        <w:rPr>
          <w:color w:val="000000"/>
        </w:rPr>
        <w:t>observe the statute</w:t>
      </w:r>
      <w:r w:rsidR="00EA134C">
        <w:rPr>
          <w:color w:val="000000"/>
        </w:rPr>
        <w:t xml:space="preserve"> </w:t>
      </w:r>
      <w:r w:rsidR="00E01A7D">
        <w:rPr>
          <w:color w:val="000000"/>
        </w:rPr>
        <w:t>a</w:t>
      </w:r>
      <w:r w:rsidR="008C5A73">
        <w:rPr>
          <w:color w:val="000000"/>
        </w:rPr>
        <w:t>ddress</w:t>
      </w:r>
      <w:r w:rsidR="00B614B2">
        <w:rPr>
          <w:color w:val="000000"/>
        </w:rPr>
        <w:t>es</w:t>
      </w:r>
      <w:r w:rsidR="00474EA5">
        <w:rPr>
          <w:color w:val="000000"/>
        </w:rPr>
        <w:t xml:space="preserve"> </w:t>
      </w:r>
      <w:r w:rsidR="00E01A7D">
        <w:rPr>
          <w:color w:val="000000"/>
        </w:rPr>
        <w:t xml:space="preserve">essentially three matters:  </w:t>
      </w:r>
      <w:r w:rsidR="00474EA5">
        <w:rPr>
          <w:color w:val="000000"/>
        </w:rPr>
        <w:t xml:space="preserve">a trial court’s authority to </w:t>
      </w:r>
      <w:r w:rsidR="00474EA5" w:rsidRPr="00585377">
        <w:rPr>
          <w:i/>
          <w:iCs/>
          <w:color w:val="000000"/>
        </w:rPr>
        <w:t>grant</w:t>
      </w:r>
      <w:r w:rsidR="0093331B">
        <w:rPr>
          <w:color w:val="000000"/>
        </w:rPr>
        <w:t xml:space="preserve"> </w:t>
      </w:r>
      <w:r w:rsidR="00474EA5">
        <w:rPr>
          <w:color w:val="000000"/>
        </w:rPr>
        <w:t>probation for a term not exceeding two years except as otherwise specified</w:t>
      </w:r>
      <w:r w:rsidR="0093331B">
        <w:rPr>
          <w:color w:val="000000"/>
        </w:rPr>
        <w:t xml:space="preserve"> (</w:t>
      </w:r>
      <w:r w:rsidR="008C5A73">
        <w:rPr>
          <w:color w:val="000000"/>
        </w:rPr>
        <w:t xml:space="preserve">e.g., </w:t>
      </w:r>
      <w:r w:rsidR="0093331B">
        <w:rPr>
          <w:color w:val="000000"/>
        </w:rPr>
        <w:t>§ 1203.1, subds. (a))</w:t>
      </w:r>
      <w:r w:rsidR="001662FE">
        <w:rPr>
          <w:color w:val="000000"/>
        </w:rPr>
        <w:t xml:space="preserve">; </w:t>
      </w:r>
      <w:r w:rsidR="00B614B2">
        <w:rPr>
          <w:color w:val="000000"/>
        </w:rPr>
        <w:t xml:space="preserve">the </w:t>
      </w:r>
      <w:r w:rsidR="00B7378B">
        <w:rPr>
          <w:color w:val="000000"/>
        </w:rPr>
        <w:t xml:space="preserve">permissible </w:t>
      </w:r>
      <w:r w:rsidR="00E53C34">
        <w:rPr>
          <w:color w:val="000000"/>
        </w:rPr>
        <w:t xml:space="preserve">terms </w:t>
      </w:r>
      <w:r w:rsidR="004D1268">
        <w:rPr>
          <w:color w:val="000000"/>
        </w:rPr>
        <w:t xml:space="preserve">and conditions </w:t>
      </w:r>
      <w:r w:rsidR="00E53C34">
        <w:rPr>
          <w:color w:val="000000"/>
        </w:rPr>
        <w:t>of probation that</w:t>
      </w:r>
      <w:r w:rsidR="002D3D31">
        <w:rPr>
          <w:color w:val="000000"/>
        </w:rPr>
        <w:t xml:space="preserve"> should be considered</w:t>
      </w:r>
      <w:r w:rsidR="0093331B">
        <w:rPr>
          <w:color w:val="000000"/>
        </w:rPr>
        <w:t xml:space="preserve"> (</w:t>
      </w:r>
      <w:r w:rsidR="008C5A73">
        <w:rPr>
          <w:color w:val="000000"/>
        </w:rPr>
        <w:t xml:space="preserve">e.g., </w:t>
      </w:r>
      <w:r w:rsidR="0093331B" w:rsidRPr="00102AE8">
        <w:rPr>
          <w:i/>
          <w:iCs/>
          <w:color w:val="000000"/>
        </w:rPr>
        <w:t>id</w:t>
      </w:r>
      <w:r w:rsidR="0093331B">
        <w:rPr>
          <w:color w:val="000000"/>
        </w:rPr>
        <w:t>., subds.</w:t>
      </w:r>
      <w:r w:rsidR="008C5A73">
        <w:rPr>
          <w:color w:val="000000"/>
        </w:rPr>
        <w:t> (a)–(e), (g)</w:t>
      </w:r>
      <w:r w:rsidR="00DE1C2F">
        <w:rPr>
          <w:color w:val="000000"/>
        </w:rPr>
        <w:t>, (i)</w:t>
      </w:r>
      <w:r w:rsidR="008C5A73">
        <w:rPr>
          <w:color w:val="000000"/>
        </w:rPr>
        <w:t>)</w:t>
      </w:r>
      <w:r w:rsidR="001662FE">
        <w:rPr>
          <w:color w:val="000000"/>
        </w:rPr>
        <w:t xml:space="preserve">; </w:t>
      </w:r>
      <w:r w:rsidR="005720FE">
        <w:rPr>
          <w:color w:val="000000"/>
        </w:rPr>
        <w:t xml:space="preserve">and specific details </w:t>
      </w:r>
      <w:r w:rsidR="005D1A78">
        <w:rPr>
          <w:color w:val="000000"/>
        </w:rPr>
        <w:t>for the implementation</w:t>
      </w:r>
      <w:r w:rsidR="00DE1C2F">
        <w:rPr>
          <w:color w:val="000000"/>
        </w:rPr>
        <w:t xml:space="preserve"> or modification</w:t>
      </w:r>
      <w:r w:rsidR="005D1A78">
        <w:rPr>
          <w:color w:val="000000"/>
        </w:rPr>
        <w:t xml:space="preserve"> of</w:t>
      </w:r>
      <w:r w:rsidR="005720FE">
        <w:rPr>
          <w:color w:val="000000"/>
        </w:rPr>
        <w:t xml:space="preserve"> certain conditions</w:t>
      </w:r>
      <w:r w:rsidR="008C5A73">
        <w:rPr>
          <w:color w:val="000000"/>
        </w:rPr>
        <w:t xml:space="preserve"> (</w:t>
      </w:r>
      <w:r w:rsidR="00DE1C2F">
        <w:rPr>
          <w:color w:val="000000"/>
        </w:rPr>
        <w:t xml:space="preserve">e.g., </w:t>
      </w:r>
      <w:r w:rsidR="008C5A73" w:rsidRPr="003517E8">
        <w:rPr>
          <w:i/>
          <w:iCs/>
          <w:color w:val="000000"/>
        </w:rPr>
        <w:t>id</w:t>
      </w:r>
      <w:r w:rsidR="008C5A73">
        <w:rPr>
          <w:color w:val="000000"/>
        </w:rPr>
        <w:t>., subds. (</w:t>
      </w:r>
      <w:r w:rsidR="00DE1C2F">
        <w:rPr>
          <w:color w:val="000000"/>
        </w:rPr>
        <w:t>h</w:t>
      </w:r>
      <w:r w:rsidR="008C5A73">
        <w:rPr>
          <w:color w:val="000000"/>
        </w:rPr>
        <w:t>)</w:t>
      </w:r>
      <w:r w:rsidR="00DE1C2F">
        <w:rPr>
          <w:color w:val="000000"/>
        </w:rPr>
        <w:t>, (j), (k)</w:t>
      </w:r>
      <w:r w:rsidR="008C5A73">
        <w:rPr>
          <w:color w:val="000000"/>
        </w:rPr>
        <w:t>)</w:t>
      </w:r>
      <w:r w:rsidR="00474EA5">
        <w:rPr>
          <w:color w:val="000000"/>
        </w:rPr>
        <w:t xml:space="preserve">.  </w:t>
      </w:r>
      <w:r w:rsidR="00A94B42">
        <w:rPr>
          <w:color w:val="000000"/>
        </w:rPr>
        <w:t>T</w:t>
      </w:r>
      <w:r w:rsidR="00474EA5">
        <w:rPr>
          <w:color w:val="000000"/>
        </w:rPr>
        <w:t xml:space="preserve">he </w:t>
      </w:r>
      <w:r w:rsidR="0056202E">
        <w:rPr>
          <w:color w:val="000000"/>
        </w:rPr>
        <w:t xml:space="preserve">amended </w:t>
      </w:r>
      <w:r w:rsidR="00474EA5">
        <w:rPr>
          <w:color w:val="000000"/>
        </w:rPr>
        <w:t>statute</w:t>
      </w:r>
      <w:r w:rsidR="00DE1C2F">
        <w:rPr>
          <w:color w:val="000000"/>
        </w:rPr>
        <w:t xml:space="preserve">, however, </w:t>
      </w:r>
      <w:r w:rsidR="00035513">
        <w:rPr>
          <w:color w:val="000000"/>
        </w:rPr>
        <w:t>includes no</w:t>
      </w:r>
      <w:r w:rsidR="00DE1C2F">
        <w:rPr>
          <w:color w:val="000000"/>
        </w:rPr>
        <w:t xml:space="preserve"> </w:t>
      </w:r>
      <w:r w:rsidR="00F86C38">
        <w:rPr>
          <w:color w:val="000000"/>
        </w:rPr>
        <w:t>terms purporting to modify a trial court’s</w:t>
      </w:r>
      <w:r w:rsidR="00DE1C2F">
        <w:rPr>
          <w:color w:val="000000"/>
        </w:rPr>
        <w:t xml:space="preserve"> authority</w:t>
      </w:r>
      <w:r w:rsidR="00F86C38">
        <w:rPr>
          <w:color w:val="000000"/>
        </w:rPr>
        <w:t xml:space="preserve"> to</w:t>
      </w:r>
      <w:r w:rsidR="00EA134C">
        <w:rPr>
          <w:color w:val="000000"/>
        </w:rPr>
        <w:t xml:space="preserve"> </w:t>
      </w:r>
      <w:r w:rsidR="00DE1C2F">
        <w:rPr>
          <w:color w:val="000000"/>
        </w:rPr>
        <w:t xml:space="preserve">revoke </w:t>
      </w:r>
      <w:r w:rsidR="002D6A63">
        <w:rPr>
          <w:color w:val="000000"/>
        </w:rPr>
        <w:t xml:space="preserve">and </w:t>
      </w:r>
      <w:r w:rsidR="00DE1C2F">
        <w:rPr>
          <w:color w:val="000000"/>
        </w:rPr>
        <w:t>terminat</w:t>
      </w:r>
      <w:r w:rsidR="00AE11CE">
        <w:rPr>
          <w:color w:val="000000"/>
        </w:rPr>
        <w:t>e</w:t>
      </w:r>
      <w:r w:rsidR="00EA134C">
        <w:rPr>
          <w:color w:val="000000"/>
        </w:rPr>
        <w:t xml:space="preserve"> probation</w:t>
      </w:r>
      <w:r w:rsidR="0009453C">
        <w:rPr>
          <w:color w:val="000000"/>
        </w:rPr>
        <w:t xml:space="preserve"> </w:t>
      </w:r>
      <w:r w:rsidR="00AE11CE">
        <w:rPr>
          <w:color w:val="000000"/>
        </w:rPr>
        <w:t xml:space="preserve">due to a defendant’s </w:t>
      </w:r>
      <w:r w:rsidR="0009453C">
        <w:rPr>
          <w:color w:val="000000"/>
        </w:rPr>
        <w:t>violation</w:t>
      </w:r>
      <w:r w:rsidR="00AE11CE">
        <w:rPr>
          <w:color w:val="000000"/>
        </w:rPr>
        <w:t xml:space="preserve"> of probation terms or conditions</w:t>
      </w:r>
      <w:r w:rsidR="00035513">
        <w:rPr>
          <w:color w:val="000000"/>
        </w:rPr>
        <w:t xml:space="preserve">.  Nor </w:t>
      </w:r>
      <w:r w:rsidR="00035513">
        <w:rPr>
          <w:color w:val="000000"/>
        </w:rPr>
        <w:lastRenderedPageBreak/>
        <w:t>did</w:t>
      </w:r>
      <w:r w:rsidR="00AE11CE">
        <w:rPr>
          <w:color w:val="000000"/>
        </w:rPr>
        <w:t xml:space="preserve"> </w:t>
      </w:r>
      <w:r w:rsidR="0060790C">
        <w:t xml:space="preserve">Assembly Bill </w:t>
      </w:r>
      <w:r w:rsidR="00AE11CE">
        <w:rPr>
          <w:color w:val="000000"/>
        </w:rPr>
        <w:t>1950 undertake to amend</w:t>
      </w:r>
      <w:r w:rsidR="00B614B2">
        <w:rPr>
          <w:color w:val="000000"/>
        </w:rPr>
        <w:t xml:space="preserve"> </w:t>
      </w:r>
      <w:r w:rsidR="00035513">
        <w:rPr>
          <w:color w:val="000000"/>
        </w:rPr>
        <w:t>section 1203.2 or section 1203.3—</w:t>
      </w:r>
      <w:r w:rsidR="00B614B2">
        <w:rPr>
          <w:color w:val="000000"/>
        </w:rPr>
        <w:t>the statutes that</w:t>
      </w:r>
      <w:r w:rsidR="00035513">
        <w:rPr>
          <w:color w:val="000000"/>
        </w:rPr>
        <w:t xml:space="preserve"> confer</w:t>
      </w:r>
      <w:r w:rsidR="00B614B2">
        <w:rPr>
          <w:color w:val="000000"/>
        </w:rPr>
        <w:t xml:space="preserve"> </w:t>
      </w:r>
      <w:r w:rsidR="00035513">
        <w:rPr>
          <w:color w:val="000000"/>
        </w:rPr>
        <w:t xml:space="preserve">and address </w:t>
      </w:r>
      <w:r w:rsidR="00B614B2">
        <w:rPr>
          <w:color w:val="000000"/>
        </w:rPr>
        <w:t>such authority</w:t>
      </w:r>
      <w:r w:rsidR="00AE11CE">
        <w:rPr>
          <w:color w:val="000000"/>
        </w:rPr>
        <w:t>.</w:t>
      </w:r>
    </w:p>
    <w:p w14:paraId="6CB091C3" w14:textId="1D2671BA" w:rsidR="00DA7858" w:rsidRDefault="00DA7858" w:rsidP="00ED3E79">
      <w:pPr>
        <w:spacing w:line="360" w:lineRule="auto"/>
        <w:rPr>
          <w:color w:val="000000"/>
        </w:rPr>
      </w:pPr>
      <w:r>
        <w:rPr>
          <w:color w:val="000000"/>
        </w:rPr>
        <w:tab/>
        <w:t xml:space="preserve">As </w:t>
      </w:r>
      <w:r w:rsidR="0056202E">
        <w:rPr>
          <w:color w:val="000000"/>
        </w:rPr>
        <w:t>the legislative history reflects</w:t>
      </w:r>
      <w:r>
        <w:rPr>
          <w:color w:val="000000"/>
        </w:rPr>
        <w:t xml:space="preserve">, the drafters of </w:t>
      </w:r>
      <w:r w:rsidR="0060790C">
        <w:t xml:space="preserve">Assembly Bill </w:t>
      </w:r>
      <w:r>
        <w:rPr>
          <w:color w:val="000000"/>
        </w:rPr>
        <w:t xml:space="preserve">1950 </w:t>
      </w:r>
      <w:r w:rsidR="00B57F5E">
        <w:rPr>
          <w:color w:val="000000"/>
        </w:rPr>
        <w:t>acted</w:t>
      </w:r>
      <w:r>
        <w:rPr>
          <w:color w:val="000000"/>
        </w:rPr>
        <w:t xml:space="preserve"> on </w:t>
      </w:r>
      <w:r w:rsidR="00DF2F98">
        <w:rPr>
          <w:color w:val="000000"/>
        </w:rPr>
        <w:t xml:space="preserve">studies showing that probation services are “most effective during the first 18 months of supervision” and that “providing increased supervision and services earlier reduces an individual’s likelihood to recidivate.”  (Assem. </w:t>
      </w:r>
      <w:r w:rsidR="006A4B2C">
        <w:rPr>
          <w:color w:val="000000"/>
        </w:rPr>
        <w:t>Floor Analysis, 3d r</w:t>
      </w:r>
      <w:r w:rsidR="00DF2F98">
        <w:rPr>
          <w:color w:val="000000"/>
        </w:rPr>
        <w:t>eading</w:t>
      </w:r>
      <w:r w:rsidR="006A4B2C">
        <w:rPr>
          <w:color w:val="000000"/>
        </w:rPr>
        <w:t xml:space="preserve"> analysis of</w:t>
      </w:r>
      <w:r w:rsidR="00DF2F98">
        <w:rPr>
          <w:color w:val="000000"/>
        </w:rPr>
        <w:t xml:space="preserve"> Assem. Bill. No. 1950 (2019–2020 Reg. Sess.) as amended June 10, 2020, p. 1 (Assem. </w:t>
      </w:r>
      <w:r w:rsidR="00670DA9">
        <w:rPr>
          <w:color w:val="000000"/>
        </w:rPr>
        <w:t>3d</w:t>
      </w:r>
      <w:r w:rsidR="00DF2F98">
        <w:rPr>
          <w:color w:val="000000"/>
        </w:rPr>
        <w:t xml:space="preserve"> Reading).)  The </w:t>
      </w:r>
      <w:r w:rsidR="0056202E">
        <w:rPr>
          <w:color w:val="000000"/>
        </w:rPr>
        <w:t xml:space="preserve">various legislative </w:t>
      </w:r>
      <w:r w:rsidR="00DF2F98">
        <w:rPr>
          <w:color w:val="000000"/>
        </w:rPr>
        <w:t xml:space="preserve">analyses highlighted </w:t>
      </w:r>
      <w:r>
        <w:rPr>
          <w:color w:val="000000"/>
        </w:rPr>
        <w:t xml:space="preserve">the cost savings of reducing probation periods and </w:t>
      </w:r>
      <w:r w:rsidR="00DF2F98">
        <w:rPr>
          <w:color w:val="000000"/>
        </w:rPr>
        <w:t xml:space="preserve">noted </w:t>
      </w:r>
      <w:r w:rsidR="006C32ED">
        <w:rPr>
          <w:color w:val="000000"/>
        </w:rPr>
        <w:t xml:space="preserve">the bill would allow for </w:t>
      </w:r>
      <w:r>
        <w:rPr>
          <w:color w:val="000000"/>
        </w:rPr>
        <w:t>“the reinvestment of funding into supportive services for people on misdemeanor and felony probation rather than keeping this population on supervision for extended periods.”  (</w:t>
      </w:r>
      <w:r w:rsidR="007A72DC">
        <w:rPr>
          <w:color w:val="000000"/>
        </w:rPr>
        <w:t xml:space="preserve">Assem. </w:t>
      </w:r>
      <w:r w:rsidR="00670DA9">
        <w:rPr>
          <w:color w:val="000000"/>
        </w:rPr>
        <w:t>3d</w:t>
      </w:r>
      <w:r w:rsidR="007A72DC">
        <w:rPr>
          <w:color w:val="000000"/>
        </w:rPr>
        <w:t xml:space="preserve"> Reading, </w:t>
      </w:r>
      <w:r w:rsidR="006C32ED">
        <w:rPr>
          <w:color w:val="000000"/>
        </w:rPr>
        <w:t>at</w:t>
      </w:r>
      <w:r w:rsidR="007A72DC">
        <w:rPr>
          <w:color w:val="000000"/>
        </w:rPr>
        <w:t xml:space="preserve"> p. 1; </w:t>
      </w:r>
      <w:r>
        <w:rPr>
          <w:color w:val="000000"/>
        </w:rPr>
        <w:t>Assem. Com. on Appropriations, Analysis of Assem. Bill. No. 1950 (2019–2020 Reg. Sess.) as amended May 21, 2020, p. 1</w:t>
      </w:r>
      <w:r w:rsidR="00A2614B">
        <w:rPr>
          <w:color w:val="000000"/>
        </w:rPr>
        <w:t xml:space="preserve"> (Assem</w:t>
      </w:r>
      <w:r w:rsidR="007A72DC">
        <w:rPr>
          <w:color w:val="000000"/>
        </w:rPr>
        <w:t>.</w:t>
      </w:r>
      <w:r w:rsidR="00A2614B">
        <w:rPr>
          <w:color w:val="000000"/>
        </w:rPr>
        <w:t xml:space="preserve"> Appropriations Analysis); see Sen. Com. on Public Safety, Analysis of Assem. Bill. No. 1950 (2019–2020 Reg. Sess.) as amended June 10, 2020, p. 4</w:t>
      </w:r>
      <w:r w:rsidR="007A72DC">
        <w:rPr>
          <w:color w:val="000000"/>
        </w:rPr>
        <w:t xml:space="preserve"> (Sen. Public Safety Analysis)</w:t>
      </w:r>
      <w:r>
        <w:rPr>
          <w:color w:val="000000"/>
        </w:rPr>
        <w:t xml:space="preserve">.)  </w:t>
      </w:r>
      <w:r w:rsidR="008A1E3D">
        <w:rPr>
          <w:color w:val="000000"/>
        </w:rPr>
        <w:t xml:space="preserve">The analyses also referenced comments from supporters of the bill that shortening probation periods would not only “ ‘decrease the amount of time that an individual must suffer for a prior misdeed,’ ” but also “ ‘has the added benefit of incentivizing compliance.’ ”  (Assem. </w:t>
      </w:r>
      <w:r w:rsidR="00870A38">
        <w:rPr>
          <w:color w:val="000000"/>
        </w:rPr>
        <w:t>3d</w:t>
      </w:r>
      <w:r w:rsidR="008A1E3D">
        <w:rPr>
          <w:color w:val="000000"/>
        </w:rPr>
        <w:t xml:space="preserve"> Reading, at p. 2; Assem. Appropriations Analysis, at p. 2.)  Finally, other </w:t>
      </w:r>
      <w:r w:rsidR="00957B6F">
        <w:rPr>
          <w:color w:val="000000"/>
        </w:rPr>
        <w:t>analyses</w:t>
      </w:r>
      <w:r>
        <w:rPr>
          <w:color w:val="000000"/>
        </w:rPr>
        <w:t xml:space="preserve"> </w:t>
      </w:r>
      <w:r w:rsidR="003F55B5">
        <w:rPr>
          <w:color w:val="000000"/>
        </w:rPr>
        <w:t xml:space="preserve">that </w:t>
      </w:r>
      <w:r w:rsidR="00345C50">
        <w:rPr>
          <w:color w:val="000000"/>
        </w:rPr>
        <w:t xml:space="preserve">focused on public safety </w:t>
      </w:r>
      <w:r w:rsidR="007A72DC">
        <w:rPr>
          <w:color w:val="000000"/>
        </w:rPr>
        <w:t xml:space="preserve">noted </w:t>
      </w:r>
      <w:r w:rsidR="0060790C">
        <w:t xml:space="preserve">Assembly Bill </w:t>
      </w:r>
      <w:r w:rsidR="006C32ED">
        <w:rPr>
          <w:color w:val="000000"/>
        </w:rPr>
        <w:t>1950</w:t>
      </w:r>
      <w:r w:rsidR="007A72DC">
        <w:rPr>
          <w:color w:val="000000"/>
        </w:rPr>
        <w:t xml:space="preserve"> “supports probation officer</w:t>
      </w:r>
      <w:r w:rsidR="0056202E">
        <w:rPr>
          <w:color w:val="000000"/>
        </w:rPr>
        <w:t>s</w:t>
      </w:r>
      <w:r w:rsidR="007A72DC">
        <w:rPr>
          <w:color w:val="000000"/>
        </w:rPr>
        <w:t xml:space="preserve"> in completing the duties of their job more effectively, </w:t>
      </w:r>
      <w:r w:rsidR="00870A38">
        <w:rPr>
          <w:color w:val="000000"/>
        </w:rPr>
        <w:t xml:space="preserve">by </w:t>
      </w:r>
      <w:r w:rsidR="007A72DC">
        <w:rPr>
          <w:color w:val="000000"/>
        </w:rPr>
        <w:t>making their caseloads more manageable.”  (Sen. Public Safety Analysis, at p. 4</w:t>
      </w:r>
      <w:r w:rsidR="006C32ED">
        <w:rPr>
          <w:color w:val="000000"/>
        </w:rPr>
        <w:t>; see Assem. Com. on Public Safety, Analysis of Assem. Bill. No. 1950 (2019–2020 Reg. Sess.) as amended May 6, 2020, p. 4</w:t>
      </w:r>
      <w:r w:rsidR="007A72DC">
        <w:rPr>
          <w:color w:val="000000"/>
        </w:rPr>
        <w:t>.)</w:t>
      </w:r>
    </w:p>
    <w:p w14:paraId="1434DA44" w14:textId="187C4189" w:rsidR="00816A0A" w:rsidRDefault="00AE11CE" w:rsidP="00ED3E79">
      <w:pPr>
        <w:spacing w:line="360" w:lineRule="auto"/>
        <w:rPr>
          <w:color w:val="000000"/>
        </w:rPr>
      </w:pPr>
      <w:r>
        <w:rPr>
          <w:color w:val="000000"/>
        </w:rPr>
        <w:lastRenderedPageBreak/>
        <w:tab/>
      </w:r>
      <w:r w:rsidR="00957B6F">
        <w:rPr>
          <w:color w:val="000000"/>
        </w:rPr>
        <w:t xml:space="preserve">Consistent with the </w:t>
      </w:r>
      <w:r w:rsidR="0056202E">
        <w:rPr>
          <w:color w:val="000000"/>
        </w:rPr>
        <w:t xml:space="preserve">statutory </w:t>
      </w:r>
      <w:r w:rsidR="00957B6F">
        <w:rPr>
          <w:color w:val="000000"/>
        </w:rPr>
        <w:t xml:space="preserve">terms and legislative history, </w:t>
      </w:r>
      <w:r w:rsidR="00C16687">
        <w:rPr>
          <w:color w:val="000000"/>
        </w:rPr>
        <w:t xml:space="preserve">the </w:t>
      </w:r>
      <w:r w:rsidR="004B2656">
        <w:rPr>
          <w:color w:val="000000"/>
        </w:rPr>
        <w:t xml:space="preserve">appellate courts </w:t>
      </w:r>
      <w:r w:rsidR="00CD3187">
        <w:rPr>
          <w:color w:val="000000"/>
        </w:rPr>
        <w:t xml:space="preserve">have </w:t>
      </w:r>
      <w:r w:rsidR="00C16687">
        <w:rPr>
          <w:color w:val="000000"/>
        </w:rPr>
        <w:t xml:space="preserve">unanimously </w:t>
      </w:r>
      <w:r w:rsidR="005623FB">
        <w:rPr>
          <w:color w:val="000000"/>
        </w:rPr>
        <w:t>held</w:t>
      </w:r>
      <w:r w:rsidR="004B2656">
        <w:rPr>
          <w:color w:val="000000"/>
        </w:rPr>
        <w:t xml:space="preserve"> that </w:t>
      </w:r>
      <w:r w:rsidR="0060790C">
        <w:t xml:space="preserve">Assembly Bill </w:t>
      </w:r>
      <w:r w:rsidR="0056202E">
        <w:rPr>
          <w:color w:val="000000"/>
        </w:rPr>
        <w:t>1950</w:t>
      </w:r>
      <w:r w:rsidR="00793F7C">
        <w:rPr>
          <w:color w:val="000000"/>
        </w:rPr>
        <w:t xml:space="preserve">’s </w:t>
      </w:r>
      <w:r w:rsidR="005623FB">
        <w:rPr>
          <w:color w:val="000000"/>
        </w:rPr>
        <w:t>mandate</w:t>
      </w:r>
      <w:r w:rsidR="00DC226F">
        <w:rPr>
          <w:color w:val="000000"/>
        </w:rPr>
        <w:t xml:space="preserve"> for </w:t>
      </w:r>
      <w:r w:rsidR="0056202E">
        <w:rPr>
          <w:color w:val="000000"/>
        </w:rPr>
        <w:t>shorter probation periods</w:t>
      </w:r>
      <w:r w:rsidR="00CD3187">
        <w:rPr>
          <w:color w:val="000000"/>
        </w:rPr>
        <w:t xml:space="preserve"> </w:t>
      </w:r>
      <w:r w:rsidR="00E6698F">
        <w:rPr>
          <w:color w:val="000000"/>
        </w:rPr>
        <w:t xml:space="preserve">should </w:t>
      </w:r>
      <w:r w:rsidR="00793F7C">
        <w:rPr>
          <w:color w:val="000000"/>
        </w:rPr>
        <w:t>extend</w:t>
      </w:r>
      <w:r w:rsidR="00CD3187">
        <w:rPr>
          <w:color w:val="000000"/>
        </w:rPr>
        <w:t xml:space="preserve"> </w:t>
      </w:r>
      <w:r w:rsidR="00793F7C">
        <w:rPr>
          <w:color w:val="000000"/>
        </w:rPr>
        <w:t xml:space="preserve">to </w:t>
      </w:r>
      <w:r w:rsidR="00E32325">
        <w:rPr>
          <w:color w:val="000000"/>
        </w:rPr>
        <w:t xml:space="preserve">defendants </w:t>
      </w:r>
      <w:r w:rsidR="003F55B5">
        <w:rPr>
          <w:color w:val="000000"/>
        </w:rPr>
        <w:t>who were</w:t>
      </w:r>
      <w:r w:rsidR="00E32325">
        <w:rPr>
          <w:color w:val="000000"/>
        </w:rPr>
        <w:t xml:space="preserve"> on probation when the legislation became effective on January 1</w:t>
      </w:r>
      <w:r w:rsidR="003A133E">
        <w:rPr>
          <w:color w:val="000000"/>
        </w:rPr>
        <w:t>, 2021</w:t>
      </w:r>
      <w:r w:rsidR="00793F7C">
        <w:rPr>
          <w:color w:val="000000"/>
        </w:rPr>
        <w:t xml:space="preserve">.  </w:t>
      </w:r>
      <w:r w:rsidR="00B57F5E">
        <w:rPr>
          <w:color w:val="000000"/>
        </w:rPr>
        <w:t xml:space="preserve">(See cases cited, </w:t>
      </w:r>
      <w:r w:rsidR="00B57F5E" w:rsidRPr="003E1A54">
        <w:rPr>
          <w:i/>
          <w:iCs/>
          <w:color w:val="000000"/>
        </w:rPr>
        <w:t>ante</w:t>
      </w:r>
      <w:r w:rsidR="0079691D">
        <w:rPr>
          <w:color w:val="000000"/>
        </w:rPr>
        <w:t xml:space="preserve">, </w:t>
      </w:r>
      <w:r w:rsidR="00740995">
        <w:rPr>
          <w:color w:val="000000"/>
        </w:rPr>
        <w:t>at</w:t>
      </w:r>
      <w:r w:rsidR="0079691D">
        <w:rPr>
          <w:color w:val="000000"/>
        </w:rPr>
        <w:t xml:space="preserve"> </w:t>
      </w:r>
      <w:r w:rsidR="00740995">
        <w:rPr>
          <w:color w:val="000000"/>
        </w:rPr>
        <w:t>p. </w:t>
      </w:r>
      <w:r w:rsidR="00F54FC4">
        <w:rPr>
          <w:color w:val="000000"/>
        </w:rPr>
        <w:t>6</w:t>
      </w:r>
      <w:r w:rsidR="00B57F5E">
        <w:rPr>
          <w:color w:val="000000"/>
        </w:rPr>
        <w:t xml:space="preserve">.)  </w:t>
      </w:r>
      <w:r w:rsidR="00BD1A96">
        <w:rPr>
          <w:color w:val="000000"/>
        </w:rPr>
        <w:t xml:space="preserve">Indeed, </w:t>
      </w:r>
      <w:r w:rsidR="0062091C">
        <w:rPr>
          <w:color w:val="000000"/>
        </w:rPr>
        <w:t>these</w:t>
      </w:r>
      <w:r w:rsidR="00793F7C">
        <w:rPr>
          <w:color w:val="000000"/>
        </w:rPr>
        <w:t xml:space="preserve"> and future probationers alike would benefit</w:t>
      </w:r>
      <w:r w:rsidR="00CD3187">
        <w:rPr>
          <w:color w:val="000000"/>
        </w:rPr>
        <w:t xml:space="preserve"> </w:t>
      </w:r>
      <w:r w:rsidR="00793F7C">
        <w:rPr>
          <w:color w:val="000000"/>
        </w:rPr>
        <w:t xml:space="preserve">from the </w:t>
      </w:r>
      <w:r w:rsidR="00C45B84">
        <w:rPr>
          <w:color w:val="000000"/>
        </w:rPr>
        <w:t xml:space="preserve">law’s </w:t>
      </w:r>
      <w:r w:rsidR="00957B6F">
        <w:rPr>
          <w:color w:val="000000"/>
        </w:rPr>
        <w:t>reduc</w:t>
      </w:r>
      <w:r w:rsidR="00DC226F">
        <w:rPr>
          <w:color w:val="000000"/>
        </w:rPr>
        <w:t>ed</w:t>
      </w:r>
      <w:r w:rsidR="00CD3187">
        <w:rPr>
          <w:color w:val="000000"/>
        </w:rPr>
        <w:t xml:space="preserve"> </w:t>
      </w:r>
      <w:r w:rsidR="00957B6F">
        <w:rPr>
          <w:color w:val="000000"/>
        </w:rPr>
        <w:t xml:space="preserve">probation periods and </w:t>
      </w:r>
      <w:r w:rsidR="003F55B5">
        <w:rPr>
          <w:color w:val="000000"/>
        </w:rPr>
        <w:t xml:space="preserve">the </w:t>
      </w:r>
      <w:r w:rsidR="00DC226F">
        <w:rPr>
          <w:color w:val="000000"/>
        </w:rPr>
        <w:t xml:space="preserve">resulting </w:t>
      </w:r>
      <w:r w:rsidR="00957B6F">
        <w:rPr>
          <w:color w:val="000000"/>
        </w:rPr>
        <w:t>incentiviz</w:t>
      </w:r>
      <w:r w:rsidR="00CD3187">
        <w:rPr>
          <w:color w:val="000000"/>
        </w:rPr>
        <w:t>ation of</w:t>
      </w:r>
      <w:r w:rsidR="00957B6F">
        <w:rPr>
          <w:color w:val="000000"/>
        </w:rPr>
        <w:t xml:space="preserve"> compliance toward rehabilitation</w:t>
      </w:r>
      <w:r w:rsidR="00C45B84">
        <w:rPr>
          <w:color w:val="000000"/>
        </w:rPr>
        <w:t xml:space="preserve">, as well as from </w:t>
      </w:r>
      <w:r w:rsidR="005623FB">
        <w:rPr>
          <w:color w:val="000000"/>
        </w:rPr>
        <w:t>the drafters’ anticipation that cost savings w</w:t>
      </w:r>
      <w:r w:rsidR="003F55B5">
        <w:rPr>
          <w:color w:val="000000"/>
        </w:rPr>
        <w:t>ould</w:t>
      </w:r>
      <w:r w:rsidR="005623FB">
        <w:rPr>
          <w:color w:val="000000"/>
        </w:rPr>
        <w:t xml:space="preserve"> allow </w:t>
      </w:r>
      <w:r w:rsidR="00793F7C">
        <w:rPr>
          <w:color w:val="000000"/>
        </w:rPr>
        <w:t>more effective</w:t>
      </w:r>
      <w:r w:rsidR="00957B6F">
        <w:rPr>
          <w:color w:val="000000"/>
        </w:rPr>
        <w:t xml:space="preserve"> </w:t>
      </w:r>
      <w:r w:rsidR="00793F7C">
        <w:rPr>
          <w:color w:val="000000"/>
        </w:rPr>
        <w:t xml:space="preserve">supervision and increased </w:t>
      </w:r>
      <w:r w:rsidR="00957B6F">
        <w:rPr>
          <w:color w:val="000000"/>
        </w:rPr>
        <w:t>availability of supportive services</w:t>
      </w:r>
      <w:r w:rsidR="00793F7C">
        <w:rPr>
          <w:color w:val="000000"/>
        </w:rPr>
        <w:t xml:space="preserve"> to reduce possible recidivism.  </w:t>
      </w:r>
      <w:r w:rsidR="00C45B84">
        <w:rPr>
          <w:color w:val="000000"/>
        </w:rPr>
        <w:t>But</w:t>
      </w:r>
      <w:r w:rsidR="00EA134C">
        <w:rPr>
          <w:color w:val="000000"/>
        </w:rPr>
        <w:t xml:space="preserve"> </w:t>
      </w:r>
      <w:r w:rsidR="00C45B84">
        <w:rPr>
          <w:color w:val="000000"/>
        </w:rPr>
        <w:t>the</w:t>
      </w:r>
      <w:r w:rsidR="00BD1A96">
        <w:rPr>
          <w:color w:val="000000"/>
        </w:rPr>
        <w:t>se legislative</w:t>
      </w:r>
      <w:r w:rsidR="00C45B84">
        <w:rPr>
          <w:color w:val="000000"/>
        </w:rPr>
        <w:t xml:space="preserve"> </w:t>
      </w:r>
      <w:r w:rsidR="00BD1A96">
        <w:rPr>
          <w:color w:val="000000"/>
        </w:rPr>
        <w:t>aims</w:t>
      </w:r>
      <w:r w:rsidR="00C45B84">
        <w:rPr>
          <w:color w:val="000000"/>
        </w:rPr>
        <w:t xml:space="preserve"> </w:t>
      </w:r>
      <w:r w:rsidR="00E6698F">
        <w:rPr>
          <w:color w:val="000000"/>
        </w:rPr>
        <w:t xml:space="preserve">are not </w:t>
      </w:r>
      <w:r w:rsidR="00033A60">
        <w:rPr>
          <w:color w:val="000000"/>
        </w:rPr>
        <w:t>advanced</w:t>
      </w:r>
      <w:r w:rsidR="00E6698F">
        <w:rPr>
          <w:color w:val="000000"/>
        </w:rPr>
        <w:t xml:space="preserve"> by extending the law to</w:t>
      </w:r>
      <w:r w:rsidR="00C45B84">
        <w:rPr>
          <w:color w:val="000000"/>
        </w:rPr>
        <w:t xml:space="preserve"> </w:t>
      </w:r>
      <w:r w:rsidR="003F55B5">
        <w:rPr>
          <w:color w:val="000000"/>
        </w:rPr>
        <w:t>former probationers who were</w:t>
      </w:r>
      <w:r w:rsidR="00C45B84">
        <w:rPr>
          <w:color w:val="000000"/>
        </w:rPr>
        <w:t xml:space="preserve"> serving executed sentences</w:t>
      </w:r>
      <w:r w:rsidR="003F55B5">
        <w:rPr>
          <w:color w:val="000000"/>
        </w:rPr>
        <w:t xml:space="preserve"> as of the law’s effective date</w:t>
      </w:r>
      <w:r w:rsidR="00E1715B">
        <w:rPr>
          <w:color w:val="000000"/>
        </w:rPr>
        <w:t xml:space="preserve">, and nothing in the statutory language indicates such defendants were intended to benefit from this change in </w:t>
      </w:r>
      <w:r w:rsidR="0040227F">
        <w:rPr>
          <w:color w:val="000000"/>
        </w:rPr>
        <w:t xml:space="preserve">the </w:t>
      </w:r>
      <w:r w:rsidR="00E1715B">
        <w:rPr>
          <w:color w:val="000000"/>
        </w:rPr>
        <w:t>law</w:t>
      </w:r>
      <w:r w:rsidR="00C45B84">
        <w:rPr>
          <w:color w:val="000000"/>
        </w:rPr>
        <w:t xml:space="preserve">.  </w:t>
      </w:r>
      <w:r w:rsidR="00AF7E17">
        <w:rPr>
          <w:color w:val="000000"/>
        </w:rPr>
        <w:t xml:space="preserve">Had the Legislature intended </w:t>
      </w:r>
      <w:r w:rsidR="00514B60">
        <w:rPr>
          <w:color w:val="000000"/>
        </w:rPr>
        <w:t xml:space="preserve">to overturn </w:t>
      </w:r>
      <w:r w:rsidR="00F86C38">
        <w:rPr>
          <w:color w:val="000000"/>
        </w:rPr>
        <w:t xml:space="preserve">pre-2021 </w:t>
      </w:r>
      <w:r w:rsidR="00514B60">
        <w:rPr>
          <w:color w:val="000000"/>
        </w:rPr>
        <w:t>revocation and termination</w:t>
      </w:r>
      <w:r w:rsidR="00F86C38">
        <w:rPr>
          <w:color w:val="000000"/>
        </w:rPr>
        <w:t xml:space="preserve"> order</w:t>
      </w:r>
      <w:r w:rsidR="00514B60">
        <w:rPr>
          <w:color w:val="000000"/>
        </w:rPr>
        <w:t xml:space="preserve">s </w:t>
      </w:r>
      <w:r w:rsidR="00F86C38">
        <w:rPr>
          <w:color w:val="000000"/>
        </w:rPr>
        <w:t>that</w:t>
      </w:r>
      <w:r w:rsidR="00514B60">
        <w:rPr>
          <w:color w:val="000000"/>
        </w:rPr>
        <w:t xml:space="preserve"> were based on violations </w:t>
      </w:r>
      <w:r w:rsidR="00A90ADD">
        <w:rPr>
          <w:color w:val="000000"/>
        </w:rPr>
        <w:t>committed</w:t>
      </w:r>
      <w:r w:rsidR="00514B60">
        <w:rPr>
          <w:color w:val="000000"/>
        </w:rPr>
        <w:t xml:space="preserve"> while </w:t>
      </w:r>
      <w:r w:rsidR="00E6698F">
        <w:rPr>
          <w:color w:val="000000"/>
        </w:rPr>
        <w:t xml:space="preserve">defendants were </w:t>
      </w:r>
      <w:r w:rsidR="00514B60">
        <w:rPr>
          <w:color w:val="000000"/>
        </w:rPr>
        <w:t xml:space="preserve">validly on probation, with the effect of </w:t>
      </w:r>
      <w:r w:rsidR="00AF7E17">
        <w:rPr>
          <w:color w:val="000000"/>
        </w:rPr>
        <w:t>upend</w:t>
      </w:r>
      <w:r w:rsidR="00514B60">
        <w:rPr>
          <w:color w:val="000000"/>
        </w:rPr>
        <w:t>ing</w:t>
      </w:r>
      <w:r w:rsidR="00AF7E17">
        <w:rPr>
          <w:color w:val="000000"/>
        </w:rPr>
        <w:t xml:space="preserve"> </w:t>
      </w:r>
      <w:r w:rsidR="00A90ADD">
        <w:rPr>
          <w:color w:val="000000"/>
        </w:rPr>
        <w:t xml:space="preserve">their properly executed </w:t>
      </w:r>
      <w:r w:rsidR="00AF7E17">
        <w:rPr>
          <w:color w:val="000000"/>
        </w:rPr>
        <w:t xml:space="preserve">sentences, we may assume </w:t>
      </w:r>
      <w:r w:rsidR="00514B60">
        <w:rPr>
          <w:color w:val="000000"/>
        </w:rPr>
        <w:t>the Legislature</w:t>
      </w:r>
      <w:r w:rsidR="00AF7E17">
        <w:rPr>
          <w:color w:val="000000"/>
        </w:rPr>
        <w:t xml:space="preserve"> could have demonstrated that intent through statutory language and would have at least mentioned the </w:t>
      </w:r>
      <w:r w:rsidR="004B2656">
        <w:rPr>
          <w:color w:val="000000"/>
        </w:rPr>
        <w:t>matter</w:t>
      </w:r>
      <w:r w:rsidR="00AF7E17">
        <w:rPr>
          <w:color w:val="000000"/>
        </w:rPr>
        <w:t xml:space="preserve"> in the various legislative analyses of the bill.  </w:t>
      </w:r>
      <w:r w:rsidR="00A90ADD">
        <w:rPr>
          <w:color w:val="000000"/>
        </w:rPr>
        <w:t>I</w:t>
      </w:r>
      <w:r w:rsidR="00AF7E17">
        <w:rPr>
          <w:color w:val="000000"/>
        </w:rPr>
        <w:t>t did not.</w:t>
      </w:r>
      <w:r w:rsidR="001E1510">
        <w:rPr>
          <w:color w:val="000000"/>
        </w:rPr>
        <w:t xml:space="preserve">  (C</w:t>
      </w:r>
      <w:r w:rsidR="001D4D17">
        <w:rPr>
          <w:color w:val="000000"/>
        </w:rPr>
        <w:t>f.</w:t>
      </w:r>
      <w:r w:rsidR="001E1510">
        <w:rPr>
          <w:color w:val="000000"/>
        </w:rPr>
        <w:t xml:space="preserve"> </w:t>
      </w:r>
      <w:r w:rsidR="001E1510" w:rsidRPr="00B40BD5">
        <w:rPr>
          <w:i/>
          <w:iCs/>
          <w:color w:val="000000"/>
        </w:rPr>
        <w:t>People v. Buycks</w:t>
      </w:r>
      <w:r w:rsidR="001E1510">
        <w:rPr>
          <w:color w:val="000000"/>
        </w:rPr>
        <w:t xml:space="preserve"> (20</w:t>
      </w:r>
      <w:r w:rsidR="001D4D17">
        <w:rPr>
          <w:color w:val="000000"/>
        </w:rPr>
        <w:t>18</w:t>
      </w:r>
      <w:r w:rsidR="001E1510">
        <w:rPr>
          <w:color w:val="000000"/>
        </w:rPr>
        <w:t>)</w:t>
      </w:r>
      <w:r w:rsidR="001D4D17">
        <w:rPr>
          <w:color w:val="000000"/>
        </w:rPr>
        <w:t xml:space="preserve"> 5 Cal.5th 857</w:t>
      </w:r>
      <w:r w:rsidR="00790058">
        <w:rPr>
          <w:color w:val="000000"/>
        </w:rPr>
        <w:t>, 878–</w:t>
      </w:r>
      <w:r w:rsidR="002A331F">
        <w:rPr>
          <w:color w:val="000000"/>
        </w:rPr>
        <w:t xml:space="preserve">884, </w:t>
      </w:r>
      <w:r w:rsidR="00857847">
        <w:rPr>
          <w:color w:val="000000"/>
        </w:rPr>
        <w:t>889–890</w:t>
      </w:r>
      <w:r w:rsidR="001E1510">
        <w:rPr>
          <w:color w:val="000000"/>
        </w:rPr>
        <w:t xml:space="preserve"> [Proposition 47</w:t>
      </w:r>
      <w:r w:rsidR="00A7189D">
        <w:rPr>
          <w:color w:val="000000"/>
        </w:rPr>
        <w:t xml:space="preserve">, which </w:t>
      </w:r>
      <w:r w:rsidR="00790058">
        <w:rPr>
          <w:color w:val="000000"/>
        </w:rPr>
        <w:t xml:space="preserve">explicitly </w:t>
      </w:r>
      <w:r w:rsidR="00A7189D">
        <w:rPr>
          <w:color w:val="000000"/>
        </w:rPr>
        <w:t xml:space="preserve">reclassified certain felonies to misdemeanors </w:t>
      </w:r>
      <w:r w:rsidR="00B4490C">
        <w:rPr>
          <w:color w:val="000000"/>
        </w:rPr>
        <w:t xml:space="preserve">and mandated </w:t>
      </w:r>
      <w:r w:rsidR="00B4490C" w:rsidRPr="00B4490C">
        <w:rPr>
          <w:color w:val="000000"/>
        </w:rPr>
        <w:t>that reduced conviction</w:t>
      </w:r>
      <w:r w:rsidR="00B4490C">
        <w:rPr>
          <w:color w:val="000000"/>
        </w:rPr>
        <w:t>s be misdemeanors</w:t>
      </w:r>
      <w:r w:rsidR="00B4490C" w:rsidRPr="00B4490C">
        <w:rPr>
          <w:color w:val="000000"/>
        </w:rPr>
        <w:t xml:space="preserve"> </w:t>
      </w:r>
      <w:r w:rsidR="00A7189D">
        <w:rPr>
          <w:color w:val="000000"/>
        </w:rPr>
        <w:t>“for all purposes,”</w:t>
      </w:r>
      <w:r w:rsidR="001D4D17">
        <w:rPr>
          <w:color w:val="000000"/>
        </w:rPr>
        <w:t xml:space="preserve"> </w:t>
      </w:r>
      <w:r w:rsidR="00790058">
        <w:rPr>
          <w:color w:val="000000"/>
        </w:rPr>
        <w:t xml:space="preserve">construed as </w:t>
      </w:r>
      <w:r w:rsidR="00C60495">
        <w:rPr>
          <w:color w:val="000000"/>
        </w:rPr>
        <w:t xml:space="preserve">also </w:t>
      </w:r>
      <w:r w:rsidR="00790058">
        <w:rPr>
          <w:color w:val="000000"/>
        </w:rPr>
        <w:t>providing</w:t>
      </w:r>
      <w:r w:rsidR="00A7189D">
        <w:rPr>
          <w:color w:val="000000"/>
        </w:rPr>
        <w:t xml:space="preserve"> retroactive relief </w:t>
      </w:r>
      <w:r w:rsidR="00556579">
        <w:rPr>
          <w:color w:val="000000"/>
        </w:rPr>
        <w:t>against</w:t>
      </w:r>
      <w:r w:rsidR="006C740E">
        <w:rPr>
          <w:color w:val="000000"/>
        </w:rPr>
        <w:t xml:space="preserve"> </w:t>
      </w:r>
      <w:r w:rsidR="00556579" w:rsidRPr="00556579">
        <w:rPr>
          <w:color w:val="000000"/>
        </w:rPr>
        <w:t>felony-based enhancement</w:t>
      </w:r>
      <w:r w:rsidR="00796001">
        <w:rPr>
          <w:color w:val="000000"/>
        </w:rPr>
        <w:t>s where the</w:t>
      </w:r>
      <w:r w:rsidR="00556579" w:rsidRPr="00556579">
        <w:rPr>
          <w:color w:val="000000"/>
        </w:rPr>
        <w:t xml:space="preserve"> </w:t>
      </w:r>
      <w:r w:rsidR="00796001">
        <w:rPr>
          <w:color w:val="000000"/>
        </w:rPr>
        <w:t>underlying</w:t>
      </w:r>
      <w:r w:rsidR="00556579">
        <w:rPr>
          <w:color w:val="000000"/>
        </w:rPr>
        <w:t xml:space="preserve"> felony</w:t>
      </w:r>
      <w:r w:rsidR="006C740E">
        <w:rPr>
          <w:color w:val="000000"/>
        </w:rPr>
        <w:t xml:space="preserve"> </w:t>
      </w:r>
      <w:r w:rsidR="00790058">
        <w:rPr>
          <w:color w:val="000000"/>
        </w:rPr>
        <w:t xml:space="preserve">was reduced </w:t>
      </w:r>
      <w:r w:rsidR="00DC1B62">
        <w:rPr>
          <w:color w:val="000000"/>
        </w:rPr>
        <w:t xml:space="preserve">to a misdemeanor </w:t>
      </w:r>
      <w:r w:rsidR="00790058">
        <w:rPr>
          <w:color w:val="000000"/>
        </w:rPr>
        <w:t>under the measure</w:t>
      </w:r>
      <w:r w:rsidR="001D4D17">
        <w:rPr>
          <w:color w:val="000000"/>
        </w:rPr>
        <w:t>].)</w:t>
      </w:r>
    </w:p>
    <w:p w14:paraId="0AA76800" w14:textId="39442C88" w:rsidR="00D326FD" w:rsidRPr="00DA2570" w:rsidRDefault="00816A0A" w:rsidP="00ED3E79">
      <w:pPr>
        <w:spacing w:line="360" w:lineRule="auto"/>
        <w:rPr>
          <w:color w:val="000000"/>
        </w:rPr>
      </w:pPr>
      <w:r>
        <w:rPr>
          <w:color w:val="000000"/>
        </w:rPr>
        <w:tab/>
      </w:r>
      <w:r w:rsidR="00F86C38">
        <w:rPr>
          <w:color w:val="000000"/>
        </w:rPr>
        <w:t>Here, t</w:t>
      </w:r>
      <w:r w:rsidR="0098069E">
        <w:rPr>
          <w:color w:val="000000"/>
        </w:rPr>
        <w:t>here is no dispute that in</w:t>
      </w:r>
      <w:r w:rsidR="003234B5" w:rsidRPr="00DA2570">
        <w:rPr>
          <w:color w:val="000000"/>
        </w:rPr>
        <w:t xml:space="preserve"> </w:t>
      </w:r>
      <w:r w:rsidR="0065669C">
        <w:rPr>
          <w:color w:val="000000"/>
        </w:rPr>
        <w:t xml:space="preserve">May </w:t>
      </w:r>
      <w:r w:rsidR="003234B5" w:rsidRPr="00DA2570">
        <w:rPr>
          <w:color w:val="000000"/>
        </w:rPr>
        <w:t>2019</w:t>
      </w:r>
      <w:r w:rsidR="006864B6" w:rsidRPr="00DA2570">
        <w:rPr>
          <w:color w:val="000000"/>
        </w:rPr>
        <w:t xml:space="preserve">, </w:t>
      </w:r>
      <w:r w:rsidR="007F5062">
        <w:rPr>
          <w:color w:val="000000"/>
        </w:rPr>
        <w:t xml:space="preserve">under the law as it then existed, </w:t>
      </w:r>
      <w:r w:rsidR="00C36B4B" w:rsidRPr="00DA2570">
        <w:rPr>
          <w:color w:val="000000"/>
        </w:rPr>
        <w:t xml:space="preserve">defendant </w:t>
      </w:r>
      <w:r w:rsidR="0098069E">
        <w:rPr>
          <w:color w:val="000000"/>
        </w:rPr>
        <w:t>was</w:t>
      </w:r>
      <w:r w:rsidR="002C5A2A">
        <w:rPr>
          <w:color w:val="000000"/>
        </w:rPr>
        <w:t xml:space="preserve"> </w:t>
      </w:r>
      <w:r w:rsidR="003D67BB">
        <w:rPr>
          <w:color w:val="000000"/>
        </w:rPr>
        <w:t xml:space="preserve">validly </w:t>
      </w:r>
      <w:r w:rsidR="00C36B4B" w:rsidRPr="00DA2570">
        <w:rPr>
          <w:color w:val="000000"/>
        </w:rPr>
        <w:t xml:space="preserve">on probation and </w:t>
      </w:r>
      <w:r w:rsidR="006864B6" w:rsidRPr="00DA2570">
        <w:rPr>
          <w:color w:val="000000"/>
        </w:rPr>
        <w:t>the trial court</w:t>
      </w:r>
      <w:r w:rsidR="003D67BB">
        <w:rPr>
          <w:color w:val="000000"/>
        </w:rPr>
        <w:t xml:space="preserve"> was duly authorized</w:t>
      </w:r>
      <w:r w:rsidR="006864B6" w:rsidRPr="00DA2570">
        <w:rPr>
          <w:color w:val="000000"/>
        </w:rPr>
        <w:t xml:space="preserve"> to </w:t>
      </w:r>
      <w:r w:rsidR="0065669C">
        <w:rPr>
          <w:color w:val="000000"/>
        </w:rPr>
        <w:t xml:space="preserve">summarily </w:t>
      </w:r>
      <w:r w:rsidR="00F52208" w:rsidRPr="00DA2570">
        <w:rPr>
          <w:color w:val="000000"/>
        </w:rPr>
        <w:t xml:space="preserve">revoke </w:t>
      </w:r>
      <w:r w:rsidR="00910BD8" w:rsidRPr="00DA2570">
        <w:rPr>
          <w:color w:val="000000"/>
        </w:rPr>
        <w:t>that</w:t>
      </w:r>
      <w:r w:rsidR="00F52208" w:rsidRPr="00DA2570">
        <w:rPr>
          <w:color w:val="000000"/>
        </w:rPr>
        <w:t xml:space="preserve"> probation</w:t>
      </w:r>
      <w:r w:rsidR="002D2865">
        <w:rPr>
          <w:color w:val="000000"/>
        </w:rPr>
        <w:t xml:space="preserve"> </w:t>
      </w:r>
      <w:r w:rsidR="00521D0C">
        <w:rPr>
          <w:color w:val="000000"/>
        </w:rPr>
        <w:t xml:space="preserve">based on defendant’s alleged </w:t>
      </w:r>
      <w:r w:rsidR="00521D0C">
        <w:rPr>
          <w:color w:val="000000"/>
        </w:rPr>
        <w:lastRenderedPageBreak/>
        <w:t>probation violations</w:t>
      </w:r>
      <w:r w:rsidR="00F52208" w:rsidRPr="00DA2570">
        <w:rPr>
          <w:color w:val="000000"/>
        </w:rPr>
        <w:t>.</w:t>
      </w:r>
      <w:r w:rsidR="003234B5" w:rsidRPr="00DA2570">
        <w:rPr>
          <w:color w:val="000000"/>
        </w:rPr>
        <w:t xml:space="preserve"> </w:t>
      </w:r>
      <w:r w:rsidR="000E6968" w:rsidRPr="00DA2570">
        <w:rPr>
          <w:color w:val="000000"/>
        </w:rPr>
        <w:t xml:space="preserve"> </w:t>
      </w:r>
      <w:r w:rsidR="002D03A0" w:rsidRPr="00DA2570">
        <w:rPr>
          <w:color w:val="000000"/>
        </w:rPr>
        <w:t>(§§</w:t>
      </w:r>
      <w:r w:rsidR="004E66BC" w:rsidRPr="00DA2570">
        <w:rPr>
          <w:color w:val="000000"/>
        </w:rPr>
        <w:t> </w:t>
      </w:r>
      <w:r w:rsidR="002D03A0" w:rsidRPr="00DA2570">
        <w:rPr>
          <w:color w:val="000000"/>
        </w:rPr>
        <w:t>1203.2, subd. (a), 1203.3, subd. (a).</w:t>
      </w:r>
      <w:r w:rsidR="00686741" w:rsidRPr="00DA2570">
        <w:rPr>
          <w:color w:val="000000"/>
        </w:rPr>
        <w:t>)</w:t>
      </w:r>
      <w:r w:rsidR="002D03A0" w:rsidRPr="00DA2570">
        <w:rPr>
          <w:color w:val="000000"/>
        </w:rPr>
        <w:t xml:space="preserve"> </w:t>
      </w:r>
      <w:r w:rsidR="00914A95">
        <w:rPr>
          <w:color w:val="000000"/>
        </w:rPr>
        <w:t xml:space="preserve"> </w:t>
      </w:r>
      <w:r w:rsidR="00521D0C">
        <w:rPr>
          <w:color w:val="000000"/>
        </w:rPr>
        <w:t xml:space="preserve">Likewise, there </w:t>
      </w:r>
      <w:r w:rsidR="00C307C3">
        <w:rPr>
          <w:color w:val="000000"/>
        </w:rPr>
        <w:t xml:space="preserve">is no dispute </w:t>
      </w:r>
      <w:r w:rsidR="00521D0C">
        <w:rPr>
          <w:color w:val="000000"/>
        </w:rPr>
        <w:t>that w</w:t>
      </w:r>
      <w:r w:rsidR="00213E0B">
        <w:rPr>
          <w:color w:val="000000"/>
        </w:rPr>
        <w:t>hen</w:t>
      </w:r>
      <w:r w:rsidR="003234B5" w:rsidRPr="00DA2570">
        <w:rPr>
          <w:color w:val="000000"/>
        </w:rPr>
        <w:t xml:space="preserve"> </w:t>
      </w:r>
      <w:r w:rsidR="0060790C">
        <w:t xml:space="preserve">Assembly Bill </w:t>
      </w:r>
      <w:r w:rsidR="003234B5" w:rsidRPr="00DA2570">
        <w:rPr>
          <w:color w:val="000000"/>
        </w:rPr>
        <w:t>1950 went into effect, defendant</w:t>
      </w:r>
      <w:r w:rsidR="002D6A63">
        <w:rPr>
          <w:color w:val="000000"/>
        </w:rPr>
        <w:t xml:space="preserve">’s probation had already been </w:t>
      </w:r>
      <w:r w:rsidR="00EE2330">
        <w:rPr>
          <w:color w:val="000000"/>
        </w:rPr>
        <w:t xml:space="preserve">properly </w:t>
      </w:r>
      <w:r w:rsidR="002D6A63">
        <w:rPr>
          <w:color w:val="000000"/>
        </w:rPr>
        <w:t>terminated based on those violations and</w:t>
      </w:r>
      <w:r w:rsidR="001662FE">
        <w:rPr>
          <w:color w:val="000000"/>
        </w:rPr>
        <w:t xml:space="preserve"> he</w:t>
      </w:r>
      <w:r w:rsidR="00521D0C">
        <w:rPr>
          <w:color w:val="000000"/>
        </w:rPr>
        <w:t xml:space="preserve"> was </w:t>
      </w:r>
      <w:r w:rsidR="0009453C">
        <w:rPr>
          <w:color w:val="000000"/>
        </w:rPr>
        <w:t xml:space="preserve">in </w:t>
      </w:r>
      <w:r w:rsidR="00F86C38">
        <w:rPr>
          <w:color w:val="000000"/>
        </w:rPr>
        <w:t xml:space="preserve">prison </w:t>
      </w:r>
      <w:r w:rsidR="00EE2330">
        <w:rPr>
          <w:color w:val="000000"/>
        </w:rPr>
        <w:t xml:space="preserve">serving his executed </w:t>
      </w:r>
      <w:r w:rsidR="00521D0C">
        <w:rPr>
          <w:color w:val="000000"/>
        </w:rPr>
        <w:t>12-year sentence</w:t>
      </w:r>
      <w:r w:rsidR="002D2865">
        <w:rPr>
          <w:color w:val="000000"/>
        </w:rPr>
        <w:t xml:space="preserve">. </w:t>
      </w:r>
      <w:r w:rsidR="00A90ADD">
        <w:rPr>
          <w:color w:val="000000"/>
        </w:rPr>
        <w:t xml:space="preserve"> Under these circumstances, invocation of </w:t>
      </w:r>
      <w:r w:rsidR="0060790C">
        <w:t xml:space="preserve">Assembly Bill </w:t>
      </w:r>
      <w:r w:rsidR="00A90ADD">
        <w:rPr>
          <w:color w:val="000000"/>
        </w:rPr>
        <w:t>1950 is unavailing.</w:t>
      </w:r>
    </w:p>
    <w:p w14:paraId="4604A7E4" w14:textId="076D3DFE" w:rsidR="00AD0FB3" w:rsidRPr="006A6535" w:rsidRDefault="00D326FD" w:rsidP="00ED3E79">
      <w:pPr>
        <w:spacing w:line="360" w:lineRule="auto"/>
        <w:rPr>
          <w:color w:val="000000"/>
        </w:rPr>
      </w:pPr>
      <w:r w:rsidRPr="00DA2570">
        <w:rPr>
          <w:color w:val="000000"/>
        </w:rPr>
        <w:tab/>
      </w:r>
      <w:r w:rsidR="007C59DD" w:rsidRPr="006A6535">
        <w:rPr>
          <w:color w:val="000000"/>
        </w:rPr>
        <w:t>In arguing that</w:t>
      </w:r>
      <w:r w:rsidR="00422D23" w:rsidRPr="006A6535">
        <w:rPr>
          <w:color w:val="000000"/>
        </w:rPr>
        <w:t xml:space="preserve"> </w:t>
      </w:r>
      <w:r w:rsidR="0060790C">
        <w:t xml:space="preserve">Assembly Bill </w:t>
      </w:r>
      <w:r w:rsidR="007C59DD" w:rsidRPr="006A6535">
        <w:rPr>
          <w:color w:val="000000"/>
        </w:rPr>
        <w:t>1950</w:t>
      </w:r>
      <w:r w:rsidR="00422D23" w:rsidRPr="006A6535">
        <w:rPr>
          <w:color w:val="000000"/>
        </w:rPr>
        <w:t xml:space="preserve"> should </w:t>
      </w:r>
      <w:r w:rsidR="000B10B2" w:rsidRPr="006A6535">
        <w:rPr>
          <w:color w:val="000000"/>
        </w:rPr>
        <w:t xml:space="preserve">apply </w:t>
      </w:r>
      <w:r w:rsidR="00422D23" w:rsidRPr="006A6535">
        <w:rPr>
          <w:color w:val="000000"/>
        </w:rPr>
        <w:t>retroactively</w:t>
      </w:r>
      <w:r w:rsidR="00E61415" w:rsidRPr="006A6535">
        <w:rPr>
          <w:color w:val="000000"/>
        </w:rPr>
        <w:t xml:space="preserve"> </w:t>
      </w:r>
      <w:r w:rsidR="00803A55" w:rsidRPr="006A6535">
        <w:rPr>
          <w:color w:val="000000"/>
        </w:rPr>
        <w:t xml:space="preserve">to </w:t>
      </w:r>
      <w:r w:rsidR="00A94B42" w:rsidRPr="006A6535">
        <w:rPr>
          <w:color w:val="000000"/>
        </w:rPr>
        <w:t>former probationers such as himself</w:t>
      </w:r>
      <w:r w:rsidR="007C59DD" w:rsidRPr="006A6535">
        <w:rPr>
          <w:color w:val="000000"/>
        </w:rPr>
        <w:t>, defendant</w:t>
      </w:r>
      <w:r w:rsidRPr="006A6535">
        <w:rPr>
          <w:color w:val="000000"/>
        </w:rPr>
        <w:t xml:space="preserve"> </w:t>
      </w:r>
      <w:r w:rsidR="00AD0FB3" w:rsidRPr="006A6535">
        <w:rPr>
          <w:color w:val="000000"/>
        </w:rPr>
        <w:t xml:space="preserve">relies </w:t>
      </w:r>
      <w:r w:rsidR="00E01A7D" w:rsidRPr="006A6535">
        <w:rPr>
          <w:color w:val="000000"/>
        </w:rPr>
        <w:t xml:space="preserve">principally </w:t>
      </w:r>
      <w:r w:rsidR="00AD0FB3" w:rsidRPr="006A6535">
        <w:rPr>
          <w:color w:val="000000"/>
        </w:rPr>
        <w:t>on</w:t>
      </w:r>
      <w:r w:rsidRPr="006A6535">
        <w:rPr>
          <w:color w:val="000000"/>
        </w:rPr>
        <w:t xml:space="preserve"> </w:t>
      </w:r>
      <w:r w:rsidRPr="006A6535">
        <w:rPr>
          <w:i/>
          <w:iCs/>
          <w:color w:val="000000"/>
        </w:rPr>
        <w:t>People v. Superior Court</w:t>
      </w:r>
      <w:r w:rsidRPr="006A6535">
        <w:rPr>
          <w:color w:val="000000"/>
        </w:rPr>
        <w:t xml:space="preserve"> (</w:t>
      </w:r>
      <w:r w:rsidRPr="006A6535">
        <w:rPr>
          <w:i/>
          <w:iCs/>
          <w:color w:val="000000"/>
        </w:rPr>
        <w:t>Lara</w:t>
      </w:r>
      <w:r w:rsidRPr="006A6535">
        <w:rPr>
          <w:color w:val="000000"/>
        </w:rPr>
        <w:t>) (2018) 4 Cal.5th 299</w:t>
      </w:r>
      <w:r w:rsidR="00AD0FB3" w:rsidRPr="006A6535">
        <w:rPr>
          <w:color w:val="000000"/>
        </w:rPr>
        <w:t xml:space="preserve"> (</w:t>
      </w:r>
      <w:r w:rsidR="00AD0FB3" w:rsidRPr="006A6535">
        <w:rPr>
          <w:i/>
          <w:iCs/>
          <w:color w:val="000000"/>
        </w:rPr>
        <w:t>Lara</w:t>
      </w:r>
      <w:r w:rsidR="00AD0FB3" w:rsidRPr="006A6535">
        <w:rPr>
          <w:color w:val="000000"/>
        </w:rPr>
        <w:t>)</w:t>
      </w:r>
      <w:r w:rsidR="007C59DD" w:rsidRPr="006A6535">
        <w:rPr>
          <w:color w:val="000000"/>
        </w:rPr>
        <w:t xml:space="preserve"> and</w:t>
      </w:r>
      <w:r w:rsidR="007C59DD" w:rsidRPr="006A6535">
        <w:rPr>
          <w:i/>
          <w:iCs/>
          <w:color w:val="000000"/>
        </w:rPr>
        <w:t xml:space="preserve"> People v. Frahs</w:t>
      </w:r>
      <w:r w:rsidR="007C59DD" w:rsidRPr="006A6535">
        <w:rPr>
          <w:color w:val="000000"/>
        </w:rPr>
        <w:t xml:space="preserve"> (2020) 9 Cal.5th 618 (</w:t>
      </w:r>
      <w:r w:rsidR="007C59DD" w:rsidRPr="006A6535">
        <w:rPr>
          <w:i/>
          <w:iCs/>
          <w:color w:val="000000"/>
        </w:rPr>
        <w:t>Frahs</w:t>
      </w:r>
      <w:r w:rsidR="007C59DD" w:rsidRPr="006A6535">
        <w:rPr>
          <w:color w:val="000000"/>
        </w:rPr>
        <w:t xml:space="preserve">).  </w:t>
      </w:r>
      <w:r w:rsidR="005B1E8D" w:rsidRPr="006A6535">
        <w:rPr>
          <w:color w:val="000000"/>
        </w:rPr>
        <w:t xml:space="preserve">In </w:t>
      </w:r>
      <w:r w:rsidR="007C59DD" w:rsidRPr="006A6535">
        <w:rPr>
          <w:i/>
          <w:iCs/>
          <w:color w:val="000000"/>
        </w:rPr>
        <w:t>Lara</w:t>
      </w:r>
      <w:r w:rsidR="005B1E8D" w:rsidRPr="006A6535">
        <w:rPr>
          <w:color w:val="000000"/>
        </w:rPr>
        <w:t xml:space="preserve">, the Supreme Court </w:t>
      </w:r>
      <w:r w:rsidR="009301E9" w:rsidRPr="006A6535">
        <w:rPr>
          <w:color w:val="000000"/>
        </w:rPr>
        <w:t>held that</w:t>
      </w:r>
      <w:r w:rsidR="006A362F" w:rsidRPr="006A6535">
        <w:rPr>
          <w:color w:val="000000"/>
        </w:rPr>
        <w:t xml:space="preserve"> a new law</w:t>
      </w:r>
      <w:r w:rsidR="00BD5574" w:rsidRPr="006A6535">
        <w:rPr>
          <w:color w:val="000000"/>
        </w:rPr>
        <w:t>’s requirement of a transfer hearing before a juvenile could be tried as an adult</w:t>
      </w:r>
      <w:r w:rsidR="009301E9" w:rsidRPr="006A6535">
        <w:rPr>
          <w:color w:val="000000"/>
        </w:rPr>
        <w:t xml:space="preserve"> </w:t>
      </w:r>
      <w:r w:rsidR="006A362F" w:rsidRPr="006A6535">
        <w:rPr>
          <w:color w:val="000000"/>
        </w:rPr>
        <w:t>applie</w:t>
      </w:r>
      <w:r w:rsidR="000B10B2" w:rsidRPr="006A6535">
        <w:rPr>
          <w:color w:val="000000"/>
        </w:rPr>
        <w:t>s</w:t>
      </w:r>
      <w:r w:rsidR="006A362F" w:rsidRPr="006A6535">
        <w:rPr>
          <w:color w:val="000000"/>
        </w:rPr>
        <w:t xml:space="preserve"> retroactively </w:t>
      </w:r>
      <w:r w:rsidR="00BD5574" w:rsidRPr="006A6535">
        <w:rPr>
          <w:color w:val="000000"/>
        </w:rPr>
        <w:t xml:space="preserve">to all juveniles who had been charged directly in adult court </w:t>
      </w:r>
      <w:r w:rsidR="000E0569" w:rsidRPr="006A6535">
        <w:rPr>
          <w:color w:val="000000"/>
        </w:rPr>
        <w:t>and whose</w:t>
      </w:r>
      <w:r w:rsidR="00BD5574" w:rsidRPr="006A6535">
        <w:rPr>
          <w:color w:val="000000"/>
        </w:rPr>
        <w:t xml:space="preserve"> </w:t>
      </w:r>
      <w:r w:rsidR="00791495" w:rsidRPr="006A6535">
        <w:rPr>
          <w:color w:val="000000"/>
        </w:rPr>
        <w:t>cases</w:t>
      </w:r>
      <w:r w:rsidR="00BD5574" w:rsidRPr="006A6535">
        <w:rPr>
          <w:color w:val="000000"/>
        </w:rPr>
        <w:t xml:space="preserve"> </w:t>
      </w:r>
      <w:r w:rsidR="00DC25E1" w:rsidRPr="006A6535">
        <w:rPr>
          <w:color w:val="000000"/>
        </w:rPr>
        <w:t>were not yet final</w:t>
      </w:r>
      <w:r w:rsidR="00B93D13" w:rsidRPr="006A6535">
        <w:rPr>
          <w:color w:val="000000"/>
        </w:rPr>
        <w:t xml:space="preserve">. </w:t>
      </w:r>
      <w:r w:rsidR="00914A95" w:rsidRPr="006A6535">
        <w:rPr>
          <w:color w:val="000000"/>
        </w:rPr>
        <w:t xml:space="preserve"> </w:t>
      </w:r>
      <w:r w:rsidR="00B93D13" w:rsidRPr="006A6535">
        <w:rPr>
          <w:color w:val="000000"/>
        </w:rPr>
        <w:t>(</w:t>
      </w:r>
      <w:r w:rsidR="00B93D13" w:rsidRPr="006A6535">
        <w:rPr>
          <w:i/>
          <w:iCs/>
          <w:color w:val="000000"/>
        </w:rPr>
        <w:t>Lara</w:t>
      </w:r>
      <w:r w:rsidR="00B93D13" w:rsidRPr="006A6535">
        <w:rPr>
          <w:color w:val="000000"/>
        </w:rPr>
        <w:t>, at pp.</w:t>
      </w:r>
      <w:r w:rsidR="004E66BC" w:rsidRPr="006A6535">
        <w:rPr>
          <w:color w:val="000000"/>
        </w:rPr>
        <w:t> </w:t>
      </w:r>
      <w:r w:rsidR="00B93D13" w:rsidRPr="006A6535">
        <w:rPr>
          <w:color w:val="000000"/>
        </w:rPr>
        <w:t>303–304</w:t>
      </w:r>
      <w:r w:rsidR="009D0ECA" w:rsidRPr="006A6535">
        <w:rPr>
          <w:color w:val="000000"/>
        </w:rPr>
        <w:t xml:space="preserve">, </w:t>
      </w:r>
      <w:r w:rsidR="008914CD" w:rsidRPr="006A6535">
        <w:rPr>
          <w:color w:val="000000"/>
        </w:rPr>
        <w:t>308–</w:t>
      </w:r>
      <w:r w:rsidR="009D0ECA" w:rsidRPr="006A6535">
        <w:rPr>
          <w:color w:val="000000"/>
        </w:rPr>
        <w:t>30</w:t>
      </w:r>
      <w:r w:rsidR="006D3BAB" w:rsidRPr="006A6535">
        <w:rPr>
          <w:color w:val="000000"/>
        </w:rPr>
        <w:t>9</w:t>
      </w:r>
      <w:r w:rsidR="00B93D13" w:rsidRPr="006A6535">
        <w:rPr>
          <w:color w:val="000000"/>
        </w:rPr>
        <w:t>.)</w:t>
      </w:r>
      <w:r w:rsidR="00DC25E1" w:rsidRPr="006A6535">
        <w:rPr>
          <w:color w:val="000000"/>
        </w:rPr>
        <w:t xml:space="preserve">  </w:t>
      </w:r>
      <w:r w:rsidR="005B1E8D" w:rsidRPr="006A6535">
        <w:rPr>
          <w:color w:val="000000"/>
        </w:rPr>
        <w:t xml:space="preserve">In </w:t>
      </w:r>
      <w:r w:rsidR="00DC25E1" w:rsidRPr="006A6535">
        <w:rPr>
          <w:i/>
          <w:iCs/>
          <w:color w:val="000000"/>
        </w:rPr>
        <w:t>Frahs</w:t>
      </w:r>
      <w:r w:rsidR="005B1E8D" w:rsidRPr="006A6535">
        <w:rPr>
          <w:color w:val="000000"/>
        </w:rPr>
        <w:t>, the court concluded</w:t>
      </w:r>
      <w:r w:rsidR="00DC25E1" w:rsidRPr="006A6535">
        <w:rPr>
          <w:color w:val="000000"/>
        </w:rPr>
        <w:t xml:space="preserve"> that </w:t>
      </w:r>
      <w:r w:rsidR="00C838A7" w:rsidRPr="006A6535">
        <w:rPr>
          <w:color w:val="000000"/>
        </w:rPr>
        <w:t xml:space="preserve">a new law </w:t>
      </w:r>
      <w:r w:rsidR="00791495" w:rsidRPr="006A6535">
        <w:rPr>
          <w:color w:val="000000"/>
        </w:rPr>
        <w:t>creating a pretrial</w:t>
      </w:r>
      <w:r w:rsidR="00C838A7" w:rsidRPr="006A6535">
        <w:rPr>
          <w:color w:val="000000"/>
        </w:rPr>
        <w:t xml:space="preserve"> diversion program </w:t>
      </w:r>
      <w:r w:rsidR="00791495" w:rsidRPr="006A6535">
        <w:rPr>
          <w:color w:val="000000"/>
        </w:rPr>
        <w:t>for certain</w:t>
      </w:r>
      <w:r w:rsidR="00C838A7" w:rsidRPr="006A6535">
        <w:rPr>
          <w:color w:val="000000"/>
        </w:rPr>
        <w:t xml:space="preserve"> defendants with mental disorders </w:t>
      </w:r>
      <w:r w:rsidR="007F30D5" w:rsidRPr="006A6535">
        <w:rPr>
          <w:color w:val="000000"/>
        </w:rPr>
        <w:t>applie</w:t>
      </w:r>
      <w:r w:rsidR="000B10B2" w:rsidRPr="006A6535">
        <w:rPr>
          <w:color w:val="000000"/>
        </w:rPr>
        <w:t>s</w:t>
      </w:r>
      <w:r w:rsidR="007F30D5" w:rsidRPr="006A6535">
        <w:rPr>
          <w:color w:val="000000"/>
        </w:rPr>
        <w:t xml:space="preserve"> retroactively </w:t>
      </w:r>
      <w:r w:rsidR="00791495" w:rsidRPr="006A6535">
        <w:rPr>
          <w:color w:val="000000"/>
        </w:rPr>
        <w:t>to defendant</w:t>
      </w:r>
      <w:r w:rsidR="000B10B2" w:rsidRPr="006A6535">
        <w:rPr>
          <w:color w:val="000000"/>
        </w:rPr>
        <w:t>s</w:t>
      </w:r>
      <w:r w:rsidR="00791495" w:rsidRPr="006A6535">
        <w:rPr>
          <w:color w:val="000000"/>
        </w:rPr>
        <w:t xml:space="preserve"> whose judgment</w:t>
      </w:r>
      <w:r w:rsidR="000B10B2" w:rsidRPr="006A6535">
        <w:rPr>
          <w:color w:val="000000"/>
        </w:rPr>
        <w:t>s</w:t>
      </w:r>
      <w:r w:rsidR="00791495" w:rsidRPr="006A6535">
        <w:rPr>
          <w:color w:val="000000"/>
        </w:rPr>
        <w:t xml:space="preserve"> of conviction </w:t>
      </w:r>
      <w:r w:rsidR="000B10B2" w:rsidRPr="006A6535">
        <w:rPr>
          <w:color w:val="000000"/>
        </w:rPr>
        <w:t>are</w:t>
      </w:r>
      <w:r w:rsidR="00791495" w:rsidRPr="006A6535">
        <w:rPr>
          <w:color w:val="000000"/>
        </w:rPr>
        <w:t xml:space="preserve"> pending on appeal</w:t>
      </w:r>
      <w:r w:rsidR="007F30D5" w:rsidRPr="006A6535">
        <w:rPr>
          <w:color w:val="000000"/>
        </w:rPr>
        <w:t xml:space="preserve">. </w:t>
      </w:r>
      <w:r w:rsidR="00914A95" w:rsidRPr="006A6535">
        <w:rPr>
          <w:color w:val="000000"/>
        </w:rPr>
        <w:t xml:space="preserve"> </w:t>
      </w:r>
      <w:r w:rsidR="007F30D5" w:rsidRPr="006A6535">
        <w:rPr>
          <w:color w:val="000000"/>
        </w:rPr>
        <w:t>(</w:t>
      </w:r>
      <w:r w:rsidR="007F30D5" w:rsidRPr="006A6535">
        <w:rPr>
          <w:i/>
          <w:iCs/>
          <w:color w:val="000000"/>
        </w:rPr>
        <w:t>Frahs</w:t>
      </w:r>
      <w:r w:rsidR="007F30D5" w:rsidRPr="006A6535">
        <w:rPr>
          <w:color w:val="000000"/>
        </w:rPr>
        <w:t>, at pp.</w:t>
      </w:r>
      <w:r w:rsidR="004E66BC" w:rsidRPr="006A6535">
        <w:rPr>
          <w:color w:val="000000"/>
        </w:rPr>
        <w:t> </w:t>
      </w:r>
      <w:r w:rsidR="007F30D5" w:rsidRPr="006A6535">
        <w:rPr>
          <w:color w:val="000000"/>
        </w:rPr>
        <w:t>624–625.)</w:t>
      </w:r>
      <w:r w:rsidR="005862AB" w:rsidRPr="006A6535">
        <w:rPr>
          <w:color w:val="000000"/>
        </w:rPr>
        <w:t xml:space="preserve">  </w:t>
      </w:r>
      <w:r w:rsidR="00AD0FB3" w:rsidRPr="006A6535">
        <w:rPr>
          <w:color w:val="000000"/>
        </w:rPr>
        <w:t>Those authorities do not support defendant’s position.</w:t>
      </w:r>
    </w:p>
    <w:p w14:paraId="4E0A93F3" w14:textId="42F6CE9E" w:rsidR="00D02C0A" w:rsidRDefault="00AD0FB3" w:rsidP="00ED3E79">
      <w:pPr>
        <w:spacing w:line="360" w:lineRule="auto"/>
        <w:rPr>
          <w:color w:val="000000"/>
        </w:rPr>
      </w:pPr>
      <w:r w:rsidRPr="006A6535">
        <w:rPr>
          <w:color w:val="000000"/>
        </w:rPr>
        <w:tab/>
      </w:r>
      <w:r w:rsidR="00884AFE" w:rsidRPr="006A6535">
        <w:rPr>
          <w:color w:val="000000"/>
        </w:rPr>
        <w:t>T</w:t>
      </w:r>
      <w:r w:rsidR="0024663D" w:rsidRPr="006A6535">
        <w:rPr>
          <w:color w:val="000000"/>
        </w:rPr>
        <w:t xml:space="preserve">he laws at issue in </w:t>
      </w:r>
      <w:r w:rsidR="0024663D" w:rsidRPr="006A6535">
        <w:rPr>
          <w:i/>
          <w:iCs/>
          <w:color w:val="000000"/>
        </w:rPr>
        <w:t xml:space="preserve">Lara </w:t>
      </w:r>
      <w:r w:rsidR="0024663D" w:rsidRPr="006A6535">
        <w:rPr>
          <w:color w:val="000000"/>
        </w:rPr>
        <w:t xml:space="preserve">and </w:t>
      </w:r>
      <w:r w:rsidR="0024663D" w:rsidRPr="006A6535">
        <w:rPr>
          <w:i/>
          <w:iCs/>
          <w:color w:val="000000"/>
        </w:rPr>
        <w:t>Frahs</w:t>
      </w:r>
      <w:r w:rsidR="0054078A" w:rsidRPr="006A6535">
        <w:rPr>
          <w:color w:val="000000"/>
        </w:rPr>
        <w:t xml:space="preserve"> </w:t>
      </w:r>
      <w:r w:rsidR="000E0569" w:rsidRPr="006A6535">
        <w:rPr>
          <w:color w:val="000000"/>
        </w:rPr>
        <w:t xml:space="preserve">require that certain </w:t>
      </w:r>
      <w:r w:rsidR="00960009" w:rsidRPr="006A6535">
        <w:rPr>
          <w:color w:val="000000"/>
        </w:rPr>
        <w:t>classes of persons</w:t>
      </w:r>
      <w:r w:rsidR="000E0569" w:rsidRPr="006A6535">
        <w:rPr>
          <w:color w:val="000000"/>
        </w:rPr>
        <w:t xml:space="preserve"> be afforded the opportunity to show that their </w:t>
      </w:r>
      <w:r w:rsidR="00960009" w:rsidRPr="006A6535">
        <w:rPr>
          <w:color w:val="000000"/>
        </w:rPr>
        <w:t>crimes and circumstances warranted rehabilitative or treatment-</w:t>
      </w:r>
      <w:r w:rsidR="007C59DD" w:rsidRPr="006A6535">
        <w:rPr>
          <w:color w:val="000000"/>
        </w:rPr>
        <w:t>focused dispositions</w:t>
      </w:r>
      <w:r w:rsidR="00960009" w:rsidRPr="006A6535">
        <w:rPr>
          <w:color w:val="000000"/>
        </w:rPr>
        <w:t xml:space="preserve"> rather than prosecution and sentencing in the criminal courts.  </w:t>
      </w:r>
      <w:r w:rsidR="00A163FA" w:rsidRPr="006A6535">
        <w:rPr>
          <w:color w:val="000000"/>
        </w:rPr>
        <w:t>(</w:t>
      </w:r>
      <w:r w:rsidR="00F341B3" w:rsidRPr="006A6535">
        <w:rPr>
          <w:color w:val="000000"/>
        </w:rPr>
        <w:t>S</w:t>
      </w:r>
      <w:r w:rsidRPr="006A6535">
        <w:rPr>
          <w:color w:val="000000"/>
        </w:rPr>
        <w:t xml:space="preserve">ee </w:t>
      </w:r>
      <w:r w:rsidRPr="006A6535">
        <w:rPr>
          <w:i/>
          <w:iCs/>
          <w:color w:val="000000"/>
        </w:rPr>
        <w:t>Lara</w:t>
      </w:r>
      <w:r w:rsidRPr="006A6535">
        <w:rPr>
          <w:color w:val="000000"/>
        </w:rPr>
        <w:t xml:space="preserve">, </w:t>
      </w:r>
      <w:r w:rsidRPr="006A6535">
        <w:rPr>
          <w:i/>
          <w:iCs/>
          <w:color w:val="000000"/>
        </w:rPr>
        <w:t>supra</w:t>
      </w:r>
      <w:r w:rsidRPr="006A6535">
        <w:rPr>
          <w:color w:val="000000"/>
        </w:rPr>
        <w:t>, 4 Cal.5th at p</w:t>
      </w:r>
      <w:r w:rsidR="00353A02" w:rsidRPr="006A6535">
        <w:rPr>
          <w:color w:val="000000"/>
        </w:rPr>
        <w:t>p</w:t>
      </w:r>
      <w:r w:rsidRPr="006A6535">
        <w:rPr>
          <w:color w:val="000000"/>
        </w:rPr>
        <w:t>. </w:t>
      </w:r>
      <w:r w:rsidR="00353A02" w:rsidRPr="006A6535">
        <w:rPr>
          <w:color w:val="000000"/>
        </w:rPr>
        <w:t xml:space="preserve">303, </w:t>
      </w:r>
      <w:r w:rsidR="00960009" w:rsidRPr="006A6535">
        <w:rPr>
          <w:color w:val="000000"/>
        </w:rPr>
        <w:t>309</w:t>
      </w:r>
      <w:r w:rsidR="00353A02" w:rsidRPr="006A6535">
        <w:rPr>
          <w:color w:val="000000"/>
        </w:rPr>
        <w:t xml:space="preserve"> [</w:t>
      </w:r>
      <w:r w:rsidR="003E4933" w:rsidRPr="006A6535">
        <w:rPr>
          <w:color w:val="000000"/>
        </w:rPr>
        <w:t>emphasizing juvenile court’s goal of rehabilitation</w:t>
      </w:r>
      <w:r w:rsidR="00353A02" w:rsidRPr="006A6535">
        <w:rPr>
          <w:color w:val="000000"/>
        </w:rPr>
        <w:t>]</w:t>
      </w:r>
      <w:r w:rsidRPr="006A6535">
        <w:rPr>
          <w:color w:val="000000"/>
        </w:rPr>
        <w:t xml:space="preserve">; </w:t>
      </w:r>
      <w:r w:rsidR="00A163FA" w:rsidRPr="006A6535">
        <w:rPr>
          <w:i/>
          <w:iCs/>
          <w:color w:val="000000"/>
        </w:rPr>
        <w:t>Frahs</w:t>
      </w:r>
      <w:r w:rsidR="00A163FA" w:rsidRPr="006A6535">
        <w:rPr>
          <w:color w:val="000000"/>
        </w:rPr>
        <w:t xml:space="preserve">, </w:t>
      </w:r>
      <w:r w:rsidRPr="006A6535">
        <w:rPr>
          <w:i/>
          <w:iCs/>
          <w:color w:val="000000"/>
        </w:rPr>
        <w:t>supra</w:t>
      </w:r>
      <w:r w:rsidRPr="006A6535">
        <w:rPr>
          <w:color w:val="000000"/>
        </w:rPr>
        <w:t xml:space="preserve">, 9 Cal.5th </w:t>
      </w:r>
      <w:r w:rsidR="00A163FA" w:rsidRPr="006A6535">
        <w:rPr>
          <w:color w:val="000000"/>
        </w:rPr>
        <w:t>at pp. 629, 631</w:t>
      </w:r>
      <w:r w:rsidR="00E60CD5" w:rsidRPr="006A6535">
        <w:rPr>
          <w:color w:val="000000"/>
        </w:rPr>
        <w:t xml:space="preserve"> [</w:t>
      </w:r>
      <w:r w:rsidR="00F11C01" w:rsidRPr="006A6535">
        <w:rPr>
          <w:color w:val="000000"/>
        </w:rPr>
        <w:t xml:space="preserve">allowing for potential dismissal </w:t>
      </w:r>
      <w:r w:rsidR="003E4933" w:rsidRPr="006A6535">
        <w:rPr>
          <w:color w:val="000000"/>
        </w:rPr>
        <w:t xml:space="preserve">of charges </w:t>
      </w:r>
      <w:r w:rsidR="006D1258">
        <w:rPr>
          <w:color w:val="000000"/>
        </w:rPr>
        <w:t xml:space="preserve">for </w:t>
      </w:r>
      <w:r w:rsidR="006D1258" w:rsidRPr="006D1258">
        <w:rPr>
          <w:color w:val="000000"/>
        </w:rPr>
        <w:t xml:space="preserve">defendants with </w:t>
      </w:r>
      <w:r w:rsidR="00925EE6">
        <w:rPr>
          <w:color w:val="000000"/>
        </w:rPr>
        <w:t>qualifying</w:t>
      </w:r>
      <w:r w:rsidR="00A46EC7">
        <w:rPr>
          <w:color w:val="000000"/>
        </w:rPr>
        <w:t xml:space="preserve"> </w:t>
      </w:r>
      <w:r w:rsidR="006D1258" w:rsidRPr="006D1258">
        <w:rPr>
          <w:color w:val="000000"/>
        </w:rPr>
        <w:t>mental health disorders</w:t>
      </w:r>
      <w:r w:rsidR="006D1258">
        <w:rPr>
          <w:color w:val="000000"/>
        </w:rPr>
        <w:t xml:space="preserve"> </w:t>
      </w:r>
      <w:r w:rsidR="003E4933" w:rsidRPr="006A6535">
        <w:rPr>
          <w:color w:val="000000"/>
        </w:rPr>
        <w:t>upon satisfactory participation</w:t>
      </w:r>
      <w:r w:rsidR="00DB05AF" w:rsidRPr="006A6535">
        <w:rPr>
          <w:color w:val="000000"/>
        </w:rPr>
        <w:t xml:space="preserve"> in mental health diversion program</w:t>
      </w:r>
      <w:r w:rsidR="00E60CD5" w:rsidRPr="006A6535">
        <w:rPr>
          <w:color w:val="000000"/>
        </w:rPr>
        <w:t>]</w:t>
      </w:r>
      <w:r w:rsidR="00F341B3" w:rsidRPr="006A6535">
        <w:rPr>
          <w:color w:val="000000"/>
        </w:rPr>
        <w:t>.</w:t>
      </w:r>
      <w:r w:rsidR="00A163FA" w:rsidRPr="006A6535">
        <w:rPr>
          <w:color w:val="000000"/>
        </w:rPr>
        <w:t>)</w:t>
      </w:r>
      <w:r w:rsidR="00F341B3" w:rsidRPr="006A6535">
        <w:rPr>
          <w:color w:val="000000"/>
        </w:rPr>
        <w:t xml:space="preserve">  </w:t>
      </w:r>
      <w:r w:rsidR="00901B01" w:rsidRPr="006A6535">
        <w:rPr>
          <w:color w:val="000000"/>
        </w:rPr>
        <w:t>In those cases,</w:t>
      </w:r>
      <w:r w:rsidR="00884AFE" w:rsidRPr="006A6535">
        <w:rPr>
          <w:color w:val="000000"/>
        </w:rPr>
        <w:t xml:space="preserve"> the </w:t>
      </w:r>
      <w:r w:rsidR="00DC226F" w:rsidRPr="006A6535">
        <w:rPr>
          <w:color w:val="000000"/>
        </w:rPr>
        <w:t>Supreme Court</w:t>
      </w:r>
      <w:r w:rsidR="00884AFE" w:rsidRPr="006A6535">
        <w:rPr>
          <w:color w:val="000000"/>
        </w:rPr>
        <w:t xml:space="preserve"> determined that the </w:t>
      </w:r>
      <w:r w:rsidR="00434F1F" w:rsidRPr="006A6535">
        <w:rPr>
          <w:color w:val="000000"/>
        </w:rPr>
        <w:t xml:space="preserve">respective offenders </w:t>
      </w:r>
      <w:r w:rsidR="00DC226F" w:rsidRPr="006A6535">
        <w:rPr>
          <w:color w:val="000000"/>
        </w:rPr>
        <w:t>sh</w:t>
      </w:r>
      <w:r w:rsidR="00434F1F" w:rsidRPr="006A6535">
        <w:rPr>
          <w:color w:val="000000"/>
        </w:rPr>
        <w:t xml:space="preserve">ould benefit from retroactive application of the </w:t>
      </w:r>
      <w:r w:rsidR="00884AFE" w:rsidRPr="006A6535">
        <w:rPr>
          <w:color w:val="000000"/>
        </w:rPr>
        <w:t xml:space="preserve">ameliorative </w:t>
      </w:r>
      <w:r w:rsidR="00434F1F" w:rsidRPr="006A6535">
        <w:rPr>
          <w:color w:val="000000"/>
        </w:rPr>
        <w:t xml:space="preserve">effects </w:t>
      </w:r>
      <w:r w:rsidR="00884AFE" w:rsidRPr="006A6535">
        <w:rPr>
          <w:color w:val="000000"/>
        </w:rPr>
        <w:t>of the respective law</w:t>
      </w:r>
      <w:r w:rsidR="00434F1F" w:rsidRPr="006A6535">
        <w:rPr>
          <w:color w:val="000000"/>
        </w:rPr>
        <w:t>s</w:t>
      </w:r>
      <w:r w:rsidR="00901B01" w:rsidRPr="006A6535">
        <w:rPr>
          <w:color w:val="000000"/>
        </w:rPr>
        <w:t xml:space="preserve">.  </w:t>
      </w:r>
      <w:r w:rsidR="00326A5B">
        <w:rPr>
          <w:color w:val="000000"/>
        </w:rPr>
        <w:t>(</w:t>
      </w:r>
      <w:r w:rsidR="00326A5B" w:rsidRPr="006A6535">
        <w:rPr>
          <w:i/>
          <w:iCs/>
          <w:color w:val="000000"/>
        </w:rPr>
        <w:t>Lara</w:t>
      </w:r>
      <w:r w:rsidR="00326A5B" w:rsidRPr="006A6535">
        <w:rPr>
          <w:color w:val="000000"/>
        </w:rPr>
        <w:t>,</w:t>
      </w:r>
      <w:r w:rsidR="00326A5B">
        <w:rPr>
          <w:color w:val="000000"/>
        </w:rPr>
        <w:t xml:space="preserve"> at p. 309; </w:t>
      </w:r>
      <w:r w:rsidR="007C310F">
        <w:rPr>
          <w:i/>
          <w:iCs/>
          <w:color w:val="000000"/>
        </w:rPr>
        <w:t>Frahs</w:t>
      </w:r>
      <w:r w:rsidR="007C310F">
        <w:rPr>
          <w:color w:val="000000"/>
        </w:rPr>
        <w:t>, at pp. 630–63</w:t>
      </w:r>
      <w:r w:rsidR="00B960B3">
        <w:rPr>
          <w:color w:val="000000"/>
        </w:rPr>
        <w:t>2</w:t>
      </w:r>
      <w:r w:rsidR="00326A5B">
        <w:rPr>
          <w:color w:val="000000"/>
        </w:rPr>
        <w:t>.)</w:t>
      </w:r>
      <w:r w:rsidR="00901B01" w:rsidRPr="006A6535">
        <w:rPr>
          <w:color w:val="000000"/>
        </w:rPr>
        <w:t xml:space="preserve">  </w:t>
      </w:r>
      <w:r w:rsidR="00470459" w:rsidRPr="006A6535">
        <w:rPr>
          <w:color w:val="000000"/>
        </w:rPr>
        <w:t>Notably, t</w:t>
      </w:r>
      <w:r w:rsidR="00D4638C" w:rsidRPr="006A6535">
        <w:rPr>
          <w:color w:val="000000"/>
        </w:rPr>
        <w:t xml:space="preserve">he laws </w:t>
      </w:r>
      <w:r w:rsidR="00D4638C" w:rsidRPr="006A6535">
        <w:rPr>
          <w:color w:val="000000"/>
        </w:rPr>
        <w:lastRenderedPageBreak/>
        <w:t>in</w:t>
      </w:r>
      <w:r w:rsidR="00901B01" w:rsidRPr="006A6535">
        <w:rPr>
          <w:color w:val="000000"/>
        </w:rPr>
        <w:t xml:space="preserve"> </w:t>
      </w:r>
      <w:r w:rsidR="00884AFE" w:rsidRPr="006A6535">
        <w:rPr>
          <w:i/>
          <w:iCs/>
          <w:color w:val="000000"/>
        </w:rPr>
        <w:t>Lara</w:t>
      </w:r>
      <w:r w:rsidR="00884AFE" w:rsidRPr="006A6535">
        <w:rPr>
          <w:color w:val="000000"/>
        </w:rPr>
        <w:t xml:space="preserve"> and </w:t>
      </w:r>
      <w:r w:rsidR="00884AFE" w:rsidRPr="006A6535">
        <w:rPr>
          <w:i/>
          <w:iCs/>
          <w:color w:val="000000"/>
        </w:rPr>
        <w:t>Frahs</w:t>
      </w:r>
      <w:r w:rsidR="00901B01" w:rsidRPr="006A6535">
        <w:rPr>
          <w:color w:val="000000"/>
        </w:rPr>
        <w:t xml:space="preserve"> </w:t>
      </w:r>
      <w:r w:rsidR="00884AFE" w:rsidRPr="006A6535">
        <w:rPr>
          <w:color w:val="000000"/>
        </w:rPr>
        <w:t>d</w:t>
      </w:r>
      <w:r w:rsidR="000B10B2" w:rsidRPr="006A6535">
        <w:rPr>
          <w:color w:val="000000"/>
        </w:rPr>
        <w:t>id</w:t>
      </w:r>
      <w:r w:rsidR="00884AFE" w:rsidRPr="006A6535">
        <w:rPr>
          <w:color w:val="000000"/>
        </w:rPr>
        <w:t xml:space="preserve"> not </w:t>
      </w:r>
      <w:r w:rsidR="00D4638C" w:rsidRPr="006A6535">
        <w:rPr>
          <w:color w:val="000000"/>
        </w:rPr>
        <w:t>contemplate</w:t>
      </w:r>
      <w:r w:rsidR="00884AFE" w:rsidRPr="006A6535">
        <w:rPr>
          <w:color w:val="000000"/>
        </w:rPr>
        <w:t xml:space="preserve"> obliteration of the offenders’ accountability for conduct predating the new laws</w:t>
      </w:r>
      <w:r w:rsidR="00901B01" w:rsidRPr="006A6535">
        <w:rPr>
          <w:color w:val="000000"/>
        </w:rPr>
        <w:t xml:space="preserve">; rather, </w:t>
      </w:r>
      <w:r w:rsidR="00884AFE" w:rsidRPr="006A6535">
        <w:rPr>
          <w:color w:val="000000"/>
        </w:rPr>
        <w:t>the</w:t>
      </w:r>
      <w:r w:rsidR="00D4638C" w:rsidRPr="006A6535">
        <w:rPr>
          <w:color w:val="000000"/>
        </w:rPr>
        <w:t xml:space="preserve"> offenders</w:t>
      </w:r>
      <w:r w:rsidR="00884AFE" w:rsidRPr="006A6535">
        <w:rPr>
          <w:color w:val="000000"/>
        </w:rPr>
        <w:t xml:space="preserve"> remained answerable for such conduct through the juvenile justice system or through the mental health diversion program</w:t>
      </w:r>
      <w:r w:rsidR="00D4638C" w:rsidRPr="006A6535">
        <w:rPr>
          <w:color w:val="000000"/>
        </w:rPr>
        <w:t xml:space="preserve">, provided </w:t>
      </w:r>
      <w:r w:rsidR="003C4072" w:rsidRPr="006A6535">
        <w:rPr>
          <w:color w:val="000000"/>
        </w:rPr>
        <w:t>their circumstances were suitable for those alternatives to criminal court</w:t>
      </w:r>
      <w:r w:rsidR="00884AFE" w:rsidRPr="006A6535">
        <w:rPr>
          <w:color w:val="000000"/>
        </w:rPr>
        <w:t>.</w:t>
      </w:r>
      <w:r w:rsidR="00884AFE">
        <w:rPr>
          <w:color w:val="000000"/>
        </w:rPr>
        <w:t xml:space="preserve"> </w:t>
      </w:r>
    </w:p>
    <w:p w14:paraId="14EFF414" w14:textId="763622FD" w:rsidR="005D71D0" w:rsidRDefault="00D02C0A" w:rsidP="00F92E24">
      <w:pPr>
        <w:spacing w:line="360" w:lineRule="auto"/>
        <w:rPr>
          <w:color w:val="000000"/>
        </w:rPr>
      </w:pPr>
      <w:r>
        <w:rPr>
          <w:color w:val="000000"/>
        </w:rPr>
        <w:tab/>
      </w:r>
      <w:r w:rsidR="00B960B3">
        <w:rPr>
          <w:color w:val="000000"/>
        </w:rPr>
        <w:t xml:space="preserve">In this case, </w:t>
      </w:r>
      <w:r w:rsidR="00621025">
        <w:rPr>
          <w:color w:val="000000"/>
        </w:rPr>
        <w:t xml:space="preserve">we </w:t>
      </w:r>
      <w:r w:rsidR="0040227F">
        <w:rPr>
          <w:color w:val="000000"/>
        </w:rPr>
        <w:t>reiterate our agreement</w:t>
      </w:r>
      <w:r w:rsidR="00621025">
        <w:rPr>
          <w:color w:val="000000"/>
        </w:rPr>
        <w:t xml:space="preserve"> with </w:t>
      </w:r>
      <w:r w:rsidR="00EC06C6">
        <w:rPr>
          <w:color w:val="000000"/>
        </w:rPr>
        <w:t xml:space="preserve">the </w:t>
      </w:r>
      <w:r w:rsidR="003A133E">
        <w:rPr>
          <w:color w:val="000000"/>
        </w:rPr>
        <w:t>decisions</w:t>
      </w:r>
      <w:r w:rsidR="00EC06C6">
        <w:rPr>
          <w:color w:val="000000"/>
        </w:rPr>
        <w:t xml:space="preserve"> holding</w:t>
      </w:r>
      <w:r w:rsidR="00621025">
        <w:rPr>
          <w:color w:val="000000"/>
        </w:rPr>
        <w:t xml:space="preserve"> that </w:t>
      </w:r>
      <w:r w:rsidR="0060790C">
        <w:t xml:space="preserve">Assembly Bill </w:t>
      </w:r>
      <w:r w:rsidR="00621025">
        <w:rPr>
          <w:color w:val="000000"/>
        </w:rPr>
        <w:t>1950 applies retroactively to a specific class of persons</w:t>
      </w:r>
      <w:r w:rsidR="00487C7A">
        <w:rPr>
          <w:color w:val="000000"/>
        </w:rPr>
        <w:t>—</w:t>
      </w:r>
      <w:r w:rsidR="00621025">
        <w:rPr>
          <w:color w:val="000000"/>
        </w:rPr>
        <w:t xml:space="preserve">i.e., defendants </w:t>
      </w:r>
      <w:r w:rsidR="00EE2330">
        <w:rPr>
          <w:color w:val="000000"/>
        </w:rPr>
        <w:t>whose probation has not been revoked and terminated</w:t>
      </w:r>
      <w:r w:rsidR="00F474BC">
        <w:rPr>
          <w:color w:val="000000"/>
        </w:rPr>
        <w:t>.</w:t>
      </w:r>
      <w:r w:rsidR="00487C7A">
        <w:rPr>
          <w:color w:val="000000"/>
        </w:rPr>
        <w:t xml:space="preserve">  For </w:t>
      </w:r>
      <w:r w:rsidR="00280889">
        <w:rPr>
          <w:color w:val="000000"/>
        </w:rPr>
        <w:t>such persons</w:t>
      </w:r>
      <w:r w:rsidR="00487C7A">
        <w:rPr>
          <w:color w:val="000000"/>
        </w:rPr>
        <w:t xml:space="preserve">, </w:t>
      </w:r>
      <w:r w:rsidR="0060790C">
        <w:t xml:space="preserve">Assembly Bill </w:t>
      </w:r>
      <w:r w:rsidR="00487C7A">
        <w:rPr>
          <w:color w:val="000000"/>
        </w:rPr>
        <w:t xml:space="preserve">1950 </w:t>
      </w:r>
      <w:r w:rsidR="002F6358">
        <w:rPr>
          <w:color w:val="000000"/>
        </w:rPr>
        <w:t xml:space="preserve">acts in mitigation by </w:t>
      </w:r>
      <w:r w:rsidR="00574876">
        <w:rPr>
          <w:color w:val="000000"/>
        </w:rPr>
        <w:t>shorten</w:t>
      </w:r>
      <w:r w:rsidR="002F6358">
        <w:rPr>
          <w:color w:val="000000"/>
        </w:rPr>
        <w:t>ing</w:t>
      </w:r>
      <w:r w:rsidR="00574876">
        <w:rPr>
          <w:color w:val="000000"/>
        </w:rPr>
        <w:t xml:space="preserve"> </w:t>
      </w:r>
      <w:r w:rsidR="00487C7A">
        <w:rPr>
          <w:color w:val="000000"/>
        </w:rPr>
        <w:t>their probation terms</w:t>
      </w:r>
      <w:r w:rsidR="00074D95">
        <w:rPr>
          <w:color w:val="000000"/>
        </w:rPr>
        <w:t xml:space="preserve"> regardless of when those terms were established</w:t>
      </w:r>
      <w:r w:rsidR="00487C7A">
        <w:rPr>
          <w:color w:val="000000"/>
        </w:rPr>
        <w:t>.  But</w:t>
      </w:r>
      <w:r w:rsidR="009D72C8">
        <w:rPr>
          <w:color w:val="000000"/>
        </w:rPr>
        <w:t xml:space="preserve"> nothing in </w:t>
      </w:r>
      <w:r w:rsidR="009D72C8" w:rsidRPr="00574876">
        <w:rPr>
          <w:i/>
          <w:iCs/>
          <w:color w:val="000000"/>
        </w:rPr>
        <w:t>Lara</w:t>
      </w:r>
      <w:r w:rsidR="009D72C8">
        <w:rPr>
          <w:color w:val="000000"/>
        </w:rPr>
        <w:t xml:space="preserve"> or </w:t>
      </w:r>
      <w:r w:rsidR="009D72C8" w:rsidRPr="00574876">
        <w:rPr>
          <w:i/>
          <w:iCs/>
          <w:color w:val="000000"/>
        </w:rPr>
        <w:t>Frahs</w:t>
      </w:r>
      <w:r w:rsidR="009D72C8">
        <w:rPr>
          <w:color w:val="000000"/>
        </w:rPr>
        <w:t xml:space="preserve"> supports </w:t>
      </w:r>
      <w:r w:rsidR="00F474BC">
        <w:rPr>
          <w:color w:val="000000"/>
        </w:rPr>
        <w:t xml:space="preserve">defendant’s </w:t>
      </w:r>
      <w:r w:rsidR="00A01BF7">
        <w:rPr>
          <w:color w:val="000000"/>
        </w:rPr>
        <w:t xml:space="preserve">interpretation of </w:t>
      </w:r>
      <w:r w:rsidR="0060790C">
        <w:t xml:space="preserve">Assembly Bill </w:t>
      </w:r>
      <w:r w:rsidR="00A01BF7">
        <w:rPr>
          <w:color w:val="000000"/>
        </w:rPr>
        <w:t xml:space="preserve">1950 as benefiting </w:t>
      </w:r>
      <w:r w:rsidR="009D72C8">
        <w:rPr>
          <w:color w:val="000000"/>
        </w:rPr>
        <w:t>persons</w:t>
      </w:r>
      <w:r w:rsidR="00074D95">
        <w:rPr>
          <w:color w:val="000000"/>
        </w:rPr>
        <w:t xml:space="preserve"> who are</w:t>
      </w:r>
      <w:r w:rsidR="00621025">
        <w:rPr>
          <w:color w:val="000000"/>
        </w:rPr>
        <w:t xml:space="preserve"> no longer on probation</w:t>
      </w:r>
      <w:r w:rsidR="00074D95">
        <w:rPr>
          <w:color w:val="000000"/>
        </w:rPr>
        <w:t xml:space="preserve"> </w:t>
      </w:r>
      <w:r w:rsidR="002F1C7A">
        <w:rPr>
          <w:color w:val="000000"/>
        </w:rPr>
        <w:t>but</w:t>
      </w:r>
      <w:r w:rsidR="00074D95">
        <w:rPr>
          <w:color w:val="000000"/>
        </w:rPr>
        <w:t xml:space="preserve"> are</w:t>
      </w:r>
      <w:r w:rsidR="00786DC5">
        <w:rPr>
          <w:color w:val="000000"/>
        </w:rPr>
        <w:t xml:space="preserve"> serving </w:t>
      </w:r>
      <w:r w:rsidR="002F1C7A">
        <w:rPr>
          <w:color w:val="000000"/>
        </w:rPr>
        <w:t>their executed</w:t>
      </w:r>
      <w:r w:rsidR="00786DC5">
        <w:rPr>
          <w:color w:val="000000"/>
        </w:rPr>
        <w:t xml:space="preserve"> sentence</w:t>
      </w:r>
      <w:r w:rsidR="002F1C7A">
        <w:rPr>
          <w:color w:val="000000"/>
        </w:rPr>
        <w:t>s</w:t>
      </w:r>
      <w:r w:rsidR="00E62F90">
        <w:rPr>
          <w:color w:val="000000"/>
        </w:rPr>
        <w:t>.</w:t>
      </w:r>
      <w:r w:rsidR="00BE0A97">
        <w:rPr>
          <w:color w:val="000000"/>
        </w:rPr>
        <w:t xml:space="preserve">  </w:t>
      </w:r>
      <w:r w:rsidR="00574876">
        <w:rPr>
          <w:color w:val="000000"/>
        </w:rPr>
        <w:t>T</w:t>
      </w:r>
      <w:r w:rsidR="00407C63">
        <w:rPr>
          <w:color w:val="000000"/>
        </w:rPr>
        <w:t>he</w:t>
      </w:r>
      <w:r w:rsidR="00977558">
        <w:rPr>
          <w:color w:val="000000"/>
        </w:rPr>
        <w:t xml:space="preserve">re is no indication that </w:t>
      </w:r>
      <w:r w:rsidR="0060790C">
        <w:t xml:space="preserve">Assembly Bill </w:t>
      </w:r>
      <w:r w:rsidR="00977558">
        <w:rPr>
          <w:color w:val="000000"/>
        </w:rPr>
        <w:t>1950</w:t>
      </w:r>
      <w:r>
        <w:rPr>
          <w:color w:val="000000"/>
        </w:rPr>
        <w:t xml:space="preserve"> </w:t>
      </w:r>
      <w:r w:rsidR="000B10B2">
        <w:rPr>
          <w:color w:val="000000"/>
        </w:rPr>
        <w:t>wa</w:t>
      </w:r>
      <w:r>
        <w:rPr>
          <w:color w:val="000000"/>
        </w:rPr>
        <w:t>s intended to</w:t>
      </w:r>
      <w:r w:rsidR="00470459">
        <w:rPr>
          <w:color w:val="000000"/>
        </w:rPr>
        <w:t xml:space="preserve"> </w:t>
      </w:r>
      <w:r w:rsidR="00134122">
        <w:rPr>
          <w:color w:val="000000"/>
        </w:rPr>
        <w:t xml:space="preserve">extinguish a defendant’s accountability for probation violations, or to otherwise </w:t>
      </w:r>
      <w:r w:rsidR="00FB77FA">
        <w:rPr>
          <w:color w:val="000000"/>
        </w:rPr>
        <w:t xml:space="preserve">invalidate </w:t>
      </w:r>
      <w:r w:rsidR="00134122">
        <w:rPr>
          <w:color w:val="000000"/>
        </w:rPr>
        <w:t>revocation and termination orders predating January</w:t>
      </w:r>
      <w:r w:rsidR="000B10B2">
        <w:rPr>
          <w:color w:val="000000"/>
        </w:rPr>
        <w:t> </w:t>
      </w:r>
      <w:r w:rsidR="00134122">
        <w:rPr>
          <w:color w:val="000000"/>
        </w:rPr>
        <w:t>1, 2021</w:t>
      </w:r>
      <w:r w:rsidR="00D07AE2">
        <w:rPr>
          <w:color w:val="000000"/>
        </w:rPr>
        <w:t>.  Moreover</w:t>
      </w:r>
      <w:r>
        <w:rPr>
          <w:color w:val="000000"/>
        </w:rPr>
        <w:t xml:space="preserve">, </w:t>
      </w:r>
      <w:r w:rsidR="00B03556">
        <w:rPr>
          <w:color w:val="000000"/>
        </w:rPr>
        <w:t xml:space="preserve">we note that probation violations sometimes involve criminal conduct, and that </w:t>
      </w:r>
      <w:r w:rsidR="0060790C">
        <w:t xml:space="preserve">Assembly Bill </w:t>
      </w:r>
      <w:r w:rsidR="00B03556">
        <w:rPr>
          <w:color w:val="000000"/>
        </w:rPr>
        <w:t xml:space="preserve">1950 evinced no intent to </w:t>
      </w:r>
      <w:r w:rsidR="003A133E">
        <w:rPr>
          <w:color w:val="000000"/>
        </w:rPr>
        <w:t>excuse</w:t>
      </w:r>
      <w:r w:rsidR="00B03556">
        <w:rPr>
          <w:color w:val="000000"/>
        </w:rPr>
        <w:t xml:space="preserve"> conduct </w:t>
      </w:r>
      <w:r w:rsidR="003A133E">
        <w:rPr>
          <w:color w:val="000000"/>
        </w:rPr>
        <w:t xml:space="preserve">that </w:t>
      </w:r>
      <w:r w:rsidR="00B03556">
        <w:rPr>
          <w:color w:val="000000"/>
        </w:rPr>
        <w:t xml:space="preserve">was addressed as a violation of probation rather than </w:t>
      </w:r>
      <w:r w:rsidR="003A133E">
        <w:rPr>
          <w:color w:val="000000"/>
        </w:rPr>
        <w:t xml:space="preserve">prosecuted </w:t>
      </w:r>
      <w:r w:rsidR="00B03556">
        <w:rPr>
          <w:color w:val="000000"/>
        </w:rPr>
        <w:t xml:space="preserve">as a new criminal charge.  Finally, and ultimately, </w:t>
      </w:r>
      <w:r w:rsidR="0060790C">
        <w:t xml:space="preserve">Assembly Bill </w:t>
      </w:r>
      <w:r>
        <w:rPr>
          <w:color w:val="000000"/>
        </w:rPr>
        <w:t>1950’s</w:t>
      </w:r>
      <w:r w:rsidR="00D07AE2">
        <w:rPr>
          <w:color w:val="000000"/>
        </w:rPr>
        <w:t xml:space="preserve"> </w:t>
      </w:r>
      <w:r w:rsidR="00767211">
        <w:rPr>
          <w:color w:val="000000"/>
        </w:rPr>
        <w:t xml:space="preserve">basic </w:t>
      </w:r>
      <w:r w:rsidR="00F84B81">
        <w:rPr>
          <w:color w:val="000000"/>
        </w:rPr>
        <w:t>aim</w:t>
      </w:r>
      <w:r w:rsidR="0062091C">
        <w:rPr>
          <w:color w:val="000000"/>
        </w:rPr>
        <w:t>s</w:t>
      </w:r>
      <w:r w:rsidR="00F84B81">
        <w:rPr>
          <w:color w:val="000000"/>
        </w:rPr>
        <w:t xml:space="preserve"> to incentivize compliance</w:t>
      </w:r>
      <w:r w:rsidR="0062091C">
        <w:rPr>
          <w:color w:val="000000"/>
        </w:rPr>
        <w:t xml:space="preserve"> and </w:t>
      </w:r>
      <w:r w:rsidR="000B10B2">
        <w:rPr>
          <w:color w:val="000000"/>
        </w:rPr>
        <w:t>allow for</w:t>
      </w:r>
      <w:r w:rsidR="0062091C">
        <w:rPr>
          <w:color w:val="000000"/>
        </w:rPr>
        <w:t xml:space="preserve"> increased </w:t>
      </w:r>
      <w:r w:rsidR="00977558">
        <w:rPr>
          <w:color w:val="000000"/>
        </w:rPr>
        <w:t xml:space="preserve">supervision and </w:t>
      </w:r>
      <w:r w:rsidR="0062091C">
        <w:rPr>
          <w:color w:val="000000"/>
        </w:rPr>
        <w:t>services</w:t>
      </w:r>
      <w:r w:rsidR="00F84B81">
        <w:rPr>
          <w:color w:val="000000"/>
        </w:rPr>
        <w:t xml:space="preserve"> for offenders working toward rehabilitation</w:t>
      </w:r>
      <w:r w:rsidR="00D07AE2">
        <w:rPr>
          <w:color w:val="000000"/>
        </w:rPr>
        <w:t xml:space="preserve"> are </w:t>
      </w:r>
      <w:r w:rsidR="00977558">
        <w:rPr>
          <w:color w:val="000000"/>
        </w:rPr>
        <w:t>inconsequential for</w:t>
      </w:r>
      <w:r w:rsidR="00D07AE2">
        <w:rPr>
          <w:color w:val="000000"/>
        </w:rPr>
        <w:t xml:space="preserve"> former probationers like defendant</w:t>
      </w:r>
      <w:r w:rsidR="006C3932">
        <w:rPr>
          <w:color w:val="000000"/>
        </w:rPr>
        <w:t>.</w:t>
      </w:r>
      <w:r w:rsidR="0001029F">
        <w:rPr>
          <w:color w:val="000000"/>
        </w:rPr>
        <w:t xml:space="preserve">  </w:t>
      </w:r>
      <w:r>
        <w:rPr>
          <w:color w:val="000000"/>
        </w:rPr>
        <w:t>Accordingly</w:t>
      </w:r>
      <w:r w:rsidR="00977558">
        <w:rPr>
          <w:color w:val="000000"/>
        </w:rPr>
        <w:t>, w</w:t>
      </w:r>
      <w:r w:rsidR="00A117A4">
        <w:rPr>
          <w:color w:val="000000"/>
        </w:rPr>
        <w:t xml:space="preserve">e are not persuaded that </w:t>
      </w:r>
      <w:r w:rsidR="006C3932" w:rsidRPr="00592A20">
        <w:rPr>
          <w:i/>
          <w:iCs/>
          <w:color w:val="000000"/>
        </w:rPr>
        <w:t xml:space="preserve">Lara </w:t>
      </w:r>
      <w:r w:rsidR="006C3932">
        <w:rPr>
          <w:color w:val="000000"/>
        </w:rPr>
        <w:t xml:space="preserve">and </w:t>
      </w:r>
      <w:r w:rsidR="006C3932" w:rsidRPr="00592A20">
        <w:rPr>
          <w:i/>
          <w:iCs/>
          <w:color w:val="000000"/>
        </w:rPr>
        <w:t>Frahs</w:t>
      </w:r>
      <w:r w:rsidR="006C3932">
        <w:rPr>
          <w:color w:val="000000"/>
        </w:rPr>
        <w:t xml:space="preserve"> </w:t>
      </w:r>
      <w:r w:rsidR="00A117A4">
        <w:rPr>
          <w:color w:val="000000"/>
        </w:rPr>
        <w:t xml:space="preserve">support the </w:t>
      </w:r>
      <w:r w:rsidR="000C4526">
        <w:rPr>
          <w:color w:val="000000"/>
        </w:rPr>
        <w:t>over</w:t>
      </w:r>
      <w:r w:rsidR="00C16687">
        <w:rPr>
          <w:color w:val="000000"/>
        </w:rPr>
        <w:t>l</w:t>
      </w:r>
      <w:r w:rsidR="00BE0016">
        <w:rPr>
          <w:color w:val="000000"/>
        </w:rPr>
        <w:t xml:space="preserve">y </w:t>
      </w:r>
      <w:r w:rsidR="00A117A4">
        <w:rPr>
          <w:color w:val="000000"/>
        </w:rPr>
        <w:t xml:space="preserve">broad retroactive effect </w:t>
      </w:r>
      <w:r w:rsidR="00D35151">
        <w:rPr>
          <w:color w:val="000000"/>
        </w:rPr>
        <w:t xml:space="preserve">that </w:t>
      </w:r>
      <w:r w:rsidR="006C3932">
        <w:rPr>
          <w:color w:val="000000"/>
        </w:rPr>
        <w:t xml:space="preserve">defendant </w:t>
      </w:r>
      <w:r w:rsidR="00A117A4">
        <w:rPr>
          <w:color w:val="000000"/>
        </w:rPr>
        <w:t>urges.</w:t>
      </w:r>
    </w:p>
    <w:p w14:paraId="4C6B5BE9" w14:textId="3D693F2C" w:rsidR="00886EF1" w:rsidRDefault="00C36B4B" w:rsidP="00ED3E79">
      <w:pPr>
        <w:spacing w:line="360" w:lineRule="auto"/>
        <w:rPr>
          <w:color w:val="000000"/>
        </w:rPr>
      </w:pPr>
      <w:r>
        <w:rPr>
          <w:color w:val="000000"/>
        </w:rPr>
        <w:tab/>
      </w:r>
      <w:r w:rsidR="00856C63">
        <w:rPr>
          <w:color w:val="000000"/>
        </w:rPr>
        <w:t>D</w:t>
      </w:r>
      <w:r w:rsidR="009A20CB">
        <w:rPr>
          <w:color w:val="000000"/>
        </w:rPr>
        <w:t xml:space="preserve">efendant </w:t>
      </w:r>
      <w:r w:rsidR="00856C63">
        <w:rPr>
          <w:color w:val="000000"/>
        </w:rPr>
        <w:t xml:space="preserve">additionally </w:t>
      </w:r>
      <w:r w:rsidR="009A20CB">
        <w:rPr>
          <w:color w:val="000000"/>
        </w:rPr>
        <w:t>relies on</w:t>
      </w:r>
      <w:r w:rsidR="00886EF1">
        <w:rPr>
          <w:color w:val="000000"/>
        </w:rPr>
        <w:t xml:space="preserve"> </w:t>
      </w:r>
      <w:r w:rsidR="00886EF1" w:rsidRPr="00E17725">
        <w:rPr>
          <w:i/>
          <w:iCs/>
          <w:color w:val="000000"/>
        </w:rPr>
        <w:t>People v.</w:t>
      </w:r>
      <w:r w:rsidR="00886EF1" w:rsidRPr="00E17725">
        <w:rPr>
          <w:color w:val="000000"/>
        </w:rPr>
        <w:t xml:space="preserve"> </w:t>
      </w:r>
      <w:r w:rsidR="00886EF1" w:rsidRPr="00E17725">
        <w:rPr>
          <w:i/>
          <w:iCs/>
          <w:color w:val="000000"/>
        </w:rPr>
        <w:t>Sims</w:t>
      </w:r>
      <w:r w:rsidR="00886EF1" w:rsidRPr="00E17725">
        <w:rPr>
          <w:color w:val="000000"/>
        </w:rPr>
        <w:t xml:space="preserve">, </w:t>
      </w:r>
      <w:r w:rsidR="00886EF1" w:rsidRPr="00E17725">
        <w:rPr>
          <w:i/>
          <w:iCs/>
          <w:color w:val="000000"/>
        </w:rPr>
        <w:t>supra</w:t>
      </w:r>
      <w:r w:rsidR="00886EF1" w:rsidRPr="00E17725">
        <w:rPr>
          <w:color w:val="000000"/>
        </w:rPr>
        <w:t>, 59 Cal.App.5th 943</w:t>
      </w:r>
      <w:r w:rsidR="00E60CD5">
        <w:rPr>
          <w:color w:val="000000"/>
        </w:rPr>
        <w:t>,</w:t>
      </w:r>
      <w:r w:rsidR="00886EF1" w:rsidRPr="00E17725">
        <w:rPr>
          <w:color w:val="000000"/>
        </w:rPr>
        <w:t xml:space="preserve"> for the proposition that </w:t>
      </w:r>
      <w:r w:rsidR="0060790C">
        <w:t xml:space="preserve">Assembly Bill </w:t>
      </w:r>
      <w:r w:rsidR="00886EF1" w:rsidRPr="00E17725">
        <w:rPr>
          <w:color w:val="000000"/>
        </w:rPr>
        <w:t>1950 applies retroactively to non-final cases</w:t>
      </w:r>
      <w:r w:rsidR="00856C63">
        <w:rPr>
          <w:color w:val="000000"/>
        </w:rPr>
        <w:t xml:space="preserve">. </w:t>
      </w:r>
      <w:r w:rsidR="00886EF1" w:rsidRPr="00E17725">
        <w:rPr>
          <w:color w:val="000000"/>
        </w:rPr>
        <w:t xml:space="preserve"> </w:t>
      </w:r>
      <w:r w:rsidR="00404992">
        <w:rPr>
          <w:color w:val="000000"/>
        </w:rPr>
        <w:t>But s</w:t>
      </w:r>
      <w:r w:rsidR="002068F4">
        <w:rPr>
          <w:color w:val="000000"/>
        </w:rPr>
        <w:t xml:space="preserve">ignificantly, the defendant in </w:t>
      </w:r>
      <w:r w:rsidR="002068F4" w:rsidRPr="00E17725">
        <w:rPr>
          <w:i/>
          <w:iCs/>
          <w:color w:val="000000"/>
        </w:rPr>
        <w:t>Sims</w:t>
      </w:r>
      <w:r w:rsidR="002068F4" w:rsidRPr="00E17725">
        <w:rPr>
          <w:color w:val="000000"/>
        </w:rPr>
        <w:t xml:space="preserve"> was </w:t>
      </w:r>
      <w:r w:rsidR="00F341B3">
        <w:rPr>
          <w:color w:val="000000"/>
        </w:rPr>
        <w:t xml:space="preserve">on </w:t>
      </w:r>
      <w:r w:rsidR="002068F4">
        <w:rPr>
          <w:color w:val="000000"/>
        </w:rPr>
        <w:t>active</w:t>
      </w:r>
      <w:r w:rsidR="002068F4" w:rsidRPr="00E17725">
        <w:rPr>
          <w:color w:val="000000"/>
        </w:rPr>
        <w:t xml:space="preserve"> probation </w:t>
      </w:r>
      <w:r w:rsidR="002068F4" w:rsidRPr="00E17725">
        <w:rPr>
          <w:color w:val="000000"/>
        </w:rPr>
        <w:lastRenderedPageBreak/>
        <w:t>at the time of his appeal</w:t>
      </w:r>
      <w:r w:rsidR="002068F4">
        <w:rPr>
          <w:color w:val="000000"/>
        </w:rPr>
        <w:t>.  There was no evidence of a probation violation</w:t>
      </w:r>
      <w:r w:rsidR="00F341B3">
        <w:rPr>
          <w:color w:val="000000"/>
        </w:rPr>
        <w:t>,</w:t>
      </w:r>
      <w:r w:rsidR="002068F4">
        <w:rPr>
          <w:color w:val="000000"/>
        </w:rPr>
        <w:t xml:space="preserve"> and the trial court had neither revoked nor terminated his probation by the time </w:t>
      </w:r>
      <w:r w:rsidR="0060790C">
        <w:t xml:space="preserve">Assembly Bill </w:t>
      </w:r>
      <w:r w:rsidR="002068F4">
        <w:rPr>
          <w:color w:val="000000"/>
        </w:rPr>
        <w:t>1950 became effective</w:t>
      </w:r>
      <w:r w:rsidR="002068F4" w:rsidRPr="00E17725">
        <w:rPr>
          <w:color w:val="000000"/>
        </w:rPr>
        <w:t>.  (</w:t>
      </w:r>
      <w:r w:rsidR="002068F4" w:rsidRPr="00E17725">
        <w:rPr>
          <w:i/>
          <w:iCs/>
          <w:color w:val="000000"/>
        </w:rPr>
        <w:t>Sims</w:t>
      </w:r>
      <w:r w:rsidR="002068F4" w:rsidRPr="00E17725">
        <w:rPr>
          <w:color w:val="000000"/>
        </w:rPr>
        <w:t>, at p</w:t>
      </w:r>
      <w:r w:rsidR="002068F4">
        <w:rPr>
          <w:color w:val="000000"/>
        </w:rPr>
        <w:t xml:space="preserve">p. 947, 949.)  </w:t>
      </w:r>
      <w:r w:rsidR="00404992">
        <w:rPr>
          <w:color w:val="000000"/>
        </w:rPr>
        <w:t>Thus, t</w:t>
      </w:r>
      <w:r w:rsidR="002068F4">
        <w:rPr>
          <w:color w:val="000000"/>
        </w:rPr>
        <w:t xml:space="preserve">he factual context of </w:t>
      </w:r>
      <w:r w:rsidR="00886EF1" w:rsidRPr="00E17725">
        <w:rPr>
          <w:i/>
          <w:iCs/>
          <w:color w:val="000000"/>
        </w:rPr>
        <w:t>Sims</w:t>
      </w:r>
      <w:r w:rsidR="00886EF1" w:rsidRPr="00E17725">
        <w:rPr>
          <w:color w:val="000000"/>
        </w:rPr>
        <w:t xml:space="preserve"> </w:t>
      </w:r>
      <w:r w:rsidR="00E16FE3">
        <w:rPr>
          <w:color w:val="000000"/>
        </w:rPr>
        <w:t xml:space="preserve">clearly </w:t>
      </w:r>
      <w:r w:rsidR="002068F4">
        <w:rPr>
          <w:color w:val="000000"/>
        </w:rPr>
        <w:t xml:space="preserve">lends no support </w:t>
      </w:r>
      <w:r w:rsidR="00E16FE3">
        <w:rPr>
          <w:color w:val="000000"/>
        </w:rPr>
        <w:t>to</w:t>
      </w:r>
      <w:r w:rsidR="00886EF1" w:rsidRPr="00E17725">
        <w:rPr>
          <w:color w:val="000000"/>
        </w:rPr>
        <w:t xml:space="preserve"> </w:t>
      </w:r>
      <w:r w:rsidR="00645355">
        <w:rPr>
          <w:color w:val="000000"/>
        </w:rPr>
        <w:t>defendant’s</w:t>
      </w:r>
      <w:r w:rsidR="009A20CB">
        <w:rPr>
          <w:color w:val="000000"/>
        </w:rPr>
        <w:t xml:space="preserve"> </w:t>
      </w:r>
      <w:r w:rsidR="005B1E8D">
        <w:rPr>
          <w:color w:val="000000"/>
        </w:rPr>
        <w:t>claim</w:t>
      </w:r>
      <w:r w:rsidR="009A20CB">
        <w:rPr>
          <w:color w:val="000000"/>
        </w:rPr>
        <w:t xml:space="preserve"> </w:t>
      </w:r>
      <w:r w:rsidR="002068F4">
        <w:rPr>
          <w:color w:val="000000"/>
        </w:rPr>
        <w:t>that</w:t>
      </w:r>
      <w:r w:rsidR="009A20CB">
        <w:rPr>
          <w:color w:val="000000"/>
        </w:rPr>
        <w:t xml:space="preserve"> </w:t>
      </w:r>
      <w:r w:rsidR="0060790C">
        <w:t xml:space="preserve">Assembly Bill </w:t>
      </w:r>
      <w:r w:rsidR="009A20CB">
        <w:rPr>
          <w:color w:val="000000"/>
        </w:rPr>
        <w:t xml:space="preserve">1950 </w:t>
      </w:r>
      <w:r w:rsidR="005B1E8D">
        <w:rPr>
          <w:color w:val="000000"/>
        </w:rPr>
        <w:t>applies</w:t>
      </w:r>
      <w:r w:rsidR="009A20CB">
        <w:rPr>
          <w:color w:val="000000"/>
        </w:rPr>
        <w:t xml:space="preserve"> retroactively to</w:t>
      </w:r>
      <w:r w:rsidR="00083513">
        <w:rPr>
          <w:color w:val="000000"/>
        </w:rPr>
        <w:t xml:space="preserve"> </w:t>
      </w:r>
      <w:r w:rsidR="005B1E8D">
        <w:rPr>
          <w:color w:val="000000"/>
        </w:rPr>
        <w:t>invalidate the revocation and termination of his probation</w:t>
      </w:r>
      <w:r w:rsidR="000B10B2">
        <w:rPr>
          <w:color w:val="000000"/>
        </w:rPr>
        <w:t xml:space="preserve"> and the resulting execution of his sentence</w:t>
      </w:r>
      <w:r w:rsidR="00C307C3">
        <w:rPr>
          <w:color w:val="000000"/>
        </w:rPr>
        <w:t>.</w:t>
      </w:r>
    </w:p>
    <w:p w14:paraId="0574682A" w14:textId="16053AEE" w:rsidR="00921C9E" w:rsidRDefault="00886EF1" w:rsidP="00ED3E79">
      <w:pPr>
        <w:spacing w:line="360" w:lineRule="auto"/>
        <w:rPr>
          <w:color w:val="000000"/>
        </w:rPr>
      </w:pPr>
      <w:r>
        <w:rPr>
          <w:color w:val="000000"/>
        </w:rPr>
        <w:tab/>
      </w:r>
      <w:r w:rsidR="00821DF0">
        <w:rPr>
          <w:color w:val="000000"/>
        </w:rPr>
        <w:t xml:space="preserve">In sum, we </w:t>
      </w:r>
      <w:r w:rsidR="00434F1F">
        <w:rPr>
          <w:color w:val="000000"/>
        </w:rPr>
        <w:t>conclude</w:t>
      </w:r>
      <w:r w:rsidR="00821DF0">
        <w:rPr>
          <w:color w:val="000000"/>
        </w:rPr>
        <w:t xml:space="preserve"> </w:t>
      </w:r>
      <w:r w:rsidR="00404992">
        <w:rPr>
          <w:color w:val="000000"/>
        </w:rPr>
        <w:t xml:space="preserve">the passage of </w:t>
      </w:r>
      <w:r w:rsidR="0060790C">
        <w:t xml:space="preserve">Assembly Bill </w:t>
      </w:r>
      <w:r w:rsidR="00404992">
        <w:rPr>
          <w:color w:val="000000"/>
        </w:rPr>
        <w:t xml:space="preserve">1950 </w:t>
      </w:r>
      <w:r w:rsidR="00434F1F">
        <w:rPr>
          <w:color w:val="000000"/>
        </w:rPr>
        <w:t xml:space="preserve">did not </w:t>
      </w:r>
      <w:r w:rsidR="00F270C7">
        <w:rPr>
          <w:color w:val="000000"/>
        </w:rPr>
        <w:t xml:space="preserve">invalidate </w:t>
      </w:r>
      <w:r w:rsidR="00821DF0">
        <w:rPr>
          <w:color w:val="000000"/>
        </w:rPr>
        <w:t>the trial court</w:t>
      </w:r>
      <w:r w:rsidR="00F270C7">
        <w:rPr>
          <w:color w:val="000000"/>
        </w:rPr>
        <w:t xml:space="preserve">’s </w:t>
      </w:r>
      <w:r w:rsidR="00EE2330">
        <w:rPr>
          <w:color w:val="000000"/>
        </w:rPr>
        <w:t>orders revoking and</w:t>
      </w:r>
      <w:r w:rsidR="00F270C7">
        <w:rPr>
          <w:color w:val="000000"/>
        </w:rPr>
        <w:t xml:space="preserve"> terminating </w:t>
      </w:r>
      <w:r w:rsidR="00BE1943">
        <w:rPr>
          <w:color w:val="000000"/>
        </w:rPr>
        <w:t>defendant’s</w:t>
      </w:r>
      <w:r w:rsidR="00F270C7">
        <w:rPr>
          <w:color w:val="000000"/>
        </w:rPr>
        <w:t xml:space="preserve"> probation and executing</w:t>
      </w:r>
      <w:r w:rsidR="00404992">
        <w:rPr>
          <w:color w:val="000000"/>
        </w:rPr>
        <w:t xml:space="preserve"> the previously imposed 12-year sentence</w:t>
      </w:r>
      <w:r w:rsidR="00C36B4B">
        <w:rPr>
          <w:color w:val="000000"/>
        </w:rPr>
        <w:t>.</w:t>
      </w:r>
      <w:r w:rsidR="003A367B">
        <w:rPr>
          <w:rStyle w:val="FootnoteReference"/>
          <w:color w:val="000000"/>
        </w:rPr>
        <w:footnoteReference w:id="4"/>
      </w:r>
    </w:p>
    <w:p w14:paraId="6E91726B" w14:textId="1CAC9D0F" w:rsidR="005944C6" w:rsidRPr="0015294D" w:rsidRDefault="005C6C81" w:rsidP="007034DA">
      <w:pPr>
        <w:keepNext/>
        <w:spacing w:line="360" w:lineRule="auto"/>
        <w:rPr>
          <w:b/>
          <w:bCs/>
          <w:color w:val="000000"/>
        </w:rPr>
      </w:pPr>
      <w:r w:rsidRPr="0015294D">
        <w:rPr>
          <w:b/>
          <w:bCs/>
          <w:color w:val="000000"/>
        </w:rPr>
        <w:tab/>
      </w:r>
      <w:r w:rsidR="008F080D" w:rsidRPr="0015294D">
        <w:rPr>
          <w:b/>
          <w:bCs/>
          <w:color w:val="000000"/>
        </w:rPr>
        <w:t xml:space="preserve">B.  </w:t>
      </w:r>
      <w:r w:rsidR="0015294D" w:rsidRPr="0015294D">
        <w:rPr>
          <w:b/>
          <w:bCs/>
          <w:color w:val="000000"/>
        </w:rPr>
        <w:t>Prior Prison Term Enhancements</w:t>
      </w:r>
    </w:p>
    <w:p w14:paraId="0984C644" w14:textId="45A0E0DE" w:rsidR="00F407E9" w:rsidRDefault="0015294D" w:rsidP="00082B40">
      <w:pPr>
        <w:spacing w:line="360" w:lineRule="auto"/>
        <w:rPr>
          <w:color w:val="000000"/>
        </w:rPr>
      </w:pPr>
      <w:r>
        <w:rPr>
          <w:color w:val="000000"/>
        </w:rPr>
        <w:tab/>
        <w:t xml:space="preserve">Next, </w:t>
      </w:r>
      <w:r w:rsidR="003851EF" w:rsidRPr="003851EF">
        <w:rPr>
          <w:color w:val="000000"/>
        </w:rPr>
        <w:t xml:space="preserve">defendant argues </w:t>
      </w:r>
      <w:r w:rsidR="00F407E9">
        <w:rPr>
          <w:color w:val="000000"/>
        </w:rPr>
        <w:t xml:space="preserve">the </w:t>
      </w:r>
      <w:r w:rsidR="003851EF" w:rsidRPr="003851EF">
        <w:rPr>
          <w:color w:val="000000"/>
        </w:rPr>
        <w:t>enhancement</w:t>
      </w:r>
      <w:r w:rsidR="003851EF">
        <w:rPr>
          <w:color w:val="000000"/>
        </w:rPr>
        <w:t>s</w:t>
      </w:r>
      <w:r w:rsidR="003851EF" w:rsidRPr="003851EF">
        <w:rPr>
          <w:color w:val="000000"/>
        </w:rPr>
        <w:t xml:space="preserve"> imposed on him under </w:t>
      </w:r>
      <w:r w:rsidR="003851EF" w:rsidRPr="00787826">
        <w:rPr>
          <w:color w:val="000000"/>
        </w:rPr>
        <w:t>section</w:t>
      </w:r>
      <w:r w:rsidR="0063415A" w:rsidRPr="00787826">
        <w:rPr>
          <w:color w:val="000000"/>
        </w:rPr>
        <w:t> </w:t>
      </w:r>
      <w:r w:rsidR="003851EF" w:rsidRPr="00787826">
        <w:rPr>
          <w:color w:val="000000"/>
        </w:rPr>
        <w:t>667.5, subdivision</w:t>
      </w:r>
      <w:r w:rsidR="0063415A" w:rsidRPr="00787826">
        <w:rPr>
          <w:color w:val="000000"/>
        </w:rPr>
        <w:t> </w:t>
      </w:r>
      <w:r w:rsidR="003851EF" w:rsidRPr="00787826">
        <w:rPr>
          <w:color w:val="000000"/>
        </w:rPr>
        <w:t>(b)</w:t>
      </w:r>
      <w:r w:rsidR="00237E65" w:rsidRPr="00787826">
        <w:rPr>
          <w:color w:val="000000"/>
        </w:rPr>
        <w:t xml:space="preserve"> (section 667.5(b))</w:t>
      </w:r>
      <w:r w:rsidR="003851EF" w:rsidRPr="00787826">
        <w:rPr>
          <w:color w:val="000000"/>
        </w:rPr>
        <w:t xml:space="preserve"> must be stricken given </w:t>
      </w:r>
      <w:r w:rsidR="00F407E9">
        <w:rPr>
          <w:color w:val="000000"/>
        </w:rPr>
        <w:t xml:space="preserve">statutory </w:t>
      </w:r>
      <w:r w:rsidR="003851EF" w:rsidRPr="00787826">
        <w:rPr>
          <w:color w:val="000000"/>
        </w:rPr>
        <w:t xml:space="preserve">amendments </w:t>
      </w:r>
      <w:r w:rsidR="00F407E9">
        <w:rPr>
          <w:color w:val="000000"/>
        </w:rPr>
        <w:t>made</w:t>
      </w:r>
      <w:r w:rsidR="003851EF" w:rsidRPr="00787826">
        <w:rPr>
          <w:color w:val="000000"/>
        </w:rPr>
        <w:t xml:space="preserve"> by Senate Bill No.</w:t>
      </w:r>
      <w:r w:rsidR="0063415A" w:rsidRPr="00787826">
        <w:rPr>
          <w:color w:val="000000"/>
        </w:rPr>
        <w:t> </w:t>
      </w:r>
      <w:r w:rsidR="003851EF" w:rsidRPr="00787826">
        <w:rPr>
          <w:color w:val="000000"/>
        </w:rPr>
        <w:t>136 (2019–2020 Reg. Sess.).</w:t>
      </w:r>
    </w:p>
    <w:p w14:paraId="3C2C64B9" w14:textId="16AB8F02" w:rsidR="00D67153" w:rsidRPr="00787826" w:rsidRDefault="00F407E9" w:rsidP="00082B40">
      <w:pPr>
        <w:spacing w:line="360" w:lineRule="auto"/>
        <w:rPr>
          <w:color w:val="000000"/>
        </w:rPr>
      </w:pPr>
      <w:r>
        <w:rPr>
          <w:color w:val="000000"/>
        </w:rPr>
        <w:tab/>
        <w:t>W</w:t>
      </w:r>
      <w:r w:rsidR="003851EF" w:rsidRPr="00787826">
        <w:rPr>
          <w:color w:val="000000"/>
        </w:rPr>
        <w:t>hen defendant was sentenced, former section</w:t>
      </w:r>
      <w:r w:rsidR="0060094B" w:rsidRPr="00787826">
        <w:rPr>
          <w:color w:val="000000"/>
        </w:rPr>
        <w:t> </w:t>
      </w:r>
      <w:r w:rsidR="003851EF" w:rsidRPr="00787826">
        <w:rPr>
          <w:color w:val="000000"/>
        </w:rPr>
        <w:t>667.5(b) generally provided for a one-year enhancement for each prior prison term (or jail term imposed under section</w:t>
      </w:r>
      <w:r w:rsidR="0060094B" w:rsidRPr="00787826">
        <w:rPr>
          <w:color w:val="000000"/>
        </w:rPr>
        <w:t> </w:t>
      </w:r>
      <w:r w:rsidR="003851EF" w:rsidRPr="00787826">
        <w:rPr>
          <w:color w:val="000000"/>
        </w:rPr>
        <w:t>1170, subdivision</w:t>
      </w:r>
      <w:r w:rsidR="0060094B" w:rsidRPr="00787826">
        <w:rPr>
          <w:color w:val="000000"/>
        </w:rPr>
        <w:t> </w:t>
      </w:r>
      <w:r w:rsidR="003851EF" w:rsidRPr="00787826">
        <w:rPr>
          <w:color w:val="000000"/>
        </w:rPr>
        <w:t>(h)) that a defendant served in the preceding five years.  But effective January 1, 2020, section</w:t>
      </w:r>
      <w:r w:rsidR="00237E65" w:rsidRPr="00787826">
        <w:rPr>
          <w:color w:val="000000"/>
        </w:rPr>
        <w:t> </w:t>
      </w:r>
      <w:r w:rsidR="003851EF" w:rsidRPr="00787826">
        <w:rPr>
          <w:color w:val="000000"/>
        </w:rPr>
        <w:t>667.5(b) was modified to permit that enhancement only when the prior prison term is for a sexually violent offense as defined in Welfare and Institutions Code section</w:t>
      </w:r>
      <w:r w:rsidR="004E66BC" w:rsidRPr="00787826">
        <w:rPr>
          <w:color w:val="000000"/>
        </w:rPr>
        <w:t> </w:t>
      </w:r>
      <w:r w:rsidR="003851EF" w:rsidRPr="00787826">
        <w:rPr>
          <w:color w:val="000000"/>
        </w:rPr>
        <w:t>6600, subdivision</w:t>
      </w:r>
      <w:r w:rsidR="004E66BC" w:rsidRPr="00787826">
        <w:rPr>
          <w:color w:val="000000"/>
        </w:rPr>
        <w:t> </w:t>
      </w:r>
      <w:r w:rsidR="003851EF" w:rsidRPr="00787826">
        <w:rPr>
          <w:color w:val="000000"/>
        </w:rPr>
        <w:t>(b).  (Stats.</w:t>
      </w:r>
      <w:r w:rsidR="007E235F" w:rsidRPr="00787826">
        <w:rPr>
          <w:color w:val="000000"/>
        </w:rPr>
        <w:t> </w:t>
      </w:r>
      <w:r w:rsidR="003851EF" w:rsidRPr="00787826">
        <w:rPr>
          <w:color w:val="000000"/>
        </w:rPr>
        <w:t>2019, ch.</w:t>
      </w:r>
      <w:r w:rsidR="007E235F" w:rsidRPr="00787826">
        <w:rPr>
          <w:color w:val="000000"/>
        </w:rPr>
        <w:t> </w:t>
      </w:r>
      <w:r w:rsidR="003851EF" w:rsidRPr="00787826">
        <w:rPr>
          <w:color w:val="000000"/>
        </w:rPr>
        <w:t>590, §</w:t>
      </w:r>
      <w:r w:rsidR="007E235F" w:rsidRPr="00787826">
        <w:rPr>
          <w:color w:val="000000"/>
        </w:rPr>
        <w:t> </w:t>
      </w:r>
      <w:r w:rsidR="003851EF" w:rsidRPr="00787826">
        <w:rPr>
          <w:color w:val="000000"/>
        </w:rPr>
        <w:t xml:space="preserve">1.)  </w:t>
      </w:r>
      <w:r w:rsidR="00366117" w:rsidRPr="00787826">
        <w:rPr>
          <w:color w:val="000000"/>
        </w:rPr>
        <w:t xml:space="preserve">The People agree </w:t>
      </w:r>
      <w:r w:rsidR="003851EF" w:rsidRPr="00787826">
        <w:rPr>
          <w:color w:val="000000"/>
        </w:rPr>
        <w:t>that defendant is entitled to the benefit of the change in the law.  We agree</w:t>
      </w:r>
      <w:r w:rsidR="00160C0C">
        <w:rPr>
          <w:color w:val="000000"/>
        </w:rPr>
        <w:t xml:space="preserve"> </w:t>
      </w:r>
      <w:r w:rsidR="00542E9D">
        <w:rPr>
          <w:color w:val="000000"/>
        </w:rPr>
        <w:t>insofar as</w:t>
      </w:r>
      <w:r w:rsidR="00160C0C">
        <w:rPr>
          <w:color w:val="000000"/>
        </w:rPr>
        <w:t xml:space="preserve"> the trial court</w:t>
      </w:r>
      <w:r w:rsidR="004728C0">
        <w:rPr>
          <w:color w:val="000000"/>
        </w:rPr>
        <w:t>’s</w:t>
      </w:r>
      <w:r w:rsidR="00160C0C">
        <w:rPr>
          <w:color w:val="000000"/>
        </w:rPr>
        <w:t xml:space="preserve"> </w:t>
      </w:r>
      <w:r w:rsidR="00EE5F94">
        <w:rPr>
          <w:color w:val="000000"/>
        </w:rPr>
        <w:t>order</w:t>
      </w:r>
      <w:r w:rsidR="00542E9D">
        <w:rPr>
          <w:color w:val="000000"/>
        </w:rPr>
        <w:t xml:space="preserve"> </w:t>
      </w:r>
      <w:r w:rsidR="004728C0">
        <w:rPr>
          <w:color w:val="000000"/>
        </w:rPr>
        <w:t xml:space="preserve">for </w:t>
      </w:r>
      <w:r w:rsidR="00542E9D">
        <w:rPr>
          <w:color w:val="000000"/>
        </w:rPr>
        <w:t xml:space="preserve">execution of the sentence </w:t>
      </w:r>
      <w:r w:rsidR="00160C0C">
        <w:rPr>
          <w:color w:val="000000"/>
        </w:rPr>
        <w:t xml:space="preserve">indicated that defendant’s sentence </w:t>
      </w:r>
      <w:r w:rsidR="005306BC">
        <w:rPr>
          <w:color w:val="000000"/>
        </w:rPr>
        <w:t>included terms for</w:t>
      </w:r>
      <w:r w:rsidR="00160C0C">
        <w:rPr>
          <w:color w:val="000000"/>
        </w:rPr>
        <w:t xml:space="preserve"> two </w:t>
      </w:r>
      <w:r w:rsidR="00160C0C" w:rsidRPr="003851EF">
        <w:rPr>
          <w:color w:val="000000"/>
        </w:rPr>
        <w:t>section</w:t>
      </w:r>
      <w:r w:rsidR="004E66BC">
        <w:rPr>
          <w:color w:val="000000"/>
        </w:rPr>
        <w:t> </w:t>
      </w:r>
      <w:r w:rsidR="00160C0C" w:rsidRPr="003851EF">
        <w:rPr>
          <w:color w:val="000000"/>
        </w:rPr>
        <w:t>667.5(b)</w:t>
      </w:r>
      <w:r w:rsidR="00160C0C">
        <w:rPr>
          <w:color w:val="000000"/>
        </w:rPr>
        <w:t xml:space="preserve"> priors</w:t>
      </w:r>
      <w:r w:rsidR="00366117">
        <w:rPr>
          <w:color w:val="000000"/>
        </w:rPr>
        <w:t>,</w:t>
      </w:r>
      <w:r w:rsidR="005306BC">
        <w:rPr>
          <w:color w:val="000000"/>
        </w:rPr>
        <w:t xml:space="preserve"> </w:t>
      </w:r>
      <w:r w:rsidR="00237E65">
        <w:rPr>
          <w:color w:val="000000"/>
        </w:rPr>
        <w:t xml:space="preserve">and </w:t>
      </w:r>
      <w:r w:rsidR="005306BC">
        <w:rPr>
          <w:color w:val="000000"/>
        </w:rPr>
        <w:t xml:space="preserve">the </w:t>
      </w:r>
      <w:r w:rsidR="00237E65">
        <w:rPr>
          <w:color w:val="000000"/>
        </w:rPr>
        <w:lastRenderedPageBreak/>
        <w:t xml:space="preserve">record </w:t>
      </w:r>
      <w:r w:rsidR="00787826">
        <w:rPr>
          <w:color w:val="000000"/>
        </w:rPr>
        <w:t>reflects</w:t>
      </w:r>
      <w:r w:rsidR="00237E65">
        <w:rPr>
          <w:color w:val="000000"/>
        </w:rPr>
        <w:t xml:space="preserve"> the </w:t>
      </w:r>
      <w:r w:rsidR="005306BC">
        <w:rPr>
          <w:color w:val="000000"/>
        </w:rPr>
        <w:t>underlying prior convictions</w:t>
      </w:r>
      <w:r w:rsidR="00082B40">
        <w:rPr>
          <w:color w:val="000000"/>
        </w:rPr>
        <w:t xml:space="preserve"> were </w:t>
      </w:r>
      <w:r w:rsidR="00DE1038" w:rsidRPr="003851EF">
        <w:rPr>
          <w:color w:val="000000"/>
        </w:rPr>
        <w:t xml:space="preserve">not </w:t>
      </w:r>
      <w:r w:rsidR="00DE1038">
        <w:rPr>
          <w:color w:val="000000"/>
        </w:rPr>
        <w:t xml:space="preserve">for </w:t>
      </w:r>
      <w:r w:rsidR="00DE1038" w:rsidRPr="00787826">
        <w:rPr>
          <w:color w:val="000000"/>
        </w:rPr>
        <w:t>any sexually violent offense as defined in Welfare and Institutions Code section</w:t>
      </w:r>
      <w:r w:rsidR="004E66BC" w:rsidRPr="00787826">
        <w:rPr>
          <w:color w:val="000000"/>
        </w:rPr>
        <w:t> </w:t>
      </w:r>
      <w:r w:rsidR="00DE1038" w:rsidRPr="00787826">
        <w:rPr>
          <w:color w:val="000000"/>
        </w:rPr>
        <w:t>6600, subdivision</w:t>
      </w:r>
      <w:r w:rsidR="004E66BC" w:rsidRPr="00787826">
        <w:rPr>
          <w:color w:val="000000"/>
        </w:rPr>
        <w:t> </w:t>
      </w:r>
      <w:r w:rsidR="00DE1038" w:rsidRPr="00787826">
        <w:rPr>
          <w:color w:val="000000"/>
        </w:rPr>
        <w:t xml:space="preserve">(b). </w:t>
      </w:r>
      <w:r w:rsidR="00914A95">
        <w:rPr>
          <w:color w:val="000000"/>
        </w:rPr>
        <w:t xml:space="preserve"> </w:t>
      </w:r>
      <w:r w:rsidR="0017478C" w:rsidRPr="00787826">
        <w:rPr>
          <w:color w:val="000000"/>
        </w:rPr>
        <w:t>As charged in</w:t>
      </w:r>
      <w:r w:rsidR="005E7255" w:rsidRPr="00787826">
        <w:rPr>
          <w:color w:val="000000"/>
        </w:rPr>
        <w:t xml:space="preserve"> the information, the section</w:t>
      </w:r>
      <w:r w:rsidR="004E66BC" w:rsidRPr="00787826">
        <w:rPr>
          <w:color w:val="000000"/>
        </w:rPr>
        <w:t> </w:t>
      </w:r>
      <w:r w:rsidR="005E7255" w:rsidRPr="00787826">
        <w:rPr>
          <w:color w:val="000000"/>
        </w:rPr>
        <w:t xml:space="preserve">667.5(b) enhancements were </w:t>
      </w:r>
      <w:r w:rsidR="00A7073F">
        <w:rPr>
          <w:color w:val="000000"/>
        </w:rPr>
        <w:t>based on</w:t>
      </w:r>
      <w:r w:rsidR="003851EF" w:rsidRPr="00787826">
        <w:rPr>
          <w:color w:val="000000"/>
        </w:rPr>
        <w:t xml:space="preserve"> </w:t>
      </w:r>
      <w:r w:rsidR="005E7255" w:rsidRPr="00787826">
        <w:rPr>
          <w:color w:val="000000"/>
        </w:rPr>
        <w:t>violations of section</w:t>
      </w:r>
      <w:r w:rsidR="00703E4E" w:rsidRPr="00787826">
        <w:rPr>
          <w:color w:val="000000"/>
        </w:rPr>
        <w:t> 460, subd</w:t>
      </w:r>
      <w:r w:rsidR="005E7255" w:rsidRPr="00787826">
        <w:rPr>
          <w:color w:val="000000"/>
        </w:rPr>
        <w:t>ivision</w:t>
      </w:r>
      <w:r w:rsidR="00703E4E" w:rsidRPr="00787826">
        <w:rPr>
          <w:color w:val="000000"/>
        </w:rPr>
        <w:t> (a)</w:t>
      </w:r>
      <w:r w:rsidR="004728C0">
        <w:rPr>
          <w:color w:val="000000"/>
        </w:rPr>
        <w:t>,</w:t>
      </w:r>
      <w:r w:rsidR="005E7255" w:rsidRPr="00787826">
        <w:rPr>
          <w:color w:val="000000"/>
        </w:rPr>
        <w:t xml:space="preserve"> and section </w:t>
      </w:r>
      <w:r w:rsidR="00D1651B" w:rsidRPr="00787826">
        <w:rPr>
          <w:color w:val="000000"/>
        </w:rPr>
        <w:t>136</w:t>
      </w:r>
      <w:r w:rsidR="005E7255" w:rsidRPr="00787826">
        <w:rPr>
          <w:color w:val="000000"/>
        </w:rPr>
        <w:t>.</w:t>
      </w:r>
      <w:r w:rsidR="00D1651B" w:rsidRPr="00787826">
        <w:rPr>
          <w:color w:val="000000"/>
        </w:rPr>
        <w:t>1</w:t>
      </w:r>
      <w:r w:rsidR="005E7255" w:rsidRPr="00787826">
        <w:rPr>
          <w:color w:val="000000"/>
        </w:rPr>
        <w:t>,</w:t>
      </w:r>
      <w:r w:rsidR="00D1651B" w:rsidRPr="00787826">
        <w:rPr>
          <w:color w:val="000000"/>
        </w:rPr>
        <w:t xml:space="preserve"> subd</w:t>
      </w:r>
      <w:r w:rsidR="005E7255" w:rsidRPr="00787826">
        <w:rPr>
          <w:color w:val="000000"/>
        </w:rPr>
        <w:t>ivision</w:t>
      </w:r>
      <w:r w:rsidR="00D1651B" w:rsidRPr="00787826">
        <w:rPr>
          <w:color w:val="000000"/>
        </w:rPr>
        <w:t> (c)(1)</w:t>
      </w:r>
      <w:r w:rsidR="00082B40" w:rsidRPr="00787826">
        <w:rPr>
          <w:color w:val="000000"/>
        </w:rPr>
        <w:t>.</w:t>
      </w:r>
    </w:p>
    <w:p w14:paraId="2CD05E81" w14:textId="4DADF7F8" w:rsidR="00387528" w:rsidRDefault="00D67153" w:rsidP="00076FAE">
      <w:pPr>
        <w:spacing w:line="360" w:lineRule="auto"/>
        <w:rPr>
          <w:color w:val="000000"/>
        </w:rPr>
      </w:pPr>
      <w:r w:rsidRPr="00787826">
        <w:rPr>
          <w:color w:val="000000"/>
        </w:rPr>
        <w:tab/>
      </w:r>
      <w:r w:rsidR="00387528">
        <w:rPr>
          <w:color w:val="000000"/>
        </w:rPr>
        <w:t>We now address</w:t>
      </w:r>
      <w:r w:rsidR="0017478C" w:rsidRPr="00787826">
        <w:rPr>
          <w:color w:val="000000"/>
        </w:rPr>
        <w:t xml:space="preserve"> defendant</w:t>
      </w:r>
      <w:r w:rsidR="00C1435B">
        <w:rPr>
          <w:color w:val="000000"/>
        </w:rPr>
        <w:t>’s</w:t>
      </w:r>
      <w:r w:rsidR="0017478C" w:rsidRPr="00787826">
        <w:rPr>
          <w:color w:val="000000"/>
        </w:rPr>
        <w:t xml:space="preserve"> </w:t>
      </w:r>
      <w:r w:rsidR="00387528">
        <w:rPr>
          <w:color w:val="000000"/>
        </w:rPr>
        <w:t>invitation to</w:t>
      </w:r>
      <w:r w:rsidR="009915BC" w:rsidRPr="00787826">
        <w:rPr>
          <w:color w:val="000000"/>
        </w:rPr>
        <w:t xml:space="preserve"> simply</w:t>
      </w:r>
      <w:r w:rsidR="0017478C" w:rsidRPr="00787826">
        <w:rPr>
          <w:color w:val="000000"/>
        </w:rPr>
        <w:t xml:space="preserve"> strike the </w:t>
      </w:r>
      <w:r w:rsidR="009915BC" w:rsidRPr="00787826">
        <w:rPr>
          <w:color w:val="000000"/>
        </w:rPr>
        <w:t>enhancements</w:t>
      </w:r>
      <w:r w:rsidR="0017478C" w:rsidRPr="00787826">
        <w:rPr>
          <w:color w:val="000000"/>
        </w:rPr>
        <w:t xml:space="preserve"> rather than remand the matter to the trial court</w:t>
      </w:r>
      <w:r w:rsidR="00EE5F94">
        <w:rPr>
          <w:color w:val="000000"/>
        </w:rPr>
        <w:t xml:space="preserve"> for resentencing</w:t>
      </w:r>
      <w:r w:rsidR="0017478C" w:rsidRPr="00787826">
        <w:rPr>
          <w:color w:val="000000"/>
        </w:rPr>
        <w:t>.</w:t>
      </w:r>
    </w:p>
    <w:p w14:paraId="1E3EACE7" w14:textId="15ADB152" w:rsidR="007A0BC6" w:rsidRDefault="00387528" w:rsidP="00076FAE">
      <w:pPr>
        <w:spacing w:line="360" w:lineRule="auto"/>
      </w:pPr>
      <w:r>
        <w:rPr>
          <w:color w:val="000000"/>
        </w:rPr>
        <w:tab/>
      </w:r>
      <w:r w:rsidR="00A7073F">
        <w:t>W</w:t>
      </w:r>
      <w:r w:rsidR="007A0BC6" w:rsidRPr="007A0BC6">
        <w:t xml:space="preserve">hen part of a sentence is stricken on </w:t>
      </w:r>
      <w:r w:rsidR="00A7073F">
        <w:t>appeal</w:t>
      </w:r>
      <w:r w:rsidR="007A0BC6" w:rsidRPr="007A0BC6">
        <w:t xml:space="preserve">, </w:t>
      </w:r>
      <w:r w:rsidR="00A7073F">
        <w:t>a remand for “ </w:t>
      </w:r>
      <w:r w:rsidR="007A0BC6">
        <w:t>‘</w:t>
      </w:r>
      <w:r w:rsidR="007A0BC6" w:rsidRPr="007A0BC6">
        <w:t>a full resentencing as to all counts is appropriate, so the trial court can exercise its sentencing discretion in light of the changed circumstances.</w:t>
      </w:r>
      <w:r w:rsidR="007A0BC6">
        <w:t xml:space="preserve">’ ” </w:t>
      </w:r>
      <w:r w:rsidR="007A0BC6" w:rsidRPr="007A0BC6">
        <w:t xml:space="preserve"> (</w:t>
      </w:r>
      <w:r w:rsidR="007A0BC6" w:rsidRPr="007A0BC6">
        <w:rPr>
          <w:i/>
          <w:iCs/>
        </w:rPr>
        <w:t>People v. Buycks</w:t>
      </w:r>
      <w:r w:rsidR="00C71F2F">
        <w:t xml:space="preserve">, </w:t>
      </w:r>
      <w:r w:rsidR="00C71F2F" w:rsidRPr="00C71F2F">
        <w:rPr>
          <w:i/>
          <w:iCs/>
        </w:rPr>
        <w:t>supra</w:t>
      </w:r>
      <w:r w:rsidR="00C71F2F">
        <w:t>,</w:t>
      </w:r>
      <w:r w:rsidR="007A0BC6" w:rsidRPr="007A0BC6">
        <w:t xml:space="preserve">  5 Cal.5th </w:t>
      </w:r>
      <w:r w:rsidR="00C71F2F">
        <w:t>at</w:t>
      </w:r>
      <w:r w:rsidR="007A0BC6" w:rsidRPr="007A0BC6">
        <w:t xml:space="preserve"> </w:t>
      </w:r>
      <w:r w:rsidR="00C71F2F">
        <w:t>p. </w:t>
      </w:r>
      <w:r w:rsidR="007A0BC6" w:rsidRPr="007A0BC6">
        <w:t xml:space="preserve">893.) </w:t>
      </w:r>
      <w:r w:rsidR="007A0BC6">
        <w:t xml:space="preserve"> </w:t>
      </w:r>
      <w:r w:rsidR="007A0BC6" w:rsidRPr="007A0BC6">
        <w:t xml:space="preserve">If, however, the trial court </w:t>
      </w:r>
      <w:r w:rsidR="007A0BC6">
        <w:t>“</w:t>
      </w:r>
      <w:r w:rsidR="007A0BC6" w:rsidRPr="007A0BC6">
        <w:t xml:space="preserve">imposed the maximum possible sentence, </w:t>
      </w:r>
      <w:r w:rsidR="00A7073F">
        <w:t xml:space="preserve">[then] </w:t>
      </w:r>
      <w:r w:rsidR="007A0BC6" w:rsidRPr="007A0BC6">
        <w:t>regardless of whether [an] enhancement was stricken, there is no need to remand the matter to the trial court to exercise its sentencing discretion anew.</w:t>
      </w:r>
      <w:r w:rsidR="007A0BC6">
        <w:t>”</w:t>
      </w:r>
      <w:r w:rsidR="007A0BC6" w:rsidRPr="007A0BC6">
        <w:t xml:space="preserve"> </w:t>
      </w:r>
      <w:r w:rsidR="007A0BC6">
        <w:t xml:space="preserve"> </w:t>
      </w:r>
      <w:r w:rsidR="007A0BC6" w:rsidRPr="007A0BC6">
        <w:t>(</w:t>
      </w:r>
      <w:r w:rsidR="007A0BC6" w:rsidRPr="007A0BC6">
        <w:rPr>
          <w:i/>
          <w:iCs/>
        </w:rPr>
        <w:t>Id.</w:t>
      </w:r>
      <w:r w:rsidR="007A0BC6" w:rsidRPr="007A0BC6">
        <w:t xml:space="preserve"> at p.</w:t>
      </w:r>
      <w:r w:rsidR="007A0BC6">
        <w:t> </w:t>
      </w:r>
      <w:r w:rsidR="007A0BC6" w:rsidRPr="007A0BC6">
        <w:t>896, fn.</w:t>
      </w:r>
      <w:r w:rsidR="007A0BC6">
        <w:t> </w:t>
      </w:r>
      <w:r w:rsidR="007A0BC6" w:rsidRPr="007A0BC6">
        <w:t>15.)</w:t>
      </w:r>
    </w:p>
    <w:p w14:paraId="5D553117" w14:textId="1EC1C0AA" w:rsidR="00805836" w:rsidRDefault="0091532D" w:rsidP="00991D5D">
      <w:pPr>
        <w:spacing w:line="360" w:lineRule="auto"/>
      </w:pPr>
      <w:r>
        <w:tab/>
      </w:r>
      <w:r w:rsidR="00387528">
        <w:t>Here</w:t>
      </w:r>
      <w:r>
        <w:t>, d</w:t>
      </w:r>
      <w:r w:rsidR="00CB34E7">
        <w:t xml:space="preserve">efendant contends </w:t>
      </w:r>
      <w:r w:rsidR="00A7073F">
        <w:t xml:space="preserve">a remand is unnecessary because </w:t>
      </w:r>
      <w:r w:rsidR="00CB34E7">
        <w:t xml:space="preserve">the </w:t>
      </w:r>
      <w:r w:rsidR="0030420A">
        <w:t xml:space="preserve">trial </w:t>
      </w:r>
      <w:r w:rsidR="00CB34E7">
        <w:t>court imposed the maximum possible sentence</w:t>
      </w:r>
      <w:r w:rsidR="00CB34E7" w:rsidRPr="00787826">
        <w:t xml:space="preserve">.  </w:t>
      </w:r>
      <w:r>
        <w:t xml:space="preserve">But </w:t>
      </w:r>
      <w:r w:rsidR="00003F50">
        <w:t xml:space="preserve">as the </w:t>
      </w:r>
      <w:r w:rsidR="00F742C0" w:rsidRPr="00787826">
        <w:t xml:space="preserve">People </w:t>
      </w:r>
      <w:r w:rsidR="00F742C0">
        <w:t>point out,</w:t>
      </w:r>
      <w:r w:rsidR="00CB34E7" w:rsidRPr="00787826">
        <w:t xml:space="preserve"> </w:t>
      </w:r>
      <w:r w:rsidR="00076FAE" w:rsidRPr="00787826">
        <w:t>“the imposition of the upper term on the burglary count did not preclude imposition of one of the five-year serious felony prior enhancements and adjustments in the terms on the burglary or the other counts (counts</w:t>
      </w:r>
      <w:r w:rsidR="00D61696" w:rsidRPr="00787826">
        <w:t> </w:t>
      </w:r>
      <w:r w:rsidR="00076FAE" w:rsidRPr="00787826">
        <w:t>4, 5, and 6, the petty theft with a prior and criminal</w:t>
      </w:r>
      <w:r w:rsidR="009915BC" w:rsidRPr="00787826">
        <w:t xml:space="preserve"> </w:t>
      </w:r>
      <w:r w:rsidR="00076FAE" w:rsidRPr="00787826">
        <w:t xml:space="preserve">threats counts) to replace the no longer applicable one-year enhancements.” </w:t>
      </w:r>
      <w:r w:rsidR="00691822" w:rsidRPr="00787826">
        <w:t xml:space="preserve"> </w:t>
      </w:r>
      <w:r w:rsidR="00387528">
        <w:t>We agree</w:t>
      </w:r>
      <w:r w:rsidR="00012825">
        <w:t xml:space="preserve">. </w:t>
      </w:r>
      <w:r w:rsidR="000412CA">
        <w:t xml:space="preserve"> </w:t>
      </w:r>
      <w:r w:rsidR="00387528">
        <w:t>The record reflects that the trial court struck</w:t>
      </w:r>
      <w:r w:rsidR="000412CA">
        <w:t xml:space="preserve"> the section 667, subdivision (a) enhancements </w:t>
      </w:r>
      <w:r w:rsidR="00387528">
        <w:t>in</w:t>
      </w:r>
      <w:r w:rsidR="000412CA">
        <w:t xml:space="preserve"> an exercise of discretion</w:t>
      </w:r>
      <w:r w:rsidR="00707F20">
        <w:t xml:space="preserve"> </w:t>
      </w:r>
      <w:r w:rsidR="005D3829">
        <w:t>to achieve justice</w:t>
      </w:r>
      <w:r w:rsidR="00395626">
        <w:t xml:space="preserve"> </w:t>
      </w:r>
      <w:r w:rsidR="005D3829">
        <w:t xml:space="preserve">given the circumstances </w:t>
      </w:r>
      <w:r w:rsidR="00387528">
        <w:t>before it</w:t>
      </w:r>
      <w:r w:rsidR="00A7073F">
        <w:t xml:space="preserve">. </w:t>
      </w:r>
      <w:r w:rsidR="00914A95">
        <w:t xml:space="preserve"> </w:t>
      </w:r>
      <w:r w:rsidR="00A7073F">
        <w:t>B</w:t>
      </w:r>
      <w:r w:rsidR="001947D6">
        <w:t>ut the court</w:t>
      </w:r>
      <w:r w:rsidR="00691822" w:rsidRPr="00787826">
        <w:t xml:space="preserve"> could have structured the sentence</w:t>
      </w:r>
      <w:r w:rsidR="00070BC9" w:rsidRPr="00787826">
        <w:t xml:space="preserve"> in a different way</w:t>
      </w:r>
      <w:r w:rsidR="00691822" w:rsidRPr="00787826">
        <w:t xml:space="preserve"> to reach</w:t>
      </w:r>
      <w:r w:rsidR="00070BC9" w:rsidRPr="00787826">
        <w:t xml:space="preserve"> a</w:t>
      </w:r>
      <w:r w:rsidR="00691822" w:rsidRPr="00787826">
        <w:t xml:space="preserve"> </w:t>
      </w:r>
      <w:r w:rsidR="00070BC9" w:rsidRPr="00787826">
        <w:t>sentence</w:t>
      </w:r>
      <w:r w:rsidR="00A7073F">
        <w:t xml:space="preserve"> of 12 years</w:t>
      </w:r>
      <w:r w:rsidR="00691822" w:rsidRPr="00787826">
        <w:t xml:space="preserve">, </w:t>
      </w:r>
      <w:r w:rsidR="002C4ACF" w:rsidRPr="00787826">
        <w:t>regardless of</w:t>
      </w:r>
      <w:r w:rsidR="00691822" w:rsidRPr="00787826">
        <w:t xml:space="preserve"> the section</w:t>
      </w:r>
      <w:r w:rsidR="005516C2" w:rsidRPr="00787826">
        <w:t> </w:t>
      </w:r>
      <w:r w:rsidR="00691822" w:rsidRPr="00787826">
        <w:t>667.5(b) enhancements.</w:t>
      </w:r>
      <w:r w:rsidR="00805836">
        <w:t xml:space="preserve">  </w:t>
      </w:r>
      <w:r w:rsidR="00805836" w:rsidRPr="00805836">
        <w:t xml:space="preserve">Indeed, as discussed, </w:t>
      </w:r>
      <w:r w:rsidR="00A7073F">
        <w:t>Judge Ayoob</w:t>
      </w:r>
      <w:r w:rsidR="00805836" w:rsidRPr="00805836">
        <w:t xml:space="preserve"> originally imposed the </w:t>
      </w:r>
      <w:r w:rsidR="006F79F3">
        <w:t xml:space="preserve">12-year </w:t>
      </w:r>
      <w:r w:rsidR="00805836" w:rsidRPr="00805836">
        <w:t xml:space="preserve">sentence in </w:t>
      </w:r>
      <w:r w:rsidR="00805836" w:rsidRPr="00805836">
        <w:lastRenderedPageBreak/>
        <w:t>2017</w:t>
      </w:r>
      <w:r w:rsidR="006F79F3">
        <w:t xml:space="preserve"> </w:t>
      </w:r>
      <w:r w:rsidR="001947D6">
        <w:t xml:space="preserve">by </w:t>
      </w:r>
      <w:r w:rsidR="00C70431">
        <w:t>utilizing</w:t>
      </w:r>
      <w:r w:rsidR="001947D6">
        <w:t xml:space="preserve"> </w:t>
      </w:r>
      <w:r w:rsidR="00792E2B">
        <w:t xml:space="preserve">the low term on the burglary count plus the </w:t>
      </w:r>
      <w:r w:rsidR="001947D6">
        <w:t>section 667, subdivision (a) enhancements</w:t>
      </w:r>
      <w:r w:rsidR="006F79F3">
        <w:t>,</w:t>
      </w:r>
      <w:r w:rsidR="001947D6">
        <w:t xml:space="preserve"> </w:t>
      </w:r>
      <w:r w:rsidR="00805836" w:rsidRPr="00805836">
        <w:t xml:space="preserve">without ever imposing the section 667.5(b) enhancements. </w:t>
      </w:r>
      <w:r w:rsidR="00914A95">
        <w:t xml:space="preserve"> </w:t>
      </w:r>
      <w:r w:rsidR="00A2417B">
        <w:t>But Judge Foiles</w:t>
      </w:r>
      <w:r w:rsidR="001947D6">
        <w:t xml:space="preserve">, </w:t>
      </w:r>
      <w:r w:rsidR="00805836" w:rsidRPr="00805836">
        <w:t>who ordered execution of the sentence after revoking probation</w:t>
      </w:r>
      <w:r w:rsidR="001947D6">
        <w:t>,</w:t>
      </w:r>
      <w:r w:rsidR="00805836" w:rsidRPr="00805836">
        <w:t xml:space="preserve"> </w:t>
      </w:r>
      <w:r w:rsidR="006F79F3">
        <w:t>structured</w:t>
      </w:r>
      <w:r w:rsidR="00805836" w:rsidRPr="00805836">
        <w:t xml:space="preserve"> the sentence differently </w:t>
      </w:r>
      <w:r w:rsidR="006F79F3">
        <w:t>by</w:t>
      </w:r>
      <w:r w:rsidR="00805836" w:rsidRPr="00805836">
        <w:t xml:space="preserve"> </w:t>
      </w:r>
      <w:r w:rsidR="001947D6">
        <w:t>utiliz</w:t>
      </w:r>
      <w:r w:rsidR="006F79F3">
        <w:t>ing</w:t>
      </w:r>
      <w:r w:rsidR="00805836" w:rsidRPr="00805836">
        <w:t xml:space="preserve"> the section 667.5(b) enhancements </w:t>
      </w:r>
      <w:r w:rsidR="006F79F3">
        <w:t>for</w:t>
      </w:r>
      <w:r w:rsidR="00805836" w:rsidRPr="00805836">
        <w:t xml:space="preserve"> the 12</w:t>
      </w:r>
      <w:r w:rsidR="006F79F3">
        <w:t>-</w:t>
      </w:r>
      <w:r w:rsidR="00805836" w:rsidRPr="00805836">
        <w:t>year term.</w:t>
      </w:r>
    </w:p>
    <w:p w14:paraId="68ABE3BB" w14:textId="64B28FD5" w:rsidR="003835E4" w:rsidRPr="003835E4" w:rsidRDefault="00805836" w:rsidP="00991D5D">
      <w:pPr>
        <w:spacing w:line="360" w:lineRule="auto"/>
      </w:pPr>
      <w:r>
        <w:tab/>
      </w:r>
      <w:r w:rsidR="00003F50" w:rsidRPr="00787826">
        <w:t xml:space="preserve">Defendant </w:t>
      </w:r>
      <w:r w:rsidR="00B263B4">
        <w:t>counters</w:t>
      </w:r>
      <w:r w:rsidR="008326B3">
        <w:t xml:space="preserve"> that</w:t>
      </w:r>
      <w:r w:rsidR="008326B3" w:rsidRPr="008326B3">
        <w:t xml:space="preserve"> the sentence</w:t>
      </w:r>
      <w:r w:rsidR="008326B3">
        <w:t xml:space="preserve"> </w:t>
      </w:r>
      <w:r w:rsidR="008326B3" w:rsidRPr="008326B3">
        <w:t xml:space="preserve">as structured by the </w:t>
      </w:r>
      <w:r w:rsidR="006F79F3">
        <w:t xml:space="preserve">“executing” </w:t>
      </w:r>
      <w:r w:rsidR="008326B3" w:rsidRPr="008326B3">
        <w:t xml:space="preserve">judge </w:t>
      </w:r>
      <w:r w:rsidR="008326B3">
        <w:t>was a</w:t>
      </w:r>
      <w:r w:rsidR="008326B3" w:rsidRPr="008326B3">
        <w:t xml:space="preserve"> “contractual” sentence</w:t>
      </w:r>
      <w:r w:rsidR="00E04A0E">
        <w:t xml:space="preserve"> </w:t>
      </w:r>
      <w:r w:rsidR="004D173D">
        <w:t>that cannot</w:t>
      </w:r>
      <w:r w:rsidR="00E04A0E">
        <w:t xml:space="preserve"> be changed</w:t>
      </w:r>
      <w:r w:rsidR="0072363B">
        <w:t xml:space="preserve">, aside from striking the </w:t>
      </w:r>
      <w:r w:rsidR="0072363B" w:rsidRPr="00787826">
        <w:t>section 667.5(b) enhancements</w:t>
      </w:r>
      <w:r w:rsidR="008326B3" w:rsidRPr="008326B3">
        <w:t xml:space="preserve">. </w:t>
      </w:r>
      <w:r w:rsidR="00914A95">
        <w:t xml:space="preserve"> </w:t>
      </w:r>
      <w:r w:rsidR="00D82177">
        <w:t xml:space="preserve">This is unpersuasive.  </w:t>
      </w:r>
      <w:r w:rsidR="00A2417B">
        <w:t>Judge Foiles</w:t>
      </w:r>
      <w:r w:rsidR="00E04A0E" w:rsidRPr="00E04A0E">
        <w:t xml:space="preserve"> indicated the </w:t>
      </w:r>
      <w:r w:rsidR="004D173D">
        <w:t xml:space="preserve">12-year </w:t>
      </w:r>
      <w:r w:rsidR="00E04A0E" w:rsidRPr="00E04A0E">
        <w:t>sentence he</w:t>
      </w:r>
      <w:r w:rsidR="00F3205B">
        <w:t xml:space="preserve"> was</w:t>
      </w:r>
      <w:r w:rsidR="00E04A0E" w:rsidRPr="00E04A0E">
        <w:t xml:space="preserve"> </w:t>
      </w:r>
      <w:r w:rsidR="00F3205B">
        <w:t>executing</w:t>
      </w:r>
      <w:r w:rsidR="00E04A0E" w:rsidRPr="00E04A0E">
        <w:t xml:space="preserve"> was</w:t>
      </w:r>
      <w:r w:rsidR="00D82177">
        <w:t xml:space="preserve"> simply</w:t>
      </w:r>
      <w:r w:rsidR="00E04A0E" w:rsidRPr="00E04A0E">
        <w:t xml:space="preserve"> the one </w:t>
      </w:r>
      <w:r w:rsidR="00A2417B">
        <w:t>imposed</w:t>
      </w:r>
      <w:r w:rsidR="00E04A0E" w:rsidRPr="00E04A0E">
        <w:t xml:space="preserve"> by </w:t>
      </w:r>
      <w:r w:rsidR="00A2417B">
        <w:t>Judge Ayoob</w:t>
      </w:r>
      <w:r w:rsidR="00E04A0E">
        <w:t>, which is consistent with established law</w:t>
      </w:r>
      <w:r w:rsidR="00E04A0E" w:rsidRPr="00E04A0E">
        <w:t xml:space="preserve">. </w:t>
      </w:r>
      <w:r w:rsidR="0038432F">
        <w:t xml:space="preserve"> </w:t>
      </w:r>
      <w:r w:rsidR="00E04A0E" w:rsidRPr="00E04A0E">
        <w:t>(§</w:t>
      </w:r>
      <w:r w:rsidR="004D173D">
        <w:t> </w:t>
      </w:r>
      <w:r w:rsidR="00E04A0E" w:rsidRPr="00E04A0E">
        <w:t>1203.2, subd.</w:t>
      </w:r>
      <w:r w:rsidR="004D173D">
        <w:t> </w:t>
      </w:r>
      <w:r w:rsidR="00E04A0E" w:rsidRPr="00E04A0E">
        <w:t>(c) [“Upon any revocation and termination of probation the court may</w:t>
      </w:r>
      <w:r w:rsidR="004D173D">
        <w:t> </w:t>
      </w:r>
      <w:r w:rsidR="00E04A0E" w:rsidRPr="00E04A0E">
        <w:t>.</w:t>
      </w:r>
      <w:r w:rsidR="004D173D">
        <w:t> </w:t>
      </w:r>
      <w:r w:rsidR="00E04A0E" w:rsidRPr="00E04A0E">
        <w:t>.</w:t>
      </w:r>
      <w:r w:rsidR="004D173D">
        <w:t> </w:t>
      </w:r>
      <w:r w:rsidR="00E04A0E" w:rsidRPr="00E04A0E">
        <w:t>.</w:t>
      </w:r>
      <w:r w:rsidR="004D173D">
        <w:t> </w:t>
      </w:r>
      <w:r w:rsidR="00E04A0E" w:rsidRPr="00E04A0E">
        <w:t xml:space="preserve">, if the judgment has been pronounced and the execution thereof has been suspended, </w:t>
      </w:r>
      <w:r w:rsidR="00F3205B">
        <w:t>. . .</w:t>
      </w:r>
      <w:r w:rsidR="00E04A0E" w:rsidRPr="00E04A0E">
        <w:t xml:space="preserve"> revoke the suspension and order that the judgment shall be in full force and effect.”]; </w:t>
      </w:r>
      <w:r w:rsidR="00E04A0E" w:rsidRPr="00640848">
        <w:rPr>
          <w:i/>
          <w:iCs/>
        </w:rPr>
        <w:t>People v. Howard</w:t>
      </w:r>
      <w:r w:rsidR="00E04A0E" w:rsidRPr="00E04A0E">
        <w:t xml:space="preserve"> (1997) 16 Cal.4th 1081, 1088 [“On revocation of probation, if the court previously had imposed sentence, the sentencing judge must order that exact sentence into effect”].)</w:t>
      </w:r>
      <w:r w:rsidR="0072363B">
        <w:t xml:space="preserve">  </w:t>
      </w:r>
      <w:r w:rsidR="00E3637F">
        <w:t>Why</w:t>
      </w:r>
      <w:r w:rsidR="0072363B">
        <w:t xml:space="preserve"> </w:t>
      </w:r>
      <w:r w:rsidR="00A2417B">
        <w:t>Judge Foiles</w:t>
      </w:r>
      <w:r w:rsidR="0072363B" w:rsidRPr="00E04A0E">
        <w:t xml:space="preserve"> </w:t>
      </w:r>
      <w:r w:rsidR="00B263B4">
        <w:t xml:space="preserve">set out a </w:t>
      </w:r>
      <w:r w:rsidR="0072363B">
        <w:t xml:space="preserve">structure </w:t>
      </w:r>
      <w:r w:rsidR="00B263B4">
        <w:t>for</w:t>
      </w:r>
      <w:r w:rsidR="0072363B">
        <w:t xml:space="preserve"> </w:t>
      </w:r>
      <w:r w:rsidR="00A2417B">
        <w:t xml:space="preserve">executing </w:t>
      </w:r>
      <w:r w:rsidR="0072363B">
        <w:t>the sentence</w:t>
      </w:r>
      <w:r w:rsidR="00A2417B">
        <w:t xml:space="preserve"> in 2019</w:t>
      </w:r>
      <w:r w:rsidR="0072363B">
        <w:t xml:space="preserve"> </w:t>
      </w:r>
      <w:r w:rsidR="00A2417B">
        <w:t>that differed from</w:t>
      </w:r>
      <w:r w:rsidR="00B263B4">
        <w:t xml:space="preserve"> </w:t>
      </w:r>
      <w:r w:rsidR="00A2417B">
        <w:t>the one Judge Ayoob</w:t>
      </w:r>
      <w:r w:rsidR="0072363B">
        <w:t xml:space="preserve"> </w:t>
      </w:r>
      <w:r w:rsidR="00A2417B">
        <w:t>utilized for imposing the sentence</w:t>
      </w:r>
      <w:r w:rsidR="0072363B">
        <w:t xml:space="preserve"> in 2017</w:t>
      </w:r>
      <w:r w:rsidR="00E3637F">
        <w:t xml:space="preserve"> is unexplained by the parties or anything in the record.  Ultimately,</w:t>
      </w:r>
      <w:r w:rsidR="00D82177">
        <w:t xml:space="preserve"> however,</w:t>
      </w:r>
      <w:r w:rsidR="00E3637F">
        <w:t xml:space="preserve"> </w:t>
      </w:r>
      <w:r w:rsidR="00D82177">
        <w:t>these circumstances</w:t>
      </w:r>
      <w:r w:rsidR="00CE00FF">
        <w:t xml:space="preserve"> do not support</w:t>
      </w:r>
      <w:r w:rsidR="00012825">
        <w:t xml:space="preserve"> defendant’s position that</w:t>
      </w:r>
      <w:r w:rsidR="00CE00FF">
        <w:t xml:space="preserve"> the </w:t>
      </w:r>
      <w:r w:rsidR="0094304B">
        <w:t xml:space="preserve">structure of the </w:t>
      </w:r>
      <w:r w:rsidR="004D173D">
        <w:t xml:space="preserve">12-year </w:t>
      </w:r>
      <w:r w:rsidR="0094304B">
        <w:t xml:space="preserve">sentence, as set out by </w:t>
      </w:r>
      <w:r w:rsidR="00A2417B">
        <w:t>Judge Foiles</w:t>
      </w:r>
      <w:r w:rsidR="0094304B">
        <w:t xml:space="preserve">, </w:t>
      </w:r>
      <w:r w:rsidR="00CE00FF">
        <w:t>was “contractual.”</w:t>
      </w:r>
      <w:r w:rsidR="0094304B">
        <w:t xml:space="preserve">  The circumstances here</w:t>
      </w:r>
      <w:r w:rsidR="0072363B">
        <w:t xml:space="preserve"> only strengthen</w:t>
      </w:r>
      <w:r w:rsidR="00E3637F">
        <w:t xml:space="preserve"> the conclusion</w:t>
      </w:r>
      <w:r w:rsidR="0072363B">
        <w:t xml:space="preserve"> that a remand for resentencing is appropriate.</w:t>
      </w:r>
    </w:p>
    <w:p w14:paraId="2918EA42" w14:textId="3B4AFC9A" w:rsidR="0015294D" w:rsidRPr="0015294D" w:rsidRDefault="0015294D" w:rsidP="007034DA">
      <w:pPr>
        <w:keepNext/>
        <w:spacing w:line="360" w:lineRule="auto"/>
        <w:rPr>
          <w:b/>
          <w:bCs/>
          <w:color w:val="000000"/>
        </w:rPr>
      </w:pPr>
      <w:r>
        <w:rPr>
          <w:color w:val="000000"/>
        </w:rPr>
        <w:tab/>
      </w:r>
      <w:r w:rsidRPr="0015294D">
        <w:rPr>
          <w:b/>
          <w:bCs/>
          <w:color w:val="000000"/>
        </w:rPr>
        <w:t>C.  Credits</w:t>
      </w:r>
    </w:p>
    <w:p w14:paraId="1EBDE1BE" w14:textId="62406608" w:rsidR="00D51A92" w:rsidRPr="00787826" w:rsidRDefault="00577B24" w:rsidP="00A36C53">
      <w:pPr>
        <w:spacing w:line="360" w:lineRule="auto"/>
        <w:rPr>
          <w:color w:val="000000"/>
        </w:rPr>
      </w:pPr>
      <w:r>
        <w:rPr>
          <w:color w:val="000000"/>
        </w:rPr>
        <w:tab/>
        <w:t xml:space="preserve">Defendant contends the trial court failed to award him </w:t>
      </w:r>
      <w:r w:rsidR="006C6F77">
        <w:rPr>
          <w:color w:val="000000"/>
        </w:rPr>
        <w:t>87 additional days of</w:t>
      </w:r>
      <w:r>
        <w:rPr>
          <w:color w:val="000000"/>
        </w:rPr>
        <w:t xml:space="preserve"> </w:t>
      </w:r>
      <w:r w:rsidR="00A2417B">
        <w:rPr>
          <w:color w:val="000000"/>
        </w:rPr>
        <w:t xml:space="preserve">custody </w:t>
      </w:r>
      <w:r>
        <w:rPr>
          <w:color w:val="000000"/>
        </w:rPr>
        <w:t>credit</w:t>
      </w:r>
      <w:r w:rsidR="004D173D">
        <w:rPr>
          <w:color w:val="000000"/>
        </w:rPr>
        <w:t xml:space="preserve"> in addition </w:t>
      </w:r>
      <w:r w:rsidR="000A107F">
        <w:rPr>
          <w:color w:val="000000"/>
        </w:rPr>
        <w:t xml:space="preserve">to </w:t>
      </w:r>
      <w:r w:rsidR="004D173D" w:rsidRPr="00787826">
        <w:rPr>
          <w:color w:val="000000"/>
        </w:rPr>
        <w:t xml:space="preserve">the </w:t>
      </w:r>
      <w:r w:rsidR="0077120C">
        <w:rPr>
          <w:color w:val="000000"/>
        </w:rPr>
        <w:t>547</w:t>
      </w:r>
      <w:r w:rsidR="0077120C" w:rsidRPr="00787826">
        <w:rPr>
          <w:color w:val="000000"/>
        </w:rPr>
        <w:t xml:space="preserve"> </w:t>
      </w:r>
      <w:r w:rsidR="004D173D" w:rsidRPr="00787826">
        <w:rPr>
          <w:color w:val="000000"/>
        </w:rPr>
        <w:t xml:space="preserve">days </w:t>
      </w:r>
      <w:r w:rsidR="00C70431">
        <w:rPr>
          <w:color w:val="000000"/>
        </w:rPr>
        <w:t>awarded</w:t>
      </w:r>
      <w:r w:rsidRPr="00787826">
        <w:rPr>
          <w:color w:val="000000"/>
        </w:rPr>
        <w:t xml:space="preserve">. </w:t>
      </w:r>
      <w:r w:rsidR="00914A95">
        <w:rPr>
          <w:color w:val="000000"/>
        </w:rPr>
        <w:t xml:space="preserve"> </w:t>
      </w:r>
      <w:r w:rsidR="004E1A11">
        <w:rPr>
          <w:color w:val="000000"/>
        </w:rPr>
        <w:t>More specifically, h</w:t>
      </w:r>
      <w:r w:rsidR="00FF5E54" w:rsidRPr="00787826">
        <w:rPr>
          <w:color w:val="000000"/>
        </w:rPr>
        <w:t>e claims</w:t>
      </w:r>
      <w:r w:rsidR="00C21D7E" w:rsidRPr="00787826">
        <w:rPr>
          <w:color w:val="000000"/>
        </w:rPr>
        <w:t xml:space="preserve"> he is </w:t>
      </w:r>
      <w:r w:rsidR="00767C10" w:rsidRPr="00787826">
        <w:rPr>
          <w:color w:val="000000"/>
        </w:rPr>
        <w:t>entitled to</w:t>
      </w:r>
      <w:r w:rsidR="00C21D7E" w:rsidRPr="00787826">
        <w:rPr>
          <w:color w:val="000000"/>
        </w:rPr>
        <w:t xml:space="preserve"> </w:t>
      </w:r>
      <w:r w:rsidR="005005B9" w:rsidRPr="00787826">
        <w:rPr>
          <w:color w:val="000000"/>
        </w:rPr>
        <w:t xml:space="preserve">an additional 56 days of </w:t>
      </w:r>
      <w:r w:rsidR="00C21D7E" w:rsidRPr="00787826">
        <w:rPr>
          <w:color w:val="000000"/>
        </w:rPr>
        <w:t>credit</w:t>
      </w:r>
      <w:r w:rsidR="00DF5985" w:rsidRPr="00787826">
        <w:rPr>
          <w:color w:val="000000"/>
        </w:rPr>
        <w:t xml:space="preserve"> for time</w:t>
      </w:r>
      <w:r w:rsidR="00C21D7E" w:rsidRPr="00787826">
        <w:rPr>
          <w:color w:val="000000"/>
        </w:rPr>
        <w:t xml:space="preserve"> </w:t>
      </w:r>
      <w:r w:rsidR="00DF5985" w:rsidRPr="00787826">
        <w:rPr>
          <w:color w:val="000000"/>
        </w:rPr>
        <w:t>spent</w:t>
      </w:r>
      <w:r w:rsidR="00C21D7E" w:rsidRPr="00787826">
        <w:rPr>
          <w:color w:val="000000"/>
        </w:rPr>
        <w:t xml:space="preserve"> in </w:t>
      </w:r>
      <w:r w:rsidR="00C21D7E" w:rsidRPr="00787826">
        <w:rPr>
          <w:color w:val="000000"/>
        </w:rPr>
        <w:lastRenderedPageBreak/>
        <w:t xml:space="preserve">custody </w:t>
      </w:r>
      <w:r w:rsidR="00DF5985" w:rsidRPr="00787826">
        <w:rPr>
          <w:color w:val="000000"/>
        </w:rPr>
        <w:t xml:space="preserve">during his </w:t>
      </w:r>
      <w:r w:rsidR="00E86B96" w:rsidRPr="00787826">
        <w:rPr>
          <w:color w:val="000000"/>
        </w:rPr>
        <w:t>late-</w:t>
      </w:r>
      <w:r w:rsidR="00DF5985" w:rsidRPr="00787826">
        <w:rPr>
          <w:color w:val="000000"/>
        </w:rPr>
        <w:t>2017 revocation proceedings</w:t>
      </w:r>
      <w:r w:rsidR="00FF5E54" w:rsidRPr="00787826">
        <w:rPr>
          <w:color w:val="000000"/>
        </w:rPr>
        <w:t>,</w:t>
      </w:r>
      <w:r w:rsidR="00DF5985" w:rsidRPr="00787826">
        <w:rPr>
          <w:color w:val="000000"/>
        </w:rPr>
        <w:t xml:space="preserve"> </w:t>
      </w:r>
      <w:r w:rsidR="000A107F">
        <w:rPr>
          <w:color w:val="000000"/>
        </w:rPr>
        <w:t>as well as a total of</w:t>
      </w:r>
      <w:r w:rsidR="00DF5985" w:rsidRPr="00787826">
        <w:rPr>
          <w:color w:val="000000"/>
        </w:rPr>
        <w:t xml:space="preserve"> </w:t>
      </w:r>
      <w:r w:rsidR="00556D71" w:rsidRPr="00787826">
        <w:rPr>
          <w:color w:val="000000"/>
        </w:rPr>
        <w:t xml:space="preserve">213 days </w:t>
      </w:r>
      <w:r w:rsidR="00E86B96" w:rsidRPr="00787826">
        <w:rPr>
          <w:color w:val="000000"/>
        </w:rPr>
        <w:t xml:space="preserve">of credit </w:t>
      </w:r>
      <w:r w:rsidR="00556D71" w:rsidRPr="00787826">
        <w:rPr>
          <w:color w:val="000000"/>
        </w:rPr>
        <w:t>for the time he spent in his program from November 22, 2017 to June 23, 2018.</w:t>
      </w:r>
    </w:p>
    <w:p w14:paraId="17298CAF" w14:textId="3632FA1B" w:rsidR="00124929" w:rsidRDefault="00D51A92" w:rsidP="00534C65">
      <w:pPr>
        <w:spacing w:line="360" w:lineRule="auto"/>
        <w:rPr>
          <w:color w:val="000000"/>
        </w:rPr>
      </w:pPr>
      <w:r w:rsidRPr="00787826">
        <w:rPr>
          <w:color w:val="000000"/>
        </w:rPr>
        <w:tab/>
      </w:r>
      <w:r w:rsidR="00556D71" w:rsidRPr="00787826">
        <w:rPr>
          <w:color w:val="000000"/>
        </w:rPr>
        <w:t xml:space="preserve">The People agree </w:t>
      </w:r>
      <w:r w:rsidRPr="00787826">
        <w:rPr>
          <w:color w:val="000000"/>
        </w:rPr>
        <w:t xml:space="preserve">that </w:t>
      </w:r>
      <w:r w:rsidR="00556D71" w:rsidRPr="00787826">
        <w:rPr>
          <w:color w:val="000000"/>
        </w:rPr>
        <w:t>the trial court indicate</w:t>
      </w:r>
      <w:r w:rsidR="000A107F">
        <w:rPr>
          <w:color w:val="000000"/>
        </w:rPr>
        <w:t>d</w:t>
      </w:r>
      <w:r w:rsidR="00556D71" w:rsidRPr="00787826">
        <w:rPr>
          <w:color w:val="000000"/>
        </w:rPr>
        <w:t xml:space="preserve"> it would award defendant credit </w:t>
      </w:r>
      <w:r w:rsidR="004E508F" w:rsidRPr="00787826">
        <w:rPr>
          <w:color w:val="000000"/>
        </w:rPr>
        <w:t xml:space="preserve">to cover </w:t>
      </w:r>
      <w:r w:rsidR="00556D71" w:rsidRPr="00787826">
        <w:rPr>
          <w:color w:val="000000"/>
        </w:rPr>
        <w:t xml:space="preserve">the date </w:t>
      </w:r>
      <w:r w:rsidRPr="00787826">
        <w:rPr>
          <w:color w:val="000000"/>
        </w:rPr>
        <w:t>he surrendered himself</w:t>
      </w:r>
      <w:r w:rsidR="00767C10" w:rsidRPr="00787826">
        <w:rPr>
          <w:color w:val="000000"/>
        </w:rPr>
        <w:t xml:space="preserve"> in connection with his 2017 revocation proceedings</w:t>
      </w:r>
      <w:r w:rsidR="004E1A11">
        <w:rPr>
          <w:color w:val="000000"/>
        </w:rPr>
        <w:t xml:space="preserve"> </w:t>
      </w:r>
      <w:r w:rsidR="00556D71" w:rsidRPr="00787826">
        <w:rPr>
          <w:color w:val="000000"/>
        </w:rPr>
        <w:t xml:space="preserve">to the date of his revocation hearing. </w:t>
      </w:r>
      <w:r w:rsidR="00914A95">
        <w:rPr>
          <w:color w:val="000000"/>
        </w:rPr>
        <w:t xml:space="preserve"> </w:t>
      </w:r>
      <w:r w:rsidR="00981D42" w:rsidRPr="00787826">
        <w:rPr>
          <w:color w:val="000000"/>
        </w:rPr>
        <w:t>The</w:t>
      </w:r>
      <w:r w:rsidR="00981D42">
        <w:rPr>
          <w:color w:val="000000"/>
        </w:rPr>
        <w:t xml:space="preserve"> People also a</w:t>
      </w:r>
      <w:r w:rsidR="00A2417B">
        <w:rPr>
          <w:color w:val="000000"/>
        </w:rPr>
        <w:t>cknowledge</w:t>
      </w:r>
      <w:r w:rsidR="00981D42">
        <w:rPr>
          <w:color w:val="000000"/>
        </w:rPr>
        <w:t xml:space="preserve"> that </w:t>
      </w:r>
      <w:r w:rsidR="00981D42" w:rsidRPr="00767C10">
        <w:rPr>
          <w:color w:val="000000"/>
        </w:rPr>
        <w:t xml:space="preserve">November 22, 2017 </w:t>
      </w:r>
      <w:r w:rsidR="00981D42">
        <w:rPr>
          <w:color w:val="000000"/>
        </w:rPr>
        <w:t>to</w:t>
      </w:r>
      <w:r w:rsidR="00981D42" w:rsidRPr="00767C10">
        <w:rPr>
          <w:color w:val="000000"/>
        </w:rPr>
        <w:t xml:space="preserve"> June 23, 2018</w:t>
      </w:r>
      <w:r w:rsidR="00981D42">
        <w:rPr>
          <w:color w:val="000000"/>
        </w:rPr>
        <w:t xml:space="preserve"> amounts to</w:t>
      </w:r>
      <w:r w:rsidR="00981D42" w:rsidRPr="00767C10">
        <w:rPr>
          <w:color w:val="000000"/>
        </w:rPr>
        <w:t xml:space="preserve"> 213 days,</w:t>
      </w:r>
      <w:r w:rsidR="00981D42">
        <w:rPr>
          <w:color w:val="000000"/>
        </w:rPr>
        <w:t xml:space="preserve"> </w:t>
      </w:r>
      <w:r w:rsidR="00981D42" w:rsidRPr="00767C10">
        <w:rPr>
          <w:color w:val="000000"/>
        </w:rPr>
        <w:t>not 183 days</w:t>
      </w:r>
      <w:r w:rsidR="00981D42">
        <w:rPr>
          <w:color w:val="000000"/>
        </w:rPr>
        <w:t xml:space="preserve">. </w:t>
      </w:r>
      <w:r w:rsidR="004342A5">
        <w:rPr>
          <w:color w:val="000000"/>
        </w:rPr>
        <w:t xml:space="preserve"> </w:t>
      </w:r>
      <w:r w:rsidR="00132105">
        <w:rPr>
          <w:color w:val="000000"/>
        </w:rPr>
        <w:t xml:space="preserve">Because we are remanding this matter for resentencing, we will instruct the court to </w:t>
      </w:r>
      <w:r w:rsidR="00BF2DEB">
        <w:rPr>
          <w:color w:val="000000"/>
        </w:rPr>
        <w:t>also recalculate defendant’s credits</w:t>
      </w:r>
      <w:r w:rsidR="00132105">
        <w:rPr>
          <w:color w:val="000000"/>
        </w:rPr>
        <w:t>.</w:t>
      </w:r>
      <w:r w:rsidR="004342A5">
        <w:rPr>
          <w:rStyle w:val="FootnoteReference"/>
          <w:color w:val="000000"/>
        </w:rPr>
        <w:footnoteReference w:id="5"/>
      </w:r>
    </w:p>
    <w:p w14:paraId="009F623F" w14:textId="325C39FE" w:rsidR="006E385D" w:rsidRPr="00A465D2" w:rsidRDefault="00B277FE" w:rsidP="007034DA">
      <w:pPr>
        <w:keepNext/>
        <w:spacing w:line="360" w:lineRule="auto"/>
        <w:jc w:val="center"/>
        <w:rPr>
          <w:b/>
          <w:smallCaps/>
          <w:color w:val="000000"/>
        </w:rPr>
      </w:pPr>
      <w:r w:rsidRPr="00A465D2">
        <w:rPr>
          <w:b/>
          <w:smallCaps/>
          <w:color w:val="000000"/>
        </w:rPr>
        <w:t>Disposition</w:t>
      </w:r>
    </w:p>
    <w:p w14:paraId="2DFFEBE1" w14:textId="78B53CE7" w:rsidR="00EA0788" w:rsidRDefault="00B277FE" w:rsidP="006D61C2">
      <w:pPr>
        <w:spacing w:line="360" w:lineRule="auto"/>
        <w:rPr>
          <w:bCs/>
          <w:color w:val="000000"/>
        </w:rPr>
      </w:pPr>
      <w:r w:rsidRPr="00A465D2">
        <w:rPr>
          <w:b/>
          <w:color w:val="FF0000"/>
        </w:rPr>
        <w:tab/>
      </w:r>
      <w:r w:rsidR="00D31046" w:rsidRPr="00D31046">
        <w:rPr>
          <w:bCs/>
          <w:color w:val="000000"/>
        </w:rPr>
        <w:t>The matter is remanded for resentencing</w:t>
      </w:r>
      <w:r w:rsidR="00986D84">
        <w:rPr>
          <w:bCs/>
          <w:color w:val="000000"/>
        </w:rPr>
        <w:t xml:space="preserve">.  </w:t>
      </w:r>
      <w:r w:rsidR="00D31046" w:rsidRPr="00D31046">
        <w:rPr>
          <w:bCs/>
          <w:color w:val="000000"/>
        </w:rPr>
        <w:t xml:space="preserve">The </w:t>
      </w:r>
      <w:r w:rsidR="0030420A">
        <w:rPr>
          <w:bCs/>
          <w:color w:val="000000"/>
        </w:rPr>
        <w:t xml:space="preserve">trial </w:t>
      </w:r>
      <w:r w:rsidR="00D31046" w:rsidRPr="00D31046">
        <w:rPr>
          <w:bCs/>
          <w:color w:val="000000"/>
        </w:rPr>
        <w:t>court is</w:t>
      </w:r>
      <w:r w:rsidR="00986D84">
        <w:rPr>
          <w:bCs/>
          <w:color w:val="000000"/>
        </w:rPr>
        <w:t xml:space="preserve"> </w:t>
      </w:r>
      <w:r w:rsidR="00D31046" w:rsidRPr="00D31046">
        <w:rPr>
          <w:bCs/>
          <w:color w:val="000000"/>
        </w:rPr>
        <w:t>instructed to vacate</w:t>
      </w:r>
      <w:r w:rsidR="004342A5">
        <w:rPr>
          <w:bCs/>
          <w:color w:val="000000"/>
        </w:rPr>
        <w:t xml:space="preserve"> the</w:t>
      </w:r>
      <w:r w:rsidR="00D31046" w:rsidRPr="00D31046">
        <w:rPr>
          <w:bCs/>
          <w:color w:val="000000"/>
        </w:rPr>
        <w:t xml:space="preserve"> enhancement</w:t>
      </w:r>
      <w:r w:rsidR="00986D84">
        <w:rPr>
          <w:bCs/>
          <w:color w:val="000000"/>
        </w:rPr>
        <w:t>s imposed</w:t>
      </w:r>
      <w:r w:rsidR="00D31046" w:rsidRPr="00D31046">
        <w:rPr>
          <w:bCs/>
          <w:color w:val="000000"/>
        </w:rPr>
        <w:t xml:space="preserve"> under section</w:t>
      </w:r>
      <w:r w:rsidR="004E66BC">
        <w:rPr>
          <w:bCs/>
          <w:color w:val="000000"/>
        </w:rPr>
        <w:t> </w:t>
      </w:r>
      <w:r w:rsidR="00D31046" w:rsidRPr="00D31046">
        <w:rPr>
          <w:bCs/>
          <w:color w:val="000000"/>
        </w:rPr>
        <w:t>667.5(b)</w:t>
      </w:r>
      <w:r w:rsidR="00986D84">
        <w:rPr>
          <w:bCs/>
          <w:color w:val="000000"/>
        </w:rPr>
        <w:t xml:space="preserve"> and to </w:t>
      </w:r>
      <w:r w:rsidR="00E86B96">
        <w:rPr>
          <w:bCs/>
          <w:color w:val="000000"/>
        </w:rPr>
        <w:t>recalculate defendant’s</w:t>
      </w:r>
      <w:r w:rsidR="00986D84">
        <w:rPr>
          <w:bCs/>
          <w:color w:val="000000"/>
        </w:rPr>
        <w:t xml:space="preserve"> credits</w:t>
      </w:r>
      <w:r w:rsidR="00D31046" w:rsidRPr="00D31046">
        <w:rPr>
          <w:bCs/>
          <w:color w:val="000000"/>
        </w:rPr>
        <w:t>.  In all other respects, the judgment is affirmed.</w:t>
      </w:r>
    </w:p>
    <w:p w14:paraId="5BEE67F2" w14:textId="64169CD5" w:rsidR="001563B0" w:rsidRDefault="001563B0">
      <w:pPr>
        <w:tabs>
          <w:tab w:val="clear" w:pos="720"/>
        </w:tabs>
        <w:suppressAutoHyphens w:val="0"/>
        <w:spacing w:line="360" w:lineRule="auto"/>
        <w:rPr>
          <w:bCs/>
          <w:color w:val="000000"/>
        </w:rPr>
      </w:pPr>
      <w:r>
        <w:rPr>
          <w:bCs/>
          <w:color w:val="000000"/>
        </w:rPr>
        <w:br w:type="page"/>
      </w:r>
    </w:p>
    <w:p w14:paraId="4D32441B" w14:textId="77777777" w:rsidR="001563B0" w:rsidRDefault="001563B0" w:rsidP="001563B0">
      <w:pPr>
        <w:spacing w:line="240" w:lineRule="auto"/>
        <w:rPr>
          <w:bCs/>
          <w:color w:val="000000"/>
        </w:rPr>
      </w:pPr>
    </w:p>
    <w:p w14:paraId="1C6BA5B7" w14:textId="77777777" w:rsidR="001563B0" w:rsidRDefault="001563B0" w:rsidP="001563B0">
      <w:pPr>
        <w:spacing w:line="240" w:lineRule="auto"/>
        <w:rPr>
          <w:bCs/>
          <w:color w:val="000000"/>
        </w:rPr>
      </w:pP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  <w:t>_________________________</w:t>
      </w:r>
    </w:p>
    <w:p w14:paraId="68C11227" w14:textId="77777777" w:rsidR="001563B0" w:rsidRDefault="001563B0" w:rsidP="001563B0">
      <w:pPr>
        <w:spacing w:line="240" w:lineRule="auto"/>
        <w:rPr>
          <w:bCs/>
          <w:color w:val="000000"/>
        </w:rPr>
      </w:pP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  <w:t>Fujisaki, J.</w:t>
      </w:r>
    </w:p>
    <w:p w14:paraId="51E2569B" w14:textId="77777777" w:rsidR="001563B0" w:rsidRDefault="001563B0" w:rsidP="001563B0">
      <w:pPr>
        <w:spacing w:line="240" w:lineRule="auto"/>
        <w:rPr>
          <w:bCs/>
          <w:color w:val="000000"/>
        </w:rPr>
      </w:pPr>
    </w:p>
    <w:p w14:paraId="73215C7C" w14:textId="77777777" w:rsidR="001563B0" w:rsidRDefault="001563B0" w:rsidP="001563B0">
      <w:pPr>
        <w:spacing w:line="240" w:lineRule="auto"/>
        <w:rPr>
          <w:bCs/>
          <w:color w:val="000000"/>
        </w:rPr>
      </w:pPr>
    </w:p>
    <w:p w14:paraId="61E5FBA1" w14:textId="77777777" w:rsidR="001563B0" w:rsidRDefault="001563B0" w:rsidP="001563B0">
      <w:pPr>
        <w:spacing w:line="240" w:lineRule="auto"/>
        <w:rPr>
          <w:bCs/>
          <w:color w:val="000000"/>
        </w:rPr>
      </w:pPr>
      <w:r>
        <w:rPr>
          <w:bCs/>
          <w:color w:val="000000"/>
        </w:rPr>
        <w:t>WE CONCUR:</w:t>
      </w:r>
    </w:p>
    <w:p w14:paraId="4EF32F9F" w14:textId="77777777" w:rsidR="001563B0" w:rsidRDefault="001563B0" w:rsidP="001563B0">
      <w:pPr>
        <w:spacing w:line="240" w:lineRule="auto"/>
        <w:rPr>
          <w:bCs/>
          <w:color w:val="000000"/>
        </w:rPr>
      </w:pPr>
    </w:p>
    <w:p w14:paraId="6276C253" w14:textId="77777777" w:rsidR="001563B0" w:rsidRDefault="001563B0" w:rsidP="001563B0">
      <w:pPr>
        <w:spacing w:line="240" w:lineRule="auto"/>
        <w:rPr>
          <w:bCs/>
          <w:color w:val="000000"/>
        </w:rPr>
      </w:pPr>
    </w:p>
    <w:p w14:paraId="0109C2A6" w14:textId="77777777" w:rsidR="001563B0" w:rsidRDefault="001563B0" w:rsidP="001563B0">
      <w:pPr>
        <w:spacing w:line="240" w:lineRule="auto"/>
        <w:rPr>
          <w:bCs/>
          <w:color w:val="000000"/>
        </w:rPr>
      </w:pPr>
      <w:r>
        <w:rPr>
          <w:bCs/>
          <w:color w:val="000000"/>
        </w:rPr>
        <w:t>_________________________</w:t>
      </w:r>
    </w:p>
    <w:p w14:paraId="6E7CFB45" w14:textId="77777777" w:rsidR="001563B0" w:rsidRDefault="001563B0" w:rsidP="001563B0">
      <w:pPr>
        <w:spacing w:line="240" w:lineRule="auto"/>
        <w:rPr>
          <w:bCs/>
          <w:color w:val="000000"/>
        </w:rPr>
      </w:pPr>
      <w:r>
        <w:rPr>
          <w:bCs/>
          <w:color w:val="000000"/>
        </w:rPr>
        <w:t>Tucher, P. J.</w:t>
      </w:r>
    </w:p>
    <w:p w14:paraId="4BC08346" w14:textId="77777777" w:rsidR="001563B0" w:rsidRDefault="001563B0" w:rsidP="001563B0">
      <w:pPr>
        <w:spacing w:line="240" w:lineRule="auto"/>
        <w:rPr>
          <w:bCs/>
          <w:color w:val="000000"/>
        </w:rPr>
      </w:pPr>
    </w:p>
    <w:p w14:paraId="3378E787" w14:textId="77777777" w:rsidR="001563B0" w:rsidRDefault="001563B0" w:rsidP="001563B0">
      <w:pPr>
        <w:spacing w:line="240" w:lineRule="auto"/>
        <w:rPr>
          <w:bCs/>
          <w:color w:val="000000"/>
        </w:rPr>
      </w:pPr>
    </w:p>
    <w:p w14:paraId="4056EA61" w14:textId="77777777" w:rsidR="001563B0" w:rsidRDefault="001563B0" w:rsidP="001563B0">
      <w:pPr>
        <w:spacing w:line="240" w:lineRule="auto"/>
        <w:rPr>
          <w:bCs/>
          <w:color w:val="000000"/>
        </w:rPr>
      </w:pPr>
      <w:r>
        <w:rPr>
          <w:bCs/>
          <w:color w:val="000000"/>
        </w:rPr>
        <w:t>_________________________</w:t>
      </w:r>
    </w:p>
    <w:p w14:paraId="616A57E3" w14:textId="77777777" w:rsidR="001563B0" w:rsidRDefault="001563B0" w:rsidP="001563B0">
      <w:pPr>
        <w:spacing w:line="240" w:lineRule="auto"/>
        <w:rPr>
          <w:bCs/>
          <w:color w:val="000000"/>
        </w:rPr>
      </w:pPr>
      <w:r>
        <w:rPr>
          <w:bCs/>
          <w:color w:val="000000"/>
        </w:rPr>
        <w:t>Petrou, J.</w:t>
      </w:r>
    </w:p>
    <w:p w14:paraId="528B8320" w14:textId="159A0D7B" w:rsidR="001563B0" w:rsidRDefault="001563B0" w:rsidP="006D61C2">
      <w:pPr>
        <w:spacing w:line="360" w:lineRule="auto"/>
        <w:rPr>
          <w:bCs/>
          <w:color w:val="000000"/>
        </w:rPr>
      </w:pPr>
    </w:p>
    <w:p w14:paraId="5203E99F" w14:textId="7B264C9A" w:rsidR="00DF6572" w:rsidRDefault="00DF6572" w:rsidP="006D61C2">
      <w:pPr>
        <w:spacing w:line="360" w:lineRule="auto"/>
        <w:rPr>
          <w:bCs/>
          <w:color w:val="000000"/>
        </w:rPr>
      </w:pPr>
    </w:p>
    <w:p w14:paraId="0755B9F8" w14:textId="7ECC02AE" w:rsidR="00DF6572" w:rsidRDefault="00DF6572" w:rsidP="006D61C2">
      <w:pPr>
        <w:spacing w:line="360" w:lineRule="auto"/>
        <w:rPr>
          <w:bCs/>
          <w:color w:val="000000"/>
        </w:rPr>
      </w:pPr>
    </w:p>
    <w:p w14:paraId="738FD820" w14:textId="70633AD5" w:rsidR="00DF6572" w:rsidRDefault="00DF6572" w:rsidP="006D61C2">
      <w:pPr>
        <w:spacing w:line="360" w:lineRule="auto"/>
        <w:rPr>
          <w:bCs/>
          <w:color w:val="000000"/>
        </w:rPr>
      </w:pPr>
    </w:p>
    <w:p w14:paraId="29D4FD48" w14:textId="6B058F64" w:rsidR="00DF6572" w:rsidRDefault="00DF6572" w:rsidP="006D61C2">
      <w:pPr>
        <w:spacing w:line="360" w:lineRule="auto"/>
        <w:rPr>
          <w:bCs/>
          <w:color w:val="000000"/>
        </w:rPr>
      </w:pPr>
    </w:p>
    <w:p w14:paraId="4F5AE02B" w14:textId="3CBB5528" w:rsidR="00DF6572" w:rsidRDefault="00DF6572" w:rsidP="006D61C2">
      <w:pPr>
        <w:spacing w:line="360" w:lineRule="auto"/>
        <w:rPr>
          <w:bCs/>
          <w:color w:val="000000"/>
        </w:rPr>
      </w:pPr>
      <w:r>
        <w:rPr>
          <w:bCs/>
          <w:color w:val="000000"/>
        </w:rPr>
        <w:t>A159026</w:t>
      </w:r>
    </w:p>
    <w:p w14:paraId="7268C802" w14:textId="38CDDAC8" w:rsidR="001563B0" w:rsidRDefault="001563B0">
      <w:pPr>
        <w:tabs>
          <w:tab w:val="clear" w:pos="720"/>
        </w:tabs>
        <w:suppressAutoHyphens w:val="0"/>
        <w:spacing w:line="360" w:lineRule="auto"/>
        <w:rPr>
          <w:bCs/>
          <w:color w:val="000000"/>
        </w:rPr>
      </w:pPr>
      <w:r>
        <w:rPr>
          <w:bCs/>
          <w:color w:val="000000"/>
        </w:rPr>
        <w:br w:type="page"/>
      </w:r>
    </w:p>
    <w:p w14:paraId="13BEC348" w14:textId="769385B5" w:rsidR="00791C44" w:rsidRDefault="00791C44" w:rsidP="006D61C2">
      <w:pPr>
        <w:spacing w:line="360" w:lineRule="auto"/>
        <w:rPr>
          <w:bCs/>
          <w:color w:val="000000"/>
          <w:u w:val="single"/>
        </w:rPr>
      </w:pPr>
      <w:r>
        <w:rPr>
          <w:bCs/>
          <w:color w:val="000000"/>
          <w:u w:val="single"/>
        </w:rPr>
        <w:lastRenderedPageBreak/>
        <w:t>People v. Faial (A159026)</w:t>
      </w:r>
    </w:p>
    <w:p w14:paraId="147D6233" w14:textId="292CF24E" w:rsidR="00791C44" w:rsidRDefault="00791C44" w:rsidP="006D61C2">
      <w:pPr>
        <w:spacing w:line="360" w:lineRule="auto"/>
        <w:rPr>
          <w:bCs/>
          <w:color w:val="000000"/>
          <w:u w:val="single"/>
        </w:rPr>
      </w:pPr>
    </w:p>
    <w:p w14:paraId="3C586185" w14:textId="752C9650" w:rsidR="00791C44" w:rsidRDefault="00791C44" w:rsidP="006D61C2">
      <w:pPr>
        <w:spacing w:line="360" w:lineRule="auto"/>
        <w:rPr>
          <w:bCs/>
          <w:color w:val="000000"/>
        </w:rPr>
      </w:pPr>
      <w:r>
        <w:rPr>
          <w:bCs/>
          <w:color w:val="000000"/>
        </w:rPr>
        <w:t>Trial Court:</w:t>
      </w:r>
      <w:r w:rsidR="00DD7332">
        <w:rPr>
          <w:bCs/>
          <w:color w:val="000000"/>
        </w:rPr>
        <w:tab/>
      </w:r>
      <w:r w:rsidR="00DD7332">
        <w:rPr>
          <w:bCs/>
          <w:color w:val="000000"/>
        </w:rPr>
        <w:tab/>
        <w:t>San Mateo County Superior Court</w:t>
      </w:r>
    </w:p>
    <w:p w14:paraId="68FFE6B5" w14:textId="3C428FC3" w:rsidR="00791C44" w:rsidRDefault="00791C44" w:rsidP="006D61C2">
      <w:pPr>
        <w:spacing w:line="360" w:lineRule="auto"/>
        <w:rPr>
          <w:bCs/>
          <w:color w:val="000000"/>
        </w:rPr>
      </w:pPr>
    </w:p>
    <w:p w14:paraId="6091F5CB" w14:textId="4B796BE9" w:rsidR="00791C44" w:rsidRDefault="00791C44" w:rsidP="006D61C2">
      <w:pPr>
        <w:spacing w:line="360" w:lineRule="auto"/>
        <w:rPr>
          <w:bCs/>
          <w:color w:val="000000"/>
        </w:rPr>
      </w:pPr>
      <w:r>
        <w:rPr>
          <w:bCs/>
          <w:color w:val="000000"/>
        </w:rPr>
        <w:t>Trial Judge:</w:t>
      </w:r>
      <w:r w:rsidR="00DD7332">
        <w:rPr>
          <w:bCs/>
          <w:color w:val="000000"/>
        </w:rPr>
        <w:tab/>
        <w:t>Hon. Robert Foiles</w:t>
      </w:r>
    </w:p>
    <w:p w14:paraId="15EB63E7" w14:textId="026447B9" w:rsidR="00791C44" w:rsidRDefault="00791C44" w:rsidP="006D61C2">
      <w:pPr>
        <w:spacing w:line="360" w:lineRule="auto"/>
        <w:rPr>
          <w:bCs/>
          <w:color w:val="000000"/>
        </w:rPr>
      </w:pPr>
    </w:p>
    <w:p w14:paraId="5C203D87" w14:textId="0C36B2DB" w:rsidR="00791C44" w:rsidRDefault="00791C44" w:rsidP="006D61C2">
      <w:pPr>
        <w:spacing w:line="360" w:lineRule="auto"/>
        <w:rPr>
          <w:bCs/>
          <w:color w:val="000000"/>
        </w:rPr>
      </w:pPr>
      <w:r>
        <w:rPr>
          <w:bCs/>
          <w:color w:val="000000"/>
        </w:rPr>
        <w:t xml:space="preserve">Attorneys: </w:t>
      </w:r>
    </w:p>
    <w:p w14:paraId="29782A3E" w14:textId="01F94639" w:rsidR="00DD7332" w:rsidRDefault="00DD7332" w:rsidP="006D61C2">
      <w:pPr>
        <w:spacing w:line="360" w:lineRule="auto"/>
        <w:rPr>
          <w:bCs/>
          <w:color w:val="000000"/>
        </w:rPr>
      </w:pPr>
    </w:p>
    <w:p w14:paraId="5307A6F0" w14:textId="059DBB7A" w:rsidR="00DD7332" w:rsidRDefault="00DD7332" w:rsidP="006D61C2">
      <w:pPr>
        <w:spacing w:line="360" w:lineRule="auto"/>
        <w:rPr>
          <w:bCs/>
          <w:color w:val="000000"/>
        </w:rPr>
      </w:pPr>
      <w:r>
        <w:rPr>
          <w:bCs/>
          <w:color w:val="000000"/>
        </w:rPr>
        <w:t>Allan Charles Dell’Ario</w:t>
      </w:r>
      <w:r w:rsidR="00260A7B">
        <w:rPr>
          <w:bCs/>
          <w:color w:val="000000"/>
        </w:rPr>
        <w:t xml:space="preserve"> under appointment by the First District Appellate Project’s Independent Case System on behalf of Defendant and Appellant. </w:t>
      </w:r>
    </w:p>
    <w:p w14:paraId="2FE7DBBA" w14:textId="6CE54808" w:rsidR="00260A7B" w:rsidRDefault="00260A7B" w:rsidP="006D61C2">
      <w:pPr>
        <w:spacing w:line="360" w:lineRule="auto"/>
        <w:rPr>
          <w:bCs/>
          <w:color w:val="000000"/>
        </w:rPr>
      </w:pPr>
    </w:p>
    <w:p w14:paraId="33095677" w14:textId="584C5DC9" w:rsidR="00260A7B" w:rsidRDefault="00260A7B" w:rsidP="006D61C2">
      <w:pPr>
        <w:spacing w:line="360" w:lineRule="auto"/>
        <w:rPr>
          <w:bCs/>
          <w:color w:val="000000"/>
        </w:rPr>
      </w:pPr>
      <w:r>
        <w:rPr>
          <w:bCs/>
          <w:color w:val="000000"/>
        </w:rPr>
        <w:t xml:space="preserve">Rob Bonta, </w:t>
      </w:r>
      <w:r w:rsidRPr="00260A7B">
        <w:rPr>
          <w:bCs/>
          <w:color w:val="000000"/>
        </w:rPr>
        <w:t>Attorney General</w:t>
      </w:r>
      <w:r>
        <w:rPr>
          <w:bCs/>
          <w:color w:val="000000"/>
        </w:rPr>
        <w:t xml:space="preserve">, </w:t>
      </w:r>
      <w:r w:rsidRPr="00260A7B">
        <w:rPr>
          <w:bCs/>
          <w:color w:val="000000"/>
        </w:rPr>
        <w:t>L</w:t>
      </w:r>
      <w:r>
        <w:rPr>
          <w:bCs/>
          <w:color w:val="000000"/>
        </w:rPr>
        <w:t xml:space="preserve">ancee </w:t>
      </w:r>
      <w:r w:rsidRPr="00260A7B">
        <w:rPr>
          <w:bCs/>
          <w:color w:val="000000"/>
        </w:rPr>
        <w:t>W</w:t>
      </w:r>
      <w:r>
        <w:rPr>
          <w:bCs/>
          <w:color w:val="000000"/>
        </w:rPr>
        <w:t xml:space="preserve">inters, </w:t>
      </w:r>
      <w:r w:rsidRPr="00260A7B">
        <w:rPr>
          <w:bCs/>
          <w:color w:val="000000"/>
        </w:rPr>
        <w:t>Chief Assistant Attorney General</w:t>
      </w:r>
      <w:r>
        <w:rPr>
          <w:bCs/>
          <w:color w:val="000000"/>
        </w:rPr>
        <w:t xml:space="preserve">, </w:t>
      </w:r>
      <w:r w:rsidRPr="00260A7B">
        <w:rPr>
          <w:bCs/>
          <w:color w:val="000000"/>
        </w:rPr>
        <w:t>J</w:t>
      </w:r>
      <w:r>
        <w:rPr>
          <w:bCs/>
          <w:color w:val="000000"/>
        </w:rPr>
        <w:t xml:space="preserve">effrey </w:t>
      </w:r>
      <w:r w:rsidRPr="00260A7B">
        <w:rPr>
          <w:bCs/>
          <w:color w:val="000000"/>
        </w:rPr>
        <w:t>M</w:t>
      </w:r>
      <w:r>
        <w:rPr>
          <w:bCs/>
          <w:color w:val="000000"/>
        </w:rPr>
        <w:t xml:space="preserve">. </w:t>
      </w:r>
      <w:r w:rsidRPr="00260A7B">
        <w:rPr>
          <w:bCs/>
          <w:color w:val="000000"/>
        </w:rPr>
        <w:t>L</w:t>
      </w:r>
      <w:r>
        <w:rPr>
          <w:bCs/>
          <w:color w:val="000000"/>
        </w:rPr>
        <w:t xml:space="preserve">aurence, </w:t>
      </w:r>
      <w:r w:rsidRPr="00260A7B">
        <w:rPr>
          <w:bCs/>
          <w:color w:val="000000"/>
        </w:rPr>
        <w:t>Senior Assistant Attorney General</w:t>
      </w:r>
      <w:r>
        <w:rPr>
          <w:bCs/>
          <w:color w:val="000000"/>
        </w:rPr>
        <w:t xml:space="preserve">, Alice B. Lustre, </w:t>
      </w:r>
      <w:r w:rsidRPr="00260A7B">
        <w:rPr>
          <w:bCs/>
          <w:color w:val="000000"/>
        </w:rPr>
        <w:t>Supervising Deputy Attorney</w:t>
      </w:r>
      <w:r>
        <w:rPr>
          <w:bCs/>
          <w:color w:val="000000"/>
        </w:rPr>
        <w:t xml:space="preserve"> </w:t>
      </w:r>
      <w:r w:rsidRPr="00260A7B">
        <w:rPr>
          <w:bCs/>
          <w:color w:val="000000"/>
        </w:rPr>
        <w:t>General</w:t>
      </w:r>
      <w:r>
        <w:rPr>
          <w:bCs/>
          <w:color w:val="000000"/>
        </w:rPr>
        <w:t xml:space="preserve"> Catherine A. Rivlin, </w:t>
      </w:r>
      <w:r w:rsidRPr="00260A7B">
        <w:rPr>
          <w:bCs/>
          <w:color w:val="000000"/>
        </w:rPr>
        <w:t>Supervising Deputy Attorney General</w:t>
      </w:r>
      <w:r>
        <w:rPr>
          <w:bCs/>
          <w:color w:val="000000"/>
        </w:rPr>
        <w:t xml:space="preserve"> on behalf of Plaintiff and Respondent</w:t>
      </w:r>
      <w:r w:rsidR="000C2CE9">
        <w:rPr>
          <w:bCs/>
          <w:color w:val="000000"/>
        </w:rPr>
        <w:softHyphen/>
      </w:r>
      <w:r w:rsidR="000C2CE9">
        <w:rPr>
          <w:bCs/>
          <w:color w:val="000000"/>
        </w:rPr>
        <w:softHyphen/>
      </w:r>
      <w:r w:rsidR="000C2CE9">
        <w:rPr>
          <w:bCs/>
          <w:color w:val="000000"/>
        </w:rPr>
        <w:softHyphen/>
      </w:r>
      <w:r w:rsidR="000C2CE9">
        <w:rPr>
          <w:bCs/>
          <w:color w:val="000000"/>
        </w:rPr>
        <w:softHyphen/>
      </w:r>
      <w:r>
        <w:rPr>
          <w:bCs/>
          <w:color w:val="000000"/>
        </w:rPr>
        <w:t>.</w:t>
      </w:r>
    </w:p>
    <w:p w14:paraId="0ACEEE18" w14:textId="77777777" w:rsidR="00791C44" w:rsidRPr="00791C44" w:rsidRDefault="00791C44" w:rsidP="006D61C2">
      <w:pPr>
        <w:spacing w:line="360" w:lineRule="auto"/>
        <w:rPr>
          <w:bCs/>
          <w:color w:val="000000"/>
        </w:rPr>
      </w:pPr>
    </w:p>
    <w:p w14:paraId="1D958605" w14:textId="77777777" w:rsidR="001563B0" w:rsidRPr="007034DA" w:rsidRDefault="001563B0" w:rsidP="001563B0">
      <w:pPr>
        <w:spacing w:line="240" w:lineRule="auto"/>
        <w:rPr>
          <w:bCs/>
          <w:color w:val="000000"/>
        </w:rPr>
      </w:pPr>
    </w:p>
    <w:sectPr w:rsidR="001563B0" w:rsidRPr="007034DA" w:rsidSect="002B6947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NumType w:start="1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613D4" w14:textId="77777777" w:rsidR="006441A7" w:rsidRDefault="006441A7">
      <w:pPr>
        <w:spacing w:line="240" w:lineRule="auto"/>
      </w:pPr>
      <w:r>
        <w:separator/>
      </w:r>
    </w:p>
  </w:endnote>
  <w:endnote w:type="continuationSeparator" w:id="0">
    <w:p w14:paraId="0EB7D62C" w14:textId="77777777" w:rsidR="006441A7" w:rsidRDefault="006441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50815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D7E0D82" w14:textId="61DDE52C" w:rsidR="002B6947" w:rsidRDefault="002B6947" w:rsidP="002B694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392280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EB2E1C" w14:textId="620EA95F" w:rsidR="002B6947" w:rsidRDefault="002B6947" w:rsidP="002B694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F4645" w14:textId="77777777" w:rsidR="006441A7" w:rsidRDefault="006441A7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14:paraId="344B15FD" w14:textId="77777777" w:rsidR="006441A7" w:rsidRDefault="006441A7">
      <w:pPr>
        <w:spacing w:line="240" w:lineRule="auto"/>
      </w:pPr>
      <w:r>
        <w:continuationSeparator/>
      </w:r>
    </w:p>
  </w:footnote>
  <w:footnote w:id="1">
    <w:p w14:paraId="62CA84C3" w14:textId="5CE27AA7" w:rsidR="00B121D3" w:rsidRPr="008E5587" w:rsidRDefault="00B121D3" w:rsidP="008E5587">
      <w:pPr>
        <w:pStyle w:val="FootnoteText"/>
        <w:spacing w:before="120" w:after="120"/>
        <w:rPr>
          <w:sz w:val="26"/>
          <w:szCs w:val="26"/>
        </w:rPr>
      </w:pPr>
      <w:r w:rsidRPr="008E5587">
        <w:rPr>
          <w:rStyle w:val="FootnoteReference"/>
          <w:sz w:val="26"/>
          <w:szCs w:val="26"/>
        </w:rPr>
        <w:t>*</w:t>
      </w:r>
      <w:r w:rsidRPr="008E5587">
        <w:rPr>
          <w:sz w:val="26"/>
          <w:szCs w:val="26"/>
        </w:rPr>
        <w:t xml:space="preserve"> </w:t>
      </w:r>
      <w:r w:rsidRPr="008E5587">
        <w:rPr>
          <w:sz w:val="26"/>
          <w:szCs w:val="26"/>
        </w:rPr>
        <w:tab/>
        <w:t>Pursuant to California Rules of Court, rules 8.1105(b) and 8.1110, this opinion is certified for publication with the exception of parts B</w:t>
      </w:r>
      <w:r w:rsidR="00DB1A1E">
        <w:rPr>
          <w:sz w:val="26"/>
          <w:szCs w:val="26"/>
        </w:rPr>
        <w:t xml:space="preserve"> and</w:t>
      </w:r>
      <w:r w:rsidRPr="008E5587">
        <w:rPr>
          <w:sz w:val="26"/>
          <w:szCs w:val="26"/>
        </w:rPr>
        <w:t xml:space="preserve"> C of the Discussion.</w:t>
      </w:r>
    </w:p>
  </w:footnote>
  <w:footnote w:id="2">
    <w:p w14:paraId="4DA2AE74" w14:textId="77777777" w:rsidR="00DE160D" w:rsidRPr="004342A5" w:rsidRDefault="00DE160D" w:rsidP="001662FE">
      <w:pPr>
        <w:pStyle w:val="FootnoteText"/>
        <w:spacing w:after="120"/>
        <w:rPr>
          <w:sz w:val="26"/>
        </w:rPr>
      </w:pPr>
      <w:r w:rsidRPr="004342A5">
        <w:rPr>
          <w:rStyle w:val="FootnoteReference"/>
          <w:sz w:val="26"/>
        </w:rPr>
        <w:footnoteRef/>
      </w:r>
      <w:r w:rsidRPr="004342A5">
        <w:rPr>
          <w:sz w:val="26"/>
        </w:rPr>
        <w:t xml:space="preserve"> </w:t>
      </w:r>
      <w:r w:rsidRPr="004342A5">
        <w:rPr>
          <w:sz w:val="26"/>
        </w:rPr>
        <w:tab/>
        <w:t>All further statutory references are to the Penal Code unless otherwise provided.</w:t>
      </w:r>
    </w:p>
  </w:footnote>
  <w:footnote w:id="3">
    <w:p w14:paraId="6A73AFCE" w14:textId="71EAD0F9" w:rsidR="00DE160D" w:rsidRPr="000C27B9" w:rsidRDefault="00DE160D" w:rsidP="00890BA3">
      <w:pPr>
        <w:pStyle w:val="FootnoteText"/>
        <w:spacing w:after="120"/>
        <w:rPr>
          <w:sz w:val="26"/>
          <w:szCs w:val="26"/>
        </w:rPr>
      </w:pPr>
      <w:r w:rsidRPr="000C27B9">
        <w:rPr>
          <w:rStyle w:val="FootnoteReference"/>
          <w:sz w:val="26"/>
          <w:szCs w:val="26"/>
        </w:rPr>
        <w:footnoteRef/>
      </w:r>
      <w:r w:rsidRPr="000C27B9"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="0060790C" w:rsidRPr="0060790C">
        <w:rPr>
          <w:sz w:val="26"/>
          <w:szCs w:val="26"/>
        </w:rPr>
        <w:t xml:space="preserve">Assembly Bill </w:t>
      </w:r>
      <w:r>
        <w:rPr>
          <w:sz w:val="26"/>
          <w:szCs w:val="26"/>
        </w:rPr>
        <w:t>1950’s provisions were retained in full when section 1203.1 was later repealed and added again as section 1203.1.  (Stats. 2021, ch. 257, §§ 21–22 (Assem. Bill No. 177)</w:t>
      </w:r>
      <w:r w:rsidR="00670DA9">
        <w:rPr>
          <w:sz w:val="26"/>
          <w:szCs w:val="26"/>
        </w:rPr>
        <w:t>.</w:t>
      </w:r>
      <w:r>
        <w:rPr>
          <w:sz w:val="26"/>
          <w:szCs w:val="26"/>
        </w:rPr>
        <w:t>)  As relevant here, however, former section 1203.1, subdivision (m), was redesignated as section 1203.1, subdivision (</w:t>
      </w:r>
      <w:r w:rsidRPr="003A4941">
        <w:rPr>
          <w:sz w:val="26"/>
          <w:szCs w:val="26"/>
        </w:rPr>
        <w:t>l</w:t>
      </w:r>
      <w:r>
        <w:rPr>
          <w:sz w:val="26"/>
          <w:szCs w:val="26"/>
        </w:rPr>
        <w:t>).  Henceforth, this opinion will cite to the current version of the statute.</w:t>
      </w:r>
    </w:p>
  </w:footnote>
  <w:footnote w:id="4">
    <w:p w14:paraId="2FDDD4C8" w14:textId="19CA0A55" w:rsidR="00DE160D" w:rsidRPr="004342A5" w:rsidRDefault="00DE160D" w:rsidP="00914A95">
      <w:pPr>
        <w:pStyle w:val="FootnoteText"/>
        <w:spacing w:after="120"/>
        <w:rPr>
          <w:sz w:val="26"/>
        </w:rPr>
      </w:pPr>
      <w:r w:rsidRPr="004342A5">
        <w:rPr>
          <w:rStyle w:val="FootnoteReference"/>
          <w:sz w:val="26"/>
        </w:rPr>
        <w:footnoteRef/>
      </w:r>
      <w:r w:rsidRPr="004342A5">
        <w:rPr>
          <w:sz w:val="26"/>
        </w:rPr>
        <w:t xml:space="preserve"> </w:t>
      </w:r>
      <w:r w:rsidRPr="004342A5">
        <w:rPr>
          <w:sz w:val="26"/>
        </w:rPr>
        <w:tab/>
      </w:r>
      <w:r>
        <w:rPr>
          <w:sz w:val="26"/>
        </w:rPr>
        <w:t>Having reached</w:t>
      </w:r>
      <w:r w:rsidRPr="004342A5">
        <w:rPr>
          <w:sz w:val="26"/>
        </w:rPr>
        <w:t xml:space="preserve"> this con</w:t>
      </w:r>
      <w:r>
        <w:rPr>
          <w:sz w:val="26"/>
        </w:rPr>
        <w:t>clusion</w:t>
      </w:r>
      <w:r w:rsidRPr="004342A5">
        <w:rPr>
          <w:sz w:val="26"/>
        </w:rPr>
        <w:t xml:space="preserve">, we need not and do not address the People’s arguments that defendant is not entitled to the benefit of the law as amended by </w:t>
      </w:r>
      <w:r w:rsidR="0060790C" w:rsidRPr="0060790C">
        <w:rPr>
          <w:sz w:val="26"/>
        </w:rPr>
        <w:t xml:space="preserve">Assembly Bill </w:t>
      </w:r>
      <w:r w:rsidRPr="004342A5">
        <w:rPr>
          <w:sz w:val="26"/>
        </w:rPr>
        <w:t>1950 because defendant’s burglary conviction qualifies as a violent felony, or that probation was actually terminated during defendant’s second year of probation.</w:t>
      </w:r>
    </w:p>
  </w:footnote>
  <w:footnote w:id="5">
    <w:p w14:paraId="6D7D05DE" w14:textId="3CE4FA0A" w:rsidR="00DE160D" w:rsidRPr="004342A5" w:rsidRDefault="00DE160D" w:rsidP="004342A5">
      <w:pPr>
        <w:pStyle w:val="FootnoteText"/>
        <w:spacing w:after="120"/>
        <w:rPr>
          <w:sz w:val="26"/>
        </w:rPr>
      </w:pPr>
      <w:r w:rsidRPr="004342A5">
        <w:rPr>
          <w:rStyle w:val="FootnoteReference"/>
          <w:sz w:val="26"/>
        </w:rPr>
        <w:footnoteRef/>
      </w:r>
      <w:r w:rsidRPr="004342A5">
        <w:rPr>
          <w:sz w:val="26"/>
        </w:rPr>
        <w:t xml:space="preserve"> </w:t>
      </w:r>
      <w:r w:rsidRPr="004342A5">
        <w:rPr>
          <w:sz w:val="26"/>
        </w:rPr>
        <w:tab/>
        <w:t xml:space="preserve">The </w:t>
      </w:r>
      <w:r>
        <w:rPr>
          <w:sz w:val="26"/>
        </w:rPr>
        <w:t>reporter’s transcript</w:t>
      </w:r>
      <w:r w:rsidRPr="004342A5">
        <w:rPr>
          <w:sz w:val="26"/>
        </w:rPr>
        <w:t xml:space="preserve"> </w:t>
      </w:r>
      <w:r>
        <w:rPr>
          <w:sz w:val="26"/>
        </w:rPr>
        <w:t xml:space="preserve">of the revocation hearing on </w:t>
      </w:r>
      <w:r w:rsidRPr="004342A5">
        <w:rPr>
          <w:sz w:val="26"/>
        </w:rPr>
        <w:t>November 21, 2017</w:t>
      </w:r>
      <w:r>
        <w:rPr>
          <w:sz w:val="26"/>
        </w:rPr>
        <w:t xml:space="preserve">, </w:t>
      </w:r>
      <w:r w:rsidRPr="004342A5">
        <w:rPr>
          <w:sz w:val="26"/>
        </w:rPr>
        <w:t xml:space="preserve">indicates defendant was taken into custody in connection with his 2017 revocation proceedings on October 24, 2017, but a minute order in the </w:t>
      </w:r>
      <w:r>
        <w:rPr>
          <w:sz w:val="26"/>
        </w:rPr>
        <w:t xml:space="preserve">clerk’s transcript </w:t>
      </w:r>
      <w:r w:rsidRPr="004342A5">
        <w:rPr>
          <w:sz w:val="26"/>
        </w:rPr>
        <w:t xml:space="preserve">seems to indicate he was taken into custody </w:t>
      </w:r>
      <w:r>
        <w:rPr>
          <w:sz w:val="26"/>
        </w:rPr>
        <w:t xml:space="preserve">on </w:t>
      </w:r>
      <w:r w:rsidRPr="004342A5">
        <w:rPr>
          <w:sz w:val="26"/>
        </w:rPr>
        <w:t xml:space="preserve">October 16, 2017. </w:t>
      </w:r>
      <w:r>
        <w:rPr>
          <w:sz w:val="26"/>
        </w:rPr>
        <w:t xml:space="preserve"> </w:t>
      </w:r>
      <w:r w:rsidRPr="004342A5">
        <w:rPr>
          <w:sz w:val="26"/>
        </w:rPr>
        <w:t xml:space="preserve">In any event, we need not resolve that discrepancy here.  </w:t>
      </w:r>
      <w:r>
        <w:rPr>
          <w:sz w:val="26"/>
        </w:rPr>
        <w:t>We leave it to the trial court to determine the correct number of credits to be awarded on remand.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8173C" w14:textId="77777777" w:rsidR="00DE160D" w:rsidRDefault="00DE160D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C2BD6" w14:textId="77777777" w:rsidR="00DE160D" w:rsidRDefault="00DE160D" w:rsidP="00E034A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9420E8"/>
    <w:multiLevelType w:val="multilevel"/>
    <w:tmpl w:val="51A6E2B8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D891287"/>
    <w:multiLevelType w:val="hybridMultilevel"/>
    <w:tmpl w:val="AAFC179E"/>
    <w:lvl w:ilvl="0" w:tplc="6510A6C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12835B1"/>
    <w:multiLevelType w:val="hybridMultilevel"/>
    <w:tmpl w:val="F9086324"/>
    <w:lvl w:ilvl="0" w:tplc="982C57A6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8882648"/>
    <w:multiLevelType w:val="multilevel"/>
    <w:tmpl w:val="BD12F8AC"/>
    <w:lvl w:ilvl="0">
      <w:start w:val="2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7DE0DB3"/>
    <w:multiLevelType w:val="hybridMultilevel"/>
    <w:tmpl w:val="3F4EF3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7F71292"/>
    <w:multiLevelType w:val="multilevel"/>
    <w:tmpl w:val="40BE21D2"/>
    <w:lvl w:ilvl="0">
      <w:start w:val="3"/>
      <w:numFmt w:val="upperLetter"/>
      <w:lvlText w:val="%1."/>
      <w:lvlJc w:val="left"/>
      <w:pPr>
        <w:ind w:left="1080" w:hanging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C6C0D40"/>
    <w:multiLevelType w:val="multilevel"/>
    <w:tmpl w:val="E67E2478"/>
    <w:lvl w:ilvl="0">
      <w:start w:val="2"/>
      <w:numFmt w:val="decimal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defaultTabStop w:val="720"/>
  <w:autoHyphenation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85D"/>
    <w:rsid w:val="0000021D"/>
    <w:rsid w:val="000004CC"/>
    <w:rsid w:val="000016D6"/>
    <w:rsid w:val="0000289E"/>
    <w:rsid w:val="00003F50"/>
    <w:rsid w:val="0000490D"/>
    <w:rsid w:val="0001029F"/>
    <w:rsid w:val="00011860"/>
    <w:rsid w:val="00011A83"/>
    <w:rsid w:val="00012825"/>
    <w:rsid w:val="00012CA1"/>
    <w:rsid w:val="00012F21"/>
    <w:rsid w:val="000200E5"/>
    <w:rsid w:val="000222BE"/>
    <w:rsid w:val="0002487C"/>
    <w:rsid w:val="00024E63"/>
    <w:rsid w:val="000258E8"/>
    <w:rsid w:val="00025C0D"/>
    <w:rsid w:val="0002642A"/>
    <w:rsid w:val="00026C09"/>
    <w:rsid w:val="000301ED"/>
    <w:rsid w:val="00030473"/>
    <w:rsid w:val="00033A60"/>
    <w:rsid w:val="0003502C"/>
    <w:rsid w:val="00035513"/>
    <w:rsid w:val="000369FB"/>
    <w:rsid w:val="00037070"/>
    <w:rsid w:val="00040503"/>
    <w:rsid w:val="000412CA"/>
    <w:rsid w:val="000412E1"/>
    <w:rsid w:val="00041E0D"/>
    <w:rsid w:val="0004233C"/>
    <w:rsid w:val="000430F2"/>
    <w:rsid w:val="0005086C"/>
    <w:rsid w:val="00054BE4"/>
    <w:rsid w:val="00056448"/>
    <w:rsid w:val="00060B57"/>
    <w:rsid w:val="00061930"/>
    <w:rsid w:val="00062A38"/>
    <w:rsid w:val="0006437E"/>
    <w:rsid w:val="00067731"/>
    <w:rsid w:val="00070BC9"/>
    <w:rsid w:val="000722E7"/>
    <w:rsid w:val="00072914"/>
    <w:rsid w:val="00073CC2"/>
    <w:rsid w:val="00073D9E"/>
    <w:rsid w:val="000749D0"/>
    <w:rsid w:val="00074B33"/>
    <w:rsid w:val="00074D95"/>
    <w:rsid w:val="000765D6"/>
    <w:rsid w:val="00076FAE"/>
    <w:rsid w:val="00077DD3"/>
    <w:rsid w:val="00080205"/>
    <w:rsid w:val="00082B40"/>
    <w:rsid w:val="00083513"/>
    <w:rsid w:val="00083B99"/>
    <w:rsid w:val="00083C9A"/>
    <w:rsid w:val="000857DB"/>
    <w:rsid w:val="000857E9"/>
    <w:rsid w:val="000860B7"/>
    <w:rsid w:val="000908FD"/>
    <w:rsid w:val="00091808"/>
    <w:rsid w:val="00091B98"/>
    <w:rsid w:val="00092286"/>
    <w:rsid w:val="00093316"/>
    <w:rsid w:val="0009453C"/>
    <w:rsid w:val="00095916"/>
    <w:rsid w:val="00096AF5"/>
    <w:rsid w:val="00097EA9"/>
    <w:rsid w:val="000A107F"/>
    <w:rsid w:val="000A1AC7"/>
    <w:rsid w:val="000A1F3C"/>
    <w:rsid w:val="000A1FE7"/>
    <w:rsid w:val="000A2491"/>
    <w:rsid w:val="000A2CCB"/>
    <w:rsid w:val="000A4D65"/>
    <w:rsid w:val="000A7D61"/>
    <w:rsid w:val="000B08AD"/>
    <w:rsid w:val="000B10B2"/>
    <w:rsid w:val="000B1317"/>
    <w:rsid w:val="000B2796"/>
    <w:rsid w:val="000C27B9"/>
    <w:rsid w:val="000C2CE9"/>
    <w:rsid w:val="000C3FCF"/>
    <w:rsid w:val="000C4526"/>
    <w:rsid w:val="000D011D"/>
    <w:rsid w:val="000D02FF"/>
    <w:rsid w:val="000D059A"/>
    <w:rsid w:val="000D0B66"/>
    <w:rsid w:val="000D1E29"/>
    <w:rsid w:val="000D2010"/>
    <w:rsid w:val="000D240D"/>
    <w:rsid w:val="000D5399"/>
    <w:rsid w:val="000D68FA"/>
    <w:rsid w:val="000E0569"/>
    <w:rsid w:val="000E0F5C"/>
    <w:rsid w:val="000E4D68"/>
    <w:rsid w:val="000E5275"/>
    <w:rsid w:val="000E6968"/>
    <w:rsid w:val="000F06FC"/>
    <w:rsid w:val="000F1156"/>
    <w:rsid w:val="000F12CE"/>
    <w:rsid w:val="000F504B"/>
    <w:rsid w:val="000F52A8"/>
    <w:rsid w:val="000F7FD8"/>
    <w:rsid w:val="00102185"/>
    <w:rsid w:val="001024C7"/>
    <w:rsid w:val="001027FE"/>
    <w:rsid w:val="00102AE8"/>
    <w:rsid w:val="001050FA"/>
    <w:rsid w:val="00105D3B"/>
    <w:rsid w:val="00110587"/>
    <w:rsid w:val="00114FE9"/>
    <w:rsid w:val="00116C31"/>
    <w:rsid w:val="001174AF"/>
    <w:rsid w:val="00121242"/>
    <w:rsid w:val="00124929"/>
    <w:rsid w:val="0012549C"/>
    <w:rsid w:val="001254C1"/>
    <w:rsid w:val="001263FA"/>
    <w:rsid w:val="001301C1"/>
    <w:rsid w:val="00131B1F"/>
    <w:rsid w:val="001320A7"/>
    <w:rsid w:val="00132105"/>
    <w:rsid w:val="001335DD"/>
    <w:rsid w:val="00134122"/>
    <w:rsid w:val="00134FED"/>
    <w:rsid w:val="00136F21"/>
    <w:rsid w:val="00137499"/>
    <w:rsid w:val="00140564"/>
    <w:rsid w:val="0014379C"/>
    <w:rsid w:val="001438E3"/>
    <w:rsid w:val="00147C35"/>
    <w:rsid w:val="001502FB"/>
    <w:rsid w:val="0015294D"/>
    <w:rsid w:val="00155012"/>
    <w:rsid w:val="001563B0"/>
    <w:rsid w:val="001569F9"/>
    <w:rsid w:val="00156F8E"/>
    <w:rsid w:val="001600C3"/>
    <w:rsid w:val="00160125"/>
    <w:rsid w:val="00160C0C"/>
    <w:rsid w:val="001662FE"/>
    <w:rsid w:val="001677E9"/>
    <w:rsid w:val="00171AC4"/>
    <w:rsid w:val="00173188"/>
    <w:rsid w:val="00174664"/>
    <w:rsid w:val="0017478C"/>
    <w:rsid w:val="0017540D"/>
    <w:rsid w:val="001771F4"/>
    <w:rsid w:val="00177699"/>
    <w:rsid w:val="00177905"/>
    <w:rsid w:val="001834C0"/>
    <w:rsid w:val="001841CA"/>
    <w:rsid w:val="0019196A"/>
    <w:rsid w:val="0019298B"/>
    <w:rsid w:val="00192E58"/>
    <w:rsid w:val="001947D6"/>
    <w:rsid w:val="001963BC"/>
    <w:rsid w:val="0019687A"/>
    <w:rsid w:val="001A2246"/>
    <w:rsid w:val="001A35AB"/>
    <w:rsid w:val="001A4537"/>
    <w:rsid w:val="001A4A77"/>
    <w:rsid w:val="001A558D"/>
    <w:rsid w:val="001A6CD8"/>
    <w:rsid w:val="001A7200"/>
    <w:rsid w:val="001A7B40"/>
    <w:rsid w:val="001B084D"/>
    <w:rsid w:val="001B20F4"/>
    <w:rsid w:val="001B24C2"/>
    <w:rsid w:val="001B25A1"/>
    <w:rsid w:val="001B3084"/>
    <w:rsid w:val="001B3289"/>
    <w:rsid w:val="001B3516"/>
    <w:rsid w:val="001B3B92"/>
    <w:rsid w:val="001B3BF5"/>
    <w:rsid w:val="001B4801"/>
    <w:rsid w:val="001B7891"/>
    <w:rsid w:val="001C094B"/>
    <w:rsid w:val="001C1719"/>
    <w:rsid w:val="001C291E"/>
    <w:rsid w:val="001C4346"/>
    <w:rsid w:val="001C7190"/>
    <w:rsid w:val="001D265C"/>
    <w:rsid w:val="001D4073"/>
    <w:rsid w:val="001D4D17"/>
    <w:rsid w:val="001E130E"/>
    <w:rsid w:val="001E1510"/>
    <w:rsid w:val="001E17DE"/>
    <w:rsid w:val="001E3EFE"/>
    <w:rsid w:val="001E468E"/>
    <w:rsid w:val="001E6D5F"/>
    <w:rsid w:val="001F1672"/>
    <w:rsid w:val="001F33DB"/>
    <w:rsid w:val="001F3CD3"/>
    <w:rsid w:val="001F69B8"/>
    <w:rsid w:val="001F77C5"/>
    <w:rsid w:val="002000AA"/>
    <w:rsid w:val="00200EEA"/>
    <w:rsid w:val="00201117"/>
    <w:rsid w:val="00201607"/>
    <w:rsid w:val="00201A88"/>
    <w:rsid w:val="002052CD"/>
    <w:rsid w:val="00205D78"/>
    <w:rsid w:val="002068F4"/>
    <w:rsid w:val="00206BE7"/>
    <w:rsid w:val="00207545"/>
    <w:rsid w:val="00210284"/>
    <w:rsid w:val="00210BFC"/>
    <w:rsid w:val="00213E0B"/>
    <w:rsid w:val="002161E8"/>
    <w:rsid w:val="00221272"/>
    <w:rsid w:val="00224942"/>
    <w:rsid w:val="00224F23"/>
    <w:rsid w:val="002256EF"/>
    <w:rsid w:val="00227591"/>
    <w:rsid w:val="00227702"/>
    <w:rsid w:val="0023071D"/>
    <w:rsid w:val="00230E87"/>
    <w:rsid w:val="00232F2E"/>
    <w:rsid w:val="00233575"/>
    <w:rsid w:val="00234BC9"/>
    <w:rsid w:val="002361CE"/>
    <w:rsid w:val="00237E65"/>
    <w:rsid w:val="00243FAE"/>
    <w:rsid w:val="00244D0A"/>
    <w:rsid w:val="00244FC8"/>
    <w:rsid w:val="0024663D"/>
    <w:rsid w:val="00246E2F"/>
    <w:rsid w:val="00254946"/>
    <w:rsid w:val="0026082A"/>
    <w:rsid w:val="00260A7B"/>
    <w:rsid w:val="00260C93"/>
    <w:rsid w:val="00263E95"/>
    <w:rsid w:val="0027021A"/>
    <w:rsid w:val="002703CF"/>
    <w:rsid w:val="002728B4"/>
    <w:rsid w:val="00272C66"/>
    <w:rsid w:val="0027348C"/>
    <w:rsid w:val="002753CC"/>
    <w:rsid w:val="00275C4D"/>
    <w:rsid w:val="0027605C"/>
    <w:rsid w:val="00276094"/>
    <w:rsid w:val="002766D4"/>
    <w:rsid w:val="0027770C"/>
    <w:rsid w:val="0028069B"/>
    <w:rsid w:val="00280889"/>
    <w:rsid w:val="00281E5F"/>
    <w:rsid w:val="00284C99"/>
    <w:rsid w:val="00285842"/>
    <w:rsid w:val="00290B84"/>
    <w:rsid w:val="00293800"/>
    <w:rsid w:val="0029620B"/>
    <w:rsid w:val="002A139B"/>
    <w:rsid w:val="002A1938"/>
    <w:rsid w:val="002A1AD1"/>
    <w:rsid w:val="002A1F1B"/>
    <w:rsid w:val="002A2908"/>
    <w:rsid w:val="002A2CE1"/>
    <w:rsid w:val="002A2D15"/>
    <w:rsid w:val="002A331F"/>
    <w:rsid w:val="002A387A"/>
    <w:rsid w:val="002A3CE2"/>
    <w:rsid w:val="002A49C7"/>
    <w:rsid w:val="002A7B6A"/>
    <w:rsid w:val="002B1A92"/>
    <w:rsid w:val="002B1F47"/>
    <w:rsid w:val="002B2D4F"/>
    <w:rsid w:val="002B3778"/>
    <w:rsid w:val="002B397A"/>
    <w:rsid w:val="002B3F64"/>
    <w:rsid w:val="002B6947"/>
    <w:rsid w:val="002C03B3"/>
    <w:rsid w:val="002C135A"/>
    <w:rsid w:val="002C31C1"/>
    <w:rsid w:val="002C3C74"/>
    <w:rsid w:val="002C3DB7"/>
    <w:rsid w:val="002C4ACF"/>
    <w:rsid w:val="002C5A2A"/>
    <w:rsid w:val="002D03A0"/>
    <w:rsid w:val="002D05FA"/>
    <w:rsid w:val="002D144E"/>
    <w:rsid w:val="002D2865"/>
    <w:rsid w:val="002D3D31"/>
    <w:rsid w:val="002D4D70"/>
    <w:rsid w:val="002D513E"/>
    <w:rsid w:val="002D662B"/>
    <w:rsid w:val="002D6A63"/>
    <w:rsid w:val="002D7192"/>
    <w:rsid w:val="002D745F"/>
    <w:rsid w:val="002D79FF"/>
    <w:rsid w:val="002E2121"/>
    <w:rsid w:val="002E29C3"/>
    <w:rsid w:val="002E62CB"/>
    <w:rsid w:val="002F1C7A"/>
    <w:rsid w:val="002F4737"/>
    <w:rsid w:val="002F5739"/>
    <w:rsid w:val="002F6358"/>
    <w:rsid w:val="002F7FE7"/>
    <w:rsid w:val="003002F7"/>
    <w:rsid w:val="00300CF9"/>
    <w:rsid w:val="0030146F"/>
    <w:rsid w:val="00301B61"/>
    <w:rsid w:val="0030256E"/>
    <w:rsid w:val="0030420A"/>
    <w:rsid w:val="00304291"/>
    <w:rsid w:val="00304AD4"/>
    <w:rsid w:val="00306065"/>
    <w:rsid w:val="003062CB"/>
    <w:rsid w:val="00306B22"/>
    <w:rsid w:val="0030757C"/>
    <w:rsid w:val="0031192E"/>
    <w:rsid w:val="00313FFE"/>
    <w:rsid w:val="0031511B"/>
    <w:rsid w:val="00315CA0"/>
    <w:rsid w:val="00316DB9"/>
    <w:rsid w:val="003215F3"/>
    <w:rsid w:val="0032193B"/>
    <w:rsid w:val="00322B94"/>
    <w:rsid w:val="003234B5"/>
    <w:rsid w:val="00323A5B"/>
    <w:rsid w:val="00323BEA"/>
    <w:rsid w:val="00326A5B"/>
    <w:rsid w:val="00327075"/>
    <w:rsid w:val="0032736A"/>
    <w:rsid w:val="00327530"/>
    <w:rsid w:val="003279FE"/>
    <w:rsid w:val="00334B17"/>
    <w:rsid w:val="003373D1"/>
    <w:rsid w:val="00341D96"/>
    <w:rsid w:val="003423C4"/>
    <w:rsid w:val="00345A74"/>
    <w:rsid w:val="00345C50"/>
    <w:rsid w:val="00346A8E"/>
    <w:rsid w:val="00350C10"/>
    <w:rsid w:val="00350ED4"/>
    <w:rsid w:val="00352BB4"/>
    <w:rsid w:val="00352FCA"/>
    <w:rsid w:val="0035388A"/>
    <w:rsid w:val="00353A02"/>
    <w:rsid w:val="00357C46"/>
    <w:rsid w:val="003606B7"/>
    <w:rsid w:val="00360ECE"/>
    <w:rsid w:val="003612F8"/>
    <w:rsid w:val="00361FA7"/>
    <w:rsid w:val="003626BE"/>
    <w:rsid w:val="003627CF"/>
    <w:rsid w:val="00366117"/>
    <w:rsid w:val="00367B1B"/>
    <w:rsid w:val="00371EF3"/>
    <w:rsid w:val="00374012"/>
    <w:rsid w:val="003756B4"/>
    <w:rsid w:val="0037763F"/>
    <w:rsid w:val="003811CE"/>
    <w:rsid w:val="00381B90"/>
    <w:rsid w:val="00382A79"/>
    <w:rsid w:val="003835E4"/>
    <w:rsid w:val="00383A15"/>
    <w:rsid w:val="0038432F"/>
    <w:rsid w:val="0038442C"/>
    <w:rsid w:val="003851EF"/>
    <w:rsid w:val="00387528"/>
    <w:rsid w:val="00391285"/>
    <w:rsid w:val="00392BC4"/>
    <w:rsid w:val="003941DB"/>
    <w:rsid w:val="003945F9"/>
    <w:rsid w:val="00395626"/>
    <w:rsid w:val="003A038F"/>
    <w:rsid w:val="003A0DB6"/>
    <w:rsid w:val="003A0E4D"/>
    <w:rsid w:val="003A133E"/>
    <w:rsid w:val="003A222D"/>
    <w:rsid w:val="003A2BDC"/>
    <w:rsid w:val="003A367B"/>
    <w:rsid w:val="003A3AB9"/>
    <w:rsid w:val="003A43AF"/>
    <w:rsid w:val="003A4523"/>
    <w:rsid w:val="003A4941"/>
    <w:rsid w:val="003A4A6C"/>
    <w:rsid w:val="003A63A3"/>
    <w:rsid w:val="003B009D"/>
    <w:rsid w:val="003B1348"/>
    <w:rsid w:val="003B2694"/>
    <w:rsid w:val="003B2DEA"/>
    <w:rsid w:val="003B31F4"/>
    <w:rsid w:val="003B377C"/>
    <w:rsid w:val="003B3ADF"/>
    <w:rsid w:val="003B6608"/>
    <w:rsid w:val="003B6AFA"/>
    <w:rsid w:val="003B6C72"/>
    <w:rsid w:val="003C2BFC"/>
    <w:rsid w:val="003C4072"/>
    <w:rsid w:val="003C4992"/>
    <w:rsid w:val="003C51A4"/>
    <w:rsid w:val="003C5C69"/>
    <w:rsid w:val="003C6912"/>
    <w:rsid w:val="003D1623"/>
    <w:rsid w:val="003D37CB"/>
    <w:rsid w:val="003D3F57"/>
    <w:rsid w:val="003D4D59"/>
    <w:rsid w:val="003D5492"/>
    <w:rsid w:val="003D61E4"/>
    <w:rsid w:val="003D65AE"/>
    <w:rsid w:val="003D67BB"/>
    <w:rsid w:val="003D7408"/>
    <w:rsid w:val="003E0294"/>
    <w:rsid w:val="003E0928"/>
    <w:rsid w:val="003E0AE3"/>
    <w:rsid w:val="003E0E8E"/>
    <w:rsid w:val="003E1A54"/>
    <w:rsid w:val="003E3CBA"/>
    <w:rsid w:val="003E4933"/>
    <w:rsid w:val="003F55B5"/>
    <w:rsid w:val="00400EEF"/>
    <w:rsid w:val="0040227F"/>
    <w:rsid w:val="004030F8"/>
    <w:rsid w:val="004044AE"/>
    <w:rsid w:val="00404992"/>
    <w:rsid w:val="004064D8"/>
    <w:rsid w:val="00406E63"/>
    <w:rsid w:val="00407C63"/>
    <w:rsid w:val="00411682"/>
    <w:rsid w:val="00414B1A"/>
    <w:rsid w:val="00415FB0"/>
    <w:rsid w:val="00420CBA"/>
    <w:rsid w:val="004211DC"/>
    <w:rsid w:val="00422980"/>
    <w:rsid w:val="00422D23"/>
    <w:rsid w:val="004241AC"/>
    <w:rsid w:val="00426168"/>
    <w:rsid w:val="0042776E"/>
    <w:rsid w:val="004319D2"/>
    <w:rsid w:val="00431AD7"/>
    <w:rsid w:val="00431D69"/>
    <w:rsid w:val="004342A5"/>
    <w:rsid w:val="00434F1F"/>
    <w:rsid w:val="00436D24"/>
    <w:rsid w:val="00437032"/>
    <w:rsid w:val="00437F74"/>
    <w:rsid w:val="00437FFE"/>
    <w:rsid w:val="004401D6"/>
    <w:rsid w:val="004409A2"/>
    <w:rsid w:val="00440E4E"/>
    <w:rsid w:val="00443842"/>
    <w:rsid w:val="00443A33"/>
    <w:rsid w:val="004449FB"/>
    <w:rsid w:val="0045094A"/>
    <w:rsid w:val="004520F0"/>
    <w:rsid w:val="0045331E"/>
    <w:rsid w:val="00453690"/>
    <w:rsid w:val="00455A9B"/>
    <w:rsid w:val="00457451"/>
    <w:rsid w:val="00457CAC"/>
    <w:rsid w:val="00460925"/>
    <w:rsid w:val="00461AEE"/>
    <w:rsid w:val="00462DAD"/>
    <w:rsid w:val="00462FA4"/>
    <w:rsid w:val="00463300"/>
    <w:rsid w:val="00464C45"/>
    <w:rsid w:val="004657CF"/>
    <w:rsid w:val="00465E26"/>
    <w:rsid w:val="00470459"/>
    <w:rsid w:val="004728C0"/>
    <w:rsid w:val="00474EA5"/>
    <w:rsid w:val="00475FFF"/>
    <w:rsid w:val="00480E15"/>
    <w:rsid w:val="0048189F"/>
    <w:rsid w:val="00481CE0"/>
    <w:rsid w:val="0048408E"/>
    <w:rsid w:val="00484B2E"/>
    <w:rsid w:val="00485B63"/>
    <w:rsid w:val="00487C7A"/>
    <w:rsid w:val="0049108C"/>
    <w:rsid w:val="00491347"/>
    <w:rsid w:val="004930E1"/>
    <w:rsid w:val="004A1162"/>
    <w:rsid w:val="004A3E83"/>
    <w:rsid w:val="004A62BB"/>
    <w:rsid w:val="004B2497"/>
    <w:rsid w:val="004B2656"/>
    <w:rsid w:val="004B3FBE"/>
    <w:rsid w:val="004B7D74"/>
    <w:rsid w:val="004B7E24"/>
    <w:rsid w:val="004C0942"/>
    <w:rsid w:val="004C1234"/>
    <w:rsid w:val="004C2CE7"/>
    <w:rsid w:val="004C2DF6"/>
    <w:rsid w:val="004C2FD2"/>
    <w:rsid w:val="004C30B1"/>
    <w:rsid w:val="004C3353"/>
    <w:rsid w:val="004D0FAE"/>
    <w:rsid w:val="004D1268"/>
    <w:rsid w:val="004D173D"/>
    <w:rsid w:val="004D1F04"/>
    <w:rsid w:val="004D55EE"/>
    <w:rsid w:val="004D5F41"/>
    <w:rsid w:val="004E1A11"/>
    <w:rsid w:val="004E1CD4"/>
    <w:rsid w:val="004E2134"/>
    <w:rsid w:val="004E508F"/>
    <w:rsid w:val="004E56F4"/>
    <w:rsid w:val="004E5B7E"/>
    <w:rsid w:val="004E66BC"/>
    <w:rsid w:val="004F0378"/>
    <w:rsid w:val="004F1576"/>
    <w:rsid w:val="004F3926"/>
    <w:rsid w:val="004F49F6"/>
    <w:rsid w:val="004F5F86"/>
    <w:rsid w:val="005005B9"/>
    <w:rsid w:val="005032C5"/>
    <w:rsid w:val="00504C7C"/>
    <w:rsid w:val="0050604A"/>
    <w:rsid w:val="00511F14"/>
    <w:rsid w:val="00513081"/>
    <w:rsid w:val="00514017"/>
    <w:rsid w:val="00514B60"/>
    <w:rsid w:val="00514E9F"/>
    <w:rsid w:val="00520BAC"/>
    <w:rsid w:val="00521D0C"/>
    <w:rsid w:val="00521F5A"/>
    <w:rsid w:val="005251E0"/>
    <w:rsid w:val="005261A6"/>
    <w:rsid w:val="00526CF3"/>
    <w:rsid w:val="00527060"/>
    <w:rsid w:val="00527EEB"/>
    <w:rsid w:val="00530489"/>
    <w:rsid w:val="005306BC"/>
    <w:rsid w:val="00531BA2"/>
    <w:rsid w:val="00532CC2"/>
    <w:rsid w:val="0053320D"/>
    <w:rsid w:val="005337EF"/>
    <w:rsid w:val="00534C65"/>
    <w:rsid w:val="00535DFF"/>
    <w:rsid w:val="00535EEC"/>
    <w:rsid w:val="005363BE"/>
    <w:rsid w:val="00536442"/>
    <w:rsid w:val="00536CEB"/>
    <w:rsid w:val="0054078A"/>
    <w:rsid w:val="00541579"/>
    <w:rsid w:val="00541DAA"/>
    <w:rsid w:val="00542E9D"/>
    <w:rsid w:val="00543751"/>
    <w:rsid w:val="00546B7A"/>
    <w:rsid w:val="0054771F"/>
    <w:rsid w:val="00547FE0"/>
    <w:rsid w:val="005503A9"/>
    <w:rsid w:val="00550745"/>
    <w:rsid w:val="005516C2"/>
    <w:rsid w:val="0055261E"/>
    <w:rsid w:val="00555153"/>
    <w:rsid w:val="00556396"/>
    <w:rsid w:val="00556579"/>
    <w:rsid w:val="00556D71"/>
    <w:rsid w:val="0056202E"/>
    <w:rsid w:val="005623FB"/>
    <w:rsid w:val="00563E79"/>
    <w:rsid w:val="00563F1E"/>
    <w:rsid w:val="00566E7A"/>
    <w:rsid w:val="00567285"/>
    <w:rsid w:val="00567517"/>
    <w:rsid w:val="00567792"/>
    <w:rsid w:val="005720FE"/>
    <w:rsid w:val="00574876"/>
    <w:rsid w:val="0057604E"/>
    <w:rsid w:val="00577B24"/>
    <w:rsid w:val="00580513"/>
    <w:rsid w:val="00581629"/>
    <w:rsid w:val="00582C07"/>
    <w:rsid w:val="00585377"/>
    <w:rsid w:val="005862AB"/>
    <w:rsid w:val="005862FC"/>
    <w:rsid w:val="00587972"/>
    <w:rsid w:val="00591344"/>
    <w:rsid w:val="00591A27"/>
    <w:rsid w:val="00592022"/>
    <w:rsid w:val="00592559"/>
    <w:rsid w:val="00592A20"/>
    <w:rsid w:val="00592D15"/>
    <w:rsid w:val="00592DBE"/>
    <w:rsid w:val="005944C6"/>
    <w:rsid w:val="00595712"/>
    <w:rsid w:val="00595ED8"/>
    <w:rsid w:val="005972C2"/>
    <w:rsid w:val="005975B0"/>
    <w:rsid w:val="005A0CD4"/>
    <w:rsid w:val="005A202A"/>
    <w:rsid w:val="005A3200"/>
    <w:rsid w:val="005A3A96"/>
    <w:rsid w:val="005A3BF3"/>
    <w:rsid w:val="005A51A0"/>
    <w:rsid w:val="005A7306"/>
    <w:rsid w:val="005A7EA9"/>
    <w:rsid w:val="005B1E8D"/>
    <w:rsid w:val="005B2280"/>
    <w:rsid w:val="005B2A52"/>
    <w:rsid w:val="005B32AF"/>
    <w:rsid w:val="005B3CE4"/>
    <w:rsid w:val="005B40C4"/>
    <w:rsid w:val="005B4266"/>
    <w:rsid w:val="005B445D"/>
    <w:rsid w:val="005B5C8E"/>
    <w:rsid w:val="005B6409"/>
    <w:rsid w:val="005C2982"/>
    <w:rsid w:val="005C2FDA"/>
    <w:rsid w:val="005C578A"/>
    <w:rsid w:val="005C585D"/>
    <w:rsid w:val="005C5D85"/>
    <w:rsid w:val="005C6C81"/>
    <w:rsid w:val="005D0434"/>
    <w:rsid w:val="005D1A78"/>
    <w:rsid w:val="005D3829"/>
    <w:rsid w:val="005D604A"/>
    <w:rsid w:val="005D703E"/>
    <w:rsid w:val="005D71D0"/>
    <w:rsid w:val="005D7E57"/>
    <w:rsid w:val="005E4218"/>
    <w:rsid w:val="005E6E65"/>
    <w:rsid w:val="005E717D"/>
    <w:rsid w:val="005E7255"/>
    <w:rsid w:val="005E7BF5"/>
    <w:rsid w:val="005F02DE"/>
    <w:rsid w:val="005F3461"/>
    <w:rsid w:val="005F410F"/>
    <w:rsid w:val="005F540A"/>
    <w:rsid w:val="005F680F"/>
    <w:rsid w:val="006005FE"/>
    <w:rsid w:val="0060094B"/>
    <w:rsid w:val="00600C6F"/>
    <w:rsid w:val="00601914"/>
    <w:rsid w:val="006044F5"/>
    <w:rsid w:val="0060555D"/>
    <w:rsid w:val="00605BB1"/>
    <w:rsid w:val="00605FF8"/>
    <w:rsid w:val="0060790C"/>
    <w:rsid w:val="00607C00"/>
    <w:rsid w:val="006105C1"/>
    <w:rsid w:val="00610E9C"/>
    <w:rsid w:val="006134A7"/>
    <w:rsid w:val="0062057E"/>
    <w:rsid w:val="0062091C"/>
    <w:rsid w:val="00621025"/>
    <w:rsid w:val="006233E9"/>
    <w:rsid w:val="00623E83"/>
    <w:rsid w:val="00623ECF"/>
    <w:rsid w:val="00624CC5"/>
    <w:rsid w:val="00625396"/>
    <w:rsid w:val="006257A1"/>
    <w:rsid w:val="00626049"/>
    <w:rsid w:val="006269E8"/>
    <w:rsid w:val="0063415A"/>
    <w:rsid w:val="00640848"/>
    <w:rsid w:val="006416A6"/>
    <w:rsid w:val="00641F16"/>
    <w:rsid w:val="00642147"/>
    <w:rsid w:val="00643DBD"/>
    <w:rsid w:val="006441A7"/>
    <w:rsid w:val="00644E17"/>
    <w:rsid w:val="00645355"/>
    <w:rsid w:val="006455D5"/>
    <w:rsid w:val="00646A21"/>
    <w:rsid w:val="006474A9"/>
    <w:rsid w:val="00650740"/>
    <w:rsid w:val="00652AA2"/>
    <w:rsid w:val="0065669C"/>
    <w:rsid w:val="00656DFC"/>
    <w:rsid w:val="006571A7"/>
    <w:rsid w:val="006573DB"/>
    <w:rsid w:val="00660395"/>
    <w:rsid w:val="00660CF7"/>
    <w:rsid w:val="006620D9"/>
    <w:rsid w:val="00663B32"/>
    <w:rsid w:val="00670DA9"/>
    <w:rsid w:val="00672D3A"/>
    <w:rsid w:val="006762F8"/>
    <w:rsid w:val="00676B40"/>
    <w:rsid w:val="00677E46"/>
    <w:rsid w:val="00681677"/>
    <w:rsid w:val="00685C2D"/>
    <w:rsid w:val="006864B6"/>
    <w:rsid w:val="00686741"/>
    <w:rsid w:val="00687102"/>
    <w:rsid w:val="00690743"/>
    <w:rsid w:val="00690D7C"/>
    <w:rsid w:val="00691822"/>
    <w:rsid w:val="00691FFD"/>
    <w:rsid w:val="00692AB6"/>
    <w:rsid w:val="006972D6"/>
    <w:rsid w:val="006A15C7"/>
    <w:rsid w:val="006A362F"/>
    <w:rsid w:val="006A3E54"/>
    <w:rsid w:val="006A4B2C"/>
    <w:rsid w:val="006A51E1"/>
    <w:rsid w:val="006A6535"/>
    <w:rsid w:val="006A696D"/>
    <w:rsid w:val="006A738C"/>
    <w:rsid w:val="006A7634"/>
    <w:rsid w:val="006B0931"/>
    <w:rsid w:val="006B52CC"/>
    <w:rsid w:val="006B682F"/>
    <w:rsid w:val="006B7509"/>
    <w:rsid w:val="006B7654"/>
    <w:rsid w:val="006C32ED"/>
    <w:rsid w:val="006C3932"/>
    <w:rsid w:val="006C4CB3"/>
    <w:rsid w:val="006C5DB7"/>
    <w:rsid w:val="006C5EFA"/>
    <w:rsid w:val="006C69DB"/>
    <w:rsid w:val="006C6F15"/>
    <w:rsid w:val="006C6F77"/>
    <w:rsid w:val="006C71E6"/>
    <w:rsid w:val="006C740E"/>
    <w:rsid w:val="006D04CA"/>
    <w:rsid w:val="006D0B0C"/>
    <w:rsid w:val="006D1258"/>
    <w:rsid w:val="006D2A5B"/>
    <w:rsid w:val="006D379A"/>
    <w:rsid w:val="006D3A50"/>
    <w:rsid w:val="006D3BAB"/>
    <w:rsid w:val="006D61C2"/>
    <w:rsid w:val="006E107F"/>
    <w:rsid w:val="006E385D"/>
    <w:rsid w:val="006E3EB5"/>
    <w:rsid w:val="006E7F80"/>
    <w:rsid w:val="006F12C6"/>
    <w:rsid w:val="006F2CE7"/>
    <w:rsid w:val="006F37A5"/>
    <w:rsid w:val="006F458A"/>
    <w:rsid w:val="006F4C10"/>
    <w:rsid w:val="006F5101"/>
    <w:rsid w:val="006F79F3"/>
    <w:rsid w:val="006F7C2A"/>
    <w:rsid w:val="0070254B"/>
    <w:rsid w:val="00703054"/>
    <w:rsid w:val="007034DA"/>
    <w:rsid w:val="00703CA8"/>
    <w:rsid w:val="00703E4E"/>
    <w:rsid w:val="00706927"/>
    <w:rsid w:val="00707F20"/>
    <w:rsid w:val="00710735"/>
    <w:rsid w:val="00711418"/>
    <w:rsid w:val="007142B8"/>
    <w:rsid w:val="00715981"/>
    <w:rsid w:val="00716777"/>
    <w:rsid w:val="00720719"/>
    <w:rsid w:val="0072206B"/>
    <w:rsid w:val="0072326C"/>
    <w:rsid w:val="0072363B"/>
    <w:rsid w:val="00723CC4"/>
    <w:rsid w:val="007252C4"/>
    <w:rsid w:val="007257F8"/>
    <w:rsid w:val="00725B00"/>
    <w:rsid w:val="0072632C"/>
    <w:rsid w:val="007275D8"/>
    <w:rsid w:val="00731E18"/>
    <w:rsid w:val="007353EE"/>
    <w:rsid w:val="0073582F"/>
    <w:rsid w:val="00740995"/>
    <w:rsid w:val="00740FF5"/>
    <w:rsid w:val="00741548"/>
    <w:rsid w:val="00742BA3"/>
    <w:rsid w:val="00743516"/>
    <w:rsid w:val="007437F1"/>
    <w:rsid w:val="007530F7"/>
    <w:rsid w:val="0075392A"/>
    <w:rsid w:val="007547A5"/>
    <w:rsid w:val="00755146"/>
    <w:rsid w:val="007553F0"/>
    <w:rsid w:val="007576B0"/>
    <w:rsid w:val="00761550"/>
    <w:rsid w:val="007626F5"/>
    <w:rsid w:val="00764F19"/>
    <w:rsid w:val="00767211"/>
    <w:rsid w:val="00767898"/>
    <w:rsid w:val="00767C10"/>
    <w:rsid w:val="00770AE9"/>
    <w:rsid w:val="0077120C"/>
    <w:rsid w:val="00771273"/>
    <w:rsid w:val="007760DE"/>
    <w:rsid w:val="007767B3"/>
    <w:rsid w:val="007767F5"/>
    <w:rsid w:val="00776910"/>
    <w:rsid w:val="00777BD7"/>
    <w:rsid w:val="00780BA7"/>
    <w:rsid w:val="00785478"/>
    <w:rsid w:val="00785C58"/>
    <w:rsid w:val="00786DC5"/>
    <w:rsid w:val="00787826"/>
    <w:rsid w:val="00790058"/>
    <w:rsid w:val="00790466"/>
    <w:rsid w:val="00790624"/>
    <w:rsid w:val="00791495"/>
    <w:rsid w:val="00791C44"/>
    <w:rsid w:val="0079231C"/>
    <w:rsid w:val="00792E2B"/>
    <w:rsid w:val="0079364E"/>
    <w:rsid w:val="00793F7C"/>
    <w:rsid w:val="0079498F"/>
    <w:rsid w:val="00795B04"/>
    <w:rsid w:val="00796001"/>
    <w:rsid w:val="0079691D"/>
    <w:rsid w:val="00796F25"/>
    <w:rsid w:val="00797E4F"/>
    <w:rsid w:val="007A0BC6"/>
    <w:rsid w:val="007A0EFD"/>
    <w:rsid w:val="007A3B82"/>
    <w:rsid w:val="007A72DC"/>
    <w:rsid w:val="007B16D5"/>
    <w:rsid w:val="007B239E"/>
    <w:rsid w:val="007B248D"/>
    <w:rsid w:val="007B2AAD"/>
    <w:rsid w:val="007B43FA"/>
    <w:rsid w:val="007B4C24"/>
    <w:rsid w:val="007B4F38"/>
    <w:rsid w:val="007B5A06"/>
    <w:rsid w:val="007B5AA3"/>
    <w:rsid w:val="007B6B83"/>
    <w:rsid w:val="007C02B9"/>
    <w:rsid w:val="007C2240"/>
    <w:rsid w:val="007C2C35"/>
    <w:rsid w:val="007C310F"/>
    <w:rsid w:val="007C3320"/>
    <w:rsid w:val="007C3CA0"/>
    <w:rsid w:val="007C59DD"/>
    <w:rsid w:val="007C6509"/>
    <w:rsid w:val="007C66AD"/>
    <w:rsid w:val="007D1BEA"/>
    <w:rsid w:val="007D407E"/>
    <w:rsid w:val="007D4F41"/>
    <w:rsid w:val="007D6C7A"/>
    <w:rsid w:val="007D7A3D"/>
    <w:rsid w:val="007E235F"/>
    <w:rsid w:val="007E3463"/>
    <w:rsid w:val="007E5F11"/>
    <w:rsid w:val="007E744C"/>
    <w:rsid w:val="007F0E7A"/>
    <w:rsid w:val="007F0E90"/>
    <w:rsid w:val="007F30D5"/>
    <w:rsid w:val="007F44FE"/>
    <w:rsid w:val="007F5062"/>
    <w:rsid w:val="007F5495"/>
    <w:rsid w:val="007F5574"/>
    <w:rsid w:val="007F6CAA"/>
    <w:rsid w:val="007F7C74"/>
    <w:rsid w:val="008022AA"/>
    <w:rsid w:val="00803A55"/>
    <w:rsid w:val="008046D2"/>
    <w:rsid w:val="00804B62"/>
    <w:rsid w:val="00805836"/>
    <w:rsid w:val="00807B36"/>
    <w:rsid w:val="00812795"/>
    <w:rsid w:val="0081341E"/>
    <w:rsid w:val="0081343E"/>
    <w:rsid w:val="0081424A"/>
    <w:rsid w:val="0081434E"/>
    <w:rsid w:val="00814AF8"/>
    <w:rsid w:val="00816A0A"/>
    <w:rsid w:val="00816E34"/>
    <w:rsid w:val="00820D8F"/>
    <w:rsid w:val="00821DF0"/>
    <w:rsid w:val="008231AF"/>
    <w:rsid w:val="00825491"/>
    <w:rsid w:val="00825AD8"/>
    <w:rsid w:val="00826B09"/>
    <w:rsid w:val="00831429"/>
    <w:rsid w:val="008326B3"/>
    <w:rsid w:val="008345FD"/>
    <w:rsid w:val="008353A1"/>
    <w:rsid w:val="0083551A"/>
    <w:rsid w:val="008378E2"/>
    <w:rsid w:val="00837CD8"/>
    <w:rsid w:val="00840690"/>
    <w:rsid w:val="00842228"/>
    <w:rsid w:val="0084260F"/>
    <w:rsid w:val="00842842"/>
    <w:rsid w:val="00843B63"/>
    <w:rsid w:val="00846508"/>
    <w:rsid w:val="00847D0A"/>
    <w:rsid w:val="0085090D"/>
    <w:rsid w:val="008523F5"/>
    <w:rsid w:val="008534B5"/>
    <w:rsid w:val="00853FCA"/>
    <w:rsid w:val="00854A14"/>
    <w:rsid w:val="00856C63"/>
    <w:rsid w:val="00856ED7"/>
    <w:rsid w:val="00857847"/>
    <w:rsid w:val="00857D03"/>
    <w:rsid w:val="008605B8"/>
    <w:rsid w:val="00860BF6"/>
    <w:rsid w:val="008621ED"/>
    <w:rsid w:val="0086301D"/>
    <w:rsid w:val="00870A38"/>
    <w:rsid w:val="00870D43"/>
    <w:rsid w:val="00872F8A"/>
    <w:rsid w:val="00873314"/>
    <w:rsid w:val="00873DB4"/>
    <w:rsid w:val="00876DBB"/>
    <w:rsid w:val="00876DDD"/>
    <w:rsid w:val="008775F0"/>
    <w:rsid w:val="00881079"/>
    <w:rsid w:val="0088152F"/>
    <w:rsid w:val="00881944"/>
    <w:rsid w:val="00884AFE"/>
    <w:rsid w:val="00886C83"/>
    <w:rsid w:val="00886EF1"/>
    <w:rsid w:val="00886F16"/>
    <w:rsid w:val="00890BA3"/>
    <w:rsid w:val="008914CD"/>
    <w:rsid w:val="00891BFC"/>
    <w:rsid w:val="008947BB"/>
    <w:rsid w:val="008958C7"/>
    <w:rsid w:val="008961D9"/>
    <w:rsid w:val="008A1E3D"/>
    <w:rsid w:val="008A2352"/>
    <w:rsid w:val="008A51C5"/>
    <w:rsid w:val="008A576E"/>
    <w:rsid w:val="008A5BF6"/>
    <w:rsid w:val="008A6E9D"/>
    <w:rsid w:val="008A7A6C"/>
    <w:rsid w:val="008B066A"/>
    <w:rsid w:val="008B0A26"/>
    <w:rsid w:val="008B10B6"/>
    <w:rsid w:val="008B1774"/>
    <w:rsid w:val="008B1D43"/>
    <w:rsid w:val="008B1F20"/>
    <w:rsid w:val="008B238D"/>
    <w:rsid w:val="008B4642"/>
    <w:rsid w:val="008B47C9"/>
    <w:rsid w:val="008B58EA"/>
    <w:rsid w:val="008B64C3"/>
    <w:rsid w:val="008C07F0"/>
    <w:rsid w:val="008C1073"/>
    <w:rsid w:val="008C42E0"/>
    <w:rsid w:val="008C510E"/>
    <w:rsid w:val="008C5A73"/>
    <w:rsid w:val="008C66D1"/>
    <w:rsid w:val="008C694A"/>
    <w:rsid w:val="008C769C"/>
    <w:rsid w:val="008C7F0F"/>
    <w:rsid w:val="008D3887"/>
    <w:rsid w:val="008D3A01"/>
    <w:rsid w:val="008D46FA"/>
    <w:rsid w:val="008D4CF9"/>
    <w:rsid w:val="008D6241"/>
    <w:rsid w:val="008E01BE"/>
    <w:rsid w:val="008E026A"/>
    <w:rsid w:val="008E0ECD"/>
    <w:rsid w:val="008E5587"/>
    <w:rsid w:val="008E56E6"/>
    <w:rsid w:val="008E7009"/>
    <w:rsid w:val="008F080D"/>
    <w:rsid w:val="008F2CD8"/>
    <w:rsid w:val="008F2EF2"/>
    <w:rsid w:val="008F46C7"/>
    <w:rsid w:val="008F60DF"/>
    <w:rsid w:val="008F65A5"/>
    <w:rsid w:val="009014BB"/>
    <w:rsid w:val="00901B01"/>
    <w:rsid w:val="009027C9"/>
    <w:rsid w:val="009038B4"/>
    <w:rsid w:val="00905679"/>
    <w:rsid w:val="009069AB"/>
    <w:rsid w:val="00910BD8"/>
    <w:rsid w:val="00910E54"/>
    <w:rsid w:val="00914A95"/>
    <w:rsid w:val="0091532D"/>
    <w:rsid w:val="0091540B"/>
    <w:rsid w:val="00915A39"/>
    <w:rsid w:val="009165F6"/>
    <w:rsid w:val="009172B3"/>
    <w:rsid w:val="0092091E"/>
    <w:rsid w:val="00921C9E"/>
    <w:rsid w:val="00921CA9"/>
    <w:rsid w:val="00921E28"/>
    <w:rsid w:val="00923E32"/>
    <w:rsid w:val="00924427"/>
    <w:rsid w:val="00925A2A"/>
    <w:rsid w:val="00925CE6"/>
    <w:rsid w:val="00925EE6"/>
    <w:rsid w:val="009301E9"/>
    <w:rsid w:val="009305FC"/>
    <w:rsid w:val="0093208E"/>
    <w:rsid w:val="0093249C"/>
    <w:rsid w:val="0093331B"/>
    <w:rsid w:val="009335EA"/>
    <w:rsid w:val="00933902"/>
    <w:rsid w:val="00937D04"/>
    <w:rsid w:val="009402A6"/>
    <w:rsid w:val="00940CE6"/>
    <w:rsid w:val="00942C51"/>
    <w:rsid w:val="0094304B"/>
    <w:rsid w:val="00943422"/>
    <w:rsid w:val="0094391C"/>
    <w:rsid w:val="00945FCA"/>
    <w:rsid w:val="009478F8"/>
    <w:rsid w:val="00950492"/>
    <w:rsid w:val="0095092E"/>
    <w:rsid w:val="009557F3"/>
    <w:rsid w:val="009561CE"/>
    <w:rsid w:val="00956C73"/>
    <w:rsid w:val="00957569"/>
    <w:rsid w:val="0095758B"/>
    <w:rsid w:val="00957B6F"/>
    <w:rsid w:val="00960009"/>
    <w:rsid w:val="00960A08"/>
    <w:rsid w:val="00964716"/>
    <w:rsid w:val="009710AD"/>
    <w:rsid w:val="009727DA"/>
    <w:rsid w:val="0097319D"/>
    <w:rsid w:val="0097390B"/>
    <w:rsid w:val="0097492C"/>
    <w:rsid w:val="009753C9"/>
    <w:rsid w:val="00977558"/>
    <w:rsid w:val="0098069E"/>
    <w:rsid w:val="00981C05"/>
    <w:rsid w:val="00981D42"/>
    <w:rsid w:val="00983AA2"/>
    <w:rsid w:val="00985E0A"/>
    <w:rsid w:val="0098636D"/>
    <w:rsid w:val="00986D84"/>
    <w:rsid w:val="00990483"/>
    <w:rsid w:val="009915BC"/>
    <w:rsid w:val="00991D5D"/>
    <w:rsid w:val="00992533"/>
    <w:rsid w:val="00994355"/>
    <w:rsid w:val="0099581B"/>
    <w:rsid w:val="00995944"/>
    <w:rsid w:val="00997490"/>
    <w:rsid w:val="009A07EE"/>
    <w:rsid w:val="009A0FBE"/>
    <w:rsid w:val="009A1441"/>
    <w:rsid w:val="009A20CB"/>
    <w:rsid w:val="009A2670"/>
    <w:rsid w:val="009A2AB2"/>
    <w:rsid w:val="009A46B8"/>
    <w:rsid w:val="009A4C42"/>
    <w:rsid w:val="009A66E3"/>
    <w:rsid w:val="009B03CB"/>
    <w:rsid w:val="009B307A"/>
    <w:rsid w:val="009B3FBA"/>
    <w:rsid w:val="009B7DB4"/>
    <w:rsid w:val="009C3457"/>
    <w:rsid w:val="009C39D9"/>
    <w:rsid w:val="009C4D10"/>
    <w:rsid w:val="009C656E"/>
    <w:rsid w:val="009C6E57"/>
    <w:rsid w:val="009C783A"/>
    <w:rsid w:val="009D059B"/>
    <w:rsid w:val="009D0ECA"/>
    <w:rsid w:val="009D21B4"/>
    <w:rsid w:val="009D2320"/>
    <w:rsid w:val="009D3221"/>
    <w:rsid w:val="009D46E8"/>
    <w:rsid w:val="009D6A90"/>
    <w:rsid w:val="009D72C8"/>
    <w:rsid w:val="009E1B57"/>
    <w:rsid w:val="009E5269"/>
    <w:rsid w:val="009E6D1C"/>
    <w:rsid w:val="009E7E40"/>
    <w:rsid w:val="00A014BB"/>
    <w:rsid w:val="00A01BF7"/>
    <w:rsid w:val="00A01FE7"/>
    <w:rsid w:val="00A03E92"/>
    <w:rsid w:val="00A04362"/>
    <w:rsid w:val="00A04E16"/>
    <w:rsid w:val="00A05784"/>
    <w:rsid w:val="00A110DE"/>
    <w:rsid w:val="00A113EE"/>
    <w:rsid w:val="00A117A4"/>
    <w:rsid w:val="00A154C9"/>
    <w:rsid w:val="00A158F5"/>
    <w:rsid w:val="00A163FA"/>
    <w:rsid w:val="00A16E57"/>
    <w:rsid w:val="00A1767C"/>
    <w:rsid w:val="00A240CF"/>
    <w:rsid w:val="00A2417B"/>
    <w:rsid w:val="00A2502E"/>
    <w:rsid w:val="00A25494"/>
    <w:rsid w:val="00A2614B"/>
    <w:rsid w:val="00A30CDA"/>
    <w:rsid w:val="00A31F50"/>
    <w:rsid w:val="00A33F7B"/>
    <w:rsid w:val="00A3697F"/>
    <w:rsid w:val="00A36C53"/>
    <w:rsid w:val="00A419E4"/>
    <w:rsid w:val="00A44753"/>
    <w:rsid w:val="00A465D2"/>
    <w:rsid w:val="00A46796"/>
    <w:rsid w:val="00A46EC7"/>
    <w:rsid w:val="00A5030D"/>
    <w:rsid w:val="00A53302"/>
    <w:rsid w:val="00A60A2B"/>
    <w:rsid w:val="00A62108"/>
    <w:rsid w:val="00A657CC"/>
    <w:rsid w:val="00A65BE6"/>
    <w:rsid w:val="00A664A8"/>
    <w:rsid w:val="00A66A5D"/>
    <w:rsid w:val="00A67234"/>
    <w:rsid w:val="00A67ABA"/>
    <w:rsid w:val="00A67C2D"/>
    <w:rsid w:val="00A7073F"/>
    <w:rsid w:val="00A7189D"/>
    <w:rsid w:val="00A73E31"/>
    <w:rsid w:val="00A80336"/>
    <w:rsid w:val="00A81A55"/>
    <w:rsid w:val="00A8607C"/>
    <w:rsid w:val="00A90ADD"/>
    <w:rsid w:val="00A91041"/>
    <w:rsid w:val="00A9267C"/>
    <w:rsid w:val="00A92EAF"/>
    <w:rsid w:val="00A94B42"/>
    <w:rsid w:val="00A95EA4"/>
    <w:rsid w:val="00A96289"/>
    <w:rsid w:val="00AA3412"/>
    <w:rsid w:val="00AA42AC"/>
    <w:rsid w:val="00AA5936"/>
    <w:rsid w:val="00AA663A"/>
    <w:rsid w:val="00AA6777"/>
    <w:rsid w:val="00AB1098"/>
    <w:rsid w:val="00AB23ED"/>
    <w:rsid w:val="00AB5A2E"/>
    <w:rsid w:val="00AC05BF"/>
    <w:rsid w:val="00AC2BC9"/>
    <w:rsid w:val="00AC34A5"/>
    <w:rsid w:val="00AC3F54"/>
    <w:rsid w:val="00AC5ACD"/>
    <w:rsid w:val="00AC78B6"/>
    <w:rsid w:val="00AD016B"/>
    <w:rsid w:val="00AD02BB"/>
    <w:rsid w:val="00AD08EB"/>
    <w:rsid w:val="00AD0FB3"/>
    <w:rsid w:val="00AD3154"/>
    <w:rsid w:val="00AD35C7"/>
    <w:rsid w:val="00AD4553"/>
    <w:rsid w:val="00AD594F"/>
    <w:rsid w:val="00AE11CE"/>
    <w:rsid w:val="00AE1764"/>
    <w:rsid w:val="00AE3384"/>
    <w:rsid w:val="00AE52A8"/>
    <w:rsid w:val="00AE6630"/>
    <w:rsid w:val="00AF0FC4"/>
    <w:rsid w:val="00AF50B8"/>
    <w:rsid w:val="00AF6256"/>
    <w:rsid w:val="00AF7E17"/>
    <w:rsid w:val="00B00939"/>
    <w:rsid w:val="00B01449"/>
    <w:rsid w:val="00B02E21"/>
    <w:rsid w:val="00B03556"/>
    <w:rsid w:val="00B03E84"/>
    <w:rsid w:val="00B0402A"/>
    <w:rsid w:val="00B0430A"/>
    <w:rsid w:val="00B05EEE"/>
    <w:rsid w:val="00B05FDE"/>
    <w:rsid w:val="00B06A99"/>
    <w:rsid w:val="00B10427"/>
    <w:rsid w:val="00B11799"/>
    <w:rsid w:val="00B121D3"/>
    <w:rsid w:val="00B13028"/>
    <w:rsid w:val="00B14F69"/>
    <w:rsid w:val="00B1654A"/>
    <w:rsid w:val="00B224F6"/>
    <w:rsid w:val="00B24F0F"/>
    <w:rsid w:val="00B25DFE"/>
    <w:rsid w:val="00B263B4"/>
    <w:rsid w:val="00B26F02"/>
    <w:rsid w:val="00B277FE"/>
    <w:rsid w:val="00B27E9E"/>
    <w:rsid w:val="00B307A7"/>
    <w:rsid w:val="00B31B5C"/>
    <w:rsid w:val="00B32D91"/>
    <w:rsid w:val="00B335D6"/>
    <w:rsid w:val="00B336D7"/>
    <w:rsid w:val="00B33D9D"/>
    <w:rsid w:val="00B36336"/>
    <w:rsid w:val="00B40BD5"/>
    <w:rsid w:val="00B4490C"/>
    <w:rsid w:val="00B449D2"/>
    <w:rsid w:val="00B479C7"/>
    <w:rsid w:val="00B5017B"/>
    <w:rsid w:val="00B50783"/>
    <w:rsid w:val="00B507BB"/>
    <w:rsid w:val="00B532B7"/>
    <w:rsid w:val="00B57207"/>
    <w:rsid w:val="00B57DB1"/>
    <w:rsid w:val="00B57F5E"/>
    <w:rsid w:val="00B600E8"/>
    <w:rsid w:val="00B614B2"/>
    <w:rsid w:val="00B61F51"/>
    <w:rsid w:val="00B627A8"/>
    <w:rsid w:val="00B62C00"/>
    <w:rsid w:val="00B66555"/>
    <w:rsid w:val="00B7059A"/>
    <w:rsid w:val="00B7378B"/>
    <w:rsid w:val="00B7404D"/>
    <w:rsid w:val="00B76E1C"/>
    <w:rsid w:val="00B77414"/>
    <w:rsid w:val="00B804D8"/>
    <w:rsid w:val="00B8055D"/>
    <w:rsid w:val="00B815CC"/>
    <w:rsid w:val="00B8385C"/>
    <w:rsid w:val="00B8418D"/>
    <w:rsid w:val="00B841E9"/>
    <w:rsid w:val="00B842A9"/>
    <w:rsid w:val="00B8540B"/>
    <w:rsid w:val="00B87A35"/>
    <w:rsid w:val="00B913C1"/>
    <w:rsid w:val="00B91BCA"/>
    <w:rsid w:val="00B923F6"/>
    <w:rsid w:val="00B92728"/>
    <w:rsid w:val="00B933FA"/>
    <w:rsid w:val="00B93D13"/>
    <w:rsid w:val="00B950CC"/>
    <w:rsid w:val="00B960B3"/>
    <w:rsid w:val="00B964B2"/>
    <w:rsid w:val="00B96918"/>
    <w:rsid w:val="00B96B9D"/>
    <w:rsid w:val="00B977C7"/>
    <w:rsid w:val="00BA00CB"/>
    <w:rsid w:val="00BA0800"/>
    <w:rsid w:val="00BA3768"/>
    <w:rsid w:val="00BA622F"/>
    <w:rsid w:val="00BA6B27"/>
    <w:rsid w:val="00BA6FDD"/>
    <w:rsid w:val="00BB036D"/>
    <w:rsid w:val="00BB14C0"/>
    <w:rsid w:val="00BB2C3D"/>
    <w:rsid w:val="00BB4267"/>
    <w:rsid w:val="00BB4A78"/>
    <w:rsid w:val="00BC29CF"/>
    <w:rsid w:val="00BC2AC8"/>
    <w:rsid w:val="00BC448A"/>
    <w:rsid w:val="00BC6B4A"/>
    <w:rsid w:val="00BC720D"/>
    <w:rsid w:val="00BD15EC"/>
    <w:rsid w:val="00BD1A96"/>
    <w:rsid w:val="00BD54B8"/>
    <w:rsid w:val="00BD5574"/>
    <w:rsid w:val="00BD66DD"/>
    <w:rsid w:val="00BD716B"/>
    <w:rsid w:val="00BD72F4"/>
    <w:rsid w:val="00BD7793"/>
    <w:rsid w:val="00BE0016"/>
    <w:rsid w:val="00BE0A97"/>
    <w:rsid w:val="00BE0DAC"/>
    <w:rsid w:val="00BE1943"/>
    <w:rsid w:val="00BE1DA9"/>
    <w:rsid w:val="00BE1E2B"/>
    <w:rsid w:val="00BE1FBC"/>
    <w:rsid w:val="00BE2ED9"/>
    <w:rsid w:val="00BE2EEB"/>
    <w:rsid w:val="00BE5C91"/>
    <w:rsid w:val="00BE71B9"/>
    <w:rsid w:val="00BF08D2"/>
    <w:rsid w:val="00BF1531"/>
    <w:rsid w:val="00BF2DEB"/>
    <w:rsid w:val="00BF31A5"/>
    <w:rsid w:val="00BF417E"/>
    <w:rsid w:val="00C000F7"/>
    <w:rsid w:val="00C002CB"/>
    <w:rsid w:val="00C02059"/>
    <w:rsid w:val="00C02261"/>
    <w:rsid w:val="00C038A1"/>
    <w:rsid w:val="00C04E09"/>
    <w:rsid w:val="00C053CB"/>
    <w:rsid w:val="00C07F91"/>
    <w:rsid w:val="00C10767"/>
    <w:rsid w:val="00C107D3"/>
    <w:rsid w:val="00C1124D"/>
    <w:rsid w:val="00C138C1"/>
    <w:rsid w:val="00C13E97"/>
    <w:rsid w:val="00C13F99"/>
    <w:rsid w:val="00C14112"/>
    <w:rsid w:val="00C1435B"/>
    <w:rsid w:val="00C14625"/>
    <w:rsid w:val="00C15C96"/>
    <w:rsid w:val="00C1641A"/>
    <w:rsid w:val="00C16687"/>
    <w:rsid w:val="00C20366"/>
    <w:rsid w:val="00C20B49"/>
    <w:rsid w:val="00C21D7E"/>
    <w:rsid w:val="00C27217"/>
    <w:rsid w:val="00C272A8"/>
    <w:rsid w:val="00C30740"/>
    <w:rsid w:val="00C307C3"/>
    <w:rsid w:val="00C36B4B"/>
    <w:rsid w:val="00C41290"/>
    <w:rsid w:val="00C42355"/>
    <w:rsid w:val="00C425B5"/>
    <w:rsid w:val="00C45B84"/>
    <w:rsid w:val="00C46C9E"/>
    <w:rsid w:val="00C47EA9"/>
    <w:rsid w:val="00C52133"/>
    <w:rsid w:val="00C5321A"/>
    <w:rsid w:val="00C55B54"/>
    <w:rsid w:val="00C56CBC"/>
    <w:rsid w:val="00C57EE3"/>
    <w:rsid w:val="00C60495"/>
    <w:rsid w:val="00C633D6"/>
    <w:rsid w:val="00C63540"/>
    <w:rsid w:val="00C63D56"/>
    <w:rsid w:val="00C66B19"/>
    <w:rsid w:val="00C70173"/>
    <w:rsid w:val="00C70431"/>
    <w:rsid w:val="00C71F2F"/>
    <w:rsid w:val="00C726EF"/>
    <w:rsid w:val="00C73CC7"/>
    <w:rsid w:val="00C754D2"/>
    <w:rsid w:val="00C7550C"/>
    <w:rsid w:val="00C75ACE"/>
    <w:rsid w:val="00C80F58"/>
    <w:rsid w:val="00C82019"/>
    <w:rsid w:val="00C82133"/>
    <w:rsid w:val="00C824DF"/>
    <w:rsid w:val="00C82A75"/>
    <w:rsid w:val="00C838A7"/>
    <w:rsid w:val="00C85091"/>
    <w:rsid w:val="00C86190"/>
    <w:rsid w:val="00C879DF"/>
    <w:rsid w:val="00C91B53"/>
    <w:rsid w:val="00C91FCB"/>
    <w:rsid w:val="00C92894"/>
    <w:rsid w:val="00C92BA7"/>
    <w:rsid w:val="00C969F3"/>
    <w:rsid w:val="00CA23CF"/>
    <w:rsid w:val="00CA26BC"/>
    <w:rsid w:val="00CA2EC8"/>
    <w:rsid w:val="00CA4E38"/>
    <w:rsid w:val="00CA53EB"/>
    <w:rsid w:val="00CB0229"/>
    <w:rsid w:val="00CB1156"/>
    <w:rsid w:val="00CB34E7"/>
    <w:rsid w:val="00CB3CEE"/>
    <w:rsid w:val="00CB5C06"/>
    <w:rsid w:val="00CB5F43"/>
    <w:rsid w:val="00CC0511"/>
    <w:rsid w:val="00CC0788"/>
    <w:rsid w:val="00CC49EE"/>
    <w:rsid w:val="00CC4AAF"/>
    <w:rsid w:val="00CC5110"/>
    <w:rsid w:val="00CC6CBF"/>
    <w:rsid w:val="00CC75A8"/>
    <w:rsid w:val="00CD0428"/>
    <w:rsid w:val="00CD0506"/>
    <w:rsid w:val="00CD1C6F"/>
    <w:rsid w:val="00CD26F0"/>
    <w:rsid w:val="00CD3187"/>
    <w:rsid w:val="00CD6232"/>
    <w:rsid w:val="00CD7C3D"/>
    <w:rsid w:val="00CE00FF"/>
    <w:rsid w:val="00CE564B"/>
    <w:rsid w:val="00CE5E15"/>
    <w:rsid w:val="00CE60C1"/>
    <w:rsid w:val="00CE69E2"/>
    <w:rsid w:val="00CE6A3C"/>
    <w:rsid w:val="00CF0090"/>
    <w:rsid w:val="00CF07D0"/>
    <w:rsid w:val="00CF092F"/>
    <w:rsid w:val="00CF4B4C"/>
    <w:rsid w:val="00CF7BDE"/>
    <w:rsid w:val="00D00539"/>
    <w:rsid w:val="00D028CC"/>
    <w:rsid w:val="00D02C0A"/>
    <w:rsid w:val="00D04B64"/>
    <w:rsid w:val="00D04BAB"/>
    <w:rsid w:val="00D04D33"/>
    <w:rsid w:val="00D073F7"/>
    <w:rsid w:val="00D07AE2"/>
    <w:rsid w:val="00D107A2"/>
    <w:rsid w:val="00D12080"/>
    <w:rsid w:val="00D14C00"/>
    <w:rsid w:val="00D1651B"/>
    <w:rsid w:val="00D16FFD"/>
    <w:rsid w:val="00D17A97"/>
    <w:rsid w:val="00D203E6"/>
    <w:rsid w:val="00D2066E"/>
    <w:rsid w:val="00D24B20"/>
    <w:rsid w:val="00D24F93"/>
    <w:rsid w:val="00D25895"/>
    <w:rsid w:val="00D26F1C"/>
    <w:rsid w:val="00D31046"/>
    <w:rsid w:val="00D3169A"/>
    <w:rsid w:val="00D326FD"/>
    <w:rsid w:val="00D32984"/>
    <w:rsid w:val="00D34A2D"/>
    <w:rsid w:val="00D35151"/>
    <w:rsid w:val="00D35B32"/>
    <w:rsid w:val="00D3600B"/>
    <w:rsid w:val="00D37182"/>
    <w:rsid w:val="00D37283"/>
    <w:rsid w:val="00D43AB5"/>
    <w:rsid w:val="00D451D9"/>
    <w:rsid w:val="00D45D54"/>
    <w:rsid w:val="00D4638C"/>
    <w:rsid w:val="00D5192F"/>
    <w:rsid w:val="00D51A92"/>
    <w:rsid w:val="00D52DDE"/>
    <w:rsid w:val="00D54C89"/>
    <w:rsid w:val="00D558D2"/>
    <w:rsid w:val="00D55C7D"/>
    <w:rsid w:val="00D56900"/>
    <w:rsid w:val="00D5742B"/>
    <w:rsid w:val="00D61664"/>
    <w:rsid w:val="00D61696"/>
    <w:rsid w:val="00D62ABA"/>
    <w:rsid w:val="00D67130"/>
    <w:rsid w:val="00D67153"/>
    <w:rsid w:val="00D708BF"/>
    <w:rsid w:val="00D71D75"/>
    <w:rsid w:val="00D72B61"/>
    <w:rsid w:val="00D73D84"/>
    <w:rsid w:val="00D750FF"/>
    <w:rsid w:val="00D7684A"/>
    <w:rsid w:val="00D7763C"/>
    <w:rsid w:val="00D80650"/>
    <w:rsid w:val="00D82177"/>
    <w:rsid w:val="00D82C55"/>
    <w:rsid w:val="00D8650B"/>
    <w:rsid w:val="00D86BBA"/>
    <w:rsid w:val="00D9232B"/>
    <w:rsid w:val="00D92521"/>
    <w:rsid w:val="00D9656E"/>
    <w:rsid w:val="00D96B6E"/>
    <w:rsid w:val="00D96E91"/>
    <w:rsid w:val="00D96F22"/>
    <w:rsid w:val="00DA1FD5"/>
    <w:rsid w:val="00DA2570"/>
    <w:rsid w:val="00DA27A0"/>
    <w:rsid w:val="00DA59D8"/>
    <w:rsid w:val="00DA7858"/>
    <w:rsid w:val="00DB05AF"/>
    <w:rsid w:val="00DB1A1E"/>
    <w:rsid w:val="00DB21D9"/>
    <w:rsid w:val="00DB25AB"/>
    <w:rsid w:val="00DB27CB"/>
    <w:rsid w:val="00DB31B6"/>
    <w:rsid w:val="00DB757E"/>
    <w:rsid w:val="00DC096B"/>
    <w:rsid w:val="00DC0EB4"/>
    <w:rsid w:val="00DC1B62"/>
    <w:rsid w:val="00DC226F"/>
    <w:rsid w:val="00DC25E1"/>
    <w:rsid w:val="00DC34A3"/>
    <w:rsid w:val="00DC64A8"/>
    <w:rsid w:val="00DD65B6"/>
    <w:rsid w:val="00DD6AC5"/>
    <w:rsid w:val="00DD7332"/>
    <w:rsid w:val="00DE0242"/>
    <w:rsid w:val="00DE1038"/>
    <w:rsid w:val="00DE160D"/>
    <w:rsid w:val="00DE1C2F"/>
    <w:rsid w:val="00DE29DD"/>
    <w:rsid w:val="00DE33BF"/>
    <w:rsid w:val="00DE575F"/>
    <w:rsid w:val="00DF18C0"/>
    <w:rsid w:val="00DF2A73"/>
    <w:rsid w:val="00DF2F98"/>
    <w:rsid w:val="00DF389B"/>
    <w:rsid w:val="00DF49AC"/>
    <w:rsid w:val="00DF5985"/>
    <w:rsid w:val="00DF6572"/>
    <w:rsid w:val="00DF7F44"/>
    <w:rsid w:val="00E01A7D"/>
    <w:rsid w:val="00E02462"/>
    <w:rsid w:val="00E034A1"/>
    <w:rsid w:val="00E03BF9"/>
    <w:rsid w:val="00E03F25"/>
    <w:rsid w:val="00E041F7"/>
    <w:rsid w:val="00E04A0E"/>
    <w:rsid w:val="00E06FD1"/>
    <w:rsid w:val="00E10D61"/>
    <w:rsid w:val="00E12BCF"/>
    <w:rsid w:val="00E13BA8"/>
    <w:rsid w:val="00E15D0A"/>
    <w:rsid w:val="00E16E13"/>
    <w:rsid w:val="00E16FE3"/>
    <w:rsid w:val="00E1715B"/>
    <w:rsid w:val="00E17630"/>
    <w:rsid w:val="00E17725"/>
    <w:rsid w:val="00E17A1F"/>
    <w:rsid w:val="00E2123D"/>
    <w:rsid w:val="00E21E6E"/>
    <w:rsid w:val="00E21F3B"/>
    <w:rsid w:val="00E24355"/>
    <w:rsid w:val="00E24401"/>
    <w:rsid w:val="00E27D34"/>
    <w:rsid w:val="00E3194A"/>
    <w:rsid w:val="00E32325"/>
    <w:rsid w:val="00E3372D"/>
    <w:rsid w:val="00E34534"/>
    <w:rsid w:val="00E346AB"/>
    <w:rsid w:val="00E3478D"/>
    <w:rsid w:val="00E352C3"/>
    <w:rsid w:val="00E3637F"/>
    <w:rsid w:val="00E3691A"/>
    <w:rsid w:val="00E37EF5"/>
    <w:rsid w:val="00E40295"/>
    <w:rsid w:val="00E418F7"/>
    <w:rsid w:val="00E44763"/>
    <w:rsid w:val="00E46356"/>
    <w:rsid w:val="00E47AF6"/>
    <w:rsid w:val="00E50F19"/>
    <w:rsid w:val="00E5167B"/>
    <w:rsid w:val="00E526FB"/>
    <w:rsid w:val="00E52897"/>
    <w:rsid w:val="00E52EF1"/>
    <w:rsid w:val="00E5347D"/>
    <w:rsid w:val="00E53817"/>
    <w:rsid w:val="00E53C34"/>
    <w:rsid w:val="00E561BA"/>
    <w:rsid w:val="00E570E2"/>
    <w:rsid w:val="00E5787A"/>
    <w:rsid w:val="00E57AA3"/>
    <w:rsid w:val="00E60901"/>
    <w:rsid w:val="00E60CD5"/>
    <w:rsid w:val="00E611DA"/>
    <w:rsid w:val="00E61415"/>
    <w:rsid w:val="00E62F90"/>
    <w:rsid w:val="00E63266"/>
    <w:rsid w:val="00E63F70"/>
    <w:rsid w:val="00E646C1"/>
    <w:rsid w:val="00E65570"/>
    <w:rsid w:val="00E6625D"/>
    <w:rsid w:val="00E6698F"/>
    <w:rsid w:val="00E67172"/>
    <w:rsid w:val="00E70036"/>
    <w:rsid w:val="00E70846"/>
    <w:rsid w:val="00E72FAE"/>
    <w:rsid w:val="00E75094"/>
    <w:rsid w:val="00E81B92"/>
    <w:rsid w:val="00E83C10"/>
    <w:rsid w:val="00E86B96"/>
    <w:rsid w:val="00E86EBD"/>
    <w:rsid w:val="00E91603"/>
    <w:rsid w:val="00E91D6D"/>
    <w:rsid w:val="00EA0322"/>
    <w:rsid w:val="00EA05FC"/>
    <w:rsid w:val="00EA0788"/>
    <w:rsid w:val="00EA134C"/>
    <w:rsid w:val="00EA1717"/>
    <w:rsid w:val="00EA1FB3"/>
    <w:rsid w:val="00EA24CE"/>
    <w:rsid w:val="00EA29DB"/>
    <w:rsid w:val="00EA3284"/>
    <w:rsid w:val="00EA4E45"/>
    <w:rsid w:val="00EA5075"/>
    <w:rsid w:val="00EA590D"/>
    <w:rsid w:val="00EA67B9"/>
    <w:rsid w:val="00EB0D24"/>
    <w:rsid w:val="00EB161F"/>
    <w:rsid w:val="00EB1A16"/>
    <w:rsid w:val="00EB583C"/>
    <w:rsid w:val="00EB786C"/>
    <w:rsid w:val="00EC06C6"/>
    <w:rsid w:val="00EC2C8C"/>
    <w:rsid w:val="00EC3E86"/>
    <w:rsid w:val="00EC4774"/>
    <w:rsid w:val="00EC4ABC"/>
    <w:rsid w:val="00EC620E"/>
    <w:rsid w:val="00EC6990"/>
    <w:rsid w:val="00EC751B"/>
    <w:rsid w:val="00EC76BA"/>
    <w:rsid w:val="00ED0F1C"/>
    <w:rsid w:val="00ED217E"/>
    <w:rsid w:val="00ED2599"/>
    <w:rsid w:val="00ED297E"/>
    <w:rsid w:val="00ED370A"/>
    <w:rsid w:val="00ED3E79"/>
    <w:rsid w:val="00ED522D"/>
    <w:rsid w:val="00ED7C8D"/>
    <w:rsid w:val="00EE1258"/>
    <w:rsid w:val="00EE2330"/>
    <w:rsid w:val="00EE24D7"/>
    <w:rsid w:val="00EE30ED"/>
    <w:rsid w:val="00EE4D29"/>
    <w:rsid w:val="00EE5F94"/>
    <w:rsid w:val="00EF0086"/>
    <w:rsid w:val="00EF2F38"/>
    <w:rsid w:val="00EF5DDC"/>
    <w:rsid w:val="00F00A29"/>
    <w:rsid w:val="00F00F92"/>
    <w:rsid w:val="00F01950"/>
    <w:rsid w:val="00F01FC7"/>
    <w:rsid w:val="00F02994"/>
    <w:rsid w:val="00F042FF"/>
    <w:rsid w:val="00F04744"/>
    <w:rsid w:val="00F062A1"/>
    <w:rsid w:val="00F0732D"/>
    <w:rsid w:val="00F103C5"/>
    <w:rsid w:val="00F11C01"/>
    <w:rsid w:val="00F13AC0"/>
    <w:rsid w:val="00F14365"/>
    <w:rsid w:val="00F1481D"/>
    <w:rsid w:val="00F15FAC"/>
    <w:rsid w:val="00F17350"/>
    <w:rsid w:val="00F20098"/>
    <w:rsid w:val="00F209A6"/>
    <w:rsid w:val="00F21C45"/>
    <w:rsid w:val="00F22A82"/>
    <w:rsid w:val="00F233B8"/>
    <w:rsid w:val="00F23534"/>
    <w:rsid w:val="00F24002"/>
    <w:rsid w:val="00F2460D"/>
    <w:rsid w:val="00F26AC7"/>
    <w:rsid w:val="00F26B35"/>
    <w:rsid w:val="00F270C7"/>
    <w:rsid w:val="00F31009"/>
    <w:rsid w:val="00F313E1"/>
    <w:rsid w:val="00F3204F"/>
    <w:rsid w:val="00F3205B"/>
    <w:rsid w:val="00F341B3"/>
    <w:rsid w:val="00F36134"/>
    <w:rsid w:val="00F407E9"/>
    <w:rsid w:val="00F414CA"/>
    <w:rsid w:val="00F41629"/>
    <w:rsid w:val="00F43900"/>
    <w:rsid w:val="00F440B6"/>
    <w:rsid w:val="00F45A06"/>
    <w:rsid w:val="00F45E97"/>
    <w:rsid w:val="00F474BC"/>
    <w:rsid w:val="00F50FFC"/>
    <w:rsid w:val="00F5142F"/>
    <w:rsid w:val="00F51540"/>
    <w:rsid w:val="00F52208"/>
    <w:rsid w:val="00F52571"/>
    <w:rsid w:val="00F539A8"/>
    <w:rsid w:val="00F54FC4"/>
    <w:rsid w:val="00F554D8"/>
    <w:rsid w:val="00F55A12"/>
    <w:rsid w:val="00F57AFC"/>
    <w:rsid w:val="00F57BE5"/>
    <w:rsid w:val="00F57DF9"/>
    <w:rsid w:val="00F60517"/>
    <w:rsid w:val="00F6107C"/>
    <w:rsid w:val="00F621FA"/>
    <w:rsid w:val="00F63903"/>
    <w:rsid w:val="00F6722E"/>
    <w:rsid w:val="00F6771F"/>
    <w:rsid w:val="00F67A09"/>
    <w:rsid w:val="00F70750"/>
    <w:rsid w:val="00F71860"/>
    <w:rsid w:val="00F7312A"/>
    <w:rsid w:val="00F7387C"/>
    <w:rsid w:val="00F742C0"/>
    <w:rsid w:val="00F74B48"/>
    <w:rsid w:val="00F74C4F"/>
    <w:rsid w:val="00F80328"/>
    <w:rsid w:val="00F805EC"/>
    <w:rsid w:val="00F8077D"/>
    <w:rsid w:val="00F81C80"/>
    <w:rsid w:val="00F84B81"/>
    <w:rsid w:val="00F854D7"/>
    <w:rsid w:val="00F86592"/>
    <w:rsid w:val="00F86C38"/>
    <w:rsid w:val="00F9028B"/>
    <w:rsid w:val="00F91242"/>
    <w:rsid w:val="00F92545"/>
    <w:rsid w:val="00F92A9E"/>
    <w:rsid w:val="00F92E24"/>
    <w:rsid w:val="00F944B2"/>
    <w:rsid w:val="00F968D3"/>
    <w:rsid w:val="00FA0C65"/>
    <w:rsid w:val="00FA2999"/>
    <w:rsid w:val="00FA4E8B"/>
    <w:rsid w:val="00FA5248"/>
    <w:rsid w:val="00FA568B"/>
    <w:rsid w:val="00FB09B9"/>
    <w:rsid w:val="00FB1D1A"/>
    <w:rsid w:val="00FB2874"/>
    <w:rsid w:val="00FB3440"/>
    <w:rsid w:val="00FB42C7"/>
    <w:rsid w:val="00FB7041"/>
    <w:rsid w:val="00FB77FA"/>
    <w:rsid w:val="00FC15C0"/>
    <w:rsid w:val="00FC1D98"/>
    <w:rsid w:val="00FC337F"/>
    <w:rsid w:val="00FC3AFE"/>
    <w:rsid w:val="00FD0C2D"/>
    <w:rsid w:val="00FD178D"/>
    <w:rsid w:val="00FD3CCC"/>
    <w:rsid w:val="00FD4398"/>
    <w:rsid w:val="00FD4CFD"/>
    <w:rsid w:val="00FD7BAD"/>
    <w:rsid w:val="00FE00B8"/>
    <w:rsid w:val="00FE18AE"/>
    <w:rsid w:val="00FE1A93"/>
    <w:rsid w:val="00FE2145"/>
    <w:rsid w:val="00FE2DA2"/>
    <w:rsid w:val="00FE3AAB"/>
    <w:rsid w:val="00FE3BEC"/>
    <w:rsid w:val="00FE79D1"/>
    <w:rsid w:val="00FF066C"/>
    <w:rsid w:val="00FF2433"/>
    <w:rsid w:val="00FF3D54"/>
    <w:rsid w:val="00FF5E54"/>
    <w:rsid w:val="00FF70C2"/>
    <w:rsid w:val="00FF7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5D4B37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Schoolbook" w:eastAsia="Calibri" w:hAnsi="Century Schoolbook" w:cs="Times New Roman"/>
        <w:sz w:val="26"/>
        <w:szCs w:val="26"/>
        <w:lang w:val="en-US" w:eastAsia="en-US" w:bidi="ar-SA"/>
      </w:rPr>
    </w:rPrDefault>
    <w:pPrDefault>
      <w:pPr>
        <w:autoSpaceDN w:val="0"/>
        <w:spacing w:line="360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tabs>
        <w:tab w:val="left" w:pos="720"/>
      </w:tabs>
      <w:suppressAutoHyphens/>
      <w:spacing w:line="480" w:lineRule="atLeas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lear" w:pos="720"/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rPr>
      <w:rFonts w:eastAsia="Calibri" w:cs="Times New Roman"/>
    </w:rPr>
  </w:style>
  <w:style w:type="paragraph" w:styleId="ListParagraph">
    <w:name w:val="List Paragraph"/>
    <w:basedOn w:val="Normal"/>
    <w:pPr>
      <w:ind w:left="720"/>
    </w:pPr>
  </w:style>
  <w:style w:type="character" w:styleId="CommentReference">
    <w:name w:val="annotation reference"/>
    <w:basedOn w:val="DefaultParagraphFont"/>
    <w:rPr>
      <w:sz w:val="16"/>
      <w:szCs w:val="16"/>
    </w:rPr>
  </w:style>
  <w:style w:type="paragraph" w:styleId="CommentText">
    <w:name w:val="annotation text"/>
    <w:basedOn w:val="Normal"/>
    <w:link w:val="CommentTextChar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rPr>
      <w:rFonts w:eastAsia="Calibri" w:cs="Times New Roman"/>
      <w:sz w:val="20"/>
      <w:szCs w:val="20"/>
    </w:rPr>
  </w:style>
  <w:style w:type="paragraph" w:styleId="BalloonText">
    <w:name w:val="Balloon Text"/>
    <w:basedOn w:val="Normal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eastAsia="Calibr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D3169A"/>
    <w:pPr>
      <w:tabs>
        <w:tab w:val="clear" w:pos="720"/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169A"/>
  </w:style>
  <w:style w:type="character" w:styleId="PageNumber">
    <w:name w:val="page number"/>
    <w:basedOn w:val="DefaultParagraphFont"/>
    <w:uiPriority w:val="99"/>
    <w:semiHidden/>
    <w:unhideWhenUsed/>
    <w:rsid w:val="00D3169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6D1C"/>
    <w:rPr>
      <w:b/>
      <w:bCs/>
    </w:rPr>
  </w:style>
  <w:style w:type="character" w:customStyle="1" w:styleId="CommentTextChar1">
    <w:name w:val="Comment Text Char1"/>
    <w:basedOn w:val="DefaultParagraphFont"/>
    <w:link w:val="CommentText"/>
    <w:rsid w:val="009E6D1C"/>
    <w:rPr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9E6D1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C5110"/>
    <w:pPr>
      <w:autoSpaceDN/>
      <w:spacing w:line="240" w:lineRule="auto"/>
      <w:textAlignment w:val="auto"/>
    </w:pPr>
  </w:style>
  <w:style w:type="paragraph" w:styleId="FootnoteText">
    <w:name w:val="footnote text"/>
    <w:basedOn w:val="Normal"/>
    <w:link w:val="FootnoteTextChar"/>
    <w:uiPriority w:val="99"/>
    <w:unhideWhenUsed/>
    <w:rsid w:val="000E0F5C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E0F5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E0F5C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06BE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06B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1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42961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3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6993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988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4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6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42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31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18A70E-15C1-4EBA-B2F1-868D4C3E9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3824</Words>
  <Characters>20773</Characters>
  <Application>Microsoft Office Word</Application>
  <DocSecurity>0</DocSecurity>
  <Lines>398</Lines>
  <Paragraphs>63</Paragraphs>
  <ScaleCrop>false</ScaleCrop>
  <Manager/>
  <Company/>
  <LinksUpToDate>false</LinksUpToDate>
  <CharactersWithSpaces>24688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2022-05-23T21:05:00Z</dcterms:created>
  <dcterms:modified xsi:type="dcterms:W3CDTF">2022-05-23T21:05:00Z</dcterms:modified>
  <cp:category/>
</cp:coreProperties>
</file>