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D26E" w14:textId="0D94DB87" w:rsidR="00C20594" w:rsidRPr="004B1A3B" w:rsidRDefault="00140D1F" w:rsidP="00AF12CC">
      <w:pPr>
        <w:spacing w:after="120" w:line="240" w:lineRule="auto"/>
        <w:ind w:firstLine="0"/>
        <w:jc w:val="center"/>
        <w:rPr>
          <w:rFonts w:ascii="Times New Roman" w:hAnsi="Times New Roman" w:cs="Times New Roman"/>
          <w:sz w:val="20"/>
        </w:rPr>
      </w:pPr>
      <w:r w:rsidRPr="004B1A3B">
        <w:rPr>
          <w:rFonts w:ascii="Times New Roman" w:hAnsi="Times New Roman" w:cs="Times New Roman"/>
          <w:sz w:val="20"/>
        </w:rPr>
        <w:t>Filed 12/27/22</w:t>
      </w:r>
      <w:bookmarkStart w:id="0" w:name="_Hlk91684443"/>
      <w:r w:rsidR="003A32CB" w:rsidRPr="00AF12CC">
        <w:rPr>
          <w:rFonts w:ascii="Times New Roman" w:hAnsi="Times New Roman" w:cs="Times New Roman"/>
          <w:sz w:val="20"/>
        </w:rPr>
        <w:t>; REVIEW GRANTED.  See Cal. Rules of Court, rules 8.1105 and 8.1115 (and corresponding Comment, par. 2, concerning rule 8.1115(e)(3)).</w:t>
      </w:r>
      <w:bookmarkEnd w:id="0"/>
    </w:p>
    <w:p w14:paraId="02BBA546" w14:textId="77777777" w:rsidR="00C20594" w:rsidRPr="00C20594" w:rsidRDefault="00140D1F" w:rsidP="00E43EB4">
      <w:pPr>
        <w:spacing w:after="120" w:line="240" w:lineRule="auto"/>
        <w:ind w:firstLine="0"/>
        <w:jc w:val="center"/>
      </w:pPr>
      <w:r>
        <w:rPr>
          <w:b/>
        </w:rPr>
        <w:t>CERTIFIED FOR PARTIAL PUBLICATION</w:t>
      </w:r>
      <w:r>
        <w:rPr>
          <w:rStyle w:val="FootnoteReference"/>
          <w:b/>
        </w:rPr>
        <w:footnoteReference w:customMarkFollows="1" w:id="2"/>
        <w:t>*</w:t>
      </w:r>
    </w:p>
    <w:p w14:paraId="73C023B3" w14:textId="77777777" w:rsidR="00737B68" w:rsidRPr="00944C2C" w:rsidRDefault="00140D1F" w:rsidP="00F85CE6">
      <w:pPr>
        <w:spacing w:line="480" w:lineRule="auto"/>
        <w:ind w:firstLine="0"/>
        <w:jc w:val="center"/>
      </w:pPr>
      <w:r w:rsidRPr="00944C2C">
        <w:t>IN THE COURT OF APPEAL OF THE STATE OF CALIFORNIA</w:t>
      </w:r>
    </w:p>
    <w:p w14:paraId="2D268FDA" w14:textId="77777777" w:rsidR="00737B68" w:rsidRDefault="00140D1F" w:rsidP="00F85CE6">
      <w:pPr>
        <w:spacing w:line="480" w:lineRule="auto"/>
        <w:ind w:firstLine="0"/>
        <w:jc w:val="center"/>
      </w:pPr>
      <w:r>
        <w:t>FIRST APPELLATE DISTRICT</w:t>
      </w:r>
    </w:p>
    <w:p w14:paraId="3B69787C" w14:textId="77777777" w:rsidR="00737B68" w:rsidRDefault="00140D1F" w:rsidP="00F85CE6">
      <w:pPr>
        <w:spacing w:line="480" w:lineRule="auto"/>
        <w:ind w:firstLine="0"/>
        <w:jc w:val="center"/>
      </w:pPr>
      <w:r>
        <w:t>DIVISION FOUR</w:t>
      </w:r>
    </w:p>
    <w:tbl>
      <w:tblPr>
        <w:tblW w:w="0" w:type="auto"/>
        <w:tblLayout w:type="fixed"/>
        <w:tblLook w:val="0000" w:firstRow="0" w:lastRow="0" w:firstColumn="0" w:lastColumn="0" w:noHBand="0" w:noVBand="0"/>
      </w:tblPr>
      <w:tblGrid>
        <w:gridCol w:w="4680"/>
        <w:gridCol w:w="4680"/>
      </w:tblGrid>
      <w:tr w:rsidR="0039469C" w14:paraId="7765076F" w14:textId="77777777">
        <w:tc>
          <w:tcPr>
            <w:tcW w:w="4680" w:type="dxa"/>
            <w:tcBorders>
              <w:bottom w:val="single" w:sz="4" w:space="0" w:color="auto"/>
              <w:right w:val="single" w:sz="4" w:space="0" w:color="auto"/>
            </w:tcBorders>
            <w:shd w:val="clear" w:color="auto" w:fill="auto"/>
          </w:tcPr>
          <w:p w14:paraId="5840022A" w14:textId="77777777" w:rsidR="00737B68" w:rsidRPr="000072F4" w:rsidRDefault="00140D1F" w:rsidP="00F239EC">
            <w:pPr>
              <w:spacing w:after="120" w:line="240" w:lineRule="auto"/>
              <w:ind w:firstLine="0"/>
            </w:pPr>
            <w:r>
              <w:t>JOHN’S GRILL, INC.</w:t>
            </w:r>
            <w:r w:rsidRPr="000072F4">
              <w:t>,</w:t>
            </w:r>
            <w:r>
              <w:t xml:space="preserve"> et al.,</w:t>
            </w:r>
          </w:p>
          <w:p w14:paraId="2A9FEC49" w14:textId="77777777" w:rsidR="00737B68" w:rsidRPr="006F4E4A" w:rsidRDefault="00140D1F" w:rsidP="00DE2AC8">
            <w:pPr>
              <w:tabs>
                <w:tab w:val="left" w:pos="610"/>
              </w:tabs>
              <w:spacing w:after="120" w:line="240" w:lineRule="auto"/>
              <w:ind w:firstLine="0"/>
            </w:pPr>
            <w:r w:rsidRPr="000072F4">
              <w:tab/>
            </w:r>
            <w:r w:rsidRPr="006F4E4A">
              <w:t>Plaintiffs and Appellants,</w:t>
            </w:r>
          </w:p>
          <w:p w14:paraId="54387CFE" w14:textId="77777777" w:rsidR="00737B68" w:rsidRPr="006F4E4A" w:rsidRDefault="00140D1F" w:rsidP="00283654">
            <w:pPr>
              <w:tabs>
                <w:tab w:val="left" w:pos="1944"/>
              </w:tabs>
              <w:spacing w:after="120" w:line="240" w:lineRule="auto"/>
              <w:ind w:firstLine="0"/>
            </w:pPr>
            <w:r w:rsidRPr="006F4E4A">
              <w:tab/>
              <w:t>v.</w:t>
            </w:r>
          </w:p>
          <w:p w14:paraId="161FF943" w14:textId="77777777" w:rsidR="00737B68" w:rsidRPr="006F4E4A" w:rsidRDefault="00140D1F" w:rsidP="00F239EC">
            <w:pPr>
              <w:tabs>
                <w:tab w:val="left" w:pos="610"/>
              </w:tabs>
              <w:spacing w:line="240" w:lineRule="auto"/>
              <w:ind w:firstLine="0"/>
            </w:pPr>
            <w:r w:rsidRPr="006F4E4A">
              <w:t xml:space="preserve">THE HARTFORD FINANCIAL SERVICES GROUP, INC., et </w:t>
            </w:r>
            <w:r w:rsidRPr="006F4E4A">
              <w:t>al.,</w:t>
            </w:r>
          </w:p>
          <w:p w14:paraId="63AA42C6" w14:textId="77777777" w:rsidR="00737B68" w:rsidRPr="000072F4" w:rsidRDefault="00140D1F" w:rsidP="00F239EC">
            <w:pPr>
              <w:tabs>
                <w:tab w:val="left" w:pos="610"/>
              </w:tabs>
              <w:spacing w:before="120" w:after="240" w:line="240" w:lineRule="auto"/>
              <w:ind w:firstLine="0"/>
            </w:pPr>
            <w:r w:rsidRPr="006F4E4A">
              <w:tab/>
              <w:t>Defendants and Respondents</w:t>
            </w:r>
            <w:r w:rsidRPr="000072F4">
              <w:t>.</w:t>
            </w:r>
          </w:p>
        </w:tc>
        <w:tc>
          <w:tcPr>
            <w:tcW w:w="4680" w:type="dxa"/>
            <w:tcBorders>
              <w:left w:val="single" w:sz="4" w:space="0" w:color="auto"/>
            </w:tcBorders>
            <w:shd w:val="clear" w:color="auto" w:fill="auto"/>
          </w:tcPr>
          <w:p w14:paraId="15D0920E" w14:textId="77777777" w:rsidR="00737B68" w:rsidRPr="000072F4" w:rsidRDefault="00140D1F" w:rsidP="00E7127E">
            <w:pPr>
              <w:spacing w:after="120" w:line="240" w:lineRule="auto"/>
              <w:ind w:firstLine="0"/>
            </w:pPr>
          </w:p>
          <w:p w14:paraId="7D7FDAAE" w14:textId="77777777" w:rsidR="00737B68" w:rsidRPr="000072F4" w:rsidRDefault="00140D1F" w:rsidP="00AF290D">
            <w:pPr>
              <w:tabs>
                <w:tab w:val="left" w:pos="346"/>
              </w:tabs>
              <w:spacing w:after="240" w:line="240" w:lineRule="auto"/>
              <w:ind w:firstLine="0"/>
            </w:pPr>
            <w:r w:rsidRPr="000072F4">
              <w:tab/>
              <w:t>A</w:t>
            </w:r>
            <w:r>
              <w:t>162709</w:t>
            </w:r>
          </w:p>
          <w:p w14:paraId="2CF53CDF" w14:textId="77777777" w:rsidR="00AF290D" w:rsidRDefault="00140D1F" w:rsidP="00AF290D">
            <w:pPr>
              <w:tabs>
                <w:tab w:val="left" w:pos="346"/>
              </w:tabs>
              <w:spacing w:line="240" w:lineRule="auto"/>
              <w:ind w:firstLine="0"/>
            </w:pPr>
            <w:r w:rsidRPr="000072F4">
              <w:tab/>
              <w:t>(</w:t>
            </w:r>
            <w:r>
              <w:t xml:space="preserve">San Francisco </w:t>
            </w:r>
            <w:r w:rsidRPr="000072F4">
              <w:t>Super. Ct.</w:t>
            </w:r>
          </w:p>
          <w:p w14:paraId="572D13FF" w14:textId="77777777" w:rsidR="00737B68" w:rsidRPr="000072F4" w:rsidRDefault="00140D1F" w:rsidP="00E7127E">
            <w:pPr>
              <w:tabs>
                <w:tab w:val="left" w:pos="346"/>
              </w:tabs>
              <w:spacing w:line="240" w:lineRule="auto"/>
              <w:ind w:firstLine="0"/>
            </w:pPr>
            <w:r>
              <w:tab/>
            </w:r>
            <w:r w:rsidRPr="000072F4">
              <w:t>No. </w:t>
            </w:r>
            <w:r>
              <w:t>CGC-20-584184</w:t>
            </w:r>
            <w:r w:rsidRPr="000072F4">
              <w:t>)</w:t>
            </w:r>
          </w:p>
        </w:tc>
      </w:tr>
    </w:tbl>
    <w:p w14:paraId="79DB1971" w14:textId="77777777" w:rsidR="000D391C" w:rsidRDefault="00140D1F" w:rsidP="00E43EB4">
      <w:pPr>
        <w:spacing w:before="120"/>
      </w:pPr>
      <w:r>
        <w:t xml:space="preserve">John’s Grill, Inc. and its owner John Konstin (collectively, John’s Grill) appeal from the trial court’s orders (1) sustaining Sentinel Insurance Company, Ltd. </w:t>
      </w:r>
      <w:r>
        <w:t>(Sentinel)’s demurrer without leave to amend, and (2) granting The Hartford Financial Services Group, Inc. (HFSG)’s motion to quash service of summons.</w:t>
      </w:r>
    </w:p>
    <w:p w14:paraId="656C0872" w14:textId="77777777" w:rsidR="00C23C6B" w:rsidRDefault="00140D1F" w:rsidP="00196251">
      <w:r>
        <w:t>John’s Grill alleges that Sentinel and HFSG wrongfully denied its claim for business interruption covera</w:t>
      </w:r>
      <w:r>
        <w:t>ge for losses sustained in connection with the COVID</w:t>
      </w:r>
      <w:r>
        <w:noBreakHyphen/>
        <w:t>19 pandemic.  The trial court sustained Sentinel’s demurrer on the ground that its business insurance policy affords no coverage for the claim, and granted the motion to quash on the ground that John’s G</w:t>
      </w:r>
      <w:r>
        <w:t xml:space="preserve">rill failed to show personal jurisdiction over HFSG.  In the unpublished portion of this opinion, we conclude that the trial court correctly granted the motion to </w:t>
      </w:r>
      <w:r>
        <w:lastRenderedPageBreak/>
        <w:t>quash, and in the published portion of the opinion, we conclude that the court erred in susta</w:t>
      </w:r>
      <w:r>
        <w:t>ining the demurrer without leave to amend.</w:t>
      </w:r>
    </w:p>
    <w:p w14:paraId="7C8CFC1D" w14:textId="77777777" w:rsidR="00B46DAD" w:rsidRDefault="00140D1F" w:rsidP="00196251">
      <w:pPr>
        <w:rPr>
          <w:rFonts w:eastAsia="Times New Roman" w:cs="Arial"/>
          <w:color w:val="000000"/>
        </w:rPr>
      </w:pPr>
      <w:r>
        <w:t xml:space="preserve">On the merits, we write in a rapidly evolving area of law.  Over </w:t>
      </w:r>
      <w:r w:rsidRPr="00D32941">
        <w:t>the last</w:t>
      </w:r>
      <w:r>
        <w:t xml:space="preserve"> 18 </w:t>
      </w:r>
      <w:r w:rsidRPr="00D32941">
        <w:t xml:space="preserve">months, a nearly uniform </w:t>
      </w:r>
      <w:r>
        <w:t xml:space="preserve">line </w:t>
      </w:r>
      <w:r w:rsidRPr="00D32941">
        <w:t xml:space="preserve">of cases in California and across the country holds that temporary loss of use of property due to the </w:t>
      </w:r>
      <w:r w:rsidRPr="00D32941">
        <w:t>COVID</w:t>
      </w:r>
      <w:r>
        <w:noBreakHyphen/>
      </w:r>
      <w:r w:rsidRPr="00D32941">
        <w:t>19 pandemic does not constitute “</w:t>
      </w:r>
      <w:r w:rsidRPr="00C97B4E">
        <w:t>direct physical loss of or damage to</w:t>
      </w:r>
      <w:r w:rsidRPr="000B3CBB">
        <w:t>” property</w:t>
      </w:r>
      <w:r>
        <w:t xml:space="preserve"> for </w:t>
      </w:r>
      <w:r w:rsidRPr="00A4511D">
        <w:t>purposes of first party insurance</w:t>
      </w:r>
      <w:r>
        <w:t xml:space="preserve"> coverage</w:t>
      </w:r>
      <w:r w:rsidRPr="00D32941">
        <w:t xml:space="preserve">.  (See </w:t>
      </w:r>
      <w:r w:rsidRPr="00497DB8">
        <w:rPr>
          <w:rFonts w:eastAsia="Times New Roman" w:cs="Times New Roman"/>
          <w:i/>
          <w:iCs/>
          <w:color w:val="000000"/>
          <w:bdr w:val="none" w:sz="0" w:space="0" w:color="auto" w:frame="1"/>
        </w:rPr>
        <w:t xml:space="preserve">Apple Annie, LLC v. Oregon Mutual </w:t>
      </w:r>
      <w:r>
        <w:rPr>
          <w:rFonts w:eastAsia="Times New Roman" w:cs="Times New Roman"/>
          <w:i/>
          <w:iCs/>
          <w:color w:val="000000"/>
          <w:bdr w:val="none" w:sz="0" w:space="0" w:color="auto" w:frame="1"/>
        </w:rPr>
        <w:t xml:space="preserve">Ins. </w:t>
      </w:r>
      <w:r w:rsidRPr="00497DB8">
        <w:rPr>
          <w:rFonts w:eastAsia="Times New Roman" w:cs="Times New Roman"/>
          <w:i/>
          <w:iCs/>
          <w:color w:val="000000"/>
          <w:bdr w:val="none" w:sz="0" w:space="0" w:color="auto" w:frame="1"/>
        </w:rPr>
        <w:t>Co.</w:t>
      </w:r>
      <w:r>
        <w:rPr>
          <w:rFonts w:eastAsia="Times New Roman" w:cs="Times New Roman"/>
          <w:color w:val="000000"/>
        </w:rPr>
        <w:t xml:space="preserve"> </w:t>
      </w:r>
      <w:r w:rsidRPr="00497DB8">
        <w:rPr>
          <w:rFonts w:eastAsia="Times New Roman" w:cs="Times New Roman"/>
          <w:color w:val="000000"/>
        </w:rPr>
        <w:t>(2022) 82</w:t>
      </w:r>
      <w:r>
        <w:rPr>
          <w:rFonts w:eastAsia="Times New Roman" w:cs="Times New Roman"/>
          <w:color w:val="000000"/>
        </w:rPr>
        <w:t> </w:t>
      </w:r>
      <w:r w:rsidRPr="00497DB8">
        <w:rPr>
          <w:rFonts w:eastAsia="Times New Roman" w:cs="Times New Roman"/>
          <w:color w:val="000000"/>
        </w:rPr>
        <w:t>Cal.App.5th 919</w:t>
      </w:r>
      <w:r w:rsidRPr="00D32941">
        <w:rPr>
          <w:rFonts w:eastAsia="Times New Roman" w:cs="Times New Roman"/>
          <w:color w:val="000000"/>
        </w:rPr>
        <w:t>, 930</w:t>
      </w:r>
      <w:r>
        <w:rPr>
          <w:rFonts w:eastAsia="Times New Roman" w:cs="Times New Roman"/>
          <w:color w:val="000000"/>
        </w:rPr>
        <w:t>–</w:t>
      </w:r>
      <w:r w:rsidRPr="00D32941">
        <w:rPr>
          <w:rFonts w:eastAsia="Times New Roman" w:cs="Times New Roman"/>
          <w:color w:val="000000"/>
        </w:rPr>
        <w:t xml:space="preserve">935 [summarizing cases].) </w:t>
      </w:r>
      <w:r>
        <w:rPr>
          <w:rFonts w:eastAsia="Times New Roman" w:cs="Times New Roman"/>
          <w:color w:val="000000"/>
        </w:rPr>
        <w:t xml:space="preserve"> But nearly all </w:t>
      </w:r>
      <w:r>
        <w:rPr>
          <w:rFonts w:eastAsia="Times New Roman" w:cs="Times New Roman"/>
          <w:color w:val="000000"/>
        </w:rPr>
        <w:t>of these cases turn on standard form language that was not customized in any material way by modifying endorsement.</w:t>
      </w:r>
    </w:p>
    <w:p w14:paraId="47B0EAA8" w14:textId="77777777" w:rsidR="000210A3" w:rsidRDefault="00140D1F" w:rsidP="00196251">
      <w:r>
        <w:t xml:space="preserve">The twist in this case is that Sentinel’s policy has customized trigger-of-coverage language that is virus-specific.  Unlike the undefined </w:t>
      </w:r>
      <w:r w:rsidRPr="005D4A83">
        <w:t>t</w:t>
      </w:r>
      <w:r w:rsidRPr="005D4A83">
        <w:t>erm “direct physical loss of or damage to” property in almost all of the COVID</w:t>
      </w:r>
      <w:r>
        <w:noBreakHyphen/>
      </w:r>
      <w:r w:rsidRPr="005D4A83">
        <w:t>19</w:t>
      </w:r>
      <w:r>
        <w:t xml:space="preserve"> business interruption cases decided to date, Sentinel’s policy, by endorsement, (1) contains an affirmative grant of coverage specifically for “loss or damage” caused by a vi</w:t>
      </w:r>
      <w:r>
        <w:t xml:space="preserve">rus, and (2) a special definition of “loss or damage” that </w:t>
      </w:r>
      <w:r w:rsidRPr="00FD2CB0">
        <w:t>includes “[d]irect physical</w:t>
      </w:r>
      <w:r w:rsidRPr="005D4A83">
        <w:t xml:space="preserve"> loss or direct physical damage to” </w:t>
      </w:r>
      <w:r>
        <w:t>property, but is broad enough to encompass pervasive infiltration of virus particulates onto the surfaces of covered property, which i</w:t>
      </w:r>
      <w:r>
        <w:t>s what is alleged here.</w:t>
      </w:r>
    </w:p>
    <w:p w14:paraId="69270E43" w14:textId="77777777" w:rsidR="007E073B" w:rsidRDefault="00140D1F" w:rsidP="00196251">
      <w:r>
        <w:t xml:space="preserve">Although Sentinel’s grant of coverage for property “loss or damage” caused by virus is expressly limited—principally by a condition that makes it applicable only if the </w:t>
      </w:r>
      <w:r w:rsidRPr="00DA683E">
        <w:t>virus is the “result o</w:t>
      </w:r>
      <w:r w:rsidRPr="00DA683E">
        <w:rPr>
          <w:spacing w:val="40"/>
        </w:rPr>
        <w:t>f</w:t>
      </w:r>
      <w:r w:rsidRPr="00DA683E">
        <w:t>” one of</w:t>
      </w:r>
      <w:r>
        <w:t xml:space="preserve"> a number of listed causes, none</w:t>
      </w:r>
      <w:r>
        <w:t xml:space="preserve"> of which John’s Grill has alleged—the specified causes clause in Sentinel’s limited virus coverage endorsement, applied broadly, as Sentinel proposes to apply it here, effectively transforms the limited grant of coverage </w:t>
      </w:r>
      <w:r>
        <w:lastRenderedPageBreak/>
        <w:t xml:space="preserve">for virus-caused “loss or damage” </w:t>
      </w:r>
      <w:r>
        <w:t>into an empty promise.  On this record, we conclude that it is unenforceable under the illusory coverage doctrine.</w:t>
      </w:r>
    </w:p>
    <w:p w14:paraId="1A5B1B60" w14:textId="77777777" w:rsidR="00E039CB" w:rsidRPr="0009332B" w:rsidRDefault="00140D1F" w:rsidP="0009332B">
      <w:pPr>
        <w:pStyle w:val="Heading1"/>
      </w:pPr>
      <w:r w:rsidRPr="0009332B">
        <w:t>BACKGROUND</w:t>
      </w:r>
    </w:p>
    <w:p w14:paraId="3435EF18" w14:textId="77777777" w:rsidR="007E073B" w:rsidRDefault="00140D1F" w:rsidP="007E073B">
      <w:pPr>
        <w:pStyle w:val="Heading2"/>
      </w:pPr>
      <w:r>
        <w:t xml:space="preserve"> The Parties and the Policy</w:t>
      </w:r>
    </w:p>
    <w:p w14:paraId="14222E8F" w14:textId="77777777" w:rsidR="00D1468F" w:rsidRDefault="00140D1F" w:rsidP="00ED0CED">
      <w:r>
        <w:t xml:space="preserve">John’s Grill owns and operates a restaurant in downtown San Francisco.  On March 16, 2020, in </w:t>
      </w:r>
      <w:r>
        <w:t>response to the COVID</w:t>
      </w:r>
      <w:r>
        <w:noBreakHyphen/>
        <w:t>19 pandemic, the City and County of San Francisco issued a shelter-in-place order that required nonessential businesses to close and restaurants to suspend in-person dining.  Subsequent orders were issued that permitted limited indoor</w:t>
      </w:r>
      <w:r>
        <w:t xml:space="preserve"> and outdoor dining beginning in September 2020.  As a result of these orders and the presence of COVID</w:t>
      </w:r>
      <w:r>
        <w:noBreakHyphen/>
        <w:t>19 on its premises, John’s Grill either had to remain closed or operate at a limited capacity.</w:t>
      </w:r>
    </w:p>
    <w:p w14:paraId="7E60D852" w14:textId="77777777" w:rsidR="001A5971" w:rsidRPr="00AA32FB" w:rsidRDefault="00140D1F" w:rsidP="009A6767">
      <w:pPr>
        <w:rPr>
          <w:rFonts w:eastAsia="Times New Roman" w:cs="Times New Roman"/>
          <w:color w:val="000000"/>
        </w:rPr>
      </w:pPr>
      <w:r>
        <w:t>Sentinel issued a “Spectrum Business Owner’s Policy” to J</w:t>
      </w:r>
      <w:r>
        <w:t xml:space="preserve">ohn’s Grill for the policy period of November 1, 2019 to November 1, 2020 (the Policy).  In a mammoth, 217-page document, the Policy provides a variety of different </w:t>
      </w:r>
      <w:r w:rsidRPr="00560E8E">
        <w:t>types</w:t>
      </w:r>
      <w:r>
        <w:t xml:space="preserve"> of commercial insurance to John’s Grill, including first party property coverage in a</w:t>
      </w:r>
      <w:r>
        <w:t xml:space="preserve"> Special Property Coverage Form, third party liability coverage in a Business Liability Coverage Form, and umbrella liability coverage in an Umbrella Liability Supplemental Contract.  All of these coverages are preceded by a Declarations summary stating pe</w:t>
      </w:r>
      <w:r>
        <w:t>r claim and per occurrence limitations, and by various Common Conditions of coverage.  Within each form of coverage is an insuring agreement, various standard definitions, exclusions, additional coverages</w:t>
      </w:r>
      <w:r w:rsidRPr="00853222">
        <w:t>,</w:t>
      </w:r>
      <w:r>
        <w:t xml:space="preserve"> and coverage extensions.  There are also modifying</w:t>
      </w:r>
      <w:r>
        <w:t xml:space="preserve"> endorsements that customize the respective coverages in different </w:t>
      </w:r>
      <w:r>
        <w:lastRenderedPageBreak/>
        <w:t xml:space="preserve">ways, including a number of modifications tailored specially to a restaurant </w:t>
      </w:r>
      <w:r w:rsidRPr="009A6767">
        <w:t>business.</w:t>
      </w:r>
      <w:r>
        <w:rPr>
          <w:rStyle w:val="FootnoteReference"/>
        </w:rPr>
        <w:footnoteReference w:id="3"/>
      </w:r>
    </w:p>
    <w:p w14:paraId="6457C0B7" w14:textId="77777777" w:rsidR="00735C5C" w:rsidRDefault="00140D1F" w:rsidP="00217BF3">
      <w:r>
        <w:t>The Special Property Coverage Form is structured to provide all “Perils” coverage, meaning all risks</w:t>
      </w:r>
      <w:r>
        <w:t xml:space="preserve"> of physical </w:t>
      </w:r>
      <w:r w:rsidRPr="009359FB">
        <w:t>loss or damage are covered unless subject to a specific exception or exclusion.</w:t>
      </w:r>
      <w:r>
        <w:rPr>
          <w:rStyle w:val="FootnoteReference"/>
        </w:rPr>
        <w:footnoteReference w:id="4"/>
      </w:r>
      <w:r w:rsidRPr="009359FB">
        <w:t xml:space="preserve">  At issue here is the first party property insurance provided under two endorsements that modify the Special Property Coverage Form:  (1) an “Actual Loss Sustain</w:t>
      </w:r>
      <w:r w:rsidRPr="009359FB">
        <w:t>ed Business Income &amp; Expense—Specified Limit</w:t>
      </w:r>
      <w:r>
        <w:t xml:space="preserve"> Coverage</w:t>
      </w:r>
      <w:r w:rsidRPr="009359FB">
        <w:t>” endorsement providing</w:t>
      </w:r>
      <w:r>
        <w:t xml:space="preserve"> coverage for losses due to suspended operations (the Lost Business Income and Extra Expense Endorsement), and (2) a “Limited Fungi, Bacteria or Virus Coverage” endorsement (the Li</w:t>
      </w:r>
      <w:r>
        <w:t>mited Fungi or Virus Coverage Endorsement).</w:t>
      </w:r>
    </w:p>
    <w:p w14:paraId="1589214C" w14:textId="77777777" w:rsidR="004460A5" w:rsidRDefault="00140D1F" w:rsidP="007E073B">
      <w:r>
        <w:t>The most pertinent of these two endorsements is the Limited Fungi or Virus Coverage Endorsement, which includes provisions (1) that add limited coverage in certain circumstances for “loss or damage” “caused by” “</w:t>
      </w:r>
      <w:r>
        <w:t>virus” (the Limited Virus Coverage), subject to certain conditions requiring that the virus was the “result o</w:t>
      </w:r>
      <w:r w:rsidRPr="0062235A">
        <w:rPr>
          <w:spacing w:val="40"/>
        </w:rPr>
        <w:t>f</w:t>
      </w:r>
      <w:r>
        <w:t>” one or more of a list of enumerated causes (the Specified Causes Clause), and (2) that exclude any “</w:t>
      </w:r>
      <w:r w:rsidRPr="00A17B49">
        <w:t>loss or damage caused directly or indirectly</w:t>
      </w:r>
      <w:r w:rsidRPr="00A17B49">
        <w:t xml:space="preserve"> by</w:t>
      </w:r>
      <w:r>
        <w:t>” the “[p]</w:t>
      </w:r>
      <w:r w:rsidRPr="006F3B01">
        <w:t xml:space="preserve">resence, growth, proliferation, spread or any activity of </w:t>
      </w:r>
      <w:r>
        <w:t>‘</w:t>
      </w:r>
      <w:r w:rsidRPr="006F3B01">
        <w:t>fungi</w:t>
      </w:r>
      <w:r>
        <w:t>’</w:t>
      </w:r>
      <w:r w:rsidRPr="006F3B01">
        <w:t>, wet rot, dry rot, bacteria or virus</w:t>
      </w:r>
      <w:r>
        <w:t xml:space="preserve">” (the Virus Exclusion), subject to an exception where the loss or damage falls within the Limited </w:t>
      </w:r>
      <w:r>
        <w:lastRenderedPageBreak/>
        <w:t>Virus Coverage.  Although we are presented</w:t>
      </w:r>
      <w:r>
        <w:t xml:space="preserve"> with an issue of personal jurisdiction as a threshold matter, how to reconcile the Limited Virus Coverage with the Virus Exclusion is at the heart of the appeal on the merits.</w:t>
      </w:r>
    </w:p>
    <w:p w14:paraId="48CF1AE7" w14:textId="77777777" w:rsidR="007E073B" w:rsidRDefault="00140D1F" w:rsidP="007E073B">
      <w:pPr>
        <w:pStyle w:val="Heading2"/>
      </w:pPr>
      <w:r>
        <w:t>The Proceedings in the Trial Court</w:t>
      </w:r>
    </w:p>
    <w:p w14:paraId="4C47F5E5" w14:textId="77777777" w:rsidR="008D077D" w:rsidRDefault="00140D1F" w:rsidP="00ED0CED">
      <w:r>
        <w:t>Within days of what is now commonly known as</w:t>
      </w:r>
      <w:r>
        <w:t xml:space="preserve"> the Great Shutdown due to the COVID</w:t>
      </w:r>
      <w:r>
        <w:noBreakHyphen/>
        <w:t xml:space="preserve">19 virus in late March 2020, John’s Grill submitted a claim to Sentinel for lost business income under the Lost Business Income </w:t>
      </w:r>
      <w:r w:rsidRPr="007B4755">
        <w:t>and Extra Expense</w:t>
      </w:r>
      <w:r>
        <w:t xml:space="preserve"> Endorsement.  The response came rapidly.  On April 6, 2020, Sentinel issu</w:t>
      </w:r>
      <w:r>
        <w:t>ed a letter denying the claim.</w:t>
      </w:r>
    </w:p>
    <w:p w14:paraId="7FB13432" w14:textId="77777777" w:rsidR="00E440CE" w:rsidRDefault="00140D1F" w:rsidP="00ED0CED">
      <w:r>
        <w:t xml:space="preserve">Sentinel’s declination letter explained that “since the </w:t>
      </w:r>
      <w:r w:rsidRPr="00FB35EC">
        <w:t>coronavirus did not</w:t>
      </w:r>
      <w:r>
        <w:t xml:space="preserve"> cause property damage at your place of business or in the immediate area, this business income loss is not covered.”  The letter further stated that </w:t>
      </w:r>
      <w:r>
        <w:t>even if there was property damage, such damage was excluded from the Policy and that the limited coverage for damage caused by virus did not apply.</w:t>
      </w:r>
    </w:p>
    <w:p w14:paraId="4C2C527B" w14:textId="77777777" w:rsidR="000C63FB" w:rsidRDefault="00140D1F" w:rsidP="00ED0CED">
      <w:r w:rsidRPr="00545677">
        <w:t>On April 15, 2020, John’s Grill brought suit against</w:t>
      </w:r>
      <w:r>
        <w:t xml:space="preserve"> Sentinel and HFSG,</w:t>
      </w:r>
      <w:r>
        <w:rPr>
          <w:rStyle w:val="FootnoteReference"/>
        </w:rPr>
        <w:footnoteReference w:id="5"/>
      </w:r>
      <w:r>
        <w:t xml:space="preserve"> alleging causes of action for brea</w:t>
      </w:r>
      <w:r>
        <w:t xml:space="preserve">ch of contract, bad faith denial of insurance coverage, unfair </w:t>
      </w:r>
      <w:r w:rsidRPr="000A3A3B">
        <w:t xml:space="preserve">business practices, fraud, and declaratory relief.  John’s Grill claimed coverage under </w:t>
      </w:r>
      <w:r w:rsidRPr="005D4A83">
        <w:t>the Civil Authority, Limited Virus Coverage, Lost Business Income and Extra Expense provisions of the Pol</w:t>
      </w:r>
      <w:r w:rsidRPr="005D4A83">
        <w:t>icy.  Its primary theory of loss was that government orders compelled a shutdown of business operations, but it alleged in the alternative that it suffered</w:t>
      </w:r>
      <w:r>
        <w:t xml:space="preserve"> </w:t>
      </w:r>
      <w:r>
        <w:lastRenderedPageBreak/>
        <w:t>sufficient coverage-triggering damage or loss because “physical droplets containing COVID</w:t>
      </w:r>
      <w:r>
        <w:noBreakHyphen/>
        <w:t>19” that l</w:t>
      </w:r>
      <w:r>
        <w:t>and on surfaces rendered its business premises “unusable” due to the “substantial risk of people getting sick, transmitting infection to others, and possibly dying as a result of touching those surfaces.”</w:t>
      </w:r>
    </w:p>
    <w:p w14:paraId="5B651D50" w14:textId="77777777" w:rsidR="000F7629" w:rsidRDefault="00140D1F" w:rsidP="00ED0CED">
      <w:r>
        <w:t xml:space="preserve">Both Sentinel and HFSG filed demurrers.  HFSG also </w:t>
      </w:r>
      <w:r>
        <w:t>filed a motion to quash service of summons for lack of personal jurisdiction.  In its demurrer, Sentinel argued that the Virus Exclusion bars coverage for John’s Grill’s alleged losses and that John’s Grill has not alleged any of the listed causes of virus</w:t>
      </w:r>
      <w:r>
        <w:t xml:space="preserve"> in the Specified Causes Clause.  Sentinel further argued that there is no coverage under </w:t>
      </w:r>
      <w:r w:rsidRPr="00B82A32">
        <w:t>the Lost</w:t>
      </w:r>
      <w:r>
        <w:t xml:space="preserve"> Business Income and Extra Expense Endorsement because John’s Grill </w:t>
      </w:r>
      <w:r w:rsidRPr="00AA5C7C">
        <w:t>fails to allege</w:t>
      </w:r>
      <w:r>
        <w:t xml:space="preserve"> physical loss of or physical damage to property.</w:t>
      </w:r>
    </w:p>
    <w:p w14:paraId="51225DBA" w14:textId="77777777" w:rsidR="003341C9" w:rsidRDefault="00140D1F" w:rsidP="00ED0CED">
      <w:r>
        <w:t xml:space="preserve">In its motion to </w:t>
      </w:r>
      <w:r>
        <w:t>quash service of summons, HFSG argued that it is a holding company and parent corporation that does not underwrite any risks itself and is not authorized to do business in California.  It further argued that “The Hartford” (as referenced throughout the Pol</w:t>
      </w:r>
      <w:r>
        <w:t>icy) is a trade name belonging to Hartford Fire Insurance Company, not HFSG, and is used by various entities, including Sentinel.</w:t>
      </w:r>
    </w:p>
    <w:p w14:paraId="2E729657" w14:textId="77777777" w:rsidR="00085ACA" w:rsidRDefault="00140D1F" w:rsidP="00130713">
      <w:r>
        <w:t xml:space="preserve">Following a hearing, the trial court sustained Sentinel’s demurrer without leave to amend.  The trial court held that (i) the </w:t>
      </w:r>
      <w:r>
        <w:t>Virus Exclusion’s plain and unambiguous language excludes coverage for losses caused by COVID</w:t>
      </w:r>
      <w:r>
        <w:noBreakHyphen/>
        <w:t>19; (ii) the Limited Virus Coverage does not apply because John’s Grill failed to allege the COVID</w:t>
      </w:r>
      <w:r>
        <w:noBreakHyphen/>
        <w:t>19 virus “resulted from” a cause listed in the Specified Causes</w:t>
      </w:r>
      <w:r>
        <w:t xml:space="preserve"> Clause; and (iii) the Specified Causes Clause, while perhaps difficult to meet, does not render the Limited Virus Coverage illusory.</w:t>
      </w:r>
    </w:p>
    <w:p w14:paraId="7CFE656A" w14:textId="77777777" w:rsidR="005070A2" w:rsidRDefault="00140D1F" w:rsidP="00130713">
      <w:r>
        <w:t xml:space="preserve">The court also granted HFSG’s motion to quash service, holding that John’s Grill failed to present sufficient evidence to </w:t>
      </w:r>
      <w:r>
        <w:t xml:space="preserve">support specific </w:t>
      </w:r>
      <w:r>
        <w:lastRenderedPageBreak/>
        <w:t>jurisdiction over HFSG.</w:t>
      </w:r>
      <w:r>
        <w:rPr>
          <w:rStyle w:val="FootnoteReference"/>
        </w:rPr>
        <w:footnoteReference w:id="6"/>
      </w:r>
      <w:r>
        <w:t xml:space="preserve">  Finally, the trial court ruled that HFSG’s demurrer was moot in light of its order granting the motion to quash.</w:t>
      </w:r>
    </w:p>
    <w:p w14:paraId="46857D3B" w14:textId="77777777" w:rsidR="004F7EE0" w:rsidRPr="00A72855" w:rsidRDefault="00140D1F" w:rsidP="00AA5C7C">
      <w:r>
        <w:t xml:space="preserve">Following the trial court’s dismissal of the action with prejudice as to both Sentinel and HFSG, John’s Grill timely appealed.  In its appeal, John’s Grill argues that the trial court erred by sustaining Sentinel’s demurrer, and </w:t>
      </w:r>
      <w:r w:rsidRPr="00365F74">
        <w:t xml:space="preserve">by </w:t>
      </w:r>
      <w:r w:rsidRPr="00A72855">
        <w:t>granting HFSG’s motion t</w:t>
      </w:r>
      <w:r w:rsidRPr="00A72855">
        <w:t>o quash service of summons.  After full briefing, argument and submission of the appeal, the parties notified us that they reached a settlement (</w:t>
      </w:r>
      <w:r>
        <w:t xml:space="preserve">Cal. </w:t>
      </w:r>
      <w:r w:rsidRPr="00A72855">
        <w:t>Rule</w:t>
      </w:r>
      <w:r>
        <w:t>s</w:t>
      </w:r>
      <w:r w:rsidRPr="00A72855">
        <w:t xml:space="preserve"> of Court, </w:t>
      </w:r>
      <w:r>
        <w:t xml:space="preserve">rule </w:t>
      </w:r>
      <w:r w:rsidRPr="00A72855">
        <w:t>8.244(a)) and stipulated to dismissal (</w:t>
      </w:r>
      <w:r w:rsidRPr="00912233">
        <w:rPr>
          <w:i/>
          <w:iCs/>
        </w:rPr>
        <w:t>id.</w:t>
      </w:r>
      <w:r w:rsidRPr="00A72855">
        <w:t xml:space="preserve">, </w:t>
      </w:r>
      <w:r>
        <w:t xml:space="preserve">rule </w:t>
      </w:r>
      <w:r w:rsidRPr="00A72855">
        <w:t>8.244(c)</w:t>
      </w:r>
      <w:r>
        <w:t>)</w:t>
      </w:r>
      <w:r w:rsidRPr="006225E7">
        <w:t>.</w:t>
      </w:r>
    </w:p>
    <w:p w14:paraId="0A2225AA" w14:textId="77777777" w:rsidR="00365F74" w:rsidRPr="00A72855" w:rsidRDefault="00140D1F" w:rsidP="00130713">
      <w:pPr>
        <w:rPr>
          <w:rFonts w:eastAsia="Times New Roman" w:cs="Times New Roman"/>
          <w:color w:val="000000"/>
        </w:rPr>
      </w:pPr>
      <w:r w:rsidRPr="00A72855">
        <w:t>“</w:t>
      </w:r>
      <w:r w:rsidRPr="007844BA">
        <w:rPr>
          <w:color w:val="000000"/>
        </w:rPr>
        <w:t xml:space="preserve">On receipt of a request </w:t>
      </w:r>
      <w:r w:rsidRPr="007844BA">
        <w:rPr>
          <w:color w:val="000000"/>
        </w:rPr>
        <w:t xml:space="preserve">or stipulation to dismiss, the court </w:t>
      </w:r>
      <w:r w:rsidRPr="007844BA">
        <w:rPr>
          <w:i/>
          <w:color w:val="000000"/>
        </w:rPr>
        <w:t>may</w:t>
      </w:r>
      <w:r w:rsidRPr="007844BA">
        <w:rPr>
          <w:color w:val="000000"/>
        </w:rPr>
        <w:t xml:space="preserve"> dismiss the appeal and direct immediate issuance of the remittitur.”  </w:t>
      </w:r>
      <w:r w:rsidRPr="00CC1CA6">
        <w:t>(</w:t>
      </w:r>
      <w:r>
        <w:t xml:space="preserve">Cal. </w:t>
      </w:r>
      <w:r w:rsidRPr="00CC1CA6">
        <w:t>Rule</w:t>
      </w:r>
      <w:r>
        <w:t>s</w:t>
      </w:r>
      <w:r w:rsidRPr="00CC1CA6">
        <w:t xml:space="preserve"> of Court, </w:t>
      </w:r>
      <w:r>
        <w:t>rule </w:t>
      </w:r>
      <w:r w:rsidRPr="00CC1CA6">
        <w:t>8.244(c)</w:t>
      </w:r>
      <w:r>
        <w:t>(2), italics added;</w:t>
      </w:r>
      <w:r w:rsidRPr="007844BA">
        <w:rPr>
          <w:color w:val="000000"/>
        </w:rPr>
        <w:t xml:space="preserve"> see </w:t>
      </w:r>
      <w:r w:rsidRPr="00365F74">
        <w:rPr>
          <w:rFonts w:eastAsia="Times New Roman" w:cs="Times New Roman"/>
          <w:i/>
          <w:iCs/>
          <w:color w:val="000000"/>
          <w:bdr w:val="none" w:sz="0" w:space="0" w:color="auto" w:frame="1"/>
        </w:rPr>
        <w:t>City of Morgan Hill v. Brown</w:t>
      </w:r>
      <w:r>
        <w:rPr>
          <w:rFonts w:eastAsia="Times New Roman" w:cs="Times New Roman"/>
          <w:color w:val="000000"/>
        </w:rPr>
        <w:t xml:space="preserve"> </w:t>
      </w:r>
      <w:r w:rsidRPr="006225E7">
        <w:rPr>
          <w:rFonts w:eastAsia="Times New Roman" w:cs="Times New Roman"/>
          <w:color w:val="000000"/>
        </w:rPr>
        <w:t>(1999) 71</w:t>
      </w:r>
      <w:r>
        <w:rPr>
          <w:rFonts w:eastAsia="Times New Roman" w:cs="Times New Roman"/>
          <w:color w:val="000000"/>
        </w:rPr>
        <w:t> </w:t>
      </w:r>
      <w:r w:rsidRPr="006225E7">
        <w:rPr>
          <w:rFonts w:eastAsia="Times New Roman" w:cs="Times New Roman"/>
          <w:color w:val="000000"/>
        </w:rPr>
        <w:t>Cal.App.4th 1114, 1121</w:t>
      </w:r>
      <w:r>
        <w:rPr>
          <w:rFonts w:eastAsia="Times New Roman" w:cs="Times New Roman"/>
          <w:color w:val="000000"/>
        </w:rPr>
        <w:t>, fn. 5</w:t>
      </w:r>
      <w:r w:rsidRPr="006225E7">
        <w:rPr>
          <w:rFonts w:eastAsia="Times New Roman" w:cs="Times New Roman"/>
          <w:color w:val="000000"/>
        </w:rPr>
        <w:t xml:space="preserve"> [“</w:t>
      </w:r>
      <w:r w:rsidRPr="007844BA">
        <w:rPr>
          <w:rFonts w:eastAsia="Times New Roman" w:cs="Times New Roman"/>
          <w:color w:val="000000"/>
        </w:rPr>
        <w:t>After the recor</w:t>
      </w:r>
      <w:r w:rsidRPr="007844BA">
        <w:rPr>
          <w:rFonts w:eastAsia="Times New Roman" w:cs="Times New Roman"/>
          <w:color w:val="000000"/>
        </w:rPr>
        <w:t>d on appeal is filed, dismissal of the action based on abandonment or stipulation of the parties is discretionary, rather than mandatory.”].)</w:t>
      </w:r>
    </w:p>
    <w:p w14:paraId="5B0BAD71" w14:textId="77777777" w:rsidR="00870144" w:rsidRDefault="00140D1F" w:rsidP="00130713">
      <w:r>
        <w:t>Because this appeal raises issues “of continuing public interest which are likely to recur” (</w:t>
      </w:r>
      <w:r>
        <w:rPr>
          <w:i/>
          <w:iCs/>
          <w:color w:val="000000"/>
          <w:bdr w:val="none" w:sz="0" w:space="0" w:color="auto" w:frame="1"/>
        </w:rPr>
        <w:t xml:space="preserve">Bay Guardian Co. v. </w:t>
      </w:r>
      <w:r>
        <w:rPr>
          <w:i/>
          <w:iCs/>
          <w:color w:val="000000"/>
          <w:bdr w:val="none" w:sz="0" w:space="0" w:color="auto" w:frame="1"/>
        </w:rPr>
        <w:t>New Times Media LLC</w:t>
      </w:r>
      <w:r>
        <w:rPr>
          <w:color w:val="000000"/>
        </w:rPr>
        <w:t xml:space="preserve"> (2010) 187 Cal.App.4th 438, 445, fn. 2</w:t>
      </w:r>
      <w:r w:rsidRPr="00BA0FCB">
        <w:rPr>
          <w:color w:val="000000"/>
        </w:rPr>
        <w:t xml:space="preserve">; see </w:t>
      </w:r>
      <w:r w:rsidRPr="00BA0FCB">
        <w:rPr>
          <w:i/>
          <w:color w:val="000000"/>
          <w:bdr w:val="none" w:sz="0" w:space="0" w:color="auto" w:frame="1"/>
        </w:rPr>
        <w:t>Lucich</w:t>
      </w:r>
      <w:r w:rsidRPr="002C158B">
        <w:rPr>
          <w:i/>
          <w:color w:val="000000"/>
          <w:bdr w:val="none" w:sz="0" w:space="0" w:color="auto" w:frame="1"/>
        </w:rPr>
        <w:t xml:space="preserve"> v. City of Oakland</w:t>
      </w:r>
      <w:r w:rsidRPr="002C158B">
        <w:rPr>
          <w:color w:val="000000"/>
        </w:rPr>
        <w:t xml:space="preserve"> (1993) 19 Cal.App.4th 494, 500</w:t>
      </w:r>
      <w:r>
        <w:rPr>
          <w:color w:val="000000"/>
        </w:rPr>
        <w:t>–502</w:t>
      </w:r>
      <w:r w:rsidRPr="00791228">
        <w:rPr>
          <w:color w:val="000000"/>
        </w:rPr>
        <w:t>)</w:t>
      </w:r>
      <w:r>
        <w:rPr>
          <w:color w:val="000000"/>
        </w:rPr>
        <w:t xml:space="preserve">, </w:t>
      </w:r>
      <w:r>
        <w:t xml:space="preserve">we decline to dismiss at this late stage in the appellate proceedings and proceed to file our opinion.  Below, we </w:t>
      </w:r>
      <w:r w:rsidRPr="008D108D">
        <w:t>conclude that t</w:t>
      </w:r>
      <w:r w:rsidRPr="008D108D">
        <w:t xml:space="preserve">he court properly granted HFSG’s motion to quash, but that it erred in sustaining Sentinel’s </w:t>
      </w:r>
      <w:r w:rsidRPr="00423B59">
        <w:t>demurrer without leave to amend.</w:t>
      </w:r>
    </w:p>
    <w:p w14:paraId="6A09BB37" w14:textId="77777777" w:rsidR="004458E2" w:rsidRDefault="00140D1F" w:rsidP="0009332B">
      <w:pPr>
        <w:pStyle w:val="Heading1"/>
      </w:pPr>
      <w:r w:rsidRPr="00377DA0">
        <w:lastRenderedPageBreak/>
        <w:t>ANALYSIS</w:t>
      </w:r>
    </w:p>
    <w:p w14:paraId="12600DCA" w14:textId="77777777" w:rsidR="00D722A4" w:rsidRDefault="00140D1F" w:rsidP="00C3747F">
      <w:pPr>
        <w:pStyle w:val="Heading2"/>
        <w:numPr>
          <w:ilvl w:val="0"/>
          <w:numId w:val="33"/>
        </w:numPr>
      </w:pPr>
      <w:r>
        <w:t>The Motion T</w:t>
      </w:r>
      <w:r w:rsidRPr="00C3747F">
        <w:t>o</w:t>
      </w:r>
      <w:r>
        <w:t xml:space="preserve"> Quash</w:t>
      </w:r>
    </w:p>
    <w:p w14:paraId="09FDCBF0" w14:textId="77777777" w:rsidR="00D722A4" w:rsidRDefault="00140D1F" w:rsidP="00D722A4">
      <w:r>
        <w:t xml:space="preserve">We address first whether the trial court erred in granting HFSG’s motion to quash service of summons </w:t>
      </w:r>
      <w:r>
        <w:t>for lack of personal jurisdiction.  We hold that it did not.</w:t>
      </w:r>
    </w:p>
    <w:p w14:paraId="68856996" w14:textId="77777777" w:rsidR="00D722A4" w:rsidRDefault="00140D1F" w:rsidP="00D722A4">
      <w:r>
        <w:t>“The concept of minimum contacts embraces two types of jurisdiction—general and specific.”  (</w:t>
      </w:r>
      <w:r w:rsidRPr="009602C7">
        <w:rPr>
          <w:i/>
          <w:iCs/>
        </w:rPr>
        <w:t>Sonora Diamond Corp. v. Superior Court</w:t>
      </w:r>
      <w:r>
        <w:t xml:space="preserve"> (2000) 83 Cal.App.4th 523, 536.)  The sole issue here is whethe</w:t>
      </w:r>
      <w:r>
        <w:t>r there is a basis to exercise specific jurisdiction.  S</w:t>
      </w:r>
      <w:r w:rsidRPr="00300AC6">
        <w:t>pecific jurisdiction exists if:  (1)</w:t>
      </w:r>
      <w:r>
        <w:t> </w:t>
      </w:r>
      <w:r w:rsidRPr="00300AC6">
        <w:t xml:space="preserve">the defendant has </w:t>
      </w:r>
      <w:r w:rsidRPr="00E02C8D">
        <w:t>purposefully</w:t>
      </w:r>
      <w:r w:rsidRPr="00300AC6">
        <w:t xml:space="preserve"> availed itself of forum benefits related to the matter in controversy; (2)</w:t>
      </w:r>
      <w:r>
        <w:t> </w:t>
      </w:r>
      <w:r w:rsidRPr="00300AC6">
        <w:t>the controversy relates to or arises out of the defendant</w:t>
      </w:r>
      <w:r w:rsidRPr="00300AC6">
        <w:t>’s contacts with the forum; and (3)</w:t>
      </w:r>
      <w:r>
        <w:t> </w:t>
      </w:r>
      <w:r w:rsidRPr="00300AC6">
        <w:t xml:space="preserve">the exercise of jurisdiction </w:t>
      </w:r>
      <w:r w:rsidRPr="00E84777">
        <w:t xml:space="preserve">would comport with fair play and substantial justice. </w:t>
      </w:r>
      <w:r>
        <w:t xml:space="preserve"> (</w:t>
      </w:r>
      <w:r w:rsidRPr="00C70AE4">
        <w:rPr>
          <w:i/>
          <w:iCs/>
        </w:rPr>
        <w:t xml:space="preserve">Van </w:t>
      </w:r>
      <w:r w:rsidRPr="002F157E">
        <w:rPr>
          <w:i/>
          <w:iCs/>
        </w:rPr>
        <w:t xml:space="preserve">Buskirk v. </w:t>
      </w:r>
      <w:r>
        <w:rPr>
          <w:i/>
          <w:iCs/>
        </w:rPr>
        <w:t>Van</w:t>
      </w:r>
      <w:r w:rsidRPr="002F157E">
        <w:rPr>
          <w:i/>
          <w:iCs/>
        </w:rPr>
        <w:t xml:space="preserve"> Buskirk</w:t>
      </w:r>
      <w:r w:rsidRPr="00E84777">
        <w:t xml:space="preserve"> (2020) 53</w:t>
      </w:r>
      <w:r>
        <w:t> </w:t>
      </w:r>
      <w:r w:rsidRPr="00E84777">
        <w:t>Cal.App.5th 523, 531.</w:t>
      </w:r>
      <w:r>
        <w:t xml:space="preserve">) </w:t>
      </w:r>
      <w:r w:rsidRPr="00E84777">
        <w:t xml:space="preserve"> </w:t>
      </w:r>
      <w:r>
        <w:t>T</w:t>
      </w:r>
      <w:r w:rsidRPr="00E84777">
        <w:t xml:space="preserve">he relationship between the defendant and the forum state “must arise out of contacts that the </w:t>
      </w:r>
      <w:r>
        <w:t>‘</w:t>
      </w:r>
      <w:r w:rsidRPr="00BC33FB">
        <w:t xml:space="preserve">defendant </w:t>
      </w:r>
      <w:r w:rsidRPr="00D94A07">
        <w:rPr>
          <w:i/>
        </w:rPr>
        <w:t>[it]sel</w:t>
      </w:r>
      <w:r w:rsidRPr="00D94A07">
        <w:rPr>
          <w:i/>
          <w:spacing w:val="40"/>
        </w:rPr>
        <w:t>f</w:t>
      </w:r>
      <w:r w:rsidRPr="00BC33FB">
        <w:t>’</w:t>
      </w:r>
      <w:r w:rsidRPr="00E84777">
        <w:t xml:space="preserve"> creates with the forum </w:t>
      </w:r>
      <w:r>
        <w:t>[s]</w:t>
      </w:r>
      <w:r w:rsidRPr="00E84777">
        <w:t>tate,</w:t>
      </w:r>
      <w:r>
        <w:t>”</w:t>
      </w:r>
      <w:r w:rsidRPr="00E84777">
        <w:t xml:space="preserve"> not out of “contacts between the plaintiff (or third parties) and the forum </w:t>
      </w:r>
      <w:r>
        <w:t>[</w:t>
      </w:r>
      <w:r w:rsidRPr="00E84777">
        <w:t>s</w:t>
      </w:r>
      <w:r>
        <w:t>]</w:t>
      </w:r>
      <w:r w:rsidRPr="00E84777">
        <w:t xml:space="preserve">tate.” </w:t>
      </w:r>
      <w:r>
        <w:t xml:space="preserve"> (</w:t>
      </w:r>
      <w:r w:rsidRPr="002F157E">
        <w:rPr>
          <w:i/>
          <w:iCs/>
        </w:rPr>
        <w:t>Walden v. Fiore</w:t>
      </w:r>
      <w:r w:rsidRPr="00E84777">
        <w:t xml:space="preserve"> (20</w:t>
      </w:r>
      <w:r w:rsidRPr="00E84777">
        <w:t>14) 571</w:t>
      </w:r>
      <w:r>
        <w:t> </w:t>
      </w:r>
      <w:r w:rsidRPr="00E84777">
        <w:t>U.S. 277, 284</w:t>
      </w:r>
      <w:r>
        <w:t>.)</w:t>
      </w:r>
    </w:p>
    <w:p w14:paraId="6130908F" w14:textId="77777777" w:rsidR="00D722A4" w:rsidRDefault="00140D1F" w:rsidP="00D722A4">
      <w:r>
        <w:t>When, as here, a defendant has moved “to quash service of process</w:t>
      </w:r>
      <w:r w:rsidRPr="00202A56">
        <w:t xml:space="preserve"> </w:t>
      </w:r>
      <w:r>
        <w:t>on jurisdictional grounds, the plaintiff has the initial burden of demonstrating facts justifying the exercise of jurisdiction” by a preponderance of the evidence.  (</w:t>
      </w:r>
      <w:r w:rsidRPr="00052D0B">
        <w:rPr>
          <w:i/>
          <w:iCs/>
        </w:rPr>
        <w:t>Vons Co</w:t>
      </w:r>
      <w:r>
        <w:rPr>
          <w:i/>
          <w:iCs/>
        </w:rPr>
        <w:t>mpanies</w:t>
      </w:r>
      <w:r w:rsidRPr="00052D0B">
        <w:rPr>
          <w:i/>
          <w:iCs/>
        </w:rPr>
        <w:t>, Inc. v. Seabest Foods, Inc.</w:t>
      </w:r>
      <w:r>
        <w:t xml:space="preserve"> (1996) 14 Cal.4th 434, 449; </w:t>
      </w:r>
      <w:r w:rsidRPr="00052D0B">
        <w:rPr>
          <w:i/>
          <w:iCs/>
        </w:rPr>
        <w:t>ViaView, Inc. v. Retzlaff</w:t>
      </w:r>
      <w:r>
        <w:t xml:space="preserve"> (2016) 1 Cal.App.5th 198, 209–210.)  To satisfy its initial burden, a plaintiff “must come forward with affidavits and other competent evidence . . . and cann</w:t>
      </w:r>
      <w:r>
        <w:t>ot simply rely on allegations in an unverified complaint.”  (</w:t>
      </w:r>
      <w:r w:rsidRPr="00A8670B">
        <w:rPr>
          <w:i/>
          <w:iCs/>
        </w:rPr>
        <w:t>ViaView, Inc. v. Retzlaff</w:t>
      </w:r>
      <w:r>
        <w:t xml:space="preserve">, </w:t>
      </w:r>
      <w:r w:rsidRPr="00A8670B">
        <w:rPr>
          <w:i/>
          <w:iCs/>
        </w:rPr>
        <w:t>supra</w:t>
      </w:r>
      <w:r>
        <w:t xml:space="preserve">, at p. 210; see </w:t>
      </w:r>
      <w:r w:rsidRPr="00991F29">
        <w:rPr>
          <w:i/>
          <w:iCs/>
        </w:rPr>
        <w:t>Rivelli v. Hemm</w:t>
      </w:r>
      <w:r w:rsidRPr="00991F29">
        <w:t xml:space="preserve"> (2021) 67</w:t>
      </w:r>
      <w:r>
        <w:t> </w:t>
      </w:r>
      <w:r w:rsidRPr="00991F29">
        <w:t>Cal.App.5th 380, 393</w:t>
      </w:r>
      <w:r>
        <w:t xml:space="preserve"> [jurisdictional allegations must be supported by “ ‘competent evidence of jurisdictional facts.  Al</w:t>
      </w:r>
      <w:r>
        <w:t>legations in an unverified complaint are insufficient to satisfy this burden of proo</w:t>
      </w:r>
      <w:r w:rsidRPr="003C2677">
        <w:rPr>
          <w:spacing w:val="40"/>
        </w:rPr>
        <w:t>f</w:t>
      </w:r>
      <w:r w:rsidRPr="003C2677">
        <w:t>’ </w:t>
      </w:r>
      <w:r>
        <w:t>”].)</w:t>
      </w:r>
    </w:p>
    <w:p w14:paraId="1F269B76" w14:textId="77777777" w:rsidR="00D722A4" w:rsidRDefault="00140D1F" w:rsidP="00D722A4">
      <w:r w:rsidRPr="00684897">
        <w:lastRenderedPageBreak/>
        <w:t xml:space="preserve">Here, the </w:t>
      </w:r>
      <w:r>
        <w:t>s</w:t>
      </w:r>
      <w:r w:rsidRPr="00684897">
        <w:t xml:space="preserve">uperior </w:t>
      </w:r>
      <w:r>
        <w:t>c</w:t>
      </w:r>
      <w:r w:rsidRPr="00684897">
        <w:t xml:space="preserve">ourt held that </w:t>
      </w:r>
      <w:r>
        <w:t xml:space="preserve">John’s Grill </w:t>
      </w:r>
      <w:r w:rsidRPr="00684897">
        <w:t xml:space="preserve">“fail[ed] to present sufficient evidence to show specific jurisdiction against HFSG.” </w:t>
      </w:r>
      <w:r>
        <w:t xml:space="preserve"> We agree.  HFSG is not a part</w:t>
      </w:r>
      <w:r>
        <w:t>y to the Policy.  It is a holding company that indirectly owns Sentinel.  Without alleging or attempting to present proof that Sentinel is the mere alter ego of HFSG, John’s Grill alleges that HFSG’s corporate affiliation with Sentinel is enough to justify</w:t>
      </w:r>
      <w:r>
        <w:t xml:space="preserve"> </w:t>
      </w:r>
      <w:r w:rsidRPr="00A51610">
        <w:t xml:space="preserve">the exercise </w:t>
      </w:r>
      <w:r>
        <w:t xml:space="preserve">of personal jurisdiction over HFSG.  According to John’s Grill, </w:t>
      </w:r>
      <w:r w:rsidRPr="00B707A1">
        <w:t xml:space="preserve">the Policy </w:t>
      </w:r>
      <w:r>
        <w:t>“</w:t>
      </w:r>
      <w:r w:rsidRPr="00B707A1">
        <w:t>is replete with references to and messages from ‘The Hartford</w:t>
      </w:r>
      <w:r>
        <w:t>’ ” and “The Hartford” maintains a website that invites California-</w:t>
      </w:r>
      <w:r w:rsidRPr="004278A6">
        <w:t>based businesses</w:t>
      </w:r>
      <w:r>
        <w:t xml:space="preserve"> to purchase insurance</w:t>
      </w:r>
      <w:r>
        <w:t xml:space="preserve"> from it.</w:t>
      </w:r>
    </w:p>
    <w:p w14:paraId="2726CBB8" w14:textId="77777777" w:rsidR="00D722A4" w:rsidRPr="00D722A4" w:rsidRDefault="00140D1F" w:rsidP="00D722A4">
      <w:r>
        <w:t>As the superior court found, however, The Hartford is</w:t>
      </w:r>
      <w:r w:rsidRPr="00810D9C">
        <w:t xml:space="preserve"> merely a trade name, used by multiple entities and owned by Hartford Fire Insurance Company, not HFSG.</w:t>
      </w:r>
      <w:r>
        <w:t xml:space="preserve">  The court also found that, since </w:t>
      </w:r>
      <w:r w:rsidRPr="000F5C35">
        <w:t xml:space="preserve">HFSG is not even authorized by the California </w:t>
      </w:r>
      <w:r w:rsidRPr="000F5C35">
        <w:t>Department of Insurance to do business in California</w:t>
      </w:r>
      <w:r>
        <w:t xml:space="preserve">, </w:t>
      </w:r>
      <w:r w:rsidRPr="000F5C35">
        <w:t xml:space="preserve">HFSG therefore cannot reasonably be confused with “The Hartford” that is referenced in </w:t>
      </w:r>
      <w:r>
        <w:t>Sentinel’s</w:t>
      </w:r>
      <w:r w:rsidRPr="000F5C35">
        <w:t xml:space="preserve"> Policy.  </w:t>
      </w:r>
      <w:r>
        <w:t>The court also found that John’s Grill failed to show that “</w:t>
      </w:r>
      <w:r w:rsidRPr="00B34193">
        <w:t xml:space="preserve">discovery is likely to lead to the </w:t>
      </w:r>
      <w:r w:rsidRPr="00B34193">
        <w:t>production of evidence of facts establishing jurisdiction</w:t>
      </w:r>
      <w:r>
        <w:t>,</w:t>
      </w:r>
      <w:r w:rsidRPr="00B34193">
        <w:t>”</w:t>
      </w:r>
      <w:r>
        <w:t xml:space="preserve"> and having so found, denied a request from John’s Grill for jurisdictional discovery.  All of these findings are supported by substantial evidence.</w:t>
      </w:r>
    </w:p>
    <w:p w14:paraId="1662211F" w14:textId="77777777" w:rsidR="0076004E" w:rsidRDefault="00140D1F" w:rsidP="00C3747F">
      <w:pPr>
        <w:pStyle w:val="Heading2"/>
        <w:tabs>
          <w:tab w:val="left" w:pos="1170"/>
        </w:tabs>
      </w:pPr>
      <w:r>
        <w:t>The Demurrer</w:t>
      </w:r>
    </w:p>
    <w:p w14:paraId="4D9D5C7B" w14:textId="77777777" w:rsidR="00A103AB" w:rsidRPr="00E1741C" w:rsidRDefault="00140D1F" w:rsidP="00A103AB">
      <w:r>
        <w:t>We review an order sustaining a dem</w:t>
      </w:r>
      <w:r>
        <w:t>urrer de novo and exercise our independent judgment as to whether the complaint states a cause of action as a matter of law.  (</w:t>
      </w:r>
      <w:r>
        <w:rPr>
          <w:i/>
          <w:iCs/>
        </w:rPr>
        <w:t>Moore v. Regents of University of California</w:t>
      </w:r>
      <w:r>
        <w:t xml:space="preserve"> (1990) 51 Cal.3d 120, 125.)  This extends “even as to matters not expressly ruled up</w:t>
      </w:r>
      <w:r w:rsidRPr="00D1790E">
        <w:t>on</w:t>
      </w:r>
      <w:r>
        <w:t xml:space="preserve"> by the trial court.”  (</w:t>
      </w:r>
      <w:r>
        <w:rPr>
          <w:i/>
          <w:iCs/>
        </w:rPr>
        <w:t>Hayter Trucking, Inc. v. Shell Western E&amp;P, Inc.</w:t>
      </w:r>
      <w:r>
        <w:t xml:space="preserve"> (1993) 18 Cal.App.4th 1, 13.)  We accept as true all material facts properly pleaded and matters which may be judicially noticed but disregard </w:t>
      </w:r>
      <w:r>
        <w:lastRenderedPageBreak/>
        <w:t>contentions, deductions, or conclusion</w:t>
      </w:r>
      <w:r>
        <w:t>s of fact or law.  (</w:t>
      </w:r>
      <w:r>
        <w:rPr>
          <w:i/>
          <w:iCs/>
        </w:rPr>
        <w:t>Blank v. Kirwan</w:t>
      </w:r>
      <w:r>
        <w:t xml:space="preserve"> (1985) 39 Cal.3d 311, 318.)  We “give the complaint a reasonable interpretation, reading it as a whole and its parts in their context.”  (</w:t>
      </w:r>
      <w:r>
        <w:rPr>
          <w:i/>
          <w:iCs/>
        </w:rPr>
        <w:t>Ibid.</w:t>
      </w:r>
      <w:r>
        <w:t>)</w:t>
      </w:r>
    </w:p>
    <w:p w14:paraId="28F1B9B2" w14:textId="77777777" w:rsidR="006119F6" w:rsidRPr="00C86A8C" w:rsidRDefault="00140D1F" w:rsidP="00E34EE9">
      <w:r>
        <w:t>“When a demurrer is sustained without leave to amend, it is the duty of the</w:t>
      </w:r>
      <w:r>
        <w:t xml:space="preserve"> reviewing court to decide whether there is a reasonable possibility that the defect can be cured by amendment.  If it can, the trial court has abused its discretion and we must reverse.  If it cannot be reasonably cured, there has been no abuse of discret</w:t>
      </w:r>
      <w:r>
        <w:t>ion.  [Citation.]  It is the plaintif</w:t>
      </w:r>
      <w:r w:rsidRPr="007566C0">
        <w:rPr>
          <w:spacing w:val="20"/>
        </w:rPr>
        <w:t>f</w:t>
      </w:r>
      <w:r>
        <w:t>’s burden to show the reviewing court how the complaint can be amended to state a cause of action.”  (</w:t>
      </w:r>
      <w:r w:rsidRPr="004B1B4B">
        <w:rPr>
          <w:i/>
          <w:iCs/>
        </w:rPr>
        <w:t>Michaelian</w:t>
      </w:r>
      <w:r>
        <w:rPr>
          <w:i/>
          <w:iCs/>
        </w:rPr>
        <w:t xml:space="preserve"> v. State Comp. Ins. Fund</w:t>
      </w:r>
      <w:r>
        <w:t xml:space="preserve"> (1996) 50 Cal.App.4th 1093, 1105.)</w:t>
      </w:r>
    </w:p>
    <w:p w14:paraId="5C6DA16D" w14:textId="77777777" w:rsidR="0076004E" w:rsidRDefault="00140D1F" w:rsidP="0004203D">
      <w:pPr>
        <w:pStyle w:val="Heading3"/>
      </w:pPr>
      <w:r>
        <w:t>Insurance Policy Interpretation</w:t>
      </w:r>
    </w:p>
    <w:p w14:paraId="74D6C28A" w14:textId="77777777" w:rsidR="006B21A1" w:rsidRPr="006A317A" w:rsidRDefault="00140D1F" w:rsidP="0097432A">
      <w:pPr>
        <w:textAlignment w:val="baseline"/>
      </w:pPr>
      <w:r w:rsidRPr="00E53146">
        <w:t>Because insur</w:t>
      </w:r>
      <w:r w:rsidRPr="00E53146">
        <w:t>ance policies are contracts, judicial interpretation of them, like any other contract, is a question of law.  (</w:t>
      </w:r>
      <w:r w:rsidRPr="00E53146">
        <w:rPr>
          <w:i/>
          <w:iCs/>
        </w:rPr>
        <w:t>AIU</w:t>
      </w:r>
      <w:r>
        <w:rPr>
          <w:i/>
          <w:iCs/>
        </w:rPr>
        <w:t xml:space="preserve"> Ins. </w:t>
      </w:r>
      <w:r w:rsidRPr="00E53146">
        <w:rPr>
          <w:i/>
          <w:iCs/>
        </w:rPr>
        <w:t>Co. v. Superior Court</w:t>
      </w:r>
      <w:r w:rsidRPr="00E53146">
        <w:t xml:space="preserve"> (1990) 51</w:t>
      </w:r>
      <w:r>
        <w:t> </w:t>
      </w:r>
      <w:r w:rsidRPr="00E53146">
        <w:t xml:space="preserve">Cal.3d 807, 818; </w:t>
      </w:r>
      <w:r w:rsidRPr="00373E23">
        <w:rPr>
          <w:rFonts w:eastAsia="Times New Roman" w:cs="Arial"/>
          <w:i/>
          <w:iCs/>
          <w:color w:val="000000"/>
          <w:bdr w:val="none" w:sz="0" w:space="0" w:color="auto" w:frame="1"/>
        </w:rPr>
        <w:t>Bank of the West v. Superior Court</w:t>
      </w:r>
      <w:r>
        <w:rPr>
          <w:rFonts w:eastAsia="Times New Roman" w:cs="Arial"/>
          <w:color w:val="000000"/>
        </w:rPr>
        <w:t xml:space="preserve"> </w:t>
      </w:r>
      <w:r w:rsidRPr="00373E23">
        <w:rPr>
          <w:rFonts w:eastAsia="Times New Roman" w:cs="Arial"/>
          <w:color w:val="000000"/>
        </w:rPr>
        <w:t>(1992) 2</w:t>
      </w:r>
      <w:r>
        <w:rPr>
          <w:rFonts w:eastAsia="Times New Roman" w:cs="Arial"/>
          <w:color w:val="000000"/>
        </w:rPr>
        <w:t> </w:t>
      </w:r>
      <w:r w:rsidRPr="00373E23">
        <w:rPr>
          <w:rFonts w:eastAsia="Times New Roman" w:cs="Arial"/>
          <w:color w:val="000000"/>
        </w:rPr>
        <w:t>Cal.4th 1254, 1264</w:t>
      </w:r>
      <w:r w:rsidRPr="00E53146">
        <w:rPr>
          <w:rFonts w:eastAsia="Times New Roman" w:cs="Arial"/>
          <w:color w:val="000000"/>
        </w:rPr>
        <w:t xml:space="preserve"> [“</w:t>
      </w:r>
      <w:r w:rsidRPr="0097432A">
        <w:rPr>
          <w:rFonts w:eastAsia="Times New Roman" w:cs="Arial"/>
          <w:color w:val="000000"/>
        </w:rPr>
        <w:t>While insurance contra</w:t>
      </w:r>
      <w:r w:rsidRPr="0097432A">
        <w:rPr>
          <w:rFonts w:eastAsia="Times New Roman" w:cs="Arial"/>
          <w:color w:val="000000"/>
        </w:rPr>
        <w:t>cts have special features, they are still contracts to which the ordinary rules of contractual interpretation apply.”].)  T</w:t>
      </w:r>
      <w:r w:rsidRPr="00E53146">
        <w:t xml:space="preserve">he “mutual intention of the parties at the time the contract is formed governs interpretation. </w:t>
      </w:r>
      <w:r>
        <w:t xml:space="preserve"> </w:t>
      </w:r>
      <w:r w:rsidRPr="00E53146">
        <w:t>[Citation.]</w:t>
      </w:r>
      <w:r>
        <w:t xml:space="preserve"> </w:t>
      </w:r>
      <w:r w:rsidRPr="00E53146">
        <w:t xml:space="preserve"> Such intent is to be inferred, if possible, solely from the written provisions of the contract.”  (</w:t>
      </w:r>
      <w:r w:rsidRPr="00CA429C">
        <w:rPr>
          <w:i/>
          <w:iCs/>
        </w:rPr>
        <w:t>AIU</w:t>
      </w:r>
      <w:r>
        <w:rPr>
          <w:i/>
          <w:iCs/>
        </w:rPr>
        <w:t> Ins. Co.</w:t>
      </w:r>
      <w:r w:rsidRPr="00E53146">
        <w:t>, at pp.</w:t>
      </w:r>
      <w:r>
        <w:t> </w:t>
      </w:r>
      <w:r w:rsidRPr="00E53146">
        <w:t>821</w:t>
      </w:r>
      <w:r>
        <w:t>–</w:t>
      </w:r>
      <w:r w:rsidRPr="00E53146">
        <w:t>822.)</w:t>
      </w:r>
      <w:r>
        <w:t xml:space="preserve">  </w:t>
      </w:r>
      <w:r w:rsidRPr="00E53146">
        <w:t>The words in the contract are to be interpreted in their “ordinary and popular sense” unless “used by the parties in a techn</w:t>
      </w:r>
      <w:r w:rsidRPr="00E53146">
        <w:t xml:space="preserve">ical sense, or unless </w:t>
      </w:r>
      <w:r>
        <w:t>a</w:t>
      </w:r>
      <w:r w:rsidRPr="00E53146">
        <w:t xml:space="preserve"> special meaning is given to them by usage</w:t>
      </w:r>
      <w:r>
        <w:t>.</w:t>
      </w:r>
      <w:r w:rsidRPr="00E53146">
        <w:t>”</w:t>
      </w:r>
      <w:r>
        <w:t xml:space="preserve">  (Civ. Code, § 1644.)  Any ambiguous terms must be interpreted “in the sense [the insurer] believed [the insured] understood them at the time of formation,” and ambiguities must be resolve</w:t>
      </w:r>
      <w:r>
        <w:t xml:space="preserve">d in favor of coverage.  </w:t>
      </w:r>
      <w:r w:rsidRPr="009A5F96">
        <w:t>(</w:t>
      </w:r>
      <w:r w:rsidRPr="009A5F96">
        <w:rPr>
          <w:i/>
          <w:iCs/>
        </w:rPr>
        <w:t>AIU</w:t>
      </w:r>
      <w:r>
        <w:rPr>
          <w:i/>
          <w:iCs/>
        </w:rPr>
        <w:t> Ins. Co.</w:t>
      </w:r>
      <w:r w:rsidRPr="009A5F96">
        <w:t>,</w:t>
      </w:r>
      <w:r w:rsidRPr="009A5F96">
        <w:rPr>
          <w:i/>
          <w:iCs/>
        </w:rPr>
        <w:t xml:space="preserve"> </w:t>
      </w:r>
      <w:r w:rsidRPr="006A317A">
        <w:t>at p. 822</w:t>
      </w:r>
      <w:r>
        <w:t>, citing Civ. Code, § 1649</w:t>
      </w:r>
      <w:r w:rsidRPr="006A317A">
        <w:t>.)</w:t>
      </w:r>
    </w:p>
    <w:p w14:paraId="6DF21035" w14:textId="77777777" w:rsidR="000507B2" w:rsidRPr="000E3813" w:rsidRDefault="00140D1F" w:rsidP="000E3813">
      <w:pPr>
        <w:rPr>
          <w:rFonts w:eastAsia="Times New Roman" w:cs="Times New Roman"/>
          <w:color w:val="000000"/>
        </w:rPr>
      </w:pPr>
      <w:r w:rsidRPr="0097432A">
        <w:rPr>
          <w:rFonts w:eastAsia="Times New Roman" w:cs="Times New Roman"/>
          <w:color w:val="000000"/>
        </w:rPr>
        <w:lastRenderedPageBreak/>
        <w:t>“The rules for recognizing ambiguity are . . . straightforward.  Ambiguity exists when an insurance policy provision is susceptible to two or more constructions that are reasonab</w:t>
      </w:r>
      <w:r w:rsidRPr="0097432A">
        <w:rPr>
          <w:rFonts w:eastAsia="Times New Roman" w:cs="Times New Roman"/>
          <w:color w:val="000000"/>
        </w:rPr>
        <w:t>le and not based on strained interpretations.  (</w:t>
      </w:r>
      <w:r w:rsidRPr="000E3813">
        <w:rPr>
          <w:rFonts w:eastAsia="Times New Roman" w:cs="Times New Roman"/>
          <w:i/>
          <w:iCs/>
          <w:color w:val="000000"/>
          <w:bdr w:val="none" w:sz="0" w:space="0" w:color="auto" w:frame="1"/>
        </w:rPr>
        <w:t xml:space="preserve">Producers Dairy Delivery Co. v. Sentry </w:t>
      </w:r>
      <w:r>
        <w:rPr>
          <w:rFonts w:eastAsia="Times New Roman" w:cs="Times New Roman"/>
          <w:i/>
          <w:iCs/>
          <w:color w:val="000000"/>
          <w:bdr w:val="none" w:sz="0" w:space="0" w:color="auto" w:frame="1"/>
        </w:rPr>
        <w:t xml:space="preserve">Ins. </w:t>
      </w:r>
      <w:r w:rsidRPr="000E3813">
        <w:rPr>
          <w:rFonts w:eastAsia="Times New Roman" w:cs="Times New Roman"/>
          <w:i/>
          <w:iCs/>
          <w:color w:val="000000"/>
          <w:bdr w:val="none" w:sz="0" w:space="0" w:color="auto" w:frame="1"/>
        </w:rPr>
        <w:t>Co.</w:t>
      </w:r>
      <w:r w:rsidRPr="007844BA">
        <w:rPr>
          <w:rFonts w:eastAsia="Times New Roman" w:cs="Times New Roman"/>
          <w:color w:val="000000"/>
        </w:rPr>
        <w:t xml:space="preserve"> </w:t>
      </w:r>
      <w:r w:rsidRPr="0097432A">
        <w:rPr>
          <w:rFonts w:eastAsia="Times New Roman" w:cs="Times New Roman"/>
          <w:color w:val="000000"/>
        </w:rPr>
        <w:t>(1986) 41 Cal.3d 903, 912.)  Contract language interpretation involves considering the whole instrument and the circumstances of the case; ambiguity is not an a</w:t>
      </w:r>
      <w:r w:rsidRPr="0097432A">
        <w:rPr>
          <w:rFonts w:eastAsia="Times New Roman" w:cs="Times New Roman"/>
          <w:color w:val="000000"/>
        </w:rPr>
        <w:t>bstract question.  (</w:t>
      </w:r>
      <w:r w:rsidRPr="000E3813">
        <w:rPr>
          <w:rFonts w:eastAsia="Times New Roman" w:cs="Times New Roman"/>
          <w:i/>
          <w:iCs/>
          <w:color w:val="000000"/>
          <w:bdr w:val="none" w:sz="0" w:space="0" w:color="auto" w:frame="1"/>
        </w:rPr>
        <w:t>Id.</w:t>
      </w:r>
      <w:r>
        <w:rPr>
          <w:rFonts w:eastAsia="Times New Roman" w:cs="Times New Roman"/>
          <w:i/>
          <w:iCs/>
          <w:color w:val="000000"/>
          <w:bdr w:val="none" w:sz="0" w:space="0" w:color="auto" w:frame="1"/>
        </w:rPr>
        <w:t xml:space="preserve"> </w:t>
      </w:r>
      <w:r w:rsidRPr="0097432A">
        <w:rPr>
          <w:rFonts w:eastAsia="Times New Roman" w:cs="Times New Roman"/>
          <w:color w:val="000000"/>
        </w:rPr>
        <w:t>at p. 916, fn. 7.)  ‘A word generally has several meanings, even in the dictionary.  You have to consider the sentence in which it stands to decide which of those meanings it bears in the particular case, and very likely will see th</w:t>
      </w:r>
      <w:r w:rsidRPr="0097432A">
        <w:rPr>
          <w:rFonts w:eastAsia="Times New Roman" w:cs="Times New Roman"/>
          <w:color w:val="000000"/>
        </w:rPr>
        <w:t xml:space="preserve">at it there has a shade of significance more refined than any given in the wordbook.’  (Holmes, </w:t>
      </w:r>
      <w:r w:rsidRPr="000E3813">
        <w:rPr>
          <w:rFonts w:eastAsia="Times New Roman" w:cs="Times New Roman"/>
          <w:i/>
          <w:iCs/>
          <w:color w:val="000000"/>
          <w:bdr w:val="none" w:sz="0" w:space="0" w:color="auto" w:frame="1"/>
        </w:rPr>
        <w:t>The Theory of</w:t>
      </w:r>
      <w:r>
        <w:rPr>
          <w:rFonts w:eastAsia="Times New Roman" w:cs="Times New Roman"/>
          <w:i/>
          <w:iCs/>
          <w:color w:val="000000"/>
          <w:bdr w:val="none" w:sz="0" w:space="0" w:color="auto" w:frame="1"/>
        </w:rPr>
        <w:t xml:space="preserve"> </w:t>
      </w:r>
      <w:r w:rsidRPr="000E3813">
        <w:rPr>
          <w:rFonts w:eastAsia="Times New Roman" w:cs="Times New Roman"/>
          <w:i/>
          <w:iCs/>
          <w:color w:val="000000"/>
          <w:bdr w:val="none" w:sz="0" w:space="0" w:color="auto" w:frame="1"/>
        </w:rPr>
        <w:t>Legal Interpretation</w:t>
      </w:r>
      <w:r w:rsidRPr="0097432A">
        <w:rPr>
          <w:rFonts w:eastAsia="Times New Roman" w:cs="Times New Roman"/>
          <w:color w:val="000000"/>
        </w:rPr>
        <w:t xml:space="preserve"> (1899) 12 Harv.</w:t>
      </w:r>
      <w:r>
        <w:rPr>
          <w:rFonts w:eastAsia="Times New Roman" w:cs="Times New Roman"/>
          <w:color w:val="000000"/>
        </w:rPr>
        <w:t xml:space="preserve"> </w:t>
      </w:r>
      <w:r w:rsidRPr="0097432A">
        <w:rPr>
          <w:rFonts w:eastAsia="Times New Roman" w:cs="Times New Roman"/>
          <w:color w:val="000000"/>
        </w:rPr>
        <w:t>L.Rev. 417.)”  (</w:t>
      </w:r>
      <w:r w:rsidRPr="000E3813">
        <w:rPr>
          <w:rFonts w:eastAsia="Times New Roman" w:cs="Times New Roman"/>
          <w:i/>
          <w:iCs/>
          <w:color w:val="000000"/>
          <w:bdr w:val="none" w:sz="0" w:space="0" w:color="auto" w:frame="1"/>
        </w:rPr>
        <w:t xml:space="preserve">Shell Oil Co. v. Winterthur Swiss </w:t>
      </w:r>
      <w:r>
        <w:rPr>
          <w:rFonts w:eastAsia="Times New Roman" w:cs="Times New Roman"/>
          <w:i/>
          <w:iCs/>
          <w:color w:val="000000"/>
          <w:bdr w:val="none" w:sz="0" w:space="0" w:color="auto" w:frame="1"/>
        </w:rPr>
        <w:t xml:space="preserve">Ins. </w:t>
      </w:r>
      <w:r w:rsidRPr="000E3813">
        <w:rPr>
          <w:rFonts w:eastAsia="Times New Roman" w:cs="Times New Roman"/>
          <w:i/>
          <w:iCs/>
          <w:color w:val="000000"/>
          <w:bdr w:val="none" w:sz="0" w:space="0" w:color="auto" w:frame="1"/>
        </w:rPr>
        <w:t>Co.</w:t>
      </w:r>
      <w:r>
        <w:rPr>
          <w:rFonts w:eastAsia="Times New Roman" w:cs="Times New Roman"/>
          <w:color w:val="000000"/>
        </w:rPr>
        <w:t xml:space="preserve"> </w:t>
      </w:r>
      <w:r w:rsidRPr="000E3813">
        <w:rPr>
          <w:rFonts w:eastAsia="Times New Roman" w:cs="Times New Roman"/>
          <w:color w:val="000000"/>
        </w:rPr>
        <w:t>(1993) 12</w:t>
      </w:r>
      <w:r>
        <w:rPr>
          <w:rFonts w:eastAsia="Times New Roman" w:cs="Times New Roman"/>
          <w:color w:val="000000"/>
        </w:rPr>
        <w:t> </w:t>
      </w:r>
      <w:r w:rsidRPr="000E3813">
        <w:rPr>
          <w:rFonts w:eastAsia="Times New Roman" w:cs="Times New Roman"/>
          <w:color w:val="000000"/>
        </w:rPr>
        <w:t>Cal.App.4th 715, 737.)</w:t>
      </w:r>
      <w:r>
        <w:rPr>
          <w:rFonts w:eastAsia="Times New Roman" w:cs="Times New Roman"/>
          <w:color w:val="000000"/>
        </w:rPr>
        <w:t xml:space="preserve">  Under this basic precept, every insurance contract must be interpreted by its particular wording and read in its entirety, with careful attention paid to context, the interrelationship of the provisions within the policy and how they work together, and t</w:t>
      </w:r>
      <w:r>
        <w:rPr>
          <w:rFonts w:eastAsia="Times New Roman" w:cs="Times New Roman"/>
          <w:color w:val="000000"/>
        </w:rPr>
        <w:t>he actual circumstances of the contracting parties.</w:t>
      </w:r>
    </w:p>
    <w:p w14:paraId="7A64A6A1" w14:textId="77777777" w:rsidR="0009457A" w:rsidRPr="00080D02" w:rsidRDefault="00140D1F" w:rsidP="0092368E">
      <w:r w:rsidRPr="00080D02">
        <w:t xml:space="preserve">Insurance policies typically contain two main components:  </w:t>
      </w:r>
      <w:r>
        <w:t xml:space="preserve">on the one hand, </w:t>
      </w:r>
      <w:r w:rsidRPr="00080D02">
        <w:t xml:space="preserve">provisions that specify the risks being covered and thus that mark out the affirmative grant of coverage, and </w:t>
      </w:r>
      <w:r>
        <w:t>on the other hand,</w:t>
      </w:r>
      <w:r w:rsidRPr="00080D02">
        <w:t xml:space="preserve"> exclusionary provisions that “remove coverage for </w:t>
      </w:r>
      <w:r>
        <w:t xml:space="preserve">certain </w:t>
      </w:r>
      <w:r w:rsidRPr="00080D02">
        <w:t xml:space="preserve">risks </w:t>
      </w:r>
      <w:r>
        <w:t xml:space="preserve">which are initially within the </w:t>
      </w:r>
      <w:r w:rsidRPr="00080D02">
        <w:t>insuring clause.”  (</w:t>
      </w:r>
      <w:r w:rsidRPr="00080D02">
        <w:rPr>
          <w:i/>
          <w:iCs/>
        </w:rPr>
        <w:t xml:space="preserve">Collin v. American Empire </w:t>
      </w:r>
      <w:r>
        <w:rPr>
          <w:i/>
          <w:iCs/>
        </w:rPr>
        <w:t xml:space="preserve">Ins. </w:t>
      </w:r>
      <w:r w:rsidRPr="00080D02">
        <w:rPr>
          <w:i/>
          <w:iCs/>
        </w:rPr>
        <w:t>Co.</w:t>
      </w:r>
      <w:r w:rsidRPr="00080D02">
        <w:t xml:space="preserve"> (1994) 21 Cal.App.4th 787, 802–803.)  The grant of coverage is generally interpreted broadly in favor of </w:t>
      </w:r>
      <w:r w:rsidRPr="00080D02">
        <w:t>the insured to protect the objectively reasonable expectations of the insured.  (</w:t>
      </w:r>
      <w:r w:rsidRPr="00C442B9">
        <w:rPr>
          <w:i/>
        </w:rPr>
        <w:t>AIU</w:t>
      </w:r>
      <w:r>
        <w:rPr>
          <w:i/>
          <w:iCs/>
        </w:rPr>
        <w:t xml:space="preserve"> Ins. Co. v. Superior Court</w:t>
      </w:r>
      <w:r>
        <w:t xml:space="preserve">, </w:t>
      </w:r>
      <w:r w:rsidRPr="00C442B9">
        <w:rPr>
          <w:i/>
        </w:rPr>
        <w:t>supra</w:t>
      </w:r>
      <w:r>
        <w:t xml:space="preserve">, </w:t>
      </w:r>
      <w:r w:rsidRPr="00E53146">
        <w:t>51</w:t>
      </w:r>
      <w:r>
        <w:t> </w:t>
      </w:r>
      <w:r w:rsidRPr="00E53146">
        <w:t xml:space="preserve">Cal.3d </w:t>
      </w:r>
      <w:r>
        <w:t>at p. 822.</w:t>
      </w:r>
      <w:r w:rsidRPr="00080D02">
        <w:t xml:space="preserve">)  </w:t>
      </w:r>
      <w:r>
        <w:t>And</w:t>
      </w:r>
      <w:r w:rsidRPr="00080D02">
        <w:t xml:space="preserve"> exclusionary provisions that limit or take away coverage are “strictly construed against the insurer and libe</w:t>
      </w:r>
      <w:r w:rsidRPr="00080D02">
        <w:t xml:space="preserve">rally interpreted in favor of </w:t>
      </w:r>
      <w:r w:rsidRPr="00080D02">
        <w:lastRenderedPageBreak/>
        <w:t>the insured” (</w:t>
      </w:r>
      <w:r w:rsidRPr="00080D02">
        <w:rPr>
          <w:i/>
          <w:iCs/>
        </w:rPr>
        <w:t xml:space="preserve">Delgado v. Heritage Life </w:t>
      </w:r>
      <w:r>
        <w:rPr>
          <w:i/>
          <w:iCs/>
        </w:rPr>
        <w:t xml:space="preserve">Ins. </w:t>
      </w:r>
      <w:r w:rsidRPr="00080D02">
        <w:rPr>
          <w:i/>
          <w:iCs/>
        </w:rPr>
        <w:t>Co.</w:t>
      </w:r>
      <w:r w:rsidRPr="00080D02">
        <w:t xml:space="preserve"> (1984) 157 Cal.</w:t>
      </w:r>
      <w:r>
        <w:t>App.</w:t>
      </w:r>
      <w:r w:rsidRPr="00080D02">
        <w:t>3d 262, 271),</w:t>
      </w:r>
      <w:r>
        <w:t xml:space="preserve"> </w:t>
      </w:r>
      <w:r w:rsidRPr="0097432A">
        <w:rPr>
          <w:rFonts w:eastAsia="Times New Roman" w:cs="Times New Roman"/>
          <w:color w:val="000000"/>
        </w:rPr>
        <w:t>while</w:t>
      </w:r>
      <w:r>
        <w:rPr>
          <w:rFonts w:eastAsia="Times New Roman" w:cs="Times New Roman"/>
          <w:color w:val="000000"/>
        </w:rPr>
        <w:t xml:space="preserve"> </w:t>
      </w:r>
      <w:r w:rsidRPr="0097432A">
        <w:rPr>
          <w:rFonts w:eastAsia="Times New Roman" w:cs="Times New Roman"/>
          <w:color w:val="000000"/>
          <w:bdr w:val="none" w:sz="0" w:space="0" w:color="auto" w:frame="1"/>
        </w:rPr>
        <w:t>exceptions</w:t>
      </w:r>
      <w:r>
        <w:rPr>
          <w:rFonts w:eastAsia="Times New Roman" w:cs="Times New Roman"/>
          <w:color w:val="000000"/>
        </w:rPr>
        <w:t xml:space="preserve"> </w:t>
      </w:r>
      <w:r w:rsidRPr="0097432A">
        <w:rPr>
          <w:rFonts w:eastAsia="Times New Roman" w:cs="Times New Roman"/>
          <w:color w:val="000000"/>
        </w:rPr>
        <w:t>to</w:t>
      </w:r>
      <w:r>
        <w:rPr>
          <w:rFonts w:eastAsia="Times New Roman" w:cs="Times New Roman"/>
          <w:color w:val="000000"/>
        </w:rPr>
        <w:t xml:space="preserve"> </w:t>
      </w:r>
      <w:r w:rsidRPr="0097432A">
        <w:rPr>
          <w:rFonts w:eastAsia="Times New Roman" w:cs="Times New Roman"/>
          <w:color w:val="000000"/>
          <w:bdr w:val="none" w:sz="0" w:space="0" w:color="auto" w:frame="1"/>
        </w:rPr>
        <w:t>exclusions</w:t>
      </w:r>
      <w:r>
        <w:rPr>
          <w:rFonts w:eastAsia="Times New Roman" w:cs="Times New Roman"/>
          <w:color w:val="000000"/>
        </w:rPr>
        <w:t xml:space="preserve"> </w:t>
      </w:r>
      <w:r w:rsidRPr="0097432A">
        <w:rPr>
          <w:rFonts w:eastAsia="Times New Roman" w:cs="Times New Roman"/>
          <w:color w:val="000000"/>
        </w:rPr>
        <w:t>are broadly construed in favor of the insured (</w:t>
      </w:r>
      <w:r w:rsidRPr="005C2A35">
        <w:rPr>
          <w:rFonts w:eastAsia="Times New Roman" w:cs="Times New Roman"/>
          <w:i/>
          <w:iCs/>
          <w:color w:val="000000"/>
          <w:bdr w:val="none" w:sz="0" w:space="0" w:color="auto" w:frame="1"/>
        </w:rPr>
        <w:t xml:space="preserve">E.M.M.I. Inc. v. Zurich American </w:t>
      </w:r>
      <w:r>
        <w:rPr>
          <w:rFonts w:eastAsia="Times New Roman" w:cs="Times New Roman"/>
          <w:i/>
          <w:iCs/>
          <w:color w:val="000000"/>
          <w:bdr w:val="none" w:sz="0" w:space="0" w:color="auto" w:frame="1"/>
        </w:rPr>
        <w:t xml:space="preserve">Ins. </w:t>
      </w:r>
      <w:r w:rsidRPr="005C2A35">
        <w:rPr>
          <w:rFonts w:eastAsia="Times New Roman" w:cs="Times New Roman"/>
          <w:i/>
          <w:iCs/>
          <w:color w:val="000000"/>
          <w:bdr w:val="none" w:sz="0" w:space="0" w:color="auto" w:frame="1"/>
        </w:rPr>
        <w:t>Co.</w:t>
      </w:r>
      <w:r>
        <w:rPr>
          <w:rFonts w:eastAsia="Times New Roman" w:cs="Times New Roman"/>
          <w:color w:val="000000"/>
        </w:rPr>
        <w:t xml:space="preserve"> </w:t>
      </w:r>
      <w:r w:rsidRPr="005C2A35">
        <w:rPr>
          <w:rFonts w:eastAsia="Times New Roman" w:cs="Times New Roman"/>
          <w:color w:val="000000"/>
        </w:rPr>
        <w:t>(2004) 32</w:t>
      </w:r>
      <w:r>
        <w:rPr>
          <w:rFonts w:eastAsia="Times New Roman" w:cs="Times New Roman"/>
          <w:color w:val="000000"/>
        </w:rPr>
        <w:t> </w:t>
      </w:r>
      <w:r w:rsidRPr="005C2A35">
        <w:rPr>
          <w:rFonts w:eastAsia="Times New Roman" w:cs="Times New Roman"/>
          <w:color w:val="000000"/>
        </w:rPr>
        <w:t xml:space="preserve">Cal.4th </w:t>
      </w:r>
      <w:r w:rsidRPr="005C2A35">
        <w:rPr>
          <w:rFonts w:eastAsia="Times New Roman" w:cs="Times New Roman"/>
          <w:color w:val="000000"/>
        </w:rPr>
        <w:t>465, 471</w:t>
      </w:r>
      <w:r w:rsidRPr="00080D02">
        <w:rPr>
          <w:rFonts w:eastAsia="Times New Roman" w:cs="Times New Roman"/>
          <w:color w:val="000000"/>
        </w:rPr>
        <w:t>)</w:t>
      </w:r>
      <w:r w:rsidRPr="00080D02">
        <w:t>.</w:t>
      </w:r>
    </w:p>
    <w:p w14:paraId="0259658E" w14:textId="77777777" w:rsidR="003428FF" w:rsidRDefault="00140D1F" w:rsidP="00080D02">
      <w:r w:rsidRPr="00D17E29">
        <w:rPr>
          <w:rFonts w:cs="Times New Roman"/>
        </w:rPr>
        <w:t>The insurer bears the burden of proving that an exclusionary clause applies.  (</w:t>
      </w:r>
      <w:r w:rsidRPr="00D17E29">
        <w:rPr>
          <w:rFonts w:eastAsia="Times New Roman" w:cs="Times New Roman"/>
          <w:i/>
          <w:iCs/>
          <w:color w:val="000000"/>
          <w:bdr w:val="none" w:sz="0" w:space="0" w:color="auto" w:frame="1"/>
        </w:rPr>
        <w:t>Travelers Cas</w:t>
      </w:r>
      <w:r>
        <w:rPr>
          <w:rFonts w:eastAsia="Times New Roman" w:cs="Times New Roman"/>
          <w:i/>
          <w:iCs/>
          <w:color w:val="000000"/>
          <w:bdr w:val="none" w:sz="0" w:space="0" w:color="auto" w:frame="1"/>
        </w:rPr>
        <w:t>ualty</w:t>
      </w:r>
      <w:r w:rsidRPr="00D17E29">
        <w:rPr>
          <w:rFonts w:eastAsia="Times New Roman" w:cs="Times New Roman"/>
          <w:i/>
          <w:iCs/>
          <w:color w:val="000000"/>
          <w:bdr w:val="none" w:sz="0" w:space="0" w:color="auto" w:frame="1"/>
        </w:rPr>
        <w:t xml:space="preserve"> &amp; Sur</w:t>
      </w:r>
      <w:r>
        <w:rPr>
          <w:rFonts w:eastAsia="Times New Roman" w:cs="Times New Roman"/>
          <w:i/>
          <w:iCs/>
          <w:color w:val="000000"/>
          <w:bdr w:val="none" w:sz="0" w:space="0" w:color="auto" w:frame="1"/>
        </w:rPr>
        <w:t>ety</w:t>
      </w:r>
      <w:r w:rsidRPr="00D17E29">
        <w:rPr>
          <w:rFonts w:eastAsia="Times New Roman" w:cs="Times New Roman"/>
          <w:i/>
          <w:iCs/>
          <w:color w:val="000000"/>
          <w:bdr w:val="none" w:sz="0" w:space="0" w:color="auto" w:frame="1"/>
        </w:rPr>
        <w:t xml:space="preserve"> Co. v. Superior Court</w:t>
      </w:r>
      <w:r>
        <w:rPr>
          <w:rFonts w:eastAsia="Times New Roman" w:cs="Times New Roman"/>
          <w:color w:val="000000"/>
        </w:rPr>
        <w:t xml:space="preserve"> </w:t>
      </w:r>
      <w:r w:rsidRPr="00D17E29">
        <w:rPr>
          <w:rFonts w:eastAsia="Times New Roman" w:cs="Times New Roman"/>
          <w:color w:val="000000"/>
        </w:rPr>
        <w:t>(1998) 63</w:t>
      </w:r>
      <w:r>
        <w:rPr>
          <w:rFonts w:eastAsia="Times New Roman" w:cs="Times New Roman"/>
          <w:color w:val="000000"/>
        </w:rPr>
        <w:t> </w:t>
      </w:r>
      <w:r w:rsidRPr="00D17E29">
        <w:rPr>
          <w:rFonts w:eastAsia="Times New Roman" w:cs="Times New Roman"/>
          <w:color w:val="000000"/>
        </w:rPr>
        <w:t xml:space="preserve">Cal.App.4th 1440, 1453.) </w:t>
      </w:r>
      <w:r w:rsidRPr="00D17E29">
        <w:rPr>
          <w:rFonts w:cs="Times New Roman"/>
        </w:rPr>
        <w:t xml:space="preserve"> Before exclusionary provisions are even considered, however, “a court must</w:t>
      </w:r>
      <w:r w:rsidRPr="00080D02">
        <w:t xml:space="preserve"> exami</w:t>
      </w:r>
      <w:r w:rsidRPr="00080D02">
        <w:t>ne the coverage provisions to determine whether a claim</w:t>
      </w:r>
      <w:r>
        <w:t xml:space="preserve"> falls within the potential ambit of the insurance.  [Citations.]  Where the scope of the basic coverage itself clearly creates no potential liability under the policy, a court may not give it a ‘strai</w:t>
      </w:r>
      <w:r>
        <w:t>ned construction’ to impose on an insurer a liability the insurer has not assumed.  [Citation.]  The burden is on the insured to prove that an event is a claim which falls within the basic coverage of the insurance.”  (</w:t>
      </w:r>
      <w:r>
        <w:rPr>
          <w:i/>
          <w:iCs/>
        </w:rPr>
        <w:t>Hallmark Ins. Co. v. Superior Court</w:t>
      </w:r>
      <w:r>
        <w:t xml:space="preserve"> (</w:t>
      </w:r>
      <w:r>
        <w:t>1988) 201 Cal.App.3d 1014, 1017.)</w:t>
      </w:r>
    </w:p>
    <w:p w14:paraId="3A999DD3" w14:textId="77777777" w:rsidR="00A317CA" w:rsidRDefault="00140D1F" w:rsidP="002274D3">
      <w:r w:rsidRPr="00B17588">
        <w:t>T</w:t>
      </w:r>
      <w:r w:rsidRPr="009A2CBC">
        <w:t xml:space="preserve">he </w:t>
      </w:r>
      <w:r w:rsidRPr="002526F1">
        <w:t>phrase “ ‘trigger of coverage’ ” is a “term of ‘convenience’ ” used to</w:t>
      </w:r>
      <w:r w:rsidRPr="009A2CBC">
        <w:t xml:space="preserve"> denote the occurrence of an event that “</w:t>
      </w:r>
      <w:r>
        <w:t> ‘</w:t>
      </w:r>
      <w:r w:rsidRPr="009A2CBC">
        <w:t xml:space="preserve">must happen in the policy period in order </w:t>
      </w:r>
      <w:r w:rsidRPr="003830F9">
        <w:t>for the potential of coverage</w:t>
      </w:r>
      <w:r w:rsidRPr="009A2CBC">
        <w:t xml:space="preserve"> </w:t>
      </w:r>
      <w:r w:rsidRPr="004A572D">
        <w:t xml:space="preserve">to arise.  </w:t>
      </w:r>
      <w:r w:rsidRPr="007844BA">
        <w:rPr>
          <w:rFonts w:eastAsia="Times New Roman" w:cs="Times New Roman"/>
          <w:color w:val="000000"/>
        </w:rPr>
        <w:t>The issue is largely o</w:t>
      </w:r>
      <w:r w:rsidRPr="007844BA">
        <w:rPr>
          <w:rFonts w:eastAsia="Times New Roman" w:cs="Times New Roman"/>
          <w:color w:val="000000"/>
        </w:rPr>
        <w:t xml:space="preserve">ne of timing—what must take place </w:t>
      </w:r>
      <w:r w:rsidRPr="004A572D">
        <w:rPr>
          <w:rFonts w:eastAsia="Times New Roman" w:cs="Times New Roman"/>
          <w:color w:val="000000"/>
          <w:bdr w:val="none" w:sz="0" w:space="0" w:color="auto" w:frame="1"/>
        </w:rPr>
        <w:t>within the policy’s effective dates</w:t>
      </w:r>
      <w:r w:rsidRPr="007844BA">
        <w:rPr>
          <w:rFonts w:eastAsia="Times New Roman" w:cs="Times New Roman"/>
          <w:color w:val="000000"/>
        </w:rPr>
        <w:t xml:space="preserve"> for the potential of coverage to be “triggered”?’ ”  (</w:t>
      </w:r>
      <w:r w:rsidRPr="004A6457">
        <w:rPr>
          <w:rFonts w:eastAsia="Times New Roman" w:cs="Times New Roman"/>
          <w:i/>
          <w:iCs/>
          <w:color w:val="000000"/>
          <w:bdr w:val="none" w:sz="0" w:space="0" w:color="auto" w:frame="1"/>
        </w:rPr>
        <w:t>State of California v. Continental Ins. Co.</w:t>
      </w:r>
      <w:r>
        <w:rPr>
          <w:rFonts w:eastAsia="Times New Roman" w:cs="Times New Roman"/>
          <w:color w:val="000000"/>
        </w:rPr>
        <w:t xml:space="preserve"> </w:t>
      </w:r>
      <w:r w:rsidRPr="004A6457">
        <w:rPr>
          <w:rFonts w:eastAsia="Times New Roman" w:cs="Times New Roman"/>
          <w:color w:val="000000"/>
        </w:rPr>
        <w:t>(2012) 55</w:t>
      </w:r>
      <w:r>
        <w:rPr>
          <w:rFonts w:eastAsia="Times New Roman" w:cs="Times New Roman"/>
          <w:color w:val="000000"/>
        </w:rPr>
        <w:t> </w:t>
      </w:r>
      <w:r w:rsidRPr="004A6457">
        <w:rPr>
          <w:rFonts w:eastAsia="Times New Roman" w:cs="Times New Roman"/>
          <w:color w:val="000000"/>
        </w:rPr>
        <w:t>Cal.4th 186, 196</w:t>
      </w:r>
      <w:r>
        <w:rPr>
          <w:rFonts w:eastAsia="Times New Roman" w:cs="Times New Roman"/>
          <w:color w:val="000000"/>
        </w:rPr>
        <w:t>, italics omitted</w:t>
      </w:r>
      <w:r w:rsidRPr="009A2CBC">
        <w:rPr>
          <w:rFonts w:eastAsia="Times New Roman" w:cs="Times New Roman"/>
          <w:color w:val="000000"/>
        </w:rPr>
        <w:t xml:space="preserve">; see </w:t>
      </w:r>
      <w:r w:rsidRPr="004A6457">
        <w:rPr>
          <w:rFonts w:eastAsia="Times New Roman" w:cs="Times New Roman"/>
          <w:i/>
          <w:iCs/>
          <w:color w:val="000000"/>
          <w:bdr w:val="none" w:sz="0" w:space="0" w:color="auto" w:frame="1"/>
        </w:rPr>
        <w:t xml:space="preserve">Montrose Chemical Corp. v. </w:t>
      </w:r>
      <w:r w:rsidRPr="004A6457">
        <w:rPr>
          <w:rFonts w:eastAsia="Times New Roman" w:cs="Times New Roman"/>
          <w:i/>
          <w:iCs/>
          <w:color w:val="000000"/>
          <w:bdr w:val="none" w:sz="0" w:space="0" w:color="auto" w:frame="1"/>
        </w:rPr>
        <w:t>Admiral Ins. Co.</w:t>
      </w:r>
      <w:r>
        <w:rPr>
          <w:rFonts w:eastAsia="Times New Roman" w:cs="Times New Roman"/>
          <w:color w:val="000000"/>
        </w:rPr>
        <w:t xml:space="preserve"> </w:t>
      </w:r>
      <w:r w:rsidRPr="004A6457">
        <w:rPr>
          <w:rFonts w:eastAsia="Times New Roman" w:cs="Times New Roman"/>
          <w:color w:val="000000"/>
        </w:rPr>
        <w:t>(1995) 10</w:t>
      </w:r>
      <w:r>
        <w:rPr>
          <w:rFonts w:eastAsia="Times New Roman" w:cs="Times New Roman"/>
          <w:color w:val="000000"/>
        </w:rPr>
        <w:t> </w:t>
      </w:r>
      <w:r w:rsidRPr="004A6457">
        <w:rPr>
          <w:rFonts w:eastAsia="Times New Roman" w:cs="Times New Roman"/>
          <w:color w:val="000000"/>
        </w:rPr>
        <w:t>Cal.4th 645, 655</w:t>
      </w:r>
      <w:r>
        <w:rPr>
          <w:rFonts w:eastAsia="Times New Roman" w:cs="Times New Roman"/>
          <w:color w:val="000000"/>
        </w:rPr>
        <w:t>,</w:t>
      </w:r>
      <w:r w:rsidRPr="004A6457">
        <w:rPr>
          <w:rFonts w:eastAsia="Times New Roman" w:cs="Times New Roman"/>
          <w:color w:val="000000"/>
        </w:rPr>
        <w:t xml:space="preserve"> fn</w:t>
      </w:r>
      <w:r>
        <w:rPr>
          <w:rFonts w:eastAsia="Times New Roman" w:cs="Times New Roman"/>
          <w:color w:val="000000"/>
        </w:rPr>
        <w:t>. </w:t>
      </w:r>
      <w:r w:rsidRPr="004A6457">
        <w:rPr>
          <w:rFonts w:eastAsia="Times New Roman" w:cs="Times New Roman"/>
          <w:color w:val="000000"/>
        </w:rPr>
        <w:t xml:space="preserve">2.) </w:t>
      </w:r>
      <w:r>
        <w:t xml:space="preserve"> But the occurrence of a coverage-triggering event simply means the insured </w:t>
      </w:r>
      <w:r w:rsidRPr="004A6457">
        <w:rPr>
          <w:i/>
        </w:rPr>
        <w:t>may</w:t>
      </w:r>
      <w:r>
        <w:t xml:space="preserve"> be entitled to coverage benefits.  The remainder of the analysis requires consideration of whether limiting conditions to c</w:t>
      </w:r>
      <w:r>
        <w:t xml:space="preserve">overage have been satisfied or an exclusion applies.  There is no need to consider these additional issues </w:t>
      </w:r>
      <w:r>
        <w:lastRenderedPageBreak/>
        <w:t xml:space="preserve">when an occurrence is not within the scope of the insuring clause in the first instance.  </w:t>
      </w:r>
      <w:r w:rsidRPr="00341D17">
        <w:t>(</w:t>
      </w:r>
      <w:r>
        <w:rPr>
          <w:i/>
          <w:iCs/>
        </w:rPr>
        <w:t>Waller v. Truck Ins. Exchange, Inc.</w:t>
      </w:r>
      <w:r>
        <w:t xml:space="preserve"> (1995) </w:t>
      </w:r>
      <w:r w:rsidRPr="00DA1DED">
        <w:rPr>
          <w:rFonts w:cs="Times New Roman"/>
        </w:rPr>
        <w:t>11</w:t>
      </w:r>
      <w:r>
        <w:rPr>
          <w:rFonts w:cs="Times New Roman"/>
        </w:rPr>
        <w:t> </w:t>
      </w:r>
      <w:r w:rsidRPr="00DA1DED">
        <w:rPr>
          <w:rFonts w:cs="Times New Roman"/>
        </w:rPr>
        <w:t>Cal.4th 1,</w:t>
      </w:r>
      <w:r>
        <w:t xml:space="preserve"> 1</w:t>
      </w:r>
      <w:r>
        <w:t>6.)</w:t>
      </w:r>
    </w:p>
    <w:p w14:paraId="32488C0F" w14:textId="77777777" w:rsidR="00BF55AC" w:rsidRPr="009542C7" w:rsidRDefault="00140D1F" w:rsidP="006F2DED">
      <w:pPr>
        <w:pStyle w:val="Heading3"/>
      </w:pPr>
      <w:r>
        <w:t>The Main Grant of First Party Coverage in the Special Property Coverage Form</w:t>
      </w:r>
    </w:p>
    <w:p w14:paraId="2431F537" w14:textId="77777777" w:rsidR="009E6765" w:rsidRDefault="00140D1F" w:rsidP="00C764D2">
      <w:r>
        <w:t>The insuring agreement in the Special Property Coverage Form states that Sentinel “will pay for direct physical loss of or physical damage to Covered Property . . . caused by or resulting from a Covered Cause of Loss.”  The Policy provides additional cover</w:t>
      </w:r>
      <w:r>
        <w:t xml:space="preserve">ages that supplement this basic grant of first party coverage, including under </w:t>
      </w:r>
      <w:r w:rsidRPr="00EC5756">
        <w:t>the Lost Business</w:t>
      </w:r>
      <w:r>
        <w:t xml:space="preserve"> Income and Extra Expense Endorsement.</w:t>
      </w:r>
      <w:r>
        <w:rPr>
          <w:rStyle w:val="FootnoteReference"/>
        </w:rPr>
        <w:footnoteReference w:id="7"/>
      </w:r>
      <w:r>
        <w:t xml:space="preserve">  When applicable, the </w:t>
      </w:r>
      <w:r w:rsidRPr="00D55190">
        <w:t>Lost</w:t>
      </w:r>
      <w:r>
        <w:t xml:space="preserve"> Business Income and </w:t>
      </w:r>
      <w:r>
        <w:lastRenderedPageBreak/>
        <w:t>Extra Expense Endorsement covers net business interruption losses—subjec</w:t>
      </w:r>
      <w:r>
        <w:t>t to specified limits—incurred due to suspended business operations caused by a covered event of “physical loss of or physical damage to” covered property, together with expenses incurred to mitigate such losses or damage.</w:t>
      </w:r>
    </w:p>
    <w:p w14:paraId="2B9909B0" w14:textId="77777777" w:rsidR="004F5769" w:rsidRDefault="00140D1F" w:rsidP="00C764D2">
      <w:r w:rsidRPr="005805EC">
        <w:t xml:space="preserve">The lost </w:t>
      </w:r>
      <w:r w:rsidRPr="006C1A01">
        <w:t>business income provisio</w:t>
      </w:r>
      <w:r w:rsidRPr="006C1A01">
        <w:t>n</w:t>
      </w:r>
      <w:r>
        <w:t xml:space="preserve"> affords coverage for “the actual loss of Business Income you sustain due to the necessary suspension of your ‘operations’ during the ‘period of restoration.’  The suspension must be caused by direct physical loss of or physical damage to property at the </w:t>
      </w:r>
      <w:r>
        <w:t>‘scheduled premises’ . . . caused by or resulting from a Covered Cause of Loss.”  The Extra Expense provision provides coverage for “reasonable and necessary Extra Expense you incur during the ‘period of restoration’ that you would not have incurred if the</w:t>
      </w:r>
      <w:r>
        <w:t>re had been no direct physical loss or physical damage to property . . . .”</w:t>
      </w:r>
      <w:r w:rsidRPr="008777BB">
        <w:rPr>
          <w:rStyle w:val="FootnoteReference"/>
        </w:rPr>
        <w:t xml:space="preserve"> </w:t>
      </w:r>
      <w:r>
        <w:t xml:space="preserve">  Thus, the grant of business interruption coverage in </w:t>
      </w:r>
      <w:r w:rsidRPr="00054511">
        <w:t>the Lost Business</w:t>
      </w:r>
      <w:r>
        <w:t xml:space="preserve"> Income and Extra Expense Endorsement—at least before customizing endorsement language is considered—paralle</w:t>
      </w:r>
      <w:r>
        <w:t>ls the main grant of first party coverage by requiring “physical” impairment and by contemplating a “period of restoration” of physically impaired property.</w:t>
      </w:r>
    </w:p>
    <w:p w14:paraId="29155C16" w14:textId="77777777" w:rsidR="00E72E5E" w:rsidRDefault="00140D1F" w:rsidP="00A103AB">
      <w:pPr>
        <w:rPr>
          <w:rFonts w:eastAsia="Times New Roman" w:cs="Times New Roman"/>
          <w:color w:val="000000"/>
        </w:rPr>
      </w:pPr>
      <w:r>
        <w:t>Faced with similar policy language in cases involving claims for business interruption losses susta</w:t>
      </w:r>
      <w:r>
        <w:t>ined during the COVID</w:t>
      </w:r>
      <w:r>
        <w:noBreakHyphen/>
        <w:t>19 pandemic, many courts have ruled for the insurer under California insurance coverage law.  These cases all conclude that “ ‘direct physical loss of or damage to’ property” requires a “ ‘distinct, demonstrable, physical alteration o</w:t>
      </w:r>
      <w:r>
        <w:t>f the property’ ” and cannot be synonymous with mere “ ‘loss of use.’ ”  (</w:t>
      </w:r>
      <w:r>
        <w:rPr>
          <w:i/>
          <w:iCs/>
        </w:rPr>
        <w:t>Mudpie, Inc. v. Travelers Casualty Ins. Co.</w:t>
      </w:r>
      <w:r>
        <w:t xml:space="preserve"> (9th Cir. 2021) 15 F.4th 885, 892; </w:t>
      </w:r>
      <w:r w:rsidRPr="00A94D68">
        <w:t xml:space="preserve">see </w:t>
      </w:r>
      <w:r w:rsidRPr="00223578">
        <w:rPr>
          <w:i/>
          <w:iCs/>
        </w:rPr>
        <w:t>Apple Annie</w:t>
      </w:r>
      <w:r w:rsidRPr="00497DB8">
        <w:rPr>
          <w:rFonts w:eastAsia="Times New Roman" w:cs="Times New Roman"/>
          <w:i/>
          <w:color w:val="000000"/>
          <w:bdr w:val="none" w:sz="0" w:space="0" w:color="auto" w:frame="1"/>
        </w:rPr>
        <w:t xml:space="preserve">, </w:t>
      </w:r>
      <w:r w:rsidRPr="00497DB8">
        <w:rPr>
          <w:rFonts w:eastAsia="Times New Roman" w:cs="Times New Roman"/>
          <w:i/>
          <w:iCs/>
          <w:color w:val="000000"/>
          <w:bdr w:val="none" w:sz="0" w:space="0" w:color="auto" w:frame="1"/>
        </w:rPr>
        <w:t xml:space="preserve">LLC v. </w:t>
      </w:r>
      <w:r w:rsidRPr="00497DB8">
        <w:rPr>
          <w:rFonts w:eastAsia="Times New Roman" w:cs="Times New Roman"/>
          <w:i/>
          <w:iCs/>
          <w:color w:val="000000"/>
          <w:bdr w:val="none" w:sz="0" w:space="0" w:color="auto" w:frame="1"/>
        </w:rPr>
        <w:lastRenderedPageBreak/>
        <w:t xml:space="preserve">Oregon Mutual </w:t>
      </w:r>
      <w:r>
        <w:rPr>
          <w:rFonts w:eastAsia="Times New Roman" w:cs="Times New Roman"/>
          <w:i/>
          <w:iCs/>
          <w:color w:val="000000"/>
          <w:bdr w:val="none" w:sz="0" w:space="0" w:color="auto" w:frame="1"/>
        </w:rPr>
        <w:t xml:space="preserve">Ins. </w:t>
      </w:r>
      <w:r w:rsidRPr="00497DB8">
        <w:rPr>
          <w:rFonts w:eastAsia="Times New Roman" w:cs="Times New Roman"/>
          <w:i/>
          <w:iCs/>
          <w:color w:val="000000"/>
          <w:bdr w:val="none" w:sz="0" w:space="0" w:color="auto" w:frame="1"/>
        </w:rPr>
        <w:t>Co.</w:t>
      </w:r>
      <w:r>
        <w:t xml:space="preserve">, </w:t>
      </w:r>
      <w:r w:rsidRPr="00223578">
        <w:rPr>
          <w:i/>
          <w:iCs/>
        </w:rPr>
        <w:t>supra</w:t>
      </w:r>
      <w:r>
        <w:t xml:space="preserve">, </w:t>
      </w:r>
      <w:r w:rsidRPr="00497DB8">
        <w:rPr>
          <w:rFonts w:eastAsia="Times New Roman" w:cs="Times New Roman"/>
          <w:color w:val="000000"/>
        </w:rPr>
        <w:t>82</w:t>
      </w:r>
      <w:r>
        <w:rPr>
          <w:rFonts w:eastAsia="Times New Roman" w:cs="Times New Roman"/>
          <w:color w:val="000000"/>
        </w:rPr>
        <w:t> </w:t>
      </w:r>
      <w:r w:rsidRPr="00497DB8">
        <w:rPr>
          <w:rFonts w:eastAsia="Times New Roman" w:cs="Times New Roman"/>
          <w:color w:val="000000"/>
        </w:rPr>
        <w:t xml:space="preserve">Cal.App.5th </w:t>
      </w:r>
      <w:r>
        <w:rPr>
          <w:rFonts w:eastAsia="Times New Roman" w:cs="Times New Roman"/>
          <w:color w:val="000000"/>
        </w:rPr>
        <w:t>at pp. </w:t>
      </w:r>
      <w:r w:rsidRPr="00D32941">
        <w:rPr>
          <w:rFonts w:eastAsia="Times New Roman" w:cs="Times New Roman"/>
          <w:color w:val="000000"/>
        </w:rPr>
        <w:t>930</w:t>
      </w:r>
      <w:r>
        <w:rPr>
          <w:rFonts w:eastAsia="Times New Roman" w:cs="Times New Roman"/>
          <w:color w:val="000000"/>
        </w:rPr>
        <w:t>–</w:t>
      </w:r>
      <w:r w:rsidRPr="00D32941">
        <w:rPr>
          <w:rFonts w:eastAsia="Times New Roman" w:cs="Times New Roman"/>
          <w:color w:val="000000"/>
        </w:rPr>
        <w:t>935</w:t>
      </w:r>
      <w:r>
        <w:rPr>
          <w:rFonts w:eastAsia="Times New Roman" w:cs="Times New Roman"/>
          <w:color w:val="000000"/>
        </w:rPr>
        <w:t xml:space="preserve">; </w:t>
      </w:r>
      <w:r w:rsidRPr="000E3813">
        <w:rPr>
          <w:rFonts w:eastAsia="Times New Roman" w:cs="Arial"/>
          <w:i/>
          <w:iCs/>
          <w:color w:val="000000"/>
          <w:bdr w:val="none" w:sz="0" w:space="0" w:color="auto" w:frame="1"/>
        </w:rPr>
        <w:t xml:space="preserve">United </w:t>
      </w:r>
      <w:r w:rsidRPr="000E3813">
        <w:rPr>
          <w:rFonts w:eastAsia="Times New Roman" w:cs="Arial"/>
          <w:i/>
          <w:iCs/>
          <w:color w:val="000000"/>
          <w:bdr w:val="none" w:sz="0" w:space="0" w:color="auto" w:frame="1"/>
        </w:rPr>
        <w:t>Talent Agency v. Vigilant Ins</w:t>
      </w:r>
      <w:r>
        <w:rPr>
          <w:rFonts w:eastAsia="Times New Roman" w:cs="Arial"/>
          <w:i/>
          <w:iCs/>
          <w:color w:val="000000"/>
          <w:bdr w:val="none" w:sz="0" w:space="0" w:color="auto" w:frame="1"/>
        </w:rPr>
        <w:t>.</w:t>
      </w:r>
      <w:r w:rsidRPr="000E3813">
        <w:rPr>
          <w:rFonts w:eastAsia="Times New Roman" w:cs="Arial"/>
          <w:i/>
          <w:iCs/>
          <w:color w:val="000000"/>
          <w:bdr w:val="none" w:sz="0" w:space="0" w:color="auto" w:frame="1"/>
        </w:rPr>
        <w:t xml:space="preserve"> Co</w:t>
      </w:r>
      <w:r>
        <w:rPr>
          <w:rFonts w:eastAsia="Times New Roman" w:cs="Arial"/>
          <w:i/>
          <w:iCs/>
          <w:color w:val="000000"/>
          <w:bdr w:val="none" w:sz="0" w:space="0" w:color="auto" w:frame="1"/>
        </w:rPr>
        <w:t>.</w:t>
      </w:r>
      <w:r>
        <w:rPr>
          <w:rFonts w:eastAsia="Times New Roman" w:cs="Arial"/>
          <w:color w:val="000000"/>
        </w:rPr>
        <w:t xml:space="preserve"> </w:t>
      </w:r>
      <w:r w:rsidRPr="000E3813">
        <w:rPr>
          <w:rFonts w:eastAsia="Times New Roman" w:cs="Arial"/>
          <w:color w:val="000000"/>
        </w:rPr>
        <w:t>(2022) 77</w:t>
      </w:r>
      <w:r>
        <w:rPr>
          <w:rFonts w:eastAsia="Times New Roman" w:cs="Arial"/>
          <w:color w:val="000000"/>
        </w:rPr>
        <w:t> </w:t>
      </w:r>
      <w:r w:rsidRPr="000E3813">
        <w:rPr>
          <w:rFonts w:eastAsia="Times New Roman" w:cs="Arial"/>
          <w:color w:val="000000"/>
        </w:rPr>
        <w:t>Cal.App.5th 821, 830</w:t>
      </w:r>
      <w:r>
        <w:rPr>
          <w:rFonts w:eastAsia="Times New Roman" w:cs="Arial"/>
          <w:color w:val="000000"/>
        </w:rPr>
        <w:t>;</w:t>
      </w:r>
      <w:r>
        <w:rPr>
          <w:rFonts w:eastAsia="Times New Roman" w:cs="Times New Roman"/>
          <w:color w:val="000000"/>
        </w:rPr>
        <w:t xml:space="preserve"> </w:t>
      </w:r>
      <w:r>
        <w:rPr>
          <w:i/>
          <w:iCs/>
        </w:rPr>
        <w:t>Musso &amp; Frank Grill Co., Inc. v. Mitsui Sumitomo Ins. USA Inc.</w:t>
      </w:r>
      <w:r>
        <w:t xml:space="preserve"> (2022) 77 Cal.App.5th 753; </w:t>
      </w:r>
      <w:r>
        <w:rPr>
          <w:i/>
          <w:iCs/>
        </w:rPr>
        <w:t>Inns-by-the-Sea v. California Mutual Ins. Co.</w:t>
      </w:r>
      <w:r>
        <w:t xml:space="preserve"> (2021) 71 Cal.App.5th 688 </w:t>
      </w:r>
      <w:r w:rsidRPr="00160398">
        <w:t>(</w:t>
      </w:r>
      <w:r w:rsidRPr="00160398">
        <w:rPr>
          <w:i/>
        </w:rPr>
        <w:t>Inns-by-the-Sea</w:t>
      </w:r>
      <w:r w:rsidRPr="00160398">
        <w:t>)</w:t>
      </w:r>
      <w:r>
        <w:t>.</w:t>
      </w:r>
      <w:r>
        <w:rPr>
          <w:rStyle w:val="FootnoteReference"/>
        </w:rPr>
        <w:footnoteReference w:id="8"/>
      </w:r>
      <w:r>
        <w:t xml:space="preserve">  In recent months some courts have held that the issue of “physical” loss or damage cannot be decided as a pleading matter where the </w:t>
      </w:r>
      <w:r w:rsidRPr="001D401E">
        <w:t xml:space="preserve">insured alleges a scientifically supportable theory of virus-caused alteration of property (see </w:t>
      </w:r>
      <w:r w:rsidRPr="001D401E">
        <w:rPr>
          <w:rFonts w:eastAsia="Times New Roman" w:cs="Times New Roman"/>
          <w:i/>
          <w:color w:val="000000"/>
          <w:bdr w:val="none" w:sz="0" w:space="0" w:color="auto" w:frame="1"/>
        </w:rPr>
        <w:t>Marina Pacific Hotel &amp; Sui</w:t>
      </w:r>
      <w:r w:rsidRPr="001D401E">
        <w:rPr>
          <w:rFonts w:eastAsia="Times New Roman" w:cs="Times New Roman"/>
          <w:i/>
          <w:color w:val="000000"/>
          <w:bdr w:val="none" w:sz="0" w:space="0" w:color="auto" w:frame="1"/>
        </w:rPr>
        <w:t xml:space="preserve">tes, LLC v. </w:t>
      </w:r>
      <w:r w:rsidRPr="001D401E">
        <w:rPr>
          <w:rFonts w:eastAsia="Times New Roman" w:cs="Times New Roman"/>
          <w:i/>
          <w:iCs/>
          <w:color w:val="000000"/>
          <w:bdr w:val="none" w:sz="0" w:space="0" w:color="auto" w:frame="1"/>
        </w:rPr>
        <w:t>Fireman’s Fund Ins. Co.</w:t>
      </w:r>
      <w:r w:rsidRPr="001D401E">
        <w:rPr>
          <w:rFonts w:eastAsia="Times New Roman" w:cs="Times New Roman"/>
          <w:color w:val="000000"/>
        </w:rPr>
        <w:t xml:space="preserve"> (2022) 81 Cal.App.5th 96; cf. also </w:t>
      </w:r>
      <w:r w:rsidRPr="00E94A07">
        <w:rPr>
          <w:rFonts w:eastAsia="Times New Roman" w:cs="Times New Roman"/>
          <w:i/>
          <w:iCs/>
          <w:bdr w:val="none" w:sz="0" w:space="0" w:color="auto" w:frame="1"/>
        </w:rPr>
        <w:t xml:space="preserve">Huntington Ingalls Industries v. Ace American </w:t>
      </w:r>
      <w:r>
        <w:rPr>
          <w:rFonts w:eastAsia="Times New Roman" w:cs="Times New Roman"/>
          <w:i/>
          <w:iCs/>
          <w:bdr w:val="none" w:sz="0" w:space="0" w:color="auto" w:frame="1"/>
        </w:rPr>
        <w:t xml:space="preserve">Ins. </w:t>
      </w:r>
      <w:r w:rsidRPr="00E94A07">
        <w:rPr>
          <w:rFonts w:eastAsia="Times New Roman" w:cs="Times New Roman"/>
          <w:i/>
          <w:iCs/>
          <w:bdr w:val="none" w:sz="0" w:space="0" w:color="auto" w:frame="1"/>
        </w:rPr>
        <w:t>Co.</w:t>
      </w:r>
      <w:r>
        <w:rPr>
          <w:rFonts w:eastAsia="Times New Roman" w:cs="Times New Roman"/>
          <w:bdr w:val="none" w:sz="0" w:space="0" w:color="auto" w:frame="1"/>
        </w:rPr>
        <w:t xml:space="preserve">, 2022 VT 45 </w:t>
      </w:r>
      <w:r>
        <w:rPr>
          <w:rFonts w:eastAsia="Times New Roman" w:cs="Times New Roman"/>
          <w:color w:val="000000"/>
        </w:rPr>
        <w:t xml:space="preserve">[applying Vermont law]), but even this strain of authority accepts (or at least assumes) the </w:t>
      </w:r>
      <w:r w:rsidRPr="001E1B2C">
        <w:rPr>
          <w:rFonts w:eastAsia="Times New Roman" w:cs="Times New Roman"/>
          <w:i/>
          <w:iCs/>
          <w:color w:val="000000"/>
        </w:rPr>
        <w:t>Mudpie</w:t>
      </w:r>
      <w:r>
        <w:rPr>
          <w:rFonts w:eastAsia="Times New Roman" w:cs="Times New Roman"/>
          <w:color w:val="000000"/>
        </w:rPr>
        <w:t xml:space="preserve"> premise that cover</w:t>
      </w:r>
      <w:r>
        <w:rPr>
          <w:rFonts w:eastAsia="Times New Roman" w:cs="Times New Roman"/>
          <w:color w:val="000000"/>
        </w:rPr>
        <w:t>age can only be triggered by some form of physical alteration of property.</w:t>
      </w:r>
    </w:p>
    <w:p w14:paraId="337A85D8" w14:textId="77777777" w:rsidR="001642FC" w:rsidRDefault="00140D1F" w:rsidP="00A103AB">
      <w:pPr>
        <w:rPr>
          <w:rFonts w:eastAsia="Times New Roman" w:cs="Times New Roman"/>
          <w:color w:val="000000"/>
        </w:rPr>
      </w:pPr>
      <w:r w:rsidRPr="00BD305A">
        <w:t>As one federal district court</w:t>
      </w:r>
      <w:r>
        <w:t xml:space="preserve"> in the </w:t>
      </w:r>
      <w:r w:rsidRPr="00996E37">
        <w:rPr>
          <w:i/>
          <w:iCs/>
        </w:rPr>
        <w:t>Mudpie</w:t>
      </w:r>
      <w:r>
        <w:t xml:space="preserve"> line recently put it, if “a sick person walked into one of Plaintiffs’ restaurants and left behind COVID</w:t>
      </w:r>
      <w:r>
        <w:noBreakHyphen/>
        <w:t>19 particulates on a countertop,</w:t>
      </w:r>
      <w:r>
        <w:t xml:space="preserve"> it would strain credulity to say that the countertop was damaged or physically altered as a result.”  (</w:t>
      </w:r>
      <w:r>
        <w:rPr>
          <w:i/>
          <w:iCs/>
        </w:rPr>
        <w:t xml:space="preserve">Unmasked Mngt. </w:t>
      </w:r>
      <w:r>
        <w:rPr>
          <w:i/>
          <w:iCs/>
        </w:rPr>
        <w:lastRenderedPageBreak/>
        <w:t>v. Century-National Insurance Co.</w:t>
      </w:r>
      <w:r>
        <w:t xml:space="preserve"> (S.D.Cal. 2021) 514 F.Supp.3d 1217, 1226.)  We know </w:t>
      </w:r>
      <w:r w:rsidRPr="00B15FAB">
        <w:t>by now that disinfectants provide no cure for the C</w:t>
      </w:r>
      <w:r w:rsidRPr="00B15FAB">
        <w:t>OVID</w:t>
      </w:r>
      <w:r>
        <w:noBreakHyphen/>
      </w:r>
      <w:r w:rsidRPr="00B15FAB">
        <w:t>19 virus itself—the “debate” about this issue was famously short-lived in 2020—</w:t>
      </w:r>
      <w:r>
        <w:t xml:space="preserve">but </w:t>
      </w:r>
      <w:r w:rsidRPr="00B15FAB">
        <w:t xml:space="preserve">we also know (and always did) that disinfectants and other cleaning methods can be used to eliminate the </w:t>
      </w:r>
      <w:r>
        <w:t xml:space="preserve">presence </w:t>
      </w:r>
      <w:r w:rsidRPr="00B15FAB">
        <w:t xml:space="preserve">of virus </w:t>
      </w:r>
      <w:r>
        <w:t xml:space="preserve">on physical </w:t>
      </w:r>
      <w:r w:rsidRPr="00B15FAB">
        <w:t>surfaces</w:t>
      </w:r>
      <w:r>
        <w:t xml:space="preserve">, which has been a </w:t>
      </w:r>
      <w:r w:rsidRPr="00FC2525">
        <w:t>common</w:t>
      </w:r>
      <w:r w:rsidRPr="00FC2525">
        <w:t>ly used</w:t>
      </w:r>
      <w:r>
        <w:t xml:space="preserve"> precautionary mitigation measure during the pandemic. </w:t>
      </w:r>
      <w:r w:rsidRPr="00B15FAB">
        <w:t xml:space="preserve"> </w:t>
      </w:r>
      <w:r>
        <w:t xml:space="preserve">But under the </w:t>
      </w:r>
      <w:r w:rsidRPr="00640FD1">
        <w:rPr>
          <w:i/>
          <w:iCs/>
        </w:rPr>
        <w:t>Mudpie</w:t>
      </w:r>
      <w:r>
        <w:t xml:space="preserve"> line of cases, as </w:t>
      </w:r>
      <w:r w:rsidRPr="00B15FAB">
        <w:t xml:space="preserve">the </w:t>
      </w:r>
      <w:r>
        <w:rPr>
          <w:i/>
          <w:iCs/>
        </w:rPr>
        <w:t>Unmasked Management</w:t>
      </w:r>
      <w:r w:rsidRPr="00B15FAB">
        <w:t xml:space="preserve"> court </w:t>
      </w:r>
      <w:r>
        <w:t>explained,</w:t>
      </w:r>
      <w:r w:rsidRPr="00B15FAB">
        <w:t xml:space="preserve"> </w:t>
      </w:r>
      <w:r w:rsidRPr="0097432A">
        <w:rPr>
          <w:color w:val="000000"/>
        </w:rPr>
        <w:t>allegations merely “showing the alleged presence of COVID</w:t>
      </w:r>
      <w:r w:rsidRPr="0097432A">
        <w:rPr>
          <w:color w:val="000000"/>
        </w:rPr>
        <w:noBreakHyphen/>
      </w:r>
      <w:r w:rsidRPr="0097432A">
        <w:rPr>
          <w:color w:val="000000"/>
        </w:rPr>
        <w:t xml:space="preserve">19 in or on the covered property are not sufficient to trigger coverage when direct physical loss of or damage to property is required” </w:t>
      </w:r>
      <w:r>
        <w:t>(</w:t>
      </w:r>
      <w:r>
        <w:rPr>
          <w:i/>
          <w:iCs/>
        </w:rPr>
        <w:t>id</w:t>
      </w:r>
      <w:r>
        <w:t>. at pp. 1225–1226), and thus whatever cleaning or detoxification efforts may be undertaken do not qualify as “restor</w:t>
      </w:r>
      <w:r>
        <w:t>ation” under standard first party insurance policies because of the absence of any “physical” alteration of property.</w:t>
      </w:r>
      <w:r>
        <w:rPr>
          <w:rStyle w:val="FootnoteReference"/>
        </w:rPr>
        <w:footnoteReference w:id="9"/>
      </w:r>
    </w:p>
    <w:p w14:paraId="7E6D7EBD" w14:textId="77777777" w:rsidR="003E55A2" w:rsidRDefault="00140D1F" w:rsidP="00FB4711">
      <w:r>
        <w:rPr>
          <w:rFonts w:eastAsia="Times New Roman" w:cs="Times New Roman"/>
          <w:color w:val="000000"/>
        </w:rPr>
        <w:lastRenderedPageBreak/>
        <w:t xml:space="preserve">In this case, the trial court did not address the meaning </w:t>
      </w:r>
      <w:r w:rsidRPr="00CB533F">
        <w:rPr>
          <w:rFonts w:eastAsia="Times New Roman" w:cs="Times New Roman"/>
          <w:color w:val="000000"/>
        </w:rPr>
        <w:t>of “</w:t>
      </w:r>
      <w:r w:rsidRPr="00CB533F">
        <w:t>direct physical loss of or physical damage to” property in the Special Pro</w:t>
      </w:r>
      <w:r w:rsidRPr="00CB533F">
        <w:t>perty Coverage Form or in the Lost Business Income and Extra Expense</w:t>
      </w:r>
      <w:r>
        <w:t xml:space="preserve"> Endorsement.  Nor did it mention the </w:t>
      </w:r>
      <w:r w:rsidRPr="005E6FF4">
        <w:rPr>
          <w:i/>
          <w:iCs/>
        </w:rPr>
        <w:t>Mudpie</w:t>
      </w:r>
      <w:r>
        <w:t xml:space="preserve"> line of cases.  On appeal, Sentinel defends the order sustaining its demurrer primarily on the grounds the trial court relied upon—that the Vir</w:t>
      </w:r>
      <w:r>
        <w:t>us Exclusion bars coverage, and that John’s Grill has failed to allege the COVID</w:t>
      </w:r>
      <w:r>
        <w:noBreakHyphen/>
        <w:t>19 on its premises was the “result o</w:t>
      </w:r>
      <w:r w:rsidRPr="00DB4F87">
        <w:rPr>
          <w:spacing w:val="40"/>
        </w:rPr>
        <w:t>f</w:t>
      </w:r>
      <w:r>
        <w:t>” any of the causes in the Specified Causes Clause.  Even apart from the obstacles to coverage presented by the Virus Exclusion and the Sp</w:t>
      </w:r>
      <w:r>
        <w:t xml:space="preserve">ecified Causes Clause, Sentinel adds in a last line of argument, the operative complaint fails to allege direct physical loss of or physical damage to property, thus precluding coverage as a matter of law under the </w:t>
      </w:r>
      <w:r w:rsidRPr="00DD2B46">
        <w:rPr>
          <w:i/>
          <w:iCs/>
        </w:rPr>
        <w:t>Mudpie</w:t>
      </w:r>
      <w:r>
        <w:t xml:space="preserve"> line of cases.</w:t>
      </w:r>
    </w:p>
    <w:p w14:paraId="49A41F9B" w14:textId="77777777" w:rsidR="00455B06" w:rsidRDefault="00140D1F" w:rsidP="00FB4711">
      <w:r>
        <w:t>John’s Grill addres</w:t>
      </w:r>
      <w:r>
        <w:t xml:space="preserve">ses </w:t>
      </w:r>
      <w:r w:rsidRPr="005D1E5C">
        <w:rPr>
          <w:i/>
          <w:iCs/>
        </w:rPr>
        <w:t>Mudpie</w:t>
      </w:r>
      <w:r>
        <w:t xml:space="preserve"> in a similarly roundabout way, discussing the issue only in its reply brief and emphasizing that it did allege </w:t>
      </w:r>
      <w:r w:rsidRPr="00B103D5">
        <w:rPr>
          <w:color w:val="0F0F0F"/>
          <w:w w:val="105"/>
        </w:rPr>
        <w:t>“</w:t>
      </w:r>
      <w:r>
        <w:rPr>
          <w:color w:val="0F0F0F"/>
          <w:w w:val="105"/>
        </w:rPr>
        <w:t>direct physical loss of property in the form of deprivation, loss of use, and being unable to use the property for its intended purpo</w:t>
      </w:r>
      <w:r>
        <w:rPr>
          <w:color w:val="0F0F0F"/>
          <w:w w:val="105"/>
        </w:rPr>
        <w:t xml:space="preserve">se due to . . . the presence of the coronavirus.” </w:t>
      </w:r>
      <w:r>
        <w:rPr>
          <w:color w:val="0F0F0F"/>
          <w:spacing w:val="-4"/>
          <w:w w:val="105"/>
        </w:rPr>
        <w:t xml:space="preserve">  On the strength of that allegation, </w:t>
      </w:r>
      <w:r>
        <w:t>John’s Grill insists that it “</w:t>
      </w:r>
      <w:r w:rsidRPr="00706D22">
        <w:t>suffer</w:t>
      </w:r>
      <w:r>
        <w:t>[ed]</w:t>
      </w:r>
      <w:r w:rsidRPr="00706D22">
        <w:t xml:space="preserve"> physical loss of and damage to its property</w:t>
      </w:r>
      <w:r>
        <w:t>” within the meaning of the Special Property Coverage Form.  It also contends that t</w:t>
      </w:r>
      <w:r>
        <w:t xml:space="preserve">he depth of judicial consensus on the issue addressed in </w:t>
      </w:r>
      <w:r w:rsidRPr="002C373E">
        <w:rPr>
          <w:i/>
          <w:iCs/>
        </w:rPr>
        <w:t>Mudpie</w:t>
      </w:r>
      <w:r>
        <w:t xml:space="preserve"> is overstated by Sentinel.  But John’s Grill nonetheless urges us to avoid </w:t>
      </w:r>
      <w:r>
        <w:lastRenderedPageBreak/>
        <w:t xml:space="preserve">engaging with the </w:t>
      </w:r>
      <w:r w:rsidRPr="00C34C29">
        <w:rPr>
          <w:i/>
          <w:iCs/>
        </w:rPr>
        <w:t>Mudpie</w:t>
      </w:r>
      <w:r>
        <w:t xml:space="preserve"> line of cases because of “t</w:t>
      </w:r>
      <w:r w:rsidRPr="00706D22">
        <w:t>he absence of a pertinent ruling on the issue</w:t>
      </w:r>
      <w:r>
        <w:t>” and the limited br</w:t>
      </w:r>
      <w:r>
        <w:t>iefing on it.  We are told by John’s Grill that “</w:t>
      </w:r>
      <w:r w:rsidRPr="003E55A2">
        <w:t xml:space="preserve">this case </w:t>
      </w:r>
      <w:r>
        <w:t xml:space="preserve">[is] </w:t>
      </w:r>
      <w:r w:rsidRPr="003E55A2">
        <w:t>a poor vehicle for addressing this important issue of first impression</w:t>
      </w:r>
      <w:r>
        <w:t>” and that it “</w:t>
      </w:r>
      <w:r w:rsidRPr="003E55A2">
        <w:t xml:space="preserve">would be better addressed by this Court in the context of another pending case in which the </w:t>
      </w:r>
      <w:r w:rsidRPr="003E55A2">
        <w:t>physical loss or damage issue was the basis of the decision below and the virtually exclusive focus of the parties’ briefing</w:t>
      </w:r>
      <w:r>
        <w:t>” on appeal</w:t>
      </w:r>
      <w:r w:rsidRPr="003E55A2">
        <w:t>.</w:t>
      </w:r>
    </w:p>
    <w:p w14:paraId="385D5C65" w14:textId="77777777" w:rsidR="00272048" w:rsidRDefault="00140D1F" w:rsidP="00D6631E">
      <w:r>
        <w:rPr>
          <w:rFonts w:eastAsia="Times New Roman" w:cs="Times New Roman"/>
          <w:color w:val="000000"/>
        </w:rPr>
        <w:t xml:space="preserve">Thus, while the parties joust with one another over the </w:t>
      </w:r>
      <w:r w:rsidRPr="00C777F1">
        <w:rPr>
          <w:rFonts w:eastAsia="Times New Roman" w:cs="Times New Roman"/>
          <w:i/>
          <w:iCs/>
          <w:color w:val="000000"/>
        </w:rPr>
        <w:t>Mudpie</w:t>
      </w:r>
      <w:r>
        <w:rPr>
          <w:rFonts w:eastAsia="Times New Roman" w:cs="Times New Roman"/>
          <w:color w:val="000000"/>
        </w:rPr>
        <w:t xml:space="preserve"> line of cases in indirect ways, for different reasons th</w:t>
      </w:r>
      <w:r>
        <w:rPr>
          <w:rFonts w:eastAsia="Times New Roman" w:cs="Times New Roman"/>
          <w:color w:val="000000"/>
        </w:rPr>
        <w:t xml:space="preserve">ey each focus their attention primarily on the Virus Exclusion and the Limited Virus Coverage.  We largely accept that framing of the issues.  We say “largely” because the </w:t>
      </w:r>
      <w:r w:rsidRPr="00E60346">
        <w:rPr>
          <w:rFonts w:eastAsia="Times New Roman" w:cs="Times New Roman"/>
          <w:color w:val="000000"/>
        </w:rPr>
        <w:t>Limited Fungi or Virus Coverage Endorsement must be construed together with the rema</w:t>
      </w:r>
      <w:r w:rsidRPr="00E60346">
        <w:rPr>
          <w:rFonts w:eastAsia="Times New Roman" w:cs="Times New Roman"/>
          <w:color w:val="000000"/>
        </w:rPr>
        <w:t xml:space="preserve">inder of the Policy, and we think the </w:t>
      </w:r>
      <w:r w:rsidRPr="00E60346">
        <w:rPr>
          <w:rFonts w:eastAsia="Times New Roman" w:cs="Times New Roman"/>
          <w:i/>
          <w:iCs/>
          <w:color w:val="000000"/>
        </w:rPr>
        <w:t>Mudpie</w:t>
      </w:r>
      <w:r w:rsidRPr="005D1E5C">
        <w:rPr>
          <w:rFonts w:eastAsia="Times New Roman" w:cs="Times New Roman"/>
          <w:i/>
          <w:iCs/>
          <w:color w:val="000000"/>
        </w:rPr>
        <w:t xml:space="preserve"> </w:t>
      </w:r>
      <w:r>
        <w:rPr>
          <w:rFonts w:eastAsia="Times New Roman" w:cs="Times New Roman"/>
          <w:color w:val="000000"/>
        </w:rPr>
        <w:t xml:space="preserve">line of cases provides an important contextual backdrop and helps inform our analysis of the Policy as a whole.  Ultimately, however, we agree that we need not </w:t>
      </w:r>
      <w:r>
        <w:t>join the fray over whether “ ‘distinct, demonstrabl</w:t>
      </w:r>
      <w:r>
        <w:t xml:space="preserve">e, physical alteration of . . . property’ ” is required to trigger coverage </w:t>
      </w:r>
      <w:r w:rsidRPr="00165ED1">
        <w:t>under a first party property insurance policy which uses the undefined phrase “physical loss of or damage to” property (</w:t>
      </w:r>
      <w:r w:rsidRPr="00165ED1">
        <w:rPr>
          <w:i/>
          <w:iCs/>
        </w:rPr>
        <w:t>Mudpie, Inc. v. Travelers Casualty Ins. Co.</w:t>
      </w:r>
      <w:r w:rsidRPr="00165ED1">
        <w:t xml:space="preserve">, </w:t>
      </w:r>
      <w:r w:rsidRPr="00165ED1">
        <w:rPr>
          <w:i/>
          <w:iCs/>
        </w:rPr>
        <w:t>supra</w:t>
      </w:r>
      <w:r w:rsidRPr="00165ED1">
        <w:t>, 15 F.4th</w:t>
      </w:r>
      <w:r w:rsidRPr="00165ED1">
        <w:t xml:space="preserve"> at p. 892).</w:t>
      </w:r>
    </w:p>
    <w:p w14:paraId="70AE556C" w14:textId="77777777" w:rsidR="005F7372" w:rsidRPr="00D50FCC" w:rsidRDefault="00140D1F" w:rsidP="00D6631E">
      <w:pPr>
        <w:rPr>
          <w:rFonts w:cs="TimesNewRomanPSMT"/>
        </w:rPr>
      </w:pPr>
      <w:r>
        <w:t xml:space="preserve">We so conclude not because this appeal is a “poor vehicle” to decide the issues addressed in </w:t>
      </w:r>
      <w:r w:rsidRPr="005F0341">
        <w:rPr>
          <w:i/>
          <w:iCs/>
        </w:rPr>
        <w:t>Mudpie</w:t>
      </w:r>
      <w:r>
        <w:t>.  Obviously, we are not a court of discretionary jurisdiction with the ability to pick and choose our cases, and where we wish to disregard non</w:t>
      </w:r>
      <w:r>
        <w:t xml:space="preserve">binding federal precedent or we have good reason to part ways with sister courts in California, we will not shrink from doing so.  But in this case, the </w:t>
      </w:r>
      <w:r w:rsidRPr="00910619">
        <w:rPr>
          <w:i/>
          <w:iCs/>
        </w:rPr>
        <w:t>Mudpie</w:t>
      </w:r>
      <w:r>
        <w:t xml:space="preserve"> line of cases may be dealt with in a more straightforward way:  It is distinguishable.  Because </w:t>
      </w:r>
      <w:r>
        <w:t xml:space="preserve">the Limited Fungi or </w:t>
      </w:r>
      <w:r>
        <w:lastRenderedPageBreak/>
        <w:t>Virus Coverage Endorsement adds virus-specific language to the Policy that is not present in COVID</w:t>
      </w:r>
      <w:r>
        <w:noBreakHyphen/>
        <w:t xml:space="preserve">19 business interruption insurance cases involving form language without material modification, those </w:t>
      </w:r>
      <w:r w:rsidRPr="009200D3">
        <w:t xml:space="preserve">cases </w:t>
      </w:r>
      <w:r w:rsidRPr="006E0819">
        <w:rPr>
          <w:rFonts w:eastAsia="Times New Roman" w:cs="Arial"/>
          <w:color w:val="000000"/>
        </w:rPr>
        <w:t>involve “very different poli</w:t>
      </w:r>
      <w:r w:rsidRPr="006E0819">
        <w:rPr>
          <w:rFonts w:eastAsia="Times New Roman" w:cs="Arial"/>
          <w:color w:val="000000"/>
        </w:rPr>
        <w:t>cy provisions” and are not controlling here.  (</w:t>
      </w:r>
      <w:r w:rsidRPr="006E0819">
        <w:rPr>
          <w:rFonts w:eastAsia="Times New Roman" w:cs="Arial"/>
          <w:i/>
          <w:iCs/>
          <w:color w:val="000000"/>
          <w:bdr w:val="none" w:sz="0" w:space="0" w:color="auto" w:frame="1"/>
        </w:rPr>
        <w:t>Amy’s Kitchen, Inc. v. Fireman’s Fund Ins. Co.</w:t>
      </w:r>
      <w:r w:rsidRPr="006E0819">
        <w:rPr>
          <w:rFonts w:eastAsia="Times New Roman" w:cs="Arial"/>
          <w:color w:val="000000"/>
        </w:rPr>
        <w:t xml:space="preserve"> (2022) 83 Cal.App.5th 1062, 1069 (</w:t>
      </w:r>
      <w:r w:rsidRPr="006E0819">
        <w:rPr>
          <w:rFonts w:eastAsia="Times New Roman" w:cs="Arial"/>
          <w:i/>
          <w:iCs/>
          <w:color w:val="000000"/>
        </w:rPr>
        <w:t>Amy’s</w:t>
      </w:r>
      <w:r w:rsidRPr="00D50FCC">
        <w:rPr>
          <w:rFonts w:eastAsia="Times New Roman" w:cs="Arial"/>
          <w:i/>
          <w:iCs/>
          <w:color w:val="000000"/>
        </w:rPr>
        <w:t xml:space="preserve"> Kitchen</w:t>
      </w:r>
      <w:r w:rsidRPr="00D50FCC">
        <w:rPr>
          <w:rFonts w:eastAsia="Times New Roman" w:cs="Arial"/>
          <w:color w:val="000000"/>
        </w:rPr>
        <w:t>).)</w:t>
      </w:r>
    </w:p>
    <w:p w14:paraId="6B0FFC0E" w14:textId="77777777" w:rsidR="00676322" w:rsidRPr="00D50FCC" w:rsidRDefault="00140D1F" w:rsidP="0015182E">
      <w:pPr>
        <w:pStyle w:val="Heading3"/>
      </w:pPr>
      <w:r w:rsidRPr="00D50FCC">
        <w:t>The Limited Fungi or Virus Coverage Endorsement</w:t>
      </w:r>
    </w:p>
    <w:p w14:paraId="5F458D9C" w14:textId="77777777" w:rsidR="005F0341" w:rsidRDefault="00140D1F" w:rsidP="005F0341">
      <w:pPr>
        <w:pStyle w:val="Heading4"/>
      </w:pPr>
      <w:r>
        <w:t>Summary of Analysis</w:t>
      </w:r>
    </w:p>
    <w:p w14:paraId="0A568280" w14:textId="77777777" w:rsidR="00CA4B2F" w:rsidRDefault="00140D1F" w:rsidP="00BE778D">
      <w:pPr>
        <w:pStyle w:val="FootnoteText"/>
        <w:spacing w:after="0" w:line="360" w:lineRule="auto"/>
      </w:pPr>
      <w:r>
        <w:t>The trial court’s interpretation and application of the Limited Fungi or Virus Coverage Endorsement adopted the analytical framework Sentinel urged in support of the demurrer and continues to urge here on appeal.  We conclude that that approach to analyzin</w:t>
      </w:r>
      <w:r>
        <w:t xml:space="preserve">g </w:t>
      </w:r>
      <w:r w:rsidRPr="00D50FCC">
        <w:t>coverage</w:t>
      </w:r>
      <w:r>
        <w:t xml:space="preserve"> led to error.  According to Sentinel, the Virus </w:t>
      </w:r>
      <w:r w:rsidRPr="00D50FCC">
        <w:t>Exclusion</w:t>
      </w:r>
      <w:r>
        <w:t xml:space="preserve"> applies by its clear and unambiguous terms; John’s Grill fails to allege that any COVID</w:t>
      </w:r>
      <w:r>
        <w:noBreakHyphen/>
        <w:t>19 virus on its premises was the “result o</w:t>
      </w:r>
      <w:r w:rsidRPr="008E0B24">
        <w:rPr>
          <w:spacing w:val="40"/>
        </w:rPr>
        <w:t>f</w:t>
      </w:r>
      <w:r>
        <w:t xml:space="preserve">” some cause listed in the Specified Causes Clause; and </w:t>
      </w:r>
      <w:r>
        <w:t>the argument from John’s Grill that the Specified Causes Clause is unenforceable under the illusory coverage doctrine lacks merit, just as “</w:t>
      </w:r>
      <w:r w:rsidRPr="002408E5">
        <w:t>every California court to address this argument has held</w:t>
      </w:r>
      <w:r>
        <w:t>.”  Only in an alternative, secondary line of reasoning does</w:t>
      </w:r>
      <w:r>
        <w:t xml:space="preserve"> Sentinel attempt to deal with the scope of the Limited Virus Coverage grant, and then it circles back to the </w:t>
      </w:r>
      <w:r w:rsidRPr="00A2226B">
        <w:rPr>
          <w:i/>
          <w:iCs/>
        </w:rPr>
        <w:t>Mudpie</w:t>
      </w:r>
      <w:r>
        <w:t xml:space="preserve"> line of cases.</w:t>
      </w:r>
    </w:p>
    <w:p w14:paraId="33D92066" w14:textId="77777777" w:rsidR="00850030" w:rsidRDefault="00140D1F" w:rsidP="00850030">
      <w:pPr>
        <w:pStyle w:val="FootnoteText"/>
        <w:spacing w:after="0" w:line="360" w:lineRule="auto"/>
      </w:pPr>
      <w:r>
        <w:t>By starting with the Virus Exclusion, focusing next on the Specified Causes Clause, and dealing with the Limited Virus Cover</w:t>
      </w:r>
      <w:r>
        <w:t xml:space="preserve">age grant as an afterthought, Sentinel has the proper sequence of insurance coverage analysis backward.  There may be cases in which the plain </w:t>
      </w:r>
      <w:r w:rsidRPr="00A81AED">
        <w:t>terms</w:t>
      </w:r>
      <w:r>
        <w:t xml:space="preserve"> of an exclusion unequivocally </w:t>
      </w:r>
      <w:r w:rsidRPr="00A81AED">
        <w:t>foreclose</w:t>
      </w:r>
      <w:r>
        <w:t xml:space="preserve"> any potential for coverage, without the need to consider anything e</w:t>
      </w:r>
      <w:r>
        <w:t xml:space="preserve">lse, but this is not one of them.  Here, the first question to address is whether the insured’s coverage claim falls within the scope of the pertinent insuring agreement.  And on this question, the reasoning in the </w:t>
      </w:r>
      <w:r w:rsidRPr="001F7957">
        <w:rPr>
          <w:i/>
          <w:iCs/>
        </w:rPr>
        <w:lastRenderedPageBreak/>
        <w:t>Mudpie</w:t>
      </w:r>
      <w:r>
        <w:t xml:space="preserve"> line of cases cannot be transposed</w:t>
      </w:r>
      <w:r>
        <w:t xml:space="preserve"> onto the Limited Virus Coverage grant.  Unlike the undefined phrase “direct physical loss of or physical damage to” property in the Special Property Coverage Form, the key coverage-triggering phrase in the Limited Virus Coverage grant is simply “loss or d</w:t>
      </w:r>
      <w:r>
        <w:t>amage,” which is specially defined in a manner that not only contemplates the possibility a virus may “cause</w:t>
      </w:r>
      <w:r w:rsidRPr="00A54538">
        <w:rPr>
          <w:spacing w:val="20"/>
        </w:rPr>
        <w:t>[</w:t>
      </w:r>
      <w:r>
        <w:t>]” physical damage to covered property, but that includes the costs of “removal” of “virus”—a phrase capacious enough to include cleaning the surfa</w:t>
      </w:r>
      <w:r>
        <w:t>ces of the property—as well as testing to detect whether virus is merely “present” on the property.</w:t>
      </w:r>
    </w:p>
    <w:p w14:paraId="2BBCAFDD" w14:textId="77777777" w:rsidR="00BE778D" w:rsidRDefault="00140D1F" w:rsidP="00BE778D">
      <w:pPr>
        <w:pStyle w:val="FootnoteText"/>
        <w:spacing w:after="0" w:line="360" w:lineRule="auto"/>
      </w:pPr>
      <w:r>
        <w:t>Analyzing the coverage issues in proper sequence, we conclude that (1) the insuring agreement in the Limited Virus Coverage, construed in accordance with th</w:t>
      </w:r>
      <w:r>
        <w:t>e reasonable expectations of an insured in the position of John’s Grill, is broad enough to encompass forms of property “loss” that do not involve physical alteration of property; (2) John’s Grill has alleged enough here to warrant giving it another opport</w:t>
      </w:r>
      <w:r>
        <w:t xml:space="preserve">unity to plead that its claim falls within the scope of the Limited Virus Coverage grant; (3) the Specified Causes Clause, construed and applied expansively, as Sentinel urges us to do, leaves John’s Grill with what amounts to no virus coverage at all and </w:t>
      </w:r>
      <w:r>
        <w:t>thus is unenforceable under the illusory coverage doctrine; and (4) finally, turning to the exclusionary language Sentinel invokes</w:t>
      </w:r>
      <w:r>
        <w:rPr>
          <w:rFonts w:eastAsia="Times New Roman" w:cs="Times New Roman"/>
          <w:color w:val="000000"/>
        </w:rPr>
        <w:t>—</w:t>
      </w:r>
      <w:r>
        <w:t>not first in the sequence of coverage analysis, but last</w:t>
      </w:r>
      <w:r>
        <w:rPr>
          <w:rFonts w:eastAsia="Times New Roman" w:cs="Times New Roman"/>
          <w:color w:val="000000"/>
        </w:rPr>
        <w:t xml:space="preserve">—it is premature to say whether the </w:t>
      </w:r>
      <w:r>
        <w:t>Virus Exclusion applies, since th</w:t>
      </w:r>
      <w:r>
        <w:t>at exclusion is subject to an exception wherever there is coverage under the Limited Virus Coverage provisions, and the applicability of this exception cannot be determined until the issue of coverage is ultimately decided.</w:t>
      </w:r>
    </w:p>
    <w:p w14:paraId="00B37DB7" w14:textId="77777777" w:rsidR="00180ADA" w:rsidRPr="003E58A9" w:rsidRDefault="00140D1F" w:rsidP="00F074BD">
      <w:pPr>
        <w:pStyle w:val="Heading4"/>
      </w:pPr>
      <w:r w:rsidRPr="003E58A9">
        <w:lastRenderedPageBreak/>
        <w:t>The Virus Exclusion and the Limi</w:t>
      </w:r>
      <w:r w:rsidRPr="003E58A9">
        <w:t>ted Virus Coverage Provisions:  Text and Structure</w:t>
      </w:r>
    </w:p>
    <w:p w14:paraId="00EA9373" w14:textId="77777777" w:rsidR="00CD5B43" w:rsidRDefault="00140D1F" w:rsidP="000E3813">
      <w:r>
        <w:t>We begin our analysis with some observations about the text of the Limited Fungi or Virus Coverage Endorsement.  Structurally, it has two parts.  First, to the list of Exclusions set forth in the Special P</w:t>
      </w:r>
      <w:r>
        <w:t xml:space="preserve">roperty Coverage Form, Paragraph A of the Limited Fungi or Virus Coverage Endorsement adds a new exclusionary clause, the Virus Exclusion, specifying </w:t>
      </w:r>
      <w:r w:rsidRPr="00EF70CE">
        <w:t>that Sentinel “will not pay for loss or damage caused directly or indirectly by . . . [¶] . . . [the] [p]r</w:t>
      </w:r>
      <w:r w:rsidRPr="00EF70CE">
        <w:t>esence, growth, proliferation, spread or any activity of ‘fungi’, wet rot, dry rot, bacteria or virus.”</w:t>
      </w:r>
      <w:r>
        <w:rPr>
          <w:rStyle w:val="FootnoteReference"/>
        </w:rPr>
        <w:footnoteReference w:id="10"/>
      </w:r>
      <w:r w:rsidRPr="00EF70CE">
        <w:t xml:space="preserve"> </w:t>
      </w:r>
      <w:r>
        <w:t xml:space="preserve"> Second, to the list of Additional Coverages set forth in the Special Property Coverage Form, Paragraph B of the Limited Fungi or Virus Coverage Endor</w:t>
      </w:r>
      <w:r>
        <w:t>sement adds a series of subparagraphs (Subparagraph B.1.a.—Subparagraph B.1.f.) titled “Limited Coverage For ‘Fungi’, Wet Rot, Dry Rot, Bacteria and Virus,” which together set forth the terms of the Limited Virus Coverage.</w:t>
      </w:r>
    </w:p>
    <w:p w14:paraId="42275E92" w14:textId="77777777" w:rsidR="009547A1" w:rsidRDefault="00140D1F" w:rsidP="00BE4874">
      <w:pPr>
        <w:pStyle w:val="FootnoteText"/>
        <w:spacing w:after="0" w:line="360" w:lineRule="auto"/>
      </w:pPr>
      <w:r>
        <w:t xml:space="preserve">The principal limitation placed on the Limited Virus Coverage is in the Specified Causes Clause, Subparagraph B.1.a. of the Limited Fungi or Virus Coverage Endorsement.  This limitation—which tracks counterpart language stated as an exception to the Virus </w:t>
      </w:r>
      <w:r>
        <w:t xml:space="preserve">Exclusion </w:t>
      </w:r>
      <w:r w:rsidRPr="00586893">
        <w:t>(</w:t>
      </w:r>
      <w:r>
        <w:t>“</w:t>
      </w:r>
      <w:r w:rsidRPr="00920B04">
        <w:t xml:space="preserve">But if </w:t>
      </w:r>
      <w:r>
        <w:t>‘</w:t>
      </w:r>
      <w:r w:rsidRPr="00920B04">
        <w:t>fungi</w:t>
      </w:r>
      <w:r>
        <w:t>’</w:t>
      </w:r>
      <w:r w:rsidRPr="00920B04">
        <w:t xml:space="preserve">, wet rot, dry rot, bacteria or virus results in a </w:t>
      </w:r>
      <w:r>
        <w:t>‘</w:t>
      </w:r>
      <w:r w:rsidRPr="00920B04">
        <w:t>specified cause of loss</w:t>
      </w:r>
      <w:r>
        <w:t>’</w:t>
      </w:r>
      <w:r w:rsidRPr="00920B04">
        <w:t xml:space="preserve"> to Covered Property, we will pay for the loss or damage caused by that </w:t>
      </w:r>
      <w:r>
        <w:t>‘</w:t>
      </w:r>
      <w:r w:rsidRPr="00920B04">
        <w:t>specified cause of loss</w:t>
      </w:r>
      <w:r>
        <w:t xml:space="preserve">’ ”)—narrows the Limited Virus Coverage to </w:t>
      </w:r>
      <w:r>
        <w:t>circumstances where the virus is the “result o</w:t>
      </w:r>
      <w:r w:rsidRPr="00C0070F">
        <w:rPr>
          <w:spacing w:val="40"/>
        </w:rPr>
        <w:t>f</w:t>
      </w:r>
      <w:r>
        <w:t>” certain enumerated “causes.”  For purposes of the virus-caused risks, this effectively flips the all-perils structure of the Special Property Coverage Form.  The Specified Causes Clause states as follows:  T</w:t>
      </w:r>
      <w:r>
        <w:t xml:space="preserve">he Limited </w:t>
      </w:r>
      <w:r>
        <w:lastRenderedPageBreak/>
        <w:t xml:space="preserve">Virus Coverage grant “only applies when the ‘fungi’, wet or dry rot, bacteria or virus is </w:t>
      </w:r>
      <w:r w:rsidRPr="003F72B8">
        <w:rPr>
          <w:i/>
        </w:rPr>
        <w:t>the result of</w:t>
      </w:r>
      <w:r>
        <w:t xml:space="preserve"> one or more of the following causes that occurs during the policy period and only if all reasonable means were used to save and preserve the </w:t>
      </w:r>
      <w:r>
        <w:t>property from further damage at the time of and after that occurrence. [¶] (1) A ‘specified cause of loss’ other than fire or lightning; [¶] (2) Equipment Breakdown Accident occurs to Equipment Breakdown Property, if Equipment Breakdown applies to the affe</w:t>
      </w:r>
      <w:r>
        <w:t xml:space="preserve">cted premises.” </w:t>
      </w:r>
      <w:r w:rsidRPr="005C5EFE">
        <w:t xml:space="preserve"> </w:t>
      </w:r>
      <w:r>
        <w:t>(Italics added.)</w:t>
      </w:r>
    </w:p>
    <w:p w14:paraId="7B63EA6D" w14:textId="77777777" w:rsidR="004D41E6" w:rsidRDefault="00140D1F" w:rsidP="004D41E6">
      <w:pPr>
        <w:pStyle w:val="FootnoteText"/>
        <w:spacing w:after="0" w:line="360" w:lineRule="auto"/>
      </w:pPr>
      <w:r>
        <w:t>“Specified Cause of Loss,” a defined term in Subparagraph G.19. of the Special Property Coverage Form (and the first of two conditions set forth in the Specified Causes Clause) means:  “</w:t>
      </w:r>
      <w:r w:rsidRPr="00186DBF">
        <w:t>Fire;</w:t>
      </w:r>
      <w:r>
        <w:t xml:space="preserve"> </w:t>
      </w:r>
      <w:r w:rsidRPr="00186DBF">
        <w:t>lightning; explosion, windstor</w:t>
      </w:r>
      <w:r w:rsidRPr="00186DBF">
        <w:t>m or hail; smoke; aircraft or vehicles; riot or civil commotion; vandalism; leakage from fire extinguishing equipment; sinkhole collapse; volcanic action; falling objects; weight of snow, ice or</w:t>
      </w:r>
      <w:r>
        <w:t xml:space="preserve"> </w:t>
      </w:r>
      <w:r w:rsidRPr="00186DBF">
        <w:t>sleet;</w:t>
      </w:r>
      <w:r>
        <w:t xml:space="preserve"> </w:t>
      </w:r>
      <w:r w:rsidRPr="00186DBF">
        <w:t>water</w:t>
      </w:r>
      <w:r>
        <w:t xml:space="preserve"> </w:t>
      </w:r>
      <w:r w:rsidRPr="00186DBF">
        <w:t>damage.</w:t>
      </w:r>
      <w:r>
        <w:t>”  “Equipment Breakdown Accident,” a defi</w:t>
      </w:r>
      <w:r>
        <w:t>ned term in Subparagraph A.5.c. of the Special Property Coverage Form (and the second of two conditions set forth in the Specified Causes Clause), means, slightly paraphrased:  “Mechanical breakdown,” including rupture or bursting caused by centrifugal for</w:t>
      </w:r>
      <w:r>
        <w:t xml:space="preserve">ce; “Artificially generated electric current” such as arcing or other electrical disturbance affecting electrical devices, appliances or wires; or “Explosion” of </w:t>
      </w:r>
      <w:r w:rsidRPr="00B36ED2">
        <w:t>or “Physical loss or physical damage” to steam boilers</w:t>
      </w:r>
      <w:r>
        <w:t>, steam piping, steam engines or steam t</w:t>
      </w:r>
      <w:r>
        <w:t>urbines or hot water boilers.</w:t>
      </w:r>
    </w:p>
    <w:p w14:paraId="432551F5" w14:textId="77777777" w:rsidR="00EB28BC" w:rsidRDefault="00140D1F" w:rsidP="00BE4874">
      <w:pPr>
        <w:pStyle w:val="FootnoteText"/>
        <w:spacing w:after="0" w:line="360" w:lineRule="auto"/>
      </w:pPr>
      <w:r>
        <w:t xml:space="preserve">The precise wording of the Limited Virus Coverage grant in Subparagraph B.1.b. of the Limited Fungi or Virus Coverage Endorsement is </w:t>
      </w:r>
      <w:r>
        <w:lastRenderedPageBreak/>
        <w:t>as follows:  “We will pay for loss or damage by ‘fungi’,</w:t>
      </w:r>
      <w:r w:rsidRPr="00111615">
        <w:rPr>
          <w:vertAlign w:val="superscript"/>
        </w:rPr>
        <w:t>[</w:t>
      </w:r>
      <w:r>
        <w:rPr>
          <w:rStyle w:val="FootnoteReference"/>
        </w:rPr>
        <w:footnoteReference w:id="11"/>
      </w:r>
      <w:r w:rsidRPr="00111615">
        <w:rPr>
          <w:vertAlign w:val="superscript"/>
        </w:rPr>
        <w:t>]</w:t>
      </w:r>
      <w:r>
        <w:t xml:space="preserve"> wet rot, dry rot, bacteria and v</w:t>
      </w:r>
      <w:r>
        <w:t xml:space="preserve">irus.  As used in this Limited Coverage, the term </w:t>
      </w:r>
      <w:r w:rsidRPr="00442DE8">
        <w:rPr>
          <w:i/>
          <w:iCs/>
        </w:rPr>
        <w:t>loss or damage</w:t>
      </w:r>
      <w:r>
        <w:t xml:space="preserve"> means: </w:t>
      </w:r>
      <w:r>
        <w:rPr>
          <w:rFonts w:cs="ArialMT"/>
        </w:rPr>
        <w:t xml:space="preserve">[¶] </w:t>
      </w:r>
      <w:r>
        <w:t>(1) Direct physical loss or direct physical damage to Covered Property caused by ‘fungi’, wet rot, dry rot, bacteria or virus, including the cost of removal of the ‘fungi’, wet rot</w:t>
      </w:r>
      <w:r>
        <w:t xml:space="preserve">, dry rot, bacteria or virus; </w:t>
      </w:r>
      <w:r>
        <w:rPr>
          <w:rFonts w:cs="ArialMT"/>
        </w:rPr>
        <w:t>[¶]</w:t>
      </w:r>
      <w:r>
        <w:t xml:space="preserve"> (2) The cost to tear out and replace any part of the building or other property as needed to gain access to the ‘fungi’, wet rot, dry rot, bacteria or virus; and </w:t>
      </w:r>
      <w:r>
        <w:rPr>
          <w:rFonts w:cs="ArialMT"/>
        </w:rPr>
        <w:t>[¶]</w:t>
      </w:r>
      <w:r>
        <w:t xml:space="preserve"> (3) The cost of testing performed after removal, repair,</w:t>
      </w:r>
      <w:r>
        <w:t xml:space="preserve"> replacement or restoration of the damaged property is completed, provided there is a reason to believe that ‘fungi’, wet rot, dry rot, bacteria or virus are present.”  (Italics added.)</w:t>
      </w:r>
    </w:p>
    <w:p w14:paraId="09C5EF4F" w14:textId="77777777" w:rsidR="00783FCC" w:rsidRPr="003E58A9" w:rsidRDefault="00140D1F" w:rsidP="00F074BD">
      <w:pPr>
        <w:pStyle w:val="Heading4"/>
      </w:pPr>
      <w:r w:rsidRPr="003E58A9">
        <w:t xml:space="preserve">“Loss or Damage” as Specially Defined Within the Affirmative Grant of </w:t>
      </w:r>
      <w:r w:rsidRPr="003E58A9">
        <w:t>Coverage in the Limited Fungi or Virus Coverage Endorsement</w:t>
      </w:r>
    </w:p>
    <w:p w14:paraId="097A723C" w14:textId="77777777" w:rsidR="00783FCC" w:rsidRDefault="00140D1F" w:rsidP="00783FCC">
      <w:r>
        <w:t>The Limited Virus Coverage does more than simply restore pre-existing coverage that is taken away by the Virus Exclusion.  Not only does it contain an affirmatively phrased insuring agreement (“We</w:t>
      </w:r>
      <w:r>
        <w:t xml:space="preserve"> will pay for”), which is in line with the phrasing of other affirmative grants of coverage in the Policy,</w:t>
      </w:r>
      <w:r>
        <w:rPr>
          <w:rStyle w:val="FootnoteReference"/>
        </w:rPr>
        <w:footnoteReference w:id="12"/>
      </w:r>
      <w:r>
        <w:t xml:space="preserve"> </w:t>
      </w:r>
      <w:r>
        <w:lastRenderedPageBreak/>
        <w:t xml:space="preserve">but the triggering language in the insuring agreement for the Limited Virus Coverage (“loss or damage”) includes but is not restricted to “direct” </w:t>
      </w:r>
      <w:r>
        <w:t>and “physical” forms of loss or damage.</w:t>
      </w:r>
    </w:p>
    <w:p w14:paraId="397D14AE" w14:textId="77777777" w:rsidR="00783FCC" w:rsidRDefault="00140D1F" w:rsidP="00783FCC">
      <w:r>
        <w:t xml:space="preserve">The term “loss or damage” is also specially defined in Subparagraph B.1.b. of the Limited Fungi or Virus Coverage Endorsement.  And this </w:t>
      </w:r>
      <w:r w:rsidRPr="005E6E16">
        <w:t>special definition is more expansive than the counterpart, undefined phrase “di</w:t>
      </w:r>
      <w:r w:rsidRPr="005E6E16">
        <w:t>rect physical loss of or physical damage to Covered Property” in the Special Property Coverage Form.  First, by stating that “[d]irect physical loss or direct physical damage to” property can be “caused by” “virus,”</w:t>
      </w:r>
      <w:r>
        <w:rPr>
          <w:rStyle w:val="FootnoteReference"/>
        </w:rPr>
        <w:footnoteReference w:id="13"/>
      </w:r>
      <w:r w:rsidRPr="005E6E16">
        <w:rPr>
          <w:rFonts w:eastAsia="Times New Roman" w:cs="Times New Roman"/>
          <w:color w:val="000000"/>
        </w:rPr>
        <w:t xml:space="preserve"> the special definition </w:t>
      </w:r>
      <w:r w:rsidRPr="005E6E16">
        <w:t>expressly conte</w:t>
      </w:r>
      <w:r w:rsidRPr="005E6E16">
        <w:t xml:space="preserve">mplates what the </w:t>
      </w:r>
      <w:r w:rsidRPr="005E6E16">
        <w:rPr>
          <w:i/>
          <w:iCs/>
        </w:rPr>
        <w:t>Mudpie</w:t>
      </w:r>
      <w:r w:rsidRPr="005E6E16">
        <w:t xml:space="preserve"> line of cases places</w:t>
      </w:r>
      <w:r>
        <w:t xml:space="preserve"> outside the ambit of standard form first party trigger of coverage language:  A virus can directly “cause” physical loss or physical damage to property in some circumstances.</w:t>
      </w:r>
    </w:p>
    <w:p w14:paraId="0E8F297C" w14:textId="77777777" w:rsidR="00783FCC" w:rsidRDefault="00140D1F" w:rsidP="00783FCC">
      <w:r>
        <w:t xml:space="preserve">Second, the language in a series of </w:t>
      </w:r>
      <w:r>
        <w:t xml:space="preserve">inclusively framed subparagraphs within the special definition of “loss or damage” extends beyond the limited scope of the trigger language </w:t>
      </w:r>
      <w:r w:rsidRPr="003F12A1">
        <w:t>in the Special Property Coverage Form in</w:t>
      </w:r>
      <w:r>
        <w:t xml:space="preserve"> several key respects.  These subparagraphs sweep within the special </w:t>
      </w:r>
      <w:r>
        <w:lastRenderedPageBreak/>
        <w:t>definit</w:t>
      </w:r>
      <w:r>
        <w:t>ion the costs of structural mitigation work such as “tear[ing] out” and “replace[ment]” of property,</w:t>
      </w:r>
      <w:r>
        <w:rPr>
          <w:rStyle w:val="FootnoteReference"/>
        </w:rPr>
        <w:footnoteReference w:id="14"/>
      </w:r>
      <w:r>
        <w:t xml:space="preserve"> but go further than that.  They also refer to “</w:t>
      </w:r>
      <w:r w:rsidRPr="00E81BE8">
        <w:t>removal</w:t>
      </w:r>
      <w:r>
        <w:t xml:space="preserve"> of the virus”</w:t>
      </w:r>
      <w:r>
        <w:rPr>
          <w:rStyle w:val="FootnoteReference"/>
        </w:rPr>
        <w:footnoteReference w:id="15"/>
      </w:r>
      <w:r>
        <w:t xml:space="preserve">—a phrase broad enough to encompass simply wiping and cleaning </w:t>
      </w:r>
      <w:r>
        <w:t>surfaces—and after the mitigating “repair,” “replacement” or “removal” work is done, the costs of “testing” for the “presen[ce]” of the virus is included as well, presumably to ensure that the mitigation was effective.</w:t>
      </w:r>
    </w:p>
    <w:p w14:paraId="25373E75" w14:textId="77777777" w:rsidR="00783FCC" w:rsidRDefault="00140D1F" w:rsidP="00783FCC">
      <w:pPr>
        <w:pStyle w:val="FootnoteText"/>
        <w:spacing w:after="0" w:line="360" w:lineRule="auto"/>
      </w:pPr>
      <w:r>
        <w:t>We think an insured in the position o</w:t>
      </w:r>
      <w:r>
        <w:t xml:space="preserve">f John’s Grill could reasonably construe this trigger language to encompass what has been alleged here.  </w:t>
      </w:r>
      <w:r w:rsidRPr="00017A11">
        <w:rPr>
          <w:szCs w:val="26"/>
        </w:rPr>
        <w:t>The operative complaint a</w:t>
      </w:r>
      <w:r>
        <w:rPr>
          <w:szCs w:val="26"/>
        </w:rPr>
        <w:t>vers that</w:t>
      </w:r>
      <w:r w:rsidRPr="00017A11">
        <w:rPr>
          <w:szCs w:val="26"/>
        </w:rPr>
        <w:t xml:space="preserve"> </w:t>
      </w:r>
      <w:r>
        <w:rPr>
          <w:color w:val="0F0F0F"/>
        </w:rPr>
        <w:t>(1)</w:t>
      </w:r>
      <w:r w:rsidRPr="005D294D">
        <w:rPr>
          <w:color w:val="0F0F0F"/>
        </w:rPr>
        <w:t> </w:t>
      </w:r>
      <w:r>
        <w:rPr>
          <w:color w:val="0F0F0F"/>
        </w:rPr>
        <w:t>the COVID</w:t>
      </w:r>
      <w:r w:rsidRPr="005D294D">
        <w:rPr>
          <w:color w:val="0F0F0F"/>
        </w:rPr>
        <w:noBreakHyphen/>
      </w:r>
      <w:r>
        <w:rPr>
          <w:color w:val="0F0F0F"/>
        </w:rPr>
        <w:t>19 virus “</w:t>
      </w:r>
      <w:r w:rsidRPr="0085538A">
        <w:rPr>
          <w:color w:val="0F0F0F"/>
        </w:rPr>
        <w:t>can spread from person to</w:t>
      </w:r>
      <w:r w:rsidRPr="0085538A">
        <w:rPr>
          <w:color w:val="0F0F0F"/>
          <w:spacing w:val="43"/>
        </w:rPr>
        <w:t xml:space="preserve"> </w:t>
      </w:r>
      <w:r w:rsidRPr="0085538A">
        <w:rPr>
          <w:color w:val="0F0F0F"/>
        </w:rPr>
        <w:t xml:space="preserve">person through small </w:t>
      </w:r>
      <w:r w:rsidRPr="005D294D">
        <w:rPr>
          <w:color w:val="0F0F0F"/>
        </w:rPr>
        <w:t>droplets from the nose or mouth which are spr</w:t>
      </w:r>
      <w:r w:rsidRPr="005D294D">
        <w:rPr>
          <w:color w:val="0F0F0F"/>
        </w:rPr>
        <w:t>ead when a person with COVID</w:t>
      </w:r>
      <w:r w:rsidRPr="005D294D">
        <w:rPr>
          <w:color w:val="0F0F0F"/>
        </w:rPr>
        <w:noBreakHyphen/>
        <w:t>19 coughs</w:t>
      </w:r>
      <w:r w:rsidRPr="005D294D">
        <w:rPr>
          <w:color w:val="0F0F0F"/>
          <w:spacing w:val="5"/>
        </w:rPr>
        <w:t xml:space="preserve"> </w:t>
      </w:r>
      <w:r w:rsidRPr="005D294D">
        <w:rPr>
          <w:color w:val="0F0F0F"/>
        </w:rPr>
        <w:t>or exhales</w:t>
      </w:r>
      <w:r>
        <w:rPr>
          <w:color w:val="0F0F0F"/>
        </w:rPr>
        <w:t>,</w:t>
      </w:r>
      <w:r w:rsidRPr="005D294D">
        <w:rPr>
          <w:color w:val="0F0F0F"/>
        </w:rPr>
        <w:t>”</w:t>
      </w:r>
      <w:r w:rsidRPr="004E244D">
        <w:rPr>
          <w:color w:val="0F0F0F"/>
        </w:rPr>
        <w:t xml:space="preserve"> </w:t>
      </w:r>
      <w:r>
        <w:rPr>
          <w:color w:val="0F0F0F"/>
        </w:rPr>
        <w:t>(2</w:t>
      </w:r>
      <w:r w:rsidRPr="005D294D">
        <w:rPr>
          <w:color w:val="0F0F0F"/>
        </w:rPr>
        <w:t>)</w:t>
      </w:r>
      <w:r>
        <w:rPr>
          <w:color w:val="0F0F0F"/>
        </w:rPr>
        <w:t> </w:t>
      </w:r>
      <w:r w:rsidRPr="005D294D">
        <w:rPr>
          <w:color w:val="0F0F0F"/>
        </w:rPr>
        <w:t>“</w:t>
      </w:r>
      <w:r>
        <w:rPr>
          <w:color w:val="0F0F0F"/>
        </w:rPr>
        <w:t>[</w:t>
      </w:r>
      <w:r w:rsidRPr="005D294D">
        <w:rPr>
          <w:color w:val="0F0F0F"/>
        </w:rPr>
        <w:t>t</w:t>
      </w:r>
      <w:r>
        <w:rPr>
          <w:color w:val="0F0F0F"/>
        </w:rPr>
        <w:t>]</w:t>
      </w:r>
      <w:r w:rsidRPr="005D294D">
        <w:rPr>
          <w:color w:val="0F0F0F"/>
        </w:rPr>
        <w:t>hese droplets land on objects and surfaces around the person</w:t>
      </w:r>
      <w:r>
        <w:rPr>
          <w:color w:val="0F0F0F"/>
        </w:rPr>
        <w:t>,</w:t>
      </w:r>
      <w:r w:rsidRPr="005D294D">
        <w:rPr>
          <w:color w:val="0F0F0F"/>
        </w:rPr>
        <w:t>” (3)</w:t>
      </w:r>
      <w:r>
        <w:rPr>
          <w:color w:val="0F0F0F"/>
        </w:rPr>
        <w:t> </w:t>
      </w:r>
      <w:r w:rsidRPr="005D294D">
        <w:rPr>
          <w:color w:val="0F0F0F"/>
        </w:rPr>
        <w:t>the droplets “</w:t>
      </w:r>
      <w:r>
        <w:rPr>
          <w:color w:val="0F0F0F"/>
        </w:rPr>
        <w:t xml:space="preserve">land </w:t>
      </w:r>
      <w:r w:rsidRPr="00594E22">
        <w:rPr>
          <w:color w:val="0F0F0F"/>
        </w:rPr>
        <w:t xml:space="preserve">indiscriminately on </w:t>
      </w:r>
      <w:r w:rsidRPr="00413D53">
        <w:rPr>
          <w:color w:val="0F0F0F"/>
        </w:rPr>
        <w:t>the surfaces of</w:t>
      </w:r>
      <w:r w:rsidRPr="00594E22">
        <w:rPr>
          <w:color w:val="0F0F0F"/>
        </w:rPr>
        <w:t xml:space="preserve"> property</w:t>
      </w:r>
      <w:r>
        <w:rPr>
          <w:color w:val="0F0F0F"/>
        </w:rPr>
        <w:t xml:space="preserve"> with potentially fatal consequences,” </w:t>
      </w:r>
      <w:r w:rsidRPr="005D294D">
        <w:rPr>
          <w:color w:val="0F0F0F"/>
        </w:rPr>
        <w:t>(4)</w:t>
      </w:r>
      <w:r>
        <w:rPr>
          <w:color w:val="0F0F0F"/>
        </w:rPr>
        <w:t> </w:t>
      </w:r>
      <w:r>
        <w:rPr>
          <w:szCs w:val="26"/>
        </w:rPr>
        <w:t>the insidious nature of</w:t>
      </w:r>
      <w:r>
        <w:rPr>
          <w:szCs w:val="26"/>
        </w:rPr>
        <w:t xml:space="preserve"> the COVID</w:t>
      </w:r>
      <w:r>
        <w:rPr>
          <w:szCs w:val="26"/>
        </w:rPr>
        <w:noBreakHyphen/>
        <w:t xml:space="preserve">19 virus is </w:t>
      </w:r>
      <w:r w:rsidRPr="00C45B84">
        <w:rPr>
          <w:szCs w:val="26"/>
        </w:rPr>
        <w:t>that it can remain infectious on a variety of surfaces and objects from several hours to several</w:t>
      </w:r>
      <w:r>
        <w:rPr>
          <w:szCs w:val="26"/>
        </w:rPr>
        <w:t xml:space="preserve"> days, and (5) on the premises at John’s Grill, “every surface and object [was] implicated, including the doors and their parts, door jam</w:t>
      </w:r>
      <w:r>
        <w:rPr>
          <w:szCs w:val="26"/>
        </w:rPr>
        <w:t>bs, floors and carpeting, window panes, walls, countertops, light fixtures, the hostess desk, tables, chairs, dishes, drinking utensils, flatware, the entire kitchen and cookware, bathrooms, elevator, artwork and photos, and other fixtures and moveable per</w:t>
      </w:r>
      <w:r>
        <w:rPr>
          <w:szCs w:val="26"/>
        </w:rPr>
        <w:t>sonal property” inside the premises.</w:t>
      </w:r>
    </w:p>
    <w:p w14:paraId="5363E21F" w14:textId="77777777" w:rsidR="00942F2C" w:rsidRDefault="00140D1F" w:rsidP="003225B4">
      <w:pPr>
        <w:pStyle w:val="FootnoteText"/>
        <w:spacing w:after="0" w:line="360" w:lineRule="auto"/>
        <w:rPr>
          <w:rFonts w:eastAsia="Times New Roman" w:cs="Times New Roman"/>
          <w:color w:val="000000"/>
          <w:szCs w:val="26"/>
        </w:rPr>
      </w:pPr>
      <w:r>
        <w:lastRenderedPageBreak/>
        <w:t>It is important to bear in mind the commercial context we are dealing with.  Gathering people in a congregate setting is essential to the operation of John’s Grill’s business.  For an enterprise of that type, the allega</w:t>
      </w:r>
      <w:r>
        <w:t>tions of pervasive virus “presence” on property surfaces can reasonably be read to mean some type of “removal” of COVID</w:t>
      </w:r>
      <w:r>
        <w:noBreakHyphen/>
        <w:t xml:space="preserve">19 contamination by cleaning or </w:t>
      </w:r>
      <w:r w:rsidRPr="00A94D68">
        <w:rPr>
          <w:szCs w:val="26"/>
        </w:rPr>
        <w:t xml:space="preserve">detoxification was required, thus triggering Subparagraph B.1.b. of the Limited Virus Coverage </w:t>
      </w:r>
      <w:r>
        <w:rPr>
          <w:szCs w:val="26"/>
        </w:rPr>
        <w:t>provision</w:t>
      </w:r>
      <w:r>
        <w:rPr>
          <w:szCs w:val="26"/>
        </w:rPr>
        <w:t xml:space="preserve">s </w:t>
      </w:r>
      <w:r w:rsidRPr="00A94D68">
        <w:rPr>
          <w:szCs w:val="26"/>
        </w:rPr>
        <w:t>even if the mitigation step</w:t>
      </w:r>
      <w:r>
        <w:rPr>
          <w:szCs w:val="26"/>
        </w:rPr>
        <w:t>s</w:t>
      </w:r>
      <w:r w:rsidRPr="00A94D68">
        <w:rPr>
          <w:szCs w:val="26"/>
        </w:rPr>
        <w:t xml:space="preserve"> that had to be taken did not involve physical alteration of property. </w:t>
      </w:r>
      <w:r>
        <w:rPr>
          <w:szCs w:val="26"/>
        </w:rPr>
        <w:t xml:space="preserve"> </w:t>
      </w:r>
      <w:r w:rsidRPr="00717009">
        <w:t xml:space="preserve">As one of the leading cases in the </w:t>
      </w:r>
      <w:r w:rsidRPr="00717009">
        <w:rPr>
          <w:i/>
        </w:rPr>
        <w:t>Mudpie</w:t>
      </w:r>
      <w:r w:rsidRPr="00717009">
        <w:t xml:space="preserve"> line puts the issue, “ ‘</w:t>
      </w:r>
      <w:r w:rsidRPr="00717009">
        <w:rPr>
          <w:rFonts w:eastAsia="Times New Roman" w:cs="Times New Roman"/>
          <w:color w:val="000000"/>
        </w:rPr>
        <w:t xml:space="preserve">When the structure of the property itself is unchanged to the naked eye . . . and the insured alleges that its usefulness for its normal purposes has been destroyed or reduced, there are </w:t>
      </w:r>
      <w:r w:rsidRPr="00717009">
        <w:rPr>
          <w:rFonts w:eastAsia="Times New Roman" w:cs="Times New Roman"/>
          <w:color w:val="000000"/>
          <w:bdr w:val="none" w:sz="0" w:space="0" w:color="auto" w:frame="1"/>
        </w:rPr>
        <w:t>serious</w:t>
      </w:r>
      <w:r w:rsidRPr="00717009">
        <w:rPr>
          <w:rFonts w:eastAsia="Times New Roman" w:cs="Times New Roman"/>
          <w:color w:val="000000"/>
        </w:rPr>
        <w:t xml:space="preserve"> questions whether the alleged loss satisfies the policy trigg</w:t>
      </w:r>
      <w:r w:rsidRPr="00717009">
        <w:rPr>
          <w:rFonts w:eastAsia="Times New Roman" w:cs="Times New Roman"/>
          <w:color w:val="000000"/>
        </w:rPr>
        <w:t>er.’ ”  (</w:t>
      </w:r>
      <w:r w:rsidRPr="00717009">
        <w:rPr>
          <w:rFonts w:eastAsia="Times New Roman" w:cs="Times New Roman"/>
          <w:i/>
          <w:color w:val="000000"/>
          <w:bdr w:val="none" w:sz="0" w:space="0" w:color="auto" w:frame="1"/>
        </w:rPr>
        <w:t>Inns-by-the-Sea</w:t>
      </w:r>
      <w:r w:rsidRPr="00717009">
        <w:rPr>
          <w:rFonts w:eastAsia="Times New Roman" w:cs="Times New Roman"/>
          <w:color w:val="000000"/>
        </w:rPr>
        <w:t xml:space="preserve">, </w:t>
      </w:r>
      <w:r w:rsidRPr="00717009">
        <w:rPr>
          <w:rFonts w:eastAsia="Times New Roman" w:cs="Times New Roman"/>
          <w:i/>
          <w:color w:val="000000"/>
        </w:rPr>
        <w:t>supra</w:t>
      </w:r>
      <w:r w:rsidRPr="00717009">
        <w:rPr>
          <w:rFonts w:eastAsia="Times New Roman" w:cs="Times New Roman"/>
          <w:color w:val="000000"/>
        </w:rPr>
        <w:t>, 71 Cal.App.5th at p. 700</w:t>
      </w:r>
      <w:r>
        <w:rPr>
          <w:rFonts w:eastAsia="Times New Roman" w:cs="Times New Roman"/>
          <w:color w:val="000000"/>
        </w:rPr>
        <w:t xml:space="preserve">, </w:t>
      </w:r>
      <w:r w:rsidRPr="00717009">
        <w:rPr>
          <w:rFonts w:eastAsia="Times New Roman" w:cs="Times New Roman"/>
          <w:color w:val="000000"/>
        </w:rPr>
        <w:t>quoting 10A</w:t>
      </w:r>
      <w:r>
        <w:rPr>
          <w:rFonts w:eastAsia="Times New Roman" w:cs="Times New Roman"/>
          <w:color w:val="000000"/>
        </w:rPr>
        <w:t> </w:t>
      </w:r>
      <w:r w:rsidRPr="00717009">
        <w:rPr>
          <w:rFonts w:eastAsia="Times New Roman" w:cs="Times New Roman"/>
          <w:color w:val="000000"/>
        </w:rPr>
        <w:t>Couch</w:t>
      </w:r>
      <w:r>
        <w:rPr>
          <w:rFonts w:eastAsia="Times New Roman" w:cs="Times New Roman"/>
          <w:color w:val="000000"/>
        </w:rPr>
        <w:t xml:space="preserve"> on Insurance, </w:t>
      </w:r>
      <w:r w:rsidRPr="00355B54">
        <w:rPr>
          <w:rFonts w:eastAsia="Times New Roman" w:cs="Times New Roman"/>
          <w:i/>
          <w:iCs/>
          <w:color w:val="000000"/>
        </w:rPr>
        <w:t>supra</w:t>
      </w:r>
      <w:r w:rsidRPr="00717009">
        <w:rPr>
          <w:rFonts w:eastAsia="Times New Roman" w:cs="Times New Roman"/>
          <w:color w:val="000000"/>
        </w:rPr>
        <w:t xml:space="preserve">, </w:t>
      </w:r>
      <w:r w:rsidRPr="00717009">
        <w:rPr>
          <w:rFonts w:cs="TimesNewRomanPSMT"/>
        </w:rPr>
        <w:t>§ 148:46.)  The particular policy language in this case requires us to decide these questions in favor of the insured, just as we did in a case involving diff</w:t>
      </w:r>
      <w:r w:rsidRPr="00717009">
        <w:rPr>
          <w:rFonts w:cs="TimesNewRomanPSMT"/>
        </w:rPr>
        <w:t xml:space="preserve">erent but similarly customized language in </w:t>
      </w:r>
      <w:r w:rsidRPr="00717009">
        <w:rPr>
          <w:rFonts w:eastAsia="Times New Roman" w:cs="Arial"/>
          <w:i/>
          <w:color w:val="000000"/>
          <w:bdr w:val="none" w:sz="0" w:space="0" w:color="auto" w:frame="1"/>
        </w:rPr>
        <w:t>Amy’s Kitchen</w:t>
      </w:r>
      <w:r w:rsidRPr="00717009">
        <w:rPr>
          <w:rFonts w:eastAsia="Times New Roman" w:cs="Arial"/>
          <w:color w:val="000000"/>
        </w:rPr>
        <w:t xml:space="preserve">, </w:t>
      </w:r>
      <w:r w:rsidRPr="00717009">
        <w:rPr>
          <w:rFonts w:eastAsia="Times New Roman" w:cs="Arial"/>
          <w:i/>
          <w:color w:val="000000"/>
        </w:rPr>
        <w:t>supra</w:t>
      </w:r>
      <w:r w:rsidRPr="00717009">
        <w:rPr>
          <w:rFonts w:eastAsia="Times New Roman" w:cs="Arial"/>
          <w:color w:val="000000"/>
        </w:rPr>
        <w:t>, 83 Cal.App.5th at p. 1069</w:t>
      </w:r>
      <w:r w:rsidRPr="00717009">
        <w:rPr>
          <w:rFonts w:cs="TimesNewRomanPSMT"/>
        </w:rPr>
        <w:t>.</w:t>
      </w:r>
      <w:r>
        <w:rPr>
          <w:rStyle w:val="FootnoteReference"/>
          <w:szCs w:val="26"/>
        </w:rPr>
        <w:footnoteReference w:id="16"/>
      </w:r>
    </w:p>
    <w:p w14:paraId="39E6B460" w14:textId="77777777" w:rsidR="00A94D68" w:rsidRPr="00DF04AC" w:rsidRDefault="00140D1F" w:rsidP="003225B4">
      <w:pPr>
        <w:pStyle w:val="FootnoteText"/>
        <w:spacing w:after="0" w:line="360" w:lineRule="auto"/>
        <w:rPr>
          <w:rFonts w:eastAsia="Times New Roman" w:cs="Times New Roman"/>
          <w:color w:val="000000"/>
          <w:szCs w:val="26"/>
        </w:rPr>
      </w:pPr>
      <w:r>
        <w:rPr>
          <w:rFonts w:eastAsia="Times New Roman" w:cs="Times New Roman"/>
          <w:color w:val="000000"/>
          <w:szCs w:val="26"/>
        </w:rPr>
        <w:t xml:space="preserve">Wholly apart from the issue of whether John’s Grill </w:t>
      </w:r>
      <w:r w:rsidRPr="0072686B">
        <w:rPr>
          <w:rFonts w:eastAsia="Times New Roman" w:cs="Times New Roman"/>
          <w:color w:val="000000"/>
          <w:szCs w:val="26"/>
        </w:rPr>
        <w:t xml:space="preserve">alleged “[d]irect physical loss or direct physical damage to” property, Sentinel pointed out at oral argument </w:t>
      </w:r>
      <w:r w:rsidRPr="0072686B">
        <w:rPr>
          <w:rFonts w:eastAsia="Times New Roman" w:cs="Times New Roman"/>
          <w:color w:val="000000"/>
          <w:szCs w:val="26"/>
        </w:rPr>
        <w:t>that John’s Grill does not allege any mitigation</w:t>
      </w:r>
      <w:r>
        <w:rPr>
          <w:rFonts w:eastAsia="Times New Roman" w:cs="Times New Roman"/>
          <w:color w:val="000000"/>
          <w:szCs w:val="26"/>
        </w:rPr>
        <w:t xml:space="preserve"> </w:t>
      </w:r>
      <w:r w:rsidRPr="00E00264">
        <w:rPr>
          <w:rFonts w:eastAsia="Times New Roman" w:cs="Times New Roman"/>
          <w:color w:val="000000"/>
          <w:szCs w:val="26"/>
        </w:rPr>
        <w:t xml:space="preserve">steps were taken to </w:t>
      </w:r>
      <w:r>
        <w:rPr>
          <w:rFonts w:eastAsia="Times New Roman" w:cs="Times New Roman"/>
          <w:color w:val="000000"/>
          <w:szCs w:val="26"/>
        </w:rPr>
        <w:t xml:space="preserve">remove </w:t>
      </w:r>
      <w:r w:rsidRPr="00E00264">
        <w:rPr>
          <w:rFonts w:eastAsia="Times New Roman" w:cs="Times New Roman"/>
          <w:color w:val="000000"/>
          <w:szCs w:val="26"/>
        </w:rPr>
        <w:t>the alleged contamination</w:t>
      </w:r>
      <w:r>
        <w:rPr>
          <w:rFonts w:eastAsia="Times New Roman" w:cs="Times New Roman"/>
          <w:color w:val="000000"/>
          <w:szCs w:val="26"/>
        </w:rPr>
        <w:t xml:space="preserve"> on its premises.  In response, John’s Grill argued that, to the extent more facts are necessary to show “loss </w:t>
      </w:r>
      <w:r>
        <w:rPr>
          <w:rFonts w:eastAsia="Times New Roman" w:cs="Times New Roman"/>
          <w:color w:val="000000"/>
          <w:szCs w:val="26"/>
        </w:rPr>
        <w:lastRenderedPageBreak/>
        <w:t xml:space="preserve">or damage” within the special definition in </w:t>
      </w:r>
      <w:r>
        <w:t xml:space="preserve">Subparagraph B.1.b. of the Limited Fungi or Virus Coverage Endorsement, it </w:t>
      </w:r>
      <w:r>
        <w:rPr>
          <w:rFonts w:eastAsia="Times New Roman" w:cs="Times New Roman"/>
          <w:color w:val="000000"/>
          <w:szCs w:val="26"/>
        </w:rPr>
        <w:t>should have been given lea</w:t>
      </w:r>
      <w:r>
        <w:rPr>
          <w:rFonts w:eastAsia="Times New Roman" w:cs="Times New Roman"/>
          <w:color w:val="000000"/>
          <w:szCs w:val="26"/>
        </w:rPr>
        <w:t xml:space="preserve">ve to amend.  We must agree.  Because there is </w:t>
      </w:r>
      <w:r w:rsidRPr="00E00264">
        <w:rPr>
          <w:rFonts w:eastAsia="Times New Roman" w:cs="Times New Roman"/>
          <w:color w:val="000000"/>
          <w:szCs w:val="26"/>
        </w:rPr>
        <w:t xml:space="preserve">a </w:t>
      </w:r>
      <w:r w:rsidRPr="005E2F0E">
        <w:rPr>
          <w:rFonts w:eastAsia="Times New Roman" w:cs="Times New Roman"/>
          <w:color w:val="000000"/>
          <w:szCs w:val="26"/>
        </w:rPr>
        <w:t>reasonable possibility on this record that John’s Grill can allege that mitigation steps were taken to remove a virus that was present on its property, the trial court abused its discretion in sustaining Sen</w:t>
      </w:r>
      <w:r w:rsidRPr="005E2F0E">
        <w:rPr>
          <w:rFonts w:eastAsia="Times New Roman" w:cs="Times New Roman"/>
          <w:color w:val="000000"/>
          <w:szCs w:val="26"/>
        </w:rPr>
        <w:t>tinel’s demurrer without leave to amend.</w:t>
      </w:r>
    </w:p>
    <w:p w14:paraId="62A29D0A" w14:textId="77777777" w:rsidR="00783FCC" w:rsidRDefault="00140D1F" w:rsidP="00207D55">
      <w:pPr>
        <w:pStyle w:val="Heading4"/>
        <w:numPr>
          <w:ilvl w:val="0"/>
          <w:numId w:val="31"/>
        </w:numPr>
      </w:pPr>
      <w:r>
        <w:t>The “Loss or Damage” Mitigation Provisions (Subparagraph B.1.b.) and the Business Interruption Provisions (Subparagraph B.1.f.) Are Linked Together</w:t>
      </w:r>
    </w:p>
    <w:p w14:paraId="136F847E" w14:textId="77777777" w:rsidR="002B1FED" w:rsidRDefault="00140D1F" w:rsidP="00783FCC">
      <w:pPr>
        <w:rPr>
          <w:rFonts w:eastAsia="Times New Roman" w:cs="Times New Roman"/>
          <w:color w:val="000000"/>
        </w:rPr>
      </w:pPr>
      <w:r>
        <w:t>If the pervasive presence of a virus on the interior surfaces of Jo</w:t>
      </w:r>
      <w:r>
        <w:t>hn’s Grill’s premises led patrons to cease coming to its restaurant for a period of time due to the fear of contracting a potentially fatal illness—which is what is alleged here—</w:t>
      </w:r>
      <w:r w:rsidRPr="004911DC">
        <w:t>we believe a reasonable insured would also have an expectation of coverage und</w:t>
      </w:r>
      <w:r w:rsidRPr="004911DC">
        <w:t>er Subparagraph B.1.f. for the resulting loss of its ability to use the restaurant for its intended purpose</w:t>
      </w:r>
      <w:r w:rsidRPr="006C5AF6">
        <w:t xml:space="preserve">.  Subparagraph B.1.f. </w:t>
      </w:r>
      <w:r w:rsidRPr="004911DC">
        <w:t>covers business interruption losses during a “</w:t>
      </w:r>
      <w:r>
        <w:t> ‘p</w:t>
      </w:r>
      <w:r w:rsidRPr="004911DC">
        <w:t xml:space="preserve">eriod of </w:t>
      </w:r>
      <w:r>
        <w:t>r</w:t>
      </w:r>
      <w:r w:rsidRPr="004911DC">
        <w:t>estoration</w:t>
      </w:r>
      <w:r w:rsidRPr="006C5AF6">
        <w:t>.</w:t>
      </w:r>
      <w:r>
        <w:t>’ </w:t>
      </w:r>
      <w:r w:rsidRPr="004911DC">
        <w:t>”</w:t>
      </w:r>
      <w:r>
        <w:t xml:space="preserve">  A “Period of Restoration” is defined </w:t>
      </w:r>
      <w:r w:rsidRPr="0072686B">
        <w:t xml:space="preserve">in </w:t>
      </w:r>
      <w:r>
        <w:t>Subp</w:t>
      </w:r>
      <w:r w:rsidRPr="0072686B">
        <w:t>aragrap</w:t>
      </w:r>
      <w:r w:rsidRPr="0072686B">
        <w:t>h G.12. of the Special Property Coverage Form to begin on the date of “physical loss or physical damage caused by or resulting from a Covered Cause of Loss” and to end</w:t>
      </w:r>
      <w:r>
        <w:t xml:space="preserve"> when the property “should be repaired, rebuilt or replaced with reasonable speed and sim</w:t>
      </w:r>
      <w:r>
        <w:t>ilar quality” or the business resumes at a new location</w:t>
      </w:r>
      <w:r>
        <w:rPr>
          <w:rFonts w:eastAsia="Times New Roman" w:cs="Times New Roman"/>
          <w:color w:val="000000"/>
        </w:rPr>
        <w:t>.</w:t>
      </w:r>
    </w:p>
    <w:p w14:paraId="383A92EA" w14:textId="77777777" w:rsidR="00783FCC" w:rsidRDefault="00140D1F" w:rsidP="00783FCC">
      <w:pPr>
        <w:rPr>
          <w:rFonts w:eastAsia="Times New Roman" w:cs="Times New Roman"/>
          <w:color w:val="000000"/>
        </w:rPr>
      </w:pPr>
      <w:r>
        <w:t xml:space="preserve">Subparagraphs B.1.b. and B.1.f. are part of the same series of clauses setting forth terms of the Limited Virus Coverage and are therefore </w:t>
      </w:r>
      <w:r>
        <w:rPr>
          <w:rFonts w:eastAsia="Times New Roman" w:cs="Times New Roman"/>
          <w:color w:val="000000"/>
        </w:rPr>
        <w:t>linked.  The specially defined term “loss or damage” appears</w:t>
      </w:r>
      <w:r>
        <w:rPr>
          <w:rFonts w:eastAsia="Times New Roman" w:cs="Times New Roman"/>
          <w:color w:val="000000"/>
        </w:rPr>
        <w:t xml:space="preserve"> in both of them.  S</w:t>
      </w:r>
      <w:r>
        <w:t xml:space="preserve">ubparagraph </w:t>
      </w:r>
      <w:r>
        <w:rPr>
          <w:rFonts w:eastAsia="Times New Roman" w:cs="Times New Roman"/>
          <w:color w:val="000000"/>
        </w:rPr>
        <w:t xml:space="preserve">B.1.f. </w:t>
      </w:r>
      <w:r w:rsidRPr="008C3390">
        <w:t xml:space="preserve">affords coverage “if a Time Element </w:t>
      </w:r>
      <w:r w:rsidRPr="00D140F5">
        <w:t>Coverage</w:t>
      </w:r>
      <w:r w:rsidRPr="008C3390">
        <w:t xml:space="preserve"> applies</w:t>
      </w:r>
      <w:r>
        <w:t xml:space="preserve"> to the ‘scheduled </w:t>
      </w:r>
      <w:r w:rsidRPr="009F68D6">
        <w:t>premises</w:t>
      </w:r>
      <w:r>
        <w:t xml:space="preserve">’ </w:t>
      </w:r>
      <w:r w:rsidRPr="0023793F">
        <w:t>and only if the suspension of ‘operations’ satisfies all the terms and conditions of the applicable Time Element Coverage</w:t>
      </w:r>
      <w:r>
        <w:t xml:space="preserve">.” </w:t>
      </w:r>
      <w:r w:rsidRPr="00BC10B4">
        <w:t xml:space="preserve"> As numerous</w:t>
      </w:r>
      <w:r w:rsidRPr="00BC10B4">
        <w:t xml:space="preserve"> courts that have </w:t>
      </w:r>
      <w:r w:rsidRPr="002F0095">
        <w:t>construed property insurance policies</w:t>
      </w:r>
      <w:r w:rsidRPr="00BC10B4">
        <w:t xml:space="preserve"> in the wake </w:t>
      </w:r>
      <w:r w:rsidRPr="00BC10B4">
        <w:lastRenderedPageBreak/>
        <w:t xml:space="preserve">of the pandemic have observed, Lost Business Income and Extra Expense coverages are forms of Time Element Coverage.  (See </w:t>
      </w:r>
      <w:r w:rsidRPr="00BC10B4">
        <w:rPr>
          <w:i/>
          <w:iCs/>
        </w:rPr>
        <w:t>Cosmetic</w:t>
      </w:r>
      <w:r w:rsidRPr="008927B3">
        <w:rPr>
          <w:i/>
          <w:iCs/>
        </w:rPr>
        <w:t xml:space="preserve"> Laser, Inc. v. Twin City Fire Insurance</w:t>
      </w:r>
      <w:r>
        <w:t xml:space="preserve"> </w:t>
      </w:r>
      <w:r w:rsidRPr="008927B3">
        <w:t xml:space="preserve">(D.Conn. </w:t>
      </w:r>
      <w:r w:rsidRPr="008927B3">
        <w:t>2021) 554</w:t>
      </w:r>
      <w:r>
        <w:t> </w:t>
      </w:r>
      <w:r w:rsidRPr="008927B3">
        <w:t>F.Supp.3d 389, 394</w:t>
      </w:r>
      <w:r>
        <w:t xml:space="preserve"> (</w:t>
      </w:r>
      <w:r w:rsidRPr="00426E13">
        <w:rPr>
          <w:i/>
          <w:iCs/>
        </w:rPr>
        <w:t>Cosmetic Laser</w:t>
      </w:r>
      <w:r>
        <w:t>)</w:t>
      </w:r>
      <w:r w:rsidRPr="001A4517">
        <w:t xml:space="preserve">; </w:t>
      </w:r>
      <w:r w:rsidRPr="00C07401">
        <w:rPr>
          <w:i/>
          <w:iCs/>
        </w:rPr>
        <w:t>Q Clothier New Orleans LLC v. Twin City Fire Ins.</w:t>
      </w:r>
      <w:r w:rsidRPr="00C07401">
        <w:t xml:space="preserve"> (E.D.La. 2021) 535 F.Supp.3d 574, </w:t>
      </w:r>
      <w:r w:rsidRPr="00ED2DDD">
        <w:t>585</w:t>
      </w:r>
      <w:r>
        <w:t>.)</w:t>
      </w:r>
    </w:p>
    <w:p w14:paraId="3A22FD3D" w14:textId="77777777" w:rsidR="00783FCC" w:rsidRDefault="00140D1F" w:rsidP="00783FCC">
      <w:pPr>
        <w:pStyle w:val="FootnoteText"/>
        <w:spacing w:after="0" w:line="360" w:lineRule="auto"/>
      </w:pPr>
      <w:r>
        <w:t>Sentinel acknowledges the more expansive breadth of the trigger-of-coverage language in the specially defined phrase “l</w:t>
      </w:r>
      <w:r>
        <w:t>oss or damage,” but tries to confine it strictly to Subparagraph B.1.b., leaving Subparagraph B.1.f. unaffected by the definition.  We reject that argument.  What Sentinel ignores is that the Limited Fungi or Virus Coverage Endorsement, by its terms—as sta</w:t>
      </w:r>
      <w:r>
        <w:t>ted in the lead</w:t>
      </w:r>
      <w:r>
        <w:noBreakHyphen/>
        <w:t xml:space="preserve">in sentence, following the title of the endorsement—“modifies insurance provided under the following: </w:t>
      </w:r>
      <w:r w:rsidRPr="001D3D84">
        <w:t>[¶]</w:t>
      </w:r>
      <w:r>
        <w:t xml:space="preserve"> Special Property Coverage Form . . . .”  That is what endorsements typically do.  They modify the main body of an otherwise standardiz</w:t>
      </w:r>
      <w:r>
        <w:t>ed form, thereby customizing it for purposes of the endorsement, which is an objective the parties to this insurance contract plainly had, given the tailored nature of several of the endorsements they agreed upon.</w:t>
      </w:r>
    </w:p>
    <w:p w14:paraId="6B59EC04" w14:textId="77777777" w:rsidR="00783FCC" w:rsidRDefault="00140D1F" w:rsidP="00783FCC">
      <w:pPr>
        <w:pStyle w:val="FootnoteText"/>
        <w:spacing w:after="0" w:line="360" w:lineRule="auto"/>
        <w:rPr>
          <w:szCs w:val="26"/>
        </w:rPr>
      </w:pPr>
      <w:r>
        <w:t xml:space="preserve">We decline to read Subparagraph B.1.b. in </w:t>
      </w:r>
      <w:r>
        <w:t xml:space="preserve">isolation, which would effectively give the specially defined phrase “loss or damage” in Subparagraphs B.1.b. and B.1.f. two different meanings.  Instead, we think the special </w:t>
      </w:r>
      <w:r w:rsidRPr="00223ED1">
        <w:t>definition of “loss or damage” has the effect</w:t>
      </w:r>
      <w:r>
        <w:t xml:space="preserve"> of broadening the trigger of cover</w:t>
      </w:r>
      <w:r>
        <w:t>age language in all provisions of the Limited Fungi or Virus Coverage Endorsement, and that the Limited Fungi or Virus Coverage Endorsement in turn modifies the Special Property Coverage Form for purposes of the endorsement—here specifically for risks of l</w:t>
      </w:r>
      <w:r>
        <w:t>oss or damage caused by virus.</w:t>
      </w:r>
    </w:p>
    <w:p w14:paraId="73C05401" w14:textId="77777777" w:rsidR="00E21A24" w:rsidRDefault="00140D1F" w:rsidP="003B6E14">
      <w:pPr>
        <w:pStyle w:val="FootnoteText"/>
        <w:spacing w:after="0" w:line="360" w:lineRule="auto"/>
        <w:rPr>
          <w:rFonts w:eastAsia="Times New Roman" w:cs="Times New Roman"/>
          <w:color w:val="000000"/>
        </w:rPr>
      </w:pPr>
      <w:r>
        <w:rPr>
          <w:szCs w:val="26"/>
        </w:rPr>
        <w:lastRenderedPageBreak/>
        <w:t xml:space="preserve">In another effort to wall </w:t>
      </w:r>
      <w:r w:rsidRPr="00900487">
        <w:rPr>
          <w:szCs w:val="26"/>
        </w:rPr>
        <w:t>off the Lost Business Income and Extra Expense coverage afforded by Subparagraph B.1.f. from being affected by whatever interpretation we place on Subparagraph B.1.b., Sentinel</w:t>
      </w:r>
      <w:r>
        <w:rPr>
          <w:szCs w:val="26"/>
        </w:rPr>
        <w:t xml:space="preserve"> argues that Time Element Coverage is </w:t>
      </w:r>
      <w:r w:rsidRPr="005D0A7C">
        <w:rPr>
          <w:szCs w:val="26"/>
        </w:rPr>
        <w:t>available only if “ ‘all the terms and conditions of the applicable Time Element Coverage’ ” are satisfied</w:t>
      </w:r>
      <w:r>
        <w:rPr>
          <w:szCs w:val="26"/>
        </w:rPr>
        <w:t xml:space="preserve">.  And since </w:t>
      </w:r>
      <w:r>
        <w:rPr>
          <w:rFonts w:eastAsia="Times New Roman" w:cs="Times New Roman"/>
          <w:color w:val="000000"/>
        </w:rPr>
        <w:t xml:space="preserve">John’s Grill has not </w:t>
      </w:r>
      <w:r w:rsidRPr="000C5FA7">
        <w:rPr>
          <w:rFonts w:eastAsia="Times New Roman" w:cs="Times New Roman"/>
          <w:color w:val="000000"/>
        </w:rPr>
        <w:t>alleged “direct physical loss of or physical damage to Covered Property” suffi</w:t>
      </w:r>
      <w:r w:rsidRPr="000C5FA7">
        <w:rPr>
          <w:rFonts w:eastAsia="Times New Roman" w:cs="Times New Roman"/>
          <w:color w:val="000000"/>
        </w:rPr>
        <w:t>cient to trigger</w:t>
      </w:r>
      <w:r>
        <w:rPr>
          <w:rFonts w:eastAsia="Times New Roman" w:cs="Times New Roman"/>
          <w:color w:val="000000"/>
        </w:rPr>
        <w:t xml:space="preserve"> coverage under the Special Property Coverage Form, so the argument goes, there cannot possibly be coverage under Subparagraph B.1.f. of the </w:t>
      </w:r>
      <w:r>
        <w:t>Limited Fungi or Virus Coverage Endorsement</w:t>
      </w:r>
      <w:r>
        <w:rPr>
          <w:rFonts w:eastAsia="Times New Roman" w:cs="Times New Roman"/>
          <w:color w:val="000000"/>
        </w:rPr>
        <w:t>.</w:t>
      </w:r>
    </w:p>
    <w:p w14:paraId="3463A2A0" w14:textId="77777777" w:rsidR="00892123" w:rsidRDefault="00140D1F" w:rsidP="00CC71CB">
      <w:pPr>
        <w:pStyle w:val="FootnoteText"/>
        <w:spacing w:after="0" w:line="360" w:lineRule="auto"/>
      </w:pPr>
      <w:r>
        <w:rPr>
          <w:rFonts w:eastAsia="Times New Roman" w:cs="Times New Roman"/>
          <w:color w:val="000000"/>
        </w:rPr>
        <w:t>This position—which is where Sentinel’s argument circl</w:t>
      </w:r>
      <w:r>
        <w:rPr>
          <w:rFonts w:eastAsia="Times New Roman" w:cs="Times New Roman"/>
          <w:color w:val="000000"/>
        </w:rPr>
        <w:t xml:space="preserve">es back to the </w:t>
      </w:r>
      <w:r w:rsidRPr="00B36DD4">
        <w:rPr>
          <w:rFonts w:eastAsia="Times New Roman" w:cs="Times New Roman"/>
          <w:i/>
          <w:iCs/>
          <w:color w:val="000000"/>
        </w:rPr>
        <w:t>Mudpie</w:t>
      </w:r>
      <w:r>
        <w:rPr>
          <w:rFonts w:eastAsia="Times New Roman" w:cs="Times New Roman"/>
          <w:color w:val="000000"/>
        </w:rPr>
        <w:t xml:space="preserve"> line of cases—runs as follows.  According to Sentinel, when, and only when, an event </w:t>
      </w:r>
      <w:r w:rsidRPr="00734A95">
        <w:rPr>
          <w:rFonts w:eastAsia="Times New Roman" w:cs="Times New Roman"/>
          <w:color w:val="000000"/>
        </w:rPr>
        <w:t>of “[d]irect physical loss of or physical damage to Covered Property” occurs,</w:t>
      </w:r>
      <w:r>
        <w:rPr>
          <w:rFonts w:eastAsia="Times New Roman" w:cs="Times New Roman"/>
          <w:color w:val="000000"/>
        </w:rPr>
        <w:t xml:space="preserve"> there may be coverage for the costs of tearing out or replacing propert</w:t>
      </w:r>
      <w:r>
        <w:rPr>
          <w:rFonts w:eastAsia="Times New Roman" w:cs="Times New Roman"/>
          <w:color w:val="000000"/>
        </w:rPr>
        <w:t xml:space="preserve">y to gain access to a virus or to test for a virus.  Similarly, when, and only when, an </w:t>
      </w:r>
      <w:r w:rsidRPr="00734A95">
        <w:rPr>
          <w:rFonts w:eastAsia="Times New Roman" w:cs="Times New Roman"/>
          <w:color w:val="000000"/>
        </w:rPr>
        <w:t>event of “[d]irect physical loss of or physical damage to Covered Property”</w:t>
      </w:r>
      <w:r>
        <w:rPr>
          <w:rFonts w:eastAsia="Times New Roman" w:cs="Times New Roman"/>
          <w:color w:val="000000"/>
        </w:rPr>
        <w:t xml:space="preserve"> occurs which does not itself cause a suspension of business operations, but a virus does cau</w:t>
      </w:r>
      <w:r>
        <w:rPr>
          <w:rFonts w:eastAsia="Times New Roman" w:cs="Times New Roman"/>
          <w:color w:val="000000"/>
        </w:rPr>
        <w:t xml:space="preserve">se such a suspension, then </w:t>
      </w:r>
      <w:r w:rsidRPr="006724D9">
        <w:rPr>
          <w:rFonts w:eastAsia="Times New Roman" w:cs="Times New Roman"/>
          <w:color w:val="000000"/>
          <w:szCs w:val="26"/>
        </w:rPr>
        <w:t xml:space="preserve">there </w:t>
      </w:r>
      <w:r>
        <w:rPr>
          <w:rFonts w:eastAsia="Times New Roman" w:cs="Times New Roman"/>
          <w:color w:val="000000"/>
          <w:szCs w:val="26"/>
        </w:rPr>
        <w:t xml:space="preserve">may be </w:t>
      </w:r>
      <w:r w:rsidRPr="006724D9">
        <w:rPr>
          <w:rFonts w:eastAsia="Times New Roman" w:cs="Times New Roman"/>
          <w:color w:val="000000"/>
          <w:szCs w:val="26"/>
        </w:rPr>
        <w:t xml:space="preserve">coverage under the </w:t>
      </w:r>
      <w:r>
        <w:rPr>
          <w:rFonts w:eastAsia="Times New Roman" w:cs="Times New Roman"/>
          <w:color w:val="000000"/>
          <w:szCs w:val="26"/>
        </w:rPr>
        <w:t>Lost Business Income</w:t>
      </w:r>
      <w:r w:rsidRPr="006724D9">
        <w:rPr>
          <w:szCs w:val="26"/>
        </w:rPr>
        <w:t xml:space="preserve"> and Extra Expense Endorsement</w:t>
      </w:r>
      <w:r w:rsidRPr="006724D9">
        <w:rPr>
          <w:rFonts w:eastAsia="Times New Roman" w:cs="Times New Roman"/>
          <w:color w:val="000000"/>
          <w:szCs w:val="26"/>
        </w:rPr>
        <w:t xml:space="preserve"> (</w:t>
      </w:r>
      <w:r>
        <w:rPr>
          <w:rFonts w:eastAsia="Times New Roman" w:cs="Times New Roman"/>
          <w:color w:val="000000"/>
          <w:szCs w:val="26"/>
        </w:rPr>
        <w:t xml:space="preserve">a form of </w:t>
      </w:r>
      <w:r w:rsidRPr="006724D9">
        <w:rPr>
          <w:rFonts w:eastAsia="Times New Roman" w:cs="Times New Roman"/>
          <w:color w:val="000000"/>
          <w:szCs w:val="26"/>
        </w:rPr>
        <w:t>Time Element Coverage), subject to the specified limit</w:t>
      </w:r>
      <w:r>
        <w:rPr>
          <w:rFonts w:eastAsia="Times New Roman" w:cs="Times New Roman"/>
          <w:color w:val="000000"/>
          <w:szCs w:val="26"/>
        </w:rPr>
        <w:t>s</w:t>
      </w:r>
      <w:r w:rsidRPr="006724D9">
        <w:rPr>
          <w:rFonts w:eastAsia="Times New Roman" w:cs="Times New Roman"/>
          <w:color w:val="000000"/>
          <w:szCs w:val="26"/>
        </w:rPr>
        <w:t>.</w:t>
      </w:r>
    </w:p>
    <w:p w14:paraId="6D629C21" w14:textId="77777777" w:rsidR="009479C2" w:rsidRDefault="00140D1F" w:rsidP="00E625FA">
      <w:pPr>
        <w:pStyle w:val="FootnoteText"/>
        <w:spacing w:after="0" w:line="360" w:lineRule="auto"/>
      </w:pPr>
      <w:r>
        <w:t>We are prepared to accept, and we assume arguendo, that t</w:t>
      </w:r>
      <w:r>
        <w:rPr>
          <w:rFonts w:eastAsia="Times New Roman" w:cs="Times New Roman"/>
          <w:color w:val="000000"/>
        </w:rPr>
        <w:t xml:space="preserve">he insuring </w:t>
      </w:r>
      <w:r>
        <w:rPr>
          <w:rFonts w:eastAsia="Times New Roman" w:cs="Times New Roman"/>
          <w:color w:val="000000"/>
        </w:rPr>
        <w:t>agreement in the Special Property Coverage Form</w:t>
      </w:r>
      <w:r>
        <w:t>, read on its own, without change,</w:t>
      </w:r>
      <w:r>
        <w:rPr>
          <w:rFonts w:eastAsia="Times New Roman" w:cs="Times New Roman"/>
          <w:color w:val="000000"/>
        </w:rPr>
        <w:t xml:space="preserve"> would have established a baseline of coverage in accordance with the </w:t>
      </w:r>
      <w:r w:rsidRPr="0049519F">
        <w:rPr>
          <w:rFonts w:eastAsia="Times New Roman" w:cs="Times New Roman"/>
          <w:i/>
          <w:iCs/>
          <w:color w:val="000000"/>
        </w:rPr>
        <w:t>Mudpie</w:t>
      </w:r>
      <w:r>
        <w:rPr>
          <w:rFonts w:eastAsia="Times New Roman" w:cs="Times New Roman"/>
          <w:color w:val="000000"/>
        </w:rPr>
        <w:t xml:space="preserve"> rule limited to loss or damage of “a </w:t>
      </w:r>
      <w:r>
        <w:rPr>
          <w:i/>
          <w:iCs/>
        </w:rPr>
        <w:t>physical</w:t>
      </w:r>
      <w:r>
        <w:t xml:space="preserve"> nature that can be </w:t>
      </w:r>
      <w:r>
        <w:rPr>
          <w:i/>
          <w:iCs/>
        </w:rPr>
        <w:t>physically</w:t>
      </w:r>
      <w:r>
        <w:t xml:space="preserve"> fixed, or if incapable</w:t>
      </w:r>
      <w:r>
        <w:t xml:space="preserve"> of being </w:t>
      </w:r>
      <w:r>
        <w:rPr>
          <w:i/>
          <w:iCs/>
        </w:rPr>
        <w:t>physically</w:t>
      </w:r>
      <w:r>
        <w:t xml:space="preserve"> fixed because it is so heavily destroyed, requires a complete move to a new location.”  (</w:t>
      </w:r>
      <w:r>
        <w:rPr>
          <w:i/>
          <w:iCs/>
        </w:rPr>
        <w:t>Inns-by-the-</w:t>
      </w:r>
      <w:r>
        <w:rPr>
          <w:i/>
          <w:iCs/>
        </w:rPr>
        <w:lastRenderedPageBreak/>
        <w:t>Sea</w:t>
      </w:r>
      <w:r w:rsidRPr="00F310D6">
        <w:t>,</w:t>
      </w:r>
      <w:r>
        <w:rPr>
          <w:i/>
          <w:iCs/>
        </w:rPr>
        <w:t xml:space="preserve"> supra</w:t>
      </w:r>
      <w:r>
        <w:t>, 71 Cal.App.5th at p. 707.)  But at best for Sentinel, the Policy is ambiguous when read in light of the modifications made</w:t>
      </w:r>
      <w:r>
        <w:t xml:space="preserve"> by the Limited Fungi or Virus Coverage Endorsement.  Because the Limited Fungi or Virus Coverage Endorsement</w:t>
      </w:r>
      <w:r w:rsidRPr="00422CC1">
        <w:t xml:space="preserve"> </w:t>
      </w:r>
      <w:r>
        <w:t xml:space="preserve">contains an </w:t>
      </w:r>
      <w:r w:rsidRPr="00CC1CA6">
        <w:rPr>
          <w:i/>
          <w:iCs/>
        </w:rPr>
        <w:t>additional</w:t>
      </w:r>
      <w:r>
        <w:t xml:space="preserve"> affirmative grant of coverage, and because </w:t>
      </w:r>
      <w:r w:rsidRPr="00422CC1">
        <w:t>there is a special</w:t>
      </w:r>
      <w:r>
        <w:t xml:space="preserve"> definition of “loss or damage” in the triggering clause for t</w:t>
      </w:r>
      <w:r>
        <w:t xml:space="preserve">hat additional coverage, we cannot simply import the reasoning of the </w:t>
      </w:r>
      <w:r w:rsidRPr="005C7F8A">
        <w:rPr>
          <w:i/>
          <w:iCs/>
        </w:rPr>
        <w:t>Mudpie</w:t>
      </w:r>
      <w:r>
        <w:t xml:space="preserve"> line of cases.  What appears to have happened here is that the parties customized the first party insurance John’s Grill bought to </w:t>
      </w:r>
      <w:r w:rsidRPr="00017A11">
        <w:t xml:space="preserve">accommodate </w:t>
      </w:r>
      <w:r w:rsidRPr="006856F6">
        <w:t>additional</w:t>
      </w:r>
      <w:r w:rsidRPr="00540EE9">
        <w:t xml:space="preserve"> </w:t>
      </w:r>
      <w:r w:rsidRPr="00017A11">
        <w:t xml:space="preserve">coverage for </w:t>
      </w:r>
      <w:r>
        <w:t>losses cause</w:t>
      </w:r>
      <w:r>
        <w:t xml:space="preserve">d by </w:t>
      </w:r>
      <w:r w:rsidRPr="00017A11">
        <w:t xml:space="preserve">insidious, difficult to access and detect forms of property damage </w:t>
      </w:r>
      <w:r>
        <w:t xml:space="preserve">from </w:t>
      </w:r>
      <w:r w:rsidRPr="00017A11">
        <w:t>fungi, wet rot, dry rot, bacteria or virus</w:t>
      </w:r>
      <w:r>
        <w:t xml:space="preserve"> that may occur in a restaurant environment.  And under the endorsement language the parties agreed upon to accomplish this objective, th</w:t>
      </w:r>
      <w:r>
        <w:t>e wording is broad enough to bring within the scope of coverage loss of use of property.</w:t>
      </w:r>
    </w:p>
    <w:p w14:paraId="7B0C8D2E" w14:textId="77777777" w:rsidR="00783FCC" w:rsidRPr="00366D8E" w:rsidRDefault="00140D1F" w:rsidP="00783FCC">
      <w:r w:rsidRPr="00EC4535">
        <w:t xml:space="preserve">Sentinel is adamant that a ruling for John’s Grill would run contrary to the avalanche of precedent nationwide agreeing with </w:t>
      </w:r>
      <w:r w:rsidRPr="00EC4535">
        <w:rPr>
          <w:i/>
        </w:rPr>
        <w:t>Mudpie</w:t>
      </w:r>
      <w:r w:rsidRPr="00EC4535">
        <w:t xml:space="preserve">, but we think not.  What we decide </w:t>
      </w:r>
      <w:r w:rsidRPr="00EC4535">
        <w:t>today does no more than follow the established principle that we must interpret the provisions of a contract to avoid rendering the instrument “illusory.”  (</w:t>
      </w:r>
      <w:r w:rsidRPr="00EC4535">
        <w:rPr>
          <w:i/>
        </w:rPr>
        <w:t>Scottsdale Ins. Co. v. Essex Ins</w:t>
      </w:r>
      <w:r>
        <w:rPr>
          <w:i/>
        </w:rPr>
        <w:t>.</w:t>
      </w:r>
      <w:r w:rsidRPr="00EC4535">
        <w:rPr>
          <w:i/>
        </w:rPr>
        <w:t xml:space="preserve"> Co. </w:t>
      </w:r>
      <w:r w:rsidRPr="00EC4535">
        <w:t xml:space="preserve">(2002) 98 Cal.App.4th 86, 94–95.)  Contracts of insurance do </w:t>
      </w:r>
      <w:r w:rsidRPr="00EC4535">
        <w:t xml:space="preserve">not enjoy any special exemption from that basic principle.  </w:t>
      </w:r>
      <w:r>
        <w:t xml:space="preserve">By insisting that </w:t>
      </w:r>
      <w:r w:rsidRPr="00BD7E3A">
        <w:rPr>
          <w:i/>
        </w:rPr>
        <w:t>Mudpie</w:t>
      </w:r>
      <w:r>
        <w:t xml:space="preserve"> always supplies the bedrock rule despite the breadth of the particular insuring agreement we are dealing with, Sentinel’s interpretation violates </w:t>
      </w:r>
      <w:r w:rsidRPr="00282FCA">
        <w:t>“</w:t>
      </w:r>
      <w:r w:rsidRPr="00EC4535">
        <w:t xml:space="preserve">two related </w:t>
      </w:r>
      <w:r w:rsidRPr="00EC4535">
        <w:t>principles applicable to all insurance contracts:  first, that ‘the policy or its endorsements cannot be so interpreted as to become meaningless, or to withhold coverage which the [layperson] would normally expect from it . . . ,’ and second, that ‘ “. . .</w:t>
      </w:r>
      <w:r w:rsidRPr="00EC4535">
        <w:t xml:space="preserve"> [t]he courts will not sanction a construction of the </w:t>
      </w:r>
      <w:r w:rsidRPr="00EC4535">
        <w:lastRenderedPageBreak/>
        <w:t>insurer’s language that will defeat the very purpose or object of the insurance.” ’ ”  (</w:t>
      </w:r>
      <w:r w:rsidRPr="00EC4535">
        <w:rPr>
          <w:i/>
        </w:rPr>
        <w:t xml:space="preserve">Howell v. State Farm Fire &amp; Casualty Co. </w:t>
      </w:r>
      <w:r w:rsidRPr="00EC4535">
        <w:t>(1990) 218 Cal.App.3d 1446, 1468 (conc. opn. of Barry-Deal, J.), disappro</w:t>
      </w:r>
      <w:r w:rsidRPr="00EC4535">
        <w:t xml:space="preserve">ved on another issue, </w:t>
      </w:r>
      <w:r w:rsidRPr="00EC4535">
        <w:rPr>
          <w:i/>
        </w:rPr>
        <w:t>Reid v. Google</w:t>
      </w:r>
      <w:r>
        <w:rPr>
          <w:i/>
        </w:rPr>
        <w:t>, Inc.</w:t>
      </w:r>
      <w:r w:rsidRPr="00EC4535">
        <w:t xml:space="preserve"> (2010) 50 Cal.4th</w:t>
      </w:r>
      <w:r w:rsidRPr="00EC4535">
        <w:rPr>
          <w:vertAlign w:val="superscript"/>
        </w:rPr>
        <w:t xml:space="preserve"> </w:t>
      </w:r>
      <w:r w:rsidRPr="00EC4535">
        <w:t>512, 532, fn</w:t>
      </w:r>
      <w:r w:rsidRPr="00366D8E">
        <w:t>. 7.)</w:t>
      </w:r>
    </w:p>
    <w:p w14:paraId="2B910CD5" w14:textId="77777777" w:rsidR="00646BE3" w:rsidRDefault="00140D1F" w:rsidP="00783FCC">
      <w:r w:rsidRPr="00366D8E">
        <w:t>Accordingly, we hold as follows:  Reading Subparagraphs B.1.b. and B.1.f. of the Limited Virus Coverage in harmony with each other, and consistently with the rest of the Policy,</w:t>
      </w:r>
      <w:r w:rsidRPr="00366D8E">
        <w:t xml:space="preserve"> the specially defined triggering</w:t>
      </w:r>
      <w:r w:rsidRPr="00017A11">
        <w:t xml:space="preserve"> phrase “loss or damage” in each provision encompasses virus contamination so pervasive within a covered building that the virus </w:t>
      </w:r>
      <w:r>
        <w:t xml:space="preserve">is present </w:t>
      </w:r>
      <w:r w:rsidRPr="00017A11">
        <w:t>on surfaces throughout</w:t>
      </w:r>
      <w:r>
        <w:t xml:space="preserve"> the premises</w:t>
      </w:r>
      <w:r w:rsidRPr="00017A11">
        <w:t xml:space="preserve">, thereby </w:t>
      </w:r>
      <w:r>
        <w:t>requiring cleaning of the contaminated</w:t>
      </w:r>
      <w:r>
        <w:t xml:space="preserve"> surfaces and </w:t>
      </w:r>
      <w:r w:rsidRPr="00017A11">
        <w:t xml:space="preserve">rendering </w:t>
      </w:r>
      <w:r>
        <w:t xml:space="preserve">the building </w:t>
      </w:r>
      <w:r w:rsidRPr="00017A11">
        <w:t>unfit for its intended purpose</w:t>
      </w:r>
      <w:r>
        <w:t>.  Under this reading of the Policy, when Subparagraph B.1.b. is triggered, so is Subparagraph B.1.f., since the special definition of “loss or damage” in the Limited Fungi or Virus Coverag</w:t>
      </w:r>
      <w:r>
        <w:t>e Endorsement broadened the scope of the Special Property Coverage Form trigger language for purposes of virus risk.  Physical alteration of property is not required.</w:t>
      </w:r>
      <w:r>
        <w:rPr>
          <w:rStyle w:val="FootnoteReference"/>
        </w:rPr>
        <w:footnoteReference w:id="17"/>
      </w:r>
    </w:p>
    <w:p w14:paraId="76A6093D" w14:textId="77777777" w:rsidR="00427306" w:rsidRDefault="00140D1F" w:rsidP="00326971">
      <w:r>
        <w:t>To the extent the allegations of the operative complaint are inadequate to show other r</w:t>
      </w:r>
      <w:r>
        <w:t xml:space="preserve">equisite elements of Time Element Coverage under </w:t>
      </w:r>
      <w:r w:rsidRPr="008F40B5">
        <w:t>Subparagraph B.1.f.—</w:t>
      </w:r>
      <w:r>
        <w:t xml:space="preserve">such as whether there was </w:t>
      </w:r>
      <w:r w:rsidRPr="00900487">
        <w:t>a “period of restoration”</w:t>
      </w:r>
      <w:r>
        <w:t xml:space="preserve"> during which business operations were suspended—here again leave to amend should have been granted.  The operative complaint does alleg</w:t>
      </w:r>
      <w:r>
        <w:t xml:space="preserve">e generally that “some or all of the period of John’s Grill’s </w:t>
      </w:r>
      <w:r w:rsidRPr="000B15CE">
        <w:t xml:space="preserve">closure [was] within </w:t>
      </w:r>
      <w:r w:rsidRPr="00900487">
        <w:t>the period of restoration under the Policy</w:t>
      </w:r>
      <w:r>
        <w:t xml:space="preserve">.”  It is reasonable to expect John’s Grill could have alleged further particulars showing that, after coverage was </w:t>
      </w:r>
      <w:r>
        <w:lastRenderedPageBreak/>
        <w:t>triggered under</w:t>
      </w:r>
      <w:r>
        <w:t xml:space="preserve"> </w:t>
      </w:r>
      <w:r w:rsidRPr="008F40B5">
        <w:t>Subparagraph B.1.b</w:t>
      </w:r>
      <w:r>
        <w:t xml:space="preserve">., the alleged period of closure lasted until it could complete </w:t>
      </w:r>
      <w:r w:rsidRPr="000B15CE">
        <w:t xml:space="preserve">whatever </w:t>
      </w:r>
      <w:r w:rsidRPr="00D32658">
        <w:t>“repair</w:t>
      </w:r>
      <w:r w:rsidRPr="00D32658">
        <w:rPr>
          <w:spacing w:val="20"/>
        </w:rPr>
        <w:t>[</w:t>
      </w:r>
      <w:r w:rsidRPr="00D32658">
        <w:t>],” “rebuil[ding],” or “replace[ment]”</w:t>
      </w:r>
      <w:r w:rsidRPr="000B15CE">
        <w:t xml:space="preserve"> was necessary to permit a resu</w:t>
      </w:r>
      <w:r>
        <w:t>mption of operations under safe conditions (such as the construction of a parklet or th</w:t>
      </w:r>
      <w:r>
        <w:t xml:space="preserve">e reconfiguration of its space to permit socially distanced dining).  Whether John’s Grill can add specific facts in support of its allegation that there </w:t>
      </w:r>
      <w:r w:rsidRPr="00900487">
        <w:t>was a “period of restoration,” we are unable</w:t>
      </w:r>
      <w:r>
        <w:t xml:space="preserve"> to say because the issue was not a focus of attention in </w:t>
      </w:r>
      <w:r>
        <w:t>the trial court.  We simply hold it was entitled to try.</w:t>
      </w:r>
    </w:p>
    <w:p w14:paraId="5ABD5C66" w14:textId="77777777" w:rsidR="00C06DBC" w:rsidRPr="003E58A9" w:rsidRDefault="00140D1F" w:rsidP="00F074BD">
      <w:pPr>
        <w:pStyle w:val="Heading4"/>
      </w:pPr>
      <w:r w:rsidRPr="003E58A9">
        <w:t>The Specified Causes Clause, as Sentinel Seeks To Apply It on This Record, Renders the Limited Virus Coverage “Virtually Illusory”</w:t>
      </w:r>
    </w:p>
    <w:p w14:paraId="2D8E9CFB" w14:textId="77777777" w:rsidR="002F6A63" w:rsidRDefault="00140D1F" w:rsidP="00F1600E">
      <w:pPr>
        <w:rPr>
          <w:rFonts w:eastAsia="Times New Roman" w:cs="Times New Roman"/>
          <w:color w:val="000000"/>
        </w:rPr>
      </w:pPr>
      <w:r>
        <w:t xml:space="preserve">To plead there is coverage under a first party insurance policy, it </w:t>
      </w:r>
      <w:r>
        <w:t xml:space="preserve">is not enough for an insured merely to allege a triggering event.  All the “trigger of coverage” does, as we noted above in our summary of California insurance coverage principles, is show a potential for coverage.  If there are conditions attached to the </w:t>
      </w:r>
      <w:r>
        <w:t>grant of coverage, the insured must also plead that those conditions have been met.  For Sentinel, that is the crux of the matter regardless of how we interpret and apply the specially defined phrase “loss or damage” in the Limited Virus Coverage provision</w:t>
      </w:r>
      <w:r>
        <w:t xml:space="preserve">s.  Because the operative complaint fails to allege any of the listed causes of virus in the Specified Causes Clause, we are told, John’s Grill is ineligible for coverage under the Limited Virus Coverage as a matter of law.  John’s Grill responds that the </w:t>
      </w:r>
      <w:r>
        <w:t xml:space="preserve">Specified Causes Clause is written so broadly that it is effectively impossible to meet.  As a result, John’s Grill argues, the Specified Causes Clause renders the Limited Virus </w:t>
      </w:r>
      <w:r w:rsidRPr="00042AC1">
        <w:t>Coverage virtually “illusory” (</w:t>
      </w:r>
      <w:r w:rsidRPr="00042AC1">
        <w:rPr>
          <w:rFonts w:eastAsia="Times New Roman" w:cs="Times New Roman"/>
          <w:i/>
          <w:iCs/>
          <w:color w:val="000000"/>
          <w:bdr w:val="none" w:sz="0" w:space="0" w:color="auto" w:frame="1"/>
        </w:rPr>
        <w:t>Julian v. Hartford Underwriters Ins. Co</w:t>
      </w:r>
      <w:r w:rsidRPr="00042AC1">
        <w:rPr>
          <w:rFonts w:eastAsia="Times New Roman" w:cs="Times New Roman"/>
          <w:color w:val="000000"/>
        </w:rPr>
        <w:t>. (2005)</w:t>
      </w:r>
      <w:r w:rsidRPr="00042AC1">
        <w:rPr>
          <w:rFonts w:eastAsia="Times New Roman" w:cs="Times New Roman"/>
          <w:color w:val="000000"/>
        </w:rPr>
        <w:t xml:space="preserve"> 35 Cal.4th 747, 760) and</w:t>
      </w:r>
      <w:r>
        <w:rPr>
          <w:rFonts w:eastAsia="Times New Roman" w:cs="Times New Roman"/>
          <w:color w:val="000000"/>
        </w:rPr>
        <w:t xml:space="preserve"> is therefore unenforceable.</w:t>
      </w:r>
    </w:p>
    <w:p w14:paraId="5329208D" w14:textId="77777777" w:rsidR="00BF3AD1" w:rsidRDefault="00140D1F" w:rsidP="00AF31C8">
      <w:pPr>
        <w:rPr>
          <w:rFonts w:eastAsia="Times New Roman" w:cs="Times New Roman"/>
          <w:color w:val="000000"/>
        </w:rPr>
      </w:pPr>
      <w:r>
        <w:rPr>
          <w:rFonts w:eastAsia="Times New Roman" w:cs="Times New Roman"/>
          <w:color w:val="000000"/>
        </w:rPr>
        <w:lastRenderedPageBreak/>
        <w:t xml:space="preserve">We agree with John’s Grill.  Under well-established principles of contract law, </w:t>
      </w:r>
      <w:r w:rsidRPr="0051737D">
        <w:rPr>
          <w:rFonts w:eastAsia="Times New Roman" w:cs="Times New Roman"/>
          <w:color w:val="000000"/>
        </w:rPr>
        <w:t>“</w:t>
      </w:r>
      <w:r>
        <w:rPr>
          <w:rFonts w:eastAsia="Times New Roman" w:cs="Times New Roman"/>
          <w:color w:val="000000"/>
        </w:rPr>
        <w:t> ‘</w:t>
      </w:r>
      <w:r w:rsidRPr="0051737D">
        <w:rPr>
          <w:rFonts w:eastAsia="Times New Roman" w:cs="Times New Roman"/>
          <w:color w:val="000000"/>
        </w:rPr>
        <w:t xml:space="preserve">Words of promise which by their terms make performance entirely optional </w:t>
      </w:r>
      <w:r w:rsidRPr="00C03933">
        <w:rPr>
          <w:rFonts w:eastAsia="Times New Roman" w:cs="Times New Roman"/>
          <w:color w:val="000000"/>
        </w:rPr>
        <w:t xml:space="preserve">with the </w:t>
      </w:r>
      <w:r w:rsidRPr="00993D51">
        <w:rPr>
          <w:rFonts w:eastAsia="Times New Roman" w:cs="Times New Roman"/>
          <w:color w:val="000000"/>
        </w:rPr>
        <w:t>“</w:t>
      </w:r>
      <w:r w:rsidRPr="00C03933">
        <w:rPr>
          <w:rFonts w:eastAsia="Times New Roman" w:cs="Times New Roman"/>
          <w:color w:val="000000"/>
        </w:rPr>
        <w:t>promisor” . . . do not</w:t>
      </w:r>
      <w:r w:rsidRPr="0051737D">
        <w:rPr>
          <w:rFonts w:eastAsia="Times New Roman" w:cs="Times New Roman"/>
          <w:color w:val="000000"/>
        </w:rPr>
        <w:t xml:space="preserve"> constitute a promise.</w:t>
      </w:r>
      <w:r>
        <w:rPr>
          <w:rFonts w:eastAsia="Times New Roman" w:cs="Times New Roman"/>
          <w:color w:val="000000"/>
        </w:rPr>
        <w:t>’ </w:t>
      </w:r>
      <w:r w:rsidRPr="0051737D">
        <w:rPr>
          <w:rFonts w:eastAsia="Times New Roman" w:cs="Times New Roman"/>
          <w:color w:val="000000"/>
        </w:rPr>
        <w:t>”  (</w:t>
      </w:r>
      <w:r w:rsidRPr="001D3624">
        <w:rPr>
          <w:rFonts w:eastAsia="Times New Roman" w:cs="Times New Roman"/>
          <w:i/>
          <w:iCs/>
          <w:color w:val="000000"/>
          <w:bdr w:val="none" w:sz="0" w:space="0" w:color="auto" w:frame="1"/>
        </w:rPr>
        <w:t>Peleg v. Neiman Marcus Group, Inc.</w:t>
      </w:r>
      <w:r>
        <w:rPr>
          <w:rFonts w:eastAsia="Times New Roman" w:cs="Times New Roman"/>
          <w:color w:val="000000"/>
        </w:rPr>
        <w:t xml:space="preserve"> </w:t>
      </w:r>
      <w:r w:rsidRPr="001D3624">
        <w:rPr>
          <w:rFonts w:eastAsia="Times New Roman" w:cs="Times New Roman"/>
          <w:color w:val="000000"/>
        </w:rPr>
        <w:t>(2012) 204</w:t>
      </w:r>
      <w:r>
        <w:rPr>
          <w:rFonts w:eastAsia="Times New Roman" w:cs="Times New Roman"/>
          <w:color w:val="000000"/>
        </w:rPr>
        <w:t> </w:t>
      </w:r>
      <w:r w:rsidRPr="001D3624">
        <w:rPr>
          <w:rFonts w:eastAsia="Times New Roman" w:cs="Times New Roman"/>
          <w:color w:val="000000"/>
        </w:rPr>
        <w:t>Cal.App.4th 1425, 143</w:t>
      </w:r>
      <w:r>
        <w:rPr>
          <w:rFonts w:eastAsia="Times New Roman" w:cs="Times New Roman"/>
          <w:color w:val="000000"/>
        </w:rPr>
        <w:t>8.</w:t>
      </w:r>
      <w:r w:rsidRPr="001C28BC">
        <w:rPr>
          <w:rFonts w:eastAsia="Times New Roman" w:cs="Times New Roman"/>
          <w:color w:val="000000"/>
        </w:rPr>
        <w:t>)</w:t>
      </w:r>
      <w:r>
        <w:rPr>
          <w:rStyle w:val="FootnoteReference"/>
          <w:rFonts w:eastAsia="Times New Roman" w:cs="Times New Roman"/>
          <w:color w:val="000000"/>
        </w:rPr>
        <w:footnoteReference w:id="18"/>
      </w:r>
      <w:r w:rsidRPr="006E30A0">
        <w:rPr>
          <w:rFonts w:eastAsia="Times New Roman" w:cs="Times New Roman"/>
          <w:color w:val="000000"/>
        </w:rPr>
        <w:t xml:space="preserve">  </w:t>
      </w:r>
      <w:r>
        <w:rPr>
          <w:rFonts w:eastAsia="Times New Roman" w:cs="Times New Roman"/>
          <w:color w:val="000000"/>
        </w:rPr>
        <w:t xml:space="preserve">Plain and clear coverage conditions or </w:t>
      </w:r>
      <w:r w:rsidRPr="001B163D">
        <w:rPr>
          <w:rFonts w:eastAsia="Times New Roman" w:cs="Times New Roman"/>
          <w:color w:val="000000"/>
        </w:rPr>
        <w:t>limitation</w:t>
      </w:r>
      <w:r w:rsidRPr="001B163D">
        <w:rPr>
          <w:rFonts w:eastAsia="Times New Roman" w:cs="Times New Roman"/>
          <w:color w:val="000000"/>
        </w:rPr>
        <w:t xml:space="preserve">s will always be enforced. </w:t>
      </w:r>
      <w:r>
        <w:rPr>
          <w:rFonts w:eastAsia="Times New Roman" w:cs="Times New Roman"/>
          <w:color w:val="000000"/>
        </w:rPr>
        <w:t xml:space="preserve"> (</w:t>
      </w:r>
      <w:r w:rsidRPr="00AE0C03">
        <w:rPr>
          <w:rFonts w:eastAsia="Times New Roman" w:cs="Times New Roman"/>
          <w:i/>
          <w:iCs/>
          <w:color w:val="000000"/>
          <w:bdr w:val="none" w:sz="0" w:space="0" w:color="auto" w:frame="1"/>
        </w:rPr>
        <w:t xml:space="preserve">Scottsdale </w:t>
      </w:r>
      <w:r>
        <w:rPr>
          <w:rFonts w:eastAsia="Times New Roman" w:cs="Times New Roman"/>
          <w:i/>
          <w:iCs/>
          <w:color w:val="000000"/>
          <w:bdr w:val="none" w:sz="0" w:space="0" w:color="auto" w:frame="1"/>
        </w:rPr>
        <w:t xml:space="preserve">Ins. </w:t>
      </w:r>
      <w:r w:rsidRPr="00AE0C03">
        <w:rPr>
          <w:rFonts w:eastAsia="Times New Roman" w:cs="Times New Roman"/>
          <w:i/>
          <w:iCs/>
          <w:color w:val="000000"/>
          <w:bdr w:val="none" w:sz="0" w:space="0" w:color="auto" w:frame="1"/>
        </w:rPr>
        <w:t xml:space="preserve">Co. v. Essex </w:t>
      </w:r>
      <w:r>
        <w:rPr>
          <w:rFonts w:eastAsia="Times New Roman" w:cs="Times New Roman"/>
          <w:i/>
          <w:iCs/>
          <w:color w:val="000000"/>
          <w:bdr w:val="none" w:sz="0" w:space="0" w:color="auto" w:frame="1"/>
        </w:rPr>
        <w:t xml:space="preserve">Ins. </w:t>
      </w:r>
      <w:r w:rsidRPr="00AE0C03">
        <w:rPr>
          <w:rFonts w:eastAsia="Times New Roman" w:cs="Times New Roman"/>
          <w:i/>
          <w:iCs/>
          <w:color w:val="000000"/>
          <w:bdr w:val="none" w:sz="0" w:space="0" w:color="auto" w:frame="1"/>
        </w:rPr>
        <w:t>Co.</w:t>
      </w:r>
      <w:r>
        <w:rPr>
          <w:rFonts w:eastAsia="Times New Roman" w:cs="Times New Roman"/>
          <w:color w:val="000000"/>
        </w:rPr>
        <w:t xml:space="preserve">, </w:t>
      </w:r>
      <w:r w:rsidRPr="00CC3389">
        <w:rPr>
          <w:rFonts w:eastAsia="Times New Roman" w:cs="Times New Roman"/>
          <w:i/>
          <w:iCs/>
          <w:color w:val="000000"/>
        </w:rPr>
        <w:t>supra</w:t>
      </w:r>
      <w:r>
        <w:rPr>
          <w:rFonts w:eastAsia="Times New Roman" w:cs="Times New Roman"/>
          <w:color w:val="000000"/>
        </w:rPr>
        <w:t>,</w:t>
      </w:r>
      <w:r w:rsidRPr="00AE0C03">
        <w:rPr>
          <w:rFonts w:eastAsia="Times New Roman" w:cs="Times New Roman"/>
          <w:color w:val="000000"/>
        </w:rPr>
        <w:t xml:space="preserve"> 98</w:t>
      </w:r>
      <w:r>
        <w:rPr>
          <w:rFonts w:eastAsia="Times New Roman" w:cs="Times New Roman"/>
          <w:color w:val="000000"/>
        </w:rPr>
        <w:t> </w:t>
      </w:r>
      <w:r w:rsidRPr="00AE0C03">
        <w:rPr>
          <w:rFonts w:eastAsia="Times New Roman" w:cs="Times New Roman"/>
          <w:color w:val="000000"/>
        </w:rPr>
        <w:t xml:space="preserve">Cal.App.4th </w:t>
      </w:r>
      <w:r>
        <w:rPr>
          <w:rFonts w:eastAsia="Times New Roman" w:cs="Times New Roman"/>
          <w:color w:val="000000"/>
        </w:rPr>
        <w:t>at p. </w:t>
      </w:r>
      <w:r w:rsidRPr="00AE0C03">
        <w:rPr>
          <w:rFonts w:eastAsia="Times New Roman" w:cs="Times New Roman"/>
          <w:color w:val="000000"/>
        </w:rPr>
        <w:t>94</w:t>
      </w:r>
      <w:r>
        <w:rPr>
          <w:rFonts w:eastAsia="Times New Roman" w:cs="Times New Roman"/>
          <w:color w:val="000000"/>
        </w:rPr>
        <w:t xml:space="preserve"> [“nonstandard but not unusual” clause obligating builder to obtain certificates of insurance from all subcontractors made coverage “conditional but not illusory”].)  But in construing ambiguous policy language, California courts eschew interpretations of </w:t>
      </w:r>
      <w:r>
        <w:rPr>
          <w:rFonts w:eastAsia="Times New Roman" w:cs="Times New Roman"/>
          <w:color w:val="000000"/>
        </w:rPr>
        <w:t>exclusionary or limiting language written so broadly as to make it optional for the insurer to recognize the existence of coverage.  That, in our view, is just what Sentinel’s proposed application of the Specified Causes Clause would do.</w:t>
      </w:r>
    </w:p>
    <w:p w14:paraId="6BD2931E" w14:textId="77777777" w:rsidR="00B1427D" w:rsidRDefault="00140D1F" w:rsidP="00AF31C8">
      <w:pPr>
        <w:rPr>
          <w:rFonts w:eastAsia="Times New Roman" w:cs="Times New Roman"/>
          <w:color w:val="000000"/>
        </w:rPr>
      </w:pPr>
      <w:r>
        <w:rPr>
          <w:rFonts w:eastAsia="Times New Roman" w:cs="Times New Roman"/>
          <w:color w:val="000000"/>
        </w:rPr>
        <w:t>Literally read, Su</w:t>
      </w:r>
      <w:r>
        <w:rPr>
          <w:rFonts w:eastAsia="Times New Roman" w:cs="Times New Roman"/>
          <w:color w:val="000000"/>
        </w:rPr>
        <w:t>bparagraph B.1.a. of the Limited Fungi or Virus Coverage Endorsement is indecipherable when applied to viruses.  The critical limiting phrase is that, for the Limited Virus Coverage to apply, the virus must be the “result o</w:t>
      </w:r>
      <w:r w:rsidRPr="003B48B3">
        <w:rPr>
          <w:rFonts w:eastAsia="Times New Roman" w:cs="Times New Roman"/>
          <w:color w:val="000000"/>
          <w:spacing w:val="40"/>
        </w:rPr>
        <w:t>f</w:t>
      </w:r>
      <w:r>
        <w:rPr>
          <w:rFonts w:eastAsia="Times New Roman" w:cs="Times New Roman"/>
          <w:color w:val="000000"/>
        </w:rPr>
        <w:t xml:space="preserve">” one of a number of enumerated </w:t>
      </w:r>
      <w:r>
        <w:rPr>
          <w:rFonts w:eastAsia="Times New Roman" w:cs="Times New Roman"/>
          <w:color w:val="000000"/>
        </w:rPr>
        <w:t xml:space="preserve">causes.  But </w:t>
      </w:r>
      <w:r>
        <w:rPr>
          <w:rFonts w:eastAsia="Times New Roman" w:cs="Times New Roman"/>
          <w:color w:val="000000"/>
        </w:rPr>
        <w:lastRenderedPageBreak/>
        <w:t>none of the listed causes has anything to do with the biological processes that actually cause a virus.  For some of the other listed perils in Subparagraph B.1.a., it is readily apparent how they might be the “result o</w:t>
      </w:r>
      <w:r w:rsidRPr="007D1B34">
        <w:rPr>
          <w:rFonts w:eastAsia="Times New Roman" w:cs="Times New Roman"/>
          <w:color w:val="000000"/>
          <w:spacing w:val="40"/>
        </w:rPr>
        <w:t>f</w:t>
      </w:r>
      <w:r>
        <w:rPr>
          <w:rFonts w:eastAsia="Times New Roman" w:cs="Times New Roman"/>
          <w:color w:val="000000"/>
        </w:rPr>
        <w:t>” an enumerated cause (</w:t>
      </w:r>
      <w:r>
        <w:rPr>
          <w:rFonts w:eastAsia="Times New Roman" w:cs="Times New Roman"/>
          <w:color w:val="000000"/>
        </w:rPr>
        <w:t xml:space="preserve">e.g., wet rot resulting from water damage).  Not so for viruses.  Only if the words are taken to refer to circumstances in which a specified cause is a </w:t>
      </w:r>
      <w:r w:rsidRPr="0099713C">
        <w:rPr>
          <w:rFonts w:eastAsia="Times New Roman" w:cs="Times New Roman"/>
          <w:i/>
          <w:iCs/>
          <w:color w:val="000000"/>
        </w:rPr>
        <w:t>vector for transmission of a virus</w:t>
      </w:r>
      <w:r>
        <w:rPr>
          <w:rFonts w:eastAsia="Times New Roman" w:cs="Times New Roman"/>
          <w:color w:val="000000"/>
        </w:rPr>
        <w:t xml:space="preserve"> does the language begin to make any sense in the context of this part</w:t>
      </w:r>
      <w:r>
        <w:rPr>
          <w:rFonts w:eastAsia="Times New Roman" w:cs="Times New Roman"/>
          <w:color w:val="000000"/>
        </w:rPr>
        <w:t>icular peril.  But that is not what the words say, and more importantly, it is not the only interpretation to which the phrase “result o</w:t>
      </w:r>
      <w:r w:rsidRPr="009A3654">
        <w:rPr>
          <w:rFonts w:eastAsia="Times New Roman" w:cs="Times New Roman"/>
          <w:color w:val="000000"/>
          <w:spacing w:val="40"/>
        </w:rPr>
        <w:t>f</w:t>
      </w:r>
      <w:r>
        <w:rPr>
          <w:rFonts w:eastAsia="Times New Roman" w:cs="Times New Roman"/>
          <w:color w:val="000000"/>
        </w:rPr>
        <w:t xml:space="preserve">” is reasonably </w:t>
      </w:r>
      <w:r w:rsidRPr="005712ED">
        <w:rPr>
          <w:rFonts w:eastAsia="Times New Roman" w:cs="Times New Roman"/>
          <w:color w:val="000000"/>
        </w:rPr>
        <w:t>susceptible.  Pathogenic causation</w:t>
      </w:r>
      <w:r w:rsidRPr="005712ED">
        <w:t>—</w:t>
      </w:r>
      <w:r w:rsidRPr="005712ED">
        <w:rPr>
          <w:rFonts w:eastAsia="Times New Roman" w:cs="Times New Roman"/>
          <w:color w:val="000000"/>
        </w:rPr>
        <w:t>in the sense that, say, cancer may be said to be the “result o</w:t>
      </w:r>
      <w:r w:rsidRPr="005712ED">
        <w:rPr>
          <w:rFonts w:eastAsia="Times New Roman" w:cs="Times New Roman"/>
          <w:color w:val="000000"/>
          <w:spacing w:val="40"/>
        </w:rPr>
        <w:t>f</w:t>
      </w:r>
      <w:r w:rsidRPr="005712ED">
        <w:rPr>
          <w:rFonts w:eastAsia="Times New Roman" w:cs="Times New Roman"/>
          <w:color w:val="000000"/>
        </w:rPr>
        <w:t>” a t</w:t>
      </w:r>
      <w:r w:rsidRPr="005712ED">
        <w:rPr>
          <w:rFonts w:eastAsia="Times New Roman" w:cs="Times New Roman"/>
          <w:color w:val="000000"/>
        </w:rPr>
        <w:t>oxic carcinogen</w:t>
      </w:r>
      <w:r w:rsidRPr="005712ED">
        <w:t>—</w:t>
      </w:r>
      <w:r w:rsidRPr="005712ED">
        <w:rPr>
          <w:rFonts w:eastAsia="Times New Roman" w:cs="Times New Roman"/>
          <w:color w:val="000000"/>
        </w:rPr>
        <w:t>is another perfectly reasonable interpretation that</w:t>
      </w:r>
      <w:r>
        <w:rPr>
          <w:rFonts w:eastAsia="Times New Roman" w:cs="Times New Roman"/>
          <w:color w:val="000000"/>
        </w:rPr>
        <w:t xml:space="preserve"> could be adopted,</w:t>
      </w:r>
      <w:r>
        <w:rPr>
          <w:rStyle w:val="FootnoteReference"/>
          <w:rFonts w:eastAsia="Times New Roman" w:cs="Times New Roman"/>
          <w:color w:val="000000"/>
        </w:rPr>
        <w:footnoteReference w:id="19"/>
      </w:r>
      <w:r>
        <w:rPr>
          <w:rFonts w:eastAsia="Times New Roman" w:cs="Times New Roman"/>
          <w:color w:val="000000"/>
        </w:rPr>
        <w:t xml:space="preserve"> and it tends to favor John’s Grill’s contention that the Specified Causes Clause is impossible to meet.  The applicable principles for interpreting insurance contracts </w:t>
      </w:r>
      <w:r>
        <w:rPr>
          <w:rFonts w:eastAsia="Times New Roman" w:cs="Times New Roman"/>
          <w:color w:val="000000"/>
        </w:rPr>
        <w:t>do not compel us to resolve the ambiguity by placing a gloss on the text of the Policy, friendly to Sentinel, so that Subparagraph B.1.a. makes sense as applied.</w:t>
      </w:r>
    </w:p>
    <w:p w14:paraId="0862D432" w14:textId="77777777" w:rsidR="00510444" w:rsidRDefault="00140D1F" w:rsidP="00AF31C8">
      <w:r>
        <w:rPr>
          <w:rFonts w:eastAsia="Times New Roman" w:cs="Times New Roman"/>
          <w:color w:val="000000"/>
        </w:rPr>
        <w:t xml:space="preserve">Sentinel’s first pass at this issue is to wave it off by pointing out that </w:t>
      </w:r>
      <w:r>
        <w:t xml:space="preserve">we are dealing not </w:t>
      </w:r>
      <w:r>
        <w:t xml:space="preserve">just with virus coverage, but as more fully stated in the title of the endorsement, with “Limited Fungi, Bacteria </w:t>
      </w:r>
      <w:r>
        <w:rPr>
          <w:i/>
          <w:iCs/>
        </w:rPr>
        <w:t>o</w:t>
      </w:r>
      <w:r w:rsidRPr="00FC576E">
        <w:rPr>
          <w:i/>
          <w:iCs/>
        </w:rPr>
        <w:t>r</w:t>
      </w:r>
      <w:r>
        <w:t xml:space="preserve"> Virus Coverage” </w:t>
      </w:r>
      <w:r>
        <w:lastRenderedPageBreak/>
        <w:t>(italics added).  Given the disjunctive phrasing in the covered risks, Sentinel argues, so long as there is a possibility o</w:t>
      </w:r>
      <w:r>
        <w:t>f coverage under some combination of covered risks and specified causes (e.g., wet rot caused by water damage), the illusory coverage doctrine does not apply.  We reject that argument.  It not only flies in the face of the principle that we must give effec</w:t>
      </w:r>
      <w:r>
        <w:t xml:space="preserve">t to all the words of the </w:t>
      </w:r>
      <w:r w:rsidRPr="00F74599">
        <w:t xml:space="preserve">Policy, but is precisely the kind of “heads I win, tails you lose” position the illusory coverage doctrine forbids.  (Cf. </w:t>
      </w:r>
      <w:r w:rsidRPr="001B16B1">
        <w:rPr>
          <w:rFonts w:eastAsia="Times New Roman" w:cs="Times New Roman"/>
          <w:i/>
          <w:iCs/>
          <w:color w:val="000000"/>
          <w:bdr w:val="none" w:sz="0" w:space="0" w:color="auto" w:frame="1"/>
        </w:rPr>
        <w:t xml:space="preserve">Energy </w:t>
      </w:r>
      <w:r>
        <w:rPr>
          <w:rFonts w:eastAsia="Times New Roman" w:cs="Times New Roman"/>
          <w:i/>
          <w:iCs/>
          <w:color w:val="000000"/>
          <w:bdr w:val="none" w:sz="0" w:space="0" w:color="auto" w:frame="1"/>
        </w:rPr>
        <w:t>Ins.</w:t>
      </w:r>
      <w:r w:rsidRPr="001B16B1">
        <w:rPr>
          <w:rFonts w:eastAsia="Times New Roman" w:cs="Times New Roman"/>
          <w:i/>
          <w:iCs/>
          <w:color w:val="000000"/>
          <w:bdr w:val="none" w:sz="0" w:space="0" w:color="auto" w:frame="1"/>
        </w:rPr>
        <w:t xml:space="preserve"> Mutual Limited v. Ace American </w:t>
      </w:r>
      <w:r>
        <w:rPr>
          <w:rFonts w:eastAsia="Times New Roman" w:cs="Times New Roman"/>
          <w:i/>
          <w:iCs/>
          <w:color w:val="000000"/>
          <w:bdr w:val="none" w:sz="0" w:space="0" w:color="auto" w:frame="1"/>
        </w:rPr>
        <w:t>Ins.</w:t>
      </w:r>
      <w:r w:rsidRPr="001B16B1">
        <w:rPr>
          <w:rFonts w:eastAsia="Times New Roman" w:cs="Times New Roman"/>
          <w:i/>
          <w:iCs/>
          <w:color w:val="000000"/>
          <w:bdr w:val="none" w:sz="0" w:space="0" w:color="auto" w:frame="1"/>
        </w:rPr>
        <w:t xml:space="preserve"> Co.</w:t>
      </w:r>
      <w:r>
        <w:rPr>
          <w:rFonts w:eastAsia="Times New Roman" w:cs="Times New Roman"/>
          <w:color w:val="000000"/>
        </w:rPr>
        <w:t xml:space="preserve"> </w:t>
      </w:r>
      <w:r w:rsidRPr="001B16B1">
        <w:rPr>
          <w:rFonts w:eastAsia="Times New Roman" w:cs="Times New Roman"/>
          <w:color w:val="000000"/>
        </w:rPr>
        <w:t>(2017) 14</w:t>
      </w:r>
      <w:r>
        <w:rPr>
          <w:rFonts w:eastAsia="Times New Roman" w:cs="Times New Roman"/>
          <w:color w:val="000000"/>
        </w:rPr>
        <w:t> </w:t>
      </w:r>
      <w:r w:rsidRPr="001B16B1">
        <w:rPr>
          <w:rFonts w:eastAsia="Times New Roman" w:cs="Times New Roman"/>
          <w:color w:val="000000"/>
        </w:rPr>
        <w:t>Cal.App.5th 281, 306</w:t>
      </w:r>
      <w:r w:rsidRPr="00F74599">
        <w:rPr>
          <w:rFonts w:eastAsia="Times New Roman" w:cs="Times New Roman"/>
          <w:color w:val="000000"/>
        </w:rPr>
        <w:t xml:space="preserve"> [</w:t>
      </w:r>
      <w:r>
        <w:rPr>
          <w:rFonts w:eastAsia="Times New Roman" w:cs="Times New Roman"/>
          <w:color w:val="000000"/>
        </w:rPr>
        <w:t xml:space="preserve">comprehensive general liability </w:t>
      </w:r>
      <w:r w:rsidRPr="00F74599">
        <w:rPr>
          <w:rFonts w:eastAsia="Times New Roman" w:cs="Times New Roman"/>
          <w:color w:val="000000"/>
        </w:rPr>
        <w:t xml:space="preserve">coverage afforded </w:t>
      </w:r>
      <w:r>
        <w:rPr>
          <w:rFonts w:eastAsia="Times New Roman" w:cs="Times New Roman"/>
          <w:color w:val="000000"/>
        </w:rPr>
        <w:t xml:space="preserve">under umbrella liability </w:t>
      </w:r>
      <w:r w:rsidRPr="008454BD">
        <w:rPr>
          <w:rFonts w:eastAsia="Times New Roman" w:cs="Times New Roman"/>
          <w:color w:val="000000"/>
        </w:rPr>
        <w:t>policy not “completely withdraw[n]” for claims arising from failure to provide pr</w:t>
      </w:r>
      <w:r>
        <w:rPr>
          <w:rFonts w:eastAsia="Times New Roman" w:cs="Times New Roman"/>
          <w:color w:val="000000"/>
        </w:rPr>
        <w:t xml:space="preserve">ofessional services, </w:t>
      </w:r>
      <w:r w:rsidRPr="00F74599">
        <w:rPr>
          <w:rFonts w:eastAsia="Times New Roman" w:cs="Times New Roman"/>
          <w:color w:val="000000"/>
        </w:rPr>
        <w:t xml:space="preserve">since </w:t>
      </w:r>
      <w:r>
        <w:rPr>
          <w:rFonts w:eastAsia="Times New Roman" w:cs="Times New Roman"/>
          <w:color w:val="000000"/>
        </w:rPr>
        <w:t xml:space="preserve">grant of coverage was not for </w:t>
      </w:r>
      <w:r w:rsidRPr="00F74599">
        <w:rPr>
          <w:rFonts w:eastAsia="Times New Roman" w:cs="Times New Roman"/>
          <w:color w:val="000000"/>
        </w:rPr>
        <w:t>errors and omissions</w:t>
      </w:r>
      <w:r>
        <w:rPr>
          <w:rFonts w:eastAsia="Times New Roman" w:cs="Times New Roman"/>
          <w:color w:val="000000"/>
        </w:rPr>
        <w:t xml:space="preserve"> liability</w:t>
      </w:r>
      <w:r w:rsidRPr="00F74599">
        <w:rPr>
          <w:rFonts w:eastAsia="Times New Roman" w:cs="Times New Roman"/>
          <w:color w:val="000000"/>
        </w:rPr>
        <w:t>].)</w:t>
      </w:r>
      <w:r w:rsidRPr="00F74599">
        <w:rPr>
          <w:rFonts w:eastAsia="Times New Roman" w:cs="Times New Roman"/>
          <w:color w:val="000000"/>
          <w:sz w:val="24"/>
          <w:szCs w:val="24"/>
        </w:rPr>
        <w:t xml:space="preserve"> </w:t>
      </w:r>
      <w:r>
        <w:rPr>
          <w:rFonts w:eastAsia="Times New Roman" w:cs="Times New Roman"/>
          <w:color w:val="000000"/>
          <w:sz w:val="24"/>
          <w:szCs w:val="24"/>
        </w:rPr>
        <w:t xml:space="preserve"> </w:t>
      </w:r>
      <w:r>
        <w:t>Insurers</w:t>
      </w:r>
      <w:r>
        <w:t xml:space="preserve"> cannot take in premium for a coverage grant that names a specifically covered risk—here virus contamination—and then justify denying coverage for it under all circumstances because some other risk may be covered under the same coverage grant.</w:t>
      </w:r>
    </w:p>
    <w:p w14:paraId="52734406" w14:textId="77777777" w:rsidR="00337A2F" w:rsidRDefault="00140D1F" w:rsidP="00AF31C8">
      <w:r>
        <w:t>Sentinel’s f</w:t>
      </w:r>
      <w:r>
        <w:t xml:space="preserve">allback argument is that, if we squint hard enough, the Limited Virus Coverage grant, as narrowed by the Specified Causes Clause, does indeed provide for a sliver of coverage, which is why the coverage is described as “Limited.”  According to Sentinel, it </w:t>
      </w:r>
      <w:r>
        <w:t xml:space="preserve">is conceivable </w:t>
      </w:r>
      <w:r>
        <w:rPr>
          <w:rFonts w:eastAsia="Times New Roman" w:cs="Times New Roman"/>
          <w:color w:val="000000"/>
        </w:rPr>
        <w:t>a virus can be the “result o</w:t>
      </w:r>
      <w:r w:rsidRPr="005079FD">
        <w:rPr>
          <w:rFonts w:eastAsia="Times New Roman" w:cs="Times New Roman"/>
          <w:color w:val="000000"/>
          <w:spacing w:val="40"/>
        </w:rPr>
        <w:t>f</w:t>
      </w:r>
      <w:r>
        <w:rPr>
          <w:rFonts w:eastAsia="Times New Roman" w:cs="Times New Roman"/>
          <w:color w:val="000000"/>
        </w:rPr>
        <w:t xml:space="preserve">” one of the enumerated perils and then cause property loss or damage, though those circumstances may be exceedingly </w:t>
      </w:r>
      <w:r>
        <w:t>rare, even freakish.  We are then asked to imagine how.  “It is</w:t>
      </w:r>
      <w:r w:rsidRPr="005079FD">
        <w:t xml:space="preserve"> . . . </w:t>
      </w:r>
      <w:r>
        <w:t>easy to imagine a virus r</w:t>
      </w:r>
      <w:r>
        <w:t>esulting from other specified causes of loss,” Sentinel tells us.  “For example, ‘water damage’ could result in waterborne viruses infecting property, including plant[s] or animals.  ‘Vandalism’ might also cause a virus to spread on property, causing physi</w:t>
      </w:r>
      <w:r>
        <w:t xml:space="preserve">cal loss or damage to living property.  And even if it were impossible for a virus to result from a specified cause of loss, the </w:t>
      </w:r>
      <w:r>
        <w:lastRenderedPageBreak/>
        <w:t>Limited Coverage would still not be illusory if an equipment breakdown could cause a virus to spread on property.”</w:t>
      </w:r>
    </w:p>
    <w:p w14:paraId="2B058D6C" w14:textId="77777777" w:rsidR="003C6640" w:rsidRDefault="00140D1F" w:rsidP="00AF31C8">
      <w:r>
        <w:t>We do not th</w:t>
      </w:r>
      <w:r>
        <w:t xml:space="preserve">ink these possibilities are so easy to see.  Focusing on the precise text of the Specified Causes Clause, we explored some of them with counsel at oral argument.  The scenario of an equipment breakdown led nowhere, as it quickly became apparent during our </w:t>
      </w:r>
      <w:r>
        <w:t>colloquy with counsel that while, for example, a malfunctioning air conditioning system might in theory create a heightened risk of airborne disease transmission within a building (as with, say, Legionnaires’ disease), that scenario would involve risk to p</w:t>
      </w:r>
      <w:r>
        <w:t>eople—and hence implicate liability coverage, not property coverage—so it led back to the essential problem of whether a virus can ever cause the alteration of, and thus damage to, property.  Other than problems with an air conditioning system, Sentinel ha</w:t>
      </w:r>
      <w:r>
        <w:t>s suggested no other scenario in which “Equipment Breakdown Accident” might lead to virus-caused loss or damage, presumably because the definition of “Equipment Breakdown Accident” speaks of explosions, electrical arcing, rupture, or bursting of various ma</w:t>
      </w:r>
      <w:r>
        <w:t>chinery, events which have no demonstrable connection to the spread of a virus or any other microbial phenomena, even if we were to interpret the phrase “result o</w:t>
      </w:r>
      <w:r w:rsidRPr="00EA378A">
        <w:rPr>
          <w:spacing w:val="40"/>
        </w:rPr>
        <w:t>f</w:t>
      </w:r>
      <w:r>
        <w:t>” generously to refer to vectors of virus transmission.</w:t>
      </w:r>
    </w:p>
    <w:p w14:paraId="0F0F29A6" w14:textId="77777777" w:rsidR="00CD4294" w:rsidRPr="00BE0FD1" w:rsidRDefault="00140D1F" w:rsidP="00CD4294">
      <w:pPr>
        <w:rPr>
          <w:rFonts w:eastAsia="Times New Roman" w:cs="Times New Roman"/>
          <w:color w:val="000000"/>
          <w:shd w:val="clear" w:color="auto" w:fill="FFFFFF"/>
        </w:rPr>
      </w:pPr>
      <w:r>
        <w:t xml:space="preserve">When pressed for more and better examples at oral argument, Sentinel’s counsel retreated to the theme that there might be any number of scenarios in which a virus could </w:t>
      </w:r>
      <w:r w:rsidRPr="003A230C">
        <w:t>damage “living property.”  To illustrate</w:t>
      </w:r>
      <w:r>
        <w:t xml:space="preserve"> how this could occur, Sentinel’s counsel cited</w:t>
      </w:r>
      <w:r>
        <w:t xml:space="preserve"> </w:t>
      </w:r>
      <w:r w:rsidRPr="0095114D">
        <w:rPr>
          <w:rFonts w:eastAsia="Times New Roman" w:cs="Times New Roman"/>
          <w:i/>
          <w:iCs/>
          <w:color w:val="000000"/>
        </w:rPr>
        <w:t>Curtis</w:t>
      </w:r>
      <w:r>
        <w:rPr>
          <w:rFonts w:eastAsia="Times New Roman" w:cs="Times New Roman"/>
          <w:i/>
          <w:iCs/>
          <w:color w:val="000000"/>
        </w:rPr>
        <w:t> </w:t>
      </w:r>
      <w:r w:rsidRPr="0095114D">
        <w:rPr>
          <w:rFonts w:eastAsia="Times New Roman" w:cs="Times New Roman"/>
          <w:i/>
          <w:iCs/>
          <w:color w:val="000000"/>
        </w:rPr>
        <w:t>O. Griess &amp; Sons v. Farm Bur</w:t>
      </w:r>
      <w:r>
        <w:rPr>
          <w:rFonts w:eastAsia="Times New Roman" w:cs="Times New Roman"/>
          <w:i/>
          <w:iCs/>
          <w:color w:val="000000"/>
        </w:rPr>
        <w:t>.</w:t>
      </w:r>
      <w:r w:rsidRPr="0095114D">
        <w:rPr>
          <w:rFonts w:eastAsia="Times New Roman" w:cs="Times New Roman"/>
          <w:i/>
          <w:iCs/>
          <w:color w:val="000000"/>
        </w:rPr>
        <w:t xml:space="preserve"> Ins</w:t>
      </w:r>
      <w:r>
        <w:rPr>
          <w:rFonts w:eastAsia="Times New Roman" w:cs="Times New Roman"/>
          <w:i/>
          <w:iCs/>
          <w:color w:val="000000"/>
        </w:rPr>
        <w:t>.</w:t>
      </w:r>
      <w:r w:rsidRPr="0095114D">
        <w:rPr>
          <w:rFonts w:eastAsia="Times New Roman" w:cs="Times New Roman"/>
          <w:color w:val="000000"/>
        </w:rPr>
        <w:t xml:space="preserve"> (Neb. </w:t>
      </w:r>
      <w:r w:rsidRPr="00CD4294">
        <w:rPr>
          <w:rFonts w:eastAsia="Times New Roman" w:cs="Times New Roman"/>
          <w:color w:val="000000"/>
        </w:rPr>
        <w:t>1995) 528</w:t>
      </w:r>
      <w:r>
        <w:rPr>
          <w:rFonts w:eastAsia="Times New Roman" w:cs="Times New Roman"/>
          <w:color w:val="000000"/>
        </w:rPr>
        <w:t> </w:t>
      </w:r>
      <w:r w:rsidRPr="00CD4294">
        <w:rPr>
          <w:rFonts w:eastAsia="Times New Roman" w:cs="Times New Roman"/>
          <w:color w:val="000000"/>
        </w:rPr>
        <w:t>N.W.2d 329, a first</w:t>
      </w:r>
      <w:r>
        <w:rPr>
          <w:rFonts w:eastAsia="Times New Roman" w:cs="Times New Roman"/>
          <w:color w:val="000000"/>
        </w:rPr>
        <w:t xml:space="preserve"> </w:t>
      </w:r>
      <w:r w:rsidRPr="00CD4294">
        <w:rPr>
          <w:rFonts w:eastAsia="Times New Roman" w:cs="Times New Roman"/>
          <w:color w:val="000000"/>
        </w:rPr>
        <w:t xml:space="preserve">party insurance version of </w:t>
      </w:r>
      <w:r w:rsidRPr="00583EDE">
        <w:rPr>
          <w:rFonts w:eastAsia="Times New Roman" w:cs="Times New Roman"/>
          <w:i/>
          <w:iCs/>
          <w:color w:val="000000"/>
          <w:bdr w:val="none" w:sz="0" w:space="0" w:color="auto" w:frame="1"/>
        </w:rPr>
        <w:t>Palsgraf v. Long Isl</w:t>
      </w:r>
      <w:r>
        <w:rPr>
          <w:rFonts w:eastAsia="Times New Roman" w:cs="Times New Roman"/>
          <w:i/>
          <w:iCs/>
          <w:color w:val="000000"/>
          <w:bdr w:val="none" w:sz="0" w:space="0" w:color="auto" w:frame="1"/>
        </w:rPr>
        <w:t>a</w:t>
      </w:r>
      <w:r w:rsidRPr="00583EDE">
        <w:rPr>
          <w:rFonts w:eastAsia="Times New Roman" w:cs="Times New Roman"/>
          <w:i/>
          <w:iCs/>
          <w:color w:val="000000"/>
          <w:bdr w:val="none" w:sz="0" w:space="0" w:color="auto" w:frame="1"/>
        </w:rPr>
        <w:t>nd R</w:t>
      </w:r>
      <w:r>
        <w:rPr>
          <w:rFonts w:eastAsia="Times New Roman" w:cs="Times New Roman"/>
          <w:i/>
          <w:iCs/>
          <w:color w:val="000000"/>
          <w:bdr w:val="none" w:sz="0" w:space="0" w:color="auto" w:frame="1"/>
        </w:rPr>
        <w:t>.</w:t>
      </w:r>
      <w:r w:rsidRPr="00583EDE">
        <w:rPr>
          <w:rFonts w:eastAsia="Times New Roman" w:cs="Times New Roman"/>
          <w:i/>
          <w:iCs/>
          <w:color w:val="000000"/>
          <w:bdr w:val="none" w:sz="0" w:space="0" w:color="auto" w:frame="1"/>
        </w:rPr>
        <w:t xml:space="preserve"> Co.</w:t>
      </w:r>
      <w:r>
        <w:rPr>
          <w:rFonts w:eastAsia="Times New Roman" w:cs="Times New Roman"/>
          <w:color w:val="000000"/>
        </w:rPr>
        <w:t xml:space="preserve"> </w:t>
      </w:r>
      <w:r w:rsidRPr="00583EDE">
        <w:rPr>
          <w:rFonts w:eastAsia="Times New Roman" w:cs="Times New Roman"/>
          <w:color w:val="000000"/>
        </w:rPr>
        <w:t xml:space="preserve">(1928) </w:t>
      </w:r>
      <w:r>
        <w:rPr>
          <w:rFonts w:eastAsia="Times New Roman" w:cs="Times New Roman"/>
          <w:color w:val="000000"/>
        </w:rPr>
        <w:t xml:space="preserve">162 N.E. 99, but without the universally recognized legal significance that a weird causation scenario provided </w:t>
      </w:r>
      <w:r>
        <w:rPr>
          <w:rFonts w:eastAsia="Times New Roman" w:cs="Times New Roman"/>
          <w:color w:val="000000"/>
        </w:rPr>
        <w:t xml:space="preserve">there.  </w:t>
      </w:r>
      <w:r w:rsidRPr="00202D57">
        <w:rPr>
          <w:i/>
          <w:iCs/>
        </w:rPr>
        <w:t>Griess</w:t>
      </w:r>
      <w:r>
        <w:t xml:space="preserve">, a more quotidian case, is best limited to its peculiar </w:t>
      </w:r>
      <w:r>
        <w:lastRenderedPageBreak/>
        <w:t>factual context.  There, a farmer in Nebraska claimed coverage under a first party policy for the value of his pigs after the animals became sick and died when, due to a windstorm, a vi</w:t>
      </w:r>
      <w:r>
        <w:t xml:space="preserve">rus from a neighboring farm infected them.  </w:t>
      </w:r>
      <w:r w:rsidRPr="00BE0FD1">
        <w:t>The court held that, “</w:t>
      </w:r>
      <w:r w:rsidRPr="00273AB7">
        <w:rPr>
          <w:rFonts w:eastAsia="Times New Roman" w:cs="Times New Roman"/>
          <w:color w:val="000000"/>
        </w:rPr>
        <w:t xml:space="preserve">where a virus has been transmitted by means of a covered peril, the covered peril has been held to be the proximate cause of the loss,” citing an Iowa case, </w:t>
      </w:r>
      <w:r w:rsidRPr="00337A2F">
        <w:rPr>
          <w:rFonts w:eastAsia="Times New Roman" w:cs="Times New Roman"/>
          <w:i/>
          <w:iCs/>
          <w:color w:val="000000"/>
          <w:bdr w:val="none" w:sz="0" w:space="0" w:color="auto" w:frame="1"/>
        </w:rPr>
        <w:t>Qualls v. Farm Bureau Mut</w:t>
      </w:r>
      <w:r>
        <w:rPr>
          <w:rFonts w:eastAsia="Times New Roman" w:cs="Times New Roman"/>
          <w:i/>
          <w:iCs/>
          <w:color w:val="000000"/>
          <w:bdr w:val="none" w:sz="0" w:space="0" w:color="auto" w:frame="1"/>
        </w:rPr>
        <w:t>ual</w:t>
      </w:r>
      <w:r w:rsidRPr="00337A2F">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 xml:space="preserve">Insurance </w:t>
      </w:r>
      <w:r w:rsidRPr="00337A2F">
        <w:rPr>
          <w:rFonts w:eastAsia="Times New Roman" w:cs="Times New Roman"/>
          <w:i/>
          <w:iCs/>
          <w:color w:val="000000"/>
          <w:bdr w:val="none" w:sz="0" w:space="0" w:color="auto" w:frame="1"/>
        </w:rPr>
        <w:t>Co</w:t>
      </w:r>
      <w:r>
        <w:rPr>
          <w:rFonts w:eastAsia="Times New Roman" w:cs="Times New Roman"/>
          <w:i/>
          <w:iCs/>
          <w:color w:val="000000"/>
          <w:bdr w:val="none" w:sz="0" w:space="0" w:color="auto" w:frame="1"/>
        </w:rPr>
        <w:t>mpany</w:t>
      </w:r>
      <w:r>
        <w:rPr>
          <w:rFonts w:eastAsia="Times New Roman" w:cs="Times New Roman"/>
          <w:color w:val="000000"/>
        </w:rPr>
        <w:t xml:space="preserve"> </w:t>
      </w:r>
      <w:r w:rsidRPr="00337A2F">
        <w:rPr>
          <w:rFonts w:eastAsia="Times New Roman" w:cs="Times New Roman"/>
          <w:color w:val="000000"/>
        </w:rPr>
        <w:t>(Iowa 1971) 184</w:t>
      </w:r>
      <w:r>
        <w:rPr>
          <w:rFonts w:eastAsia="Times New Roman" w:cs="Times New Roman"/>
          <w:color w:val="000000"/>
        </w:rPr>
        <w:t> </w:t>
      </w:r>
      <w:r w:rsidRPr="00337A2F">
        <w:rPr>
          <w:rFonts w:eastAsia="Times New Roman" w:cs="Times New Roman"/>
          <w:color w:val="000000"/>
        </w:rPr>
        <w:t>N.W.2d 710</w:t>
      </w:r>
      <w:r w:rsidRPr="00BE0FD1">
        <w:rPr>
          <w:rFonts w:eastAsia="Times New Roman" w:cs="Times New Roman"/>
          <w:color w:val="000000"/>
        </w:rPr>
        <w:t xml:space="preserve">, </w:t>
      </w:r>
      <w:r w:rsidRPr="00273AB7">
        <w:rPr>
          <w:rFonts w:eastAsia="Times New Roman" w:cs="Times New Roman"/>
          <w:color w:val="000000"/>
        </w:rPr>
        <w:t>in which “14 heifers owned by the insured died of pseudorabies transmitted by wild animals which had attacked the heifers.”  (</w:t>
      </w:r>
      <w:r w:rsidRPr="00174430">
        <w:rPr>
          <w:rFonts w:eastAsia="Times New Roman" w:cs="Times New Roman"/>
          <w:i/>
          <w:color w:val="000000"/>
        </w:rPr>
        <w:t>Gr</w:t>
      </w:r>
      <w:r>
        <w:rPr>
          <w:rFonts w:eastAsia="Times New Roman" w:cs="Times New Roman"/>
          <w:i/>
          <w:color w:val="000000"/>
        </w:rPr>
        <w:t>ie</w:t>
      </w:r>
      <w:r w:rsidRPr="00174430">
        <w:rPr>
          <w:rFonts w:eastAsia="Times New Roman" w:cs="Times New Roman"/>
          <w:i/>
          <w:color w:val="000000"/>
        </w:rPr>
        <w:t>ss</w:t>
      </w:r>
      <w:r w:rsidRPr="00273AB7">
        <w:rPr>
          <w:rFonts w:eastAsia="Times New Roman" w:cs="Times New Roman"/>
          <w:color w:val="000000"/>
        </w:rPr>
        <w:t xml:space="preserve">, </w:t>
      </w:r>
      <w:r w:rsidRPr="00174430">
        <w:rPr>
          <w:rFonts w:eastAsia="Times New Roman" w:cs="Times New Roman"/>
          <w:i/>
          <w:color w:val="000000"/>
        </w:rPr>
        <w:t>supra</w:t>
      </w:r>
      <w:r w:rsidRPr="00273AB7">
        <w:rPr>
          <w:rFonts w:eastAsia="Times New Roman" w:cs="Times New Roman"/>
          <w:color w:val="000000"/>
        </w:rPr>
        <w:t xml:space="preserve">, </w:t>
      </w:r>
      <w:r w:rsidRPr="00CD4294">
        <w:rPr>
          <w:rFonts w:eastAsia="Times New Roman" w:cs="Times New Roman"/>
          <w:color w:val="000000"/>
        </w:rPr>
        <w:t>528</w:t>
      </w:r>
      <w:r>
        <w:rPr>
          <w:rFonts w:eastAsia="Times New Roman" w:cs="Times New Roman"/>
          <w:color w:val="000000"/>
        </w:rPr>
        <w:t> </w:t>
      </w:r>
      <w:r w:rsidRPr="00CD4294">
        <w:rPr>
          <w:rFonts w:eastAsia="Times New Roman" w:cs="Times New Roman"/>
          <w:color w:val="000000"/>
        </w:rPr>
        <w:t xml:space="preserve">N.W.2d </w:t>
      </w:r>
      <w:r>
        <w:rPr>
          <w:rFonts w:eastAsia="Times New Roman" w:cs="Times New Roman"/>
          <w:color w:val="000000"/>
        </w:rPr>
        <w:t>at p. </w:t>
      </w:r>
      <w:r w:rsidRPr="00DA5DFE">
        <w:rPr>
          <w:rFonts w:eastAsia="Times New Roman" w:cs="Times New Roman"/>
          <w:color w:val="000000"/>
        </w:rPr>
        <w:t xml:space="preserve">333, quoting </w:t>
      </w:r>
      <w:r w:rsidRPr="00DA5DFE">
        <w:rPr>
          <w:rFonts w:eastAsia="Times New Roman" w:cs="Times New Roman"/>
          <w:i/>
          <w:color w:val="000000"/>
        </w:rPr>
        <w:t>Qualls</w:t>
      </w:r>
      <w:r>
        <w:rPr>
          <w:rFonts w:eastAsia="Times New Roman" w:cs="Times New Roman"/>
          <w:color w:val="000000"/>
        </w:rPr>
        <w:t xml:space="preserve">, </w:t>
      </w:r>
      <w:r w:rsidRPr="00174430">
        <w:rPr>
          <w:rFonts w:eastAsia="Times New Roman" w:cs="Times New Roman"/>
          <w:i/>
          <w:color w:val="000000"/>
        </w:rPr>
        <w:t>supra</w:t>
      </w:r>
      <w:r>
        <w:rPr>
          <w:rFonts w:eastAsia="Times New Roman" w:cs="Times New Roman"/>
          <w:color w:val="000000"/>
        </w:rPr>
        <w:t xml:space="preserve">, </w:t>
      </w:r>
      <w:r w:rsidRPr="00337A2F">
        <w:rPr>
          <w:rFonts w:eastAsia="Times New Roman" w:cs="Times New Roman"/>
          <w:color w:val="000000"/>
        </w:rPr>
        <w:t>184</w:t>
      </w:r>
      <w:r>
        <w:rPr>
          <w:rFonts w:eastAsia="Times New Roman" w:cs="Times New Roman"/>
          <w:color w:val="000000"/>
        </w:rPr>
        <w:t> </w:t>
      </w:r>
      <w:r w:rsidRPr="00337A2F">
        <w:rPr>
          <w:rFonts w:eastAsia="Times New Roman" w:cs="Times New Roman"/>
          <w:color w:val="000000"/>
        </w:rPr>
        <w:t>N.W</w:t>
      </w:r>
      <w:r w:rsidRPr="00033AE6">
        <w:rPr>
          <w:rFonts w:eastAsia="Times New Roman" w:cs="Times New Roman"/>
          <w:color w:val="000000"/>
        </w:rPr>
        <w:t xml:space="preserve">.2d at p. 712.)  </w:t>
      </w:r>
      <w:r w:rsidRPr="00033AE6">
        <w:rPr>
          <w:rFonts w:eastAsia="Times New Roman" w:cs="Times New Roman"/>
          <w:color w:val="000000"/>
        </w:rPr>
        <w:t>Under th</w:t>
      </w:r>
      <w:r w:rsidRPr="00273AB7">
        <w:rPr>
          <w:rFonts w:eastAsia="Times New Roman" w:cs="Times New Roman"/>
          <w:color w:val="000000"/>
        </w:rPr>
        <w:t xml:space="preserve">e efficient loss causation rule in those states, these courts found that there was coverage </w:t>
      </w:r>
      <w:r w:rsidRPr="00033AE6">
        <w:rPr>
          <w:rFonts w:eastAsia="Times New Roman" w:cs="Times New Roman"/>
          <w:color w:val="000000"/>
        </w:rPr>
        <w:t>for “living property”</w:t>
      </w:r>
      <w:r w:rsidRPr="00273AB7">
        <w:rPr>
          <w:rFonts w:eastAsia="Times New Roman" w:cs="Times New Roman"/>
          <w:color w:val="000000"/>
        </w:rPr>
        <w:t xml:space="preserve"> despite the attenuated chain of causation that led to the claimed losses at issue.</w:t>
      </w:r>
    </w:p>
    <w:p w14:paraId="53BD8EBC" w14:textId="77777777" w:rsidR="00C53E6F" w:rsidRDefault="00140D1F" w:rsidP="00AF31C8">
      <w:r>
        <w:rPr>
          <w:rFonts w:eastAsia="Times New Roman" w:cs="Times New Roman"/>
          <w:color w:val="000000"/>
        </w:rPr>
        <w:t>W</w:t>
      </w:r>
      <w:r w:rsidRPr="00273AB7">
        <w:rPr>
          <w:rFonts w:eastAsia="Times New Roman" w:cs="Times New Roman"/>
          <w:color w:val="000000"/>
        </w:rPr>
        <w:t>e fail to see what these oddball scenarios have to</w:t>
      </w:r>
      <w:r w:rsidRPr="00273AB7">
        <w:rPr>
          <w:rFonts w:eastAsia="Times New Roman" w:cs="Times New Roman"/>
          <w:color w:val="000000"/>
        </w:rPr>
        <w:t xml:space="preserve"> do with this case.  Even if </w:t>
      </w:r>
      <w:r w:rsidRPr="00273AB7">
        <w:rPr>
          <w:rFonts w:eastAsia="Times New Roman" w:cs="Times New Roman"/>
          <w:i/>
          <w:color w:val="000000"/>
        </w:rPr>
        <w:t>Gr</w:t>
      </w:r>
      <w:r>
        <w:rPr>
          <w:rFonts w:eastAsia="Times New Roman" w:cs="Times New Roman"/>
          <w:i/>
          <w:color w:val="000000"/>
        </w:rPr>
        <w:t>ie</w:t>
      </w:r>
      <w:r w:rsidRPr="00273AB7">
        <w:rPr>
          <w:rFonts w:eastAsia="Times New Roman" w:cs="Times New Roman"/>
          <w:i/>
          <w:color w:val="000000"/>
        </w:rPr>
        <w:t>ss</w:t>
      </w:r>
      <w:r w:rsidRPr="00273AB7">
        <w:rPr>
          <w:rFonts w:eastAsia="Times New Roman" w:cs="Times New Roman"/>
          <w:color w:val="000000"/>
        </w:rPr>
        <w:t xml:space="preserve"> could be read to support a reading of the phrase “result o</w:t>
      </w:r>
      <w:r w:rsidRPr="00436138">
        <w:rPr>
          <w:rFonts w:eastAsia="Times New Roman" w:cs="Times New Roman"/>
          <w:color w:val="000000"/>
          <w:spacing w:val="40"/>
        </w:rPr>
        <w:t>f</w:t>
      </w:r>
      <w:r w:rsidRPr="00273AB7">
        <w:rPr>
          <w:rFonts w:eastAsia="Times New Roman" w:cs="Times New Roman"/>
          <w:color w:val="000000"/>
        </w:rPr>
        <w:t xml:space="preserve">” that means vector of viral transmission, there is still the matter of finding some nexus to property loss or damage, which is presumably why Sentinel </w:t>
      </w:r>
      <w:r w:rsidRPr="00273AB7">
        <w:rPr>
          <w:rFonts w:eastAsia="Times New Roman" w:cs="Times New Roman"/>
          <w:color w:val="000000"/>
        </w:rPr>
        <w:t>emphasizes the risk to “living property</w:t>
      </w:r>
      <w:r>
        <w:rPr>
          <w:rFonts w:eastAsia="Times New Roman" w:cs="Times New Roman"/>
          <w:color w:val="000000"/>
        </w:rPr>
        <w:t>”</w:t>
      </w:r>
      <w:r w:rsidRPr="00273AB7">
        <w:rPr>
          <w:rFonts w:eastAsia="Times New Roman" w:cs="Times New Roman"/>
          <w:color w:val="000000"/>
        </w:rPr>
        <w:t xml:space="preserve"> that </w:t>
      </w:r>
      <w:r w:rsidRPr="00273AB7">
        <w:rPr>
          <w:rFonts w:eastAsia="Times New Roman" w:cs="Times New Roman"/>
          <w:i/>
          <w:color w:val="000000"/>
        </w:rPr>
        <w:t>Gr</w:t>
      </w:r>
      <w:r>
        <w:rPr>
          <w:rFonts w:eastAsia="Times New Roman" w:cs="Times New Roman"/>
          <w:i/>
          <w:color w:val="000000"/>
        </w:rPr>
        <w:t>ie</w:t>
      </w:r>
      <w:r w:rsidRPr="00273AB7">
        <w:rPr>
          <w:rFonts w:eastAsia="Times New Roman" w:cs="Times New Roman"/>
          <w:i/>
          <w:color w:val="000000"/>
        </w:rPr>
        <w:t>ss</w:t>
      </w:r>
      <w:r w:rsidRPr="00273AB7">
        <w:rPr>
          <w:rFonts w:eastAsia="Times New Roman" w:cs="Times New Roman"/>
          <w:color w:val="000000"/>
        </w:rPr>
        <w:t xml:space="preserve"> illustrates.  But </w:t>
      </w:r>
      <w:r>
        <w:t>John’s Grill is not a farm, and even assuming pets may be found on its premises from time to time, coverage is afforded for animals under the Policy only if “[t]</w:t>
      </w:r>
      <w:r w:rsidRPr="00417CD0">
        <w:t xml:space="preserve">hey are owned by others </w:t>
      </w:r>
      <w:r w:rsidRPr="00417CD0">
        <w:t>and boarded by you, or owned by you and held for sale or sold but not delivered</w:t>
      </w:r>
      <w:r>
        <w:t xml:space="preserve">.”  If John’s Grill were operating a dog kennel or a pet store, perhaps the </w:t>
      </w:r>
      <w:r w:rsidRPr="00900D9B">
        <w:rPr>
          <w:i/>
          <w:iCs/>
        </w:rPr>
        <w:t>Gr</w:t>
      </w:r>
      <w:r>
        <w:rPr>
          <w:i/>
          <w:iCs/>
        </w:rPr>
        <w:t>ie</w:t>
      </w:r>
      <w:r w:rsidRPr="00900D9B">
        <w:rPr>
          <w:i/>
          <w:iCs/>
        </w:rPr>
        <w:t xml:space="preserve">ss </w:t>
      </w:r>
      <w:r w:rsidRPr="002B4643">
        <w:t>case</w:t>
      </w:r>
      <w:r>
        <w:rPr>
          <w:i/>
          <w:iCs/>
        </w:rPr>
        <w:t xml:space="preserve"> </w:t>
      </w:r>
      <w:r>
        <w:t>might have some relevance, but not on the actual business circumstances we are dealing wi</w:t>
      </w:r>
      <w:r>
        <w:t>th here.  Nor is it self-evident to us that plant viruses may be transmitted through the same vectors of transmission that we intuitively associate with human disease (after all, plants do not ingest water or breathe in the same way humans do), but even if</w:t>
      </w:r>
      <w:r>
        <w:t xml:space="preserve"> plant viruses may be transmitted by air or water, we have no idea whether </w:t>
      </w:r>
      <w:r>
        <w:lastRenderedPageBreak/>
        <w:t xml:space="preserve">plants are, in fact, part of the covered property environment on John’s Grill’s premises.  So in the end, all </w:t>
      </w:r>
      <w:r w:rsidRPr="0051761E">
        <w:rPr>
          <w:i/>
          <w:iCs/>
        </w:rPr>
        <w:t>Gr</w:t>
      </w:r>
      <w:r>
        <w:rPr>
          <w:i/>
          <w:iCs/>
        </w:rPr>
        <w:t>ie</w:t>
      </w:r>
      <w:r w:rsidRPr="0051761E">
        <w:rPr>
          <w:i/>
          <w:iCs/>
        </w:rPr>
        <w:t>ss</w:t>
      </w:r>
      <w:r>
        <w:t xml:space="preserve"> shows is that it is possible to conjure up many scenarios that m</w:t>
      </w:r>
      <w:r>
        <w:t xml:space="preserve">ight notionally pose a risk of damage to some form of “living property” for some businesses.  But on this record, none of </w:t>
      </w:r>
      <w:r w:rsidRPr="00337A2F">
        <w:t>th</w:t>
      </w:r>
      <w:r>
        <w:t xml:space="preserve">ese abstract risks bear on the insurance policy </w:t>
      </w:r>
      <w:r w:rsidRPr="00337A2F">
        <w:t xml:space="preserve">Sentinel </w:t>
      </w:r>
      <w:r>
        <w:t xml:space="preserve">underwrote for </w:t>
      </w:r>
      <w:r w:rsidRPr="00337A2F">
        <w:rPr>
          <w:i/>
          <w:iCs/>
        </w:rPr>
        <w:t>this</w:t>
      </w:r>
      <w:r w:rsidRPr="00337A2F">
        <w:t xml:space="preserve"> insured.</w:t>
      </w:r>
    </w:p>
    <w:p w14:paraId="2A199C70" w14:textId="77777777" w:rsidR="0041285D" w:rsidRPr="00E1250A" w:rsidRDefault="00140D1F" w:rsidP="00AF31C8">
      <w:r>
        <w:t>The parties argue back and forth about how unl</w:t>
      </w:r>
      <w:r>
        <w:t>ikely coverage must be in order to justify application of the illusory coverage doctrine.  Sentinel suggests that John’s Grill is simply complaining it is “hard” to show that a claim falls within the Limited Virus Coverage, while John’s Grill urges us to h</w:t>
      </w:r>
      <w:r>
        <w:t>old that it has “no realistic prospect” of benefitting from the Limited Virus Coverage.  According to John’s Grill, it “</w:t>
      </w:r>
      <w:r w:rsidRPr="0043347F">
        <w:t>is misleading and contrary to the reasonable expectations of</w:t>
      </w:r>
      <w:r>
        <w:t xml:space="preserve"> </w:t>
      </w:r>
      <w:r w:rsidRPr="0043347F">
        <w:t xml:space="preserve">the insured to market </w:t>
      </w:r>
      <w:r w:rsidRPr="00E1250A">
        <w:t xml:space="preserve">an endorsement” with the word virus in the “title if </w:t>
      </w:r>
      <w:r w:rsidRPr="00E1250A">
        <w:t>there is no realistic prospect it will ever pay out a claim for losses caused by virus.”  We are disinclined to transform the doctrine of illusory coverage into a species of false advertising by tying it to how a policy was “marketed,” but we agree that th</w:t>
      </w:r>
      <w:r w:rsidRPr="00E1250A">
        <w:t>e test for illusory coverage must focus on objective reality and the insured’s reasonable expectations of coverage.  (</w:t>
      </w:r>
      <w:r w:rsidRPr="00E1250A">
        <w:rPr>
          <w:rFonts w:eastAsia="Times New Roman" w:cs="Times New Roman"/>
          <w:i/>
          <w:iCs/>
          <w:color w:val="000000"/>
          <w:bdr w:val="none" w:sz="0" w:space="0" w:color="auto" w:frame="1"/>
        </w:rPr>
        <w:t>Shade Foods, Inc. v. Innovative Products Sales &amp; Marketing, Inc.</w:t>
      </w:r>
      <w:r>
        <w:rPr>
          <w:rFonts w:eastAsia="Times New Roman" w:cs="Times New Roman"/>
          <w:color w:val="000000"/>
        </w:rPr>
        <w:t xml:space="preserve"> </w:t>
      </w:r>
      <w:r w:rsidRPr="00E1250A">
        <w:rPr>
          <w:rFonts w:eastAsia="Times New Roman" w:cs="Times New Roman"/>
          <w:color w:val="000000"/>
        </w:rPr>
        <w:t>(2000) 78</w:t>
      </w:r>
      <w:r>
        <w:rPr>
          <w:rFonts w:eastAsia="Times New Roman" w:cs="Times New Roman"/>
          <w:color w:val="000000"/>
        </w:rPr>
        <w:t> </w:t>
      </w:r>
      <w:r w:rsidRPr="00E1250A">
        <w:rPr>
          <w:rFonts w:eastAsia="Times New Roman" w:cs="Times New Roman"/>
          <w:color w:val="000000"/>
        </w:rPr>
        <w:t xml:space="preserve">Cal.App.4th 847, 874.) </w:t>
      </w:r>
      <w:r w:rsidRPr="00E1250A">
        <w:t xml:space="preserve"> Imaginary exercises involving pigs caug</w:t>
      </w:r>
      <w:r w:rsidRPr="00E1250A">
        <w:t>ht in windstorms and cows encountering wild animals will not do.</w:t>
      </w:r>
    </w:p>
    <w:p w14:paraId="33933BDF" w14:textId="77777777" w:rsidR="00F24231" w:rsidRDefault="00140D1F" w:rsidP="00273AB7">
      <w:r w:rsidRPr="00337A2F">
        <w:rPr>
          <w:rFonts w:eastAsia="Times New Roman" w:cs="Times New Roman"/>
          <w:color w:val="000000"/>
        </w:rPr>
        <w:t>It takes more than a “</w:t>
      </w:r>
      <w:r w:rsidRPr="00273AB7">
        <w:rPr>
          <w:rFonts w:eastAsia="Times New Roman" w:cs="Times New Roman"/>
          <w:color w:val="000000"/>
        </w:rPr>
        <w:t>a mere</w:t>
      </w:r>
      <w:r>
        <w:rPr>
          <w:rFonts w:eastAsia="Times New Roman" w:cs="Times New Roman"/>
          <w:color w:val="000000"/>
        </w:rPr>
        <w:t xml:space="preserve"> </w:t>
      </w:r>
      <w:r w:rsidRPr="00273AB7">
        <w:rPr>
          <w:rFonts w:eastAsia="Times New Roman" w:cs="Times New Roman"/>
          <w:color w:val="000000"/>
          <w:bdr w:val="none" w:sz="0" w:space="0" w:color="auto" w:frame="1"/>
        </w:rPr>
        <w:t>drafting</w:t>
      </w:r>
      <w:r>
        <w:rPr>
          <w:rFonts w:eastAsia="Times New Roman" w:cs="Times New Roman"/>
          <w:color w:val="000000"/>
        </w:rPr>
        <w:t xml:space="preserve"> </w:t>
      </w:r>
      <w:r w:rsidRPr="00273AB7">
        <w:rPr>
          <w:rFonts w:eastAsia="Times New Roman" w:cs="Times New Roman"/>
          <w:color w:val="000000"/>
        </w:rPr>
        <w:t>fiction” to overcome a well-pleaded illusory coverage argument.  (</w:t>
      </w:r>
      <w:r w:rsidRPr="00337A2F">
        <w:rPr>
          <w:rFonts w:eastAsia="Times New Roman" w:cs="Times New Roman"/>
          <w:i/>
          <w:iCs/>
          <w:color w:val="000000"/>
          <w:bdr w:val="none" w:sz="0" w:space="0" w:color="auto" w:frame="1"/>
        </w:rPr>
        <w:t>Julian</w:t>
      </w:r>
      <w:r w:rsidRPr="00A44FD7">
        <w:rPr>
          <w:rFonts w:eastAsia="Times New Roman" w:cs="Times New Roman"/>
          <w:i/>
          <w:iCs/>
          <w:color w:val="000000"/>
          <w:bdr w:val="none" w:sz="0" w:space="0" w:color="auto" w:frame="1"/>
        </w:rPr>
        <w:t xml:space="preserve"> v. Hartford Underwriters </w:t>
      </w:r>
      <w:r>
        <w:rPr>
          <w:rFonts w:eastAsia="Times New Roman" w:cs="Times New Roman"/>
          <w:i/>
          <w:iCs/>
          <w:color w:val="000000"/>
          <w:bdr w:val="none" w:sz="0" w:space="0" w:color="auto" w:frame="1"/>
        </w:rPr>
        <w:t xml:space="preserve">Ins. </w:t>
      </w:r>
      <w:r w:rsidRPr="00A44FD7">
        <w:rPr>
          <w:rFonts w:eastAsia="Times New Roman" w:cs="Times New Roman"/>
          <w:i/>
          <w:iCs/>
          <w:color w:val="000000"/>
          <w:bdr w:val="none" w:sz="0" w:space="0" w:color="auto" w:frame="1"/>
        </w:rPr>
        <w:t>Co</w:t>
      </w:r>
      <w:r>
        <w:rPr>
          <w:rFonts w:eastAsia="Times New Roman" w:cs="Times New Roman"/>
          <w:color w:val="000000"/>
        </w:rPr>
        <w:t>.</w:t>
      </w:r>
      <w:r w:rsidRPr="00337A2F">
        <w:rPr>
          <w:rFonts w:eastAsia="Times New Roman" w:cs="Times New Roman"/>
          <w:color w:val="000000"/>
        </w:rPr>
        <w:t xml:space="preserve">, </w:t>
      </w:r>
      <w:r w:rsidRPr="00337A2F">
        <w:rPr>
          <w:rFonts w:eastAsia="Times New Roman" w:cs="Times New Roman"/>
          <w:i/>
          <w:iCs/>
          <w:color w:val="000000"/>
        </w:rPr>
        <w:t>supra</w:t>
      </w:r>
      <w:r w:rsidRPr="00337A2F">
        <w:rPr>
          <w:rFonts w:eastAsia="Times New Roman" w:cs="Times New Roman"/>
          <w:color w:val="000000"/>
        </w:rPr>
        <w:t>, 35</w:t>
      </w:r>
      <w:r>
        <w:rPr>
          <w:rFonts w:eastAsia="Times New Roman" w:cs="Times New Roman"/>
          <w:color w:val="000000"/>
        </w:rPr>
        <w:t> </w:t>
      </w:r>
      <w:r w:rsidRPr="00337A2F">
        <w:rPr>
          <w:rFonts w:eastAsia="Times New Roman" w:cs="Times New Roman"/>
          <w:color w:val="000000"/>
        </w:rPr>
        <w:t>Cal.4th at p.</w:t>
      </w:r>
      <w:r>
        <w:rPr>
          <w:rFonts w:eastAsia="Times New Roman" w:cs="Times New Roman"/>
          <w:color w:val="000000"/>
        </w:rPr>
        <w:t> </w:t>
      </w:r>
      <w:r w:rsidRPr="00337A2F">
        <w:rPr>
          <w:rFonts w:eastAsia="Times New Roman" w:cs="Times New Roman"/>
          <w:color w:val="000000"/>
        </w:rPr>
        <w:t xml:space="preserve">760.)  </w:t>
      </w:r>
      <w:r>
        <w:t xml:space="preserve">Where an </w:t>
      </w:r>
      <w:r>
        <w:t>insured properly raises the issue of illusory coverage, as John’s Grill has done here, unsubstantiated speculation, untethered to the insured’s actual business circumstances as underwritten by the insurer, is not enough to defeat the argument.  (</w:t>
      </w:r>
      <w:r w:rsidRPr="00C31F3A">
        <w:t xml:space="preserve">Cf. </w:t>
      </w:r>
      <w:r w:rsidRPr="007C70E6">
        <w:rPr>
          <w:rFonts w:eastAsia="Times New Roman" w:cs="Times New Roman"/>
          <w:i/>
          <w:iCs/>
          <w:color w:val="000000"/>
          <w:bdr w:val="none" w:sz="0" w:space="0" w:color="auto" w:frame="1"/>
        </w:rPr>
        <w:lastRenderedPageBreak/>
        <w:t>Blackh</w:t>
      </w:r>
      <w:r w:rsidRPr="007C70E6">
        <w:rPr>
          <w:rFonts w:eastAsia="Times New Roman" w:cs="Times New Roman"/>
          <w:i/>
          <w:iCs/>
          <w:color w:val="000000"/>
          <w:bdr w:val="none" w:sz="0" w:space="0" w:color="auto" w:frame="1"/>
        </w:rPr>
        <w:t xml:space="preserve">awk Corp. v. Gotham </w:t>
      </w:r>
      <w:r>
        <w:rPr>
          <w:rFonts w:eastAsia="Times New Roman" w:cs="Times New Roman"/>
          <w:i/>
          <w:iCs/>
          <w:color w:val="000000"/>
          <w:bdr w:val="none" w:sz="0" w:space="0" w:color="auto" w:frame="1"/>
        </w:rPr>
        <w:t xml:space="preserve">Ins. </w:t>
      </w:r>
      <w:r w:rsidRPr="007C70E6">
        <w:rPr>
          <w:rFonts w:eastAsia="Times New Roman" w:cs="Times New Roman"/>
          <w:i/>
          <w:iCs/>
          <w:color w:val="000000"/>
          <w:bdr w:val="none" w:sz="0" w:space="0" w:color="auto" w:frame="1"/>
        </w:rPr>
        <w:t>Co.</w:t>
      </w:r>
      <w:r>
        <w:rPr>
          <w:rFonts w:eastAsia="Times New Roman" w:cs="Times New Roman"/>
          <w:color w:val="000000"/>
        </w:rPr>
        <w:t xml:space="preserve"> </w:t>
      </w:r>
      <w:r w:rsidRPr="007C70E6">
        <w:rPr>
          <w:rFonts w:eastAsia="Times New Roman" w:cs="Times New Roman"/>
          <w:color w:val="000000"/>
        </w:rPr>
        <w:t>(1997) 54</w:t>
      </w:r>
      <w:r>
        <w:rPr>
          <w:rFonts w:eastAsia="Times New Roman" w:cs="Times New Roman"/>
          <w:color w:val="000000"/>
        </w:rPr>
        <w:t> </w:t>
      </w:r>
      <w:r w:rsidRPr="007C70E6">
        <w:rPr>
          <w:rFonts w:eastAsia="Times New Roman" w:cs="Times New Roman"/>
          <w:color w:val="000000"/>
        </w:rPr>
        <w:t>Cal.App.4th 1090,</w:t>
      </w:r>
      <w:r>
        <w:rPr>
          <w:rFonts w:eastAsia="Times New Roman" w:cs="Times New Roman"/>
          <w:color w:val="000000"/>
        </w:rPr>
        <w:t xml:space="preserve"> 1096–</w:t>
      </w:r>
      <w:r w:rsidRPr="007C70E6">
        <w:rPr>
          <w:rFonts w:eastAsia="Times New Roman" w:cs="Times New Roman"/>
          <w:color w:val="000000"/>
        </w:rPr>
        <w:t>1097</w:t>
      </w:r>
      <w:r w:rsidRPr="00C31F3A">
        <w:rPr>
          <w:rFonts w:eastAsia="Times New Roman" w:cs="Times New Roman"/>
          <w:color w:val="000000"/>
        </w:rPr>
        <w:t xml:space="preserve"> [in </w:t>
      </w:r>
      <w:r w:rsidRPr="00326068">
        <w:rPr>
          <w:rFonts w:eastAsia="Times New Roman" w:cs="Times New Roman"/>
          <w:color w:val="000000"/>
        </w:rPr>
        <w:t>light of insured’s</w:t>
      </w:r>
      <w:r w:rsidRPr="00C31F3A">
        <w:rPr>
          <w:rFonts w:eastAsia="Times New Roman" w:cs="Times New Roman"/>
          <w:color w:val="000000"/>
        </w:rPr>
        <w:t xml:space="preserve"> actual business “as developer of raw land,” </w:t>
      </w:r>
      <w:r>
        <w:rPr>
          <w:rFonts w:eastAsia="Times New Roman" w:cs="Times New Roman"/>
          <w:color w:val="000000"/>
        </w:rPr>
        <w:t xml:space="preserve">subsidence </w:t>
      </w:r>
      <w:r w:rsidRPr="00C31F3A">
        <w:rPr>
          <w:rFonts w:eastAsia="Times New Roman" w:cs="Times New Roman"/>
          <w:color w:val="000000"/>
        </w:rPr>
        <w:t>exclusion</w:t>
      </w:r>
      <w:r>
        <w:rPr>
          <w:rFonts w:eastAsia="Times New Roman" w:cs="Times New Roman"/>
          <w:color w:val="000000"/>
        </w:rPr>
        <w:t>s</w:t>
      </w:r>
      <w:r w:rsidRPr="00C31F3A">
        <w:rPr>
          <w:rFonts w:eastAsia="Times New Roman" w:cs="Times New Roman"/>
          <w:color w:val="000000"/>
        </w:rPr>
        <w:t xml:space="preserve"> not illusory when applied to housing development on property sold by insured].)  </w:t>
      </w:r>
      <w:r>
        <w:t xml:space="preserve">Because Sentinel has not proffered enough to demonstrate a realistic prospect of John’s Grill ever benefitting from the Limited Virus Coverage based on events </w:t>
      </w:r>
      <w:r w:rsidRPr="00FB6F88">
        <w:t>the parties</w:t>
      </w:r>
      <w:r>
        <w:t xml:space="preserve"> mig</w:t>
      </w:r>
      <w:r>
        <w:t xml:space="preserve">ht reasonably have anticipated during the Policy period, we agree that </w:t>
      </w:r>
      <w:r w:rsidRPr="00FB6F88">
        <w:t>Sentinel has, “t</w:t>
      </w:r>
      <w:r w:rsidRPr="00273AB7">
        <w:rPr>
          <w:color w:val="000000"/>
        </w:rPr>
        <w:t>hrough sweeping language,” rendered the Policy’s virus coverage terms</w:t>
      </w:r>
      <w:r>
        <w:rPr>
          <w:color w:val="000000"/>
        </w:rPr>
        <w:t xml:space="preserve"> </w:t>
      </w:r>
      <w:r w:rsidRPr="00273AB7">
        <w:rPr>
          <w:color w:val="000000"/>
        </w:rPr>
        <w:t>“</w:t>
      </w:r>
      <w:r w:rsidRPr="00273AB7">
        <w:rPr>
          <w:color w:val="000000"/>
          <w:bdr w:val="none" w:sz="0" w:space="0" w:color="auto" w:frame="1"/>
        </w:rPr>
        <w:t>virtually</w:t>
      </w:r>
      <w:r>
        <w:rPr>
          <w:color w:val="000000"/>
        </w:rPr>
        <w:t xml:space="preserve"> </w:t>
      </w:r>
      <w:r w:rsidRPr="00273AB7">
        <w:rPr>
          <w:color w:val="000000"/>
        </w:rPr>
        <w:t xml:space="preserve">illusory.”  </w:t>
      </w:r>
      <w:r w:rsidRPr="00273AB7">
        <w:rPr>
          <w:rFonts w:eastAsia="Times New Roman" w:cs="Times New Roman"/>
          <w:color w:val="000000"/>
        </w:rPr>
        <w:t>(</w:t>
      </w:r>
      <w:r w:rsidRPr="00337A2F">
        <w:rPr>
          <w:rFonts w:eastAsia="Times New Roman" w:cs="Times New Roman"/>
          <w:i/>
          <w:iCs/>
          <w:color w:val="000000"/>
          <w:bdr w:val="none" w:sz="0" w:space="0" w:color="auto" w:frame="1"/>
        </w:rPr>
        <w:t>Julian</w:t>
      </w:r>
      <w:r w:rsidRPr="00FB6F88">
        <w:rPr>
          <w:rFonts w:eastAsia="Times New Roman" w:cs="Times New Roman"/>
          <w:color w:val="000000"/>
        </w:rPr>
        <w:t xml:space="preserve">, </w:t>
      </w:r>
      <w:r w:rsidRPr="00FB6F88">
        <w:rPr>
          <w:rFonts w:eastAsia="Times New Roman" w:cs="Times New Roman"/>
          <w:i/>
          <w:iCs/>
          <w:color w:val="000000"/>
        </w:rPr>
        <w:t>supra</w:t>
      </w:r>
      <w:r w:rsidRPr="00FB6F88">
        <w:rPr>
          <w:rFonts w:eastAsia="Times New Roman" w:cs="Times New Roman"/>
          <w:color w:val="000000"/>
        </w:rPr>
        <w:t>,</w:t>
      </w:r>
      <w:r w:rsidRPr="00337A2F">
        <w:rPr>
          <w:rFonts w:eastAsia="Times New Roman" w:cs="Times New Roman"/>
          <w:color w:val="000000"/>
        </w:rPr>
        <w:t xml:space="preserve"> </w:t>
      </w:r>
      <w:r w:rsidRPr="00FB6F88">
        <w:rPr>
          <w:rFonts w:eastAsia="Times New Roman" w:cs="Times New Roman"/>
          <w:color w:val="000000"/>
        </w:rPr>
        <w:t>at p.</w:t>
      </w:r>
      <w:r>
        <w:rPr>
          <w:rFonts w:eastAsia="Times New Roman" w:cs="Times New Roman"/>
          <w:color w:val="000000"/>
        </w:rPr>
        <w:t> </w:t>
      </w:r>
      <w:r w:rsidRPr="00337A2F">
        <w:rPr>
          <w:rFonts w:eastAsia="Times New Roman" w:cs="Times New Roman"/>
          <w:color w:val="000000"/>
        </w:rPr>
        <w:t>7</w:t>
      </w:r>
      <w:r w:rsidRPr="00FB6F88">
        <w:rPr>
          <w:rFonts w:eastAsia="Times New Roman" w:cs="Times New Roman"/>
          <w:color w:val="000000"/>
        </w:rPr>
        <w:t>56.)</w:t>
      </w:r>
    </w:p>
    <w:p w14:paraId="326CA2EB" w14:textId="77777777" w:rsidR="00856D59" w:rsidRDefault="00140D1F" w:rsidP="00783FCC">
      <w:pPr>
        <w:pStyle w:val="Heading4"/>
        <w:numPr>
          <w:ilvl w:val="0"/>
          <w:numId w:val="32"/>
        </w:numPr>
      </w:pPr>
      <w:r>
        <w:t xml:space="preserve">We Decline To Apply The Federal Case Law </w:t>
      </w:r>
      <w:r>
        <w:t>Cited by Sentinel</w:t>
      </w:r>
    </w:p>
    <w:p w14:paraId="0CB2E119" w14:textId="77777777" w:rsidR="00324F38" w:rsidRDefault="00140D1F" w:rsidP="00856D59">
      <w:r>
        <w:t xml:space="preserve">Sentinel claims that “dozens of courts—in California and across the country—have agreed with the superior court that th[e] </w:t>
      </w:r>
      <w:r w:rsidRPr="009C107B">
        <w:rPr>
          <w:i/>
          <w:iCs/>
        </w:rPr>
        <w:t>exact</w:t>
      </w:r>
      <w:r>
        <w:t xml:space="preserve"> ‘Virus Exclusion’ ” found in its Policy “ ‘unambiguously forecloses coverage of . . . alleged losses due to e</w:t>
      </w:r>
      <w:r>
        <w:t xml:space="preserve">ither </w:t>
      </w:r>
      <w:r w:rsidRPr="00583760">
        <w:t>COVID contamination or the</w:t>
      </w:r>
      <w:r>
        <w:t xml:space="preserve"> Closure Orders.’ ”  It claims further that “[t]hese decisions join dozens more that have found that similar ‘virus exclusions clearly and without doubt preclude coverage for the losses and expenses alleged by’ businesses fo</w:t>
      </w:r>
      <w:r>
        <w:t xml:space="preserve">rced to shut down due to the coronavirus and related closure orders.”  Half of this argument is correct.  If all we had to do here was apply an absolute, unqualified exclusion, without an affirmative grant of coverage, the body of case law Sentinel relies </w:t>
      </w:r>
      <w:r>
        <w:t xml:space="preserve">upon would likely be dispositive.  But we have more than that.  At oral argument,  Sentinel lowered the number of cases applying the same Limited Fungi or Virus Coverage Endorsement at issue in this case down from “dozens” </w:t>
      </w:r>
      <w:r w:rsidRPr="001D0444">
        <w:t>to seventeen in</w:t>
      </w:r>
      <w:r>
        <w:t xml:space="preserve"> total,</w:t>
      </w:r>
      <w:r>
        <w:rPr>
          <w:rStyle w:val="FootnoteReference"/>
        </w:rPr>
        <w:footnoteReference w:id="20"/>
      </w:r>
      <w:r>
        <w:t xml:space="preserve"> and of those </w:t>
      </w:r>
      <w:r w:rsidRPr="008016AB">
        <w:t xml:space="preserve">cases, </w:t>
      </w:r>
      <w:r>
        <w:t>nine</w:t>
      </w:r>
      <w:r w:rsidRPr="008016AB">
        <w:t xml:space="preserve"> have applied</w:t>
      </w:r>
      <w:r>
        <w:t xml:space="preserve"> California </w:t>
      </w:r>
      <w:r>
        <w:lastRenderedPageBreak/>
        <w:t>insurance coverage law.</w:t>
      </w:r>
      <w:r>
        <w:rPr>
          <w:rStyle w:val="FootnoteReference"/>
        </w:rPr>
        <w:footnoteReference w:id="21"/>
      </w:r>
      <w:r>
        <w:t xml:space="preserve">  This appears to be the body of case law to which Sentinel refers in claiming that “</w:t>
      </w:r>
      <w:r w:rsidRPr="002408E5">
        <w:t>every California court to address</w:t>
      </w:r>
      <w:r>
        <w:t>” the illusory coverage argument made by John’s Grill has rejec</w:t>
      </w:r>
      <w:r>
        <w:t>ted it.  The cases are all non-binding decisions from federal district judges sitting in diversity.</w:t>
      </w:r>
    </w:p>
    <w:p w14:paraId="457239BF" w14:textId="77777777" w:rsidR="004F56D2" w:rsidRDefault="00140D1F" w:rsidP="009E6526">
      <w:r w:rsidRPr="00383F42">
        <w:t xml:space="preserve">The district judges in the </w:t>
      </w:r>
      <w:r>
        <w:t>nine</w:t>
      </w:r>
      <w:r w:rsidRPr="00383F42">
        <w:t xml:space="preserve"> cases</w:t>
      </w:r>
      <w:r>
        <w:t xml:space="preserve"> applying California law take various analytical routes to rejecting the coverage theory asserted by John’s Grill under</w:t>
      </w:r>
      <w:r>
        <w:t xml:space="preserve"> the Limited Fungi or Virus Coverage Endorsement.  Some of the opinions construe the Policy to </w:t>
      </w:r>
      <w:r w:rsidRPr="00E71A35">
        <w:t>require</w:t>
      </w:r>
      <w:r>
        <w:t xml:space="preserve"> physical alteration of property under the </w:t>
      </w:r>
      <w:r w:rsidRPr="0066120F">
        <w:rPr>
          <w:i/>
        </w:rPr>
        <w:t>Mudpie</w:t>
      </w:r>
      <w:r>
        <w:t xml:space="preserve"> line of cases, </w:t>
      </w:r>
      <w:r w:rsidRPr="00E71A35">
        <w:t xml:space="preserve">thus </w:t>
      </w:r>
      <w:r>
        <w:t xml:space="preserve">in effect </w:t>
      </w:r>
      <w:r w:rsidRPr="00E71A35">
        <w:t xml:space="preserve">giving </w:t>
      </w:r>
      <w:r>
        <w:t xml:space="preserve">the </w:t>
      </w:r>
      <w:r w:rsidRPr="00E71A35">
        <w:t xml:space="preserve">trigger clause </w:t>
      </w:r>
      <w:r>
        <w:t xml:space="preserve">in the Limited Virus Coverage </w:t>
      </w:r>
      <w:r w:rsidRPr="00E71A35">
        <w:t>no greater breadth</w:t>
      </w:r>
      <w:r w:rsidRPr="00E71A35">
        <w:t xml:space="preserve"> than the coverage trigger in the main first</w:t>
      </w:r>
      <w:r>
        <w:t xml:space="preserve"> party coverage grant, and failing to recognize that the special </w:t>
      </w:r>
      <w:r>
        <w:lastRenderedPageBreak/>
        <w:t>definition of “loss or damage” creates ambiguity.</w:t>
      </w:r>
      <w:r>
        <w:rPr>
          <w:rStyle w:val="FootnoteReference"/>
        </w:rPr>
        <w:footnoteReference w:id="22"/>
      </w:r>
      <w:r>
        <w:t xml:space="preserve">  Some say that any conceivable “possibility of coverage” is enough to defeat the illusory cover</w:t>
      </w:r>
      <w:r>
        <w:t xml:space="preserve">age doctrine, either accepting the </w:t>
      </w:r>
      <w:r w:rsidRPr="00BF7343">
        <w:rPr>
          <w:i/>
          <w:iCs/>
        </w:rPr>
        <w:t>Gr</w:t>
      </w:r>
      <w:r>
        <w:rPr>
          <w:i/>
          <w:iCs/>
        </w:rPr>
        <w:t>ie</w:t>
      </w:r>
      <w:r w:rsidRPr="00BF7343">
        <w:rPr>
          <w:i/>
          <w:iCs/>
        </w:rPr>
        <w:t>ss</w:t>
      </w:r>
      <w:r>
        <w:t xml:space="preserve"> case as an example of how the grant of Limited Virus Coverage might be triggered,</w:t>
      </w:r>
      <w:r>
        <w:rPr>
          <w:rStyle w:val="FootnoteReference"/>
        </w:rPr>
        <w:footnoteReference w:id="23"/>
      </w:r>
      <w:r>
        <w:t xml:space="preserve"> or accepting the idea that any potential for coverage for one peril in a multi-peril grant of coverage is enough to show the requi</w:t>
      </w:r>
      <w:r>
        <w:t>site possibility of coverage,</w:t>
      </w:r>
      <w:r>
        <w:rPr>
          <w:rStyle w:val="FootnoteReference"/>
        </w:rPr>
        <w:footnoteReference w:id="24"/>
      </w:r>
      <w:r>
        <w:t xml:space="preserve"> or both</w:t>
      </w:r>
      <w:r w:rsidRPr="00EA05CB">
        <w:t>.  Some complete their coverage analysis by invoking the Virus Exclusion without considering the principle that exclusions are construed narrowly and exceptions to exclusions are construed broadly, and without address</w:t>
      </w:r>
      <w:r w:rsidRPr="00EA05CB">
        <w:t>ing the illusory coverage doctrine at all.</w:t>
      </w:r>
      <w:r>
        <w:rPr>
          <w:rStyle w:val="FootnoteReference"/>
        </w:rPr>
        <w:footnoteReference w:id="25"/>
      </w:r>
      <w:r w:rsidRPr="00EA05CB">
        <w:t xml:space="preserve">  </w:t>
      </w:r>
      <w:r>
        <w:t>And some rule on a combination of these grounds, with most of the cases citing to one another.</w:t>
      </w:r>
      <w:r>
        <w:rPr>
          <w:rStyle w:val="FootnoteReference"/>
        </w:rPr>
        <w:footnoteReference w:id="26"/>
      </w:r>
    </w:p>
    <w:p w14:paraId="4A1E4108" w14:textId="77777777" w:rsidR="00923201" w:rsidRPr="0044120E" w:rsidRDefault="00140D1F" w:rsidP="0044120E">
      <w:pPr>
        <w:rPr>
          <w:rFonts w:eastAsia="Times New Roman" w:cs="Times New Roman"/>
          <w:color w:val="000000"/>
        </w:rPr>
      </w:pPr>
      <w:r>
        <w:t xml:space="preserve">We reach a different conclusion at each step of the analysis.  </w:t>
      </w:r>
      <w:r w:rsidRPr="0044120E">
        <w:t xml:space="preserve">We recognize </w:t>
      </w:r>
      <w:r w:rsidRPr="006B6AE0">
        <w:t xml:space="preserve">that the </w:t>
      </w:r>
      <w:r>
        <w:t>nine</w:t>
      </w:r>
      <w:r w:rsidRPr="006B6AE0">
        <w:t xml:space="preserve"> cases Sentinel cites</w:t>
      </w:r>
      <w:r w:rsidRPr="0044120E">
        <w:t xml:space="preserve"> ar</w:t>
      </w:r>
      <w:r w:rsidRPr="0044120E">
        <w:t xml:space="preserve">e in line with </w:t>
      </w:r>
      <w:r>
        <w:t xml:space="preserve">a number of </w:t>
      </w:r>
      <w:r w:rsidRPr="0044120E">
        <w:t xml:space="preserve">federal </w:t>
      </w:r>
      <w:r>
        <w:t>di</w:t>
      </w:r>
      <w:r w:rsidRPr="0044120E">
        <w:t xml:space="preserve">strict court </w:t>
      </w:r>
      <w:r>
        <w:t xml:space="preserve">opinions in diversity </w:t>
      </w:r>
      <w:r w:rsidRPr="0044120E">
        <w:t>cases across the country</w:t>
      </w:r>
      <w:r>
        <w:t xml:space="preserve"> that have applied the same Limited Fungi or Virus Coverage Endorsement form we are dealing with</w:t>
      </w:r>
      <w:r w:rsidRPr="0044120E">
        <w:t xml:space="preserve">, but we </w:t>
      </w:r>
      <w:r>
        <w:t xml:space="preserve">find none of the others any more persuasive than the </w:t>
      </w:r>
      <w:r>
        <w:lastRenderedPageBreak/>
        <w:t>di</w:t>
      </w:r>
      <w:r>
        <w:t xml:space="preserve">versity cases from California.  </w:t>
      </w:r>
      <w:r>
        <w:rPr>
          <w:rFonts w:eastAsia="Times New Roman" w:cs="Times New Roman"/>
          <w:color w:val="000000"/>
        </w:rPr>
        <w:t xml:space="preserve">Rather than deal with all the non-California cases applying the Limited Fungi or Virus Coverage Endorsement form, we will treat one particular case, </w:t>
      </w:r>
      <w:r w:rsidRPr="008818A5">
        <w:rPr>
          <w:rFonts w:eastAsia="Times New Roman" w:cs="Times New Roman"/>
          <w:i/>
          <w:iCs/>
          <w:color w:val="000000"/>
          <w:bdr w:val="none" w:sz="0" w:space="0" w:color="auto" w:frame="1"/>
        </w:rPr>
        <w:t>Cosmetic Laser</w:t>
      </w:r>
      <w:r w:rsidRPr="00673224">
        <w:rPr>
          <w:rFonts w:eastAsia="Times New Roman" w:cs="Times New Roman"/>
          <w:color w:val="000000"/>
          <w:bdr w:val="none" w:sz="0" w:space="0" w:color="auto" w:frame="1"/>
        </w:rPr>
        <w:t>,</w:t>
      </w:r>
      <w:r w:rsidRPr="008818A5">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supra</w:t>
      </w:r>
      <w:r w:rsidRPr="00673224">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sidRPr="008818A5">
        <w:rPr>
          <w:rFonts w:eastAsia="Times New Roman" w:cs="Times New Roman"/>
          <w:color w:val="000000"/>
        </w:rPr>
        <w:t>554</w:t>
      </w:r>
      <w:r>
        <w:rPr>
          <w:rFonts w:eastAsia="Times New Roman" w:cs="Times New Roman"/>
          <w:color w:val="000000"/>
        </w:rPr>
        <w:t> </w:t>
      </w:r>
      <w:r w:rsidRPr="008818A5">
        <w:rPr>
          <w:rFonts w:eastAsia="Times New Roman" w:cs="Times New Roman"/>
          <w:color w:val="000000"/>
        </w:rPr>
        <w:t>F.Supp.3d 389</w:t>
      </w:r>
      <w:r>
        <w:rPr>
          <w:rFonts w:eastAsia="Times New Roman" w:cs="Times New Roman"/>
          <w:color w:val="000000"/>
        </w:rPr>
        <w:t xml:space="preserve">, as </w:t>
      </w:r>
      <w:r w:rsidRPr="0044120E">
        <w:rPr>
          <w:rFonts w:eastAsia="Times New Roman" w:cs="Times New Roman"/>
          <w:color w:val="000000"/>
        </w:rPr>
        <w:t xml:space="preserve">illustrative because it is </w:t>
      </w:r>
      <w:r w:rsidRPr="00B822C2">
        <w:rPr>
          <w:rFonts w:eastAsia="Times New Roman" w:cs="Times New Roman"/>
          <w:color w:val="000000"/>
        </w:rPr>
        <w:t>one of the more thoroughly reasoned and frequently cited of the cases of its type.  In our view,</w:t>
      </w:r>
      <w:r>
        <w:rPr>
          <w:rFonts w:eastAsia="Times New Roman" w:cs="Times New Roman"/>
          <w:color w:val="000000"/>
        </w:rPr>
        <w:t xml:space="preserve"> </w:t>
      </w:r>
      <w:r w:rsidRPr="00716C9E">
        <w:rPr>
          <w:rFonts w:eastAsia="Times New Roman" w:cs="Times New Roman"/>
          <w:i/>
          <w:iCs/>
          <w:color w:val="000000"/>
        </w:rPr>
        <w:t>Cosmetic Laser</w:t>
      </w:r>
      <w:r>
        <w:rPr>
          <w:rFonts w:eastAsia="Times New Roman" w:cs="Times New Roman"/>
          <w:color w:val="000000"/>
        </w:rPr>
        <w:t xml:space="preserve"> </w:t>
      </w:r>
      <w:r w:rsidRPr="0044120E">
        <w:rPr>
          <w:rFonts w:eastAsia="Times New Roman" w:cs="Times New Roman"/>
          <w:color w:val="000000"/>
        </w:rPr>
        <w:t>highlights</w:t>
      </w:r>
      <w:r>
        <w:rPr>
          <w:rFonts w:eastAsia="Times New Roman" w:cs="Times New Roman"/>
          <w:color w:val="000000"/>
        </w:rPr>
        <w:t xml:space="preserve"> particularly well</w:t>
      </w:r>
      <w:r w:rsidRPr="0044120E">
        <w:rPr>
          <w:rFonts w:eastAsia="Times New Roman" w:cs="Times New Roman"/>
          <w:color w:val="000000"/>
        </w:rPr>
        <w:t xml:space="preserve"> wh</w:t>
      </w:r>
      <w:r>
        <w:rPr>
          <w:rFonts w:eastAsia="Times New Roman" w:cs="Times New Roman"/>
          <w:color w:val="000000"/>
        </w:rPr>
        <w:t>y this vein of precedent cannot be transplanted to California.</w:t>
      </w:r>
    </w:p>
    <w:p w14:paraId="05B1B849" w14:textId="77777777" w:rsidR="00686EE7" w:rsidRDefault="00140D1F" w:rsidP="00FD1735">
      <w:pPr>
        <w:rPr>
          <w:color w:val="000000"/>
          <w:shd w:val="clear" w:color="auto" w:fill="FFFFFF"/>
        </w:rPr>
      </w:pPr>
      <w:r w:rsidRPr="007A5DA9">
        <w:rPr>
          <w:rFonts w:eastAsia="Times New Roman" w:cs="Times New Roman"/>
          <w:color w:val="000000"/>
        </w:rPr>
        <w:t xml:space="preserve">Applying Connecticut </w:t>
      </w:r>
      <w:r>
        <w:rPr>
          <w:rFonts w:eastAsia="Times New Roman" w:cs="Times New Roman"/>
          <w:color w:val="000000"/>
        </w:rPr>
        <w:t>an</w:t>
      </w:r>
      <w:r>
        <w:rPr>
          <w:rFonts w:eastAsia="Times New Roman" w:cs="Times New Roman"/>
          <w:color w:val="000000"/>
        </w:rPr>
        <w:t xml:space="preserve">d Ohio </w:t>
      </w:r>
      <w:r w:rsidRPr="007A5DA9">
        <w:rPr>
          <w:rFonts w:eastAsia="Times New Roman" w:cs="Times New Roman"/>
          <w:color w:val="000000"/>
        </w:rPr>
        <w:t xml:space="preserve">law, </w:t>
      </w:r>
      <w:r>
        <w:rPr>
          <w:rFonts w:eastAsia="Times New Roman" w:cs="Times New Roman"/>
          <w:color w:val="000000"/>
        </w:rPr>
        <w:t xml:space="preserve">the </w:t>
      </w:r>
      <w:r w:rsidRPr="008818A5">
        <w:rPr>
          <w:rFonts w:eastAsia="Times New Roman" w:cs="Times New Roman"/>
          <w:i/>
          <w:iCs/>
          <w:color w:val="000000"/>
          <w:bdr w:val="none" w:sz="0" w:space="0" w:color="auto" w:frame="1"/>
        </w:rPr>
        <w:t>Cosmetic Laser</w:t>
      </w:r>
      <w:r>
        <w:rPr>
          <w:rFonts w:eastAsia="Times New Roman" w:cs="Times New Roman"/>
          <w:color w:val="000000"/>
        </w:rPr>
        <w:t xml:space="preserve"> court </w:t>
      </w:r>
      <w:r w:rsidRPr="007A5DA9">
        <w:rPr>
          <w:rFonts w:eastAsia="Times New Roman" w:cs="Times New Roman"/>
          <w:color w:val="000000"/>
        </w:rPr>
        <w:t>first analyzes</w:t>
      </w:r>
      <w:r>
        <w:t xml:space="preserve"> the Virus Exclusion, </w:t>
      </w:r>
      <w:r w:rsidRPr="007A5DA9">
        <w:t>and finds it</w:t>
      </w:r>
      <w:r>
        <w:t xml:space="preserve">s exclusionary language </w:t>
      </w:r>
      <w:r w:rsidRPr="007A5DA9">
        <w:t>clear and unambiguous</w:t>
      </w:r>
      <w:r>
        <w:t xml:space="preserve">.  </w:t>
      </w:r>
      <w:r w:rsidRPr="0096607D">
        <w:rPr>
          <w:color w:val="000000"/>
        </w:rPr>
        <w:t>(</w:t>
      </w:r>
      <w:r w:rsidRPr="00A86E6C">
        <w:rPr>
          <w:i/>
          <w:iCs/>
          <w:color w:val="000000"/>
        </w:rPr>
        <w:t>Cosmetic Laser</w:t>
      </w:r>
      <w:r>
        <w:rPr>
          <w:color w:val="000000"/>
        </w:rPr>
        <w:t xml:space="preserve">, </w:t>
      </w:r>
      <w:r w:rsidRPr="00A86E6C">
        <w:rPr>
          <w:i/>
          <w:iCs/>
          <w:color w:val="000000"/>
        </w:rPr>
        <w:t>supra</w:t>
      </w:r>
      <w:r>
        <w:rPr>
          <w:color w:val="000000"/>
        </w:rPr>
        <w:t xml:space="preserve">, 554 F.Supp.3d </w:t>
      </w:r>
      <w:r w:rsidRPr="0096607D">
        <w:rPr>
          <w:color w:val="000000"/>
        </w:rPr>
        <w:t>at p.</w:t>
      </w:r>
      <w:r>
        <w:rPr>
          <w:color w:val="000000"/>
        </w:rPr>
        <w:t> </w:t>
      </w:r>
      <w:r w:rsidRPr="009808A6">
        <w:rPr>
          <w:color w:val="000000"/>
        </w:rPr>
        <w:t>401</w:t>
      </w:r>
      <w:r>
        <w:rPr>
          <w:color w:val="000000"/>
        </w:rPr>
        <w:t xml:space="preserve"> &amp; fn. 9</w:t>
      </w:r>
      <w:r w:rsidRPr="009808A6">
        <w:rPr>
          <w:color w:val="000000"/>
        </w:rPr>
        <w:t xml:space="preserve">.) </w:t>
      </w:r>
      <w:r w:rsidRPr="009808A6">
        <w:t xml:space="preserve"> It</w:t>
      </w:r>
      <w:r>
        <w:t xml:space="preserve"> </w:t>
      </w:r>
      <w:r w:rsidRPr="007A5DA9">
        <w:t xml:space="preserve">then goes on to say that the insured’s proposed reading of </w:t>
      </w:r>
      <w:r>
        <w:t>Subparagraph B.1.f.—</w:t>
      </w:r>
      <w:r w:rsidRPr="007A5DA9">
        <w:t xml:space="preserve">the </w:t>
      </w:r>
      <w:r>
        <w:t>Time Element Coverage clause—“</w:t>
      </w:r>
      <w:r w:rsidRPr="009808A6">
        <w:rPr>
          <w:rFonts w:eastAsia="Times New Roman" w:cs="Times New Roman"/>
          <w:color w:val="000000"/>
        </w:rPr>
        <w:t xml:space="preserve">would </w:t>
      </w:r>
      <w:r w:rsidRPr="009808A6">
        <w:rPr>
          <w:rFonts w:eastAsia="Times New Roman" w:cs="Times New Roman"/>
          <w:color w:val="000000"/>
          <w:bdr w:val="none" w:sz="0" w:space="0" w:color="auto" w:frame="1"/>
        </w:rPr>
        <w:t>swallow</w:t>
      </w:r>
      <w:r w:rsidRPr="009808A6">
        <w:rPr>
          <w:rFonts w:eastAsia="Times New Roman" w:cs="Times New Roman"/>
          <w:color w:val="000000"/>
        </w:rPr>
        <w:t xml:space="preserve"> the Virus Exclusion as a whole.”</w:t>
      </w:r>
      <w:r w:rsidRPr="00605D40">
        <w:rPr>
          <w:rFonts w:eastAsia="Times New Roman" w:cs="Times New Roman"/>
          <w:color w:val="000000"/>
        </w:rPr>
        <w:t xml:space="preserve">  </w:t>
      </w:r>
      <w:r w:rsidRPr="007A3DCC">
        <w:rPr>
          <w:rFonts w:eastAsia="Times New Roman" w:cs="Times New Roman"/>
          <w:color w:val="000000"/>
        </w:rPr>
        <w:t>(</w:t>
      </w:r>
      <w:r w:rsidRPr="0069794F">
        <w:rPr>
          <w:rFonts w:eastAsia="Times New Roman" w:cs="Times New Roman"/>
          <w:i/>
          <w:iCs/>
          <w:color w:val="000000"/>
        </w:rPr>
        <w:t>Cosmetic Laser</w:t>
      </w:r>
      <w:r>
        <w:rPr>
          <w:rFonts w:eastAsia="Times New Roman" w:cs="Times New Roman"/>
          <w:color w:val="000000"/>
        </w:rPr>
        <w:t>,</w:t>
      </w:r>
      <w:r w:rsidRPr="007A3DCC">
        <w:rPr>
          <w:rFonts w:eastAsia="Times New Roman" w:cs="Times New Roman"/>
          <w:color w:val="000000"/>
        </w:rPr>
        <w:t xml:space="preserve"> at p. 404.)  The court explains:  “</w:t>
      </w:r>
      <w:r w:rsidRPr="007A3DCC">
        <w:rPr>
          <w:color w:val="000000"/>
        </w:rPr>
        <w:t>The Virus Exclusion begins by firmly statin</w:t>
      </w:r>
      <w:r w:rsidRPr="007A3DCC">
        <w:rPr>
          <w:color w:val="000000"/>
        </w:rPr>
        <w:t>g that loss or damage resulting from a virus ‘is excluded regardless of any other cause or event that contributes concurrently or in any sequence to the loss.’ ”  (</w:t>
      </w:r>
      <w:r w:rsidRPr="007A3DCC">
        <w:rPr>
          <w:i/>
          <w:iCs/>
          <w:color w:val="000000"/>
        </w:rPr>
        <w:t>Ibid</w:t>
      </w:r>
      <w:r w:rsidRPr="007A3DCC">
        <w:rPr>
          <w:color w:val="000000"/>
        </w:rPr>
        <w:t>.)  After observing that “</w:t>
      </w:r>
      <w:r w:rsidRPr="007A3DCC">
        <w:rPr>
          <w:rFonts w:eastAsia="Times New Roman" w:cs="Times New Roman"/>
          <w:color w:val="000000"/>
        </w:rPr>
        <w:t xml:space="preserve">Cosmetic </w:t>
      </w:r>
      <w:r w:rsidRPr="007A3DCC">
        <w:rPr>
          <w:rFonts w:eastAsia="Times New Roman" w:cs="Times New Roman"/>
          <w:color w:val="000000"/>
          <w:bdr w:val="none" w:sz="0" w:space="0" w:color="auto" w:frame="1"/>
        </w:rPr>
        <w:t>Laser’s</w:t>
      </w:r>
      <w:r w:rsidRPr="007A3DCC">
        <w:rPr>
          <w:rFonts w:eastAsia="Times New Roman" w:cs="Times New Roman"/>
          <w:color w:val="000000"/>
        </w:rPr>
        <w:t xml:space="preserve"> interpretation of Subsection B.1.f</w:t>
      </w:r>
      <w:r>
        <w:rPr>
          <w:rFonts w:eastAsia="Times New Roman" w:cs="Times New Roman"/>
          <w:color w:val="000000"/>
        </w:rPr>
        <w:t>.</w:t>
      </w:r>
      <w:r w:rsidRPr="007A3DCC">
        <w:rPr>
          <w:rFonts w:eastAsia="Times New Roman" w:cs="Times New Roman"/>
          <w:color w:val="000000"/>
        </w:rPr>
        <w:t xml:space="preserve"> would con</w:t>
      </w:r>
      <w:r w:rsidRPr="007A3DCC">
        <w:rPr>
          <w:rFonts w:eastAsia="Times New Roman" w:cs="Times New Roman"/>
          <w:color w:val="000000"/>
        </w:rPr>
        <w:t>flict with the function of the Virus Exclusion” (</w:t>
      </w:r>
      <w:r w:rsidRPr="007A3DCC">
        <w:rPr>
          <w:rFonts w:eastAsia="Times New Roman" w:cs="Times New Roman"/>
          <w:i/>
          <w:iCs/>
          <w:color w:val="000000"/>
        </w:rPr>
        <w:t>ibid</w:t>
      </w:r>
      <w:r w:rsidRPr="007A3DCC">
        <w:rPr>
          <w:rFonts w:eastAsia="Times New Roman" w:cs="Times New Roman"/>
          <w:color w:val="000000"/>
        </w:rPr>
        <w:t xml:space="preserve">.), the court concludes as follows: </w:t>
      </w:r>
      <w:r w:rsidRPr="007A3DCC">
        <w:rPr>
          <w:color w:val="000000"/>
        </w:rPr>
        <w:t xml:space="preserve"> “On [the insured’s proposed] reading, </w:t>
      </w:r>
      <w:r w:rsidRPr="007A3DCC">
        <w:rPr>
          <w:i/>
          <w:iCs/>
          <w:color w:val="000000"/>
        </w:rPr>
        <w:t>that same Virus Exclusion</w:t>
      </w:r>
      <w:r w:rsidRPr="007A3DCC">
        <w:rPr>
          <w:color w:val="000000"/>
        </w:rPr>
        <w:t xml:space="preserve">, just one page later, would grant coverage—without limitation—for suspension of business </w:t>
      </w:r>
      <w:r w:rsidRPr="007A3DCC">
        <w:rPr>
          <w:color w:val="000000"/>
        </w:rPr>
        <w:t>operations due to a virus.  I</w:t>
      </w:r>
      <w:r>
        <w:rPr>
          <w:color w:val="000000"/>
        </w:rPr>
        <w:t xml:space="preserve"> </w:t>
      </w:r>
      <w:r w:rsidRPr="007A3DCC">
        <w:rPr>
          <w:color w:val="000000"/>
        </w:rPr>
        <w:t>will not ‘read</w:t>
      </w:r>
      <w:r w:rsidRPr="007A3DCC">
        <w:rPr>
          <w:color w:val="000000"/>
          <w:spacing w:val="20"/>
        </w:rPr>
        <w:t>[</w:t>
      </w:r>
      <w:r w:rsidRPr="007A3DCC">
        <w:rPr>
          <w:color w:val="000000"/>
        </w:rPr>
        <w:t>] the Limited Coverage provision in the Virus Exclusion to subsume the Policy and the exclusion, itsel</w:t>
      </w:r>
      <w:r w:rsidRPr="008F7711">
        <w:rPr>
          <w:color w:val="000000"/>
          <w:spacing w:val="40"/>
        </w:rPr>
        <w:t>f</w:t>
      </w:r>
      <w:r w:rsidRPr="007A3DCC">
        <w:rPr>
          <w:color w:val="000000"/>
        </w:rPr>
        <w:t>’ ”</w:t>
      </w:r>
      <w:r>
        <w:rPr>
          <w:color w:val="000000"/>
        </w:rPr>
        <w:t xml:space="preserve"> (</w:t>
      </w:r>
      <w:r>
        <w:rPr>
          <w:i/>
          <w:iCs/>
          <w:color w:val="000000"/>
        </w:rPr>
        <w:t>i</w:t>
      </w:r>
      <w:r w:rsidRPr="007A3DCC">
        <w:rPr>
          <w:i/>
          <w:iCs/>
          <w:color w:val="000000"/>
        </w:rPr>
        <w:t>bid</w:t>
      </w:r>
      <w:r w:rsidRPr="007A3DCC">
        <w:rPr>
          <w:color w:val="000000"/>
        </w:rPr>
        <w:t>., italics added)</w:t>
      </w:r>
      <w:r>
        <w:rPr>
          <w:color w:val="000000"/>
        </w:rPr>
        <w:t>.</w:t>
      </w:r>
    </w:p>
    <w:p w14:paraId="0DF77CF9" w14:textId="77777777" w:rsidR="00B25859" w:rsidRDefault="00140D1F" w:rsidP="0032772D">
      <w:pPr>
        <w:rPr>
          <w:rFonts w:eastAsia="Times New Roman" w:cs="Times New Roman"/>
          <w:color w:val="000000"/>
        </w:rPr>
      </w:pPr>
      <w:r>
        <w:rPr>
          <w:rFonts w:eastAsia="Times New Roman" w:cs="Times New Roman"/>
          <w:color w:val="000000"/>
        </w:rPr>
        <w:t xml:space="preserve">We have no reason to delve into whether the principles of Connecticut law, Ohio </w:t>
      </w:r>
      <w:r>
        <w:rPr>
          <w:rFonts w:eastAsia="Times New Roman" w:cs="Times New Roman"/>
          <w:color w:val="000000"/>
        </w:rPr>
        <w:t xml:space="preserve">law, and California law are the same.  We also recognize that the insured in </w:t>
      </w:r>
      <w:r w:rsidRPr="007A3DCC">
        <w:rPr>
          <w:rFonts w:eastAsia="Times New Roman" w:cs="Times New Roman"/>
          <w:i/>
          <w:iCs/>
          <w:color w:val="000000"/>
        </w:rPr>
        <w:t>Cosmetic Laser</w:t>
      </w:r>
      <w:r>
        <w:rPr>
          <w:rFonts w:eastAsia="Times New Roman" w:cs="Times New Roman"/>
          <w:color w:val="000000"/>
        </w:rPr>
        <w:t xml:space="preserve"> made different arguments in favor of coverage than John’s Grill does, but t</w:t>
      </w:r>
      <w:r w:rsidRPr="00A22701">
        <w:rPr>
          <w:color w:val="000000"/>
        </w:rPr>
        <w:t xml:space="preserve">hat court’s conflation of the Virus Exclusion and </w:t>
      </w:r>
      <w:r w:rsidRPr="00A22701">
        <w:rPr>
          <w:color w:val="000000"/>
        </w:rPr>
        <w:lastRenderedPageBreak/>
        <w:t>the Limited Virus Coverage grant demons</w:t>
      </w:r>
      <w:r w:rsidRPr="00A22701">
        <w:rPr>
          <w:color w:val="000000"/>
        </w:rPr>
        <w:t xml:space="preserve">trates why a different analysis is required here.  What the </w:t>
      </w:r>
      <w:r w:rsidRPr="00A22701">
        <w:rPr>
          <w:rFonts w:eastAsia="Times New Roman" w:cs="Times New Roman"/>
          <w:i/>
          <w:iCs/>
          <w:color w:val="000000"/>
        </w:rPr>
        <w:t xml:space="preserve">Cosmetic </w:t>
      </w:r>
      <w:r w:rsidRPr="00CF2153">
        <w:rPr>
          <w:rFonts w:eastAsia="Times New Roman" w:cs="Times New Roman"/>
          <w:i/>
          <w:iCs/>
          <w:color w:val="000000"/>
        </w:rPr>
        <w:t>Laser</w:t>
      </w:r>
      <w:r>
        <w:rPr>
          <w:rFonts w:eastAsia="Times New Roman" w:cs="Times New Roman"/>
          <w:color w:val="000000"/>
        </w:rPr>
        <w:t xml:space="preserve"> court perceived as an internal conflict between the Virus Exclusion and the Limited Virus Coverage grant (at least as it was proposed to be construed by the insured there) is easily</w:t>
      </w:r>
      <w:r>
        <w:rPr>
          <w:rFonts w:eastAsia="Times New Roman" w:cs="Times New Roman"/>
          <w:color w:val="000000"/>
        </w:rPr>
        <w:t xml:space="preserve"> resolved under California law by giving primacy to the insuring agreement in the Limited Virus Coverage provisions, broadly read, and dealing with the Virus Exclusion, narrowly read, only after completing the first step of the analysis (since the Virus Ex</w:t>
      </w:r>
      <w:r>
        <w:rPr>
          <w:rFonts w:eastAsia="Times New Roman" w:cs="Times New Roman"/>
          <w:color w:val="000000"/>
        </w:rPr>
        <w:t>clusion is inapplicable by its plain terms wherever there is Limited Virus Coverage).</w:t>
      </w:r>
    </w:p>
    <w:p w14:paraId="6A8215A0" w14:textId="77777777" w:rsidR="0069778C" w:rsidRDefault="00140D1F" w:rsidP="007A3DCC">
      <w:r>
        <w:rPr>
          <w:rFonts w:eastAsia="Times New Roman" w:cs="Times New Roman"/>
          <w:color w:val="000000"/>
        </w:rPr>
        <w:t xml:space="preserve">Instead, the </w:t>
      </w:r>
      <w:r w:rsidRPr="00525979">
        <w:rPr>
          <w:rFonts w:eastAsia="Times New Roman" w:cs="Times New Roman"/>
          <w:i/>
          <w:iCs/>
          <w:color w:val="000000"/>
        </w:rPr>
        <w:t>Cosmetic Laser</w:t>
      </w:r>
      <w:r>
        <w:rPr>
          <w:rFonts w:eastAsia="Times New Roman" w:cs="Times New Roman"/>
          <w:color w:val="000000"/>
        </w:rPr>
        <w:t xml:space="preserve"> court gave </w:t>
      </w:r>
      <w:r w:rsidRPr="00A22701">
        <w:rPr>
          <w:rFonts w:eastAsia="Times New Roman" w:cs="Times New Roman"/>
          <w:color w:val="000000"/>
        </w:rPr>
        <w:t xml:space="preserve">primacy to the Virus Exclusion, and went on from there, never </w:t>
      </w:r>
      <w:r>
        <w:rPr>
          <w:rFonts w:eastAsia="Times New Roman" w:cs="Times New Roman"/>
          <w:color w:val="000000"/>
        </w:rPr>
        <w:t xml:space="preserve">directly </w:t>
      </w:r>
      <w:r w:rsidRPr="00A22701">
        <w:rPr>
          <w:rFonts w:eastAsia="Times New Roman" w:cs="Times New Roman"/>
          <w:color w:val="000000"/>
        </w:rPr>
        <w:t xml:space="preserve">addressing the </w:t>
      </w:r>
      <w:r>
        <w:rPr>
          <w:rFonts w:eastAsia="Times New Roman" w:cs="Times New Roman"/>
          <w:color w:val="000000"/>
        </w:rPr>
        <w:t xml:space="preserve">full </w:t>
      </w:r>
      <w:r w:rsidRPr="00A22701">
        <w:rPr>
          <w:rFonts w:eastAsia="Times New Roman" w:cs="Times New Roman"/>
          <w:color w:val="000000"/>
        </w:rPr>
        <w:t>scope of the coverage</w:t>
      </w:r>
      <w:r>
        <w:rPr>
          <w:rFonts w:eastAsia="Times New Roman" w:cs="Times New Roman"/>
          <w:color w:val="000000"/>
          <w:shd w:val="clear" w:color="auto" w:fill="FFFFFF"/>
        </w:rPr>
        <w:t xml:space="preserve"> </w:t>
      </w:r>
      <w:r w:rsidRPr="00A22701">
        <w:rPr>
          <w:rFonts w:eastAsia="Times New Roman" w:cs="Times New Roman"/>
          <w:color w:val="000000"/>
        </w:rPr>
        <w:t>grant in the Limit</w:t>
      </w:r>
      <w:r w:rsidRPr="00A22701">
        <w:rPr>
          <w:rFonts w:eastAsia="Times New Roman" w:cs="Times New Roman"/>
          <w:color w:val="000000"/>
        </w:rPr>
        <w:t>ed Virus Coverage provisions.</w:t>
      </w:r>
      <w:r>
        <w:rPr>
          <w:rFonts w:eastAsia="Times New Roman" w:cs="Times New Roman"/>
          <w:color w:val="000000"/>
        </w:rPr>
        <w:t xml:space="preserve">  </w:t>
      </w:r>
      <w:r>
        <w:t xml:space="preserve">This approach to analyzing the Limited Fungi or Virus Coverage Endorsement—which happens to be the same general approach Sentinel persuaded the trial court to take in this case (probably not coincidentally, since counsel for the insurer in </w:t>
      </w:r>
      <w:r w:rsidRPr="00F96885">
        <w:rPr>
          <w:i/>
          <w:iCs/>
        </w:rPr>
        <w:t>Cosmetic Laser</w:t>
      </w:r>
      <w:r>
        <w:t xml:space="preserve"> i</w:t>
      </w:r>
      <w:r>
        <w:t>s also counsel for Sentinel in this case)—follows the organization of the endorsement itself:  Virus Exclusion first, Specified Causes Clause second, Limited Fungi or Virus Coverage provisions third.  But the layout of the Limited Fungi or Virus Coverage E</w:t>
      </w:r>
      <w:r>
        <w:t xml:space="preserve">ndorsement cannot dictate the proper approach to analyzing coverage.  The legal analysis we must apply is governed by settled principles of insurance contract interpretation, not by the format of the endorsement.  Using the Limited Fungi or Virus Coverage </w:t>
      </w:r>
      <w:r>
        <w:t>Endorsement as a self-contained map to the analysis effectively treats it in isolation from the rest of the Policy, contrary to those principles.</w:t>
      </w:r>
    </w:p>
    <w:p w14:paraId="1B848BAB" w14:textId="77777777" w:rsidR="0032772D" w:rsidRDefault="00140D1F" w:rsidP="0032772D">
      <w:pPr>
        <w:rPr>
          <w:rFonts w:eastAsia="Times New Roman" w:cs="Times New Roman"/>
          <w:color w:val="000000"/>
          <w:shd w:val="clear" w:color="auto" w:fill="FFFFFF"/>
        </w:rPr>
      </w:pPr>
      <w:r w:rsidRPr="008F2938">
        <w:rPr>
          <w:rFonts w:eastAsia="Times New Roman" w:cs="Times New Roman"/>
          <w:color w:val="000000"/>
        </w:rPr>
        <w:t xml:space="preserve">That is not how we proceed in this state.  The sequence of analysis matters.  Because insuring agreements and </w:t>
      </w:r>
      <w:r w:rsidRPr="008F2938">
        <w:rPr>
          <w:rFonts w:eastAsia="Times New Roman" w:cs="Times New Roman"/>
          <w:color w:val="000000"/>
        </w:rPr>
        <w:t xml:space="preserve">exceptions to exclusions are to be </w:t>
      </w:r>
      <w:r w:rsidRPr="008F2938">
        <w:rPr>
          <w:rFonts w:eastAsia="Times New Roman" w:cs="Times New Roman"/>
          <w:color w:val="000000"/>
        </w:rPr>
        <w:lastRenderedPageBreak/>
        <w:t xml:space="preserve">read broadly in favor of coverage, the key question here is not whether the Limited Virus Coverage would swallow the Virus Exclusion, which was </w:t>
      </w:r>
      <w:r>
        <w:rPr>
          <w:rFonts w:eastAsia="Times New Roman" w:cs="Times New Roman"/>
          <w:color w:val="000000"/>
        </w:rPr>
        <w:t>a</w:t>
      </w:r>
      <w:r w:rsidRPr="008F2938">
        <w:rPr>
          <w:rFonts w:eastAsia="Times New Roman" w:cs="Times New Roman"/>
          <w:color w:val="000000"/>
        </w:rPr>
        <w:t xml:space="preserve"> stated concern of the </w:t>
      </w:r>
      <w:r w:rsidRPr="008F2938">
        <w:rPr>
          <w:rFonts w:eastAsia="Times New Roman" w:cs="Times New Roman"/>
          <w:i/>
          <w:color w:val="000000"/>
        </w:rPr>
        <w:t>Cosmetic Laser</w:t>
      </w:r>
      <w:r w:rsidRPr="008F2938">
        <w:rPr>
          <w:rFonts w:eastAsia="Times New Roman" w:cs="Times New Roman"/>
          <w:color w:val="000000"/>
        </w:rPr>
        <w:t xml:space="preserve"> court.  Rather, it is just the opposit</w:t>
      </w:r>
      <w:r w:rsidRPr="008F2938">
        <w:rPr>
          <w:rFonts w:eastAsia="Times New Roman" w:cs="Times New Roman"/>
          <w:color w:val="000000"/>
        </w:rPr>
        <w:t>e.  Under California law we are concerned with giving an affirmative grant of coverage its fullest reach, in accord with its text and structure, while bearing in mind that ambiguities must be resolved in accordance with the reasonable expectations of the i</w:t>
      </w:r>
      <w:r w:rsidRPr="008F2938">
        <w:rPr>
          <w:rFonts w:eastAsia="Times New Roman" w:cs="Times New Roman"/>
          <w:color w:val="000000"/>
        </w:rPr>
        <w:t>nsured.  The applicability of the Virus Exclusion may be determined only after that threshold question is answered, keeping in mind the exclusion is to be given narrow scope.</w:t>
      </w:r>
    </w:p>
    <w:p w14:paraId="46EEF237" w14:textId="77777777" w:rsidR="00D92215" w:rsidRPr="00325809" w:rsidRDefault="00140D1F" w:rsidP="0009332B">
      <w:pPr>
        <w:pStyle w:val="Heading1"/>
      </w:pPr>
      <w:r w:rsidRPr="00325809">
        <w:t>DISPOSITION</w:t>
      </w:r>
    </w:p>
    <w:p w14:paraId="57CF12AD" w14:textId="77777777" w:rsidR="00EC24E2" w:rsidRDefault="00140D1F" w:rsidP="004F113E">
      <w:pPr>
        <w:keepNext/>
        <w:rPr>
          <w:rFonts w:cs="Times New Roman"/>
        </w:rPr>
      </w:pPr>
      <w:r>
        <w:t>The judgment is affirmed in part (as to HFSG) and reversed in part (a</w:t>
      </w:r>
      <w:r>
        <w:t>s to Sentinel) and remanded for further proceedings, if any are warranted following the reported settlement.  The parties are to bear their own costs on appeal.</w:t>
      </w:r>
    </w:p>
    <w:p w14:paraId="3E0C69DD" w14:textId="77777777" w:rsidR="006B3038" w:rsidRDefault="00140D1F" w:rsidP="009E7801">
      <w:pPr>
        <w:keepNext/>
        <w:keepLines/>
        <w:tabs>
          <w:tab w:val="left" w:pos="6120"/>
        </w:tabs>
        <w:spacing w:line="240" w:lineRule="auto"/>
        <w:ind w:firstLine="0"/>
      </w:pPr>
      <w:r>
        <w:tab/>
        <w:t>STREETER, J.</w:t>
      </w:r>
    </w:p>
    <w:p w14:paraId="7D461627" w14:textId="77777777" w:rsidR="006B3038" w:rsidRDefault="00140D1F" w:rsidP="00E712B9">
      <w:pPr>
        <w:tabs>
          <w:tab w:val="left" w:pos="1620"/>
        </w:tabs>
        <w:spacing w:before="240" w:after="240" w:line="240" w:lineRule="auto"/>
        <w:ind w:firstLine="0"/>
      </w:pPr>
      <w:r>
        <w:t>WE CONCUR:</w:t>
      </w:r>
    </w:p>
    <w:p w14:paraId="04CCD254" w14:textId="77777777" w:rsidR="006B3038" w:rsidRDefault="00140D1F" w:rsidP="00E712B9">
      <w:pPr>
        <w:tabs>
          <w:tab w:val="left" w:pos="1620"/>
        </w:tabs>
        <w:spacing w:line="240" w:lineRule="auto"/>
        <w:ind w:firstLine="0"/>
      </w:pPr>
      <w:r>
        <w:t>POLLAK, P. J.</w:t>
      </w:r>
    </w:p>
    <w:p w14:paraId="40AD933E" w14:textId="77777777" w:rsidR="006B3038" w:rsidRDefault="00140D1F" w:rsidP="00E712B9">
      <w:pPr>
        <w:tabs>
          <w:tab w:val="left" w:pos="1620"/>
        </w:tabs>
        <w:spacing w:line="240" w:lineRule="auto"/>
        <w:ind w:firstLine="0"/>
      </w:pPr>
      <w:r>
        <w:t>GOLDMAN, J.</w:t>
      </w:r>
    </w:p>
    <w:p w14:paraId="5DF68A3D" w14:textId="77777777" w:rsidR="006B3038" w:rsidRDefault="00140D1F">
      <w:pPr>
        <w:ind w:firstLine="0"/>
        <w:rPr>
          <w:rFonts w:cs="Times New Roman"/>
        </w:rPr>
        <w:sectPr w:rsidR="006B3038" w:rsidSect="000950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6222265" w14:textId="77777777" w:rsidR="00DA3736" w:rsidRPr="00E40344" w:rsidRDefault="00140D1F" w:rsidP="008A4DDA">
      <w:pPr>
        <w:tabs>
          <w:tab w:val="left" w:pos="1620"/>
        </w:tabs>
        <w:spacing w:after="240" w:line="240" w:lineRule="auto"/>
        <w:ind w:left="2340" w:hanging="2340"/>
      </w:pPr>
      <w:r w:rsidRPr="00E40344">
        <w:lastRenderedPageBreak/>
        <w:t>Trial Court:</w:t>
      </w:r>
      <w:r w:rsidRPr="00E40344">
        <w:tab/>
      </w:r>
      <w:r w:rsidRPr="00DA3736">
        <w:t>Superior Court of California, County of San</w:t>
      </w:r>
      <w:r>
        <w:t xml:space="preserve"> Francisco</w:t>
      </w:r>
    </w:p>
    <w:p w14:paraId="768E6D88" w14:textId="77777777" w:rsidR="00DA3736" w:rsidRPr="00E40344" w:rsidRDefault="00140D1F" w:rsidP="008A4DDA">
      <w:pPr>
        <w:tabs>
          <w:tab w:val="left" w:pos="1620"/>
        </w:tabs>
        <w:spacing w:after="240" w:line="240" w:lineRule="auto"/>
        <w:ind w:left="2340" w:hanging="2340"/>
      </w:pPr>
      <w:r w:rsidRPr="00E40344">
        <w:t>Trial Judge:</w:t>
      </w:r>
      <w:r w:rsidRPr="00E40344">
        <w:tab/>
        <w:t>Hon</w:t>
      </w:r>
      <w:r>
        <w:t>. Ethan P. Schulman</w:t>
      </w:r>
    </w:p>
    <w:p w14:paraId="510CE960" w14:textId="77777777" w:rsidR="00DA3736" w:rsidRPr="00E5627B" w:rsidRDefault="00140D1F" w:rsidP="008A4DDA">
      <w:pPr>
        <w:tabs>
          <w:tab w:val="left" w:pos="1620"/>
        </w:tabs>
        <w:spacing w:line="240" w:lineRule="auto"/>
        <w:ind w:left="1980" w:hanging="1980"/>
      </w:pPr>
      <w:r w:rsidRPr="00E40344">
        <w:t>Counsel:</w:t>
      </w:r>
      <w:r w:rsidRPr="00E40344">
        <w:tab/>
      </w:r>
      <w:r>
        <w:t xml:space="preserve">Cotchett, Pitre &amp; McCarthy, Nanci E. Nishimura, Brian Danitz, Andrew F. Kirtley, Julia Q. Peng, </w:t>
      </w:r>
      <w:r w:rsidRPr="00E5627B">
        <w:t>for</w:t>
      </w:r>
      <w:r>
        <w:t xml:space="preserve"> </w:t>
      </w:r>
      <w:r w:rsidRPr="00E5627B">
        <w:t>Plaintiffs and Appellants.</w:t>
      </w:r>
    </w:p>
    <w:p w14:paraId="7761E229" w14:textId="77777777" w:rsidR="00DA3736" w:rsidRPr="00E5627B" w:rsidRDefault="00140D1F" w:rsidP="008A4DDA">
      <w:pPr>
        <w:tabs>
          <w:tab w:val="left" w:pos="1620"/>
        </w:tabs>
        <w:spacing w:line="240" w:lineRule="auto"/>
        <w:ind w:left="1980" w:hanging="1980"/>
      </w:pPr>
    </w:p>
    <w:p w14:paraId="012E3A61" w14:textId="77777777" w:rsidR="00D13F7E" w:rsidRDefault="00140D1F" w:rsidP="00F80798">
      <w:pPr>
        <w:tabs>
          <w:tab w:val="left" w:pos="1620"/>
        </w:tabs>
        <w:spacing w:line="240" w:lineRule="auto"/>
        <w:ind w:left="1980" w:hanging="1980"/>
        <w:rPr>
          <w:rFonts w:cs="Times New Roman"/>
        </w:rPr>
      </w:pPr>
      <w:r w:rsidRPr="00E5627B">
        <w:tab/>
      </w:r>
      <w:r w:rsidRPr="00C77DB6">
        <w:t>S</w:t>
      </w:r>
      <w:r>
        <w:t>teptoe &amp; Johnson, Anthony J. Anscombe;</w:t>
      </w:r>
      <w:r w:rsidRPr="00C77DB6">
        <w:t xml:space="preserve"> </w:t>
      </w:r>
      <w:r>
        <w:t xml:space="preserve">Wiggin and Dana, Tadhg Dooley, David R. Roth, </w:t>
      </w:r>
      <w:r w:rsidRPr="00E5627B">
        <w:t>for Defendants</w:t>
      </w:r>
      <w:r w:rsidRPr="004B4A1E">
        <w:t xml:space="preserve"> </w:t>
      </w:r>
      <w:r>
        <w:t xml:space="preserve">and </w:t>
      </w:r>
      <w:r w:rsidRPr="004B4A1E">
        <w:t>Respondent</w:t>
      </w:r>
      <w:r>
        <w:t>s</w:t>
      </w:r>
      <w:r w:rsidRPr="004B4A1E">
        <w:t>.</w:t>
      </w:r>
    </w:p>
    <w:sectPr w:rsidR="00D13F7E" w:rsidSect="007444E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FA91" w14:textId="77777777" w:rsidR="00000000" w:rsidRDefault="00140D1F">
      <w:pPr>
        <w:spacing w:line="240" w:lineRule="auto"/>
      </w:pPr>
      <w:r>
        <w:separator/>
      </w:r>
    </w:p>
  </w:endnote>
  <w:endnote w:type="continuationSeparator" w:id="0">
    <w:p w14:paraId="4B1358F0" w14:textId="77777777" w:rsidR="00000000" w:rsidRDefault="00140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ArialMT">
    <w:altName w:val="Arial"/>
    <w:charset w:val="00"/>
    <w:family w:val="roman"/>
    <w:pitch w:val="default"/>
    <w:sig w:usb0="00000003" w:usb1="00000000" w:usb2="00000000" w:usb3="00000000" w:csb0="00000001" w:csb1="00000000"/>
  </w:font>
  <w:font w:name="Arial-BoldMT">
    <w:altName w:val="Arial"/>
    <w:charset w:val="00"/>
    <w:family w:val="swiss"/>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2B79" w14:textId="77777777" w:rsidR="00865119" w:rsidRDefault="00140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90405"/>
      <w:docPartObj>
        <w:docPartGallery w:val="Page Numbers (Bottom of Page)"/>
        <w:docPartUnique/>
      </w:docPartObj>
    </w:sdtPr>
    <w:sdtEndPr>
      <w:rPr>
        <w:noProof/>
      </w:rPr>
    </w:sdtEndPr>
    <w:sdtContent>
      <w:p w14:paraId="48EA1AC0" w14:textId="77777777" w:rsidR="00E14808" w:rsidRDefault="00140D1F"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B350" w14:textId="77777777" w:rsidR="00865119" w:rsidRDefault="00140D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0111" w14:textId="77777777" w:rsidR="00E14808" w:rsidRPr="00EA2738" w:rsidRDefault="00140D1F" w:rsidP="00AC6AE7">
    <w:pPr>
      <w:pStyle w:val="Footer"/>
      <w:tabs>
        <w:tab w:val="clear" w:pos="720"/>
      </w:tabs>
      <w:ind w:firstLine="0"/>
      <w:rPr>
        <w:sz w:val="20"/>
        <w:szCs w:val="20"/>
      </w:rPr>
    </w:pPr>
    <w:r w:rsidRPr="00EA2738">
      <w:rPr>
        <w:i/>
        <w:iCs/>
        <w:sz w:val="20"/>
        <w:szCs w:val="20"/>
      </w:rPr>
      <w:t>John’s G</w:t>
    </w:r>
    <w:r w:rsidRPr="00EA2738">
      <w:rPr>
        <w:i/>
        <w:iCs/>
        <w:sz w:val="20"/>
        <w:szCs w:val="20"/>
      </w:rPr>
      <w:t>rill, Inc., et al. v. The Hartford Financial Services Group, Inc., et al.</w:t>
    </w:r>
    <w:r w:rsidRPr="00EA2738">
      <w:rPr>
        <w:sz w:val="20"/>
        <w:szCs w:val="20"/>
      </w:rPr>
      <w:t xml:space="preserve"> - A162709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7D64" w14:textId="77777777" w:rsidR="00A47156" w:rsidRDefault="00140D1F" w:rsidP="003B2BC2">
      <w:pPr>
        <w:spacing w:line="240" w:lineRule="auto"/>
        <w:ind w:firstLine="0"/>
      </w:pPr>
      <w:r>
        <w:separator/>
      </w:r>
    </w:p>
  </w:footnote>
  <w:footnote w:type="continuationSeparator" w:id="0">
    <w:p w14:paraId="5A3BAD13" w14:textId="77777777" w:rsidR="00A47156" w:rsidRDefault="00140D1F" w:rsidP="003B2BC2">
      <w:pPr>
        <w:spacing w:line="240" w:lineRule="auto"/>
        <w:ind w:firstLine="0"/>
      </w:pPr>
      <w:r>
        <w:continuationSeparator/>
      </w:r>
    </w:p>
  </w:footnote>
  <w:footnote w:type="continuationNotice" w:id="1">
    <w:p w14:paraId="3F1926FB" w14:textId="77777777" w:rsidR="00A47156" w:rsidRDefault="00140D1F">
      <w:pPr>
        <w:spacing w:line="240" w:lineRule="auto"/>
      </w:pPr>
    </w:p>
  </w:footnote>
  <w:footnote w:id="2">
    <w:p w14:paraId="085BF31A" w14:textId="77777777" w:rsidR="00C20594" w:rsidRDefault="00140D1F" w:rsidP="00AE0E1B">
      <w:pPr>
        <w:pStyle w:val="FootnoteText"/>
        <w:spacing w:after="0"/>
      </w:pPr>
      <w:r>
        <w:rPr>
          <w:rStyle w:val="FootnoteReference"/>
        </w:rPr>
        <w:t>*</w:t>
      </w:r>
      <w:r>
        <w:t xml:space="preserve"> Pursuant to California Rules of Court, rules 8.1105(b) and 8.1110, this opinion is certified for publication with </w:t>
      </w:r>
      <w:r w:rsidRPr="00A26F3C">
        <w:t>the exception of part II.A.</w:t>
      </w:r>
    </w:p>
  </w:footnote>
  <w:footnote w:id="3">
    <w:p w14:paraId="4A89D26F" w14:textId="77777777" w:rsidR="009E1CAE" w:rsidRDefault="00140D1F">
      <w:pPr>
        <w:pStyle w:val="FootnoteText"/>
      </w:pPr>
      <w:r>
        <w:rPr>
          <w:rStyle w:val="FootnoteReference"/>
        </w:rPr>
        <w:footnoteRef/>
      </w:r>
      <w:r>
        <w:t xml:space="preserve"> These modifications, set forth in an endorsement entitled “Super Stretch for Restaurants,” apply specifically t</w:t>
      </w:r>
      <w:r>
        <w:t>o the Special Property Coverage Form.</w:t>
      </w:r>
    </w:p>
  </w:footnote>
  <w:footnote w:id="4">
    <w:p w14:paraId="245AC9B0" w14:textId="77777777" w:rsidR="00735C5C" w:rsidRDefault="00140D1F" w:rsidP="00735C5C">
      <w:pPr>
        <w:pStyle w:val="FootnoteText"/>
      </w:pPr>
      <w:r>
        <w:rPr>
          <w:rStyle w:val="FootnoteReference"/>
        </w:rPr>
        <w:footnoteRef/>
      </w:r>
      <w:r>
        <w:t xml:space="preserve"> An endorsement entitled “Perils Specifically Excepted” provides that, “</w:t>
      </w:r>
      <w:r w:rsidRPr="004132C1">
        <w:t xml:space="preserve">As used herein, </w:t>
      </w:r>
      <w:r>
        <w:t>‘</w:t>
      </w:r>
      <w:r w:rsidRPr="004132C1">
        <w:t>Peril</w:t>
      </w:r>
      <w:r>
        <w:t>’</w:t>
      </w:r>
      <w:r w:rsidRPr="004132C1">
        <w:t xml:space="preserve"> means a cause of physical loss or damage to property.</w:t>
      </w:r>
      <w:r>
        <w:t>”  Paragraphs A and B of the endorsement go on to list a series of “</w:t>
      </w:r>
      <w:r>
        <w:t>excepted” “Perils.”  And Paragraph B of the Special Property Coverage Form sets forth a list of exclusions.</w:t>
      </w:r>
    </w:p>
  </w:footnote>
  <w:footnote w:id="5">
    <w:p w14:paraId="49F824DA" w14:textId="77777777" w:rsidR="003E4191" w:rsidRDefault="00140D1F">
      <w:pPr>
        <w:pStyle w:val="FootnoteText"/>
      </w:pPr>
      <w:r>
        <w:rPr>
          <w:rStyle w:val="FootnoteReference"/>
        </w:rPr>
        <w:footnoteRef/>
      </w:r>
      <w:r>
        <w:t xml:space="preserve"> Sentinel, not HFSG, is the insurer named on the Policy, but in its opposition to </w:t>
      </w:r>
      <w:r w:rsidRPr="00DD46E8">
        <w:t>HFSG’s motion to quash, John’s Grill argued the Policy was drafted and sold by The Hartford (the trade name that is commonly used for HFSG).  John’s Grill had also named as a</w:t>
      </w:r>
      <w:r w:rsidRPr="00DD46E8">
        <w:t xml:space="preserve"> defendant Norbay Insurance Services, Inc</w:t>
      </w:r>
      <w:r>
        <w:t>., the insurance broker that sold the Policy to it.  The trial court dismissed Norbay from the case in March 2021.  John’s Grill does not appeal this dismissal.</w:t>
      </w:r>
    </w:p>
  </w:footnote>
  <w:footnote w:id="6">
    <w:p w14:paraId="4FAA96B6" w14:textId="77777777" w:rsidR="005A6D11" w:rsidRDefault="00140D1F">
      <w:pPr>
        <w:pStyle w:val="FootnoteText"/>
      </w:pPr>
      <w:r>
        <w:rPr>
          <w:rStyle w:val="FootnoteReference"/>
        </w:rPr>
        <w:footnoteRef/>
      </w:r>
      <w:r>
        <w:t xml:space="preserve"> In its motion to quash, HFSG argued that the court l</w:t>
      </w:r>
      <w:r>
        <w:t>acked both general jurisdiction and specific jurisdiction.  In its opposition and opening brief on appeal, John’s Grill only argues that specific jurisdiction exists over HFSG.  John’s Grill does not dispute that the court lacks general jurisdiction.</w:t>
      </w:r>
    </w:p>
  </w:footnote>
  <w:footnote w:id="7">
    <w:p w14:paraId="5E64A3F3" w14:textId="77777777" w:rsidR="009A0DF1" w:rsidRDefault="00140D1F" w:rsidP="00EF19CB">
      <w:pPr>
        <w:spacing w:after="120" w:line="240" w:lineRule="auto"/>
      </w:pPr>
      <w:r>
        <w:rPr>
          <w:rStyle w:val="FootnoteReference"/>
        </w:rPr>
        <w:footnoteRef/>
      </w:r>
      <w:r>
        <w:t xml:space="preserve"> Joh</w:t>
      </w:r>
      <w:r>
        <w:t xml:space="preserve">n’s Grill alleges that the </w:t>
      </w:r>
      <w:r w:rsidRPr="00795E7C">
        <w:t>Lost Business Income and Extra Expense coverages may be found at</w:t>
      </w:r>
      <w:r>
        <w:t xml:space="preserve"> </w:t>
      </w:r>
      <w:r w:rsidRPr="008C1794">
        <w:t>Subparagraphs A.5.o. and A</w:t>
      </w:r>
      <w:r w:rsidRPr="003E6135">
        <w:t>.5.q. of</w:t>
      </w:r>
      <w:r>
        <w:t xml:space="preserve"> the Special Property Coverage Form.  But the Policy itself—which is attached to and incorporated in the operative complaint—shows</w:t>
      </w:r>
      <w:r>
        <w:t xml:space="preserve"> that these provisions were replaced by an endorsement titled “Actual Loss Sustained Business Income &amp; Extra Expense—Specified Limit Coverage.”  Absent this modifying change, the business interruption coverage provided by the Special Property Coverage Form</w:t>
      </w:r>
      <w:r>
        <w:t xml:space="preserve"> was “</w:t>
      </w:r>
      <w:r w:rsidRPr="00583F7A">
        <w:t>not subject to the Limits of Insurance</w:t>
      </w:r>
      <w:r>
        <w:t>” stated in the Declarations.  (See Subparagraph A.5.o.; see also Subparagraph A.5.p.(3)(c).</w:t>
      </w:r>
      <w:r w:rsidRPr="0072084A">
        <w:t>ii</w:t>
      </w:r>
      <w:r>
        <w:t>. [same for Extra Expenses].</w:t>
      </w:r>
      <w:r w:rsidRPr="0072084A">
        <w:t>)</w:t>
      </w:r>
      <w:r>
        <w:t xml:space="preserve">  Effectively, the applicable limit was temporal:  Lost Business Income and Extra Expense</w:t>
      </w:r>
      <w:r>
        <w:t xml:space="preserve"> losses occurring “within 12 consecutive months after the date of direct physical loss or physical damage” and within 24 months after the inception of the Policy were covered.</w:t>
      </w:r>
    </w:p>
    <w:p w14:paraId="55F28754" w14:textId="77777777" w:rsidR="00D54B83" w:rsidRDefault="00140D1F" w:rsidP="00D54B83">
      <w:pPr>
        <w:spacing w:line="240" w:lineRule="auto"/>
      </w:pPr>
      <w:r>
        <w:t>The language of the Lost Business Income and Extra Expense Endorsement tracks th</w:t>
      </w:r>
      <w:r>
        <w:t xml:space="preserve">e original form </w:t>
      </w:r>
      <w:r w:rsidRPr="00E658E6">
        <w:t xml:space="preserve">language </w:t>
      </w:r>
      <w:r w:rsidRPr="00346C44">
        <w:t xml:space="preserve">in </w:t>
      </w:r>
      <w:r>
        <w:t>Subp</w:t>
      </w:r>
      <w:r w:rsidRPr="00346C44">
        <w:t>aragraphs A.5.o. and A.5.q. of the Special Property Coverage Form, but modifies it by adding a “Specified Limit” ($50,000</w:t>
      </w:r>
      <w:r w:rsidRPr="00E658E6">
        <w:t xml:space="preserve"> per occurrence and $4,000,000 total) indicated in the Declarations summary.  The fact that the replace</w:t>
      </w:r>
      <w:r w:rsidRPr="00E658E6">
        <w:t>ment language is virtually identical to the original form language presumably explains why in the main briefs none of the parties draws attention to it.  In a supplemental</w:t>
      </w:r>
      <w:r>
        <w:t xml:space="preserve"> briefing order, we asked the parties to address the Lost Business Income and Extra E</w:t>
      </w:r>
      <w:r>
        <w:t>xpense Endorsement, among other things.  The supplemental briefs confirm that, while the parties disagree about whether John’s Grill’s claim in this case is covered under any provisions of the Policy, there is no dispute that John’s Grill seeks coverage in</w:t>
      </w:r>
      <w:r>
        <w:t xml:space="preserve"> this case under the Lost Business Income and Extra Expense Endorsement, not under Subparagraphs A.5.o. and A.5.q. of the Special Property Coverage Form.</w:t>
      </w:r>
    </w:p>
  </w:footnote>
  <w:footnote w:id="8">
    <w:p w14:paraId="543E8A7D" w14:textId="77777777" w:rsidR="00605D40" w:rsidRPr="00CE296B" w:rsidRDefault="00140D1F" w:rsidP="006B737C">
      <w:pPr>
        <w:pStyle w:val="NormalWeb"/>
        <w:spacing w:before="0" w:beforeAutospacing="0" w:after="0" w:afterAutospacing="0"/>
        <w:ind w:firstLine="720"/>
        <w:textAlignment w:val="baseline"/>
        <w:rPr>
          <w:rFonts w:ascii="Century Schoolbook" w:hAnsi="Century Schoolbook"/>
          <w:sz w:val="26"/>
          <w:szCs w:val="26"/>
        </w:rPr>
      </w:pPr>
      <w:r w:rsidRPr="00CE296B">
        <w:rPr>
          <w:rStyle w:val="FootnoteReference"/>
          <w:rFonts w:ascii="Century Schoolbook" w:hAnsi="Century Schoolbook"/>
          <w:sz w:val="26"/>
          <w:szCs w:val="26"/>
        </w:rPr>
        <w:footnoteRef/>
      </w:r>
      <w:r w:rsidRPr="00CE296B">
        <w:rPr>
          <w:rFonts w:ascii="Century Schoolbook" w:hAnsi="Century Schoolbook"/>
          <w:sz w:val="26"/>
          <w:szCs w:val="26"/>
        </w:rPr>
        <w:t xml:space="preserve"> The </w:t>
      </w:r>
      <w:r w:rsidRPr="00CE296B">
        <w:rPr>
          <w:rFonts w:ascii="Century Schoolbook" w:hAnsi="Century Schoolbook"/>
          <w:i/>
          <w:sz w:val="26"/>
          <w:szCs w:val="26"/>
        </w:rPr>
        <w:t>Mudpie</w:t>
      </w:r>
      <w:r w:rsidRPr="00CE296B">
        <w:rPr>
          <w:rFonts w:ascii="Century Schoolbook" w:hAnsi="Century Schoolbook"/>
          <w:sz w:val="26"/>
          <w:szCs w:val="26"/>
        </w:rPr>
        <w:t xml:space="preserve"> line of cases applying California law is consistent with a nearly uniform trend across th</w:t>
      </w:r>
      <w:r w:rsidRPr="00CE296B">
        <w:rPr>
          <w:rFonts w:ascii="Century Schoolbook" w:hAnsi="Century Schoolbook"/>
          <w:sz w:val="26"/>
          <w:szCs w:val="26"/>
        </w:rPr>
        <w:t xml:space="preserve">e country, primarily in federal diversity cases.  </w:t>
      </w:r>
      <w:r>
        <w:rPr>
          <w:rFonts w:ascii="Century Schoolbook" w:hAnsi="Century Schoolbook"/>
          <w:sz w:val="26"/>
          <w:szCs w:val="26"/>
        </w:rPr>
        <w:t>(</w:t>
      </w:r>
      <w:r w:rsidRPr="00CE296B">
        <w:rPr>
          <w:rFonts w:ascii="Century Schoolbook" w:hAnsi="Century Schoolbook" w:cs="TimesNewRomanPSMT"/>
          <w:sz w:val="26"/>
          <w:szCs w:val="26"/>
        </w:rPr>
        <w:t xml:space="preserve">See, e.g., </w:t>
      </w:r>
      <w:r w:rsidRPr="00CE296B">
        <w:rPr>
          <w:rFonts w:ascii="Century Schoolbook" w:hAnsi="Century Schoolbook" w:cs="Calibri"/>
          <w:i/>
          <w:color w:val="000000"/>
          <w:sz w:val="26"/>
          <w:szCs w:val="26"/>
          <w:bdr w:val="none" w:sz="0" w:space="0" w:color="auto" w:frame="1"/>
        </w:rPr>
        <w:t>Q Clothier New Orleans v. Twin City Fire Ins.</w:t>
      </w:r>
      <w:r w:rsidRPr="00CE296B">
        <w:rPr>
          <w:rFonts w:ascii="Century Schoolbook" w:hAnsi="Century Schoolbook" w:cs="Calibri"/>
          <w:color w:val="000000"/>
          <w:sz w:val="26"/>
          <w:szCs w:val="26"/>
        </w:rPr>
        <w:t xml:space="preserve"> (5th Cir. 2022) 29 F.4th 252, 259; </w:t>
      </w:r>
      <w:r w:rsidRPr="00CE296B">
        <w:rPr>
          <w:rFonts w:ascii="Century Schoolbook" w:hAnsi="Century Schoolbook" w:cs="Calibri"/>
          <w:i/>
          <w:color w:val="000000"/>
          <w:sz w:val="26"/>
          <w:szCs w:val="26"/>
          <w:bdr w:val="none" w:sz="0" w:space="0" w:color="auto" w:frame="1"/>
        </w:rPr>
        <w:t>Uncork &amp; Create LLC v. Cincinnati Ins</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i/>
          <w:color w:val="000000"/>
          <w:sz w:val="26"/>
          <w:szCs w:val="26"/>
          <w:bdr w:val="none" w:sz="0" w:space="0" w:color="auto" w:frame="1"/>
        </w:rPr>
        <w:t xml:space="preserve"> Co.</w:t>
      </w:r>
      <w:r w:rsidRPr="00CE296B">
        <w:rPr>
          <w:rFonts w:ascii="Century Schoolbook" w:hAnsi="Century Schoolbook" w:cs="Calibri"/>
          <w:color w:val="000000"/>
          <w:sz w:val="26"/>
          <w:szCs w:val="26"/>
        </w:rPr>
        <w:t xml:space="preserve"> (4th Cir. 2022) 27 F.4th 926, 933–934; </w:t>
      </w:r>
      <w:r w:rsidRPr="00CE296B">
        <w:rPr>
          <w:rFonts w:ascii="Century Schoolbook" w:hAnsi="Century Schoolbook" w:cs="Calibri"/>
          <w:i/>
          <w:color w:val="000000"/>
          <w:sz w:val="26"/>
          <w:szCs w:val="26"/>
          <w:bdr w:val="none" w:sz="0" w:space="0" w:color="auto" w:frame="1"/>
        </w:rPr>
        <w:t>10012 Holdings, Inc. v. Sentinel Ins</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i/>
          <w:color w:val="000000"/>
          <w:sz w:val="26"/>
          <w:szCs w:val="26"/>
          <w:bdr w:val="none" w:sz="0" w:space="0" w:color="auto" w:frame="1"/>
        </w:rPr>
        <w:t xml:space="preserve"> Co</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color w:val="000000"/>
          <w:sz w:val="26"/>
          <w:szCs w:val="26"/>
        </w:rPr>
        <w:t xml:space="preserve"> (2d</w:t>
      </w:r>
      <w:r>
        <w:rPr>
          <w:rFonts w:ascii="Century Schoolbook" w:hAnsi="Century Schoolbook" w:cs="Calibri"/>
          <w:color w:val="000000"/>
          <w:sz w:val="26"/>
          <w:szCs w:val="26"/>
        </w:rPr>
        <w:t> </w:t>
      </w:r>
      <w:r w:rsidRPr="00CE296B">
        <w:rPr>
          <w:rFonts w:ascii="Century Schoolbook" w:hAnsi="Century Schoolbook" w:cs="Calibri"/>
          <w:color w:val="000000"/>
          <w:sz w:val="26"/>
          <w:szCs w:val="26"/>
        </w:rPr>
        <w:t xml:space="preserve">Cir. 2021) 21 F.4th 216, 220–223; </w:t>
      </w:r>
      <w:r w:rsidRPr="00CE296B">
        <w:rPr>
          <w:rFonts w:ascii="Century Schoolbook" w:hAnsi="Century Schoolbook" w:cs="Calibri"/>
          <w:i/>
          <w:color w:val="000000"/>
          <w:sz w:val="26"/>
          <w:szCs w:val="26"/>
          <w:bdr w:val="none" w:sz="0" w:space="0" w:color="auto" w:frame="1"/>
        </w:rPr>
        <w:t>Santo’s Italian Café LLC v. Acuity Ins</w:t>
      </w:r>
      <w:r>
        <w:rPr>
          <w:rFonts w:ascii="Century Schoolbook" w:hAnsi="Century Schoolbook" w:cs="Calibri"/>
          <w:i/>
          <w:color w:val="000000"/>
          <w:sz w:val="26"/>
          <w:szCs w:val="26"/>
          <w:bdr w:val="none" w:sz="0" w:space="0" w:color="auto" w:frame="1"/>
        </w:rPr>
        <w:t>.</w:t>
      </w:r>
      <w:r w:rsidRPr="00CE296B">
        <w:rPr>
          <w:rFonts w:ascii="Century Schoolbook" w:hAnsi="Century Schoolbook" w:cs="Calibri"/>
          <w:i/>
          <w:color w:val="000000"/>
          <w:sz w:val="26"/>
          <w:szCs w:val="26"/>
          <w:bdr w:val="none" w:sz="0" w:space="0" w:color="auto" w:frame="1"/>
        </w:rPr>
        <w:t xml:space="preserve"> Co. </w:t>
      </w:r>
      <w:r w:rsidRPr="00CE296B">
        <w:rPr>
          <w:rFonts w:ascii="Century Schoolbook" w:hAnsi="Century Schoolbook" w:cs="Calibri"/>
          <w:color w:val="000000"/>
          <w:sz w:val="26"/>
          <w:szCs w:val="26"/>
        </w:rPr>
        <w:t>(6th</w:t>
      </w:r>
      <w:r>
        <w:rPr>
          <w:rFonts w:ascii="Century Schoolbook" w:hAnsi="Century Schoolbook" w:cs="Calibri"/>
          <w:color w:val="000000"/>
          <w:sz w:val="26"/>
          <w:szCs w:val="26"/>
        </w:rPr>
        <w:t> </w:t>
      </w:r>
      <w:r w:rsidRPr="00CE296B">
        <w:rPr>
          <w:rFonts w:ascii="Century Schoolbook" w:hAnsi="Century Schoolbook" w:cs="Calibri"/>
          <w:color w:val="000000"/>
          <w:sz w:val="26"/>
          <w:szCs w:val="26"/>
        </w:rPr>
        <w:t xml:space="preserve">Cir. 2021) 15 F.4th 398, 401; </w:t>
      </w:r>
      <w:r w:rsidRPr="00CE296B">
        <w:rPr>
          <w:rFonts w:ascii="Century Schoolbook" w:hAnsi="Century Schoolbook" w:cs="Calibri"/>
          <w:i/>
          <w:color w:val="000000"/>
          <w:sz w:val="26"/>
          <w:szCs w:val="26"/>
          <w:bdr w:val="none" w:sz="0" w:space="0" w:color="auto" w:frame="1"/>
        </w:rPr>
        <w:t xml:space="preserve">Sandy Point Dental, P.C. v. Cincinnati Ins. Co. </w:t>
      </w:r>
      <w:r w:rsidRPr="00CE296B">
        <w:rPr>
          <w:rFonts w:ascii="Century Schoolbook" w:hAnsi="Century Schoolbook" w:cs="Calibri"/>
          <w:color w:val="000000"/>
          <w:sz w:val="26"/>
          <w:szCs w:val="26"/>
        </w:rPr>
        <w:t>(7th</w:t>
      </w:r>
      <w:r>
        <w:rPr>
          <w:rFonts w:ascii="Century Schoolbook" w:hAnsi="Century Schoolbook" w:cs="Calibri"/>
          <w:color w:val="000000"/>
          <w:sz w:val="26"/>
          <w:szCs w:val="26"/>
        </w:rPr>
        <w:t> </w:t>
      </w:r>
      <w:r w:rsidRPr="00CE296B">
        <w:rPr>
          <w:rFonts w:ascii="Century Schoolbook" w:hAnsi="Century Schoolbook" w:cs="Calibri"/>
          <w:color w:val="000000"/>
          <w:sz w:val="26"/>
          <w:szCs w:val="26"/>
        </w:rPr>
        <w:t>Cir.</w:t>
      </w:r>
      <w:r w:rsidRPr="00CE296B">
        <w:rPr>
          <w:rFonts w:ascii="Century Schoolbook" w:hAnsi="Century Schoolbook" w:cs="Calibri"/>
          <w:color w:val="000000"/>
          <w:sz w:val="26"/>
          <w:szCs w:val="26"/>
        </w:rPr>
        <w:t xml:space="preserve"> 2021) 20 F.4th 327, 335; </w:t>
      </w:r>
      <w:r w:rsidRPr="00CE296B">
        <w:rPr>
          <w:rFonts w:ascii="Century Schoolbook" w:hAnsi="Century Schoolbook" w:cs="Calibri"/>
          <w:i/>
          <w:color w:val="000000"/>
          <w:sz w:val="26"/>
          <w:szCs w:val="26"/>
          <w:bdr w:val="none" w:sz="0" w:space="0" w:color="auto" w:frame="1"/>
        </w:rPr>
        <w:t>Oral Surgeons, P.C. v. Cincinnati Ins</w:t>
      </w:r>
      <w:r>
        <w:rPr>
          <w:rFonts w:ascii="Century Schoolbook" w:hAnsi="Century Schoolbook" w:cs="Calibri"/>
          <w:i/>
          <w:color w:val="000000"/>
          <w:sz w:val="26"/>
          <w:szCs w:val="26"/>
          <w:bdr w:val="none" w:sz="0" w:space="0" w:color="auto" w:frame="1"/>
        </w:rPr>
        <w:t xml:space="preserve">. </w:t>
      </w:r>
      <w:r w:rsidRPr="00CE296B">
        <w:rPr>
          <w:rFonts w:ascii="Century Schoolbook" w:hAnsi="Century Schoolbook" w:cs="Calibri"/>
          <w:i/>
          <w:color w:val="000000"/>
          <w:sz w:val="26"/>
          <w:szCs w:val="26"/>
          <w:bdr w:val="none" w:sz="0" w:space="0" w:color="auto" w:frame="1"/>
        </w:rPr>
        <w:t>Co.</w:t>
      </w:r>
      <w:r w:rsidRPr="00CE296B">
        <w:rPr>
          <w:rFonts w:ascii="Century Schoolbook" w:hAnsi="Century Schoolbook" w:cs="Calibri"/>
          <w:color w:val="000000"/>
          <w:sz w:val="26"/>
          <w:szCs w:val="26"/>
          <w:bdr w:val="none" w:sz="0" w:space="0" w:color="auto" w:frame="1"/>
        </w:rPr>
        <w:t xml:space="preserve"> (8th</w:t>
      </w:r>
      <w:r>
        <w:rPr>
          <w:rFonts w:ascii="Century Schoolbook" w:hAnsi="Century Schoolbook" w:cs="Calibri"/>
          <w:color w:val="000000"/>
          <w:sz w:val="26"/>
          <w:szCs w:val="26"/>
          <w:bdr w:val="none" w:sz="0" w:space="0" w:color="auto" w:frame="1"/>
        </w:rPr>
        <w:t> </w:t>
      </w:r>
      <w:r w:rsidRPr="00CE296B">
        <w:rPr>
          <w:rFonts w:ascii="Century Schoolbook" w:hAnsi="Century Schoolbook" w:cs="Calibri"/>
          <w:color w:val="000000"/>
          <w:sz w:val="26"/>
          <w:szCs w:val="26"/>
          <w:bdr w:val="none" w:sz="0" w:space="0" w:color="auto" w:frame="1"/>
        </w:rPr>
        <w:t>Cir. 2021) 2 F.4th 1141, 1144, 1145, fn. 3</w:t>
      </w:r>
      <w:r w:rsidRPr="00CE296B">
        <w:rPr>
          <w:rFonts w:ascii="Century Schoolbook" w:hAnsi="Century Schoolbook" w:cs="Calibri"/>
          <w:color w:val="000000"/>
          <w:sz w:val="26"/>
          <w:szCs w:val="26"/>
        </w:rPr>
        <w:t xml:space="preserve">; </w:t>
      </w:r>
      <w:r w:rsidRPr="00CE296B">
        <w:rPr>
          <w:rFonts w:ascii="Century Schoolbook" w:hAnsi="Century Schoolbook" w:cs="Calibri"/>
          <w:i/>
          <w:color w:val="000000"/>
          <w:sz w:val="26"/>
          <w:szCs w:val="26"/>
          <w:bdr w:val="none" w:sz="0" w:space="0" w:color="auto" w:frame="1"/>
        </w:rPr>
        <w:t xml:space="preserve">Goodwill </w:t>
      </w:r>
      <w:r w:rsidRPr="00195908">
        <w:rPr>
          <w:rFonts w:ascii="Century Schoolbook" w:hAnsi="Century Schoolbook" w:cs="Calibri"/>
          <w:i/>
          <w:color w:val="000000"/>
          <w:sz w:val="26"/>
          <w:szCs w:val="26"/>
          <w:bdr w:val="none" w:sz="0" w:space="0" w:color="auto" w:frame="1"/>
        </w:rPr>
        <w:t>Industries v. Philadelphia Indemnity</w:t>
      </w:r>
      <w:r w:rsidRPr="00195908">
        <w:rPr>
          <w:rFonts w:ascii="Century Schoolbook" w:hAnsi="Century Schoolbook" w:cs="Calibri"/>
          <w:color w:val="000000"/>
          <w:sz w:val="26"/>
          <w:szCs w:val="26"/>
        </w:rPr>
        <w:t xml:space="preserve"> (10th</w:t>
      </w:r>
      <w:r>
        <w:rPr>
          <w:rFonts w:ascii="Century Schoolbook" w:hAnsi="Century Schoolbook" w:cs="Calibri"/>
          <w:color w:val="000000"/>
          <w:sz w:val="26"/>
          <w:szCs w:val="26"/>
        </w:rPr>
        <w:t> </w:t>
      </w:r>
      <w:r w:rsidRPr="00195908">
        <w:rPr>
          <w:rFonts w:ascii="Century Schoolbook" w:hAnsi="Century Schoolbook" w:cs="Calibri"/>
          <w:color w:val="000000"/>
          <w:sz w:val="26"/>
          <w:szCs w:val="26"/>
        </w:rPr>
        <w:t xml:space="preserve">Cir. 2021) 21 F.4th 704, 710; see also </w:t>
      </w:r>
      <w:r w:rsidRPr="00605D40">
        <w:rPr>
          <w:rFonts w:ascii="Century Schoolbook" w:hAnsi="Century Schoolbook"/>
          <w:i/>
          <w:iCs/>
          <w:color w:val="000000"/>
          <w:sz w:val="26"/>
          <w:szCs w:val="26"/>
          <w:bdr w:val="none" w:sz="0" w:space="0" w:color="auto" w:frame="1"/>
        </w:rPr>
        <w:t>Neuro-Communication Servs. v. Cincinnati Ins. C</w:t>
      </w:r>
      <w:r w:rsidRPr="00605D40">
        <w:rPr>
          <w:rFonts w:ascii="Century Schoolbook" w:hAnsi="Century Schoolbook"/>
          <w:i/>
          <w:iCs/>
          <w:color w:val="000000"/>
          <w:sz w:val="26"/>
          <w:szCs w:val="26"/>
          <w:bdr w:val="none" w:sz="0" w:space="0" w:color="auto" w:frame="1"/>
        </w:rPr>
        <w:t>o.</w:t>
      </w:r>
      <w:r w:rsidRPr="00605D40">
        <w:rPr>
          <w:rFonts w:ascii="Century Schoolbook" w:hAnsi="Century Schoolbook"/>
          <w:color w:val="000000"/>
          <w:sz w:val="26"/>
          <w:szCs w:val="26"/>
          <w:bdr w:val="none" w:sz="0" w:space="0" w:color="auto" w:frame="1"/>
        </w:rPr>
        <w:t xml:space="preserve">, 2022-Ohio-4379, ¶ 17; </w:t>
      </w:r>
      <w:r w:rsidRPr="00CE296B">
        <w:rPr>
          <w:rFonts w:ascii="Century Schoolbook" w:hAnsi="Century Schoolbook" w:cs="Calibri"/>
          <w:i/>
          <w:color w:val="000000"/>
          <w:sz w:val="26"/>
          <w:szCs w:val="26"/>
          <w:bdr w:val="none" w:sz="0" w:space="0" w:color="auto" w:frame="1"/>
        </w:rPr>
        <w:t>Verveine Corp. v. Strathmore Ins</w:t>
      </w:r>
      <w:r>
        <w:rPr>
          <w:rFonts w:ascii="Century Schoolbook" w:hAnsi="Century Schoolbook" w:cs="Calibri"/>
          <w:i/>
          <w:iCs/>
          <w:color w:val="000000"/>
          <w:sz w:val="26"/>
          <w:szCs w:val="26"/>
        </w:rPr>
        <w:t>urance</w:t>
      </w:r>
      <w:r>
        <w:rPr>
          <w:rFonts w:ascii="Century Schoolbook" w:hAnsi="Century Schoolbook" w:cs="Calibri"/>
          <w:color w:val="000000"/>
          <w:sz w:val="26"/>
          <w:szCs w:val="26"/>
        </w:rPr>
        <w:t xml:space="preserve"> </w:t>
      </w:r>
      <w:r w:rsidRPr="00CE296B">
        <w:rPr>
          <w:rFonts w:ascii="Century Schoolbook" w:hAnsi="Century Schoolbook" w:cs="Calibri"/>
          <w:color w:val="000000"/>
          <w:sz w:val="26"/>
          <w:szCs w:val="26"/>
        </w:rPr>
        <w:t xml:space="preserve">(Mass. 2022) 184 N.E.3d 1266, </w:t>
      </w:r>
      <w:r>
        <w:rPr>
          <w:rFonts w:ascii="Century Schoolbook" w:hAnsi="Century Schoolbook" w:cs="Calibri"/>
          <w:color w:val="000000"/>
          <w:sz w:val="26"/>
          <w:szCs w:val="26"/>
        </w:rPr>
        <w:t>1275–1277</w:t>
      </w:r>
      <w:r w:rsidRPr="00CE296B">
        <w:rPr>
          <w:rFonts w:ascii="Century Schoolbook" w:hAnsi="Century Schoolbook" w:cs="Calibri"/>
          <w:color w:val="000000"/>
          <w:sz w:val="26"/>
          <w:szCs w:val="26"/>
        </w:rPr>
        <w:t xml:space="preserve">; </w:t>
      </w:r>
      <w:r w:rsidRPr="00CE296B">
        <w:rPr>
          <w:rFonts w:ascii="Century Schoolbook" w:hAnsi="Century Schoolbook" w:cs="Calibri"/>
          <w:i/>
          <w:color w:val="000000"/>
          <w:sz w:val="26"/>
          <w:szCs w:val="26"/>
          <w:bdr w:val="none" w:sz="0" w:space="0" w:color="auto" w:frame="1"/>
        </w:rPr>
        <w:t>AC</w:t>
      </w:r>
      <w:r>
        <w:rPr>
          <w:rFonts w:ascii="Century Schoolbook" w:hAnsi="Century Schoolbook" w:cs="Calibri"/>
          <w:i/>
          <w:color w:val="000000"/>
          <w:sz w:val="26"/>
          <w:szCs w:val="26"/>
          <w:bdr w:val="none" w:sz="0" w:space="0" w:color="auto" w:frame="1"/>
        </w:rPr>
        <w:t> </w:t>
      </w:r>
      <w:r w:rsidRPr="00CE296B">
        <w:rPr>
          <w:rFonts w:ascii="Century Schoolbook" w:hAnsi="Century Schoolbook" w:cs="Calibri"/>
          <w:i/>
          <w:color w:val="000000"/>
          <w:sz w:val="26"/>
          <w:szCs w:val="26"/>
          <w:bdr w:val="none" w:sz="0" w:space="0" w:color="auto" w:frame="1"/>
        </w:rPr>
        <w:t xml:space="preserve">Ocean Walk, LLC v. American Guarantee and Liability Ins. </w:t>
      </w:r>
      <w:r w:rsidRPr="00CE296B">
        <w:rPr>
          <w:rFonts w:ascii="Century Schoolbook" w:hAnsi="Century Schoolbook" w:cs="Calibri"/>
          <w:i/>
          <w:iCs/>
          <w:color w:val="000000"/>
          <w:sz w:val="26"/>
          <w:szCs w:val="26"/>
          <w:bdr w:val="none" w:sz="0" w:space="0" w:color="auto" w:frame="1"/>
        </w:rPr>
        <w:t>Co</w:t>
      </w:r>
      <w:r>
        <w:rPr>
          <w:rFonts w:ascii="Century Schoolbook" w:hAnsi="Century Schoolbook" w:cs="Calibri"/>
          <w:i/>
          <w:iCs/>
          <w:color w:val="000000"/>
          <w:sz w:val="26"/>
          <w:szCs w:val="26"/>
          <w:bdr w:val="none" w:sz="0" w:space="0" w:color="auto" w:frame="1"/>
        </w:rPr>
        <w:t>.</w:t>
      </w:r>
      <w:r w:rsidRPr="00CE296B">
        <w:rPr>
          <w:rFonts w:ascii="Century Schoolbook" w:hAnsi="Century Schoolbook" w:cs="Calibri"/>
          <w:color w:val="000000"/>
          <w:sz w:val="26"/>
          <w:szCs w:val="26"/>
        </w:rPr>
        <w:t xml:space="preserve"> (N.J. Super.Ct.App.Div., June 23, 2022, No. A</w:t>
      </w:r>
      <w:r w:rsidRPr="00CE296B">
        <w:rPr>
          <w:rFonts w:ascii="Century Schoolbook" w:hAnsi="Century Schoolbook" w:cs="Calibri"/>
          <w:color w:val="000000"/>
          <w:sz w:val="26"/>
          <w:szCs w:val="26"/>
        </w:rPr>
        <w:noBreakHyphen/>
        <w:t>1824</w:t>
      </w:r>
      <w:r w:rsidRPr="00CE296B">
        <w:rPr>
          <w:rFonts w:ascii="Century Schoolbook" w:hAnsi="Century Schoolbook" w:cs="Calibri"/>
          <w:color w:val="000000"/>
          <w:sz w:val="26"/>
          <w:szCs w:val="26"/>
        </w:rPr>
        <w:noBreakHyphen/>
        <w:t xml:space="preserve">21) 2022 WL 2254864, </w:t>
      </w:r>
      <w:r>
        <w:rPr>
          <w:rFonts w:ascii="Century Schoolbook" w:hAnsi="Century Schoolbook" w:cs="Calibri"/>
          <w:color w:val="000000"/>
          <w:sz w:val="26"/>
          <w:szCs w:val="26"/>
        </w:rPr>
        <w:br/>
      </w:r>
      <w:r w:rsidRPr="00CE296B">
        <w:rPr>
          <w:rFonts w:ascii="Century Schoolbook" w:hAnsi="Century Schoolbook" w:cs="Calibri"/>
          <w:color w:val="000000"/>
          <w:sz w:val="26"/>
          <w:szCs w:val="26"/>
        </w:rPr>
        <w:t>*11–*12.</w:t>
      </w:r>
      <w:r>
        <w:rPr>
          <w:rFonts w:ascii="Century Schoolbook" w:hAnsi="Century Schoolbook" w:cs="Calibri"/>
          <w:color w:val="000000"/>
          <w:sz w:val="26"/>
          <w:szCs w:val="26"/>
        </w:rPr>
        <w:t>)</w:t>
      </w:r>
    </w:p>
  </w:footnote>
  <w:footnote w:id="9">
    <w:p w14:paraId="7E53C99A" w14:textId="77777777" w:rsidR="000C6F90" w:rsidRPr="00F07DB0" w:rsidRDefault="00140D1F" w:rsidP="004829EC">
      <w:pPr>
        <w:autoSpaceDE w:val="0"/>
        <w:autoSpaceDN w:val="0"/>
        <w:adjustRightInd w:val="0"/>
        <w:spacing w:after="120" w:line="240" w:lineRule="auto"/>
      </w:pPr>
      <w:r>
        <w:rPr>
          <w:rStyle w:val="FootnoteReference"/>
        </w:rPr>
        <w:footnoteRef/>
      </w:r>
      <w:r>
        <w:t xml:space="preserve"> There is a minority view.  Some </w:t>
      </w:r>
      <w:r>
        <w:rPr>
          <w:rFonts w:cs="TimesNewRomanPSMT"/>
        </w:rPr>
        <w:t>courts have concluded that “direct physical loss or damage” in COVID</w:t>
      </w:r>
      <w:r>
        <w:rPr>
          <w:rFonts w:cs="TimesNewRomanPSMT"/>
        </w:rPr>
        <w:noBreakHyphen/>
      </w:r>
      <w:r>
        <w:rPr>
          <w:rFonts w:cs="TimesNewRomanPSMT"/>
        </w:rPr>
        <w:t xml:space="preserve">19 business interruption coverage cases does not require a distinct, demonstrable physical alteration of property (see, e.g., </w:t>
      </w:r>
      <w:r>
        <w:rPr>
          <w:rFonts w:cs="TimesNewRomanPSMT"/>
          <w:i/>
          <w:iCs/>
        </w:rPr>
        <w:t>Kingray Inc. v. Farmers Group Inc</w:t>
      </w:r>
      <w:r>
        <w:rPr>
          <w:rFonts w:cs="TimesNewRomanPSMT"/>
        </w:rPr>
        <w:t xml:space="preserve">. (C.D.Cal. 2021) </w:t>
      </w:r>
      <w:r w:rsidRPr="00A1482B">
        <w:rPr>
          <w:rFonts w:cs="TimesNewRomanPSMT"/>
        </w:rPr>
        <w:t>523</w:t>
      </w:r>
      <w:r>
        <w:rPr>
          <w:rFonts w:cs="TimesNewRomanPSMT"/>
        </w:rPr>
        <w:t> </w:t>
      </w:r>
      <w:r w:rsidRPr="00A1482B">
        <w:rPr>
          <w:rFonts w:cs="TimesNewRomanPSMT"/>
        </w:rPr>
        <w:t>F.Supp.3d 1163</w:t>
      </w:r>
      <w:r>
        <w:rPr>
          <w:rFonts w:cs="TimesNewRomanPSMT"/>
        </w:rPr>
        <w:t>, 1173–1174), but so far as we can discern all of the appella</w:t>
      </w:r>
      <w:r>
        <w:rPr>
          <w:rFonts w:cs="TimesNewRomanPSMT"/>
        </w:rPr>
        <w:t xml:space="preserve">te precedent on this point has adopted the contrary view, consistent with </w:t>
      </w:r>
      <w:r>
        <w:rPr>
          <w:rFonts w:cs="TimesNewRomanPSMT"/>
          <w:i/>
          <w:iCs/>
        </w:rPr>
        <w:t xml:space="preserve">Mudpie </w:t>
      </w:r>
      <w:r w:rsidRPr="00F452C5">
        <w:rPr>
          <w:rFonts w:cs="TimesNewRomanPSMT"/>
        </w:rPr>
        <w:t>a</w:t>
      </w:r>
      <w:r>
        <w:rPr>
          <w:rFonts w:cs="TimesNewRomanPSMT"/>
        </w:rPr>
        <w:t xml:space="preserve">nd its progeny.  We are also aware that, in the fall of 2021, some noted insurance coverage commentators published an article arguing that courts across the country have, in </w:t>
      </w:r>
      <w:r>
        <w:rPr>
          <w:rFonts w:cs="TimesNewRomanPSMT"/>
        </w:rPr>
        <w:t>effect, engaged in a rush-to-judgment against policyholders in COVID</w:t>
      </w:r>
      <w:r>
        <w:rPr>
          <w:rFonts w:cs="TimesNewRomanPSMT"/>
        </w:rPr>
        <w:noBreakHyphen/>
        <w:t xml:space="preserve">19 business interruption coverage cases.  (See, e.g., Lewis et al., </w:t>
      </w:r>
      <w:r w:rsidRPr="00C50CA7">
        <w:rPr>
          <w:rFonts w:cs="TimesNewRomanPSMT"/>
          <w:i/>
          <w:iCs/>
        </w:rPr>
        <w:t>Couch’s “Physical Alteration” Fallacy:  Its Origins and Consequences</w:t>
      </w:r>
      <w:r>
        <w:rPr>
          <w:rFonts w:cs="TimesNewRomanPSMT"/>
        </w:rPr>
        <w:t xml:space="preserve"> (Fall 2021) 56 Tort Trial &amp; Ins. Prac. L.J. 621 [d</w:t>
      </w:r>
      <w:r>
        <w:rPr>
          <w:rFonts w:cs="TimesNewRomanPSMT"/>
        </w:rPr>
        <w:t>iscussing 10A Couch on Insurance (</w:t>
      </w:r>
      <w:r w:rsidRPr="00773E52">
        <w:rPr>
          <w:rFonts w:cs="TimesNewRomanPSMT"/>
        </w:rPr>
        <w:t>3d ed. 2016) §</w:t>
      </w:r>
      <w:r>
        <w:rPr>
          <w:rFonts w:cs="TimesNewRomanPSMT"/>
        </w:rPr>
        <w:t xml:space="preserve"> 148:46].)  This article contends that the reasoning in cases like </w:t>
      </w:r>
      <w:r w:rsidRPr="00A97704">
        <w:rPr>
          <w:rFonts w:cs="TimesNewRomanPSMT"/>
          <w:i/>
          <w:iCs/>
        </w:rPr>
        <w:t>Mudpie</w:t>
      </w:r>
      <w:r>
        <w:rPr>
          <w:rFonts w:cs="TimesNewRomanPSMT"/>
        </w:rPr>
        <w:t xml:space="preserve"> is premised on a view expressed in a single treatise, </w:t>
      </w:r>
      <w:r w:rsidRPr="00F32D4D">
        <w:rPr>
          <w:rFonts w:cs="TimesNewRomanPSMT"/>
        </w:rPr>
        <w:t>Couch on Insurance</w:t>
      </w:r>
      <w:r>
        <w:rPr>
          <w:rFonts w:cs="TimesNewRomanPSMT"/>
        </w:rPr>
        <w:t>, that is contrary to settled law in various areas of first pa</w:t>
      </w:r>
      <w:r>
        <w:rPr>
          <w:rFonts w:cs="TimesNewRomanPSMT"/>
        </w:rPr>
        <w:t>rty insurance coverage law predating the COVID</w:t>
      </w:r>
      <w:r>
        <w:rPr>
          <w:rFonts w:cs="TimesNewRomanPSMT"/>
        </w:rPr>
        <w:noBreakHyphen/>
        <w:t>19 pandemic.  (</w:t>
      </w:r>
      <w:r w:rsidRPr="00BC36E1">
        <w:rPr>
          <w:rFonts w:cs="TimesNewRomanPSMT"/>
        </w:rPr>
        <w:t>Lewis</w:t>
      </w:r>
      <w:r>
        <w:rPr>
          <w:rFonts w:cs="TimesNewRomanPSMT"/>
        </w:rPr>
        <w:t xml:space="preserve">, </w:t>
      </w:r>
      <w:r w:rsidRPr="00195A40">
        <w:rPr>
          <w:rFonts w:cs="TimesNewRomanPSMT"/>
          <w:i/>
          <w:iCs/>
        </w:rPr>
        <w:t>supra</w:t>
      </w:r>
      <w:r>
        <w:rPr>
          <w:rFonts w:cs="TimesNewRomanPSMT"/>
        </w:rPr>
        <w:t xml:space="preserve">, at p. 628 &amp; fn. 36 [discussing cases recognizing first party coverage of claimed losses due to asbestos, odors, and other types of environmental contamination]; see </w:t>
      </w:r>
      <w:r>
        <w:t>Windt, Insuranc</w:t>
      </w:r>
      <w:r>
        <w:t>e Claims and Disputes (6th ed. 2013) §§ 11:</w:t>
      </w:r>
      <w:r w:rsidRPr="00C77B0F">
        <w:t>40</w:t>
      </w:r>
      <w:r>
        <w:t>–11:41</w:t>
      </w:r>
      <w:r w:rsidRPr="00C77B0F">
        <w:t xml:space="preserve"> [disagreeing with the Couch view]</w:t>
      </w:r>
      <w:r w:rsidRPr="00C77B0F">
        <w:rPr>
          <w:rFonts w:cs="TimesNewRomanPSMT"/>
        </w:rPr>
        <w:t>.)  A similar critique of Couch was addressed and rejected by</w:t>
      </w:r>
      <w:r>
        <w:rPr>
          <w:rFonts w:cs="TimesNewRomanPSMT"/>
        </w:rPr>
        <w:t xml:space="preserve"> a Second District, Division Four </w:t>
      </w:r>
      <w:r w:rsidRPr="00102B76">
        <w:rPr>
          <w:rFonts w:cs="TimesNewRomanPSMT"/>
        </w:rPr>
        <w:t xml:space="preserve">panel in </w:t>
      </w:r>
      <w:r w:rsidRPr="00102B76">
        <w:rPr>
          <w:rFonts w:cs="TimesNewRomanPSMT"/>
          <w:i/>
          <w:iCs/>
        </w:rPr>
        <w:t>United Talent Agency</w:t>
      </w:r>
      <w:r w:rsidRPr="00102B76">
        <w:rPr>
          <w:rFonts w:eastAsia="Times New Roman" w:cs="Times New Roman"/>
          <w:color w:val="000000"/>
        </w:rPr>
        <w:t xml:space="preserve">, </w:t>
      </w:r>
      <w:r w:rsidRPr="00102B76">
        <w:rPr>
          <w:rFonts w:cs="TimesNewRomanPSMT"/>
          <w:i/>
          <w:iCs/>
        </w:rPr>
        <w:t>supra</w:t>
      </w:r>
      <w:r w:rsidRPr="00102B76">
        <w:rPr>
          <w:rFonts w:cs="TimesNewRomanPSMT"/>
        </w:rPr>
        <w:t>, 77 Cal.App.5th at p</w:t>
      </w:r>
      <w:r>
        <w:rPr>
          <w:rFonts w:cs="TimesNewRomanPSMT"/>
        </w:rPr>
        <w:t>ages</w:t>
      </w:r>
      <w:r w:rsidRPr="00102B76">
        <w:rPr>
          <w:rFonts w:cs="TimesNewRomanPSMT"/>
        </w:rPr>
        <w:t> 832–833 (“</w:t>
      </w:r>
      <w:r w:rsidRPr="00102B76">
        <w:rPr>
          <w:rFonts w:eastAsia="Times New Roman" w:cs="Times New Roman"/>
          <w:color w:val="000000"/>
        </w:rPr>
        <w:t>We .</w:t>
      </w:r>
      <w:r w:rsidRPr="00102B76">
        <w:rPr>
          <w:rFonts w:eastAsia="Times New Roman" w:cs="Times New Roman"/>
          <w:color w:val="000000"/>
        </w:rPr>
        <w:t xml:space="preserve"> . . decline [the] invitation to depart from the </w:t>
      </w:r>
      <w:r w:rsidRPr="00102B76">
        <w:rPr>
          <w:rFonts w:eastAsia="Times New Roman" w:cs="Times New Roman"/>
          <w:color w:val="000000"/>
          <w:bdr w:val="none" w:sz="0" w:space="0" w:color="auto" w:frame="1"/>
        </w:rPr>
        <w:t>Couch</w:t>
      </w:r>
      <w:r w:rsidRPr="00102B76">
        <w:rPr>
          <w:rFonts w:eastAsia="Times New Roman" w:cs="Times New Roman"/>
          <w:color w:val="000000"/>
        </w:rPr>
        <w:t xml:space="preserve"> treatise and the case law that relies upon it</w:t>
      </w:r>
      <w:r>
        <w:rPr>
          <w:rFonts w:eastAsia="Times New Roman" w:cs="Times New Roman"/>
          <w:color w:val="000000"/>
        </w:rPr>
        <w:t>.</w:t>
      </w:r>
      <w:r w:rsidRPr="00102B76">
        <w:rPr>
          <w:rFonts w:eastAsia="Times New Roman" w:cs="Times New Roman"/>
          <w:color w:val="000000"/>
        </w:rPr>
        <w:t>”).</w:t>
      </w:r>
    </w:p>
  </w:footnote>
  <w:footnote w:id="10">
    <w:p w14:paraId="6F6A243C" w14:textId="77777777" w:rsidR="005E10EC" w:rsidRPr="002A0BDD" w:rsidRDefault="00140D1F" w:rsidP="007C24F6">
      <w:pPr>
        <w:autoSpaceDE w:val="0"/>
        <w:autoSpaceDN w:val="0"/>
        <w:adjustRightInd w:val="0"/>
        <w:spacing w:line="240" w:lineRule="auto"/>
      </w:pPr>
      <w:r w:rsidRPr="002A0BDD">
        <w:rPr>
          <w:rStyle w:val="FootnoteReference"/>
        </w:rPr>
        <w:footnoteRef/>
      </w:r>
      <w:r w:rsidRPr="00D84FFA">
        <w:t xml:space="preserve"> In a</w:t>
      </w:r>
      <w:r w:rsidRPr="00FE3F69">
        <w:t xml:space="preserve"> pr</w:t>
      </w:r>
      <w:r w:rsidRPr="00AE6D16">
        <w:t>oviso</w:t>
      </w:r>
      <w:r w:rsidRPr="001C7741">
        <w:t>, the Virus Ex</w:t>
      </w:r>
      <w:r w:rsidRPr="001D4784">
        <w:t>clusion states</w:t>
      </w:r>
      <w:r>
        <w:t>,</w:t>
      </w:r>
      <w:r w:rsidRPr="00D84FFA">
        <w:t xml:space="preserve"> </w:t>
      </w:r>
      <w:r w:rsidRPr="00FE3F69">
        <w:t>“</w:t>
      </w:r>
      <w:r w:rsidRPr="007C24F6">
        <w:rPr>
          <w:rFonts w:cs="ArialMT"/>
        </w:rPr>
        <w:t>Such loss or damage is excluded regardless of any other cause or</w:t>
      </w:r>
      <w:r>
        <w:rPr>
          <w:rFonts w:cs="ArialMT"/>
        </w:rPr>
        <w:t xml:space="preserve"> </w:t>
      </w:r>
      <w:r w:rsidRPr="007C24F6">
        <w:rPr>
          <w:rFonts w:cs="ArialMT"/>
        </w:rPr>
        <w:t xml:space="preserve">event that contributes </w:t>
      </w:r>
      <w:r w:rsidRPr="007C24F6">
        <w:rPr>
          <w:rFonts w:cs="ArialMT"/>
        </w:rPr>
        <w:t>concurrently or in any sequence to the loss</w:t>
      </w:r>
      <w:r>
        <w:rPr>
          <w:rFonts w:cs="ArialMT"/>
        </w:rPr>
        <w:t>.</w:t>
      </w:r>
      <w:r w:rsidRPr="007C24F6">
        <w:rPr>
          <w:rFonts w:cs="ArialMT"/>
        </w:rPr>
        <w:t>”</w:t>
      </w:r>
    </w:p>
  </w:footnote>
  <w:footnote w:id="11">
    <w:p w14:paraId="55FD0569" w14:textId="77777777" w:rsidR="00DD299C" w:rsidRDefault="00140D1F">
      <w:pPr>
        <w:pStyle w:val="FootnoteText"/>
      </w:pPr>
      <w:r>
        <w:rPr>
          <w:rStyle w:val="FootnoteReference"/>
        </w:rPr>
        <w:footnoteRef/>
      </w:r>
      <w:r>
        <w:t xml:space="preserve"> “Fungi” is defined to mean “</w:t>
      </w:r>
      <w:r w:rsidRPr="00DD299C">
        <w:t>any type or form of fungus, including mold or mildew, and</w:t>
      </w:r>
      <w:r>
        <w:t xml:space="preserve"> </w:t>
      </w:r>
      <w:r w:rsidRPr="00DD299C">
        <w:t>any</w:t>
      </w:r>
      <w:r>
        <w:t xml:space="preserve"> </w:t>
      </w:r>
      <w:r w:rsidRPr="00DD299C">
        <w:t>mycotoxins, spores, scents or by-products produced or released</w:t>
      </w:r>
      <w:r>
        <w:t xml:space="preserve"> </w:t>
      </w:r>
      <w:r w:rsidRPr="00DD299C">
        <w:t>by</w:t>
      </w:r>
      <w:r>
        <w:t xml:space="preserve"> </w:t>
      </w:r>
      <w:r w:rsidRPr="00DD299C">
        <w:t>fungi.</w:t>
      </w:r>
      <w:r>
        <w:t>”  There is no definition of “virus” or any of</w:t>
      </w:r>
      <w:r>
        <w:t xml:space="preserve"> the other perils listed in the Limited Virus Coverage grant.</w:t>
      </w:r>
    </w:p>
  </w:footnote>
  <w:footnote w:id="12">
    <w:p w14:paraId="66C57179" w14:textId="77777777" w:rsidR="00783FCC" w:rsidRDefault="00140D1F" w:rsidP="00872A4D">
      <w:pPr>
        <w:autoSpaceDE w:val="0"/>
        <w:autoSpaceDN w:val="0"/>
        <w:adjustRightInd w:val="0"/>
        <w:spacing w:after="120" w:line="240" w:lineRule="auto"/>
        <w:rPr>
          <w:rFonts w:cs="ArialMT"/>
        </w:rPr>
      </w:pPr>
      <w:r>
        <w:rPr>
          <w:rStyle w:val="FootnoteReference"/>
        </w:rPr>
        <w:footnoteRef/>
      </w:r>
      <w:r>
        <w:t xml:space="preserve"> Compare the language of the endorsement titled “Exclusion—Fungi, Bacteria and Viruses,” which modifies the Business Liability Coverage Form.  It provides as follows</w:t>
      </w:r>
      <w:r w:rsidRPr="003B09F7">
        <w:rPr>
          <w:rFonts w:cs="ArialMT"/>
        </w:rPr>
        <w:t>:</w:t>
      </w:r>
      <w:r>
        <w:rPr>
          <w:rFonts w:cs="ArialMT"/>
        </w:rPr>
        <w:t xml:space="preserve">  “This insurance does not </w:t>
      </w:r>
      <w:r>
        <w:rPr>
          <w:rFonts w:cs="ArialMT"/>
        </w:rPr>
        <w:t xml:space="preserve">apply to: [¶] </w:t>
      </w:r>
      <w:r w:rsidRPr="002D016C">
        <w:rPr>
          <w:rFonts w:cs="Arial-BoldMT"/>
        </w:rPr>
        <w:t>1</w:t>
      </w:r>
      <w:r w:rsidRPr="00122A9F">
        <w:rPr>
          <w:rFonts w:cs="Arial-BoldMT"/>
        </w:rPr>
        <w:t>.</w:t>
      </w:r>
      <w:r>
        <w:rPr>
          <w:rFonts w:cs="Arial-BoldMT"/>
        </w:rPr>
        <w:t> </w:t>
      </w:r>
      <w:r w:rsidRPr="003B09F7">
        <w:rPr>
          <w:rFonts w:cs="ArialMT"/>
        </w:rPr>
        <w:t>Injury or damage arising out of or related to the presence of, suspected presence of, or exposure to:</w:t>
      </w:r>
      <w:r>
        <w:rPr>
          <w:rFonts w:cs="ArialMT"/>
        </w:rPr>
        <w:t xml:space="preserve"> [¶] </w:t>
      </w:r>
      <w:r w:rsidRPr="002D016C">
        <w:rPr>
          <w:rFonts w:cs="Arial-BoldMT"/>
        </w:rPr>
        <w:t>a.</w:t>
      </w:r>
      <w:r w:rsidRPr="00FA0E34">
        <w:rPr>
          <w:rFonts w:cs="Arial-BoldMT"/>
        </w:rPr>
        <w:t> </w:t>
      </w:r>
      <w:r w:rsidRPr="003B09F7">
        <w:rPr>
          <w:rFonts w:cs="ArialMT"/>
        </w:rPr>
        <w:t>Fungi, including but not limited to mold, mildew, and yeast;</w:t>
      </w:r>
      <w:r>
        <w:rPr>
          <w:rFonts w:cs="ArialMT"/>
        </w:rPr>
        <w:t xml:space="preserve"> [¶] </w:t>
      </w:r>
      <w:r w:rsidRPr="002D016C">
        <w:rPr>
          <w:rFonts w:cs="Arial-BoldMT"/>
        </w:rPr>
        <w:t>b.</w:t>
      </w:r>
      <w:r w:rsidRPr="00FA0E34">
        <w:rPr>
          <w:rFonts w:cs="Arial-BoldMT"/>
        </w:rPr>
        <w:t> </w:t>
      </w:r>
      <w:r w:rsidRPr="003B09F7">
        <w:rPr>
          <w:rFonts w:cs="ArialMT"/>
        </w:rPr>
        <w:t>Bacteria;</w:t>
      </w:r>
      <w:r>
        <w:rPr>
          <w:rFonts w:cs="ArialMT"/>
        </w:rPr>
        <w:t xml:space="preserve"> [¶] c</w:t>
      </w:r>
      <w:r w:rsidRPr="00E365C2">
        <w:rPr>
          <w:rFonts w:cs="Arial-BoldMT"/>
        </w:rPr>
        <w:t>.</w:t>
      </w:r>
      <w:r>
        <w:rPr>
          <w:rFonts w:cs="Arial-BoldMT"/>
        </w:rPr>
        <w:t> </w:t>
      </w:r>
      <w:r w:rsidRPr="003B09F7">
        <w:rPr>
          <w:rFonts w:cs="ArialMT"/>
        </w:rPr>
        <w:t>Viruses; or</w:t>
      </w:r>
      <w:r>
        <w:rPr>
          <w:rFonts w:cs="ArialMT"/>
        </w:rPr>
        <w:t xml:space="preserve"> [¶] </w:t>
      </w:r>
      <w:r w:rsidRPr="002D016C">
        <w:rPr>
          <w:rFonts w:cs="Arial-BoldMT"/>
        </w:rPr>
        <w:t>d.</w:t>
      </w:r>
      <w:r w:rsidRPr="00FA0E34">
        <w:rPr>
          <w:rFonts w:cs="Arial-BoldMT"/>
        </w:rPr>
        <w:t> </w:t>
      </w:r>
      <w:r w:rsidRPr="003B09F7">
        <w:rPr>
          <w:rFonts w:cs="ArialMT"/>
        </w:rPr>
        <w:t>Dust, spores, odors, parti</w:t>
      </w:r>
      <w:r w:rsidRPr="003B09F7">
        <w:rPr>
          <w:rFonts w:cs="ArialMT"/>
        </w:rPr>
        <w:t>culates or byproducts, including but not limited to mycotoxins and endotoxins,</w:t>
      </w:r>
      <w:r>
        <w:rPr>
          <w:rFonts w:cs="ArialMT"/>
        </w:rPr>
        <w:t xml:space="preserve"> </w:t>
      </w:r>
      <w:r w:rsidRPr="003B09F7">
        <w:rPr>
          <w:rFonts w:cs="ArialMT"/>
        </w:rPr>
        <w:t xml:space="preserve">resulting from any of the organisms listed in </w:t>
      </w:r>
      <w:r w:rsidRPr="00752ACF">
        <w:rPr>
          <w:rFonts w:cs="Arial-BoldMT"/>
        </w:rPr>
        <w:t>a</w:t>
      </w:r>
      <w:r w:rsidRPr="00E365C2">
        <w:rPr>
          <w:rFonts w:cs="Arial-BoldMT"/>
        </w:rPr>
        <w:t>.</w:t>
      </w:r>
      <w:r w:rsidRPr="003B09F7">
        <w:rPr>
          <w:rFonts w:cs="ArialMT"/>
        </w:rPr>
        <w:t xml:space="preserve">, </w:t>
      </w:r>
      <w:r w:rsidRPr="00D55E82">
        <w:rPr>
          <w:rFonts w:cs="Arial-BoldMT"/>
        </w:rPr>
        <w:t>b</w:t>
      </w:r>
      <w:r w:rsidRPr="00E365C2">
        <w:rPr>
          <w:rFonts w:cs="Arial-BoldMT"/>
        </w:rPr>
        <w:t>.</w:t>
      </w:r>
      <w:r w:rsidRPr="003B09F7">
        <w:rPr>
          <w:rFonts w:cs="ArialMT"/>
        </w:rPr>
        <w:t xml:space="preserve">, or </w:t>
      </w:r>
      <w:r w:rsidRPr="00E365C2">
        <w:rPr>
          <w:rFonts w:cs="Arial-BoldMT"/>
        </w:rPr>
        <w:t xml:space="preserve">c. </w:t>
      </w:r>
      <w:r w:rsidRPr="003B09F7">
        <w:rPr>
          <w:rFonts w:cs="ArialMT"/>
        </w:rPr>
        <w:t>above;</w:t>
      </w:r>
      <w:r>
        <w:rPr>
          <w:rFonts w:cs="ArialMT"/>
        </w:rPr>
        <w:t xml:space="preserve"> </w:t>
      </w:r>
      <w:r w:rsidRPr="003B09F7">
        <w:rPr>
          <w:rFonts w:cs="ArialMT"/>
        </w:rPr>
        <w:t>from any source whatsoever.</w:t>
      </w:r>
      <w:r w:rsidRPr="0049545E">
        <w:rPr>
          <w:rFonts w:cs="ArialMT"/>
        </w:rPr>
        <w:t xml:space="preserve"> </w:t>
      </w:r>
      <w:r>
        <w:rPr>
          <w:rFonts w:cs="ArialMT"/>
        </w:rPr>
        <w:t xml:space="preserve">[¶] </w:t>
      </w:r>
      <w:r w:rsidRPr="002D016C">
        <w:rPr>
          <w:rFonts w:cs="Arial-BoldMT"/>
        </w:rPr>
        <w:t>2.</w:t>
      </w:r>
      <w:r w:rsidRPr="00122A9F">
        <w:rPr>
          <w:rFonts w:cs="Arial-BoldMT"/>
        </w:rPr>
        <w:t> </w:t>
      </w:r>
      <w:r w:rsidRPr="003B09F7">
        <w:rPr>
          <w:rFonts w:cs="ArialMT"/>
        </w:rPr>
        <w:t xml:space="preserve">Any loss, cost or expense arising out of the testing for, </w:t>
      </w:r>
      <w:r w:rsidRPr="003B09F7">
        <w:rPr>
          <w:rFonts w:cs="ArialMT"/>
        </w:rPr>
        <w:t>monitoring of, cleaning up of, removal of, containment of,</w:t>
      </w:r>
      <w:r>
        <w:rPr>
          <w:rFonts w:cs="ArialMT"/>
        </w:rPr>
        <w:t xml:space="preserve"> </w:t>
      </w:r>
      <w:r w:rsidRPr="003B09F7">
        <w:rPr>
          <w:rFonts w:cs="ArialMT"/>
        </w:rPr>
        <w:t>treatment of, detoxification of, neutralization of, remediation of, disposal of, or any other response to or</w:t>
      </w:r>
      <w:r>
        <w:rPr>
          <w:rFonts w:cs="ArialMT"/>
        </w:rPr>
        <w:t xml:space="preserve"> </w:t>
      </w:r>
      <w:r w:rsidRPr="003B09F7">
        <w:rPr>
          <w:rFonts w:cs="ArialMT"/>
        </w:rPr>
        <w:t xml:space="preserve">assessment of, the effects of any of the items in </w:t>
      </w:r>
      <w:r w:rsidRPr="002D016C">
        <w:rPr>
          <w:rFonts w:cs="Arial-BoldMT"/>
        </w:rPr>
        <w:t>1.a.</w:t>
      </w:r>
      <w:r w:rsidRPr="002D016C">
        <w:rPr>
          <w:rFonts w:cs="ArialMT"/>
        </w:rPr>
        <w:t xml:space="preserve">, </w:t>
      </w:r>
      <w:r w:rsidRPr="002D016C">
        <w:rPr>
          <w:rFonts w:cs="Arial-BoldMT"/>
        </w:rPr>
        <w:t>b.</w:t>
      </w:r>
      <w:r w:rsidRPr="002D016C">
        <w:rPr>
          <w:rFonts w:cs="ArialMT"/>
        </w:rPr>
        <w:t xml:space="preserve">, </w:t>
      </w:r>
      <w:r w:rsidRPr="002D016C">
        <w:rPr>
          <w:rFonts w:cs="Arial-BoldMT"/>
        </w:rPr>
        <w:t xml:space="preserve">c. </w:t>
      </w:r>
      <w:r w:rsidRPr="002D016C">
        <w:rPr>
          <w:rFonts w:cs="ArialMT"/>
        </w:rPr>
        <w:t xml:space="preserve">or </w:t>
      </w:r>
      <w:r w:rsidRPr="002D016C">
        <w:rPr>
          <w:rFonts w:cs="Arial-BoldMT"/>
        </w:rPr>
        <w:t>d.</w:t>
      </w:r>
      <w:r w:rsidRPr="00122A9F">
        <w:rPr>
          <w:rFonts w:cs="Arial-BoldMT"/>
        </w:rPr>
        <w:t xml:space="preserve"> </w:t>
      </w:r>
      <w:r w:rsidRPr="003B09F7">
        <w:rPr>
          <w:rFonts w:cs="ArialMT"/>
        </w:rPr>
        <w:t>above, from any sou</w:t>
      </w:r>
      <w:r w:rsidRPr="003B09F7">
        <w:rPr>
          <w:rFonts w:cs="ArialMT"/>
        </w:rPr>
        <w:t>rce whatsoever.</w:t>
      </w:r>
      <w:r>
        <w:rPr>
          <w:rFonts w:cs="ArialMT"/>
        </w:rPr>
        <w:t>”</w:t>
      </w:r>
    </w:p>
    <w:p w14:paraId="3F9F111D" w14:textId="77777777" w:rsidR="00783FCC" w:rsidRPr="0009357D" w:rsidRDefault="00140D1F" w:rsidP="00BB4E99">
      <w:pPr>
        <w:autoSpaceDE w:val="0"/>
        <w:autoSpaceDN w:val="0"/>
        <w:adjustRightInd w:val="0"/>
        <w:spacing w:after="120" w:line="240" w:lineRule="auto"/>
        <w:rPr>
          <w:rFonts w:cs="ArialMT"/>
        </w:rPr>
      </w:pPr>
      <w:r>
        <w:t>This third party liability virus exclusion is subject to a simply stated exception (the “</w:t>
      </w:r>
      <w:r w:rsidRPr="001A5A63">
        <w:t xml:space="preserve">exclusion does not apply to </w:t>
      </w:r>
      <w:r>
        <w:t>‘</w:t>
      </w:r>
      <w:r w:rsidRPr="001A5A63">
        <w:t>bodily injury</w:t>
      </w:r>
      <w:r>
        <w:t>’</w:t>
      </w:r>
      <w:r w:rsidRPr="001A5A63">
        <w:t xml:space="preserve"> or </w:t>
      </w:r>
      <w:r>
        <w:t>‘</w:t>
      </w:r>
      <w:r w:rsidRPr="001A5A63">
        <w:t>property damage</w:t>
      </w:r>
      <w:r>
        <w:t>’</w:t>
      </w:r>
      <w:r w:rsidRPr="001A5A63">
        <w:t xml:space="preserve"> caused by the ingestion of food</w:t>
      </w:r>
      <w:r>
        <w:t>”), but is otherwise absolute and contains no affirmat</w:t>
      </w:r>
      <w:r>
        <w:t xml:space="preserve">ive grant of coverage.  There is a virtually </w:t>
      </w:r>
      <w:r w:rsidRPr="002A3ED3">
        <w:t>identical, following</w:t>
      </w:r>
      <w:r>
        <w:t xml:space="preserve"> form exclusion for virus risk in </w:t>
      </w:r>
      <w:r w:rsidRPr="008E733F">
        <w:t>the Umbrella Liability Supplemental Contract that also lacks an affirmative</w:t>
      </w:r>
      <w:r>
        <w:t xml:space="preserve"> grant of virus coverage.</w:t>
      </w:r>
    </w:p>
  </w:footnote>
  <w:footnote w:id="13">
    <w:p w14:paraId="54605D6D" w14:textId="77777777" w:rsidR="00783FCC" w:rsidRPr="005F5CDB" w:rsidRDefault="00140D1F" w:rsidP="00783FCC">
      <w:pPr>
        <w:pStyle w:val="FootnoteText"/>
      </w:pPr>
      <w:r>
        <w:rPr>
          <w:rStyle w:val="FootnoteReference"/>
        </w:rPr>
        <w:footnoteRef/>
      </w:r>
      <w:r>
        <w:t xml:space="preserve"> Subp</w:t>
      </w:r>
      <w:r w:rsidRPr="006724D9">
        <w:rPr>
          <w:rFonts w:eastAsia="Times New Roman" w:cs="Times New Roman"/>
          <w:color w:val="000000"/>
          <w:szCs w:val="26"/>
        </w:rPr>
        <w:t xml:space="preserve">aragraph </w:t>
      </w:r>
      <w:r>
        <w:rPr>
          <w:rFonts w:eastAsia="Times New Roman" w:cs="Times New Roman"/>
          <w:color w:val="000000"/>
          <w:szCs w:val="26"/>
        </w:rPr>
        <w:t>B.1.b.(1). (“</w:t>
      </w:r>
      <w:r w:rsidRPr="00E6188E">
        <w:t>Direct physical loss or dire</w:t>
      </w:r>
      <w:r w:rsidRPr="00E6188E">
        <w:t xml:space="preserve">ct physical damage to Covered Property </w:t>
      </w:r>
      <w:r w:rsidRPr="00673486">
        <w:rPr>
          <w:i/>
          <w:iCs/>
        </w:rPr>
        <w:t>caused by</w:t>
      </w:r>
      <w:r>
        <w:rPr>
          <w:i/>
          <w:iCs/>
        </w:rPr>
        <w:t xml:space="preserve"> . . . </w:t>
      </w:r>
      <w:r w:rsidRPr="00E6188E">
        <w:t xml:space="preserve">virus, including the cost of removal of the </w:t>
      </w:r>
      <w:r>
        <w:t>‘</w:t>
      </w:r>
      <w:r w:rsidRPr="00E6188E">
        <w:t>fungi</w:t>
      </w:r>
      <w:r>
        <w:t>’</w:t>
      </w:r>
      <w:r w:rsidRPr="00E6188E">
        <w:t>, wet rot, dry rot, bacteria or virus</w:t>
      </w:r>
      <w:r w:rsidRPr="005F5CDB">
        <w:t>,” italics added)</w:t>
      </w:r>
      <w:r>
        <w:t>.</w:t>
      </w:r>
    </w:p>
  </w:footnote>
  <w:footnote w:id="14">
    <w:p w14:paraId="0FECFAEA" w14:textId="77777777" w:rsidR="00783FCC" w:rsidRDefault="00140D1F" w:rsidP="00783FCC">
      <w:pPr>
        <w:pStyle w:val="FootnoteText"/>
      </w:pPr>
      <w:r w:rsidRPr="005F5CDB">
        <w:rPr>
          <w:rStyle w:val="FootnoteReference"/>
        </w:rPr>
        <w:footnoteRef/>
      </w:r>
      <w:r w:rsidRPr="005F5CDB">
        <w:t xml:space="preserve"> Subp</w:t>
      </w:r>
      <w:r w:rsidRPr="005F5CDB">
        <w:rPr>
          <w:rFonts w:eastAsia="Times New Roman" w:cs="Times New Roman"/>
          <w:color w:val="000000"/>
          <w:szCs w:val="26"/>
        </w:rPr>
        <w:t xml:space="preserve">aragraph B.1.b.(2). (“The cost to </w:t>
      </w:r>
      <w:r w:rsidRPr="005F5CDB">
        <w:rPr>
          <w:rFonts w:eastAsia="Times New Roman" w:cs="Times New Roman"/>
          <w:i/>
          <w:iCs/>
          <w:color w:val="000000"/>
          <w:szCs w:val="26"/>
        </w:rPr>
        <w:t>tear out</w:t>
      </w:r>
      <w:r w:rsidRPr="005F5CDB">
        <w:rPr>
          <w:rFonts w:eastAsia="Times New Roman" w:cs="Times New Roman"/>
          <w:color w:val="000000"/>
          <w:szCs w:val="26"/>
        </w:rPr>
        <w:t xml:space="preserve"> and </w:t>
      </w:r>
      <w:r w:rsidRPr="005F5CDB">
        <w:rPr>
          <w:rFonts w:eastAsia="Times New Roman" w:cs="Times New Roman"/>
          <w:i/>
          <w:iCs/>
          <w:color w:val="000000"/>
          <w:szCs w:val="26"/>
        </w:rPr>
        <w:t xml:space="preserve">replace </w:t>
      </w:r>
      <w:r w:rsidRPr="005F5CDB">
        <w:rPr>
          <w:rFonts w:eastAsia="Times New Roman" w:cs="Times New Roman"/>
          <w:color w:val="000000"/>
          <w:szCs w:val="26"/>
        </w:rPr>
        <w:t xml:space="preserve">any part of the building or other property as needed </w:t>
      </w:r>
      <w:r w:rsidRPr="005F5CDB">
        <w:rPr>
          <w:rFonts w:eastAsia="Times New Roman" w:cs="Times New Roman"/>
          <w:i/>
          <w:iCs/>
          <w:color w:val="000000"/>
          <w:szCs w:val="26"/>
        </w:rPr>
        <w:t>to</w:t>
      </w:r>
      <w:r w:rsidRPr="005F5CDB">
        <w:rPr>
          <w:rFonts w:eastAsia="Times New Roman" w:cs="Times New Roman"/>
          <w:color w:val="000000"/>
          <w:szCs w:val="26"/>
        </w:rPr>
        <w:t xml:space="preserve"> </w:t>
      </w:r>
      <w:r w:rsidRPr="005F5CDB">
        <w:rPr>
          <w:rFonts w:eastAsia="Times New Roman" w:cs="Times New Roman"/>
          <w:i/>
          <w:iCs/>
          <w:color w:val="000000"/>
          <w:szCs w:val="26"/>
        </w:rPr>
        <w:t>gain access to the . . . virus</w:t>
      </w:r>
      <w:r w:rsidRPr="005F5CDB">
        <w:rPr>
          <w:rFonts w:eastAsia="Times New Roman" w:cs="Times New Roman"/>
          <w:color w:val="000000"/>
          <w:szCs w:val="26"/>
        </w:rPr>
        <w:t>,” italics added</w:t>
      </w:r>
      <w:r w:rsidRPr="005F5CDB">
        <w:t>).</w:t>
      </w:r>
    </w:p>
  </w:footnote>
  <w:footnote w:id="15">
    <w:p w14:paraId="11628E18" w14:textId="77777777" w:rsidR="00783FCC" w:rsidRDefault="00140D1F" w:rsidP="00783FCC">
      <w:pPr>
        <w:pStyle w:val="FootnoteText"/>
      </w:pPr>
      <w:r>
        <w:rPr>
          <w:rStyle w:val="FootnoteReference"/>
        </w:rPr>
        <w:footnoteRef/>
      </w:r>
      <w:r>
        <w:t xml:space="preserve"> Subp</w:t>
      </w:r>
      <w:r w:rsidRPr="006724D9">
        <w:rPr>
          <w:rFonts w:eastAsia="Times New Roman" w:cs="Times New Roman"/>
          <w:color w:val="000000"/>
          <w:szCs w:val="26"/>
        </w:rPr>
        <w:t xml:space="preserve">aragraph </w:t>
      </w:r>
      <w:r>
        <w:rPr>
          <w:rFonts w:eastAsia="Times New Roman" w:cs="Times New Roman"/>
          <w:color w:val="000000"/>
          <w:szCs w:val="26"/>
        </w:rPr>
        <w:t>B.1.b.(1). (“</w:t>
      </w:r>
      <w:r w:rsidRPr="00E6188E">
        <w:t xml:space="preserve">Direct physical loss or direct physical damage to Covered Property </w:t>
      </w:r>
      <w:r w:rsidRPr="00673486">
        <w:t>caused by</w:t>
      </w:r>
      <w:r w:rsidRPr="00E6188E">
        <w:t xml:space="preserve"> </w:t>
      </w:r>
      <w:r>
        <w:t>‘</w:t>
      </w:r>
      <w:r w:rsidRPr="00E6188E">
        <w:t>fungi</w:t>
      </w:r>
      <w:r>
        <w:t>’</w:t>
      </w:r>
      <w:r w:rsidRPr="00E6188E">
        <w:t xml:space="preserve">, wet rot, dry rot, bacteria or virus, </w:t>
      </w:r>
      <w:r w:rsidRPr="00CF4D85">
        <w:t>including</w:t>
      </w:r>
      <w:r w:rsidRPr="00673486">
        <w:rPr>
          <w:i/>
          <w:iCs/>
        </w:rPr>
        <w:t xml:space="preserve"> </w:t>
      </w:r>
      <w:r w:rsidRPr="00CF4D85">
        <w:t>the cost of</w:t>
      </w:r>
      <w:r>
        <w:t xml:space="preserve"> </w:t>
      </w:r>
      <w:r w:rsidRPr="00673486">
        <w:rPr>
          <w:i/>
          <w:iCs/>
        </w:rPr>
        <w:t>removal</w:t>
      </w:r>
      <w:r w:rsidRPr="00E6188E">
        <w:t xml:space="preserve"> </w:t>
      </w:r>
      <w:r w:rsidRPr="009F7CA8">
        <w:rPr>
          <w:i/>
          <w:iCs/>
        </w:rPr>
        <w:t>of the</w:t>
      </w:r>
      <w:r>
        <w:t xml:space="preserve"> . . . </w:t>
      </w:r>
      <w:r w:rsidRPr="00413D53">
        <w:rPr>
          <w:i/>
          <w:iCs/>
        </w:rPr>
        <w:t>virus</w:t>
      </w:r>
      <w:r w:rsidRPr="00413D53">
        <w:t>,” italics added).</w:t>
      </w:r>
    </w:p>
  </w:footnote>
  <w:footnote w:id="16">
    <w:p w14:paraId="0CF1F335" w14:textId="77777777" w:rsidR="00254100" w:rsidRDefault="00140D1F" w:rsidP="00254100">
      <w:pPr>
        <w:pStyle w:val="FootnoteText"/>
      </w:pPr>
      <w:r>
        <w:rPr>
          <w:rStyle w:val="FootnoteReference"/>
        </w:rPr>
        <w:footnoteRef/>
      </w:r>
      <w:r>
        <w:t xml:space="preserve"> See </w:t>
      </w:r>
      <w:r w:rsidRPr="007C24F6">
        <w:rPr>
          <w:i/>
          <w:iCs/>
          <w:szCs w:val="26"/>
        </w:rPr>
        <w:t>Amy’s Kitchen</w:t>
      </w:r>
      <w:r w:rsidRPr="00A94D68">
        <w:rPr>
          <w:szCs w:val="26"/>
        </w:rPr>
        <w:t xml:space="preserve">, </w:t>
      </w:r>
      <w:r w:rsidRPr="007C24F6">
        <w:rPr>
          <w:i/>
          <w:iCs/>
          <w:szCs w:val="26"/>
        </w:rPr>
        <w:t>supra</w:t>
      </w:r>
      <w:r w:rsidRPr="00A94D68">
        <w:rPr>
          <w:szCs w:val="26"/>
        </w:rPr>
        <w:t>, 83</w:t>
      </w:r>
      <w:r>
        <w:rPr>
          <w:szCs w:val="26"/>
        </w:rPr>
        <w:t> </w:t>
      </w:r>
      <w:r w:rsidRPr="00A94D68">
        <w:rPr>
          <w:szCs w:val="26"/>
        </w:rPr>
        <w:t>Cal.App.</w:t>
      </w:r>
      <w:r>
        <w:rPr>
          <w:szCs w:val="26"/>
        </w:rPr>
        <w:t>5th</w:t>
      </w:r>
      <w:r w:rsidRPr="00A94D68">
        <w:rPr>
          <w:szCs w:val="26"/>
        </w:rPr>
        <w:t xml:space="preserve"> at p</w:t>
      </w:r>
      <w:r>
        <w:rPr>
          <w:szCs w:val="26"/>
        </w:rPr>
        <w:t>ages </w:t>
      </w:r>
      <w:r w:rsidRPr="00A94D68">
        <w:rPr>
          <w:szCs w:val="26"/>
        </w:rPr>
        <w:t>1069</w:t>
      </w:r>
      <w:r>
        <w:rPr>
          <w:szCs w:val="26"/>
        </w:rPr>
        <w:t>–</w:t>
      </w:r>
      <w:r w:rsidRPr="00A94D68">
        <w:rPr>
          <w:szCs w:val="26"/>
        </w:rPr>
        <w:t xml:space="preserve">1070 </w:t>
      </w:r>
      <w:r>
        <w:rPr>
          <w:szCs w:val="26"/>
        </w:rPr>
        <w:t>(</w:t>
      </w:r>
      <w:r w:rsidRPr="00A94D68">
        <w:rPr>
          <w:szCs w:val="26"/>
        </w:rPr>
        <w:t>COVID</w:t>
      </w:r>
      <w:r>
        <w:rPr>
          <w:szCs w:val="26"/>
        </w:rPr>
        <w:noBreakHyphen/>
      </w:r>
      <w:r w:rsidRPr="00A94D68">
        <w:rPr>
          <w:szCs w:val="26"/>
        </w:rPr>
        <w:t xml:space="preserve">19 </w:t>
      </w:r>
      <w:r w:rsidRPr="00BC26F8">
        <w:rPr>
          <w:szCs w:val="26"/>
        </w:rPr>
        <w:t>viru</w:t>
      </w:r>
      <w:r w:rsidRPr="00B36CA6">
        <w:rPr>
          <w:szCs w:val="26"/>
        </w:rPr>
        <w:t>s cont</w:t>
      </w:r>
      <w:r w:rsidRPr="005E10EC">
        <w:rPr>
          <w:szCs w:val="26"/>
        </w:rPr>
        <w:t xml:space="preserve">amination </w:t>
      </w:r>
      <w:r w:rsidRPr="002A0BDD">
        <w:rPr>
          <w:szCs w:val="26"/>
        </w:rPr>
        <w:t>falls within trigger-</w:t>
      </w:r>
      <w:r w:rsidRPr="007F16BA">
        <w:rPr>
          <w:szCs w:val="26"/>
        </w:rPr>
        <w:t>of-</w:t>
      </w:r>
      <w:r w:rsidRPr="0072686B">
        <w:rPr>
          <w:szCs w:val="26"/>
        </w:rPr>
        <w:t xml:space="preserve">coverage language in “communicable disease extension” specifying covered costs for </w:t>
      </w:r>
      <w:r w:rsidRPr="0072686B">
        <w:rPr>
          <w:rFonts w:eastAsia="Times New Roman" w:cs="Times New Roman"/>
          <w:color w:val="000000"/>
          <w:szCs w:val="26"/>
        </w:rPr>
        <w:t>“ ‘direct physical loss or damage’ ” to include “ ‘necessary costs incurred</w:t>
      </w:r>
      <w:r w:rsidRPr="00E55FA7">
        <w:rPr>
          <w:rFonts w:eastAsia="Times New Roman" w:cs="Times New Roman"/>
          <w:color w:val="000000"/>
          <w:szCs w:val="26"/>
        </w:rPr>
        <w:t xml:space="preserve"> to [¶] . . . [¶] (c) [m]itigate, contain, remediate, treat, clean, detoxify, disinfect, neutraliz</w:t>
      </w:r>
      <w:r w:rsidRPr="00E55FA7">
        <w:rPr>
          <w:rFonts w:eastAsia="Times New Roman" w:cs="Times New Roman"/>
          <w:color w:val="000000"/>
          <w:szCs w:val="26"/>
        </w:rPr>
        <w:t>e, cleanup, remove, dispose of, test for, monitor, and assess the effects [o</w:t>
      </w:r>
      <w:r w:rsidRPr="00E55FA7">
        <w:rPr>
          <w:rFonts w:eastAsia="Times New Roman" w:cs="Times New Roman"/>
          <w:color w:val="000000"/>
          <w:spacing w:val="20"/>
          <w:szCs w:val="26"/>
        </w:rPr>
        <w:t>f</w:t>
      </w:r>
      <w:r w:rsidRPr="00E55FA7">
        <w:rPr>
          <w:rFonts w:eastAsia="Times New Roman" w:cs="Times New Roman"/>
          <w:color w:val="000000"/>
          <w:szCs w:val="26"/>
        </w:rPr>
        <w:t>] the communicable disease’ ”).</w:t>
      </w:r>
    </w:p>
  </w:footnote>
  <w:footnote w:id="17">
    <w:p w14:paraId="390BEC7B" w14:textId="77777777" w:rsidR="00AD0FD0" w:rsidRDefault="00140D1F" w:rsidP="00AD0FD0">
      <w:pPr>
        <w:pStyle w:val="FootnoteText"/>
      </w:pPr>
      <w:r>
        <w:rPr>
          <w:rStyle w:val="FootnoteReference"/>
        </w:rPr>
        <w:footnoteRef/>
      </w:r>
      <w:r>
        <w:t xml:space="preserve"> We have no occasion to address the contention in Sentinel’s supplemental briefing that Subparagraph B.1.f. does not supply an “independent” grant</w:t>
      </w:r>
      <w:r>
        <w:t xml:space="preserve"> of coverage.  We do not suggest that it does.</w:t>
      </w:r>
    </w:p>
  </w:footnote>
  <w:footnote w:id="18">
    <w:p w14:paraId="197BF551" w14:textId="77777777" w:rsidR="001D3624" w:rsidRDefault="00140D1F" w:rsidP="001A7FB5">
      <w:pPr>
        <w:spacing w:line="240" w:lineRule="auto"/>
      </w:pPr>
      <w:r w:rsidRPr="001C28BC">
        <w:rPr>
          <w:rStyle w:val="FootnoteReference"/>
        </w:rPr>
        <w:footnoteRef/>
      </w:r>
      <w:r w:rsidRPr="001C28BC">
        <w:t xml:space="preserve"> </w:t>
      </w:r>
      <w:r w:rsidRPr="0051737D">
        <w:rPr>
          <w:rFonts w:eastAsia="Times New Roman" w:cs="Times New Roman"/>
          <w:color w:val="000000"/>
        </w:rPr>
        <w:t>“</w:t>
      </w:r>
      <w:r w:rsidRPr="00FC41A1">
        <w:rPr>
          <w:rFonts w:eastAsia="Times New Roman" w:cs="Times New Roman"/>
          <w:color w:val="000000"/>
        </w:rPr>
        <w:t> ‘</w:t>
      </w:r>
      <w:r w:rsidRPr="0051737D">
        <w:rPr>
          <w:rFonts w:eastAsia="Times New Roman" w:cs="Times New Roman"/>
          <w:color w:val="000000"/>
        </w:rPr>
        <w:t>Although such words are often referred to as forming an</w:t>
      </w:r>
      <w:r>
        <w:rPr>
          <w:rFonts w:eastAsia="Times New Roman" w:cs="Times New Roman"/>
          <w:color w:val="000000"/>
        </w:rPr>
        <w:t xml:space="preserve"> </w:t>
      </w:r>
      <w:r w:rsidRPr="0051737D">
        <w:rPr>
          <w:rFonts w:eastAsia="Times New Roman" w:cs="Times New Roman"/>
          <w:color w:val="000000"/>
          <w:bdr w:val="none" w:sz="0" w:space="0" w:color="auto" w:frame="1"/>
        </w:rPr>
        <w:t>illusory</w:t>
      </w:r>
      <w:r>
        <w:rPr>
          <w:rFonts w:eastAsia="Times New Roman" w:cs="Times New Roman"/>
          <w:color w:val="000000"/>
        </w:rPr>
        <w:t xml:space="preserve"> </w:t>
      </w:r>
      <w:r w:rsidRPr="0051737D">
        <w:rPr>
          <w:rFonts w:eastAsia="Times New Roman" w:cs="Times New Roman"/>
          <w:color w:val="000000"/>
        </w:rPr>
        <w:t xml:space="preserve">promise, they do not fall within the present definition of promise.  They may not even manifest any intention on the part of the promisor. </w:t>
      </w:r>
      <w:r w:rsidRPr="0051737D">
        <w:rPr>
          <w:rFonts w:eastAsia="Times New Roman" w:cs="Times New Roman"/>
          <w:color w:val="000000"/>
        </w:rPr>
        <w:t xml:space="preserve"> Even if a present intention is manifested, the reservation of an option to change that intention means that there can be no promisee who is justified in an expectation of performance.</w:t>
      </w:r>
      <w:r w:rsidRPr="00FC41A1">
        <w:rPr>
          <w:rFonts w:eastAsia="Times New Roman" w:cs="Times New Roman"/>
          <w:color w:val="000000"/>
        </w:rPr>
        <w:t>’  (</w:t>
      </w:r>
      <w:r w:rsidRPr="0051737D">
        <w:rPr>
          <w:rFonts w:eastAsia="Times New Roman" w:cs="Times New Roman"/>
          <w:color w:val="000000"/>
        </w:rPr>
        <w:t>Rest.2d Contracts, §</w:t>
      </w:r>
      <w:r>
        <w:rPr>
          <w:rFonts w:eastAsia="Times New Roman" w:cs="Times New Roman"/>
          <w:color w:val="000000"/>
        </w:rPr>
        <w:t> </w:t>
      </w:r>
      <w:r w:rsidRPr="0051737D">
        <w:rPr>
          <w:rFonts w:eastAsia="Times New Roman" w:cs="Times New Roman"/>
          <w:color w:val="000000"/>
        </w:rPr>
        <w:t>2, com.</w:t>
      </w:r>
      <w:r>
        <w:rPr>
          <w:rFonts w:eastAsia="Times New Roman" w:cs="Times New Roman"/>
          <w:color w:val="000000"/>
        </w:rPr>
        <w:t> </w:t>
      </w:r>
      <w:r w:rsidRPr="0051737D">
        <w:rPr>
          <w:rFonts w:eastAsia="Times New Roman" w:cs="Times New Roman"/>
          <w:color w:val="000000"/>
        </w:rPr>
        <w:t>e, p.</w:t>
      </w:r>
      <w:r>
        <w:rPr>
          <w:rFonts w:eastAsia="Times New Roman" w:cs="Times New Roman"/>
          <w:color w:val="000000"/>
        </w:rPr>
        <w:t> </w:t>
      </w:r>
      <w:r w:rsidRPr="0051737D">
        <w:rPr>
          <w:rFonts w:eastAsia="Times New Roman" w:cs="Times New Roman"/>
          <w:color w:val="000000"/>
        </w:rPr>
        <w:t>10; accord,</w:t>
      </w:r>
      <w:r>
        <w:rPr>
          <w:rFonts w:eastAsia="Times New Roman" w:cs="Times New Roman"/>
          <w:color w:val="000000"/>
        </w:rPr>
        <w:t xml:space="preserve"> </w:t>
      </w:r>
      <w:r w:rsidRPr="001C28BC">
        <w:rPr>
          <w:rFonts w:eastAsia="Times New Roman" w:cs="Times New Roman"/>
          <w:i/>
          <w:iCs/>
          <w:color w:val="000000"/>
          <w:bdr w:val="none" w:sz="0" w:space="0" w:color="auto" w:frame="1"/>
        </w:rPr>
        <w:t>id</w:t>
      </w:r>
      <w:r w:rsidRPr="0051737D">
        <w:rPr>
          <w:rFonts w:eastAsia="Times New Roman" w:cs="Times New Roman"/>
          <w:color w:val="000000"/>
          <w:bdr w:val="none" w:sz="0" w:space="0" w:color="auto" w:frame="1"/>
        </w:rPr>
        <w:t>.,</w:t>
      </w:r>
      <w:r>
        <w:rPr>
          <w:rFonts w:eastAsia="Times New Roman" w:cs="Times New Roman"/>
          <w:color w:val="000000"/>
        </w:rPr>
        <w:t xml:space="preserve"> </w:t>
      </w:r>
      <w:r w:rsidRPr="0051737D">
        <w:rPr>
          <w:rFonts w:eastAsia="Times New Roman" w:cs="Times New Roman"/>
          <w:color w:val="000000"/>
        </w:rPr>
        <w:t>§</w:t>
      </w:r>
      <w:r>
        <w:rPr>
          <w:rFonts w:eastAsia="Times New Roman" w:cs="Times New Roman"/>
          <w:color w:val="000000"/>
        </w:rPr>
        <w:t> </w:t>
      </w:r>
      <w:r w:rsidRPr="0051737D">
        <w:rPr>
          <w:rFonts w:eastAsia="Times New Roman" w:cs="Times New Roman"/>
          <w:color w:val="000000"/>
        </w:rPr>
        <w:t>77, com.</w:t>
      </w:r>
      <w:r>
        <w:rPr>
          <w:rFonts w:eastAsia="Times New Roman" w:cs="Times New Roman"/>
          <w:color w:val="000000"/>
        </w:rPr>
        <w:t> </w:t>
      </w:r>
      <w:r w:rsidRPr="0051737D">
        <w:rPr>
          <w:rFonts w:eastAsia="Times New Roman" w:cs="Times New Roman"/>
          <w:color w:val="000000"/>
        </w:rPr>
        <w:t xml:space="preserve">a, </w:t>
      </w:r>
      <w:r w:rsidRPr="0051737D">
        <w:rPr>
          <w:rFonts w:eastAsia="Times New Roman" w:cs="Times New Roman"/>
          <w:color w:val="000000"/>
        </w:rPr>
        <w:t>p.</w:t>
      </w:r>
      <w:r>
        <w:rPr>
          <w:rFonts w:eastAsia="Times New Roman" w:cs="Times New Roman"/>
          <w:color w:val="000000"/>
        </w:rPr>
        <w:t> </w:t>
      </w:r>
      <w:r w:rsidRPr="0051737D">
        <w:rPr>
          <w:rFonts w:eastAsia="Times New Roman" w:cs="Times New Roman"/>
          <w:color w:val="000000"/>
        </w:rPr>
        <w:t>195; 1</w:t>
      </w:r>
      <w:r>
        <w:rPr>
          <w:rFonts w:eastAsia="Times New Roman" w:cs="Times New Roman"/>
          <w:color w:val="000000"/>
        </w:rPr>
        <w:t> </w:t>
      </w:r>
      <w:r w:rsidRPr="0051737D">
        <w:rPr>
          <w:rFonts w:eastAsia="Times New Roman" w:cs="Times New Roman"/>
          <w:color w:val="000000"/>
        </w:rPr>
        <w:t>Corbin on Contracts (rev. ed. 1993) §</w:t>
      </w:r>
      <w:r>
        <w:rPr>
          <w:rFonts w:eastAsia="Times New Roman" w:cs="Times New Roman"/>
          <w:color w:val="000000"/>
        </w:rPr>
        <w:t> </w:t>
      </w:r>
      <w:r w:rsidRPr="0051737D">
        <w:rPr>
          <w:rFonts w:eastAsia="Times New Roman" w:cs="Times New Roman"/>
          <w:color w:val="000000"/>
        </w:rPr>
        <w:t>1.17, p.</w:t>
      </w:r>
      <w:r>
        <w:rPr>
          <w:rFonts w:eastAsia="Times New Roman" w:cs="Times New Roman"/>
          <w:color w:val="000000"/>
        </w:rPr>
        <w:t> </w:t>
      </w:r>
      <w:r w:rsidRPr="0051737D">
        <w:rPr>
          <w:rFonts w:eastAsia="Times New Roman" w:cs="Times New Roman"/>
          <w:color w:val="000000"/>
        </w:rPr>
        <w:t>47.)  ‘One of the most common types of promise that is too indefinite for legal enforcement is the promise where the promisor retains an unlimited right to decide later the nature or extent of his or</w:t>
      </w:r>
      <w:r w:rsidRPr="0051737D">
        <w:rPr>
          <w:rFonts w:eastAsia="Times New Roman" w:cs="Times New Roman"/>
          <w:color w:val="000000"/>
        </w:rPr>
        <w:t xml:space="preserve"> her performance.  This unlimited choice in effect destroys the promise and makes it</w:t>
      </w:r>
      <w:r>
        <w:rPr>
          <w:rFonts w:eastAsia="Times New Roman" w:cs="Times New Roman"/>
          <w:color w:val="000000"/>
        </w:rPr>
        <w:t xml:space="preserve"> </w:t>
      </w:r>
      <w:r w:rsidRPr="0051737D">
        <w:rPr>
          <w:rFonts w:eastAsia="Times New Roman" w:cs="Times New Roman"/>
          <w:color w:val="000000"/>
          <w:bdr w:val="none" w:sz="0" w:space="0" w:color="auto" w:frame="1"/>
        </w:rPr>
        <w:t>illusory</w:t>
      </w:r>
      <w:r w:rsidRPr="0051737D">
        <w:rPr>
          <w:rFonts w:eastAsia="Times New Roman" w:cs="Times New Roman"/>
          <w:color w:val="000000"/>
        </w:rPr>
        <w:t xml:space="preserve">.’ </w:t>
      </w:r>
      <w:r>
        <w:rPr>
          <w:rFonts w:eastAsia="Times New Roman" w:cs="Times New Roman"/>
          <w:color w:val="000000"/>
        </w:rPr>
        <w:t xml:space="preserve"> </w:t>
      </w:r>
      <w:r w:rsidRPr="0051737D">
        <w:rPr>
          <w:rFonts w:eastAsia="Times New Roman" w:cs="Times New Roman"/>
          <w:color w:val="000000"/>
        </w:rPr>
        <w:t>(1</w:t>
      </w:r>
      <w:r>
        <w:rPr>
          <w:rFonts w:eastAsia="Times New Roman" w:cs="Times New Roman"/>
          <w:color w:val="000000"/>
        </w:rPr>
        <w:t> </w:t>
      </w:r>
      <w:r w:rsidRPr="0051737D">
        <w:rPr>
          <w:rFonts w:eastAsia="Times New Roman" w:cs="Times New Roman"/>
          <w:color w:val="000000"/>
        </w:rPr>
        <w:t>Williston on Contracts (4th ed. 2007) §</w:t>
      </w:r>
      <w:r>
        <w:rPr>
          <w:rFonts w:eastAsia="Times New Roman" w:cs="Times New Roman"/>
          <w:color w:val="000000"/>
        </w:rPr>
        <w:t> </w:t>
      </w:r>
      <w:r w:rsidRPr="0051737D">
        <w:rPr>
          <w:rFonts w:eastAsia="Times New Roman" w:cs="Times New Roman"/>
          <w:color w:val="000000"/>
        </w:rPr>
        <w:t>4:27, pp.</w:t>
      </w:r>
      <w:r>
        <w:rPr>
          <w:rFonts w:eastAsia="Times New Roman" w:cs="Times New Roman"/>
          <w:color w:val="000000"/>
        </w:rPr>
        <w:t> </w:t>
      </w:r>
      <w:r w:rsidRPr="0051737D">
        <w:rPr>
          <w:rFonts w:eastAsia="Times New Roman" w:cs="Times New Roman"/>
          <w:color w:val="000000"/>
        </w:rPr>
        <w:t>804–805, fns. omitted; accord, 1</w:t>
      </w:r>
      <w:r>
        <w:rPr>
          <w:rFonts w:eastAsia="Times New Roman" w:cs="Times New Roman"/>
          <w:color w:val="000000"/>
        </w:rPr>
        <w:t> </w:t>
      </w:r>
      <w:r w:rsidRPr="0051737D">
        <w:rPr>
          <w:rFonts w:eastAsia="Times New Roman" w:cs="Times New Roman"/>
          <w:color w:val="000000"/>
        </w:rPr>
        <w:t>Witkin, Summary of Cal. Law (10th ed. 2005) Contracts, §§</w:t>
      </w:r>
      <w:r>
        <w:rPr>
          <w:rFonts w:eastAsia="Times New Roman" w:cs="Times New Roman"/>
          <w:color w:val="000000"/>
        </w:rPr>
        <w:t> </w:t>
      </w:r>
      <w:r w:rsidRPr="0051737D">
        <w:rPr>
          <w:rFonts w:eastAsia="Times New Roman" w:cs="Times New Roman"/>
          <w:color w:val="000000"/>
        </w:rPr>
        <w:t>230–231, pp.</w:t>
      </w:r>
      <w:r>
        <w:rPr>
          <w:rFonts w:eastAsia="Times New Roman" w:cs="Times New Roman"/>
          <w:color w:val="000000"/>
        </w:rPr>
        <w:t> </w:t>
      </w:r>
      <w:r w:rsidRPr="0051737D">
        <w:rPr>
          <w:rFonts w:eastAsia="Times New Roman" w:cs="Times New Roman"/>
          <w:color w:val="000000"/>
        </w:rPr>
        <w:t>26</w:t>
      </w:r>
      <w:r w:rsidRPr="0051737D">
        <w:rPr>
          <w:rFonts w:eastAsia="Times New Roman" w:cs="Times New Roman"/>
          <w:color w:val="000000"/>
        </w:rPr>
        <w:t>4–266.)”  (</w:t>
      </w:r>
      <w:r w:rsidRPr="001D3624">
        <w:rPr>
          <w:rFonts w:eastAsia="Times New Roman" w:cs="Times New Roman"/>
          <w:i/>
          <w:iCs/>
          <w:color w:val="000000"/>
          <w:bdr w:val="none" w:sz="0" w:space="0" w:color="auto" w:frame="1"/>
        </w:rPr>
        <w:t>Peleg</w:t>
      </w:r>
      <w:r>
        <w:rPr>
          <w:rFonts w:eastAsia="Times New Roman" w:cs="Times New Roman"/>
          <w:color w:val="000000"/>
        </w:rPr>
        <w:t xml:space="preserve">, </w:t>
      </w:r>
      <w:r w:rsidRPr="003F3E60">
        <w:rPr>
          <w:rFonts w:eastAsia="Times New Roman" w:cs="Times New Roman"/>
          <w:i/>
          <w:iCs/>
          <w:color w:val="000000"/>
        </w:rPr>
        <w:t>supra</w:t>
      </w:r>
      <w:r>
        <w:rPr>
          <w:rFonts w:eastAsia="Times New Roman" w:cs="Times New Roman"/>
          <w:color w:val="000000"/>
        </w:rPr>
        <w:t xml:space="preserve">, </w:t>
      </w:r>
      <w:r w:rsidRPr="001D3624">
        <w:rPr>
          <w:rFonts w:eastAsia="Times New Roman" w:cs="Times New Roman"/>
          <w:color w:val="000000"/>
        </w:rPr>
        <w:t>204</w:t>
      </w:r>
      <w:r>
        <w:rPr>
          <w:rFonts w:eastAsia="Times New Roman" w:cs="Times New Roman"/>
          <w:color w:val="000000"/>
        </w:rPr>
        <w:t> </w:t>
      </w:r>
      <w:r w:rsidRPr="001D3624">
        <w:rPr>
          <w:rFonts w:eastAsia="Times New Roman" w:cs="Times New Roman"/>
          <w:color w:val="000000"/>
        </w:rPr>
        <w:t xml:space="preserve">Cal.App.4th </w:t>
      </w:r>
      <w:r>
        <w:rPr>
          <w:rFonts w:eastAsia="Times New Roman" w:cs="Times New Roman"/>
          <w:color w:val="000000"/>
        </w:rPr>
        <w:t>at pp.</w:t>
      </w:r>
      <w:r w:rsidRPr="00E4425E">
        <w:rPr>
          <w:rFonts w:eastAsia="Times New Roman" w:cs="Times New Roman"/>
          <w:color w:val="000000"/>
        </w:rPr>
        <w:t> </w:t>
      </w:r>
      <w:r w:rsidRPr="001D3624">
        <w:rPr>
          <w:rFonts w:eastAsia="Times New Roman" w:cs="Times New Roman"/>
          <w:color w:val="000000"/>
        </w:rPr>
        <w:t>1438</w:t>
      </w:r>
      <w:r>
        <w:rPr>
          <w:rFonts w:eastAsia="Times New Roman" w:cs="Times New Roman"/>
          <w:color w:val="000000"/>
        </w:rPr>
        <w:t>–1439</w:t>
      </w:r>
      <w:r w:rsidRPr="001C28BC">
        <w:rPr>
          <w:rFonts w:eastAsia="Times New Roman" w:cs="Times New Roman"/>
          <w:color w:val="000000"/>
        </w:rPr>
        <w:t>.)</w:t>
      </w:r>
    </w:p>
  </w:footnote>
  <w:footnote w:id="19">
    <w:p w14:paraId="437ED49B" w14:textId="77777777" w:rsidR="000C653C" w:rsidRDefault="00140D1F">
      <w:pPr>
        <w:pStyle w:val="FootnoteText"/>
      </w:pPr>
      <w:r>
        <w:rPr>
          <w:rStyle w:val="FootnoteReference"/>
        </w:rPr>
        <w:footnoteRef/>
      </w:r>
      <w:r>
        <w:t xml:space="preserve"> </w:t>
      </w:r>
      <w:r w:rsidRPr="001A6699">
        <w:rPr>
          <w:szCs w:val="26"/>
        </w:rPr>
        <w:t xml:space="preserve">Causation in the </w:t>
      </w:r>
      <w:r w:rsidRPr="005712ED">
        <w:rPr>
          <w:szCs w:val="26"/>
        </w:rPr>
        <w:t>pathogenic sense is a</w:t>
      </w:r>
      <w:r w:rsidRPr="001A6699">
        <w:rPr>
          <w:szCs w:val="26"/>
        </w:rPr>
        <w:t xml:space="preserve"> well-known standard in tort law scenarios where the decisional focus is on whether microscopic particulates “cause” disease. </w:t>
      </w:r>
      <w:r>
        <w:rPr>
          <w:szCs w:val="26"/>
        </w:rPr>
        <w:t xml:space="preserve"> </w:t>
      </w:r>
      <w:r w:rsidRPr="001A6699">
        <w:rPr>
          <w:szCs w:val="26"/>
        </w:rPr>
        <w:t xml:space="preserve">(See </w:t>
      </w:r>
      <w:r w:rsidRPr="001A6699">
        <w:rPr>
          <w:rFonts w:eastAsia="Times New Roman" w:cs="Times New Roman"/>
          <w:i/>
          <w:iCs/>
          <w:color w:val="000000"/>
          <w:szCs w:val="26"/>
          <w:bdr w:val="none" w:sz="0" w:space="0" w:color="auto" w:frame="1"/>
        </w:rPr>
        <w:t>Rutherford v. Owens-Illinois, Inc.</w:t>
      </w:r>
      <w:r>
        <w:rPr>
          <w:rFonts w:eastAsia="Times New Roman" w:cs="Times New Roman"/>
          <w:color w:val="000000"/>
          <w:szCs w:val="26"/>
        </w:rPr>
        <w:t xml:space="preserve"> </w:t>
      </w:r>
      <w:r w:rsidRPr="001A6699">
        <w:rPr>
          <w:rFonts w:eastAsia="Times New Roman" w:cs="Times New Roman"/>
          <w:color w:val="000000"/>
          <w:szCs w:val="26"/>
        </w:rPr>
        <w:t>(1997) 16</w:t>
      </w:r>
      <w:r>
        <w:rPr>
          <w:rFonts w:eastAsia="Times New Roman" w:cs="Times New Roman"/>
          <w:color w:val="000000"/>
          <w:szCs w:val="26"/>
        </w:rPr>
        <w:t> </w:t>
      </w:r>
      <w:r w:rsidRPr="001A6699">
        <w:rPr>
          <w:rFonts w:eastAsia="Times New Roman" w:cs="Times New Roman"/>
          <w:color w:val="000000"/>
          <w:szCs w:val="26"/>
        </w:rPr>
        <w:t>Cal.4th 953, 982 [asbestos exposure].)</w:t>
      </w:r>
      <w:r>
        <w:rPr>
          <w:rFonts w:eastAsia="Times New Roman" w:cs="Times New Roman"/>
          <w:color w:val="000000"/>
          <w:szCs w:val="26"/>
        </w:rPr>
        <w:t xml:space="preserve">  The operative complaint can be reasonab</w:t>
      </w:r>
      <w:r>
        <w:rPr>
          <w:rFonts w:eastAsia="Times New Roman" w:cs="Times New Roman"/>
          <w:color w:val="000000"/>
          <w:szCs w:val="26"/>
        </w:rPr>
        <w:t xml:space="preserve">ly read to rely upon this theory of causation.  </w:t>
      </w:r>
      <w:r>
        <w:t>John’s Grill alleges that “</w:t>
      </w:r>
      <w:r w:rsidRPr="008549DD">
        <w:t xml:space="preserve">viruses are unique in that they cannot reproduce without access to a living host cell, whereas the other agents covered by the </w:t>
      </w:r>
      <w:r w:rsidRPr="00CA2D89">
        <w:t>Policy’s [Limited Virus Coverage] can and often do rep</w:t>
      </w:r>
      <w:r w:rsidRPr="00CA2D89">
        <w:t>roduce outside a host organism, such as when fungus or mold spores land in a humid environment, reproduce, grow, and proliferate.  By contrast, a virus may survive briefly outs</w:t>
      </w:r>
      <w:r w:rsidRPr="008549DD">
        <w:t>ide a host organism (such as when virus is shed), but it cannot reproduce there</w:t>
      </w:r>
      <w:r>
        <w:t>.</w:t>
      </w:r>
      <w:r>
        <w:t>”</w:t>
      </w:r>
    </w:p>
  </w:footnote>
  <w:footnote w:id="20">
    <w:p w14:paraId="73AF1047" w14:textId="77777777" w:rsidR="00C70983" w:rsidRDefault="00140D1F">
      <w:pPr>
        <w:pStyle w:val="FootnoteText"/>
      </w:pPr>
      <w:r w:rsidRPr="003F5A35">
        <w:rPr>
          <w:rStyle w:val="FootnoteReference"/>
          <w:szCs w:val="26"/>
        </w:rPr>
        <w:footnoteRef/>
      </w:r>
      <w:r w:rsidRPr="003F5A35">
        <w:rPr>
          <w:szCs w:val="26"/>
        </w:rPr>
        <w:t xml:space="preserve"> All of these cases appear to involve Sentinel</w:t>
      </w:r>
      <w:r w:rsidRPr="00BE2303">
        <w:rPr>
          <w:szCs w:val="26"/>
        </w:rPr>
        <w:t xml:space="preserve">, </w:t>
      </w:r>
      <w:r w:rsidRPr="00AC58B3">
        <w:rPr>
          <w:szCs w:val="26"/>
        </w:rPr>
        <w:t>Twin City Fire Insurance Company</w:t>
      </w:r>
      <w:r w:rsidRPr="008F149B">
        <w:rPr>
          <w:szCs w:val="26"/>
        </w:rPr>
        <w:t>, or Hartford Fire Insurance Company</w:t>
      </w:r>
      <w:r w:rsidRPr="00CC3389">
        <w:rPr>
          <w:szCs w:val="26"/>
        </w:rPr>
        <w:t xml:space="preserve">, each of which is </w:t>
      </w:r>
      <w:r>
        <w:rPr>
          <w:szCs w:val="26"/>
        </w:rPr>
        <w:t xml:space="preserve">an affiliated company </w:t>
      </w:r>
      <w:r w:rsidRPr="00CC3389">
        <w:rPr>
          <w:szCs w:val="26"/>
        </w:rPr>
        <w:t xml:space="preserve">in </w:t>
      </w:r>
      <w:r w:rsidRPr="001F1358">
        <w:rPr>
          <w:szCs w:val="26"/>
        </w:rPr>
        <w:t>the HFSG family of Hartford companies, a finding</w:t>
      </w:r>
      <w:r w:rsidRPr="00CC3389">
        <w:rPr>
          <w:szCs w:val="26"/>
        </w:rPr>
        <w:t xml:space="preserve"> </w:t>
      </w:r>
      <w:r>
        <w:rPr>
          <w:szCs w:val="26"/>
        </w:rPr>
        <w:t xml:space="preserve">that </w:t>
      </w:r>
      <w:r w:rsidRPr="00375C3B">
        <w:rPr>
          <w:szCs w:val="26"/>
        </w:rPr>
        <w:t>the trial court</w:t>
      </w:r>
      <w:r w:rsidRPr="00186000">
        <w:rPr>
          <w:szCs w:val="26"/>
        </w:rPr>
        <w:t xml:space="preserve"> in this case made with </w:t>
      </w:r>
      <w:r w:rsidRPr="00186000">
        <w:rPr>
          <w:szCs w:val="26"/>
        </w:rPr>
        <w:t xml:space="preserve">respect to Sentinel and </w:t>
      </w:r>
      <w:r>
        <w:rPr>
          <w:szCs w:val="26"/>
        </w:rPr>
        <w:t xml:space="preserve">that we see </w:t>
      </w:r>
      <w:r w:rsidRPr="00AC58B3">
        <w:rPr>
          <w:szCs w:val="26"/>
        </w:rPr>
        <w:t xml:space="preserve">trial courts </w:t>
      </w:r>
      <w:r>
        <w:rPr>
          <w:szCs w:val="26"/>
        </w:rPr>
        <w:t xml:space="preserve">have </w:t>
      </w:r>
      <w:r w:rsidRPr="00AC58B3">
        <w:rPr>
          <w:szCs w:val="26"/>
        </w:rPr>
        <w:t xml:space="preserve">made </w:t>
      </w:r>
      <w:r>
        <w:rPr>
          <w:szCs w:val="26"/>
        </w:rPr>
        <w:t xml:space="preserve">elsewhere </w:t>
      </w:r>
      <w:r w:rsidRPr="00AC58B3">
        <w:rPr>
          <w:szCs w:val="26"/>
        </w:rPr>
        <w:t>with respect to Twin City Fire and Hartford Fire</w:t>
      </w:r>
      <w:r>
        <w:rPr>
          <w:szCs w:val="26"/>
        </w:rPr>
        <w:t>.</w:t>
      </w:r>
      <w:r w:rsidRPr="00BE2303">
        <w:rPr>
          <w:szCs w:val="26"/>
        </w:rPr>
        <w:t xml:space="preserve"> </w:t>
      </w:r>
      <w:r w:rsidRPr="00AC58B3">
        <w:rPr>
          <w:szCs w:val="26"/>
        </w:rPr>
        <w:t xml:space="preserve"> (See</w:t>
      </w:r>
      <w:r>
        <w:rPr>
          <w:szCs w:val="26"/>
        </w:rPr>
        <w:t>,</w:t>
      </w:r>
      <w:r w:rsidRPr="00AC58B3">
        <w:rPr>
          <w:szCs w:val="26"/>
        </w:rPr>
        <w:t xml:space="preserve"> e.g.</w:t>
      </w:r>
      <w:r>
        <w:rPr>
          <w:szCs w:val="26"/>
        </w:rPr>
        <w:t>,</w:t>
      </w:r>
      <w:r w:rsidRPr="00AC58B3">
        <w:rPr>
          <w:szCs w:val="26"/>
        </w:rPr>
        <w:t xml:space="preserve"> </w:t>
      </w:r>
      <w:r w:rsidRPr="00296607">
        <w:rPr>
          <w:rFonts w:eastAsia="Times New Roman" w:cs="Times New Roman"/>
          <w:i/>
          <w:color w:val="000000"/>
          <w:szCs w:val="26"/>
          <w:bdr w:val="none" w:sz="0" w:space="0" w:color="auto" w:frame="1"/>
        </w:rPr>
        <w:t>Rosalez v. Hartford Financial Services Group</w:t>
      </w:r>
      <w:r w:rsidRPr="00296607">
        <w:rPr>
          <w:rFonts w:eastAsia="Times New Roman" w:cs="Times New Roman"/>
          <w:i/>
          <w:iCs/>
          <w:color w:val="000000"/>
          <w:szCs w:val="26"/>
          <w:bdr w:val="none" w:sz="0" w:space="0" w:color="auto" w:frame="1"/>
        </w:rPr>
        <w:t>, Inc.</w:t>
      </w:r>
      <w:r w:rsidRPr="00296607">
        <w:rPr>
          <w:rFonts w:eastAsia="Times New Roman" w:cs="Times New Roman"/>
          <w:color w:val="000000"/>
          <w:szCs w:val="26"/>
        </w:rPr>
        <w:t xml:space="preserve"> (D.Ariz., </w:t>
      </w:r>
      <w:r w:rsidRPr="00605D40">
        <w:rPr>
          <w:color w:val="000000"/>
          <w:bdr w:val="none" w:sz="0" w:space="0" w:color="auto" w:frame="1"/>
        </w:rPr>
        <w:t>Feb. 3, 2021, No. CV-20-00766-PHX-JJT) 2021 WL 363856.</w:t>
      </w:r>
      <w:r w:rsidRPr="00605D40">
        <w:rPr>
          <w:rFonts w:eastAsia="Times New Roman" w:cs="Times New Roman"/>
          <w:color w:val="000000"/>
          <w:szCs w:val="26"/>
        </w:rPr>
        <w:t>)</w:t>
      </w:r>
    </w:p>
  </w:footnote>
  <w:footnote w:id="21">
    <w:p w14:paraId="1E10690F" w14:textId="77777777" w:rsidR="00D91186" w:rsidRPr="002D7A14" w:rsidRDefault="00140D1F" w:rsidP="00A85FE8">
      <w:pPr>
        <w:spacing w:after="120" w:line="240" w:lineRule="auto"/>
        <w:rPr>
          <w:rFonts w:eastAsia="Times New Roman" w:cs="Times New Roman"/>
          <w:color w:val="000000"/>
        </w:rPr>
      </w:pPr>
      <w:r w:rsidRPr="00AE6AA5">
        <w:rPr>
          <w:rStyle w:val="FootnoteReference"/>
        </w:rPr>
        <w:footnoteRef/>
      </w:r>
      <w:r w:rsidRPr="00AE6AA5">
        <w:rPr>
          <w:rFonts w:eastAsia="Times New Roman" w:cs="Times New Roman"/>
          <w:i/>
          <w:iCs/>
          <w:color w:val="000000"/>
          <w:bdr w:val="none" w:sz="0" w:space="0" w:color="auto" w:frame="1"/>
        </w:rPr>
        <w:t xml:space="preserve"> </w:t>
      </w:r>
      <w:r w:rsidRPr="00605D40">
        <w:rPr>
          <w:i/>
          <w:iCs/>
          <w:color w:val="000000"/>
          <w:bdr w:val="none" w:sz="0" w:space="0" w:color="auto" w:frame="1"/>
        </w:rPr>
        <w:t>Barbizon School of San Francisco, Inc. v. Sentinel Ins. Co., Ltd.</w:t>
      </w:r>
      <w:r w:rsidRPr="00605D40">
        <w:rPr>
          <w:color w:val="000000"/>
          <w:bdr w:val="none" w:sz="0" w:space="0" w:color="auto" w:frame="1"/>
        </w:rPr>
        <w:t xml:space="preserve"> (N.D.Cal., Dec. 3, 2021, No. 20</w:t>
      </w:r>
      <w:r w:rsidRPr="00605D40">
        <w:rPr>
          <w:color w:val="000000"/>
          <w:bdr w:val="none" w:sz="0" w:space="0" w:color="auto" w:frame="1"/>
        </w:rPr>
        <w:noBreakHyphen/>
        <w:t>cv</w:t>
      </w:r>
      <w:r w:rsidRPr="00605D40">
        <w:rPr>
          <w:color w:val="000000"/>
          <w:bdr w:val="none" w:sz="0" w:space="0" w:color="auto" w:frame="1"/>
        </w:rPr>
        <w:noBreakHyphen/>
        <w:t>08578</w:t>
      </w:r>
      <w:r w:rsidRPr="00605D40">
        <w:rPr>
          <w:color w:val="000000"/>
          <w:bdr w:val="none" w:sz="0" w:space="0" w:color="auto" w:frame="1"/>
        </w:rPr>
        <w:noBreakHyphen/>
        <w:t>TSH) 2021 WL 5758890</w:t>
      </w:r>
      <w:r w:rsidRPr="00AE6AA5">
        <w:rPr>
          <w:rFonts w:eastAsia="Times New Roman" w:cs="Times New Roman"/>
          <w:color w:val="000000"/>
        </w:rPr>
        <w:t xml:space="preserve">; </w:t>
      </w:r>
      <w:r w:rsidRPr="00AE6AA5">
        <w:rPr>
          <w:rFonts w:eastAsia="Times New Roman" w:cs="Times New Roman"/>
          <w:i/>
          <w:iCs/>
          <w:color w:val="000000"/>
          <w:bdr w:val="none" w:sz="0" w:space="0" w:color="auto" w:frame="1"/>
        </w:rPr>
        <w:t>Mostre Exhibits, LLC v. Sentinel Ins. Co., Ltd.</w:t>
      </w:r>
      <w:r w:rsidRPr="00AE6AA5">
        <w:rPr>
          <w:rFonts w:eastAsia="Times New Roman" w:cs="Times New Roman"/>
          <w:color w:val="000000"/>
        </w:rPr>
        <w:t xml:space="preserve"> (S.D.Cal., Oct. 15, 2021, No. 20-cv-1332-BAS-BLM) 2021 WL 4819411; </w:t>
      </w:r>
      <w:r w:rsidRPr="00AE6AA5">
        <w:rPr>
          <w:rFonts w:eastAsia="Times New Roman" w:cs="Times New Roman"/>
          <w:i/>
          <w:iCs/>
          <w:color w:val="000000"/>
        </w:rPr>
        <w:t>Protégé</w:t>
      </w:r>
      <w:r w:rsidRPr="00AE6AA5">
        <w:rPr>
          <w:rFonts w:eastAsia="Times New Roman" w:cs="Times New Roman"/>
          <w:i/>
          <w:iCs/>
          <w:color w:val="000000"/>
          <w:bdr w:val="none" w:sz="0" w:space="0" w:color="auto" w:frame="1"/>
        </w:rPr>
        <w:t xml:space="preserve"> Rest</w:t>
      </w:r>
      <w:r w:rsidRPr="00AE6AA5">
        <w:rPr>
          <w:rFonts w:eastAsia="Times New Roman" w:cs="Times New Roman"/>
          <w:i/>
          <w:iCs/>
          <w:color w:val="000000"/>
          <w:bdr w:val="none" w:sz="0" w:space="0" w:color="auto" w:frame="1"/>
        </w:rPr>
        <w:t>aurant Partners LLC v. Sentinel Ins. Co., Ltd.</w:t>
      </w:r>
      <w:r w:rsidRPr="00AE6AA5">
        <w:rPr>
          <w:rFonts w:eastAsia="Times New Roman" w:cs="Times New Roman"/>
          <w:color w:val="000000"/>
        </w:rPr>
        <w:t xml:space="preserve"> (N.D.Cal., Sept. 28, 2021, No. 20-cv-03674-BLF) 2021 WL 4442652, *4, </w:t>
      </w:r>
      <w:r w:rsidRPr="00AE6AA5">
        <w:rPr>
          <w:rFonts w:eastAsia="Times New Roman" w:cs="Times New Roman"/>
          <w:color w:val="000000"/>
          <w:bdr w:val="none" w:sz="0" w:space="0" w:color="auto" w:frame="1"/>
        </w:rPr>
        <w:t>affd. (9th Cir. 2022) 2022 WL 14476377</w:t>
      </w:r>
      <w:r w:rsidRPr="00AE6AA5">
        <w:rPr>
          <w:rFonts w:eastAsia="Times New Roman" w:cs="Times New Roman"/>
          <w:color w:val="000000"/>
        </w:rPr>
        <w:t xml:space="preserve"> (mem. opn.); </w:t>
      </w:r>
      <w:r w:rsidRPr="00AE6AA5">
        <w:rPr>
          <w:rFonts w:eastAsia="Times New Roman" w:cs="Times New Roman"/>
          <w:i/>
          <w:iCs/>
          <w:color w:val="000000"/>
          <w:bdr w:val="none" w:sz="0" w:space="0" w:color="auto" w:frame="1"/>
        </w:rPr>
        <w:t xml:space="preserve">Ets-Hokin v. </w:t>
      </w:r>
      <w:r w:rsidRPr="00C66734">
        <w:rPr>
          <w:rFonts w:eastAsia="Times New Roman" w:cs="Times New Roman"/>
          <w:i/>
          <w:iCs/>
          <w:color w:val="000000"/>
          <w:bdr w:val="none" w:sz="0" w:space="0" w:color="auto" w:frame="1"/>
        </w:rPr>
        <w:t>Sentinel Ins. Co., Ltd.</w:t>
      </w:r>
      <w:r w:rsidRPr="00C66734">
        <w:rPr>
          <w:rFonts w:eastAsia="Times New Roman" w:cs="Times New Roman"/>
          <w:color w:val="000000"/>
        </w:rPr>
        <w:t xml:space="preserve"> (N.D.Cal., Aug. 27, 2021, No. 20-cv-06518-JST) 2021 WL 4472692; </w:t>
      </w:r>
      <w:r w:rsidRPr="00C66734">
        <w:rPr>
          <w:rFonts w:eastAsia="Times New Roman" w:cs="Times New Roman"/>
          <w:i/>
          <w:iCs/>
          <w:color w:val="000000"/>
          <w:bdr w:val="none" w:sz="0" w:space="0" w:color="auto" w:frame="1"/>
        </w:rPr>
        <w:t>Hair Perfect International, Inc. v. Sentinel Ins. Co., Ltd.</w:t>
      </w:r>
      <w:r w:rsidRPr="00C66734">
        <w:rPr>
          <w:rFonts w:eastAsia="Times New Roman" w:cs="Times New Roman"/>
          <w:color w:val="000000"/>
        </w:rPr>
        <w:t xml:space="preserve"> (C.D.Cal., May 20, 2021, No. LA CV20-03729 JAK (KSx)) 2021 WL 2143459; </w:t>
      </w:r>
      <w:r w:rsidRPr="00C66734">
        <w:rPr>
          <w:rFonts w:eastAsia="Times New Roman" w:cs="Times New Roman"/>
          <w:i/>
          <w:iCs/>
          <w:color w:val="000000"/>
          <w:bdr w:val="none" w:sz="0" w:space="0" w:color="auto" w:frame="1"/>
        </w:rPr>
        <w:t>French Laundry Partners, LP v. Hartford Fire Ins. Co.</w:t>
      </w:r>
      <w:r w:rsidRPr="00C66734">
        <w:rPr>
          <w:rFonts w:eastAsia="Times New Roman" w:cs="Times New Roman"/>
          <w:color w:val="000000"/>
        </w:rPr>
        <w:t xml:space="preserve"> (N.D.C</w:t>
      </w:r>
      <w:r w:rsidRPr="00C66734">
        <w:rPr>
          <w:rFonts w:eastAsia="Times New Roman" w:cs="Times New Roman"/>
          <w:color w:val="000000"/>
        </w:rPr>
        <w:t>al. 2021) 535 F.Supp.3d 897</w:t>
      </w:r>
      <w:r w:rsidRPr="0003617A">
        <w:rPr>
          <w:rFonts w:eastAsia="Times New Roman" w:cs="Times New Roman"/>
          <w:color w:val="000000"/>
        </w:rPr>
        <w:t xml:space="preserve"> (</w:t>
      </w:r>
      <w:r w:rsidRPr="0003617A">
        <w:rPr>
          <w:rFonts w:eastAsia="Times New Roman" w:cs="Times New Roman"/>
          <w:i/>
          <w:iCs/>
          <w:color w:val="000000"/>
        </w:rPr>
        <w:t>French Laundry</w:t>
      </w:r>
      <w:r w:rsidRPr="0003617A">
        <w:rPr>
          <w:rFonts w:eastAsia="Times New Roman" w:cs="Times New Roman"/>
          <w:color w:val="000000"/>
        </w:rPr>
        <w:t>)</w:t>
      </w:r>
      <w:r w:rsidRPr="007402D9">
        <w:rPr>
          <w:rFonts w:eastAsia="Times New Roman" w:cs="Times New Roman"/>
          <w:color w:val="000000"/>
        </w:rPr>
        <w:t xml:space="preserve">; </w:t>
      </w:r>
      <w:r w:rsidRPr="007402D9">
        <w:rPr>
          <w:rFonts w:eastAsia="Times New Roman" w:cs="Times New Roman"/>
          <w:i/>
          <w:iCs/>
          <w:color w:val="000000"/>
          <w:bdr w:val="none" w:sz="0" w:space="0" w:color="auto" w:frame="1"/>
        </w:rPr>
        <w:t>Westside Head &amp; Neck v. Hartford Fin. Servs. Group</w:t>
      </w:r>
      <w:r w:rsidRPr="007402D9">
        <w:rPr>
          <w:rFonts w:eastAsia="Times New Roman" w:cs="Times New Roman"/>
          <w:color w:val="000000"/>
        </w:rPr>
        <w:t xml:space="preserve"> (C.D.Cal. 2021) 526 F.Supp.3d 727; </w:t>
      </w:r>
      <w:r w:rsidRPr="007402D9">
        <w:rPr>
          <w:rFonts w:eastAsia="Times New Roman" w:cs="Times New Roman"/>
          <w:i/>
          <w:iCs/>
          <w:color w:val="000000"/>
          <w:bdr w:val="none" w:sz="0" w:space="0" w:color="auto" w:frame="1"/>
        </w:rPr>
        <w:t>Colgan v. Sentinel Ins. Company, Ltd.</w:t>
      </w:r>
      <w:r w:rsidRPr="007402D9">
        <w:rPr>
          <w:rFonts w:eastAsia="Times New Roman" w:cs="Times New Roman"/>
          <w:color w:val="000000"/>
        </w:rPr>
        <w:t xml:space="preserve"> (N.D.Cal. 2021) 515 F.Supp.3d 1082</w:t>
      </w:r>
      <w:r>
        <w:rPr>
          <w:rFonts w:eastAsia="Times New Roman" w:cs="Times New Roman"/>
          <w:color w:val="000000"/>
        </w:rPr>
        <w:t xml:space="preserve"> (</w:t>
      </w:r>
      <w:r w:rsidRPr="00641D4A">
        <w:rPr>
          <w:rFonts w:eastAsia="Times New Roman" w:cs="Times New Roman"/>
          <w:i/>
          <w:iCs/>
          <w:color w:val="000000"/>
        </w:rPr>
        <w:t>Colgan</w:t>
      </w:r>
      <w:r>
        <w:rPr>
          <w:rFonts w:eastAsia="Times New Roman" w:cs="Times New Roman"/>
          <w:color w:val="000000"/>
        </w:rPr>
        <w:t>)</w:t>
      </w:r>
      <w:r w:rsidRPr="007402D9">
        <w:rPr>
          <w:rFonts w:eastAsia="Times New Roman" w:cs="Times New Roman"/>
          <w:color w:val="000000"/>
        </w:rPr>
        <w:t xml:space="preserve">; </w:t>
      </w:r>
      <w:r w:rsidRPr="007402D9">
        <w:rPr>
          <w:rFonts w:eastAsia="Times New Roman" w:cs="Times New Roman"/>
          <w:i/>
          <w:iCs/>
          <w:color w:val="000000"/>
          <w:bdr w:val="none" w:sz="0" w:space="0" w:color="auto" w:frame="1"/>
        </w:rPr>
        <w:t>Franklin EWC, Inc. v. Hartford Fin. Servs</w:t>
      </w:r>
      <w:r w:rsidRPr="007402D9">
        <w:rPr>
          <w:rFonts w:eastAsia="Times New Roman" w:cs="Times New Roman"/>
          <w:i/>
          <w:iCs/>
          <w:color w:val="000000"/>
          <w:bdr w:val="none" w:sz="0" w:space="0" w:color="auto" w:frame="1"/>
        </w:rPr>
        <w:t>. Group</w:t>
      </w:r>
      <w:r w:rsidRPr="007402D9">
        <w:rPr>
          <w:rFonts w:eastAsia="Times New Roman" w:cs="Times New Roman"/>
          <w:color w:val="000000"/>
        </w:rPr>
        <w:t xml:space="preserve"> (N.D.Cal. 2020) 506 F.Supp.3d 854</w:t>
      </w:r>
      <w:r>
        <w:rPr>
          <w:rFonts w:eastAsia="Times New Roman" w:cs="Times New Roman"/>
          <w:color w:val="000000"/>
        </w:rPr>
        <w:t xml:space="preserve"> (</w:t>
      </w:r>
      <w:r w:rsidRPr="008578BA">
        <w:rPr>
          <w:rFonts w:eastAsia="Times New Roman" w:cs="Times New Roman"/>
          <w:i/>
          <w:iCs/>
          <w:color w:val="000000"/>
        </w:rPr>
        <w:t>Franklin EW</w:t>
      </w:r>
      <w:r w:rsidRPr="008578BA">
        <w:rPr>
          <w:rFonts w:eastAsia="Times New Roman" w:cs="Times New Roman"/>
          <w:i/>
          <w:iCs/>
          <w:color w:val="000000"/>
          <w:spacing w:val="20"/>
        </w:rPr>
        <w:t>C</w:t>
      </w:r>
      <w:r>
        <w:rPr>
          <w:rFonts w:eastAsia="Times New Roman" w:cs="Times New Roman"/>
          <w:color w:val="000000"/>
        </w:rPr>
        <w:t>)</w:t>
      </w:r>
      <w:r w:rsidRPr="007402D9">
        <w:rPr>
          <w:rFonts w:eastAsia="Times New Roman" w:cs="Times New Roman"/>
          <w:color w:val="000000"/>
        </w:rPr>
        <w:t>.</w:t>
      </w:r>
    </w:p>
  </w:footnote>
  <w:footnote w:id="22">
    <w:p w14:paraId="769B2243" w14:textId="77777777" w:rsidR="008D649B" w:rsidRPr="002311B2" w:rsidRDefault="00140D1F" w:rsidP="00C32E77">
      <w:pPr>
        <w:spacing w:after="120" w:line="240" w:lineRule="auto"/>
        <w:rPr>
          <w:rFonts w:eastAsia="Times New Roman" w:cs="Times New Roman"/>
          <w:color w:val="000000"/>
        </w:rPr>
      </w:pPr>
      <w:r>
        <w:rPr>
          <w:rStyle w:val="FootnoteReference"/>
        </w:rPr>
        <w:footnoteRef/>
      </w:r>
      <w:r>
        <w:t xml:space="preserve"> </w:t>
      </w:r>
      <w:r w:rsidRPr="009808A6">
        <w:t>See</w:t>
      </w:r>
      <w:r>
        <w:t xml:space="preserve">, </w:t>
      </w:r>
      <w:r w:rsidRPr="009808A6">
        <w:t>e.g.</w:t>
      </w:r>
      <w:r>
        <w:t xml:space="preserve">, </w:t>
      </w:r>
      <w:r w:rsidRPr="00C92166">
        <w:rPr>
          <w:i/>
          <w:iCs/>
        </w:rPr>
        <w:t>Mostre Exhibits</w:t>
      </w:r>
      <w:r w:rsidRPr="00AE6AA5">
        <w:rPr>
          <w:rFonts w:eastAsia="Times New Roman" w:cs="Times New Roman"/>
          <w:i/>
          <w:iCs/>
          <w:color w:val="000000"/>
          <w:bdr w:val="none" w:sz="0" w:space="0" w:color="auto" w:frame="1"/>
        </w:rPr>
        <w:t>, LLC v. Sentinel Ins. Co., Ltd.</w:t>
      </w:r>
      <w:r>
        <w:rPr>
          <w:rFonts w:eastAsia="Times New Roman" w:cs="Times New Roman"/>
          <w:color w:val="000000"/>
        </w:rPr>
        <w:t xml:space="preserve">, </w:t>
      </w:r>
      <w:r w:rsidRPr="00122537">
        <w:rPr>
          <w:rFonts w:eastAsia="Times New Roman" w:cs="Times New Roman"/>
          <w:i/>
          <w:iCs/>
          <w:color w:val="000000"/>
        </w:rPr>
        <w:t>supra</w:t>
      </w:r>
      <w:r>
        <w:rPr>
          <w:rFonts w:eastAsia="Times New Roman" w:cs="Times New Roman"/>
          <w:color w:val="000000"/>
        </w:rPr>
        <w:t xml:space="preserve">, </w:t>
      </w:r>
      <w:r w:rsidRPr="00011C72">
        <w:rPr>
          <w:rFonts w:eastAsia="Times New Roman" w:cs="Times New Roman"/>
          <w:color w:val="000000"/>
        </w:rPr>
        <w:t>2021</w:t>
      </w:r>
      <w:r>
        <w:rPr>
          <w:rFonts w:eastAsia="Times New Roman" w:cs="Times New Roman"/>
          <w:color w:val="000000"/>
        </w:rPr>
        <w:t> </w:t>
      </w:r>
      <w:r w:rsidRPr="00011C72">
        <w:rPr>
          <w:rFonts w:eastAsia="Times New Roman" w:cs="Times New Roman"/>
          <w:color w:val="000000"/>
        </w:rPr>
        <w:t xml:space="preserve">WL </w:t>
      </w:r>
      <w:r w:rsidRPr="00E07D72">
        <w:rPr>
          <w:rFonts w:eastAsia="Times New Roman" w:cs="Times New Roman"/>
          <w:color w:val="000000"/>
        </w:rPr>
        <w:t>4819411 at pages *6, *</w:t>
      </w:r>
      <w:r w:rsidRPr="004B670F">
        <w:rPr>
          <w:rFonts w:eastAsia="Times New Roman" w:cs="Times New Roman"/>
          <w:color w:val="000000"/>
        </w:rPr>
        <w:t xml:space="preserve">8; </w:t>
      </w:r>
      <w:r w:rsidRPr="004B670F">
        <w:rPr>
          <w:i/>
          <w:iCs/>
        </w:rPr>
        <w:t>Colgan</w:t>
      </w:r>
      <w:r w:rsidRPr="004B670F">
        <w:t xml:space="preserve">, </w:t>
      </w:r>
      <w:r w:rsidRPr="004B670F">
        <w:rPr>
          <w:i/>
          <w:iCs/>
        </w:rPr>
        <w:t>supra</w:t>
      </w:r>
      <w:r w:rsidRPr="004B670F">
        <w:t xml:space="preserve">, </w:t>
      </w:r>
      <w:r w:rsidRPr="004B670F">
        <w:rPr>
          <w:rFonts w:eastAsia="Times New Roman" w:cs="Times New Roman"/>
          <w:color w:val="000000"/>
        </w:rPr>
        <w:t>515 F.Supp.3d at pages 1086–1087.</w:t>
      </w:r>
    </w:p>
  </w:footnote>
  <w:footnote w:id="23">
    <w:p w14:paraId="387E5EEC" w14:textId="77777777" w:rsidR="00041CE3" w:rsidRPr="00283B12" w:rsidRDefault="00140D1F" w:rsidP="00041CE3">
      <w:pPr>
        <w:pStyle w:val="FootnoteText"/>
      </w:pPr>
      <w:r w:rsidRPr="00283B12">
        <w:rPr>
          <w:rStyle w:val="FootnoteReference"/>
        </w:rPr>
        <w:footnoteRef/>
      </w:r>
      <w:r w:rsidRPr="00283B12">
        <w:t xml:space="preserve"> </w:t>
      </w:r>
      <w:r w:rsidRPr="009808A6">
        <w:t>See</w:t>
      </w:r>
      <w:r>
        <w:t>,</w:t>
      </w:r>
      <w:r w:rsidRPr="009808A6">
        <w:t xml:space="preserve"> e.g.</w:t>
      </w:r>
      <w:r>
        <w:t>,</w:t>
      </w:r>
      <w:r w:rsidRPr="00283B12">
        <w:t xml:space="preserve"> </w:t>
      </w:r>
      <w:r w:rsidRPr="00283B12">
        <w:rPr>
          <w:rFonts w:eastAsia="Times New Roman" w:cs="Times New Roman"/>
          <w:i/>
          <w:iCs/>
          <w:color w:val="000000"/>
          <w:szCs w:val="26"/>
          <w:bdr w:val="none" w:sz="0" w:space="0" w:color="auto" w:frame="1"/>
        </w:rPr>
        <w:t>French Laundry</w:t>
      </w:r>
      <w:r w:rsidRPr="00283B12">
        <w:rPr>
          <w:rFonts w:eastAsia="Times New Roman" w:cs="Times New Roman"/>
          <w:color w:val="000000"/>
          <w:szCs w:val="26"/>
        </w:rPr>
        <w:t xml:space="preserve">, </w:t>
      </w:r>
      <w:r w:rsidRPr="00283B12">
        <w:rPr>
          <w:rFonts w:eastAsia="Times New Roman" w:cs="Times New Roman"/>
          <w:i/>
          <w:iCs/>
          <w:color w:val="000000"/>
          <w:szCs w:val="26"/>
        </w:rPr>
        <w:t>supra</w:t>
      </w:r>
      <w:r w:rsidRPr="00283B12">
        <w:rPr>
          <w:rFonts w:eastAsia="Times New Roman" w:cs="Times New Roman"/>
          <w:color w:val="000000"/>
          <w:szCs w:val="26"/>
        </w:rPr>
        <w:t>, 535</w:t>
      </w:r>
      <w:r>
        <w:rPr>
          <w:rFonts w:eastAsia="Times New Roman" w:cs="Times New Roman"/>
          <w:color w:val="000000"/>
          <w:szCs w:val="26"/>
        </w:rPr>
        <w:t> </w:t>
      </w:r>
      <w:r w:rsidRPr="00283B12">
        <w:rPr>
          <w:rFonts w:eastAsia="Times New Roman" w:cs="Times New Roman"/>
          <w:color w:val="000000"/>
          <w:szCs w:val="26"/>
        </w:rPr>
        <w:t xml:space="preserve">F.Supp.3d </w:t>
      </w:r>
      <w:r>
        <w:rPr>
          <w:rFonts w:eastAsia="Times New Roman" w:cs="Times New Roman"/>
          <w:color w:val="000000"/>
          <w:szCs w:val="26"/>
        </w:rPr>
        <w:t>at pages 903–904</w:t>
      </w:r>
      <w:r w:rsidRPr="00283B12">
        <w:rPr>
          <w:rFonts w:eastAsia="Times New Roman" w:cs="Times New Roman"/>
          <w:color w:val="000000"/>
          <w:szCs w:val="26"/>
        </w:rPr>
        <w:t xml:space="preserve">; </w:t>
      </w:r>
      <w:r w:rsidRPr="00351FCD">
        <w:rPr>
          <w:rFonts w:eastAsia="Times New Roman" w:cs="Times New Roman"/>
          <w:i/>
          <w:iCs/>
          <w:color w:val="000000"/>
          <w:bdr w:val="none" w:sz="0" w:space="0" w:color="auto" w:frame="1"/>
        </w:rPr>
        <w:t>Franklin EWC</w:t>
      </w:r>
      <w:r w:rsidRPr="00351FCD">
        <w:rPr>
          <w:rFonts w:eastAsia="Times New Roman" w:cs="Times New Roman"/>
          <w:color w:val="000000"/>
        </w:rPr>
        <w:t xml:space="preserve">, </w:t>
      </w:r>
      <w:r w:rsidRPr="00351FCD">
        <w:rPr>
          <w:rFonts w:eastAsia="Times New Roman" w:cs="Times New Roman"/>
          <w:i/>
          <w:iCs/>
          <w:color w:val="000000"/>
        </w:rPr>
        <w:t>supra</w:t>
      </w:r>
      <w:r w:rsidRPr="00351FCD">
        <w:rPr>
          <w:rFonts w:eastAsia="Times New Roman" w:cs="Times New Roman"/>
          <w:color w:val="000000"/>
        </w:rPr>
        <w:t>, 506 F.Supp.3d at page</w:t>
      </w:r>
      <w:r>
        <w:rPr>
          <w:rFonts w:eastAsia="Times New Roman" w:cs="Times New Roman"/>
          <w:color w:val="000000"/>
        </w:rPr>
        <w:t> </w:t>
      </w:r>
      <w:r w:rsidRPr="00351FCD">
        <w:rPr>
          <w:rFonts w:eastAsia="Times New Roman" w:cs="Times New Roman"/>
          <w:color w:val="000000"/>
        </w:rPr>
        <w:t>861.</w:t>
      </w:r>
    </w:p>
  </w:footnote>
  <w:footnote w:id="24">
    <w:p w14:paraId="630C63DE" w14:textId="77777777" w:rsidR="00041CE3" w:rsidRDefault="00140D1F">
      <w:pPr>
        <w:pStyle w:val="FootnoteText"/>
      </w:pPr>
      <w:r>
        <w:rPr>
          <w:rStyle w:val="FootnoteReference"/>
        </w:rPr>
        <w:footnoteRef/>
      </w:r>
      <w:r>
        <w:t xml:space="preserve"> See, e.g., </w:t>
      </w:r>
      <w:r w:rsidRPr="00D91186">
        <w:rPr>
          <w:i/>
          <w:iCs/>
        </w:rPr>
        <w:t>Barbizon</w:t>
      </w:r>
      <w:r w:rsidRPr="00D35685">
        <w:rPr>
          <w:i/>
          <w:color w:val="000000"/>
          <w:bdr w:val="none" w:sz="0" w:space="0" w:color="auto" w:frame="1"/>
        </w:rPr>
        <w:t xml:space="preserve"> School of San Francisco, Inc. v. Sentinel Ins. Co., Ltd.</w:t>
      </w:r>
      <w:r w:rsidRPr="00605D40">
        <w:t xml:space="preserve">, </w:t>
      </w:r>
      <w:r w:rsidRPr="00D91186">
        <w:rPr>
          <w:i/>
          <w:iCs/>
        </w:rPr>
        <w:t>supra</w:t>
      </w:r>
      <w:r>
        <w:t xml:space="preserve">, </w:t>
      </w:r>
      <w:r w:rsidRPr="00D91186">
        <w:rPr>
          <w:rFonts w:eastAsia="Times New Roman" w:cs="Times New Roman"/>
          <w:color w:val="000000"/>
          <w:szCs w:val="26"/>
        </w:rPr>
        <w:t>2021 WL 5758890</w:t>
      </w:r>
      <w:r>
        <w:rPr>
          <w:rFonts w:eastAsia="Times New Roman" w:cs="Times New Roman"/>
          <w:color w:val="000000"/>
          <w:szCs w:val="26"/>
        </w:rPr>
        <w:t xml:space="preserve"> at page *9.</w:t>
      </w:r>
    </w:p>
  </w:footnote>
  <w:footnote w:id="25">
    <w:p w14:paraId="6D601735" w14:textId="77777777" w:rsidR="0040614A" w:rsidRDefault="00140D1F" w:rsidP="0040614A">
      <w:pPr>
        <w:pStyle w:val="FootnoteText"/>
      </w:pPr>
      <w:r>
        <w:rPr>
          <w:rStyle w:val="FootnoteReference"/>
        </w:rPr>
        <w:footnoteRef/>
      </w:r>
      <w:r>
        <w:t xml:space="preserve"> </w:t>
      </w:r>
      <w:r w:rsidRPr="007A10D5">
        <w:t>See</w:t>
      </w:r>
      <w:r>
        <w:t>,</w:t>
      </w:r>
      <w:r w:rsidRPr="007A10D5">
        <w:t xml:space="preserve"> </w:t>
      </w:r>
      <w:r w:rsidRPr="00880F03">
        <w:t xml:space="preserve">e.g., </w:t>
      </w:r>
      <w:r w:rsidRPr="00880F03">
        <w:rPr>
          <w:i/>
          <w:iCs/>
        </w:rPr>
        <w:t>Colgan</w:t>
      </w:r>
      <w:r w:rsidRPr="00880F03">
        <w:t xml:space="preserve">, </w:t>
      </w:r>
      <w:r w:rsidRPr="00880F03">
        <w:rPr>
          <w:i/>
          <w:iCs/>
        </w:rPr>
        <w:t>supra</w:t>
      </w:r>
      <w:r w:rsidRPr="00880F03">
        <w:t xml:space="preserve">, </w:t>
      </w:r>
      <w:r w:rsidRPr="00880F03">
        <w:rPr>
          <w:rFonts w:eastAsia="Times New Roman" w:cs="Times New Roman"/>
          <w:color w:val="000000"/>
        </w:rPr>
        <w:t>515 F.Supp.3d at page</w:t>
      </w:r>
      <w:r>
        <w:rPr>
          <w:rFonts w:eastAsia="Times New Roman" w:cs="Times New Roman"/>
          <w:color w:val="000000"/>
        </w:rPr>
        <w:t> </w:t>
      </w:r>
      <w:r w:rsidRPr="00880F03">
        <w:rPr>
          <w:rFonts w:eastAsia="Times New Roman" w:cs="Times New Roman"/>
          <w:color w:val="000000"/>
        </w:rPr>
        <w:t>1088.</w:t>
      </w:r>
    </w:p>
  </w:footnote>
  <w:footnote w:id="26">
    <w:p w14:paraId="1A674B1C" w14:textId="77777777" w:rsidR="004311AC" w:rsidRDefault="00140D1F">
      <w:pPr>
        <w:pStyle w:val="FootnoteText"/>
      </w:pPr>
      <w:r>
        <w:rPr>
          <w:rStyle w:val="FootnoteReference"/>
        </w:rPr>
        <w:footnoteRef/>
      </w:r>
      <w:r>
        <w:t xml:space="preserve"> </w:t>
      </w:r>
      <w:r w:rsidRPr="007A10D5">
        <w:t>See</w:t>
      </w:r>
      <w:r>
        <w:t>,</w:t>
      </w:r>
      <w:r w:rsidRPr="007A10D5">
        <w:t xml:space="preserve"> e.g</w:t>
      </w:r>
      <w:r w:rsidRPr="0044726D">
        <w:t>.</w:t>
      </w:r>
      <w:r>
        <w:t xml:space="preserve">, </w:t>
      </w:r>
      <w:r w:rsidRPr="002F5408">
        <w:rPr>
          <w:rFonts w:eastAsia="Times New Roman" w:cs="Times New Roman"/>
          <w:i/>
          <w:iCs/>
          <w:color w:val="000000"/>
          <w:szCs w:val="26"/>
          <w:bdr w:val="none" w:sz="0" w:space="0" w:color="auto" w:frame="1"/>
        </w:rPr>
        <w:t>Ets-Hoki</w:t>
      </w:r>
      <w:r>
        <w:rPr>
          <w:rFonts w:eastAsia="Times New Roman" w:cs="Times New Roman"/>
          <w:i/>
          <w:iCs/>
          <w:color w:val="000000"/>
          <w:bdr w:val="none" w:sz="0" w:space="0" w:color="auto" w:frame="1"/>
        </w:rPr>
        <w:t xml:space="preserve">n </w:t>
      </w:r>
      <w:r w:rsidRPr="002D7A14">
        <w:rPr>
          <w:rFonts w:eastAsia="Times New Roman" w:cs="Times New Roman"/>
          <w:i/>
          <w:iCs/>
          <w:color w:val="000000"/>
          <w:bdr w:val="none" w:sz="0" w:space="0" w:color="auto" w:frame="1"/>
        </w:rPr>
        <w:t>v. Sentinel Ins</w:t>
      </w:r>
      <w:r>
        <w:rPr>
          <w:rFonts w:eastAsia="Times New Roman" w:cs="Times New Roman"/>
          <w:i/>
          <w:iCs/>
          <w:color w:val="000000"/>
          <w:bdr w:val="none" w:sz="0" w:space="0" w:color="auto" w:frame="1"/>
        </w:rPr>
        <w:t>.</w:t>
      </w:r>
      <w:r w:rsidRPr="002D7A14">
        <w:rPr>
          <w:rFonts w:eastAsia="Times New Roman" w:cs="Times New Roman"/>
          <w:i/>
          <w:iCs/>
          <w:color w:val="000000"/>
          <w:bdr w:val="none" w:sz="0" w:space="0" w:color="auto" w:frame="1"/>
        </w:rPr>
        <w:t xml:space="preserve"> Co</w:t>
      </w:r>
      <w:r>
        <w:rPr>
          <w:rFonts w:eastAsia="Times New Roman" w:cs="Times New Roman"/>
          <w:i/>
          <w:iCs/>
          <w:color w:val="000000"/>
          <w:bdr w:val="none" w:sz="0" w:space="0" w:color="auto" w:frame="1"/>
        </w:rPr>
        <w:t>.</w:t>
      </w:r>
      <w:r w:rsidRPr="002D7A14">
        <w:rPr>
          <w:rFonts w:eastAsia="Times New Roman" w:cs="Times New Roman"/>
          <w:i/>
          <w:iCs/>
          <w:color w:val="000000"/>
          <w:bdr w:val="none" w:sz="0" w:space="0" w:color="auto" w:frame="1"/>
        </w:rPr>
        <w:t>, Ltd.</w:t>
      </w:r>
      <w:r>
        <w:rPr>
          <w:rFonts w:eastAsia="Times New Roman" w:cs="Times New Roman"/>
          <w:color w:val="000000"/>
        </w:rPr>
        <w:t xml:space="preserve">, </w:t>
      </w:r>
      <w:r w:rsidRPr="001745B6">
        <w:rPr>
          <w:rFonts w:eastAsia="Times New Roman" w:cs="Times New Roman"/>
          <w:i/>
          <w:iCs/>
          <w:color w:val="000000"/>
        </w:rPr>
        <w:t>supra</w:t>
      </w:r>
      <w:r>
        <w:rPr>
          <w:rFonts w:eastAsia="Times New Roman" w:cs="Times New Roman"/>
          <w:color w:val="000000"/>
        </w:rPr>
        <w:t>,</w:t>
      </w:r>
      <w:r w:rsidRPr="001F26C6">
        <w:rPr>
          <w:rFonts w:eastAsia="Times New Roman" w:cs="Times New Roman"/>
          <w:color w:val="000000"/>
          <w:szCs w:val="26"/>
        </w:rPr>
        <w:t xml:space="preserve"> </w:t>
      </w:r>
      <w:r w:rsidRPr="002F5408">
        <w:rPr>
          <w:rFonts w:eastAsia="Times New Roman" w:cs="Times New Roman"/>
          <w:color w:val="000000"/>
          <w:szCs w:val="26"/>
        </w:rPr>
        <w:t>2021</w:t>
      </w:r>
      <w:r>
        <w:rPr>
          <w:rFonts w:eastAsia="Times New Roman" w:cs="Times New Roman"/>
          <w:color w:val="000000"/>
          <w:szCs w:val="26"/>
        </w:rPr>
        <w:t> </w:t>
      </w:r>
      <w:r w:rsidRPr="002F5408">
        <w:rPr>
          <w:rFonts w:eastAsia="Times New Roman" w:cs="Times New Roman"/>
          <w:color w:val="000000"/>
          <w:szCs w:val="26"/>
        </w:rPr>
        <w:t xml:space="preserve">WL 4472692 at </w:t>
      </w:r>
      <w:r>
        <w:rPr>
          <w:rFonts w:eastAsia="Times New Roman" w:cs="Times New Roman"/>
          <w:color w:val="000000"/>
          <w:szCs w:val="26"/>
        </w:rPr>
        <w:t>page </w:t>
      </w:r>
      <w:r w:rsidRPr="002F5408">
        <w:rPr>
          <w:rFonts w:eastAsia="Times New Roman" w:cs="Times New Roman"/>
          <w:color w:val="000000"/>
          <w:szCs w:val="26"/>
        </w:rPr>
        <w:t>*2</w:t>
      </w:r>
      <w:r w:rsidRPr="001F26C6">
        <w:rPr>
          <w:rFonts w:eastAsia="Times New Roman" w:cs="Times New Roman"/>
          <w:color w:val="000000"/>
          <w:szCs w:val="26"/>
        </w:rPr>
        <w:t xml:space="preserve">; </w:t>
      </w:r>
      <w:r w:rsidRPr="00175AF2">
        <w:rPr>
          <w:rFonts w:eastAsia="Times New Roman" w:cs="Times New Roman"/>
          <w:i/>
          <w:iCs/>
          <w:color w:val="000000"/>
          <w:szCs w:val="26"/>
          <w:bdr w:val="none" w:sz="0" w:space="0" w:color="auto" w:frame="1"/>
        </w:rPr>
        <w:t>French Laundry</w:t>
      </w:r>
      <w:r w:rsidRPr="001F26C6">
        <w:rPr>
          <w:rFonts w:eastAsia="Times New Roman" w:cs="Times New Roman"/>
          <w:color w:val="000000"/>
          <w:szCs w:val="26"/>
        </w:rPr>
        <w:t xml:space="preserve">, </w:t>
      </w:r>
      <w:r w:rsidRPr="001F26C6">
        <w:rPr>
          <w:rFonts w:eastAsia="Times New Roman" w:cs="Times New Roman"/>
          <w:i/>
          <w:iCs/>
          <w:color w:val="000000"/>
          <w:szCs w:val="26"/>
        </w:rPr>
        <w:t>supra</w:t>
      </w:r>
      <w:r w:rsidRPr="001F26C6">
        <w:rPr>
          <w:rFonts w:eastAsia="Times New Roman" w:cs="Times New Roman"/>
          <w:color w:val="000000"/>
          <w:szCs w:val="26"/>
        </w:rPr>
        <w:t>,</w:t>
      </w:r>
      <w:r w:rsidRPr="00175AF2">
        <w:rPr>
          <w:rFonts w:eastAsia="Times New Roman" w:cs="Times New Roman"/>
          <w:color w:val="000000"/>
          <w:szCs w:val="26"/>
        </w:rPr>
        <w:t xml:space="preserve"> 535</w:t>
      </w:r>
      <w:r>
        <w:rPr>
          <w:rFonts w:eastAsia="Times New Roman" w:cs="Times New Roman"/>
          <w:color w:val="000000"/>
          <w:szCs w:val="26"/>
        </w:rPr>
        <w:t> </w:t>
      </w:r>
      <w:r w:rsidRPr="00175AF2">
        <w:rPr>
          <w:rFonts w:eastAsia="Times New Roman" w:cs="Times New Roman"/>
          <w:color w:val="000000"/>
          <w:szCs w:val="26"/>
        </w:rPr>
        <w:t>F.</w:t>
      </w:r>
      <w:r w:rsidRPr="00B75C4E">
        <w:rPr>
          <w:rFonts w:eastAsia="Times New Roman" w:cs="Times New Roman"/>
          <w:color w:val="000000"/>
          <w:szCs w:val="26"/>
        </w:rPr>
        <w:t xml:space="preserve">Supp.3d </w:t>
      </w:r>
      <w:r w:rsidRPr="00B75C4E">
        <w:rPr>
          <w:rFonts w:eastAsia="Times New Roman" w:cs="Times New Roman"/>
          <w:color w:val="000000"/>
        </w:rPr>
        <w:t>at pages 903–904</w:t>
      </w:r>
      <w:r w:rsidRPr="00B75C4E">
        <w:rPr>
          <w:rFonts w:eastAsia="Times New Roman" w:cs="Times New Roman"/>
          <w:color w:val="000000"/>
          <w:szCs w:val="26"/>
        </w:rPr>
        <w:t xml:space="preserve">; </w:t>
      </w:r>
      <w:r w:rsidRPr="00B75C4E">
        <w:rPr>
          <w:rFonts w:eastAsia="Times New Roman" w:cs="Times New Roman"/>
          <w:i/>
          <w:iCs/>
          <w:color w:val="000000"/>
          <w:szCs w:val="26"/>
          <w:bdr w:val="none" w:sz="0" w:space="0" w:color="auto" w:frame="1"/>
        </w:rPr>
        <w:t>Franklin EWC</w:t>
      </w:r>
      <w:r w:rsidRPr="00B75C4E">
        <w:rPr>
          <w:rFonts w:eastAsia="Times New Roman" w:cs="Times New Roman"/>
          <w:color w:val="000000"/>
          <w:szCs w:val="26"/>
        </w:rPr>
        <w:t xml:space="preserve">, </w:t>
      </w:r>
      <w:r w:rsidRPr="00B75C4E">
        <w:rPr>
          <w:rFonts w:eastAsia="Times New Roman" w:cs="Times New Roman"/>
          <w:i/>
          <w:iCs/>
          <w:color w:val="000000"/>
          <w:szCs w:val="26"/>
        </w:rPr>
        <w:t>supra</w:t>
      </w:r>
      <w:r w:rsidRPr="00B75C4E">
        <w:rPr>
          <w:rFonts w:eastAsia="Times New Roman" w:cs="Times New Roman"/>
          <w:color w:val="000000"/>
          <w:szCs w:val="26"/>
        </w:rPr>
        <w:t xml:space="preserve">, </w:t>
      </w:r>
      <w:r w:rsidRPr="00B75C4E">
        <w:rPr>
          <w:rFonts w:eastAsia="Times New Roman" w:cs="Times New Roman"/>
          <w:color w:val="000000"/>
        </w:rPr>
        <w:t xml:space="preserve">506 F.Supp.3d at pages 860–861; </w:t>
      </w:r>
      <w:r w:rsidRPr="00C66734">
        <w:rPr>
          <w:rFonts w:eastAsia="Times New Roman" w:cs="Times New Roman"/>
          <w:i/>
          <w:iCs/>
          <w:color w:val="000000"/>
          <w:bdr w:val="none" w:sz="0" w:space="0" w:color="auto" w:frame="1"/>
        </w:rPr>
        <w:t>Hair Perfect International, Inc. v. Sentinel Ins. Co., Ltd.</w:t>
      </w:r>
      <w:r w:rsidRPr="00B75C4E">
        <w:rPr>
          <w:rFonts w:eastAsia="Times New Roman" w:cs="Times New Roman"/>
          <w:color w:val="000000"/>
        </w:rPr>
        <w:t xml:space="preserve">, </w:t>
      </w:r>
      <w:r w:rsidRPr="00B75C4E">
        <w:rPr>
          <w:rFonts w:eastAsia="Times New Roman" w:cs="Times New Roman"/>
          <w:i/>
          <w:iCs/>
          <w:color w:val="000000"/>
        </w:rPr>
        <w:t>supra</w:t>
      </w:r>
      <w:r w:rsidRPr="00B75C4E">
        <w:rPr>
          <w:rFonts w:eastAsia="Times New Roman" w:cs="Times New Roman"/>
          <w:color w:val="000000"/>
        </w:rPr>
        <w:t xml:space="preserve">, </w:t>
      </w:r>
      <w:r w:rsidRPr="00B75C4E">
        <w:rPr>
          <w:rFonts w:eastAsia="Times New Roman" w:cs="Times New Roman"/>
          <w:color w:val="000000"/>
          <w:szCs w:val="26"/>
        </w:rPr>
        <w:t>2021</w:t>
      </w:r>
      <w:r>
        <w:rPr>
          <w:rFonts w:eastAsia="Times New Roman" w:cs="Times New Roman"/>
          <w:color w:val="000000"/>
          <w:szCs w:val="26"/>
        </w:rPr>
        <w:t> </w:t>
      </w:r>
      <w:r w:rsidRPr="001A329E">
        <w:rPr>
          <w:rFonts w:eastAsia="Times New Roman" w:cs="Times New Roman"/>
          <w:color w:val="000000"/>
          <w:szCs w:val="26"/>
        </w:rPr>
        <w:t>WL 2143459</w:t>
      </w:r>
      <w:r>
        <w:rPr>
          <w:rFonts w:eastAsia="Times New Roman" w:cs="Times New Roman"/>
          <w:color w:val="000000"/>
        </w:rPr>
        <w:t xml:space="preserve"> at page *9;</w:t>
      </w:r>
      <w:r w:rsidRPr="004311AC">
        <w:rPr>
          <w:rFonts w:eastAsia="Times New Roman" w:cs="Times New Roman"/>
          <w:i/>
          <w:iCs/>
          <w:color w:val="000000"/>
          <w:szCs w:val="26"/>
        </w:rPr>
        <w:t xml:space="preserve"> </w:t>
      </w:r>
      <w:r w:rsidRPr="00155064">
        <w:rPr>
          <w:rFonts w:eastAsia="Times New Roman" w:cs="Times New Roman"/>
          <w:i/>
          <w:iCs/>
          <w:color w:val="000000"/>
          <w:szCs w:val="26"/>
        </w:rPr>
        <w:t>Westside Head &amp; Neck</w:t>
      </w:r>
      <w:r w:rsidRPr="00FB5185">
        <w:rPr>
          <w:rFonts w:eastAsia="Times New Roman" w:cs="Times New Roman"/>
          <w:i/>
          <w:iCs/>
          <w:color w:val="000000"/>
          <w:bdr w:val="none" w:sz="0" w:space="0" w:color="auto" w:frame="1"/>
        </w:rPr>
        <w:t xml:space="preserve"> </w:t>
      </w:r>
      <w:r w:rsidRPr="0009155F">
        <w:rPr>
          <w:rFonts w:eastAsia="Times New Roman" w:cs="Times New Roman"/>
          <w:i/>
          <w:iCs/>
          <w:color w:val="000000"/>
          <w:bdr w:val="none" w:sz="0" w:space="0" w:color="auto" w:frame="1"/>
        </w:rPr>
        <w:t>v.</w:t>
      </w:r>
      <w:r w:rsidRPr="002D7A14">
        <w:rPr>
          <w:rFonts w:eastAsia="Times New Roman" w:cs="Times New Roman"/>
          <w:i/>
          <w:iCs/>
          <w:color w:val="000000"/>
          <w:bdr w:val="none" w:sz="0" w:space="0" w:color="auto" w:frame="1"/>
        </w:rPr>
        <w:t xml:space="preserve"> Hartford Fin</w:t>
      </w:r>
      <w:r>
        <w:rPr>
          <w:rFonts w:eastAsia="Times New Roman" w:cs="Times New Roman"/>
          <w:i/>
          <w:iCs/>
          <w:color w:val="000000"/>
          <w:bdr w:val="none" w:sz="0" w:space="0" w:color="auto" w:frame="1"/>
        </w:rPr>
        <w:t>.</w:t>
      </w:r>
      <w:r w:rsidRPr="002D7A14">
        <w:rPr>
          <w:rFonts w:eastAsia="Times New Roman" w:cs="Times New Roman"/>
          <w:i/>
          <w:iCs/>
          <w:color w:val="000000"/>
          <w:bdr w:val="none" w:sz="0" w:space="0" w:color="auto" w:frame="1"/>
        </w:rPr>
        <w:t xml:space="preserve"> Serv</w:t>
      </w:r>
      <w:r>
        <w:rPr>
          <w:rFonts w:eastAsia="Times New Roman" w:cs="Times New Roman"/>
          <w:i/>
          <w:iCs/>
          <w:color w:val="000000"/>
          <w:bdr w:val="none" w:sz="0" w:space="0" w:color="auto" w:frame="1"/>
        </w:rPr>
        <w:t>s.</w:t>
      </w:r>
      <w:r w:rsidRPr="002D7A14">
        <w:rPr>
          <w:rFonts w:eastAsia="Times New Roman" w:cs="Times New Roman"/>
          <w:i/>
          <w:iCs/>
          <w:color w:val="000000"/>
          <w:bdr w:val="none" w:sz="0" w:space="0" w:color="auto" w:frame="1"/>
        </w:rPr>
        <w:t xml:space="preserve"> Group</w:t>
      </w:r>
      <w:r>
        <w:rPr>
          <w:rFonts w:eastAsia="Times New Roman" w:cs="Times New Roman"/>
          <w:color w:val="000000"/>
          <w:szCs w:val="26"/>
        </w:rPr>
        <w:t xml:space="preserve">, </w:t>
      </w:r>
      <w:r w:rsidRPr="00155064">
        <w:rPr>
          <w:rFonts w:eastAsia="Times New Roman" w:cs="Times New Roman"/>
          <w:i/>
          <w:iCs/>
          <w:color w:val="000000"/>
          <w:szCs w:val="26"/>
        </w:rPr>
        <w:t>supra</w:t>
      </w:r>
      <w:r>
        <w:rPr>
          <w:rFonts w:eastAsia="Times New Roman" w:cs="Times New Roman"/>
          <w:color w:val="000000"/>
          <w:szCs w:val="26"/>
        </w:rPr>
        <w:t>, 526 F.Supp.3d at pages 733–734</w:t>
      </w:r>
      <w:r>
        <w:rPr>
          <w:rFonts w:eastAsia="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7561" w14:textId="77777777" w:rsidR="00865119" w:rsidRDefault="00140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2670" w14:textId="77777777" w:rsidR="16761DF4" w:rsidRPr="00C808E7" w:rsidRDefault="00140D1F" w:rsidP="00C808E7">
    <w:pPr>
      <w:pStyle w:val="Header"/>
      <w:ind w:firstLine="0"/>
      <w:rPr>
        <w:rFonts w:eastAsia="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1BF7" w14:textId="77777777" w:rsidR="00865119" w:rsidRDefault="0014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75A"/>
    <w:multiLevelType w:val="hybridMultilevel"/>
    <w:tmpl w:val="E34A0C38"/>
    <w:lvl w:ilvl="0" w:tplc="92BCD6A0">
      <w:start w:val="11"/>
      <w:numFmt w:val="decimal"/>
      <w:lvlText w:val="%1"/>
      <w:lvlJc w:val="left"/>
      <w:pPr>
        <w:ind w:left="661" w:hanging="474"/>
      </w:pPr>
      <w:rPr>
        <w:rFonts w:ascii="Times New Roman" w:eastAsia="Times New Roman" w:hAnsi="Times New Roman" w:cs="Times New Roman" w:hint="default"/>
        <w:color w:val="0F0F0F"/>
        <w:w w:val="108"/>
        <w:sz w:val="20"/>
        <w:szCs w:val="20"/>
      </w:rPr>
    </w:lvl>
    <w:lvl w:ilvl="1" w:tplc="71B83968">
      <w:numFmt w:val="bullet"/>
      <w:lvlText w:val="•"/>
      <w:lvlJc w:val="left"/>
      <w:pPr>
        <w:ind w:left="1582" w:hanging="474"/>
      </w:pPr>
      <w:rPr>
        <w:rFonts w:hint="default"/>
      </w:rPr>
    </w:lvl>
    <w:lvl w:ilvl="2" w:tplc="BC3E2366">
      <w:numFmt w:val="bullet"/>
      <w:lvlText w:val="•"/>
      <w:lvlJc w:val="left"/>
      <w:pPr>
        <w:ind w:left="2504" w:hanging="474"/>
      </w:pPr>
      <w:rPr>
        <w:rFonts w:hint="default"/>
      </w:rPr>
    </w:lvl>
    <w:lvl w:ilvl="3" w:tplc="69D0D8CE">
      <w:numFmt w:val="bullet"/>
      <w:lvlText w:val="•"/>
      <w:lvlJc w:val="left"/>
      <w:pPr>
        <w:ind w:left="3426" w:hanging="474"/>
      </w:pPr>
      <w:rPr>
        <w:rFonts w:hint="default"/>
      </w:rPr>
    </w:lvl>
    <w:lvl w:ilvl="4" w:tplc="F530C0FA">
      <w:numFmt w:val="bullet"/>
      <w:lvlText w:val="•"/>
      <w:lvlJc w:val="left"/>
      <w:pPr>
        <w:ind w:left="4348" w:hanging="474"/>
      </w:pPr>
      <w:rPr>
        <w:rFonts w:hint="default"/>
      </w:rPr>
    </w:lvl>
    <w:lvl w:ilvl="5" w:tplc="E52A09E8">
      <w:numFmt w:val="bullet"/>
      <w:lvlText w:val="•"/>
      <w:lvlJc w:val="left"/>
      <w:pPr>
        <w:ind w:left="5270" w:hanging="474"/>
      </w:pPr>
      <w:rPr>
        <w:rFonts w:hint="default"/>
      </w:rPr>
    </w:lvl>
    <w:lvl w:ilvl="6" w:tplc="808C1250">
      <w:numFmt w:val="bullet"/>
      <w:lvlText w:val="•"/>
      <w:lvlJc w:val="left"/>
      <w:pPr>
        <w:ind w:left="6192" w:hanging="474"/>
      </w:pPr>
      <w:rPr>
        <w:rFonts w:hint="default"/>
      </w:rPr>
    </w:lvl>
    <w:lvl w:ilvl="7" w:tplc="DB8893FA">
      <w:numFmt w:val="bullet"/>
      <w:lvlText w:val="•"/>
      <w:lvlJc w:val="left"/>
      <w:pPr>
        <w:ind w:left="7114" w:hanging="474"/>
      </w:pPr>
      <w:rPr>
        <w:rFonts w:hint="default"/>
      </w:rPr>
    </w:lvl>
    <w:lvl w:ilvl="8" w:tplc="83A6134A">
      <w:numFmt w:val="bullet"/>
      <w:lvlText w:val="•"/>
      <w:lvlJc w:val="left"/>
      <w:pPr>
        <w:ind w:left="8036" w:hanging="474"/>
      </w:pPr>
      <w:rPr>
        <w:rFonts w:hint="default"/>
      </w:rPr>
    </w:lvl>
  </w:abstractNum>
  <w:abstractNum w:abstractNumId="1" w15:restartNumberingAfterBreak="0">
    <w:nsid w:val="1B1E7D42"/>
    <w:multiLevelType w:val="hybridMultilevel"/>
    <w:tmpl w:val="A5B0FBD8"/>
    <w:lvl w:ilvl="0" w:tplc="4F76ECD4">
      <w:start w:val="1"/>
      <w:numFmt w:val="upperRoman"/>
      <w:lvlText w:val="%1."/>
      <w:lvlJc w:val="right"/>
      <w:pPr>
        <w:ind w:left="4032" w:hanging="72"/>
      </w:pPr>
      <w:rPr>
        <w:rFonts w:hint="default"/>
        <w:b/>
        <w:i w:val="0"/>
        <w:sz w:val="26"/>
      </w:rPr>
    </w:lvl>
    <w:lvl w:ilvl="1" w:tplc="3FC24A7C" w:tentative="1">
      <w:start w:val="1"/>
      <w:numFmt w:val="lowerLetter"/>
      <w:lvlText w:val="%2."/>
      <w:lvlJc w:val="left"/>
      <w:pPr>
        <w:ind w:left="8010" w:hanging="360"/>
      </w:pPr>
    </w:lvl>
    <w:lvl w:ilvl="2" w:tplc="FA9CBBD6" w:tentative="1">
      <w:start w:val="1"/>
      <w:numFmt w:val="lowerRoman"/>
      <w:lvlText w:val="%3."/>
      <w:lvlJc w:val="right"/>
      <w:pPr>
        <w:ind w:left="8730" w:hanging="180"/>
      </w:pPr>
    </w:lvl>
    <w:lvl w:ilvl="3" w:tplc="A06028BE" w:tentative="1">
      <w:start w:val="1"/>
      <w:numFmt w:val="decimal"/>
      <w:lvlText w:val="%4."/>
      <w:lvlJc w:val="left"/>
      <w:pPr>
        <w:ind w:left="9450" w:hanging="360"/>
      </w:pPr>
    </w:lvl>
    <w:lvl w:ilvl="4" w:tplc="78A02264" w:tentative="1">
      <w:start w:val="1"/>
      <w:numFmt w:val="lowerLetter"/>
      <w:lvlText w:val="%5."/>
      <w:lvlJc w:val="left"/>
      <w:pPr>
        <w:ind w:left="10170" w:hanging="360"/>
      </w:pPr>
    </w:lvl>
    <w:lvl w:ilvl="5" w:tplc="E0080DB0" w:tentative="1">
      <w:start w:val="1"/>
      <w:numFmt w:val="lowerRoman"/>
      <w:lvlText w:val="%6."/>
      <w:lvlJc w:val="right"/>
      <w:pPr>
        <w:ind w:left="10890" w:hanging="180"/>
      </w:pPr>
    </w:lvl>
    <w:lvl w:ilvl="6" w:tplc="5DC492A4" w:tentative="1">
      <w:start w:val="1"/>
      <w:numFmt w:val="decimal"/>
      <w:lvlText w:val="%7."/>
      <w:lvlJc w:val="left"/>
      <w:pPr>
        <w:ind w:left="11610" w:hanging="360"/>
      </w:pPr>
    </w:lvl>
    <w:lvl w:ilvl="7" w:tplc="41B65820" w:tentative="1">
      <w:start w:val="1"/>
      <w:numFmt w:val="lowerLetter"/>
      <w:lvlText w:val="%8."/>
      <w:lvlJc w:val="left"/>
      <w:pPr>
        <w:ind w:left="12330" w:hanging="360"/>
      </w:pPr>
    </w:lvl>
    <w:lvl w:ilvl="8" w:tplc="225C9B74" w:tentative="1">
      <w:start w:val="1"/>
      <w:numFmt w:val="lowerRoman"/>
      <w:lvlText w:val="%9."/>
      <w:lvlJc w:val="right"/>
      <w:pPr>
        <w:ind w:left="13050" w:hanging="180"/>
      </w:pPr>
    </w:lvl>
  </w:abstractNum>
  <w:abstractNum w:abstractNumId="2" w15:restartNumberingAfterBreak="0">
    <w:nsid w:val="2AF3612D"/>
    <w:multiLevelType w:val="hybridMultilevel"/>
    <w:tmpl w:val="0C56AFBA"/>
    <w:lvl w:ilvl="0" w:tplc="A1B07F24">
      <w:start w:val="1"/>
      <w:numFmt w:val="decimal"/>
      <w:lvlText w:val="%1."/>
      <w:lvlJc w:val="left"/>
      <w:pPr>
        <w:ind w:left="1080" w:hanging="360"/>
      </w:pPr>
      <w:rPr>
        <w:rFonts w:hint="default"/>
      </w:rPr>
    </w:lvl>
    <w:lvl w:ilvl="1" w:tplc="0926761A" w:tentative="1">
      <w:start w:val="1"/>
      <w:numFmt w:val="lowerLetter"/>
      <w:lvlText w:val="%2."/>
      <w:lvlJc w:val="left"/>
      <w:pPr>
        <w:ind w:left="1800" w:hanging="360"/>
      </w:pPr>
    </w:lvl>
    <w:lvl w:ilvl="2" w:tplc="4B44BCC4" w:tentative="1">
      <w:start w:val="1"/>
      <w:numFmt w:val="lowerRoman"/>
      <w:lvlText w:val="%3."/>
      <w:lvlJc w:val="right"/>
      <w:pPr>
        <w:ind w:left="2520" w:hanging="180"/>
      </w:pPr>
    </w:lvl>
    <w:lvl w:ilvl="3" w:tplc="6296A13A" w:tentative="1">
      <w:start w:val="1"/>
      <w:numFmt w:val="decimal"/>
      <w:lvlText w:val="%4."/>
      <w:lvlJc w:val="left"/>
      <w:pPr>
        <w:ind w:left="3240" w:hanging="360"/>
      </w:pPr>
    </w:lvl>
    <w:lvl w:ilvl="4" w:tplc="BBE498FE" w:tentative="1">
      <w:start w:val="1"/>
      <w:numFmt w:val="lowerLetter"/>
      <w:lvlText w:val="%5."/>
      <w:lvlJc w:val="left"/>
      <w:pPr>
        <w:ind w:left="3960" w:hanging="360"/>
      </w:pPr>
    </w:lvl>
    <w:lvl w:ilvl="5" w:tplc="F0F8E88C" w:tentative="1">
      <w:start w:val="1"/>
      <w:numFmt w:val="lowerRoman"/>
      <w:lvlText w:val="%6."/>
      <w:lvlJc w:val="right"/>
      <w:pPr>
        <w:ind w:left="4680" w:hanging="180"/>
      </w:pPr>
    </w:lvl>
    <w:lvl w:ilvl="6" w:tplc="EA30C280" w:tentative="1">
      <w:start w:val="1"/>
      <w:numFmt w:val="decimal"/>
      <w:lvlText w:val="%7."/>
      <w:lvlJc w:val="left"/>
      <w:pPr>
        <w:ind w:left="5400" w:hanging="360"/>
      </w:pPr>
    </w:lvl>
    <w:lvl w:ilvl="7" w:tplc="3F668A94" w:tentative="1">
      <w:start w:val="1"/>
      <w:numFmt w:val="lowerLetter"/>
      <w:lvlText w:val="%8."/>
      <w:lvlJc w:val="left"/>
      <w:pPr>
        <w:ind w:left="6120" w:hanging="360"/>
      </w:pPr>
    </w:lvl>
    <w:lvl w:ilvl="8" w:tplc="DBE6AFEE" w:tentative="1">
      <w:start w:val="1"/>
      <w:numFmt w:val="lowerRoman"/>
      <w:lvlText w:val="%9."/>
      <w:lvlJc w:val="right"/>
      <w:pPr>
        <w:ind w:left="6840" w:hanging="180"/>
      </w:pPr>
    </w:lvl>
  </w:abstractNum>
  <w:abstractNum w:abstractNumId="3" w15:restartNumberingAfterBreak="0">
    <w:nsid w:val="34F2732E"/>
    <w:multiLevelType w:val="hybridMultilevel"/>
    <w:tmpl w:val="CA8E4FAE"/>
    <w:lvl w:ilvl="0" w:tplc="E1B22DDA">
      <w:start w:val="1"/>
      <w:numFmt w:val="decimal"/>
      <w:lvlText w:val="%1."/>
      <w:lvlJc w:val="left"/>
      <w:pPr>
        <w:ind w:left="1080" w:hanging="360"/>
      </w:pPr>
      <w:rPr>
        <w:rFonts w:hint="default"/>
      </w:rPr>
    </w:lvl>
    <w:lvl w:ilvl="1" w:tplc="6EE85A1A" w:tentative="1">
      <w:start w:val="1"/>
      <w:numFmt w:val="lowerLetter"/>
      <w:lvlText w:val="%2."/>
      <w:lvlJc w:val="left"/>
      <w:pPr>
        <w:ind w:left="1800" w:hanging="360"/>
      </w:pPr>
    </w:lvl>
    <w:lvl w:ilvl="2" w:tplc="113817C2" w:tentative="1">
      <w:start w:val="1"/>
      <w:numFmt w:val="lowerRoman"/>
      <w:lvlText w:val="%3."/>
      <w:lvlJc w:val="right"/>
      <w:pPr>
        <w:ind w:left="2520" w:hanging="180"/>
      </w:pPr>
    </w:lvl>
    <w:lvl w:ilvl="3" w:tplc="C8C25D7A" w:tentative="1">
      <w:start w:val="1"/>
      <w:numFmt w:val="decimal"/>
      <w:lvlText w:val="%4."/>
      <w:lvlJc w:val="left"/>
      <w:pPr>
        <w:ind w:left="3240" w:hanging="360"/>
      </w:pPr>
    </w:lvl>
    <w:lvl w:ilvl="4" w:tplc="9FBEED0A" w:tentative="1">
      <w:start w:val="1"/>
      <w:numFmt w:val="lowerLetter"/>
      <w:lvlText w:val="%5."/>
      <w:lvlJc w:val="left"/>
      <w:pPr>
        <w:ind w:left="3960" w:hanging="360"/>
      </w:pPr>
    </w:lvl>
    <w:lvl w:ilvl="5" w:tplc="2C621ED6" w:tentative="1">
      <w:start w:val="1"/>
      <w:numFmt w:val="lowerRoman"/>
      <w:lvlText w:val="%6."/>
      <w:lvlJc w:val="right"/>
      <w:pPr>
        <w:ind w:left="4680" w:hanging="180"/>
      </w:pPr>
    </w:lvl>
    <w:lvl w:ilvl="6" w:tplc="3FA61058" w:tentative="1">
      <w:start w:val="1"/>
      <w:numFmt w:val="decimal"/>
      <w:lvlText w:val="%7."/>
      <w:lvlJc w:val="left"/>
      <w:pPr>
        <w:ind w:left="5400" w:hanging="360"/>
      </w:pPr>
    </w:lvl>
    <w:lvl w:ilvl="7" w:tplc="43C41528" w:tentative="1">
      <w:start w:val="1"/>
      <w:numFmt w:val="lowerLetter"/>
      <w:lvlText w:val="%8."/>
      <w:lvlJc w:val="left"/>
      <w:pPr>
        <w:ind w:left="6120" w:hanging="360"/>
      </w:pPr>
    </w:lvl>
    <w:lvl w:ilvl="8" w:tplc="F43E8046" w:tentative="1">
      <w:start w:val="1"/>
      <w:numFmt w:val="lowerRoman"/>
      <w:lvlText w:val="%9."/>
      <w:lvlJc w:val="right"/>
      <w:pPr>
        <w:ind w:left="6840" w:hanging="180"/>
      </w:pPr>
    </w:lvl>
  </w:abstractNum>
  <w:abstractNum w:abstractNumId="4" w15:restartNumberingAfterBreak="0">
    <w:nsid w:val="38555485"/>
    <w:multiLevelType w:val="hybridMultilevel"/>
    <w:tmpl w:val="5EAE9CCC"/>
    <w:lvl w:ilvl="0" w:tplc="29782CF6">
      <w:start w:val="1"/>
      <w:numFmt w:val="decimal"/>
      <w:pStyle w:val="Heading3"/>
      <w:lvlText w:val="%1."/>
      <w:lvlJc w:val="left"/>
      <w:pPr>
        <w:ind w:left="1080" w:hanging="360"/>
      </w:pPr>
      <w:rPr>
        <w:rFonts w:hint="default"/>
        <w:b/>
        <w:bCs/>
      </w:rPr>
    </w:lvl>
    <w:lvl w:ilvl="1" w:tplc="249CE830" w:tentative="1">
      <w:start w:val="1"/>
      <w:numFmt w:val="lowerLetter"/>
      <w:lvlText w:val="%2."/>
      <w:lvlJc w:val="left"/>
      <w:pPr>
        <w:ind w:left="1800" w:hanging="360"/>
      </w:pPr>
    </w:lvl>
    <w:lvl w:ilvl="2" w:tplc="0116F0AC" w:tentative="1">
      <w:start w:val="1"/>
      <w:numFmt w:val="lowerRoman"/>
      <w:lvlText w:val="%3."/>
      <w:lvlJc w:val="right"/>
      <w:pPr>
        <w:ind w:left="2520" w:hanging="180"/>
      </w:pPr>
    </w:lvl>
    <w:lvl w:ilvl="3" w:tplc="98486E02" w:tentative="1">
      <w:start w:val="1"/>
      <w:numFmt w:val="decimal"/>
      <w:lvlText w:val="%4."/>
      <w:lvlJc w:val="left"/>
      <w:pPr>
        <w:ind w:left="3240" w:hanging="360"/>
      </w:pPr>
    </w:lvl>
    <w:lvl w:ilvl="4" w:tplc="D70EC20C" w:tentative="1">
      <w:start w:val="1"/>
      <w:numFmt w:val="lowerLetter"/>
      <w:lvlText w:val="%5."/>
      <w:lvlJc w:val="left"/>
      <w:pPr>
        <w:ind w:left="3960" w:hanging="360"/>
      </w:pPr>
    </w:lvl>
    <w:lvl w:ilvl="5" w:tplc="F1F86DCC" w:tentative="1">
      <w:start w:val="1"/>
      <w:numFmt w:val="lowerRoman"/>
      <w:lvlText w:val="%6."/>
      <w:lvlJc w:val="right"/>
      <w:pPr>
        <w:ind w:left="4680" w:hanging="180"/>
      </w:pPr>
    </w:lvl>
    <w:lvl w:ilvl="6" w:tplc="9C9C92C2" w:tentative="1">
      <w:start w:val="1"/>
      <w:numFmt w:val="decimal"/>
      <w:lvlText w:val="%7."/>
      <w:lvlJc w:val="left"/>
      <w:pPr>
        <w:ind w:left="5400" w:hanging="360"/>
      </w:pPr>
    </w:lvl>
    <w:lvl w:ilvl="7" w:tplc="CB1A3D3E" w:tentative="1">
      <w:start w:val="1"/>
      <w:numFmt w:val="lowerLetter"/>
      <w:lvlText w:val="%8."/>
      <w:lvlJc w:val="left"/>
      <w:pPr>
        <w:ind w:left="6120" w:hanging="360"/>
      </w:pPr>
    </w:lvl>
    <w:lvl w:ilvl="8" w:tplc="E04ECD5E" w:tentative="1">
      <w:start w:val="1"/>
      <w:numFmt w:val="lowerRoman"/>
      <w:lvlText w:val="%9."/>
      <w:lvlJc w:val="right"/>
      <w:pPr>
        <w:ind w:left="6840" w:hanging="180"/>
      </w:pPr>
    </w:lvl>
  </w:abstractNum>
  <w:abstractNum w:abstractNumId="5" w15:restartNumberingAfterBreak="0">
    <w:nsid w:val="3BC53C32"/>
    <w:multiLevelType w:val="hybridMultilevel"/>
    <w:tmpl w:val="FFF6061C"/>
    <w:lvl w:ilvl="0" w:tplc="0E506344">
      <w:start w:val="1"/>
      <w:numFmt w:val="upperLetter"/>
      <w:pStyle w:val="Heading2"/>
      <w:lvlText w:val="%1."/>
      <w:lvlJc w:val="left"/>
      <w:pPr>
        <w:ind w:left="720" w:hanging="360"/>
      </w:pPr>
      <w:rPr>
        <w:rFonts w:hint="default"/>
        <w:i w:val="0"/>
        <w:iCs/>
      </w:rPr>
    </w:lvl>
    <w:lvl w:ilvl="1" w:tplc="BDBA3404" w:tentative="1">
      <w:start w:val="1"/>
      <w:numFmt w:val="lowerLetter"/>
      <w:lvlText w:val="%2."/>
      <w:lvlJc w:val="left"/>
      <w:pPr>
        <w:ind w:left="1440" w:hanging="360"/>
      </w:pPr>
    </w:lvl>
    <w:lvl w:ilvl="2" w:tplc="FCA04D8E" w:tentative="1">
      <w:start w:val="1"/>
      <w:numFmt w:val="lowerRoman"/>
      <w:lvlText w:val="%3."/>
      <w:lvlJc w:val="right"/>
      <w:pPr>
        <w:ind w:left="2160" w:hanging="180"/>
      </w:pPr>
    </w:lvl>
    <w:lvl w:ilvl="3" w:tplc="A570272A" w:tentative="1">
      <w:start w:val="1"/>
      <w:numFmt w:val="decimal"/>
      <w:lvlText w:val="%4."/>
      <w:lvlJc w:val="left"/>
      <w:pPr>
        <w:ind w:left="2880" w:hanging="360"/>
      </w:pPr>
    </w:lvl>
    <w:lvl w:ilvl="4" w:tplc="F9EC8682" w:tentative="1">
      <w:start w:val="1"/>
      <w:numFmt w:val="lowerLetter"/>
      <w:lvlText w:val="%5."/>
      <w:lvlJc w:val="left"/>
      <w:pPr>
        <w:ind w:left="3600" w:hanging="360"/>
      </w:pPr>
    </w:lvl>
    <w:lvl w:ilvl="5" w:tplc="A0DCA678" w:tentative="1">
      <w:start w:val="1"/>
      <w:numFmt w:val="lowerRoman"/>
      <w:lvlText w:val="%6."/>
      <w:lvlJc w:val="right"/>
      <w:pPr>
        <w:ind w:left="4320" w:hanging="180"/>
      </w:pPr>
    </w:lvl>
    <w:lvl w:ilvl="6" w:tplc="F0CEA106" w:tentative="1">
      <w:start w:val="1"/>
      <w:numFmt w:val="decimal"/>
      <w:lvlText w:val="%7."/>
      <w:lvlJc w:val="left"/>
      <w:pPr>
        <w:ind w:left="5040" w:hanging="360"/>
      </w:pPr>
    </w:lvl>
    <w:lvl w:ilvl="7" w:tplc="D908C404" w:tentative="1">
      <w:start w:val="1"/>
      <w:numFmt w:val="lowerLetter"/>
      <w:lvlText w:val="%8."/>
      <w:lvlJc w:val="left"/>
      <w:pPr>
        <w:ind w:left="5760" w:hanging="360"/>
      </w:pPr>
    </w:lvl>
    <w:lvl w:ilvl="8" w:tplc="74D2078A" w:tentative="1">
      <w:start w:val="1"/>
      <w:numFmt w:val="lowerRoman"/>
      <w:lvlText w:val="%9."/>
      <w:lvlJc w:val="right"/>
      <w:pPr>
        <w:ind w:left="6480" w:hanging="180"/>
      </w:pPr>
    </w:lvl>
  </w:abstractNum>
  <w:abstractNum w:abstractNumId="6" w15:restartNumberingAfterBreak="0">
    <w:nsid w:val="3C1B132F"/>
    <w:multiLevelType w:val="hybridMultilevel"/>
    <w:tmpl w:val="1C16E5A2"/>
    <w:lvl w:ilvl="0" w:tplc="28A0FCA4">
      <w:start w:val="3"/>
      <w:numFmt w:val="lowerLetter"/>
      <w:lvlText w:val="%1."/>
      <w:lvlJc w:val="left"/>
      <w:pPr>
        <w:ind w:left="1800" w:hanging="360"/>
      </w:pPr>
      <w:rPr>
        <w:rFonts w:hint="default"/>
      </w:rPr>
    </w:lvl>
    <w:lvl w:ilvl="1" w:tplc="ADDEBA64" w:tentative="1">
      <w:start w:val="1"/>
      <w:numFmt w:val="lowerLetter"/>
      <w:lvlText w:val="%2."/>
      <w:lvlJc w:val="left"/>
      <w:pPr>
        <w:ind w:left="2520" w:hanging="360"/>
      </w:pPr>
    </w:lvl>
    <w:lvl w:ilvl="2" w:tplc="1C2C2168" w:tentative="1">
      <w:start w:val="1"/>
      <w:numFmt w:val="lowerRoman"/>
      <w:lvlText w:val="%3."/>
      <w:lvlJc w:val="right"/>
      <w:pPr>
        <w:ind w:left="3240" w:hanging="180"/>
      </w:pPr>
    </w:lvl>
    <w:lvl w:ilvl="3" w:tplc="FE92BAC8" w:tentative="1">
      <w:start w:val="1"/>
      <w:numFmt w:val="decimal"/>
      <w:lvlText w:val="%4."/>
      <w:lvlJc w:val="left"/>
      <w:pPr>
        <w:ind w:left="3960" w:hanging="360"/>
      </w:pPr>
    </w:lvl>
    <w:lvl w:ilvl="4" w:tplc="0150D3C0" w:tentative="1">
      <w:start w:val="1"/>
      <w:numFmt w:val="lowerLetter"/>
      <w:lvlText w:val="%5."/>
      <w:lvlJc w:val="left"/>
      <w:pPr>
        <w:ind w:left="4680" w:hanging="360"/>
      </w:pPr>
    </w:lvl>
    <w:lvl w:ilvl="5" w:tplc="FE605938" w:tentative="1">
      <w:start w:val="1"/>
      <w:numFmt w:val="lowerRoman"/>
      <w:lvlText w:val="%6."/>
      <w:lvlJc w:val="right"/>
      <w:pPr>
        <w:ind w:left="5400" w:hanging="180"/>
      </w:pPr>
    </w:lvl>
    <w:lvl w:ilvl="6" w:tplc="1F369B72" w:tentative="1">
      <w:start w:val="1"/>
      <w:numFmt w:val="decimal"/>
      <w:lvlText w:val="%7."/>
      <w:lvlJc w:val="left"/>
      <w:pPr>
        <w:ind w:left="6120" w:hanging="360"/>
      </w:pPr>
    </w:lvl>
    <w:lvl w:ilvl="7" w:tplc="04DA92FC" w:tentative="1">
      <w:start w:val="1"/>
      <w:numFmt w:val="lowerLetter"/>
      <w:lvlText w:val="%8."/>
      <w:lvlJc w:val="left"/>
      <w:pPr>
        <w:ind w:left="6840" w:hanging="360"/>
      </w:pPr>
    </w:lvl>
    <w:lvl w:ilvl="8" w:tplc="5FEC7320" w:tentative="1">
      <w:start w:val="1"/>
      <w:numFmt w:val="lowerRoman"/>
      <w:lvlText w:val="%9."/>
      <w:lvlJc w:val="right"/>
      <w:pPr>
        <w:ind w:left="7560" w:hanging="180"/>
      </w:pPr>
    </w:lvl>
  </w:abstractNum>
  <w:abstractNum w:abstractNumId="7" w15:restartNumberingAfterBreak="0">
    <w:nsid w:val="3F4B65CD"/>
    <w:multiLevelType w:val="hybridMultilevel"/>
    <w:tmpl w:val="3A0895E0"/>
    <w:lvl w:ilvl="0" w:tplc="55D07858">
      <w:start w:val="3"/>
      <w:numFmt w:val="lowerLetter"/>
      <w:lvlText w:val="%1."/>
      <w:lvlJc w:val="left"/>
      <w:pPr>
        <w:ind w:left="1440" w:hanging="360"/>
      </w:pPr>
      <w:rPr>
        <w:rFonts w:hint="default"/>
      </w:rPr>
    </w:lvl>
    <w:lvl w:ilvl="1" w:tplc="487043A4" w:tentative="1">
      <w:start w:val="1"/>
      <w:numFmt w:val="lowerLetter"/>
      <w:lvlText w:val="%2."/>
      <w:lvlJc w:val="left"/>
      <w:pPr>
        <w:ind w:left="2160" w:hanging="360"/>
      </w:pPr>
    </w:lvl>
    <w:lvl w:ilvl="2" w:tplc="4DE4A644" w:tentative="1">
      <w:start w:val="1"/>
      <w:numFmt w:val="lowerRoman"/>
      <w:lvlText w:val="%3."/>
      <w:lvlJc w:val="right"/>
      <w:pPr>
        <w:ind w:left="2880" w:hanging="180"/>
      </w:pPr>
    </w:lvl>
    <w:lvl w:ilvl="3" w:tplc="E968BC00" w:tentative="1">
      <w:start w:val="1"/>
      <w:numFmt w:val="decimal"/>
      <w:lvlText w:val="%4."/>
      <w:lvlJc w:val="left"/>
      <w:pPr>
        <w:ind w:left="3600" w:hanging="360"/>
      </w:pPr>
    </w:lvl>
    <w:lvl w:ilvl="4" w:tplc="0256E916" w:tentative="1">
      <w:start w:val="1"/>
      <w:numFmt w:val="lowerLetter"/>
      <w:lvlText w:val="%5."/>
      <w:lvlJc w:val="left"/>
      <w:pPr>
        <w:ind w:left="4320" w:hanging="360"/>
      </w:pPr>
    </w:lvl>
    <w:lvl w:ilvl="5" w:tplc="7E482C68" w:tentative="1">
      <w:start w:val="1"/>
      <w:numFmt w:val="lowerRoman"/>
      <w:lvlText w:val="%6."/>
      <w:lvlJc w:val="right"/>
      <w:pPr>
        <w:ind w:left="5040" w:hanging="180"/>
      </w:pPr>
    </w:lvl>
    <w:lvl w:ilvl="6" w:tplc="EE6EB682" w:tentative="1">
      <w:start w:val="1"/>
      <w:numFmt w:val="decimal"/>
      <w:lvlText w:val="%7."/>
      <w:lvlJc w:val="left"/>
      <w:pPr>
        <w:ind w:left="5760" w:hanging="360"/>
      </w:pPr>
    </w:lvl>
    <w:lvl w:ilvl="7" w:tplc="404AECD4" w:tentative="1">
      <w:start w:val="1"/>
      <w:numFmt w:val="lowerLetter"/>
      <w:lvlText w:val="%8."/>
      <w:lvlJc w:val="left"/>
      <w:pPr>
        <w:ind w:left="6480" w:hanging="360"/>
      </w:pPr>
    </w:lvl>
    <w:lvl w:ilvl="8" w:tplc="06F08F94" w:tentative="1">
      <w:start w:val="1"/>
      <w:numFmt w:val="lowerRoman"/>
      <w:lvlText w:val="%9."/>
      <w:lvlJc w:val="right"/>
      <w:pPr>
        <w:ind w:left="7200" w:hanging="180"/>
      </w:pPr>
    </w:lvl>
  </w:abstractNum>
  <w:abstractNum w:abstractNumId="8" w15:restartNumberingAfterBreak="0">
    <w:nsid w:val="40D56586"/>
    <w:multiLevelType w:val="hybridMultilevel"/>
    <w:tmpl w:val="4E72F52C"/>
    <w:lvl w:ilvl="0" w:tplc="B81EEF46">
      <w:start w:val="1"/>
      <w:numFmt w:val="upperRoman"/>
      <w:pStyle w:val="Heading1"/>
      <w:lvlText w:val="%1."/>
      <w:lvlJc w:val="right"/>
      <w:pPr>
        <w:ind w:left="720" w:hanging="360"/>
      </w:pPr>
      <w:rPr>
        <w:rFonts w:hint="default"/>
        <w:b/>
        <w:i w:val="0"/>
        <w:sz w:val="26"/>
      </w:rPr>
    </w:lvl>
    <w:lvl w:ilvl="1" w:tplc="E3F6FAEC" w:tentative="1">
      <w:start w:val="1"/>
      <w:numFmt w:val="lowerLetter"/>
      <w:lvlText w:val="%2."/>
      <w:lvlJc w:val="left"/>
      <w:pPr>
        <w:ind w:left="1440" w:hanging="360"/>
      </w:pPr>
    </w:lvl>
    <w:lvl w:ilvl="2" w:tplc="EE642076" w:tentative="1">
      <w:start w:val="1"/>
      <w:numFmt w:val="lowerRoman"/>
      <w:lvlText w:val="%3."/>
      <w:lvlJc w:val="right"/>
      <w:pPr>
        <w:ind w:left="2160" w:hanging="180"/>
      </w:pPr>
    </w:lvl>
    <w:lvl w:ilvl="3" w:tplc="BDCCC8DE" w:tentative="1">
      <w:start w:val="1"/>
      <w:numFmt w:val="decimal"/>
      <w:lvlText w:val="%4."/>
      <w:lvlJc w:val="left"/>
      <w:pPr>
        <w:ind w:left="2880" w:hanging="360"/>
      </w:pPr>
    </w:lvl>
    <w:lvl w:ilvl="4" w:tplc="82B848DE" w:tentative="1">
      <w:start w:val="1"/>
      <w:numFmt w:val="lowerLetter"/>
      <w:lvlText w:val="%5."/>
      <w:lvlJc w:val="left"/>
      <w:pPr>
        <w:ind w:left="3600" w:hanging="360"/>
      </w:pPr>
    </w:lvl>
    <w:lvl w:ilvl="5" w:tplc="FBFE012A" w:tentative="1">
      <w:start w:val="1"/>
      <w:numFmt w:val="lowerRoman"/>
      <w:lvlText w:val="%6."/>
      <w:lvlJc w:val="right"/>
      <w:pPr>
        <w:ind w:left="4320" w:hanging="180"/>
      </w:pPr>
    </w:lvl>
    <w:lvl w:ilvl="6" w:tplc="FEDCD5AE" w:tentative="1">
      <w:start w:val="1"/>
      <w:numFmt w:val="decimal"/>
      <w:lvlText w:val="%7."/>
      <w:lvlJc w:val="left"/>
      <w:pPr>
        <w:ind w:left="5040" w:hanging="360"/>
      </w:pPr>
    </w:lvl>
    <w:lvl w:ilvl="7" w:tplc="328463B2" w:tentative="1">
      <w:start w:val="1"/>
      <w:numFmt w:val="lowerLetter"/>
      <w:lvlText w:val="%8."/>
      <w:lvlJc w:val="left"/>
      <w:pPr>
        <w:ind w:left="5760" w:hanging="360"/>
      </w:pPr>
    </w:lvl>
    <w:lvl w:ilvl="8" w:tplc="3B20A476" w:tentative="1">
      <w:start w:val="1"/>
      <w:numFmt w:val="lowerRoman"/>
      <w:lvlText w:val="%9."/>
      <w:lvlJc w:val="right"/>
      <w:pPr>
        <w:ind w:left="6480" w:hanging="180"/>
      </w:pPr>
    </w:lvl>
  </w:abstractNum>
  <w:abstractNum w:abstractNumId="9" w15:restartNumberingAfterBreak="0">
    <w:nsid w:val="41A46018"/>
    <w:multiLevelType w:val="hybridMultilevel"/>
    <w:tmpl w:val="80A01946"/>
    <w:lvl w:ilvl="0" w:tplc="A688594A">
      <w:start w:val="2"/>
      <w:numFmt w:val="decimal"/>
      <w:lvlText w:val="%1"/>
      <w:lvlJc w:val="left"/>
      <w:pPr>
        <w:ind w:left="647" w:hanging="369"/>
        <w:jc w:val="right"/>
      </w:pPr>
      <w:rPr>
        <w:rFonts w:ascii="Times New Roman" w:eastAsia="Times New Roman" w:hAnsi="Times New Roman" w:cs="Times New Roman" w:hint="default"/>
        <w:color w:val="0F0F0F"/>
        <w:w w:val="103"/>
        <w:sz w:val="21"/>
        <w:szCs w:val="21"/>
      </w:rPr>
    </w:lvl>
    <w:lvl w:ilvl="1" w:tplc="FF18C97A">
      <w:numFmt w:val="bullet"/>
      <w:lvlText w:val="•"/>
      <w:lvlJc w:val="left"/>
      <w:pPr>
        <w:ind w:left="1564" w:hanging="369"/>
      </w:pPr>
      <w:rPr>
        <w:rFonts w:hint="default"/>
      </w:rPr>
    </w:lvl>
    <w:lvl w:ilvl="2" w:tplc="E1AE7598">
      <w:numFmt w:val="bullet"/>
      <w:lvlText w:val="•"/>
      <w:lvlJc w:val="left"/>
      <w:pPr>
        <w:ind w:left="2488" w:hanging="369"/>
      </w:pPr>
      <w:rPr>
        <w:rFonts w:hint="default"/>
      </w:rPr>
    </w:lvl>
    <w:lvl w:ilvl="3" w:tplc="A2D66242">
      <w:numFmt w:val="bullet"/>
      <w:lvlText w:val="•"/>
      <w:lvlJc w:val="left"/>
      <w:pPr>
        <w:ind w:left="3412" w:hanging="369"/>
      </w:pPr>
      <w:rPr>
        <w:rFonts w:hint="default"/>
      </w:rPr>
    </w:lvl>
    <w:lvl w:ilvl="4" w:tplc="F62CBF58">
      <w:numFmt w:val="bullet"/>
      <w:lvlText w:val="•"/>
      <w:lvlJc w:val="left"/>
      <w:pPr>
        <w:ind w:left="4336" w:hanging="369"/>
      </w:pPr>
      <w:rPr>
        <w:rFonts w:hint="default"/>
      </w:rPr>
    </w:lvl>
    <w:lvl w:ilvl="5" w:tplc="1FBE2BD8">
      <w:numFmt w:val="bullet"/>
      <w:lvlText w:val="•"/>
      <w:lvlJc w:val="left"/>
      <w:pPr>
        <w:ind w:left="5260" w:hanging="369"/>
      </w:pPr>
      <w:rPr>
        <w:rFonts w:hint="default"/>
      </w:rPr>
    </w:lvl>
    <w:lvl w:ilvl="6" w:tplc="635077AE">
      <w:numFmt w:val="bullet"/>
      <w:lvlText w:val="•"/>
      <w:lvlJc w:val="left"/>
      <w:pPr>
        <w:ind w:left="6184" w:hanging="369"/>
      </w:pPr>
      <w:rPr>
        <w:rFonts w:hint="default"/>
      </w:rPr>
    </w:lvl>
    <w:lvl w:ilvl="7" w:tplc="AF666DAE">
      <w:numFmt w:val="bullet"/>
      <w:lvlText w:val="•"/>
      <w:lvlJc w:val="left"/>
      <w:pPr>
        <w:ind w:left="7108" w:hanging="369"/>
      </w:pPr>
      <w:rPr>
        <w:rFonts w:hint="default"/>
      </w:rPr>
    </w:lvl>
    <w:lvl w:ilvl="8" w:tplc="173A8FD4">
      <w:numFmt w:val="bullet"/>
      <w:lvlText w:val="•"/>
      <w:lvlJc w:val="left"/>
      <w:pPr>
        <w:ind w:left="8032" w:hanging="369"/>
      </w:pPr>
      <w:rPr>
        <w:rFonts w:hint="default"/>
      </w:rPr>
    </w:lvl>
  </w:abstractNum>
  <w:abstractNum w:abstractNumId="10" w15:restartNumberingAfterBreak="0">
    <w:nsid w:val="4A7C30E2"/>
    <w:multiLevelType w:val="hybridMultilevel"/>
    <w:tmpl w:val="1FC2E096"/>
    <w:lvl w:ilvl="0" w:tplc="B2E0AA76">
      <w:start w:val="1"/>
      <w:numFmt w:val="lowerLetter"/>
      <w:pStyle w:val="Heading4"/>
      <w:lvlText w:val="%1."/>
      <w:lvlJc w:val="left"/>
      <w:pPr>
        <w:ind w:left="1440" w:hanging="360"/>
      </w:pPr>
      <w:rPr>
        <w:rFonts w:hint="default"/>
        <w:i w:val="0"/>
        <w:iCs w:val="0"/>
      </w:rPr>
    </w:lvl>
    <w:lvl w:ilvl="1" w:tplc="0E2624CC" w:tentative="1">
      <w:start w:val="1"/>
      <w:numFmt w:val="lowerLetter"/>
      <w:lvlText w:val="%2."/>
      <w:lvlJc w:val="left"/>
      <w:pPr>
        <w:ind w:left="2160" w:hanging="360"/>
      </w:pPr>
    </w:lvl>
    <w:lvl w:ilvl="2" w:tplc="F0C0A08A" w:tentative="1">
      <w:start w:val="1"/>
      <w:numFmt w:val="lowerRoman"/>
      <w:lvlText w:val="%3."/>
      <w:lvlJc w:val="right"/>
      <w:pPr>
        <w:ind w:left="2880" w:hanging="180"/>
      </w:pPr>
    </w:lvl>
    <w:lvl w:ilvl="3" w:tplc="45263734" w:tentative="1">
      <w:start w:val="1"/>
      <w:numFmt w:val="decimal"/>
      <w:lvlText w:val="%4."/>
      <w:lvlJc w:val="left"/>
      <w:pPr>
        <w:ind w:left="3600" w:hanging="360"/>
      </w:pPr>
    </w:lvl>
    <w:lvl w:ilvl="4" w:tplc="424A72B2" w:tentative="1">
      <w:start w:val="1"/>
      <w:numFmt w:val="lowerLetter"/>
      <w:lvlText w:val="%5."/>
      <w:lvlJc w:val="left"/>
      <w:pPr>
        <w:ind w:left="4320" w:hanging="360"/>
      </w:pPr>
    </w:lvl>
    <w:lvl w:ilvl="5" w:tplc="8FC897A0" w:tentative="1">
      <w:start w:val="1"/>
      <w:numFmt w:val="lowerRoman"/>
      <w:lvlText w:val="%6."/>
      <w:lvlJc w:val="right"/>
      <w:pPr>
        <w:ind w:left="5040" w:hanging="180"/>
      </w:pPr>
    </w:lvl>
    <w:lvl w:ilvl="6" w:tplc="4E3CE148" w:tentative="1">
      <w:start w:val="1"/>
      <w:numFmt w:val="decimal"/>
      <w:lvlText w:val="%7."/>
      <w:lvlJc w:val="left"/>
      <w:pPr>
        <w:ind w:left="5760" w:hanging="360"/>
      </w:pPr>
    </w:lvl>
    <w:lvl w:ilvl="7" w:tplc="0CAEC756" w:tentative="1">
      <w:start w:val="1"/>
      <w:numFmt w:val="lowerLetter"/>
      <w:lvlText w:val="%8."/>
      <w:lvlJc w:val="left"/>
      <w:pPr>
        <w:ind w:left="6480" w:hanging="360"/>
      </w:pPr>
    </w:lvl>
    <w:lvl w:ilvl="8" w:tplc="CE28591A" w:tentative="1">
      <w:start w:val="1"/>
      <w:numFmt w:val="lowerRoman"/>
      <w:lvlText w:val="%9."/>
      <w:lvlJc w:val="right"/>
      <w:pPr>
        <w:ind w:left="7200" w:hanging="180"/>
      </w:pPr>
    </w:lvl>
  </w:abstractNum>
  <w:abstractNum w:abstractNumId="11" w15:restartNumberingAfterBreak="0">
    <w:nsid w:val="533303C8"/>
    <w:multiLevelType w:val="hybridMultilevel"/>
    <w:tmpl w:val="4BF2D4C2"/>
    <w:lvl w:ilvl="0" w:tplc="1490216C">
      <w:start w:val="1"/>
      <w:numFmt w:val="decimal"/>
      <w:lvlText w:val="(%1)"/>
      <w:lvlJc w:val="left"/>
      <w:pPr>
        <w:ind w:left="1080" w:hanging="360"/>
      </w:pPr>
      <w:rPr>
        <w:rFonts w:hint="default"/>
      </w:rPr>
    </w:lvl>
    <w:lvl w:ilvl="1" w:tplc="91BC61DC" w:tentative="1">
      <w:start w:val="1"/>
      <w:numFmt w:val="lowerLetter"/>
      <w:lvlText w:val="%2."/>
      <w:lvlJc w:val="left"/>
      <w:pPr>
        <w:ind w:left="1800" w:hanging="360"/>
      </w:pPr>
    </w:lvl>
    <w:lvl w:ilvl="2" w:tplc="C2CCAC48" w:tentative="1">
      <w:start w:val="1"/>
      <w:numFmt w:val="lowerRoman"/>
      <w:lvlText w:val="%3."/>
      <w:lvlJc w:val="right"/>
      <w:pPr>
        <w:ind w:left="2520" w:hanging="180"/>
      </w:pPr>
    </w:lvl>
    <w:lvl w:ilvl="3" w:tplc="E92275E2" w:tentative="1">
      <w:start w:val="1"/>
      <w:numFmt w:val="decimal"/>
      <w:lvlText w:val="%4."/>
      <w:lvlJc w:val="left"/>
      <w:pPr>
        <w:ind w:left="3240" w:hanging="360"/>
      </w:pPr>
    </w:lvl>
    <w:lvl w:ilvl="4" w:tplc="CB840BAC" w:tentative="1">
      <w:start w:val="1"/>
      <w:numFmt w:val="lowerLetter"/>
      <w:lvlText w:val="%5."/>
      <w:lvlJc w:val="left"/>
      <w:pPr>
        <w:ind w:left="3960" w:hanging="360"/>
      </w:pPr>
    </w:lvl>
    <w:lvl w:ilvl="5" w:tplc="333251F8" w:tentative="1">
      <w:start w:val="1"/>
      <w:numFmt w:val="lowerRoman"/>
      <w:lvlText w:val="%6."/>
      <w:lvlJc w:val="right"/>
      <w:pPr>
        <w:ind w:left="4680" w:hanging="180"/>
      </w:pPr>
    </w:lvl>
    <w:lvl w:ilvl="6" w:tplc="2A964A66" w:tentative="1">
      <w:start w:val="1"/>
      <w:numFmt w:val="decimal"/>
      <w:lvlText w:val="%7."/>
      <w:lvlJc w:val="left"/>
      <w:pPr>
        <w:ind w:left="5400" w:hanging="360"/>
      </w:pPr>
    </w:lvl>
    <w:lvl w:ilvl="7" w:tplc="8E62DC4A" w:tentative="1">
      <w:start w:val="1"/>
      <w:numFmt w:val="lowerLetter"/>
      <w:lvlText w:val="%8."/>
      <w:lvlJc w:val="left"/>
      <w:pPr>
        <w:ind w:left="6120" w:hanging="360"/>
      </w:pPr>
    </w:lvl>
    <w:lvl w:ilvl="8" w:tplc="7E449BFA" w:tentative="1">
      <w:start w:val="1"/>
      <w:numFmt w:val="lowerRoman"/>
      <w:lvlText w:val="%9."/>
      <w:lvlJc w:val="right"/>
      <w:pPr>
        <w:ind w:left="6840" w:hanging="180"/>
      </w:pPr>
    </w:lvl>
  </w:abstractNum>
  <w:abstractNum w:abstractNumId="12" w15:restartNumberingAfterBreak="0">
    <w:nsid w:val="64893051"/>
    <w:multiLevelType w:val="hybridMultilevel"/>
    <w:tmpl w:val="5D002412"/>
    <w:lvl w:ilvl="0" w:tplc="29006A8C">
      <w:start w:val="1"/>
      <w:numFmt w:val="decimal"/>
      <w:lvlText w:val="(%1)"/>
      <w:lvlJc w:val="left"/>
      <w:pPr>
        <w:ind w:left="720" w:hanging="360"/>
      </w:pPr>
      <w:rPr>
        <w:rFonts w:hint="default"/>
      </w:rPr>
    </w:lvl>
    <w:lvl w:ilvl="1" w:tplc="02CE158A" w:tentative="1">
      <w:start w:val="1"/>
      <w:numFmt w:val="lowerLetter"/>
      <w:lvlText w:val="%2."/>
      <w:lvlJc w:val="left"/>
      <w:pPr>
        <w:ind w:left="1440" w:hanging="360"/>
      </w:pPr>
    </w:lvl>
    <w:lvl w:ilvl="2" w:tplc="BD0AAE58" w:tentative="1">
      <w:start w:val="1"/>
      <w:numFmt w:val="lowerRoman"/>
      <w:lvlText w:val="%3."/>
      <w:lvlJc w:val="right"/>
      <w:pPr>
        <w:ind w:left="2160" w:hanging="180"/>
      </w:pPr>
    </w:lvl>
    <w:lvl w:ilvl="3" w:tplc="F8B00A14" w:tentative="1">
      <w:start w:val="1"/>
      <w:numFmt w:val="decimal"/>
      <w:lvlText w:val="%4."/>
      <w:lvlJc w:val="left"/>
      <w:pPr>
        <w:ind w:left="2880" w:hanging="360"/>
      </w:pPr>
    </w:lvl>
    <w:lvl w:ilvl="4" w:tplc="E9FE711C" w:tentative="1">
      <w:start w:val="1"/>
      <w:numFmt w:val="lowerLetter"/>
      <w:lvlText w:val="%5."/>
      <w:lvlJc w:val="left"/>
      <w:pPr>
        <w:ind w:left="3600" w:hanging="360"/>
      </w:pPr>
    </w:lvl>
    <w:lvl w:ilvl="5" w:tplc="B510BA2A" w:tentative="1">
      <w:start w:val="1"/>
      <w:numFmt w:val="lowerRoman"/>
      <w:lvlText w:val="%6."/>
      <w:lvlJc w:val="right"/>
      <w:pPr>
        <w:ind w:left="4320" w:hanging="180"/>
      </w:pPr>
    </w:lvl>
    <w:lvl w:ilvl="6" w:tplc="74462A32" w:tentative="1">
      <w:start w:val="1"/>
      <w:numFmt w:val="decimal"/>
      <w:lvlText w:val="%7."/>
      <w:lvlJc w:val="left"/>
      <w:pPr>
        <w:ind w:left="5040" w:hanging="360"/>
      </w:pPr>
    </w:lvl>
    <w:lvl w:ilvl="7" w:tplc="45623FB4" w:tentative="1">
      <w:start w:val="1"/>
      <w:numFmt w:val="lowerLetter"/>
      <w:lvlText w:val="%8."/>
      <w:lvlJc w:val="left"/>
      <w:pPr>
        <w:ind w:left="5760" w:hanging="360"/>
      </w:pPr>
    </w:lvl>
    <w:lvl w:ilvl="8" w:tplc="51189274" w:tentative="1">
      <w:start w:val="1"/>
      <w:numFmt w:val="lowerRoman"/>
      <w:lvlText w:val="%9."/>
      <w:lvlJc w:val="right"/>
      <w:pPr>
        <w:ind w:left="6480" w:hanging="180"/>
      </w:pPr>
    </w:lvl>
  </w:abstractNum>
  <w:abstractNum w:abstractNumId="13" w15:restartNumberingAfterBreak="0">
    <w:nsid w:val="743E4A5E"/>
    <w:multiLevelType w:val="hybridMultilevel"/>
    <w:tmpl w:val="5E205996"/>
    <w:lvl w:ilvl="0" w:tplc="6B448E62">
      <w:start w:val="2"/>
      <w:numFmt w:val="decimal"/>
      <w:lvlText w:val="%1"/>
      <w:lvlJc w:val="left"/>
      <w:pPr>
        <w:ind w:left="666" w:hanging="368"/>
      </w:pPr>
      <w:rPr>
        <w:rFonts w:ascii="Times New Roman" w:eastAsia="Times New Roman" w:hAnsi="Times New Roman" w:cs="Times New Roman" w:hint="default"/>
        <w:color w:val="0F0F0F"/>
        <w:w w:val="108"/>
        <w:sz w:val="20"/>
        <w:szCs w:val="20"/>
      </w:rPr>
    </w:lvl>
    <w:lvl w:ilvl="1" w:tplc="AB44F2D6">
      <w:numFmt w:val="bullet"/>
      <w:lvlText w:val="•"/>
      <w:lvlJc w:val="left"/>
      <w:pPr>
        <w:ind w:left="1582" w:hanging="368"/>
      </w:pPr>
      <w:rPr>
        <w:rFonts w:hint="default"/>
      </w:rPr>
    </w:lvl>
    <w:lvl w:ilvl="2" w:tplc="BBF8CD00">
      <w:numFmt w:val="bullet"/>
      <w:lvlText w:val="•"/>
      <w:lvlJc w:val="left"/>
      <w:pPr>
        <w:ind w:left="2504" w:hanging="368"/>
      </w:pPr>
      <w:rPr>
        <w:rFonts w:hint="default"/>
      </w:rPr>
    </w:lvl>
    <w:lvl w:ilvl="3" w:tplc="1D42B10E">
      <w:numFmt w:val="bullet"/>
      <w:lvlText w:val="•"/>
      <w:lvlJc w:val="left"/>
      <w:pPr>
        <w:ind w:left="3426" w:hanging="368"/>
      </w:pPr>
      <w:rPr>
        <w:rFonts w:hint="default"/>
      </w:rPr>
    </w:lvl>
    <w:lvl w:ilvl="4" w:tplc="F398AB30">
      <w:numFmt w:val="bullet"/>
      <w:lvlText w:val="•"/>
      <w:lvlJc w:val="left"/>
      <w:pPr>
        <w:ind w:left="4348" w:hanging="368"/>
      </w:pPr>
      <w:rPr>
        <w:rFonts w:hint="default"/>
      </w:rPr>
    </w:lvl>
    <w:lvl w:ilvl="5" w:tplc="D258FB0E">
      <w:numFmt w:val="bullet"/>
      <w:lvlText w:val="•"/>
      <w:lvlJc w:val="left"/>
      <w:pPr>
        <w:ind w:left="5270" w:hanging="368"/>
      </w:pPr>
      <w:rPr>
        <w:rFonts w:hint="default"/>
      </w:rPr>
    </w:lvl>
    <w:lvl w:ilvl="6" w:tplc="E53E29CC">
      <w:numFmt w:val="bullet"/>
      <w:lvlText w:val="•"/>
      <w:lvlJc w:val="left"/>
      <w:pPr>
        <w:ind w:left="6192" w:hanging="368"/>
      </w:pPr>
      <w:rPr>
        <w:rFonts w:hint="default"/>
      </w:rPr>
    </w:lvl>
    <w:lvl w:ilvl="7" w:tplc="EB022BB4">
      <w:numFmt w:val="bullet"/>
      <w:lvlText w:val="•"/>
      <w:lvlJc w:val="left"/>
      <w:pPr>
        <w:ind w:left="7114" w:hanging="368"/>
      </w:pPr>
      <w:rPr>
        <w:rFonts w:hint="default"/>
      </w:rPr>
    </w:lvl>
    <w:lvl w:ilvl="8" w:tplc="0E04FC64">
      <w:numFmt w:val="bullet"/>
      <w:lvlText w:val="•"/>
      <w:lvlJc w:val="left"/>
      <w:pPr>
        <w:ind w:left="8036" w:hanging="368"/>
      </w:pPr>
      <w:rPr>
        <w:rFonts w:hint="default"/>
      </w:rPr>
    </w:lvl>
  </w:abstractNum>
  <w:abstractNum w:abstractNumId="14" w15:restartNumberingAfterBreak="0">
    <w:nsid w:val="77803D55"/>
    <w:multiLevelType w:val="hybridMultilevel"/>
    <w:tmpl w:val="6F765AFE"/>
    <w:lvl w:ilvl="0" w:tplc="29F4CF4A">
      <w:numFmt w:val="bullet"/>
      <w:lvlText w:val="-"/>
      <w:lvlJc w:val="left"/>
      <w:pPr>
        <w:ind w:left="720" w:hanging="360"/>
      </w:pPr>
      <w:rPr>
        <w:rFonts w:ascii="Lato" w:eastAsiaTheme="minorHAnsi" w:hAnsi="Lato" w:cstheme="minorBidi" w:hint="default"/>
        <w:color w:val="212121"/>
        <w:sz w:val="27"/>
      </w:rPr>
    </w:lvl>
    <w:lvl w:ilvl="1" w:tplc="C20CC71A" w:tentative="1">
      <w:start w:val="1"/>
      <w:numFmt w:val="bullet"/>
      <w:lvlText w:val="o"/>
      <w:lvlJc w:val="left"/>
      <w:pPr>
        <w:ind w:left="1440" w:hanging="360"/>
      </w:pPr>
      <w:rPr>
        <w:rFonts w:ascii="Courier New" w:hAnsi="Courier New" w:cs="Courier New" w:hint="default"/>
      </w:rPr>
    </w:lvl>
    <w:lvl w:ilvl="2" w:tplc="C018F3A2" w:tentative="1">
      <w:start w:val="1"/>
      <w:numFmt w:val="bullet"/>
      <w:lvlText w:val=""/>
      <w:lvlJc w:val="left"/>
      <w:pPr>
        <w:ind w:left="2160" w:hanging="360"/>
      </w:pPr>
      <w:rPr>
        <w:rFonts w:ascii="Wingdings" w:hAnsi="Wingdings" w:hint="default"/>
      </w:rPr>
    </w:lvl>
    <w:lvl w:ilvl="3" w:tplc="0FA69FC4" w:tentative="1">
      <w:start w:val="1"/>
      <w:numFmt w:val="bullet"/>
      <w:lvlText w:val=""/>
      <w:lvlJc w:val="left"/>
      <w:pPr>
        <w:ind w:left="2880" w:hanging="360"/>
      </w:pPr>
      <w:rPr>
        <w:rFonts w:ascii="Symbol" w:hAnsi="Symbol" w:hint="default"/>
      </w:rPr>
    </w:lvl>
    <w:lvl w:ilvl="4" w:tplc="8D5A2E9C" w:tentative="1">
      <w:start w:val="1"/>
      <w:numFmt w:val="bullet"/>
      <w:lvlText w:val="o"/>
      <w:lvlJc w:val="left"/>
      <w:pPr>
        <w:ind w:left="3600" w:hanging="360"/>
      </w:pPr>
      <w:rPr>
        <w:rFonts w:ascii="Courier New" w:hAnsi="Courier New" w:cs="Courier New" w:hint="default"/>
      </w:rPr>
    </w:lvl>
    <w:lvl w:ilvl="5" w:tplc="71567912" w:tentative="1">
      <w:start w:val="1"/>
      <w:numFmt w:val="bullet"/>
      <w:lvlText w:val=""/>
      <w:lvlJc w:val="left"/>
      <w:pPr>
        <w:ind w:left="4320" w:hanging="360"/>
      </w:pPr>
      <w:rPr>
        <w:rFonts w:ascii="Wingdings" w:hAnsi="Wingdings" w:hint="default"/>
      </w:rPr>
    </w:lvl>
    <w:lvl w:ilvl="6" w:tplc="14C89D90" w:tentative="1">
      <w:start w:val="1"/>
      <w:numFmt w:val="bullet"/>
      <w:lvlText w:val=""/>
      <w:lvlJc w:val="left"/>
      <w:pPr>
        <w:ind w:left="5040" w:hanging="360"/>
      </w:pPr>
      <w:rPr>
        <w:rFonts w:ascii="Symbol" w:hAnsi="Symbol" w:hint="default"/>
      </w:rPr>
    </w:lvl>
    <w:lvl w:ilvl="7" w:tplc="1C4AB224" w:tentative="1">
      <w:start w:val="1"/>
      <w:numFmt w:val="bullet"/>
      <w:lvlText w:val="o"/>
      <w:lvlJc w:val="left"/>
      <w:pPr>
        <w:ind w:left="5760" w:hanging="360"/>
      </w:pPr>
      <w:rPr>
        <w:rFonts w:ascii="Courier New" w:hAnsi="Courier New" w:cs="Courier New" w:hint="default"/>
      </w:rPr>
    </w:lvl>
    <w:lvl w:ilvl="8" w:tplc="AE1AA786" w:tentative="1">
      <w:start w:val="1"/>
      <w:numFmt w:val="bullet"/>
      <w:lvlText w:val=""/>
      <w:lvlJc w:val="left"/>
      <w:pPr>
        <w:ind w:left="6480" w:hanging="360"/>
      </w:pPr>
      <w:rPr>
        <w:rFonts w:ascii="Wingdings" w:hAnsi="Wingdings" w:hint="default"/>
      </w:rPr>
    </w:lvl>
  </w:abstractNum>
  <w:abstractNum w:abstractNumId="15" w15:restartNumberingAfterBreak="0">
    <w:nsid w:val="7EA136AA"/>
    <w:multiLevelType w:val="hybridMultilevel"/>
    <w:tmpl w:val="B68EDDB4"/>
    <w:lvl w:ilvl="0" w:tplc="F5742ED6">
      <w:start w:val="1"/>
      <w:numFmt w:val="decimal"/>
      <w:lvlText w:val="%1."/>
      <w:lvlJc w:val="left"/>
      <w:pPr>
        <w:ind w:left="720" w:hanging="360"/>
      </w:pPr>
      <w:rPr>
        <w:rFonts w:hint="default"/>
      </w:rPr>
    </w:lvl>
    <w:lvl w:ilvl="1" w:tplc="47587262" w:tentative="1">
      <w:start w:val="1"/>
      <w:numFmt w:val="lowerLetter"/>
      <w:lvlText w:val="%2."/>
      <w:lvlJc w:val="left"/>
      <w:pPr>
        <w:ind w:left="1440" w:hanging="360"/>
      </w:pPr>
    </w:lvl>
    <w:lvl w:ilvl="2" w:tplc="87AC7398" w:tentative="1">
      <w:start w:val="1"/>
      <w:numFmt w:val="lowerRoman"/>
      <w:lvlText w:val="%3."/>
      <w:lvlJc w:val="right"/>
      <w:pPr>
        <w:ind w:left="2160" w:hanging="180"/>
      </w:pPr>
    </w:lvl>
    <w:lvl w:ilvl="3" w:tplc="F662C822" w:tentative="1">
      <w:start w:val="1"/>
      <w:numFmt w:val="decimal"/>
      <w:lvlText w:val="%4."/>
      <w:lvlJc w:val="left"/>
      <w:pPr>
        <w:ind w:left="2880" w:hanging="360"/>
      </w:pPr>
    </w:lvl>
    <w:lvl w:ilvl="4" w:tplc="794E3750" w:tentative="1">
      <w:start w:val="1"/>
      <w:numFmt w:val="lowerLetter"/>
      <w:lvlText w:val="%5."/>
      <w:lvlJc w:val="left"/>
      <w:pPr>
        <w:ind w:left="3600" w:hanging="360"/>
      </w:pPr>
    </w:lvl>
    <w:lvl w:ilvl="5" w:tplc="6F68709A" w:tentative="1">
      <w:start w:val="1"/>
      <w:numFmt w:val="lowerRoman"/>
      <w:lvlText w:val="%6."/>
      <w:lvlJc w:val="right"/>
      <w:pPr>
        <w:ind w:left="4320" w:hanging="180"/>
      </w:pPr>
    </w:lvl>
    <w:lvl w:ilvl="6" w:tplc="32A2E49E" w:tentative="1">
      <w:start w:val="1"/>
      <w:numFmt w:val="decimal"/>
      <w:lvlText w:val="%7."/>
      <w:lvlJc w:val="left"/>
      <w:pPr>
        <w:ind w:left="5040" w:hanging="360"/>
      </w:pPr>
    </w:lvl>
    <w:lvl w:ilvl="7" w:tplc="1E6C5632" w:tentative="1">
      <w:start w:val="1"/>
      <w:numFmt w:val="lowerLetter"/>
      <w:lvlText w:val="%8."/>
      <w:lvlJc w:val="left"/>
      <w:pPr>
        <w:ind w:left="5760" w:hanging="360"/>
      </w:pPr>
    </w:lvl>
    <w:lvl w:ilvl="8" w:tplc="0D9ECB9A" w:tentative="1">
      <w:start w:val="1"/>
      <w:numFmt w:val="lowerRoman"/>
      <w:lvlText w:val="%9."/>
      <w:lvlJc w:val="right"/>
      <w:pPr>
        <w:ind w:left="6480" w:hanging="180"/>
      </w:pPr>
    </w:lvl>
  </w:abstractNum>
  <w:num w:numId="1" w16cid:durableId="2138328875">
    <w:abstractNumId w:val="1"/>
  </w:num>
  <w:num w:numId="2" w16cid:durableId="1308969847">
    <w:abstractNumId w:val="5"/>
  </w:num>
  <w:num w:numId="3" w16cid:durableId="720205258">
    <w:abstractNumId w:val="4"/>
  </w:num>
  <w:num w:numId="4" w16cid:durableId="187261330">
    <w:abstractNumId w:val="10"/>
  </w:num>
  <w:num w:numId="5" w16cid:durableId="1077282949">
    <w:abstractNumId w:val="1"/>
    <w:lvlOverride w:ilvl="0">
      <w:startOverride w:val="1"/>
    </w:lvlOverride>
  </w:num>
  <w:num w:numId="6" w16cid:durableId="1200509247">
    <w:abstractNumId w:val="1"/>
    <w:lvlOverride w:ilvl="0">
      <w:startOverride w:val="1"/>
    </w:lvlOverride>
  </w:num>
  <w:num w:numId="7" w16cid:durableId="1286621583">
    <w:abstractNumId w:val="1"/>
    <w:lvlOverride w:ilvl="0">
      <w:startOverride w:val="1"/>
    </w:lvlOverride>
  </w:num>
  <w:num w:numId="8" w16cid:durableId="400565637">
    <w:abstractNumId w:val="1"/>
    <w:lvlOverride w:ilvl="0">
      <w:startOverride w:val="1"/>
    </w:lvlOverride>
  </w:num>
  <w:num w:numId="9" w16cid:durableId="1353604098">
    <w:abstractNumId w:val="1"/>
    <w:lvlOverride w:ilvl="0">
      <w:startOverride w:val="1"/>
    </w:lvlOverride>
  </w:num>
  <w:num w:numId="10" w16cid:durableId="1882861269">
    <w:abstractNumId w:val="1"/>
    <w:lvlOverride w:ilvl="0">
      <w:startOverride w:val="1"/>
    </w:lvlOverride>
  </w:num>
  <w:num w:numId="11" w16cid:durableId="1045982313">
    <w:abstractNumId w:val="1"/>
    <w:lvlOverride w:ilvl="0">
      <w:startOverride w:val="1"/>
    </w:lvlOverride>
  </w:num>
  <w:num w:numId="12" w16cid:durableId="1213496153">
    <w:abstractNumId w:val="1"/>
    <w:lvlOverride w:ilvl="0">
      <w:startOverride w:val="1"/>
    </w:lvlOverride>
  </w:num>
  <w:num w:numId="13" w16cid:durableId="2082212014">
    <w:abstractNumId w:val="1"/>
    <w:lvlOverride w:ilvl="0">
      <w:startOverride w:val="1"/>
    </w:lvlOverride>
  </w:num>
  <w:num w:numId="14" w16cid:durableId="409814866">
    <w:abstractNumId w:val="1"/>
    <w:lvlOverride w:ilvl="0">
      <w:startOverride w:val="1"/>
    </w:lvlOverride>
  </w:num>
  <w:num w:numId="15" w16cid:durableId="10763645">
    <w:abstractNumId w:val="1"/>
    <w:lvlOverride w:ilvl="0">
      <w:startOverride w:val="1"/>
    </w:lvlOverride>
  </w:num>
  <w:num w:numId="16" w16cid:durableId="1487699668">
    <w:abstractNumId w:val="1"/>
    <w:lvlOverride w:ilvl="0">
      <w:startOverride w:val="1"/>
    </w:lvlOverride>
  </w:num>
  <w:num w:numId="17" w16cid:durableId="819885719">
    <w:abstractNumId w:val="1"/>
    <w:lvlOverride w:ilvl="0">
      <w:startOverride w:val="1"/>
    </w:lvlOverride>
  </w:num>
  <w:num w:numId="18" w16cid:durableId="1240405873">
    <w:abstractNumId w:val="4"/>
    <w:lvlOverride w:ilvl="0">
      <w:startOverride w:val="1"/>
    </w:lvlOverride>
  </w:num>
  <w:num w:numId="19" w16cid:durableId="45953221">
    <w:abstractNumId w:val="14"/>
  </w:num>
  <w:num w:numId="20" w16cid:durableId="1601526639">
    <w:abstractNumId w:val="8"/>
  </w:num>
  <w:num w:numId="21" w16cid:durableId="549388361">
    <w:abstractNumId w:val="5"/>
  </w:num>
  <w:num w:numId="22" w16cid:durableId="845904147">
    <w:abstractNumId w:val="3"/>
  </w:num>
  <w:num w:numId="23" w16cid:durableId="1420322488">
    <w:abstractNumId w:val="0"/>
  </w:num>
  <w:num w:numId="24" w16cid:durableId="655035757">
    <w:abstractNumId w:val="13"/>
  </w:num>
  <w:num w:numId="25" w16cid:durableId="1937402844">
    <w:abstractNumId w:val="9"/>
  </w:num>
  <w:num w:numId="26" w16cid:durableId="828718400">
    <w:abstractNumId w:val="5"/>
    <w:lvlOverride w:ilvl="0">
      <w:startOverride w:val="2"/>
    </w:lvlOverride>
  </w:num>
  <w:num w:numId="27" w16cid:durableId="1907177354">
    <w:abstractNumId w:val="6"/>
  </w:num>
  <w:num w:numId="28" w16cid:durableId="1235553893">
    <w:abstractNumId w:val="7"/>
  </w:num>
  <w:num w:numId="29" w16cid:durableId="910851695">
    <w:abstractNumId w:val="10"/>
  </w:num>
  <w:num w:numId="30" w16cid:durableId="445082309">
    <w:abstractNumId w:val="10"/>
    <w:lvlOverride w:ilvl="0">
      <w:startOverride w:val="4"/>
    </w:lvlOverride>
  </w:num>
  <w:num w:numId="31" w16cid:durableId="964582947">
    <w:abstractNumId w:val="10"/>
    <w:lvlOverride w:ilvl="0">
      <w:startOverride w:val="4"/>
    </w:lvlOverride>
  </w:num>
  <w:num w:numId="32" w16cid:durableId="317536865">
    <w:abstractNumId w:val="10"/>
    <w:lvlOverride w:ilvl="0">
      <w:startOverride w:val="6"/>
    </w:lvlOverride>
  </w:num>
  <w:num w:numId="33" w16cid:durableId="2144224719">
    <w:abstractNumId w:val="5"/>
    <w:lvlOverride w:ilvl="0">
      <w:startOverride w:val="1"/>
    </w:lvlOverride>
  </w:num>
  <w:num w:numId="34" w16cid:durableId="972104830">
    <w:abstractNumId w:val="2"/>
  </w:num>
  <w:num w:numId="35" w16cid:durableId="199098827">
    <w:abstractNumId w:val="11"/>
  </w:num>
  <w:num w:numId="36" w16cid:durableId="1620532223">
    <w:abstractNumId w:val="12"/>
  </w:num>
  <w:num w:numId="37" w16cid:durableId="280652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9C"/>
    <w:rsid w:val="00140D1F"/>
    <w:rsid w:val="0039469C"/>
    <w:rsid w:val="003A32CB"/>
    <w:rsid w:val="00AF1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E033BF"/>
    <w:pPr>
      <w:keepNext/>
      <w:numPr>
        <w:numId w:val="20"/>
      </w:numPr>
      <w:spacing w:after="120" w:line="240" w:lineRule="auto"/>
      <w:ind w:left="86" w:hanging="86"/>
      <w:jc w:val="center"/>
      <w:outlineLvl w:val="0"/>
    </w:pPr>
    <w:rPr>
      <w:b/>
      <w:bC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9542C7"/>
    <w:pPr>
      <w:keepNext/>
      <w:numPr>
        <w:numId w:val="18"/>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332B"/>
    <w:rPr>
      <w:b/>
      <w:bC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542C7"/>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1"/>
    <w:qFormat/>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paragraph" w:styleId="BalloonText">
    <w:name w:val="Balloon Text"/>
    <w:basedOn w:val="Normal"/>
    <w:link w:val="BalloonTextChar"/>
    <w:uiPriority w:val="99"/>
    <w:semiHidden/>
    <w:unhideWhenUsed/>
    <w:rsid w:val="004020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DF"/>
    <w:rPr>
      <w:rFonts w:ascii="Segoe UI" w:hAnsi="Segoe UI" w:cs="Segoe UI"/>
      <w:sz w:val="18"/>
      <w:szCs w:val="18"/>
    </w:rPr>
  </w:style>
  <w:style w:type="character" w:customStyle="1" w:styleId="costarpage">
    <w:name w:val="co_starpage"/>
    <w:basedOn w:val="DefaultParagraphFont"/>
    <w:rsid w:val="00373E23"/>
  </w:style>
  <w:style w:type="character" w:customStyle="1" w:styleId="copinpointicon">
    <w:name w:val="co_pinpointicon"/>
    <w:basedOn w:val="DefaultParagraphFont"/>
    <w:rsid w:val="00373E23"/>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17BD2"/>
    <w:rPr>
      <w:sz w:val="16"/>
      <w:szCs w:val="16"/>
    </w:rPr>
  </w:style>
  <w:style w:type="paragraph" w:styleId="CommentText">
    <w:name w:val="annotation text"/>
    <w:basedOn w:val="Normal"/>
    <w:link w:val="CommentTextChar"/>
    <w:uiPriority w:val="99"/>
    <w:unhideWhenUsed/>
    <w:rsid w:val="00A17BD2"/>
    <w:pPr>
      <w:spacing w:line="240" w:lineRule="auto"/>
    </w:pPr>
    <w:rPr>
      <w:sz w:val="20"/>
      <w:szCs w:val="20"/>
    </w:rPr>
  </w:style>
  <w:style w:type="character" w:customStyle="1" w:styleId="CommentTextChar">
    <w:name w:val="Comment Text Char"/>
    <w:basedOn w:val="DefaultParagraphFont"/>
    <w:link w:val="CommentText"/>
    <w:uiPriority w:val="99"/>
    <w:rsid w:val="00A17BD2"/>
    <w:rPr>
      <w:sz w:val="20"/>
      <w:szCs w:val="20"/>
    </w:rPr>
  </w:style>
  <w:style w:type="paragraph" w:styleId="CommentSubject">
    <w:name w:val="annotation subject"/>
    <w:basedOn w:val="CommentText"/>
    <w:next w:val="CommentText"/>
    <w:link w:val="CommentSubjectChar"/>
    <w:uiPriority w:val="99"/>
    <w:semiHidden/>
    <w:unhideWhenUsed/>
    <w:rsid w:val="00A17BD2"/>
    <w:rPr>
      <w:b/>
      <w:bCs/>
    </w:rPr>
  </w:style>
  <w:style w:type="character" w:customStyle="1" w:styleId="CommentSubjectChar">
    <w:name w:val="Comment Subject Char"/>
    <w:basedOn w:val="CommentTextChar"/>
    <w:link w:val="CommentSubject"/>
    <w:uiPriority w:val="99"/>
    <w:semiHidden/>
    <w:rsid w:val="00A17BD2"/>
    <w:rPr>
      <w:b/>
      <w:bCs/>
      <w:sz w:val="20"/>
      <w:szCs w:val="20"/>
    </w:rPr>
  </w:style>
  <w:style w:type="paragraph" w:styleId="Revision">
    <w:name w:val="Revision"/>
    <w:hidden/>
    <w:uiPriority w:val="99"/>
    <w:semiHidden/>
    <w:rsid w:val="000578C1"/>
    <w:pPr>
      <w:spacing w:line="240" w:lineRule="auto"/>
    </w:pPr>
  </w:style>
  <w:style w:type="character" w:styleId="Hyperlink">
    <w:name w:val="Hyperlink"/>
    <w:basedOn w:val="DefaultParagraphFont"/>
    <w:uiPriority w:val="99"/>
    <w:unhideWhenUsed/>
    <w:rsid w:val="005E06BE"/>
    <w:rPr>
      <w:color w:val="0000FF"/>
      <w:u w:val="single"/>
    </w:rPr>
  </w:style>
  <w:style w:type="character" w:styleId="FollowedHyperlink">
    <w:name w:val="FollowedHyperlink"/>
    <w:basedOn w:val="DefaultParagraphFont"/>
    <w:uiPriority w:val="99"/>
    <w:semiHidden/>
    <w:unhideWhenUsed/>
    <w:rsid w:val="007F1AEB"/>
    <w:rPr>
      <w:color w:val="954F72" w:themeColor="followedHyperlink"/>
      <w:u w:val="single"/>
    </w:rPr>
  </w:style>
  <w:style w:type="character" w:styleId="Emphasis">
    <w:name w:val="Emphasis"/>
    <w:basedOn w:val="DefaultParagraphFont"/>
    <w:uiPriority w:val="20"/>
    <w:qFormat/>
    <w:rsid w:val="00855E9C"/>
    <w:rPr>
      <w:i/>
      <w:iCs/>
    </w:rPr>
  </w:style>
  <w:style w:type="character" w:customStyle="1" w:styleId="cohighlightpoints">
    <w:name w:val="co_highlightpoints"/>
    <w:basedOn w:val="DefaultParagraphFont"/>
    <w:rsid w:val="00ED3532"/>
  </w:style>
  <w:style w:type="character" w:customStyle="1" w:styleId="coconcept2223">
    <w:name w:val="co_concept_22_23"/>
    <w:basedOn w:val="DefaultParagraphFont"/>
    <w:rsid w:val="00E261A9"/>
  </w:style>
  <w:style w:type="character" w:customStyle="1" w:styleId="ssit">
    <w:name w:val="ss_it"/>
    <w:basedOn w:val="DefaultParagraphFont"/>
    <w:rsid w:val="00880B2D"/>
  </w:style>
  <w:style w:type="character" w:customStyle="1" w:styleId="coconcept2128">
    <w:name w:val="co_concept_21_28"/>
    <w:basedOn w:val="DefaultParagraphFont"/>
    <w:rsid w:val="00AF31C8"/>
  </w:style>
  <w:style w:type="paragraph" w:styleId="NormalWeb">
    <w:name w:val="Normal (Web)"/>
    <w:basedOn w:val="Normal"/>
    <w:uiPriority w:val="99"/>
    <w:unhideWhenUsed/>
    <w:rsid w:val="00C0429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36F0F"/>
    <w:pPr>
      <w:widowControl w:val="0"/>
      <w:autoSpaceDE w:val="0"/>
      <w:autoSpaceDN w:val="0"/>
      <w:spacing w:line="240" w:lineRule="auto"/>
      <w:ind w:firstLine="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36F0F"/>
    <w:rPr>
      <w:rFonts w:ascii="Times New Roman" w:eastAsia="Times New Roman" w:hAnsi="Times New Roman" w:cs="Times New Roman"/>
      <w:sz w:val="21"/>
      <w:szCs w:val="21"/>
    </w:rPr>
  </w:style>
  <w:style w:type="character" w:customStyle="1" w:styleId="coconcept15">
    <w:name w:val="co_concept_1_5"/>
    <w:basedOn w:val="DefaultParagraphFont"/>
    <w:rsid w:val="00497672"/>
  </w:style>
  <w:style w:type="character" w:customStyle="1" w:styleId="coconcept1014">
    <w:name w:val="co_concept_10_14"/>
    <w:basedOn w:val="DefaultParagraphFont"/>
    <w:rsid w:val="00497672"/>
  </w:style>
  <w:style w:type="character" w:customStyle="1" w:styleId="coconcept110">
    <w:name w:val="co_concept_1_10"/>
    <w:basedOn w:val="DefaultParagraphFont"/>
    <w:rsid w:val="00283AB1"/>
  </w:style>
  <w:style w:type="character" w:customStyle="1" w:styleId="coconcept1524">
    <w:name w:val="co_concept_15_24"/>
    <w:basedOn w:val="DefaultParagraphFont"/>
    <w:rsid w:val="00283AB1"/>
  </w:style>
  <w:style w:type="character" w:customStyle="1" w:styleId="mswsearchterm">
    <w:name w:val="mswsearchterm"/>
    <w:basedOn w:val="DefaultParagraphFont"/>
    <w:rsid w:val="000366E0"/>
  </w:style>
  <w:style w:type="character" w:customStyle="1" w:styleId="UnresolvedMention1">
    <w:name w:val="Unresolved Mention1"/>
    <w:basedOn w:val="DefaultParagraphFont"/>
    <w:uiPriority w:val="99"/>
    <w:semiHidden/>
    <w:unhideWhenUsed/>
    <w:rsid w:val="000650A6"/>
    <w:rPr>
      <w:color w:val="605E5C"/>
      <w:shd w:val="clear" w:color="auto" w:fill="E1DFDD"/>
    </w:rPr>
  </w:style>
  <w:style w:type="character" w:customStyle="1" w:styleId="acb">
    <w:name w:val="acb"/>
    <w:basedOn w:val="DefaultParagraphFont"/>
    <w:rsid w:val="005A10DB"/>
  </w:style>
  <w:style w:type="character" w:customStyle="1" w:styleId="sssh">
    <w:name w:val="ss_sh"/>
    <w:basedOn w:val="DefaultParagraphFont"/>
    <w:rsid w:val="005A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11523</Words>
  <Characters>60429</Characters>
  <Application>Microsoft Office Word</Application>
  <DocSecurity>0</DocSecurity>
  <Lines>1035</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2023-04-05T16:18:00Z</dcterms:created>
  <dcterms:modified xsi:type="dcterms:W3CDTF">2023-04-05T16:18:00Z</dcterms:modified>
  <cp:category/>
</cp:coreProperties>
</file>